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02775" w14:textId="77777777" w:rsidR="00625DC6" w:rsidRPr="00D03800" w:rsidRDefault="00EB1C66" w:rsidP="00DE4BF8">
      <w:pPr>
        <w:pStyle w:val="Encabezado"/>
        <w:ind w:left="284" w:right="142"/>
        <w:jc w:val="both"/>
        <w:rPr>
          <w:rFonts w:ascii="Bookman Old Style" w:hAnsi="Bookman Old Style"/>
          <w:szCs w:val="24"/>
        </w:rPr>
      </w:pPr>
      <w:r>
        <w:rPr>
          <w:rFonts w:ascii="Bookman Old Style" w:hAnsi="Bookman Old Style"/>
          <w:noProof/>
          <w:szCs w:val="24"/>
        </w:rPr>
        <w:object w:dxaOrig="1440" w:dyaOrig="1440" w14:anchorId="39485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24.85pt;width:52.5pt;height:48.75pt;z-index:251657728" fillcolor="#0c9">
            <v:imagedata r:id="rId11" o:title=""/>
          </v:shape>
          <o:OLEObject Type="Embed" ProgID="PBrush" ShapeID="_x0000_s1033" DrawAspect="Content" ObjectID="_1676377822" r:id="rId12"/>
        </w:object>
      </w:r>
    </w:p>
    <w:p w14:paraId="43C69AFB" w14:textId="77777777" w:rsidR="00625DC6" w:rsidRPr="00D03800" w:rsidRDefault="00625DC6" w:rsidP="00DE4BF8">
      <w:pPr>
        <w:pStyle w:val="Encabezado"/>
        <w:ind w:left="284" w:right="142"/>
        <w:jc w:val="both"/>
        <w:rPr>
          <w:rFonts w:ascii="Bookman Old Style" w:hAnsi="Bookman Old Style"/>
          <w:szCs w:val="24"/>
        </w:rPr>
      </w:pPr>
    </w:p>
    <w:p w14:paraId="3534631B" w14:textId="77777777" w:rsidR="00625DC6" w:rsidRPr="00D03800" w:rsidRDefault="00625DC6" w:rsidP="00DE4BF8">
      <w:pPr>
        <w:pStyle w:val="Encabezado"/>
        <w:ind w:left="284" w:right="142"/>
        <w:jc w:val="both"/>
        <w:rPr>
          <w:rFonts w:ascii="Bookman Old Style" w:hAnsi="Bookman Old Style"/>
          <w:szCs w:val="24"/>
        </w:rPr>
      </w:pPr>
    </w:p>
    <w:p w14:paraId="35CAC712" w14:textId="77777777" w:rsidR="00CA77FB" w:rsidRPr="00D03800" w:rsidRDefault="00CA77FB" w:rsidP="00DE4BF8">
      <w:pPr>
        <w:pStyle w:val="Ttulo4"/>
        <w:ind w:left="284" w:right="142"/>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14:paraId="3F43C339" w14:textId="77777777" w:rsidR="00CA77FB" w:rsidRPr="00D03800" w:rsidRDefault="00CA77FB" w:rsidP="00DE4BF8">
      <w:pPr>
        <w:pStyle w:val="Ttulo4"/>
        <w:ind w:left="284" w:right="142"/>
        <w:rPr>
          <w:rFonts w:ascii="Bookman Old Style" w:hAnsi="Bookman Old Style"/>
          <w:b w:val="0"/>
          <w:bCs/>
          <w:sz w:val="24"/>
          <w:szCs w:val="24"/>
        </w:rPr>
      </w:pPr>
    </w:p>
    <w:p w14:paraId="25A538B3" w14:textId="77777777"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COMISIÓN DE REGULACIÓN DE ENERGÍA Y GAS</w:t>
      </w:r>
    </w:p>
    <w:p w14:paraId="4E7D0072" w14:textId="77777777" w:rsidR="00CA77FB" w:rsidRPr="00FB65FA" w:rsidRDefault="00CA77FB" w:rsidP="00FB65FA">
      <w:pPr>
        <w:pStyle w:val="Ttulo4"/>
        <w:rPr>
          <w:rFonts w:ascii="Bookman Old Style" w:hAnsi="Bookman Old Style"/>
          <w:sz w:val="24"/>
          <w:szCs w:val="24"/>
        </w:rPr>
      </w:pPr>
    </w:p>
    <w:p w14:paraId="2C86F1F4" w14:textId="77777777" w:rsidR="00CA77FB" w:rsidRPr="00FB65FA" w:rsidRDefault="00CA77FB" w:rsidP="00FB65FA">
      <w:pPr>
        <w:pStyle w:val="Ttulo4"/>
        <w:rPr>
          <w:rFonts w:ascii="Bookman Old Style" w:hAnsi="Bookman Old Style"/>
          <w:sz w:val="24"/>
          <w:szCs w:val="24"/>
        </w:rPr>
      </w:pPr>
    </w:p>
    <w:p w14:paraId="4FFCDDA1" w14:textId="1E7A6718"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xml:space="preserve">RESOLUCIÓN No. </w:t>
      </w:r>
      <w:r w:rsidR="00795BFB" w:rsidRPr="00FB65FA">
        <w:rPr>
          <w:rFonts w:ascii="Bookman Old Style" w:hAnsi="Bookman Old Style"/>
          <w:sz w:val="24"/>
          <w:szCs w:val="24"/>
        </w:rPr>
        <w:t xml:space="preserve">                  </w:t>
      </w:r>
      <w:r w:rsidRPr="00FB65FA">
        <w:rPr>
          <w:rFonts w:ascii="Bookman Old Style" w:hAnsi="Bookman Old Style"/>
          <w:sz w:val="24"/>
          <w:szCs w:val="24"/>
        </w:rPr>
        <w:t xml:space="preserve">DE </w:t>
      </w:r>
      <w:r w:rsidR="00D451C0">
        <w:rPr>
          <w:rFonts w:ascii="Bookman Old Style" w:hAnsi="Bookman Old Style"/>
          <w:sz w:val="24"/>
          <w:szCs w:val="24"/>
        </w:rPr>
        <w:t>20</w:t>
      </w:r>
      <w:r w:rsidR="00FD1664">
        <w:rPr>
          <w:rFonts w:ascii="Bookman Old Style" w:hAnsi="Bookman Old Style"/>
          <w:sz w:val="24"/>
          <w:szCs w:val="24"/>
        </w:rPr>
        <w:t>2</w:t>
      </w:r>
      <w:r w:rsidR="00FD1664" w:rsidRPr="00DD38E6">
        <w:rPr>
          <w:rFonts w:ascii="Bookman Old Style" w:hAnsi="Bookman Old Style"/>
          <w:sz w:val="24"/>
          <w:szCs w:val="24"/>
        </w:rPr>
        <w:t>0</w:t>
      </w:r>
    </w:p>
    <w:p w14:paraId="32CF47F9" w14:textId="77777777" w:rsidR="00CA77FB" w:rsidRPr="00FB65FA" w:rsidRDefault="00CA77FB" w:rsidP="00FB65FA">
      <w:pPr>
        <w:pStyle w:val="Ttulo4"/>
        <w:rPr>
          <w:rFonts w:ascii="Bookman Old Style" w:hAnsi="Bookman Old Style"/>
          <w:sz w:val="24"/>
          <w:szCs w:val="24"/>
        </w:rPr>
      </w:pPr>
    </w:p>
    <w:p w14:paraId="5508F72B" w14:textId="77777777"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w:t>
      </w:r>
    </w:p>
    <w:p w14:paraId="53FF130C" w14:textId="77777777" w:rsidR="00CA77FB" w:rsidRPr="00D03800" w:rsidRDefault="00CA77FB" w:rsidP="00DE4BF8">
      <w:pPr>
        <w:ind w:left="284" w:right="142"/>
        <w:jc w:val="center"/>
        <w:rPr>
          <w:rFonts w:ascii="Bookman Old Style" w:hAnsi="Bookman Old Style"/>
          <w:lang w:val="es-ES_tradnl"/>
        </w:rPr>
      </w:pPr>
    </w:p>
    <w:p w14:paraId="7B8A98CF" w14:textId="32A5C0EA" w:rsidR="00B12818" w:rsidRDefault="005B5C99" w:rsidP="00B12818">
      <w:pPr>
        <w:pStyle w:val="Textodebloque"/>
        <w:spacing w:after="0"/>
        <w:ind w:left="284" w:right="142"/>
        <w:jc w:val="center"/>
        <w:rPr>
          <w:rFonts w:ascii="Bookman Old Style" w:hAnsi="Bookman Old Style" w:cs="Arial"/>
          <w:szCs w:val="24"/>
        </w:rPr>
      </w:pPr>
      <w:r w:rsidRPr="005B5C99">
        <w:rPr>
          <w:rFonts w:ascii="Bookman Old Style" w:hAnsi="Bookman Old Style" w:cs="Arial"/>
          <w:szCs w:val="24"/>
        </w:rPr>
        <w:t xml:space="preserve">Por la cual se determina el cargo máximo de generación para sistemas híbridos diésel </w:t>
      </w:r>
      <w:r w:rsidR="007A04FA">
        <w:rPr>
          <w:rFonts w:ascii="Bookman Old Style" w:hAnsi="Bookman Old Style" w:cs="Arial"/>
          <w:szCs w:val="24"/>
        </w:rPr>
        <w:t xml:space="preserve">– </w:t>
      </w:r>
      <w:r w:rsidRPr="005B5C99">
        <w:rPr>
          <w:rFonts w:ascii="Bookman Old Style" w:hAnsi="Bookman Old Style" w:cs="Arial"/>
          <w:szCs w:val="24"/>
        </w:rPr>
        <w:t>solar fotovoltaico con acumulación para los mercados relevantes de Jumaracarra y el C</w:t>
      </w:r>
      <w:r>
        <w:rPr>
          <w:rFonts w:ascii="Bookman Old Style" w:hAnsi="Bookman Old Style" w:cs="Arial"/>
          <w:szCs w:val="24"/>
        </w:rPr>
        <w:t xml:space="preserve">edral en el municipio de Juradó - </w:t>
      </w:r>
      <w:r w:rsidRPr="005B5C99">
        <w:rPr>
          <w:rFonts w:ascii="Bookman Old Style" w:hAnsi="Bookman Old Style" w:cs="Arial"/>
          <w:szCs w:val="24"/>
        </w:rPr>
        <w:t>Chocó</w:t>
      </w:r>
    </w:p>
    <w:p w14:paraId="0F153B28" w14:textId="77777777" w:rsidR="00B12818" w:rsidRPr="00B12818" w:rsidRDefault="00B12818" w:rsidP="00A33177">
      <w:pPr>
        <w:pStyle w:val="Textodebloque"/>
        <w:spacing w:after="0"/>
        <w:ind w:left="284" w:right="142"/>
        <w:rPr>
          <w:rFonts w:ascii="Bookman Old Style" w:hAnsi="Bookman Old Style" w:cs="Arial"/>
          <w:szCs w:val="24"/>
          <w:highlight w:val="green"/>
        </w:rPr>
      </w:pPr>
    </w:p>
    <w:p w14:paraId="3C8B2E0C" w14:textId="77777777" w:rsidR="00A33177" w:rsidRPr="009C209F" w:rsidRDefault="00A33177" w:rsidP="00A33177">
      <w:pPr>
        <w:pStyle w:val="Textodebloque"/>
        <w:spacing w:after="0"/>
        <w:ind w:left="284" w:right="142"/>
        <w:rPr>
          <w:rFonts w:ascii="Bookman Old Style" w:hAnsi="Bookman Old Style" w:cs="Arial"/>
          <w:szCs w:val="24"/>
        </w:rPr>
      </w:pPr>
    </w:p>
    <w:p w14:paraId="427244E5" w14:textId="77777777" w:rsidR="00DE4BF8" w:rsidRDefault="00DE4BF8" w:rsidP="00A33177">
      <w:pPr>
        <w:pStyle w:val="Textoindependiente2"/>
        <w:spacing w:after="0" w:line="240" w:lineRule="auto"/>
        <w:ind w:left="284" w:right="142"/>
        <w:jc w:val="center"/>
        <w:rPr>
          <w:rFonts w:ascii="Bookman Old Style" w:hAnsi="Bookman Old Style" w:cs="Arial"/>
          <w:b/>
          <w:bCs/>
        </w:rPr>
      </w:pPr>
      <w:r w:rsidRPr="00DE4BF8">
        <w:rPr>
          <w:rFonts w:ascii="Bookman Old Style" w:hAnsi="Bookman Old Style" w:cs="Arial"/>
          <w:b/>
          <w:bCs/>
        </w:rPr>
        <w:t>LA COMISIÓN DE REGULACIÓN DE ENERGÍA Y GAS</w:t>
      </w:r>
    </w:p>
    <w:p w14:paraId="34C9EA6C" w14:textId="77777777" w:rsidR="00A33177" w:rsidRDefault="00A33177" w:rsidP="00A33177">
      <w:pPr>
        <w:pStyle w:val="Textoindependiente2"/>
        <w:spacing w:after="0" w:line="240" w:lineRule="auto"/>
        <w:ind w:left="284" w:right="142"/>
        <w:jc w:val="center"/>
        <w:rPr>
          <w:rFonts w:ascii="Bookman Old Style" w:hAnsi="Bookman Old Style" w:cs="Arial"/>
          <w:b/>
          <w:bCs/>
          <w:lang w:val="es-CO"/>
        </w:rPr>
      </w:pPr>
    </w:p>
    <w:p w14:paraId="4132F3EC" w14:textId="77777777" w:rsidR="005F5CDB" w:rsidRPr="005F5CDB" w:rsidRDefault="005F5CDB" w:rsidP="00A33177">
      <w:pPr>
        <w:pStyle w:val="Textoindependiente2"/>
        <w:spacing w:after="0" w:line="240" w:lineRule="auto"/>
        <w:ind w:left="284" w:right="142"/>
        <w:jc w:val="center"/>
        <w:rPr>
          <w:rFonts w:ascii="Bookman Old Style" w:hAnsi="Bookman Old Style" w:cs="Arial"/>
          <w:b/>
          <w:bCs/>
          <w:lang w:val="es-CO"/>
        </w:rPr>
      </w:pPr>
    </w:p>
    <w:p w14:paraId="5AC47189" w14:textId="77777777" w:rsidR="00DE4BF8" w:rsidRPr="00DE4BF8" w:rsidRDefault="00DE4BF8" w:rsidP="00A33177">
      <w:pPr>
        <w:ind w:left="284" w:right="142"/>
        <w:jc w:val="both"/>
        <w:rPr>
          <w:rFonts w:ascii="Bookman Old Style" w:hAnsi="Bookman Old Style" w:cs="Arial"/>
        </w:rPr>
      </w:pPr>
      <w:r w:rsidRPr="00DE4BF8">
        <w:rPr>
          <w:rFonts w:ascii="Bookman Old Style" w:hAnsi="Bookman Old Style" w:cs="Arial"/>
        </w:rPr>
        <w:t xml:space="preserve">En ejercicio de sus atribuciones constitucionales y legales, en especial las conferidas por las </w:t>
      </w:r>
      <w:r w:rsidR="0066037F">
        <w:rPr>
          <w:rFonts w:ascii="Bookman Old Style" w:hAnsi="Bookman Old Style" w:cs="Arial"/>
        </w:rPr>
        <w:t>l</w:t>
      </w:r>
      <w:r w:rsidRPr="00DE4BF8">
        <w:rPr>
          <w:rFonts w:ascii="Bookman Old Style" w:hAnsi="Bookman Old Style" w:cs="Arial"/>
        </w:rPr>
        <w:t xml:space="preserve">eyes 142 y 143 de 1994, y los </w:t>
      </w:r>
      <w:r w:rsidR="0066037F">
        <w:rPr>
          <w:rFonts w:ascii="Bookman Old Style" w:hAnsi="Bookman Old Style" w:cs="Arial"/>
        </w:rPr>
        <w:t>d</w:t>
      </w:r>
      <w:r w:rsidRPr="00DE4BF8">
        <w:rPr>
          <w:rFonts w:ascii="Bookman Old Style" w:hAnsi="Bookman Old Style" w:cs="Arial"/>
        </w:rPr>
        <w:t xml:space="preserve">ecretos 1524 y 2253 de 1994, </w:t>
      </w:r>
      <w:r w:rsidR="00EE0523">
        <w:rPr>
          <w:rFonts w:ascii="Bookman Old Style" w:hAnsi="Bookman Old Style" w:cs="Arial"/>
        </w:rPr>
        <w:t xml:space="preserve">1260 de 2013 </w:t>
      </w:r>
      <w:r w:rsidRPr="00DE4BF8">
        <w:rPr>
          <w:rFonts w:ascii="Bookman Old Style" w:hAnsi="Bookman Old Style" w:cs="Arial"/>
        </w:rPr>
        <w:t>y</w:t>
      </w:r>
    </w:p>
    <w:p w14:paraId="3D447594" w14:textId="77777777" w:rsidR="00DE4BF8" w:rsidRDefault="00DE4BF8" w:rsidP="00DE4BF8">
      <w:pPr>
        <w:ind w:left="284" w:right="142"/>
        <w:jc w:val="both"/>
        <w:rPr>
          <w:rFonts w:ascii="Bookman Old Style" w:hAnsi="Bookman Old Style" w:cs="Arial"/>
        </w:rPr>
      </w:pPr>
    </w:p>
    <w:p w14:paraId="065F7C52" w14:textId="77777777" w:rsidR="009C209F" w:rsidRPr="00DE4BF8" w:rsidRDefault="009C209F" w:rsidP="00DE4BF8">
      <w:pPr>
        <w:ind w:left="284" w:right="142"/>
        <w:jc w:val="both"/>
        <w:rPr>
          <w:rFonts w:ascii="Bookman Old Style" w:hAnsi="Bookman Old Style" w:cs="Arial"/>
        </w:rPr>
      </w:pPr>
    </w:p>
    <w:p w14:paraId="18310931" w14:textId="77777777" w:rsidR="00DE4BF8" w:rsidRDefault="00DE4BF8" w:rsidP="00DE4BF8">
      <w:pPr>
        <w:ind w:left="284" w:right="142"/>
        <w:jc w:val="center"/>
        <w:rPr>
          <w:rFonts w:ascii="Bookman Old Style" w:hAnsi="Bookman Old Style" w:cs="Arial"/>
          <w:b/>
        </w:rPr>
      </w:pPr>
      <w:r w:rsidRPr="00DE4BF8">
        <w:rPr>
          <w:rFonts w:ascii="Bookman Old Style" w:hAnsi="Bookman Old Style" w:cs="Arial"/>
          <w:b/>
          <w:spacing w:val="80"/>
        </w:rPr>
        <w:t>CONSIDERANDO QUE</w:t>
      </w:r>
      <w:r w:rsidRPr="00DE4BF8">
        <w:rPr>
          <w:rFonts w:ascii="Bookman Old Style" w:hAnsi="Bookman Old Style" w:cs="Arial"/>
          <w:b/>
        </w:rPr>
        <w:t>:</w:t>
      </w:r>
    </w:p>
    <w:p w14:paraId="2C3A6781" w14:textId="77777777" w:rsidR="00DE4BF8" w:rsidRDefault="00DE4BF8" w:rsidP="00DE4BF8">
      <w:pPr>
        <w:ind w:left="284" w:right="142"/>
        <w:jc w:val="center"/>
        <w:rPr>
          <w:rFonts w:ascii="Bookman Old Style" w:hAnsi="Bookman Old Style" w:cs="Arial"/>
          <w:b/>
        </w:rPr>
      </w:pPr>
    </w:p>
    <w:p w14:paraId="57A19D5F" w14:textId="77777777" w:rsidR="009C209F" w:rsidRDefault="009C209F" w:rsidP="00DE4BF8">
      <w:pPr>
        <w:ind w:left="284" w:right="142"/>
        <w:jc w:val="center"/>
        <w:rPr>
          <w:rFonts w:ascii="Bookman Old Style" w:hAnsi="Bookman Old Style" w:cs="Arial"/>
          <w:b/>
        </w:rPr>
      </w:pPr>
    </w:p>
    <w:p w14:paraId="6E1F39B9" w14:textId="77777777" w:rsidR="00B54D44" w:rsidRPr="00DE4BF8" w:rsidRDefault="00B54D44" w:rsidP="00DE4BF8">
      <w:pPr>
        <w:ind w:left="284" w:right="142"/>
        <w:jc w:val="center"/>
        <w:rPr>
          <w:rFonts w:ascii="Bookman Old Style" w:hAnsi="Bookman Old Style" w:cs="Arial"/>
          <w:b/>
        </w:rPr>
      </w:pPr>
    </w:p>
    <w:p w14:paraId="3EF663D8" w14:textId="77777777" w:rsidR="005F2B6B" w:rsidRPr="00552F05" w:rsidRDefault="005878BF" w:rsidP="005878BF">
      <w:pPr>
        <w:numPr>
          <w:ilvl w:val="0"/>
          <w:numId w:val="8"/>
        </w:numPr>
        <w:ind w:right="142"/>
        <w:jc w:val="both"/>
        <w:rPr>
          <w:rFonts w:ascii="Bookman Old Style" w:hAnsi="Bookman Old Style" w:cs="Arial"/>
          <w:b/>
        </w:rPr>
      </w:pPr>
      <w:r w:rsidRPr="005F2B6B">
        <w:rPr>
          <w:rFonts w:ascii="Bookman Old Style" w:hAnsi="Bookman Old Style" w:cs="Arial"/>
          <w:b/>
        </w:rPr>
        <w:t xml:space="preserve"> </w:t>
      </w:r>
      <w:r w:rsidR="005F2B6B" w:rsidRPr="00552F05">
        <w:rPr>
          <w:rFonts w:ascii="Bookman Old Style" w:hAnsi="Bookman Old Style" w:cs="Arial"/>
          <w:b/>
        </w:rPr>
        <w:t>ANTECEDENTES.</w:t>
      </w:r>
    </w:p>
    <w:p w14:paraId="0D613634" w14:textId="77777777" w:rsidR="009B5A32" w:rsidRPr="00DF06C5" w:rsidRDefault="009B5A32" w:rsidP="00DF06C5">
      <w:pPr>
        <w:ind w:left="284" w:right="142"/>
        <w:jc w:val="both"/>
        <w:rPr>
          <w:rFonts w:ascii="Bookman Old Style" w:hAnsi="Bookman Old Style" w:cs="Arial"/>
        </w:rPr>
      </w:pPr>
    </w:p>
    <w:p w14:paraId="65692F79" w14:textId="75DBC87E" w:rsidR="00941D3F" w:rsidRDefault="00941D3F" w:rsidP="00941D3F">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El artículo 87 de la Ley 142 de 1994 estableció que el régimen tarifario estará orientado por los criterios de eficiencia económica, neutralidad, solidaridad, redistribución, suficiencia financiera, simplicidad y transparencia.</w:t>
      </w:r>
    </w:p>
    <w:p w14:paraId="0F4F12D8" w14:textId="77777777" w:rsidR="00941D3F" w:rsidRDefault="00941D3F" w:rsidP="00727040">
      <w:pPr>
        <w:pStyle w:val="Textoindependiente"/>
        <w:ind w:left="284" w:right="142"/>
        <w:jc w:val="both"/>
        <w:rPr>
          <w:rFonts w:ascii="Bookman Old Style" w:hAnsi="Bookman Old Style"/>
          <w:b w:val="0"/>
          <w:bCs w:val="0"/>
          <w:iCs/>
        </w:rPr>
      </w:pPr>
    </w:p>
    <w:p w14:paraId="6792B2CC" w14:textId="77777777" w:rsidR="00727040" w:rsidRDefault="00727040" w:rsidP="00727040">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 xml:space="preserve">De acuerdo con lo previsto en el </w:t>
      </w:r>
      <w:r w:rsidR="00941D3F">
        <w:rPr>
          <w:rFonts w:ascii="Bookman Old Style" w:hAnsi="Bookman Old Style"/>
          <w:b w:val="0"/>
          <w:bCs w:val="0"/>
          <w:iCs/>
        </w:rPr>
        <w:t>literal e)</w:t>
      </w:r>
      <w:r w:rsidR="00941D3F">
        <w:rPr>
          <w:rFonts w:ascii="Bookman Old Style" w:hAnsi="Bookman Old Style"/>
          <w:b w:val="0"/>
          <w:bCs w:val="0"/>
          <w:iCs/>
          <w:lang w:val="es-MX"/>
        </w:rPr>
        <w:t xml:space="preserve"> del</w:t>
      </w:r>
      <w:r w:rsidR="00941D3F" w:rsidRPr="00941D3F">
        <w:rPr>
          <w:rFonts w:ascii="Bookman Old Style" w:hAnsi="Bookman Old Style"/>
          <w:b w:val="0"/>
          <w:bCs w:val="0"/>
          <w:iCs/>
        </w:rPr>
        <w:t xml:space="preserve"> </w:t>
      </w:r>
      <w:r w:rsidR="00941D3F">
        <w:rPr>
          <w:rFonts w:ascii="Bookman Old Style" w:hAnsi="Bookman Old Style"/>
          <w:b w:val="0"/>
          <w:bCs w:val="0"/>
          <w:iCs/>
        </w:rPr>
        <w:t>artículo 23 de</w:t>
      </w:r>
      <w:r w:rsidR="00941D3F" w:rsidRPr="00727040">
        <w:rPr>
          <w:rFonts w:ascii="Bookman Old Style" w:hAnsi="Bookman Old Style"/>
          <w:b w:val="0"/>
          <w:bCs w:val="0"/>
          <w:iCs/>
        </w:rPr>
        <w:t xml:space="preserve"> </w:t>
      </w:r>
      <w:r w:rsidRPr="00727040">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14:paraId="01E21D25" w14:textId="77777777" w:rsidR="000C5DD0" w:rsidRPr="00727040" w:rsidRDefault="000C5DD0" w:rsidP="00727040">
      <w:pPr>
        <w:pStyle w:val="Textoindependiente"/>
        <w:ind w:left="284" w:right="142"/>
        <w:jc w:val="both"/>
        <w:rPr>
          <w:rFonts w:ascii="Bookman Old Style" w:hAnsi="Bookman Old Style"/>
          <w:b w:val="0"/>
          <w:bCs w:val="0"/>
          <w:iCs/>
        </w:rPr>
      </w:pPr>
    </w:p>
    <w:p w14:paraId="5A84D088" w14:textId="22179065" w:rsidR="00727040" w:rsidRDefault="00727040" w:rsidP="00727040">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El artículo 6 de la Ley 143 de 1994, entre otros aspectos, establece que las actividades relacionadas con el servicio de electricidad se regirán por el principio de adaptabilidad</w:t>
      </w:r>
      <w:r w:rsidR="003B0A64">
        <w:rPr>
          <w:rFonts w:ascii="Bookman Old Style" w:hAnsi="Bookman Old Style"/>
          <w:b w:val="0"/>
          <w:bCs w:val="0"/>
          <w:iCs/>
          <w:lang w:val="es-CO"/>
        </w:rPr>
        <w:t>,</w:t>
      </w:r>
      <w:r w:rsidRPr="00727040">
        <w:rPr>
          <w:rFonts w:ascii="Bookman Old Style" w:hAnsi="Bookman Old Style"/>
          <w:b w:val="0"/>
          <w:bCs w:val="0"/>
          <w:iCs/>
        </w:rPr>
        <w:t xml:space="preserve"> que conduce a la incorporación de los avances de la ciencia y la tecnología que aporten mayor calidad y eficiencia en la prestación del servicio</w:t>
      </w:r>
      <w:r w:rsidR="003B0A64">
        <w:rPr>
          <w:rFonts w:ascii="Bookman Old Style" w:hAnsi="Bookman Old Style"/>
          <w:b w:val="0"/>
          <w:bCs w:val="0"/>
          <w:iCs/>
          <w:lang w:val="es-CO"/>
        </w:rPr>
        <w:t>,</w:t>
      </w:r>
      <w:r w:rsidRPr="00727040">
        <w:rPr>
          <w:rFonts w:ascii="Bookman Old Style" w:hAnsi="Bookman Old Style"/>
          <w:b w:val="0"/>
          <w:bCs w:val="0"/>
          <w:iCs/>
        </w:rPr>
        <w:t xml:space="preserve"> al menor costo económico;</w:t>
      </w:r>
    </w:p>
    <w:p w14:paraId="3440E52D" w14:textId="77777777" w:rsidR="00727040" w:rsidRDefault="00727040" w:rsidP="00727040">
      <w:pPr>
        <w:pStyle w:val="Textoindependiente"/>
        <w:ind w:left="284" w:right="142"/>
        <w:jc w:val="both"/>
        <w:rPr>
          <w:rFonts w:ascii="Bookman Old Style" w:hAnsi="Bookman Old Style"/>
          <w:b w:val="0"/>
          <w:bCs w:val="0"/>
          <w:iCs/>
        </w:rPr>
      </w:pPr>
    </w:p>
    <w:p w14:paraId="38A4ABD1" w14:textId="26A249A2" w:rsidR="0047432C" w:rsidRDefault="009B5A32" w:rsidP="00727040">
      <w:pPr>
        <w:pStyle w:val="Textoindependiente"/>
        <w:ind w:left="284" w:right="142"/>
        <w:jc w:val="both"/>
        <w:rPr>
          <w:rFonts w:ascii="Bookman Old Style" w:eastAsia="Calibri" w:hAnsi="Bookman Old Style"/>
          <w:b w:val="0"/>
          <w:color w:val="000000"/>
        </w:rPr>
      </w:pPr>
      <w:r w:rsidRPr="00367078">
        <w:rPr>
          <w:rFonts w:ascii="Bookman Old Style" w:hAnsi="Bookman Old Style"/>
          <w:b w:val="0"/>
          <w:bCs w:val="0"/>
          <w:iCs/>
        </w:rPr>
        <w:t xml:space="preserve">La Comisión de Regulación de Energía y Gas, CREG, mediante la Resolución CREG 091 de 2007, estableció las metodologías generales para remunerar las actividades de generación, distribución y comercialización de energía eléctrica, y las fórmulas tarifarias generales para </w:t>
      </w:r>
      <w:r>
        <w:rPr>
          <w:rFonts w:ascii="Bookman Old Style" w:hAnsi="Bookman Old Style"/>
          <w:b w:val="0"/>
          <w:bCs w:val="0"/>
          <w:iCs/>
        </w:rPr>
        <w:t>determinar</w:t>
      </w:r>
      <w:r w:rsidRPr="00367078">
        <w:rPr>
          <w:rFonts w:ascii="Bookman Old Style" w:hAnsi="Bookman Old Style"/>
          <w:b w:val="0"/>
          <w:bCs w:val="0"/>
          <w:iCs/>
        </w:rPr>
        <w:t xml:space="preserve"> el costo unitario de prestación del servicio p</w:t>
      </w:r>
      <w:r w:rsidR="00F0393C">
        <w:rPr>
          <w:rFonts w:ascii="Bookman Old Style" w:hAnsi="Bookman Old Style"/>
          <w:b w:val="0"/>
          <w:bCs w:val="0"/>
          <w:iCs/>
        </w:rPr>
        <w:t xml:space="preserve">úblico de energía eléctrica en </w:t>
      </w:r>
      <w:r w:rsidR="00C21AD5">
        <w:rPr>
          <w:rFonts w:ascii="Bookman Old Style" w:hAnsi="Bookman Old Style"/>
          <w:b w:val="0"/>
          <w:bCs w:val="0"/>
          <w:iCs/>
          <w:lang w:val="es-CO"/>
        </w:rPr>
        <w:t>Z</w:t>
      </w:r>
      <w:r w:rsidR="00C21AD5">
        <w:rPr>
          <w:rFonts w:ascii="Bookman Old Style" w:hAnsi="Bookman Old Style"/>
          <w:b w:val="0"/>
          <w:bCs w:val="0"/>
          <w:iCs/>
        </w:rPr>
        <w:t xml:space="preserve">onas </w:t>
      </w:r>
      <w:r w:rsidR="00C21AD5">
        <w:rPr>
          <w:rFonts w:ascii="Bookman Old Style" w:hAnsi="Bookman Old Style"/>
          <w:b w:val="0"/>
          <w:bCs w:val="0"/>
          <w:iCs/>
          <w:lang w:val="es-CO"/>
        </w:rPr>
        <w:t>N</w:t>
      </w:r>
      <w:r w:rsidR="00C21AD5">
        <w:rPr>
          <w:rFonts w:ascii="Bookman Old Style" w:hAnsi="Bookman Old Style"/>
          <w:b w:val="0"/>
          <w:bCs w:val="0"/>
          <w:iCs/>
        </w:rPr>
        <w:t xml:space="preserve">o </w:t>
      </w:r>
      <w:r w:rsidR="00C21AD5">
        <w:rPr>
          <w:rFonts w:ascii="Bookman Old Style" w:hAnsi="Bookman Old Style"/>
          <w:b w:val="0"/>
          <w:bCs w:val="0"/>
          <w:iCs/>
          <w:lang w:val="es-CO"/>
        </w:rPr>
        <w:t>I</w:t>
      </w:r>
      <w:r w:rsidR="00C21AD5" w:rsidRPr="00367078">
        <w:rPr>
          <w:rFonts w:ascii="Bookman Old Style" w:hAnsi="Bookman Old Style"/>
          <w:b w:val="0"/>
          <w:bCs w:val="0"/>
          <w:iCs/>
        </w:rPr>
        <w:t>nterconectadas</w:t>
      </w:r>
      <w:r w:rsidRPr="00367078">
        <w:rPr>
          <w:rFonts w:ascii="Bookman Old Style" w:hAnsi="Bookman Old Style"/>
          <w:b w:val="0"/>
          <w:bCs w:val="0"/>
          <w:i/>
          <w:iCs/>
        </w:rPr>
        <w:t>.</w:t>
      </w:r>
      <w:r>
        <w:rPr>
          <w:rFonts w:ascii="Bookman Old Style" w:hAnsi="Bookman Old Style"/>
          <w:b w:val="0"/>
          <w:bCs w:val="0"/>
          <w:i/>
          <w:iCs/>
          <w:lang w:val="es-CO"/>
        </w:rPr>
        <w:t xml:space="preserve"> </w:t>
      </w:r>
      <w:r w:rsidR="00370BFA">
        <w:rPr>
          <w:rFonts w:ascii="Bookman Old Style" w:eastAsia="Calibri" w:hAnsi="Bookman Old Style"/>
          <w:b w:val="0"/>
          <w:color w:val="000000"/>
          <w:lang w:val="es-MX"/>
        </w:rPr>
        <w:t xml:space="preserve">La precitada resolución </w:t>
      </w:r>
      <w:r w:rsidR="0047432C" w:rsidRPr="009B5A32">
        <w:rPr>
          <w:rFonts w:ascii="Bookman Old Style" w:eastAsia="Calibri" w:hAnsi="Bookman Old Style"/>
          <w:b w:val="0"/>
          <w:color w:val="000000"/>
        </w:rPr>
        <w:t xml:space="preserve">fue publicada </w:t>
      </w:r>
      <w:r w:rsidR="000B23C4" w:rsidRPr="009B5A32">
        <w:rPr>
          <w:rFonts w:ascii="Bookman Old Style" w:eastAsia="Calibri" w:hAnsi="Bookman Old Style"/>
          <w:b w:val="0"/>
          <w:color w:val="000000"/>
        </w:rPr>
        <w:t xml:space="preserve">en el Diario Oficial </w:t>
      </w:r>
      <w:r w:rsidR="0047432C" w:rsidRPr="009B5A32">
        <w:rPr>
          <w:rFonts w:ascii="Bookman Old Style" w:eastAsia="Calibri" w:hAnsi="Bookman Old Style"/>
          <w:b w:val="0"/>
          <w:color w:val="000000"/>
        </w:rPr>
        <w:t>el 24 de enero de 2008</w:t>
      </w:r>
      <w:r w:rsidR="00C21AD5">
        <w:rPr>
          <w:rFonts w:ascii="Bookman Old Style" w:eastAsia="Calibri" w:hAnsi="Bookman Old Style"/>
          <w:b w:val="0"/>
          <w:color w:val="000000"/>
          <w:lang w:val="es-CO"/>
        </w:rPr>
        <w:t>,</w:t>
      </w:r>
      <w:r w:rsidR="0047432C" w:rsidRPr="009B5A32">
        <w:rPr>
          <w:rFonts w:ascii="Bookman Old Style" w:eastAsia="Calibri" w:hAnsi="Bookman Old Style"/>
          <w:b w:val="0"/>
          <w:color w:val="000000"/>
        </w:rPr>
        <w:t xml:space="preserve"> y quedó en firme el 31 de enero de 2008. </w:t>
      </w:r>
    </w:p>
    <w:p w14:paraId="20603ACF" w14:textId="3AEF8DCA" w:rsidR="00D52B00" w:rsidRDefault="00727040" w:rsidP="001948E0">
      <w:pPr>
        <w:pStyle w:val="Style2"/>
        <w:ind w:left="284" w:right="142" w:firstLine="0"/>
        <w:jc w:val="both"/>
        <w:rPr>
          <w:rFonts w:ascii="Bookman Old Style" w:hAnsi="Bookman Old Style"/>
          <w:sz w:val="24"/>
          <w:szCs w:val="23"/>
        </w:rPr>
      </w:pPr>
      <w:r w:rsidRPr="00727040">
        <w:rPr>
          <w:rFonts w:ascii="Bookman Old Style" w:hAnsi="Bookman Old Style"/>
          <w:sz w:val="24"/>
          <w:szCs w:val="23"/>
        </w:rPr>
        <w:lastRenderedPageBreak/>
        <w:t xml:space="preserve">Mediante comunicación con número de radicado CREG </w:t>
      </w:r>
      <w:r w:rsidR="00D238B3" w:rsidRPr="00D52B00">
        <w:rPr>
          <w:rFonts w:ascii="Bookman Old Style" w:hAnsi="Bookman Old Style"/>
          <w:sz w:val="24"/>
          <w:szCs w:val="23"/>
          <w:lang w:val="es-CO"/>
        </w:rPr>
        <w:t>E-2019-001037</w:t>
      </w:r>
      <w:r w:rsidRPr="00D52B00">
        <w:rPr>
          <w:rFonts w:ascii="Bookman Old Style" w:hAnsi="Bookman Old Style"/>
          <w:sz w:val="24"/>
          <w:szCs w:val="23"/>
        </w:rPr>
        <w:t xml:space="preserve"> del </w:t>
      </w:r>
      <w:r w:rsidR="00D52B00">
        <w:rPr>
          <w:rFonts w:ascii="Bookman Old Style" w:hAnsi="Bookman Old Style"/>
          <w:sz w:val="24"/>
          <w:szCs w:val="23"/>
        </w:rPr>
        <w:t>28</w:t>
      </w:r>
      <w:r w:rsidRPr="00D52B00">
        <w:rPr>
          <w:rFonts w:ascii="Bookman Old Style" w:hAnsi="Bookman Old Style"/>
          <w:sz w:val="24"/>
          <w:szCs w:val="23"/>
        </w:rPr>
        <w:t xml:space="preserve"> de </w:t>
      </w:r>
      <w:r w:rsidR="00D52B00">
        <w:rPr>
          <w:rFonts w:ascii="Bookman Old Style" w:hAnsi="Bookman Old Style"/>
          <w:sz w:val="24"/>
          <w:szCs w:val="23"/>
        </w:rPr>
        <w:t>enero</w:t>
      </w:r>
      <w:r w:rsidRPr="00D52B00">
        <w:rPr>
          <w:rFonts w:ascii="Bookman Old Style" w:hAnsi="Bookman Old Style"/>
          <w:sz w:val="24"/>
          <w:szCs w:val="23"/>
        </w:rPr>
        <w:t xml:space="preserve"> de 201</w:t>
      </w:r>
      <w:r w:rsidR="00D52B00">
        <w:rPr>
          <w:rFonts w:ascii="Bookman Old Style" w:hAnsi="Bookman Old Style"/>
          <w:sz w:val="24"/>
          <w:szCs w:val="23"/>
        </w:rPr>
        <w:t>9</w:t>
      </w:r>
      <w:r w:rsidR="004A5999">
        <w:rPr>
          <w:rFonts w:ascii="Bookman Old Style" w:hAnsi="Bookman Old Style"/>
          <w:sz w:val="24"/>
          <w:szCs w:val="23"/>
        </w:rPr>
        <w:t>,</w:t>
      </w:r>
      <w:r w:rsidR="00D52B00">
        <w:rPr>
          <w:rFonts w:ascii="Bookman Old Style" w:hAnsi="Bookman Old Style"/>
          <w:sz w:val="24"/>
          <w:szCs w:val="23"/>
        </w:rPr>
        <w:t xml:space="preserve"> </w:t>
      </w:r>
      <w:r w:rsidRPr="00D52B00">
        <w:rPr>
          <w:rFonts w:ascii="Bookman Old Style" w:hAnsi="Bookman Old Style"/>
          <w:sz w:val="24"/>
          <w:szCs w:val="23"/>
        </w:rPr>
        <w:t xml:space="preserve">complementada con las comunicaciones con número de radicado CREG </w:t>
      </w:r>
      <w:r w:rsidR="00D52B00" w:rsidRPr="00D52B00">
        <w:rPr>
          <w:rFonts w:ascii="Bookman Old Style" w:hAnsi="Bookman Old Style"/>
          <w:sz w:val="24"/>
          <w:szCs w:val="23"/>
        </w:rPr>
        <w:t>E-2019-001224</w:t>
      </w:r>
      <w:r w:rsidR="001948E0">
        <w:rPr>
          <w:rFonts w:ascii="Bookman Old Style" w:hAnsi="Bookman Old Style"/>
          <w:sz w:val="24"/>
          <w:szCs w:val="23"/>
        </w:rPr>
        <w:t xml:space="preserve"> del 31 de enero 2019, E-2019-0</w:t>
      </w:r>
      <w:r w:rsidR="00DF06C5">
        <w:rPr>
          <w:rFonts w:ascii="Bookman Old Style" w:hAnsi="Bookman Old Style"/>
          <w:sz w:val="24"/>
          <w:szCs w:val="23"/>
        </w:rPr>
        <w:t>02734 del 28 de febrero de 2019,</w:t>
      </w:r>
      <w:r w:rsidRPr="00D52B00">
        <w:rPr>
          <w:rFonts w:ascii="Bookman Old Style" w:hAnsi="Bookman Old Style"/>
          <w:sz w:val="24"/>
          <w:szCs w:val="23"/>
        </w:rPr>
        <w:t xml:space="preserve"> </w:t>
      </w:r>
      <w:r w:rsidR="00D52B00" w:rsidRPr="00D52B00">
        <w:rPr>
          <w:rFonts w:ascii="Bookman Old Style" w:hAnsi="Bookman Old Style"/>
          <w:sz w:val="24"/>
          <w:szCs w:val="23"/>
        </w:rPr>
        <w:t>E-2019-005570</w:t>
      </w:r>
      <w:r w:rsidR="00D52B00">
        <w:rPr>
          <w:rFonts w:ascii="Bookman Old Style" w:hAnsi="Bookman Old Style"/>
          <w:sz w:val="24"/>
          <w:szCs w:val="23"/>
        </w:rPr>
        <w:t xml:space="preserve"> </w:t>
      </w:r>
      <w:r w:rsidRPr="00D52B00">
        <w:rPr>
          <w:rFonts w:ascii="Bookman Old Style" w:hAnsi="Bookman Old Style"/>
          <w:sz w:val="24"/>
          <w:szCs w:val="23"/>
        </w:rPr>
        <w:t xml:space="preserve">del </w:t>
      </w:r>
      <w:r w:rsidR="00D52B00">
        <w:rPr>
          <w:rFonts w:ascii="Bookman Old Style" w:hAnsi="Bookman Old Style"/>
          <w:sz w:val="24"/>
          <w:szCs w:val="23"/>
        </w:rPr>
        <w:t>17</w:t>
      </w:r>
      <w:r w:rsidRPr="00D52B00">
        <w:rPr>
          <w:rFonts w:ascii="Bookman Old Style" w:hAnsi="Bookman Old Style"/>
          <w:sz w:val="24"/>
          <w:szCs w:val="23"/>
        </w:rPr>
        <w:t xml:space="preserve"> d</w:t>
      </w:r>
      <w:r w:rsidR="00D52B00">
        <w:rPr>
          <w:rFonts w:ascii="Bookman Old Style" w:hAnsi="Bookman Old Style"/>
          <w:sz w:val="24"/>
          <w:szCs w:val="23"/>
        </w:rPr>
        <w:t>e mayo</w:t>
      </w:r>
      <w:r w:rsidRPr="00D52B00">
        <w:rPr>
          <w:rFonts w:ascii="Bookman Old Style" w:hAnsi="Bookman Old Style"/>
          <w:sz w:val="24"/>
          <w:szCs w:val="23"/>
        </w:rPr>
        <w:t xml:space="preserve"> de 201</w:t>
      </w:r>
      <w:r w:rsidR="00D52B00">
        <w:rPr>
          <w:rFonts w:ascii="Bookman Old Style" w:hAnsi="Bookman Old Style"/>
          <w:sz w:val="24"/>
          <w:szCs w:val="23"/>
        </w:rPr>
        <w:t>9</w:t>
      </w:r>
      <w:r w:rsidR="00DF06C5">
        <w:rPr>
          <w:rFonts w:ascii="Bookman Old Style" w:hAnsi="Bookman Old Style"/>
          <w:sz w:val="24"/>
          <w:szCs w:val="23"/>
        </w:rPr>
        <w:t xml:space="preserve"> y E-2019-008577 del 12 de agosto de 2019</w:t>
      </w:r>
      <w:r w:rsidR="004A5999">
        <w:rPr>
          <w:rFonts w:ascii="Bookman Old Style" w:hAnsi="Bookman Old Style"/>
          <w:sz w:val="24"/>
          <w:szCs w:val="23"/>
        </w:rPr>
        <w:t>,</w:t>
      </w:r>
      <w:r w:rsidRPr="00D52B00">
        <w:rPr>
          <w:rFonts w:ascii="Bookman Old Style" w:hAnsi="Bookman Old Style"/>
          <w:sz w:val="24"/>
          <w:szCs w:val="23"/>
        </w:rPr>
        <w:t xml:space="preserve"> </w:t>
      </w:r>
      <w:r w:rsidR="00D52B00">
        <w:rPr>
          <w:rFonts w:ascii="Bookman Old Style" w:hAnsi="Bookman Old Style"/>
          <w:sz w:val="24"/>
          <w:szCs w:val="23"/>
        </w:rPr>
        <w:t xml:space="preserve">la empresa </w:t>
      </w:r>
      <w:r w:rsidR="00D52B00" w:rsidRPr="00D52B00">
        <w:rPr>
          <w:rFonts w:ascii="Bookman Old Style" w:hAnsi="Bookman Old Style"/>
          <w:sz w:val="24"/>
          <w:szCs w:val="23"/>
        </w:rPr>
        <w:t>Electrificadora del Pacífico S.A. E</w:t>
      </w:r>
      <w:r w:rsidR="00D52B00">
        <w:rPr>
          <w:rFonts w:ascii="Bookman Old Style" w:hAnsi="Bookman Old Style"/>
          <w:sz w:val="24"/>
          <w:szCs w:val="23"/>
        </w:rPr>
        <w:t>.</w:t>
      </w:r>
      <w:r w:rsidR="00D52B00" w:rsidRPr="00D52B00">
        <w:rPr>
          <w:rFonts w:ascii="Bookman Old Style" w:hAnsi="Bookman Old Style"/>
          <w:sz w:val="24"/>
          <w:szCs w:val="23"/>
        </w:rPr>
        <w:t>S</w:t>
      </w:r>
      <w:r w:rsidR="00D52B00">
        <w:rPr>
          <w:rFonts w:ascii="Bookman Old Style" w:hAnsi="Bookman Old Style"/>
          <w:sz w:val="24"/>
          <w:szCs w:val="23"/>
        </w:rPr>
        <w:t>.</w:t>
      </w:r>
      <w:r w:rsidR="00D52B00" w:rsidRPr="00D52B00">
        <w:rPr>
          <w:rFonts w:ascii="Bookman Old Style" w:hAnsi="Bookman Old Style"/>
          <w:sz w:val="24"/>
          <w:szCs w:val="23"/>
        </w:rPr>
        <w:t>P., en</w:t>
      </w:r>
      <w:r w:rsidRPr="00D52B00">
        <w:rPr>
          <w:rFonts w:ascii="Bookman Old Style" w:hAnsi="Bookman Old Style"/>
          <w:sz w:val="24"/>
          <w:szCs w:val="23"/>
        </w:rPr>
        <w:t xml:space="preserve"> adelante </w:t>
      </w:r>
      <w:r w:rsidR="00C21AD5" w:rsidRPr="00705245">
        <w:rPr>
          <w:rFonts w:ascii="Bookman Old Style" w:hAnsi="Bookman Old Style"/>
          <w:sz w:val="24"/>
          <w:szCs w:val="23"/>
        </w:rPr>
        <w:t>Electropac</w:t>
      </w:r>
      <w:r w:rsidR="00C21AD5">
        <w:rPr>
          <w:rFonts w:ascii="Bookman Old Style" w:hAnsi="Bookman Old Style"/>
          <w:sz w:val="24"/>
          <w:szCs w:val="23"/>
        </w:rPr>
        <w:t>í</w:t>
      </w:r>
      <w:r w:rsidR="00C21AD5" w:rsidRPr="00705245">
        <w:rPr>
          <w:rFonts w:ascii="Bookman Old Style" w:hAnsi="Bookman Old Style"/>
          <w:sz w:val="24"/>
          <w:szCs w:val="23"/>
        </w:rPr>
        <w:t>fico</w:t>
      </w:r>
      <w:r w:rsidR="001948E0" w:rsidRPr="00705245">
        <w:rPr>
          <w:rFonts w:ascii="Bookman Old Style" w:hAnsi="Bookman Old Style"/>
          <w:sz w:val="24"/>
          <w:szCs w:val="23"/>
        </w:rPr>
        <w:t>,</w:t>
      </w:r>
      <w:r w:rsidRPr="00D52B00">
        <w:rPr>
          <w:rFonts w:ascii="Bookman Old Style" w:hAnsi="Bookman Old Style"/>
          <w:sz w:val="24"/>
          <w:szCs w:val="23"/>
        </w:rPr>
        <w:t xml:space="preserve"> solicitó </w:t>
      </w:r>
      <w:r w:rsidR="001948E0" w:rsidRPr="001948E0">
        <w:rPr>
          <w:rFonts w:ascii="Bookman Old Style" w:hAnsi="Bookman Old Style"/>
          <w:sz w:val="24"/>
          <w:szCs w:val="23"/>
        </w:rPr>
        <w:t xml:space="preserve">aprobación de un cargo de generación para un proyecto híbrido Diésel-Fotovoltaico para las comunidades de </w:t>
      </w:r>
      <w:r w:rsidR="005B5C99">
        <w:rPr>
          <w:rFonts w:ascii="Bookman Old Style" w:hAnsi="Bookman Old Style"/>
          <w:sz w:val="24"/>
          <w:szCs w:val="23"/>
        </w:rPr>
        <w:t xml:space="preserve">El </w:t>
      </w:r>
      <w:r w:rsidR="001948E0" w:rsidRPr="001948E0">
        <w:rPr>
          <w:rFonts w:ascii="Bookman Old Style" w:hAnsi="Bookman Old Style"/>
          <w:sz w:val="24"/>
          <w:szCs w:val="23"/>
        </w:rPr>
        <w:t>Cedral y Jumaracarra en el municipio de Juradó, departamento del Chocó.</w:t>
      </w:r>
    </w:p>
    <w:p w14:paraId="26BCCE6C" w14:textId="77777777" w:rsidR="00D52B00" w:rsidRDefault="00D52B00" w:rsidP="00921B91">
      <w:pPr>
        <w:pStyle w:val="Style2"/>
        <w:shd w:val="clear" w:color="auto" w:fill="auto"/>
        <w:spacing w:before="0" w:line="240" w:lineRule="auto"/>
        <w:ind w:left="284" w:right="51" w:firstLine="0"/>
        <w:jc w:val="both"/>
        <w:rPr>
          <w:rFonts w:ascii="Bookman Old Style" w:hAnsi="Bookman Old Style"/>
          <w:sz w:val="24"/>
          <w:szCs w:val="23"/>
        </w:rPr>
      </w:pPr>
    </w:p>
    <w:p w14:paraId="3447DA0E" w14:textId="131F523B" w:rsidR="00DE4BF8" w:rsidRPr="00552F05" w:rsidRDefault="005878BF" w:rsidP="005878BF">
      <w:pPr>
        <w:numPr>
          <w:ilvl w:val="0"/>
          <w:numId w:val="8"/>
        </w:numPr>
        <w:ind w:right="142"/>
        <w:jc w:val="both"/>
        <w:rPr>
          <w:rFonts w:ascii="Bookman Old Style" w:hAnsi="Bookman Old Style" w:cs="Arial"/>
          <w:b/>
        </w:rPr>
      </w:pPr>
      <w:r w:rsidRPr="00552F05">
        <w:rPr>
          <w:rFonts w:ascii="Bookman Old Style" w:hAnsi="Bookman Old Style" w:cs="Arial"/>
          <w:b/>
        </w:rPr>
        <w:t>LA SOLICITUD</w:t>
      </w:r>
    </w:p>
    <w:p w14:paraId="4385163D" w14:textId="77777777" w:rsidR="005878BF" w:rsidRPr="001459AA" w:rsidRDefault="005878BF" w:rsidP="001459AA">
      <w:pPr>
        <w:ind w:left="284" w:right="142"/>
        <w:jc w:val="both"/>
        <w:rPr>
          <w:rFonts w:ascii="Bookman Old Style" w:hAnsi="Bookman Old Style" w:cs="Arial"/>
        </w:rPr>
      </w:pPr>
    </w:p>
    <w:p w14:paraId="63B3031E" w14:textId="7718CF5F" w:rsidR="00D451C0" w:rsidRDefault="00573344" w:rsidP="00D451C0">
      <w:pPr>
        <w:ind w:left="284" w:right="142"/>
        <w:jc w:val="both"/>
        <w:rPr>
          <w:rFonts w:ascii="Bookman Old Style" w:hAnsi="Bookman Old Style" w:cs="Arial"/>
        </w:rPr>
      </w:pPr>
      <w:r>
        <w:rPr>
          <w:rFonts w:ascii="Bookman Old Style" w:hAnsi="Bookman Old Style" w:cs="Arial"/>
        </w:rPr>
        <w:t>La</w:t>
      </w:r>
      <w:r w:rsidR="00F0393C">
        <w:rPr>
          <w:rFonts w:ascii="Bookman Old Style" w:hAnsi="Bookman Old Style" w:cs="Arial"/>
        </w:rPr>
        <w:t xml:space="preserve"> representante l</w:t>
      </w:r>
      <w:r w:rsidR="006203BF">
        <w:rPr>
          <w:rFonts w:ascii="Bookman Old Style" w:hAnsi="Bookman Old Style" w:cs="Arial"/>
        </w:rPr>
        <w:t xml:space="preserve">egal de la empresa </w:t>
      </w:r>
      <w:r w:rsidR="00C21AD5" w:rsidRPr="00573344">
        <w:rPr>
          <w:rFonts w:ascii="Bookman Old Style" w:hAnsi="Bookman Old Style" w:cs="Arial"/>
        </w:rPr>
        <w:t>Electropac</w:t>
      </w:r>
      <w:r w:rsidR="00C21AD5">
        <w:rPr>
          <w:rFonts w:ascii="Bookman Old Style" w:hAnsi="Bookman Old Style" w:cs="Arial"/>
        </w:rPr>
        <w:t>í</w:t>
      </w:r>
      <w:r w:rsidR="00C21AD5" w:rsidRPr="00573344">
        <w:rPr>
          <w:rFonts w:ascii="Bookman Old Style" w:hAnsi="Bookman Old Style" w:cs="Arial"/>
        </w:rPr>
        <w:t>fico</w:t>
      </w:r>
      <w:r w:rsidRPr="00573344">
        <w:rPr>
          <w:rFonts w:ascii="Bookman Old Style" w:hAnsi="Bookman Old Style" w:cs="Arial"/>
        </w:rPr>
        <w:t xml:space="preserve"> </w:t>
      </w:r>
      <w:r w:rsidR="006203BF">
        <w:rPr>
          <w:rFonts w:ascii="Bookman Old Style" w:hAnsi="Bookman Old Style" w:cs="Arial"/>
        </w:rPr>
        <w:t>realiz</w:t>
      </w:r>
      <w:r>
        <w:rPr>
          <w:rFonts w:ascii="Bookman Old Style" w:hAnsi="Bookman Old Style" w:cs="Arial"/>
        </w:rPr>
        <w:t>ó</w:t>
      </w:r>
      <w:r w:rsidR="006203BF">
        <w:rPr>
          <w:rFonts w:ascii="Bookman Old Style" w:hAnsi="Bookman Old Style" w:cs="Arial"/>
        </w:rPr>
        <w:t xml:space="preserve"> </w:t>
      </w:r>
      <w:r w:rsidR="0047432C">
        <w:rPr>
          <w:rFonts w:ascii="Bookman Old Style" w:hAnsi="Bookman Old Style" w:cs="Arial"/>
        </w:rPr>
        <w:t xml:space="preserve">la siguiente </w:t>
      </w:r>
      <w:r>
        <w:rPr>
          <w:rFonts w:ascii="Bookman Old Style" w:hAnsi="Bookman Old Style" w:cs="Arial"/>
        </w:rPr>
        <w:t>solicitud</w:t>
      </w:r>
      <w:r w:rsidR="006203BF">
        <w:rPr>
          <w:rFonts w:ascii="Bookman Old Style" w:hAnsi="Bookman Old Style" w:cs="Arial"/>
        </w:rPr>
        <w:t>:</w:t>
      </w:r>
    </w:p>
    <w:p w14:paraId="658B7162" w14:textId="77777777" w:rsidR="0053585B" w:rsidRPr="006B2F13" w:rsidRDefault="0053585B" w:rsidP="00D451C0">
      <w:pPr>
        <w:ind w:left="284" w:right="142"/>
        <w:jc w:val="both"/>
        <w:rPr>
          <w:rFonts w:ascii="Bookman Old Style" w:hAnsi="Bookman Old Style" w:cs="Arial"/>
          <w:sz w:val="22"/>
        </w:rPr>
      </w:pPr>
    </w:p>
    <w:p w14:paraId="3189B47D" w14:textId="77777777" w:rsidR="00573344" w:rsidRPr="006B2F13" w:rsidRDefault="00573344" w:rsidP="00573344">
      <w:pPr>
        <w:ind w:left="708" w:right="142"/>
        <w:jc w:val="both"/>
        <w:rPr>
          <w:rFonts w:ascii="Bookman Old Style" w:hAnsi="Bookman Old Style" w:cs="Arial"/>
          <w:i/>
          <w:sz w:val="22"/>
        </w:rPr>
      </w:pPr>
      <w:r w:rsidRPr="006B2F13">
        <w:rPr>
          <w:rFonts w:ascii="Bookman Old Style" w:hAnsi="Bookman Old Style" w:cs="Arial"/>
          <w:i/>
          <w:sz w:val="22"/>
        </w:rPr>
        <w:t xml:space="preserve">“Con el presente documento y con fundamento en el literal d, del artículo 22 de la Resolución CREG 091 de 2007, Electrificadora del Pacífico S.A. ESP. Le presenta a la CREG esta solicitud de aprobación del cargo de generación para un proyecto híbrido Diésel-Fotovoltaico para las comunidades de Cedral y Jumaracarra en el municipio de Juradó, departamento del Chocó. (…) El costo de generación con tecnología diésel en las dos localidades, aplicando la metodología de la Resolución CREG 091 de 2007, en enero de 2019 es de $1,593.58 por kWh generado. (…) El Cargo solicitado para el sistema Fotovoltaico es de 1,542 $/kWh, (…) En consecuencia, el cargo resultante para el sistema híbrido Diésel-Fotovoltaico es de 1,540.38 $/kWh.” (Radicado CREG </w:t>
      </w:r>
      <w:r w:rsidRPr="006B2F13">
        <w:rPr>
          <w:rFonts w:ascii="Bookman Old Style" w:hAnsi="Bookman Old Style" w:cs="Arial"/>
          <w:i/>
          <w:sz w:val="22"/>
          <w:lang w:val="es-CO"/>
        </w:rPr>
        <w:t>E-2019-001037</w:t>
      </w:r>
      <w:r w:rsidRPr="006B2F13">
        <w:rPr>
          <w:rFonts w:ascii="Bookman Old Style" w:hAnsi="Bookman Old Style" w:cs="Arial"/>
          <w:i/>
          <w:sz w:val="22"/>
        </w:rPr>
        <w:t>)</w:t>
      </w:r>
    </w:p>
    <w:p w14:paraId="4112151E" w14:textId="77777777" w:rsidR="000B2B65" w:rsidRDefault="000B2B65" w:rsidP="000B2B65">
      <w:pPr>
        <w:ind w:right="142"/>
        <w:jc w:val="both"/>
        <w:rPr>
          <w:rFonts w:ascii="Bookman Old Style" w:hAnsi="Bookman Old Style" w:cs="Arial"/>
        </w:rPr>
      </w:pPr>
    </w:p>
    <w:p w14:paraId="6DC0F2FE" w14:textId="77777777" w:rsidR="000B2B65" w:rsidRPr="001F7DBA" w:rsidRDefault="000B2B65" w:rsidP="000B2B65">
      <w:pPr>
        <w:autoSpaceDE w:val="0"/>
        <w:autoSpaceDN w:val="0"/>
        <w:adjustRightInd w:val="0"/>
        <w:ind w:left="708" w:right="141"/>
        <w:jc w:val="both"/>
        <w:rPr>
          <w:rFonts w:ascii="Bookman Old Style" w:hAnsi="Bookman Old Style" w:cs="Arial"/>
          <w:bCs/>
          <w:i/>
          <w:sz w:val="22"/>
          <w:szCs w:val="22"/>
        </w:rPr>
      </w:pPr>
      <w:r w:rsidRPr="001F7DBA">
        <w:rPr>
          <w:rFonts w:ascii="Bookman Old Style" w:hAnsi="Bookman Old Style" w:cs="Arial"/>
          <w:bCs/>
          <w:i/>
          <w:sz w:val="22"/>
          <w:szCs w:val="22"/>
        </w:rPr>
        <w:t>“El proyecto, que beneficiará a 149 usuarios residenciales tiene las siguientes características:</w:t>
      </w: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18"/>
        <w:gridCol w:w="1321"/>
        <w:gridCol w:w="1615"/>
        <w:gridCol w:w="1885"/>
      </w:tblGrid>
      <w:tr w:rsidR="000B2B65" w:rsidRPr="001F7DBA" w14:paraId="447A6DCD" w14:textId="77777777" w:rsidTr="004A5999">
        <w:trPr>
          <w:trHeight w:val="699"/>
        </w:trPr>
        <w:tc>
          <w:tcPr>
            <w:tcW w:w="1761" w:type="dxa"/>
            <w:shd w:val="clear" w:color="auto" w:fill="auto"/>
            <w:vAlign w:val="center"/>
          </w:tcPr>
          <w:p w14:paraId="1E36E4F9"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Centro Poblado</w:t>
            </w:r>
          </w:p>
        </w:tc>
        <w:tc>
          <w:tcPr>
            <w:tcW w:w="1718" w:type="dxa"/>
            <w:shd w:val="clear" w:color="auto" w:fill="auto"/>
            <w:vAlign w:val="center"/>
          </w:tcPr>
          <w:p w14:paraId="3AFAF11C"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Código DANE</w:t>
            </w:r>
          </w:p>
        </w:tc>
        <w:tc>
          <w:tcPr>
            <w:tcW w:w="1321" w:type="dxa"/>
            <w:shd w:val="clear" w:color="auto" w:fill="auto"/>
            <w:vAlign w:val="center"/>
          </w:tcPr>
          <w:p w14:paraId="4800920B"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Usuarios</w:t>
            </w:r>
          </w:p>
        </w:tc>
        <w:tc>
          <w:tcPr>
            <w:tcW w:w="1615" w:type="dxa"/>
            <w:shd w:val="clear" w:color="auto" w:fill="auto"/>
            <w:vAlign w:val="center"/>
          </w:tcPr>
          <w:p w14:paraId="58EF85CA"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Capacidad a instalar FV</w:t>
            </w:r>
          </w:p>
        </w:tc>
        <w:tc>
          <w:tcPr>
            <w:tcW w:w="1885" w:type="dxa"/>
            <w:shd w:val="clear" w:color="auto" w:fill="auto"/>
            <w:vAlign w:val="center"/>
          </w:tcPr>
          <w:p w14:paraId="77EC6F65"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Capacidad  a instalar diésel</w:t>
            </w:r>
          </w:p>
        </w:tc>
      </w:tr>
      <w:tr w:rsidR="000B2B65" w:rsidRPr="001F7DBA" w14:paraId="617737B9" w14:textId="77777777" w:rsidTr="004A5999">
        <w:trPr>
          <w:trHeight w:val="231"/>
        </w:trPr>
        <w:tc>
          <w:tcPr>
            <w:tcW w:w="1761" w:type="dxa"/>
            <w:shd w:val="clear" w:color="auto" w:fill="auto"/>
            <w:vAlign w:val="center"/>
          </w:tcPr>
          <w:p w14:paraId="27D331E8" w14:textId="77777777" w:rsidR="000B2B65" w:rsidRPr="001F7DBA" w:rsidRDefault="000B2B65" w:rsidP="004A5999">
            <w:pPr>
              <w:autoSpaceDE w:val="0"/>
              <w:autoSpaceDN w:val="0"/>
              <w:adjustRightInd w:val="0"/>
              <w:ind w:right="141"/>
              <w:rPr>
                <w:rFonts w:ascii="Bookman Old Style" w:eastAsia="Calibri" w:hAnsi="Bookman Old Style" w:cs="Arial"/>
                <w:bCs/>
                <w:i/>
                <w:sz w:val="22"/>
                <w:szCs w:val="22"/>
              </w:rPr>
            </w:pPr>
            <w:r w:rsidRPr="001F7DBA">
              <w:rPr>
                <w:rFonts w:ascii="Bookman Old Style" w:eastAsia="Calibri" w:hAnsi="Bookman Old Style" w:cs="Arial"/>
                <w:bCs/>
                <w:i/>
                <w:sz w:val="22"/>
                <w:szCs w:val="22"/>
              </w:rPr>
              <w:t>Cedral</w:t>
            </w:r>
          </w:p>
        </w:tc>
        <w:tc>
          <w:tcPr>
            <w:tcW w:w="1718" w:type="dxa"/>
            <w:shd w:val="clear" w:color="auto" w:fill="auto"/>
            <w:vAlign w:val="center"/>
          </w:tcPr>
          <w:p w14:paraId="6C2E625A"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27372000</w:t>
            </w:r>
          </w:p>
        </w:tc>
        <w:tc>
          <w:tcPr>
            <w:tcW w:w="1321" w:type="dxa"/>
            <w:shd w:val="clear" w:color="auto" w:fill="auto"/>
            <w:vAlign w:val="center"/>
          </w:tcPr>
          <w:p w14:paraId="4A800510"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87</w:t>
            </w:r>
          </w:p>
        </w:tc>
        <w:tc>
          <w:tcPr>
            <w:tcW w:w="1615" w:type="dxa"/>
            <w:shd w:val="clear" w:color="auto" w:fill="auto"/>
            <w:vAlign w:val="center"/>
          </w:tcPr>
          <w:p w14:paraId="2C4F2615"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71.28 kW</w:t>
            </w:r>
          </w:p>
        </w:tc>
        <w:tc>
          <w:tcPr>
            <w:tcW w:w="1885" w:type="dxa"/>
            <w:shd w:val="clear" w:color="auto" w:fill="auto"/>
            <w:vAlign w:val="center"/>
          </w:tcPr>
          <w:p w14:paraId="7374C35A"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80.0 kW</w:t>
            </w:r>
          </w:p>
        </w:tc>
      </w:tr>
      <w:tr w:rsidR="000B2B65" w:rsidRPr="001F7DBA" w14:paraId="050F229E" w14:textId="77777777" w:rsidTr="004A5999">
        <w:trPr>
          <w:trHeight w:val="240"/>
        </w:trPr>
        <w:tc>
          <w:tcPr>
            <w:tcW w:w="1761" w:type="dxa"/>
            <w:shd w:val="clear" w:color="auto" w:fill="auto"/>
            <w:vAlign w:val="center"/>
          </w:tcPr>
          <w:p w14:paraId="35A1A0EE" w14:textId="77777777" w:rsidR="000B2B65" w:rsidRPr="001F7DBA" w:rsidRDefault="000B2B65" w:rsidP="004A5999">
            <w:pPr>
              <w:autoSpaceDE w:val="0"/>
              <w:autoSpaceDN w:val="0"/>
              <w:adjustRightInd w:val="0"/>
              <w:ind w:right="141"/>
              <w:rPr>
                <w:rFonts w:ascii="Bookman Old Style" w:eastAsia="Calibri" w:hAnsi="Bookman Old Style" w:cs="Arial"/>
                <w:bCs/>
                <w:i/>
                <w:sz w:val="22"/>
                <w:szCs w:val="22"/>
              </w:rPr>
            </w:pPr>
            <w:r w:rsidRPr="001F7DBA">
              <w:rPr>
                <w:rFonts w:ascii="Bookman Old Style" w:eastAsia="Calibri" w:hAnsi="Bookman Old Style" w:cs="Arial"/>
                <w:bCs/>
                <w:i/>
                <w:sz w:val="22"/>
                <w:szCs w:val="22"/>
              </w:rPr>
              <w:t>Jumaracarra</w:t>
            </w:r>
          </w:p>
        </w:tc>
        <w:tc>
          <w:tcPr>
            <w:tcW w:w="1718" w:type="dxa"/>
            <w:shd w:val="clear" w:color="auto" w:fill="auto"/>
            <w:vAlign w:val="center"/>
          </w:tcPr>
          <w:p w14:paraId="14A79372"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27372000</w:t>
            </w:r>
          </w:p>
        </w:tc>
        <w:tc>
          <w:tcPr>
            <w:tcW w:w="1321" w:type="dxa"/>
            <w:shd w:val="clear" w:color="auto" w:fill="auto"/>
            <w:vAlign w:val="center"/>
          </w:tcPr>
          <w:p w14:paraId="7BD02CBD"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62</w:t>
            </w:r>
          </w:p>
        </w:tc>
        <w:tc>
          <w:tcPr>
            <w:tcW w:w="1615" w:type="dxa"/>
            <w:shd w:val="clear" w:color="auto" w:fill="auto"/>
            <w:vAlign w:val="center"/>
          </w:tcPr>
          <w:p w14:paraId="7C5154EE"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71.28 kW</w:t>
            </w:r>
          </w:p>
        </w:tc>
        <w:tc>
          <w:tcPr>
            <w:tcW w:w="1885" w:type="dxa"/>
            <w:shd w:val="clear" w:color="auto" w:fill="auto"/>
            <w:vAlign w:val="center"/>
          </w:tcPr>
          <w:p w14:paraId="57341B7B" w14:textId="77777777" w:rsidR="000B2B65" w:rsidRPr="001F7DBA" w:rsidRDefault="000B2B65" w:rsidP="004A5999">
            <w:pPr>
              <w:autoSpaceDE w:val="0"/>
              <w:autoSpaceDN w:val="0"/>
              <w:adjustRightInd w:val="0"/>
              <w:ind w:right="141"/>
              <w:jc w:val="center"/>
              <w:rPr>
                <w:rFonts w:ascii="Bookman Old Style" w:eastAsia="Calibri" w:hAnsi="Bookman Old Style" w:cs="Arial"/>
                <w:bCs/>
                <w:i/>
                <w:sz w:val="22"/>
                <w:szCs w:val="22"/>
              </w:rPr>
            </w:pPr>
            <w:r w:rsidRPr="001F7DBA">
              <w:rPr>
                <w:rFonts w:ascii="Bookman Old Style" w:eastAsia="Calibri" w:hAnsi="Bookman Old Style" w:cs="Arial"/>
                <w:bCs/>
                <w:i/>
                <w:sz w:val="22"/>
                <w:szCs w:val="22"/>
              </w:rPr>
              <w:t>40.0 kW</w:t>
            </w:r>
          </w:p>
        </w:tc>
      </w:tr>
    </w:tbl>
    <w:p w14:paraId="30AFAE36" w14:textId="77777777" w:rsidR="000B2B65" w:rsidRPr="001F7DBA" w:rsidRDefault="000B2B65" w:rsidP="000B2B65">
      <w:pPr>
        <w:autoSpaceDE w:val="0"/>
        <w:autoSpaceDN w:val="0"/>
        <w:adjustRightInd w:val="0"/>
        <w:ind w:right="141"/>
        <w:jc w:val="both"/>
        <w:rPr>
          <w:rFonts w:ascii="Bookman Old Style" w:hAnsi="Bookman Old Style" w:cs="Arial"/>
          <w:bCs/>
          <w:i/>
          <w:sz w:val="22"/>
          <w:szCs w:val="22"/>
        </w:rPr>
      </w:pPr>
    </w:p>
    <w:p w14:paraId="5EBB2AE7" w14:textId="77777777" w:rsidR="000B2B65" w:rsidRPr="001F7DBA" w:rsidRDefault="000B2B65" w:rsidP="000B2B65">
      <w:pPr>
        <w:autoSpaceDE w:val="0"/>
        <w:autoSpaceDN w:val="0"/>
        <w:adjustRightInd w:val="0"/>
        <w:ind w:right="141"/>
        <w:jc w:val="center"/>
        <w:rPr>
          <w:rFonts w:ascii="Bookman Old Style" w:hAnsi="Bookman Old Style" w:cs="Arial"/>
          <w:bCs/>
          <w:i/>
          <w:sz w:val="20"/>
          <w:szCs w:val="22"/>
        </w:rPr>
      </w:pPr>
    </w:p>
    <w:p w14:paraId="4D69BF3A" w14:textId="77777777" w:rsidR="000B2B65" w:rsidRPr="001F7DBA" w:rsidRDefault="000B2B65" w:rsidP="000B2B65">
      <w:pPr>
        <w:autoSpaceDE w:val="0"/>
        <w:autoSpaceDN w:val="0"/>
        <w:adjustRightInd w:val="0"/>
        <w:ind w:right="141"/>
        <w:jc w:val="center"/>
        <w:rPr>
          <w:rFonts w:ascii="Bookman Old Style" w:hAnsi="Bookman Old Style" w:cs="Arial"/>
          <w:bCs/>
          <w:i/>
          <w:sz w:val="20"/>
          <w:szCs w:val="22"/>
        </w:rPr>
      </w:pPr>
    </w:p>
    <w:p w14:paraId="6CD9EFB5" w14:textId="77777777" w:rsidR="000B2B65" w:rsidRPr="001F7DBA" w:rsidRDefault="000B2B65" w:rsidP="000B2B65">
      <w:pPr>
        <w:autoSpaceDE w:val="0"/>
        <w:autoSpaceDN w:val="0"/>
        <w:adjustRightInd w:val="0"/>
        <w:ind w:right="141"/>
        <w:jc w:val="center"/>
        <w:rPr>
          <w:rFonts w:ascii="Bookman Old Style" w:hAnsi="Bookman Old Style" w:cs="Arial"/>
          <w:bCs/>
          <w:i/>
          <w:sz w:val="20"/>
          <w:szCs w:val="22"/>
        </w:rPr>
      </w:pPr>
    </w:p>
    <w:p w14:paraId="7FCDD236" w14:textId="77777777" w:rsidR="000B2B65" w:rsidRPr="001F7DBA" w:rsidRDefault="000B2B65" w:rsidP="000B2B65">
      <w:pPr>
        <w:autoSpaceDE w:val="0"/>
        <w:autoSpaceDN w:val="0"/>
        <w:adjustRightInd w:val="0"/>
        <w:ind w:right="141"/>
        <w:jc w:val="center"/>
        <w:rPr>
          <w:rFonts w:ascii="Bookman Old Style" w:hAnsi="Bookman Old Style" w:cs="Arial"/>
          <w:bCs/>
          <w:i/>
          <w:sz w:val="20"/>
          <w:szCs w:val="22"/>
        </w:rPr>
      </w:pPr>
    </w:p>
    <w:p w14:paraId="16064B58" w14:textId="77777777" w:rsidR="000B2B65" w:rsidRPr="001F7DBA" w:rsidRDefault="000B2B65" w:rsidP="000B2B65">
      <w:pPr>
        <w:autoSpaceDE w:val="0"/>
        <w:autoSpaceDN w:val="0"/>
        <w:adjustRightInd w:val="0"/>
        <w:ind w:right="141"/>
        <w:jc w:val="center"/>
        <w:rPr>
          <w:rFonts w:ascii="Bookman Old Style" w:hAnsi="Bookman Old Style" w:cs="Arial"/>
          <w:bCs/>
          <w:i/>
          <w:sz w:val="20"/>
          <w:szCs w:val="22"/>
        </w:rPr>
      </w:pPr>
    </w:p>
    <w:p w14:paraId="0A852DD6" w14:textId="77777777" w:rsidR="000B2B65" w:rsidRPr="001F7DBA" w:rsidRDefault="000B2B65" w:rsidP="001F7DBA">
      <w:pPr>
        <w:autoSpaceDE w:val="0"/>
        <w:autoSpaceDN w:val="0"/>
        <w:adjustRightInd w:val="0"/>
        <w:ind w:left="708" w:right="141"/>
        <w:rPr>
          <w:rFonts w:ascii="Bookman Old Style" w:hAnsi="Bookman Old Style" w:cs="Arial"/>
          <w:bCs/>
          <w:i/>
          <w:sz w:val="20"/>
          <w:szCs w:val="22"/>
        </w:rPr>
      </w:pPr>
      <w:r w:rsidRPr="001F7DBA">
        <w:rPr>
          <w:rFonts w:ascii="Bookman Old Style" w:hAnsi="Bookman Old Style" w:cs="Arial"/>
          <w:bCs/>
          <w:i/>
          <w:sz w:val="20"/>
          <w:szCs w:val="22"/>
        </w:rPr>
        <w:t>Nota: se registró el código DANE de la cabecera municipal porque las poblaciones no aparecen en el DIVIPOLA”</w:t>
      </w:r>
    </w:p>
    <w:p w14:paraId="323C2D6E" w14:textId="77777777" w:rsidR="000B2B65" w:rsidRPr="00AC2ADA" w:rsidRDefault="000B2B65" w:rsidP="00D451C0">
      <w:pPr>
        <w:ind w:left="284" w:right="142"/>
        <w:jc w:val="both"/>
        <w:rPr>
          <w:rFonts w:ascii="Bookman Old Style" w:hAnsi="Bookman Old Style" w:cs="Arial"/>
          <w:sz w:val="22"/>
        </w:rPr>
      </w:pPr>
    </w:p>
    <w:p w14:paraId="49A7A1C3" w14:textId="77777777" w:rsidR="00AC2ADA" w:rsidRPr="007279FA" w:rsidRDefault="001F7DBA" w:rsidP="008078F9">
      <w:pPr>
        <w:ind w:left="708" w:right="142"/>
        <w:jc w:val="both"/>
        <w:rPr>
          <w:rFonts w:ascii="Bookman Old Style" w:hAnsi="Bookman Old Style" w:cs="Arial"/>
          <w:bCs/>
          <w:i/>
          <w:sz w:val="22"/>
          <w:szCs w:val="22"/>
          <w:lang w:val="es-ES_tradnl"/>
        </w:rPr>
      </w:pPr>
      <w:r>
        <w:rPr>
          <w:rFonts w:ascii="Bookman Old Style" w:hAnsi="Bookman Old Style" w:cs="Arial"/>
          <w:bCs/>
          <w:i/>
          <w:sz w:val="22"/>
          <w:lang w:val="es-ES_tradnl"/>
        </w:rPr>
        <w:t>“</w:t>
      </w:r>
      <w:r w:rsidR="00AC2ADA" w:rsidRPr="008078F9">
        <w:rPr>
          <w:rFonts w:ascii="Bookman Old Style" w:hAnsi="Bookman Old Style" w:cs="Arial"/>
          <w:bCs/>
          <w:i/>
          <w:sz w:val="22"/>
          <w:lang w:val="es-ES_tradnl"/>
        </w:rPr>
        <w:t>El proyecto se encuentra en la etapa de factibilidad y tiene concepto de viabilidad de la Unidad de Planeación Minero Energética-UPME, condicionado a la aprobación de los cargos de generación por parte de la CREG</w:t>
      </w:r>
      <w:r>
        <w:rPr>
          <w:rFonts w:ascii="Bookman Old Style" w:hAnsi="Bookman Old Style" w:cs="Arial"/>
          <w:bCs/>
          <w:i/>
          <w:sz w:val="22"/>
          <w:lang w:val="es-ES_tradnl"/>
        </w:rPr>
        <w:t>”</w:t>
      </w:r>
      <w:r w:rsidR="00AC2ADA" w:rsidRPr="008078F9">
        <w:rPr>
          <w:rFonts w:ascii="Bookman Old Style" w:hAnsi="Bookman Old Style" w:cs="Arial"/>
          <w:bCs/>
          <w:i/>
          <w:sz w:val="22"/>
          <w:lang w:val="es-ES_tradnl"/>
        </w:rPr>
        <w:t>.</w:t>
      </w:r>
      <w:r w:rsidR="00DA79F7">
        <w:rPr>
          <w:rFonts w:ascii="Bookman Old Style" w:hAnsi="Bookman Old Style" w:cs="Arial"/>
          <w:bCs/>
          <w:i/>
          <w:sz w:val="22"/>
          <w:lang w:val="es-ES_tradnl"/>
        </w:rPr>
        <w:t xml:space="preserve"> (</w:t>
      </w:r>
      <w:r w:rsidR="00DA79F7" w:rsidRPr="007279FA">
        <w:rPr>
          <w:rFonts w:ascii="Bookman Old Style" w:hAnsi="Bookman Old Style" w:cs="Arial"/>
          <w:bCs/>
          <w:i/>
          <w:sz w:val="22"/>
          <w:szCs w:val="22"/>
          <w:lang w:val="es-ES_tradnl"/>
        </w:rPr>
        <w:t xml:space="preserve">Radicado CREG </w:t>
      </w:r>
      <w:r w:rsidR="00DA79F7" w:rsidRPr="007279FA">
        <w:rPr>
          <w:rFonts w:ascii="Bookman Old Style" w:eastAsia="Calibri" w:hAnsi="Bookman Old Style" w:cs="Arial"/>
          <w:sz w:val="22"/>
          <w:szCs w:val="22"/>
          <w:lang w:eastAsia="en-US"/>
        </w:rPr>
        <w:t>E-2019-002423</w:t>
      </w:r>
      <w:r w:rsidR="00DA79F7" w:rsidRPr="007279FA">
        <w:rPr>
          <w:rFonts w:ascii="Bookman Old Style" w:hAnsi="Bookman Old Style" w:cs="Arial"/>
          <w:bCs/>
          <w:i/>
          <w:sz w:val="22"/>
          <w:szCs w:val="22"/>
          <w:lang w:val="es-ES_tradnl"/>
        </w:rPr>
        <w:t>)</w:t>
      </w:r>
    </w:p>
    <w:p w14:paraId="3EF596A6" w14:textId="77777777" w:rsidR="004A5999" w:rsidRDefault="004A5999" w:rsidP="005878BF">
      <w:pPr>
        <w:ind w:left="284" w:right="142"/>
        <w:jc w:val="both"/>
        <w:rPr>
          <w:rFonts w:ascii="Bookman Old Style" w:hAnsi="Bookman Old Style" w:cs="Arial"/>
        </w:rPr>
      </w:pPr>
    </w:p>
    <w:p w14:paraId="6EA12BDA" w14:textId="77777777" w:rsidR="00CD195F" w:rsidRDefault="000D20E4" w:rsidP="005878BF">
      <w:pPr>
        <w:ind w:left="284" w:right="142"/>
        <w:jc w:val="both"/>
        <w:rPr>
          <w:rFonts w:ascii="Bookman Old Style" w:hAnsi="Bookman Old Style" w:cs="Arial"/>
        </w:rPr>
      </w:pPr>
      <w:r w:rsidRPr="0001567C">
        <w:rPr>
          <w:rFonts w:ascii="Bookman Old Style" w:hAnsi="Bookman Old Style" w:cs="Arial"/>
        </w:rPr>
        <w:t>La empresa manifiesta que su solicitud se fundamenta</w:t>
      </w:r>
      <w:r w:rsidR="006203BF" w:rsidRPr="0001567C">
        <w:rPr>
          <w:rFonts w:ascii="Bookman Old Style" w:hAnsi="Bookman Old Style" w:cs="Arial"/>
        </w:rPr>
        <w:t xml:space="preserve"> en lo</w:t>
      </w:r>
      <w:r w:rsidR="00CD195F" w:rsidRPr="0001567C">
        <w:rPr>
          <w:rFonts w:ascii="Bookman Old Style" w:hAnsi="Bookman Old Style" w:cs="Arial"/>
        </w:rPr>
        <w:t xml:space="preserve"> siguiente</w:t>
      </w:r>
      <w:r w:rsidR="006203BF" w:rsidRPr="0001567C">
        <w:rPr>
          <w:rFonts w:ascii="Bookman Old Style" w:hAnsi="Bookman Old Style" w:cs="Arial"/>
        </w:rPr>
        <w:t>:</w:t>
      </w:r>
      <w:r w:rsidR="00CD195F">
        <w:rPr>
          <w:rFonts w:ascii="Bookman Old Style" w:hAnsi="Bookman Old Style" w:cs="Arial"/>
        </w:rPr>
        <w:t xml:space="preserve"> </w:t>
      </w:r>
    </w:p>
    <w:p w14:paraId="381C4A53" w14:textId="77777777" w:rsidR="00D9795B" w:rsidRDefault="00D9795B" w:rsidP="00D9795B">
      <w:pPr>
        <w:ind w:left="284" w:right="142"/>
        <w:jc w:val="both"/>
        <w:rPr>
          <w:rFonts w:ascii="Bookman Old Style" w:hAnsi="Bookman Old Style" w:cs="Arial"/>
          <w:i/>
        </w:rPr>
      </w:pPr>
    </w:p>
    <w:p w14:paraId="305C1D02" w14:textId="77777777" w:rsidR="00D9795B" w:rsidRPr="00D9795B" w:rsidRDefault="0001567C" w:rsidP="0001567C">
      <w:pPr>
        <w:ind w:left="708" w:right="142"/>
        <w:jc w:val="both"/>
        <w:rPr>
          <w:rFonts w:ascii="Bookman Old Style" w:hAnsi="Bookman Old Style" w:cs="Arial"/>
          <w:bCs/>
          <w:i/>
          <w:lang w:val="es-CO"/>
        </w:rPr>
      </w:pPr>
      <w:r>
        <w:rPr>
          <w:rFonts w:ascii="Bookman Old Style" w:hAnsi="Bookman Old Style" w:cs="Arial"/>
          <w:bCs/>
          <w:i/>
        </w:rPr>
        <w:t>“</w:t>
      </w:r>
      <w:r w:rsidR="00D9795B" w:rsidRPr="0001567C">
        <w:rPr>
          <w:rFonts w:ascii="Bookman Old Style" w:hAnsi="Bookman Old Style" w:cs="Arial"/>
          <w:bCs/>
          <w:i/>
          <w:sz w:val="22"/>
          <w:lang w:val="es-CO"/>
        </w:rPr>
        <w:t>Esta solicitud se apoya en la Ley 1715 de 2014, de la cual se relacionan los siguientes artículos:</w:t>
      </w:r>
    </w:p>
    <w:p w14:paraId="58D19ACF" w14:textId="77777777" w:rsidR="00D9795B" w:rsidRPr="00D9795B" w:rsidRDefault="00D9795B" w:rsidP="00D9795B">
      <w:pPr>
        <w:ind w:left="284" w:right="142"/>
        <w:jc w:val="both"/>
        <w:rPr>
          <w:rFonts w:ascii="Bookman Old Style" w:hAnsi="Bookman Old Style" w:cs="Arial"/>
          <w:bCs/>
          <w:i/>
          <w:lang w:val="es-CO"/>
        </w:rPr>
      </w:pPr>
    </w:p>
    <w:p w14:paraId="7C2CE32B" w14:textId="77777777" w:rsidR="00D9795B" w:rsidRPr="00D9795B" w:rsidRDefault="00D9795B" w:rsidP="00D9795B">
      <w:pPr>
        <w:ind w:left="708" w:right="142"/>
        <w:jc w:val="both"/>
        <w:rPr>
          <w:rFonts w:ascii="Bookman Old Style" w:hAnsi="Bookman Old Style" w:cs="Arial"/>
          <w:i/>
          <w:sz w:val="22"/>
          <w:lang w:val="es-CO"/>
        </w:rPr>
      </w:pPr>
      <w:r w:rsidRPr="00D9795B">
        <w:rPr>
          <w:rFonts w:ascii="Bookman Old Style" w:hAnsi="Bookman Old Style" w:cs="Arial"/>
          <w:b/>
          <w:i/>
          <w:sz w:val="22"/>
          <w:lang w:val="es-CO"/>
        </w:rPr>
        <w:t>Artículo 4°</w:t>
      </w:r>
      <w:r w:rsidRPr="00D9795B">
        <w:rPr>
          <w:rFonts w:ascii="Bookman Old Style" w:hAnsi="Bookman Old Style" w:cs="Arial"/>
          <w:b/>
          <w:i/>
          <w:iCs/>
          <w:sz w:val="22"/>
          <w:lang w:val="es-CO"/>
        </w:rPr>
        <w:t>. Declaratoria de utilidad pública e interés social</w:t>
      </w:r>
      <w:r w:rsidRPr="00D9795B">
        <w:rPr>
          <w:rFonts w:ascii="Bookman Old Style" w:hAnsi="Bookman Old Style" w:cs="Arial"/>
          <w:b/>
          <w:i/>
          <w:sz w:val="22"/>
          <w:lang w:val="es-CO"/>
        </w:rPr>
        <w:t>.</w:t>
      </w:r>
      <w:r w:rsidRPr="00D9795B">
        <w:rPr>
          <w:rFonts w:ascii="Bookman Old Style" w:hAnsi="Bookman Old Style" w:cs="Arial"/>
          <w:i/>
          <w:sz w:val="22"/>
          <w:lang w:val="es-CO"/>
        </w:rPr>
        <w:t xml:space="preserve"> La promoción, estímulo e incentivo al desarrollo de las actividades de producción y utilización de fuentes no convencionales de energía, principalmente aquellas de carácter renovable, se declara como un asunto de utilidad pública e interés social, público y de conveniencia nacional, fundamental para asegurar la diversificación del abastecimiento energético pleno y oportuno, la competitividad de la economía </w:t>
      </w:r>
      <w:r w:rsidRPr="00D9795B">
        <w:rPr>
          <w:rFonts w:ascii="Bookman Old Style" w:hAnsi="Bookman Old Style" w:cs="Arial"/>
          <w:i/>
          <w:sz w:val="22"/>
          <w:lang w:val="es-CO"/>
        </w:rPr>
        <w:lastRenderedPageBreak/>
        <w:t>colombiana, la protección del ambiente, el uso eficiente de la energía y la preservación y conservación de los recursos naturales renovables.</w:t>
      </w:r>
    </w:p>
    <w:p w14:paraId="6113DF02" w14:textId="77777777" w:rsidR="0001567C" w:rsidRDefault="0001567C" w:rsidP="00D9795B">
      <w:pPr>
        <w:ind w:left="708" w:right="142"/>
        <w:jc w:val="both"/>
        <w:rPr>
          <w:rFonts w:ascii="Bookman Old Style" w:hAnsi="Bookman Old Style" w:cs="Arial"/>
          <w:b/>
          <w:i/>
          <w:sz w:val="22"/>
          <w:lang w:val="es-CO"/>
        </w:rPr>
      </w:pPr>
    </w:p>
    <w:p w14:paraId="525F2944" w14:textId="77777777" w:rsidR="00D9795B" w:rsidRPr="00D9795B" w:rsidRDefault="00D9795B" w:rsidP="00D9795B">
      <w:pPr>
        <w:ind w:left="708" w:right="142"/>
        <w:jc w:val="both"/>
        <w:rPr>
          <w:rFonts w:ascii="Bookman Old Style" w:hAnsi="Bookman Old Style" w:cs="Arial"/>
          <w:i/>
          <w:sz w:val="22"/>
          <w:lang w:val="es-CO"/>
        </w:rPr>
      </w:pPr>
      <w:r w:rsidRPr="00D9795B">
        <w:rPr>
          <w:rFonts w:ascii="Bookman Old Style" w:hAnsi="Bookman Old Style" w:cs="Arial"/>
          <w:b/>
          <w:i/>
          <w:sz w:val="22"/>
          <w:lang w:val="es-CO"/>
        </w:rPr>
        <w:t>Artículo 9°. Sustitución de generación con diésel en las Zonas No Interconectadas</w:t>
      </w:r>
      <w:r w:rsidRPr="00D9795B">
        <w:rPr>
          <w:rFonts w:ascii="Bookman Old Style" w:hAnsi="Bookman Old Style" w:cs="Arial"/>
          <w:i/>
          <w:sz w:val="22"/>
          <w:lang w:val="es-CO"/>
        </w:rPr>
        <w:t>. El Gobierno Nacional implementará un programa destinado a sustituir progresivamente la generación con diésel en las ZNI con el objetivo de reducir los costos de prestación del servicio y las emisiones de gases contaminantes, para lo cual implementará las siguientes acciones:</w:t>
      </w:r>
    </w:p>
    <w:p w14:paraId="27BEF1DE" w14:textId="77777777" w:rsidR="00D9795B" w:rsidRPr="00D9795B" w:rsidRDefault="00D9795B" w:rsidP="00D9795B">
      <w:pPr>
        <w:ind w:left="708" w:right="142"/>
        <w:jc w:val="both"/>
        <w:rPr>
          <w:rFonts w:ascii="Bookman Old Style" w:hAnsi="Bookman Old Style" w:cs="Arial"/>
          <w:i/>
          <w:sz w:val="22"/>
          <w:lang w:val="es-CO"/>
        </w:rPr>
      </w:pPr>
      <w:r w:rsidRPr="00D9795B">
        <w:rPr>
          <w:rFonts w:ascii="Bookman Old Style" w:hAnsi="Bookman Old Style" w:cs="Arial"/>
          <w:i/>
          <w:sz w:val="22"/>
          <w:lang w:val="es-CO"/>
        </w:rPr>
        <w:t xml:space="preserve"> </w:t>
      </w:r>
    </w:p>
    <w:p w14:paraId="63519528" w14:textId="77777777" w:rsidR="00D9795B" w:rsidRPr="00D9795B" w:rsidRDefault="00D9795B" w:rsidP="00D9795B">
      <w:pPr>
        <w:ind w:left="708" w:right="142"/>
        <w:jc w:val="both"/>
        <w:rPr>
          <w:rFonts w:ascii="Bookman Old Style" w:hAnsi="Bookman Old Style" w:cs="Arial"/>
          <w:i/>
          <w:sz w:val="22"/>
          <w:lang w:val="es-CO"/>
        </w:rPr>
      </w:pPr>
      <w:r w:rsidRPr="00D9795B">
        <w:rPr>
          <w:rFonts w:ascii="Bookman Old Style" w:hAnsi="Bookman Old Style" w:cs="Arial"/>
          <w:i/>
          <w:sz w:val="22"/>
          <w:lang w:val="es-CO"/>
        </w:rPr>
        <w:t>a) Áreas de servicio exclusivo de energía eléctrica y gas combustible: El Gobierno Nacional podrá establecer áreas de servicio exclusivo para la prestación por una misma empresa de los servicios de energía eléctrica, gas natural, GLP distribuido por redes y/o por cilindros en las ZNI. Estas áreas se podrán crear con el objetivo de reducir costos de prestación de los servicios mediante la sustitución de generación con diésel por generación con FNCE y deberán cumplir con lo establecido en el artículo 40 de la Ley 142 de 1994 y demás disposiciones de dicha ley;</w:t>
      </w:r>
    </w:p>
    <w:p w14:paraId="4BD4129F" w14:textId="77777777" w:rsidR="00D9795B" w:rsidRPr="00D9795B" w:rsidRDefault="00D9795B" w:rsidP="00D9795B">
      <w:pPr>
        <w:ind w:left="708" w:right="142"/>
        <w:jc w:val="both"/>
        <w:rPr>
          <w:rFonts w:ascii="Bookman Old Style" w:hAnsi="Bookman Old Style" w:cs="Arial"/>
          <w:i/>
          <w:sz w:val="22"/>
          <w:lang w:val="es-CO"/>
        </w:rPr>
      </w:pPr>
      <w:r w:rsidRPr="00D9795B">
        <w:rPr>
          <w:rFonts w:ascii="Bookman Old Style" w:hAnsi="Bookman Old Style" w:cs="Arial"/>
          <w:i/>
          <w:sz w:val="22"/>
          <w:lang w:val="es-CO"/>
        </w:rPr>
        <w:t xml:space="preserve"> </w:t>
      </w:r>
    </w:p>
    <w:p w14:paraId="21DB379A" w14:textId="77777777" w:rsidR="00D9795B" w:rsidRPr="00D9795B" w:rsidRDefault="00D9795B" w:rsidP="00D9795B">
      <w:pPr>
        <w:ind w:left="708" w:right="142"/>
        <w:jc w:val="both"/>
        <w:rPr>
          <w:rFonts w:ascii="Bookman Old Style" w:hAnsi="Bookman Old Style" w:cs="Arial"/>
          <w:i/>
          <w:sz w:val="22"/>
          <w:lang w:val="es-CO"/>
        </w:rPr>
      </w:pPr>
      <w:r w:rsidRPr="00D9795B">
        <w:rPr>
          <w:rFonts w:ascii="Bookman Old Style" w:hAnsi="Bookman Old Style" w:cs="Arial"/>
          <w:i/>
          <w:sz w:val="22"/>
          <w:lang w:val="es-CO"/>
        </w:rPr>
        <w:t>b) Esquema de incentivos a los prestadores del servicio de energía eléctrica en Zonas no Interconectadas: El Ministerio de Minas y Energía desarrollará esquemas de incentivos para que los prestadores del servicio de energía eléctrica en las ZNI reemplacen parcial o totalmente su generación con diésel por FNCE. Estos incentivos deberán cumplir con evaluaciones costo-beneficio resultantes de la comparación del costo de los incentivos con los ahorros producidos por la diferencia de costos entre la generación con FNCE en lugar del diésel.</w:t>
      </w:r>
    </w:p>
    <w:p w14:paraId="71F0E09D" w14:textId="77777777" w:rsidR="00D9795B" w:rsidRPr="00D9795B" w:rsidRDefault="00D9795B" w:rsidP="00D9795B">
      <w:pPr>
        <w:ind w:left="708" w:right="142"/>
        <w:jc w:val="both"/>
        <w:rPr>
          <w:rFonts w:ascii="Bookman Old Style" w:hAnsi="Bookman Old Style" w:cs="Arial"/>
          <w:i/>
          <w:sz w:val="22"/>
          <w:lang w:val="es-CO"/>
        </w:rPr>
      </w:pPr>
    </w:p>
    <w:p w14:paraId="40E5E6CA" w14:textId="77777777" w:rsidR="00D9795B" w:rsidRPr="00D9795B" w:rsidRDefault="00D9795B" w:rsidP="00D9795B">
      <w:pPr>
        <w:ind w:left="708" w:right="142"/>
        <w:jc w:val="both"/>
        <w:rPr>
          <w:rFonts w:ascii="Bookman Old Style" w:hAnsi="Bookman Old Style" w:cs="Arial"/>
          <w:b/>
          <w:bCs/>
          <w:i/>
          <w:sz w:val="22"/>
          <w:lang w:val="es-CO"/>
        </w:rPr>
      </w:pPr>
      <w:r w:rsidRPr="00D9795B">
        <w:rPr>
          <w:rFonts w:ascii="Bookman Old Style" w:hAnsi="Bookman Old Style" w:cs="Arial"/>
          <w:b/>
          <w:bCs/>
          <w:i/>
          <w:sz w:val="22"/>
          <w:lang w:val="es-CO"/>
        </w:rPr>
        <w:t>Artículo 19. Desarrollo de la energía solar.</w:t>
      </w:r>
    </w:p>
    <w:p w14:paraId="4ED3A1AF" w14:textId="77777777" w:rsidR="00D9795B" w:rsidRPr="00D9795B" w:rsidRDefault="00D9795B" w:rsidP="00D9795B">
      <w:pPr>
        <w:ind w:left="708" w:right="142"/>
        <w:jc w:val="both"/>
        <w:rPr>
          <w:rFonts w:ascii="Bookman Old Style" w:hAnsi="Bookman Old Style" w:cs="Arial"/>
          <w:bCs/>
          <w:i/>
          <w:sz w:val="22"/>
          <w:lang w:val="es-CO"/>
        </w:rPr>
      </w:pPr>
      <w:r w:rsidRPr="00D9795B">
        <w:rPr>
          <w:rFonts w:ascii="Bookman Old Style" w:hAnsi="Bookman Old Style" w:cs="Arial"/>
          <w:bCs/>
          <w:i/>
          <w:sz w:val="22"/>
          <w:lang w:val="es-CO"/>
        </w:rPr>
        <w:t xml:space="preserve"> </w:t>
      </w:r>
    </w:p>
    <w:p w14:paraId="27EE894C" w14:textId="77777777" w:rsidR="00D9795B" w:rsidRPr="00D9795B" w:rsidRDefault="00D9795B" w:rsidP="00D9795B">
      <w:pPr>
        <w:ind w:left="708" w:right="142"/>
        <w:jc w:val="both"/>
        <w:rPr>
          <w:rFonts w:ascii="Bookman Old Style" w:hAnsi="Bookman Old Style" w:cs="Arial"/>
          <w:bCs/>
          <w:i/>
          <w:sz w:val="22"/>
          <w:lang w:val="es-CO"/>
        </w:rPr>
      </w:pPr>
      <w:r w:rsidRPr="00D9795B">
        <w:rPr>
          <w:rFonts w:ascii="Bookman Old Style" w:hAnsi="Bookman Old Style" w:cs="Arial"/>
          <w:bCs/>
          <w:i/>
          <w:sz w:val="22"/>
          <w:lang w:val="es-CO"/>
        </w:rPr>
        <w:t>1. La energía solar se considerará como FNCR. Se deberá estudiar y analizar las condiciones propias de la naturaleza de la fuente para su reglamentación técnica por parte de la CREG.</w:t>
      </w:r>
    </w:p>
    <w:p w14:paraId="0515F078" w14:textId="77777777" w:rsidR="00D9795B" w:rsidRPr="00D9795B" w:rsidRDefault="00D9795B" w:rsidP="00D9795B">
      <w:pPr>
        <w:ind w:left="708" w:right="142"/>
        <w:jc w:val="both"/>
        <w:rPr>
          <w:rFonts w:ascii="Bookman Old Style" w:hAnsi="Bookman Old Style" w:cs="Arial"/>
          <w:bCs/>
          <w:i/>
          <w:sz w:val="22"/>
          <w:lang w:val="es-CO"/>
        </w:rPr>
      </w:pPr>
    </w:p>
    <w:p w14:paraId="35B6E67D" w14:textId="77777777" w:rsidR="00D9795B" w:rsidRPr="00D9795B" w:rsidRDefault="00D9795B" w:rsidP="00D9795B">
      <w:pPr>
        <w:ind w:left="708" w:right="142"/>
        <w:jc w:val="both"/>
        <w:rPr>
          <w:rFonts w:ascii="Bookman Old Style" w:hAnsi="Bookman Old Style" w:cs="Arial"/>
          <w:bCs/>
          <w:i/>
          <w:lang w:val="es-CO"/>
        </w:rPr>
      </w:pPr>
      <w:r w:rsidRPr="00D9795B">
        <w:rPr>
          <w:rFonts w:ascii="Bookman Old Style" w:hAnsi="Bookman Old Style" w:cs="Arial"/>
          <w:b/>
          <w:bCs/>
          <w:i/>
          <w:sz w:val="22"/>
          <w:lang w:val="es-CO"/>
        </w:rPr>
        <w:t>Artículo 34. Soluciones híbridas.</w:t>
      </w:r>
      <w:r w:rsidRPr="00D9795B">
        <w:rPr>
          <w:rFonts w:ascii="Bookman Old Style" w:hAnsi="Bookman Old Style" w:cs="Arial"/>
          <w:bCs/>
          <w:i/>
          <w:sz w:val="22"/>
          <w:lang w:val="es-CO"/>
        </w:rPr>
        <w:t xml:space="preserve"> El Ministerio de Minas y Energía promoverá el desarrollo de soluciones híbridas que combinen fuentes locales de generación eléctrica con fuentes diésel y minimicen el tiempo de funcionamiento de los equipos diésel en coherencia con la política de horas de prestación del servicio de energía para las ZNI. Para esto se podrán aplicar apoyos de los fondos financieros establecidos así como del creado por medio de esta ley, según criterios definidos por el Ministerio de Minas y Energía para tal fin</w:t>
      </w:r>
      <w:r w:rsidRPr="00D9795B">
        <w:rPr>
          <w:rFonts w:ascii="Bookman Old Style" w:hAnsi="Bookman Old Style" w:cs="Arial"/>
          <w:bCs/>
          <w:i/>
          <w:lang w:val="es-CO"/>
        </w:rPr>
        <w:t>.</w:t>
      </w:r>
      <w:r w:rsidR="000D20E4">
        <w:rPr>
          <w:rFonts w:ascii="Bookman Old Style" w:hAnsi="Bookman Old Style" w:cs="Arial"/>
          <w:bCs/>
          <w:i/>
          <w:lang w:val="es-CO"/>
        </w:rPr>
        <w:t>”</w:t>
      </w:r>
    </w:p>
    <w:p w14:paraId="44B51A68" w14:textId="77777777" w:rsidR="00D9795B" w:rsidRDefault="00D9795B" w:rsidP="00D9795B">
      <w:pPr>
        <w:ind w:left="284" w:right="142"/>
        <w:jc w:val="both"/>
        <w:rPr>
          <w:rFonts w:ascii="Bookman Old Style" w:hAnsi="Bookman Old Style" w:cs="Arial"/>
          <w:i/>
          <w:lang w:val="es-CO"/>
        </w:rPr>
      </w:pPr>
    </w:p>
    <w:p w14:paraId="72C2EF2E" w14:textId="42C6F6B7" w:rsidR="00791CA1" w:rsidRDefault="00791CA1" w:rsidP="00791CA1">
      <w:pPr>
        <w:pStyle w:val="Style2"/>
        <w:shd w:val="clear" w:color="auto" w:fill="auto"/>
        <w:spacing w:before="0" w:line="240" w:lineRule="auto"/>
        <w:ind w:left="284" w:right="51" w:firstLine="0"/>
        <w:jc w:val="both"/>
        <w:rPr>
          <w:rFonts w:ascii="Bookman Old Style" w:hAnsi="Bookman Old Style"/>
          <w:sz w:val="24"/>
          <w:szCs w:val="23"/>
        </w:rPr>
      </w:pPr>
      <w:r>
        <w:rPr>
          <w:rFonts w:ascii="Bookman Old Style" w:hAnsi="Bookman Old Style"/>
          <w:sz w:val="24"/>
          <w:szCs w:val="23"/>
        </w:rPr>
        <w:t xml:space="preserve">Mediante </w:t>
      </w:r>
      <w:r w:rsidR="00C21AD5">
        <w:rPr>
          <w:rFonts w:ascii="Bookman Old Style" w:hAnsi="Bookman Old Style"/>
          <w:sz w:val="24"/>
          <w:szCs w:val="23"/>
        </w:rPr>
        <w:t xml:space="preserve">comunicaciones </w:t>
      </w:r>
      <w:r>
        <w:rPr>
          <w:rFonts w:ascii="Bookman Old Style" w:hAnsi="Bookman Old Style"/>
          <w:sz w:val="24"/>
          <w:szCs w:val="23"/>
        </w:rPr>
        <w:t xml:space="preserve">con radicado CREG </w:t>
      </w:r>
      <w:r w:rsidRPr="00F33E94">
        <w:rPr>
          <w:rFonts w:ascii="Bookman Old Style" w:hAnsi="Bookman Old Style"/>
          <w:sz w:val="24"/>
          <w:szCs w:val="23"/>
        </w:rPr>
        <w:t>E-2019-005570</w:t>
      </w:r>
      <w:r>
        <w:rPr>
          <w:rFonts w:ascii="Bookman Old Style" w:hAnsi="Bookman Old Style"/>
          <w:sz w:val="24"/>
          <w:szCs w:val="23"/>
        </w:rPr>
        <w:t xml:space="preserve"> del 17 de mayo de 2019</w:t>
      </w:r>
      <w:r w:rsidR="00C8181C">
        <w:rPr>
          <w:rFonts w:ascii="Bookman Old Style" w:hAnsi="Bookman Old Style"/>
          <w:sz w:val="24"/>
          <w:szCs w:val="23"/>
        </w:rPr>
        <w:t xml:space="preserve"> y E-2019-008577 del 12 de agosto de 2019</w:t>
      </w:r>
      <w:r>
        <w:rPr>
          <w:rFonts w:ascii="Bookman Old Style" w:hAnsi="Bookman Old Style"/>
          <w:sz w:val="24"/>
          <w:szCs w:val="23"/>
        </w:rPr>
        <w:t xml:space="preserve">, </w:t>
      </w:r>
      <w:r w:rsidR="00C21AD5">
        <w:rPr>
          <w:rFonts w:ascii="Bookman Old Style" w:hAnsi="Bookman Old Style"/>
          <w:sz w:val="24"/>
          <w:szCs w:val="23"/>
        </w:rPr>
        <w:t xml:space="preserve">Electropacífico </w:t>
      </w:r>
      <w:r w:rsidR="00705245">
        <w:rPr>
          <w:rFonts w:ascii="Bookman Old Style" w:hAnsi="Bookman Old Style"/>
          <w:sz w:val="24"/>
          <w:szCs w:val="23"/>
        </w:rPr>
        <w:t xml:space="preserve">presentó </w:t>
      </w:r>
      <w:r>
        <w:rPr>
          <w:rFonts w:ascii="Bookman Old Style" w:hAnsi="Bookman Old Style"/>
          <w:sz w:val="24"/>
          <w:szCs w:val="23"/>
        </w:rPr>
        <w:t xml:space="preserve">a esta Comisión </w:t>
      </w:r>
      <w:r w:rsidR="004D071B">
        <w:rPr>
          <w:rFonts w:ascii="Bookman Old Style" w:hAnsi="Bookman Old Style"/>
          <w:sz w:val="24"/>
          <w:szCs w:val="23"/>
        </w:rPr>
        <w:t>aclaraciones sobre</w:t>
      </w:r>
      <w:r w:rsidR="00C8181C">
        <w:rPr>
          <w:rFonts w:ascii="Bookman Old Style" w:hAnsi="Bookman Old Style"/>
          <w:sz w:val="24"/>
          <w:szCs w:val="23"/>
        </w:rPr>
        <w:t xml:space="preserve"> </w:t>
      </w:r>
      <w:r w:rsidR="00705245">
        <w:rPr>
          <w:rFonts w:ascii="Bookman Old Style" w:hAnsi="Bookman Old Style"/>
          <w:sz w:val="24"/>
          <w:szCs w:val="23"/>
        </w:rPr>
        <w:t>su</w:t>
      </w:r>
      <w:r>
        <w:rPr>
          <w:rFonts w:ascii="Bookman Old Style" w:hAnsi="Bookman Old Style"/>
          <w:sz w:val="24"/>
          <w:szCs w:val="23"/>
        </w:rPr>
        <w:t xml:space="preserve"> solicitud</w:t>
      </w:r>
      <w:r w:rsidR="00C21AD5">
        <w:rPr>
          <w:rFonts w:ascii="Bookman Old Style" w:hAnsi="Bookman Old Style"/>
          <w:sz w:val="24"/>
          <w:szCs w:val="23"/>
        </w:rPr>
        <w:t>,</w:t>
      </w:r>
      <w:r>
        <w:rPr>
          <w:rFonts w:ascii="Bookman Old Style" w:hAnsi="Bookman Old Style"/>
          <w:sz w:val="24"/>
          <w:szCs w:val="23"/>
        </w:rPr>
        <w:t xml:space="preserve"> en los siguientes términos: </w:t>
      </w:r>
    </w:p>
    <w:p w14:paraId="39D3F400" w14:textId="77777777" w:rsidR="004A5999" w:rsidRDefault="004A5999" w:rsidP="00F74864">
      <w:pPr>
        <w:ind w:left="708"/>
        <w:jc w:val="both"/>
        <w:rPr>
          <w:i/>
          <w:sz w:val="22"/>
        </w:rPr>
      </w:pPr>
    </w:p>
    <w:p w14:paraId="13447048" w14:textId="77777777" w:rsidR="00791CA1" w:rsidRPr="00C32FBD" w:rsidRDefault="00BD2964" w:rsidP="00F74864">
      <w:pPr>
        <w:ind w:left="708"/>
        <w:jc w:val="both"/>
        <w:rPr>
          <w:i/>
          <w:sz w:val="22"/>
        </w:rPr>
      </w:pPr>
      <w:r>
        <w:rPr>
          <w:i/>
          <w:sz w:val="22"/>
        </w:rPr>
        <w:t>“</w:t>
      </w:r>
      <w:r w:rsidR="004A5999">
        <w:rPr>
          <w:i/>
          <w:sz w:val="22"/>
        </w:rPr>
        <w:t>(.</w:t>
      </w:r>
      <w:r w:rsidR="00791CA1" w:rsidRPr="00C32FBD">
        <w:rPr>
          <w:i/>
          <w:sz w:val="22"/>
        </w:rPr>
        <w:t>..)</w:t>
      </w:r>
      <w:r>
        <w:rPr>
          <w:i/>
          <w:sz w:val="22"/>
        </w:rPr>
        <w:t xml:space="preserve"> </w:t>
      </w:r>
      <w:r w:rsidR="00791CA1" w:rsidRPr="00C32FBD">
        <w:rPr>
          <w:rFonts w:ascii="Bookman Old Style" w:hAnsi="Bookman Old Style"/>
          <w:i/>
          <w:sz w:val="22"/>
        </w:rPr>
        <w:t>Revisando la información del proyecto de generación fotovoltaica para las comunidades de Cedral y Jumaracarra en el municipio de Juradó, departamento del Chocó y considerando que las inversiones son financiadas por el estado y que dicha inversión será hundida en el Costo Unitario del servicio de energía eléctrica, nos permitimos solicitar solo la aprobación del Cargo de AOM para el sistema fotovoltaico.</w:t>
      </w:r>
      <w:r>
        <w:rPr>
          <w:rFonts w:ascii="Bookman Old Style" w:hAnsi="Bookman Old Style"/>
          <w:i/>
          <w:sz w:val="22"/>
        </w:rPr>
        <w:t xml:space="preserve"> </w:t>
      </w:r>
      <w:r w:rsidR="00791CA1" w:rsidRPr="00C32FBD">
        <w:rPr>
          <w:i/>
          <w:sz w:val="22"/>
        </w:rPr>
        <w:t>(…)</w:t>
      </w:r>
    </w:p>
    <w:p w14:paraId="43942A2F" w14:textId="77777777" w:rsidR="00BD2964" w:rsidRDefault="00BD2964" w:rsidP="00C32FBD">
      <w:pPr>
        <w:ind w:left="708"/>
        <w:jc w:val="both"/>
        <w:rPr>
          <w:rFonts w:ascii="Bookman Old Style" w:hAnsi="Bookman Old Style"/>
          <w:i/>
          <w:sz w:val="22"/>
        </w:rPr>
      </w:pPr>
    </w:p>
    <w:p w14:paraId="26233779" w14:textId="77777777" w:rsidR="00791CA1" w:rsidRPr="00C32FBD" w:rsidRDefault="00791CA1" w:rsidP="00C32FBD">
      <w:pPr>
        <w:ind w:left="708"/>
        <w:jc w:val="both"/>
        <w:rPr>
          <w:rFonts w:ascii="Bookman Old Style" w:hAnsi="Bookman Old Style"/>
          <w:i/>
          <w:sz w:val="22"/>
        </w:rPr>
      </w:pPr>
      <w:r w:rsidRPr="00C32FBD">
        <w:rPr>
          <w:rFonts w:ascii="Bookman Old Style" w:hAnsi="Bookman Old Style"/>
          <w:i/>
          <w:sz w:val="22"/>
        </w:rPr>
        <w:t xml:space="preserve">Revisando la potencia de los sistemas instalados, se corrige a 71,28 para las dos comunidades y la energía generada mensual por el sistema fotovoltaico, de 135 kWh </w:t>
      </w:r>
      <w:r w:rsidRPr="00C32FBD">
        <w:rPr>
          <w:rFonts w:ascii="Bookman Old Style" w:hAnsi="Bookman Old Style"/>
          <w:i/>
          <w:sz w:val="22"/>
        </w:rPr>
        <w:lastRenderedPageBreak/>
        <w:t xml:space="preserve">por kW instalado. Calculando el Costo Anual Equivalente de los gastos del periodo de proyección, obtenemos gastos de $114,612,256 a pesos constantes.  </w:t>
      </w:r>
    </w:p>
    <w:p w14:paraId="3013F41A" w14:textId="77777777" w:rsidR="00BD2964" w:rsidRDefault="00BD2964" w:rsidP="00C32FBD">
      <w:pPr>
        <w:ind w:left="708"/>
        <w:jc w:val="both"/>
        <w:rPr>
          <w:rFonts w:ascii="Bookman Old Style" w:hAnsi="Bookman Old Style"/>
          <w:i/>
          <w:sz w:val="22"/>
        </w:rPr>
      </w:pPr>
    </w:p>
    <w:p w14:paraId="08884671" w14:textId="77777777" w:rsidR="00791CA1" w:rsidRPr="00C32FBD" w:rsidRDefault="00791CA1" w:rsidP="00C32FBD">
      <w:pPr>
        <w:ind w:left="708"/>
        <w:jc w:val="both"/>
        <w:rPr>
          <w:rFonts w:ascii="Bookman Old Style" w:hAnsi="Bookman Old Style"/>
          <w:i/>
          <w:sz w:val="22"/>
        </w:rPr>
      </w:pPr>
      <w:r w:rsidRPr="00C32FBD">
        <w:rPr>
          <w:rFonts w:ascii="Bookman Old Style" w:hAnsi="Bookman Old Style"/>
          <w:i/>
          <w:sz w:val="22"/>
        </w:rPr>
        <w:t xml:space="preserve">El tiempo de proyección del sistema es de 22 años. </w:t>
      </w:r>
    </w:p>
    <w:p w14:paraId="6F030AFB" w14:textId="77777777" w:rsidR="00BD2964" w:rsidRDefault="00BD2964" w:rsidP="00C32FBD">
      <w:pPr>
        <w:ind w:left="708"/>
        <w:jc w:val="both"/>
        <w:rPr>
          <w:rFonts w:ascii="Bookman Old Style" w:hAnsi="Bookman Old Style"/>
          <w:i/>
          <w:sz w:val="22"/>
        </w:rPr>
      </w:pPr>
    </w:p>
    <w:p w14:paraId="62C92648" w14:textId="77777777" w:rsidR="00BD2964" w:rsidRDefault="00791CA1" w:rsidP="00C32FBD">
      <w:pPr>
        <w:ind w:left="708"/>
        <w:jc w:val="both"/>
        <w:rPr>
          <w:rFonts w:ascii="Bookman Old Style" w:hAnsi="Bookman Old Style"/>
          <w:i/>
          <w:sz w:val="22"/>
        </w:rPr>
      </w:pPr>
      <w:r w:rsidRPr="00C32FBD">
        <w:rPr>
          <w:rFonts w:ascii="Bookman Old Style" w:hAnsi="Bookman Old Style"/>
          <w:i/>
          <w:sz w:val="22"/>
        </w:rPr>
        <w:t xml:space="preserve">La Tasa de descuento utilizada es de 14% similar a la tasa para la actividad de </w:t>
      </w:r>
    </w:p>
    <w:p w14:paraId="59CE95F6" w14:textId="77777777" w:rsidR="00791CA1" w:rsidRDefault="00791CA1" w:rsidP="00C32FBD">
      <w:pPr>
        <w:ind w:left="708"/>
        <w:jc w:val="both"/>
        <w:rPr>
          <w:rFonts w:ascii="Bookman Old Style" w:hAnsi="Bookman Old Style"/>
          <w:i/>
          <w:sz w:val="22"/>
        </w:rPr>
      </w:pPr>
      <w:r w:rsidRPr="00C32FBD">
        <w:rPr>
          <w:rFonts w:ascii="Bookman Old Style" w:hAnsi="Bookman Old Style"/>
          <w:i/>
          <w:sz w:val="22"/>
        </w:rPr>
        <w:t>distribución de energía eléctrica en el SIN. (…)</w:t>
      </w:r>
    </w:p>
    <w:p w14:paraId="655BD73B" w14:textId="77777777" w:rsidR="00BD2964" w:rsidRPr="00C32FBD" w:rsidRDefault="00BD2964" w:rsidP="00C32FBD">
      <w:pPr>
        <w:ind w:left="708"/>
        <w:jc w:val="both"/>
        <w:rPr>
          <w:rFonts w:ascii="Bookman Old Style" w:hAnsi="Bookman Old Style"/>
          <w:i/>
          <w:sz w:val="22"/>
        </w:rPr>
      </w:pPr>
    </w:p>
    <w:p w14:paraId="0F5CDC9C" w14:textId="77777777" w:rsidR="00791CA1" w:rsidRPr="00DF06C5" w:rsidRDefault="00791CA1" w:rsidP="00C32FBD">
      <w:pPr>
        <w:ind w:left="708"/>
        <w:jc w:val="both"/>
        <w:rPr>
          <w:rFonts w:ascii="Bookman Old Style" w:hAnsi="Bookman Old Style"/>
          <w:i/>
          <w:sz w:val="22"/>
          <w:u w:val="single"/>
        </w:rPr>
      </w:pPr>
      <w:r w:rsidRPr="00DF06C5">
        <w:rPr>
          <w:rFonts w:ascii="Bookman Old Style" w:hAnsi="Bookman Old Style"/>
          <w:i/>
          <w:sz w:val="22"/>
          <w:u w:val="single"/>
        </w:rPr>
        <w:t xml:space="preserve">El componente de AOM del Cargo de generación solicitado para el sistema Fotovoltaico es de 992,54 $/kWh, el cual es menor al componente de AOM de generar con diésel, de 1,153.11. </w:t>
      </w:r>
    </w:p>
    <w:p w14:paraId="78880EE8" w14:textId="77777777" w:rsidR="00BD2964" w:rsidRDefault="00BD2964" w:rsidP="00C32FBD">
      <w:pPr>
        <w:ind w:left="708"/>
        <w:jc w:val="both"/>
        <w:rPr>
          <w:rFonts w:ascii="Bookman Old Style" w:hAnsi="Bookman Old Style"/>
          <w:i/>
          <w:sz w:val="22"/>
        </w:rPr>
      </w:pPr>
    </w:p>
    <w:p w14:paraId="16B0CA01" w14:textId="13FBFC22" w:rsidR="00791CA1" w:rsidRPr="00C32FBD" w:rsidRDefault="00791CA1" w:rsidP="00C32FBD">
      <w:pPr>
        <w:ind w:left="708"/>
        <w:jc w:val="both"/>
        <w:rPr>
          <w:rFonts w:ascii="Bookman Old Style" w:hAnsi="Bookman Old Style"/>
          <w:i/>
          <w:sz w:val="22"/>
        </w:rPr>
      </w:pPr>
      <w:r w:rsidRPr="00C32FBD">
        <w:rPr>
          <w:rFonts w:ascii="Bookman Old Style" w:hAnsi="Bookman Old Style"/>
          <w:i/>
          <w:sz w:val="22"/>
        </w:rPr>
        <w:t xml:space="preserve">El cargo resultante para el sistema híbrido Diésel- Fotovoltaico será un promedio ponderado por energías producidas por las tecnologías diésel y fotovoltaica, siendo para el caso de diésel el aprobado mediante Resolución CREG 091 de 2007 o de aquella que la modifiquen o reemplacen. </w:t>
      </w:r>
      <w:r w:rsidR="00BD2964">
        <w:rPr>
          <w:rFonts w:ascii="Bookman Old Style" w:hAnsi="Bookman Old Style"/>
          <w:i/>
          <w:sz w:val="22"/>
        </w:rPr>
        <w:t>(…)”</w:t>
      </w:r>
      <w:r w:rsidR="00DF06C5">
        <w:rPr>
          <w:rFonts w:ascii="Bookman Old Style" w:hAnsi="Bookman Old Style"/>
          <w:i/>
          <w:sz w:val="22"/>
        </w:rPr>
        <w:t xml:space="preserve"> </w:t>
      </w:r>
      <w:r w:rsidR="00DF06C5" w:rsidRPr="00DF06C5">
        <w:rPr>
          <w:rFonts w:ascii="Bookman Old Style" w:hAnsi="Bookman Old Style"/>
          <w:sz w:val="22"/>
        </w:rPr>
        <w:t>(Subrayado fuera de texto)</w:t>
      </w:r>
    </w:p>
    <w:p w14:paraId="17423540" w14:textId="77777777" w:rsidR="00D127D0" w:rsidRDefault="00D127D0" w:rsidP="00D9795B">
      <w:pPr>
        <w:ind w:left="284" w:right="142"/>
        <w:jc w:val="both"/>
        <w:rPr>
          <w:rFonts w:ascii="Bookman Old Style" w:hAnsi="Bookman Old Style" w:cs="Arial"/>
          <w:i/>
          <w:lang w:val="es-CO"/>
        </w:rPr>
      </w:pPr>
    </w:p>
    <w:p w14:paraId="75CC8805" w14:textId="6B00C1FF" w:rsidR="00F74864" w:rsidRPr="006B2F13" w:rsidRDefault="00F74864" w:rsidP="00F74864">
      <w:pPr>
        <w:ind w:left="708" w:right="142"/>
        <w:jc w:val="both"/>
        <w:rPr>
          <w:rFonts w:ascii="Bookman Old Style" w:hAnsi="Bookman Old Style" w:cs="Arial"/>
          <w:i/>
          <w:sz w:val="22"/>
        </w:rPr>
      </w:pPr>
      <w:r w:rsidRPr="006B2F13">
        <w:rPr>
          <w:rFonts w:ascii="Bookman Old Style" w:hAnsi="Bookman Old Style" w:cs="Arial"/>
          <w:i/>
          <w:sz w:val="22"/>
        </w:rPr>
        <w:t xml:space="preserve">“Con base en la generación mensual de energía corregida por kwp instalado en paneles, se ajusta el cálculo de los cargos de inversión y gastos de AOM del sistema fotovoltaico de la siguiente manera: (…) </w:t>
      </w:r>
      <w:r w:rsidRPr="00DF06C5">
        <w:rPr>
          <w:rFonts w:ascii="Bookman Old Style" w:hAnsi="Bookman Old Style" w:cs="Arial"/>
          <w:i/>
          <w:sz w:val="22"/>
          <w:u w:val="single"/>
        </w:rPr>
        <w:t>el componente de AOM del Cargo de generación para el sistema Fotovoltaico es de 1.331,94 $/kWh, el cual es mayor al componente de AOM de generar con diésel (de 1,153.11 $/kWh); por tal razón solicitamos a la CREG aprobar un componente de AOM del Cargo de generación para el sistema Fotovoltaico de 1.153,11 $/kWh.</w:t>
      </w:r>
      <w:r w:rsidRPr="006B2F13">
        <w:rPr>
          <w:rFonts w:ascii="Bookman Old Style" w:hAnsi="Bookman Old Style" w:cs="Arial"/>
          <w:i/>
          <w:sz w:val="22"/>
        </w:rPr>
        <w:t xml:space="preserve">” </w:t>
      </w:r>
      <w:r w:rsidR="00DF06C5" w:rsidRPr="00DF06C5">
        <w:rPr>
          <w:rFonts w:ascii="Bookman Old Style" w:hAnsi="Bookman Old Style"/>
          <w:sz w:val="22"/>
        </w:rPr>
        <w:t>(Subrayado fuera de texto)</w:t>
      </w:r>
    </w:p>
    <w:p w14:paraId="62018428" w14:textId="77777777" w:rsidR="00BD2964" w:rsidRDefault="00BD2964" w:rsidP="00D9795B">
      <w:pPr>
        <w:ind w:left="284" w:right="142"/>
        <w:jc w:val="both"/>
        <w:rPr>
          <w:rFonts w:ascii="Bookman Old Style" w:hAnsi="Bookman Old Style" w:cs="Arial"/>
          <w:i/>
          <w:lang w:val="es-CO"/>
        </w:rPr>
      </w:pPr>
    </w:p>
    <w:p w14:paraId="6F37DD4D" w14:textId="77777777" w:rsidR="00D451C0" w:rsidRDefault="00D451C0" w:rsidP="00D451C0">
      <w:pPr>
        <w:numPr>
          <w:ilvl w:val="0"/>
          <w:numId w:val="8"/>
        </w:numPr>
        <w:ind w:right="142"/>
        <w:jc w:val="both"/>
        <w:rPr>
          <w:rFonts w:ascii="Bookman Old Style" w:hAnsi="Bookman Old Style" w:cs="Arial"/>
          <w:b/>
        </w:rPr>
      </w:pPr>
      <w:r>
        <w:rPr>
          <w:rFonts w:ascii="Bookman Old Style" w:hAnsi="Bookman Old Style" w:cs="Arial"/>
          <w:b/>
        </w:rPr>
        <w:t xml:space="preserve">COMPETENCIA </w:t>
      </w:r>
      <w:r w:rsidRPr="00552F05">
        <w:rPr>
          <w:rFonts w:ascii="Bookman Old Style" w:hAnsi="Bookman Old Style" w:cs="Arial"/>
          <w:b/>
        </w:rPr>
        <w:t>DE LA CREG</w:t>
      </w:r>
    </w:p>
    <w:p w14:paraId="4D31CCF5" w14:textId="77777777" w:rsidR="00D451C0" w:rsidRPr="001459AA" w:rsidRDefault="00D451C0" w:rsidP="001459AA">
      <w:pPr>
        <w:ind w:left="284" w:right="142"/>
        <w:jc w:val="both"/>
        <w:rPr>
          <w:rFonts w:ascii="Bookman Old Style" w:hAnsi="Bookman Old Style"/>
        </w:rPr>
      </w:pPr>
    </w:p>
    <w:p w14:paraId="0A90A1C2" w14:textId="4CB1E974" w:rsidR="00D451C0" w:rsidRPr="001459AA" w:rsidRDefault="00D451C0" w:rsidP="00727040">
      <w:pPr>
        <w:ind w:left="284" w:right="142"/>
        <w:jc w:val="both"/>
        <w:rPr>
          <w:rFonts w:ascii="Bookman Old Style" w:hAnsi="Bookman Old Style"/>
        </w:rPr>
      </w:pPr>
      <w:r w:rsidRPr="00EF118C">
        <w:rPr>
          <w:rFonts w:ascii="Bookman Old Style" w:hAnsi="Bookman Old Style"/>
        </w:rPr>
        <w:t xml:space="preserve">En virtud de lo determinado por las </w:t>
      </w:r>
      <w:r w:rsidR="0066037F">
        <w:rPr>
          <w:rFonts w:ascii="Bookman Old Style" w:hAnsi="Bookman Old Style"/>
        </w:rPr>
        <w:t>l</w:t>
      </w:r>
      <w:r w:rsidRPr="00EF118C">
        <w:rPr>
          <w:rFonts w:ascii="Bookman Old Style" w:hAnsi="Bookman Old Style"/>
        </w:rPr>
        <w:t xml:space="preserve">eyes 142 y 143 de 1994, </w:t>
      </w:r>
      <w:r>
        <w:rPr>
          <w:rFonts w:ascii="Bookman Old Style" w:hAnsi="Bookman Old Style"/>
        </w:rPr>
        <w:t xml:space="preserve">los </w:t>
      </w:r>
      <w:r w:rsidR="0066037F">
        <w:rPr>
          <w:rFonts w:ascii="Bookman Old Style" w:hAnsi="Bookman Old Style"/>
        </w:rPr>
        <w:t>d</w:t>
      </w:r>
      <w:r w:rsidRPr="00EF118C">
        <w:rPr>
          <w:rFonts w:ascii="Bookman Old Style" w:hAnsi="Bookman Old Style"/>
        </w:rPr>
        <w:t xml:space="preserve">ecretos 1524 </w:t>
      </w:r>
      <w:r w:rsidRPr="00E11573">
        <w:rPr>
          <w:rFonts w:ascii="Bookman Old Style" w:hAnsi="Bookman Old Style"/>
        </w:rPr>
        <w:t>y 2253 de 1994</w:t>
      </w:r>
      <w:r w:rsidR="00727040">
        <w:rPr>
          <w:rFonts w:ascii="Bookman Old Style" w:hAnsi="Bookman Old Style"/>
        </w:rPr>
        <w:t>, 1260 de 2013</w:t>
      </w:r>
      <w:r w:rsidR="00C21AD5">
        <w:rPr>
          <w:rFonts w:ascii="Bookman Old Style" w:hAnsi="Bookman Old Style"/>
        </w:rPr>
        <w:t>,</w:t>
      </w:r>
      <w:r w:rsidRPr="00E11573">
        <w:rPr>
          <w:rFonts w:ascii="Bookman Old Style" w:hAnsi="Bookman Old Style"/>
        </w:rPr>
        <w:t xml:space="preserve"> y en especial lo dispuesto en el </w:t>
      </w:r>
      <w:r w:rsidR="00727040">
        <w:rPr>
          <w:rFonts w:ascii="Bookman Old Style" w:hAnsi="Bookman Old Style"/>
        </w:rPr>
        <w:t>literal d</w:t>
      </w:r>
      <w:r w:rsidRPr="00E11573">
        <w:rPr>
          <w:rFonts w:ascii="Bookman Old Style" w:hAnsi="Bookman Old Style"/>
        </w:rPr>
        <w:t xml:space="preserve"> del artículo 2</w:t>
      </w:r>
      <w:r w:rsidR="00727040">
        <w:rPr>
          <w:rFonts w:ascii="Bookman Old Style" w:hAnsi="Bookman Old Style"/>
        </w:rPr>
        <w:t>2</w:t>
      </w:r>
      <w:r w:rsidR="006542DE">
        <w:rPr>
          <w:rFonts w:ascii="Bookman Old Style" w:hAnsi="Bookman Old Style"/>
        </w:rPr>
        <w:t xml:space="preserve"> y el numeral 24.5 del artículo 24</w:t>
      </w:r>
      <w:r w:rsidRPr="00E11573">
        <w:rPr>
          <w:rFonts w:ascii="Bookman Old Style" w:hAnsi="Bookman Old Style"/>
        </w:rPr>
        <w:t xml:space="preserve"> de la Resolución CREG 091 de 2007, la Comisión de Regulación de Energía y Gas cuenta con la competencia para resolver </w:t>
      </w:r>
      <w:r w:rsidR="00FA2779">
        <w:rPr>
          <w:rFonts w:ascii="Bookman Old Style" w:hAnsi="Bookman Old Style"/>
        </w:rPr>
        <w:t>la solicitud presentada por la e</w:t>
      </w:r>
      <w:r w:rsidRPr="00E11573">
        <w:rPr>
          <w:rFonts w:ascii="Bookman Old Style" w:hAnsi="Bookman Old Style"/>
        </w:rPr>
        <w:t>mpresa</w:t>
      </w:r>
      <w:r w:rsidR="00727040">
        <w:rPr>
          <w:rFonts w:ascii="Bookman Old Style" w:hAnsi="Bookman Old Style"/>
        </w:rPr>
        <w:t xml:space="preserve"> </w:t>
      </w:r>
      <w:r w:rsidR="00C21AD5" w:rsidRPr="00705245">
        <w:rPr>
          <w:rFonts w:ascii="Bookman Old Style" w:hAnsi="Bookman Old Style"/>
        </w:rPr>
        <w:t>Electropac</w:t>
      </w:r>
      <w:r w:rsidR="00C21AD5">
        <w:rPr>
          <w:rFonts w:ascii="Bookman Old Style" w:hAnsi="Bookman Old Style"/>
        </w:rPr>
        <w:t>í</w:t>
      </w:r>
      <w:r w:rsidR="00C21AD5" w:rsidRPr="00705245">
        <w:rPr>
          <w:rFonts w:ascii="Bookman Old Style" w:hAnsi="Bookman Old Style"/>
        </w:rPr>
        <w:t xml:space="preserve">fico </w:t>
      </w:r>
      <w:r w:rsidR="00727040" w:rsidRPr="00705245">
        <w:rPr>
          <w:rFonts w:ascii="Bookman Old Style" w:hAnsi="Bookman Old Style"/>
        </w:rPr>
        <w:t>S.A E.S.P</w:t>
      </w:r>
      <w:r w:rsidRPr="00705245">
        <w:rPr>
          <w:rFonts w:ascii="Bookman Old Style" w:hAnsi="Bookman Old Style"/>
        </w:rPr>
        <w:t>.</w:t>
      </w:r>
    </w:p>
    <w:p w14:paraId="699A3F47" w14:textId="77777777" w:rsidR="003C59FA" w:rsidRPr="001459AA" w:rsidRDefault="003C59FA" w:rsidP="001A74A7">
      <w:pPr>
        <w:ind w:left="284" w:right="142"/>
        <w:jc w:val="both"/>
        <w:rPr>
          <w:rFonts w:ascii="Bookman Old Style" w:hAnsi="Bookman Old Style"/>
        </w:rPr>
      </w:pPr>
    </w:p>
    <w:p w14:paraId="5D7A82A6" w14:textId="6055F73B" w:rsid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EL</w:t>
      </w:r>
      <w:r w:rsidR="005F2B6B">
        <w:rPr>
          <w:rFonts w:ascii="Bookman Old Style" w:hAnsi="Bookman Old Style" w:cs="Arial"/>
          <w:b/>
        </w:rPr>
        <w:t xml:space="preserve"> </w:t>
      </w:r>
      <w:r w:rsidRPr="001A74A7">
        <w:rPr>
          <w:rFonts w:ascii="Bookman Old Style" w:hAnsi="Bookman Old Style" w:cs="Arial"/>
          <w:b/>
        </w:rPr>
        <w:t xml:space="preserve">TRÁMITE </w:t>
      </w:r>
      <w:r w:rsidRPr="00552F05">
        <w:rPr>
          <w:rFonts w:ascii="Bookman Old Style" w:hAnsi="Bookman Old Style" w:cs="Arial"/>
          <w:b/>
        </w:rPr>
        <w:t>ADELANTADO</w:t>
      </w:r>
    </w:p>
    <w:p w14:paraId="3FF2FDCF" w14:textId="77777777" w:rsidR="00D127D0" w:rsidRPr="001A74A7" w:rsidRDefault="00D127D0" w:rsidP="00D127D0">
      <w:pPr>
        <w:ind w:left="644" w:right="142"/>
        <w:jc w:val="both"/>
        <w:rPr>
          <w:rFonts w:ascii="Bookman Old Style" w:hAnsi="Bookman Old Style" w:cs="Arial"/>
          <w:b/>
        </w:rPr>
      </w:pPr>
    </w:p>
    <w:p w14:paraId="67FFD06E" w14:textId="5CFA8872" w:rsidR="00727040" w:rsidRDefault="00727040" w:rsidP="00727040">
      <w:pPr>
        <w:widowControl w:val="0"/>
        <w:ind w:left="284" w:right="51"/>
        <w:jc w:val="both"/>
        <w:rPr>
          <w:rFonts w:ascii="Bookman Old Style" w:eastAsia="Calibri" w:hAnsi="Bookman Old Style" w:cs="Arial"/>
          <w:lang w:val="es-MX" w:eastAsia="en-US"/>
        </w:rPr>
      </w:pPr>
      <w:r w:rsidRPr="00727040">
        <w:rPr>
          <w:rFonts w:ascii="Bookman Old Style" w:eastAsia="Calibri" w:hAnsi="Bookman Old Style" w:cs="Arial"/>
          <w:lang w:eastAsia="en-US"/>
        </w:rPr>
        <w:t xml:space="preserve">Mediante Auto con radicado </w:t>
      </w:r>
      <w:r w:rsidR="001342BA" w:rsidRPr="00727040">
        <w:rPr>
          <w:rFonts w:ascii="Bookman Old Style" w:eastAsia="Calibri" w:hAnsi="Bookman Old Style" w:cs="Arial"/>
          <w:lang w:eastAsia="en-US"/>
        </w:rPr>
        <w:t xml:space="preserve">CREG </w:t>
      </w:r>
      <w:r w:rsidR="001342BA" w:rsidRPr="003F337F">
        <w:rPr>
          <w:rFonts w:ascii="Bookman Old Style" w:eastAsia="Calibri" w:hAnsi="Bookman Old Style" w:cs="Arial"/>
          <w:lang w:val="es-MX" w:eastAsia="en-US"/>
        </w:rPr>
        <w:t>I</w:t>
      </w:r>
      <w:r w:rsidR="003F337F" w:rsidRPr="003F337F">
        <w:rPr>
          <w:rFonts w:ascii="Bookman Old Style" w:eastAsia="Calibri" w:hAnsi="Bookman Old Style" w:cs="Arial"/>
          <w:lang w:val="es-MX" w:eastAsia="en-US"/>
        </w:rPr>
        <w:t xml:space="preserve">-2019-002546 </w:t>
      </w:r>
      <w:r w:rsidRPr="00727040">
        <w:rPr>
          <w:rFonts w:ascii="Bookman Old Style" w:eastAsia="Calibri" w:hAnsi="Bookman Old Style" w:cs="Arial"/>
          <w:lang w:eastAsia="en-US"/>
        </w:rPr>
        <w:t xml:space="preserve">proferido el </w:t>
      </w:r>
      <w:r w:rsidR="003F337F">
        <w:rPr>
          <w:rFonts w:ascii="Bookman Old Style" w:eastAsia="Calibri" w:hAnsi="Bookman Old Style" w:cs="Arial"/>
          <w:lang w:val="es-MX" w:eastAsia="en-US"/>
        </w:rPr>
        <w:t xml:space="preserve">12 </w:t>
      </w:r>
      <w:r w:rsidRPr="00727040">
        <w:rPr>
          <w:rFonts w:ascii="Bookman Old Style" w:eastAsia="Calibri" w:hAnsi="Bookman Old Style" w:cs="Arial"/>
          <w:lang w:val="es-MX" w:eastAsia="en-US"/>
        </w:rPr>
        <w:t xml:space="preserve">de </w:t>
      </w:r>
      <w:r w:rsidR="003F337F">
        <w:rPr>
          <w:rFonts w:ascii="Bookman Old Style" w:eastAsia="Calibri" w:hAnsi="Bookman Old Style" w:cs="Arial"/>
          <w:lang w:val="es-MX" w:eastAsia="en-US"/>
        </w:rPr>
        <w:t>abril</w:t>
      </w:r>
      <w:r w:rsidRPr="00727040">
        <w:rPr>
          <w:rFonts w:ascii="Bookman Old Style" w:eastAsia="Calibri" w:hAnsi="Bookman Old Style" w:cs="Arial"/>
          <w:lang w:val="es-MX" w:eastAsia="en-US"/>
        </w:rPr>
        <w:t xml:space="preserve"> de 201</w:t>
      </w:r>
      <w:r w:rsidR="003F337F">
        <w:rPr>
          <w:rFonts w:ascii="Bookman Old Style" w:eastAsia="Calibri" w:hAnsi="Bookman Old Style" w:cs="Arial"/>
          <w:lang w:val="es-MX" w:eastAsia="en-US"/>
        </w:rPr>
        <w:t>9</w:t>
      </w:r>
      <w:r w:rsidRPr="00727040">
        <w:rPr>
          <w:rFonts w:ascii="Bookman Old Style" w:eastAsia="Calibri" w:hAnsi="Bookman Old Style" w:cs="Arial"/>
          <w:lang w:val="es-MX" w:eastAsia="en-US"/>
        </w:rPr>
        <w:t>,</w:t>
      </w:r>
      <w:r w:rsidRPr="00727040">
        <w:rPr>
          <w:rFonts w:ascii="Bookman Old Style" w:eastAsia="Calibri" w:hAnsi="Bookman Old Style" w:cs="Arial"/>
          <w:lang w:eastAsia="en-US"/>
        </w:rPr>
        <w:t xml:space="preserve"> la Dirección Ejecutiva de la Comisión ordenó la conformación del expediente administrativo </w:t>
      </w:r>
      <w:r w:rsidR="00C81620" w:rsidRPr="00BE466D">
        <w:rPr>
          <w:rFonts w:ascii="Bookman Old Style" w:hAnsi="Bookman Old Style" w:cs="Arial"/>
        </w:rPr>
        <w:t>2019-0028</w:t>
      </w:r>
      <w:r w:rsidR="00C21AD5">
        <w:rPr>
          <w:rFonts w:ascii="Bookman Old Style" w:hAnsi="Bookman Old Style" w:cs="Arial"/>
        </w:rPr>
        <w:t>,</w:t>
      </w:r>
      <w:r w:rsidR="00C81620">
        <w:rPr>
          <w:rFonts w:ascii="Bookman Old Style" w:hAnsi="Bookman Old Style" w:cs="Arial"/>
        </w:rPr>
        <w:t xml:space="preserve"> </w:t>
      </w:r>
      <w:r w:rsidRPr="00727040">
        <w:rPr>
          <w:rFonts w:ascii="Bookman Old Style" w:eastAsia="Calibri" w:hAnsi="Bookman Old Style" w:cs="Arial"/>
          <w:lang w:eastAsia="en-US"/>
        </w:rPr>
        <w:t xml:space="preserve">con el objeto de decidir sobre la solicitud de </w:t>
      </w:r>
      <w:r w:rsidR="001342BA" w:rsidRPr="001342BA">
        <w:rPr>
          <w:rFonts w:ascii="Bookman Old Style" w:eastAsia="Calibri" w:hAnsi="Bookman Old Style" w:cs="Arial"/>
          <w:lang w:val="es-MX" w:eastAsia="en-US"/>
        </w:rPr>
        <w:t xml:space="preserve">aprobación de un cargo de generación para un proyecto híbrido </w:t>
      </w:r>
      <w:r w:rsidR="00EB373C">
        <w:rPr>
          <w:rFonts w:ascii="Bookman Old Style" w:eastAsia="Calibri" w:hAnsi="Bookman Old Style" w:cs="Arial"/>
          <w:lang w:val="es-MX" w:eastAsia="en-US"/>
        </w:rPr>
        <w:t>d</w:t>
      </w:r>
      <w:r w:rsidR="001342BA" w:rsidRPr="001342BA">
        <w:rPr>
          <w:rFonts w:ascii="Bookman Old Style" w:eastAsia="Calibri" w:hAnsi="Bookman Old Style" w:cs="Arial"/>
          <w:lang w:val="es-MX" w:eastAsia="en-US"/>
        </w:rPr>
        <w:t>iésel</w:t>
      </w:r>
      <w:r w:rsidR="00C21AD5">
        <w:rPr>
          <w:rFonts w:ascii="Bookman Old Style" w:eastAsia="Calibri" w:hAnsi="Bookman Old Style" w:cs="Arial"/>
          <w:lang w:val="es-MX" w:eastAsia="en-US"/>
        </w:rPr>
        <w:noBreakHyphen/>
      </w:r>
      <w:r w:rsidR="00EB373C">
        <w:rPr>
          <w:rFonts w:ascii="Bookman Old Style" w:eastAsia="Calibri" w:hAnsi="Bookman Old Style" w:cs="Arial"/>
          <w:lang w:val="es-MX" w:eastAsia="en-US"/>
        </w:rPr>
        <w:t>f</w:t>
      </w:r>
      <w:r w:rsidR="001342BA" w:rsidRPr="001342BA">
        <w:rPr>
          <w:rFonts w:ascii="Bookman Old Style" w:eastAsia="Calibri" w:hAnsi="Bookman Old Style" w:cs="Arial"/>
          <w:lang w:val="es-MX" w:eastAsia="en-US"/>
        </w:rPr>
        <w:t>otovoltaico para las comunidades de</w:t>
      </w:r>
      <w:r w:rsidR="00DF06C5">
        <w:rPr>
          <w:rFonts w:ascii="Bookman Old Style" w:eastAsia="Calibri" w:hAnsi="Bookman Old Style" w:cs="Arial"/>
          <w:lang w:val="es-MX" w:eastAsia="en-US"/>
        </w:rPr>
        <w:t xml:space="preserve"> El</w:t>
      </w:r>
      <w:r w:rsidR="001342BA" w:rsidRPr="001342BA">
        <w:rPr>
          <w:rFonts w:ascii="Bookman Old Style" w:eastAsia="Calibri" w:hAnsi="Bookman Old Style" w:cs="Arial"/>
          <w:lang w:val="es-MX" w:eastAsia="en-US"/>
        </w:rPr>
        <w:t xml:space="preserve"> Cedral y Jumaracarra en el municipio de Juradó, departamento del Chocó</w:t>
      </w:r>
      <w:r w:rsidR="00705245">
        <w:rPr>
          <w:rFonts w:ascii="Bookman Old Style" w:eastAsia="Calibri" w:hAnsi="Bookman Old Style" w:cs="Arial"/>
          <w:lang w:val="es-MX" w:eastAsia="en-US"/>
        </w:rPr>
        <w:t>, presentada por la empresa</w:t>
      </w:r>
      <w:r w:rsidR="001342BA" w:rsidRPr="001342BA">
        <w:rPr>
          <w:rFonts w:ascii="Bookman Old Style" w:eastAsia="Calibri" w:hAnsi="Bookman Old Style" w:cs="Arial"/>
          <w:lang w:val="es-MX" w:eastAsia="en-US"/>
        </w:rPr>
        <w:t>.</w:t>
      </w:r>
    </w:p>
    <w:p w14:paraId="5BEBEAD2" w14:textId="77777777" w:rsidR="00652F47" w:rsidRPr="00D127D0" w:rsidRDefault="00652F47" w:rsidP="00727040">
      <w:pPr>
        <w:widowControl w:val="0"/>
        <w:ind w:left="284" w:right="51"/>
        <w:jc w:val="both"/>
        <w:rPr>
          <w:rFonts w:ascii="Bookman Old Style" w:hAnsi="Bookman Old Style" w:cs="Arial"/>
          <w:lang w:val="es-MX"/>
        </w:rPr>
      </w:pPr>
    </w:p>
    <w:p w14:paraId="049C527C" w14:textId="041379F8" w:rsidR="001342BA" w:rsidRDefault="00652F47" w:rsidP="00727040">
      <w:pPr>
        <w:widowControl w:val="0"/>
        <w:ind w:left="284" w:right="51"/>
        <w:jc w:val="both"/>
        <w:rPr>
          <w:rFonts w:ascii="Bookman Old Style" w:eastAsia="Calibri" w:hAnsi="Bookman Old Style" w:cs="Arial"/>
          <w:lang w:eastAsia="en-US"/>
        </w:rPr>
      </w:pPr>
      <w:r w:rsidRPr="00652F47">
        <w:rPr>
          <w:rFonts w:ascii="Bookman Old Style" w:hAnsi="Bookman Old Style" w:cs="Arial"/>
        </w:rPr>
        <w:t>En cumplimiento de lo previsto en el artículo 37 del Código de Procedimiento Administrativo y de lo Contencioso Administrativo</w:t>
      </w:r>
      <w:r w:rsidR="00BD2964">
        <w:rPr>
          <w:rFonts w:ascii="Bookman Old Style" w:hAnsi="Bookman Old Style" w:cs="Arial"/>
        </w:rPr>
        <w:t>, así como l</w:t>
      </w:r>
      <w:r w:rsidRPr="00652F47">
        <w:rPr>
          <w:rFonts w:ascii="Bookman Old Style" w:hAnsi="Bookman Old Style" w:cs="Arial"/>
        </w:rPr>
        <w:t xml:space="preserve">o señalado en el Auto </w:t>
      </w:r>
      <w:r w:rsidRPr="00652F47">
        <w:rPr>
          <w:rFonts w:ascii="Bookman Old Style" w:hAnsi="Bookman Old Style" w:cs="Arial"/>
          <w:spacing w:val="-3"/>
        </w:rPr>
        <w:t>I-2019-002546,</w:t>
      </w:r>
      <w:r w:rsidRPr="00652F47">
        <w:rPr>
          <w:rFonts w:ascii="Bookman Old Style" w:hAnsi="Bookman Old Style" w:cs="Arial"/>
        </w:rPr>
        <w:t xml:space="preserve"> se publicó un extracto con el resumen de la actuación administrativa en el Diario Oficial </w:t>
      </w:r>
      <w:r w:rsidRPr="002950E0">
        <w:rPr>
          <w:rFonts w:ascii="Bookman Old Style" w:hAnsi="Bookman Old Style" w:cs="Arial"/>
        </w:rPr>
        <w:t>5</w:t>
      </w:r>
      <w:r w:rsidR="002950E0" w:rsidRPr="002950E0">
        <w:rPr>
          <w:rFonts w:ascii="Bookman Old Style" w:hAnsi="Bookman Old Style" w:cs="Arial"/>
        </w:rPr>
        <w:t>0.924</w:t>
      </w:r>
      <w:r w:rsidRPr="002950E0">
        <w:rPr>
          <w:rFonts w:ascii="Bookman Old Style" w:hAnsi="Bookman Old Style" w:cs="Arial"/>
        </w:rPr>
        <w:t xml:space="preserve"> del </w:t>
      </w:r>
      <w:r w:rsidR="002950E0" w:rsidRPr="002950E0">
        <w:rPr>
          <w:rFonts w:ascii="Bookman Old Style" w:hAnsi="Bookman Old Style" w:cs="Arial"/>
        </w:rPr>
        <w:t>12</w:t>
      </w:r>
      <w:r w:rsidRPr="002950E0">
        <w:rPr>
          <w:rFonts w:ascii="Bookman Old Style" w:hAnsi="Bookman Old Style" w:cs="Arial"/>
        </w:rPr>
        <w:t xml:space="preserve"> de </w:t>
      </w:r>
      <w:r w:rsidR="002950E0" w:rsidRPr="002950E0">
        <w:rPr>
          <w:rFonts w:ascii="Bookman Old Style" w:hAnsi="Bookman Old Style" w:cs="Arial"/>
        </w:rPr>
        <w:t xml:space="preserve">abril </w:t>
      </w:r>
      <w:r w:rsidRPr="002950E0">
        <w:rPr>
          <w:rFonts w:ascii="Bookman Old Style" w:hAnsi="Bookman Old Style" w:cs="Arial"/>
        </w:rPr>
        <w:t>de 2019</w:t>
      </w:r>
      <w:r w:rsidR="00C21AD5">
        <w:rPr>
          <w:rFonts w:ascii="Bookman Old Style" w:hAnsi="Bookman Old Style" w:cs="Arial"/>
        </w:rPr>
        <w:t>,</w:t>
      </w:r>
      <w:r w:rsidRPr="00652F47">
        <w:rPr>
          <w:rFonts w:ascii="Bookman Old Style" w:hAnsi="Bookman Old Style" w:cs="Arial"/>
        </w:rPr>
        <w:t xml:space="preserve"> y se publicó el aviso </w:t>
      </w:r>
      <w:r w:rsidRPr="002950E0">
        <w:rPr>
          <w:rFonts w:ascii="Bookman Old Style" w:hAnsi="Bookman Old Style" w:cs="Arial"/>
        </w:rPr>
        <w:t>No. 0</w:t>
      </w:r>
      <w:r w:rsidR="002950E0" w:rsidRPr="002950E0">
        <w:rPr>
          <w:rFonts w:ascii="Bookman Old Style" w:hAnsi="Bookman Old Style" w:cs="Arial"/>
        </w:rPr>
        <w:t>21</w:t>
      </w:r>
      <w:r w:rsidRPr="002950E0">
        <w:rPr>
          <w:rFonts w:ascii="Bookman Old Style" w:hAnsi="Bookman Old Style" w:cs="Arial"/>
        </w:rPr>
        <w:t xml:space="preserve"> del </w:t>
      </w:r>
      <w:r w:rsidR="002950E0" w:rsidRPr="002950E0">
        <w:rPr>
          <w:rFonts w:ascii="Bookman Old Style" w:hAnsi="Bookman Old Style" w:cs="Arial"/>
        </w:rPr>
        <w:t>10 de abril</w:t>
      </w:r>
      <w:r w:rsidRPr="002950E0">
        <w:rPr>
          <w:rFonts w:ascii="Bookman Old Style" w:hAnsi="Bookman Old Style" w:cs="Arial"/>
        </w:rPr>
        <w:t xml:space="preserve"> de 2019 en la</w:t>
      </w:r>
      <w:r w:rsidRPr="00652F47">
        <w:rPr>
          <w:rFonts w:ascii="Bookman Old Style" w:hAnsi="Bookman Old Style" w:cs="Arial"/>
        </w:rPr>
        <w:t xml:space="preserve"> página web de la CREG</w:t>
      </w:r>
      <w:r w:rsidR="002950E0">
        <w:rPr>
          <w:rFonts w:ascii="Bookman Old Style" w:hAnsi="Bookman Old Style" w:cs="Arial"/>
        </w:rPr>
        <w:t xml:space="preserve">. </w:t>
      </w:r>
    </w:p>
    <w:p w14:paraId="7C150A80" w14:textId="77777777" w:rsidR="001342BA" w:rsidRDefault="001342BA" w:rsidP="00727040">
      <w:pPr>
        <w:widowControl w:val="0"/>
        <w:ind w:left="284" w:right="51"/>
        <w:jc w:val="both"/>
        <w:rPr>
          <w:rFonts w:ascii="Arial" w:eastAsia="Calibri" w:hAnsi="Arial" w:cs="Arial"/>
          <w:sz w:val="14"/>
          <w:lang w:eastAsia="en-US"/>
        </w:rPr>
      </w:pPr>
    </w:p>
    <w:p w14:paraId="4E40DE30" w14:textId="12515A7A" w:rsidR="00DB73DD" w:rsidRDefault="00CA0209" w:rsidP="00727040">
      <w:pPr>
        <w:ind w:left="284"/>
        <w:jc w:val="both"/>
        <w:rPr>
          <w:rFonts w:ascii="Bookman Old Style" w:hAnsi="Bookman Old Style" w:cs="Arial"/>
        </w:rPr>
      </w:pPr>
      <w:r>
        <w:rPr>
          <w:rFonts w:ascii="Bookman Old Style" w:hAnsi="Bookman Old Style" w:cs="Arial"/>
        </w:rPr>
        <w:t xml:space="preserve">Mediante </w:t>
      </w:r>
      <w:r w:rsidR="00DB73DD">
        <w:rPr>
          <w:rFonts w:ascii="Bookman Old Style" w:hAnsi="Bookman Old Style" w:cs="Arial"/>
        </w:rPr>
        <w:t xml:space="preserve">comunicación </w:t>
      </w:r>
      <w:r>
        <w:rPr>
          <w:rFonts w:ascii="Bookman Old Style" w:hAnsi="Bookman Old Style" w:cs="Arial"/>
        </w:rPr>
        <w:t xml:space="preserve">con radicado CREG </w:t>
      </w:r>
      <w:r w:rsidR="00DB73DD" w:rsidRPr="00DB73DD">
        <w:rPr>
          <w:rFonts w:ascii="Bookman Old Style" w:hAnsi="Bookman Old Style" w:cs="Arial"/>
        </w:rPr>
        <w:t>S-2019-001922</w:t>
      </w:r>
      <w:r w:rsidR="00DB73DD">
        <w:rPr>
          <w:rFonts w:ascii="Bookman Old Style" w:hAnsi="Bookman Old Style" w:cs="Arial"/>
        </w:rPr>
        <w:t xml:space="preserve"> del </w:t>
      </w:r>
      <w:r w:rsidR="00D83874" w:rsidRPr="00D83874">
        <w:rPr>
          <w:rFonts w:ascii="Bookman Old Style" w:hAnsi="Bookman Old Style" w:cs="Arial"/>
        </w:rPr>
        <w:t>11</w:t>
      </w:r>
      <w:r w:rsidR="00DB73DD" w:rsidRPr="00D83874">
        <w:rPr>
          <w:rFonts w:ascii="Bookman Old Style" w:hAnsi="Bookman Old Style" w:cs="Arial"/>
        </w:rPr>
        <w:t xml:space="preserve"> de </w:t>
      </w:r>
      <w:r w:rsidR="00D83874" w:rsidRPr="00D83874">
        <w:rPr>
          <w:rFonts w:ascii="Bookman Old Style" w:hAnsi="Bookman Old Style" w:cs="Arial"/>
        </w:rPr>
        <w:t>abril</w:t>
      </w:r>
      <w:r w:rsidR="00DB73DD" w:rsidRPr="00D83874">
        <w:rPr>
          <w:rFonts w:ascii="Bookman Old Style" w:hAnsi="Bookman Old Style" w:cs="Arial"/>
        </w:rPr>
        <w:t xml:space="preserve"> de 2019</w:t>
      </w:r>
      <w:r w:rsidRPr="00D83874">
        <w:rPr>
          <w:rFonts w:ascii="Bookman Old Style" w:hAnsi="Bookman Old Style" w:cs="Arial"/>
        </w:rPr>
        <w:t>,</w:t>
      </w:r>
      <w:r>
        <w:rPr>
          <w:rFonts w:ascii="Bookman Old Style" w:hAnsi="Bookman Old Style" w:cs="Arial"/>
        </w:rPr>
        <w:t xml:space="preserve"> </w:t>
      </w:r>
      <w:r w:rsidR="00652F47">
        <w:rPr>
          <w:rFonts w:ascii="Bookman Old Style" w:hAnsi="Bookman Old Style" w:cs="Arial"/>
        </w:rPr>
        <w:t>se</w:t>
      </w:r>
      <w:r>
        <w:rPr>
          <w:rFonts w:ascii="Bookman Old Style" w:hAnsi="Bookman Old Style" w:cs="Arial"/>
        </w:rPr>
        <w:t xml:space="preserve"> le comunicó a </w:t>
      </w:r>
      <w:r w:rsidR="00C21AD5" w:rsidRPr="00705245">
        <w:rPr>
          <w:rFonts w:ascii="Bookman Old Style" w:hAnsi="Bookman Old Style" w:cs="Arial"/>
        </w:rPr>
        <w:t>Electropac</w:t>
      </w:r>
      <w:r w:rsidR="00C21AD5">
        <w:rPr>
          <w:rFonts w:ascii="Bookman Old Style" w:hAnsi="Bookman Old Style" w:cs="Arial"/>
        </w:rPr>
        <w:t>í</w:t>
      </w:r>
      <w:r w:rsidR="00C21AD5" w:rsidRPr="00705245">
        <w:rPr>
          <w:rFonts w:ascii="Bookman Old Style" w:hAnsi="Bookman Old Style" w:cs="Arial"/>
        </w:rPr>
        <w:t xml:space="preserve">fico </w:t>
      </w:r>
      <w:r w:rsidRPr="00705245">
        <w:rPr>
          <w:rFonts w:ascii="Bookman Old Style" w:hAnsi="Bookman Old Style" w:cs="Arial"/>
        </w:rPr>
        <w:t>S.A E.S.P.</w:t>
      </w:r>
      <w:r w:rsidR="00DB73DD">
        <w:rPr>
          <w:rFonts w:ascii="Bookman Old Style" w:hAnsi="Bookman Old Style" w:cs="Arial"/>
        </w:rPr>
        <w:t xml:space="preserve"> del inicio de la actuación administrativa</w:t>
      </w:r>
      <w:r w:rsidR="00C21AD5">
        <w:rPr>
          <w:rFonts w:ascii="Bookman Old Style" w:hAnsi="Bookman Old Style" w:cs="Arial"/>
        </w:rPr>
        <w:t>,</w:t>
      </w:r>
      <w:r>
        <w:rPr>
          <w:rFonts w:ascii="Bookman Old Style" w:hAnsi="Bookman Old Style" w:cs="Arial"/>
        </w:rPr>
        <w:t xml:space="preserve"> </w:t>
      </w:r>
      <w:r w:rsidR="00F57E6A">
        <w:rPr>
          <w:rFonts w:ascii="Bookman Old Style" w:hAnsi="Bookman Old Style" w:cs="Arial"/>
        </w:rPr>
        <w:t xml:space="preserve">y </w:t>
      </w:r>
      <w:r w:rsidR="00BD2964">
        <w:rPr>
          <w:rFonts w:ascii="Bookman Old Style" w:hAnsi="Bookman Old Style" w:cs="Arial"/>
        </w:rPr>
        <w:t xml:space="preserve">se le </w:t>
      </w:r>
      <w:r w:rsidR="00F57E6A">
        <w:rPr>
          <w:rFonts w:ascii="Bookman Old Style" w:hAnsi="Bookman Old Style" w:cs="Arial"/>
        </w:rPr>
        <w:t xml:space="preserve">remitió copia </w:t>
      </w:r>
      <w:r w:rsidR="00DB73DD">
        <w:rPr>
          <w:rFonts w:ascii="Bookman Old Style" w:hAnsi="Bookman Old Style" w:cs="Arial"/>
        </w:rPr>
        <w:t>del</w:t>
      </w:r>
      <w:r w:rsidR="00652F47">
        <w:rPr>
          <w:rFonts w:ascii="Bookman Old Style" w:hAnsi="Bookman Old Style" w:cs="Arial"/>
        </w:rPr>
        <w:t xml:space="preserve"> respectivo</w:t>
      </w:r>
      <w:r w:rsidR="00DB73DD">
        <w:rPr>
          <w:rFonts w:ascii="Bookman Old Style" w:hAnsi="Bookman Old Style" w:cs="Arial"/>
        </w:rPr>
        <w:t xml:space="preserve"> auto de inicio. </w:t>
      </w:r>
    </w:p>
    <w:p w14:paraId="2998C3DC" w14:textId="77777777" w:rsidR="00DB73DD" w:rsidRDefault="00DB73DD" w:rsidP="009B6146">
      <w:pPr>
        <w:jc w:val="both"/>
        <w:rPr>
          <w:rFonts w:ascii="Bookman Old Style" w:hAnsi="Bookman Old Style" w:cs="Arial"/>
        </w:rPr>
      </w:pPr>
    </w:p>
    <w:p w14:paraId="649EA264" w14:textId="61734202" w:rsidR="00652F47" w:rsidRDefault="00B51E41" w:rsidP="00652F47">
      <w:pPr>
        <w:ind w:left="284"/>
        <w:jc w:val="both"/>
        <w:rPr>
          <w:rFonts w:ascii="Bookman Old Style" w:hAnsi="Bookman Old Style" w:cs="Arial"/>
        </w:rPr>
      </w:pPr>
      <w:r>
        <w:rPr>
          <w:rFonts w:ascii="Bookman Old Style" w:hAnsi="Bookman Old Style" w:cs="Arial"/>
        </w:rPr>
        <w:t xml:space="preserve">Mediante oficio con </w:t>
      </w:r>
      <w:r w:rsidR="00652F47" w:rsidRPr="00652F47">
        <w:rPr>
          <w:rFonts w:ascii="Bookman Old Style" w:hAnsi="Bookman Old Style" w:cs="Arial"/>
        </w:rPr>
        <w:t xml:space="preserve">radicado CREG </w:t>
      </w:r>
      <w:r w:rsidR="00652F47" w:rsidRPr="00D83874">
        <w:rPr>
          <w:rFonts w:ascii="Bookman Old Style" w:hAnsi="Bookman Old Style" w:cs="Arial"/>
        </w:rPr>
        <w:t>S-2019-00</w:t>
      </w:r>
      <w:r w:rsidR="00D83874" w:rsidRPr="00D83874">
        <w:rPr>
          <w:rFonts w:ascii="Bookman Old Style" w:hAnsi="Bookman Old Style" w:cs="Arial"/>
        </w:rPr>
        <w:t>2000</w:t>
      </w:r>
      <w:r w:rsidR="00652F47" w:rsidRPr="00D83874">
        <w:rPr>
          <w:rFonts w:ascii="Bookman Old Style" w:hAnsi="Bookman Old Style" w:cs="Arial"/>
        </w:rPr>
        <w:t xml:space="preserve"> </w:t>
      </w:r>
      <w:r w:rsidR="00D83874" w:rsidRPr="00D83874">
        <w:rPr>
          <w:rFonts w:ascii="Bookman Old Style" w:hAnsi="Bookman Old Style" w:cs="Arial"/>
        </w:rPr>
        <w:t>del</w:t>
      </w:r>
      <w:r w:rsidR="00D83874">
        <w:rPr>
          <w:rFonts w:ascii="Bookman Old Style" w:hAnsi="Bookman Old Style" w:cs="Arial"/>
        </w:rPr>
        <w:t xml:space="preserve"> 11 de abril de 2019</w:t>
      </w:r>
      <w:r w:rsidR="00BD2964">
        <w:rPr>
          <w:rFonts w:ascii="Bookman Old Style" w:hAnsi="Bookman Old Style" w:cs="Arial"/>
        </w:rPr>
        <w:t>,</w:t>
      </w:r>
      <w:r w:rsidR="00D83874">
        <w:rPr>
          <w:rFonts w:ascii="Bookman Old Style" w:hAnsi="Bookman Old Style" w:cs="Arial"/>
        </w:rPr>
        <w:t xml:space="preserve"> </w:t>
      </w:r>
      <w:r w:rsidR="00652F47" w:rsidRPr="00652F47">
        <w:rPr>
          <w:rFonts w:ascii="Bookman Old Style" w:hAnsi="Bookman Old Style" w:cs="Arial"/>
        </w:rPr>
        <w:t xml:space="preserve">se le comunicó </w:t>
      </w:r>
      <w:r w:rsidR="00BD2964" w:rsidRPr="00652F47">
        <w:rPr>
          <w:rFonts w:ascii="Bookman Old Style" w:hAnsi="Bookman Old Style" w:cs="Arial"/>
        </w:rPr>
        <w:t xml:space="preserve">a la Alcaldía Municipal de </w:t>
      </w:r>
      <w:r w:rsidR="00BD2964">
        <w:rPr>
          <w:rFonts w:ascii="Bookman Old Style" w:hAnsi="Bookman Old Style" w:cs="Arial"/>
        </w:rPr>
        <w:t>Juradó</w:t>
      </w:r>
      <w:r w:rsidR="00BD2964" w:rsidRPr="00652F47">
        <w:rPr>
          <w:rFonts w:ascii="Bookman Old Style" w:hAnsi="Bookman Old Style" w:cs="Arial"/>
        </w:rPr>
        <w:t xml:space="preserve"> </w:t>
      </w:r>
      <w:r w:rsidR="00652F47" w:rsidRPr="00652F47">
        <w:rPr>
          <w:rFonts w:ascii="Bookman Old Style" w:hAnsi="Bookman Old Style" w:cs="Arial"/>
        </w:rPr>
        <w:t>del inicio de la actuación administrativa</w:t>
      </w:r>
      <w:r w:rsidR="00C21AD5">
        <w:rPr>
          <w:rFonts w:ascii="Bookman Old Style" w:hAnsi="Bookman Old Style" w:cs="Arial"/>
        </w:rPr>
        <w:t>,</w:t>
      </w:r>
      <w:r w:rsidR="00652F47" w:rsidRPr="00652F47">
        <w:rPr>
          <w:rFonts w:ascii="Bookman Old Style" w:hAnsi="Bookman Old Style" w:cs="Arial"/>
        </w:rPr>
        <w:t xml:space="preserve"> para los fines previstos en el artículo 37 del Código de Procedimiento Administrativo y de lo Contencioso Administrativo.</w:t>
      </w:r>
    </w:p>
    <w:p w14:paraId="34C8BD81" w14:textId="77777777" w:rsidR="00BD2964" w:rsidRDefault="00BD2964" w:rsidP="00652F47">
      <w:pPr>
        <w:ind w:left="284"/>
        <w:jc w:val="both"/>
        <w:rPr>
          <w:rFonts w:ascii="Bookman Old Style" w:hAnsi="Bookman Old Style" w:cs="Arial"/>
        </w:rPr>
      </w:pPr>
    </w:p>
    <w:p w14:paraId="141ADC47" w14:textId="798E8243" w:rsidR="00652F47" w:rsidRDefault="00652F47" w:rsidP="00652F47">
      <w:pPr>
        <w:ind w:left="284"/>
        <w:jc w:val="both"/>
        <w:rPr>
          <w:rFonts w:ascii="Bookman Old Style" w:eastAsia="Calibri" w:hAnsi="Bookman Old Style" w:cs="Arial"/>
          <w:lang w:eastAsia="en-US"/>
        </w:rPr>
      </w:pPr>
      <w:r w:rsidRPr="00727040">
        <w:rPr>
          <w:rFonts w:ascii="Bookman Old Style" w:eastAsia="Calibri" w:hAnsi="Bookman Old Style" w:cs="Arial"/>
          <w:lang w:eastAsia="en-US"/>
        </w:rPr>
        <w:t xml:space="preserve">Mediante Auto con radicado CREG </w:t>
      </w:r>
      <w:r>
        <w:rPr>
          <w:rFonts w:ascii="Bookman Old Style" w:hAnsi="Bookman Old Style" w:cs="Arial"/>
        </w:rPr>
        <w:t>I-2019-004586</w:t>
      </w:r>
      <w:r w:rsidR="00BD2964">
        <w:rPr>
          <w:rFonts w:ascii="Bookman Old Style" w:hAnsi="Bookman Old Style" w:cs="Arial"/>
        </w:rPr>
        <w:t>,</w:t>
      </w:r>
      <w:r>
        <w:rPr>
          <w:rFonts w:ascii="Bookman Old Style" w:hAnsi="Bookman Old Style" w:cs="Arial"/>
        </w:rPr>
        <w:t xml:space="preserve"> </w:t>
      </w:r>
      <w:r w:rsidRPr="00727040">
        <w:rPr>
          <w:rFonts w:ascii="Bookman Old Style" w:eastAsia="Calibri" w:hAnsi="Bookman Old Style" w:cs="Arial"/>
          <w:lang w:eastAsia="en-US"/>
        </w:rPr>
        <w:t xml:space="preserve">proferido </w:t>
      </w:r>
      <w:r w:rsidR="0093745B">
        <w:rPr>
          <w:rFonts w:ascii="Bookman Old Style" w:eastAsia="Calibri" w:hAnsi="Bookman Old Style" w:cs="Arial"/>
          <w:lang w:eastAsia="en-US"/>
        </w:rPr>
        <w:t xml:space="preserve">por </w:t>
      </w:r>
      <w:r w:rsidR="0093745B" w:rsidRPr="00727040">
        <w:rPr>
          <w:rFonts w:ascii="Bookman Old Style" w:eastAsia="Calibri" w:hAnsi="Bookman Old Style" w:cs="Arial"/>
          <w:lang w:eastAsia="en-US"/>
        </w:rPr>
        <w:t>la Dirección Ejecutiva de la Comisión</w:t>
      </w:r>
      <w:r w:rsidR="00BD2964">
        <w:rPr>
          <w:rFonts w:ascii="Bookman Old Style" w:eastAsia="Calibri" w:hAnsi="Bookman Old Style" w:cs="Arial"/>
          <w:lang w:eastAsia="en-US"/>
        </w:rPr>
        <w:t>,</w:t>
      </w:r>
      <w:r w:rsidR="0093745B" w:rsidRPr="00727040">
        <w:rPr>
          <w:rFonts w:ascii="Bookman Old Style" w:eastAsia="Calibri" w:hAnsi="Bookman Old Style" w:cs="Arial"/>
          <w:lang w:eastAsia="en-US"/>
        </w:rPr>
        <w:t xml:space="preserve"> </w:t>
      </w:r>
      <w:r w:rsidRPr="00727040">
        <w:rPr>
          <w:rFonts w:ascii="Bookman Old Style" w:eastAsia="Calibri" w:hAnsi="Bookman Old Style" w:cs="Arial"/>
          <w:lang w:eastAsia="en-US"/>
        </w:rPr>
        <w:t xml:space="preserve">el </w:t>
      </w:r>
      <w:r w:rsidR="00D83874" w:rsidRPr="00D83874">
        <w:rPr>
          <w:rFonts w:ascii="Bookman Old Style" w:eastAsia="Calibri" w:hAnsi="Bookman Old Style" w:cs="Arial"/>
          <w:lang w:val="es-MX" w:eastAsia="en-US"/>
        </w:rPr>
        <w:t>26</w:t>
      </w:r>
      <w:r w:rsidRPr="00D83874">
        <w:rPr>
          <w:rFonts w:ascii="Bookman Old Style" w:eastAsia="Calibri" w:hAnsi="Bookman Old Style" w:cs="Arial"/>
          <w:lang w:val="es-MX" w:eastAsia="en-US"/>
        </w:rPr>
        <w:t xml:space="preserve"> de </w:t>
      </w:r>
      <w:r w:rsidR="00D83874">
        <w:rPr>
          <w:rFonts w:ascii="Bookman Old Style" w:eastAsia="Calibri" w:hAnsi="Bookman Old Style" w:cs="Arial"/>
          <w:lang w:val="es-MX" w:eastAsia="en-US"/>
        </w:rPr>
        <w:t>julio</w:t>
      </w:r>
      <w:r w:rsidRPr="00727040">
        <w:rPr>
          <w:rFonts w:ascii="Bookman Old Style" w:eastAsia="Calibri" w:hAnsi="Bookman Old Style" w:cs="Arial"/>
          <w:lang w:val="es-MX" w:eastAsia="en-US"/>
        </w:rPr>
        <w:t xml:space="preserve"> de 201</w:t>
      </w:r>
      <w:r>
        <w:rPr>
          <w:rFonts w:ascii="Bookman Old Style" w:eastAsia="Calibri" w:hAnsi="Bookman Old Style" w:cs="Arial"/>
          <w:lang w:val="es-MX" w:eastAsia="en-US"/>
        </w:rPr>
        <w:t>9</w:t>
      </w:r>
      <w:r w:rsidR="0093745B">
        <w:rPr>
          <w:rFonts w:ascii="Bookman Old Style" w:eastAsia="Calibri" w:hAnsi="Bookman Old Style" w:cs="Arial"/>
          <w:lang w:val="es-MX" w:eastAsia="en-US"/>
        </w:rPr>
        <w:t xml:space="preserve"> se</w:t>
      </w:r>
      <w:r w:rsidRPr="00727040">
        <w:rPr>
          <w:rFonts w:ascii="Bookman Old Style" w:eastAsia="Calibri" w:hAnsi="Bookman Old Style" w:cs="Arial"/>
          <w:lang w:eastAsia="en-US"/>
        </w:rPr>
        <w:t xml:space="preserve"> ordenó</w:t>
      </w:r>
      <w:r>
        <w:rPr>
          <w:rFonts w:ascii="Bookman Old Style" w:eastAsia="Calibri" w:hAnsi="Bookman Old Style" w:cs="Arial"/>
          <w:lang w:eastAsia="en-US"/>
        </w:rPr>
        <w:t xml:space="preserve"> </w:t>
      </w:r>
      <w:r w:rsidRPr="00652F47">
        <w:rPr>
          <w:rFonts w:ascii="Bookman Old Style" w:eastAsia="Calibri" w:hAnsi="Bookman Old Style" w:cs="Arial"/>
          <w:lang w:eastAsia="en-US"/>
        </w:rPr>
        <w:t>decretar la práctica de pruebas de oficio</w:t>
      </w:r>
      <w:r w:rsidR="005E673E">
        <w:rPr>
          <w:rFonts w:ascii="Bookman Old Style" w:eastAsia="Calibri" w:hAnsi="Bookman Old Style" w:cs="Arial"/>
          <w:lang w:eastAsia="en-US"/>
        </w:rPr>
        <w:t>,</w:t>
      </w:r>
      <w:r w:rsidRPr="00652F47">
        <w:rPr>
          <w:rFonts w:ascii="Bookman Old Style" w:eastAsia="Calibri" w:hAnsi="Bookman Old Style" w:cs="Arial"/>
          <w:lang w:eastAsia="en-US"/>
        </w:rPr>
        <w:t xml:space="preserve"> tendientes a aclarar y complementar la información presentada</w:t>
      </w:r>
      <w:r w:rsidR="0053257C">
        <w:rPr>
          <w:rFonts w:ascii="Bookman Old Style" w:eastAsia="Calibri" w:hAnsi="Bookman Old Style" w:cs="Arial"/>
          <w:lang w:eastAsia="en-US"/>
        </w:rPr>
        <w:t xml:space="preserve"> </w:t>
      </w:r>
      <w:r w:rsidR="0053257C" w:rsidRPr="00652F47">
        <w:rPr>
          <w:rFonts w:ascii="Bookman Old Style" w:eastAsia="Calibri" w:hAnsi="Bookman Old Style" w:cs="Arial"/>
          <w:lang w:eastAsia="en-US"/>
        </w:rPr>
        <w:t>por la empresa</w:t>
      </w:r>
      <w:r w:rsidRPr="00652F47">
        <w:rPr>
          <w:rFonts w:ascii="Bookman Old Style" w:eastAsia="Calibri" w:hAnsi="Bookman Old Style" w:cs="Arial"/>
          <w:lang w:eastAsia="en-US"/>
        </w:rPr>
        <w:t xml:space="preserve"> </w:t>
      </w:r>
      <w:r w:rsidR="00BD2964">
        <w:rPr>
          <w:rFonts w:ascii="Bookman Old Style" w:eastAsia="Calibri" w:hAnsi="Bookman Old Style" w:cs="Arial"/>
          <w:lang w:eastAsia="en-US"/>
        </w:rPr>
        <w:t>dentro de la actuación administrativa</w:t>
      </w:r>
      <w:r w:rsidR="00BD2964" w:rsidRPr="00652F47">
        <w:rPr>
          <w:rFonts w:ascii="Bookman Old Style" w:eastAsia="Calibri" w:hAnsi="Bookman Old Style" w:cs="Arial"/>
          <w:lang w:eastAsia="en-US"/>
        </w:rPr>
        <w:t xml:space="preserve"> </w:t>
      </w:r>
      <w:r w:rsidRPr="00652F47">
        <w:rPr>
          <w:rFonts w:ascii="Bookman Old Style" w:eastAsia="Calibri" w:hAnsi="Bookman Old Style" w:cs="Arial"/>
          <w:lang w:eastAsia="en-US"/>
        </w:rPr>
        <w:t xml:space="preserve">mediante </w:t>
      </w:r>
      <w:r>
        <w:rPr>
          <w:rFonts w:ascii="Bookman Old Style" w:eastAsia="Calibri" w:hAnsi="Bookman Old Style" w:cs="Arial"/>
          <w:lang w:eastAsia="en-US"/>
        </w:rPr>
        <w:t xml:space="preserve">los </w:t>
      </w:r>
      <w:r w:rsidRPr="00652F47">
        <w:rPr>
          <w:rFonts w:ascii="Bookman Old Style" w:eastAsia="Calibri" w:hAnsi="Bookman Old Style" w:cs="Arial"/>
          <w:lang w:eastAsia="en-US"/>
        </w:rPr>
        <w:t xml:space="preserve">radicados CREG E-2019-002423, E-2019-004020 y </w:t>
      </w:r>
      <w:r w:rsidRPr="0053257C">
        <w:rPr>
          <w:rFonts w:ascii="Bookman Old Style" w:eastAsia="Calibri" w:hAnsi="Bookman Old Style" w:cs="Arial"/>
          <w:lang w:eastAsia="en-US"/>
        </w:rPr>
        <w:t>E-2019-005057.</w:t>
      </w:r>
    </w:p>
    <w:p w14:paraId="65813E2C" w14:textId="77777777" w:rsidR="00B51E41" w:rsidRDefault="00B51E41" w:rsidP="00652F47">
      <w:pPr>
        <w:ind w:left="284"/>
        <w:jc w:val="both"/>
        <w:rPr>
          <w:rFonts w:ascii="Bookman Old Style" w:eastAsia="Calibri" w:hAnsi="Bookman Old Style" w:cs="Arial"/>
          <w:lang w:eastAsia="en-US"/>
        </w:rPr>
      </w:pPr>
    </w:p>
    <w:p w14:paraId="2A3B0889" w14:textId="77777777" w:rsidR="00C76004" w:rsidRPr="00C76004" w:rsidRDefault="00B51E41" w:rsidP="00B51E41">
      <w:pPr>
        <w:ind w:left="284"/>
        <w:jc w:val="both"/>
        <w:rPr>
          <w:rFonts w:ascii="Bookman Old Style" w:eastAsia="Calibri" w:hAnsi="Bookman Old Style" w:cs="Arial"/>
          <w:lang w:eastAsia="en-US"/>
        </w:rPr>
      </w:pPr>
      <w:r w:rsidRPr="00C76004">
        <w:rPr>
          <w:rFonts w:ascii="Bookman Old Style" w:eastAsia="Calibri" w:hAnsi="Bookman Old Style" w:cs="Arial"/>
          <w:lang w:eastAsia="en-US"/>
        </w:rPr>
        <w:t>La solicitud de aclaración y ampliación de información a la empresa fue en relación</w:t>
      </w:r>
      <w:r w:rsidR="00C76004" w:rsidRPr="00C76004">
        <w:rPr>
          <w:rFonts w:ascii="Bookman Old Style" w:eastAsia="Calibri" w:hAnsi="Bookman Old Style" w:cs="Arial"/>
          <w:lang w:eastAsia="en-US"/>
        </w:rPr>
        <w:t xml:space="preserve"> con</w:t>
      </w:r>
      <w:r w:rsidR="005E673E">
        <w:rPr>
          <w:rFonts w:ascii="Bookman Old Style" w:eastAsia="Calibri" w:hAnsi="Bookman Old Style" w:cs="Arial"/>
          <w:lang w:eastAsia="en-US"/>
        </w:rPr>
        <w:t>,</w:t>
      </w:r>
      <w:r w:rsidR="00C76004" w:rsidRPr="00C76004">
        <w:rPr>
          <w:rFonts w:ascii="Bookman Old Style" w:eastAsia="Calibri" w:hAnsi="Bookman Old Style" w:cs="Arial"/>
          <w:lang w:eastAsia="en-US"/>
        </w:rPr>
        <w:t xml:space="preserve"> entre otros</w:t>
      </w:r>
      <w:r w:rsidRPr="00C76004">
        <w:rPr>
          <w:rFonts w:ascii="Bookman Old Style" w:eastAsia="Calibri" w:hAnsi="Bookman Old Style" w:cs="Arial"/>
          <w:lang w:eastAsia="en-US"/>
        </w:rPr>
        <w:t xml:space="preserve">: </w:t>
      </w:r>
      <w:r w:rsidR="00C76004" w:rsidRPr="00C76004">
        <w:rPr>
          <w:rFonts w:ascii="Bookman Old Style" w:eastAsia="Calibri" w:hAnsi="Bookman Old Style" w:cs="Arial"/>
          <w:lang w:eastAsia="en-US"/>
        </w:rPr>
        <w:t xml:space="preserve">el dimensionamiento del sistema, las condiciones técnicas y criterios utilizados, el diagrama unifilar de las plantas solares y </w:t>
      </w:r>
      <w:r w:rsidR="00C76004" w:rsidRPr="00C76004">
        <w:rPr>
          <w:rFonts w:ascii="Bookman Old Style" w:eastAsia="Calibri" w:hAnsi="Bookman Old Style" w:cs="Arial"/>
          <w:lang w:val="es-CO"/>
        </w:rPr>
        <w:t xml:space="preserve">las pérdidas a partir de las cuáles se hizo el cálculo de eficiencia de los sistemas presentados en la solicitud de cargo. </w:t>
      </w:r>
    </w:p>
    <w:p w14:paraId="35C32E7C" w14:textId="77777777" w:rsidR="00C76004" w:rsidRDefault="00C76004" w:rsidP="0093745B">
      <w:pPr>
        <w:ind w:left="284"/>
        <w:jc w:val="both"/>
        <w:rPr>
          <w:rFonts w:ascii="Bookman Old Style" w:hAnsi="Bookman Old Style" w:cs="Arial"/>
        </w:rPr>
      </w:pPr>
    </w:p>
    <w:p w14:paraId="1BDB262A" w14:textId="5608C4B9" w:rsidR="0093745B" w:rsidRDefault="0093745B" w:rsidP="0093745B">
      <w:pPr>
        <w:ind w:left="284"/>
        <w:jc w:val="both"/>
        <w:rPr>
          <w:rFonts w:ascii="Bookman Old Style" w:hAnsi="Bookman Old Style" w:cs="Arial"/>
        </w:rPr>
      </w:pPr>
      <w:r w:rsidRPr="0093745B">
        <w:rPr>
          <w:rFonts w:ascii="Bookman Old Style" w:hAnsi="Bookman Old Style" w:cs="Arial"/>
        </w:rPr>
        <w:t xml:space="preserve">Mediante comunicación con radicado CREG </w:t>
      </w:r>
      <w:r w:rsidRPr="00652F47">
        <w:rPr>
          <w:rFonts w:ascii="Bookman Old Style" w:hAnsi="Bookman Old Style" w:cs="Arial"/>
        </w:rPr>
        <w:t>S-2019-004233</w:t>
      </w:r>
      <w:r>
        <w:rPr>
          <w:rFonts w:ascii="Bookman Old Style" w:hAnsi="Bookman Old Style" w:cs="Arial"/>
        </w:rPr>
        <w:t xml:space="preserve"> </w:t>
      </w:r>
      <w:r w:rsidRPr="0093745B">
        <w:rPr>
          <w:rFonts w:ascii="Bookman Old Style" w:hAnsi="Bookman Old Style" w:cs="Arial"/>
        </w:rPr>
        <w:t xml:space="preserve">del </w:t>
      </w:r>
      <w:r w:rsidR="00C31898" w:rsidRPr="004D071B">
        <w:rPr>
          <w:rFonts w:ascii="Bookman Old Style" w:hAnsi="Bookman Old Style" w:cs="Arial"/>
        </w:rPr>
        <w:t>2</w:t>
      </w:r>
      <w:r w:rsidR="004D071B" w:rsidRPr="004D071B">
        <w:rPr>
          <w:rFonts w:ascii="Bookman Old Style" w:hAnsi="Bookman Old Style" w:cs="Arial"/>
        </w:rPr>
        <w:t>6</w:t>
      </w:r>
      <w:r w:rsidR="00C31898" w:rsidRPr="004D071B">
        <w:rPr>
          <w:rFonts w:ascii="Bookman Old Style" w:hAnsi="Bookman Old Style" w:cs="Arial"/>
        </w:rPr>
        <w:t xml:space="preserve"> de julio</w:t>
      </w:r>
      <w:r w:rsidRPr="0093745B">
        <w:rPr>
          <w:rFonts w:ascii="Bookman Old Style" w:hAnsi="Bookman Old Style" w:cs="Arial"/>
        </w:rPr>
        <w:t xml:space="preserve"> de 2019, se le comunicó a</w:t>
      </w:r>
      <w:r w:rsidRPr="004D071B">
        <w:rPr>
          <w:rFonts w:ascii="Bookman Old Style" w:hAnsi="Bookman Old Style" w:cs="Arial"/>
        </w:rPr>
        <w:t xml:space="preserve"> </w:t>
      </w:r>
      <w:r w:rsidR="00C21AD5" w:rsidRPr="004D071B">
        <w:rPr>
          <w:rFonts w:ascii="Bookman Old Style" w:hAnsi="Bookman Old Style" w:cs="Arial"/>
        </w:rPr>
        <w:t>Electropac</w:t>
      </w:r>
      <w:r w:rsidR="00C21AD5">
        <w:rPr>
          <w:rFonts w:ascii="Bookman Old Style" w:hAnsi="Bookman Old Style" w:cs="Arial"/>
        </w:rPr>
        <w:t>í</w:t>
      </w:r>
      <w:r w:rsidR="00C21AD5" w:rsidRPr="004D071B">
        <w:rPr>
          <w:rFonts w:ascii="Bookman Old Style" w:hAnsi="Bookman Old Style" w:cs="Arial"/>
        </w:rPr>
        <w:t xml:space="preserve">fico </w:t>
      </w:r>
      <w:r w:rsidRPr="0093745B">
        <w:rPr>
          <w:rFonts w:ascii="Bookman Old Style" w:hAnsi="Bookman Old Style" w:cs="Arial"/>
        </w:rPr>
        <w:t xml:space="preserve">del </w:t>
      </w:r>
      <w:r>
        <w:rPr>
          <w:rFonts w:ascii="Bookman Old Style" w:hAnsi="Bookman Old Style" w:cs="Arial"/>
        </w:rPr>
        <w:t>decreto de la práctica de pruebas</w:t>
      </w:r>
      <w:r w:rsidR="00C21AD5">
        <w:rPr>
          <w:rFonts w:ascii="Bookman Old Style" w:hAnsi="Bookman Old Style" w:cs="Arial"/>
        </w:rPr>
        <w:t>,</w:t>
      </w:r>
      <w:r>
        <w:rPr>
          <w:rFonts w:ascii="Bookman Old Style" w:hAnsi="Bookman Old Style" w:cs="Arial"/>
        </w:rPr>
        <w:t xml:space="preserve"> y se le</w:t>
      </w:r>
      <w:r w:rsidRPr="0093745B">
        <w:rPr>
          <w:rFonts w:ascii="Bookman Old Style" w:hAnsi="Bookman Old Style" w:cs="Arial"/>
        </w:rPr>
        <w:t xml:space="preserve"> remitió copia del respectivo auto.</w:t>
      </w:r>
    </w:p>
    <w:p w14:paraId="4153C7F0" w14:textId="77777777" w:rsidR="005E673E" w:rsidRPr="0093745B" w:rsidRDefault="005E673E" w:rsidP="0093745B">
      <w:pPr>
        <w:ind w:left="284"/>
        <w:jc w:val="both"/>
        <w:rPr>
          <w:rFonts w:ascii="Bookman Old Style" w:hAnsi="Bookman Old Style" w:cs="Arial"/>
          <w:lang w:val="es-MX"/>
        </w:rPr>
      </w:pPr>
    </w:p>
    <w:p w14:paraId="462A223F" w14:textId="296FD536" w:rsidR="00652F47" w:rsidRDefault="00C21AD5" w:rsidP="00B51E41">
      <w:pPr>
        <w:ind w:left="284"/>
        <w:jc w:val="both"/>
        <w:rPr>
          <w:rFonts w:ascii="Bookman Old Style" w:hAnsi="Bookman Old Style" w:cs="Arial"/>
        </w:rPr>
      </w:pPr>
      <w:r w:rsidRPr="009B6146">
        <w:rPr>
          <w:rFonts w:ascii="Bookman Old Style" w:hAnsi="Bookman Old Style" w:cs="Arial"/>
        </w:rPr>
        <w:t>Electropac</w:t>
      </w:r>
      <w:r>
        <w:rPr>
          <w:rFonts w:ascii="Bookman Old Style" w:hAnsi="Bookman Old Style" w:cs="Arial"/>
        </w:rPr>
        <w:t>í</w:t>
      </w:r>
      <w:r w:rsidRPr="009B6146">
        <w:rPr>
          <w:rFonts w:ascii="Bookman Old Style" w:hAnsi="Bookman Old Style" w:cs="Arial"/>
        </w:rPr>
        <w:t>fico</w:t>
      </w:r>
      <w:r w:rsidR="005E673E" w:rsidRPr="009B6146">
        <w:rPr>
          <w:rFonts w:ascii="Bookman Old Style" w:hAnsi="Bookman Old Style" w:cs="Arial"/>
        </w:rPr>
        <w:t>,</w:t>
      </w:r>
      <w:r w:rsidR="00B51E41" w:rsidRPr="009B6146">
        <w:rPr>
          <w:rFonts w:ascii="Bookman Old Style" w:hAnsi="Bookman Old Style" w:cs="Arial"/>
        </w:rPr>
        <w:t xml:space="preserve"> </w:t>
      </w:r>
      <w:r w:rsidR="00B51E41">
        <w:rPr>
          <w:rFonts w:ascii="Bookman Old Style" w:hAnsi="Bookman Old Style" w:cs="Arial"/>
        </w:rPr>
        <w:t>mediante comunicación con radicado CREG</w:t>
      </w:r>
      <w:r w:rsidR="00B51E41">
        <w:rPr>
          <w:rFonts w:ascii="Bookman Old Style" w:hAnsi="Bookman Old Style" w:cs="Arial"/>
          <w:lang w:val="es-MX"/>
        </w:rPr>
        <w:t xml:space="preserve"> </w:t>
      </w:r>
      <w:r w:rsidR="005E7460">
        <w:rPr>
          <w:rFonts w:ascii="Bookman Old Style" w:hAnsi="Bookman Old Style" w:cs="Arial"/>
        </w:rPr>
        <w:t>E-2019-</w:t>
      </w:r>
      <w:r w:rsidR="00B51E41" w:rsidRPr="00B51E41">
        <w:rPr>
          <w:rFonts w:ascii="Bookman Old Style" w:hAnsi="Bookman Old Style" w:cs="Arial"/>
        </w:rPr>
        <w:t>008577</w:t>
      </w:r>
      <w:r w:rsidR="00B51E41">
        <w:rPr>
          <w:rFonts w:ascii="Bookman Old Style" w:hAnsi="Bookman Old Style" w:cs="Arial"/>
        </w:rPr>
        <w:t xml:space="preserve"> </w:t>
      </w:r>
      <w:r w:rsidR="00B51E41" w:rsidRPr="005E7460">
        <w:rPr>
          <w:rFonts w:ascii="Bookman Old Style" w:hAnsi="Bookman Old Style" w:cs="Arial"/>
        </w:rPr>
        <w:t xml:space="preserve">del </w:t>
      </w:r>
      <w:r w:rsidR="005E7460" w:rsidRPr="005E7460">
        <w:rPr>
          <w:rFonts w:ascii="Bookman Old Style" w:hAnsi="Bookman Old Style" w:cs="Arial"/>
        </w:rPr>
        <w:t>12</w:t>
      </w:r>
      <w:r w:rsidR="00B51E41" w:rsidRPr="005E7460">
        <w:rPr>
          <w:rFonts w:ascii="Bookman Old Style" w:hAnsi="Bookman Old Style" w:cs="Arial"/>
        </w:rPr>
        <w:t xml:space="preserve"> de </w:t>
      </w:r>
      <w:r w:rsidR="005E7460">
        <w:rPr>
          <w:rFonts w:ascii="Bookman Old Style" w:hAnsi="Bookman Old Style" w:cs="Arial"/>
        </w:rPr>
        <w:t>agosto</w:t>
      </w:r>
      <w:r w:rsidR="00B51E41">
        <w:rPr>
          <w:rFonts w:ascii="Bookman Old Style" w:hAnsi="Bookman Old Style" w:cs="Arial"/>
        </w:rPr>
        <w:t xml:space="preserve"> de 2019</w:t>
      </w:r>
      <w:r w:rsidR="005E673E">
        <w:rPr>
          <w:rFonts w:ascii="Bookman Old Style" w:hAnsi="Bookman Old Style" w:cs="Arial"/>
        </w:rPr>
        <w:t>,</w:t>
      </w:r>
      <w:r w:rsidR="00B51E41">
        <w:rPr>
          <w:rFonts w:ascii="Bookman Old Style" w:hAnsi="Bookman Old Style" w:cs="Arial"/>
        </w:rPr>
        <w:t xml:space="preserve"> presentó la información re</w:t>
      </w:r>
      <w:r w:rsidR="005E7460">
        <w:rPr>
          <w:rFonts w:ascii="Bookman Old Style" w:hAnsi="Bookman Old Style" w:cs="Arial"/>
        </w:rPr>
        <w:t xml:space="preserve">querida en el auto de pruebas. </w:t>
      </w:r>
    </w:p>
    <w:p w14:paraId="59709F7B" w14:textId="77777777" w:rsidR="00135FEE" w:rsidRPr="00DA79F7" w:rsidRDefault="00135FEE" w:rsidP="00B51E41">
      <w:pPr>
        <w:ind w:left="284"/>
        <w:jc w:val="both"/>
        <w:rPr>
          <w:rFonts w:ascii="Bookman Old Style" w:hAnsi="Bookman Old Style" w:cs="Arial"/>
        </w:rPr>
      </w:pPr>
    </w:p>
    <w:p w14:paraId="50A30E4B" w14:textId="4AAF15B9" w:rsidR="00652F47" w:rsidRPr="00EF79B9" w:rsidRDefault="00652F47" w:rsidP="00652F47">
      <w:pPr>
        <w:ind w:left="284"/>
        <w:jc w:val="both"/>
        <w:rPr>
          <w:rFonts w:ascii="Bookman Old Style" w:hAnsi="Bookman Old Style" w:cs="Arial"/>
        </w:rPr>
      </w:pPr>
      <w:r w:rsidRPr="00652F47">
        <w:rPr>
          <w:rFonts w:ascii="Bookman Old Style" w:hAnsi="Bookman Old Style" w:cs="Arial"/>
        </w:rPr>
        <w:t xml:space="preserve">Mediante comunicación con radicado CREG </w:t>
      </w:r>
      <w:r w:rsidR="00493613" w:rsidRPr="00493613">
        <w:rPr>
          <w:rFonts w:ascii="Bookman Old Style" w:hAnsi="Bookman Old Style" w:cs="Arial"/>
        </w:rPr>
        <w:t xml:space="preserve">E-2019-009323 </w:t>
      </w:r>
      <w:r w:rsidRPr="00EF79B9">
        <w:rPr>
          <w:rFonts w:ascii="Bookman Old Style" w:hAnsi="Bookman Old Style" w:cs="Arial"/>
        </w:rPr>
        <w:t xml:space="preserve">del </w:t>
      </w:r>
      <w:r w:rsidR="00493613" w:rsidRPr="00EF79B9">
        <w:rPr>
          <w:rFonts w:ascii="Bookman Old Style" w:hAnsi="Bookman Old Style" w:cs="Arial"/>
        </w:rPr>
        <w:t xml:space="preserve">02 </w:t>
      </w:r>
      <w:r w:rsidRPr="00EF79B9">
        <w:rPr>
          <w:rFonts w:ascii="Bookman Old Style" w:hAnsi="Bookman Old Style" w:cs="Arial"/>
        </w:rPr>
        <w:t xml:space="preserve">de </w:t>
      </w:r>
      <w:r w:rsidR="00493613">
        <w:rPr>
          <w:rFonts w:ascii="Bookman Old Style" w:hAnsi="Bookman Old Style" w:cs="Arial"/>
        </w:rPr>
        <w:t>septiembre</w:t>
      </w:r>
      <w:r w:rsidRPr="00652F47">
        <w:rPr>
          <w:rFonts w:ascii="Bookman Old Style" w:hAnsi="Bookman Old Style" w:cs="Arial"/>
        </w:rPr>
        <w:t xml:space="preserve"> de 2019, fue remitida </w:t>
      </w:r>
      <w:r w:rsidR="00C21AD5">
        <w:rPr>
          <w:rFonts w:ascii="Bookman Old Style" w:hAnsi="Bookman Old Style" w:cs="Arial"/>
        </w:rPr>
        <w:t xml:space="preserve">la </w:t>
      </w:r>
      <w:r w:rsidRPr="00652F47">
        <w:rPr>
          <w:rFonts w:ascii="Bookman Old Style" w:hAnsi="Bookman Old Style" w:cs="Arial"/>
        </w:rPr>
        <w:t xml:space="preserve">certificación de desfijación del aviso </w:t>
      </w:r>
      <w:r w:rsidRPr="00EF79B9">
        <w:rPr>
          <w:rFonts w:ascii="Bookman Old Style" w:hAnsi="Bookman Old Style" w:cs="Arial"/>
        </w:rPr>
        <w:t xml:space="preserve">No. </w:t>
      </w:r>
      <w:r w:rsidR="00A35829" w:rsidRPr="00EF79B9">
        <w:rPr>
          <w:rFonts w:ascii="Bookman Old Style" w:hAnsi="Bookman Old Style" w:cs="Arial"/>
        </w:rPr>
        <w:t>021</w:t>
      </w:r>
      <w:r w:rsidRPr="00EF79B9">
        <w:rPr>
          <w:rFonts w:ascii="Bookman Old Style" w:hAnsi="Bookman Old Style" w:cs="Arial"/>
        </w:rPr>
        <w:t xml:space="preserve"> de 2019 en la Alcaldía de Juradó.</w:t>
      </w:r>
    </w:p>
    <w:p w14:paraId="1A684092" w14:textId="77777777" w:rsidR="00652F47" w:rsidRDefault="00652F47" w:rsidP="00727040">
      <w:pPr>
        <w:ind w:left="284"/>
        <w:jc w:val="both"/>
        <w:rPr>
          <w:rFonts w:ascii="Bookman Old Style" w:hAnsi="Bookman Old Style" w:cs="Arial"/>
        </w:rPr>
      </w:pPr>
    </w:p>
    <w:p w14:paraId="2C81D50A" w14:textId="77777777" w:rsidR="00CD195F" w:rsidRDefault="00CD195F" w:rsidP="00CD195F">
      <w:pPr>
        <w:pStyle w:val="Textoindependiente2"/>
        <w:spacing w:after="0" w:line="240" w:lineRule="auto"/>
        <w:ind w:left="284"/>
        <w:jc w:val="both"/>
        <w:rPr>
          <w:rFonts w:ascii="Bookman Old Style" w:hAnsi="Bookman Old Style" w:cs="Arial"/>
          <w:lang w:val="es-CO"/>
        </w:rPr>
      </w:pPr>
      <w:r w:rsidRPr="00AF3646">
        <w:rPr>
          <w:rFonts w:ascii="Bookman Old Style" w:hAnsi="Bookman Old Style" w:cs="Arial"/>
        </w:rPr>
        <w:t xml:space="preserve">En la actuación administrativa no se hicieron parte usuarios u otros terceros interesados. </w:t>
      </w:r>
    </w:p>
    <w:p w14:paraId="0BD6BCB9" w14:textId="77777777" w:rsidR="00652F47" w:rsidRDefault="00652F47" w:rsidP="00CD195F">
      <w:pPr>
        <w:pStyle w:val="Textoindependiente2"/>
        <w:spacing w:after="0" w:line="240" w:lineRule="auto"/>
        <w:ind w:left="284"/>
        <w:jc w:val="both"/>
        <w:rPr>
          <w:rFonts w:ascii="Bookman Old Style" w:hAnsi="Bookman Old Style" w:cs="Arial"/>
          <w:lang w:val="es-CO"/>
        </w:rPr>
      </w:pPr>
    </w:p>
    <w:p w14:paraId="4812C1C0" w14:textId="42533097" w:rsid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ANÁLISIS DE LA SOLICITUD</w:t>
      </w:r>
    </w:p>
    <w:p w14:paraId="129FB39A" w14:textId="77777777" w:rsidR="005F2B6B" w:rsidRDefault="005F2B6B" w:rsidP="00E87470">
      <w:pPr>
        <w:ind w:left="284" w:right="142"/>
        <w:jc w:val="both"/>
        <w:rPr>
          <w:rFonts w:ascii="Bookman Old Style" w:hAnsi="Bookman Old Style" w:cs="Arial"/>
          <w:b/>
        </w:rPr>
      </w:pPr>
    </w:p>
    <w:p w14:paraId="13B9CE0D" w14:textId="77777777" w:rsidR="00D451C0" w:rsidRPr="0007678D" w:rsidRDefault="00D451C0" w:rsidP="0007678D">
      <w:pPr>
        <w:pStyle w:val="Prrafodelista"/>
        <w:numPr>
          <w:ilvl w:val="1"/>
          <w:numId w:val="8"/>
        </w:numPr>
        <w:ind w:right="142"/>
        <w:jc w:val="both"/>
        <w:rPr>
          <w:rFonts w:ascii="Bookman Old Style" w:hAnsi="Bookman Old Style"/>
          <w:b/>
          <w:sz w:val="24"/>
        </w:rPr>
      </w:pPr>
      <w:r w:rsidRPr="0007678D">
        <w:rPr>
          <w:rFonts w:ascii="Bookman Old Style" w:hAnsi="Bookman Old Style"/>
          <w:b/>
          <w:sz w:val="24"/>
        </w:rPr>
        <w:t>CONSIDERACIÓN JURÍDICA</w:t>
      </w:r>
    </w:p>
    <w:p w14:paraId="5A22778D" w14:textId="77777777" w:rsidR="0007678D" w:rsidRPr="00E87470" w:rsidRDefault="0007678D" w:rsidP="00E87470">
      <w:pPr>
        <w:ind w:left="284" w:right="142"/>
        <w:jc w:val="both"/>
        <w:rPr>
          <w:rFonts w:ascii="Bookman Old Style" w:hAnsi="Bookman Old Style"/>
          <w:b/>
        </w:rPr>
      </w:pPr>
    </w:p>
    <w:p w14:paraId="77514A37" w14:textId="59EAA43C" w:rsidR="00727040" w:rsidRPr="000C5DD0" w:rsidRDefault="00727040" w:rsidP="00727040">
      <w:pPr>
        <w:ind w:left="284"/>
        <w:jc w:val="both"/>
        <w:rPr>
          <w:rFonts w:ascii="Bookman Old Style" w:hAnsi="Bookman Old Style" w:cs="Arial"/>
        </w:rPr>
      </w:pPr>
      <w:r w:rsidRPr="000C5DD0">
        <w:rPr>
          <w:rFonts w:ascii="Bookman Old Style" w:hAnsi="Bookman Old Style" w:cs="Arial"/>
        </w:rPr>
        <w:t xml:space="preserve">Mediante la Resolución CREG 091 de 2007 se establecen las metodologías generales para remunerar las actividades de generación, distribución y comercialización de energía eléctrica, y las fórmulas tarifarias generales para establecer el costo unitario de prestación del servicio público de energía eléctrica en </w:t>
      </w:r>
      <w:r w:rsidR="00C21AD5">
        <w:rPr>
          <w:rFonts w:ascii="Bookman Old Style" w:hAnsi="Bookman Old Style" w:cs="Arial"/>
        </w:rPr>
        <w:t>Z</w:t>
      </w:r>
      <w:r w:rsidR="00C21AD5" w:rsidRPr="000C5DD0">
        <w:rPr>
          <w:rFonts w:ascii="Bookman Old Style" w:hAnsi="Bookman Old Style" w:cs="Arial"/>
        </w:rPr>
        <w:t xml:space="preserve">onas </w:t>
      </w:r>
      <w:r w:rsidR="00C21AD5">
        <w:rPr>
          <w:rFonts w:ascii="Bookman Old Style" w:hAnsi="Bookman Old Style" w:cs="Arial"/>
        </w:rPr>
        <w:t>N</w:t>
      </w:r>
      <w:r w:rsidR="00C21AD5" w:rsidRPr="000C5DD0">
        <w:rPr>
          <w:rFonts w:ascii="Bookman Old Style" w:hAnsi="Bookman Old Style" w:cs="Arial"/>
        </w:rPr>
        <w:t xml:space="preserve">o </w:t>
      </w:r>
      <w:r w:rsidR="00C21AD5">
        <w:rPr>
          <w:rFonts w:ascii="Bookman Old Style" w:hAnsi="Bookman Old Style" w:cs="Arial"/>
        </w:rPr>
        <w:t>I</w:t>
      </w:r>
      <w:r w:rsidR="00C21AD5" w:rsidRPr="000C5DD0">
        <w:rPr>
          <w:rFonts w:ascii="Bookman Old Style" w:hAnsi="Bookman Old Style" w:cs="Arial"/>
        </w:rPr>
        <w:t>nterconectadas</w:t>
      </w:r>
      <w:r w:rsidRPr="000C5DD0">
        <w:rPr>
          <w:rFonts w:ascii="Bookman Old Style" w:hAnsi="Bookman Old Style" w:cs="Arial"/>
        </w:rPr>
        <w:t>.</w:t>
      </w:r>
    </w:p>
    <w:p w14:paraId="049912B3" w14:textId="77777777" w:rsidR="00A0381B" w:rsidRPr="000C5DD0" w:rsidRDefault="00A0381B" w:rsidP="00727040">
      <w:pPr>
        <w:ind w:left="284"/>
        <w:jc w:val="both"/>
        <w:rPr>
          <w:rFonts w:ascii="Bookman Old Style" w:hAnsi="Bookman Old Style" w:cs="Arial"/>
        </w:rPr>
      </w:pPr>
    </w:p>
    <w:p w14:paraId="7F6F1419" w14:textId="58935674" w:rsidR="00727040" w:rsidRPr="000C5DD0" w:rsidRDefault="00727040" w:rsidP="00727040">
      <w:pPr>
        <w:ind w:left="284"/>
        <w:jc w:val="both"/>
        <w:rPr>
          <w:rFonts w:ascii="Bookman Old Style" w:hAnsi="Bookman Old Style" w:cs="Arial"/>
        </w:rPr>
      </w:pPr>
      <w:r w:rsidRPr="000C5DD0">
        <w:rPr>
          <w:rFonts w:ascii="Bookman Old Style" w:hAnsi="Bookman Old Style" w:cs="Arial"/>
        </w:rPr>
        <w:t>Mediante las Resoluciones CREG 161 de 2008, 057, 074, 097 de 2009 y 072 de 2013</w:t>
      </w:r>
      <w:r w:rsidR="00C21AD5">
        <w:rPr>
          <w:rFonts w:ascii="Bookman Old Style" w:hAnsi="Bookman Old Style" w:cs="Arial"/>
        </w:rPr>
        <w:t>,</w:t>
      </w:r>
      <w:r w:rsidRPr="000C5DD0">
        <w:rPr>
          <w:rFonts w:ascii="Bookman Old Style" w:hAnsi="Bookman Old Style" w:cs="Arial"/>
        </w:rPr>
        <w:t xml:space="preserve"> se modificó la Resolución CREG 091 de 2007.</w:t>
      </w:r>
    </w:p>
    <w:p w14:paraId="6362F053" w14:textId="77777777" w:rsidR="00A0381B" w:rsidRPr="000C5DD0" w:rsidRDefault="00A0381B" w:rsidP="00727040">
      <w:pPr>
        <w:ind w:left="284"/>
        <w:jc w:val="both"/>
        <w:rPr>
          <w:rFonts w:ascii="Bookman Old Style" w:hAnsi="Bookman Old Style" w:cs="Arial"/>
        </w:rPr>
      </w:pPr>
    </w:p>
    <w:p w14:paraId="65AA9A0F" w14:textId="77777777" w:rsidR="005006B9" w:rsidRPr="000C5DD0" w:rsidRDefault="005006B9" w:rsidP="005006B9">
      <w:pPr>
        <w:pStyle w:val="Style2"/>
        <w:shd w:val="clear" w:color="auto" w:fill="auto"/>
        <w:spacing w:before="0" w:line="240" w:lineRule="auto"/>
        <w:ind w:left="284" w:right="51" w:firstLine="0"/>
        <w:jc w:val="both"/>
        <w:rPr>
          <w:rFonts w:ascii="Bookman Old Style" w:hAnsi="Bookman Old Style"/>
          <w:sz w:val="24"/>
          <w:szCs w:val="24"/>
        </w:rPr>
      </w:pPr>
      <w:r w:rsidRPr="000C5DD0">
        <w:rPr>
          <w:rFonts w:ascii="Bookman Old Style" w:hAnsi="Bookman Old Style"/>
          <w:sz w:val="24"/>
          <w:szCs w:val="24"/>
        </w:rPr>
        <w:t>El</w:t>
      </w:r>
      <w:r w:rsidR="00A0381B" w:rsidRPr="000C5DD0">
        <w:rPr>
          <w:rFonts w:ascii="Bookman Old Style" w:hAnsi="Bookman Old Style"/>
          <w:sz w:val="24"/>
          <w:szCs w:val="24"/>
        </w:rPr>
        <w:t xml:space="preserve"> literal d del</w:t>
      </w:r>
      <w:r w:rsidRPr="000C5DD0">
        <w:rPr>
          <w:rFonts w:ascii="Bookman Old Style" w:hAnsi="Bookman Old Style"/>
          <w:sz w:val="24"/>
          <w:szCs w:val="24"/>
        </w:rPr>
        <w:t xml:space="preserve"> art</w:t>
      </w:r>
      <w:r w:rsidR="00967D8F" w:rsidRPr="000C5DD0">
        <w:rPr>
          <w:rFonts w:ascii="Bookman Old Style" w:hAnsi="Bookman Old Style"/>
          <w:sz w:val="24"/>
          <w:szCs w:val="24"/>
        </w:rPr>
        <w:t xml:space="preserve">ículo </w:t>
      </w:r>
      <w:r w:rsidR="00A0381B" w:rsidRPr="000C5DD0">
        <w:rPr>
          <w:rFonts w:ascii="Bookman Old Style" w:hAnsi="Bookman Old Style"/>
          <w:sz w:val="24"/>
          <w:szCs w:val="24"/>
        </w:rPr>
        <w:t>22</w:t>
      </w:r>
      <w:r w:rsidR="00967D8F" w:rsidRPr="000C5DD0">
        <w:rPr>
          <w:rFonts w:ascii="Bookman Old Style" w:hAnsi="Bookman Old Style"/>
          <w:sz w:val="24"/>
          <w:szCs w:val="24"/>
        </w:rPr>
        <w:t xml:space="preserve"> de la </w:t>
      </w:r>
      <w:r w:rsidR="00A0381B" w:rsidRPr="000C5DD0">
        <w:rPr>
          <w:rFonts w:ascii="Bookman Old Style" w:hAnsi="Bookman Old Style"/>
          <w:sz w:val="24"/>
          <w:szCs w:val="24"/>
        </w:rPr>
        <w:t>Resolución CREG 091 de 2007</w:t>
      </w:r>
      <w:r w:rsidR="00967D8F" w:rsidRPr="000C5DD0">
        <w:rPr>
          <w:rFonts w:ascii="Bookman Old Style" w:hAnsi="Bookman Old Style"/>
          <w:sz w:val="24"/>
          <w:szCs w:val="24"/>
        </w:rPr>
        <w:t xml:space="preserve">, invocado como fundamento de la solicitud, </w:t>
      </w:r>
      <w:r w:rsidR="006926AA" w:rsidRPr="000C5DD0">
        <w:rPr>
          <w:rFonts w:ascii="Bookman Old Style" w:hAnsi="Bookman Old Style"/>
          <w:sz w:val="24"/>
          <w:szCs w:val="24"/>
        </w:rPr>
        <w:t>señala lo siguiente</w:t>
      </w:r>
      <w:r w:rsidR="00967D8F" w:rsidRPr="000C5DD0">
        <w:rPr>
          <w:rFonts w:ascii="Bookman Old Style" w:hAnsi="Bookman Old Style"/>
          <w:sz w:val="24"/>
          <w:szCs w:val="24"/>
        </w:rPr>
        <w:t xml:space="preserve">: </w:t>
      </w:r>
    </w:p>
    <w:p w14:paraId="5CE51F98" w14:textId="77777777" w:rsidR="005006B9" w:rsidRPr="005006B9" w:rsidRDefault="005006B9" w:rsidP="005006B9">
      <w:pPr>
        <w:pStyle w:val="Style2"/>
        <w:shd w:val="clear" w:color="auto" w:fill="auto"/>
        <w:spacing w:before="0" w:line="240" w:lineRule="auto"/>
        <w:ind w:left="284" w:right="51" w:firstLine="0"/>
        <w:jc w:val="both"/>
        <w:rPr>
          <w:rFonts w:ascii="Bookman Old Style" w:hAnsi="Bookman Old Style"/>
          <w:sz w:val="23"/>
          <w:szCs w:val="23"/>
        </w:rPr>
      </w:pPr>
    </w:p>
    <w:p w14:paraId="5CF9E482" w14:textId="77777777" w:rsidR="00A0381B" w:rsidRPr="00BE466D" w:rsidRDefault="005A522D" w:rsidP="00A0381B">
      <w:pPr>
        <w:ind w:left="851" w:right="567"/>
        <w:jc w:val="both"/>
        <w:rPr>
          <w:rFonts w:ascii="Bookman Old Style" w:hAnsi="Bookman Old Style" w:cs="Arial"/>
          <w:i/>
          <w:sz w:val="22"/>
          <w:lang w:eastAsia="es-CO"/>
        </w:rPr>
      </w:pPr>
      <w:r w:rsidRPr="00BE466D">
        <w:rPr>
          <w:rFonts w:ascii="Bookman Old Style" w:hAnsi="Bookman Old Style" w:cs="Arial"/>
          <w:i/>
          <w:sz w:val="22"/>
          <w:lang w:eastAsia="es-CO"/>
        </w:rPr>
        <w:lastRenderedPageBreak/>
        <w:t>“</w:t>
      </w:r>
      <w:r w:rsidR="00A0381B" w:rsidRPr="00BE466D">
        <w:rPr>
          <w:rFonts w:ascii="Bookman Old Style" w:hAnsi="Bookman Old Style" w:cs="Arial"/>
          <w:b/>
          <w:bCs/>
          <w:i/>
          <w:sz w:val="22"/>
          <w:lang w:eastAsia="es-CO"/>
        </w:rPr>
        <w:t>Artículo 22. Remuneración de la componente de inversión y mantenimiento de tecnologías de Generación</w:t>
      </w:r>
      <w:r w:rsidR="00A0381B" w:rsidRPr="00BE466D">
        <w:rPr>
          <w:rFonts w:ascii="Bookman Old Style" w:hAnsi="Bookman Old Style" w:cs="Arial"/>
          <w:i/>
          <w:sz w:val="22"/>
          <w:lang w:eastAsia="es-CO"/>
        </w:rPr>
        <w:t xml:space="preserve">. La componente de inversión de los Cargos Regulados de Generación, expresada en ($/kWh), incluye los costos de adquisición, transporte, instalación, diseños, permisos ambientales, almacenamiento de combustible, transformadores elevadores, equipos de telemedida y los necesarios para la puesta en operación de una central de generación, y dependerá del tamaño, tecnología, horas de prestación del servicio y el tipo de combustible de cada unidad de generación, </w:t>
      </w:r>
      <w:r w:rsidR="005E673E">
        <w:rPr>
          <w:rFonts w:ascii="Bookman Old Style" w:hAnsi="Bookman Old Style" w:cs="Arial"/>
          <w:i/>
          <w:sz w:val="22"/>
          <w:lang w:eastAsia="es-CO"/>
        </w:rPr>
        <w:t>como se muestra a continuación:</w:t>
      </w:r>
    </w:p>
    <w:p w14:paraId="79C02458" w14:textId="77777777" w:rsidR="00A0381B" w:rsidRPr="00BE466D" w:rsidRDefault="00A0381B" w:rsidP="00A0381B">
      <w:pPr>
        <w:ind w:left="851" w:right="567"/>
        <w:jc w:val="both"/>
        <w:rPr>
          <w:rFonts w:ascii="Bookman Old Style" w:hAnsi="Bookman Old Style" w:cs="Arial"/>
          <w:i/>
          <w:sz w:val="22"/>
          <w:lang w:eastAsia="es-CO"/>
        </w:rPr>
      </w:pPr>
    </w:p>
    <w:p w14:paraId="5B3F2AFE" w14:textId="77777777" w:rsidR="00A0381B" w:rsidRPr="00BE466D" w:rsidRDefault="00A0381B" w:rsidP="00A0381B">
      <w:pPr>
        <w:ind w:left="851" w:right="567"/>
        <w:jc w:val="both"/>
        <w:rPr>
          <w:rFonts w:ascii="Bookman Old Style" w:hAnsi="Bookman Old Style" w:cs="Arial"/>
          <w:i/>
          <w:sz w:val="22"/>
          <w:lang w:eastAsia="es-CO"/>
        </w:rPr>
      </w:pPr>
      <w:r w:rsidRPr="00BE466D">
        <w:rPr>
          <w:rFonts w:ascii="Bookman Old Style" w:hAnsi="Bookman Old Style" w:cs="Arial"/>
          <w:i/>
          <w:sz w:val="22"/>
          <w:lang w:eastAsia="es-CO"/>
        </w:rPr>
        <w:t>(…)</w:t>
      </w:r>
    </w:p>
    <w:p w14:paraId="21614930" w14:textId="77777777" w:rsidR="00A0381B" w:rsidRPr="00BE466D" w:rsidRDefault="00A0381B" w:rsidP="00A0381B">
      <w:pPr>
        <w:ind w:left="851" w:right="567"/>
        <w:jc w:val="both"/>
        <w:rPr>
          <w:rFonts w:ascii="Bookman Old Style" w:hAnsi="Bookman Old Style" w:cs="Arial"/>
          <w:i/>
          <w:sz w:val="22"/>
          <w:lang w:eastAsia="es-CO"/>
        </w:rPr>
      </w:pPr>
    </w:p>
    <w:p w14:paraId="2C417408" w14:textId="77777777" w:rsidR="005E673E" w:rsidRDefault="00A0381B" w:rsidP="00A0381B">
      <w:pPr>
        <w:ind w:left="851" w:right="567"/>
        <w:jc w:val="both"/>
        <w:rPr>
          <w:rFonts w:ascii="Bookman Old Style" w:hAnsi="Bookman Old Style" w:cs="Arial"/>
          <w:b/>
          <w:bCs/>
          <w:i/>
          <w:sz w:val="22"/>
          <w:lang w:eastAsia="es-CO"/>
        </w:rPr>
      </w:pPr>
      <w:r w:rsidRPr="00BE466D">
        <w:rPr>
          <w:rFonts w:ascii="Bookman Old Style" w:hAnsi="Bookman Old Style" w:cs="Arial"/>
          <w:b/>
          <w:bCs/>
          <w:i/>
          <w:sz w:val="22"/>
          <w:lang w:eastAsia="es-CO"/>
        </w:rPr>
        <w:t>d) Costo de inversión de sistemas híbridos y otras tecnologías de generación</w:t>
      </w:r>
    </w:p>
    <w:p w14:paraId="660D1638" w14:textId="77777777" w:rsidR="005E673E" w:rsidRDefault="005E673E" w:rsidP="00A0381B">
      <w:pPr>
        <w:ind w:left="851" w:right="567"/>
        <w:jc w:val="both"/>
        <w:rPr>
          <w:rFonts w:ascii="Bookman Old Style" w:hAnsi="Bookman Old Style" w:cs="Arial"/>
          <w:i/>
          <w:sz w:val="22"/>
          <w:lang w:eastAsia="es-CO"/>
        </w:rPr>
      </w:pPr>
    </w:p>
    <w:p w14:paraId="1F1A4ED8" w14:textId="77777777" w:rsidR="00A0381B" w:rsidRPr="00BE466D" w:rsidRDefault="00A0381B" w:rsidP="00A0381B">
      <w:pPr>
        <w:ind w:left="851" w:right="567"/>
        <w:jc w:val="both"/>
        <w:rPr>
          <w:rFonts w:ascii="Bookman Old Style" w:hAnsi="Bookman Old Style" w:cs="Arial"/>
          <w:i/>
          <w:sz w:val="22"/>
          <w:lang w:eastAsia="es-CO"/>
        </w:rPr>
      </w:pPr>
      <w:r w:rsidRPr="00BE466D">
        <w:rPr>
          <w:rFonts w:ascii="Bookman Old Style" w:hAnsi="Bookman Old Style" w:cs="Arial"/>
          <w:i/>
          <w:sz w:val="22"/>
          <w:lang w:eastAsia="es-CO"/>
        </w:rPr>
        <w:t>Los costos unitarios de inversión para sistemas híbridos y otras tecnologías de generación no definidos en la presente resolución, podrán proponerse a la Comisión quién definirá en Resolución particula</w:t>
      </w:r>
      <w:r w:rsidR="005E673E">
        <w:rPr>
          <w:rFonts w:ascii="Bookman Old Style" w:hAnsi="Bookman Old Style" w:cs="Arial"/>
          <w:i/>
          <w:sz w:val="22"/>
          <w:lang w:eastAsia="es-CO"/>
        </w:rPr>
        <w:t>r los costos correspondientes.”</w:t>
      </w:r>
    </w:p>
    <w:p w14:paraId="4F4F688B" w14:textId="77777777" w:rsidR="005E673E" w:rsidRDefault="005E673E" w:rsidP="00E63E5A">
      <w:pPr>
        <w:pStyle w:val="Style2"/>
        <w:shd w:val="clear" w:color="auto" w:fill="auto"/>
        <w:spacing w:before="0" w:line="240" w:lineRule="auto"/>
        <w:ind w:left="284" w:right="51" w:firstLine="0"/>
        <w:jc w:val="both"/>
        <w:rPr>
          <w:rFonts w:ascii="Bookman Old Style" w:hAnsi="Bookman Old Style"/>
          <w:sz w:val="24"/>
          <w:szCs w:val="24"/>
        </w:rPr>
      </w:pPr>
    </w:p>
    <w:p w14:paraId="346A7F8D" w14:textId="5986D733"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En el artículo 22 se define la remuneración de la componente de inversión y mantenimiento de tecnologías de generación, componente expresada en pesos por kilovatio hora ($/kWh), la cual incluye los costos de adquisición, transporte, instalación, diseños, permisos ambientales, almacenamiento de combustible, transformadores elevadores, equipos de telemedida</w:t>
      </w:r>
      <w:r w:rsidR="00A93715">
        <w:rPr>
          <w:rFonts w:ascii="Bookman Old Style" w:hAnsi="Bookman Old Style"/>
          <w:sz w:val="24"/>
          <w:szCs w:val="24"/>
        </w:rPr>
        <w:t>,</w:t>
      </w:r>
      <w:r w:rsidRPr="00E63E5A">
        <w:rPr>
          <w:rFonts w:ascii="Bookman Old Style" w:hAnsi="Bookman Old Style"/>
          <w:sz w:val="24"/>
          <w:szCs w:val="24"/>
        </w:rPr>
        <w:t xml:space="preserve"> y los necesarios para la puesta en operación de una central de generación.</w:t>
      </w:r>
    </w:p>
    <w:p w14:paraId="74AC2301"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14:paraId="0AC7D4F4" w14:textId="77777777" w:rsidR="00E63E5A" w:rsidRPr="00E63E5A" w:rsidRDefault="00660EA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w:t>
      </w:r>
      <w:r w:rsidR="00E63E5A" w:rsidRPr="00E63E5A">
        <w:rPr>
          <w:rFonts w:ascii="Bookman Old Style" w:hAnsi="Bookman Old Style"/>
          <w:sz w:val="24"/>
          <w:szCs w:val="24"/>
        </w:rPr>
        <w:t>n dicho artículo se establecen las metodologías para determinar:</w:t>
      </w:r>
    </w:p>
    <w:p w14:paraId="2F414439"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14:paraId="75E2FF4B" w14:textId="77777777" w:rsidR="00E63E5A" w:rsidRPr="00E63E5A" w:rsidRDefault="00E63E5A" w:rsidP="004D28B1">
      <w:pPr>
        <w:pStyle w:val="Style2"/>
        <w:shd w:val="clear" w:color="auto" w:fill="auto"/>
        <w:spacing w:before="0" w:line="240" w:lineRule="auto"/>
        <w:ind w:left="567" w:right="51" w:hanging="283"/>
        <w:jc w:val="both"/>
        <w:rPr>
          <w:rFonts w:ascii="Bookman Old Style" w:hAnsi="Bookman Old Style"/>
          <w:sz w:val="24"/>
          <w:szCs w:val="24"/>
        </w:rPr>
      </w:pPr>
      <w:r w:rsidRPr="00E63E5A">
        <w:rPr>
          <w:rFonts w:ascii="Bookman Old Style" w:hAnsi="Bookman Old Style"/>
          <w:sz w:val="24"/>
          <w:szCs w:val="24"/>
        </w:rPr>
        <w:t>a) Costos de inversión y mantenimiento de generadores diésel operando con ACPM.</w:t>
      </w:r>
    </w:p>
    <w:p w14:paraId="2068D01E"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b) Costo de inversión de centrales hidroeléctricas a pequeña escala.</w:t>
      </w:r>
    </w:p>
    <w:p w14:paraId="7004C9B7"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c) Costo de inversión para soluciones individuales.</w:t>
      </w:r>
    </w:p>
    <w:p w14:paraId="02BB61E1"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d) Costo de inversión de sistemas híbridos y otras tecnologías de generación.</w:t>
      </w:r>
    </w:p>
    <w:p w14:paraId="69A69388"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14:paraId="3676BB59" w14:textId="77777777" w:rsid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 xml:space="preserve">En el literal d) se determina: </w:t>
      </w:r>
      <w:r w:rsidRPr="00BE466D">
        <w:rPr>
          <w:rFonts w:ascii="Bookman Old Style" w:hAnsi="Bookman Old Style"/>
          <w:i/>
          <w:sz w:val="22"/>
          <w:szCs w:val="24"/>
        </w:rPr>
        <w:t>“</w:t>
      </w:r>
      <w:r w:rsidR="00BE466D">
        <w:rPr>
          <w:rFonts w:ascii="Bookman Old Style" w:hAnsi="Bookman Old Style"/>
          <w:i/>
          <w:sz w:val="22"/>
          <w:szCs w:val="24"/>
        </w:rPr>
        <w:t>l</w:t>
      </w:r>
      <w:r w:rsidRPr="00BE466D">
        <w:rPr>
          <w:rFonts w:ascii="Bookman Old Style" w:hAnsi="Bookman Old Style"/>
          <w:i/>
          <w:sz w:val="22"/>
          <w:szCs w:val="24"/>
        </w:rPr>
        <w:t xml:space="preserve">os costos unitarios de inversión para sistemas híbridos y otras tecnologías de generación no definidos en la presente resolución, podrán proponerse a la Comisión quién definirá en </w:t>
      </w:r>
      <w:r w:rsidR="00ED7F05" w:rsidRPr="00BE466D">
        <w:rPr>
          <w:rFonts w:ascii="Bookman Old Style" w:hAnsi="Bookman Old Style"/>
          <w:i/>
          <w:sz w:val="22"/>
          <w:szCs w:val="24"/>
        </w:rPr>
        <w:t>r</w:t>
      </w:r>
      <w:r w:rsidRPr="00BE466D">
        <w:rPr>
          <w:rFonts w:ascii="Bookman Old Style" w:hAnsi="Bookman Old Style"/>
          <w:i/>
          <w:sz w:val="22"/>
          <w:szCs w:val="24"/>
        </w:rPr>
        <w:t>esolución particular los costos correspondientes”</w:t>
      </w:r>
      <w:r w:rsidR="004D28B1" w:rsidRPr="00BE466D">
        <w:rPr>
          <w:rFonts w:ascii="Bookman Old Style" w:hAnsi="Bookman Old Style"/>
          <w:i/>
          <w:sz w:val="22"/>
          <w:szCs w:val="24"/>
        </w:rPr>
        <w:t>.</w:t>
      </w:r>
    </w:p>
    <w:p w14:paraId="03FE283E" w14:textId="77777777" w:rsidR="00BE466D" w:rsidRDefault="00BE466D" w:rsidP="00E63E5A">
      <w:pPr>
        <w:pStyle w:val="Style2"/>
        <w:shd w:val="clear" w:color="auto" w:fill="auto"/>
        <w:spacing w:before="0" w:line="240" w:lineRule="auto"/>
        <w:ind w:left="284" w:right="51" w:firstLine="0"/>
        <w:jc w:val="both"/>
        <w:rPr>
          <w:rFonts w:ascii="Bookman Old Style" w:hAnsi="Bookman Old Style"/>
          <w:sz w:val="24"/>
          <w:szCs w:val="24"/>
        </w:rPr>
      </w:pPr>
    </w:p>
    <w:p w14:paraId="485A7D02" w14:textId="3EB7A75A" w:rsidR="00B85F36" w:rsidRPr="000C5DD0" w:rsidRDefault="005F39B6" w:rsidP="005006B9">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Dado </w:t>
      </w:r>
      <w:r w:rsidR="00E63E5A">
        <w:rPr>
          <w:rFonts w:ascii="Bookman Old Style" w:hAnsi="Bookman Old Style"/>
          <w:sz w:val="24"/>
          <w:szCs w:val="24"/>
        </w:rPr>
        <w:t xml:space="preserve">que </w:t>
      </w:r>
      <w:r w:rsidR="00ED2AF3">
        <w:rPr>
          <w:rFonts w:ascii="Bookman Old Style" w:hAnsi="Bookman Old Style"/>
          <w:sz w:val="24"/>
          <w:szCs w:val="24"/>
        </w:rPr>
        <w:t>la solicitud tarifaria presentada</w:t>
      </w:r>
      <w:r w:rsidR="00E63E5A" w:rsidRPr="00E63E5A">
        <w:rPr>
          <w:rFonts w:ascii="Bookman Old Style" w:hAnsi="Bookman Old Style"/>
          <w:sz w:val="24"/>
          <w:szCs w:val="24"/>
        </w:rPr>
        <w:t xml:space="preserve"> por </w:t>
      </w:r>
      <w:r w:rsidR="00DF6BB4" w:rsidRPr="00895107">
        <w:rPr>
          <w:rFonts w:ascii="Bookman Old Style" w:hAnsi="Bookman Old Style"/>
          <w:sz w:val="24"/>
          <w:szCs w:val="24"/>
        </w:rPr>
        <w:t>Electropac</w:t>
      </w:r>
      <w:r w:rsidR="00643867">
        <w:rPr>
          <w:rFonts w:ascii="Bookman Old Style" w:hAnsi="Bookman Old Style"/>
          <w:sz w:val="24"/>
          <w:szCs w:val="24"/>
        </w:rPr>
        <w:t>í</w:t>
      </w:r>
      <w:r w:rsidR="00DF6BB4" w:rsidRPr="00895107">
        <w:rPr>
          <w:rFonts w:ascii="Bookman Old Style" w:hAnsi="Bookman Old Style"/>
          <w:sz w:val="24"/>
          <w:szCs w:val="24"/>
        </w:rPr>
        <w:t xml:space="preserve">fico </w:t>
      </w:r>
      <w:r w:rsidR="00ED2AF3">
        <w:rPr>
          <w:rFonts w:ascii="Bookman Old Style" w:hAnsi="Bookman Old Style"/>
          <w:sz w:val="24"/>
          <w:szCs w:val="24"/>
        </w:rPr>
        <w:t xml:space="preserve">se refiere a la definición de un cargo de generación para dos sistemas </w:t>
      </w:r>
      <w:r w:rsidR="00ED2AF3" w:rsidRPr="000A0A80">
        <w:rPr>
          <w:rFonts w:ascii="Bookman Old Style" w:hAnsi="Bookman Old Style"/>
          <w:sz w:val="24"/>
          <w:szCs w:val="24"/>
        </w:rPr>
        <w:t>híbridos</w:t>
      </w:r>
      <w:r w:rsidR="00ED2AF3">
        <w:rPr>
          <w:rFonts w:ascii="Bookman Old Style" w:hAnsi="Bookman Old Style"/>
          <w:sz w:val="24"/>
          <w:szCs w:val="24"/>
        </w:rPr>
        <w:t xml:space="preserve"> ubicados en las poblaciones de Jumara</w:t>
      </w:r>
      <w:r w:rsidR="00015797">
        <w:rPr>
          <w:rFonts w:ascii="Bookman Old Style" w:hAnsi="Bookman Old Style"/>
          <w:sz w:val="24"/>
          <w:szCs w:val="24"/>
        </w:rPr>
        <w:t>c</w:t>
      </w:r>
      <w:r w:rsidR="00ED2AF3">
        <w:rPr>
          <w:rFonts w:ascii="Bookman Old Style" w:hAnsi="Bookman Old Style"/>
          <w:sz w:val="24"/>
          <w:szCs w:val="24"/>
        </w:rPr>
        <w:t>arra y el Cedral</w:t>
      </w:r>
      <w:r w:rsidR="005E673E">
        <w:rPr>
          <w:rFonts w:ascii="Bookman Old Style" w:hAnsi="Bookman Old Style"/>
          <w:sz w:val="24"/>
          <w:szCs w:val="24"/>
        </w:rPr>
        <w:t>,</w:t>
      </w:r>
      <w:r w:rsidR="00ED2AF3">
        <w:rPr>
          <w:rFonts w:ascii="Bookman Old Style" w:hAnsi="Bookman Old Style"/>
          <w:sz w:val="24"/>
          <w:szCs w:val="24"/>
        </w:rPr>
        <w:t xml:space="preserve"> respectivamente</w:t>
      </w:r>
      <w:r w:rsidR="005E673E">
        <w:rPr>
          <w:rFonts w:ascii="Bookman Old Style" w:hAnsi="Bookman Old Style"/>
          <w:sz w:val="24"/>
          <w:szCs w:val="24"/>
        </w:rPr>
        <w:t>,</w:t>
      </w:r>
      <w:r w:rsidR="00ED2AF3">
        <w:rPr>
          <w:rFonts w:ascii="Bookman Old Style" w:hAnsi="Bookman Old Style"/>
          <w:sz w:val="24"/>
          <w:szCs w:val="24"/>
        </w:rPr>
        <w:t xml:space="preserve"> y que los mismos </w:t>
      </w:r>
      <w:r w:rsidR="00E63E5A" w:rsidRPr="00E63E5A">
        <w:rPr>
          <w:rFonts w:ascii="Bookman Old Style" w:hAnsi="Bookman Old Style"/>
          <w:sz w:val="24"/>
          <w:szCs w:val="24"/>
        </w:rPr>
        <w:t xml:space="preserve">no corresponde a ninguno de los casos </w:t>
      </w:r>
      <w:r w:rsidR="00E63E5A">
        <w:rPr>
          <w:rFonts w:ascii="Bookman Old Style" w:hAnsi="Bookman Old Style"/>
          <w:sz w:val="24"/>
          <w:szCs w:val="24"/>
        </w:rPr>
        <w:t xml:space="preserve">previstos en </w:t>
      </w:r>
      <w:r w:rsidR="00E63E5A" w:rsidRPr="00E63E5A">
        <w:rPr>
          <w:rFonts w:ascii="Bookman Old Style" w:hAnsi="Bookman Old Style"/>
          <w:sz w:val="24"/>
          <w:szCs w:val="24"/>
        </w:rPr>
        <w:t>los literales a, b o c</w:t>
      </w:r>
      <w:r w:rsidR="00E63E5A">
        <w:rPr>
          <w:rFonts w:ascii="Bookman Old Style" w:hAnsi="Bookman Old Style"/>
          <w:sz w:val="24"/>
          <w:szCs w:val="24"/>
        </w:rPr>
        <w:t xml:space="preserve"> del precitado artículo, encuentra </w:t>
      </w:r>
      <w:r w:rsidR="00B85F36" w:rsidRPr="000C5DD0">
        <w:rPr>
          <w:rFonts w:ascii="Bookman Old Style" w:hAnsi="Bookman Old Style"/>
          <w:sz w:val="24"/>
          <w:szCs w:val="24"/>
        </w:rPr>
        <w:t xml:space="preserve">esta Comisión </w:t>
      </w:r>
      <w:r w:rsidR="00E63E5A">
        <w:rPr>
          <w:rFonts w:ascii="Bookman Old Style" w:hAnsi="Bookman Old Style"/>
          <w:sz w:val="24"/>
          <w:szCs w:val="24"/>
        </w:rPr>
        <w:t xml:space="preserve">que </w:t>
      </w:r>
      <w:r w:rsidR="00B85F36" w:rsidRPr="000C5DD0">
        <w:rPr>
          <w:rFonts w:ascii="Bookman Old Style" w:hAnsi="Bookman Old Style"/>
          <w:sz w:val="24"/>
          <w:szCs w:val="24"/>
        </w:rPr>
        <w:t>tiene la competencia para definir</w:t>
      </w:r>
      <w:r w:rsidR="00A93715">
        <w:rPr>
          <w:rFonts w:ascii="Bookman Old Style" w:hAnsi="Bookman Old Style"/>
          <w:sz w:val="24"/>
          <w:szCs w:val="24"/>
        </w:rPr>
        <w:t>,</w:t>
      </w:r>
      <w:r w:rsidR="00B85F36" w:rsidRPr="000C5DD0">
        <w:rPr>
          <w:rFonts w:ascii="Bookman Old Style" w:hAnsi="Bookman Old Style"/>
          <w:sz w:val="24"/>
          <w:szCs w:val="24"/>
        </w:rPr>
        <w:t xml:space="preserve"> mediante resolución particular</w:t>
      </w:r>
      <w:r w:rsidR="00A93715">
        <w:rPr>
          <w:rFonts w:ascii="Bookman Old Style" w:hAnsi="Bookman Old Style"/>
          <w:sz w:val="24"/>
          <w:szCs w:val="24"/>
        </w:rPr>
        <w:t>,</w:t>
      </w:r>
      <w:r w:rsidR="00B85F36" w:rsidRPr="000C5DD0">
        <w:rPr>
          <w:rFonts w:ascii="Bookman Old Style" w:hAnsi="Bookman Old Style"/>
          <w:sz w:val="24"/>
          <w:szCs w:val="24"/>
        </w:rPr>
        <w:t xml:space="preserve"> los costos unitarios de inversión para sistemas híbridos y otras tecnologías de generación que no se encuentren definidos en la Resolución CREG 091 de 2007. </w:t>
      </w:r>
    </w:p>
    <w:p w14:paraId="527A8F31" w14:textId="77777777" w:rsidR="000C5DD0" w:rsidRDefault="000C5DD0" w:rsidP="005006B9">
      <w:pPr>
        <w:pStyle w:val="Style2"/>
        <w:shd w:val="clear" w:color="auto" w:fill="auto"/>
        <w:spacing w:before="0" w:line="240" w:lineRule="auto"/>
        <w:ind w:left="284" w:right="51" w:firstLine="0"/>
        <w:jc w:val="both"/>
        <w:rPr>
          <w:rFonts w:ascii="Bookman Old Style" w:hAnsi="Bookman Old Style"/>
          <w:sz w:val="24"/>
          <w:szCs w:val="24"/>
        </w:rPr>
      </w:pPr>
    </w:p>
    <w:p w14:paraId="42D41FFF" w14:textId="77777777"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Así mismo, c</w:t>
      </w:r>
      <w:r w:rsidRPr="00E63E5A">
        <w:rPr>
          <w:rFonts w:ascii="Bookman Old Style" w:hAnsi="Bookman Old Style"/>
          <w:sz w:val="24"/>
          <w:szCs w:val="24"/>
        </w:rPr>
        <w:t>on respecto a los gastos de administración, operación y mantenimiento, en el artículo 24 de la Resolución CREG 091 de 2007 s</w:t>
      </w:r>
      <w:r>
        <w:rPr>
          <w:rFonts w:ascii="Bookman Old Style" w:hAnsi="Bookman Old Style"/>
          <w:sz w:val="24"/>
          <w:szCs w:val="24"/>
        </w:rPr>
        <w:t>e e</w:t>
      </w:r>
      <w:r w:rsidRPr="00E63E5A">
        <w:rPr>
          <w:rFonts w:ascii="Bookman Old Style" w:hAnsi="Bookman Old Style"/>
          <w:sz w:val="24"/>
          <w:szCs w:val="24"/>
        </w:rPr>
        <w:t>stablece</w:t>
      </w:r>
      <w:r>
        <w:rPr>
          <w:rFonts w:ascii="Bookman Old Style" w:hAnsi="Bookman Old Style"/>
          <w:sz w:val="24"/>
          <w:szCs w:val="24"/>
        </w:rPr>
        <w:t xml:space="preserve"> lo siguiente</w:t>
      </w:r>
      <w:r w:rsidRPr="00E63E5A">
        <w:rPr>
          <w:rFonts w:ascii="Bookman Old Style" w:hAnsi="Bookman Old Style"/>
          <w:sz w:val="24"/>
          <w:szCs w:val="24"/>
        </w:rPr>
        <w:t>:</w:t>
      </w:r>
      <w:r>
        <w:rPr>
          <w:rFonts w:ascii="Bookman Old Style" w:hAnsi="Bookman Old Style"/>
          <w:sz w:val="24"/>
          <w:szCs w:val="24"/>
        </w:rPr>
        <w:t xml:space="preserve"> </w:t>
      </w:r>
    </w:p>
    <w:p w14:paraId="5EDC4144" w14:textId="77777777" w:rsidR="00E63E5A" w:rsidRPr="004D28B1" w:rsidRDefault="00E63E5A" w:rsidP="00E63E5A">
      <w:pPr>
        <w:pStyle w:val="Textoindependiente21"/>
        <w:ind w:right="142"/>
        <w:rPr>
          <w:rFonts w:cs="Arial"/>
          <w:sz w:val="24"/>
          <w:szCs w:val="22"/>
        </w:rPr>
      </w:pPr>
    </w:p>
    <w:p w14:paraId="42C0C06B"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“Artículo 24. Remuneración de Gastos de Administración, Operación y Mantenimiento (AOM) para diferentes tecnologías de generación. Los gastos de administración, operación y mantenimiento (AOM) para cada tecnología de generación se determinarán como se indica a continuación:</w:t>
      </w:r>
    </w:p>
    <w:p w14:paraId="77A2A63B"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4"/>
          <w:szCs w:val="24"/>
        </w:rPr>
      </w:pPr>
    </w:p>
    <w:p w14:paraId="35D00BB6"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24.1 Gastos de administración y operación de generadores diésel operando con ACPM.</w:t>
      </w:r>
    </w:p>
    <w:p w14:paraId="095E1CB6"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24.2 Gastos de administración y operación de generadores diésel operando con fuel oil No. 6.</w:t>
      </w:r>
    </w:p>
    <w:p w14:paraId="7A80328D"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24.3 Gastos de administración, operación y mantenimiento de centrales hidroeléctricas a pequeña escala</w:t>
      </w:r>
    </w:p>
    <w:p w14:paraId="23205385"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24.4 Gastos de Administración, Operación y Mantenimiento de Sistemas Solares Fotovoltaicos.</w:t>
      </w:r>
    </w:p>
    <w:p w14:paraId="2A30D861" w14:textId="77777777" w:rsidR="00E63E5A" w:rsidRPr="00BE466D"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24.5 Gastos de Administración, Operación y Mantenimiento para otras tecnologías de conversión”.</w:t>
      </w:r>
    </w:p>
    <w:p w14:paraId="2EE9CA85" w14:textId="77777777" w:rsidR="00E63E5A" w:rsidRPr="00BE466D" w:rsidRDefault="00E63E5A" w:rsidP="00E63E5A">
      <w:pPr>
        <w:pStyle w:val="Style2"/>
        <w:shd w:val="clear" w:color="auto" w:fill="auto"/>
        <w:spacing w:before="0" w:line="240" w:lineRule="auto"/>
        <w:ind w:left="284" w:right="51" w:firstLine="0"/>
        <w:jc w:val="both"/>
        <w:rPr>
          <w:rFonts w:ascii="Bookman Old Style" w:hAnsi="Bookman Old Style"/>
          <w:i/>
          <w:sz w:val="22"/>
          <w:szCs w:val="24"/>
        </w:rPr>
      </w:pPr>
    </w:p>
    <w:p w14:paraId="5A0B1C84" w14:textId="77777777" w:rsidR="00E63E5A"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De acuerdo con</w:t>
      </w:r>
      <w:r w:rsidR="00E63E5A" w:rsidRPr="00E63E5A">
        <w:rPr>
          <w:rFonts w:ascii="Bookman Old Style" w:hAnsi="Bookman Old Style"/>
          <w:sz w:val="24"/>
          <w:szCs w:val="24"/>
        </w:rPr>
        <w:t xml:space="preserve"> el numeral 24.5</w:t>
      </w:r>
      <w:r>
        <w:rPr>
          <w:rFonts w:ascii="Bookman Old Style" w:hAnsi="Bookman Old Style"/>
          <w:sz w:val="24"/>
          <w:szCs w:val="24"/>
        </w:rPr>
        <w:t xml:space="preserve"> “l</w:t>
      </w:r>
      <w:r w:rsidR="00E63E5A" w:rsidRPr="00E63E5A">
        <w:rPr>
          <w:rFonts w:ascii="Bookman Old Style" w:hAnsi="Bookman Old Style"/>
          <w:sz w:val="24"/>
          <w:szCs w:val="24"/>
        </w:rPr>
        <w:t xml:space="preserve">os costos unitarios de </w:t>
      </w:r>
      <w:r>
        <w:rPr>
          <w:rFonts w:ascii="Bookman Old Style" w:hAnsi="Bookman Old Style"/>
          <w:sz w:val="24"/>
          <w:szCs w:val="24"/>
        </w:rPr>
        <w:t>a</w:t>
      </w:r>
      <w:r w:rsidR="00E63E5A" w:rsidRPr="00E63E5A">
        <w:rPr>
          <w:rFonts w:ascii="Bookman Old Style" w:hAnsi="Bookman Old Style"/>
          <w:sz w:val="24"/>
          <w:szCs w:val="24"/>
        </w:rPr>
        <w:t xml:space="preserve">dministración, </w:t>
      </w:r>
      <w:r>
        <w:rPr>
          <w:rFonts w:ascii="Bookman Old Style" w:hAnsi="Bookman Old Style"/>
          <w:sz w:val="24"/>
          <w:szCs w:val="24"/>
        </w:rPr>
        <w:t>o</w:t>
      </w:r>
      <w:r w:rsidR="00E63E5A" w:rsidRPr="00E63E5A">
        <w:rPr>
          <w:rFonts w:ascii="Bookman Old Style" w:hAnsi="Bookman Old Style"/>
          <w:sz w:val="24"/>
          <w:szCs w:val="24"/>
        </w:rPr>
        <w:t xml:space="preserve">peración y </w:t>
      </w:r>
      <w:r>
        <w:rPr>
          <w:rFonts w:ascii="Bookman Old Style" w:hAnsi="Bookman Old Style"/>
          <w:sz w:val="24"/>
          <w:szCs w:val="24"/>
        </w:rPr>
        <w:t>m</w:t>
      </w:r>
      <w:r w:rsidR="00E63E5A" w:rsidRPr="00E63E5A">
        <w:rPr>
          <w:rFonts w:ascii="Bookman Old Style" w:hAnsi="Bookman Old Style"/>
          <w:sz w:val="24"/>
          <w:szCs w:val="24"/>
        </w:rPr>
        <w:t>antenimiento para tecnologías de generación no definidos en la presente resolución, podrán solicitarse a la Comisión, quien los definirá en Resolución particular”</w:t>
      </w:r>
      <w:r w:rsidR="004D28B1">
        <w:rPr>
          <w:rFonts w:ascii="Bookman Old Style" w:hAnsi="Bookman Old Style"/>
          <w:sz w:val="24"/>
          <w:szCs w:val="24"/>
        </w:rPr>
        <w:t>.</w:t>
      </w:r>
    </w:p>
    <w:p w14:paraId="7751E9BD" w14:textId="77777777" w:rsidR="00BE466D" w:rsidRPr="00E63E5A" w:rsidRDefault="00BE466D" w:rsidP="00E63E5A">
      <w:pPr>
        <w:pStyle w:val="Style2"/>
        <w:shd w:val="clear" w:color="auto" w:fill="auto"/>
        <w:spacing w:before="0" w:line="240" w:lineRule="auto"/>
        <w:ind w:left="284" w:right="51" w:firstLine="0"/>
        <w:jc w:val="both"/>
        <w:rPr>
          <w:rFonts w:ascii="Bookman Old Style" w:hAnsi="Bookman Old Style"/>
          <w:sz w:val="24"/>
          <w:szCs w:val="24"/>
        </w:rPr>
      </w:pPr>
    </w:p>
    <w:p w14:paraId="1C80E62F" w14:textId="6105159C" w:rsidR="00ED7F05"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Revisado lo anterior, </w:t>
      </w:r>
      <w:r w:rsidR="00542B7F">
        <w:rPr>
          <w:rFonts w:ascii="Bookman Old Style" w:hAnsi="Bookman Old Style"/>
          <w:sz w:val="24"/>
          <w:szCs w:val="24"/>
        </w:rPr>
        <w:t>se evidencia</w:t>
      </w:r>
      <w:r>
        <w:rPr>
          <w:rFonts w:ascii="Bookman Old Style" w:hAnsi="Bookman Old Style"/>
          <w:sz w:val="24"/>
          <w:szCs w:val="24"/>
        </w:rPr>
        <w:t xml:space="preserve"> </w:t>
      </w:r>
      <w:r w:rsidR="00542B7F">
        <w:rPr>
          <w:rFonts w:ascii="Bookman Old Style" w:hAnsi="Bookman Old Style"/>
          <w:sz w:val="24"/>
          <w:szCs w:val="24"/>
        </w:rPr>
        <w:t xml:space="preserve">que los sistemas </w:t>
      </w:r>
      <w:r w:rsidR="00542B7F" w:rsidRPr="000A0A80">
        <w:rPr>
          <w:rFonts w:ascii="Bookman Old Style" w:hAnsi="Bookman Old Style"/>
          <w:sz w:val="24"/>
          <w:szCs w:val="24"/>
        </w:rPr>
        <w:t>híbridos</w:t>
      </w:r>
      <w:r w:rsidR="00542B7F">
        <w:rPr>
          <w:rFonts w:ascii="Bookman Old Style" w:hAnsi="Bookman Old Style"/>
          <w:sz w:val="24"/>
          <w:szCs w:val="24"/>
        </w:rPr>
        <w:t xml:space="preserve"> presentados en la solicitud </w:t>
      </w:r>
      <w:r w:rsidR="00542B7F" w:rsidRPr="000A0A80">
        <w:rPr>
          <w:rFonts w:ascii="Bookman Old Style" w:hAnsi="Bookman Old Style"/>
          <w:sz w:val="24"/>
          <w:szCs w:val="24"/>
        </w:rPr>
        <w:t xml:space="preserve">de </w:t>
      </w:r>
      <w:r w:rsidR="00A93715" w:rsidRPr="000A0A80">
        <w:rPr>
          <w:rFonts w:ascii="Bookman Old Style" w:hAnsi="Bookman Old Style"/>
          <w:sz w:val="24"/>
          <w:szCs w:val="24"/>
        </w:rPr>
        <w:t>Electropac</w:t>
      </w:r>
      <w:r w:rsidR="00A93715">
        <w:rPr>
          <w:rFonts w:ascii="Bookman Old Style" w:hAnsi="Bookman Old Style"/>
          <w:sz w:val="24"/>
          <w:szCs w:val="24"/>
        </w:rPr>
        <w:t>í</w:t>
      </w:r>
      <w:r w:rsidR="00A93715" w:rsidRPr="000A0A80">
        <w:rPr>
          <w:rFonts w:ascii="Bookman Old Style" w:hAnsi="Bookman Old Style"/>
          <w:sz w:val="24"/>
          <w:szCs w:val="24"/>
        </w:rPr>
        <w:t xml:space="preserve">fico </w:t>
      </w:r>
      <w:r w:rsidR="00E63E5A" w:rsidRPr="00E63E5A">
        <w:rPr>
          <w:rFonts w:ascii="Bookman Old Style" w:hAnsi="Bookman Old Style"/>
          <w:sz w:val="24"/>
          <w:szCs w:val="24"/>
        </w:rPr>
        <w:t xml:space="preserve">no </w:t>
      </w:r>
      <w:r>
        <w:rPr>
          <w:rFonts w:ascii="Bookman Old Style" w:hAnsi="Bookman Old Style"/>
          <w:sz w:val="24"/>
          <w:szCs w:val="24"/>
        </w:rPr>
        <w:t>corresponde</w:t>
      </w:r>
      <w:r w:rsidR="00015797">
        <w:rPr>
          <w:rFonts w:ascii="Bookman Old Style" w:hAnsi="Bookman Old Style"/>
          <w:sz w:val="24"/>
          <w:szCs w:val="24"/>
        </w:rPr>
        <w:t>n</w:t>
      </w:r>
      <w:r>
        <w:rPr>
          <w:rFonts w:ascii="Bookman Old Style" w:hAnsi="Bookman Old Style"/>
          <w:sz w:val="24"/>
          <w:szCs w:val="24"/>
        </w:rPr>
        <w:t xml:space="preserve"> a uno de los casos previsto</w:t>
      </w:r>
      <w:r w:rsidR="00E63E5A" w:rsidRPr="00E63E5A">
        <w:rPr>
          <w:rFonts w:ascii="Bookman Old Style" w:hAnsi="Bookman Old Style"/>
          <w:sz w:val="24"/>
          <w:szCs w:val="24"/>
        </w:rPr>
        <w:t>s en la Resolución CREG 091</w:t>
      </w:r>
      <w:r>
        <w:rPr>
          <w:rFonts w:ascii="Bookman Old Style" w:hAnsi="Bookman Old Style"/>
          <w:sz w:val="24"/>
          <w:szCs w:val="24"/>
        </w:rPr>
        <w:t xml:space="preserve"> de 2007</w:t>
      </w:r>
      <w:r w:rsidR="00E63E5A" w:rsidRPr="00E63E5A">
        <w:rPr>
          <w:rFonts w:ascii="Bookman Old Style" w:hAnsi="Bookman Old Style"/>
          <w:sz w:val="24"/>
          <w:szCs w:val="24"/>
        </w:rPr>
        <w:t xml:space="preserve">, al no encontrarse </w:t>
      </w:r>
      <w:r>
        <w:rPr>
          <w:rFonts w:ascii="Bookman Old Style" w:hAnsi="Bookman Old Style"/>
          <w:sz w:val="24"/>
          <w:szCs w:val="24"/>
        </w:rPr>
        <w:t xml:space="preserve">definidos </w:t>
      </w:r>
      <w:r w:rsidR="00E63E5A" w:rsidRPr="00E63E5A">
        <w:rPr>
          <w:rFonts w:ascii="Bookman Old Style" w:hAnsi="Bookman Old Style"/>
          <w:sz w:val="24"/>
          <w:szCs w:val="24"/>
        </w:rPr>
        <w:t xml:space="preserve">los </w:t>
      </w:r>
      <w:r w:rsidR="00E54BB6">
        <w:rPr>
          <w:rFonts w:ascii="Bookman Old Style" w:hAnsi="Bookman Old Style"/>
          <w:sz w:val="24"/>
          <w:szCs w:val="24"/>
        </w:rPr>
        <w:t xml:space="preserve">gastos </w:t>
      </w:r>
      <w:r w:rsidR="00E63E5A" w:rsidRPr="00E63E5A">
        <w:rPr>
          <w:rFonts w:ascii="Bookman Old Style" w:hAnsi="Bookman Old Style"/>
          <w:sz w:val="24"/>
          <w:szCs w:val="24"/>
        </w:rPr>
        <w:t xml:space="preserve">de </w:t>
      </w:r>
      <w:r w:rsidR="00E54BB6">
        <w:rPr>
          <w:rFonts w:ascii="Bookman Old Style" w:hAnsi="Bookman Old Style"/>
          <w:sz w:val="24"/>
          <w:szCs w:val="24"/>
        </w:rPr>
        <w:t xml:space="preserve">administración, operación </w:t>
      </w:r>
      <w:r w:rsidR="00E63E5A" w:rsidRPr="00E63E5A">
        <w:rPr>
          <w:rFonts w:ascii="Bookman Old Style" w:hAnsi="Bookman Old Style"/>
          <w:sz w:val="24"/>
          <w:szCs w:val="24"/>
        </w:rPr>
        <w:t xml:space="preserve">y mantenimiento de </w:t>
      </w:r>
      <w:r>
        <w:rPr>
          <w:rFonts w:ascii="Bookman Old Style" w:hAnsi="Bookman Old Style"/>
          <w:sz w:val="24"/>
          <w:szCs w:val="24"/>
        </w:rPr>
        <w:t xml:space="preserve">la </w:t>
      </w:r>
      <w:r w:rsidR="00E63E5A" w:rsidRPr="00E63E5A">
        <w:rPr>
          <w:rFonts w:ascii="Bookman Old Style" w:hAnsi="Bookman Old Style"/>
          <w:sz w:val="24"/>
          <w:szCs w:val="24"/>
        </w:rPr>
        <w:t>tecnología</w:t>
      </w:r>
      <w:r>
        <w:rPr>
          <w:rFonts w:ascii="Bookman Old Style" w:hAnsi="Bookman Old Style"/>
          <w:sz w:val="24"/>
          <w:szCs w:val="24"/>
        </w:rPr>
        <w:t xml:space="preserve"> propuesta. </w:t>
      </w:r>
    </w:p>
    <w:p w14:paraId="180B498E" w14:textId="77777777" w:rsidR="00065952" w:rsidRDefault="00065952" w:rsidP="00E63E5A">
      <w:pPr>
        <w:pStyle w:val="Style2"/>
        <w:shd w:val="clear" w:color="auto" w:fill="auto"/>
        <w:spacing w:before="0" w:line="240" w:lineRule="auto"/>
        <w:ind w:left="284" w:right="51" w:firstLine="0"/>
        <w:jc w:val="both"/>
        <w:rPr>
          <w:rFonts w:ascii="Bookman Old Style" w:hAnsi="Bookman Old Style"/>
          <w:sz w:val="24"/>
          <w:szCs w:val="24"/>
        </w:rPr>
      </w:pPr>
    </w:p>
    <w:p w14:paraId="04119412" w14:textId="6E1BBB7D"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Por otra parte, la precitada resolución</w:t>
      </w:r>
      <w:r w:rsidR="00A93715">
        <w:rPr>
          <w:rFonts w:ascii="Bookman Old Style" w:hAnsi="Bookman Old Style"/>
          <w:sz w:val="24"/>
          <w:szCs w:val="24"/>
        </w:rPr>
        <w:t>,</w:t>
      </w:r>
      <w:r>
        <w:rPr>
          <w:rFonts w:ascii="Bookman Old Style" w:hAnsi="Bookman Old Style"/>
          <w:sz w:val="24"/>
          <w:szCs w:val="24"/>
        </w:rPr>
        <w:t xml:space="preserve"> en su artículo 25</w:t>
      </w:r>
      <w:r w:rsidR="00A93715">
        <w:rPr>
          <w:rFonts w:ascii="Bookman Old Style" w:hAnsi="Bookman Old Style"/>
          <w:sz w:val="24"/>
          <w:szCs w:val="24"/>
        </w:rPr>
        <w:t>,</w:t>
      </w:r>
      <w:r>
        <w:rPr>
          <w:rFonts w:ascii="Bookman Old Style" w:hAnsi="Bookman Old Style"/>
          <w:sz w:val="24"/>
          <w:szCs w:val="24"/>
        </w:rPr>
        <w:t xml:space="preserve"> establece lo siguiente:  </w:t>
      </w:r>
    </w:p>
    <w:p w14:paraId="316A34F5" w14:textId="77777777"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p>
    <w:p w14:paraId="527E5A3E" w14:textId="77777777" w:rsidR="00065952" w:rsidRPr="00BE466D" w:rsidRDefault="00065952" w:rsidP="00065952">
      <w:pPr>
        <w:pStyle w:val="Style2"/>
        <w:shd w:val="clear" w:color="auto" w:fill="auto"/>
        <w:spacing w:before="0" w:line="240" w:lineRule="auto"/>
        <w:ind w:left="708" w:right="51" w:firstLine="0"/>
        <w:jc w:val="both"/>
        <w:rPr>
          <w:rFonts w:ascii="Bookman Old Style" w:hAnsi="Bookman Old Style"/>
          <w:i/>
          <w:sz w:val="22"/>
          <w:szCs w:val="24"/>
        </w:rPr>
      </w:pPr>
      <w:r w:rsidRPr="00BE466D">
        <w:rPr>
          <w:rFonts w:ascii="Bookman Old Style" w:hAnsi="Bookman Old Style"/>
          <w:i/>
          <w:sz w:val="22"/>
          <w:szCs w:val="24"/>
        </w:rPr>
        <w:t>“Artículo 25. Fórmula de Actualización de Cargos Máximos de Generación. Los Cargos Máximos de Generación expresados en pesos de la Fecha Base, se actualizarán con las siguientes fórmulas generales:</w:t>
      </w:r>
    </w:p>
    <w:p w14:paraId="5458E20D" w14:textId="77777777" w:rsidR="00593565" w:rsidRPr="00BE466D" w:rsidRDefault="00593565" w:rsidP="00065952">
      <w:pPr>
        <w:pStyle w:val="Style2"/>
        <w:shd w:val="clear" w:color="auto" w:fill="auto"/>
        <w:spacing w:before="0" w:line="240" w:lineRule="auto"/>
        <w:ind w:left="708" w:right="51" w:firstLine="0"/>
        <w:rPr>
          <w:rFonts w:ascii="Bookman Old Style" w:hAnsi="Bookman Old Style"/>
          <w:i/>
          <w:sz w:val="22"/>
          <w:szCs w:val="24"/>
        </w:rPr>
      </w:pPr>
    </w:p>
    <w:p w14:paraId="70E4EB48" w14:textId="77777777" w:rsidR="00065952" w:rsidRPr="00BE466D" w:rsidRDefault="00065952" w:rsidP="00065952">
      <w:pPr>
        <w:pStyle w:val="Style2"/>
        <w:shd w:val="clear" w:color="auto" w:fill="auto"/>
        <w:spacing w:before="0" w:line="240" w:lineRule="auto"/>
        <w:ind w:left="708" w:right="51" w:firstLine="0"/>
        <w:rPr>
          <w:rFonts w:ascii="Bookman Old Style" w:hAnsi="Bookman Old Style"/>
          <w:i/>
          <w:sz w:val="22"/>
          <w:szCs w:val="24"/>
        </w:rPr>
      </w:pPr>
      <w:r w:rsidRPr="00BE466D">
        <w:rPr>
          <w:rFonts w:ascii="Bookman Old Style" w:hAnsi="Bookman Old Style"/>
          <w:i/>
          <w:sz w:val="22"/>
          <w:szCs w:val="24"/>
        </w:rPr>
        <w:t>a) Fórmula de Actualización de Cargos Máximos para Generación Diésel</w:t>
      </w:r>
    </w:p>
    <w:p w14:paraId="19230BD7" w14:textId="77777777" w:rsidR="00065952" w:rsidRPr="00BE466D" w:rsidRDefault="00065952" w:rsidP="00065952">
      <w:pPr>
        <w:pStyle w:val="Style2"/>
        <w:shd w:val="clear" w:color="auto" w:fill="auto"/>
        <w:spacing w:before="0" w:line="240" w:lineRule="auto"/>
        <w:ind w:left="708" w:right="51" w:firstLine="0"/>
        <w:rPr>
          <w:rFonts w:ascii="Bookman Old Style" w:hAnsi="Bookman Old Style"/>
          <w:i/>
          <w:sz w:val="22"/>
          <w:szCs w:val="24"/>
        </w:rPr>
      </w:pPr>
      <w:r w:rsidRPr="00BE466D">
        <w:rPr>
          <w:rFonts w:ascii="Bookman Old Style" w:hAnsi="Bookman Old Style"/>
          <w:i/>
          <w:sz w:val="22"/>
          <w:szCs w:val="24"/>
        </w:rPr>
        <w:t>b) Fórmula de Actualización de Cargos Máximos de Generación para Centrales Hidroeléctricas a Pequeña Escala</w:t>
      </w:r>
    </w:p>
    <w:p w14:paraId="7089F31F" w14:textId="77777777" w:rsidR="00065952" w:rsidRPr="00BE466D" w:rsidRDefault="00065952" w:rsidP="00065952">
      <w:pPr>
        <w:pStyle w:val="Style2"/>
        <w:shd w:val="clear" w:color="auto" w:fill="auto"/>
        <w:spacing w:before="0" w:line="240" w:lineRule="auto"/>
        <w:ind w:left="708" w:right="51" w:firstLine="0"/>
        <w:rPr>
          <w:rFonts w:ascii="Bookman Old Style" w:hAnsi="Bookman Old Style"/>
          <w:i/>
          <w:sz w:val="22"/>
          <w:szCs w:val="24"/>
        </w:rPr>
      </w:pPr>
      <w:r w:rsidRPr="00BE466D">
        <w:rPr>
          <w:rFonts w:ascii="Bookman Old Style" w:hAnsi="Bookman Old Style"/>
          <w:i/>
          <w:sz w:val="22"/>
          <w:szCs w:val="24"/>
        </w:rPr>
        <w:t>c) Fórmula de Actualización de Cargos Máximos de Generación para Soluciones Fotovoltaicas Individuales”</w:t>
      </w:r>
      <w:r w:rsidR="004D28B1" w:rsidRPr="00BE466D">
        <w:rPr>
          <w:rFonts w:ascii="Bookman Old Style" w:hAnsi="Bookman Old Style"/>
          <w:i/>
          <w:sz w:val="22"/>
          <w:szCs w:val="24"/>
        </w:rPr>
        <w:t>.</w:t>
      </w:r>
    </w:p>
    <w:p w14:paraId="7740D90E" w14:textId="77777777" w:rsidR="00065952" w:rsidRPr="00BE466D" w:rsidRDefault="00065952" w:rsidP="00065952">
      <w:pPr>
        <w:pStyle w:val="Style2"/>
        <w:shd w:val="clear" w:color="auto" w:fill="auto"/>
        <w:spacing w:before="0" w:line="240" w:lineRule="auto"/>
        <w:ind w:left="284" w:right="51" w:firstLine="0"/>
        <w:jc w:val="both"/>
        <w:rPr>
          <w:rFonts w:ascii="Bookman Old Style" w:hAnsi="Bookman Old Style"/>
          <w:i/>
          <w:sz w:val="24"/>
          <w:szCs w:val="24"/>
        </w:rPr>
      </w:pPr>
    </w:p>
    <w:p w14:paraId="0DD3E467" w14:textId="38F4A152"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r w:rsidRPr="004175D5">
        <w:rPr>
          <w:rFonts w:ascii="Bookman Old Style" w:hAnsi="Bookman Old Style"/>
          <w:sz w:val="24"/>
          <w:szCs w:val="24"/>
        </w:rPr>
        <w:t>En este contexto</w:t>
      </w:r>
      <w:r w:rsidR="00A93715">
        <w:rPr>
          <w:rFonts w:ascii="Bookman Old Style" w:hAnsi="Bookman Old Style"/>
          <w:sz w:val="24"/>
          <w:szCs w:val="24"/>
        </w:rPr>
        <w:t>,</w:t>
      </w:r>
      <w:r w:rsidRPr="004175D5">
        <w:rPr>
          <w:rFonts w:ascii="Bookman Old Style" w:hAnsi="Bookman Old Style"/>
          <w:sz w:val="24"/>
          <w:szCs w:val="24"/>
        </w:rPr>
        <w:t xml:space="preserve"> se identifica que las fórmulas de actualización de cargos máximos de generación definidas en el artículo 25, tampoco considera</w:t>
      </w:r>
      <w:r w:rsidR="00ED2AF3" w:rsidRPr="004175D5">
        <w:rPr>
          <w:rFonts w:ascii="Bookman Old Style" w:hAnsi="Bookman Old Style"/>
          <w:sz w:val="24"/>
          <w:szCs w:val="24"/>
        </w:rPr>
        <w:t>n</w:t>
      </w:r>
      <w:r w:rsidRPr="004175D5">
        <w:rPr>
          <w:rFonts w:ascii="Bookman Old Style" w:hAnsi="Bookman Old Style"/>
          <w:sz w:val="24"/>
          <w:szCs w:val="24"/>
        </w:rPr>
        <w:t xml:space="preserve"> una f</w:t>
      </w:r>
      <w:r w:rsidR="00660EA5" w:rsidRPr="004175D5">
        <w:rPr>
          <w:rFonts w:ascii="Bookman Old Style" w:hAnsi="Bookman Old Style"/>
          <w:sz w:val="24"/>
          <w:szCs w:val="24"/>
        </w:rPr>
        <w:t>orma</w:t>
      </w:r>
      <w:r w:rsidRPr="004175D5">
        <w:rPr>
          <w:rFonts w:ascii="Bookman Old Style" w:hAnsi="Bookman Old Style"/>
          <w:sz w:val="24"/>
          <w:szCs w:val="24"/>
        </w:rPr>
        <w:t xml:space="preserve"> de actualización para el tipo </w:t>
      </w:r>
      <w:r w:rsidR="00ED2AF3" w:rsidRPr="004175D5">
        <w:rPr>
          <w:rFonts w:ascii="Bookman Old Style" w:hAnsi="Bookman Old Style"/>
          <w:sz w:val="24"/>
          <w:szCs w:val="24"/>
        </w:rPr>
        <w:t xml:space="preserve">de generación </w:t>
      </w:r>
      <w:r w:rsidR="000973AA">
        <w:rPr>
          <w:rFonts w:ascii="Bookman Old Style" w:hAnsi="Bookman Old Style"/>
          <w:sz w:val="24"/>
          <w:szCs w:val="24"/>
        </w:rPr>
        <w:t>enunciada</w:t>
      </w:r>
      <w:r w:rsidR="00ED2AF3" w:rsidRPr="004175D5">
        <w:rPr>
          <w:rFonts w:ascii="Bookman Old Style" w:hAnsi="Bookman Old Style"/>
          <w:sz w:val="24"/>
          <w:szCs w:val="24"/>
        </w:rPr>
        <w:t xml:space="preserve"> en la solicitud </w:t>
      </w:r>
      <w:r w:rsidR="000973AA">
        <w:rPr>
          <w:rFonts w:ascii="Bookman Old Style" w:hAnsi="Bookman Old Style"/>
          <w:sz w:val="24"/>
          <w:szCs w:val="24"/>
        </w:rPr>
        <w:t>presentada por la empresa</w:t>
      </w:r>
      <w:r w:rsidRPr="004175D5">
        <w:rPr>
          <w:rFonts w:ascii="Bookman Old Style" w:hAnsi="Bookman Old Style"/>
          <w:sz w:val="24"/>
          <w:szCs w:val="24"/>
        </w:rPr>
        <w:t>, lo cual será objeto de análisis en la presente resolución.</w:t>
      </w:r>
      <w:r>
        <w:rPr>
          <w:rFonts w:ascii="Bookman Old Style" w:hAnsi="Bookman Old Style"/>
          <w:sz w:val="24"/>
          <w:szCs w:val="24"/>
        </w:rPr>
        <w:t xml:space="preserve"> </w:t>
      </w:r>
    </w:p>
    <w:p w14:paraId="14EDEFB4" w14:textId="77777777" w:rsidR="00ED7F05"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p>
    <w:p w14:paraId="07118D48" w14:textId="383CC252" w:rsidR="00ED7F05" w:rsidRDefault="00E54BB6"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w:t>
      </w:r>
      <w:r w:rsidRPr="00E54BB6">
        <w:rPr>
          <w:rFonts w:ascii="Bookman Old Style" w:hAnsi="Bookman Old Style"/>
          <w:sz w:val="24"/>
          <w:szCs w:val="24"/>
        </w:rPr>
        <w:t xml:space="preserve">n </w:t>
      </w:r>
      <w:r w:rsidRPr="00E41921">
        <w:rPr>
          <w:rFonts w:ascii="Bookman Old Style" w:hAnsi="Bookman Old Style"/>
          <w:sz w:val="24"/>
          <w:szCs w:val="24"/>
        </w:rPr>
        <w:t>aras de</w:t>
      </w:r>
      <w:r w:rsidRPr="00E54BB6">
        <w:rPr>
          <w:rFonts w:ascii="Bookman Old Style" w:hAnsi="Bookman Old Style"/>
          <w:sz w:val="24"/>
          <w:szCs w:val="24"/>
        </w:rPr>
        <w:t xml:space="preserve"> garantizar los principios de eficacia y celeridad previstos en el artículo 3° del Código de Procedimiento Administrativo y de lo Contencioso Administrativo, con</w:t>
      </w:r>
      <w:r>
        <w:rPr>
          <w:rFonts w:ascii="Bookman Old Style" w:hAnsi="Bookman Old Style"/>
          <w:sz w:val="24"/>
          <w:szCs w:val="24"/>
        </w:rPr>
        <w:t>sidera esta Comisión necesari</w:t>
      </w:r>
      <w:r w:rsidR="00E41921">
        <w:rPr>
          <w:rFonts w:ascii="Bookman Old Style" w:hAnsi="Bookman Old Style"/>
          <w:sz w:val="24"/>
          <w:szCs w:val="24"/>
        </w:rPr>
        <w:t>o definir</w:t>
      </w:r>
      <w:r w:rsidR="00A93715">
        <w:rPr>
          <w:rFonts w:ascii="Bookman Old Style" w:hAnsi="Bookman Old Style"/>
          <w:sz w:val="24"/>
          <w:szCs w:val="24"/>
        </w:rPr>
        <w:t>,</w:t>
      </w:r>
      <w:r w:rsidR="00E41921">
        <w:rPr>
          <w:rFonts w:ascii="Bookman Old Style" w:hAnsi="Bookman Old Style"/>
          <w:sz w:val="24"/>
          <w:szCs w:val="24"/>
        </w:rPr>
        <w:t xml:space="preserve"> </w:t>
      </w:r>
      <w:r w:rsidR="00ED2AF3">
        <w:rPr>
          <w:rFonts w:ascii="Bookman Old Style" w:hAnsi="Bookman Old Style"/>
          <w:sz w:val="24"/>
          <w:szCs w:val="24"/>
        </w:rPr>
        <w:t xml:space="preserve">no solo </w:t>
      </w:r>
      <w:r w:rsidR="00E41921">
        <w:rPr>
          <w:rFonts w:ascii="Bookman Old Style" w:hAnsi="Bookman Old Style"/>
          <w:sz w:val="24"/>
          <w:szCs w:val="24"/>
        </w:rPr>
        <w:t>los gastos de administra</w:t>
      </w:r>
      <w:r w:rsidR="00643867">
        <w:rPr>
          <w:rFonts w:ascii="Bookman Old Style" w:hAnsi="Bookman Old Style"/>
          <w:sz w:val="24"/>
          <w:szCs w:val="24"/>
        </w:rPr>
        <w:t>ción, operación y mantenimiento</w:t>
      </w:r>
      <w:r w:rsidR="00A93715">
        <w:rPr>
          <w:rFonts w:ascii="Bookman Old Style" w:hAnsi="Bookman Old Style"/>
          <w:sz w:val="24"/>
          <w:szCs w:val="24"/>
        </w:rPr>
        <w:t>,</w:t>
      </w:r>
      <w:r w:rsidR="00643867">
        <w:rPr>
          <w:rFonts w:ascii="Bookman Old Style" w:hAnsi="Bookman Old Style"/>
          <w:sz w:val="24"/>
          <w:szCs w:val="24"/>
        </w:rPr>
        <w:t xml:space="preserve"> </w:t>
      </w:r>
      <w:r w:rsidR="00ED2AF3">
        <w:rPr>
          <w:rFonts w:ascii="Bookman Old Style" w:hAnsi="Bookman Old Style"/>
          <w:sz w:val="24"/>
          <w:szCs w:val="24"/>
        </w:rPr>
        <w:t xml:space="preserve">sino también </w:t>
      </w:r>
      <w:r w:rsidR="00065952">
        <w:rPr>
          <w:rFonts w:ascii="Bookman Old Style" w:hAnsi="Bookman Old Style"/>
          <w:sz w:val="24"/>
          <w:szCs w:val="24"/>
        </w:rPr>
        <w:t>la f</w:t>
      </w:r>
      <w:r w:rsidR="00660EA5">
        <w:rPr>
          <w:rFonts w:ascii="Bookman Old Style" w:hAnsi="Bookman Old Style"/>
          <w:sz w:val="24"/>
          <w:szCs w:val="24"/>
        </w:rPr>
        <w:t>orma</w:t>
      </w:r>
      <w:r w:rsidR="00065952">
        <w:rPr>
          <w:rFonts w:ascii="Bookman Old Style" w:hAnsi="Bookman Old Style"/>
          <w:sz w:val="24"/>
          <w:szCs w:val="24"/>
        </w:rPr>
        <w:t xml:space="preserve"> de actualización de los cargos máximos de generación </w:t>
      </w:r>
      <w:r w:rsidR="00BD21FA">
        <w:rPr>
          <w:rFonts w:ascii="Bookman Old Style" w:hAnsi="Bookman Old Style"/>
          <w:sz w:val="24"/>
          <w:szCs w:val="24"/>
        </w:rPr>
        <w:t>solicitados</w:t>
      </w:r>
      <w:r w:rsidR="00E41921">
        <w:rPr>
          <w:rFonts w:ascii="Bookman Old Style" w:hAnsi="Bookman Old Style"/>
          <w:sz w:val="24"/>
          <w:szCs w:val="24"/>
        </w:rPr>
        <w:t>.</w:t>
      </w:r>
    </w:p>
    <w:p w14:paraId="4765C22C" w14:textId="77777777" w:rsidR="00E54BB6" w:rsidRDefault="00E54BB6" w:rsidP="00E63E5A">
      <w:pPr>
        <w:pStyle w:val="Style2"/>
        <w:shd w:val="clear" w:color="auto" w:fill="auto"/>
        <w:spacing w:before="0" w:line="240" w:lineRule="auto"/>
        <w:ind w:left="284" w:right="51" w:firstLine="0"/>
        <w:jc w:val="both"/>
        <w:rPr>
          <w:rFonts w:ascii="Bookman Old Style" w:hAnsi="Bookman Old Style"/>
          <w:sz w:val="24"/>
          <w:szCs w:val="24"/>
        </w:rPr>
      </w:pPr>
    </w:p>
    <w:p w14:paraId="189AEE75" w14:textId="43AB9B63" w:rsidR="0037544D" w:rsidRDefault="00967A25" w:rsidP="00E41921">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lastRenderedPageBreak/>
        <w:t>D</w:t>
      </w:r>
      <w:r w:rsidR="004175D5">
        <w:rPr>
          <w:rFonts w:ascii="Bookman Old Style" w:hAnsi="Bookman Old Style"/>
          <w:sz w:val="24"/>
          <w:szCs w:val="24"/>
        </w:rPr>
        <w:t xml:space="preserve">ebe resaltarse que </w:t>
      </w:r>
      <w:r w:rsidR="00D24427">
        <w:rPr>
          <w:rFonts w:ascii="Bookman Old Style" w:hAnsi="Bookman Old Style"/>
          <w:sz w:val="24"/>
          <w:szCs w:val="24"/>
        </w:rPr>
        <w:t>Electropac</w:t>
      </w:r>
      <w:r w:rsidR="00643867">
        <w:rPr>
          <w:rFonts w:ascii="Bookman Old Style" w:hAnsi="Bookman Old Style"/>
          <w:sz w:val="24"/>
          <w:szCs w:val="24"/>
        </w:rPr>
        <w:t>í</w:t>
      </w:r>
      <w:r w:rsidR="00D24427">
        <w:rPr>
          <w:rFonts w:ascii="Bookman Old Style" w:hAnsi="Bookman Old Style"/>
          <w:sz w:val="24"/>
          <w:szCs w:val="24"/>
        </w:rPr>
        <w:t>fico</w:t>
      </w:r>
      <w:r w:rsidR="00A93715">
        <w:rPr>
          <w:rFonts w:ascii="Bookman Old Style" w:hAnsi="Bookman Old Style"/>
          <w:sz w:val="24"/>
          <w:szCs w:val="24"/>
        </w:rPr>
        <w:t>,</w:t>
      </w:r>
      <w:r w:rsidR="00D24427">
        <w:rPr>
          <w:rFonts w:ascii="Bookman Old Style" w:hAnsi="Bookman Old Style"/>
          <w:sz w:val="24"/>
          <w:szCs w:val="24"/>
        </w:rPr>
        <w:t xml:space="preserve"> </w:t>
      </w:r>
      <w:r w:rsidR="004175D5">
        <w:rPr>
          <w:rFonts w:ascii="Bookman Old Style" w:hAnsi="Bookman Old Style"/>
          <w:sz w:val="24"/>
          <w:szCs w:val="24"/>
        </w:rPr>
        <w:t xml:space="preserve">mediante </w:t>
      </w:r>
      <w:r w:rsidR="00A93715">
        <w:rPr>
          <w:rFonts w:ascii="Bookman Old Style" w:hAnsi="Bookman Old Style"/>
          <w:sz w:val="24"/>
          <w:szCs w:val="24"/>
        </w:rPr>
        <w:t xml:space="preserve">comunicación </w:t>
      </w:r>
      <w:r w:rsidR="004175D5">
        <w:rPr>
          <w:rFonts w:ascii="Bookman Old Style" w:hAnsi="Bookman Old Style"/>
          <w:sz w:val="24"/>
          <w:szCs w:val="24"/>
        </w:rPr>
        <w:t>posterior</w:t>
      </w:r>
      <w:r w:rsidR="00A93715">
        <w:rPr>
          <w:rFonts w:ascii="Bookman Old Style" w:hAnsi="Bookman Old Style"/>
          <w:sz w:val="24"/>
          <w:szCs w:val="24"/>
        </w:rPr>
        <w:t>,</w:t>
      </w:r>
      <w:r w:rsidR="004175D5">
        <w:rPr>
          <w:rFonts w:ascii="Bookman Old Style" w:hAnsi="Bookman Old Style"/>
          <w:sz w:val="24"/>
          <w:szCs w:val="24"/>
        </w:rPr>
        <w:t xml:space="preserve"> solicit</w:t>
      </w:r>
      <w:r w:rsidR="00A366C7">
        <w:rPr>
          <w:rFonts w:ascii="Bookman Old Style" w:hAnsi="Bookman Old Style"/>
          <w:sz w:val="24"/>
          <w:szCs w:val="24"/>
        </w:rPr>
        <w:t>ó só</w:t>
      </w:r>
      <w:r w:rsidR="004175D5">
        <w:rPr>
          <w:rFonts w:ascii="Bookman Old Style" w:hAnsi="Bookman Old Style"/>
          <w:sz w:val="24"/>
          <w:szCs w:val="24"/>
        </w:rPr>
        <w:t xml:space="preserve">lo </w:t>
      </w:r>
      <w:r w:rsidR="00A366C7">
        <w:rPr>
          <w:rFonts w:ascii="Bookman Old Style" w:hAnsi="Bookman Old Style"/>
          <w:sz w:val="24"/>
          <w:szCs w:val="24"/>
        </w:rPr>
        <w:t>la aprobación de la parte del cargo de generación correspondiente a</w:t>
      </w:r>
      <w:r w:rsidR="00643867">
        <w:rPr>
          <w:rFonts w:ascii="Bookman Old Style" w:hAnsi="Bookman Old Style"/>
          <w:sz w:val="24"/>
          <w:szCs w:val="24"/>
        </w:rPr>
        <w:t xml:space="preserve"> los gastos de administración, operación y mantenimiento </w:t>
      </w:r>
      <w:r w:rsidR="004175D5">
        <w:rPr>
          <w:rFonts w:ascii="Bookman Old Style" w:hAnsi="Bookman Old Style"/>
          <w:sz w:val="24"/>
          <w:szCs w:val="24"/>
        </w:rPr>
        <w:t xml:space="preserve">para el sistema </w:t>
      </w:r>
      <w:r w:rsidR="00A93715">
        <w:rPr>
          <w:rFonts w:ascii="Bookman Old Style" w:hAnsi="Bookman Old Style"/>
          <w:sz w:val="24"/>
          <w:szCs w:val="24"/>
        </w:rPr>
        <w:t>híbrido diésel-</w:t>
      </w:r>
      <w:r w:rsidR="004175D5">
        <w:rPr>
          <w:rFonts w:ascii="Bookman Old Style" w:hAnsi="Bookman Old Style"/>
          <w:sz w:val="24"/>
          <w:szCs w:val="24"/>
        </w:rPr>
        <w:t>solar con acumulación</w:t>
      </w:r>
      <w:r w:rsidR="00A93715">
        <w:rPr>
          <w:rFonts w:ascii="Bookman Old Style" w:hAnsi="Bookman Old Style"/>
          <w:sz w:val="24"/>
          <w:szCs w:val="24"/>
        </w:rPr>
        <w:t>,</w:t>
      </w:r>
      <w:r w:rsidR="004175D5">
        <w:rPr>
          <w:rFonts w:ascii="Bookman Old Style" w:hAnsi="Bookman Old Style"/>
          <w:sz w:val="24"/>
          <w:szCs w:val="24"/>
        </w:rPr>
        <w:t xml:space="preserve"> de las poblaciones de Jumaracarra y </w:t>
      </w:r>
      <w:r w:rsidR="005A1E93">
        <w:rPr>
          <w:rFonts w:ascii="Bookman Old Style" w:hAnsi="Bookman Old Style"/>
          <w:sz w:val="24"/>
          <w:szCs w:val="24"/>
        </w:rPr>
        <w:t>E</w:t>
      </w:r>
      <w:r w:rsidR="004175D5">
        <w:rPr>
          <w:rFonts w:ascii="Bookman Old Style" w:hAnsi="Bookman Old Style"/>
          <w:sz w:val="24"/>
          <w:szCs w:val="24"/>
        </w:rPr>
        <w:t>l Cedral</w:t>
      </w:r>
      <w:r w:rsidR="00210345">
        <w:rPr>
          <w:rFonts w:ascii="Bookman Old Style" w:hAnsi="Bookman Old Style"/>
          <w:sz w:val="24"/>
          <w:szCs w:val="24"/>
        </w:rPr>
        <w:t>,</w:t>
      </w:r>
      <w:r w:rsidR="004175D5">
        <w:rPr>
          <w:rFonts w:ascii="Bookman Old Style" w:hAnsi="Bookman Old Style"/>
          <w:sz w:val="24"/>
          <w:szCs w:val="24"/>
        </w:rPr>
        <w:t xml:space="preserve"> por considerar que los costos de inversión son hundidos</w:t>
      </w:r>
      <w:r w:rsidR="00A93715">
        <w:rPr>
          <w:rFonts w:ascii="Bookman Old Style" w:hAnsi="Bookman Old Style"/>
          <w:sz w:val="24"/>
          <w:szCs w:val="24"/>
        </w:rPr>
        <w:t>,</w:t>
      </w:r>
      <w:r w:rsidR="004175D5">
        <w:rPr>
          <w:rFonts w:ascii="Bookman Old Style" w:hAnsi="Bookman Old Style"/>
          <w:sz w:val="24"/>
          <w:szCs w:val="24"/>
        </w:rPr>
        <w:t xml:space="preserve"> al </w:t>
      </w:r>
      <w:r w:rsidR="00A366C7">
        <w:rPr>
          <w:rFonts w:ascii="Bookman Old Style" w:hAnsi="Bookman Old Style"/>
          <w:sz w:val="24"/>
          <w:szCs w:val="24"/>
        </w:rPr>
        <w:t>ser</w:t>
      </w:r>
      <w:r w:rsidR="004175D5">
        <w:rPr>
          <w:rFonts w:ascii="Bookman Old Style" w:hAnsi="Bookman Old Style"/>
          <w:sz w:val="24"/>
          <w:szCs w:val="24"/>
        </w:rPr>
        <w:t xml:space="preserve"> inversiones con recursos públicos</w:t>
      </w:r>
      <w:r w:rsidR="0037544D">
        <w:rPr>
          <w:rFonts w:ascii="Bookman Old Style" w:hAnsi="Bookman Old Style"/>
          <w:sz w:val="24"/>
          <w:szCs w:val="24"/>
        </w:rPr>
        <w:t>.</w:t>
      </w:r>
    </w:p>
    <w:p w14:paraId="0A3621DA" w14:textId="77777777" w:rsidR="0037544D" w:rsidRDefault="0037544D" w:rsidP="00E41921">
      <w:pPr>
        <w:pStyle w:val="Style2"/>
        <w:shd w:val="clear" w:color="auto" w:fill="auto"/>
        <w:spacing w:before="0" w:line="240" w:lineRule="auto"/>
        <w:ind w:left="284" w:right="51" w:firstLine="0"/>
        <w:jc w:val="both"/>
        <w:rPr>
          <w:rFonts w:ascii="Bookman Old Style" w:hAnsi="Bookman Old Style"/>
          <w:sz w:val="24"/>
          <w:szCs w:val="24"/>
        </w:rPr>
      </w:pPr>
    </w:p>
    <w:p w14:paraId="16315E4D" w14:textId="4D4DCF85" w:rsidR="004175D5" w:rsidRDefault="00967A25" w:rsidP="00E41921">
      <w:pPr>
        <w:pStyle w:val="Style2"/>
        <w:shd w:val="clear" w:color="auto" w:fill="auto"/>
        <w:spacing w:before="0" w:line="240" w:lineRule="auto"/>
        <w:ind w:left="284" w:right="51" w:firstLine="0"/>
        <w:jc w:val="both"/>
        <w:rPr>
          <w:color w:val="4B4949"/>
          <w:sz w:val="18"/>
          <w:szCs w:val="18"/>
        </w:rPr>
      </w:pPr>
      <w:r>
        <w:rPr>
          <w:rFonts w:ascii="Bookman Old Style" w:hAnsi="Bookman Old Style"/>
          <w:sz w:val="24"/>
          <w:szCs w:val="24"/>
        </w:rPr>
        <w:t>No obstante lo anterior, d</w:t>
      </w:r>
      <w:r w:rsidR="004175D5">
        <w:rPr>
          <w:rFonts w:ascii="Bookman Old Style" w:hAnsi="Bookman Old Style"/>
          <w:sz w:val="24"/>
          <w:szCs w:val="24"/>
        </w:rPr>
        <w:t xml:space="preserve">e acuerdo con las competencias de esta </w:t>
      </w:r>
      <w:r w:rsidR="004175D5" w:rsidRPr="000A0A80">
        <w:rPr>
          <w:rFonts w:ascii="Bookman Old Style" w:hAnsi="Bookman Old Style"/>
          <w:sz w:val="24"/>
          <w:szCs w:val="24"/>
        </w:rPr>
        <w:t>Comisión</w:t>
      </w:r>
      <w:r w:rsidR="00A93715">
        <w:rPr>
          <w:rFonts w:ascii="Bookman Old Style" w:hAnsi="Bookman Old Style"/>
          <w:sz w:val="24"/>
          <w:szCs w:val="24"/>
        </w:rPr>
        <w:t>,</w:t>
      </w:r>
      <w:r w:rsidR="004175D5" w:rsidRPr="000A0A80">
        <w:rPr>
          <w:rFonts w:ascii="Bookman Old Style" w:hAnsi="Bookman Old Style"/>
          <w:sz w:val="24"/>
          <w:szCs w:val="24"/>
        </w:rPr>
        <w:t xml:space="preserve"> </w:t>
      </w:r>
      <w:r w:rsidR="00A366C7" w:rsidRPr="000A0A80">
        <w:rPr>
          <w:rFonts w:ascii="Bookman Old Style" w:hAnsi="Bookman Old Style"/>
          <w:sz w:val="24"/>
          <w:szCs w:val="24"/>
        </w:rPr>
        <w:t xml:space="preserve">y teniendo en cuenta los criterios tarifarios definidos en el artículo 87 de la Ley 142 de 1994 , en particular </w:t>
      </w:r>
      <w:r w:rsidR="000973AA" w:rsidRPr="000A0A80">
        <w:rPr>
          <w:rFonts w:ascii="Bookman Old Style" w:hAnsi="Bookman Old Style"/>
          <w:sz w:val="24"/>
          <w:szCs w:val="24"/>
        </w:rPr>
        <w:t xml:space="preserve">los </w:t>
      </w:r>
      <w:r w:rsidR="00A366C7" w:rsidRPr="000A0A80">
        <w:rPr>
          <w:rFonts w:ascii="Bookman Old Style" w:hAnsi="Bookman Old Style"/>
          <w:sz w:val="24"/>
          <w:szCs w:val="24"/>
        </w:rPr>
        <w:t>de eficiencia económica</w:t>
      </w:r>
      <w:r w:rsidR="000973AA" w:rsidRPr="000A0A80">
        <w:rPr>
          <w:rFonts w:ascii="Bookman Old Style" w:hAnsi="Bookman Old Style"/>
          <w:sz w:val="24"/>
          <w:szCs w:val="24"/>
        </w:rPr>
        <w:t xml:space="preserve"> y suficiencia financiera</w:t>
      </w:r>
      <w:r w:rsidR="00A366C7" w:rsidRPr="000A0A80">
        <w:rPr>
          <w:rFonts w:ascii="Bookman Old Style" w:hAnsi="Bookman Old Style"/>
          <w:sz w:val="24"/>
          <w:szCs w:val="24"/>
        </w:rPr>
        <w:t xml:space="preserve">, </w:t>
      </w:r>
      <w:r w:rsidR="0037544D" w:rsidRPr="000A0A80">
        <w:rPr>
          <w:rFonts w:ascii="Bookman Old Style" w:hAnsi="Bookman Old Style"/>
          <w:sz w:val="24"/>
          <w:szCs w:val="24"/>
        </w:rPr>
        <w:t>en</w:t>
      </w:r>
      <w:r w:rsidR="00A366C7" w:rsidRPr="000A0A80">
        <w:rPr>
          <w:rFonts w:ascii="Bookman Old Style" w:hAnsi="Bookman Old Style"/>
          <w:sz w:val="24"/>
          <w:szCs w:val="24"/>
        </w:rPr>
        <w:t xml:space="preserve"> esta actuación administrativa</w:t>
      </w:r>
      <w:r w:rsidR="000973AA" w:rsidRPr="000A0A80">
        <w:rPr>
          <w:rFonts w:ascii="Bookman Old Style" w:hAnsi="Bookman Old Style"/>
          <w:sz w:val="24"/>
          <w:szCs w:val="24"/>
        </w:rPr>
        <w:t xml:space="preserve"> se definirá</w:t>
      </w:r>
      <w:r w:rsidR="00A366C7" w:rsidRPr="000A0A80">
        <w:rPr>
          <w:rFonts w:ascii="Bookman Old Style" w:hAnsi="Bookman Old Style"/>
          <w:sz w:val="24"/>
          <w:szCs w:val="24"/>
        </w:rPr>
        <w:t xml:space="preserve"> el cargo de generación en su totalidad, incluyendo el costo de inversión y </w:t>
      </w:r>
      <w:r w:rsidR="00A93715">
        <w:rPr>
          <w:rFonts w:ascii="Bookman Old Style" w:hAnsi="Bookman Old Style"/>
          <w:sz w:val="24"/>
          <w:szCs w:val="24"/>
        </w:rPr>
        <w:t xml:space="preserve">los </w:t>
      </w:r>
      <w:r w:rsidR="00A366C7" w:rsidRPr="000A0A80">
        <w:rPr>
          <w:rFonts w:ascii="Bookman Old Style" w:hAnsi="Bookman Old Style"/>
          <w:sz w:val="24"/>
          <w:szCs w:val="24"/>
        </w:rPr>
        <w:t>gastos de</w:t>
      </w:r>
      <w:r w:rsidR="00643867">
        <w:rPr>
          <w:rFonts w:ascii="Bookman Old Style" w:hAnsi="Bookman Old Style"/>
          <w:sz w:val="24"/>
          <w:szCs w:val="24"/>
        </w:rPr>
        <w:t xml:space="preserve"> administración, operación y mantenimiento</w:t>
      </w:r>
      <w:r w:rsidR="00A93715">
        <w:rPr>
          <w:rFonts w:ascii="Bookman Old Style" w:hAnsi="Bookman Old Style"/>
          <w:sz w:val="24"/>
          <w:szCs w:val="24"/>
        </w:rPr>
        <w:t>,</w:t>
      </w:r>
      <w:r w:rsidR="006B25AF" w:rsidRPr="000A0A80">
        <w:rPr>
          <w:rFonts w:ascii="Bookman Old Style" w:hAnsi="Bookman Old Style"/>
          <w:sz w:val="24"/>
          <w:szCs w:val="24"/>
        </w:rPr>
        <w:t xml:space="preserve"> a partir de la mejor información disponible</w:t>
      </w:r>
      <w:r w:rsidR="00A366C7" w:rsidRPr="000A0A80">
        <w:rPr>
          <w:rFonts w:ascii="Bookman Old Style" w:hAnsi="Bookman Old Style"/>
          <w:sz w:val="24"/>
          <w:szCs w:val="24"/>
        </w:rPr>
        <w:t xml:space="preserve">, con el fin de dar señales adecuadas que </w:t>
      </w:r>
      <w:r w:rsidR="00D24427" w:rsidRPr="000A0A80">
        <w:rPr>
          <w:rFonts w:ascii="Bookman Old Style" w:hAnsi="Bookman Old Style"/>
          <w:sz w:val="24"/>
          <w:szCs w:val="24"/>
        </w:rPr>
        <w:t>reflejen la estructura de costos económicos que acarrea la prestación del servicio</w:t>
      </w:r>
      <w:r w:rsidR="00A93715">
        <w:rPr>
          <w:rFonts w:ascii="Bookman Old Style" w:hAnsi="Bookman Old Style"/>
          <w:sz w:val="24"/>
          <w:szCs w:val="24"/>
        </w:rPr>
        <w:t>,</w:t>
      </w:r>
      <w:r w:rsidR="00D24427" w:rsidRPr="000A0A80">
        <w:rPr>
          <w:rFonts w:ascii="Bookman Old Style" w:hAnsi="Bookman Old Style"/>
          <w:sz w:val="24"/>
          <w:szCs w:val="24"/>
        </w:rPr>
        <w:t xml:space="preserve"> y que no se trasladen a los usuarios costos de una gestión ineficiente</w:t>
      </w:r>
      <w:r w:rsidR="000A0A80" w:rsidRPr="000A0A80">
        <w:rPr>
          <w:rFonts w:ascii="Bookman Old Style" w:hAnsi="Bookman Old Style"/>
          <w:sz w:val="24"/>
          <w:szCs w:val="24"/>
        </w:rPr>
        <w:t>,</w:t>
      </w:r>
      <w:r w:rsidR="00EE3EA3" w:rsidRPr="000A0A80">
        <w:rPr>
          <w:rFonts w:ascii="Bookman Old Style" w:hAnsi="Bookman Old Style"/>
          <w:sz w:val="24"/>
          <w:szCs w:val="24"/>
        </w:rPr>
        <w:t xml:space="preserve"> junto con que se permita utilizar las tecnologías y sistemas administrativos que garanticen la mejor calidad, continuidad y seguridad a los usuarios</w:t>
      </w:r>
      <w:r w:rsidR="00D24427" w:rsidRPr="000A0A80">
        <w:rPr>
          <w:rFonts w:ascii="Bookman Old Style" w:hAnsi="Bookman Old Style"/>
          <w:sz w:val="24"/>
          <w:szCs w:val="24"/>
        </w:rPr>
        <w:t xml:space="preserve">. </w:t>
      </w:r>
      <w:r w:rsidR="00D24427" w:rsidRPr="000A0A80">
        <w:rPr>
          <w:sz w:val="18"/>
          <w:szCs w:val="18"/>
        </w:rPr>
        <w:t xml:space="preserve"> </w:t>
      </w:r>
    </w:p>
    <w:p w14:paraId="7EFB6385" w14:textId="77777777" w:rsidR="00D24427" w:rsidRDefault="00D24427" w:rsidP="00E41921">
      <w:pPr>
        <w:pStyle w:val="Style2"/>
        <w:shd w:val="clear" w:color="auto" w:fill="auto"/>
        <w:spacing w:before="0" w:line="240" w:lineRule="auto"/>
        <w:ind w:left="284" w:right="51" w:firstLine="0"/>
        <w:jc w:val="both"/>
        <w:rPr>
          <w:rFonts w:ascii="Bookman Old Style" w:hAnsi="Bookman Old Style"/>
          <w:sz w:val="24"/>
          <w:szCs w:val="24"/>
        </w:rPr>
      </w:pPr>
    </w:p>
    <w:p w14:paraId="0D25E453" w14:textId="79E8F3BE" w:rsidR="00D24427" w:rsidRDefault="00D24427" w:rsidP="00D24427">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En el capítulo VII de la Resolución CREG 091 de 2007 se establecen las fórmulas tarifarias generales para usuarios regulados del servicio público de energía eléctrica en las </w:t>
      </w:r>
      <w:r w:rsidR="00A93715">
        <w:rPr>
          <w:rFonts w:ascii="Bookman Old Style" w:hAnsi="Bookman Old Style"/>
          <w:sz w:val="24"/>
          <w:szCs w:val="24"/>
        </w:rPr>
        <w:t>Zonas No Interconectadas</w:t>
      </w:r>
      <w:r>
        <w:rPr>
          <w:rFonts w:ascii="Bookman Old Style" w:hAnsi="Bookman Old Style"/>
          <w:sz w:val="24"/>
          <w:szCs w:val="24"/>
        </w:rPr>
        <w:t>, diferenciando entre la aplicable a usuarios regulados del servicio de energía eléctrica con red y sin red, artículos 40 y 41 de la precitada resolución</w:t>
      </w:r>
      <w:r w:rsidR="00A93715">
        <w:rPr>
          <w:rFonts w:ascii="Bookman Old Style" w:hAnsi="Bookman Old Style"/>
          <w:sz w:val="24"/>
          <w:szCs w:val="24"/>
        </w:rPr>
        <w:t>,</w:t>
      </w:r>
      <w:r>
        <w:rPr>
          <w:rFonts w:ascii="Bookman Old Style" w:hAnsi="Bookman Old Style"/>
          <w:sz w:val="24"/>
          <w:szCs w:val="24"/>
        </w:rPr>
        <w:t xml:space="preserve"> respectivamente. </w:t>
      </w:r>
    </w:p>
    <w:p w14:paraId="01B4F323" w14:textId="77777777" w:rsidR="00D24427" w:rsidRDefault="00D24427" w:rsidP="00E41921">
      <w:pPr>
        <w:pStyle w:val="Style2"/>
        <w:shd w:val="clear" w:color="auto" w:fill="auto"/>
        <w:spacing w:before="0" w:line="240" w:lineRule="auto"/>
        <w:ind w:left="284" w:right="51" w:firstLine="0"/>
        <w:jc w:val="both"/>
        <w:rPr>
          <w:rFonts w:ascii="Bookman Old Style" w:hAnsi="Bookman Old Style"/>
          <w:sz w:val="24"/>
          <w:szCs w:val="24"/>
        </w:rPr>
      </w:pPr>
    </w:p>
    <w:p w14:paraId="15E034EC" w14:textId="146A6CC9" w:rsidR="00873392" w:rsidRDefault="00E929F5" w:rsidP="00873392">
      <w:pPr>
        <w:pStyle w:val="Style2"/>
        <w:shd w:val="clear" w:color="auto" w:fill="auto"/>
        <w:spacing w:before="0" w:line="240" w:lineRule="auto"/>
        <w:ind w:left="284" w:right="51" w:firstLine="0"/>
        <w:jc w:val="both"/>
        <w:rPr>
          <w:rFonts w:ascii="Bookman Old Style" w:hAnsi="Bookman Old Style"/>
          <w:sz w:val="24"/>
          <w:szCs w:val="24"/>
        </w:rPr>
      </w:pPr>
      <w:r w:rsidRPr="007915E0">
        <w:rPr>
          <w:rFonts w:ascii="Bookman Old Style" w:hAnsi="Bookman Old Style"/>
          <w:sz w:val="24"/>
          <w:szCs w:val="24"/>
        </w:rPr>
        <w:t xml:space="preserve">Con la información presentada por </w:t>
      </w:r>
      <w:r w:rsidR="00D238B3" w:rsidRPr="007915E0">
        <w:rPr>
          <w:rFonts w:ascii="Bookman Old Style" w:hAnsi="Bookman Old Style"/>
          <w:sz w:val="24"/>
          <w:szCs w:val="24"/>
        </w:rPr>
        <w:t>Electropac</w:t>
      </w:r>
      <w:r w:rsidR="00643867">
        <w:rPr>
          <w:rFonts w:ascii="Bookman Old Style" w:hAnsi="Bookman Old Style"/>
          <w:sz w:val="24"/>
          <w:szCs w:val="24"/>
        </w:rPr>
        <w:t>í</w:t>
      </w:r>
      <w:r w:rsidR="00D238B3" w:rsidRPr="007915E0">
        <w:rPr>
          <w:rFonts w:ascii="Bookman Old Style" w:hAnsi="Bookman Old Style"/>
          <w:sz w:val="24"/>
          <w:szCs w:val="24"/>
        </w:rPr>
        <w:t>fico</w:t>
      </w:r>
      <w:r w:rsidR="00A93715">
        <w:rPr>
          <w:rFonts w:ascii="Bookman Old Style" w:hAnsi="Bookman Old Style"/>
          <w:sz w:val="24"/>
          <w:szCs w:val="24"/>
        </w:rPr>
        <w:t>,</w:t>
      </w:r>
      <w:r w:rsidR="007915E0" w:rsidRPr="007915E0">
        <w:rPr>
          <w:rFonts w:ascii="Bookman Old Style" w:hAnsi="Bookman Old Style"/>
          <w:sz w:val="24"/>
          <w:szCs w:val="24"/>
        </w:rPr>
        <w:t xml:space="preserve"> </w:t>
      </w:r>
      <w:r w:rsidRPr="007915E0">
        <w:rPr>
          <w:rFonts w:ascii="Bookman Old Style" w:hAnsi="Bookman Old Style"/>
          <w:sz w:val="24"/>
          <w:szCs w:val="24"/>
        </w:rPr>
        <w:t xml:space="preserve">se identifica que </w:t>
      </w:r>
      <w:r w:rsidR="00A6610A" w:rsidRPr="007915E0">
        <w:rPr>
          <w:rFonts w:ascii="Bookman Old Style" w:hAnsi="Bookman Old Style"/>
          <w:sz w:val="24"/>
          <w:szCs w:val="24"/>
        </w:rPr>
        <w:t xml:space="preserve">la energía generada con el sistema </w:t>
      </w:r>
      <w:r w:rsidR="00E41921" w:rsidRPr="007915E0">
        <w:rPr>
          <w:rFonts w:ascii="Bookman Old Style" w:hAnsi="Bookman Old Style"/>
          <w:sz w:val="24"/>
          <w:szCs w:val="24"/>
        </w:rPr>
        <w:t>permitirá la prestación del servicio a los usuarios mediante el uso de red. En ese sentido, la fórmula tarifaria aplicable correspondería a la del artículo 40</w:t>
      </w:r>
      <w:r w:rsidRPr="007915E0">
        <w:rPr>
          <w:rFonts w:ascii="Bookman Old Style" w:hAnsi="Bookman Old Style"/>
          <w:sz w:val="24"/>
          <w:szCs w:val="24"/>
        </w:rPr>
        <w:t xml:space="preserve"> de la </w:t>
      </w:r>
      <w:r w:rsidR="00A6610A" w:rsidRPr="007915E0">
        <w:rPr>
          <w:rFonts w:ascii="Bookman Old Style" w:hAnsi="Bookman Old Style"/>
          <w:sz w:val="24"/>
          <w:szCs w:val="24"/>
        </w:rPr>
        <w:t>Resolución CREG 091 de 2007</w:t>
      </w:r>
      <w:r w:rsidR="00E41921" w:rsidRPr="007915E0">
        <w:rPr>
          <w:rFonts w:ascii="Bookman Old Style" w:hAnsi="Bookman Old Style"/>
          <w:sz w:val="24"/>
          <w:szCs w:val="24"/>
        </w:rPr>
        <w:t xml:space="preserve">. </w:t>
      </w:r>
    </w:p>
    <w:p w14:paraId="555B05D8" w14:textId="77777777" w:rsidR="00873392" w:rsidRDefault="00873392" w:rsidP="00873392">
      <w:pPr>
        <w:pStyle w:val="Style2"/>
        <w:shd w:val="clear" w:color="auto" w:fill="auto"/>
        <w:spacing w:before="0" w:line="240" w:lineRule="auto"/>
        <w:ind w:left="284" w:right="51" w:firstLine="0"/>
        <w:jc w:val="both"/>
        <w:rPr>
          <w:rFonts w:ascii="Bookman Old Style" w:hAnsi="Bookman Old Style"/>
          <w:sz w:val="24"/>
          <w:szCs w:val="24"/>
        </w:rPr>
      </w:pPr>
    </w:p>
    <w:p w14:paraId="1FFC2495" w14:textId="51DC05CE" w:rsidR="00E41921" w:rsidRPr="00E41921" w:rsidRDefault="00D24427" w:rsidP="0087339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Así las cosas, t</w:t>
      </w:r>
      <w:r w:rsidR="00BB0F1B">
        <w:rPr>
          <w:rFonts w:ascii="Bookman Old Style" w:hAnsi="Bookman Old Style"/>
          <w:sz w:val="24"/>
          <w:szCs w:val="24"/>
        </w:rPr>
        <w:t>eniendo en cuenta que en la regulación vigente</w:t>
      </w:r>
      <w:r w:rsidR="00873392">
        <w:rPr>
          <w:rFonts w:ascii="Bookman Old Style" w:hAnsi="Bookman Old Style"/>
          <w:sz w:val="24"/>
          <w:szCs w:val="24"/>
        </w:rPr>
        <w:t xml:space="preserve"> </w:t>
      </w:r>
      <w:r w:rsidR="00E41921" w:rsidRPr="00E41921">
        <w:rPr>
          <w:rFonts w:ascii="Bookman Old Style" w:hAnsi="Bookman Old Style"/>
          <w:sz w:val="24"/>
          <w:szCs w:val="24"/>
        </w:rPr>
        <w:t>no se encuentran tipificados los costos</w:t>
      </w:r>
      <w:r w:rsidR="00BB0F1B">
        <w:rPr>
          <w:rFonts w:ascii="Bookman Old Style" w:hAnsi="Bookman Old Style"/>
          <w:sz w:val="24"/>
          <w:szCs w:val="24"/>
        </w:rPr>
        <w:t xml:space="preserve"> de generación</w:t>
      </w:r>
      <w:r w:rsidR="00E41921" w:rsidRPr="00E41921">
        <w:rPr>
          <w:rFonts w:ascii="Bookman Old Style" w:hAnsi="Bookman Old Style"/>
          <w:sz w:val="24"/>
          <w:szCs w:val="24"/>
        </w:rPr>
        <w:t xml:space="preserve"> para </w:t>
      </w:r>
      <w:r w:rsidR="007915E0">
        <w:rPr>
          <w:rFonts w:ascii="Bookman Old Style" w:hAnsi="Bookman Old Style"/>
          <w:sz w:val="24"/>
          <w:szCs w:val="24"/>
        </w:rPr>
        <w:t xml:space="preserve">sistemas </w:t>
      </w:r>
      <w:r w:rsidR="007915E0" w:rsidRPr="00E41921">
        <w:rPr>
          <w:rFonts w:ascii="Bookman Old Style" w:hAnsi="Bookman Old Style"/>
          <w:sz w:val="24"/>
          <w:szCs w:val="24"/>
        </w:rPr>
        <w:t>como</w:t>
      </w:r>
      <w:r w:rsidR="00E41921" w:rsidRPr="00E41921">
        <w:rPr>
          <w:rFonts w:ascii="Bookman Old Style" w:hAnsi="Bookman Old Style"/>
          <w:sz w:val="24"/>
          <w:szCs w:val="24"/>
        </w:rPr>
        <w:t xml:space="preserve"> e</w:t>
      </w:r>
      <w:r w:rsidR="00873392">
        <w:rPr>
          <w:rFonts w:ascii="Bookman Old Style" w:hAnsi="Bookman Old Style"/>
          <w:sz w:val="24"/>
          <w:szCs w:val="24"/>
        </w:rPr>
        <w:t xml:space="preserve">l presentado </w:t>
      </w:r>
      <w:r w:rsidR="007915E0">
        <w:rPr>
          <w:rFonts w:ascii="Bookman Old Style" w:hAnsi="Bookman Old Style"/>
          <w:sz w:val="24"/>
          <w:szCs w:val="24"/>
        </w:rPr>
        <w:t xml:space="preserve">por la empresa </w:t>
      </w:r>
      <w:r w:rsidR="00BB0F1B">
        <w:rPr>
          <w:rFonts w:ascii="Bookman Old Style" w:hAnsi="Bookman Old Style"/>
          <w:sz w:val="24"/>
          <w:szCs w:val="24"/>
        </w:rPr>
        <w:t>en su solicitud</w:t>
      </w:r>
      <w:r w:rsidR="00E41921" w:rsidRPr="00E41921">
        <w:rPr>
          <w:rFonts w:ascii="Bookman Old Style" w:hAnsi="Bookman Old Style"/>
          <w:sz w:val="24"/>
          <w:szCs w:val="24"/>
        </w:rPr>
        <w:t xml:space="preserve">, </w:t>
      </w:r>
      <w:r>
        <w:rPr>
          <w:rFonts w:ascii="Bookman Old Style" w:hAnsi="Bookman Old Style"/>
          <w:sz w:val="24"/>
          <w:szCs w:val="24"/>
        </w:rPr>
        <w:t>procede</w:t>
      </w:r>
      <w:r w:rsidR="00A6610A">
        <w:rPr>
          <w:rFonts w:ascii="Bookman Old Style" w:hAnsi="Bookman Old Style"/>
          <w:sz w:val="24"/>
          <w:szCs w:val="24"/>
        </w:rPr>
        <w:t xml:space="preserve"> la</w:t>
      </w:r>
      <w:r>
        <w:rPr>
          <w:rFonts w:ascii="Bookman Old Style" w:hAnsi="Bookman Old Style"/>
          <w:sz w:val="24"/>
          <w:szCs w:val="24"/>
        </w:rPr>
        <w:t xml:space="preserve"> </w:t>
      </w:r>
      <w:r w:rsidR="00A6610A" w:rsidRPr="00E41921">
        <w:rPr>
          <w:rFonts w:ascii="Bookman Old Style" w:hAnsi="Bookman Old Style"/>
          <w:sz w:val="24"/>
          <w:szCs w:val="24"/>
        </w:rPr>
        <w:t>determina</w:t>
      </w:r>
      <w:r w:rsidR="00A6610A">
        <w:rPr>
          <w:rFonts w:ascii="Bookman Old Style" w:hAnsi="Bookman Old Style"/>
          <w:sz w:val="24"/>
          <w:szCs w:val="24"/>
        </w:rPr>
        <w:t>ción</w:t>
      </w:r>
      <w:r w:rsidR="00A6610A" w:rsidRPr="00E41921">
        <w:rPr>
          <w:rFonts w:ascii="Bookman Old Style" w:hAnsi="Bookman Old Style"/>
          <w:sz w:val="24"/>
          <w:szCs w:val="24"/>
        </w:rPr>
        <w:t xml:space="preserve"> </w:t>
      </w:r>
      <w:r w:rsidR="00A6610A">
        <w:rPr>
          <w:rFonts w:ascii="Bookman Old Style" w:hAnsi="Bookman Old Style"/>
          <w:sz w:val="24"/>
          <w:szCs w:val="24"/>
        </w:rPr>
        <w:t>d</w:t>
      </w:r>
      <w:r w:rsidR="00E41921" w:rsidRPr="00E41921">
        <w:rPr>
          <w:rFonts w:ascii="Bookman Old Style" w:hAnsi="Bookman Old Style"/>
          <w:sz w:val="24"/>
          <w:szCs w:val="24"/>
        </w:rPr>
        <w:t xml:space="preserve">el costo de inversión </w:t>
      </w:r>
      <w:r w:rsidR="00873392">
        <w:rPr>
          <w:rFonts w:ascii="Bookman Old Style" w:hAnsi="Bookman Old Style"/>
          <w:sz w:val="24"/>
          <w:szCs w:val="24"/>
        </w:rPr>
        <w:t>y los gastos de administración, operación y mantenimiento</w:t>
      </w:r>
      <w:r w:rsidR="00A93715">
        <w:rPr>
          <w:rFonts w:ascii="Bookman Old Style" w:hAnsi="Bookman Old Style"/>
          <w:sz w:val="24"/>
          <w:szCs w:val="24"/>
        </w:rPr>
        <w:t>,</w:t>
      </w:r>
      <w:r w:rsidR="00873392">
        <w:rPr>
          <w:rFonts w:ascii="Bookman Old Style" w:hAnsi="Bookman Old Style"/>
          <w:sz w:val="24"/>
          <w:szCs w:val="24"/>
        </w:rPr>
        <w:t xml:space="preserve"> </w:t>
      </w:r>
      <w:r w:rsidR="00E41921" w:rsidRPr="00E41921">
        <w:rPr>
          <w:rFonts w:ascii="Bookman Old Style" w:hAnsi="Bookman Old Style"/>
          <w:sz w:val="24"/>
          <w:szCs w:val="24"/>
        </w:rPr>
        <w:t xml:space="preserve">en los términos definidos en la fórmula aplicable, esto es, en pesos por kilovatio hora ($/kWh). </w:t>
      </w:r>
    </w:p>
    <w:p w14:paraId="27143E4C" w14:textId="77777777" w:rsidR="00ED514A" w:rsidRPr="007915E0" w:rsidRDefault="00ED514A" w:rsidP="00E87470">
      <w:pPr>
        <w:pStyle w:val="Style2"/>
        <w:shd w:val="clear" w:color="auto" w:fill="auto"/>
        <w:spacing w:before="0" w:line="240" w:lineRule="auto"/>
        <w:ind w:right="51" w:firstLine="0"/>
        <w:jc w:val="both"/>
        <w:rPr>
          <w:rFonts w:ascii="Bookman Old Style" w:eastAsia="Calibri" w:hAnsi="Bookman Old Style"/>
          <w:sz w:val="24"/>
          <w:szCs w:val="24"/>
          <w:lang w:eastAsia="en-US"/>
        </w:rPr>
      </w:pPr>
    </w:p>
    <w:p w14:paraId="4EA6BF1A" w14:textId="77777777" w:rsidR="00D451C0" w:rsidRPr="00DE0BD1" w:rsidRDefault="00D451C0" w:rsidP="00D451C0">
      <w:pPr>
        <w:pStyle w:val="Textoindependiente"/>
        <w:ind w:left="284"/>
        <w:jc w:val="both"/>
        <w:rPr>
          <w:rFonts w:ascii="Bookman Old Style" w:hAnsi="Bookman Old Style"/>
        </w:rPr>
      </w:pPr>
      <w:r>
        <w:rPr>
          <w:rFonts w:ascii="Bookman Old Style" w:hAnsi="Bookman Old Style"/>
        </w:rPr>
        <w:t>5.2</w:t>
      </w:r>
      <w:r>
        <w:rPr>
          <w:rFonts w:ascii="Bookman Old Style" w:hAnsi="Bookman Old Style"/>
        </w:rPr>
        <w:tab/>
      </w:r>
      <w:r>
        <w:rPr>
          <w:rFonts w:ascii="Bookman Old Style" w:hAnsi="Bookman Old Style"/>
          <w:lang w:val="es-CO"/>
        </w:rPr>
        <w:t xml:space="preserve"> </w:t>
      </w:r>
      <w:r>
        <w:rPr>
          <w:rFonts w:ascii="Bookman Old Style" w:hAnsi="Bookman Old Style"/>
        </w:rPr>
        <w:t xml:space="preserve">ANÁLISIS </w:t>
      </w:r>
      <w:r w:rsidRPr="003C59FA">
        <w:rPr>
          <w:rFonts w:ascii="Bookman Old Style" w:hAnsi="Bookman Old Style"/>
        </w:rPr>
        <w:t>TÉCNICO</w:t>
      </w:r>
    </w:p>
    <w:p w14:paraId="6DFE2BF3" w14:textId="77777777" w:rsidR="00D238B3" w:rsidRDefault="00D238B3" w:rsidP="003A424A">
      <w:pPr>
        <w:pStyle w:val="Textoindependiente21"/>
        <w:ind w:left="284" w:right="142"/>
        <w:rPr>
          <w:rFonts w:ascii="Bookman Old Style" w:hAnsi="Bookman Old Style" w:cs="Arial"/>
          <w:sz w:val="24"/>
          <w:szCs w:val="24"/>
        </w:rPr>
      </w:pPr>
    </w:p>
    <w:p w14:paraId="4AE8EB82" w14:textId="25A6B9EF" w:rsidR="00A6610A" w:rsidRDefault="00A6610A" w:rsidP="00A6610A">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Teniendo en cuenta lo previsto en los artículos 22, 24, 25 y 40 de la Resolución CREG 091 de 2007, se procede a revisar la información allegada por Electropacífico, en términos de costos de inversión y gastos </w:t>
      </w:r>
      <w:r w:rsidR="005A1E93">
        <w:rPr>
          <w:rFonts w:ascii="Bookman Old Style" w:hAnsi="Bookman Old Style" w:cs="Arial"/>
          <w:sz w:val="24"/>
          <w:szCs w:val="24"/>
        </w:rPr>
        <w:t xml:space="preserve">de </w:t>
      </w:r>
      <w:r>
        <w:rPr>
          <w:rFonts w:ascii="Bookman Old Style" w:hAnsi="Bookman Old Style" w:cs="Arial"/>
          <w:sz w:val="24"/>
          <w:szCs w:val="24"/>
        </w:rPr>
        <w:t>administración, operación y mantenimiento, así como también se analizan los datos de proyección de energía a generar y de la demanda a atender, presentados en la solicitud.</w:t>
      </w:r>
    </w:p>
    <w:p w14:paraId="0837CF42" w14:textId="1BB5C046" w:rsidR="005A1E93" w:rsidRDefault="005A1E93" w:rsidP="00A6610A">
      <w:pPr>
        <w:pStyle w:val="Textoindependiente21"/>
        <w:ind w:left="284" w:right="142"/>
        <w:rPr>
          <w:rFonts w:ascii="Bookman Old Style" w:hAnsi="Bookman Old Style" w:cs="Arial"/>
          <w:sz w:val="24"/>
          <w:szCs w:val="24"/>
        </w:rPr>
      </w:pPr>
    </w:p>
    <w:p w14:paraId="2C64A66E" w14:textId="36247112" w:rsidR="008A452B" w:rsidRDefault="005A1E93" w:rsidP="00A6610A">
      <w:pPr>
        <w:pStyle w:val="Textoindependiente21"/>
        <w:ind w:left="284" w:right="142"/>
        <w:rPr>
          <w:rFonts w:ascii="Bookman Old Style" w:hAnsi="Bookman Old Style" w:cs="Arial"/>
          <w:sz w:val="24"/>
          <w:szCs w:val="24"/>
        </w:rPr>
      </w:pPr>
      <w:r>
        <w:rPr>
          <w:rFonts w:ascii="Bookman Old Style" w:hAnsi="Bookman Old Style" w:cs="Arial"/>
          <w:sz w:val="24"/>
          <w:szCs w:val="24"/>
        </w:rPr>
        <w:t>En el análisis de la información remitida por Electropacífico, la CREG identificó que la relación de costos y la solicitud de remuneración que se deriva de los mismos no corresponden a costos eficientes.</w:t>
      </w:r>
    </w:p>
    <w:p w14:paraId="56A0822C" w14:textId="77777777" w:rsidR="008A452B" w:rsidRDefault="008A452B" w:rsidP="00A6610A">
      <w:pPr>
        <w:pStyle w:val="Textoindependiente21"/>
        <w:ind w:left="284" w:right="142"/>
        <w:rPr>
          <w:rFonts w:ascii="Bookman Old Style" w:hAnsi="Bookman Old Style" w:cs="Arial"/>
          <w:sz w:val="24"/>
          <w:szCs w:val="24"/>
        </w:rPr>
      </w:pPr>
    </w:p>
    <w:p w14:paraId="4A02E677" w14:textId="1A735C16" w:rsidR="005A1E93" w:rsidRDefault="00283DEE" w:rsidP="00A6610A">
      <w:pPr>
        <w:pStyle w:val="Textoindependiente21"/>
        <w:ind w:left="284" w:right="142"/>
        <w:rPr>
          <w:rFonts w:ascii="Bookman Old Style" w:hAnsi="Bookman Old Style" w:cs="Arial"/>
          <w:sz w:val="24"/>
          <w:szCs w:val="24"/>
        </w:rPr>
      </w:pPr>
      <w:r>
        <w:rPr>
          <w:rFonts w:ascii="Bookman Old Style" w:hAnsi="Bookman Old Style" w:cs="Arial"/>
          <w:sz w:val="24"/>
          <w:szCs w:val="24"/>
        </w:rPr>
        <w:lastRenderedPageBreak/>
        <w:t xml:space="preserve">Atendiendo los criterios tarifarios de eficiencia económica y suficiencia financiera, esta Comisión resuelve la solicitud de Electropacífico, definiendo la remuneración a partir de </w:t>
      </w:r>
      <w:r w:rsidR="005A1E93">
        <w:rPr>
          <w:rFonts w:ascii="Bookman Old Style" w:hAnsi="Bookman Old Style" w:cs="Arial"/>
          <w:sz w:val="24"/>
          <w:szCs w:val="24"/>
        </w:rPr>
        <w:t>costos eficientes de referencia, ajustados a las condiciones de prestación del servicio en las poblaciones de El Cedral y Jumaracarra</w:t>
      </w:r>
      <w:r>
        <w:rPr>
          <w:rFonts w:ascii="Bookman Old Style" w:hAnsi="Bookman Old Style" w:cs="Arial"/>
          <w:sz w:val="24"/>
          <w:szCs w:val="24"/>
        </w:rPr>
        <w:t>.</w:t>
      </w:r>
    </w:p>
    <w:p w14:paraId="42CC45DC" w14:textId="77777777" w:rsidR="005A1E93" w:rsidRDefault="005A1E93" w:rsidP="00A6610A">
      <w:pPr>
        <w:pStyle w:val="Textoindependiente21"/>
        <w:ind w:left="284" w:right="142"/>
        <w:rPr>
          <w:rFonts w:ascii="Bookman Old Style" w:hAnsi="Bookman Old Style" w:cs="Arial"/>
          <w:sz w:val="24"/>
          <w:szCs w:val="24"/>
        </w:rPr>
      </w:pPr>
    </w:p>
    <w:p w14:paraId="5E8F390D" w14:textId="5E59E108" w:rsidR="00A6610A" w:rsidRDefault="00A6610A" w:rsidP="00A6610A">
      <w:pPr>
        <w:pStyle w:val="Textoindependiente21"/>
        <w:ind w:left="284" w:right="142"/>
        <w:rPr>
          <w:rFonts w:ascii="Bookman Old Style" w:hAnsi="Bookman Old Style" w:cs="Arial"/>
          <w:sz w:val="24"/>
          <w:szCs w:val="24"/>
        </w:rPr>
      </w:pPr>
      <w:r w:rsidRPr="0036103B">
        <w:rPr>
          <w:rFonts w:ascii="Bookman Old Style" w:hAnsi="Bookman Old Style" w:cs="Arial"/>
          <w:sz w:val="24"/>
          <w:szCs w:val="24"/>
        </w:rPr>
        <w:t xml:space="preserve">El documento CREG </w:t>
      </w:r>
      <w:r w:rsidR="00EB1C66">
        <w:rPr>
          <w:rFonts w:ascii="Bookman Old Style" w:hAnsi="Bookman Old Style" w:cs="Arial"/>
          <w:sz w:val="24"/>
          <w:szCs w:val="24"/>
        </w:rPr>
        <w:t>010</w:t>
      </w:r>
      <w:bookmarkStart w:id="0" w:name="_GoBack"/>
      <w:bookmarkEnd w:id="0"/>
      <w:r>
        <w:rPr>
          <w:rFonts w:ascii="Bookman Old Style" w:hAnsi="Bookman Old Style" w:cs="Arial"/>
          <w:sz w:val="24"/>
          <w:szCs w:val="24"/>
        </w:rPr>
        <w:t xml:space="preserve"> de 2020, soporte de la presente resolución, detalla el análisis técnico realizado para resolver la solicitud de la empresa en cuestión. </w:t>
      </w:r>
    </w:p>
    <w:p w14:paraId="378C9BCA" w14:textId="77777777" w:rsidR="00D238B3" w:rsidRDefault="00D238B3" w:rsidP="003A424A">
      <w:pPr>
        <w:pStyle w:val="Textoindependiente21"/>
        <w:ind w:left="284" w:right="142"/>
        <w:rPr>
          <w:rFonts w:ascii="Bookman Old Style" w:hAnsi="Bookman Old Style" w:cs="Arial"/>
          <w:sz w:val="24"/>
          <w:szCs w:val="24"/>
        </w:rPr>
      </w:pPr>
    </w:p>
    <w:p w14:paraId="284155B9" w14:textId="14766EA5" w:rsidR="008B6CE5" w:rsidRPr="008B6CE5" w:rsidRDefault="00FB483F" w:rsidP="008B6CE5">
      <w:pPr>
        <w:pStyle w:val="Textoindependiente21"/>
        <w:ind w:left="284" w:right="142"/>
        <w:rPr>
          <w:rFonts w:ascii="Bookman Old Style" w:hAnsi="Bookman Old Style" w:cs="Arial"/>
          <w:sz w:val="24"/>
          <w:szCs w:val="24"/>
        </w:rPr>
      </w:pPr>
      <w:r>
        <w:rPr>
          <w:rFonts w:ascii="Bookman Old Style" w:hAnsi="Bookman Old Style" w:cs="Arial"/>
          <w:sz w:val="24"/>
          <w:szCs w:val="24"/>
        </w:rPr>
        <w:t>E</w:t>
      </w:r>
      <w:r w:rsidR="00CF403A">
        <w:rPr>
          <w:rFonts w:ascii="Bookman Old Style" w:hAnsi="Bookman Old Style" w:cs="Arial"/>
          <w:sz w:val="24"/>
          <w:szCs w:val="24"/>
        </w:rPr>
        <w:t>n s</w:t>
      </w:r>
      <w:r w:rsidR="008B6CE5" w:rsidRPr="008B6CE5">
        <w:rPr>
          <w:rFonts w:ascii="Bookman Old Style" w:hAnsi="Bookman Old Style" w:cs="Arial"/>
          <w:sz w:val="24"/>
          <w:szCs w:val="24"/>
        </w:rPr>
        <w:t>esión No</w:t>
      </w:r>
      <w:r w:rsidR="005B5C99">
        <w:rPr>
          <w:rFonts w:ascii="Bookman Old Style" w:hAnsi="Bookman Old Style" w:cs="Arial"/>
          <w:sz w:val="24"/>
          <w:szCs w:val="24"/>
        </w:rPr>
        <w:t>. 981 de febrero 26</w:t>
      </w:r>
      <w:r w:rsidR="00D238B3">
        <w:rPr>
          <w:rFonts w:ascii="Bookman Old Style" w:hAnsi="Bookman Old Style" w:cs="Arial"/>
          <w:sz w:val="24"/>
          <w:szCs w:val="24"/>
        </w:rPr>
        <w:t xml:space="preserve"> de </w:t>
      </w:r>
      <w:r w:rsidR="00A6610A">
        <w:rPr>
          <w:rFonts w:ascii="Bookman Old Style" w:hAnsi="Bookman Old Style" w:cs="Arial"/>
          <w:sz w:val="24"/>
          <w:szCs w:val="24"/>
        </w:rPr>
        <w:t>2020</w:t>
      </w:r>
      <w:r w:rsidR="008B6CE5" w:rsidRPr="00B11990">
        <w:rPr>
          <w:rFonts w:ascii="Bookman Old Style" w:hAnsi="Bookman Old Style" w:cs="Arial"/>
          <w:sz w:val="24"/>
          <w:szCs w:val="24"/>
        </w:rPr>
        <w:t>,</w:t>
      </w:r>
      <w:r w:rsidR="008B6CE5" w:rsidRPr="008B6CE5">
        <w:rPr>
          <w:rFonts w:ascii="Bookman Old Style" w:hAnsi="Bookman Old Style" w:cs="Arial"/>
          <w:sz w:val="24"/>
          <w:szCs w:val="24"/>
        </w:rPr>
        <w:t xml:space="preserve"> la Comisión de Regulación de Energía y Gas analizó la presente actuación administrativa y</w:t>
      </w:r>
    </w:p>
    <w:p w14:paraId="6D825CAA" w14:textId="77777777" w:rsidR="008B6CE5" w:rsidRPr="008B6CE5" w:rsidRDefault="008B6CE5" w:rsidP="008B6CE5">
      <w:pPr>
        <w:pStyle w:val="Textoindependiente21"/>
        <w:ind w:left="284" w:right="142"/>
        <w:rPr>
          <w:rFonts w:ascii="Bookman Old Style" w:hAnsi="Bookman Old Style" w:cs="Arial"/>
          <w:sz w:val="24"/>
          <w:szCs w:val="24"/>
        </w:rPr>
      </w:pPr>
    </w:p>
    <w:p w14:paraId="3D29EA62" w14:textId="77777777" w:rsidR="008B6CE5" w:rsidRDefault="00FB483F" w:rsidP="008B6CE5">
      <w:pPr>
        <w:pStyle w:val="Textoindependiente21"/>
        <w:ind w:left="284" w:right="142"/>
        <w:rPr>
          <w:rFonts w:ascii="Bookman Old Style" w:hAnsi="Bookman Old Style" w:cs="Arial"/>
          <w:sz w:val="24"/>
          <w:szCs w:val="24"/>
        </w:rPr>
      </w:pPr>
      <w:r>
        <w:rPr>
          <w:rFonts w:ascii="Bookman Old Style" w:hAnsi="Bookman Old Style" w:cs="Arial"/>
          <w:sz w:val="24"/>
          <w:szCs w:val="24"/>
        </w:rPr>
        <w:t>P</w:t>
      </w:r>
      <w:r w:rsidR="008B6CE5">
        <w:rPr>
          <w:rFonts w:ascii="Bookman Old Style" w:hAnsi="Bookman Old Style" w:cs="Arial"/>
          <w:sz w:val="24"/>
          <w:szCs w:val="24"/>
        </w:rPr>
        <w:t>or lo anteriormente expuesto,</w:t>
      </w:r>
    </w:p>
    <w:p w14:paraId="0C117890" w14:textId="77777777" w:rsidR="00ED514A" w:rsidRDefault="00ED514A" w:rsidP="008B6CE5">
      <w:pPr>
        <w:pStyle w:val="Textoindependiente21"/>
        <w:ind w:left="284" w:right="142"/>
        <w:rPr>
          <w:rFonts w:ascii="Bookman Old Style" w:hAnsi="Bookman Old Style" w:cs="Arial"/>
          <w:sz w:val="24"/>
          <w:szCs w:val="24"/>
        </w:rPr>
      </w:pPr>
    </w:p>
    <w:p w14:paraId="154AE051" w14:textId="77777777" w:rsidR="009E6611" w:rsidRDefault="009E6611" w:rsidP="008B6CE5">
      <w:pPr>
        <w:pStyle w:val="Textoindependiente21"/>
        <w:ind w:left="284" w:right="142"/>
        <w:rPr>
          <w:rFonts w:ascii="Bookman Old Style" w:hAnsi="Bookman Old Style" w:cs="Arial"/>
          <w:sz w:val="24"/>
          <w:szCs w:val="24"/>
        </w:rPr>
      </w:pPr>
    </w:p>
    <w:p w14:paraId="748C3926" w14:textId="77777777" w:rsidR="00903C58" w:rsidRDefault="00903C58" w:rsidP="00903C58">
      <w:pPr>
        <w:keepNext/>
        <w:ind w:left="284" w:right="142"/>
        <w:jc w:val="center"/>
        <w:rPr>
          <w:rFonts w:ascii="Bookman Old Style" w:hAnsi="Bookman Old Style" w:cs="Arial"/>
          <w:b/>
        </w:rPr>
      </w:pPr>
      <w:r>
        <w:rPr>
          <w:rFonts w:ascii="Bookman Old Style" w:hAnsi="Bookman Old Style" w:cs="Arial"/>
          <w:b/>
        </w:rPr>
        <w:t>R E S U E L V E:</w:t>
      </w:r>
    </w:p>
    <w:p w14:paraId="427949B6" w14:textId="77777777" w:rsidR="00903C58" w:rsidRDefault="00903C58" w:rsidP="00903C58">
      <w:pPr>
        <w:keepNext/>
        <w:ind w:left="284" w:right="142"/>
        <w:jc w:val="center"/>
        <w:rPr>
          <w:rFonts w:ascii="Bookman Old Style" w:hAnsi="Bookman Old Style" w:cs="Arial"/>
          <w:b/>
        </w:rPr>
      </w:pPr>
    </w:p>
    <w:p w14:paraId="420D9BF7" w14:textId="77777777" w:rsidR="00565C93" w:rsidRDefault="00565C93" w:rsidP="007D63FF">
      <w:pPr>
        <w:pStyle w:val="Piedepgina"/>
        <w:tabs>
          <w:tab w:val="clear" w:pos="4252"/>
          <w:tab w:val="clear" w:pos="8504"/>
          <w:tab w:val="center" w:pos="4845"/>
        </w:tabs>
        <w:ind w:left="284" w:right="142"/>
        <w:jc w:val="both"/>
        <w:rPr>
          <w:rFonts w:ascii="Bookman Old Style" w:hAnsi="Bookman Old Style" w:cs="Arial"/>
          <w:b/>
        </w:rPr>
      </w:pPr>
    </w:p>
    <w:p w14:paraId="2F7A440E" w14:textId="218FA110" w:rsidR="00552F05" w:rsidRPr="00A1702A" w:rsidRDefault="00565C93" w:rsidP="00895107">
      <w:pPr>
        <w:pStyle w:val="Piedepgina"/>
        <w:tabs>
          <w:tab w:val="clear" w:pos="4252"/>
          <w:tab w:val="clear" w:pos="8504"/>
          <w:tab w:val="center" w:pos="4845"/>
        </w:tabs>
        <w:ind w:left="284" w:right="142"/>
        <w:jc w:val="both"/>
        <w:rPr>
          <w:rFonts w:ascii="Bookman Old Style" w:hAnsi="Bookman Old Style" w:cs="Arial"/>
        </w:rPr>
      </w:pPr>
      <w:r>
        <w:rPr>
          <w:rFonts w:ascii="Bookman Old Style" w:hAnsi="Bookman Old Style" w:cs="Arial"/>
          <w:b/>
        </w:rPr>
        <w:t>ARTÍCULO 1</w:t>
      </w:r>
      <w:r w:rsidR="00B50937" w:rsidRPr="0069185E">
        <w:rPr>
          <w:rFonts w:ascii="Bookman Old Style" w:hAnsi="Bookman Old Style" w:cs="Arial"/>
          <w:b/>
          <w:bCs/>
        </w:rPr>
        <w:t>.</w:t>
      </w:r>
      <w:r w:rsidR="00B50937">
        <w:rPr>
          <w:rFonts w:ascii="Bookman Old Style" w:hAnsi="Bookman Old Style" w:cs="Arial"/>
          <w:b/>
          <w:bCs/>
        </w:rPr>
        <w:t xml:space="preserve"> Remuneración de las componentes de inversión y de administración, operación y mantenimiento</w:t>
      </w:r>
      <w:r w:rsidR="004C63CD">
        <w:rPr>
          <w:rFonts w:ascii="Bookman Old Style" w:hAnsi="Bookman Old Style" w:cs="Arial"/>
          <w:b/>
          <w:bCs/>
        </w:rPr>
        <w:t>.</w:t>
      </w:r>
      <w:r w:rsidR="00B50937">
        <w:rPr>
          <w:rFonts w:ascii="Bookman Old Style" w:hAnsi="Bookman Old Style" w:cs="Arial"/>
          <w:b/>
          <w:bCs/>
        </w:rPr>
        <w:t xml:space="preserve"> </w:t>
      </w:r>
      <w:r w:rsidR="004C63CD" w:rsidRPr="004C63CD">
        <w:rPr>
          <w:rFonts w:ascii="Bookman Old Style" w:hAnsi="Bookman Old Style" w:cs="Arial"/>
          <w:bCs/>
        </w:rPr>
        <w:t>P</w:t>
      </w:r>
      <w:r w:rsidR="00B50937" w:rsidRPr="004C63CD">
        <w:rPr>
          <w:rFonts w:ascii="Bookman Old Style" w:hAnsi="Bookman Old Style" w:cs="Arial"/>
          <w:bCs/>
        </w:rPr>
        <w:t xml:space="preserve">ara </w:t>
      </w:r>
      <w:r w:rsidR="006931CD" w:rsidRPr="004C63CD">
        <w:rPr>
          <w:rFonts w:ascii="Bookman Old Style" w:hAnsi="Bookman Old Style" w:cs="Arial"/>
        </w:rPr>
        <w:t>sistema</w:t>
      </w:r>
      <w:r w:rsidR="00742F35" w:rsidRPr="004C63CD">
        <w:rPr>
          <w:rFonts w:ascii="Bookman Old Style" w:hAnsi="Bookman Old Style" w:cs="Arial"/>
        </w:rPr>
        <w:t>s</w:t>
      </w:r>
      <w:r w:rsidR="00015797" w:rsidRPr="004C63CD">
        <w:rPr>
          <w:rFonts w:ascii="Bookman Old Style" w:hAnsi="Bookman Old Style" w:cs="Arial"/>
        </w:rPr>
        <w:t xml:space="preserve"> h</w:t>
      </w:r>
      <w:r w:rsidR="00742F35" w:rsidRPr="004C63CD">
        <w:rPr>
          <w:rFonts w:ascii="Bookman Old Style" w:hAnsi="Bookman Old Style" w:cs="Arial"/>
        </w:rPr>
        <w:t>í</w:t>
      </w:r>
      <w:r w:rsidR="00015797" w:rsidRPr="004C63CD">
        <w:rPr>
          <w:rFonts w:ascii="Bookman Old Style" w:hAnsi="Bookman Old Style" w:cs="Arial"/>
        </w:rPr>
        <w:t>brido</w:t>
      </w:r>
      <w:r w:rsidR="00742F35" w:rsidRPr="004C63CD">
        <w:rPr>
          <w:rFonts w:ascii="Bookman Old Style" w:hAnsi="Bookman Old Style" w:cs="Arial"/>
        </w:rPr>
        <w:t>s</w:t>
      </w:r>
      <w:r w:rsidR="00015797" w:rsidRPr="004C63CD">
        <w:rPr>
          <w:rFonts w:ascii="Bookman Old Style" w:hAnsi="Bookman Old Style" w:cs="Arial"/>
        </w:rPr>
        <w:t xml:space="preserve"> </w:t>
      </w:r>
      <w:r w:rsidR="00895107" w:rsidRPr="004C63CD">
        <w:rPr>
          <w:rFonts w:ascii="Bookman Old Style" w:hAnsi="Bookman Old Style" w:cs="Arial"/>
        </w:rPr>
        <w:t>diésel</w:t>
      </w:r>
      <w:r w:rsidR="00A93715">
        <w:rPr>
          <w:rFonts w:ascii="Bookman Old Style" w:hAnsi="Bookman Old Style" w:cs="Arial"/>
        </w:rPr>
        <w:noBreakHyphen/>
      </w:r>
      <w:r w:rsidR="00895107" w:rsidRPr="004C63CD">
        <w:rPr>
          <w:rFonts w:ascii="Bookman Old Style" w:hAnsi="Bookman Old Style" w:cs="Arial"/>
        </w:rPr>
        <w:t>solar</w:t>
      </w:r>
      <w:r w:rsidR="00B6724D" w:rsidRPr="004C63CD">
        <w:rPr>
          <w:rFonts w:ascii="Bookman Old Style" w:hAnsi="Bookman Old Style" w:cs="Arial"/>
        </w:rPr>
        <w:t xml:space="preserve"> fotovoltaico con acumulación</w:t>
      </w:r>
      <w:r w:rsidR="00015797" w:rsidRPr="004C63CD">
        <w:rPr>
          <w:rFonts w:ascii="Bookman Old Style" w:hAnsi="Bookman Old Style" w:cs="Arial"/>
        </w:rPr>
        <w:t xml:space="preserve"> </w:t>
      </w:r>
      <w:r w:rsidR="004C63CD" w:rsidRPr="004C63CD">
        <w:rPr>
          <w:rFonts w:ascii="Bookman Old Style" w:hAnsi="Bookman Old Style" w:cs="Arial"/>
        </w:rPr>
        <w:t xml:space="preserve">en </w:t>
      </w:r>
      <w:r w:rsidR="00B6724D" w:rsidRPr="004C63CD">
        <w:rPr>
          <w:rFonts w:ascii="Bookman Old Style" w:hAnsi="Bookman Old Style" w:cs="Arial"/>
        </w:rPr>
        <w:t>los</w:t>
      </w:r>
      <w:r w:rsidR="00A6610A" w:rsidRPr="004C63CD">
        <w:rPr>
          <w:rFonts w:ascii="Bookman Old Style" w:hAnsi="Bookman Old Style" w:cs="Arial"/>
        </w:rPr>
        <w:t xml:space="preserve"> mercado</w:t>
      </w:r>
      <w:r w:rsidR="00B6724D" w:rsidRPr="004C63CD">
        <w:rPr>
          <w:rFonts w:ascii="Bookman Old Style" w:hAnsi="Bookman Old Style" w:cs="Arial"/>
        </w:rPr>
        <w:t>s</w:t>
      </w:r>
      <w:r w:rsidR="00A6610A" w:rsidRPr="004C63CD">
        <w:rPr>
          <w:rFonts w:ascii="Bookman Old Style" w:hAnsi="Bookman Old Style" w:cs="Arial"/>
        </w:rPr>
        <w:t xml:space="preserve"> relevante</w:t>
      </w:r>
      <w:r w:rsidR="00B6724D" w:rsidRPr="004C63CD">
        <w:rPr>
          <w:rFonts w:ascii="Bookman Old Style" w:hAnsi="Bookman Old Style" w:cs="Arial"/>
        </w:rPr>
        <w:t>s</w:t>
      </w:r>
      <w:r w:rsidR="00015797" w:rsidRPr="004C63CD">
        <w:rPr>
          <w:rFonts w:ascii="Bookman Old Style" w:hAnsi="Bookman Old Style" w:cs="Arial"/>
        </w:rPr>
        <w:t xml:space="preserve"> de Jumaracarra</w:t>
      </w:r>
      <w:r w:rsidR="00B6724D" w:rsidRPr="004C63CD">
        <w:rPr>
          <w:rFonts w:ascii="Bookman Old Style" w:hAnsi="Bookman Old Style" w:cs="Arial"/>
        </w:rPr>
        <w:t xml:space="preserve"> y el Cedral en el</w:t>
      </w:r>
      <w:r w:rsidR="00A6610A" w:rsidRPr="004C63CD">
        <w:rPr>
          <w:rFonts w:ascii="Bookman Old Style" w:hAnsi="Bookman Old Style" w:cs="Arial"/>
        </w:rPr>
        <w:t xml:space="preserve"> Municipio de Juradó, </w:t>
      </w:r>
      <w:r w:rsidR="0050336E" w:rsidRPr="004C63CD">
        <w:rPr>
          <w:rFonts w:ascii="Bookman Old Style" w:hAnsi="Bookman Old Style" w:cs="Arial"/>
        </w:rPr>
        <w:t>Chocó,</w:t>
      </w:r>
      <w:r w:rsidR="004C63CD" w:rsidRPr="004C63CD">
        <w:rPr>
          <w:rFonts w:ascii="Bookman Old Style" w:hAnsi="Bookman Old Style" w:cs="Arial"/>
        </w:rPr>
        <w:t xml:space="preserve"> l</w:t>
      </w:r>
      <w:r w:rsidR="00841735" w:rsidRPr="004C63CD">
        <w:rPr>
          <w:rFonts w:ascii="Bookman Old Style" w:hAnsi="Bookman Old Style" w:cs="Arial"/>
        </w:rPr>
        <w:t xml:space="preserve">as </w:t>
      </w:r>
      <w:r w:rsidR="00841735" w:rsidRPr="004C63CD">
        <w:rPr>
          <w:rFonts w:ascii="Bookman Old Style" w:hAnsi="Bookman Old Style" w:cs="Arial"/>
          <w:bCs/>
        </w:rPr>
        <w:t>componentes que remuneran los costos de inversión</w:t>
      </w:r>
      <w:r w:rsidR="00BE5DDF" w:rsidRPr="004C63CD">
        <w:rPr>
          <w:rFonts w:ascii="Bookman Old Style" w:hAnsi="Bookman Old Style" w:cs="Arial"/>
          <w:bCs/>
        </w:rPr>
        <w:t xml:space="preserve"> y de</w:t>
      </w:r>
      <w:r w:rsidR="00841735" w:rsidRPr="004C63CD">
        <w:rPr>
          <w:rFonts w:ascii="Bookman Old Style" w:hAnsi="Bookman Old Style" w:cs="Arial"/>
          <w:bCs/>
        </w:rPr>
        <w:t xml:space="preserve"> administración, operación y mantenimiento </w:t>
      </w:r>
      <w:r w:rsidR="00A1702A" w:rsidRPr="004C63CD">
        <w:rPr>
          <w:rFonts w:ascii="Bookman Old Style" w:hAnsi="Bookman Old Style" w:cs="Arial"/>
        </w:rPr>
        <w:t>son las siguientes</w:t>
      </w:r>
      <w:r w:rsidR="009F572E" w:rsidRPr="004C63CD">
        <w:rPr>
          <w:rFonts w:ascii="Bookman Old Style" w:hAnsi="Bookman Old Style" w:cs="Arial"/>
        </w:rPr>
        <w:t>:</w:t>
      </w:r>
    </w:p>
    <w:p w14:paraId="00919971" w14:textId="77777777" w:rsidR="007D63FF" w:rsidRDefault="007D63FF" w:rsidP="00CF403A">
      <w:pPr>
        <w:pStyle w:val="Piedepgina"/>
        <w:tabs>
          <w:tab w:val="clear" w:pos="4252"/>
          <w:tab w:val="clear" w:pos="8504"/>
          <w:tab w:val="center" w:pos="4845"/>
        </w:tabs>
        <w:ind w:left="284" w:right="142"/>
        <w:jc w:val="both"/>
        <w:rPr>
          <w:rFonts w:ascii="Bookman Old Style" w:hAnsi="Bookman Old Style" w:cs="Arial"/>
        </w:rPr>
      </w:pPr>
    </w:p>
    <w:p w14:paraId="72BE21A3" w14:textId="2A325125" w:rsidR="00BE5DDF" w:rsidRDefault="00A1702A" w:rsidP="00B66162">
      <w:pPr>
        <w:pStyle w:val="Piedepgina"/>
        <w:tabs>
          <w:tab w:val="clear" w:pos="4252"/>
          <w:tab w:val="clear" w:pos="8504"/>
          <w:tab w:val="center" w:pos="4845"/>
        </w:tabs>
        <w:ind w:left="284" w:right="142"/>
        <w:jc w:val="center"/>
        <w:rPr>
          <w:rFonts w:ascii="Bookman Old Style" w:hAnsi="Bookman Old Style" w:cs="Arial"/>
          <w:b/>
        </w:rPr>
      </w:pPr>
      <w:r w:rsidRPr="00A1702A">
        <w:rPr>
          <w:rFonts w:ascii="Bookman Old Style" w:hAnsi="Bookman Old Style" w:cs="Arial"/>
          <w:b/>
        </w:rPr>
        <w:t>Tabla</w:t>
      </w:r>
      <w:r w:rsidR="001A5475">
        <w:rPr>
          <w:rFonts w:ascii="Bookman Old Style" w:hAnsi="Bookman Old Style" w:cs="Arial"/>
          <w:b/>
        </w:rPr>
        <w:t xml:space="preserve"> </w:t>
      </w:r>
      <w:r w:rsidRPr="00A1702A">
        <w:rPr>
          <w:rFonts w:ascii="Bookman Old Style" w:hAnsi="Bookman Old Style" w:cs="Arial"/>
          <w:b/>
        </w:rPr>
        <w:t>1. Componentes de remuneración de costos de inversión</w:t>
      </w:r>
      <w:r w:rsidR="00BE5DDF">
        <w:rPr>
          <w:rFonts w:ascii="Bookman Old Style" w:hAnsi="Bookman Old Style" w:cs="Arial"/>
          <w:b/>
        </w:rPr>
        <w:t xml:space="preserve"> y de</w:t>
      </w:r>
      <w:r w:rsidRPr="00A1702A">
        <w:rPr>
          <w:rFonts w:ascii="Bookman Old Style" w:hAnsi="Bookman Old Style" w:cs="Arial"/>
          <w:b/>
        </w:rPr>
        <w:t xml:space="preserve"> administración,</w:t>
      </w:r>
      <w:r w:rsidRPr="00A1702A">
        <w:rPr>
          <w:rFonts w:ascii="Bookman Old Style" w:hAnsi="Bookman Old Style" w:cs="Arial"/>
          <w:b/>
          <w:bCs/>
        </w:rPr>
        <w:t xml:space="preserve"> operación y mantenimiento </w:t>
      </w:r>
      <w:r w:rsidR="005E42A5">
        <w:rPr>
          <w:rFonts w:ascii="Bookman Old Style" w:hAnsi="Bookman Old Style" w:cs="Arial"/>
          <w:b/>
          <w:bCs/>
        </w:rPr>
        <w:t xml:space="preserve">para </w:t>
      </w:r>
      <w:r w:rsidRPr="00A1702A">
        <w:rPr>
          <w:rFonts w:ascii="Bookman Old Style" w:hAnsi="Bookman Old Style" w:cs="Arial"/>
          <w:b/>
        </w:rPr>
        <w:t>sistema</w:t>
      </w:r>
      <w:r w:rsidR="005E42A5">
        <w:rPr>
          <w:rFonts w:ascii="Bookman Old Style" w:hAnsi="Bookman Old Style" w:cs="Arial"/>
          <w:b/>
        </w:rPr>
        <w:t>s</w:t>
      </w:r>
      <w:r w:rsidRPr="00A1702A">
        <w:rPr>
          <w:rFonts w:ascii="Bookman Old Style" w:hAnsi="Bookman Old Style" w:cs="Arial"/>
          <w:b/>
        </w:rPr>
        <w:t xml:space="preserve"> </w:t>
      </w:r>
      <w:r w:rsidR="00015797" w:rsidRPr="0050336E">
        <w:rPr>
          <w:rFonts w:ascii="Bookman Old Style" w:hAnsi="Bookman Old Style" w:cs="Arial"/>
          <w:b/>
        </w:rPr>
        <w:t>h</w:t>
      </w:r>
      <w:r w:rsidR="00742F35" w:rsidRPr="0050336E">
        <w:rPr>
          <w:rFonts w:ascii="Bookman Old Style" w:hAnsi="Bookman Old Style" w:cs="Arial"/>
          <w:b/>
        </w:rPr>
        <w:t>í</w:t>
      </w:r>
      <w:r w:rsidR="00015797" w:rsidRPr="0050336E">
        <w:rPr>
          <w:rFonts w:ascii="Bookman Old Style" w:hAnsi="Bookman Old Style" w:cs="Arial"/>
          <w:b/>
        </w:rPr>
        <w:t>brido</w:t>
      </w:r>
      <w:r w:rsidR="005E42A5" w:rsidRPr="0050336E">
        <w:rPr>
          <w:rFonts w:ascii="Bookman Old Style" w:hAnsi="Bookman Old Style" w:cs="Arial"/>
          <w:b/>
        </w:rPr>
        <w:t>s</w:t>
      </w:r>
      <w:r w:rsidR="00015797">
        <w:rPr>
          <w:rFonts w:ascii="Bookman Old Style" w:hAnsi="Bookman Old Style" w:cs="Arial"/>
          <w:b/>
        </w:rPr>
        <w:t xml:space="preserve"> </w:t>
      </w:r>
      <w:r w:rsidR="00FA3038">
        <w:rPr>
          <w:rFonts w:ascii="Bookman Old Style" w:hAnsi="Bookman Old Style" w:cs="Arial"/>
          <w:b/>
        </w:rPr>
        <w:t>diésel – solar fotovoltaico con acumulación</w:t>
      </w:r>
      <w:r w:rsidRPr="00A1702A">
        <w:rPr>
          <w:rFonts w:ascii="Bookman Old Style" w:hAnsi="Bookman Old Style" w:cs="Arial"/>
          <w:b/>
        </w:rPr>
        <w:t xml:space="preserve"> </w:t>
      </w:r>
    </w:p>
    <w:p w14:paraId="031D4D59" w14:textId="77777777" w:rsidR="007A2ABF" w:rsidRPr="00A1702A" w:rsidRDefault="00A1702A" w:rsidP="00B66162">
      <w:pPr>
        <w:pStyle w:val="Piedepgina"/>
        <w:tabs>
          <w:tab w:val="clear" w:pos="4252"/>
          <w:tab w:val="clear" w:pos="8504"/>
          <w:tab w:val="center" w:pos="4845"/>
        </w:tabs>
        <w:ind w:left="284" w:right="142"/>
        <w:jc w:val="center"/>
        <w:rPr>
          <w:rFonts w:ascii="Bookman Old Style" w:hAnsi="Bookman Old Style" w:cs="Arial"/>
          <w:b/>
        </w:rPr>
      </w:pPr>
      <w:r w:rsidRPr="00A1702A">
        <w:rPr>
          <w:rFonts w:ascii="Bookman Old Style" w:hAnsi="Bookman Old Style" w:cs="Arial"/>
          <w:b/>
        </w:rPr>
        <w:t>(pesos de diciembre de 20</w:t>
      </w:r>
      <w:r w:rsidR="00587735">
        <w:rPr>
          <w:rFonts w:ascii="Bookman Old Style" w:hAnsi="Bookman Old Style" w:cs="Arial"/>
          <w:b/>
        </w:rPr>
        <w:t>06</w:t>
      </w:r>
      <w:r w:rsidRPr="00A1702A">
        <w:rPr>
          <w:rFonts w:ascii="Bookman Old Style" w:hAnsi="Bookman Old Style" w:cs="Arial"/>
          <w:b/>
        </w:rPr>
        <w:t>)</w:t>
      </w:r>
    </w:p>
    <w:p w14:paraId="162D0ECD" w14:textId="77777777" w:rsidR="007A2ABF" w:rsidRDefault="007A2ABF" w:rsidP="00CF403A">
      <w:pPr>
        <w:pStyle w:val="Piedepgina"/>
        <w:tabs>
          <w:tab w:val="clear" w:pos="4252"/>
          <w:tab w:val="clear" w:pos="8504"/>
          <w:tab w:val="center" w:pos="4845"/>
        </w:tabs>
        <w:ind w:left="284" w:right="142"/>
        <w:jc w:val="both"/>
        <w:rPr>
          <w:rFonts w:ascii="Bookman Old Style" w:hAnsi="Bookman Old Style" w:cs="Arial"/>
        </w:rPr>
      </w:pPr>
    </w:p>
    <w:tbl>
      <w:tblPr>
        <w:tblStyle w:val="Tablaconcuadrcula"/>
        <w:tblW w:w="9127" w:type="dxa"/>
        <w:tblInd w:w="279" w:type="dxa"/>
        <w:tblLayout w:type="fixed"/>
        <w:tblLook w:val="04A0" w:firstRow="1" w:lastRow="0" w:firstColumn="1" w:lastColumn="0" w:noHBand="0" w:noVBand="1"/>
      </w:tblPr>
      <w:tblGrid>
        <w:gridCol w:w="3005"/>
        <w:gridCol w:w="3061"/>
        <w:gridCol w:w="3061"/>
      </w:tblGrid>
      <w:tr w:rsidR="005E42A5" w:rsidRPr="00DE0E66" w14:paraId="31E5DD75" w14:textId="77777777" w:rsidTr="001A5475">
        <w:trPr>
          <w:trHeight w:val="1120"/>
        </w:trPr>
        <w:tc>
          <w:tcPr>
            <w:tcW w:w="3005" w:type="dxa"/>
            <w:vAlign w:val="center"/>
          </w:tcPr>
          <w:p w14:paraId="599D7C2E" w14:textId="77777777" w:rsidR="005E42A5" w:rsidRPr="00DE0E66" w:rsidRDefault="005E42A5" w:rsidP="001A5475">
            <w:pPr>
              <w:pStyle w:val="Piedepgina"/>
              <w:tabs>
                <w:tab w:val="clear" w:pos="4252"/>
                <w:tab w:val="clear" w:pos="8504"/>
                <w:tab w:val="center" w:pos="4845"/>
              </w:tabs>
              <w:ind w:right="142"/>
              <w:contextualSpacing/>
              <w:jc w:val="center"/>
              <w:rPr>
                <w:rFonts w:ascii="Bookman Old Style" w:hAnsi="Bookman Old Style" w:cs="Arial"/>
                <w:b/>
                <w:sz w:val="20"/>
                <w:szCs w:val="20"/>
              </w:rPr>
            </w:pPr>
            <w:r>
              <w:rPr>
                <w:rFonts w:ascii="Bookman Old Style" w:hAnsi="Bookman Old Style" w:cs="Arial"/>
                <w:b/>
                <w:sz w:val="20"/>
                <w:szCs w:val="20"/>
              </w:rPr>
              <w:t>Tipo de recurso energético</w:t>
            </w:r>
          </w:p>
        </w:tc>
        <w:tc>
          <w:tcPr>
            <w:tcW w:w="3061" w:type="dxa"/>
            <w:vAlign w:val="center"/>
          </w:tcPr>
          <w:p w14:paraId="09B1D9EA" w14:textId="77777777" w:rsidR="005E42A5" w:rsidRPr="00DE0E66" w:rsidRDefault="005E42A5" w:rsidP="001A5475">
            <w:pPr>
              <w:pStyle w:val="Piedepgina"/>
              <w:tabs>
                <w:tab w:val="clear" w:pos="4252"/>
                <w:tab w:val="clear" w:pos="8504"/>
                <w:tab w:val="center" w:pos="4845"/>
              </w:tabs>
              <w:ind w:right="142"/>
              <w:contextualSpacing/>
              <w:jc w:val="center"/>
              <w:rPr>
                <w:rFonts w:ascii="Bookman Old Style" w:hAnsi="Bookman Old Style" w:cs="Arial"/>
                <w:b/>
                <w:sz w:val="20"/>
                <w:szCs w:val="20"/>
                <w:vertAlign w:val="subscript"/>
              </w:rPr>
            </w:pPr>
            <w:r w:rsidRPr="00DE0E66">
              <w:rPr>
                <w:rFonts w:ascii="Bookman Old Style" w:hAnsi="Bookman Old Style" w:cs="Arial"/>
                <w:b/>
                <w:sz w:val="20"/>
                <w:szCs w:val="20"/>
              </w:rPr>
              <w:t xml:space="preserve">Costo de inversión, </w:t>
            </w:r>
            <w:r w:rsidRPr="00DE0E66">
              <w:rPr>
                <w:rFonts w:ascii="Bookman Old Style" w:hAnsi="Bookman Old Style" w:cs="Arial"/>
                <w:b/>
                <w:i/>
                <w:sz w:val="20"/>
                <w:szCs w:val="20"/>
              </w:rPr>
              <w:t>CI</w:t>
            </w:r>
            <w:r>
              <w:rPr>
                <w:rFonts w:ascii="Bookman Old Style" w:hAnsi="Bookman Old Style" w:cs="Arial"/>
                <w:b/>
                <w:i/>
                <w:sz w:val="20"/>
                <w:szCs w:val="20"/>
                <w:vertAlign w:val="subscript"/>
              </w:rPr>
              <w:t>0,j</w:t>
            </w:r>
          </w:p>
          <w:p w14:paraId="07019A63" w14:textId="77777777" w:rsidR="005E42A5" w:rsidRPr="00DE0E66" w:rsidRDefault="005E42A5" w:rsidP="001A5475">
            <w:pPr>
              <w:pStyle w:val="Piedepgina"/>
              <w:tabs>
                <w:tab w:val="clear" w:pos="4252"/>
                <w:tab w:val="clear" w:pos="8504"/>
                <w:tab w:val="center" w:pos="4845"/>
              </w:tabs>
              <w:ind w:right="142"/>
              <w:contextualSpacing/>
              <w:jc w:val="center"/>
              <w:rPr>
                <w:rFonts w:ascii="Bookman Old Style" w:hAnsi="Bookman Old Style" w:cs="Arial"/>
                <w:b/>
                <w:sz w:val="20"/>
                <w:szCs w:val="20"/>
              </w:rPr>
            </w:pPr>
            <w:r w:rsidRPr="00DE0E66">
              <w:rPr>
                <w:rFonts w:ascii="Bookman Old Style" w:hAnsi="Bookman Old Style" w:cs="Arial"/>
                <w:b/>
                <w:sz w:val="20"/>
                <w:szCs w:val="20"/>
              </w:rPr>
              <w:t>($/kWh)</w:t>
            </w:r>
          </w:p>
        </w:tc>
        <w:tc>
          <w:tcPr>
            <w:tcW w:w="3061" w:type="dxa"/>
            <w:vAlign w:val="center"/>
          </w:tcPr>
          <w:p w14:paraId="638C7A2A" w14:textId="77777777" w:rsidR="005E42A5" w:rsidRPr="00DE0E66" w:rsidRDefault="005E42A5" w:rsidP="001A5475">
            <w:pPr>
              <w:pStyle w:val="Piedepgina"/>
              <w:tabs>
                <w:tab w:val="clear" w:pos="4252"/>
                <w:tab w:val="clear" w:pos="8504"/>
                <w:tab w:val="center" w:pos="4845"/>
              </w:tabs>
              <w:ind w:right="142"/>
              <w:contextualSpacing/>
              <w:jc w:val="center"/>
              <w:rPr>
                <w:rFonts w:ascii="Bookman Old Style" w:hAnsi="Bookman Old Style" w:cs="Arial"/>
                <w:b/>
                <w:sz w:val="20"/>
                <w:szCs w:val="20"/>
              </w:rPr>
            </w:pPr>
            <w:r w:rsidRPr="00DE0E66">
              <w:rPr>
                <w:rFonts w:ascii="Bookman Old Style" w:hAnsi="Bookman Old Style" w:cs="Arial"/>
                <w:b/>
                <w:sz w:val="20"/>
                <w:szCs w:val="20"/>
              </w:rPr>
              <w:t>Costos de administración, operación y mantenimiento,</w:t>
            </w:r>
          </w:p>
          <w:p w14:paraId="1F3791EC" w14:textId="77777777" w:rsidR="005E42A5" w:rsidRPr="00DE0E66" w:rsidRDefault="005E42A5" w:rsidP="001A5475">
            <w:pPr>
              <w:pStyle w:val="Piedepgina"/>
              <w:tabs>
                <w:tab w:val="clear" w:pos="4252"/>
                <w:tab w:val="clear" w:pos="8504"/>
                <w:tab w:val="center" w:pos="4845"/>
              </w:tabs>
              <w:ind w:right="142"/>
              <w:contextualSpacing/>
              <w:jc w:val="center"/>
              <w:rPr>
                <w:rFonts w:ascii="Bookman Old Style" w:hAnsi="Bookman Old Style" w:cs="Arial"/>
                <w:b/>
                <w:sz w:val="20"/>
                <w:szCs w:val="20"/>
              </w:rPr>
            </w:pPr>
            <w:r w:rsidRPr="00DE0E66">
              <w:rPr>
                <w:rFonts w:ascii="Bookman Old Style" w:hAnsi="Bookman Old Style" w:cs="Arial"/>
                <w:b/>
                <w:i/>
                <w:sz w:val="20"/>
                <w:szCs w:val="20"/>
              </w:rPr>
              <w:t>CM</w:t>
            </w:r>
            <w:r>
              <w:rPr>
                <w:rFonts w:ascii="Bookman Old Style" w:hAnsi="Bookman Old Style" w:cs="Arial"/>
                <w:b/>
                <w:i/>
                <w:sz w:val="20"/>
                <w:szCs w:val="20"/>
                <w:vertAlign w:val="subscript"/>
              </w:rPr>
              <w:t>0,j</w:t>
            </w:r>
            <w:r w:rsidRPr="00DE0E66">
              <w:rPr>
                <w:rFonts w:ascii="Bookman Old Style" w:hAnsi="Bookman Old Style" w:cs="Arial"/>
                <w:b/>
                <w:sz w:val="20"/>
                <w:szCs w:val="20"/>
              </w:rPr>
              <w:t xml:space="preserve"> ($/kWh)</w:t>
            </w:r>
          </w:p>
        </w:tc>
      </w:tr>
      <w:tr w:rsidR="005E42A5" w:rsidRPr="00DE0E66" w14:paraId="0A2B23A9" w14:textId="77777777" w:rsidTr="001A5475">
        <w:trPr>
          <w:trHeight w:val="846"/>
        </w:trPr>
        <w:tc>
          <w:tcPr>
            <w:tcW w:w="3005" w:type="dxa"/>
            <w:vAlign w:val="center"/>
          </w:tcPr>
          <w:p w14:paraId="5A6D995C" w14:textId="77777777" w:rsidR="005E42A5" w:rsidRPr="00DE0E66" w:rsidRDefault="005E42A5" w:rsidP="001A5475">
            <w:pPr>
              <w:pStyle w:val="Piedepgina"/>
              <w:tabs>
                <w:tab w:val="clear" w:pos="4252"/>
                <w:tab w:val="clear" w:pos="8504"/>
                <w:tab w:val="center" w:pos="4845"/>
              </w:tabs>
              <w:ind w:right="142"/>
              <w:contextualSpacing/>
              <w:rPr>
                <w:rFonts w:ascii="Bookman Old Style" w:hAnsi="Bookman Old Style" w:cs="Arial"/>
                <w:sz w:val="20"/>
                <w:szCs w:val="20"/>
              </w:rPr>
            </w:pPr>
            <w:r w:rsidRPr="006113A8">
              <w:rPr>
                <w:rFonts w:ascii="Bookman Old Style" w:hAnsi="Bookman Old Style" w:cs="Arial"/>
                <w:sz w:val="20"/>
                <w:szCs w:val="20"/>
              </w:rPr>
              <w:t xml:space="preserve">Solar fotovoltaico </w:t>
            </w:r>
            <w:r>
              <w:rPr>
                <w:rFonts w:ascii="Bookman Old Style" w:hAnsi="Bookman Old Style" w:cs="Arial"/>
                <w:sz w:val="20"/>
                <w:szCs w:val="20"/>
              </w:rPr>
              <w:t xml:space="preserve">con </w:t>
            </w:r>
            <w:r w:rsidRPr="006113A8">
              <w:rPr>
                <w:rFonts w:ascii="Bookman Old Style" w:hAnsi="Bookman Old Style" w:cs="Arial"/>
                <w:sz w:val="20"/>
                <w:szCs w:val="20"/>
              </w:rPr>
              <w:t>alimentación directa a red</w:t>
            </w:r>
            <w:r>
              <w:rPr>
                <w:rFonts w:ascii="Bookman Old Style" w:hAnsi="Bookman Old Style" w:cs="Arial"/>
                <w:sz w:val="20"/>
                <w:szCs w:val="20"/>
              </w:rPr>
              <w:t>.</w:t>
            </w:r>
          </w:p>
        </w:tc>
        <w:tc>
          <w:tcPr>
            <w:tcW w:w="3061" w:type="dxa"/>
            <w:vAlign w:val="center"/>
          </w:tcPr>
          <w:p w14:paraId="39A13FAE" w14:textId="45D17A91" w:rsidR="005E42A5" w:rsidRPr="00DB0425" w:rsidRDefault="00FA3038" w:rsidP="00DB0425">
            <w:pPr>
              <w:pStyle w:val="Piedepgina"/>
              <w:tabs>
                <w:tab w:val="center" w:pos="4845"/>
              </w:tabs>
              <w:ind w:right="142"/>
              <w:contextualSpacing/>
              <w:jc w:val="center"/>
              <w:rPr>
                <w:rFonts w:ascii="Bookman Old Style" w:hAnsi="Bookman Old Style" w:cs="Arial"/>
                <w:sz w:val="20"/>
                <w:szCs w:val="20"/>
                <w:lang w:val="es-MX"/>
              </w:rPr>
            </w:pPr>
            <w:r>
              <w:rPr>
                <w:rFonts w:ascii="Bookman Old Style" w:hAnsi="Bookman Old Style" w:cs="Arial"/>
                <w:sz w:val="20"/>
                <w:szCs w:val="20"/>
                <w:lang w:val="es-CO"/>
              </w:rPr>
              <w:t xml:space="preserve">  </w:t>
            </w:r>
            <w:r w:rsidR="00DB0425" w:rsidRPr="00DB0425">
              <w:rPr>
                <w:rFonts w:ascii="Bookman Old Style" w:hAnsi="Bookman Old Style" w:cs="Arial"/>
                <w:sz w:val="20"/>
                <w:szCs w:val="20"/>
                <w:lang w:val="es-CO"/>
              </w:rPr>
              <w:t>429,59</w:t>
            </w:r>
          </w:p>
        </w:tc>
        <w:tc>
          <w:tcPr>
            <w:tcW w:w="3061" w:type="dxa"/>
            <w:vAlign w:val="center"/>
          </w:tcPr>
          <w:p w14:paraId="7A14C735" w14:textId="2C8080BA" w:rsidR="005E42A5" w:rsidRPr="005E42A5" w:rsidRDefault="00DB0425" w:rsidP="001A5475">
            <w:pPr>
              <w:pStyle w:val="Piedepgina"/>
              <w:tabs>
                <w:tab w:val="clear" w:pos="4252"/>
                <w:tab w:val="clear" w:pos="8504"/>
                <w:tab w:val="center" w:pos="4845"/>
              </w:tabs>
              <w:ind w:right="142"/>
              <w:contextualSpacing/>
              <w:jc w:val="center"/>
              <w:rPr>
                <w:rFonts w:ascii="Bookman Old Style" w:hAnsi="Bookman Old Style" w:cs="Arial"/>
                <w:sz w:val="20"/>
                <w:szCs w:val="20"/>
                <w:highlight w:val="green"/>
              </w:rPr>
            </w:pPr>
            <w:r w:rsidRPr="00DB0425">
              <w:rPr>
                <w:rFonts w:ascii="Bookman Old Style" w:hAnsi="Bookman Old Style" w:cs="Arial"/>
                <w:sz w:val="20"/>
                <w:szCs w:val="20"/>
              </w:rPr>
              <w:t>78,88</w:t>
            </w:r>
          </w:p>
        </w:tc>
      </w:tr>
      <w:tr w:rsidR="005E42A5" w:rsidRPr="00DE0E66" w14:paraId="021D4615" w14:textId="77777777" w:rsidTr="001A5475">
        <w:trPr>
          <w:trHeight w:val="846"/>
        </w:trPr>
        <w:tc>
          <w:tcPr>
            <w:tcW w:w="3005" w:type="dxa"/>
            <w:vAlign w:val="center"/>
          </w:tcPr>
          <w:p w14:paraId="3403B0FC" w14:textId="77777777" w:rsidR="005E42A5" w:rsidRPr="00DE0E66" w:rsidRDefault="005E42A5" w:rsidP="001A5475">
            <w:pPr>
              <w:pStyle w:val="Piedepgina"/>
              <w:tabs>
                <w:tab w:val="clear" w:pos="4252"/>
                <w:tab w:val="clear" w:pos="8504"/>
                <w:tab w:val="center" w:pos="4845"/>
              </w:tabs>
              <w:ind w:right="142"/>
              <w:contextualSpacing/>
              <w:jc w:val="both"/>
              <w:rPr>
                <w:rFonts w:ascii="Bookman Old Style" w:hAnsi="Bookman Old Style" w:cs="Arial"/>
                <w:sz w:val="20"/>
                <w:szCs w:val="20"/>
              </w:rPr>
            </w:pPr>
            <w:r>
              <w:rPr>
                <w:rFonts w:ascii="Bookman Old Style" w:hAnsi="Bookman Old Style" w:cs="Arial"/>
                <w:sz w:val="20"/>
                <w:szCs w:val="20"/>
              </w:rPr>
              <w:t>Acumulación de recurso solar fotov</w:t>
            </w:r>
            <w:r w:rsidRPr="006113A8">
              <w:rPr>
                <w:rFonts w:ascii="Bookman Old Style" w:hAnsi="Bookman Old Style" w:cs="Arial"/>
                <w:sz w:val="20"/>
                <w:szCs w:val="20"/>
              </w:rPr>
              <w:t>oltaico</w:t>
            </w:r>
            <w:r>
              <w:rPr>
                <w:rFonts w:ascii="Bookman Old Style" w:hAnsi="Bookman Old Style" w:cs="Arial"/>
                <w:sz w:val="20"/>
                <w:szCs w:val="20"/>
              </w:rPr>
              <w:t>.</w:t>
            </w:r>
          </w:p>
        </w:tc>
        <w:tc>
          <w:tcPr>
            <w:tcW w:w="3061" w:type="dxa"/>
            <w:vAlign w:val="center"/>
          </w:tcPr>
          <w:p w14:paraId="0CA97BEE" w14:textId="6FE1342B" w:rsidR="005E42A5" w:rsidRPr="005E42A5" w:rsidRDefault="00DB0425" w:rsidP="001A5475">
            <w:pPr>
              <w:pStyle w:val="Piedepgina"/>
              <w:tabs>
                <w:tab w:val="clear" w:pos="4252"/>
                <w:tab w:val="clear" w:pos="8504"/>
                <w:tab w:val="center" w:pos="4845"/>
              </w:tabs>
              <w:ind w:right="142"/>
              <w:contextualSpacing/>
              <w:jc w:val="center"/>
              <w:rPr>
                <w:rFonts w:ascii="Bookman Old Style" w:hAnsi="Bookman Old Style" w:cs="Arial"/>
                <w:sz w:val="20"/>
                <w:szCs w:val="20"/>
                <w:highlight w:val="green"/>
              </w:rPr>
            </w:pPr>
            <w:r w:rsidRPr="00DB0425">
              <w:rPr>
                <w:rFonts w:ascii="Bookman Old Style" w:hAnsi="Bookman Old Style" w:cs="Arial"/>
                <w:sz w:val="20"/>
                <w:szCs w:val="20"/>
              </w:rPr>
              <w:t>1.786,83</w:t>
            </w:r>
          </w:p>
        </w:tc>
        <w:tc>
          <w:tcPr>
            <w:tcW w:w="3061" w:type="dxa"/>
            <w:vAlign w:val="center"/>
          </w:tcPr>
          <w:p w14:paraId="5D041EC5" w14:textId="0AB03076" w:rsidR="005E42A5" w:rsidRPr="005E42A5" w:rsidRDefault="00DB0425" w:rsidP="001A5475">
            <w:pPr>
              <w:pStyle w:val="Piedepgina"/>
              <w:tabs>
                <w:tab w:val="clear" w:pos="4252"/>
                <w:tab w:val="clear" w:pos="8504"/>
                <w:tab w:val="center" w:pos="4845"/>
              </w:tabs>
              <w:ind w:right="142"/>
              <w:contextualSpacing/>
              <w:jc w:val="center"/>
              <w:rPr>
                <w:rFonts w:ascii="Bookman Old Style" w:hAnsi="Bookman Old Style" w:cs="Arial"/>
                <w:sz w:val="20"/>
                <w:szCs w:val="20"/>
                <w:highlight w:val="green"/>
              </w:rPr>
            </w:pPr>
            <w:r w:rsidRPr="00DB0425">
              <w:rPr>
                <w:rFonts w:ascii="Bookman Old Style" w:hAnsi="Bookman Old Style" w:cs="Arial"/>
                <w:sz w:val="20"/>
                <w:szCs w:val="20"/>
              </w:rPr>
              <w:t>547,97</w:t>
            </w:r>
          </w:p>
        </w:tc>
      </w:tr>
      <w:tr w:rsidR="001A5475" w:rsidRPr="00DE0E66" w14:paraId="715FBF75" w14:textId="77777777" w:rsidTr="001A5475">
        <w:trPr>
          <w:trHeight w:val="987"/>
        </w:trPr>
        <w:tc>
          <w:tcPr>
            <w:tcW w:w="3005" w:type="dxa"/>
            <w:vAlign w:val="center"/>
          </w:tcPr>
          <w:p w14:paraId="3816574A" w14:textId="77777777" w:rsidR="001A5475" w:rsidRPr="00DE0E66" w:rsidRDefault="001A5475" w:rsidP="001A5475">
            <w:pPr>
              <w:pStyle w:val="Piedepgina"/>
              <w:tabs>
                <w:tab w:val="clear" w:pos="4252"/>
                <w:tab w:val="clear" w:pos="8504"/>
                <w:tab w:val="center" w:pos="4845"/>
              </w:tabs>
              <w:ind w:right="142"/>
              <w:contextualSpacing/>
              <w:rPr>
                <w:rFonts w:ascii="Bookman Old Style" w:hAnsi="Bookman Old Style" w:cs="Arial"/>
                <w:sz w:val="20"/>
                <w:szCs w:val="20"/>
              </w:rPr>
            </w:pPr>
            <w:r>
              <w:rPr>
                <w:rFonts w:ascii="Bookman Old Style" w:hAnsi="Bookman Old Style" w:cs="Arial"/>
                <w:sz w:val="20"/>
                <w:szCs w:val="20"/>
              </w:rPr>
              <w:t>Diésel.</w:t>
            </w:r>
          </w:p>
        </w:tc>
        <w:tc>
          <w:tcPr>
            <w:tcW w:w="6122" w:type="dxa"/>
            <w:gridSpan w:val="2"/>
            <w:vAlign w:val="center"/>
          </w:tcPr>
          <w:p w14:paraId="4C1F8C8C" w14:textId="77777777" w:rsidR="001A5475" w:rsidRPr="00DE0E66" w:rsidRDefault="001A5475" w:rsidP="001A5475">
            <w:pPr>
              <w:pStyle w:val="Piedepgina"/>
              <w:tabs>
                <w:tab w:val="clear" w:pos="4252"/>
                <w:tab w:val="clear" w:pos="8504"/>
                <w:tab w:val="center" w:pos="4845"/>
              </w:tabs>
              <w:ind w:right="142"/>
              <w:contextualSpacing/>
              <w:jc w:val="center"/>
              <w:rPr>
                <w:rFonts w:ascii="Bookman Old Style" w:hAnsi="Bookman Old Style" w:cs="Arial"/>
                <w:sz w:val="20"/>
                <w:szCs w:val="20"/>
              </w:rPr>
            </w:pPr>
            <w:r>
              <w:rPr>
                <w:rFonts w:ascii="Bookman Old Style" w:hAnsi="Bookman Old Style" w:cs="Arial"/>
                <w:sz w:val="20"/>
                <w:szCs w:val="20"/>
              </w:rPr>
              <w:t>Según lo previsto en el literal a), del artículo 22, de la Resolución CREG 091 de 2007, modificada mediante Resolución CREG 057 de 2009.</w:t>
            </w:r>
          </w:p>
        </w:tc>
      </w:tr>
    </w:tbl>
    <w:p w14:paraId="0140DB3A" w14:textId="77777777" w:rsidR="001A5475" w:rsidRDefault="001A5475" w:rsidP="00CF403A">
      <w:pPr>
        <w:pStyle w:val="Piedepgina"/>
        <w:tabs>
          <w:tab w:val="clear" w:pos="4252"/>
          <w:tab w:val="clear" w:pos="8504"/>
          <w:tab w:val="center" w:pos="4845"/>
        </w:tabs>
        <w:ind w:left="284" w:right="142"/>
        <w:jc w:val="both"/>
        <w:rPr>
          <w:rFonts w:ascii="Bookman Old Style" w:hAnsi="Bookman Old Style" w:cs="Arial"/>
        </w:rPr>
      </w:pPr>
    </w:p>
    <w:p w14:paraId="3026ECF4" w14:textId="77777777" w:rsidR="005E42A5" w:rsidRPr="005773FC" w:rsidRDefault="005E42A5" w:rsidP="005E42A5">
      <w:pPr>
        <w:pStyle w:val="Piedepgina"/>
        <w:tabs>
          <w:tab w:val="clear" w:pos="4252"/>
          <w:tab w:val="clear" w:pos="8504"/>
          <w:tab w:val="center" w:pos="4845"/>
        </w:tabs>
        <w:ind w:left="284" w:right="142"/>
        <w:jc w:val="both"/>
        <w:rPr>
          <w:rFonts w:ascii="Bookman Old Style" w:hAnsi="Bookman Old Style" w:cs="Arial"/>
        </w:rPr>
      </w:pPr>
      <w:r w:rsidRPr="005773FC">
        <w:rPr>
          <w:rFonts w:ascii="Bookman Old Style" w:hAnsi="Bookman Old Style" w:cs="Arial"/>
        </w:rPr>
        <w:t xml:space="preserve">En </w:t>
      </w:r>
      <w:r>
        <w:rPr>
          <w:rFonts w:ascii="Bookman Old Style" w:hAnsi="Bookman Old Style" w:cs="Arial"/>
        </w:rPr>
        <w:t>donde:</w:t>
      </w:r>
    </w:p>
    <w:p w14:paraId="605D1EE9" w14:textId="77777777" w:rsidR="005E42A5" w:rsidRPr="005773FC" w:rsidRDefault="005E42A5" w:rsidP="005E42A5">
      <w:pPr>
        <w:pStyle w:val="Piedepgina"/>
        <w:tabs>
          <w:tab w:val="clear" w:pos="4252"/>
          <w:tab w:val="clear" w:pos="8504"/>
          <w:tab w:val="center" w:pos="4845"/>
        </w:tabs>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435"/>
        <w:gridCol w:w="7648"/>
      </w:tblGrid>
      <w:tr w:rsidR="005E42A5" w14:paraId="0933CE92" w14:textId="77777777" w:rsidTr="001A5475">
        <w:tc>
          <w:tcPr>
            <w:tcW w:w="1272" w:type="dxa"/>
          </w:tcPr>
          <w:p w14:paraId="6F77C6EB" w14:textId="77777777" w:rsidR="005E42A5" w:rsidRPr="00FA068A" w:rsidRDefault="005E42A5" w:rsidP="001A5475">
            <w:pPr>
              <w:ind w:right="142"/>
              <w:rPr>
                <w:rFonts w:ascii="Bookman Old Style" w:hAnsi="Bookman Old Style" w:cs="Arial"/>
                <w:bCs/>
              </w:rPr>
            </w:pPr>
            <w:r w:rsidRPr="00FA068A">
              <w:rPr>
                <w:rFonts w:ascii="Bookman Old Style" w:hAnsi="Bookman Old Style" w:cs="Arial"/>
                <w:i/>
              </w:rPr>
              <w:t>CI</w:t>
            </w:r>
            <w:r>
              <w:rPr>
                <w:rFonts w:ascii="Bookman Old Style" w:hAnsi="Bookman Old Style" w:cs="Arial"/>
                <w:i/>
                <w:vertAlign w:val="subscript"/>
              </w:rPr>
              <w:t>0,j</w:t>
            </w:r>
          </w:p>
        </w:tc>
        <w:tc>
          <w:tcPr>
            <w:tcW w:w="435" w:type="dxa"/>
          </w:tcPr>
          <w:p w14:paraId="611707AD"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648" w:type="dxa"/>
          </w:tcPr>
          <w:p w14:paraId="4B8E5DAD" w14:textId="77777777" w:rsidR="005E42A5" w:rsidRDefault="005E42A5" w:rsidP="001A5475">
            <w:pPr>
              <w:ind w:right="142"/>
              <w:jc w:val="both"/>
              <w:rPr>
                <w:rFonts w:ascii="Bookman Old Style" w:hAnsi="Bookman Old Style" w:cs="Arial"/>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de inversión del recurso energético </w:t>
            </w:r>
            <w:r w:rsidRPr="005A30FF">
              <w:rPr>
                <w:rFonts w:ascii="Bookman Old Style" w:hAnsi="Bookman Old Style" w:cs="Arial"/>
                <w:i/>
              </w:rPr>
              <w:t>j</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mercado relevante de comercialización </w:t>
            </w:r>
            <w:r>
              <w:rPr>
                <w:rFonts w:ascii="Bookman Old Style" w:hAnsi="Bookman Old Style" w:cs="Arial"/>
              </w:rPr>
              <w:lastRenderedPageBreak/>
              <w:t>de Jumaracarra, expresado en pesos constantes de la fecha base.</w:t>
            </w:r>
          </w:p>
          <w:p w14:paraId="2FAC89EB" w14:textId="77777777" w:rsidR="005E42A5" w:rsidRDefault="005E42A5" w:rsidP="001A5475">
            <w:pPr>
              <w:ind w:right="142"/>
              <w:jc w:val="both"/>
              <w:rPr>
                <w:rFonts w:ascii="Bookman Old Style" w:hAnsi="Bookman Old Style" w:cs="Arial"/>
                <w:bCs/>
              </w:rPr>
            </w:pPr>
          </w:p>
        </w:tc>
      </w:tr>
      <w:tr w:rsidR="005E42A5" w:rsidRPr="004B61DC" w14:paraId="699E448A" w14:textId="77777777" w:rsidTr="001A5475">
        <w:tc>
          <w:tcPr>
            <w:tcW w:w="1272" w:type="dxa"/>
          </w:tcPr>
          <w:p w14:paraId="2388747B" w14:textId="77777777" w:rsidR="005E42A5" w:rsidRPr="004B61DC" w:rsidRDefault="005E42A5" w:rsidP="001A5475">
            <w:pPr>
              <w:ind w:right="142"/>
              <w:rPr>
                <w:rFonts w:ascii="Bookman Old Style" w:hAnsi="Bookman Old Style" w:cs="Arial"/>
                <w:i/>
              </w:rPr>
            </w:pPr>
            <w:r w:rsidRPr="004B61DC">
              <w:rPr>
                <w:rFonts w:ascii="Bookman Old Style" w:hAnsi="Bookman Old Style" w:cs="Arial"/>
                <w:i/>
              </w:rPr>
              <w:lastRenderedPageBreak/>
              <w:t>CM</w:t>
            </w:r>
            <w:r>
              <w:rPr>
                <w:rFonts w:ascii="Bookman Old Style" w:hAnsi="Bookman Old Style" w:cs="Arial"/>
                <w:i/>
                <w:vertAlign w:val="subscript"/>
              </w:rPr>
              <w:t>0,j</w:t>
            </w:r>
          </w:p>
        </w:tc>
        <w:tc>
          <w:tcPr>
            <w:tcW w:w="435" w:type="dxa"/>
          </w:tcPr>
          <w:p w14:paraId="44E96A6D" w14:textId="77777777" w:rsidR="005E42A5" w:rsidRPr="004B61DC" w:rsidRDefault="005E42A5" w:rsidP="001A5475">
            <w:pPr>
              <w:ind w:right="142"/>
              <w:jc w:val="both"/>
              <w:rPr>
                <w:rFonts w:ascii="Bookman Old Style" w:hAnsi="Bookman Old Style" w:cs="Arial"/>
                <w:bCs/>
              </w:rPr>
            </w:pPr>
            <w:r>
              <w:rPr>
                <w:rFonts w:ascii="Bookman Old Style" w:hAnsi="Bookman Old Style" w:cs="Arial"/>
                <w:bCs/>
              </w:rPr>
              <w:t>:</w:t>
            </w:r>
          </w:p>
        </w:tc>
        <w:tc>
          <w:tcPr>
            <w:tcW w:w="7648" w:type="dxa"/>
          </w:tcPr>
          <w:p w14:paraId="49A4A5F9" w14:textId="77777777" w:rsidR="005E42A5" w:rsidRDefault="005E42A5" w:rsidP="001A5475">
            <w:pPr>
              <w:ind w:right="142"/>
              <w:jc w:val="both"/>
              <w:rPr>
                <w:rFonts w:ascii="Bookman Old Style" w:hAnsi="Bookman Old Style" w:cs="Arial"/>
              </w:rPr>
            </w:pPr>
            <w:r>
              <w:rPr>
                <w:rFonts w:ascii="Bookman Old Style" w:hAnsi="Bookman Old Style" w:cs="Arial"/>
              </w:rPr>
              <w:t>Componente</w:t>
            </w:r>
            <w:r w:rsidRPr="00920F21">
              <w:rPr>
                <w:rFonts w:ascii="Bookman Old Style" w:hAnsi="Bookman Old Style" w:cs="Arial"/>
              </w:rPr>
              <w:t xml:space="preserve"> de remuneración de </w:t>
            </w:r>
            <w:r>
              <w:rPr>
                <w:rFonts w:ascii="Bookman Old Style" w:hAnsi="Bookman Old Style" w:cs="Arial"/>
              </w:rPr>
              <w:t xml:space="preserve">los </w:t>
            </w:r>
            <w:r w:rsidRPr="00920F21">
              <w:rPr>
                <w:rFonts w:ascii="Bookman Old Style" w:hAnsi="Bookman Old Style" w:cs="Arial"/>
              </w:rPr>
              <w:t xml:space="preserve">costos de </w:t>
            </w:r>
            <w:r>
              <w:rPr>
                <w:rFonts w:ascii="Bookman Old Style" w:hAnsi="Bookman Old Style" w:cs="Arial"/>
              </w:rPr>
              <w:t xml:space="preserve">administración operación y mantenimiento del recurso energético </w:t>
            </w:r>
            <w:r w:rsidRPr="005A30FF">
              <w:rPr>
                <w:rFonts w:ascii="Bookman Old Style" w:hAnsi="Bookman Old Style" w:cs="Arial"/>
                <w:i/>
              </w:rPr>
              <w:t>j</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de Jumaracarra, expresado en pesos constantes de la fecha base.</w:t>
            </w:r>
          </w:p>
          <w:p w14:paraId="4C801B25" w14:textId="77777777" w:rsidR="005E42A5" w:rsidRPr="004B61DC" w:rsidRDefault="005E42A5" w:rsidP="001A5475">
            <w:pPr>
              <w:ind w:right="142"/>
              <w:jc w:val="both"/>
              <w:rPr>
                <w:rFonts w:ascii="Bookman Old Style" w:hAnsi="Bookman Old Style" w:cs="Arial"/>
              </w:rPr>
            </w:pPr>
          </w:p>
        </w:tc>
      </w:tr>
      <w:tr w:rsidR="005E42A5" w:rsidRPr="00F41573" w14:paraId="0CE2445F" w14:textId="77777777" w:rsidTr="001A5475">
        <w:tc>
          <w:tcPr>
            <w:tcW w:w="1272" w:type="dxa"/>
          </w:tcPr>
          <w:p w14:paraId="77B843C3" w14:textId="77777777" w:rsidR="005E42A5" w:rsidRPr="00F41573" w:rsidRDefault="005E42A5" w:rsidP="001A5475">
            <w:pPr>
              <w:ind w:right="142"/>
              <w:rPr>
                <w:rFonts w:ascii="Bookman Old Style" w:hAnsi="Bookman Old Style" w:cs="Arial"/>
              </w:rPr>
            </w:pPr>
            <w:r w:rsidRPr="00F41573">
              <w:rPr>
                <w:rFonts w:ascii="Bookman Old Style" w:hAnsi="Bookman Old Style" w:cs="Arial"/>
              </w:rPr>
              <w:t>Fecha base</w:t>
            </w:r>
          </w:p>
        </w:tc>
        <w:tc>
          <w:tcPr>
            <w:tcW w:w="435" w:type="dxa"/>
          </w:tcPr>
          <w:p w14:paraId="730C83AD" w14:textId="77777777" w:rsidR="005E42A5" w:rsidRPr="00F41573" w:rsidRDefault="005E42A5" w:rsidP="001A5475">
            <w:pPr>
              <w:ind w:right="142"/>
              <w:jc w:val="both"/>
              <w:rPr>
                <w:rFonts w:ascii="Bookman Old Style" w:hAnsi="Bookman Old Style" w:cs="Arial"/>
                <w:bCs/>
              </w:rPr>
            </w:pPr>
            <w:r>
              <w:rPr>
                <w:rFonts w:ascii="Bookman Old Style" w:hAnsi="Bookman Old Style" w:cs="Arial"/>
                <w:bCs/>
              </w:rPr>
              <w:t>:</w:t>
            </w:r>
          </w:p>
        </w:tc>
        <w:tc>
          <w:tcPr>
            <w:tcW w:w="7648" w:type="dxa"/>
          </w:tcPr>
          <w:p w14:paraId="3A5EFF46" w14:textId="77777777" w:rsidR="005E42A5" w:rsidRDefault="005E42A5" w:rsidP="001A5475">
            <w:pPr>
              <w:ind w:right="142"/>
              <w:jc w:val="both"/>
              <w:rPr>
                <w:rFonts w:ascii="Bookman Old Style" w:hAnsi="Bookman Old Style" w:cs="Arial"/>
              </w:rPr>
            </w:pPr>
            <w:r>
              <w:rPr>
                <w:rFonts w:ascii="Bookman Old Style" w:hAnsi="Bookman Old Style" w:cs="Arial"/>
              </w:rPr>
              <w:t>31 de diciembre de 2006.</w:t>
            </w:r>
          </w:p>
          <w:p w14:paraId="63B36B46" w14:textId="77777777" w:rsidR="00911122" w:rsidRDefault="00911122" w:rsidP="001A5475">
            <w:pPr>
              <w:ind w:right="142"/>
              <w:jc w:val="both"/>
              <w:rPr>
                <w:rFonts w:ascii="Bookman Old Style" w:hAnsi="Bookman Old Style" w:cs="Arial"/>
              </w:rPr>
            </w:pPr>
          </w:p>
          <w:p w14:paraId="42247D28" w14:textId="1835D184" w:rsidR="00911122" w:rsidRPr="00F41573" w:rsidRDefault="00911122" w:rsidP="001A5475">
            <w:pPr>
              <w:ind w:right="142"/>
              <w:jc w:val="both"/>
              <w:rPr>
                <w:rFonts w:ascii="Bookman Old Style" w:hAnsi="Bookman Old Style" w:cs="Arial"/>
              </w:rPr>
            </w:pPr>
          </w:p>
        </w:tc>
      </w:tr>
    </w:tbl>
    <w:p w14:paraId="49B434B3" w14:textId="77777777" w:rsidR="005E42A5" w:rsidRDefault="005E42A5" w:rsidP="005E42A5">
      <w:pPr>
        <w:pStyle w:val="Piedepgina"/>
        <w:tabs>
          <w:tab w:val="clear" w:pos="4252"/>
          <w:tab w:val="clear" w:pos="8504"/>
          <w:tab w:val="center" w:pos="4845"/>
        </w:tabs>
        <w:ind w:left="284" w:right="142"/>
        <w:jc w:val="both"/>
        <w:rPr>
          <w:rFonts w:ascii="Bookman Old Style" w:hAnsi="Bookman Old Style" w:cs="Arial"/>
        </w:rPr>
      </w:pPr>
    </w:p>
    <w:p w14:paraId="215681BC" w14:textId="1E22AD12" w:rsidR="005E42A5" w:rsidRDefault="005E42A5" w:rsidP="005E42A5">
      <w:pPr>
        <w:ind w:left="284" w:right="142"/>
        <w:jc w:val="both"/>
        <w:rPr>
          <w:rFonts w:ascii="Bookman Old Style" w:hAnsi="Bookman Old Style" w:cs="Arial"/>
        </w:rPr>
      </w:pPr>
      <w:r w:rsidRPr="005773FC">
        <w:rPr>
          <w:rFonts w:ascii="Bookman Old Style" w:hAnsi="Bookman Old Style" w:cs="Arial"/>
          <w:b/>
        </w:rPr>
        <w:t>A</w:t>
      </w:r>
      <w:r>
        <w:rPr>
          <w:rFonts w:ascii="Bookman Old Style" w:hAnsi="Bookman Old Style" w:cs="Arial"/>
          <w:b/>
        </w:rPr>
        <w:t>RTÍCULO 2</w:t>
      </w:r>
      <w:r w:rsidRPr="0069185E">
        <w:rPr>
          <w:rFonts w:ascii="Bookman Old Style" w:hAnsi="Bookman Old Style" w:cs="Arial"/>
          <w:b/>
          <w:bCs/>
        </w:rPr>
        <w:t>.</w:t>
      </w:r>
      <w:r>
        <w:rPr>
          <w:rFonts w:ascii="Bookman Old Style" w:hAnsi="Bookman Old Style" w:cs="Arial"/>
          <w:b/>
          <w:bCs/>
        </w:rPr>
        <w:t xml:space="preserve"> F</w:t>
      </w:r>
      <w:r w:rsidRPr="00F41573">
        <w:rPr>
          <w:rFonts w:ascii="Bookman Old Style" w:hAnsi="Bookman Old Style" w:cs="Arial"/>
          <w:b/>
          <w:bCs/>
        </w:rPr>
        <w:t xml:space="preserve">órmula de Actualización de Cargos Máximos de Generación para sistemas híbridos </w:t>
      </w:r>
      <w:r w:rsidR="00A93715" w:rsidRPr="00F41573">
        <w:rPr>
          <w:rFonts w:ascii="Bookman Old Style" w:hAnsi="Bookman Old Style" w:cs="Arial"/>
          <w:b/>
          <w:bCs/>
        </w:rPr>
        <w:t>diésel</w:t>
      </w:r>
      <w:r w:rsidR="00A93715">
        <w:rPr>
          <w:rFonts w:ascii="Bookman Old Style" w:hAnsi="Bookman Old Style" w:cs="Arial"/>
          <w:b/>
          <w:bCs/>
        </w:rPr>
        <w:noBreakHyphen/>
      </w:r>
      <w:r w:rsidRPr="00F41573">
        <w:rPr>
          <w:rFonts w:ascii="Bookman Old Style" w:hAnsi="Bookman Old Style" w:cs="Arial"/>
          <w:b/>
          <w:bCs/>
        </w:rPr>
        <w:t xml:space="preserve">solar fotovoltaicos con acumulación en </w:t>
      </w:r>
      <w:r>
        <w:rPr>
          <w:rFonts w:ascii="Bookman Old Style" w:hAnsi="Bookman Old Style" w:cs="Arial"/>
          <w:b/>
          <w:bCs/>
        </w:rPr>
        <w:t xml:space="preserve">los </w:t>
      </w:r>
      <w:r w:rsidRPr="0019727B">
        <w:rPr>
          <w:rFonts w:ascii="Bookman Old Style" w:hAnsi="Bookman Old Style" w:cs="Arial"/>
          <w:b/>
        </w:rPr>
        <w:t>mercado</w:t>
      </w:r>
      <w:r>
        <w:rPr>
          <w:rFonts w:ascii="Bookman Old Style" w:hAnsi="Bookman Old Style" w:cs="Arial"/>
          <w:b/>
        </w:rPr>
        <w:t>s</w:t>
      </w:r>
      <w:r w:rsidRPr="0019727B">
        <w:rPr>
          <w:rFonts w:ascii="Bookman Old Style" w:hAnsi="Bookman Old Style" w:cs="Arial"/>
          <w:b/>
        </w:rPr>
        <w:t xml:space="preserve"> relevante</w:t>
      </w:r>
      <w:r>
        <w:rPr>
          <w:rFonts w:ascii="Bookman Old Style" w:hAnsi="Bookman Old Style" w:cs="Arial"/>
          <w:b/>
        </w:rPr>
        <w:t>s</w:t>
      </w:r>
      <w:r w:rsidRPr="0019727B">
        <w:rPr>
          <w:rFonts w:ascii="Bookman Old Style" w:hAnsi="Bookman Old Style" w:cs="Arial"/>
          <w:b/>
        </w:rPr>
        <w:t xml:space="preserve"> de comercialización </w:t>
      </w:r>
      <w:r>
        <w:rPr>
          <w:rFonts w:ascii="Bookman Old Style" w:hAnsi="Bookman Old Style" w:cs="Arial"/>
          <w:b/>
        </w:rPr>
        <w:t xml:space="preserve">de Jumaracarra y El Cedral, </w:t>
      </w:r>
      <w:r w:rsidRPr="0019727B">
        <w:rPr>
          <w:rFonts w:ascii="Bookman Old Style" w:hAnsi="Bookman Old Style" w:cs="Arial"/>
          <w:b/>
        </w:rPr>
        <w:t xml:space="preserve">municipio de </w:t>
      </w:r>
      <w:r>
        <w:rPr>
          <w:rFonts w:ascii="Bookman Old Style" w:hAnsi="Bookman Old Style" w:cs="Arial"/>
          <w:b/>
        </w:rPr>
        <w:t>Juradó</w:t>
      </w:r>
      <w:r w:rsidRPr="0019727B">
        <w:rPr>
          <w:rFonts w:ascii="Bookman Old Style" w:hAnsi="Bookman Old Style" w:cs="Arial"/>
          <w:b/>
        </w:rPr>
        <w:t>, Chocó</w:t>
      </w:r>
      <w:r>
        <w:rPr>
          <w:rFonts w:ascii="Bookman Old Style" w:hAnsi="Bookman Old Style" w:cs="Arial"/>
          <w:b/>
          <w:bCs/>
        </w:rPr>
        <w:t>.</w:t>
      </w:r>
      <w:r w:rsidRPr="00C52178">
        <w:rPr>
          <w:rFonts w:ascii="Bookman Old Style" w:hAnsi="Bookman Old Style" w:cs="Arial"/>
          <w:bCs/>
        </w:rPr>
        <w:t xml:space="preserve"> </w:t>
      </w:r>
      <w:r w:rsidRPr="00F41573">
        <w:rPr>
          <w:rFonts w:ascii="Bookman Old Style" w:hAnsi="Bookman Old Style" w:cs="Arial"/>
          <w:bCs/>
        </w:rPr>
        <w:t xml:space="preserve">Los </w:t>
      </w:r>
      <w:r>
        <w:rPr>
          <w:rFonts w:ascii="Bookman Old Style" w:hAnsi="Bookman Old Style" w:cs="Arial"/>
          <w:bCs/>
        </w:rPr>
        <w:t>c</w:t>
      </w:r>
      <w:r w:rsidRPr="00F41573">
        <w:rPr>
          <w:rFonts w:ascii="Bookman Old Style" w:hAnsi="Bookman Old Style" w:cs="Arial"/>
          <w:bCs/>
        </w:rPr>
        <w:t xml:space="preserve">argos </w:t>
      </w:r>
      <w:r>
        <w:rPr>
          <w:rFonts w:ascii="Bookman Old Style" w:hAnsi="Bookman Old Style" w:cs="Arial"/>
          <w:bCs/>
        </w:rPr>
        <w:t>m</w:t>
      </w:r>
      <w:r w:rsidRPr="00F41573">
        <w:rPr>
          <w:rFonts w:ascii="Bookman Old Style" w:hAnsi="Bookman Old Style" w:cs="Arial"/>
          <w:bCs/>
        </w:rPr>
        <w:t xml:space="preserve">áximos de </w:t>
      </w:r>
      <w:r>
        <w:rPr>
          <w:rFonts w:ascii="Bookman Old Style" w:hAnsi="Bookman Old Style" w:cs="Arial"/>
          <w:bCs/>
        </w:rPr>
        <w:t>g</w:t>
      </w:r>
      <w:r w:rsidRPr="00F41573">
        <w:rPr>
          <w:rFonts w:ascii="Bookman Old Style" w:hAnsi="Bookman Old Style" w:cs="Arial"/>
          <w:bCs/>
        </w:rPr>
        <w:t xml:space="preserve">eneración expresados en pesos de la </w:t>
      </w:r>
      <w:r>
        <w:rPr>
          <w:rFonts w:ascii="Bookman Old Style" w:hAnsi="Bookman Old Style" w:cs="Arial"/>
          <w:bCs/>
        </w:rPr>
        <w:t>f</w:t>
      </w:r>
      <w:r w:rsidRPr="00F41573">
        <w:rPr>
          <w:rFonts w:ascii="Bookman Old Style" w:hAnsi="Bookman Old Style" w:cs="Arial"/>
          <w:bCs/>
        </w:rPr>
        <w:t xml:space="preserve">echa </w:t>
      </w:r>
      <w:r>
        <w:rPr>
          <w:rFonts w:ascii="Bookman Old Style" w:hAnsi="Bookman Old Style" w:cs="Arial"/>
          <w:bCs/>
        </w:rPr>
        <w:t>b</w:t>
      </w:r>
      <w:r w:rsidRPr="00F41573">
        <w:rPr>
          <w:rFonts w:ascii="Bookman Old Style" w:hAnsi="Bookman Old Style" w:cs="Arial"/>
          <w:bCs/>
        </w:rPr>
        <w:t>ase, se actualizarán con las siguientes fórmulas generales:</w:t>
      </w:r>
    </w:p>
    <w:p w14:paraId="0EBBC073" w14:textId="77777777" w:rsidR="005E42A5" w:rsidRDefault="005E42A5" w:rsidP="005E42A5">
      <w:pPr>
        <w:ind w:left="284" w:right="142"/>
        <w:jc w:val="both"/>
        <w:rPr>
          <w:rFonts w:ascii="Bookman Old Style" w:hAnsi="Bookman Old Style" w:cs="Arial"/>
        </w:rPr>
      </w:pPr>
    </w:p>
    <w:p w14:paraId="53D2A344" w14:textId="558040C8" w:rsidR="005E42A5" w:rsidRPr="00D96D73" w:rsidRDefault="00EB1C66" w:rsidP="005E42A5">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r>
                <w:rPr>
                  <w:rFonts w:ascii="Cambria Math" w:hAnsi="Cambria Math" w:cs="Arial"/>
                </w:rPr>
                <m:t>G</m:t>
              </m:r>
            </m:e>
            <m:sub>
              <m:r>
                <w:rPr>
                  <w:rFonts w:ascii="Cambria Math" w:hAnsi="Cambria Math" w:cs="Arial"/>
                </w:rPr>
                <m:t>m,D</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e>
          </m:d>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e>
          </m:d>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e>
          </m:d>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p w14:paraId="52CE36FA" w14:textId="77777777" w:rsidR="005E42A5" w:rsidRDefault="005E42A5" w:rsidP="005E42A5">
      <w:pPr>
        <w:ind w:left="284" w:right="142"/>
        <w:jc w:val="both"/>
        <w:rPr>
          <w:rFonts w:ascii="Bookman Old Style" w:hAnsi="Bookman Old Style" w:cs="Arial"/>
        </w:rPr>
      </w:pPr>
    </w:p>
    <w:p w14:paraId="4C1FF567" w14:textId="77777777" w:rsidR="005E42A5" w:rsidRDefault="005E42A5" w:rsidP="005E42A5">
      <w:pPr>
        <w:ind w:left="284" w:right="142"/>
        <w:jc w:val="both"/>
        <w:rPr>
          <w:rFonts w:ascii="Bookman Old Style" w:hAnsi="Bookman Old Style" w:cs="Arial"/>
        </w:rPr>
      </w:pPr>
      <w:r>
        <w:rPr>
          <w:rFonts w:ascii="Bookman Old Style" w:hAnsi="Bookman Old Style" w:cs="Arial"/>
        </w:rPr>
        <w:t>En donde,</w:t>
      </w:r>
    </w:p>
    <w:p w14:paraId="01164F6E" w14:textId="77777777" w:rsidR="005E42A5" w:rsidRDefault="005E42A5" w:rsidP="005E42A5">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35"/>
        <w:gridCol w:w="8008"/>
      </w:tblGrid>
      <w:tr w:rsidR="005E42A5" w14:paraId="64087DFF" w14:textId="77777777" w:rsidTr="001A5475">
        <w:tc>
          <w:tcPr>
            <w:tcW w:w="912" w:type="dxa"/>
          </w:tcPr>
          <w:p w14:paraId="4FF1EEB9" w14:textId="7387BE77" w:rsidR="005E42A5" w:rsidRPr="00684435" w:rsidRDefault="00EB1C66" w:rsidP="0068443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m:oMathPara>
          </w:p>
        </w:tc>
        <w:tc>
          <w:tcPr>
            <w:tcW w:w="435" w:type="dxa"/>
          </w:tcPr>
          <w:p w14:paraId="0F601F28"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7597E857" w14:textId="77777777" w:rsidR="005E42A5" w:rsidRDefault="005E42A5" w:rsidP="001A5475">
            <w:pPr>
              <w:ind w:right="142"/>
              <w:jc w:val="both"/>
              <w:rPr>
                <w:rFonts w:ascii="Bookman Old Style" w:hAnsi="Bookman Old Style" w:cs="Arial"/>
                <w:bCs/>
              </w:rPr>
            </w:pPr>
            <w:r w:rsidRPr="00F7441B">
              <w:rPr>
                <w:rFonts w:ascii="Bookman Old Style" w:hAnsi="Bookman Old Style" w:cs="Arial"/>
                <w:bCs/>
              </w:rPr>
              <w:t xml:space="preserve">Cargo </w:t>
            </w:r>
            <w:r>
              <w:rPr>
                <w:rFonts w:ascii="Bookman Old Style" w:hAnsi="Bookman Old Style" w:cs="Arial"/>
                <w:bCs/>
              </w:rPr>
              <w:t>m</w:t>
            </w:r>
            <w:r w:rsidRPr="00F7441B">
              <w:rPr>
                <w:rFonts w:ascii="Bookman Old Style" w:hAnsi="Bookman Old Style" w:cs="Arial"/>
                <w:bCs/>
              </w:rPr>
              <w:t xml:space="preserve">áximo de </w:t>
            </w:r>
            <w:r>
              <w:rPr>
                <w:rFonts w:ascii="Bookman Old Style" w:hAnsi="Bookman Old Style" w:cs="Arial"/>
                <w:bCs/>
              </w:rPr>
              <w:t>g</w:t>
            </w:r>
            <w:r w:rsidRPr="00F7441B">
              <w:rPr>
                <w:rFonts w:ascii="Bookman Old Style" w:hAnsi="Bookman Old Style" w:cs="Arial"/>
                <w:bCs/>
              </w:rPr>
              <w:t>eneración</w:t>
            </w:r>
            <w:r>
              <w:rPr>
                <w:rFonts w:ascii="Bookman Old Style" w:hAnsi="Bookman Old Style" w:cs="Arial"/>
                <w:bCs/>
              </w:rPr>
              <w:t xml:space="preserve"> para </w:t>
            </w:r>
            <w:r>
              <w:rPr>
                <w:rFonts w:ascii="Bookman Old Style" w:hAnsi="Bookman Old Style" w:cs="Arial"/>
              </w:rPr>
              <w:t xml:space="preserve">los mercados relevantes de comercialización señalados en esta resolución, </w:t>
            </w:r>
            <w:r w:rsidRPr="00F7441B">
              <w:rPr>
                <w:rFonts w:ascii="Bookman Old Style" w:hAnsi="Bookman Old Style" w:cs="Arial"/>
                <w:bCs/>
              </w:rPr>
              <w:t xml:space="preserve">correspondiente al mes </w:t>
            </w:r>
            <w:r w:rsidRPr="00AE5CC6">
              <w:rPr>
                <w:rFonts w:ascii="Bookman Old Style" w:hAnsi="Bookman Old Style" w:cs="Arial"/>
                <w:bCs/>
                <w:i/>
              </w:rPr>
              <w:t>m</w:t>
            </w:r>
            <w:r w:rsidRPr="00F7441B">
              <w:rPr>
                <w:rFonts w:ascii="Bookman Old Style" w:hAnsi="Bookman Old Style" w:cs="Arial"/>
                <w:bCs/>
              </w:rPr>
              <w:t xml:space="preserve"> de prestación del servicio</w:t>
            </w:r>
            <w:r>
              <w:rPr>
                <w:rFonts w:ascii="Bookman Old Style" w:hAnsi="Bookman Old Style" w:cs="Arial"/>
                <w:bCs/>
              </w:rPr>
              <w:t>, expresado en pesos por kilovatio hora</w:t>
            </w:r>
            <w:r w:rsidRPr="00F7441B">
              <w:rPr>
                <w:rFonts w:ascii="Bookman Old Style" w:hAnsi="Bookman Old Style" w:cs="Arial"/>
                <w:bCs/>
              </w:rPr>
              <w:t xml:space="preserve"> ($/kWh).</w:t>
            </w:r>
          </w:p>
          <w:p w14:paraId="5FB95541" w14:textId="77777777" w:rsidR="005E42A5" w:rsidRDefault="005E42A5" w:rsidP="001A5475">
            <w:pPr>
              <w:ind w:right="142"/>
              <w:jc w:val="both"/>
              <w:rPr>
                <w:rFonts w:ascii="Bookman Old Style" w:hAnsi="Bookman Old Style" w:cs="Arial"/>
                <w:bCs/>
              </w:rPr>
            </w:pPr>
          </w:p>
        </w:tc>
      </w:tr>
      <w:tr w:rsidR="005E42A5" w14:paraId="720FFF78" w14:textId="77777777" w:rsidTr="001A5475">
        <w:tc>
          <w:tcPr>
            <w:tcW w:w="912" w:type="dxa"/>
          </w:tcPr>
          <w:p w14:paraId="34D6823E" w14:textId="77777777" w:rsidR="005E42A5" w:rsidRPr="0046501D" w:rsidRDefault="00EB1C66" w:rsidP="001A5475">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m:oMathPara>
          </w:p>
        </w:tc>
        <w:tc>
          <w:tcPr>
            <w:tcW w:w="435" w:type="dxa"/>
          </w:tcPr>
          <w:p w14:paraId="244F5FDD"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141D64E0" w14:textId="58F21150" w:rsidR="005E42A5" w:rsidRDefault="005E42A5" w:rsidP="001A5475">
            <w:pPr>
              <w:ind w:right="142"/>
              <w:jc w:val="both"/>
              <w:rPr>
                <w:rFonts w:ascii="Bookman Old Style" w:hAnsi="Bookman Old Style" w:cs="Arial"/>
                <w:bCs/>
              </w:rPr>
            </w:pPr>
            <w:r>
              <w:rPr>
                <w:rFonts w:ascii="Bookman Old Style" w:hAnsi="Bookman Old Style" w:cs="Arial"/>
                <w:bCs/>
              </w:rPr>
              <w:t>Cargo máximo de generación para energía suministrada a partir de recursos energético</w:t>
            </w:r>
            <w:r w:rsidR="000D40FF">
              <w:rPr>
                <w:rFonts w:ascii="Bookman Old Style" w:hAnsi="Bookman Old Style" w:cs="Arial"/>
                <w:bCs/>
              </w:rPr>
              <w:t>s</w:t>
            </w:r>
            <w:r>
              <w:rPr>
                <w:rFonts w:ascii="Bookman Old Style" w:hAnsi="Bookman Old Style" w:cs="Arial"/>
                <w:bCs/>
              </w:rPr>
              <w:t xml:space="preserve"> diésel, </w:t>
            </w:r>
            <w:r w:rsidRPr="000D40FF">
              <w:rPr>
                <w:rFonts w:ascii="Bookman Old Style" w:hAnsi="Bookman Old Style" w:cs="Arial"/>
                <w:bCs/>
              </w:rPr>
              <w:t>según lo previsto en la Resolución CREG 091 de 2007,</w:t>
            </w:r>
            <w:r>
              <w:rPr>
                <w:rFonts w:ascii="Bookman Old Style" w:hAnsi="Bookman Old Style" w:cs="Arial"/>
                <w:bCs/>
              </w:rPr>
              <w:t xml:space="preserve">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($/kWh)</w:t>
            </w:r>
            <w:r>
              <w:rPr>
                <w:rFonts w:ascii="Bookman Old Style" w:hAnsi="Bookman Old Style" w:cs="Arial"/>
                <w:bCs/>
              </w:rPr>
              <w:t>.</w:t>
            </w:r>
          </w:p>
          <w:p w14:paraId="46B392B5" w14:textId="77777777" w:rsidR="005E42A5" w:rsidRPr="00F7441B" w:rsidRDefault="005E42A5" w:rsidP="001A5475">
            <w:pPr>
              <w:ind w:right="142"/>
              <w:jc w:val="both"/>
              <w:rPr>
                <w:rFonts w:ascii="Bookman Old Style" w:hAnsi="Bookman Old Style" w:cs="Arial"/>
                <w:bCs/>
              </w:rPr>
            </w:pPr>
          </w:p>
        </w:tc>
      </w:tr>
      <w:tr w:rsidR="005E42A5" w14:paraId="25BD431D" w14:textId="77777777" w:rsidTr="001A5475">
        <w:tc>
          <w:tcPr>
            <w:tcW w:w="912" w:type="dxa"/>
          </w:tcPr>
          <w:p w14:paraId="6AC89700" w14:textId="77777777" w:rsidR="005E42A5" w:rsidRPr="0046501D" w:rsidRDefault="00EB1C66" w:rsidP="001A5475">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oMath>
            </m:oMathPara>
          </w:p>
        </w:tc>
        <w:tc>
          <w:tcPr>
            <w:tcW w:w="435" w:type="dxa"/>
          </w:tcPr>
          <w:p w14:paraId="2C55D74F"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7431B25C" w14:textId="77777777" w:rsidR="005E42A5" w:rsidRDefault="005E42A5" w:rsidP="001A5475">
            <w:pPr>
              <w:ind w:right="142"/>
              <w:jc w:val="both"/>
              <w:rPr>
                <w:rFonts w:ascii="Bookman Old Style" w:hAnsi="Bookman Old Style" w:cs="Arial"/>
                <w:bCs/>
              </w:rPr>
            </w:pPr>
            <w:r>
              <w:rPr>
                <w:rFonts w:ascii="Bookman Old Style" w:hAnsi="Bookman Old Style" w:cs="Arial"/>
                <w:bCs/>
              </w:rPr>
              <w:t>Cargo máximo de generación para energía suministrada a partir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($/kWh)</w:t>
            </w:r>
            <w:r>
              <w:rPr>
                <w:rFonts w:ascii="Bookman Old Style" w:hAnsi="Bookman Old Style" w:cs="Arial"/>
                <w:bCs/>
              </w:rPr>
              <w:t>.</w:t>
            </w:r>
          </w:p>
          <w:p w14:paraId="31946A42" w14:textId="77777777" w:rsidR="005E42A5" w:rsidRPr="00F7441B" w:rsidRDefault="005E42A5" w:rsidP="001A5475">
            <w:pPr>
              <w:ind w:right="142"/>
              <w:jc w:val="both"/>
              <w:rPr>
                <w:rFonts w:ascii="Bookman Old Style" w:hAnsi="Bookman Old Style" w:cs="Arial"/>
                <w:bCs/>
              </w:rPr>
            </w:pPr>
          </w:p>
        </w:tc>
      </w:tr>
      <w:tr w:rsidR="005E42A5" w14:paraId="2B0F0561" w14:textId="77777777" w:rsidTr="001A5475">
        <w:tc>
          <w:tcPr>
            <w:tcW w:w="912" w:type="dxa"/>
          </w:tcPr>
          <w:p w14:paraId="68C480E8" w14:textId="77777777" w:rsidR="005E42A5" w:rsidRPr="0046501D" w:rsidRDefault="00EB1C66" w:rsidP="001A5475">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oMath>
            </m:oMathPara>
          </w:p>
        </w:tc>
        <w:tc>
          <w:tcPr>
            <w:tcW w:w="435" w:type="dxa"/>
          </w:tcPr>
          <w:p w14:paraId="55922829" w14:textId="042DA535" w:rsidR="005E42A5" w:rsidRDefault="000D40FF"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631B8B9A" w14:textId="77777777" w:rsidR="005E42A5" w:rsidRDefault="005E42A5" w:rsidP="001A5475">
            <w:pPr>
              <w:ind w:right="142"/>
              <w:jc w:val="both"/>
              <w:rPr>
                <w:rFonts w:ascii="Bookman Old Style" w:hAnsi="Bookman Old Style" w:cs="Arial"/>
                <w:bCs/>
              </w:rPr>
            </w:pPr>
            <w:r>
              <w:rPr>
                <w:rFonts w:ascii="Bookman Old Style" w:hAnsi="Bookman Old Style" w:cs="Arial"/>
                <w:bCs/>
              </w:rPr>
              <w:t>Cargo máximo de generación para energía suministrada a partir de acumuladores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 xml:space="preserve">s,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($/kWh)</w:t>
            </w:r>
            <w:r>
              <w:rPr>
                <w:rFonts w:ascii="Bookman Old Style" w:hAnsi="Bookman Old Style" w:cs="Arial"/>
                <w:bCs/>
              </w:rPr>
              <w:t>.</w:t>
            </w:r>
          </w:p>
          <w:p w14:paraId="32C78390" w14:textId="77777777" w:rsidR="005E42A5" w:rsidRPr="00F7441B" w:rsidRDefault="005E42A5" w:rsidP="001A5475">
            <w:pPr>
              <w:ind w:right="142"/>
              <w:jc w:val="both"/>
              <w:rPr>
                <w:rFonts w:ascii="Bookman Old Style" w:hAnsi="Bookman Old Style" w:cs="Arial"/>
                <w:bCs/>
              </w:rPr>
            </w:pPr>
          </w:p>
        </w:tc>
      </w:tr>
      <w:tr w:rsidR="005E42A5" w14:paraId="02C126D5" w14:textId="77777777" w:rsidTr="001A5475">
        <w:tc>
          <w:tcPr>
            <w:tcW w:w="912" w:type="dxa"/>
          </w:tcPr>
          <w:p w14:paraId="7A4E1A73" w14:textId="77777777" w:rsidR="005E42A5" w:rsidRPr="008F6C07" w:rsidRDefault="00EB1C66" w:rsidP="001A5475">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oMath>
            </m:oMathPara>
          </w:p>
        </w:tc>
        <w:tc>
          <w:tcPr>
            <w:tcW w:w="435" w:type="dxa"/>
          </w:tcPr>
          <w:p w14:paraId="2159A12B"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0688BDF9" w14:textId="468B83CD" w:rsidR="005E42A5" w:rsidRDefault="005E42A5" w:rsidP="001A5475">
            <w:pPr>
              <w:ind w:right="142"/>
              <w:jc w:val="both"/>
              <w:rPr>
                <w:rFonts w:ascii="Bookman Old Style" w:hAnsi="Bookman Old Style" w:cs="Arial"/>
              </w:rPr>
            </w:pPr>
            <w:r>
              <w:rPr>
                <w:rFonts w:ascii="Bookman Old Style" w:hAnsi="Bookman Old Style" w:cs="Arial"/>
                <w:bCs/>
              </w:rPr>
              <w:t>Proporción de la generación de recursos energéticos diésel</w:t>
            </w:r>
            <w:r w:rsidR="00585F7F">
              <w:rPr>
                <w:rFonts w:ascii="Bookman Old Style" w:hAnsi="Bookman Old Style" w:cs="Arial"/>
                <w:bCs/>
              </w:rPr>
              <w:t>,</w:t>
            </w:r>
            <w:r>
              <w:rPr>
                <w:rFonts w:ascii="Bookman Old Style" w:hAnsi="Bookman Old Style" w:cs="Arial"/>
                <w:bCs/>
              </w:rPr>
              <w:t xml:space="preserve"> como parte de la generación del parque de generación de</w:t>
            </w:r>
            <w:r>
              <w:rPr>
                <w:rFonts w:ascii="Bookman Old Style" w:hAnsi="Bookman Old Style" w:cs="Arial"/>
              </w:rPr>
              <w:t xml:space="preserve">l mercado relevante de comercialización señalado en este artículo, para el mes </w:t>
            </w:r>
            <w:r w:rsidRPr="007C7DC8">
              <w:rPr>
                <w:rFonts w:ascii="Bookman Old Style" w:hAnsi="Bookman Old Style" w:cs="Arial"/>
                <w:i/>
              </w:rPr>
              <w:t>m</w:t>
            </w:r>
            <w:r>
              <w:rPr>
                <w:rFonts w:ascii="Bookman Old Style" w:hAnsi="Bookman Old Style" w:cs="Arial"/>
              </w:rPr>
              <w:t>.</w:t>
            </w:r>
          </w:p>
          <w:p w14:paraId="46ECBAA5" w14:textId="77777777" w:rsidR="005E42A5" w:rsidRPr="00F7441B" w:rsidRDefault="005E42A5" w:rsidP="001A5475">
            <w:pPr>
              <w:ind w:right="142"/>
              <w:jc w:val="both"/>
              <w:rPr>
                <w:rFonts w:ascii="Bookman Old Style" w:hAnsi="Bookman Old Style" w:cs="Arial"/>
                <w:bCs/>
              </w:rPr>
            </w:pPr>
          </w:p>
        </w:tc>
      </w:tr>
      <w:tr w:rsidR="005E42A5" w14:paraId="6BE37448" w14:textId="77777777" w:rsidTr="001A5475">
        <w:tc>
          <w:tcPr>
            <w:tcW w:w="912" w:type="dxa"/>
          </w:tcPr>
          <w:p w14:paraId="46FB7984" w14:textId="136EC006" w:rsidR="005E42A5" w:rsidRPr="00F3786E"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oMath>
            </m:oMathPara>
          </w:p>
        </w:tc>
        <w:tc>
          <w:tcPr>
            <w:tcW w:w="435" w:type="dxa"/>
          </w:tcPr>
          <w:p w14:paraId="3871A961"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6291E166" w14:textId="714C2E1B" w:rsidR="00780FD1" w:rsidRDefault="00780FD1" w:rsidP="00780FD1">
            <w:pPr>
              <w:ind w:right="142"/>
              <w:jc w:val="both"/>
              <w:rPr>
                <w:rFonts w:ascii="Bookman Old Style" w:hAnsi="Bookman Old Style" w:cs="Arial"/>
              </w:rPr>
            </w:pPr>
            <w:r>
              <w:rPr>
                <w:rFonts w:ascii="Bookman Old Style" w:hAnsi="Bookman Old Style" w:cs="Arial"/>
                <w:bCs/>
              </w:rPr>
              <w:t>Proporción de la generación de recursos s</w:t>
            </w:r>
            <w:r w:rsidRPr="00780FD1">
              <w:rPr>
                <w:rFonts w:ascii="Bookman Old Style" w:hAnsi="Bookman Old Style" w:cs="Arial"/>
                <w:bCs/>
              </w:rPr>
              <w:t>olar</w:t>
            </w:r>
            <w:r>
              <w:rPr>
                <w:rFonts w:ascii="Bookman Old Style" w:hAnsi="Bookman Old Style" w:cs="Arial"/>
                <w:bCs/>
              </w:rPr>
              <w:t>es</w:t>
            </w:r>
            <w:r w:rsidRPr="00780FD1">
              <w:rPr>
                <w:rFonts w:ascii="Bookman Old Style" w:hAnsi="Bookman Old Style" w:cs="Arial"/>
                <w:bCs/>
              </w:rPr>
              <w:t xml:space="preserve"> fotovoltaico</w:t>
            </w:r>
            <w:r>
              <w:rPr>
                <w:rFonts w:ascii="Bookman Old Style" w:hAnsi="Bookman Old Style" w:cs="Arial"/>
                <w:bCs/>
              </w:rPr>
              <w:t>s</w:t>
            </w:r>
            <w:r w:rsidRPr="00780FD1">
              <w:rPr>
                <w:rFonts w:ascii="Bookman Old Style" w:hAnsi="Bookman Old Style" w:cs="Arial"/>
                <w:bCs/>
              </w:rPr>
              <w:t xml:space="preserve"> con alimentación directa a red</w:t>
            </w:r>
            <w:r w:rsidR="00585F7F">
              <w:rPr>
                <w:rFonts w:ascii="Bookman Old Style" w:hAnsi="Bookman Old Style" w:cs="Arial"/>
                <w:bCs/>
              </w:rPr>
              <w:t>,</w:t>
            </w:r>
            <w:r>
              <w:rPr>
                <w:rFonts w:ascii="Bookman Old Style" w:hAnsi="Bookman Old Style" w:cs="Arial"/>
                <w:bCs/>
              </w:rPr>
              <w:t xml:space="preserve"> como parte de la generación </w:t>
            </w:r>
            <w:r w:rsidR="00684435">
              <w:rPr>
                <w:rFonts w:ascii="Bookman Old Style" w:hAnsi="Bookman Old Style" w:cs="Arial"/>
                <w:bCs/>
              </w:rPr>
              <w:t xml:space="preserve">de </w:t>
            </w:r>
            <w:r>
              <w:rPr>
                <w:rFonts w:ascii="Bookman Old Style" w:hAnsi="Bookman Old Style" w:cs="Arial"/>
                <w:bCs/>
              </w:rPr>
              <w:lastRenderedPageBreak/>
              <w:t>sistemas solares fotovoltaicos con acumulación, dentro del parque de generación de</w:t>
            </w:r>
            <w:r>
              <w:rPr>
                <w:rFonts w:ascii="Bookman Old Style" w:hAnsi="Bookman Old Style" w:cs="Arial"/>
              </w:rPr>
              <w:t xml:space="preserve">l mercado relevante de comercialización señalado en este artículo, para el mes </w:t>
            </w:r>
            <w:r w:rsidRPr="007C7DC8">
              <w:rPr>
                <w:rFonts w:ascii="Bookman Old Style" w:hAnsi="Bookman Old Style" w:cs="Arial"/>
                <w:i/>
              </w:rPr>
              <w:t>m</w:t>
            </w:r>
            <w:r>
              <w:rPr>
                <w:rFonts w:ascii="Bookman Old Style" w:hAnsi="Bookman Old Style" w:cs="Arial"/>
              </w:rPr>
              <w:t>.</w:t>
            </w:r>
            <w:r w:rsidR="004F2711">
              <w:rPr>
                <w:rFonts w:ascii="Bookman Old Style" w:hAnsi="Bookman Old Style" w:cs="Arial"/>
              </w:rPr>
              <w:t xml:space="preserve"> El valor mínimo de este parámetro será de </w:t>
            </w:r>
            <w:r w:rsidR="004F2711" w:rsidRPr="004F2711">
              <w:rPr>
                <w:rFonts w:ascii="Bookman Old Style" w:hAnsi="Bookman Old Style" w:cs="Arial"/>
              </w:rPr>
              <w:t>0,70.</w:t>
            </w:r>
          </w:p>
          <w:p w14:paraId="5375DE71" w14:textId="77777777" w:rsidR="005E42A5" w:rsidRDefault="005E42A5" w:rsidP="00780FD1">
            <w:pPr>
              <w:ind w:right="142"/>
              <w:jc w:val="both"/>
              <w:rPr>
                <w:rFonts w:ascii="Bookman Old Style" w:hAnsi="Bookman Old Style" w:cs="Arial"/>
              </w:rPr>
            </w:pPr>
          </w:p>
        </w:tc>
      </w:tr>
      <w:tr w:rsidR="005E42A5" w14:paraId="6AAC7FC0" w14:textId="77777777" w:rsidTr="001A5475">
        <w:tc>
          <w:tcPr>
            <w:tcW w:w="912" w:type="dxa"/>
          </w:tcPr>
          <w:p w14:paraId="0FF0E931" w14:textId="77777777" w:rsidR="005E42A5" w:rsidRPr="00672E15"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tc>
        <w:tc>
          <w:tcPr>
            <w:tcW w:w="435" w:type="dxa"/>
          </w:tcPr>
          <w:p w14:paraId="282EBA2B"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23A8D465" w14:textId="1291AB76" w:rsidR="005E42A5" w:rsidRDefault="005E42A5" w:rsidP="001A5475">
            <w:pPr>
              <w:ind w:right="142"/>
              <w:jc w:val="both"/>
              <w:rPr>
                <w:rFonts w:ascii="Bookman Old Style" w:hAnsi="Bookman Old Style" w:cs="Arial"/>
              </w:rPr>
            </w:pPr>
            <w:r w:rsidRPr="00672E15">
              <w:rPr>
                <w:rFonts w:ascii="Bookman Old Style" w:hAnsi="Bookman Old Style" w:cs="Arial"/>
              </w:rPr>
              <w:t xml:space="preserve">Cargo </w:t>
            </w:r>
            <w:r>
              <w:rPr>
                <w:rFonts w:ascii="Bookman Old Style" w:hAnsi="Bookman Old Style" w:cs="Arial"/>
              </w:rPr>
              <w:t xml:space="preserve">máximo </w:t>
            </w:r>
            <w:r w:rsidRPr="00672E15">
              <w:rPr>
                <w:rFonts w:ascii="Bookman Old Style" w:hAnsi="Bookman Old Style" w:cs="Arial"/>
              </w:rPr>
              <w:t xml:space="preserve">que remunera la </w:t>
            </w:r>
            <w:r>
              <w:rPr>
                <w:rFonts w:ascii="Bookman Old Style" w:hAnsi="Bookman Old Style" w:cs="Arial"/>
              </w:rPr>
              <w:t>a</w:t>
            </w:r>
            <w:r w:rsidRPr="00672E15">
              <w:rPr>
                <w:rFonts w:ascii="Bookman Old Style" w:hAnsi="Bookman Old Style" w:cs="Arial"/>
              </w:rPr>
              <w:t xml:space="preserve">ctividad de </w:t>
            </w:r>
            <w:r>
              <w:rPr>
                <w:rFonts w:ascii="Bookman Old Style" w:hAnsi="Bookman Old Style" w:cs="Arial"/>
              </w:rPr>
              <w:t>m</w:t>
            </w:r>
            <w:r w:rsidRPr="00672E15">
              <w:rPr>
                <w:rFonts w:ascii="Bookman Old Style" w:hAnsi="Bookman Old Style" w:cs="Arial"/>
              </w:rPr>
              <w:t xml:space="preserve">onitoreo, expresado </w:t>
            </w:r>
            <w:r>
              <w:rPr>
                <w:rFonts w:ascii="Bookman Old Style" w:hAnsi="Bookman Old Style" w:cs="Arial"/>
                <w:bCs/>
              </w:rPr>
              <w:t>en pesos por kilovatio hora</w:t>
            </w:r>
            <w:r w:rsidRPr="00F7441B">
              <w:rPr>
                <w:rFonts w:ascii="Bookman Old Style" w:hAnsi="Bookman Old Style" w:cs="Arial"/>
                <w:bCs/>
              </w:rPr>
              <w:t xml:space="preserve"> ($/kWh)</w:t>
            </w:r>
            <w:r>
              <w:rPr>
                <w:rFonts w:ascii="Bookman Old Style" w:hAnsi="Bookman Old Style" w:cs="Arial"/>
                <w:bCs/>
              </w:rPr>
              <w:t>. Para los efectos de esta resolución</w:t>
            </w:r>
            <w:r w:rsidR="00585F7F">
              <w:rPr>
                <w:rFonts w:ascii="Bookman Old Style" w:hAnsi="Bookman Old Style" w:cs="Arial"/>
                <w:bCs/>
              </w:rPr>
              <w:t>,</w:t>
            </w:r>
            <w:r>
              <w:rPr>
                <w:rFonts w:ascii="Bookman Old Style" w:hAnsi="Bookman Old Style" w:cs="Arial"/>
                <w:bCs/>
              </w:rPr>
              <w:t xml:space="preserve"> el valor reconocido será igual a cero (0). La </w:t>
            </w:r>
            <w:r w:rsidRPr="00672E15">
              <w:rPr>
                <w:rFonts w:ascii="Bookman Old Style" w:hAnsi="Bookman Old Style" w:cs="Arial"/>
              </w:rPr>
              <w:t xml:space="preserve">CREG </w:t>
            </w:r>
            <w:r>
              <w:rPr>
                <w:rFonts w:ascii="Bookman Old Style" w:hAnsi="Bookman Old Style" w:cs="Arial"/>
              </w:rPr>
              <w:t xml:space="preserve">podrá revisar este valor, de oficio o por solicitud del prestador del servicio, </w:t>
            </w:r>
            <w:r w:rsidRPr="00672E15">
              <w:rPr>
                <w:rFonts w:ascii="Bookman Old Style" w:hAnsi="Bookman Old Style" w:cs="Arial"/>
              </w:rPr>
              <w:t xml:space="preserve">en </w:t>
            </w:r>
            <w:r>
              <w:rPr>
                <w:rFonts w:ascii="Bookman Old Style" w:hAnsi="Bookman Old Style" w:cs="Arial"/>
              </w:rPr>
              <w:t>r</w:t>
            </w:r>
            <w:r w:rsidRPr="00672E15">
              <w:rPr>
                <w:rFonts w:ascii="Bookman Old Style" w:hAnsi="Bookman Old Style" w:cs="Arial"/>
              </w:rPr>
              <w:t>esolución posterior.</w:t>
            </w:r>
          </w:p>
          <w:p w14:paraId="1EE8F931" w14:textId="3FA279C1" w:rsidR="00CC4B91" w:rsidRDefault="00CC4B91" w:rsidP="001A5475">
            <w:pPr>
              <w:ind w:right="142"/>
              <w:jc w:val="both"/>
              <w:rPr>
                <w:rFonts w:ascii="Bookman Old Style" w:hAnsi="Bookman Old Style" w:cs="Arial"/>
              </w:rPr>
            </w:pPr>
          </w:p>
        </w:tc>
      </w:tr>
      <w:tr w:rsidR="005E42A5" w14:paraId="6645DA2B" w14:textId="77777777" w:rsidTr="001A5475">
        <w:tc>
          <w:tcPr>
            <w:tcW w:w="912" w:type="dxa"/>
          </w:tcPr>
          <w:p w14:paraId="76ADD65E" w14:textId="040A1750" w:rsidR="005E42A5" w:rsidRPr="00FA14D6" w:rsidRDefault="00A93715" w:rsidP="00A3160F">
            <w:pPr>
              <w:ind w:right="142"/>
              <w:rPr>
                <w:i/>
              </w:rPr>
            </w:pPr>
            <w:r>
              <w:rPr>
                <w:i/>
              </w:rPr>
              <w:t>M</w:t>
            </w:r>
          </w:p>
        </w:tc>
        <w:tc>
          <w:tcPr>
            <w:tcW w:w="435" w:type="dxa"/>
          </w:tcPr>
          <w:p w14:paraId="0605CA64"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08" w:type="dxa"/>
          </w:tcPr>
          <w:p w14:paraId="273203B8" w14:textId="77777777" w:rsidR="005E42A5" w:rsidRDefault="005E42A5" w:rsidP="001A5475">
            <w:pPr>
              <w:ind w:right="142"/>
              <w:jc w:val="both"/>
              <w:rPr>
                <w:rFonts w:ascii="Bookman Old Style" w:hAnsi="Bookman Old Style" w:cs="Arial"/>
              </w:rPr>
            </w:pPr>
            <w:r>
              <w:rPr>
                <w:rFonts w:ascii="Bookman Old Style" w:hAnsi="Bookman Old Style" w:cs="Arial"/>
              </w:rPr>
              <w:t>Mes de cálculo de la tarifa.</w:t>
            </w:r>
          </w:p>
          <w:p w14:paraId="44C575D2" w14:textId="77777777" w:rsidR="005E42A5" w:rsidRDefault="005E42A5" w:rsidP="001A5475">
            <w:pPr>
              <w:ind w:right="142"/>
              <w:jc w:val="both"/>
              <w:rPr>
                <w:rFonts w:ascii="Bookman Old Style" w:hAnsi="Bookman Old Style" w:cs="Arial"/>
              </w:rPr>
            </w:pPr>
          </w:p>
        </w:tc>
      </w:tr>
    </w:tbl>
    <w:p w14:paraId="20CF9E81" w14:textId="77777777" w:rsidR="005E42A5" w:rsidRDefault="005E42A5" w:rsidP="005E42A5">
      <w:pPr>
        <w:ind w:left="284" w:right="142"/>
        <w:jc w:val="both"/>
        <w:rPr>
          <w:rFonts w:ascii="Bookman Old Style" w:hAnsi="Bookman Old Style" w:cs="Arial"/>
        </w:rPr>
      </w:pPr>
    </w:p>
    <w:p w14:paraId="58009081" w14:textId="77777777" w:rsidR="005E42A5" w:rsidRDefault="005E42A5" w:rsidP="005E42A5">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oMath>
      <w:r>
        <w:rPr>
          <w:rFonts w:ascii="Bookman Old Style" w:hAnsi="Bookman Old Style" w:cs="Arial"/>
        </w:rPr>
        <w:t xml:space="preserve"> se obtiene a partir de la siguiente fórmula:</w:t>
      </w:r>
    </w:p>
    <w:p w14:paraId="28B4964E" w14:textId="77777777" w:rsidR="005E42A5" w:rsidRDefault="005E42A5" w:rsidP="005E42A5">
      <w:pPr>
        <w:ind w:left="284" w:right="142"/>
        <w:jc w:val="both"/>
        <w:rPr>
          <w:rFonts w:ascii="Bookman Old Style" w:hAnsi="Bookman Old Style" w:cs="Arial"/>
        </w:rPr>
      </w:pPr>
    </w:p>
    <w:p w14:paraId="32F70853" w14:textId="77777777" w:rsidR="005E42A5" w:rsidRDefault="00EB1C66" w:rsidP="005E42A5">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ED</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oMath>
      </m:oMathPara>
    </w:p>
    <w:p w14:paraId="4A0737C3" w14:textId="77777777" w:rsidR="005E42A5" w:rsidRDefault="005E42A5" w:rsidP="005E42A5">
      <w:pPr>
        <w:ind w:left="284" w:right="142"/>
        <w:jc w:val="both"/>
        <w:rPr>
          <w:rFonts w:ascii="Bookman Old Style" w:hAnsi="Bookman Old Style" w:cs="Arial"/>
        </w:rPr>
      </w:pPr>
    </w:p>
    <w:p w14:paraId="11F304FE" w14:textId="77777777" w:rsidR="005E42A5" w:rsidRDefault="005E42A5" w:rsidP="005E42A5">
      <w:pPr>
        <w:ind w:left="284" w:right="142"/>
        <w:jc w:val="both"/>
        <w:rPr>
          <w:rFonts w:ascii="Bookman Old Style" w:hAnsi="Bookman Old Style" w:cs="Arial"/>
        </w:rPr>
      </w:pPr>
      <w:r>
        <w:rPr>
          <w:rFonts w:ascii="Bookman Old Style" w:hAnsi="Bookman Old Style" w:cs="Arial"/>
        </w:rPr>
        <w:t>En donde,</w:t>
      </w:r>
    </w:p>
    <w:p w14:paraId="33132CE3" w14:textId="77777777" w:rsidR="001A5475" w:rsidRDefault="001A5475" w:rsidP="005E42A5">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33"/>
        <w:gridCol w:w="8010"/>
      </w:tblGrid>
      <w:tr w:rsidR="005E42A5" w14:paraId="7ABFAD93" w14:textId="77777777" w:rsidTr="001A5475">
        <w:tc>
          <w:tcPr>
            <w:tcW w:w="912" w:type="dxa"/>
          </w:tcPr>
          <w:p w14:paraId="01ADC52E"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ED</m:t>
                    </m:r>
                  </m:e>
                  <m:sub>
                    <m:r>
                      <w:rPr>
                        <w:rFonts w:ascii="Cambria Math" w:hAnsi="Cambria Math" w:cs="Arial"/>
                      </w:rPr>
                      <m:t>m-1</m:t>
                    </m:r>
                  </m:sub>
                </m:sSub>
              </m:oMath>
            </m:oMathPara>
          </w:p>
        </w:tc>
        <w:tc>
          <w:tcPr>
            <w:tcW w:w="433" w:type="dxa"/>
          </w:tcPr>
          <w:p w14:paraId="0272187B" w14:textId="77777777" w:rsidR="005E42A5" w:rsidRDefault="005E42A5" w:rsidP="001A5475">
            <w:pPr>
              <w:ind w:right="142"/>
              <w:jc w:val="both"/>
              <w:rPr>
                <w:rFonts w:ascii="Bookman Old Style" w:hAnsi="Bookman Old Style" w:cs="Arial"/>
                <w:bCs/>
              </w:rPr>
            </w:pPr>
          </w:p>
        </w:tc>
        <w:tc>
          <w:tcPr>
            <w:tcW w:w="8010" w:type="dxa"/>
          </w:tcPr>
          <w:p w14:paraId="6E21E4F3" w14:textId="77777777" w:rsidR="005E42A5" w:rsidRDefault="005E42A5" w:rsidP="001A5475">
            <w:pPr>
              <w:ind w:right="142"/>
              <w:jc w:val="both"/>
              <w:rPr>
                <w:rFonts w:ascii="Bookman Old Style" w:hAnsi="Bookman Old Style" w:cs="Arial"/>
              </w:rPr>
            </w:pPr>
            <w:r>
              <w:rPr>
                <w:rFonts w:ascii="Bookman Old Style" w:hAnsi="Bookman Old Style" w:cs="Arial"/>
              </w:rPr>
              <w:t xml:space="preserve">Energía total entregada al sistema de distribución del mercado relevante de comercialización respectivo, por los recursos energéticos diésel del parque de generación conectados a dicho sistema de distribución,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w:t>
            </w:r>
          </w:p>
          <w:p w14:paraId="25592CF2" w14:textId="77777777" w:rsidR="005E42A5" w:rsidRDefault="005E42A5" w:rsidP="001A5475">
            <w:pPr>
              <w:ind w:right="142"/>
              <w:jc w:val="both"/>
              <w:rPr>
                <w:rFonts w:ascii="Bookman Old Style" w:hAnsi="Bookman Old Style" w:cs="Arial"/>
              </w:rPr>
            </w:pPr>
          </w:p>
          <w:p w14:paraId="691DF6AF" w14:textId="796B85D6" w:rsidR="005E42A5" w:rsidRDefault="005E42A5" w:rsidP="001A5475">
            <w:pPr>
              <w:ind w:right="142"/>
              <w:jc w:val="both"/>
              <w:rPr>
                <w:rFonts w:ascii="Bookman Old Style" w:hAnsi="Bookman Old Style" w:cs="Arial"/>
              </w:rPr>
            </w:pPr>
            <w:r>
              <w:rPr>
                <w:rFonts w:ascii="Bookman Old Style" w:hAnsi="Bookman Old Style" w:cs="Arial"/>
              </w:rPr>
              <w:t xml:space="preserve">A partir de la entrada en vigencia de esta resolución, según lo </w:t>
            </w:r>
            <w:r w:rsidRPr="00FE027C">
              <w:rPr>
                <w:rFonts w:ascii="Bookman Old Style" w:hAnsi="Bookman Old Style" w:cs="Arial"/>
              </w:rPr>
              <w:t xml:space="preserve">previsto en el artículo </w:t>
            </w:r>
            <w:r w:rsidR="00FE027C" w:rsidRPr="00FE027C">
              <w:rPr>
                <w:rFonts w:ascii="Bookman Old Style" w:hAnsi="Bookman Old Style" w:cs="Arial"/>
              </w:rPr>
              <w:t>3</w:t>
            </w:r>
            <w:r w:rsidR="00742F35" w:rsidRPr="00FE027C">
              <w:rPr>
                <w:rFonts w:ascii="Bookman Old Style" w:hAnsi="Bookman Old Style" w:cs="Arial"/>
              </w:rPr>
              <w:t xml:space="preserve"> </w:t>
            </w:r>
            <w:r w:rsidRPr="00FE027C">
              <w:rPr>
                <w:rFonts w:ascii="Bookman Old Style" w:hAnsi="Bookman Old Style" w:cs="Arial"/>
              </w:rPr>
              <w:t>de esta resolución</w:t>
            </w:r>
            <w:r w:rsidR="00585F7F">
              <w:rPr>
                <w:rFonts w:ascii="Bookman Old Style" w:hAnsi="Bookman Old Style" w:cs="Arial"/>
              </w:rPr>
              <w:t>,</w:t>
            </w:r>
            <w:r>
              <w:rPr>
                <w:rFonts w:ascii="Bookman Old Style" w:hAnsi="Bookman Old Style" w:cs="Arial"/>
              </w:rPr>
              <w:t xml:space="preserve"> y hasta contar con un histórico de 12 meses, se tomará la información acumulada de los meses que hayan transcurrido.</w:t>
            </w:r>
          </w:p>
          <w:p w14:paraId="3D8D8F4F" w14:textId="77777777" w:rsidR="005E42A5" w:rsidRDefault="005E42A5" w:rsidP="001A5475">
            <w:pPr>
              <w:ind w:right="142"/>
              <w:jc w:val="both"/>
              <w:rPr>
                <w:rFonts w:ascii="Bookman Old Style" w:hAnsi="Bookman Old Style" w:cs="Arial"/>
              </w:rPr>
            </w:pPr>
          </w:p>
        </w:tc>
      </w:tr>
      <w:tr w:rsidR="005E42A5" w14:paraId="269B1B51" w14:textId="77777777" w:rsidTr="001A5475">
        <w:tc>
          <w:tcPr>
            <w:tcW w:w="912" w:type="dxa"/>
          </w:tcPr>
          <w:p w14:paraId="2672E57A"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m:oMathPara>
          </w:p>
        </w:tc>
        <w:tc>
          <w:tcPr>
            <w:tcW w:w="433" w:type="dxa"/>
          </w:tcPr>
          <w:p w14:paraId="20DA4394" w14:textId="77777777" w:rsidR="005E42A5" w:rsidRDefault="005E42A5" w:rsidP="001A5475">
            <w:pPr>
              <w:ind w:right="142"/>
              <w:jc w:val="both"/>
              <w:rPr>
                <w:rFonts w:ascii="Bookman Old Style" w:hAnsi="Bookman Old Style" w:cs="Arial"/>
                <w:bCs/>
              </w:rPr>
            </w:pPr>
          </w:p>
        </w:tc>
        <w:tc>
          <w:tcPr>
            <w:tcW w:w="8010" w:type="dxa"/>
          </w:tcPr>
          <w:p w14:paraId="705F3877" w14:textId="77777777" w:rsidR="005E42A5" w:rsidRDefault="005E42A5" w:rsidP="001A5475">
            <w:pPr>
              <w:ind w:right="142"/>
              <w:jc w:val="both"/>
              <w:rPr>
                <w:rFonts w:ascii="Bookman Old Style" w:hAnsi="Bookman Old Style" w:cs="Arial"/>
              </w:rPr>
            </w:pPr>
            <w:r>
              <w:rPr>
                <w:rFonts w:ascii="Bookman Old Style" w:hAnsi="Bookman Old Style" w:cs="Arial"/>
              </w:rPr>
              <w:t xml:space="preserve">Energía total entregada al sistema de distribución del mercado relevante de comercialización respectivo, por el parque de generación conectado a dicho sistema de distribución,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 xml:space="preserve">. </w:t>
            </w:r>
          </w:p>
          <w:p w14:paraId="100613D0" w14:textId="77777777" w:rsidR="005E42A5" w:rsidRDefault="005E42A5" w:rsidP="001A5475">
            <w:pPr>
              <w:ind w:right="142"/>
              <w:jc w:val="both"/>
              <w:rPr>
                <w:rFonts w:ascii="Bookman Old Style" w:hAnsi="Bookman Old Style" w:cs="Arial"/>
              </w:rPr>
            </w:pPr>
          </w:p>
          <w:p w14:paraId="5432B94D" w14:textId="2CFA56E2" w:rsidR="005E42A5" w:rsidRDefault="005E42A5" w:rsidP="001A5475">
            <w:pPr>
              <w:ind w:right="142"/>
              <w:jc w:val="both"/>
              <w:rPr>
                <w:rFonts w:ascii="Bookman Old Style" w:hAnsi="Bookman Old Style" w:cs="Arial"/>
              </w:rPr>
            </w:pPr>
            <w:r>
              <w:rPr>
                <w:rFonts w:ascii="Bookman Old Style" w:hAnsi="Bookman Old Style" w:cs="Arial"/>
              </w:rPr>
              <w:t xml:space="preserve">A partir de la entrada en vigencia de esta resolución, según lo </w:t>
            </w:r>
            <w:r w:rsidRPr="00FE027C">
              <w:rPr>
                <w:rFonts w:ascii="Bookman Old Style" w:hAnsi="Bookman Old Style" w:cs="Arial"/>
              </w:rPr>
              <w:t xml:space="preserve">previsto en el artículo </w:t>
            </w:r>
            <w:r w:rsidR="00FE027C" w:rsidRPr="00FE027C">
              <w:rPr>
                <w:rFonts w:ascii="Bookman Old Style" w:hAnsi="Bookman Old Style" w:cs="Arial"/>
              </w:rPr>
              <w:t>3</w:t>
            </w:r>
            <w:r w:rsidRPr="00FE027C">
              <w:rPr>
                <w:rFonts w:ascii="Bookman Old Style" w:hAnsi="Bookman Old Style" w:cs="Arial"/>
              </w:rPr>
              <w:t xml:space="preserve"> de esta resolución</w:t>
            </w:r>
            <w:r w:rsidR="00585F7F">
              <w:rPr>
                <w:rFonts w:ascii="Bookman Old Style" w:hAnsi="Bookman Old Style" w:cs="Arial"/>
              </w:rPr>
              <w:t>,</w:t>
            </w:r>
            <w:r>
              <w:rPr>
                <w:rFonts w:ascii="Bookman Old Style" w:hAnsi="Bookman Old Style" w:cs="Arial"/>
              </w:rPr>
              <w:t xml:space="preserve"> y hasta contar con un histórico de 12 meses, se tomará la información acumulada de los meses que hayan transcurrido.</w:t>
            </w:r>
          </w:p>
          <w:p w14:paraId="38FB954A" w14:textId="77777777" w:rsidR="005E42A5" w:rsidRDefault="005E42A5" w:rsidP="001A5475">
            <w:pPr>
              <w:ind w:right="142"/>
              <w:jc w:val="both"/>
              <w:rPr>
                <w:rFonts w:ascii="Bookman Old Style" w:hAnsi="Bookman Old Style" w:cs="Arial"/>
              </w:rPr>
            </w:pPr>
          </w:p>
        </w:tc>
      </w:tr>
    </w:tbl>
    <w:p w14:paraId="18BC773F" w14:textId="77777777" w:rsidR="00780FD1" w:rsidRDefault="00780FD1" w:rsidP="00780FD1">
      <w:pPr>
        <w:ind w:left="284" w:right="142"/>
        <w:jc w:val="both"/>
        <w:rPr>
          <w:rFonts w:ascii="Bookman Old Style" w:hAnsi="Bookman Old Style" w:cs="Arial"/>
        </w:rPr>
      </w:pPr>
    </w:p>
    <w:p w14:paraId="11377B2A" w14:textId="518B7FEA" w:rsidR="00780FD1" w:rsidRDefault="00780FD1" w:rsidP="00780FD1">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oMath>
      <w:r>
        <w:rPr>
          <w:rFonts w:ascii="Bookman Old Style" w:hAnsi="Bookman Old Style" w:cs="Arial"/>
        </w:rPr>
        <w:t xml:space="preserve"> se obtiene a partir de la siguiente fórmula:</w:t>
      </w:r>
    </w:p>
    <w:p w14:paraId="187CB47B" w14:textId="77777777" w:rsidR="00780FD1" w:rsidRDefault="00780FD1" w:rsidP="00780FD1">
      <w:pPr>
        <w:ind w:left="284" w:right="142"/>
        <w:jc w:val="both"/>
        <w:rPr>
          <w:rFonts w:ascii="Bookman Old Style" w:hAnsi="Bookman Old Style" w:cs="Arial"/>
        </w:rPr>
      </w:pPr>
    </w:p>
    <w:p w14:paraId="03248B55" w14:textId="739521EF" w:rsidR="00780FD1" w:rsidRDefault="00EB1C66" w:rsidP="00780FD1">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ESFV</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ESFV</m:t>
                  </m:r>
                </m:e>
                <m:sub>
                  <m:r>
                    <w:rPr>
                      <w:rFonts w:ascii="Cambria Math" w:hAnsi="Cambria Math" w:cs="Arial"/>
                    </w:rPr>
                    <m:t>m-1</m:t>
                  </m:r>
                </m:sub>
              </m:sSub>
              <m:r>
                <w:rPr>
                  <w:rFonts w:ascii="Cambria Math" w:hAnsi="Cambria Math" w:cs="Arial"/>
                </w:rPr>
                <m:t>+</m:t>
              </m:r>
              <m:sSub>
                <m:sSubPr>
                  <m:ctrlPr>
                    <w:rPr>
                      <w:rFonts w:ascii="Cambria Math" w:hAnsi="Cambria Math" w:cs="Arial"/>
                      <w:i/>
                    </w:rPr>
                  </m:ctrlPr>
                </m:sSubPr>
                <m:e>
                  <m:r>
                    <w:rPr>
                      <w:rFonts w:ascii="Cambria Math" w:hAnsi="Cambria Math" w:cs="Arial"/>
                    </w:rPr>
                    <m:t>EA</m:t>
                  </m:r>
                </m:e>
                <m:sub>
                  <m:r>
                    <w:rPr>
                      <w:rFonts w:ascii="Cambria Math" w:hAnsi="Cambria Math" w:cs="Arial"/>
                    </w:rPr>
                    <m:t>m-1</m:t>
                  </m:r>
                </m:sub>
              </m:sSub>
            </m:den>
          </m:f>
        </m:oMath>
      </m:oMathPara>
    </w:p>
    <w:p w14:paraId="2C01FBA5" w14:textId="77777777" w:rsidR="00780FD1" w:rsidRDefault="00780FD1" w:rsidP="00780FD1">
      <w:pPr>
        <w:ind w:left="284" w:right="142"/>
        <w:jc w:val="both"/>
        <w:rPr>
          <w:rFonts w:ascii="Bookman Old Style" w:hAnsi="Bookman Old Style" w:cs="Arial"/>
        </w:rPr>
      </w:pPr>
    </w:p>
    <w:p w14:paraId="631FB286" w14:textId="77777777" w:rsidR="00780FD1" w:rsidRDefault="00780FD1" w:rsidP="00780FD1">
      <w:pPr>
        <w:ind w:left="284" w:right="142"/>
        <w:jc w:val="both"/>
        <w:rPr>
          <w:rFonts w:ascii="Bookman Old Style" w:hAnsi="Bookman Old Style" w:cs="Arial"/>
        </w:rPr>
      </w:pPr>
      <w:r>
        <w:rPr>
          <w:rFonts w:ascii="Bookman Old Style" w:hAnsi="Bookman Old Style" w:cs="Arial"/>
        </w:rPr>
        <w:t>En donde,</w:t>
      </w:r>
    </w:p>
    <w:p w14:paraId="52109765" w14:textId="77777777" w:rsidR="00780FD1" w:rsidRDefault="00780FD1" w:rsidP="00780FD1">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424"/>
        <w:gridCol w:w="7779"/>
      </w:tblGrid>
      <w:tr w:rsidR="00780FD1" w14:paraId="613EE9AC" w14:textId="77777777" w:rsidTr="00DF06C5">
        <w:tc>
          <w:tcPr>
            <w:tcW w:w="912" w:type="dxa"/>
          </w:tcPr>
          <w:p w14:paraId="618CD9ED" w14:textId="1144F599" w:rsidR="00780FD1" w:rsidRPr="00FA14D6" w:rsidRDefault="00EB1C66" w:rsidP="004F2711">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ESFV</m:t>
                    </m:r>
                  </m:e>
                  <m:sub>
                    <m:r>
                      <w:rPr>
                        <w:rFonts w:ascii="Cambria Math" w:hAnsi="Cambria Math" w:cs="Arial"/>
                      </w:rPr>
                      <m:t>m-1</m:t>
                    </m:r>
                  </m:sub>
                </m:sSub>
              </m:oMath>
            </m:oMathPara>
          </w:p>
        </w:tc>
        <w:tc>
          <w:tcPr>
            <w:tcW w:w="433" w:type="dxa"/>
          </w:tcPr>
          <w:p w14:paraId="739149F0" w14:textId="77777777" w:rsidR="00780FD1" w:rsidRDefault="00780FD1" w:rsidP="00DF06C5">
            <w:pPr>
              <w:ind w:right="142"/>
              <w:jc w:val="both"/>
              <w:rPr>
                <w:rFonts w:ascii="Bookman Old Style" w:hAnsi="Bookman Old Style" w:cs="Arial"/>
                <w:bCs/>
              </w:rPr>
            </w:pPr>
          </w:p>
        </w:tc>
        <w:tc>
          <w:tcPr>
            <w:tcW w:w="8010" w:type="dxa"/>
          </w:tcPr>
          <w:p w14:paraId="27CE6B28" w14:textId="33563F3E" w:rsidR="00780FD1" w:rsidRDefault="00780FD1" w:rsidP="00DF06C5">
            <w:pPr>
              <w:ind w:right="142"/>
              <w:jc w:val="both"/>
              <w:rPr>
                <w:rFonts w:ascii="Bookman Old Style" w:hAnsi="Bookman Old Style" w:cs="Arial"/>
              </w:rPr>
            </w:pPr>
            <w:r>
              <w:rPr>
                <w:rFonts w:ascii="Bookman Old Style" w:hAnsi="Bookman Old Style" w:cs="Arial"/>
              </w:rPr>
              <w:t xml:space="preserve">Energía total entregada al sistema de distribución del mercado relevante de comercialización respectivo, por los recursos </w:t>
            </w:r>
            <w:r w:rsidR="004F2711">
              <w:rPr>
                <w:rFonts w:ascii="Bookman Old Style" w:hAnsi="Bookman Old Style" w:cs="Arial"/>
              </w:rPr>
              <w:t>s</w:t>
            </w:r>
            <w:r w:rsidR="004F2711" w:rsidRPr="004F2711">
              <w:rPr>
                <w:rFonts w:ascii="Bookman Old Style" w:hAnsi="Bookman Old Style" w:cs="Arial"/>
              </w:rPr>
              <w:t>olar</w:t>
            </w:r>
            <w:r w:rsidR="004F2711">
              <w:rPr>
                <w:rFonts w:ascii="Bookman Old Style" w:hAnsi="Bookman Old Style" w:cs="Arial"/>
              </w:rPr>
              <w:t>es</w:t>
            </w:r>
            <w:r w:rsidR="004F2711" w:rsidRPr="004F2711">
              <w:rPr>
                <w:rFonts w:ascii="Bookman Old Style" w:hAnsi="Bookman Old Style" w:cs="Arial"/>
              </w:rPr>
              <w:t xml:space="preserve"> fotovoltaico</w:t>
            </w:r>
            <w:r w:rsidR="004F2711">
              <w:rPr>
                <w:rFonts w:ascii="Bookman Old Style" w:hAnsi="Bookman Old Style" w:cs="Arial"/>
              </w:rPr>
              <w:t>s</w:t>
            </w:r>
            <w:r w:rsidR="004F2711" w:rsidRPr="004F2711">
              <w:rPr>
                <w:rFonts w:ascii="Bookman Old Style" w:hAnsi="Bookman Old Style" w:cs="Arial"/>
              </w:rPr>
              <w:t xml:space="preserve"> con alimentación directa a red</w:t>
            </w:r>
            <w:r w:rsidR="004F2711">
              <w:rPr>
                <w:rFonts w:ascii="Bookman Old Style" w:hAnsi="Bookman Old Style" w:cs="Arial"/>
              </w:rPr>
              <w:t>,</w:t>
            </w:r>
            <w:r w:rsidR="004F2711" w:rsidRPr="004F2711">
              <w:rPr>
                <w:rFonts w:ascii="Bookman Old Style" w:hAnsi="Bookman Old Style" w:cs="Arial"/>
              </w:rPr>
              <w:t xml:space="preserve"> </w:t>
            </w:r>
            <w:r>
              <w:rPr>
                <w:rFonts w:ascii="Bookman Old Style" w:hAnsi="Bookman Old Style" w:cs="Arial"/>
              </w:rPr>
              <w:t xml:space="preserve">del parque de generación conectado a dicho sistema de distribución,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w:t>
            </w:r>
          </w:p>
          <w:p w14:paraId="34F1B7D2" w14:textId="77777777" w:rsidR="00780FD1" w:rsidRDefault="00780FD1" w:rsidP="00DF06C5">
            <w:pPr>
              <w:ind w:right="142"/>
              <w:jc w:val="both"/>
              <w:rPr>
                <w:rFonts w:ascii="Bookman Old Style" w:hAnsi="Bookman Old Style" w:cs="Arial"/>
              </w:rPr>
            </w:pPr>
          </w:p>
          <w:p w14:paraId="3825C869" w14:textId="33C40E3A" w:rsidR="00780FD1" w:rsidRDefault="00780FD1" w:rsidP="00DF06C5">
            <w:pPr>
              <w:ind w:right="142"/>
              <w:jc w:val="both"/>
              <w:rPr>
                <w:rFonts w:ascii="Bookman Old Style" w:hAnsi="Bookman Old Style" w:cs="Arial"/>
              </w:rPr>
            </w:pPr>
            <w:r>
              <w:rPr>
                <w:rFonts w:ascii="Bookman Old Style" w:hAnsi="Bookman Old Style" w:cs="Arial"/>
              </w:rPr>
              <w:t xml:space="preserve">A partir de la entrada en vigencia de esta resolución, según lo </w:t>
            </w:r>
            <w:r w:rsidRPr="00FE027C">
              <w:rPr>
                <w:rFonts w:ascii="Bookman Old Style" w:hAnsi="Bookman Old Style" w:cs="Arial"/>
              </w:rPr>
              <w:t>previsto en el artículo 3 de esta resolución</w:t>
            </w:r>
            <w:r w:rsidR="00585F7F">
              <w:rPr>
                <w:rFonts w:ascii="Bookman Old Style" w:hAnsi="Bookman Old Style" w:cs="Arial"/>
              </w:rPr>
              <w:t>,</w:t>
            </w:r>
            <w:r>
              <w:rPr>
                <w:rFonts w:ascii="Bookman Old Style" w:hAnsi="Bookman Old Style" w:cs="Arial"/>
              </w:rPr>
              <w:t xml:space="preserve"> y hasta contar con un histórico de 12 meses, se tomará la información acumulada de los meses que hayan transcurrido.</w:t>
            </w:r>
          </w:p>
          <w:p w14:paraId="1C8624CF" w14:textId="77777777" w:rsidR="00780FD1" w:rsidRDefault="00780FD1" w:rsidP="00DF06C5">
            <w:pPr>
              <w:ind w:right="142"/>
              <w:jc w:val="both"/>
              <w:rPr>
                <w:rFonts w:ascii="Bookman Old Style" w:hAnsi="Bookman Old Style" w:cs="Arial"/>
              </w:rPr>
            </w:pPr>
          </w:p>
        </w:tc>
      </w:tr>
      <w:tr w:rsidR="00780FD1" w14:paraId="3975A3C9" w14:textId="77777777" w:rsidTr="00DF06C5">
        <w:tc>
          <w:tcPr>
            <w:tcW w:w="912" w:type="dxa"/>
          </w:tcPr>
          <w:p w14:paraId="45974878" w14:textId="59EF5FF3" w:rsidR="00780FD1" w:rsidRPr="00FA14D6" w:rsidRDefault="00EB1C66" w:rsidP="004F2711">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EA</m:t>
                    </m:r>
                  </m:e>
                  <m:sub>
                    <m:r>
                      <w:rPr>
                        <w:rFonts w:ascii="Cambria Math" w:hAnsi="Cambria Math" w:cs="Arial"/>
                      </w:rPr>
                      <m:t>m-1</m:t>
                    </m:r>
                  </m:sub>
                </m:sSub>
              </m:oMath>
            </m:oMathPara>
          </w:p>
        </w:tc>
        <w:tc>
          <w:tcPr>
            <w:tcW w:w="433" w:type="dxa"/>
          </w:tcPr>
          <w:p w14:paraId="57C40D64" w14:textId="77777777" w:rsidR="00780FD1" w:rsidRDefault="00780FD1" w:rsidP="00DF06C5">
            <w:pPr>
              <w:ind w:right="142"/>
              <w:jc w:val="both"/>
              <w:rPr>
                <w:rFonts w:ascii="Bookman Old Style" w:hAnsi="Bookman Old Style" w:cs="Arial"/>
                <w:bCs/>
              </w:rPr>
            </w:pPr>
          </w:p>
        </w:tc>
        <w:tc>
          <w:tcPr>
            <w:tcW w:w="8010" w:type="dxa"/>
          </w:tcPr>
          <w:p w14:paraId="223A9F1A" w14:textId="7375B1BC" w:rsidR="004F2711" w:rsidRDefault="004F2711" w:rsidP="004F2711">
            <w:pPr>
              <w:ind w:right="142"/>
              <w:jc w:val="both"/>
              <w:rPr>
                <w:rFonts w:ascii="Bookman Old Style" w:hAnsi="Bookman Old Style" w:cs="Arial"/>
              </w:rPr>
            </w:pPr>
            <w:r>
              <w:rPr>
                <w:rFonts w:ascii="Bookman Old Style" w:hAnsi="Bookman Old Style" w:cs="Arial"/>
              </w:rPr>
              <w:t>Energía total entregada al sistema de distribución del mercado relevante de comercialización respectivo, desde equipos de a</w:t>
            </w:r>
            <w:r w:rsidRPr="004F2711">
              <w:rPr>
                <w:rFonts w:ascii="Bookman Old Style" w:hAnsi="Bookman Old Style" w:cs="Arial"/>
              </w:rPr>
              <w:t>cumulación de recurso</w:t>
            </w:r>
            <w:r>
              <w:rPr>
                <w:rFonts w:ascii="Bookman Old Style" w:hAnsi="Bookman Old Style" w:cs="Arial"/>
              </w:rPr>
              <w:t>s</w:t>
            </w:r>
            <w:r w:rsidRPr="004F2711">
              <w:rPr>
                <w:rFonts w:ascii="Bookman Old Style" w:hAnsi="Bookman Old Style" w:cs="Arial"/>
              </w:rPr>
              <w:t xml:space="preserve"> solar</w:t>
            </w:r>
            <w:r>
              <w:rPr>
                <w:rFonts w:ascii="Bookman Old Style" w:hAnsi="Bookman Old Style" w:cs="Arial"/>
              </w:rPr>
              <w:t>es</w:t>
            </w:r>
            <w:r w:rsidRPr="004F2711">
              <w:rPr>
                <w:rFonts w:ascii="Bookman Old Style" w:hAnsi="Bookman Old Style" w:cs="Arial"/>
              </w:rPr>
              <w:t xml:space="preserve"> fotovoltaico</w:t>
            </w:r>
            <w:r>
              <w:rPr>
                <w:rFonts w:ascii="Bookman Old Style" w:hAnsi="Bookman Old Style" w:cs="Arial"/>
              </w:rPr>
              <w:t>s,</w:t>
            </w:r>
            <w:r w:rsidRPr="004F2711">
              <w:rPr>
                <w:rFonts w:ascii="Bookman Old Style" w:hAnsi="Bookman Old Style" w:cs="Arial"/>
              </w:rPr>
              <w:t xml:space="preserve"> </w:t>
            </w:r>
            <w:r>
              <w:rPr>
                <w:rFonts w:ascii="Bookman Old Style" w:hAnsi="Bookman Old Style" w:cs="Arial"/>
              </w:rPr>
              <w:t xml:space="preserve">del parque de generación conectados a dicho sistema de distribución,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w:t>
            </w:r>
          </w:p>
          <w:p w14:paraId="723896BC" w14:textId="77777777" w:rsidR="00780FD1" w:rsidRDefault="00780FD1" w:rsidP="00DF06C5">
            <w:pPr>
              <w:ind w:right="142"/>
              <w:jc w:val="both"/>
              <w:rPr>
                <w:rFonts w:ascii="Bookman Old Style" w:hAnsi="Bookman Old Style" w:cs="Arial"/>
              </w:rPr>
            </w:pPr>
          </w:p>
          <w:p w14:paraId="7FFBA1F4" w14:textId="03629D77" w:rsidR="00780FD1" w:rsidRDefault="00780FD1" w:rsidP="00DF06C5">
            <w:pPr>
              <w:ind w:right="142"/>
              <w:jc w:val="both"/>
              <w:rPr>
                <w:rFonts w:ascii="Bookman Old Style" w:hAnsi="Bookman Old Style" w:cs="Arial"/>
              </w:rPr>
            </w:pPr>
            <w:r>
              <w:rPr>
                <w:rFonts w:ascii="Bookman Old Style" w:hAnsi="Bookman Old Style" w:cs="Arial"/>
              </w:rPr>
              <w:t xml:space="preserve">A partir de la entrada en vigencia de esta resolución, según lo </w:t>
            </w:r>
            <w:r w:rsidRPr="00FE027C">
              <w:rPr>
                <w:rFonts w:ascii="Bookman Old Style" w:hAnsi="Bookman Old Style" w:cs="Arial"/>
              </w:rPr>
              <w:t>previsto en el artículo 3 de esta resolución</w:t>
            </w:r>
            <w:r w:rsidR="00585F7F">
              <w:rPr>
                <w:rFonts w:ascii="Bookman Old Style" w:hAnsi="Bookman Old Style" w:cs="Arial"/>
              </w:rPr>
              <w:t>,</w:t>
            </w:r>
            <w:r>
              <w:rPr>
                <w:rFonts w:ascii="Bookman Old Style" w:hAnsi="Bookman Old Style" w:cs="Arial"/>
              </w:rPr>
              <w:t xml:space="preserve"> y hasta contar con un histórico de 12 meses, se tomará la información acumulada de los meses que hayan transcurrido.</w:t>
            </w:r>
          </w:p>
          <w:p w14:paraId="738110FD" w14:textId="77777777" w:rsidR="00780FD1" w:rsidRDefault="00780FD1" w:rsidP="00DF06C5">
            <w:pPr>
              <w:ind w:right="142"/>
              <w:jc w:val="both"/>
              <w:rPr>
                <w:rFonts w:ascii="Bookman Old Style" w:hAnsi="Bookman Old Style" w:cs="Arial"/>
              </w:rPr>
            </w:pPr>
          </w:p>
        </w:tc>
      </w:tr>
    </w:tbl>
    <w:p w14:paraId="2B8C4C61" w14:textId="77777777" w:rsidR="004F2711" w:rsidRDefault="004F2711" w:rsidP="005E42A5">
      <w:pPr>
        <w:ind w:left="284" w:right="142"/>
        <w:jc w:val="both"/>
        <w:rPr>
          <w:rFonts w:ascii="Bookman Old Style" w:hAnsi="Bookman Old Style" w:cs="Arial"/>
        </w:rPr>
      </w:pPr>
    </w:p>
    <w:p w14:paraId="1AE6FE23" w14:textId="77777777" w:rsidR="005E42A5" w:rsidRDefault="005E42A5" w:rsidP="005E42A5">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w:r>
        <w:rPr>
          <w:rFonts w:ascii="Bookman Old Style" w:hAnsi="Bookman Old Style" w:cs="Arial"/>
        </w:rPr>
        <w:t xml:space="preserve"> se obtiene a partir de la siguiente fórmula:</w:t>
      </w:r>
    </w:p>
    <w:p w14:paraId="2AB0362B" w14:textId="77777777" w:rsidR="005E42A5" w:rsidRDefault="005E42A5" w:rsidP="005E42A5">
      <w:pPr>
        <w:ind w:left="284" w:right="142"/>
        <w:jc w:val="both"/>
        <w:rPr>
          <w:rFonts w:ascii="Bookman Old Style" w:hAnsi="Bookman Old Style" w:cs="Arial"/>
        </w:rPr>
      </w:pPr>
    </w:p>
    <w:p w14:paraId="451AE4F7" w14:textId="77777777" w:rsidR="005E42A5" w:rsidRDefault="00EB1C66" w:rsidP="005E42A5">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r>
            <w:rPr>
              <w:rFonts w:ascii="Cambria Math" w:hAnsi="Cambria Math" w:cs="Arial"/>
            </w:rPr>
            <m:t>=</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0,D</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0,D</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+1,1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e>
              </m:d>
            </m:e>
          </m:d>
          <m:r>
            <w:rPr>
              <w:rFonts w:ascii="Cambria Math" w:hAnsi="Cambria Math" w:cs="Arial"/>
            </w:rPr>
            <m:t>*</m:t>
          </m:r>
          <m:d>
            <m:dPr>
              <m:ctrlPr>
                <w:rPr>
                  <w:rFonts w:ascii="Cambria Math" w:hAnsi="Cambria Math" w:cs="Arial"/>
                  <w:i/>
                </w:rPr>
              </m:ctrlPr>
            </m:dPr>
            <m:e>
              <m:r>
                <w:rPr>
                  <w:rFonts w:ascii="Cambria Math" w:hAnsi="Cambria Math" w:cs="Arial"/>
                </w:rPr>
                <m:t>1+PT</m:t>
              </m:r>
            </m:e>
          </m:d>
        </m:oMath>
      </m:oMathPara>
    </w:p>
    <w:p w14:paraId="33CEAD4D" w14:textId="77777777" w:rsidR="005E42A5" w:rsidRDefault="005E42A5" w:rsidP="005E42A5">
      <w:pPr>
        <w:ind w:left="284" w:right="142"/>
        <w:jc w:val="both"/>
        <w:rPr>
          <w:rFonts w:ascii="Bookman Old Style" w:hAnsi="Bookman Old Style" w:cs="Arial"/>
        </w:rPr>
      </w:pPr>
    </w:p>
    <w:p w14:paraId="1ADB2716" w14:textId="77777777" w:rsidR="005E42A5" w:rsidRDefault="005E42A5" w:rsidP="005E42A5">
      <w:pPr>
        <w:ind w:left="284" w:right="142"/>
        <w:jc w:val="both"/>
        <w:rPr>
          <w:rFonts w:ascii="Bookman Old Style" w:hAnsi="Bookman Old Style" w:cs="Arial"/>
        </w:rPr>
      </w:pPr>
      <w:r>
        <w:rPr>
          <w:rFonts w:ascii="Bookman Old Style" w:hAnsi="Bookman Old Style" w:cs="Arial"/>
        </w:rPr>
        <w:t>En donde,</w:t>
      </w:r>
    </w:p>
    <w:p w14:paraId="64772EBD" w14:textId="77777777" w:rsidR="005E42A5" w:rsidRDefault="005E42A5" w:rsidP="005E42A5">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435"/>
        <w:gridCol w:w="7947"/>
      </w:tblGrid>
      <w:tr w:rsidR="005E42A5" w14:paraId="57334BC4" w14:textId="77777777" w:rsidTr="001A5475">
        <w:tc>
          <w:tcPr>
            <w:tcW w:w="973" w:type="dxa"/>
          </w:tcPr>
          <w:p w14:paraId="4B48E7E5"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0,D</m:t>
                    </m:r>
                  </m:sub>
                </m:sSub>
              </m:oMath>
            </m:oMathPara>
          </w:p>
        </w:tc>
        <w:tc>
          <w:tcPr>
            <w:tcW w:w="435" w:type="dxa"/>
          </w:tcPr>
          <w:p w14:paraId="46F510DC"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4294AB80" w14:textId="77777777" w:rsidR="005E42A5" w:rsidRDefault="005E42A5" w:rsidP="001A5475">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generada, de los recursos energéticos </w:t>
            </w:r>
            <w:r w:rsidRPr="007C7DC8">
              <w:rPr>
                <w:rFonts w:ascii="Bookman Old Style" w:hAnsi="Bookman Old Style" w:cs="Arial"/>
              </w:rPr>
              <w:t>diés</w:t>
            </w:r>
            <w:r>
              <w:rPr>
                <w:rFonts w:ascii="Bookman Old Style" w:hAnsi="Bookman Old Style" w:cs="Arial"/>
              </w:rPr>
              <w:t xml:space="preserve">el,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eg</w:t>
            </w:r>
            <w:r>
              <w:rPr>
                <w:rFonts w:ascii="Bookman Old Style" w:hAnsi="Bookman Old Style" w:cs="Arial"/>
              </w:rPr>
              <w:t xml:space="preserve">ún lo previsto en el literal a) del artículo 22 </w:t>
            </w:r>
            <w:r w:rsidRPr="0008083F">
              <w:rPr>
                <w:rFonts w:ascii="Bookman Old Style" w:hAnsi="Bookman Old Style" w:cs="Arial"/>
              </w:rPr>
              <w:t xml:space="preserve">de la Resolución CREG 091 de 2007, modificada </w:t>
            </w:r>
            <w:r w:rsidRPr="00C367F8">
              <w:rPr>
                <w:rFonts w:ascii="Bookman Old Style" w:hAnsi="Bookman Old Style" w:cs="Arial"/>
              </w:rPr>
              <w:t xml:space="preserve">mediante </w:t>
            </w:r>
            <w:r>
              <w:rPr>
                <w:rFonts w:ascii="Bookman Old Style" w:hAnsi="Bookman Old Style" w:cs="Arial"/>
              </w:rPr>
              <w:t xml:space="preserve">la </w:t>
            </w:r>
            <w:r w:rsidRPr="00C367F8">
              <w:rPr>
                <w:rFonts w:ascii="Bookman Old Style" w:hAnsi="Bookman Old Style" w:cs="Arial"/>
              </w:rPr>
              <w:t>Resolución CREG 057 de 2009.</w:t>
            </w:r>
          </w:p>
          <w:p w14:paraId="5C8436B3" w14:textId="77777777" w:rsidR="005E42A5" w:rsidRDefault="005E42A5" w:rsidP="001A5475">
            <w:pPr>
              <w:ind w:right="142"/>
              <w:jc w:val="both"/>
              <w:rPr>
                <w:rFonts w:ascii="Bookman Old Style" w:hAnsi="Bookman Old Style" w:cs="Arial"/>
                <w:bCs/>
              </w:rPr>
            </w:pPr>
          </w:p>
        </w:tc>
      </w:tr>
      <w:tr w:rsidR="005E42A5" w14:paraId="68826F67" w14:textId="77777777" w:rsidTr="001A5475">
        <w:tc>
          <w:tcPr>
            <w:tcW w:w="973" w:type="dxa"/>
          </w:tcPr>
          <w:p w14:paraId="65EE76C4" w14:textId="77777777" w:rsidR="005E42A5" w:rsidRDefault="00EB1C66" w:rsidP="001A5475">
            <w:pPr>
              <w:ind w:right="142"/>
              <w:rPr>
                <w:rFonts w:ascii="Bookman Old Style" w:hAnsi="Bookman Old Style" w:cs="Arial"/>
                <w:bCs/>
              </w:rPr>
            </w:pPr>
            <m:oMathPara>
              <m:oMath>
                <m:sSub>
                  <m:sSubPr>
                    <m:ctrlPr>
                      <w:rPr>
                        <w:rFonts w:ascii="Cambria Math" w:hAnsi="Cambria Math" w:cs="Arial"/>
                        <w:i/>
                      </w:rPr>
                    </m:ctrlPr>
                  </m:sSubPr>
                  <m:e>
                    <m:r>
                      <w:rPr>
                        <w:rFonts w:ascii="Cambria Math" w:hAnsi="Cambria Math" w:cs="Arial"/>
                      </w:rPr>
                      <m:t>CM</m:t>
                    </m:r>
                  </m:e>
                  <m:sub>
                    <m:r>
                      <w:rPr>
                        <w:rFonts w:ascii="Cambria Math" w:hAnsi="Cambria Math" w:cs="Arial"/>
                      </w:rPr>
                      <m:t>0,D</m:t>
                    </m:r>
                  </m:sub>
                </m:sSub>
              </m:oMath>
            </m:oMathPara>
          </w:p>
        </w:tc>
        <w:tc>
          <w:tcPr>
            <w:tcW w:w="435" w:type="dxa"/>
          </w:tcPr>
          <w:p w14:paraId="084F31DF"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6138E45E" w14:textId="77777777" w:rsidR="005E42A5" w:rsidRDefault="005E42A5" w:rsidP="001A5475">
            <w:pPr>
              <w:ind w:right="142"/>
              <w:jc w:val="both"/>
              <w:rPr>
                <w:rFonts w:ascii="Bookman Old Style" w:hAnsi="Bookman Old Style" w:cs="Arial"/>
              </w:rPr>
            </w:pPr>
            <w:r>
              <w:rPr>
                <w:rFonts w:ascii="Bookman Old Style" w:hAnsi="Bookman Old Style" w:cs="Arial"/>
              </w:rPr>
              <w:t xml:space="preserve">Componente de remuneración del </w:t>
            </w:r>
            <w:r w:rsidRPr="00920F21">
              <w:rPr>
                <w:rFonts w:ascii="Bookman Old Style" w:hAnsi="Bookman Old Style" w:cs="Arial"/>
              </w:rPr>
              <w:t>costo</w:t>
            </w:r>
            <w:r>
              <w:rPr>
                <w:rFonts w:ascii="Bookman Old Style" w:hAnsi="Bookman Old Style" w:cs="Arial"/>
              </w:rPr>
              <w:t xml:space="preserve"> promedio ponderado </w:t>
            </w:r>
            <w:r w:rsidRPr="00920F21">
              <w:rPr>
                <w:rFonts w:ascii="Bookman Old Style" w:hAnsi="Bookman Old Style" w:cs="Arial"/>
              </w:rPr>
              <w:t xml:space="preserve">de </w:t>
            </w:r>
            <w:r>
              <w:rPr>
                <w:rFonts w:ascii="Bookman Old Style" w:hAnsi="Bookman Old Style" w:cs="Arial"/>
              </w:rPr>
              <w:t xml:space="preserve">mantenimiento, por energía generada, de los recursos energéticos </w:t>
            </w:r>
            <w:r w:rsidRPr="007C7DC8">
              <w:rPr>
                <w:rFonts w:ascii="Bookman Old Style" w:hAnsi="Bookman Old Style" w:cs="Arial"/>
              </w:rPr>
              <w:t>diés</w:t>
            </w:r>
            <w:r>
              <w:rPr>
                <w:rFonts w:ascii="Bookman Old Style" w:hAnsi="Bookman Old Style" w:cs="Arial"/>
              </w:rPr>
              <w:t xml:space="preserve">el,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egún lo previst</w:t>
            </w:r>
            <w:r>
              <w:rPr>
                <w:rFonts w:ascii="Bookman Old Style" w:hAnsi="Bookman Old Style" w:cs="Arial"/>
              </w:rPr>
              <w:t>o en el literal a) del artículo 22</w:t>
            </w:r>
            <w:r w:rsidRPr="0008083F">
              <w:rPr>
                <w:rFonts w:ascii="Bookman Old Style" w:hAnsi="Bookman Old Style" w:cs="Arial"/>
              </w:rPr>
              <w:t xml:space="preserve"> de la Resolución CREG 091 de 2007, modificada </w:t>
            </w:r>
            <w:r w:rsidRPr="00C367F8">
              <w:rPr>
                <w:rFonts w:ascii="Bookman Old Style" w:hAnsi="Bookman Old Style" w:cs="Arial"/>
              </w:rPr>
              <w:t>mediante</w:t>
            </w:r>
            <w:r>
              <w:rPr>
                <w:rFonts w:ascii="Bookman Old Style" w:hAnsi="Bookman Old Style" w:cs="Arial"/>
              </w:rPr>
              <w:t xml:space="preserve"> la</w:t>
            </w:r>
            <w:r w:rsidRPr="00C367F8">
              <w:rPr>
                <w:rFonts w:ascii="Bookman Old Style" w:hAnsi="Bookman Old Style" w:cs="Arial"/>
              </w:rPr>
              <w:t xml:space="preserve"> Resolución CREG 057 de 2009.</w:t>
            </w:r>
          </w:p>
          <w:p w14:paraId="5E9DD85E" w14:textId="77777777" w:rsidR="005E42A5" w:rsidRDefault="005E42A5" w:rsidP="001A5475">
            <w:pPr>
              <w:ind w:right="142"/>
              <w:jc w:val="both"/>
              <w:rPr>
                <w:rFonts w:ascii="Bookman Old Style" w:hAnsi="Bookman Old Style" w:cs="Arial"/>
              </w:rPr>
            </w:pPr>
          </w:p>
        </w:tc>
      </w:tr>
      <w:tr w:rsidR="005E42A5" w14:paraId="4CF5E5F7" w14:textId="77777777" w:rsidTr="001A5475">
        <w:tc>
          <w:tcPr>
            <w:tcW w:w="973" w:type="dxa"/>
          </w:tcPr>
          <w:p w14:paraId="6EF8B9C7"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oMath>
            </m:oMathPara>
          </w:p>
        </w:tc>
        <w:tc>
          <w:tcPr>
            <w:tcW w:w="435" w:type="dxa"/>
          </w:tcPr>
          <w:p w14:paraId="56FBEEB1"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1A00EF9E" w14:textId="77777777" w:rsidR="005E42A5" w:rsidRDefault="005E42A5" w:rsidP="001A5475">
            <w:pPr>
              <w:ind w:right="142"/>
              <w:jc w:val="both"/>
              <w:rPr>
                <w:rFonts w:ascii="Bookman Old Style" w:hAnsi="Bookman Old Style" w:cs="Arial"/>
              </w:rPr>
            </w:pPr>
            <w:r>
              <w:rPr>
                <w:rFonts w:ascii="Bookman Old Style" w:hAnsi="Bookman Old Style" w:cs="Arial"/>
              </w:rPr>
              <w:t>Componente de remuneración del co</w:t>
            </w:r>
            <w:r w:rsidRPr="009F7F82">
              <w:rPr>
                <w:rFonts w:ascii="Bookman Old Style" w:hAnsi="Bookman Old Style" w:cs="Arial"/>
              </w:rPr>
              <w:t xml:space="preserve">sto </w:t>
            </w:r>
            <w:r>
              <w:rPr>
                <w:rFonts w:ascii="Bookman Old Style" w:hAnsi="Bookman Old Style" w:cs="Arial"/>
              </w:rPr>
              <w:t>pro</w:t>
            </w:r>
            <w:r w:rsidRPr="009F7F82">
              <w:rPr>
                <w:rFonts w:ascii="Bookman Old Style" w:hAnsi="Bookman Old Style" w:cs="Arial"/>
              </w:rPr>
              <w:t>medio de combustible</w:t>
            </w:r>
            <w:r>
              <w:rPr>
                <w:rFonts w:ascii="Bookman Old Style" w:hAnsi="Bookman Old Style" w:cs="Arial"/>
              </w:rPr>
              <w:t>, por energía generada,</w:t>
            </w:r>
            <w:r w:rsidRPr="009F7F82">
              <w:rPr>
                <w:rFonts w:ascii="Bookman Old Style" w:hAnsi="Bookman Old Style" w:cs="Arial"/>
              </w:rPr>
              <w:t xml:space="preserve"> </w:t>
            </w:r>
            <w:r>
              <w:rPr>
                <w:rFonts w:ascii="Bookman Old Style" w:hAnsi="Bookman Old Style" w:cs="Arial"/>
              </w:rPr>
              <w:t xml:space="preserve">de los recursos energéticos </w:t>
            </w:r>
            <w:r>
              <w:rPr>
                <w:rFonts w:ascii="Bookman Old Style" w:hAnsi="Bookman Old Style" w:cs="Arial"/>
              </w:rPr>
              <w:lastRenderedPageBreak/>
              <w:t xml:space="preserve">diésel, </w:t>
            </w:r>
            <w:r w:rsidRPr="00920F21">
              <w:rPr>
                <w:rFonts w:ascii="Bookman Old Style" w:hAnsi="Bookman Old Style" w:cs="Arial"/>
              </w:rPr>
              <w:t>de</w:t>
            </w:r>
            <w:r>
              <w:rPr>
                <w:rFonts w:ascii="Bookman Old Style" w:hAnsi="Bookman Old Style" w:cs="Arial"/>
              </w:rPr>
              <w:t xml:space="preserve">l mercado relevante de comercialización señalado en este artículo, para el mes </w:t>
            </w:r>
            <w:r w:rsidRPr="00B16C28">
              <w:rPr>
                <w:rFonts w:ascii="Bookman Old Style" w:hAnsi="Bookman Old Style" w:cs="Arial"/>
                <w:i/>
              </w:rPr>
              <w:t>m</w:t>
            </w:r>
            <w:r>
              <w:rPr>
                <w:rFonts w:ascii="Bookman Old Style" w:hAnsi="Bookman Old Style" w:cs="Arial"/>
              </w:rPr>
              <w:t>, expresado en pesos por kilovatio hora ($/kwh), s</w:t>
            </w:r>
            <w:r w:rsidRPr="009F7F82">
              <w:rPr>
                <w:rFonts w:ascii="Bookman Old Style" w:hAnsi="Bookman Old Style" w:cs="Arial"/>
              </w:rPr>
              <w:t>egún</w:t>
            </w:r>
            <w:r>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Pr>
                <w:rFonts w:ascii="Bookman Old Style" w:hAnsi="Bookman Old Style" w:cs="Arial"/>
              </w:rPr>
              <w:t>.</w:t>
            </w:r>
          </w:p>
          <w:p w14:paraId="30F548C8" w14:textId="77777777" w:rsidR="005E42A5" w:rsidRDefault="005E42A5" w:rsidP="001A5475">
            <w:pPr>
              <w:ind w:right="142"/>
              <w:jc w:val="both"/>
              <w:rPr>
                <w:rFonts w:ascii="Bookman Old Style" w:hAnsi="Bookman Old Style" w:cs="Arial"/>
              </w:rPr>
            </w:pPr>
          </w:p>
        </w:tc>
      </w:tr>
      <w:tr w:rsidR="005E42A5" w14:paraId="44E88437" w14:textId="77777777" w:rsidTr="001A5475">
        <w:tc>
          <w:tcPr>
            <w:tcW w:w="973" w:type="dxa"/>
          </w:tcPr>
          <w:p w14:paraId="10840F3F"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oMath>
            </m:oMathPara>
          </w:p>
        </w:tc>
        <w:tc>
          <w:tcPr>
            <w:tcW w:w="435" w:type="dxa"/>
          </w:tcPr>
          <w:p w14:paraId="3549A78C"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65AD8085" w14:textId="77777777" w:rsidR="005E42A5" w:rsidRDefault="005E42A5" w:rsidP="001A5475">
            <w:pPr>
              <w:ind w:right="142"/>
              <w:jc w:val="both"/>
              <w:rPr>
                <w:rFonts w:ascii="Bookman Old Style" w:hAnsi="Bookman Old Style" w:cs="Arial"/>
              </w:rPr>
            </w:pPr>
            <w:r>
              <w:rPr>
                <w:rFonts w:ascii="Bookman Old Style" w:hAnsi="Bookman Old Style" w:cs="Arial"/>
              </w:rPr>
              <w:t>Componente de remuneración del co</w:t>
            </w:r>
            <w:r w:rsidRPr="009F7F82">
              <w:rPr>
                <w:rFonts w:ascii="Bookman Old Style" w:hAnsi="Bookman Old Style" w:cs="Arial"/>
              </w:rPr>
              <w:t xml:space="preserve">sto </w:t>
            </w:r>
            <w:r>
              <w:rPr>
                <w:rFonts w:ascii="Bookman Old Style" w:hAnsi="Bookman Old Style" w:cs="Arial"/>
              </w:rPr>
              <w:t>pro</w:t>
            </w:r>
            <w:r w:rsidRPr="009F7F82">
              <w:rPr>
                <w:rFonts w:ascii="Bookman Old Style" w:hAnsi="Bookman Old Style" w:cs="Arial"/>
              </w:rPr>
              <w:t xml:space="preserve">medio de </w:t>
            </w:r>
            <w:r>
              <w:rPr>
                <w:rFonts w:ascii="Bookman Old Style" w:hAnsi="Bookman Old Style" w:cs="Arial"/>
              </w:rPr>
              <w:t>lubricante, por energía generada,</w:t>
            </w:r>
            <w:r w:rsidRPr="009F7F82">
              <w:rPr>
                <w:rFonts w:ascii="Bookman Old Style" w:hAnsi="Bookman Old Style" w:cs="Arial"/>
              </w:rPr>
              <w:t xml:space="preserve"> </w:t>
            </w:r>
            <w:r>
              <w:rPr>
                <w:rFonts w:ascii="Bookman Old Style" w:hAnsi="Bookman Old Style" w:cs="Arial"/>
              </w:rPr>
              <w:t xml:space="preserve">de los recursos energéticos diésel, </w:t>
            </w:r>
            <w:r w:rsidRPr="00920F21">
              <w:rPr>
                <w:rFonts w:ascii="Bookman Old Style" w:hAnsi="Bookman Old Style" w:cs="Arial"/>
              </w:rPr>
              <w:t>de</w:t>
            </w:r>
            <w:r>
              <w:rPr>
                <w:rFonts w:ascii="Bookman Old Style" w:hAnsi="Bookman Old Style" w:cs="Arial"/>
              </w:rPr>
              <w:t xml:space="preserve">l mercado relevante de comercialización señalado en este artículo, para el mes </w:t>
            </w:r>
            <w:r w:rsidRPr="00B16C28">
              <w:rPr>
                <w:rFonts w:ascii="Bookman Old Style" w:hAnsi="Bookman Old Style" w:cs="Arial"/>
                <w:i/>
              </w:rPr>
              <w:t>m</w:t>
            </w:r>
            <w:r>
              <w:rPr>
                <w:rFonts w:ascii="Bookman Old Style" w:hAnsi="Bookman Old Style" w:cs="Arial"/>
              </w:rPr>
              <w:t>, expresado en pesos por kilovatio hora ($/kwh), s</w:t>
            </w:r>
            <w:r w:rsidRPr="009F7F82">
              <w:rPr>
                <w:rFonts w:ascii="Bookman Old Style" w:hAnsi="Bookman Old Style" w:cs="Arial"/>
              </w:rPr>
              <w:t>egún</w:t>
            </w:r>
            <w:r>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Pr>
                <w:rFonts w:ascii="Bookman Old Style" w:hAnsi="Bookman Old Style" w:cs="Arial"/>
              </w:rPr>
              <w:t>.</w:t>
            </w:r>
          </w:p>
          <w:p w14:paraId="4C286647" w14:textId="77777777" w:rsidR="005E42A5" w:rsidRDefault="005E42A5" w:rsidP="001A5475">
            <w:pPr>
              <w:ind w:right="142"/>
              <w:jc w:val="both"/>
              <w:rPr>
                <w:rFonts w:ascii="Bookman Old Style" w:hAnsi="Bookman Old Style" w:cs="Arial"/>
              </w:rPr>
            </w:pPr>
          </w:p>
        </w:tc>
      </w:tr>
      <w:tr w:rsidR="005E42A5" w14:paraId="79C0523E" w14:textId="77777777" w:rsidTr="001A5475">
        <w:tc>
          <w:tcPr>
            <w:tcW w:w="973" w:type="dxa"/>
          </w:tcPr>
          <w:p w14:paraId="27250454" w14:textId="77777777" w:rsidR="005E42A5" w:rsidRPr="00F37126" w:rsidRDefault="005E42A5" w:rsidP="001A5475">
            <w:pPr>
              <w:ind w:right="142"/>
            </w:pPr>
            <m:oMathPara>
              <m:oMathParaPr>
                <m:jc m:val="left"/>
              </m:oMathParaPr>
              <m:oMath>
                <m:r>
                  <w:rPr>
                    <w:rFonts w:ascii="Cambria Math" w:hAnsi="Cambria Math" w:cs="Arial"/>
                  </w:rPr>
                  <m:t>PT</m:t>
                </m:r>
              </m:oMath>
            </m:oMathPara>
          </w:p>
        </w:tc>
        <w:tc>
          <w:tcPr>
            <w:tcW w:w="435" w:type="dxa"/>
          </w:tcPr>
          <w:p w14:paraId="5223D5E5"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43D181B1" w14:textId="77777777" w:rsidR="005E42A5" w:rsidRDefault="005E42A5" w:rsidP="001A5475">
            <w:pPr>
              <w:ind w:right="142"/>
              <w:jc w:val="both"/>
              <w:rPr>
                <w:rFonts w:ascii="Bookman Old Style" w:hAnsi="Bookman Old Style" w:cs="Arial"/>
              </w:rPr>
            </w:pPr>
            <w:r>
              <w:rPr>
                <w:rFonts w:ascii="Bookman Old Style" w:hAnsi="Bookman Old Style" w:cs="Arial"/>
              </w:rPr>
              <w:t xml:space="preserve">Porcentaje de </w:t>
            </w:r>
            <w:r w:rsidRPr="00AD252D">
              <w:rPr>
                <w:rFonts w:ascii="Bookman Old Style" w:hAnsi="Bookman Old Style" w:cs="Arial"/>
              </w:rPr>
              <w:t xml:space="preserve">pérdidas </w:t>
            </w:r>
            <w:r>
              <w:rPr>
                <w:rFonts w:ascii="Bookman Old Style" w:hAnsi="Bookman Old Style" w:cs="Arial"/>
              </w:rPr>
              <w:t xml:space="preserve">promedio </w:t>
            </w:r>
            <w:r w:rsidRPr="00AD252D">
              <w:rPr>
                <w:rFonts w:ascii="Bookman Old Style" w:hAnsi="Bookman Old Style" w:cs="Arial"/>
              </w:rPr>
              <w:t>de transformación</w:t>
            </w:r>
            <w:r>
              <w:rPr>
                <w:rFonts w:ascii="Bookman Old Style" w:hAnsi="Bookman Old Style" w:cs="Arial"/>
              </w:rPr>
              <w:t xml:space="preserve">, </w:t>
            </w:r>
            <w:r w:rsidRPr="00AD252D">
              <w:rPr>
                <w:rFonts w:ascii="Bookman Old Style" w:hAnsi="Bookman Old Style" w:cs="Arial"/>
              </w:rPr>
              <w:t>de la conexión de</w:t>
            </w:r>
            <w:r>
              <w:rPr>
                <w:rFonts w:ascii="Bookman Old Style" w:hAnsi="Bookman Old Style" w:cs="Arial"/>
              </w:rPr>
              <w:t xml:space="preserve"> </w:t>
            </w:r>
            <w:r w:rsidRPr="00AD252D">
              <w:rPr>
                <w:rFonts w:ascii="Bookman Old Style" w:hAnsi="Bookman Old Style" w:cs="Arial"/>
              </w:rPr>
              <w:t>l</w:t>
            </w:r>
            <w:r>
              <w:rPr>
                <w:rFonts w:ascii="Bookman Old Style" w:hAnsi="Bookman Old Style" w:cs="Arial"/>
              </w:rPr>
              <w:t xml:space="preserve">os recursos energéticos diésel </w:t>
            </w:r>
            <w:r w:rsidRPr="00AD252D">
              <w:rPr>
                <w:rFonts w:ascii="Bookman Old Style" w:hAnsi="Bookman Old Style" w:cs="Arial"/>
              </w:rPr>
              <w:t>al sistema de distribución</w:t>
            </w:r>
            <w:r>
              <w:rPr>
                <w:rFonts w:ascii="Bookman Old Style" w:hAnsi="Bookman Old Style" w:cs="Arial"/>
              </w:rPr>
              <w:t>,</w:t>
            </w:r>
            <w:r w:rsidRPr="009F7F82">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señalado en este artículo, s</w:t>
            </w:r>
            <w:r w:rsidRPr="009F7F82">
              <w:rPr>
                <w:rFonts w:ascii="Bookman Old Style" w:hAnsi="Bookman Old Style" w:cs="Arial"/>
              </w:rPr>
              <w:t>egún</w:t>
            </w:r>
            <w:r>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Pr>
                <w:rFonts w:ascii="Bookman Old Style" w:hAnsi="Bookman Old Style" w:cs="Arial"/>
              </w:rPr>
              <w:t>.</w:t>
            </w:r>
          </w:p>
          <w:p w14:paraId="5769326D" w14:textId="77777777" w:rsidR="005E42A5" w:rsidRDefault="005E42A5" w:rsidP="001A5475">
            <w:pPr>
              <w:ind w:right="142"/>
              <w:jc w:val="both"/>
              <w:rPr>
                <w:rFonts w:ascii="Bookman Old Style" w:hAnsi="Bookman Old Style" w:cs="Arial"/>
              </w:rPr>
            </w:pPr>
          </w:p>
        </w:tc>
      </w:tr>
      <w:tr w:rsidR="005E42A5" w14:paraId="707C98B7" w14:textId="77777777" w:rsidTr="001A5475">
        <w:tc>
          <w:tcPr>
            <w:tcW w:w="973" w:type="dxa"/>
          </w:tcPr>
          <w:p w14:paraId="621FFBC6"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m:oMathPara>
          </w:p>
        </w:tc>
        <w:tc>
          <w:tcPr>
            <w:tcW w:w="435" w:type="dxa"/>
          </w:tcPr>
          <w:p w14:paraId="000AC076"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37862710" w14:textId="77777777" w:rsidR="005E42A5" w:rsidRDefault="005E42A5" w:rsidP="001A5475">
            <w:pPr>
              <w:ind w:right="142"/>
              <w:jc w:val="both"/>
              <w:rPr>
                <w:rFonts w:ascii="Bookman Old Style" w:hAnsi="Bookman Old Style" w:cs="Arial"/>
              </w:rPr>
            </w:pPr>
            <w:r>
              <w:rPr>
                <w:rFonts w:ascii="Bookman Old Style" w:hAnsi="Bookman Old Style" w:cs="Arial"/>
              </w:rPr>
              <w:t xml:space="preserve">Índice de precios al productor, Oferta Interna, del mes </w:t>
            </w:r>
            <w:r w:rsidRPr="00260FB2">
              <w:rPr>
                <w:rFonts w:ascii="Bookman Old Style" w:hAnsi="Bookman Old Style" w:cs="Arial"/>
                <w:i/>
              </w:rPr>
              <w:t>m-1</w:t>
            </w:r>
            <w:r>
              <w:rPr>
                <w:rFonts w:ascii="Bookman Old Style" w:hAnsi="Bookman Old Style" w:cs="Arial"/>
              </w:rPr>
              <w:t>.</w:t>
            </w:r>
          </w:p>
          <w:p w14:paraId="3095737F" w14:textId="77777777" w:rsidR="005E42A5" w:rsidRDefault="005E42A5" w:rsidP="001A5475">
            <w:pPr>
              <w:ind w:right="142"/>
              <w:jc w:val="both"/>
              <w:rPr>
                <w:rFonts w:ascii="Bookman Old Style" w:hAnsi="Bookman Old Style" w:cs="Arial"/>
              </w:rPr>
            </w:pPr>
          </w:p>
        </w:tc>
      </w:tr>
      <w:tr w:rsidR="005E42A5" w14:paraId="73ABFFD8" w14:textId="77777777" w:rsidTr="001A5475">
        <w:tc>
          <w:tcPr>
            <w:tcW w:w="973" w:type="dxa"/>
          </w:tcPr>
          <w:p w14:paraId="76FB8C8E" w14:textId="77777777" w:rsidR="005E42A5" w:rsidRPr="00AF7C27"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m:oMathPara>
          </w:p>
        </w:tc>
        <w:tc>
          <w:tcPr>
            <w:tcW w:w="435" w:type="dxa"/>
          </w:tcPr>
          <w:p w14:paraId="2B4C08F7"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7947" w:type="dxa"/>
          </w:tcPr>
          <w:p w14:paraId="1F00BC6E" w14:textId="77777777" w:rsidR="005E42A5" w:rsidRDefault="005E42A5" w:rsidP="001A5475">
            <w:pPr>
              <w:ind w:right="142"/>
              <w:jc w:val="both"/>
              <w:rPr>
                <w:rFonts w:ascii="Bookman Old Style" w:hAnsi="Bookman Old Style" w:cs="Arial"/>
              </w:rPr>
            </w:pPr>
            <w:r>
              <w:rPr>
                <w:rFonts w:ascii="Bookman Old Style" w:hAnsi="Bookman Old Style" w:cs="Arial"/>
              </w:rPr>
              <w:t>Índice de precios al productor, Oferta Interna, de la fecha base.</w:t>
            </w:r>
          </w:p>
          <w:p w14:paraId="7A49937C" w14:textId="77777777" w:rsidR="005E42A5" w:rsidRDefault="005E42A5" w:rsidP="001A5475">
            <w:pPr>
              <w:ind w:right="142"/>
              <w:jc w:val="both"/>
              <w:rPr>
                <w:rFonts w:ascii="Bookman Old Style" w:hAnsi="Bookman Old Style" w:cs="Arial"/>
              </w:rPr>
            </w:pPr>
          </w:p>
        </w:tc>
      </w:tr>
    </w:tbl>
    <w:p w14:paraId="2882EECA" w14:textId="77777777" w:rsidR="005E42A5" w:rsidRDefault="005E42A5" w:rsidP="005E42A5">
      <w:pPr>
        <w:ind w:left="284" w:right="142"/>
        <w:jc w:val="both"/>
        <w:rPr>
          <w:rFonts w:ascii="Bookman Old Style" w:hAnsi="Bookman Old Style" w:cs="Arial"/>
        </w:rPr>
      </w:pPr>
    </w:p>
    <w:p w14:paraId="420F95D2" w14:textId="77777777" w:rsidR="005E42A5" w:rsidRDefault="005E42A5" w:rsidP="005E42A5">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oMath>
      <w:r>
        <w:rPr>
          <w:rFonts w:ascii="Bookman Old Style" w:hAnsi="Bookman Old Style" w:cs="Arial"/>
        </w:rPr>
        <w:t xml:space="preserve"> se obtiene a partir de la siguiente fórmula:</w:t>
      </w:r>
    </w:p>
    <w:p w14:paraId="6AF37C58" w14:textId="77777777" w:rsidR="005E42A5" w:rsidRDefault="005E42A5" w:rsidP="005E42A5">
      <w:pPr>
        <w:ind w:left="284" w:right="142"/>
        <w:jc w:val="both"/>
        <w:rPr>
          <w:rFonts w:ascii="Bookman Old Style" w:hAnsi="Bookman Old Style" w:cs="Arial"/>
        </w:rPr>
      </w:pPr>
    </w:p>
    <w:p w14:paraId="19F61AC1" w14:textId="77777777" w:rsidR="005E42A5" w:rsidRDefault="00EB1C66" w:rsidP="005E42A5">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0,SFV</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0,SFV</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14:paraId="116D2F6A" w14:textId="77777777" w:rsidR="005E42A5" w:rsidRDefault="005E42A5" w:rsidP="005E42A5">
      <w:pPr>
        <w:ind w:left="284" w:right="142"/>
        <w:jc w:val="both"/>
        <w:rPr>
          <w:rFonts w:ascii="Bookman Old Style" w:hAnsi="Bookman Old Style" w:cs="Arial"/>
        </w:rPr>
      </w:pPr>
    </w:p>
    <w:p w14:paraId="24C0AC0F" w14:textId="77777777" w:rsidR="005E42A5" w:rsidRDefault="005E42A5" w:rsidP="005E42A5">
      <w:pPr>
        <w:ind w:left="284" w:right="142"/>
        <w:jc w:val="both"/>
        <w:rPr>
          <w:rFonts w:ascii="Bookman Old Style" w:hAnsi="Bookman Old Style" w:cs="Arial"/>
        </w:rPr>
      </w:pPr>
      <w:r>
        <w:rPr>
          <w:rFonts w:ascii="Bookman Old Style" w:hAnsi="Bookman Old Style" w:cs="Arial"/>
        </w:rPr>
        <w:t>En donde,</w:t>
      </w:r>
    </w:p>
    <w:p w14:paraId="0E9577EB" w14:textId="77777777" w:rsidR="005E42A5" w:rsidRDefault="005E42A5" w:rsidP="005E42A5">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435"/>
        <w:gridCol w:w="7911"/>
      </w:tblGrid>
      <w:tr w:rsidR="005E42A5" w14:paraId="1D2F0F44" w14:textId="77777777" w:rsidTr="001A5475">
        <w:tc>
          <w:tcPr>
            <w:tcW w:w="907" w:type="dxa"/>
          </w:tcPr>
          <w:p w14:paraId="17263C41"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0,SFV</m:t>
                    </m:r>
                  </m:sub>
                </m:sSub>
              </m:oMath>
            </m:oMathPara>
          </w:p>
        </w:tc>
        <w:tc>
          <w:tcPr>
            <w:tcW w:w="433" w:type="dxa"/>
          </w:tcPr>
          <w:p w14:paraId="30E240D6"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15" w:type="dxa"/>
          </w:tcPr>
          <w:p w14:paraId="72DE268F" w14:textId="3441859A" w:rsidR="005E42A5" w:rsidRDefault="005E42A5" w:rsidP="001A5475">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suministrada, de los recursos energéticos </w:t>
            </w:r>
            <w:r>
              <w:rPr>
                <w:rFonts w:ascii="Bookman Old Style" w:hAnsi="Bookman Old Style" w:cs="Arial"/>
                <w:bCs/>
              </w:rPr>
              <w:t>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mercado relevante de comercialización </w:t>
            </w:r>
            <w:r w:rsidR="001A5475">
              <w:rPr>
                <w:rFonts w:ascii="Bookman Old Style" w:hAnsi="Bookman Old Style" w:cs="Arial"/>
              </w:rPr>
              <w:t>respectivo</w:t>
            </w:r>
            <w:r>
              <w:rPr>
                <w:rFonts w:ascii="Bookman Old Style" w:hAnsi="Bookman Old Style" w:cs="Arial"/>
              </w:rPr>
              <w:t>, expresado en pesos constantes de la fecha base, s</w:t>
            </w:r>
            <w:r w:rsidRPr="0008083F">
              <w:rPr>
                <w:rFonts w:ascii="Bookman Old Style" w:hAnsi="Bookman Old Style" w:cs="Arial"/>
              </w:rPr>
              <w:t xml:space="preserve">egún lo previsto en </w:t>
            </w:r>
            <w:r w:rsidR="00DB5492" w:rsidRPr="00DB5492">
              <w:rPr>
                <w:rFonts w:ascii="Bookman Old Style" w:hAnsi="Bookman Old Style" w:cs="Arial"/>
              </w:rPr>
              <w:t>el artículo</w:t>
            </w:r>
            <w:r w:rsidRPr="00DB5492">
              <w:rPr>
                <w:rFonts w:ascii="Bookman Old Style" w:hAnsi="Bookman Old Style" w:cs="Arial"/>
              </w:rPr>
              <w:t xml:space="preserve"> </w:t>
            </w:r>
            <w:r w:rsidR="00DB5492" w:rsidRPr="00DB5492">
              <w:rPr>
                <w:rFonts w:ascii="Bookman Old Style" w:hAnsi="Bookman Old Style" w:cs="Arial"/>
              </w:rPr>
              <w:t xml:space="preserve">1 </w:t>
            </w:r>
            <w:r w:rsidRPr="00DB5492">
              <w:rPr>
                <w:rFonts w:ascii="Bookman Old Style" w:hAnsi="Bookman Old Style" w:cs="Arial"/>
              </w:rPr>
              <w:t>de</w:t>
            </w:r>
            <w:r>
              <w:rPr>
                <w:rFonts w:ascii="Bookman Old Style" w:hAnsi="Bookman Old Style" w:cs="Arial"/>
              </w:rPr>
              <w:t xml:space="preserve"> esta resolución.</w:t>
            </w:r>
          </w:p>
          <w:p w14:paraId="4F7A2D77" w14:textId="77777777" w:rsidR="005E42A5" w:rsidRDefault="005E42A5" w:rsidP="001A5475">
            <w:pPr>
              <w:ind w:right="142"/>
              <w:jc w:val="both"/>
              <w:rPr>
                <w:rFonts w:ascii="Bookman Old Style" w:hAnsi="Bookman Old Style" w:cs="Arial"/>
                <w:bCs/>
              </w:rPr>
            </w:pPr>
          </w:p>
        </w:tc>
      </w:tr>
      <w:tr w:rsidR="005E42A5" w14:paraId="2068BCB0" w14:textId="77777777" w:rsidTr="001A5475">
        <w:tc>
          <w:tcPr>
            <w:tcW w:w="907" w:type="dxa"/>
          </w:tcPr>
          <w:p w14:paraId="31695FCC" w14:textId="77777777" w:rsidR="005E42A5" w:rsidRPr="0072683D"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0,SFV</m:t>
                    </m:r>
                  </m:sub>
                </m:sSub>
              </m:oMath>
            </m:oMathPara>
          </w:p>
        </w:tc>
        <w:tc>
          <w:tcPr>
            <w:tcW w:w="433" w:type="dxa"/>
          </w:tcPr>
          <w:p w14:paraId="328CE283"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15" w:type="dxa"/>
          </w:tcPr>
          <w:p w14:paraId="61DA876A" w14:textId="516D73EF" w:rsidR="005E42A5" w:rsidRDefault="005E42A5" w:rsidP="001A5475">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promedios ponderados de </w:t>
            </w:r>
            <w:r w:rsidRPr="00B628FB">
              <w:rPr>
                <w:rFonts w:ascii="Bookman Old Style" w:hAnsi="Bookman Old Style" w:cs="Arial"/>
              </w:rPr>
              <w:t>administración, operación y mantenimiento</w:t>
            </w:r>
            <w:r>
              <w:rPr>
                <w:rFonts w:ascii="Bookman Old Style" w:hAnsi="Bookman Old Style" w:cs="Arial"/>
              </w:rPr>
              <w:t xml:space="preserve">, por energía suministrada, de los recursos energéticos </w:t>
            </w:r>
            <w:r>
              <w:rPr>
                <w:rFonts w:ascii="Bookman Old Style" w:hAnsi="Bookman Old Style" w:cs="Arial"/>
                <w:bCs/>
              </w:rPr>
              <w:t>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mercado relevante de comercialización </w:t>
            </w:r>
            <w:r w:rsidR="001A5475">
              <w:rPr>
                <w:rFonts w:ascii="Bookman Old Style" w:hAnsi="Bookman Old Style" w:cs="Arial"/>
              </w:rPr>
              <w:t>respectivo</w:t>
            </w:r>
            <w:r>
              <w:rPr>
                <w:rFonts w:ascii="Bookman Old Style" w:hAnsi="Bookman Old Style" w:cs="Arial"/>
              </w:rPr>
              <w:t>, expresado en pesos constantes de la fecha base, s</w:t>
            </w:r>
            <w:r w:rsidRPr="0008083F">
              <w:rPr>
                <w:rFonts w:ascii="Bookman Old Style" w:hAnsi="Bookman Old Style" w:cs="Arial"/>
              </w:rPr>
              <w:t xml:space="preserve">egún lo previsto en </w:t>
            </w:r>
            <w:r w:rsidR="001A5475" w:rsidRPr="00DB5492">
              <w:rPr>
                <w:rFonts w:ascii="Bookman Old Style" w:hAnsi="Bookman Old Style" w:cs="Arial"/>
              </w:rPr>
              <w:t>el</w:t>
            </w:r>
            <w:r w:rsidR="001A5475" w:rsidRPr="001A5475">
              <w:rPr>
                <w:rFonts w:ascii="Bookman Old Style" w:hAnsi="Bookman Old Style" w:cs="Arial"/>
                <w:highlight w:val="green"/>
              </w:rPr>
              <w:t xml:space="preserve"> </w:t>
            </w:r>
            <w:r w:rsidR="001A5475" w:rsidRPr="00DB5492">
              <w:rPr>
                <w:rFonts w:ascii="Bookman Old Style" w:hAnsi="Bookman Old Style" w:cs="Arial"/>
              </w:rPr>
              <w:t>artículo</w:t>
            </w:r>
            <w:r w:rsidR="00DB5492" w:rsidRPr="00DB5492">
              <w:rPr>
                <w:rFonts w:ascii="Bookman Old Style" w:hAnsi="Bookman Old Style" w:cs="Arial"/>
              </w:rPr>
              <w:t xml:space="preserve"> </w:t>
            </w:r>
            <w:r w:rsidR="00742F35" w:rsidRPr="00DB5492">
              <w:rPr>
                <w:rFonts w:ascii="Bookman Old Style" w:hAnsi="Bookman Old Style" w:cs="Arial"/>
              </w:rPr>
              <w:t xml:space="preserve">1 </w:t>
            </w:r>
            <w:r w:rsidRPr="00DB5492">
              <w:rPr>
                <w:rFonts w:ascii="Bookman Old Style" w:hAnsi="Bookman Old Style" w:cs="Arial"/>
              </w:rPr>
              <w:t>de</w:t>
            </w:r>
            <w:r>
              <w:rPr>
                <w:rFonts w:ascii="Bookman Old Style" w:hAnsi="Bookman Old Style" w:cs="Arial"/>
              </w:rPr>
              <w:t xml:space="preserve"> esta resolución.</w:t>
            </w:r>
          </w:p>
          <w:p w14:paraId="1789E6D2" w14:textId="77777777" w:rsidR="005E42A5" w:rsidRDefault="005E42A5" w:rsidP="001A5475">
            <w:pPr>
              <w:ind w:right="142"/>
              <w:jc w:val="both"/>
              <w:rPr>
                <w:rFonts w:ascii="Bookman Old Style" w:hAnsi="Bookman Old Style" w:cs="Arial"/>
              </w:rPr>
            </w:pPr>
          </w:p>
        </w:tc>
      </w:tr>
    </w:tbl>
    <w:p w14:paraId="6D1B80D4" w14:textId="77777777" w:rsidR="005E42A5" w:rsidRDefault="005E42A5" w:rsidP="005E42A5">
      <w:pPr>
        <w:ind w:left="284" w:right="142"/>
        <w:jc w:val="both"/>
        <w:rPr>
          <w:rFonts w:ascii="Bookman Old Style" w:hAnsi="Bookman Old Style" w:cs="Arial"/>
        </w:rPr>
      </w:pPr>
    </w:p>
    <w:p w14:paraId="532A3D80" w14:textId="77777777" w:rsidR="005E42A5" w:rsidRDefault="005E42A5" w:rsidP="005E42A5">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oMath>
      <w:r>
        <w:rPr>
          <w:rFonts w:ascii="Bookman Old Style" w:hAnsi="Bookman Old Style" w:cs="Arial"/>
        </w:rPr>
        <w:t xml:space="preserve"> se obtiene a partir de la siguiente fórmula:</w:t>
      </w:r>
    </w:p>
    <w:p w14:paraId="16863457" w14:textId="77777777" w:rsidR="005E42A5" w:rsidRDefault="005E42A5" w:rsidP="005E42A5">
      <w:pPr>
        <w:ind w:left="284" w:right="142"/>
        <w:jc w:val="both"/>
        <w:rPr>
          <w:rFonts w:ascii="Bookman Old Style" w:hAnsi="Bookman Old Style" w:cs="Arial"/>
        </w:rPr>
      </w:pPr>
    </w:p>
    <w:p w14:paraId="3592A31B" w14:textId="77777777" w:rsidR="005E42A5" w:rsidRDefault="00EB1C66" w:rsidP="005E42A5">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0,A</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0,A</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14:paraId="558810CF" w14:textId="77777777" w:rsidR="005E42A5" w:rsidRDefault="005E42A5" w:rsidP="005E42A5">
      <w:pPr>
        <w:ind w:left="284" w:right="142"/>
        <w:jc w:val="both"/>
        <w:rPr>
          <w:rFonts w:ascii="Bookman Old Style" w:hAnsi="Bookman Old Style" w:cs="Arial"/>
        </w:rPr>
      </w:pPr>
    </w:p>
    <w:p w14:paraId="5FF9B269" w14:textId="77777777" w:rsidR="005E42A5" w:rsidRDefault="005E42A5" w:rsidP="005E42A5">
      <w:pPr>
        <w:ind w:left="284" w:right="142"/>
        <w:jc w:val="both"/>
        <w:rPr>
          <w:rFonts w:ascii="Bookman Old Style" w:hAnsi="Bookman Old Style" w:cs="Arial"/>
        </w:rPr>
      </w:pPr>
      <w:r>
        <w:rPr>
          <w:rFonts w:ascii="Bookman Old Style" w:hAnsi="Bookman Old Style" w:cs="Arial"/>
        </w:rPr>
        <w:t>En donde,</w:t>
      </w:r>
    </w:p>
    <w:p w14:paraId="093E3E7D" w14:textId="77777777" w:rsidR="005E42A5" w:rsidRDefault="005E42A5" w:rsidP="005E42A5">
      <w:pPr>
        <w:ind w:left="284" w:right="142"/>
        <w:jc w:val="both"/>
        <w:rPr>
          <w:rFonts w:ascii="Bookman Old Style" w:hAnsi="Bookman Old Style" w:cs="Arial"/>
          <w:bCs/>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435"/>
        <w:gridCol w:w="8013"/>
      </w:tblGrid>
      <w:tr w:rsidR="005E42A5" w14:paraId="7445073F" w14:textId="77777777" w:rsidTr="001A5475">
        <w:tc>
          <w:tcPr>
            <w:tcW w:w="907" w:type="dxa"/>
          </w:tcPr>
          <w:p w14:paraId="33EFFACE" w14:textId="77777777" w:rsidR="005E42A5" w:rsidRPr="00FA14D6"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0,A</m:t>
                    </m:r>
                  </m:sub>
                </m:sSub>
              </m:oMath>
            </m:oMathPara>
          </w:p>
        </w:tc>
        <w:tc>
          <w:tcPr>
            <w:tcW w:w="433" w:type="dxa"/>
          </w:tcPr>
          <w:p w14:paraId="18758FEC"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15" w:type="dxa"/>
          </w:tcPr>
          <w:p w14:paraId="711F1777" w14:textId="54A2D319" w:rsidR="005E42A5" w:rsidRDefault="005E42A5" w:rsidP="001A5475">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suministrada, </w:t>
            </w:r>
            <w:r>
              <w:rPr>
                <w:rFonts w:ascii="Bookman Old Style" w:hAnsi="Bookman Old Style" w:cs="Arial"/>
                <w:bCs/>
              </w:rPr>
              <w:t>a partir de acumuladores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mercado relevante de comercialización </w:t>
            </w:r>
            <w:r w:rsidR="001A5475">
              <w:rPr>
                <w:rFonts w:ascii="Bookman Old Style" w:hAnsi="Bookman Old Style" w:cs="Arial"/>
              </w:rPr>
              <w:t>respectivo</w:t>
            </w:r>
            <w:r>
              <w:rPr>
                <w:rFonts w:ascii="Bookman Old Style" w:hAnsi="Bookman Old Style" w:cs="Arial"/>
              </w:rPr>
              <w:t>, expresado en pesos constantes de la fecha base, s</w:t>
            </w:r>
            <w:r w:rsidRPr="0008083F">
              <w:rPr>
                <w:rFonts w:ascii="Bookman Old Style" w:hAnsi="Bookman Old Style" w:cs="Arial"/>
              </w:rPr>
              <w:t xml:space="preserve">egún lo previsto en </w:t>
            </w:r>
            <w:r w:rsidR="00DB5492" w:rsidRPr="00DB5492">
              <w:rPr>
                <w:rFonts w:ascii="Bookman Old Style" w:hAnsi="Bookman Old Style" w:cs="Arial"/>
              </w:rPr>
              <w:t>el</w:t>
            </w:r>
            <w:r w:rsidR="001A5475" w:rsidRPr="00DB5492">
              <w:rPr>
                <w:rFonts w:ascii="Bookman Old Style" w:hAnsi="Bookman Old Style" w:cs="Arial"/>
              </w:rPr>
              <w:t xml:space="preserve"> artículo </w:t>
            </w:r>
            <w:r w:rsidR="00742F35" w:rsidRPr="00DB5492">
              <w:rPr>
                <w:rFonts w:ascii="Bookman Old Style" w:hAnsi="Bookman Old Style" w:cs="Arial"/>
              </w:rPr>
              <w:t xml:space="preserve">1 </w:t>
            </w:r>
            <w:r>
              <w:rPr>
                <w:rFonts w:ascii="Bookman Old Style" w:hAnsi="Bookman Old Style" w:cs="Arial"/>
              </w:rPr>
              <w:t>de esta resolución.</w:t>
            </w:r>
          </w:p>
          <w:p w14:paraId="50D41C0D" w14:textId="77777777" w:rsidR="005E42A5" w:rsidRDefault="005E42A5" w:rsidP="001A5475">
            <w:pPr>
              <w:ind w:right="142"/>
              <w:jc w:val="both"/>
              <w:rPr>
                <w:rFonts w:ascii="Bookman Old Style" w:hAnsi="Bookman Old Style" w:cs="Arial"/>
                <w:bCs/>
              </w:rPr>
            </w:pPr>
          </w:p>
        </w:tc>
      </w:tr>
      <w:tr w:rsidR="005E42A5" w14:paraId="1E83AC63" w14:textId="77777777" w:rsidTr="001A5475">
        <w:tc>
          <w:tcPr>
            <w:tcW w:w="907" w:type="dxa"/>
          </w:tcPr>
          <w:p w14:paraId="1733E4A4" w14:textId="77777777" w:rsidR="005E42A5" w:rsidRPr="0072683D" w:rsidRDefault="00EB1C66" w:rsidP="001A5475">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0,A</m:t>
                    </m:r>
                  </m:sub>
                </m:sSub>
              </m:oMath>
            </m:oMathPara>
          </w:p>
        </w:tc>
        <w:tc>
          <w:tcPr>
            <w:tcW w:w="433" w:type="dxa"/>
          </w:tcPr>
          <w:p w14:paraId="3CD718A8" w14:textId="77777777" w:rsidR="005E42A5" w:rsidRDefault="005E42A5" w:rsidP="001A5475">
            <w:pPr>
              <w:ind w:right="142"/>
              <w:jc w:val="both"/>
              <w:rPr>
                <w:rFonts w:ascii="Bookman Old Style" w:hAnsi="Bookman Old Style" w:cs="Arial"/>
                <w:bCs/>
              </w:rPr>
            </w:pPr>
            <w:r>
              <w:rPr>
                <w:rFonts w:ascii="Bookman Old Style" w:hAnsi="Bookman Old Style" w:cs="Arial"/>
                <w:bCs/>
              </w:rPr>
              <w:t>:</w:t>
            </w:r>
          </w:p>
        </w:tc>
        <w:tc>
          <w:tcPr>
            <w:tcW w:w="8015" w:type="dxa"/>
          </w:tcPr>
          <w:p w14:paraId="22D9BDE6" w14:textId="1E4243E9" w:rsidR="005E42A5" w:rsidRDefault="005E42A5" w:rsidP="001A5475">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promedios ponderados de </w:t>
            </w:r>
            <w:r w:rsidRPr="00B628FB">
              <w:rPr>
                <w:rFonts w:ascii="Bookman Old Style" w:hAnsi="Bookman Old Style" w:cs="Arial"/>
              </w:rPr>
              <w:t>administración, operación y mantenimiento</w:t>
            </w:r>
            <w:r>
              <w:rPr>
                <w:rFonts w:ascii="Bookman Old Style" w:hAnsi="Bookman Old Style" w:cs="Arial"/>
              </w:rPr>
              <w:t xml:space="preserve">, por energía suministrada, </w:t>
            </w:r>
            <w:r>
              <w:rPr>
                <w:rFonts w:ascii="Bookman Old Style" w:hAnsi="Bookman Old Style" w:cs="Arial"/>
                <w:bCs/>
              </w:rPr>
              <w:t>a partir de acumuladores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mercado relevante de comercialización </w:t>
            </w:r>
            <w:r w:rsidR="001A5475">
              <w:rPr>
                <w:rFonts w:ascii="Bookman Old Style" w:hAnsi="Bookman Old Style" w:cs="Arial"/>
              </w:rPr>
              <w:t>respectivo</w:t>
            </w:r>
            <w:r>
              <w:rPr>
                <w:rFonts w:ascii="Bookman Old Style" w:hAnsi="Bookman Old Style" w:cs="Arial"/>
              </w:rPr>
              <w:t>, expresado en pesos constantes de la fecha base, s</w:t>
            </w:r>
            <w:r w:rsidRPr="0008083F">
              <w:rPr>
                <w:rFonts w:ascii="Bookman Old Style" w:hAnsi="Bookman Old Style" w:cs="Arial"/>
              </w:rPr>
              <w:t xml:space="preserve">egún lo previsto en </w:t>
            </w:r>
            <w:r w:rsidR="00DB5492" w:rsidRPr="00DB5492">
              <w:rPr>
                <w:rFonts w:ascii="Bookman Old Style" w:hAnsi="Bookman Old Style" w:cs="Arial"/>
              </w:rPr>
              <w:t>el</w:t>
            </w:r>
            <w:r w:rsidR="001A5475" w:rsidRPr="00DB5492">
              <w:rPr>
                <w:rFonts w:ascii="Bookman Old Style" w:hAnsi="Bookman Old Style" w:cs="Arial"/>
              </w:rPr>
              <w:t xml:space="preserve"> artículo </w:t>
            </w:r>
            <w:r w:rsidR="00742F35" w:rsidRPr="00DB5492">
              <w:rPr>
                <w:rFonts w:ascii="Bookman Old Style" w:hAnsi="Bookman Old Style" w:cs="Arial"/>
              </w:rPr>
              <w:t xml:space="preserve">1 </w:t>
            </w:r>
            <w:r w:rsidRPr="00DB5492">
              <w:rPr>
                <w:rFonts w:ascii="Bookman Old Style" w:hAnsi="Bookman Old Style" w:cs="Arial"/>
              </w:rPr>
              <w:t>de</w:t>
            </w:r>
            <w:r>
              <w:rPr>
                <w:rFonts w:ascii="Bookman Old Style" w:hAnsi="Bookman Old Style" w:cs="Arial"/>
              </w:rPr>
              <w:t xml:space="preserve"> esta resolución.</w:t>
            </w:r>
          </w:p>
          <w:p w14:paraId="1656E45E" w14:textId="77777777" w:rsidR="005E42A5" w:rsidRDefault="005E42A5" w:rsidP="001A5475">
            <w:pPr>
              <w:ind w:right="142"/>
              <w:jc w:val="both"/>
              <w:rPr>
                <w:rFonts w:ascii="Bookman Old Style" w:hAnsi="Bookman Old Style" w:cs="Arial"/>
              </w:rPr>
            </w:pPr>
          </w:p>
        </w:tc>
      </w:tr>
    </w:tbl>
    <w:p w14:paraId="3C791B52" w14:textId="77777777" w:rsidR="005E42A5" w:rsidRDefault="005E42A5" w:rsidP="005E42A5">
      <w:pPr>
        <w:ind w:left="284" w:right="142"/>
        <w:jc w:val="both"/>
        <w:rPr>
          <w:rFonts w:ascii="Bookman Old Style" w:hAnsi="Bookman Old Style" w:cs="Arial"/>
        </w:rPr>
      </w:pPr>
    </w:p>
    <w:p w14:paraId="0D19EBF7" w14:textId="037DCD26" w:rsidR="005E42A5" w:rsidRDefault="005E42A5" w:rsidP="005E42A5">
      <w:pPr>
        <w:ind w:left="284" w:right="142"/>
        <w:jc w:val="both"/>
        <w:rPr>
          <w:rFonts w:ascii="Bookman Old Style" w:hAnsi="Bookman Old Style" w:cs="Arial"/>
        </w:rPr>
      </w:pPr>
      <w:r w:rsidRPr="0035560A">
        <w:rPr>
          <w:rFonts w:ascii="Bookman Old Style" w:hAnsi="Bookman Old Style" w:cs="Arial"/>
          <w:b/>
        </w:rPr>
        <w:t>Parágrafo.</w:t>
      </w:r>
      <w:r>
        <w:rPr>
          <w:rFonts w:ascii="Bookman Old Style" w:hAnsi="Bookman Old Style" w:cs="Arial"/>
        </w:rPr>
        <w:t xml:space="preserve"> El valor máximo aplicable a </w:t>
      </w: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Pr>
          <w:rFonts w:ascii="Bookman Old Style" w:hAnsi="Bookman Old Style" w:cs="Arial"/>
        </w:rPr>
        <w:t xml:space="preserve"> será el calculado para </w:t>
      </w: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w:r>
        <w:rPr>
          <w:rFonts w:ascii="Bookman Old Style" w:hAnsi="Bookman Old Style" w:cs="Arial"/>
        </w:rPr>
        <w:t>.</w:t>
      </w:r>
    </w:p>
    <w:p w14:paraId="367E07AC" w14:textId="77777777" w:rsidR="005E42A5" w:rsidRDefault="005E42A5" w:rsidP="006931CD">
      <w:pPr>
        <w:ind w:left="284" w:right="142"/>
        <w:jc w:val="both"/>
        <w:rPr>
          <w:rFonts w:ascii="Bookman Old Style" w:hAnsi="Bookman Old Style" w:cs="Arial"/>
          <w:bCs/>
        </w:rPr>
      </w:pPr>
    </w:p>
    <w:p w14:paraId="1BF91A04" w14:textId="77777777" w:rsidR="005E42A5" w:rsidRDefault="005E42A5" w:rsidP="006931CD">
      <w:pPr>
        <w:ind w:left="284" w:right="142"/>
        <w:jc w:val="both"/>
        <w:rPr>
          <w:rFonts w:ascii="Bookman Old Style" w:hAnsi="Bookman Old Style" w:cs="Arial"/>
          <w:bCs/>
        </w:rPr>
      </w:pPr>
    </w:p>
    <w:p w14:paraId="3E67DEB3" w14:textId="33E138B0" w:rsidR="007D63FF" w:rsidRDefault="00AF1D01" w:rsidP="00555B02">
      <w:pPr>
        <w:ind w:left="284" w:right="142"/>
        <w:jc w:val="both"/>
        <w:rPr>
          <w:rFonts w:ascii="Bookman Old Style" w:hAnsi="Bookman Old Style" w:cs="Arial"/>
        </w:rPr>
      </w:pPr>
      <w:r>
        <w:rPr>
          <w:rFonts w:ascii="Bookman Old Style" w:hAnsi="Bookman Old Style" w:cs="Arial"/>
          <w:b/>
        </w:rPr>
        <w:t xml:space="preserve">ARTÍCULO </w:t>
      </w:r>
      <w:r w:rsidR="00FE027C">
        <w:rPr>
          <w:rFonts w:ascii="Bookman Old Style" w:hAnsi="Bookman Old Style" w:cs="Arial"/>
          <w:b/>
        </w:rPr>
        <w:t>3</w:t>
      </w:r>
      <w:r>
        <w:rPr>
          <w:rFonts w:ascii="Bookman Old Style" w:hAnsi="Bookman Old Style" w:cs="Arial"/>
          <w:b/>
        </w:rPr>
        <w:t xml:space="preserve">. </w:t>
      </w:r>
      <w:r w:rsidR="006931CD">
        <w:rPr>
          <w:rFonts w:ascii="Bookman Old Style" w:hAnsi="Bookman Old Style" w:cs="Arial"/>
          <w:b/>
        </w:rPr>
        <w:t>Vigencia.</w:t>
      </w:r>
      <w:r w:rsidR="006931CD" w:rsidRPr="00446675">
        <w:rPr>
          <w:rFonts w:ascii="Bookman Old Style" w:hAnsi="Bookman Old Style" w:cs="Arial"/>
        </w:rPr>
        <w:t xml:space="preserve"> </w:t>
      </w:r>
      <w:r w:rsidR="001A5475" w:rsidRPr="00BB5741">
        <w:rPr>
          <w:rFonts w:ascii="Bookman Old Style" w:hAnsi="Bookman Old Style" w:cs="Arial"/>
        </w:rPr>
        <w:t xml:space="preserve">Las componentes de inversión y de administración, operación y mantenimiento para </w:t>
      </w:r>
      <w:r w:rsidR="001A5475" w:rsidRPr="00DB5492">
        <w:rPr>
          <w:rFonts w:ascii="Bookman Old Style" w:hAnsi="Bookman Old Style" w:cs="Arial"/>
        </w:rPr>
        <w:t xml:space="preserve">sistemas </w:t>
      </w:r>
      <w:r w:rsidR="00DB5492" w:rsidRPr="00DB5492">
        <w:rPr>
          <w:rFonts w:ascii="Bookman Old Style" w:hAnsi="Bookman Old Style" w:cs="Arial"/>
        </w:rPr>
        <w:t>híbridos</w:t>
      </w:r>
      <w:r w:rsidR="00DB5492">
        <w:rPr>
          <w:rFonts w:ascii="Bookman Old Style" w:hAnsi="Bookman Old Style" w:cs="Arial"/>
        </w:rPr>
        <w:t xml:space="preserve"> diésel</w:t>
      </w:r>
      <w:r w:rsidR="00585F7F">
        <w:rPr>
          <w:rFonts w:ascii="Bookman Old Style" w:hAnsi="Bookman Old Style" w:cs="Arial"/>
        </w:rPr>
        <w:t>-</w:t>
      </w:r>
      <w:r w:rsidR="00DB5492">
        <w:rPr>
          <w:rFonts w:ascii="Bookman Old Style" w:hAnsi="Bookman Old Style" w:cs="Arial"/>
        </w:rPr>
        <w:t>solar fotovoltaico con acumulación</w:t>
      </w:r>
      <w:r w:rsidR="001A5475">
        <w:rPr>
          <w:rFonts w:ascii="Bookman Old Style" w:hAnsi="Bookman Old Style" w:cs="Arial"/>
        </w:rPr>
        <w:t xml:space="preserve">, y la fórmula de actualización de cargos máximos, señalados en </w:t>
      </w:r>
      <w:r w:rsidR="001A5475" w:rsidRPr="00DB5492">
        <w:rPr>
          <w:rFonts w:ascii="Bookman Old Style" w:hAnsi="Bookman Old Style" w:cs="Arial"/>
        </w:rPr>
        <w:t>los artículos 1</w:t>
      </w:r>
      <w:r w:rsidR="00DB5492">
        <w:rPr>
          <w:rFonts w:ascii="Bookman Old Style" w:hAnsi="Bookman Old Style" w:cs="Arial"/>
        </w:rPr>
        <w:t xml:space="preserve"> y 2 </w:t>
      </w:r>
      <w:r w:rsidR="001A5475">
        <w:rPr>
          <w:rFonts w:ascii="Bookman Old Style" w:hAnsi="Bookman Old Style" w:cs="Arial"/>
        </w:rPr>
        <w:t>de la presente resolución,</w:t>
      </w:r>
      <w:r w:rsidR="001A5475" w:rsidRPr="00BB5741">
        <w:rPr>
          <w:rFonts w:ascii="Bookman Old Style" w:hAnsi="Bookman Old Style" w:cs="Arial"/>
        </w:rPr>
        <w:t xml:space="preserve"> serán aplicables a partir de la entrada en operación de cualquier recurso de generación solar fotovoltaico</w:t>
      </w:r>
      <w:r w:rsidR="00585F7F">
        <w:rPr>
          <w:rFonts w:ascii="Bookman Old Style" w:hAnsi="Bookman Old Style" w:cs="Arial"/>
        </w:rPr>
        <w:t>,</w:t>
      </w:r>
      <w:r w:rsidR="001A5475" w:rsidRPr="00BB5741">
        <w:rPr>
          <w:rFonts w:ascii="Bookman Old Style" w:hAnsi="Bookman Old Style" w:cs="Arial"/>
        </w:rPr>
        <w:t xml:space="preserve"> y hasta la entrada en vigencia de la resolución que modifique o sustituya a la Resolución CREG 091 de 2007</w:t>
      </w:r>
      <w:r w:rsidR="001A5475">
        <w:rPr>
          <w:rFonts w:ascii="Bookman Old Style" w:hAnsi="Bookman Old Style" w:cs="Arial"/>
        </w:rPr>
        <w:t>.</w:t>
      </w:r>
    </w:p>
    <w:p w14:paraId="31D74B4D" w14:textId="77777777" w:rsidR="000A4E13" w:rsidRPr="00FA2E6C" w:rsidRDefault="000A4E13" w:rsidP="00555B02">
      <w:pPr>
        <w:ind w:left="284" w:right="142"/>
        <w:jc w:val="both"/>
        <w:rPr>
          <w:rFonts w:ascii="Bookman Old Style" w:hAnsi="Bookman Old Style" w:cs="Arial"/>
        </w:rPr>
      </w:pPr>
    </w:p>
    <w:p w14:paraId="2B708D62" w14:textId="34506274" w:rsidR="00903C58" w:rsidRPr="004B6F15" w:rsidRDefault="004B6F15" w:rsidP="004B6F15">
      <w:pPr>
        <w:ind w:left="284" w:right="142"/>
        <w:jc w:val="both"/>
        <w:rPr>
          <w:rFonts w:ascii="Bookman Old Style" w:hAnsi="Bookman Old Style" w:cs="Arial"/>
          <w:b/>
        </w:rPr>
      </w:pPr>
      <w:r>
        <w:rPr>
          <w:rFonts w:ascii="Bookman Old Style" w:hAnsi="Bookman Old Style" w:cs="Arial"/>
          <w:b/>
        </w:rPr>
        <w:t xml:space="preserve">ARTÍCULO </w:t>
      </w:r>
      <w:r w:rsidR="00FE027C">
        <w:rPr>
          <w:rFonts w:ascii="Bookman Old Style" w:hAnsi="Bookman Old Style" w:cs="Arial"/>
          <w:b/>
        </w:rPr>
        <w:t>4</w:t>
      </w:r>
      <w:r>
        <w:rPr>
          <w:rFonts w:ascii="Bookman Old Style" w:hAnsi="Bookman Old Style" w:cs="Arial"/>
          <w:b/>
        </w:rPr>
        <w:t xml:space="preserve">. </w:t>
      </w:r>
      <w:r w:rsidR="00903C58" w:rsidRPr="00AF3646">
        <w:rPr>
          <w:rFonts w:ascii="Bookman Old Style" w:hAnsi="Bookman Old Style" w:cs="Arial"/>
        </w:rPr>
        <w:t xml:space="preserve">Notificar al apoderado de </w:t>
      </w:r>
      <w:r w:rsidR="008D38DF">
        <w:rPr>
          <w:rFonts w:ascii="Bookman Old Style" w:hAnsi="Bookman Old Style" w:cs="Arial"/>
        </w:rPr>
        <w:t xml:space="preserve">la </w:t>
      </w:r>
      <w:r w:rsidR="00903C58" w:rsidRPr="00AF3646">
        <w:rPr>
          <w:rFonts w:ascii="Bookman Old Style" w:hAnsi="Bookman Old Style"/>
        </w:rPr>
        <w:t xml:space="preserve">empresa </w:t>
      </w:r>
      <w:r w:rsidR="00DB5492" w:rsidRPr="00D52B00">
        <w:rPr>
          <w:rFonts w:ascii="Bookman Old Style" w:hAnsi="Bookman Old Style"/>
          <w:szCs w:val="23"/>
        </w:rPr>
        <w:t>Electrificadora del Pacífico S.A. E</w:t>
      </w:r>
      <w:r w:rsidR="00DB5492">
        <w:rPr>
          <w:rFonts w:ascii="Bookman Old Style" w:hAnsi="Bookman Old Style"/>
          <w:szCs w:val="23"/>
        </w:rPr>
        <w:t>.</w:t>
      </w:r>
      <w:r w:rsidR="00DB5492" w:rsidRPr="00D52B00">
        <w:rPr>
          <w:rFonts w:ascii="Bookman Old Style" w:hAnsi="Bookman Old Style"/>
          <w:szCs w:val="23"/>
        </w:rPr>
        <w:t>S</w:t>
      </w:r>
      <w:r w:rsidR="00DB5492">
        <w:rPr>
          <w:rFonts w:ascii="Bookman Old Style" w:hAnsi="Bookman Old Style"/>
          <w:szCs w:val="23"/>
        </w:rPr>
        <w:t>.</w:t>
      </w:r>
      <w:r w:rsidR="00DB5492" w:rsidRPr="00D52B00">
        <w:rPr>
          <w:rFonts w:ascii="Bookman Old Style" w:hAnsi="Bookman Old Style"/>
          <w:szCs w:val="23"/>
        </w:rPr>
        <w:t>P.</w:t>
      </w:r>
      <w:r w:rsidR="00DB5492">
        <w:rPr>
          <w:rFonts w:ascii="Bookman Old Style" w:hAnsi="Bookman Old Style"/>
          <w:szCs w:val="23"/>
        </w:rPr>
        <w:t xml:space="preserve"> </w:t>
      </w:r>
      <w:r w:rsidR="00903C58" w:rsidRPr="00AF3646">
        <w:rPr>
          <w:rFonts w:ascii="Bookman Old Style" w:hAnsi="Bookman Old Style" w:cs="Arial"/>
        </w:rPr>
        <w:t xml:space="preserve">el contenido de </w:t>
      </w:r>
      <w:r w:rsidR="00BF1B50">
        <w:rPr>
          <w:rFonts w:ascii="Bookman Old Style" w:hAnsi="Bookman Old Style" w:cs="Arial"/>
        </w:rPr>
        <w:t>esta resolución</w:t>
      </w:r>
      <w:r w:rsidR="00903C58" w:rsidRPr="00AF3646">
        <w:rPr>
          <w:rFonts w:ascii="Bookman Old Style" w:hAnsi="Bookman Old Style" w:cs="Arial"/>
        </w:rPr>
        <w:t xml:space="preserve">. Contra lo dispuesto en </w:t>
      </w:r>
      <w:r w:rsidR="00BF1B50">
        <w:rPr>
          <w:rFonts w:ascii="Bookman Old Style" w:hAnsi="Bookman Old Style" w:cs="Arial"/>
        </w:rPr>
        <w:t>la</w:t>
      </w:r>
      <w:r w:rsidR="00903C58" w:rsidRPr="00AF3646">
        <w:rPr>
          <w:rFonts w:ascii="Bookman Old Style" w:hAnsi="Bookman Old Style" w:cs="Arial"/>
        </w:rPr>
        <w:t xml:space="preserve"> presente </w:t>
      </w:r>
      <w:r w:rsidR="00BF1B50">
        <w:rPr>
          <w:rFonts w:ascii="Bookman Old Style" w:hAnsi="Bookman Old Style" w:cs="Arial"/>
        </w:rPr>
        <w:t>resolución</w:t>
      </w:r>
      <w:r w:rsidR="008D38DF">
        <w:rPr>
          <w:rFonts w:ascii="Bookman Old Style" w:hAnsi="Bookman Old Style" w:cs="Arial"/>
        </w:rPr>
        <w:t xml:space="preserve"> </w:t>
      </w:r>
      <w:r w:rsidR="00903C58" w:rsidRPr="00AF3646">
        <w:rPr>
          <w:rFonts w:ascii="Bookman Old Style" w:hAnsi="Bookman Old Style" w:cs="Arial"/>
        </w:rPr>
        <w:t>procede recurso de reposición</w:t>
      </w:r>
      <w:r w:rsidR="008D38DF">
        <w:rPr>
          <w:rFonts w:ascii="Bookman Old Style" w:hAnsi="Bookman Old Style" w:cs="Arial"/>
        </w:rPr>
        <w:t>,</w:t>
      </w:r>
      <w:r w:rsidR="00903C58" w:rsidRPr="00AF3646">
        <w:rPr>
          <w:rFonts w:ascii="Bookman Old Style" w:hAnsi="Bookman Old Style" w:cs="Arial"/>
        </w:rPr>
        <w:t xml:space="preserve"> el cual deberá interponerse ante la Dirección Ejecutiva de la CREG dentro de los cinco (5) días siguientes a su notificación.</w:t>
      </w:r>
    </w:p>
    <w:p w14:paraId="6FFDA574" w14:textId="77777777" w:rsidR="00FA2E6C" w:rsidRDefault="00FA2E6C" w:rsidP="00DE4BF8">
      <w:pPr>
        <w:ind w:left="284" w:right="142"/>
        <w:jc w:val="both"/>
        <w:rPr>
          <w:rFonts w:ascii="Bookman Old Style" w:hAnsi="Bookman Old Style" w:cs="Arial"/>
        </w:rPr>
      </w:pPr>
    </w:p>
    <w:p w14:paraId="70C14FAB" w14:textId="77777777" w:rsidR="00DE4BF8" w:rsidRPr="00DE4BF8" w:rsidRDefault="00DE4BF8" w:rsidP="00DE4BF8">
      <w:pPr>
        <w:ind w:left="284" w:right="142"/>
        <w:jc w:val="center"/>
        <w:rPr>
          <w:rFonts w:ascii="Bookman Old Style" w:hAnsi="Bookman Old Style" w:cs="Arial"/>
          <w:b/>
        </w:rPr>
      </w:pPr>
      <w:r w:rsidRPr="00DE4BF8">
        <w:rPr>
          <w:rFonts w:ascii="Bookman Old Style" w:hAnsi="Bookman Old Style" w:cs="Arial"/>
          <w:b/>
        </w:rPr>
        <w:t>NOTIFÍQUESE, PUBLÍQUESE Y CÚMPLASE</w:t>
      </w:r>
    </w:p>
    <w:p w14:paraId="431A4F21" w14:textId="77777777" w:rsidR="00DE4BF8" w:rsidRDefault="00DE4BF8" w:rsidP="00DE4BF8">
      <w:pPr>
        <w:ind w:left="284" w:right="142"/>
        <w:rPr>
          <w:rFonts w:ascii="Bookman Old Style" w:hAnsi="Bookman Old Style" w:cs="Arial"/>
        </w:rPr>
      </w:pPr>
    </w:p>
    <w:p w14:paraId="635A7024" w14:textId="77777777" w:rsidR="00881DFA" w:rsidRPr="00C435C3" w:rsidRDefault="00881DFA" w:rsidP="00FA2E6C">
      <w:pPr>
        <w:ind w:left="284"/>
        <w:rPr>
          <w:rFonts w:ascii="Bookman Old Style" w:hAnsi="Bookman Old Style"/>
        </w:rPr>
      </w:pPr>
      <w:r w:rsidRPr="00C435C3">
        <w:rPr>
          <w:rFonts w:ascii="Bookman Old Style" w:hAnsi="Bookman Old Style"/>
        </w:rPr>
        <w:t xml:space="preserve">Dada en Bogotá. D. C., </w:t>
      </w:r>
    </w:p>
    <w:p w14:paraId="1F8CF60A" w14:textId="77777777" w:rsidR="00881DFA" w:rsidRDefault="00881DFA" w:rsidP="00881DFA">
      <w:pPr>
        <w:rPr>
          <w:rFonts w:ascii="Bookman Old Style" w:hAnsi="Bookman Old Style"/>
        </w:rPr>
      </w:pPr>
    </w:p>
    <w:p w14:paraId="6C55EDFF" w14:textId="5206B7E5" w:rsidR="00D238B3" w:rsidRDefault="00D238B3" w:rsidP="00FF54B4">
      <w:pPr>
        <w:rPr>
          <w:rFonts w:ascii="Bookman Old Style" w:hAnsi="Bookman Old Style"/>
        </w:rPr>
      </w:pPr>
    </w:p>
    <w:p w14:paraId="66C9AAF9" w14:textId="77777777" w:rsidR="00854E71" w:rsidRDefault="00854E71" w:rsidP="00FF54B4">
      <w:pPr>
        <w:rPr>
          <w:rFonts w:ascii="Bookman Old Style" w:hAnsi="Bookman Old Style"/>
        </w:rPr>
      </w:pPr>
    </w:p>
    <w:p w14:paraId="37984174" w14:textId="77777777" w:rsidR="00D238B3" w:rsidRDefault="00D238B3" w:rsidP="00FF54B4">
      <w:pPr>
        <w:rPr>
          <w:rFonts w:ascii="Bookman Old Style" w:hAnsi="Bookman Old Style"/>
        </w:rPr>
      </w:pPr>
    </w:p>
    <w:tbl>
      <w:tblPr>
        <w:tblW w:w="9781" w:type="dxa"/>
        <w:tblCellSpacing w:w="0" w:type="dxa"/>
        <w:tblCellMar>
          <w:left w:w="0" w:type="dxa"/>
          <w:right w:w="0" w:type="dxa"/>
        </w:tblCellMar>
        <w:tblLook w:val="04A0" w:firstRow="1" w:lastRow="0" w:firstColumn="1" w:lastColumn="0" w:noHBand="0" w:noVBand="1"/>
      </w:tblPr>
      <w:tblGrid>
        <w:gridCol w:w="4962"/>
        <w:gridCol w:w="4819"/>
      </w:tblGrid>
      <w:tr w:rsidR="00D238B3" w:rsidRPr="00D238B3" w14:paraId="41C605C2" w14:textId="77777777" w:rsidTr="00854E71">
        <w:trPr>
          <w:tblCellSpacing w:w="0" w:type="dxa"/>
        </w:trPr>
        <w:tc>
          <w:tcPr>
            <w:tcW w:w="4962" w:type="dxa"/>
          </w:tcPr>
          <w:p w14:paraId="6713D5AE" w14:textId="40A36CFB" w:rsidR="00D238B3" w:rsidRPr="00D238B3" w:rsidRDefault="005B5C99" w:rsidP="00D238B3">
            <w:pPr>
              <w:ind w:left="66"/>
              <w:jc w:val="center"/>
              <w:rPr>
                <w:rFonts w:ascii="Bookman Old Style" w:hAnsi="Bookman Old Style" w:cs="Arial"/>
                <w:b/>
                <w:spacing w:val="-3"/>
              </w:rPr>
            </w:pPr>
            <w:r>
              <w:rPr>
                <w:rFonts w:ascii="Bookman Old Style" w:hAnsi="Bookman Old Style" w:cs="Arial"/>
                <w:b/>
              </w:rPr>
              <w:t>DIEGO MESA PUYO</w:t>
            </w:r>
          </w:p>
        </w:tc>
        <w:tc>
          <w:tcPr>
            <w:tcW w:w="4819" w:type="dxa"/>
          </w:tcPr>
          <w:p w14:paraId="7EF96C8B" w14:textId="77777777" w:rsidR="00D238B3" w:rsidRPr="00D238B3" w:rsidRDefault="001A5475" w:rsidP="00D238B3">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D238B3" w:rsidRPr="00D238B3" w14:paraId="10611363" w14:textId="77777777" w:rsidTr="00854E71">
        <w:trPr>
          <w:trHeight w:val="699"/>
          <w:tblCellSpacing w:w="0" w:type="dxa"/>
        </w:trPr>
        <w:tc>
          <w:tcPr>
            <w:tcW w:w="4962" w:type="dxa"/>
            <w:hideMark/>
          </w:tcPr>
          <w:p w14:paraId="05A25E5E" w14:textId="77777777" w:rsidR="00854E71" w:rsidRDefault="005B5C99" w:rsidP="00854E71">
            <w:pPr>
              <w:ind w:left="66"/>
              <w:jc w:val="center"/>
              <w:rPr>
                <w:rFonts w:ascii="Bookman Old Style" w:hAnsi="Bookman Old Style" w:cs="Arial"/>
                <w:spacing w:val="-3"/>
              </w:rPr>
            </w:pPr>
            <w:r>
              <w:rPr>
                <w:rFonts w:ascii="Bookman Old Style" w:hAnsi="Bookman Old Style" w:cs="Arial"/>
                <w:spacing w:val="-3"/>
              </w:rPr>
              <w:t>Viceministro</w:t>
            </w:r>
            <w:r w:rsidR="00D238B3" w:rsidRPr="00D238B3">
              <w:rPr>
                <w:rFonts w:ascii="Bookman Old Style" w:hAnsi="Bookman Old Style" w:cs="Arial"/>
                <w:spacing w:val="-3"/>
              </w:rPr>
              <w:t xml:space="preserve"> de Energía</w:t>
            </w:r>
            <w:r w:rsidR="00854E71">
              <w:rPr>
                <w:rFonts w:ascii="Bookman Old Style" w:hAnsi="Bookman Old Style" w:cs="Arial"/>
                <w:spacing w:val="-3"/>
              </w:rPr>
              <w:t>, Delegado de la</w:t>
            </w:r>
          </w:p>
          <w:p w14:paraId="64D7C7A7" w14:textId="4655A8F5" w:rsidR="00854E71" w:rsidRPr="00D238B3" w:rsidRDefault="00854E71" w:rsidP="00854E71">
            <w:pPr>
              <w:ind w:left="66"/>
              <w:jc w:val="center"/>
              <w:rPr>
                <w:rFonts w:ascii="Bookman Old Style" w:eastAsia="Arial Unicode MS" w:hAnsi="Bookman Old Style" w:cs="Arial"/>
                <w:color w:val="000000"/>
              </w:rPr>
            </w:pPr>
            <w:r>
              <w:rPr>
                <w:rFonts w:ascii="Bookman Old Style" w:hAnsi="Bookman Old Style" w:cs="Arial"/>
                <w:spacing w:val="-3"/>
              </w:rPr>
              <w:t>Ministra de Minas y Energía</w:t>
            </w:r>
          </w:p>
        </w:tc>
        <w:tc>
          <w:tcPr>
            <w:tcW w:w="4819" w:type="dxa"/>
            <w:hideMark/>
          </w:tcPr>
          <w:p w14:paraId="45134C40" w14:textId="77777777" w:rsidR="00D238B3" w:rsidRPr="00D238B3" w:rsidRDefault="00D238B3" w:rsidP="00D238B3">
            <w:pPr>
              <w:jc w:val="center"/>
              <w:rPr>
                <w:rFonts w:ascii="Bookman Old Style" w:eastAsia="Arial Unicode MS" w:hAnsi="Bookman Old Style" w:cs="Arial"/>
                <w:color w:val="000000"/>
              </w:rPr>
            </w:pPr>
            <w:r w:rsidRPr="00D238B3">
              <w:rPr>
                <w:rFonts w:ascii="Bookman Old Style" w:hAnsi="Bookman Old Style" w:cs="Arial"/>
                <w:spacing w:val="-3"/>
              </w:rPr>
              <w:t>Director Ejecutivo</w:t>
            </w:r>
          </w:p>
        </w:tc>
      </w:tr>
      <w:tr w:rsidR="00D238B3" w:rsidRPr="00D238B3" w14:paraId="6D4BC627" w14:textId="77777777" w:rsidTr="00854E71">
        <w:trPr>
          <w:trHeight w:val="283"/>
          <w:tblCellSpacing w:w="0" w:type="dxa"/>
        </w:trPr>
        <w:tc>
          <w:tcPr>
            <w:tcW w:w="4962" w:type="dxa"/>
            <w:hideMark/>
          </w:tcPr>
          <w:p w14:paraId="77317229" w14:textId="77777777" w:rsidR="00D238B3" w:rsidRPr="00D238B3" w:rsidRDefault="00D238B3" w:rsidP="00D238B3">
            <w:pPr>
              <w:ind w:left="66"/>
              <w:jc w:val="center"/>
              <w:rPr>
                <w:rFonts w:ascii="Bookman Old Style" w:eastAsia="Arial Unicode MS" w:hAnsi="Bookman Old Style" w:cs="Arial"/>
                <w:color w:val="000000"/>
              </w:rPr>
            </w:pPr>
            <w:r w:rsidRPr="00D238B3">
              <w:rPr>
                <w:rFonts w:ascii="Bookman Old Style" w:hAnsi="Bookman Old Style" w:cs="Arial"/>
                <w:spacing w:val="-3"/>
              </w:rPr>
              <w:t>Presidente</w:t>
            </w:r>
          </w:p>
        </w:tc>
        <w:tc>
          <w:tcPr>
            <w:tcW w:w="4819" w:type="dxa"/>
          </w:tcPr>
          <w:p w14:paraId="3EF58DC0" w14:textId="77777777" w:rsidR="00D238B3" w:rsidRPr="00D238B3" w:rsidRDefault="00D238B3" w:rsidP="00D238B3">
            <w:pPr>
              <w:jc w:val="center"/>
              <w:rPr>
                <w:rFonts w:ascii="Bookman Old Style" w:eastAsia="Arial Unicode MS" w:hAnsi="Bookman Old Style" w:cs="Arial"/>
                <w:color w:val="000000"/>
              </w:rPr>
            </w:pPr>
          </w:p>
        </w:tc>
      </w:tr>
    </w:tbl>
    <w:p w14:paraId="0EFDCA58" w14:textId="77777777" w:rsidR="004D28B1" w:rsidRPr="0040389F" w:rsidRDefault="004D28B1" w:rsidP="005110EB">
      <w:pPr>
        <w:rPr>
          <w:rFonts w:ascii="Bookman Old Style" w:hAnsi="Bookman Old Style"/>
        </w:rPr>
      </w:pPr>
    </w:p>
    <w:sectPr w:rsidR="004D28B1" w:rsidRPr="0040389F" w:rsidSect="00727040">
      <w:headerReference w:type="default" r:id="rId13"/>
      <w:headerReference w:type="first" r:id="rId14"/>
      <w:type w:val="continuous"/>
      <w:pgSz w:w="12242" w:h="18722" w:code="123"/>
      <w:pgMar w:top="1701" w:right="1185"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08BF" w14:textId="77777777" w:rsidR="0087642E" w:rsidRDefault="0087642E">
      <w:r>
        <w:separator/>
      </w:r>
    </w:p>
  </w:endnote>
  <w:endnote w:type="continuationSeparator" w:id="0">
    <w:p w14:paraId="59F19850" w14:textId="77777777" w:rsidR="0087642E" w:rsidRDefault="0087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E5E59" w14:textId="77777777" w:rsidR="0087642E" w:rsidRDefault="0087642E">
      <w:r>
        <w:separator/>
      </w:r>
    </w:p>
  </w:footnote>
  <w:footnote w:type="continuationSeparator" w:id="0">
    <w:p w14:paraId="0C1E3BC7" w14:textId="77777777" w:rsidR="0087642E" w:rsidRDefault="0087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A9C5" w14:textId="77777777" w:rsidR="003B0A64" w:rsidRDefault="003B0A64" w:rsidP="00951F79">
    <w:pPr>
      <w:pStyle w:val="Ttulo1"/>
      <w:ind w:right="6"/>
      <w:jc w:val="left"/>
      <w:rPr>
        <w:rFonts w:ascii="Bookman Old Style" w:hAnsi="Bookman Old Style" w:cs="Arial"/>
        <w:b w:val="0"/>
        <w:sz w:val="22"/>
        <w:szCs w:val="22"/>
      </w:rPr>
    </w:pPr>
  </w:p>
  <w:p w14:paraId="36B1EA65" w14:textId="090516C7" w:rsidR="003B0A64" w:rsidRPr="00951F79" w:rsidRDefault="003B0A64"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96853">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196853">
      <w:rPr>
        <w:rFonts w:ascii="Bookman Old Style" w:hAnsi="Bookman Old Style" w:cs="Arial"/>
        <w:b w:val="0"/>
        <w:noProof/>
        <w:sz w:val="22"/>
        <w:szCs w:val="22"/>
      </w:rPr>
      <w:t>15</w:t>
    </w:r>
    <w:r>
      <w:rPr>
        <w:rFonts w:ascii="Bookman Old Style" w:hAnsi="Bookman Old Style" w:cs="Arial"/>
        <w:b w:val="0"/>
        <w:sz w:val="22"/>
        <w:szCs w:val="22"/>
      </w:rPr>
      <w:fldChar w:fldCharType="end"/>
    </w:r>
  </w:p>
  <w:p w14:paraId="6279FA08" w14:textId="77777777" w:rsidR="003B0A64" w:rsidRDefault="003B0A64" w:rsidP="00507115">
    <w:pPr>
      <w:pStyle w:val="Textodebloque"/>
      <w:ind w:left="284"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7216" behindDoc="0" locked="0" layoutInCell="1" allowOverlap="1" wp14:anchorId="4489AA18" wp14:editId="704F40EB">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D10F" id="Rectangle 4" o:spid="_x0000_s1026" style="position:absolute;margin-left:-.8pt;margin-top:11.4pt;width:499.4pt;height:7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" filled="f" strokeweight="1.5pt"/>
          </w:pict>
        </mc:Fallback>
      </mc:AlternateContent>
    </w:r>
    <w:r w:rsidRPr="00507115">
      <w:rPr>
        <w:rFonts w:ascii="Bookman Old Style" w:hAnsi="Bookman Old Style" w:cs="Arial"/>
        <w:szCs w:val="24"/>
      </w:rPr>
      <w:t xml:space="preserve"> </w:t>
    </w:r>
  </w:p>
  <w:p w14:paraId="7C7A00D6" w14:textId="34A49B81" w:rsidR="003B0A64" w:rsidRPr="00357959" w:rsidRDefault="003B0A64" w:rsidP="00357959">
    <w:pPr>
      <w:pStyle w:val="Textodebloque"/>
      <w:spacing w:after="0"/>
      <w:ind w:left="284" w:right="142"/>
      <w:rPr>
        <w:rFonts w:ascii="Bookman Old Style" w:hAnsi="Bookman Old Style" w:cs="Arial"/>
        <w:szCs w:val="24"/>
      </w:rPr>
    </w:pPr>
    <w:r w:rsidRPr="00705245">
      <w:rPr>
        <w:rFonts w:ascii="Bookman Old Style" w:hAnsi="Bookman Old Style"/>
        <w:szCs w:val="24"/>
      </w:rPr>
      <w:t xml:space="preserve">Por la cual se determina el cargo máximo de generación para </w:t>
    </w:r>
    <w:r>
      <w:rPr>
        <w:rFonts w:ascii="Bookman Old Style" w:hAnsi="Bookman Old Style"/>
        <w:szCs w:val="24"/>
      </w:rPr>
      <w:t>s</w:t>
    </w:r>
    <w:r w:rsidRPr="00705245">
      <w:rPr>
        <w:rFonts w:ascii="Bookman Old Style" w:hAnsi="Bookman Old Style"/>
        <w:szCs w:val="24"/>
      </w:rPr>
      <w:t xml:space="preserve">istemas </w:t>
    </w:r>
    <w:r>
      <w:rPr>
        <w:rFonts w:ascii="Bookman Old Style" w:hAnsi="Bookman Old Style"/>
        <w:szCs w:val="24"/>
      </w:rPr>
      <w:t xml:space="preserve">híbridos diésel – solar fotovoltaico </w:t>
    </w:r>
    <w:r w:rsidRPr="00705245">
      <w:rPr>
        <w:rFonts w:ascii="Bookman Old Style" w:hAnsi="Bookman Old Style"/>
        <w:szCs w:val="24"/>
      </w:rPr>
      <w:t>con acumulación para los mercados relevantes de Jumaracarra y el Cedral en el municipio de Juradó-Chocó.</w:t>
    </w:r>
  </w:p>
  <w:p w14:paraId="6F7EFC36" w14:textId="77777777" w:rsidR="003B0A64" w:rsidRDefault="003B0A64" w:rsidP="00272D34">
    <w:pPr>
      <w:pStyle w:val="Textodebloque"/>
      <w:spacing w:after="0"/>
      <w:ind w:left="284" w:right="142"/>
      <w:rPr>
        <w:rFonts w:ascii="Bookman Old Style" w:hAnsi="Bookman Old Style"/>
        <w:sz w:val="22"/>
        <w:szCs w:val="22"/>
      </w:rPr>
    </w:pPr>
    <w:r>
      <w:rPr>
        <w:rFonts w:ascii="Bookman Old Style" w:hAnsi="Bookman Old Style"/>
        <w:sz w:val="22"/>
        <w:szCs w:val="22"/>
      </w:rPr>
      <w:t>____________________________________________________________________________________</w:t>
    </w:r>
  </w:p>
  <w:p w14:paraId="759EA82A" w14:textId="77777777" w:rsidR="003B0A64" w:rsidRPr="00272D34" w:rsidRDefault="003B0A64" w:rsidP="00272D34">
    <w:pPr>
      <w:pStyle w:val="Textodebloque"/>
      <w:spacing w:after="0"/>
      <w:ind w:left="284" w:right="142"/>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145D" w14:textId="77777777" w:rsidR="003B0A64" w:rsidRDefault="003B0A64">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3B0A64" w:rsidRDefault="003B0A64">
    <w:pPr>
      <w:pStyle w:val="Encabezado"/>
      <w:jc w:val="center"/>
      <w:rPr>
        <w:rFonts w:ascii="Arial" w:hAnsi="Arial" w:cs="Arial"/>
        <w:spacing w:val="20"/>
        <w:sz w:val="20"/>
      </w:rPr>
    </w:pPr>
  </w:p>
  <w:p w14:paraId="000510A4" w14:textId="77777777" w:rsidR="003B0A64" w:rsidRDefault="003B0A6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5C4B"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B23CC3"/>
    <w:multiLevelType w:val="hybridMultilevel"/>
    <w:tmpl w:val="8A9C2C42"/>
    <w:lvl w:ilvl="0" w:tplc="24067DDC">
      <w:start w:val="1"/>
      <w:numFmt w:val="bullet"/>
      <w:lvlText w:val="•"/>
      <w:lvlJc w:val="left"/>
      <w:pPr>
        <w:tabs>
          <w:tab w:val="num" w:pos="720"/>
        </w:tabs>
        <w:ind w:left="720" w:hanging="360"/>
      </w:pPr>
      <w:rPr>
        <w:rFonts w:ascii="Times New Roman" w:hAnsi="Times New Roman" w:hint="default"/>
      </w:rPr>
    </w:lvl>
    <w:lvl w:ilvl="1" w:tplc="077EA892" w:tentative="1">
      <w:start w:val="1"/>
      <w:numFmt w:val="bullet"/>
      <w:lvlText w:val="•"/>
      <w:lvlJc w:val="left"/>
      <w:pPr>
        <w:tabs>
          <w:tab w:val="num" w:pos="1440"/>
        </w:tabs>
        <w:ind w:left="1440" w:hanging="360"/>
      </w:pPr>
      <w:rPr>
        <w:rFonts w:ascii="Times New Roman" w:hAnsi="Times New Roman" w:hint="default"/>
      </w:rPr>
    </w:lvl>
    <w:lvl w:ilvl="2" w:tplc="8356FBC6" w:tentative="1">
      <w:start w:val="1"/>
      <w:numFmt w:val="bullet"/>
      <w:lvlText w:val="•"/>
      <w:lvlJc w:val="left"/>
      <w:pPr>
        <w:tabs>
          <w:tab w:val="num" w:pos="2160"/>
        </w:tabs>
        <w:ind w:left="2160" w:hanging="360"/>
      </w:pPr>
      <w:rPr>
        <w:rFonts w:ascii="Times New Roman" w:hAnsi="Times New Roman" w:hint="default"/>
      </w:rPr>
    </w:lvl>
    <w:lvl w:ilvl="3" w:tplc="5FBE7D7C" w:tentative="1">
      <w:start w:val="1"/>
      <w:numFmt w:val="bullet"/>
      <w:lvlText w:val="•"/>
      <w:lvlJc w:val="left"/>
      <w:pPr>
        <w:tabs>
          <w:tab w:val="num" w:pos="2880"/>
        </w:tabs>
        <w:ind w:left="2880" w:hanging="360"/>
      </w:pPr>
      <w:rPr>
        <w:rFonts w:ascii="Times New Roman" w:hAnsi="Times New Roman" w:hint="default"/>
      </w:rPr>
    </w:lvl>
    <w:lvl w:ilvl="4" w:tplc="95320D2E" w:tentative="1">
      <w:start w:val="1"/>
      <w:numFmt w:val="bullet"/>
      <w:lvlText w:val="•"/>
      <w:lvlJc w:val="left"/>
      <w:pPr>
        <w:tabs>
          <w:tab w:val="num" w:pos="3600"/>
        </w:tabs>
        <w:ind w:left="3600" w:hanging="360"/>
      </w:pPr>
      <w:rPr>
        <w:rFonts w:ascii="Times New Roman" w:hAnsi="Times New Roman" w:hint="default"/>
      </w:rPr>
    </w:lvl>
    <w:lvl w:ilvl="5" w:tplc="1A1893EC" w:tentative="1">
      <w:start w:val="1"/>
      <w:numFmt w:val="bullet"/>
      <w:lvlText w:val="•"/>
      <w:lvlJc w:val="left"/>
      <w:pPr>
        <w:tabs>
          <w:tab w:val="num" w:pos="4320"/>
        </w:tabs>
        <w:ind w:left="4320" w:hanging="360"/>
      </w:pPr>
      <w:rPr>
        <w:rFonts w:ascii="Times New Roman" w:hAnsi="Times New Roman" w:hint="default"/>
      </w:rPr>
    </w:lvl>
    <w:lvl w:ilvl="6" w:tplc="5FAE00A4" w:tentative="1">
      <w:start w:val="1"/>
      <w:numFmt w:val="bullet"/>
      <w:lvlText w:val="•"/>
      <w:lvlJc w:val="left"/>
      <w:pPr>
        <w:tabs>
          <w:tab w:val="num" w:pos="5040"/>
        </w:tabs>
        <w:ind w:left="5040" w:hanging="360"/>
      </w:pPr>
      <w:rPr>
        <w:rFonts w:ascii="Times New Roman" w:hAnsi="Times New Roman" w:hint="default"/>
      </w:rPr>
    </w:lvl>
    <w:lvl w:ilvl="7" w:tplc="FC8C1D00" w:tentative="1">
      <w:start w:val="1"/>
      <w:numFmt w:val="bullet"/>
      <w:lvlText w:val="•"/>
      <w:lvlJc w:val="left"/>
      <w:pPr>
        <w:tabs>
          <w:tab w:val="num" w:pos="5760"/>
        </w:tabs>
        <w:ind w:left="5760" w:hanging="360"/>
      </w:pPr>
      <w:rPr>
        <w:rFonts w:ascii="Times New Roman" w:hAnsi="Times New Roman" w:hint="default"/>
      </w:rPr>
    </w:lvl>
    <w:lvl w:ilvl="8" w:tplc="EECEE5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3" w15:restartNumberingAfterBreak="0">
    <w:nsid w:val="2F9E6ECA"/>
    <w:multiLevelType w:val="hybridMultilevel"/>
    <w:tmpl w:val="254E9A9E"/>
    <w:lvl w:ilvl="0" w:tplc="07FCB602">
      <w:start w:val="1"/>
      <w:numFmt w:val="bullet"/>
      <w:lvlText w:val="•"/>
      <w:lvlJc w:val="left"/>
      <w:pPr>
        <w:tabs>
          <w:tab w:val="num" w:pos="720"/>
        </w:tabs>
        <w:ind w:left="720" w:hanging="360"/>
      </w:pPr>
      <w:rPr>
        <w:rFonts w:ascii="Times New Roman" w:hAnsi="Times New Roman" w:hint="default"/>
      </w:rPr>
    </w:lvl>
    <w:lvl w:ilvl="1" w:tplc="DA08F9F2" w:tentative="1">
      <w:start w:val="1"/>
      <w:numFmt w:val="bullet"/>
      <w:lvlText w:val="•"/>
      <w:lvlJc w:val="left"/>
      <w:pPr>
        <w:tabs>
          <w:tab w:val="num" w:pos="1440"/>
        </w:tabs>
        <w:ind w:left="1440" w:hanging="360"/>
      </w:pPr>
      <w:rPr>
        <w:rFonts w:ascii="Times New Roman" w:hAnsi="Times New Roman" w:hint="default"/>
      </w:rPr>
    </w:lvl>
    <w:lvl w:ilvl="2" w:tplc="4482A9F8" w:tentative="1">
      <w:start w:val="1"/>
      <w:numFmt w:val="bullet"/>
      <w:lvlText w:val="•"/>
      <w:lvlJc w:val="left"/>
      <w:pPr>
        <w:tabs>
          <w:tab w:val="num" w:pos="2160"/>
        </w:tabs>
        <w:ind w:left="2160" w:hanging="360"/>
      </w:pPr>
      <w:rPr>
        <w:rFonts w:ascii="Times New Roman" w:hAnsi="Times New Roman" w:hint="default"/>
      </w:rPr>
    </w:lvl>
    <w:lvl w:ilvl="3" w:tplc="38709DCA" w:tentative="1">
      <w:start w:val="1"/>
      <w:numFmt w:val="bullet"/>
      <w:lvlText w:val="•"/>
      <w:lvlJc w:val="left"/>
      <w:pPr>
        <w:tabs>
          <w:tab w:val="num" w:pos="2880"/>
        </w:tabs>
        <w:ind w:left="2880" w:hanging="360"/>
      </w:pPr>
      <w:rPr>
        <w:rFonts w:ascii="Times New Roman" w:hAnsi="Times New Roman" w:hint="default"/>
      </w:rPr>
    </w:lvl>
    <w:lvl w:ilvl="4" w:tplc="CFF21244" w:tentative="1">
      <w:start w:val="1"/>
      <w:numFmt w:val="bullet"/>
      <w:lvlText w:val="•"/>
      <w:lvlJc w:val="left"/>
      <w:pPr>
        <w:tabs>
          <w:tab w:val="num" w:pos="3600"/>
        </w:tabs>
        <w:ind w:left="3600" w:hanging="360"/>
      </w:pPr>
      <w:rPr>
        <w:rFonts w:ascii="Times New Roman" w:hAnsi="Times New Roman" w:hint="default"/>
      </w:rPr>
    </w:lvl>
    <w:lvl w:ilvl="5" w:tplc="2FD2D818" w:tentative="1">
      <w:start w:val="1"/>
      <w:numFmt w:val="bullet"/>
      <w:lvlText w:val="•"/>
      <w:lvlJc w:val="left"/>
      <w:pPr>
        <w:tabs>
          <w:tab w:val="num" w:pos="4320"/>
        </w:tabs>
        <w:ind w:left="4320" w:hanging="360"/>
      </w:pPr>
      <w:rPr>
        <w:rFonts w:ascii="Times New Roman" w:hAnsi="Times New Roman" w:hint="default"/>
      </w:rPr>
    </w:lvl>
    <w:lvl w:ilvl="6" w:tplc="87F090F0" w:tentative="1">
      <w:start w:val="1"/>
      <w:numFmt w:val="bullet"/>
      <w:lvlText w:val="•"/>
      <w:lvlJc w:val="left"/>
      <w:pPr>
        <w:tabs>
          <w:tab w:val="num" w:pos="5040"/>
        </w:tabs>
        <w:ind w:left="5040" w:hanging="360"/>
      </w:pPr>
      <w:rPr>
        <w:rFonts w:ascii="Times New Roman" w:hAnsi="Times New Roman" w:hint="default"/>
      </w:rPr>
    </w:lvl>
    <w:lvl w:ilvl="7" w:tplc="BC660A64" w:tentative="1">
      <w:start w:val="1"/>
      <w:numFmt w:val="bullet"/>
      <w:lvlText w:val="•"/>
      <w:lvlJc w:val="left"/>
      <w:pPr>
        <w:tabs>
          <w:tab w:val="num" w:pos="5760"/>
        </w:tabs>
        <w:ind w:left="5760" w:hanging="360"/>
      </w:pPr>
      <w:rPr>
        <w:rFonts w:ascii="Times New Roman" w:hAnsi="Times New Roman" w:hint="default"/>
      </w:rPr>
    </w:lvl>
    <w:lvl w:ilvl="8" w:tplc="0C10170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283257"/>
    <w:multiLevelType w:val="multilevel"/>
    <w:tmpl w:val="745434BA"/>
    <w:lvl w:ilvl="0">
      <w:start w:val="1"/>
      <w:numFmt w:val="decimal"/>
      <w:lvlText w:val="%1."/>
      <w:lvlJc w:val="left"/>
      <w:pPr>
        <w:ind w:left="644" w:hanging="360"/>
      </w:pPr>
      <w:rPr>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7"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1"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2"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7"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4"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8"/>
  </w:num>
  <w:num w:numId="2">
    <w:abstractNumId w:val="7"/>
  </w:num>
  <w:num w:numId="3">
    <w:abstractNumId w:val="35"/>
  </w:num>
  <w:num w:numId="4">
    <w:abstractNumId w:val="10"/>
  </w:num>
  <w:num w:numId="5">
    <w:abstractNumId w:val="24"/>
  </w:num>
  <w:num w:numId="6">
    <w:abstractNumId w:val="3"/>
  </w:num>
  <w:num w:numId="7">
    <w:abstractNumId w:val="0"/>
  </w:num>
  <w:num w:numId="8">
    <w:abstractNumId w:val="15"/>
  </w:num>
  <w:num w:numId="9">
    <w:abstractNumId w:val="25"/>
  </w:num>
  <w:num w:numId="10">
    <w:abstractNumId w:val="5"/>
  </w:num>
  <w:num w:numId="11">
    <w:abstractNumId w:val="14"/>
  </w:num>
  <w:num w:numId="12">
    <w:abstractNumId w:val="4"/>
  </w:num>
  <w:num w:numId="13">
    <w:abstractNumId w:val="9"/>
  </w:num>
  <w:num w:numId="14">
    <w:abstractNumId w:val="23"/>
  </w:num>
  <w:num w:numId="15">
    <w:abstractNumId w:val="36"/>
  </w:num>
  <w:num w:numId="16">
    <w:abstractNumId w:val="8"/>
  </w:num>
  <w:num w:numId="17">
    <w:abstractNumId w:val="27"/>
  </w:num>
  <w:num w:numId="18">
    <w:abstractNumId w:val="30"/>
  </w:num>
  <w:num w:numId="19">
    <w:abstractNumId w:val="28"/>
  </w:num>
  <w:num w:numId="20">
    <w:abstractNumId w:val="2"/>
  </w:num>
  <w:num w:numId="21">
    <w:abstractNumId w:val="20"/>
  </w:num>
  <w:num w:numId="22">
    <w:abstractNumId w:val="22"/>
  </w:num>
  <w:num w:numId="23">
    <w:abstractNumId w:val="17"/>
  </w:num>
  <w:num w:numId="24">
    <w:abstractNumId w:val="34"/>
  </w:num>
  <w:num w:numId="25">
    <w:abstractNumId w:val="32"/>
  </w:num>
  <w:num w:numId="26">
    <w:abstractNumId w:val="1"/>
  </w:num>
  <w:num w:numId="27">
    <w:abstractNumId w:val="16"/>
  </w:num>
  <w:num w:numId="28">
    <w:abstractNumId w:val="31"/>
  </w:num>
  <w:num w:numId="29">
    <w:abstractNumId w:val="29"/>
  </w:num>
  <w:num w:numId="30">
    <w:abstractNumId w:val="26"/>
  </w:num>
  <w:num w:numId="31">
    <w:abstractNumId w:val="6"/>
  </w:num>
  <w:num w:numId="32">
    <w:abstractNumId w:val="19"/>
  </w:num>
  <w:num w:numId="33">
    <w:abstractNumId w:val="21"/>
  </w:num>
  <w:num w:numId="34">
    <w:abstractNumId w:val="12"/>
  </w:num>
  <w:num w:numId="35">
    <w:abstractNumId w:val="33"/>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8"/>
    <w:rsid w:val="000061AB"/>
    <w:rsid w:val="00007CB3"/>
    <w:rsid w:val="000127F4"/>
    <w:rsid w:val="0001567C"/>
    <w:rsid w:val="00015797"/>
    <w:rsid w:val="00015A2B"/>
    <w:rsid w:val="00017089"/>
    <w:rsid w:val="0002753E"/>
    <w:rsid w:val="00034B56"/>
    <w:rsid w:val="00037C6F"/>
    <w:rsid w:val="00052EC4"/>
    <w:rsid w:val="00055B77"/>
    <w:rsid w:val="00055F0D"/>
    <w:rsid w:val="00065952"/>
    <w:rsid w:val="0007678D"/>
    <w:rsid w:val="0008073E"/>
    <w:rsid w:val="00091CDB"/>
    <w:rsid w:val="00094181"/>
    <w:rsid w:val="000973AA"/>
    <w:rsid w:val="000A0304"/>
    <w:rsid w:val="000A0A80"/>
    <w:rsid w:val="000A19AC"/>
    <w:rsid w:val="000A4E13"/>
    <w:rsid w:val="000B22B8"/>
    <w:rsid w:val="000B23C4"/>
    <w:rsid w:val="000B28DE"/>
    <w:rsid w:val="000B2B65"/>
    <w:rsid w:val="000B7263"/>
    <w:rsid w:val="000C28F8"/>
    <w:rsid w:val="000C5DD0"/>
    <w:rsid w:val="000D1646"/>
    <w:rsid w:val="000D20E4"/>
    <w:rsid w:val="000D26F8"/>
    <w:rsid w:val="000D40FF"/>
    <w:rsid w:val="00100A81"/>
    <w:rsid w:val="00105549"/>
    <w:rsid w:val="001058F5"/>
    <w:rsid w:val="00111860"/>
    <w:rsid w:val="00113916"/>
    <w:rsid w:val="00125FAF"/>
    <w:rsid w:val="00133B0C"/>
    <w:rsid w:val="001342BA"/>
    <w:rsid w:val="001354FE"/>
    <w:rsid w:val="00135FEE"/>
    <w:rsid w:val="001405C6"/>
    <w:rsid w:val="00140684"/>
    <w:rsid w:val="00141013"/>
    <w:rsid w:val="001459AA"/>
    <w:rsid w:val="00150140"/>
    <w:rsid w:val="00151C17"/>
    <w:rsid w:val="00153FF0"/>
    <w:rsid w:val="00162AEA"/>
    <w:rsid w:val="00176E35"/>
    <w:rsid w:val="00192CBF"/>
    <w:rsid w:val="00192FF1"/>
    <w:rsid w:val="001948E0"/>
    <w:rsid w:val="00196853"/>
    <w:rsid w:val="001A10CF"/>
    <w:rsid w:val="001A35DF"/>
    <w:rsid w:val="001A3C92"/>
    <w:rsid w:val="001A5475"/>
    <w:rsid w:val="001A5F1B"/>
    <w:rsid w:val="001A74A7"/>
    <w:rsid w:val="001B0B2E"/>
    <w:rsid w:val="001C1D1F"/>
    <w:rsid w:val="001D3BC6"/>
    <w:rsid w:val="001D716C"/>
    <w:rsid w:val="001F35A9"/>
    <w:rsid w:val="001F6995"/>
    <w:rsid w:val="001F7DBA"/>
    <w:rsid w:val="00202B60"/>
    <w:rsid w:val="00210345"/>
    <w:rsid w:val="00210C04"/>
    <w:rsid w:val="00211F9F"/>
    <w:rsid w:val="00211FFE"/>
    <w:rsid w:val="00216F51"/>
    <w:rsid w:val="00223319"/>
    <w:rsid w:val="00265543"/>
    <w:rsid w:val="00265A84"/>
    <w:rsid w:val="00270541"/>
    <w:rsid w:val="0027254B"/>
    <w:rsid w:val="00272D34"/>
    <w:rsid w:val="002809FC"/>
    <w:rsid w:val="00283DEE"/>
    <w:rsid w:val="00290B43"/>
    <w:rsid w:val="00293801"/>
    <w:rsid w:val="002950E0"/>
    <w:rsid w:val="00297326"/>
    <w:rsid w:val="002B0059"/>
    <w:rsid w:val="002B0AA1"/>
    <w:rsid w:val="002B24B8"/>
    <w:rsid w:val="002B4F2E"/>
    <w:rsid w:val="002C5C1E"/>
    <w:rsid w:val="002D1BC1"/>
    <w:rsid w:val="002D3AE9"/>
    <w:rsid w:val="002E408A"/>
    <w:rsid w:val="002E4D97"/>
    <w:rsid w:val="002F46E7"/>
    <w:rsid w:val="002F6B4B"/>
    <w:rsid w:val="002F6CFD"/>
    <w:rsid w:val="0030354E"/>
    <w:rsid w:val="003211CE"/>
    <w:rsid w:val="00322AC4"/>
    <w:rsid w:val="003235DA"/>
    <w:rsid w:val="00325347"/>
    <w:rsid w:val="003359BE"/>
    <w:rsid w:val="00336D2A"/>
    <w:rsid w:val="00356115"/>
    <w:rsid w:val="00356A02"/>
    <w:rsid w:val="00357959"/>
    <w:rsid w:val="003709B5"/>
    <w:rsid w:val="00370BFA"/>
    <w:rsid w:val="0037544D"/>
    <w:rsid w:val="003759C2"/>
    <w:rsid w:val="003824C1"/>
    <w:rsid w:val="003A3D9D"/>
    <w:rsid w:val="003A424A"/>
    <w:rsid w:val="003A60FF"/>
    <w:rsid w:val="003B0A64"/>
    <w:rsid w:val="003B57F4"/>
    <w:rsid w:val="003C3447"/>
    <w:rsid w:val="003C59FA"/>
    <w:rsid w:val="003D076C"/>
    <w:rsid w:val="003D3571"/>
    <w:rsid w:val="003E0E08"/>
    <w:rsid w:val="003E1957"/>
    <w:rsid w:val="003F0220"/>
    <w:rsid w:val="003F1A81"/>
    <w:rsid w:val="003F337F"/>
    <w:rsid w:val="00404E84"/>
    <w:rsid w:val="0041082F"/>
    <w:rsid w:val="004175D5"/>
    <w:rsid w:val="00422D43"/>
    <w:rsid w:val="00446675"/>
    <w:rsid w:val="00451919"/>
    <w:rsid w:val="004604AC"/>
    <w:rsid w:val="00465269"/>
    <w:rsid w:val="0047122B"/>
    <w:rsid w:val="00473244"/>
    <w:rsid w:val="00473B7A"/>
    <w:rsid w:val="0047432C"/>
    <w:rsid w:val="004765C2"/>
    <w:rsid w:val="0048195A"/>
    <w:rsid w:val="0049047A"/>
    <w:rsid w:val="00493613"/>
    <w:rsid w:val="004A1D1E"/>
    <w:rsid w:val="004A2E88"/>
    <w:rsid w:val="004A5305"/>
    <w:rsid w:val="004A5999"/>
    <w:rsid w:val="004B0B28"/>
    <w:rsid w:val="004B2B06"/>
    <w:rsid w:val="004B6F15"/>
    <w:rsid w:val="004C1E0B"/>
    <w:rsid w:val="004C2B0A"/>
    <w:rsid w:val="004C3C03"/>
    <w:rsid w:val="004C63CD"/>
    <w:rsid w:val="004D071B"/>
    <w:rsid w:val="004D28B1"/>
    <w:rsid w:val="004E2FCE"/>
    <w:rsid w:val="004F2711"/>
    <w:rsid w:val="004F60C9"/>
    <w:rsid w:val="005006B9"/>
    <w:rsid w:val="0050336E"/>
    <w:rsid w:val="00507115"/>
    <w:rsid w:val="005110EB"/>
    <w:rsid w:val="00520BB1"/>
    <w:rsid w:val="00527F6E"/>
    <w:rsid w:val="005300D3"/>
    <w:rsid w:val="0053257C"/>
    <w:rsid w:val="00535847"/>
    <w:rsid w:val="0053585B"/>
    <w:rsid w:val="00542B7F"/>
    <w:rsid w:val="005451E8"/>
    <w:rsid w:val="00552F05"/>
    <w:rsid w:val="00555B02"/>
    <w:rsid w:val="00557672"/>
    <w:rsid w:val="00560C9C"/>
    <w:rsid w:val="00561ED5"/>
    <w:rsid w:val="00562E5B"/>
    <w:rsid w:val="005632EE"/>
    <w:rsid w:val="00565C93"/>
    <w:rsid w:val="00567500"/>
    <w:rsid w:val="00573344"/>
    <w:rsid w:val="00574750"/>
    <w:rsid w:val="00583A43"/>
    <w:rsid w:val="00584F15"/>
    <w:rsid w:val="00585F7F"/>
    <w:rsid w:val="00586737"/>
    <w:rsid w:val="00587735"/>
    <w:rsid w:val="005878BF"/>
    <w:rsid w:val="00593085"/>
    <w:rsid w:val="00593176"/>
    <w:rsid w:val="00593565"/>
    <w:rsid w:val="00593C4F"/>
    <w:rsid w:val="005946A8"/>
    <w:rsid w:val="005960EB"/>
    <w:rsid w:val="005A083E"/>
    <w:rsid w:val="005A1B5E"/>
    <w:rsid w:val="005A1E93"/>
    <w:rsid w:val="005A4407"/>
    <w:rsid w:val="005A522D"/>
    <w:rsid w:val="005B3476"/>
    <w:rsid w:val="005B5C99"/>
    <w:rsid w:val="005C06A9"/>
    <w:rsid w:val="005C64D6"/>
    <w:rsid w:val="005D6BB7"/>
    <w:rsid w:val="005E0857"/>
    <w:rsid w:val="005E0A4E"/>
    <w:rsid w:val="005E42A5"/>
    <w:rsid w:val="005E673E"/>
    <w:rsid w:val="005E7460"/>
    <w:rsid w:val="005F2B6B"/>
    <w:rsid w:val="005F39B6"/>
    <w:rsid w:val="005F5CDB"/>
    <w:rsid w:val="005F7A74"/>
    <w:rsid w:val="006125DF"/>
    <w:rsid w:val="006203BF"/>
    <w:rsid w:val="00624DCE"/>
    <w:rsid w:val="00625DC6"/>
    <w:rsid w:val="006276AB"/>
    <w:rsid w:val="00643867"/>
    <w:rsid w:val="006466F2"/>
    <w:rsid w:val="00647724"/>
    <w:rsid w:val="00651821"/>
    <w:rsid w:val="00652F47"/>
    <w:rsid w:val="00653A16"/>
    <w:rsid w:val="006540B8"/>
    <w:rsid w:val="006542DE"/>
    <w:rsid w:val="00654384"/>
    <w:rsid w:val="0066037F"/>
    <w:rsid w:val="00660EA5"/>
    <w:rsid w:val="0066466E"/>
    <w:rsid w:val="00670669"/>
    <w:rsid w:val="00673D40"/>
    <w:rsid w:val="006748D2"/>
    <w:rsid w:val="00676EF8"/>
    <w:rsid w:val="0067736B"/>
    <w:rsid w:val="00684435"/>
    <w:rsid w:val="00684D9B"/>
    <w:rsid w:val="00690836"/>
    <w:rsid w:val="0069185E"/>
    <w:rsid w:val="006926AA"/>
    <w:rsid w:val="006931CD"/>
    <w:rsid w:val="00697556"/>
    <w:rsid w:val="006B25AF"/>
    <w:rsid w:val="006B2E8F"/>
    <w:rsid w:val="006B2F13"/>
    <w:rsid w:val="006B4C2B"/>
    <w:rsid w:val="006C5C08"/>
    <w:rsid w:val="006D49F9"/>
    <w:rsid w:val="006E2DC4"/>
    <w:rsid w:val="006F105C"/>
    <w:rsid w:val="006F6BFF"/>
    <w:rsid w:val="006F6D95"/>
    <w:rsid w:val="00705245"/>
    <w:rsid w:val="00706F13"/>
    <w:rsid w:val="007231E6"/>
    <w:rsid w:val="00725FA4"/>
    <w:rsid w:val="00727040"/>
    <w:rsid w:val="007279FA"/>
    <w:rsid w:val="00742F35"/>
    <w:rsid w:val="007438A9"/>
    <w:rsid w:val="0074491E"/>
    <w:rsid w:val="00750E2C"/>
    <w:rsid w:val="00763D60"/>
    <w:rsid w:val="0076507A"/>
    <w:rsid w:val="00771386"/>
    <w:rsid w:val="00780FD1"/>
    <w:rsid w:val="00781E26"/>
    <w:rsid w:val="0079059D"/>
    <w:rsid w:val="007915E0"/>
    <w:rsid w:val="00791CA1"/>
    <w:rsid w:val="00795BFB"/>
    <w:rsid w:val="007A04FA"/>
    <w:rsid w:val="007A2ABF"/>
    <w:rsid w:val="007B04CB"/>
    <w:rsid w:val="007B2528"/>
    <w:rsid w:val="007D1C65"/>
    <w:rsid w:val="007D31E0"/>
    <w:rsid w:val="007D3224"/>
    <w:rsid w:val="007D337E"/>
    <w:rsid w:val="007D63FF"/>
    <w:rsid w:val="007E72DF"/>
    <w:rsid w:val="007F04C8"/>
    <w:rsid w:val="007F0FF2"/>
    <w:rsid w:val="00805205"/>
    <w:rsid w:val="008078F9"/>
    <w:rsid w:val="00812AE1"/>
    <w:rsid w:val="008148CC"/>
    <w:rsid w:val="008211A4"/>
    <w:rsid w:val="0083324C"/>
    <w:rsid w:val="008363B7"/>
    <w:rsid w:val="00841735"/>
    <w:rsid w:val="00850762"/>
    <w:rsid w:val="00851448"/>
    <w:rsid w:val="00854E71"/>
    <w:rsid w:val="0086545E"/>
    <w:rsid w:val="00873150"/>
    <w:rsid w:val="00873392"/>
    <w:rsid w:val="00874016"/>
    <w:rsid w:val="0087642E"/>
    <w:rsid w:val="0087657D"/>
    <w:rsid w:val="00880832"/>
    <w:rsid w:val="00881DFA"/>
    <w:rsid w:val="00883A56"/>
    <w:rsid w:val="00886EE1"/>
    <w:rsid w:val="00894D64"/>
    <w:rsid w:val="00895107"/>
    <w:rsid w:val="0089544B"/>
    <w:rsid w:val="00897C75"/>
    <w:rsid w:val="008A26EE"/>
    <w:rsid w:val="008A2DA0"/>
    <w:rsid w:val="008A452B"/>
    <w:rsid w:val="008A738D"/>
    <w:rsid w:val="008B128B"/>
    <w:rsid w:val="008B2C31"/>
    <w:rsid w:val="008B35A8"/>
    <w:rsid w:val="008B6CE5"/>
    <w:rsid w:val="008C1B94"/>
    <w:rsid w:val="008D18E6"/>
    <w:rsid w:val="008D38DF"/>
    <w:rsid w:val="008E5A9F"/>
    <w:rsid w:val="008E7755"/>
    <w:rsid w:val="008F21F6"/>
    <w:rsid w:val="008F38CF"/>
    <w:rsid w:val="008F7DEA"/>
    <w:rsid w:val="00903C58"/>
    <w:rsid w:val="00907189"/>
    <w:rsid w:val="00911122"/>
    <w:rsid w:val="00920178"/>
    <w:rsid w:val="00921267"/>
    <w:rsid w:val="00921B91"/>
    <w:rsid w:val="009273A3"/>
    <w:rsid w:val="009305B2"/>
    <w:rsid w:val="0093745B"/>
    <w:rsid w:val="00941D3F"/>
    <w:rsid w:val="00942419"/>
    <w:rsid w:val="00945715"/>
    <w:rsid w:val="00951F79"/>
    <w:rsid w:val="00954164"/>
    <w:rsid w:val="00967A25"/>
    <w:rsid w:val="00967D8F"/>
    <w:rsid w:val="00973840"/>
    <w:rsid w:val="00986A69"/>
    <w:rsid w:val="0098706D"/>
    <w:rsid w:val="009935FB"/>
    <w:rsid w:val="00994621"/>
    <w:rsid w:val="00997188"/>
    <w:rsid w:val="009A5703"/>
    <w:rsid w:val="009B5A32"/>
    <w:rsid w:val="009B5B01"/>
    <w:rsid w:val="009B6146"/>
    <w:rsid w:val="009C209F"/>
    <w:rsid w:val="009C21F8"/>
    <w:rsid w:val="009D0AF6"/>
    <w:rsid w:val="009D61ED"/>
    <w:rsid w:val="009E032A"/>
    <w:rsid w:val="009E5F56"/>
    <w:rsid w:val="009E6611"/>
    <w:rsid w:val="009F45B7"/>
    <w:rsid w:val="009F5267"/>
    <w:rsid w:val="009F572E"/>
    <w:rsid w:val="00A0381B"/>
    <w:rsid w:val="00A05048"/>
    <w:rsid w:val="00A1702A"/>
    <w:rsid w:val="00A25FD7"/>
    <w:rsid w:val="00A3160F"/>
    <w:rsid w:val="00A33177"/>
    <w:rsid w:val="00A337D7"/>
    <w:rsid w:val="00A354D5"/>
    <w:rsid w:val="00A35829"/>
    <w:rsid w:val="00A366C7"/>
    <w:rsid w:val="00A43AFF"/>
    <w:rsid w:val="00A50E58"/>
    <w:rsid w:val="00A513FC"/>
    <w:rsid w:val="00A660CC"/>
    <w:rsid w:val="00A6610A"/>
    <w:rsid w:val="00A72B18"/>
    <w:rsid w:val="00A73E8C"/>
    <w:rsid w:val="00A7793A"/>
    <w:rsid w:val="00A87024"/>
    <w:rsid w:val="00A90D98"/>
    <w:rsid w:val="00A91C7A"/>
    <w:rsid w:val="00A93715"/>
    <w:rsid w:val="00AB13BC"/>
    <w:rsid w:val="00AB1559"/>
    <w:rsid w:val="00AB662D"/>
    <w:rsid w:val="00AC12B1"/>
    <w:rsid w:val="00AC2ADA"/>
    <w:rsid w:val="00AD01E4"/>
    <w:rsid w:val="00AF1D01"/>
    <w:rsid w:val="00AF7CBD"/>
    <w:rsid w:val="00B0451B"/>
    <w:rsid w:val="00B04F9A"/>
    <w:rsid w:val="00B050BA"/>
    <w:rsid w:val="00B11990"/>
    <w:rsid w:val="00B12818"/>
    <w:rsid w:val="00B141E7"/>
    <w:rsid w:val="00B15031"/>
    <w:rsid w:val="00B1619C"/>
    <w:rsid w:val="00B16669"/>
    <w:rsid w:val="00B20BAA"/>
    <w:rsid w:val="00B213F2"/>
    <w:rsid w:val="00B22F4F"/>
    <w:rsid w:val="00B33CEC"/>
    <w:rsid w:val="00B33E8E"/>
    <w:rsid w:val="00B46BCA"/>
    <w:rsid w:val="00B50937"/>
    <w:rsid w:val="00B51E41"/>
    <w:rsid w:val="00B53ABF"/>
    <w:rsid w:val="00B54D44"/>
    <w:rsid w:val="00B66162"/>
    <w:rsid w:val="00B6724D"/>
    <w:rsid w:val="00B67FCA"/>
    <w:rsid w:val="00B77BD3"/>
    <w:rsid w:val="00B83992"/>
    <w:rsid w:val="00B85F36"/>
    <w:rsid w:val="00B87806"/>
    <w:rsid w:val="00B87EC9"/>
    <w:rsid w:val="00B91141"/>
    <w:rsid w:val="00B92512"/>
    <w:rsid w:val="00B97A53"/>
    <w:rsid w:val="00BA49A9"/>
    <w:rsid w:val="00BA4FF0"/>
    <w:rsid w:val="00BA5E47"/>
    <w:rsid w:val="00BB0F1B"/>
    <w:rsid w:val="00BB36D6"/>
    <w:rsid w:val="00BC38FD"/>
    <w:rsid w:val="00BD1C99"/>
    <w:rsid w:val="00BD21FA"/>
    <w:rsid w:val="00BD2964"/>
    <w:rsid w:val="00BE466D"/>
    <w:rsid w:val="00BE5DDF"/>
    <w:rsid w:val="00BE5FE4"/>
    <w:rsid w:val="00BE631D"/>
    <w:rsid w:val="00BF1B50"/>
    <w:rsid w:val="00BF2F63"/>
    <w:rsid w:val="00C00D6C"/>
    <w:rsid w:val="00C0434A"/>
    <w:rsid w:val="00C054BC"/>
    <w:rsid w:val="00C10464"/>
    <w:rsid w:val="00C16273"/>
    <w:rsid w:val="00C17897"/>
    <w:rsid w:val="00C21AD5"/>
    <w:rsid w:val="00C31898"/>
    <w:rsid w:val="00C32FBD"/>
    <w:rsid w:val="00C409D5"/>
    <w:rsid w:val="00C52178"/>
    <w:rsid w:val="00C54862"/>
    <w:rsid w:val="00C6234B"/>
    <w:rsid w:val="00C63EAE"/>
    <w:rsid w:val="00C64263"/>
    <w:rsid w:val="00C67E29"/>
    <w:rsid w:val="00C74E84"/>
    <w:rsid w:val="00C76004"/>
    <w:rsid w:val="00C7629F"/>
    <w:rsid w:val="00C76CD4"/>
    <w:rsid w:val="00C77D37"/>
    <w:rsid w:val="00C81620"/>
    <w:rsid w:val="00C8181C"/>
    <w:rsid w:val="00C83821"/>
    <w:rsid w:val="00C8661B"/>
    <w:rsid w:val="00C873D6"/>
    <w:rsid w:val="00C93D0A"/>
    <w:rsid w:val="00C958E7"/>
    <w:rsid w:val="00CA0209"/>
    <w:rsid w:val="00CA5ED8"/>
    <w:rsid w:val="00CA77FB"/>
    <w:rsid w:val="00CB3143"/>
    <w:rsid w:val="00CB379B"/>
    <w:rsid w:val="00CB5751"/>
    <w:rsid w:val="00CB5B20"/>
    <w:rsid w:val="00CB5CD7"/>
    <w:rsid w:val="00CB5DD0"/>
    <w:rsid w:val="00CC03B7"/>
    <w:rsid w:val="00CC4B91"/>
    <w:rsid w:val="00CC51D4"/>
    <w:rsid w:val="00CC65DA"/>
    <w:rsid w:val="00CD0B63"/>
    <w:rsid w:val="00CD195F"/>
    <w:rsid w:val="00CD5970"/>
    <w:rsid w:val="00CE09DF"/>
    <w:rsid w:val="00CE13EF"/>
    <w:rsid w:val="00CE1CA3"/>
    <w:rsid w:val="00CF21B9"/>
    <w:rsid w:val="00CF403A"/>
    <w:rsid w:val="00CF6BF9"/>
    <w:rsid w:val="00D02A10"/>
    <w:rsid w:val="00D032B5"/>
    <w:rsid w:val="00D03800"/>
    <w:rsid w:val="00D045C7"/>
    <w:rsid w:val="00D065D3"/>
    <w:rsid w:val="00D06E77"/>
    <w:rsid w:val="00D127D0"/>
    <w:rsid w:val="00D13297"/>
    <w:rsid w:val="00D1752C"/>
    <w:rsid w:val="00D238B3"/>
    <w:rsid w:val="00D24427"/>
    <w:rsid w:val="00D26683"/>
    <w:rsid w:val="00D26AFB"/>
    <w:rsid w:val="00D26B33"/>
    <w:rsid w:val="00D26BBC"/>
    <w:rsid w:val="00D36033"/>
    <w:rsid w:val="00D451C0"/>
    <w:rsid w:val="00D464BF"/>
    <w:rsid w:val="00D52B00"/>
    <w:rsid w:val="00D52FBD"/>
    <w:rsid w:val="00D53E26"/>
    <w:rsid w:val="00D57F49"/>
    <w:rsid w:val="00D728D6"/>
    <w:rsid w:val="00D7748E"/>
    <w:rsid w:val="00D80AC5"/>
    <w:rsid w:val="00D83874"/>
    <w:rsid w:val="00D84855"/>
    <w:rsid w:val="00D93573"/>
    <w:rsid w:val="00D9795B"/>
    <w:rsid w:val="00DA494F"/>
    <w:rsid w:val="00DA79F7"/>
    <w:rsid w:val="00DB0425"/>
    <w:rsid w:val="00DB5492"/>
    <w:rsid w:val="00DB559B"/>
    <w:rsid w:val="00DB68ED"/>
    <w:rsid w:val="00DB6D76"/>
    <w:rsid w:val="00DB73DD"/>
    <w:rsid w:val="00DB7CC5"/>
    <w:rsid w:val="00DB7DC3"/>
    <w:rsid w:val="00DC7233"/>
    <w:rsid w:val="00DD2CBE"/>
    <w:rsid w:val="00DD38E6"/>
    <w:rsid w:val="00DD4F0E"/>
    <w:rsid w:val="00DE056C"/>
    <w:rsid w:val="00DE4BF8"/>
    <w:rsid w:val="00DF06C5"/>
    <w:rsid w:val="00DF5013"/>
    <w:rsid w:val="00DF6BB4"/>
    <w:rsid w:val="00DF763D"/>
    <w:rsid w:val="00E04C05"/>
    <w:rsid w:val="00E11573"/>
    <w:rsid w:val="00E1243F"/>
    <w:rsid w:val="00E26D62"/>
    <w:rsid w:val="00E35581"/>
    <w:rsid w:val="00E41921"/>
    <w:rsid w:val="00E44B45"/>
    <w:rsid w:val="00E52792"/>
    <w:rsid w:val="00E534CF"/>
    <w:rsid w:val="00E54BB6"/>
    <w:rsid w:val="00E60D28"/>
    <w:rsid w:val="00E63E5A"/>
    <w:rsid w:val="00E71D32"/>
    <w:rsid w:val="00E84990"/>
    <w:rsid w:val="00E87470"/>
    <w:rsid w:val="00E929F5"/>
    <w:rsid w:val="00E97117"/>
    <w:rsid w:val="00EA1B76"/>
    <w:rsid w:val="00EA71E8"/>
    <w:rsid w:val="00EB137F"/>
    <w:rsid w:val="00EB1C66"/>
    <w:rsid w:val="00EB373C"/>
    <w:rsid w:val="00EC2917"/>
    <w:rsid w:val="00EC4044"/>
    <w:rsid w:val="00EC4D6D"/>
    <w:rsid w:val="00ED2AF3"/>
    <w:rsid w:val="00ED514A"/>
    <w:rsid w:val="00ED6FBF"/>
    <w:rsid w:val="00ED7F05"/>
    <w:rsid w:val="00EE0523"/>
    <w:rsid w:val="00EE21FC"/>
    <w:rsid w:val="00EE2E6E"/>
    <w:rsid w:val="00EE2EFB"/>
    <w:rsid w:val="00EE3EA3"/>
    <w:rsid w:val="00EE48C6"/>
    <w:rsid w:val="00EE77CE"/>
    <w:rsid w:val="00EF25BC"/>
    <w:rsid w:val="00EF38F6"/>
    <w:rsid w:val="00EF751F"/>
    <w:rsid w:val="00EF79B9"/>
    <w:rsid w:val="00F0393C"/>
    <w:rsid w:val="00F057C7"/>
    <w:rsid w:val="00F0759E"/>
    <w:rsid w:val="00F077F6"/>
    <w:rsid w:val="00F20106"/>
    <w:rsid w:val="00F2456F"/>
    <w:rsid w:val="00F33E94"/>
    <w:rsid w:val="00F34157"/>
    <w:rsid w:val="00F442DD"/>
    <w:rsid w:val="00F47951"/>
    <w:rsid w:val="00F51E3D"/>
    <w:rsid w:val="00F53D63"/>
    <w:rsid w:val="00F5695C"/>
    <w:rsid w:val="00F57E6A"/>
    <w:rsid w:val="00F61A01"/>
    <w:rsid w:val="00F65D02"/>
    <w:rsid w:val="00F73531"/>
    <w:rsid w:val="00F74864"/>
    <w:rsid w:val="00F82339"/>
    <w:rsid w:val="00F84530"/>
    <w:rsid w:val="00F90FD0"/>
    <w:rsid w:val="00F92AAF"/>
    <w:rsid w:val="00FA1533"/>
    <w:rsid w:val="00FA2779"/>
    <w:rsid w:val="00FA28B5"/>
    <w:rsid w:val="00FA2E6C"/>
    <w:rsid w:val="00FA3038"/>
    <w:rsid w:val="00FB44F1"/>
    <w:rsid w:val="00FB483F"/>
    <w:rsid w:val="00FB5427"/>
    <w:rsid w:val="00FB562A"/>
    <w:rsid w:val="00FB65FA"/>
    <w:rsid w:val="00FB75BA"/>
    <w:rsid w:val="00FC58EF"/>
    <w:rsid w:val="00FD0570"/>
    <w:rsid w:val="00FD1664"/>
    <w:rsid w:val="00FD2445"/>
    <w:rsid w:val="00FE027C"/>
    <w:rsid w:val="00FE0FDD"/>
    <w:rsid w:val="00FE2EB4"/>
    <w:rsid w:val="00FE553A"/>
    <w:rsid w:val="00FF07FD"/>
    <w:rsid w:val="00FF39C7"/>
    <w:rsid w:val="00FF4A6D"/>
    <w:rsid w:val="00FF54B4"/>
    <w:rsid w:val="00FF73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DF5728"/>
  <w15:docId w15:val="{F5CC12A6-12A5-4957-B280-D1400231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4" ma:contentTypeDescription="Crear nuevo documento." ma:contentTypeScope="" ma:versionID="299b000b0efe0ec1edbe05fd4188a210">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3c5b4cfb6cf1235de6e57ac84bf96a7f"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2197-47FA-4565-9BAD-1973339038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328D52-C6AD-4CC0-A6BB-B54527BD791F}">
  <ds:schemaRefs>
    <ds:schemaRef ds:uri="http://schemas.microsoft.com/sharepoint/v3/contenttype/forms"/>
  </ds:schemaRefs>
</ds:datastoreItem>
</file>

<file path=customXml/itemProps3.xml><?xml version="1.0" encoding="utf-8"?>
<ds:datastoreItem xmlns:ds="http://schemas.openxmlformats.org/officeDocument/2006/customXml" ds:itemID="{356DBB58-B143-4C8E-A394-3DD025598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A9D11-DEC7-4888-BF9F-9DF0EFAE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resoluciones.dot</Template>
  <TotalTime>2</TotalTime>
  <Pages>14</Pages>
  <Words>4971</Words>
  <Characters>27967</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Ramos;Mónica Plaza;Carlos Castellanos;Ivone Peña</dc:creator>
  <cp:lastModifiedBy>Luz Stella Rojas Macias</cp:lastModifiedBy>
  <cp:revision>3</cp:revision>
  <cp:lastPrinted>2014-08-15T21:15:00Z</cp:lastPrinted>
  <dcterms:created xsi:type="dcterms:W3CDTF">2020-03-19T18:38:00Z</dcterms:created>
  <dcterms:modified xsi:type="dcterms:W3CDTF">2021-03-04T20:44:00Z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