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D03800" w:rsidRDefault="00845345" w:rsidP="00DE4BF8">
      <w:pPr>
        <w:pStyle w:val="Encabezado"/>
        <w:ind w:left="284"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05E1D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23.4pt;margin-top:-27.1pt;width:52.5pt;height:48.75pt;z-index:251657728" fillcolor="#0c9">
            <v:imagedata r:id="rId8" o:title=""/>
          </v:shape>
          <o:OLEObject Type="Embed" ProgID="PBrush" ShapeID="_x0000_s1033" DrawAspect="Content" ObjectID="_1635656760" r:id="rId9"/>
        </w:object>
      </w:r>
    </w:p>
    <w:p w:rsidR="00625DC6" w:rsidRPr="00D03800" w:rsidRDefault="00625DC6" w:rsidP="00DE4BF8">
      <w:pPr>
        <w:pStyle w:val="Encabezado"/>
        <w:ind w:left="284" w:right="142"/>
        <w:jc w:val="both"/>
        <w:rPr>
          <w:rFonts w:ascii="Bookman Old Style" w:hAnsi="Bookman Old Style"/>
          <w:szCs w:val="24"/>
        </w:rPr>
      </w:pPr>
    </w:p>
    <w:p w:rsidR="00625DC6" w:rsidRPr="00D03800" w:rsidRDefault="00625DC6" w:rsidP="00DE4BF8">
      <w:pPr>
        <w:pStyle w:val="Encabezado"/>
        <w:ind w:left="284" w:right="142"/>
        <w:jc w:val="both"/>
        <w:rPr>
          <w:rFonts w:ascii="Bookman Old Style" w:hAnsi="Bookman Old Style"/>
          <w:szCs w:val="24"/>
        </w:rPr>
      </w:pPr>
    </w:p>
    <w:p w:rsidR="00CA77FB" w:rsidRPr="00D03800" w:rsidRDefault="00CA77FB" w:rsidP="00DE4BF8">
      <w:pPr>
        <w:pStyle w:val="Ttulo4"/>
        <w:ind w:left="284" w:right="142"/>
        <w:rPr>
          <w:rFonts w:ascii="Bookman Old Style" w:hAnsi="Bookman Old Style"/>
          <w:b w:val="0"/>
          <w:bCs/>
          <w:noProof/>
          <w:sz w:val="24"/>
          <w:szCs w:val="24"/>
          <w:lang w:val="es-ES"/>
        </w:rPr>
      </w:pPr>
      <w:r w:rsidRPr="00D03800">
        <w:rPr>
          <w:rFonts w:ascii="Bookman Old Style" w:hAnsi="Bookman Old Style"/>
          <w:b w:val="0"/>
          <w:bCs/>
          <w:sz w:val="24"/>
          <w:szCs w:val="24"/>
        </w:rPr>
        <w:t>Ministerio de Minas y Energía</w:t>
      </w:r>
    </w:p>
    <w:p w:rsidR="00CA77FB" w:rsidRPr="00D03800" w:rsidRDefault="00CA77FB" w:rsidP="00DE4BF8">
      <w:pPr>
        <w:pStyle w:val="Ttulo4"/>
        <w:ind w:left="284" w:right="142"/>
        <w:rPr>
          <w:rFonts w:ascii="Bookman Old Style" w:hAnsi="Bookman Old Style"/>
          <w:b w:val="0"/>
          <w:bCs/>
          <w:sz w:val="24"/>
          <w:szCs w:val="24"/>
        </w:rPr>
      </w:pPr>
    </w:p>
    <w:p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COMISIÓN DE REGULACIÓN DE ENERGÍA Y GAS</w:t>
      </w:r>
    </w:p>
    <w:p w:rsidR="00CA77FB" w:rsidRPr="00FB65FA" w:rsidRDefault="00CA77FB" w:rsidP="00FB65FA">
      <w:pPr>
        <w:pStyle w:val="Ttulo4"/>
        <w:rPr>
          <w:rFonts w:ascii="Bookman Old Style" w:hAnsi="Bookman Old Style"/>
          <w:sz w:val="24"/>
          <w:szCs w:val="24"/>
        </w:rPr>
      </w:pPr>
    </w:p>
    <w:p w:rsidR="00CA77FB" w:rsidRPr="00FB65FA" w:rsidRDefault="00CA77FB" w:rsidP="00FB65FA">
      <w:pPr>
        <w:pStyle w:val="Ttulo4"/>
        <w:rPr>
          <w:rFonts w:ascii="Bookman Old Style" w:hAnsi="Bookman Old Style"/>
          <w:sz w:val="24"/>
          <w:szCs w:val="24"/>
        </w:rPr>
      </w:pPr>
    </w:p>
    <w:p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 xml:space="preserve">RESOLUCIÓN No. </w:t>
      </w:r>
      <w:r w:rsidR="00795BFB" w:rsidRPr="00FB65FA">
        <w:rPr>
          <w:rFonts w:ascii="Bookman Old Style" w:hAnsi="Bookman Old Style"/>
          <w:sz w:val="24"/>
          <w:szCs w:val="24"/>
        </w:rPr>
        <w:t xml:space="preserve">                  </w:t>
      </w:r>
      <w:r w:rsidRPr="00FB65FA">
        <w:rPr>
          <w:rFonts w:ascii="Bookman Old Style" w:hAnsi="Bookman Old Style"/>
          <w:sz w:val="24"/>
          <w:szCs w:val="24"/>
        </w:rPr>
        <w:t xml:space="preserve">DE </w:t>
      </w:r>
      <w:r w:rsidR="00D451C0">
        <w:rPr>
          <w:rFonts w:ascii="Bookman Old Style" w:hAnsi="Bookman Old Style"/>
          <w:sz w:val="24"/>
          <w:szCs w:val="24"/>
        </w:rPr>
        <w:t>201</w:t>
      </w:r>
      <w:r w:rsidR="004F5290">
        <w:rPr>
          <w:rFonts w:ascii="Bookman Old Style" w:hAnsi="Bookman Old Style"/>
          <w:sz w:val="24"/>
          <w:szCs w:val="24"/>
        </w:rPr>
        <w:t>9</w:t>
      </w:r>
    </w:p>
    <w:p w:rsidR="00CA77FB" w:rsidRPr="00FB65FA" w:rsidRDefault="00CA77FB" w:rsidP="00FB65FA">
      <w:pPr>
        <w:pStyle w:val="Ttulo4"/>
        <w:rPr>
          <w:rFonts w:ascii="Bookman Old Style" w:hAnsi="Bookman Old Style"/>
          <w:sz w:val="24"/>
          <w:szCs w:val="24"/>
        </w:rPr>
      </w:pPr>
    </w:p>
    <w:p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                          )</w:t>
      </w:r>
    </w:p>
    <w:p w:rsidR="00CA77FB" w:rsidRPr="00D03800" w:rsidRDefault="00CA77FB" w:rsidP="00DE4BF8">
      <w:pPr>
        <w:ind w:left="284" w:right="142"/>
        <w:jc w:val="center"/>
        <w:rPr>
          <w:rFonts w:ascii="Bookman Old Style" w:hAnsi="Bookman Old Style"/>
          <w:lang w:val="es-ES_tradnl"/>
        </w:rPr>
      </w:pPr>
    </w:p>
    <w:p w:rsidR="00270541" w:rsidRDefault="00270541" w:rsidP="00270541">
      <w:pPr>
        <w:ind w:left="284" w:right="142"/>
        <w:jc w:val="both"/>
        <w:rPr>
          <w:rFonts w:ascii="Bookman Old Style" w:hAnsi="Bookman Old Style"/>
          <w:lang w:val="es-ES_tradnl"/>
        </w:rPr>
      </w:pPr>
    </w:p>
    <w:p w:rsidR="00FF3191" w:rsidRPr="00FF3191" w:rsidRDefault="00FF3191" w:rsidP="00FF3191">
      <w:pPr>
        <w:pStyle w:val="Textodebloque"/>
        <w:spacing w:after="0"/>
        <w:ind w:left="284" w:right="142"/>
        <w:rPr>
          <w:rFonts w:ascii="Bookman Old Style" w:hAnsi="Bookman Old Style" w:cs="Arial"/>
          <w:szCs w:val="24"/>
        </w:rPr>
      </w:pPr>
      <w:r w:rsidRPr="00FF3191">
        <w:rPr>
          <w:rFonts w:ascii="Bookman Old Style" w:hAnsi="Bookman Old Style" w:cs="Arial"/>
          <w:szCs w:val="24"/>
        </w:rPr>
        <w:t xml:space="preserve">Por la cual se determina el cargo máximo de generación para sistemas híbridos diésel solar fotovoltaicos con acumulación en el mercado relevante de comercialización de la cabecera municipal del municipio de </w:t>
      </w:r>
      <w:proofErr w:type="spellStart"/>
      <w:r w:rsidRPr="00FF3191">
        <w:rPr>
          <w:rFonts w:ascii="Bookman Old Style" w:hAnsi="Bookman Old Style" w:cs="Arial"/>
          <w:szCs w:val="24"/>
        </w:rPr>
        <w:t>Unguía</w:t>
      </w:r>
      <w:proofErr w:type="spellEnd"/>
      <w:r w:rsidRPr="00FF3191">
        <w:rPr>
          <w:rFonts w:ascii="Bookman Old Style" w:hAnsi="Bookman Old Style" w:cs="Arial"/>
          <w:szCs w:val="24"/>
        </w:rPr>
        <w:t xml:space="preserve"> - Chocó</w:t>
      </w:r>
    </w:p>
    <w:p w:rsidR="00A33177" w:rsidRDefault="00A33177" w:rsidP="00A33177">
      <w:pPr>
        <w:pStyle w:val="Textodebloque"/>
        <w:spacing w:after="0"/>
        <w:ind w:left="284" w:right="142"/>
        <w:rPr>
          <w:rFonts w:ascii="Bookman Old Style" w:hAnsi="Bookman Old Style" w:cs="Arial"/>
          <w:szCs w:val="24"/>
        </w:rPr>
      </w:pPr>
    </w:p>
    <w:p w:rsidR="00A33177" w:rsidRPr="009C209F" w:rsidRDefault="00A33177" w:rsidP="00A33177">
      <w:pPr>
        <w:pStyle w:val="Textodebloque"/>
        <w:spacing w:after="0"/>
        <w:ind w:left="284" w:right="142"/>
        <w:rPr>
          <w:rFonts w:ascii="Bookman Old Style" w:hAnsi="Bookman Old Style" w:cs="Arial"/>
          <w:szCs w:val="24"/>
        </w:rPr>
      </w:pPr>
    </w:p>
    <w:p w:rsidR="00DE4BF8" w:rsidRDefault="00DE4BF8" w:rsidP="00A33177">
      <w:pPr>
        <w:pStyle w:val="Textoindependiente2"/>
        <w:spacing w:after="0" w:line="240" w:lineRule="auto"/>
        <w:ind w:left="284" w:right="142"/>
        <w:jc w:val="center"/>
        <w:rPr>
          <w:rFonts w:ascii="Bookman Old Style" w:hAnsi="Bookman Old Style" w:cs="Arial"/>
          <w:b/>
          <w:bCs/>
        </w:rPr>
      </w:pPr>
      <w:r w:rsidRPr="00DE4BF8">
        <w:rPr>
          <w:rFonts w:ascii="Bookman Old Style" w:hAnsi="Bookman Old Style" w:cs="Arial"/>
          <w:b/>
          <w:bCs/>
        </w:rPr>
        <w:t>LA COMISIÓN DE REGULACIÓN DE ENERGÍA Y GAS</w:t>
      </w:r>
    </w:p>
    <w:p w:rsidR="00A33177" w:rsidRDefault="00A33177" w:rsidP="00A33177">
      <w:pPr>
        <w:pStyle w:val="Textoindependiente2"/>
        <w:spacing w:after="0" w:line="240" w:lineRule="auto"/>
        <w:ind w:left="284" w:right="142"/>
        <w:jc w:val="center"/>
        <w:rPr>
          <w:rFonts w:ascii="Bookman Old Style" w:hAnsi="Bookman Old Style" w:cs="Arial"/>
          <w:b/>
          <w:bCs/>
          <w:lang w:val="es-CO"/>
        </w:rPr>
      </w:pPr>
    </w:p>
    <w:p w:rsidR="005F5CDB" w:rsidRPr="005F5CDB" w:rsidRDefault="005F5CDB" w:rsidP="00A33177">
      <w:pPr>
        <w:pStyle w:val="Textoindependiente2"/>
        <w:spacing w:after="0" w:line="240" w:lineRule="auto"/>
        <w:ind w:left="284" w:right="142"/>
        <w:jc w:val="center"/>
        <w:rPr>
          <w:rFonts w:ascii="Bookman Old Style" w:hAnsi="Bookman Old Style" w:cs="Arial"/>
          <w:b/>
          <w:bCs/>
          <w:lang w:val="es-CO"/>
        </w:rPr>
      </w:pPr>
    </w:p>
    <w:p w:rsidR="00DE4BF8" w:rsidRPr="00DE4BF8" w:rsidRDefault="00DE4BF8" w:rsidP="00A33177">
      <w:pPr>
        <w:ind w:left="284" w:right="142"/>
        <w:jc w:val="both"/>
        <w:rPr>
          <w:rFonts w:ascii="Bookman Old Style" w:hAnsi="Bookman Old Style" w:cs="Arial"/>
        </w:rPr>
      </w:pPr>
      <w:r w:rsidRPr="00DE4BF8">
        <w:rPr>
          <w:rFonts w:ascii="Bookman Old Style" w:hAnsi="Bookman Old Style" w:cs="Arial"/>
        </w:rPr>
        <w:t xml:space="preserve">En ejercicio de sus atribuciones constitucionales y legales, en especial las conferidas por las </w:t>
      </w:r>
      <w:r w:rsidR="0066037F">
        <w:rPr>
          <w:rFonts w:ascii="Bookman Old Style" w:hAnsi="Bookman Old Style" w:cs="Arial"/>
        </w:rPr>
        <w:t>l</w:t>
      </w:r>
      <w:r w:rsidRPr="00DE4BF8">
        <w:rPr>
          <w:rFonts w:ascii="Bookman Old Style" w:hAnsi="Bookman Old Style" w:cs="Arial"/>
        </w:rPr>
        <w:t xml:space="preserve">eyes 142 y 143 de 1994, y los </w:t>
      </w:r>
      <w:r w:rsidR="0066037F">
        <w:rPr>
          <w:rFonts w:ascii="Bookman Old Style" w:hAnsi="Bookman Old Style" w:cs="Arial"/>
        </w:rPr>
        <w:t>d</w:t>
      </w:r>
      <w:r w:rsidRPr="00DE4BF8">
        <w:rPr>
          <w:rFonts w:ascii="Bookman Old Style" w:hAnsi="Bookman Old Style" w:cs="Arial"/>
        </w:rPr>
        <w:t xml:space="preserve">ecretos 1524 y 2253 de 1994, </w:t>
      </w:r>
      <w:r w:rsidR="00EE0523">
        <w:rPr>
          <w:rFonts w:ascii="Bookman Old Style" w:hAnsi="Bookman Old Style" w:cs="Arial"/>
        </w:rPr>
        <w:t xml:space="preserve">1260 de 2013 </w:t>
      </w:r>
      <w:r w:rsidRPr="00DE4BF8">
        <w:rPr>
          <w:rFonts w:ascii="Bookman Old Style" w:hAnsi="Bookman Old Style" w:cs="Arial"/>
        </w:rPr>
        <w:t>y</w:t>
      </w:r>
    </w:p>
    <w:p w:rsidR="00DE4BF8" w:rsidRDefault="00DE4BF8" w:rsidP="00DE4BF8">
      <w:pPr>
        <w:ind w:left="284" w:right="142"/>
        <w:jc w:val="both"/>
        <w:rPr>
          <w:rFonts w:ascii="Bookman Old Style" w:hAnsi="Bookman Old Style" w:cs="Arial"/>
        </w:rPr>
      </w:pPr>
    </w:p>
    <w:p w:rsidR="009C209F" w:rsidRPr="00DE4BF8" w:rsidRDefault="009C209F" w:rsidP="00DE4BF8">
      <w:pPr>
        <w:ind w:left="284" w:right="142"/>
        <w:jc w:val="both"/>
        <w:rPr>
          <w:rFonts w:ascii="Bookman Old Style" w:hAnsi="Bookman Old Style" w:cs="Arial"/>
        </w:rPr>
      </w:pPr>
    </w:p>
    <w:p w:rsidR="00DE4BF8" w:rsidRDefault="00DE4BF8" w:rsidP="00DE4BF8">
      <w:pPr>
        <w:ind w:left="284" w:right="142"/>
        <w:jc w:val="center"/>
        <w:rPr>
          <w:rFonts w:ascii="Bookman Old Style" w:hAnsi="Bookman Old Style" w:cs="Arial"/>
          <w:b/>
        </w:rPr>
      </w:pPr>
      <w:r w:rsidRPr="00DE4BF8">
        <w:rPr>
          <w:rFonts w:ascii="Bookman Old Style" w:hAnsi="Bookman Old Style" w:cs="Arial"/>
          <w:b/>
          <w:spacing w:val="80"/>
        </w:rPr>
        <w:t>CONSIDERANDO QUE</w:t>
      </w:r>
      <w:r w:rsidRPr="00DE4BF8">
        <w:rPr>
          <w:rFonts w:ascii="Bookman Old Style" w:hAnsi="Bookman Old Style" w:cs="Arial"/>
          <w:b/>
        </w:rPr>
        <w:t>:</w:t>
      </w:r>
    </w:p>
    <w:p w:rsidR="00DE4BF8" w:rsidRDefault="00DE4BF8" w:rsidP="00DE4BF8">
      <w:pPr>
        <w:ind w:left="284" w:right="142"/>
        <w:jc w:val="center"/>
        <w:rPr>
          <w:rFonts w:ascii="Bookman Old Style" w:hAnsi="Bookman Old Style" w:cs="Arial"/>
          <w:b/>
        </w:rPr>
      </w:pPr>
    </w:p>
    <w:p w:rsidR="009C209F" w:rsidRDefault="009C209F" w:rsidP="00DE4BF8">
      <w:pPr>
        <w:ind w:left="284" w:right="142"/>
        <w:jc w:val="center"/>
        <w:rPr>
          <w:rFonts w:ascii="Bookman Old Style" w:hAnsi="Bookman Old Style" w:cs="Arial"/>
          <w:b/>
        </w:rPr>
      </w:pPr>
    </w:p>
    <w:p w:rsidR="00B54D44" w:rsidRPr="00DE4BF8" w:rsidRDefault="00B54D44" w:rsidP="00DE4BF8">
      <w:pPr>
        <w:ind w:left="284" w:right="142"/>
        <w:jc w:val="center"/>
        <w:rPr>
          <w:rFonts w:ascii="Bookman Old Style" w:hAnsi="Bookman Old Style" w:cs="Arial"/>
          <w:b/>
        </w:rPr>
      </w:pPr>
    </w:p>
    <w:p w:rsidR="005F2B6B" w:rsidRPr="00552F05" w:rsidRDefault="005F2B6B" w:rsidP="005878BF">
      <w:pPr>
        <w:numPr>
          <w:ilvl w:val="0"/>
          <w:numId w:val="8"/>
        </w:numPr>
        <w:ind w:right="142"/>
        <w:jc w:val="both"/>
        <w:rPr>
          <w:rFonts w:ascii="Bookman Old Style" w:hAnsi="Bookman Old Style" w:cs="Arial"/>
          <w:b/>
        </w:rPr>
      </w:pPr>
      <w:r w:rsidRPr="00552F05">
        <w:rPr>
          <w:rFonts w:ascii="Bookman Old Style" w:hAnsi="Bookman Old Style" w:cs="Arial"/>
          <w:b/>
        </w:rPr>
        <w:t>ANTECEDENTES</w:t>
      </w:r>
    </w:p>
    <w:p w:rsidR="009B5A32" w:rsidRDefault="009B5A32" w:rsidP="009B5A32">
      <w:pPr>
        <w:ind w:left="644" w:right="142"/>
        <w:jc w:val="both"/>
        <w:rPr>
          <w:rFonts w:ascii="Bookman Old Style" w:hAnsi="Bookman Old Style" w:cs="Arial"/>
          <w:b/>
        </w:rPr>
      </w:pPr>
    </w:p>
    <w:p w:rsidR="0057267D" w:rsidRPr="0057267D" w:rsidRDefault="0057267D" w:rsidP="0057267D">
      <w:pPr>
        <w:pStyle w:val="Textoindependiente"/>
        <w:ind w:left="284" w:right="142"/>
        <w:jc w:val="both"/>
        <w:rPr>
          <w:rFonts w:ascii="Bookman Old Style" w:hAnsi="Bookman Old Style"/>
          <w:b w:val="0"/>
          <w:bCs w:val="0"/>
          <w:iCs/>
        </w:rPr>
      </w:pPr>
      <w:r w:rsidRPr="0057267D">
        <w:rPr>
          <w:rFonts w:ascii="Bookman Old Style" w:hAnsi="Bookman Old Style"/>
          <w:b w:val="0"/>
          <w:bCs w:val="0"/>
          <w:iCs/>
        </w:rPr>
        <w:t>El artículo 334 de la Constitución Nacional dispone que el Estado, de manera especial</w:t>
      </w:r>
      <w:r w:rsidR="00EB7486">
        <w:rPr>
          <w:rFonts w:ascii="Bookman Old Style" w:hAnsi="Bookman Old Style"/>
          <w:b w:val="0"/>
          <w:bCs w:val="0"/>
          <w:iCs/>
          <w:lang w:val="es-CO"/>
        </w:rPr>
        <w:t>,</w:t>
      </w:r>
      <w:r w:rsidRPr="0057267D">
        <w:rPr>
          <w:rFonts w:ascii="Bookman Old Style" w:hAnsi="Bookman Old Style"/>
          <w:b w:val="0"/>
          <w:bCs w:val="0"/>
          <w:iCs/>
        </w:rPr>
        <w:t xml:space="preserve"> intervendrá para asegurar, de manera progresiva, que todas las personas, en particular las de menores ingresos, tengan acceso efectivo al conjunto de los bienes y servicios básicos.</w:t>
      </w:r>
    </w:p>
    <w:p w:rsidR="0057267D" w:rsidRPr="0057267D" w:rsidRDefault="0057267D" w:rsidP="0057267D">
      <w:pPr>
        <w:pStyle w:val="Textoindependiente"/>
        <w:ind w:left="284" w:right="142"/>
        <w:jc w:val="both"/>
        <w:rPr>
          <w:rFonts w:ascii="Bookman Old Style" w:hAnsi="Bookman Old Style"/>
          <w:b w:val="0"/>
          <w:bCs w:val="0"/>
          <w:iCs/>
        </w:rPr>
      </w:pPr>
    </w:p>
    <w:p w:rsidR="0057267D" w:rsidRPr="0057267D" w:rsidRDefault="0057267D" w:rsidP="0057267D">
      <w:pPr>
        <w:pStyle w:val="Textoindependiente"/>
        <w:ind w:left="284" w:right="142"/>
        <w:jc w:val="both"/>
        <w:rPr>
          <w:rFonts w:ascii="Bookman Old Style" w:hAnsi="Bookman Old Style"/>
          <w:b w:val="0"/>
          <w:bCs w:val="0"/>
          <w:iCs/>
        </w:rPr>
      </w:pPr>
      <w:r w:rsidRPr="0057267D">
        <w:rPr>
          <w:rFonts w:ascii="Bookman Old Style" w:hAnsi="Bookman Old Style"/>
          <w:b w:val="0"/>
          <w:bCs w:val="0"/>
          <w:iCs/>
        </w:rPr>
        <w:t>El artículo 365 de la Constitución Nacional señala que los servicios públicos son inherentes a la finalidad social del Estado, debiendo garantizar su prestación eficiente a todos los habitantes del territorio nacional.</w:t>
      </w:r>
    </w:p>
    <w:p w:rsidR="0057267D" w:rsidRPr="0057267D" w:rsidRDefault="0057267D" w:rsidP="0057267D">
      <w:pPr>
        <w:pStyle w:val="Textoindependiente"/>
        <w:ind w:left="284" w:right="142"/>
        <w:jc w:val="both"/>
        <w:rPr>
          <w:rFonts w:ascii="Bookman Old Style" w:hAnsi="Bookman Old Style"/>
          <w:b w:val="0"/>
          <w:bCs w:val="0"/>
          <w:iCs/>
        </w:rPr>
      </w:pPr>
    </w:p>
    <w:p w:rsidR="0057267D" w:rsidRDefault="0057267D" w:rsidP="0057267D">
      <w:pPr>
        <w:pStyle w:val="Textoindependiente"/>
        <w:ind w:left="284" w:right="142"/>
        <w:jc w:val="both"/>
        <w:rPr>
          <w:rFonts w:ascii="Bookman Old Style" w:hAnsi="Bookman Old Style"/>
          <w:b w:val="0"/>
          <w:bCs w:val="0"/>
          <w:iCs/>
        </w:rPr>
      </w:pPr>
      <w:r w:rsidRPr="0057267D">
        <w:rPr>
          <w:rFonts w:ascii="Bookman Old Style" w:hAnsi="Bookman Old Style"/>
          <w:b w:val="0"/>
          <w:bCs w:val="0"/>
          <w:iCs/>
        </w:rPr>
        <w:t>En ese sentido, el artículo 2 de la Ley 142 de 1994 dispone que el Estado intervendrá en los servicios públicos para garantizar la calidad del bien objeto del servicio público y ampliar la cobertura mediante sistemas que compensen la insuficiencia de la capacidad de pago de los usuarios.</w:t>
      </w:r>
    </w:p>
    <w:p w:rsidR="0057267D" w:rsidRDefault="0057267D" w:rsidP="00941D3F">
      <w:pPr>
        <w:pStyle w:val="Textoindependiente"/>
        <w:ind w:left="284" w:right="142"/>
        <w:jc w:val="both"/>
        <w:rPr>
          <w:rFonts w:ascii="Bookman Old Style" w:hAnsi="Bookman Old Style"/>
          <w:b w:val="0"/>
          <w:bCs w:val="0"/>
          <w:iCs/>
        </w:rPr>
      </w:pPr>
    </w:p>
    <w:p w:rsidR="00941D3F" w:rsidRDefault="00941D3F" w:rsidP="00941D3F">
      <w:pPr>
        <w:pStyle w:val="Textoindependiente"/>
        <w:ind w:left="284" w:right="142"/>
        <w:jc w:val="both"/>
        <w:rPr>
          <w:rFonts w:ascii="Bookman Old Style" w:hAnsi="Bookman Old Style"/>
          <w:b w:val="0"/>
          <w:bCs w:val="0"/>
          <w:iCs/>
        </w:rPr>
      </w:pPr>
      <w:r w:rsidRPr="00727040">
        <w:rPr>
          <w:rFonts w:ascii="Bookman Old Style" w:hAnsi="Bookman Old Style"/>
          <w:b w:val="0"/>
          <w:bCs w:val="0"/>
          <w:iCs/>
        </w:rPr>
        <w:t>El artículo 87 de la Ley 142 de 1994 estableció que el régimen tarifario estará orientado por los criterios de eficiencia económica, neutralidad, solidaridad, redistribución, suficiencia financiera, simplicidad y transparencia.</w:t>
      </w:r>
    </w:p>
    <w:p w:rsidR="00941D3F" w:rsidRDefault="00941D3F" w:rsidP="00727040">
      <w:pPr>
        <w:pStyle w:val="Textoindependiente"/>
        <w:ind w:left="284" w:right="142"/>
        <w:jc w:val="both"/>
        <w:rPr>
          <w:rFonts w:ascii="Bookman Old Style" w:hAnsi="Bookman Old Style"/>
          <w:b w:val="0"/>
          <w:bCs w:val="0"/>
          <w:iCs/>
        </w:rPr>
      </w:pPr>
    </w:p>
    <w:p w:rsidR="00727040" w:rsidRDefault="00727040" w:rsidP="00727040">
      <w:pPr>
        <w:pStyle w:val="Textoindependiente"/>
        <w:ind w:left="284" w:right="142"/>
        <w:jc w:val="both"/>
        <w:rPr>
          <w:rFonts w:ascii="Bookman Old Style" w:hAnsi="Bookman Old Style"/>
          <w:b w:val="0"/>
          <w:bCs w:val="0"/>
          <w:iCs/>
        </w:rPr>
      </w:pPr>
      <w:r w:rsidRPr="00727040">
        <w:rPr>
          <w:rFonts w:ascii="Bookman Old Style" w:hAnsi="Bookman Old Style"/>
          <w:b w:val="0"/>
          <w:bCs w:val="0"/>
          <w:iCs/>
        </w:rPr>
        <w:t xml:space="preserve">De acuerdo con lo previsto en el </w:t>
      </w:r>
      <w:r w:rsidR="00941D3F">
        <w:rPr>
          <w:rFonts w:ascii="Bookman Old Style" w:hAnsi="Bookman Old Style"/>
          <w:b w:val="0"/>
          <w:bCs w:val="0"/>
          <w:iCs/>
        </w:rPr>
        <w:t>literal e)</w:t>
      </w:r>
      <w:r w:rsidR="00941D3F">
        <w:rPr>
          <w:rFonts w:ascii="Bookman Old Style" w:hAnsi="Bookman Old Style"/>
          <w:b w:val="0"/>
          <w:bCs w:val="0"/>
          <w:iCs/>
          <w:lang w:val="es-MX"/>
        </w:rPr>
        <w:t xml:space="preserve"> del</w:t>
      </w:r>
      <w:r w:rsidR="00941D3F" w:rsidRPr="00941D3F">
        <w:rPr>
          <w:rFonts w:ascii="Bookman Old Style" w:hAnsi="Bookman Old Style"/>
          <w:b w:val="0"/>
          <w:bCs w:val="0"/>
          <w:iCs/>
        </w:rPr>
        <w:t xml:space="preserve"> </w:t>
      </w:r>
      <w:r w:rsidR="00941D3F">
        <w:rPr>
          <w:rFonts w:ascii="Bookman Old Style" w:hAnsi="Bookman Old Style"/>
          <w:b w:val="0"/>
          <w:bCs w:val="0"/>
          <w:iCs/>
        </w:rPr>
        <w:t>artículo 23 de</w:t>
      </w:r>
      <w:r w:rsidR="00941D3F" w:rsidRPr="00727040">
        <w:rPr>
          <w:rFonts w:ascii="Bookman Old Style" w:hAnsi="Bookman Old Style"/>
          <w:b w:val="0"/>
          <w:bCs w:val="0"/>
          <w:iCs/>
        </w:rPr>
        <w:t xml:space="preserve"> </w:t>
      </w:r>
      <w:r w:rsidRPr="00727040">
        <w:rPr>
          <w:rFonts w:ascii="Bookman Old Style" w:hAnsi="Bookman Old Style"/>
          <w:b w:val="0"/>
          <w:bCs w:val="0"/>
          <w:iCs/>
        </w:rPr>
        <w:t>la Ley 143 de 1994, es función de la Comisión de Regulación de Energía y Gas aprobar las fórmulas tarifarias y las metodologías para el cálculo de las tarifas para usuarios regulados.</w:t>
      </w:r>
    </w:p>
    <w:p w:rsidR="00727040" w:rsidRDefault="00727040" w:rsidP="00727040">
      <w:pPr>
        <w:pStyle w:val="Textoindependiente"/>
        <w:ind w:left="284" w:right="142"/>
        <w:jc w:val="both"/>
        <w:rPr>
          <w:rFonts w:ascii="Bookman Old Style" w:hAnsi="Bookman Old Style"/>
          <w:b w:val="0"/>
          <w:bCs w:val="0"/>
          <w:iCs/>
        </w:rPr>
      </w:pPr>
      <w:r w:rsidRPr="00727040">
        <w:rPr>
          <w:rFonts w:ascii="Bookman Old Style" w:hAnsi="Bookman Old Style"/>
          <w:b w:val="0"/>
          <w:bCs w:val="0"/>
          <w:iCs/>
        </w:rPr>
        <w:lastRenderedPageBreak/>
        <w:t>El artículo 6 de la Ley 143 de 1994, entre otros aspectos, establece que las actividades relacionadas con el servicio de electricidad se regirán por el principio de adaptabilidad</w:t>
      </w:r>
      <w:r w:rsidR="00EB7486">
        <w:rPr>
          <w:rFonts w:ascii="Bookman Old Style" w:hAnsi="Bookman Old Style"/>
          <w:b w:val="0"/>
          <w:bCs w:val="0"/>
          <w:iCs/>
          <w:lang w:val="es-CO"/>
        </w:rPr>
        <w:t>,</w:t>
      </w:r>
      <w:r w:rsidRPr="00727040">
        <w:rPr>
          <w:rFonts w:ascii="Bookman Old Style" w:hAnsi="Bookman Old Style"/>
          <w:b w:val="0"/>
          <w:bCs w:val="0"/>
          <w:iCs/>
        </w:rPr>
        <w:t xml:space="preserve"> que conduce a la incorporación de los avances de la ciencia y la tecnología que aporten mayor calidad y eficiencia en la prestación del servicio</w:t>
      </w:r>
      <w:r w:rsidR="00FD1881">
        <w:rPr>
          <w:rFonts w:ascii="Bookman Old Style" w:hAnsi="Bookman Old Style"/>
          <w:b w:val="0"/>
          <w:bCs w:val="0"/>
          <w:iCs/>
        </w:rPr>
        <w:t xml:space="preserve"> al menor costo económico.</w:t>
      </w:r>
    </w:p>
    <w:p w:rsidR="00727040" w:rsidRDefault="00727040" w:rsidP="00727040">
      <w:pPr>
        <w:pStyle w:val="Textoindependiente"/>
        <w:ind w:left="284" w:right="142"/>
        <w:jc w:val="both"/>
        <w:rPr>
          <w:rFonts w:ascii="Bookman Old Style" w:hAnsi="Bookman Old Style"/>
          <w:b w:val="0"/>
          <w:bCs w:val="0"/>
          <w:iCs/>
        </w:rPr>
      </w:pPr>
    </w:p>
    <w:p w:rsidR="0047432C" w:rsidRDefault="009B5A32" w:rsidP="00727040">
      <w:pPr>
        <w:pStyle w:val="Textoindependiente"/>
        <w:ind w:left="284" w:right="142"/>
        <w:jc w:val="both"/>
        <w:rPr>
          <w:rFonts w:ascii="Bookman Old Style" w:eastAsia="Calibri" w:hAnsi="Bookman Old Style"/>
          <w:b w:val="0"/>
          <w:color w:val="000000"/>
        </w:rPr>
      </w:pPr>
      <w:r w:rsidRPr="00367078">
        <w:rPr>
          <w:rFonts w:ascii="Bookman Old Style" w:hAnsi="Bookman Old Style"/>
          <w:b w:val="0"/>
          <w:bCs w:val="0"/>
          <w:iCs/>
        </w:rPr>
        <w:t xml:space="preserve">La Comisión de Regulación de Energía y Gas, CREG, mediante la Resolución CREG 091 de 2007, estableció las metodologías generales para remunerar las actividades de generación, distribución y comercialización de energía eléctrica, y las fórmulas tarifarias generales para </w:t>
      </w:r>
      <w:r>
        <w:rPr>
          <w:rFonts w:ascii="Bookman Old Style" w:hAnsi="Bookman Old Style"/>
          <w:b w:val="0"/>
          <w:bCs w:val="0"/>
          <w:iCs/>
        </w:rPr>
        <w:t>determinar</w:t>
      </w:r>
      <w:r w:rsidRPr="00367078">
        <w:rPr>
          <w:rFonts w:ascii="Bookman Old Style" w:hAnsi="Bookman Old Style"/>
          <w:b w:val="0"/>
          <w:bCs w:val="0"/>
          <w:iCs/>
        </w:rPr>
        <w:t xml:space="preserve"> el costo unitario de prestación del servicio p</w:t>
      </w:r>
      <w:r w:rsidR="00F0393C">
        <w:rPr>
          <w:rFonts w:ascii="Bookman Old Style" w:hAnsi="Bookman Old Style"/>
          <w:b w:val="0"/>
          <w:bCs w:val="0"/>
          <w:iCs/>
        </w:rPr>
        <w:t xml:space="preserve">úblico de energía eléctrica en zonas </w:t>
      </w:r>
      <w:r w:rsidR="00F0393C">
        <w:rPr>
          <w:rFonts w:ascii="Bookman Old Style" w:hAnsi="Bookman Old Style"/>
          <w:b w:val="0"/>
          <w:bCs w:val="0"/>
          <w:iCs/>
          <w:lang w:val="es-CO"/>
        </w:rPr>
        <w:t>n</w:t>
      </w:r>
      <w:r w:rsidR="00F0393C">
        <w:rPr>
          <w:rFonts w:ascii="Bookman Old Style" w:hAnsi="Bookman Old Style"/>
          <w:b w:val="0"/>
          <w:bCs w:val="0"/>
          <w:iCs/>
        </w:rPr>
        <w:t xml:space="preserve">o </w:t>
      </w:r>
      <w:r w:rsidR="00F0393C" w:rsidRPr="00367078">
        <w:rPr>
          <w:rFonts w:ascii="Bookman Old Style" w:hAnsi="Bookman Old Style"/>
          <w:b w:val="0"/>
          <w:bCs w:val="0"/>
          <w:iCs/>
        </w:rPr>
        <w:t>interconectadas</w:t>
      </w:r>
      <w:r w:rsidRPr="00367078">
        <w:rPr>
          <w:rFonts w:ascii="Bookman Old Style" w:hAnsi="Bookman Old Style"/>
          <w:b w:val="0"/>
          <w:bCs w:val="0"/>
          <w:i/>
          <w:iCs/>
        </w:rPr>
        <w:t>.</w:t>
      </w:r>
      <w:r>
        <w:rPr>
          <w:rFonts w:ascii="Bookman Old Style" w:hAnsi="Bookman Old Style"/>
          <w:b w:val="0"/>
          <w:bCs w:val="0"/>
          <w:i/>
          <w:iCs/>
          <w:lang w:val="es-CO"/>
        </w:rPr>
        <w:t xml:space="preserve"> </w:t>
      </w:r>
      <w:r w:rsidR="0047432C" w:rsidRPr="009B5A32">
        <w:rPr>
          <w:rFonts w:ascii="Bookman Old Style" w:eastAsia="Calibri" w:hAnsi="Bookman Old Style"/>
          <w:b w:val="0"/>
          <w:color w:val="000000"/>
        </w:rPr>
        <w:t xml:space="preserve">La misma fue publicada </w:t>
      </w:r>
      <w:r w:rsidR="000B23C4" w:rsidRPr="009B5A32">
        <w:rPr>
          <w:rFonts w:ascii="Bookman Old Style" w:eastAsia="Calibri" w:hAnsi="Bookman Old Style"/>
          <w:b w:val="0"/>
          <w:color w:val="000000"/>
        </w:rPr>
        <w:t xml:space="preserve">en el Diario Oficial </w:t>
      </w:r>
      <w:r w:rsidR="0047432C" w:rsidRPr="009B5A32">
        <w:rPr>
          <w:rFonts w:ascii="Bookman Old Style" w:eastAsia="Calibri" w:hAnsi="Bookman Old Style"/>
          <w:b w:val="0"/>
          <w:color w:val="000000"/>
        </w:rPr>
        <w:t xml:space="preserve">el 24 de enero de 2008 y quedó en firme el 31 de enero de 2008. </w:t>
      </w:r>
    </w:p>
    <w:p w:rsidR="00554A91" w:rsidRDefault="00554A91" w:rsidP="00727040">
      <w:pPr>
        <w:pStyle w:val="Textoindependiente"/>
        <w:ind w:left="284" w:right="142"/>
        <w:jc w:val="both"/>
        <w:rPr>
          <w:rFonts w:ascii="Bookman Old Style" w:eastAsia="Calibri" w:hAnsi="Bookman Old Style"/>
          <w:b w:val="0"/>
          <w:color w:val="000000"/>
        </w:rPr>
      </w:pPr>
    </w:p>
    <w:p w:rsidR="00920F21" w:rsidRDefault="00920F21" w:rsidP="00920F21">
      <w:pPr>
        <w:pStyle w:val="Textoindependiente"/>
        <w:ind w:left="284" w:right="142"/>
        <w:jc w:val="both"/>
        <w:rPr>
          <w:rFonts w:ascii="Bookman Old Style" w:eastAsia="Calibri" w:hAnsi="Bookman Old Style"/>
          <w:b w:val="0"/>
          <w:color w:val="000000"/>
          <w:lang w:val="es-CO"/>
        </w:rPr>
      </w:pPr>
      <w:r w:rsidRPr="0053247C">
        <w:rPr>
          <w:rFonts w:ascii="Bookman Old Style" w:eastAsia="Calibri" w:hAnsi="Bookman Old Style"/>
          <w:b w:val="0"/>
          <w:color w:val="000000"/>
          <w:lang w:val="es-CO"/>
        </w:rPr>
        <w:t>En la Resolución CREG 091 de 2007</w:t>
      </w:r>
      <w:r w:rsidR="000E1B23">
        <w:rPr>
          <w:rFonts w:ascii="Bookman Old Style" w:eastAsia="Calibri" w:hAnsi="Bookman Old Style"/>
          <w:b w:val="0"/>
          <w:color w:val="000000"/>
          <w:lang w:val="es-CO"/>
        </w:rPr>
        <w:t>, modificada por la Resolución CREG 097 de 2009,</w:t>
      </w:r>
      <w:r w:rsidRPr="0053247C">
        <w:rPr>
          <w:rFonts w:ascii="Bookman Old Style" w:eastAsia="Calibri" w:hAnsi="Bookman Old Style"/>
          <w:b w:val="0"/>
          <w:color w:val="000000"/>
          <w:lang w:val="es-CO"/>
        </w:rPr>
        <w:t xml:space="preserve"> se define Mercado Relevante de Comercialización como el conjunto de usuarios conectados a un mismo Sistema de Distribución Local o atendido sin red física por un Distribuidor.</w:t>
      </w:r>
      <w:r w:rsidRPr="00920F21">
        <w:rPr>
          <w:rFonts w:ascii="Bookman Old Style" w:eastAsia="Calibri" w:hAnsi="Bookman Old Style"/>
          <w:b w:val="0"/>
          <w:color w:val="000000"/>
          <w:lang w:val="es-CO"/>
        </w:rPr>
        <w:t xml:space="preserve"> </w:t>
      </w:r>
    </w:p>
    <w:p w:rsidR="0053247C" w:rsidRDefault="0053247C" w:rsidP="00920F21">
      <w:pPr>
        <w:pStyle w:val="Textoindependiente"/>
        <w:ind w:left="284" w:right="142"/>
        <w:jc w:val="both"/>
        <w:rPr>
          <w:rFonts w:ascii="Bookman Old Style" w:eastAsia="Calibri" w:hAnsi="Bookman Old Style"/>
          <w:b w:val="0"/>
          <w:color w:val="000000"/>
          <w:lang w:val="es-CO"/>
        </w:rPr>
      </w:pPr>
    </w:p>
    <w:p w:rsidR="00920F21" w:rsidRDefault="00920F21" w:rsidP="00727040">
      <w:pPr>
        <w:pStyle w:val="Textoindependiente"/>
        <w:ind w:left="284" w:right="142"/>
        <w:jc w:val="both"/>
        <w:rPr>
          <w:rFonts w:ascii="Bookman Old Style" w:eastAsia="Calibri" w:hAnsi="Bookman Old Style"/>
          <w:b w:val="0"/>
          <w:color w:val="000000"/>
          <w:lang w:val="es-CO"/>
        </w:rPr>
      </w:pPr>
      <w:r>
        <w:rPr>
          <w:rFonts w:ascii="Bookman Old Style" w:eastAsia="Calibri" w:hAnsi="Bookman Old Style"/>
          <w:b w:val="0"/>
          <w:color w:val="000000"/>
          <w:lang w:val="es-CO"/>
        </w:rPr>
        <w:t xml:space="preserve">En la Resolución CREG 091 de 2007 se define </w:t>
      </w:r>
      <w:r w:rsidRPr="00920F21">
        <w:rPr>
          <w:rFonts w:ascii="Bookman Old Style" w:eastAsia="Calibri" w:hAnsi="Bookman Old Style"/>
          <w:b w:val="0"/>
          <w:color w:val="000000"/>
          <w:lang w:val="es-CO"/>
        </w:rPr>
        <w:t>Parque de Generación</w:t>
      </w:r>
      <w:r>
        <w:rPr>
          <w:rFonts w:ascii="Bookman Old Style" w:eastAsia="Calibri" w:hAnsi="Bookman Old Style"/>
          <w:b w:val="0"/>
          <w:color w:val="000000"/>
          <w:lang w:val="es-CO"/>
        </w:rPr>
        <w:t xml:space="preserve"> como el c</w:t>
      </w:r>
      <w:r w:rsidRPr="00920F21">
        <w:rPr>
          <w:rFonts w:ascii="Bookman Old Style" w:eastAsia="Calibri" w:hAnsi="Bookman Old Style"/>
          <w:b w:val="0"/>
          <w:color w:val="000000"/>
          <w:lang w:val="es-CO"/>
        </w:rPr>
        <w:t>onjunto de unidades de generación con el que se atiende un Mercado Relevante de Comercialización.</w:t>
      </w:r>
    </w:p>
    <w:p w:rsidR="0047432C" w:rsidRPr="0053247C" w:rsidRDefault="0047432C" w:rsidP="00727040">
      <w:pPr>
        <w:pStyle w:val="Style2"/>
        <w:shd w:val="clear" w:color="auto" w:fill="auto"/>
        <w:spacing w:before="0" w:line="240" w:lineRule="auto"/>
        <w:ind w:left="284" w:right="142" w:firstLine="0"/>
        <w:jc w:val="both"/>
        <w:rPr>
          <w:rFonts w:ascii="Bookman Old Style" w:hAnsi="Bookman Old Style"/>
          <w:sz w:val="24"/>
          <w:szCs w:val="24"/>
          <w:highlight w:val="lightGray"/>
          <w:lang w:val="es-CO"/>
        </w:rPr>
      </w:pPr>
    </w:p>
    <w:p w:rsidR="00727040" w:rsidRDefault="00347486" w:rsidP="002A0C9C">
      <w:pPr>
        <w:pStyle w:val="Style2"/>
        <w:shd w:val="clear" w:color="auto" w:fill="auto"/>
        <w:spacing w:before="0" w:line="240" w:lineRule="auto"/>
        <w:ind w:left="284" w:right="51" w:firstLine="0"/>
        <w:jc w:val="both"/>
        <w:rPr>
          <w:rFonts w:ascii="Bookman Old Style" w:hAnsi="Bookman Old Style"/>
          <w:sz w:val="24"/>
          <w:szCs w:val="23"/>
        </w:rPr>
      </w:pPr>
      <w:r>
        <w:rPr>
          <w:rFonts w:ascii="Bookman Old Style" w:hAnsi="Bookman Old Style"/>
          <w:sz w:val="24"/>
          <w:szCs w:val="23"/>
        </w:rPr>
        <w:t>En consonancia con lo anterior</w:t>
      </w:r>
      <w:r w:rsidR="0053247C">
        <w:rPr>
          <w:rFonts w:ascii="Bookman Old Style" w:hAnsi="Bookman Old Style"/>
          <w:sz w:val="24"/>
          <w:szCs w:val="23"/>
        </w:rPr>
        <w:t xml:space="preserve">, el mercado relevante al que aplica el presente acto administrativo corresponde al mercado </w:t>
      </w:r>
      <w:r w:rsidR="002A0C9C">
        <w:rPr>
          <w:rFonts w:ascii="Bookman Old Style" w:hAnsi="Bookman Old Style"/>
          <w:sz w:val="24"/>
          <w:szCs w:val="23"/>
        </w:rPr>
        <w:t xml:space="preserve">conformado por </w:t>
      </w:r>
      <w:r w:rsidR="0053247C">
        <w:rPr>
          <w:rFonts w:ascii="Bookman Old Style" w:hAnsi="Bookman Old Style"/>
          <w:sz w:val="24"/>
          <w:szCs w:val="23"/>
        </w:rPr>
        <w:t xml:space="preserve">la cabecera municipal de </w:t>
      </w:r>
      <w:proofErr w:type="spellStart"/>
      <w:r w:rsidR="0053247C">
        <w:rPr>
          <w:rFonts w:ascii="Bookman Old Style" w:hAnsi="Bookman Old Style"/>
          <w:sz w:val="24"/>
          <w:szCs w:val="23"/>
        </w:rPr>
        <w:t>Unguía</w:t>
      </w:r>
      <w:proofErr w:type="spellEnd"/>
      <w:r w:rsidR="0053247C">
        <w:rPr>
          <w:rFonts w:ascii="Bookman Old Style" w:hAnsi="Bookman Old Style"/>
          <w:sz w:val="24"/>
          <w:szCs w:val="23"/>
        </w:rPr>
        <w:t xml:space="preserve"> y las</w:t>
      </w:r>
      <w:r w:rsidR="002A0C9C">
        <w:rPr>
          <w:rFonts w:ascii="Bookman Old Style" w:hAnsi="Bookman Old Style"/>
          <w:sz w:val="24"/>
          <w:szCs w:val="23"/>
        </w:rPr>
        <w:t xml:space="preserve"> demás poblaciones atendidas con el mismo sistema de distribución</w:t>
      </w:r>
      <w:r w:rsidR="00EB7486">
        <w:rPr>
          <w:rFonts w:ascii="Bookman Old Style" w:hAnsi="Bookman Old Style"/>
          <w:sz w:val="24"/>
          <w:szCs w:val="23"/>
        </w:rPr>
        <w:t>,</w:t>
      </w:r>
      <w:r w:rsidR="0057267D">
        <w:rPr>
          <w:rFonts w:ascii="Bookman Old Style" w:hAnsi="Bookman Old Style"/>
          <w:sz w:val="24"/>
          <w:szCs w:val="23"/>
        </w:rPr>
        <w:t xml:space="preserve"> que </w:t>
      </w:r>
      <w:r w:rsidR="0057267D" w:rsidRPr="008F3A6A">
        <w:rPr>
          <w:rFonts w:ascii="Bookman Old Style" w:hAnsi="Bookman Old Style"/>
          <w:sz w:val="24"/>
          <w:szCs w:val="23"/>
        </w:rPr>
        <w:t>se encuentr</w:t>
      </w:r>
      <w:r w:rsidR="00EB7486" w:rsidRPr="008F3A6A">
        <w:rPr>
          <w:rFonts w:ascii="Bookman Old Style" w:hAnsi="Bookman Old Style"/>
          <w:sz w:val="24"/>
          <w:szCs w:val="23"/>
        </w:rPr>
        <w:t>a</w:t>
      </w:r>
      <w:r w:rsidR="0057267D" w:rsidRPr="008F3A6A">
        <w:rPr>
          <w:rFonts w:ascii="Bookman Old Style" w:hAnsi="Bookman Old Style"/>
          <w:sz w:val="24"/>
          <w:szCs w:val="23"/>
        </w:rPr>
        <w:t>n</w:t>
      </w:r>
      <w:r w:rsidR="002A0C9C" w:rsidRPr="008F3A6A">
        <w:rPr>
          <w:rFonts w:ascii="Bookman Old Style" w:hAnsi="Bookman Old Style"/>
          <w:sz w:val="24"/>
          <w:szCs w:val="23"/>
        </w:rPr>
        <w:t xml:space="preserve"> </w:t>
      </w:r>
      <w:r w:rsidR="0053247C" w:rsidRPr="008F3A6A">
        <w:rPr>
          <w:rFonts w:ascii="Bookman Old Style" w:hAnsi="Bookman Old Style"/>
          <w:sz w:val="24"/>
          <w:szCs w:val="23"/>
        </w:rPr>
        <w:t>ubicadas</w:t>
      </w:r>
      <w:r w:rsidR="0053247C" w:rsidRPr="0053247C">
        <w:rPr>
          <w:rFonts w:ascii="Bookman Old Style" w:hAnsi="Bookman Old Style"/>
          <w:sz w:val="24"/>
          <w:szCs w:val="23"/>
        </w:rPr>
        <w:t xml:space="preserve"> en el departamento del Chocó.</w:t>
      </w:r>
    </w:p>
    <w:p w:rsidR="0053247C" w:rsidRDefault="0053247C" w:rsidP="00921B91">
      <w:pPr>
        <w:pStyle w:val="Style2"/>
        <w:shd w:val="clear" w:color="auto" w:fill="auto"/>
        <w:spacing w:before="0" w:line="240" w:lineRule="auto"/>
        <w:ind w:left="284" w:right="51" w:firstLine="0"/>
        <w:jc w:val="both"/>
        <w:rPr>
          <w:rFonts w:ascii="Bookman Old Style" w:hAnsi="Bookman Old Style"/>
          <w:sz w:val="24"/>
          <w:szCs w:val="23"/>
        </w:rPr>
      </w:pPr>
    </w:p>
    <w:p w:rsidR="0053247C" w:rsidRDefault="00217657" w:rsidP="00921B91">
      <w:pPr>
        <w:pStyle w:val="Style2"/>
        <w:shd w:val="clear" w:color="auto" w:fill="auto"/>
        <w:spacing w:before="0" w:line="240" w:lineRule="auto"/>
        <w:ind w:left="284" w:right="51" w:firstLine="0"/>
        <w:jc w:val="both"/>
        <w:rPr>
          <w:rFonts w:ascii="Bookman Old Style" w:hAnsi="Bookman Old Style"/>
          <w:sz w:val="24"/>
          <w:szCs w:val="23"/>
        </w:rPr>
      </w:pPr>
      <w:r>
        <w:rPr>
          <w:rFonts w:ascii="Bookman Old Style" w:hAnsi="Bookman Old Style"/>
          <w:sz w:val="24"/>
          <w:szCs w:val="23"/>
        </w:rPr>
        <w:t>En el artículo 26 de la Resolución CREG 091 de 2007 se define la obligación de los prestadores del servicio de energía eléctrica con capacidad instalada total nominal superior a 100 kW</w:t>
      </w:r>
      <w:r w:rsidR="00EB7486">
        <w:rPr>
          <w:rFonts w:ascii="Bookman Old Style" w:hAnsi="Bookman Old Style"/>
          <w:sz w:val="24"/>
          <w:szCs w:val="23"/>
        </w:rPr>
        <w:t>,</w:t>
      </w:r>
      <w:r>
        <w:rPr>
          <w:rFonts w:ascii="Bookman Old Style" w:hAnsi="Bookman Old Style"/>
          <w:sz w:val="24"/>
          <w:szCs w:val="23"/>
        </w:rPr>
        <w:t xml:space="preserve"> de contar con equipos instalados en las centrales de generación que permitan realizar el registro de la producción </w:t>
      </w:r>
      <w:r w:rsidR="00FB2D39">
        <w:rPr>
          <w:rFonts w:ascii="Bookman Old Style" w:hAnsi="Bookman Old Style"/>
          <w:sz w:val="24"/>
          <w:szCs w:val="23"/>
        </w:rPr>
        <w:t>horaria de energía con acumuladores mensuales, de los niveles de voltaje</w:t>
      </w:r>
      <w:r w:rsidR="00EB7486">
        <w:rPr>
          <w:rFonts w:ascii="Bookman Old Style" w:hAnsi="Bookman Old Style"/>
          <w:sz w:val="24"/>
          <w:szCs w:val="23"/>
        </w:rPr>
        <w:t>,</w:t>
      </w:r>
      <w:r w:rsidR="00FB2D39">
        <w:rPr>
          <w:rFonts w:ascii="Bookman Old Style" w:hAnsi="Bookman Old Style"/>
          <w:sz w:val="24"/>
          <w:szCs w:val="23"/>
        </w:rPr>
        <w:t xml:space="preserve"> y el envío satelital o por cualquier otro medio de la información generada</w:t>
      </w:r>
      <w:r w:rsidR="00EB7486">
        <w:rPr>
          <w:rFonts w:ascii="Bookman Old Style" w:hAnsi="Bookman Old Style"/>
          <w:sz w:val="24"/>
          <w:szCs w:val="23"/>
        </w:rPr>
        <w:t>,</w:t>
      </w:r>
      <w:r w:rsidR="00FB2D39">
        <w:rPr>
          <w:rFonts w:ascii="Bookman Old Style" w:hAnsi="Bookman Old Style"/>
          <w:sz w:val="24"/>
          <w:szCs w:val="23"/>
        </w:rPr>
        <w:t xml:space="preserve"> al Ministerio de Minas y Energía. </w:t>
      </w:r>
    </w:p>
    <w:p w:rsidR="0057267D" w:rsidRDefault="0057267D" w:rsidP="00921B91">
      <w:pPr>
        <w:pStyle w:val="Style2"/>
        <w:shd w:val="clear" w:color="auto" w:fill="auto"/>
        <w:spacing w:before="0" w:line="240" w:lineRule="auto"/>
        <w:ind w:left="284" w:right="51" w:firstLine="0"/>
        <w:jc w:val="both"/>
        <w:rPr>
          <w:rFonts w:ascii="Bookman Old Style" w:hAnsi="Bookman Old Style"/>
          <w:sz w:val="24"/>
          <w:szCs w:val="23"/>
        </w:rPr>
      </w:pPr>
    </w:p>
    <w:p w:rsidR="00217657" w:rsidRDefault="00217657" w:rsidP="00921B91">
      <w:pPr>
        <w:pStyle w:val="Style2"/>
        <w:shd w:val="clear" w:color="auto" w:fill="auto"/>
        <w:spacing w:before="0" w:line="240" w:lineRule="auto"/>
        <w:ind w:left="284" w:right="51" w:firstLine="0"/>
        <w:jc w:val="both"/>
        <w:rPr>
          <w:rFonts w:ascii="Bookman Old Style" w:hAnsi="Bookman Old Style"/>
          <w:sz w:val="24"/>
          <w:szCs w:val="23"/>
        </w:rPr>
      </w:pPr>
    </w:p>
    <w:p w:rsidR="00DE4BF8" w:rsidRPr="00552F05" w:rsidRDefault="005878BF" w:rsidP="005878BF">
      <w:pPr>
        <w:numPr>
          <w:ilvl w:val="0"/>
          <w:numId w:val="8"/>
        </w:numPr>
        <w:ind w:right="142"/>
        <w:jc w:val="both"/>
        <w:rPr>
          <w:rFonts w:ascii="Bookman Old Style" w:hAnsi="Bookman Old Style" w:cs="Arial"/>
          <w:b/>
        </w:rPr>
      </w:pPr>
      <w:r w:rsidRPr="00552F05">
        <w:rPr>
          <w:rFonts w:ascii="Bookman Old Style" w:hAnsi="Bookman Old Style" w:cs="Arial"/>
          <w:b/>
        </w:rPr>
        <w:t>LA SOLICITUD</w:t>
      </w:r>
    </w:p>
    <w:p w:rsidR="005878BF" w:rsidRDefault="005878BF" w:rsidP="001459AA">
      <w:pPr>
        <w:ind w:left="284" w:right="142"/>
        <w:jc w:val="both"/>
        <w:rPr>
          <w:rFonts w:ascii="Bookman Old Style" w:hAnsi="Bookman Old Style" w:cs="Arial"/>
        </w:rPr>
      </w:pPr>
    </w:p>
    <w:p w:rsidR="00844F56" w:rsidRDefault="00B92DDF" w:rsidP="00844F56">
      <w:pPr>
        <w:ind w:left="284" w:right="142"/>
        <w:jc w:val="both"/>
        <w:rPr>
          <w:rFonts w:ascii="Bookman Old Style" w:hAnsi="Bookman Old Style" w:cs="Arial"/>
          <w:szCs w:val="23"/>
          <w:lang w:eastAsia="es-CO"/>
        </w:rPr>
      </w:pPr>
      <w:r w:rsidRPr="00B92DDF">
        <w:rPr>
          <w:rFonts w:ascii="Bookman Old Style" w:hAnsi="Bookman Old Style" w:cs="Arial"/>
          <w:szCs w:val="23"/>
          <w:lang w:eastAsia="es-CO"/>
        </w:rPr>
        <w:t>Mediante comunicac</w:t>
      </w:r>
      <w:r w:rsidR="002946D7">
        <w:rPr>
          <w:rFonts w:ascii="Bookman Old Style" w:hAnsi="Bookman Old Style" w:cs="Arial"/>
          <w:szCs w:val="23"/>
          <w:lang w:eastAsia="es-CO"/>
        </w:rPr>
        <w:t>iones</w:t>
      </w:r>
      <w:r w:rsidRPr="00B92DDF">
        <w:rPr>
          <w:rFonts w:ascii="Bookman Old Style" w:hAnsi="Bookman Old Style" w:cs="Arial"/>
          <w:szCs w:val="23"/>
          <w:lang w:eastAsia="es-CO"/>
        </w:rPr>
        <w:t xml:space="preserve"> con número de radicado </w:t>
      </w:r>
      <w:r w:rsidR="002946D7" w:rsidRPr="00B92DDF">
        <w:rPr>
          <w:rFonts w:ascii="Bookman Old Style" w:hAnsi="Bookman Old Style" w:cs="Arial"/>
          <w:szCs w:val="23"/>
          <w:lang w:eastAsia="es-CO"/>
        </w:rPr>
        <w:t>CREG E-201</w:t>
      </w:r>
      <w:r w:rsidR="002946D7">
        <w:rPr>
          <w:rFonts w:ascii="Bookman Old Style" w:hAnsi="Bookman Old Style" w:cs="Arial"/>
          <w:szCs w:val="23"/>
          <w:lang w:eastAsia="es-CO"/>
        </w:rPr>
        <w:t xml:space="preserve">8-010603 del 11 de octubre de 2018 y </w:t>
      </w:r>
      <w:r w:rsidRPr="00B92DDF">
        <w:rPr>
          <w:rFonts w:ascii="Bookman Old Style" w:hAnsi="Bookman Old Style" w:cs="Arial"/>
          <w:szCs w:val="23"/>
          <w:lang w:eastAsia="es-CO"/>
        </w:rPr>
        <w:t>CREG E-2019-000483 del 17 de enero de 2019, complementada con las comunicaciones con número de radicado CREG E</w:t>
      </w:r>
      <w:r w:rsidR="00EB7486">
        <w:rPr>
          <w:rFonts w:ascii="Bookman Old Style" w:hAnsi="Bookman Old Style" w:cs="Arial"/>
          <w:szCs w:val="23"/>
          <w:lang w:eastAsia="es-CO"/>
        </w:rPr>
        <w:noBreakHyphen/>
      </w:r>
      <w:r w:rsidRPr="00B92DDF">
        <w:rPr>
          <w:rFonts w:ascii="Bookman Old Style" w:hAnsi="Bookman Old Style" w:cs="Arial"/>
          <w:szCs w:val="23"/>
          <w:lang w:eastAsia="es-CO"/>
        </w:rPr>
        <w:t>2019-003105,</w:t>
      </w:r>
      <w:r w:rsidR="00844F56">
        <w:rPr>
          <w:rFonts w:ascii="Bookman Old Style" w:hAnsi="Bookman Old Style" w:cs="Arial"/>
          <w:szCs w:val="23"/>
          <w:lang w:eastAsia="es-CO"/>
        </w:rPr>
        <w:t xml:space="preserve"> </w:t>
      </w:r>
      <w:r w:rsidRPr="00B92DDF">
        <w:rPr>
          <w:rFonts w:ascii="Bookman Old Style" w:hAnsi="Bookman Old Style" w:cs="Arial"/>
          <w:szCs w:val="23"/>
          <w:lang w:eastAsia="es-CO"/>
        </w:rPr>
        <w:t xml:space="preserve">E-2019-004218 y E-2019-005288 del 09 de mayo de </w:t>
      </w:r>
      <w:r w:rsidRPr="003117D5">
        <w:rPr>
          <w:rFonts w:ascii="Bookman Old Style" w:hAnsi="Bookman Old Style" w:cs="Arial"/>
          <w:szCs w:val="23"/>
          <w:lang w:eastAsia="es-CO"/>
        </w:rPr>
        <w:t>2019</w:t>
      </w:r>
      <w:r w:rsidR="00EB7486">
        <w:rPr>
          <w:rFonts w:ascii="Bookman Old Style" w:hAnsi="Bookman Old Style" w:cs="Arial"/>
          <w:szCs w:val="23"/>
          <w:lang w:eastAsia="es-CO"/>
        </w:rPr>
        <w:t>,</w:t>
      </w:r>
      <w:r w:rsidRPr="003117D5">
        <w:rPr>
          <w:rFonts w:ascii="Bookman Old Style" w:hAnsi="Bookman Old Style" w:cs="Arial"/>
          <w:szCs w:val="23"/>
          <w:lang w:eastAsia="es-CO"/>
        </w:rPr>
        <w:t xml:space="preserve"> </w:t>
      </w:r>
      <w:r w:rsidR="00844F56" w:rsidRPr="00B92DDF">
        <w:rPr>
          <w:rFonts w:ascii="Bookman Old Style" w:hAnsi="Bookman Old Style" w:cs="Arial"/>
          <w:szCs w:val="23"/>
          <w:lang w:eastAsia="es-CO"/>
        </w:rPr>
        <w:t xml:space="preserve">la Empresa de Servicios Públicos Domiciliarios de </w:t>
      </w:r>
      <w:proofErr w:type="spellStart"/>
      <w:r w:rsidR="00844F56" w:rsidRPr="00B92DDF">
        <w:rPr>
          <w:rFonts w:ascii="Bookman Old Style" w:hAnsi="Bookman Old Style" w:cs="Arial"/>
          <w:szCs w:val="23"/>
          <w:lang w:eastAsia="es-CO"/>
        </w:rPr>
        <w:t>Unguía</w:t>
      </w:r>
      <w:proofErr w:type="spellEnd"/>
      <w:r w:rsidR="00844F56" w:rsidRPr="00B92DDF">
        <w:rPr>
          <w:rFonts w:ascii="Bookman Old Style" w:hAnsi="Bookman Old Style" w:cs="Arial"/>
          <w:szCs w:val="23"/>
          <w:lang w:eastAsia="es-CO"/>
        </w:rPr>
        <w:t xml:space="preserve"> S.A</w:t>
      </w:r>
      <w:r w:rsidR="00EB7486">
        <w:rPr>
          <w:rFonts w:ascii="Bookman Old Style" w:hAnsi="Bookman Old Style" w:cs="Arial"/>
          <w:szCs w:val="23"/>
          <w:lang w:eastAsia="es-CO"/>
        </w:rPr>
        <w:t>.</w:t>
      </w:r>
      <w:r w:rsidR="00844F56" w:rsidRPr="00B92DDF">
        <w:rPr>
          <w:rFonts w:ascii="Bookman Old Style" w:hAnsi="Bookman Old Style" w:cs="Arial"/>
          <w:szCs w:val="23"/>
          <w:lang w:eastAsia="es-CO"/>
        </w:rPr>
        <w:t xml:space="preserve"> E</w:t>
      </w:r>
      <w:r w:rsidR="00844F56">
        <w:rPr>
          <w:rFonts w:ascii="Bookman Old Style" w:hAnsi="Bookman Old Style" w:cs="Arial"/>
          <w:szCs w:val="23"/>
          <w:lang w:eastAsia="es-CO"/>
        </w:rPr>
        <w:t>.</w:t>
      </w:r>
      <w:r w:rsidR="00844F56" w:rsidRPr="00B92DDF">
        <w:rPr>
          <w:rFonts w:ascii="Bookman Old Style" w:hAnsi="Bookman Old Style" w:cs="Arial"/>
          <w:szCs w:val="23"/>
          <w:lang w:eastAsia="es-CO"/>
        </w:rPr>
        <w:t>S</w:t>
      </w:r>
      <w:r w:rsidR="00844F56">
        <w:rPr>
          <w:rFonts w:ascii="Bookman Old Style" w:hAnsi="Bookman Old Style" w:cs="Arial"/>
          <w:szCs w:val="23"/>
          <w:lang w:eastAsia="es-CO"/>
        </w:rPr>
        <w:t>.</w:t>
      </w:r>
      <w:r w:rsidR="00844F56" w:rsidRPr="00B92DDF">
        <w:rPr>
          <w:rFonts w:ascii="Bookman Old Style" w:hAnsi="Bookman Old Style" w:cs="Arial"/>
          <w:szCs w:val="23"/>
          <w:lang w:eastAsia="es-CO"/>
        </w:rPr>
        <w:t>P</w:t>
      </w:r>
      <w:r w:rsidR="00844F56">
        <w:rPr>
          <w:rFonts w:ascii="Bookman Old Style" w:hAnsi="Bookman Old Style" w:cs="Arial"/>
          <w:szCs w:val="23"/>
          <w:lang w:eastAsia="es-CO"/>
        </w:rPr>
        <w:t>., en adelante</w:t>
      </w:r>
      <w:r w:rsidR="00844F56" w:rsidRPr="00B92DDF">
        <w:rPr>
          <w:rFonts w:ascii="Bookman Old Style" w:hAnsi="Bookman Old Style" w:cs="Arial"/>
          <w:szCs w:val="23"/>
          <w:lang w:eastAsia="es-CO"/>
        </w:rPr>
        <w:t xml:space="preserve"> ESPUN S.A</w:t>
      </w:r>
      <w:r w:rsidR="00EB7486">
        <w:rPr>
          <w:rFonts w:ascii="Bookman Old Style" w:hAnsi="Bookman Old Style" w:cs="Arial"/>
          <w:szCs w:val="23"/>
          <w:lang w:eastAsia="es-CO"/>
        </w:rPr>
        <w:t>.</w:t>
      </w:r>
      <w:r w:rsidR="00844F56" w:rsidRPr="00B92DDF">
        <w:rPr>
          <w:rFonts w:ascii="Bookman Old Style" w:hAnsi="Bookman Old Style" w:cs="Arial"/>
          <w:szCs w:val="23"/>
          <w:lang w:eastAsia="es-CO"/>
        </w:rPr>
        <w:t xml:space="preserve"> E</w:t>
      </w:r>
      <w:r w:rsidR="00844F56">
        <w:rPr>
          <w:rFonts w:ascii="Bookman Old Style" w:hAnsi="Bookman Old Style" w:cs="Arial"/>
          <w:szCs w:val="23"/>
          <w:lang w:eastAsia="es-CO"/>
        </w:rPr>
        <w:t>.</w:t>
      </w:r>
      <w:r w:rsidR="00844F56" w:rsidRPr="00B92DDF">
        <w:rPr>
          <w:rFonts w:ascii="Bookman Old Style" w:hAnsi="Bookman Old Style" w:cs="Arial"/>
          <w:szCs w:val="23"/>
          <w:lang w:eastAsia="es-CO"/>
        </w:rPr>
        <w:t>S</w:t>
      </w:r>
      <w:r w:rsidR="00844F56">
        <w:rPr>
          <w:rFonts w:ascii="Bookman Old Style" w:hAnsi="Bookman Old Style" w:cs="Arial"/>
          <w:szCs w:val="23"/>
          <w:lang w:eastAsia="es-CO"/>
        </w:rPr>
        <w:t>.</w:t>
      </w:r>
      <w:r w:rsidR="00844F56" w:rsidRPr="00B92DDF">
        <w:rPr>
          <w:rFonts w:ascii="Bookman Old Style" w:hAnsi="Bookman Old Style" w:cs="Arial"/>
          <w:szCs w:val="23"/>
          <w:lang w:eastAsia="es-CO"/>
        </w:rPr>
        <w:t>P</w:t>
      </w:r>
      <w:r w:rsidR="00844F56">
        <w:rPr>
          <w:rFonts w:ascii="Bookman Old Style" w:hAnsi="Bookman Old Style" w:cs="Arial"/>
          <w:szCs w:val="23"/>
          <w:lang w:eastAsia="es-CO"/>
        </w:rPr>
        <w:t>.,</w:t>
      </w:r>
      <w:r w:rsidR="00844F56" w:rsidRPr="00B92DDF">
        <w:rPr>
          <w:rFonts w:ascii="Bookman Old Style" w:hAnsi="Bookman Old Style" w:cs="Arial"/>
          <w:szCs w:val="23"/>
          <w:lang w:eastAsia="es-CO"/>
        </w:rPr>
        <w:t xml:space="preserve"> solicitó aprobación de costos de inversión y remuneración de los gastos de administración, operación y mantenimiento de un proyecto h</w:t>
      </w:r>
      <w:r w:rsidR="00EB7486">
        <w:rPr>
          <w:rFonts w:ascii="Bookman Old Style" w:hAnsi="Bookman Old Style" w:cs="Arial"/>
          <w:szCs w:val="23"/>
          <w:lang w:eastAsia="es-CO"/>
        </w:rPr>
        <w:t>í</w:t>
      </w:r>
      <w:r w:rsidR="00844F56" w:rsidRPr="00B92DDF">
        <w:rPr>
          <w:rFonts w:ascii="Bookman Old Style" w:hAnsi="Bookman Old Style" w:cs="Arial"/>
          <w:szCs w:val="23"/>
          <w:lang w:eastAsia="es-CO"/>
        </w:rPr>
        <w:t xml:space="preserve">brido diésel fotovoltaico denominado “El sol brilla para </w:t>
      </w:r>
      <w:proofErr w:type="spellStart"/>
      <w:r w:rsidR="00844F56" w:rsidRPr="00B92DDF">
        <w:rPr>
          <w:rFonts w:ascii="Bookman Old Style" w:hAnsi="Bookman Old Style" w:cs="Arial"/>
          <w:szCs w:val="23"/>
          <w:lang w:eastAsia="es-CO"/>
        </w:rPr>
        <w:t>Unguía</w:t>
      </w:r>
      <w:proofErr w:type="spellEnd"/>
      <w:r w:rsidR="00844F56" w:rsidRPr="00B92DDF">
        <w:rPr>
          <w:rFonts w:ascii="Bookman Old Style" w:hAnsi="Bookman Old Style" w:cs="Arial"/>
          <w:szCs w:val="23"/>
          <w:lang w:eastAsia="es-CO"/>
        </w:rPr>
        <w:t>”</w:t>
      </w:r>
      <w:r w:rsidR="00EB7486">
        <w:rPr>
          <w:rFonts w:ascii="Bookman Old Style" w:hAnsi="Bookman Old Style" w:cs="Arial"/>
          <w:szCs w:val="23"/>
          <w:lang w:eastAsia="es-CO"/>
        </w:rPr>
        <w:t>,</w:t>
      </w:r>
      <w:r w:rsidR="00844F56" w:rsidRPr="00B92DDF">
        <w:rPr>
          <w:rFonts w:ascii="Bookman Old Style" w:hAnsi="Bookman Old Style" w:cs="Arial"/>
          <w:szCs w:val="23"/>
          <w:lang w:eastAsia="es-CO"/>
        </w:rPr>
        <w:t xml:space="preserve"> para la cabecera municipal y los corregimientos de </w:t>
      </w:r>
      <w:proofErr w:type="spellStart"/>
      <w:r w:rsidR="00844F56" w:rsidRPr="00B92DDF">
        <w:rPr>
          <w:rFonts w:ascii="Bookman Old Style" w:hAnsi="Bookman Old Style" w:cs="Arial"/>
          <w:szCs w:val="23"/>
          <w:lang w:eastAsia="es-CO"/>
        </w:rPr>
        <w:t>Gilgal</w:t>
      </w:r>
      <w:proofErr w:type="spellEnd"/>
      <w:r w:rsidR="00844F56" w:rsidRPr="00B92DDF">
        <w:rPr>
          <w:rFonts w:ascii="Bookman Old Style" w:hAnsi="Bookman Old Style" w:cs="Arial"/>
          <w:szCs w:val="23"/>
          <w:lang w:eastAsia="es-CO"/>
        </w:rPr>
        <w:t xml:space="preserve"> y Santa María</w:t>
      </w:r>
      <w:r w:rsidR="00844F56">
        <w:rPr>
          <w:rFonts w:ascii="Bookman Old Style" w:hAnsi="Bookman Old Style" w:cs="Arial"/>
          <w:szCs w:val="23"/>
          <w:lang w:eastAsia="es-CO"/>
        </w:rPr>
        <w:t xml:space="preserve"> en el municipio de </w:t>
      </w:r>
      <w:proofErr w:type="spellStart"/>
      <w:r w:rsidR="00844F56">
        <w:rPr>
          <w:rFonts w:ascii="Bookman Old Style" w:hAnsi="Bookman Old Style" w:cs="Arial"/>
          <w:szCs w:val="23"/>
          <w:lang w:eastAsia="es-CO"/>
        </w:rPr>
        <w:t>Unguía</w:t>
      </w:r>
      <w:proofErr w:type="spellEnd"/>
      <w:r w:rsidR="00844F56">
        <w:rPr>
          <w:rFonts w:ascii="Bookman Old Style" w:hAnsi="Bookman Old Style" w:cs="Arial"/>
          <w:szCs w:val="23"/>
          <w:lang w:eastAsia="es-CO"/>
        </w:rPr>
        <w:t>, departamento del Chocó</w:t>
      </w:r>
      <w:r w:rsidR="00844F56" w:rsidRPr="00B92DDF">
        <w:rPr>
          <w:rFonts w:ascii="Bookman Old Style" w:hAnsi="Bookman Old Style" w:cs="Arial"/>
          <w:szCs w:val="23"/>
          <w:lang w:eastAsia="es-CO"/>
        </w:rPr>
        <w:t>.</w:t>
      </w:r>
    </w:p>
    <w:p w:rsidR="00D451C0" w:rsidRPr="00844F56" w:rsidRDefault="00F0393C" w:rsidP="00844F56">
      <w:pPr>
        <w:ind w:left="284" w:right="142"/>
        <w:jc w:val="both"/>
        <w:rPr>
          <w:rFonts w:ascii="Bookman Old Style" w:hAnsi="Bookman Old Style"/>
          <w:szCs w:val="22"/>
        </w:rPr>
      </w:pPr>
      <w:r w:rsidRPr="00F62780">
        <w:rPr>
          <w:rFonts w:ascii="Bookman Old Style" w:hAnsi="Bookman Old Style" w:cs="Arial"/>
        </w:rPr>
        <w:lastRenderedPageBreak/>
        <w:t>El representante l</w:t>
      </w:r>
      <w:r w:rsidR="006203BF" w:rsidRPr="00F62780">
        <w:rPr>
          <w:rFonts w:ascii="Bookman Old Style" w:hAnsi="Bookman Old Style" w:cs="Arial"/>
        </w:rPr>
        <w:t xml:space="preserve">egal de la empresa </w:t>
      </w:r>
      <w:r w:rsidR="00B92DDF" w:rsidRPr="00F62780">
        <w:rPr>
          <w:rFonts w:ascii="Bookman Old Style" w:hAnsi="Bookman Old Style" w:cs="Arial"/>
        </w:rPr>
        <w:t>ESPUN</w:t>
      </w:r>
      <w:r w:rsidR="0047432C" w:rsidRPr="00F62780">
        <w:rPr>
          <w:rFonts w:ascii="Bookman Old Style" w:hAnsi="Bookman Old Style"/>
          <w:szCs w:val="22"/>
        </w:rPr>
        <w:t xml:space="preserve"> S.A. E.S.P.</w:t>
      </w:r>
      <w:r w:rsidR="00844F56">
        <w:rPr>
          <w:rFonts w:ascii="Bookman Old Style" w:hAnsi="Bookman Old Style"/>
          <w:szCs w:val="22"/>
        </w:rPr>
        <w:t xml:space="preserve"> presenta su solicitud amparado en lo previsto </w:t>
      </w:r>
      <w:r w:rsidR="00844F56" w:rsidRPr="00844F56">
        <w:rPr>
          <w:rFonts w:ascii="Bookman Old Style" w:hAnsi="Bookman Old Style"/>
          <w:szCs w:val="22"/>
        </w:rPr>
        <w:t>en el artículo 126 de la Ley 142 de 1994 y el literal d del artículo 22 y los artículos 24 y 25 de la Resolución CREG 091 de 2007</w:t>
      </w:r>
      <w:r w:rsidR="00844F56">
        <w:rPr>
          <w:rFonts w:ascii="Bookman Old Style" w:hAnsi="Bookman Old Style"/>
          <w:szCs w:val="22"/>
        </w:rPr>
        <w:t>. A continuación, se transcriben los apartes que resumen su solicitud</w:t>
      </w:r>
      <w:r w:rsidR="006203BF" w:rsidRPr="00F62780">
        <w:rPr>
          <w:rFonts w:ascii="Bookman Old Style" w:hAnsi="Bookman Old Style" w:cs="Arial"/>
        </w:rPr>
        <w:t>:</w:t>
      </w:r>
    </w:p>
    <w:p w:rsidR="0053585B" w:rsidRPr="00F62780" w:rsidRDefault="0053585B" w:rsidP="00D451C0">
      <w:pPr>
        <w:ind w:left="284" w:right="142"/>
        <w:jc w:val="both"/>
        <w:rPr>
          <w:rFonts w:ascii="Bookman Old Style" w:hAnsi="Bookman Old Style" w:cs="Arial"/>
        </w:rPr>
      </w:pPr>
    </w:p>
    <w:p w:rsidR="00F62780" w:rsidRPr="00F62780" w:rsidRDefault="00F62780" w:rsidP="00F62780">
      <w:pPr>
        <w:ind w:left="708" w:right="142"/>
        <w:jc w:val="both"/>
        <w:rPr>
          <w:rFonts w:ascii="Bookman Old Style" w:hAnsi="Bookman Old Style" w:cs="Arial"/>
          <w:b/>
          <w:i/>
          <w:sz w:val="22"/>
          <w:szCs w:val="22"/>
          <w:lang w:val="es-CO"/>
        </w:rPr>
      </w:pPr>
      <w:r w:rsidRPr="00F62780">
        <w:rPr>
          <w:rFonts w:ascii="Bookman Old Style" w:hAnsi="Bookman Old Style" w:cs="Arial"/>
          <w:b/>
          <w:i/>
          <w:sz w:val="22"/>
          <w:szCs w:val="22"/>
          <w:lang w:val="es-CO"/>
        </w:rPr>
        <w:t xml:space="preserve">“PROPUESTA DE SUMINISTRO ENERGETICO </w:t>
      </w:r>
    </w:p>
    <w:p w:rsidR="00F62780" w:rsidRPr="00F62780" w:rsidRDefault="00F62780" w:rsidP="00F62780">
      <w:pPr>
        <w:ind w:left="708" w:right="142"/>
        <w:jc w:val="both"/>
        <w:rPr>
          <w:rFonts w:ascii="Bookman Old Style" w:hAnsi="Bookman Old Style" w:cs="Arial"/>
          <w:i/>
          <w:sz w:val="22"/>
          <w:szCs w:val="22"/>
          <w:lang w:val="es-CO"/>
        </w:rPr>
      </w:pPr>
    </w:p>
    <w:p w:rsidR="00F62780" w:rsidRP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De acuerdo a las actuales políticas energéticas y ambientales de Colombia, el consumo de las reservas de combustibles fósiles está creciendo a un ritmo vertiginoso en las zonas no Interconectadas y con él, también las emisiones de CO2.</w:t>
      </w:r>
    </w:p>
    <w:p w:rsid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El objetivo principal es desarrollar un Proyecto de Generación de energía, aprovechando la fuente solar en las horas diurnas, disminuyendo así el consumo de combustible, desarrollando una tecnología que reduce los costos del mismo y las emisiones de CO2, combinando el generador diésel y generador fotovoltaico en un sistema híbrido.</w:t>
      </w:r>
    </w:p>
    <w:p w:rsidR="00EB7486" w:rsidRPr="00F62780" w:rsidRDefault="00EB7486" w:rsidP="00F62780">
      <w:pPr>
        <w:ind w:left="708" w:right="142"/>
        <w:jc w:val="both"/>
        <w:rPr>
          <w:rFonts w:ascii="Bookman Old Style" w:hAnsi="Bookman Old Style" w:cs="Arial"/>
          <w:i/>
          <w:sz w:val="22"/>
          <w:szCs w:val="22"/>
          <w:lang w:val="es-CO"/>
        </w:rPr>
      </w:pPr>
    </w:p>
    <w:p w:rsidR="00F62780" w:rsidRP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De igual manera se contempla una importante reserva de energía en un banco de baterías, para minimizar la generación diésel en las noches.</w:t>
      </w:r>
    </w:p>
    <w:p w:rsidR="00F62780" w:rsidRPr="00F62780" w:rsidRDefault="00F62780" w:rsidP="00F62780">
      <w:pPr>
        <w:ind w:left="708" w:right="142"/>
        <w:jc w:val="both"/>
        <w:rPr>
          <w:rFonts w:ascii="Bookman Old Style" w:hAnsi="Bookman Old Style" w:cs="Arial"/>
          <w:i/>
          <w:sz w:val="22"/>
          <w:szCs w:val="22"/>
          <w:lang w:val="es-CO"/>
        </w:rPr>
      </w:pPr>
    </w:p>
    <w:p w:rsidR="00F62780" w:rsidRP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Entre los beneficios del sistema están:</w:t>
      </w:r>
    </w:p>
    <w:p w:rsidR="00F62780" w:rsidRPr="00F62780" w:rsidRDefault="00F62780" w:rsidP="00F62780">
      <w:pPr>
        <w:ind w:left="708" w:right="142"/>
        <w:jc w:val="both"/>
        <w:rPr>
          <w:rFonts w:ascii="Bookman Old Style" w:hAnsi="Bookman Old Style" w:cs="Arial"/>
          <w:i/>
          <w:sz w:val="22"/>
          <w:szCs w:val="22"/>
          <w:lang w:val="es-CO"/>
        </w:rPr>
      </w:pPr>
    </w:p>
    <w:p w:rsidR="00F62780" w:rsidRPr="00F62780" w:rsidRDefault="00F62780" w:rsidP="00E77C3E">
      <w:pPr>
        <w:numPr>
          <w:ilvl w:val="0"/>
          <w:numId w:val="36"/>
        </w:numPr>
        <w:spacing w:before="120" w:after="120"/>
        <w:ind w:left="1139" w:right="142" w:hanging="357"/>
        <w:jc w:val="both"/>
        <w:rPr>
          <w:rFonts w:ascii="Bookman Old Style" w:hAnsi="Bookman Old Style" w:cs="Arial"/>
          <w:i/>
          <w:sz w:val="22"/>
          <w:szCs w:val="22"/>
          <w:lang w:val="es-CO"/>
        </w:rPr>
      </w:pPr>
      <w:r w:rsidRPr="00F62780">
        <w:rPr>
          <w:rFonts w:ascii="Bookman Old Style" w:hAnsi="Bookman Old Style" w:cs="Arial"/>
          <w:i/>
          <w:sz w:val="22"/>
          <w:szCs w:val="22"/>
          <w:lang w:val="es-CO"/>
        </w:rPr>
        <w:t xml:space="preserve">Disminución hasta de un 35% en el consumo de combustible. Suministrando a </w:t>
      </w:r>
      <w:proofErr w:type="spellStart"/>
      <w:r w:rsidRPr="00F62780">
        <w:rPr>
          <w:rFonts w:ascii="Bookman Old Style" w:hAnsi="Bookman Old Style" w:cs="Arial"/>
          <w:i/>
          <w:sz w:val="22"/>
          <w:szCs w:val="22"/>
          <w:lang w:val="es-CO"/>
        </w:rPr>
        <w:t>Unguía</w:t>
      </w:r>
      <w:proofErr w:type="spellEnd"/>
      <w:r w:rsidRPr="00F62780">
        <w:rPr>
          <w:rFonts w:ascii="Bookman Old Style" w:hAnsi="Bookman Old Style" w:cs="Arial"/>
          <w:i/>
          <w:sz w:val="22"/>
          <w:szCs w:val="22"/>
          <w:lang w:val="es-CO"/>
        </w:rPr>
        <w:t xml:space="preserve"> y a las poblaciones interconectadas 24 horas de servicio.</w:t>
      </w:r>
    </w:p>
    <w:p w:rsidR="00F62780" w:rsidRPr="00F62780" w:rsidRDefault="00F62780" w:rsidP="00E77C3E">
      <w:pPr>
        <w:numPr>
          <w:ilvl w:val="0"/>
          <w:numId w:val="36"/>
        </w:numPr>
        <w:spacing w:before="120" w:after="120"/>
        <w:ind w:left="1139" w:right="142" w:hanging="357"/>
        <w:jc w:val="both"/>
        <w:rPr>
          <w:rFonts w:ascii="Bookman Old Style" w:hAnsi="Bookman Old Style" w:cs="Arial"/>
          <w:i/>
          <w:sz w:val="22"/>
          <w:szCs w:val="22"/>
          <w:lang w:val="es-CO"/>
        </w:rPr>
      </w:pPr>
      <w:r w:rsidRPr="00F62780">
        <w:rPr>
          <w:rFonts w:ascii="Bookman Old Style" w:hAnsi="Bookman Old Style" w:cs="Arial"/>
          <w:i/>
          <w:sz w:val="22"/>
          <w:szCs w:val="22"/>
          <w:lang w:val="es-CO"/>
        </w:rPr>
        <w:t>Reducción de emisiones de CO2.</w:t>
      </w:r>
    </w:p>
    <w:p w:rsidR="00F62780" w:rsidRPr="00F62780" w:rsidRDefault="00F62780" w:rsidP="00E77C3E">
      <w:pPr>
        <w:numPr>
          <w:ilvl w:val="0"/>
          <w:numId w:val="36"/>
        </w:numPr>
        <w:spacing w:before="120" w:after="120"/>
        <w:ind w:left="1139" w:right="142" w:hanging="357"/>
        <w:jc w:val="both"/>
        <w:rPr>
          <w:rFonts w:ascii="Bookman Old Style" w:hAnsi="Bookman Old Style" w:cs="Arial"/>
          <w:i/>
          <w:sz w:val="22"/>
          <w:szCs w:val="22"/>
          <w:lang w:val="es-CO"/>
        </w:rPr>
      </w:pPr>
      <w:r w:rsidRPr="00F62780">
        <w:rPr>
          <w:rFonts w:ascii="Bookman Old Style" w:hAnsi="Bookman Old Style" w:cs="Arial"/>
          <w:i/>
          <w:sz w:val="22"/>
          <w:szCs w:val="22"/>
          <w:lang w:val="es-CO"/>
        </w:rPr>
        <w:t xml:space="preserve">Baja en los costos del </w:t>
      </w:r>
      <w:proofErr w:type="spellStart"/>
      <w:r w:rsidRPr="00F62780">
        <w:rPr>
          <w:rFonts w:ascii="Bookman Old Style" w:hAnsi="Bookman Old Style" w:cs="Arial"/>
          <w:i/>
          <w:sz w:val="22"/>
          <w:szCs w:val="22"/>
          <w:lang w:val="es-CO"/>
        </w:rPr>
        <w:t>kWH</w:t>
      </w:r>
      <w:proofErr w:type="spellEnd"/>
      <w:r w:rsidRPr="00F62780">
        <w:rPr>
          <w:rFonts w:ascii="Bookman Old Style" w:hAnsi="Bookman Old Style" w:cs="Arial"/>
          <w:i/>
          <w:sz w:val="22"/>
          <w:szCs w:val="22"/>
          <w:lang w:val="es-CO"/>
        </w:rPr>
        <w:t xml:space="preserve"> generado.</w:t>
      </w:r>
    </w:p>
    <w:p w:rsidR="00F62780" w:rsidRPr="00F62780" w:rsidRDefault="00F62780" w:rsidP="00E77C3E">
      <w:pPr>
        <w:numPr>
          <w:ilvl w:val="0"/>
          <w:numId w:val="36"/>
        </w:numPr>
        <w:spacing w:before="120" w:after="120"/>
        <w:ind w:left="1139" w:right="142" w:hanging="357"/>
        <w:jc w:val="both"/>
        <w:rPr>
          <w:rFonts w:ascii="Bookman Old Style" w:hAnsi="Bookman Old Style" w:cs="Arial"/>
          <w:i/>
          <w:sz w:val="22"/>
          <w:szCs w:val="22"/>
          <w:lang w:val="es-CO"/>
        </w:rPr>
      </w:pPr>
      <w:r w:rsidRPr="00F62780">
        <w:rPr>
          <w:rFonts w:ascii="Bookman Old Style" w:hAnsi="Bookman Old Style" w:cs="Arial"/>
          <w:i/>
          <w:sz w:val="22"/>
          <w:szCs w:val="22"/>
          <w:lang w:val="es-CO"/>
        </w:rPr>
        <w:t>Aprovechamiento de una fuente renovable como es la radiación solar.</w:t>
      </w:r>
    </w:p>
    <w:p w:rsidR="00F62780" w:rsidRPr="00F62780" w:rsidRDefault="00F62780" w:rsidP="00E77C3E">
      <w:pPr>
        <w:numPr>
          <w:ilvl w:val="0"/>
          <w:numId w:val="36"/>
        </w:numPr>
        <w:spacing w:before="120" w:after="120"/>
        <w:ind w:left="1139" w:right="142" w:hanging="357"/>
        <w:jc w:val="both"/>
        <w:rPr>
          <w:rFonts w:ascii="Bookman Old Style" w:hAnsi="Bookman Old Style" w:cs="Arial"/>
          <w:i/>
          <w:sz w:val="22"/>
          <w:szCs w:val="22"/>
          <w:lang w:val="es-CO"/>
        </w:rPr>
      </w:pPr>
      <w:r w:rsidRPr="00F62780">
        <w:rPr>
          <w:rFonts w:ascii="Bookman Old Style" w:hAnsi="Bookman Old Style" w:cs="Arial"/>
          <w:i/>
          <w:sz w:val="22"/>
          <w:szCs w:val="22"/>
          <w:lang w:val="es-CO"/>
        </w:rPr>
        <w:t xml:space="preserve">Mejoramiento en la calidad de vida de los habitantes. </w:t>
      </w:r>
    </w:p>
    <w:p w:rsidR="00F62780" w:rsidRPr="00F62780" w:rsidRDefault="00F62780" w:rsidP="00F62780">
      <w:pPr>
        <w:ind w:left="708" w:right="142"/>
        <w:jc w:val="both"/>
        <w:rPr>
          <w:rFonts w:ascii="Bookman Old Style" w:hAnsi="Bookman Old Style" w:cs="Arial"/>
          <w:b/>
          <w:i/>
          <w:sz w:val="22"/>
          <w:szCs w:val="22"/>
          <w:lang w:val="es-CO"/>
        </w:rPr>
      </w:pPr>
    </w:p>
    <w:p w:rsidR="00F62780" w:rsidRPr="00F62780" w:rsidRDefault="00F62780" w:rsidP="00F62780">
      <w:pPr>
        <w:ind w:left="708" w:right="142"/>
        <w:jc w:val="both"/>
        <w:rPr>
          <w:rFonts w:ascii="Bookman Old Style" w:hAnsi="Bookman Old Style" w:cs="Arial"/>
          <w:b/>
          <w:i/>
          <w:sz w:val="22"/>
          <w:szCs w:val="22"/>
          <w:lang w:val="es-CO"/>
        </w:rPr>
      </w:pPr>
      <w:r w:rsidRPr="00F62780">
        <w:rPr>
          <w:rFonts w:ascii="Bookman Old Style" w:hAnsi="Bookman Old Style" w:cs="Arial"/>
          <w:b/>
          <w:i/>
          <w:sz w:val="22"/>
          <w:szCs w:val="22"/>
          <w:lang w:val="es-CO"/>
        </w:rPr>
        <w:t>NUEVO PARQUE GENERADOR</w:t>
      </w:r>
    </w:p>
    <w:p w:rsidR="00F62780" w:rsidRPr="00F62780" w:rsidRDefault="00F62780" w:rsidP="00F62780">
      <w:pPr>
        <w:ind w:left="708" w:right="142"/>
        <w:jc w:val="both"/>
        <w:rPr>
          <w:rFonts w:ascii="Bookman Old Style" w:hAnsi="Bookman Old Style" w:cs="Arial"/>
          <w:i/>
          <w:sz w:val="22"/>
          <w:szCs w:val="22"/>
          <w:lang w:val="es-CO"/>
        </w:rPr>
      </w:pPr>
    </w:p>
    <w:p w:rsidR="00F62780" w:rsidRP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El sistema hibrido a instalar, contempla la renovación del campo generador diésel, dado que se requiere de máquinas que puedan cumplir con el rigor de trabajo continuo y con las características de electrónica de comunicación necesarias para el sincronismo entre ellas y el sistema solar a instalar.</w:t>
      </w:r>
    </w:p>
    <w:p w:rsidR="00F62780" w:rsidRPr="00F62780" w:rsidRDefault="00F62780" w:rsidP="00F62780">
      <w:pPr>
        <w:ind w:left="708" w:right="142"/>
        <w:jc w:val="both"/>
        <w:rPr>
          <w:rFonts w:ascii="Bookman Old Style" w:hAnsi="Bookman Old Style" w:cs="Arial"/>
          <w:i/>
          <w:sz w:val="22"/>
          <w:szCs w:val="22"/>
          <w:lang w:val="es-CO"/>
        </w:rPr>
      </w:pPr>
    </w:p>
    <w:p w:rsid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Se plantean 4 generadores diésel. Los dos primeros de 750kVA, modelo P750-1 de potencia nominal en trabajo continuo de 544 KW y otros dos de 625kVA, modelo P625-3 con una potencia nominal para trabajo continuo de 450kW. Estas máquinas estarán gobernadas por un Sistemas de sincronismo, para regular la generación de acuerdo a la demanda y el sistema solar, tanto el segmento de inyección directa a la red, como el de almacenamiento en el banco de baterías. De igual manera tendrá la protección para los generadores diésel de contraflujos de corriente ante excedentes de generación solar.</w:t>
      </w:r>
    </w:p>
    <w:p w:rsidR="001C2B61" w:rsidRPr="00F62780" w:rsidRDefault="001C2B61" w:rsidP="00F62780">
      <w:pPr>
        <w:ind w:left="708" w:right="142"/>
        <w:jc w:val="both"/>
        <w:rPr>
          <w:rFonts w:ascii="Bookman Old Style" w:hAnsi="Bookman Old Style" w:cs="Arial"/>
          <w:i/>
          <w:sz w:val="22"/>
          <w:szCs w:val="22"/>
          <w:lang w:val="es-CO"/>
        </w:rPr>
      </w:pPr>
    </w:p>
    <w:p w:rsidR="00F62780" w:rsidRP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El sistema solar fotovoltaico está conformado por diez</w:t>
      </w:r>
      <w:r w:rsidR="001C2B61">
        <w:rPr>
          <w:rFonts w:ascii="Bookman Old Style" w:hAnsi="Bookman Old Style" w:cs="Arial"/>
          <w:i/>
          <w:sz w:val="22"/>
          <w:szCs w:val="22"/>
          <w:lang w:val="es-CO"/>
        </w:rPr>
        <w:t xml:space="preserve"> </w:t>
      </w:r>
      <w:r w:rsidRPr="00F62780">
        <w:rPr>
          <w:rFonts w:ascii="Bookman Old Style" w:hAnsi="Bookman Old Style" w:cs="Arial"/>
          <w:i/>
          <w:sz w:val="22"/>
          <w:szCs w:val="22"/>
          <w:lang w:val="es-CO"/>
        </w:rPr>
        <w:t xml:space="preserve">(10) Inversores Schneider </w:t>
      </w:r>
      <w:proofErr w:type="spellStart"/>
      <w:r w:rsidRPr="00F62780">
        <w:rPr>
          <w:rFonts w:ascii="Bookman Old Style" w:hAnsi="Bookman Old Style" w:cs="Arial"/>
          <w:i/>
          <w:sz w:val="22"/>
          <w:szCs w:val="22"/>
          <w:lang w:val="es-CO"/>
        </w:rPr>
        <w:t>Conext</w:t>
      </w:r>
      <w:proofErr w:type="spellEnd"/>
      <w:r w:rsidRPr="00F62780">
        <w:rPr>
          <w:rFonts w:ascii="Bookman Old Style" w:hAnsi="Bookman Old Style" w:cs="Arial"/>
          <w:i/>
          <w:sz w:val="22"/>
          <w:szCs w:val="22"/>
          <w:lang w:val="es-CO"/>
        </w:rPr>
        <w:t xml:space="preserve"> CL 60000 NA, 18 inversores - Cargadores </w:t>
      </w:r>
      <w:proofErr w:type="spellStart"/>
      <w:r w:rsidRPr="00F62780">
        <w:rPr>
          <w:rFonts w:ascii="Bookman Old Style" w:hAnsi="Bookman Old Style" w:cs="Arial"/>
          <w:i/>
          <w:sz w:val="22"/>
          <w:szCs w:val="22"/>
          <w:lang w:val="es-CO"/>
        </w:rPr>
        <w:t>Conext</w:t>
      </w:r>
      <w:proofErr w:type="spellEnd"/>
      <w:r w:rsidRPr="00F62780">
        <w:rPr>
          <w:rFonts w:ascii="Bookman Old Style" w:hAnsi="Bookman Old Style" w:cs="Arial"/>
          <w:i/>
          <w:sz w:val="22"/>
          <w:szCs w:val="22"/>
          <w:lang w:val="es-CO"/>
        </w:rPr>
        <w:t xml:space="preserve"> XW 8548 E, 24 Controladores de Carga Solar </w:t>
      </w:r>
      <w:proofErr w:type="spellStart"/>
      <w:r w:rsidRPr="00F62780">
        <w:rPr>
          <w:rFonts w:ascii="Bookman Old Style" w:hAnsi="Bookman Old Style" w:cs="Arial"/>
          <w:i/>
          <w:sz w:val="22"/>
          <w:szCs w:val="22"/>
          <w:lang w:val="es-CO"/>
        </w:rPr>
        <w:t>Conext</w:t>
      </w:r>
      <w:proofErr w:type="spellEnd"/>
      <w:r w:rsidRPr="00F62780">
        <w:rPr>
          <w:rFonts w:ascii="Bookman Old Style" w:hAnsi="Bookman Old Style" w:cs="Arial"/>
          <w:i/>
          <w:sz w:val="22"/>
          <w:szCs w:val="22"/>
          <w:lang w:val="es-CO"/>
        </w:rPr>
        <w:t xml:space="preserve"> MPPT 80 600, 2.256 Paneles Mono Crista</w:t>
      </w:r>
      <w:r w:rsidR="001C2B61">
        <w:rPr>
          <w:rFonts w:ascii="Bookman Old Style" w:hAnsi="Bookman Old Style" w:cs="Arial"/>
          <w:i/>
          <w:sz w:val="22"/>
          <w:szCs w:val="22"/>
          <w:lang w:val="es-CO"/>
        </w:rPr>
        <w:t xml:space="preserve">lino (345 </w:t>
      </w:r>
      <w:proofErr w:type="spellStart"/>
      <w:r w:rsidR="001C2B61">
        <w:rPr>
          <w:rFonts w:ascii="Bookman Old Style" w:hAnsi="Bookman Old Style" w:cs="Arial"/>
          <w:i/>
          <w:sz w:val="22"/>
          <w:szCs w:val="22"/>
          <w:lang w:val="es-CO"/>
        </w:rPr>
        <w:t>Wp</w:t>
      </w:r>
      <w:proofErr w:type="spellEnd"/>
      <w:r w:rsidR="001C2B61">
        <w:rPr>
          <w:rFonts w:ascii="Bookman Old Style" w:hAnsi="Bookman Old Style" w:cs="Arial"/>
          <w:i/>
          <w:sz w:val="22"/>
          <w:szCs w:val="22"/>
          <w:lang w:val="es-CO"/>
        </w:rPr>
        <w:t>) y 192 celdas de baterías a</w:t>
      </w:r>
      <w:r w:rsidRPr="00F62780">
        <w:rPr>
          <w:rFonts w:ascii="Bookman Old Style" w:hAnsi="Bookman Old Style" w:cs="Arial"/>
          <w:i/>
          <w:sz w:val="22"/>
          <w:szCs w:val="22"/>
          <w:lang w:val="es-CO"/>
        </w:rPr>
        <w:t xml:space="preserve"> 2V de 3100 Ah/C_100. </w:t>
      </w:r>
    </w:p>
    <w:p w:rsidR="00F62780" w:rsidRPr="00F62780" w:rsidRDefault="00F62780" w:rsidP="00F62780">
      <w:pPr>
        <w:ind w:left="708" w:right="142"/>
        <w:jc w:val="both"/>
        <w:rPr>
          <w:rFonts w:ascii="Bookman Old Style" w:hAnsi="Bookman Old Style" w:cs="Arial"/>
          <w:i/>
          <w:sz w:val="22"/>
          <w:szCs w:val="22"/>
          <w:lang w:val="es-CO"/>
        </w:rPr>
      </w:pPr>
    </w:p>
    <w:p w:rsidR="00F62780" w:rsidRP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lastRenderedPageBreak/>
        <w:t>Cada uno de los equipos anteriormente mencionados cumple una función específica en el sistema, asegurando su óptimo funcionamiento.</w:t>
      </w:r>
    </w:p>
    <w:p w:rsidR="00F62780" w:rsidRPr="00F62780" w:rsidRDefault="00F62780" w:rsidP="00F62780">
      <w:pPr>
        <w:ind w:left="708" w:right="142"/>
        <w:jc w:val="both"/>
        <w:rPr>
          <w:rFonts w:ascii="Bookman Old Style" w:hAnsi="Bookman Old Style" w:cs="Arial"/>
          <w:i/>
          <w:sz w:val="22"/>
          <w:szCs w:val="22"/>
          <w:lang w:val="es-CO"/>
        </w:rPr>
      </w:pPr>
    </w:p>
    <w:p w:rsidR="00F62780" w:rsidRP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 xml:space="preserve">Los inversores Schneider CL 60000 (llamado generación en barra de AC) se encargan de recibir la energía proveniente de 1920 (de 345 </w:t>
      </w:r>
      <w:proofErr w:type="spellStart"/>
      <w:r w:rsidRPr="00F62780">
        <w:rPr>
          <w:rFonts w:ascii="Bookman Old Style" w:hAnsi="Bookman Old Style" w:cs="Arial"/>
          <w:i/>
          <w:sz w:val="22"/>
          <w:szCs w:val="22"/>
          <w:lang w:val="es-CO"/>
        </w:rPr>
        <w:t>Wp</w:t>
      </w:r>
      <w:proofErr w:type="spellEnd"/>
      <w:r w:rsidRPr="00F62780">
        <w:rPr>
          <w:rFonts w:ascii="Bookman Old Style" w:hAnsi="Bookman Old Style" w:cs="Arial"/>
          <w:i/>
          <w:sz w:val="22"/>
          <w:szCs w:val="22"/>
          <w:lang w:val="es-CO"/>
        </w:rPr>
        <w:t xml:space="preserve">) módulos fotovoltaicos (662,4 </w:t>
      </w:r>
      <w:proofErr w:type="spellStart"/>
      <w:r w:rsidRPr="00F62780">
        <w:rPr>
          <w:rFonts w:ascii="Bookman Old Style" w:hAnsi="Bookman Old Style" w:cs="Arial"/>
          <w:i/>
          <w:sz w:val="22"/>
          <w:szCs w:val="22"/>
          <w:lang w:val="es-CO"/>
        </w:rPr>
        <w:t>KWp</w:t>
      </w:r>
      <w:proofErr w:type="spellEnd"/>
      <w:r w:rsidRPr="00F62780">
        <w:rPr>
          <w:rFonts w:ascii="Bookman Old Style" w:hAnsi="Bookman Old Style" w:cs="Arial"/>
          <w:i/>
          <w:sz w:val="22"/>
          <w:szCs w:val="22"/>
          <w:lang w:val="es-CO"/>
        </w:rPr>
        <w:t>) y los trasforma en energía AC. Esta energía es considerada de inyección directa a la barra de AC que es sostenid</w:t>
      </w:r>
      <w:r w:rsidR="001C2B61">
        <w:rPr>
          <w:rFonts w:ascii="Bookman Old Style" w:hAnsi="Bookman Old Style" w:cs="Arial"/>
          <w:i/>
          <w:sz w:val="22"/>
          <w:szCs w:val="22"/>
          <w:lang w:val="es-CO"/>
        </w:rPr>
        <w:t>a por las plantas generadoras.</w:t>
      </w:r>
    </w:p>
    <w:p w:rsidR="001C2B61" w:rsidRDefault="001C2B61" w:rsidP="00F62780">
      <w:pPr>
        <w:ind w:left="708" w:right="142"/>
        <w:jc w:val="both"/>
        <w:rPr>
          <w:rFonts w:ascii="Bookman Old Style" w:hAnsi="Bookman Old Style" w:cs="Arial"/>
          <w:i/>
          <w:sz w:val="22"/>
          <w:szCs w:val="22"/>
          <w:lang w:val="es-CO"/>
        </w:rPr>
      </w:pPr>
    </w:p>
    <w:p w:rsidR="00F62780" w:rsidRP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 xml:space="preserve">Por otro lado, en la generación de energía </w:t>
      </w:r>
      <w:r w:rsidR="001C2B61">
        <w:rPr>
          <w:rFonts w:ascii="Bookman Old Style" w:hAnsi="Bookman Old Style" w:cs="Arial"/>
          <w:i/>
          <w:sz w:val="22"/>
          <w:szCs w:val="22"/>
          <w:lang w:val="es-CO"/>
        </w:rPr>
        <w:t xml:space="preserve">en barra de DC, se instalaran </w:t>
      </w:r>
      <w:r w:rsidRPr="00F62780">
        <w:rPr>
          <w:rFonts w:ascii="Bookman Old Style" w:hAnsi="Bookman Old Style" w:cs="Arial"/>
          <w:i/>
          <w:sz w:val="22"/>
          <w:szCs w:val="22"/>
          <w:lang w:val="es-CO"/>
        </w:rPr>
        <w:t xml:space="preserve">336 módulos (115,9 </w:t>
      </w:r>
      <w:proofErr w:type="spellStart"/>
      <w:r w:rsidRPr="00F62780">
        <w:rPr>
          <w:rFonts w:ascii="Bookman Old Style" w:hAnsi="Bookman Old Style" w:cs="Arial"/>
          <w:i/>
          <w:sz w:val="22"/>
          <w:szCs w:val="22"/>
          <w:lang w:val="es-CO"/>
        </w:rPr>
        <w:t>KWp</w:t>
      </w:r>
      <w:proofErr w:type="spellEnd"/>
      <w:r w:rsidRPr="00F62780">
        <w:rPr>
          <w:rFonts w:ascii="Bookman Old Style" w:hAnsi="Bookman Old Style" w:cs="Arial"/>
          <w:i/>
          <w:sz w:val="22"/>
          <w:szCs w:val="22"/>
          <w:lang w:val="es-CO"/>
        </w:rPr>
        <w:t>) módulos de igual referencia a los mencionados anteriormente, transmiten la energía hacia los controladores de carga Schneider MPPT 80 600, los cuales alimentan un banco de baterías con capacidad de 24800 Ah con el objetivo de brindar energía eléctrica complementaria a la Diésel para municipio y corregimientos en horas de la noche, minimizando también en la noche el funcionamiento de las plantas diésel.</w:t>
      </w:r>
    </w:p>
    <w:p w:rsidR="00F62780" w:rsidRPr="00F62780" w:rsidRDefault="00F62780" w:rsidP="00F62780">
      <w:pPr>
        <w:ind w:left="708" w:right="142"/>
        <w:jc w:val="both"/>
        <w:rPr>
          <w:rFonts w:ascii="Bookman Old Style" w:hAnsi="Bookman Old Style" w:cs="Arial"/>
          <w:i/>
          <w:sz w:val="22"/>
          <w:szCs w:val="22"/>
          <w:lang w:val="es-CO"/>
        </w:rPr>
      </w:pPr>
    </w:p>
    <w:p w:rsidR="00F62780" w:rsidRPr="00F62780" w:rsidRDefault="00F4449E" w:rsidP="00F62780">
      <w:pPr>
        <w:ind w:left="708" w:right="142"/>
        <w:jc w:val="both"/>
        <w:rPr>
          <w:rFonts w:ascii="Bookman Old Style" w:hAnsi="Bookman Old Style" w:cs="Arial"/>
          <w:i/>
          <w:sz w:val="22"/>
          <w:szCs w:val="22"/>
          <w:lang w:val="es-CO"/>
        </w:rPr>
      </w:pPr>
      <w:r>
        <w:rPr>
          <w:rFonts w:ascii="Bookman Old Style" w:hAnsi="Bookman Old Style" w:cs="Arial"/>
          <w:i/>
          <w:sz w:val="22"/>
          <w:szCs w:val="22"/>
          <w:lang w:val="es-CO"/>
        </w:rPr>
        <w:t>E</w:t>
      </w:r>
      <w:r w:rsidR="00F62780" w:rsidRPr="00F62780">
        <w:rPr>
          <w:rFonts w:ascii="Bookman Old Style" w:hAnsi="Bookman Old Style" w:cs="Arial"/>
          <w:i/>
          <w:sz w:val="22"/>
          <w:szCs w:val="22"/>
          <w:lang w:val="es-CO"/>
        </w:rPr>
        <w:t>l inversor cargador es un equipo que permite tomar energía de AC, convertirla en DC y enviarla hacia las baterías, mediante el monitoreo del controlador de carga.</w:t>
      </w:r>
    </w:p>
    <w:p w:rsidR="00F62780" w:rsidRPr="00F62780" w:rsidRDefault="001C2B61" w:rsidP="00F62780">
      <w:pPr>
        <w:ind w:left="708" w:right="142"/>
        <w:jc w:val="both"/>
        <w:rPr>
          <w:rFonts w:ascii="Bookman Old Style" w:hAnsi="Bookman Old Style" w:cs="Arial"/>
          <w:i/>
          <w:sz w:val="22"/>
          <w:szCs w:val="22"/>
          <w:lang w:val="es-CO"/>
        </w:rPr>
      </w:pPr>
      <w:r>
        <w:rPr>
          <w:rFonts w:ascii="Bookman Old Style" w:hAnsi="Bookman Old Style" w:cs="Arial"/>
          <w:i/>
          <w:sz w:val="22"/>
          <w:szCs w:val="22"/>
          <w:lang w:val="es-CO"/>
        </w:rPr>
        <w:t xml:space="preserve">El sistema solar </w:t>
      </w:r>
      <w:r w:rsidR="00F62780" w:rsidRPr="00F62780">
        <w:rPr>
          <w:rFonts w:ascii="Bookman Old Style" w:hAnsi="Bookman Old Style" w:cs="Arial"/>
          <w:i/>
          <w:sz w:val="22"/>
          <w:szCs w:val="22"/>
          <w:lang w:val="es-CO"/>
        </w:rPr>
        <w:t xml:space="preserve">tiene una potencia instalada total de 778,32 </w:t>
      </w:r>
      <w:proofErr w:type="spellStart"/>
      <w:r w:rsidR="00F62780" w:rsidRPr="00F62780">
        <w:rPr>
          <w:rFonts w:ascii="Bookman Old Style" w:hAnsi="Bookman Old Style" w:cs="Arial"/>
          <w:i/>
          <w:sz w:val="22"/>
          <w:szCs w:val="22"/>
          <w:lang w:val="es-CO"/>
        </w:rPr>
        <w:t>kWp</w:t>
      </w:r>
      <w:proofErr w:type="spellEnd"/>
    </w:p>
    <w:p w:rsidR="00F62780" w:rsidRPr="00F62780" w:rsidRDefault="00F62780" w:rsidP="00F62780">
      <w:pPr>
        <w:ind w:left="708" w:right="142"/>
        <w:jc w:val="both"/>
        <w:rPr>
          <w:rFonts w:ascii="Bookman Old Style" w:hAnsi="Bookman Old Style" w:cs="Arial"/>
          <w:i/>
          <w:sz w:val="22"/>
          <w:szCs w:val="22"/>
          <w:lang w:val="es-CO"/>
        </w:rPr>
      </w:pPr>
    </w:p>
    <w:p w:rsid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 xml:space="preserve">Esta energía es suministrada a los usuarios en tiempo real por medio de un trasformador de 2MVA/ 440v a 13.2 </w:t>
      </w:r>
      <w:proofErr w:type="spellStart"/>
      <w:r w:rsidRPr="00F62780">
        <w:rPr>
          <w:rFonts w:ascii="Bookman Old Style" w:hAnsi="Bookman Old Style" w:cs="Arial"/>
          <w:i/>
          <w:sz w:val="22"/>
          <w:szCs w:val="22"/>
          <w:lang w:val="es-CO"/>
        </w:rPr>
        <w:t>kVA</w:t>
      </w:r>
      <w:proofErr w:type="spellEnd"/>
      <w:r w:rsidRPr="00F62780">
        <w:rPr>
          <w:rFonts w:ascii="Bookman Old Style" w:hAnsi="Bookman Old Style" w:cs="Arial"/>
          <w:i/>
          <w:sz w:val="22"/>
          <w:szCs w:val="22"/>
          <w:lang w:val="es-CO"/>
        </w:rPr>
        <w:t xml:space="preserve"> que se conectará a la red existente de distribución de 13.2 </w:t>
      </w:r>
      <w:proofErr w:type="spellStart"/>
      <w:r w:rsidRPr="00F62780">
        <w:rPr>
          <w:rFonts w:ascii="Bookman Old Style" w:hAnsi="Bookman Old Style" w:cs="Arial"/>
          <w:i/>
          <w:sz w:val="22"/>
          <w:szCs w:val="22"/>
          <w:lang w:val="es-CO"/>
        </w:rPr>
        <w:t>kVA</w:t>
      </w:r>
      <w:proofErr w:type="spellEnd"/>
      <w:r w:rsidRPr="00F62780">
        <w:rPr>
          <w:rFonts w:ascii="Bookman Old Style" w:hAnsi="Bookman Old Style" w:cs="Arial"/>
          <w:i/>
          <w:sz w:val="22"/>
          <w:szCs w:val="22"/>
          <w:lang w:val="es-CO"/>
        </w:rPr>
        <w:t>.</w:t>
      </w:r>
    </w:p>
    <w:p w:rsidR="00C765BC" w:rsidRPr="00F62780" w:rsidRDefault="00C765BC" w:rsidP="00F62780">
      <w:pPr>
        <w:ind w:left="708" w:right="142"/>
        <w:jc w:val="both"/>
        <w:rPr>
          <w:rFonts w:ascii="Bookman Old Style" w:hAnsi="Bookman Old Style" w:cs="Arial"/>
          <w:i/>
          <w:sz w:val="22"/>
          <w:szCs w:val="22"/>
          <w:lang w:val="es-CO"/>
        </w:rPr>
      </w:pPr>
    </w:p>
    <w:p w:rsidR="00F62780" w:rsidRPr="00F62780" w:rsidRDefault="00F62780" w:rsidP="00F62780">
      <w:pPr>
        <w:ind w:left="70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La tabla siguiente muestra el flujo de generación horaria esperado para los tres sistemas de generación</w:t>
      </w:r>
      <w:r>
        <w:rPr>
          <w:rFonts w:ascii="Bookman Old Style" w:hAnsi="Bookman Old Style" w:cs="Arial"/>
          <w:i/>
          <w:sz w:val="22"/>
          <w:szCs w:val="22"/>
          <w:lang w:val="es-CO"/>
        </w:rPr>
        <w:t xml:space="preserve"> (</w:t>
      </w:r>
      <w:r w:rsidRPr="00F62780">
        <w:rPr>
          <w:rFonts w:ascii="Bookman Old Style" w:hAnsi="Bookman Old Style" w:cs="Arial"/>
          <w:i/>
          <w:sz w:val="22"/>
          <w:szCs w:val="22"/>
          <w:lang w:val="es-CO"/>
        </w:rPr>
        <w:t>El</w:t>
      </w:r>
      <w:r>
        <w:rPr>
          <w:rFonts w:ascii="Bookman Old Style" w:hAnsi="Bookman Old Style" w:cs="Arial"/>
          <w:i/>
          <w:sz w:val="22"/>
          <w:szCs w:val="22"/>
          <w:lang w:val="es-CO"/>
        </w:rPr>
        <w:t xml:space="preserve"> Diésel con sus plantas </w:t>
      </w:r>
      <w:r w:rsidRPr="00F62780">
        <w:rPr>
          <w:rFonts w:ascii="Bookman Old Style" w:hAnsi="Bookman Old Style" w:cs="Arial"/>
          <w:i/>
          <w:sz w:val="22"/>
          <w:szCs w:val="22"/>
          <w:lang w:val="es-CO"/>
        </w:rPr>
        <w:t xml:space="preserve">generadoras de 544 KW y 350 KW, el sistema solar de inyección directa 662,4 </w:t>
      </w:r>
      <w:proofErr w:type="spellStart"/>
      <w:r w:rsidRPr="00F62780">
        <w:rPr>
          <w:rFonts w:ascii="Bookman Old Style" w:hAnsi="Bookman Old Style" w:cs="Arial"/>
          <w:i/>
          <w:sz w:val="22"/>
          <w:szCs w:val="22"/>
          <w:lang w:val="es-CO"/>
        </w:rPr>
        <w:t>KWp</w:t>
      </w:r>
      <w:proofErr w:type="spellEnd"/>
      <w:r w:rsidRPr="00F62780">
        <w:rPr>
          <w:rFonts w:ascii="Bookman Old Style" w:hAnsi="Bookman Old Style" w:cs="Arial"/>
          <w:i/>
          <w:sz w:val="22"/>
          <w:szCs w:val="22"/>
          <w:lang w:val="es-CO"/>
        </w:rPr>
        <w:t xml:space="preserve"> y el siste</w:t>
      </w:r>
      <w:r>
        <w:rPr>
          <w:rFonts w:ascii="Bookman Old Style" w:hAnsi="Bookman Old Style" w:cs="Arial"/>
          <w:i/>
          <w:sz w:val="22"/>
          <w:szCs w:val="22"/>
          <w:lang w:val="es-CO"/>
        </w:rPr>
        <w:t xml:space="preserve">ma solar con almacenamiento de </w:t>
      </w:r>
      <w:r w:rsidRPr="00F62780">
        <w:rPr>
          <w:rFonts w:ascii="Bookman Old Style" w:hAnsi="Bookman Old Style" w:cs="Arial"/>
          <w:i/>
          <w:sz w:val="22"/>
          <w:szCs w:val="22"/>
          <w:lang w:val="es-CO"/>
        </w:rPr>
        <w:t xml:space="preserve">baterías 115,9 </w:t>
      </w:r>
      <w:proofErr w:type="spellStart"/>
      <w:r w:rsidRPr="00F62780">
        <w:rPr>
          <w:rFonts w:ascii="Bookman Old Style" w:hAnsi="Bookman Old Style" w:cs="Arial"/>
          <w:i/>
          <w:sz w:val="22"/>
          <w:szCs w:val="22"/>
          <w:lang w:val="es-CO"/>
        </w:rPr>
        <w:t>KWp</w:t>
      </w:r>
      <w:proofErr w:type="spellEnd"/>
      <w:r w:rsidRPr="00F62780">
        <w:rPr>
          <w:rFonts w:ascii="Bookman Old Style" w:hAnsi="Bookman Old Style" w:cs="Arial"/>
          <w:i/>
          <w:sz w:val="22"/>
          <w:szCs w:val="22"/>
          <w:lang w:val="es-CO"/>
        </w:rPr>
        <w:t xml:space="preserve">), la distribución </w:t>
      </w:r>
      <w:r w:rsidR="00F4449E" w:rsidRPr="00F62780">
        <w:rPr>
          <w:rFonts w:ascii="Bookman Old Style" w:hAnsi="Bookman Old Style" w:cs="Arial"/>
          <w:i/>
          <w:sz w:val="22"/>
          <w:szCs w:val="22"/>
          <w:lang w:val="es-CO"/>
        </w:rPr>
        <w:t>de la</w:t>
      </w:r>
      <w:r w:rsidRPr="00F62780">
        <w:rPr>
          <w:rFonts w:ascii="Bookman Old Style" w:hAnsi="Bookman Old Style" w:cs="Arial"/>
          <w:i/>
          <w:sz w:val="22"/>
          <w:szCs w:val="22"/>
          <w:lang w:val="es-CO"/>
        </w:rPr>
        <w:t xml:space="preserve"> generación total del sistema </w:t>
      </w:r>
      <w:r w:rsidR="00F4449E" w:rsidRPr="00F62780">
        <w:rPr>
          <w:rFonts w:ascii="Bookman Old Style" w:hAnsi="Bookman Old Style" w:cs="Arial"/>
          <w:i/>
          <w:sz w:val="22"/>
          <w:szCs w:val="22"/>
          <w:lang w:val="es-CO"/>
        </w:rPr>
        <w:t>por fuente</w:t>
      </w:r>
      <w:r w:rsidRPr="00F62780">
        <w:rPr>
          <w:rFonts w:ascii="Bookman Old Style" w:hAnsi="Bookman Old Style" w:cs="Arial"/>
          <w:i/>
          <w:sz w:val="22"/>
          <w:szCs w:val="22"/>
          <w:lang w:val="es-CO"/>
        </w:rPr>
        <w:t xml:space="preserve"> </w:t>
      </w:r>
      <w:r w:rsidR="00F4449E" w:rsidRPr="00F62780">
        <w:rPr>
          <w:rFonts w:ascii="Bookman Old Style" w:hAnsi="Bookman Old Style" w:cs="Arial"/>
          <w:i/>
          <w:sz w:val="22"/>
          <w:szCs w:val="22"/>
          <w:lang w:val="es-CO"/>
        </w:rPr>
        <w:t>es:</w:t>
      </w:r>
    </w:p>
    <w:p w:rsidR="00F62780" w:rsidRPr="00F62780" w:rsidRDefault="00F62780" w:rsidP="00F62780">
      <w:pPr>
        <w:ind w:left="708" w:right="142"/>
        <w:jc w:val="both"/>
        <w:rPr>
          <w:rFonts w:ascii="Bookman Old Style" w:hAnsi="Bookman Old Style" w:cs="Arial"/>
          <w:i/>
          <w:sz w:val="22"/>
          <w:szCs w:val="22"/>
          <w:lang w:val="es-CO"/>
        </w:rPr>
      </w:pP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977"/>
      </w:tblGrid>
      <w:tr w:rsidR="00F62780" w:rsidRPr="00F62780" w:rsidTr="00C765BC">
        <w:trPr>
          <w:trHeight w:val="551"/>
          <w:jc w:val="center"/>
        </w:trPr>
        <w:tc>
          <w:tcPr>
            <w:tcW w:w="3114"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 w:right="142"/>
              <w:jc w:val="both"/>
              <w:rPr>
                <w:rFonts w:ascii="Bookman Old Style" w:hAnsi="Bookman Old Style" w:cs="Arial"/>
                <w:b/>
                <w:i/>
                <w:sz w:val="22"/>
                <w:szCs w:val="22"/>
                <w:lang w:val="es-CO"/>
              </w:rPr>
            </w:pPr>
            <w:r w:rsidRPr="00F62780">
              <w:rPr>
                <w:rFonts w:ascii="Bookman Old Style" w:hAnsi="Bookman Old Style" w:cs="Arial"/>
                <w:b/>
                <w:i/>
                <w:sz w:val="22"/>
                <w:szCs w:val="22"/>
                <w:lang w:val="es-CO"/>
              </w:rPr>
              <w:t>Fuente</w:t>
            </w:r>
          </w:p>
        </w:tc>
        <w:tc>
          <w:tcPr>
            <w:tcW w:w="2977"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4" w:right="142"/>
              <w:jc w:val="center"/>
              <w:rPr>
                <w:rFonts w:ascii="Bookman Old Style" w:hAnsi="Bookman Old Style" w:cs="Arial"/>
                <w:b/>
                <w:i/>
                <w:sz w:val="22"/>
                <w:szCs w:val="22"/>
                <w:lang w:val="es-CO"/>
              </w:rPr>
            </w:pPr>
            <w:r w:rsidRPr="00F62780">
              <w:rPr>
                <w:rFonts w:ascii="Bookman Old Style" w:hAnsi="Bookman Old Style" w:cs="Arial"/>
                <w:b/>
                <w:i/>
                <w:sz w:val="22"/>
                <w:szCs w:val="22"/>
                <w:lang w:val="es-CO"/>
              </w:rPr>
              <w:t xml:space="preserve">Generación en barras ( </w:t>
            </w:r>
            <w:proofErr w:type="spellStart"/>
            <w:r w:rsidRPr="00F62780">
              <w:rPr>
                <w:rFonts w:ascii="Bookman Old Style" w:hAnsi="Bookman Old Style" w:cs="Arial"/>
                <w:b/>
                <w:i/>
                <w:sz w:val="22"/>
                <w:szCs w:val="22"/>
                <w:lang w:val="es-CO"/>
              </w:rPr>
              <w:t>kwh</w:t>
            </w:r>
            <w:proofErr w:type="spellEnd"/>
            <w:r w:rsidRPr="00F62780">
              <w:rPr>
                <w:rFonts w:ascii="Bookman Old Style" w:hAnsi="Bookman Old Style" w:cs="Arial"/>
                <w:b/>
                <w:i/>
                <w:sz w:val="22"/>
                <w:szCs w:val="22"/>
                <w:lang w:val="es-CO"/>
              </w:rPr>
              <w:t>/día )</w:t>
            </w:r>
          </w:p>
        </w:tc>
      </w:tr>
      <w:tr w:rsidR="00F62780" w:rsidRPr="00F62780" w:rsidTr="00C765BC">
        <w:trPr>
          <w:jc w:val="center"/>
        </w:trPr>
        <w:tc>
          <w:tcPr>
            <w:tcW w:w="3114"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 w:right="142"/>
              <w:jc w:val="both"/>
              <w:rPr>
                <w:rFonts w:ascii="Bookman Old Style" w:hAnsi="Bookman Old Style" w:cs="Arial"/>
                <w:b/>
                <w:i/>
                <w:sz w:val="22"/>
                <w:szCs w:val="22"/>
                <w:lang w:val="es-CO"/>
              </w:rPr>
            </w:pPr>
          </w:p>
        </w:tc>
        <w:tc>
          <w:tcPr>
            <w:tcW w:w="2977"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F62780">
            <w:pPr>
              <w:ind w:left="284" w:right="142"/>
              <w:jc w:val="both"/>
              <w:rPr>
                <w:rFonts w:ascii="Bookman Old Style" w:hAnsi="Bookman Old Style" w:cs="Arial"/>
                <w:b/>
                <w:i/>
                <w:sz w:val="22"/>
                <w:szCs w:val="22"/>
                <w:lang w:val="es-CO"/>
              </w:rPr>
            </w:pPr>
          </w:p>
        </w:tc>
      </w:tr>
      <w:tr w:rsidR="00F62780" w:rsidRPr="00F62780" w:rsidTr="00C765BC">
        <w:trPr>
          <w:jc w:val="center"/>
        </w:trPr>
        <w:tc>
          <w:tcPr>
            <w:tcW w:w="3114"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 w:right="142"/>
              <w:jc w:val="both"/>
              <w:rPr>
                <w:rFonts w:ascii="Bookman Old Style" w:hAnsi="Bookman Old Style" w:cs="Arial"/>
                <w:i/>
                <w:sz w:val="22"/>
                <w:szCs w:val="22"/>
                <w:lang w:val="es-CO"/>
              </w:rPr>
            </w:pPr>
            <w:proofErr w:type="spellStart"/>
            <w:r w:rsidRPr="00F62780">
              <w:rPr>
                <w:rFonts w:ascii="Bookman Old Style" w:hAnsi="Bookman Old Style" w:cs="Arial"/>
                <w:i/>
                <w:sz w:val="22"/>
                <w:szCs w:val="22"/>
                <w:lang w:val="es-CO"/>
              </w:rPr>
              <w:t>Diesel</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4" w:right="142"/>
              <w:jc w:val="right"/>
              <w:rPr>
                <w:rFonts w:ascii="Bookman Old Style" w:hAnsi="Bookman Old Style" w:cs="Arial"/>
                <w:i/>
                <w:sz w:val="22"/>
                <w:szCs w:val="22"/>
                <w:lang w:val="es-CO"/>
              </w:rPr>
            </w:pPr>
            <w:r w:rsidRPr="00F62780">
              <w:rPr>
                <w:rFonts w:ascii="Bookman Old Style" w:hAnsi="Bookman Old Style" w:cs="Arial"/>
                <w:i/>
                <w:sz w:val="22"/>
                <w:szCs w:val="22"/>
                <w:lang w:val="es-CO"/>
              </w:rPr>
              <w:t>11444</w:t>
            </w:r>
          </w:p>
        </w:tc>
      </w:tr>
      <w:tr w:rsidR="00F62780" w:rsidRPr="00F62780" w:rsidTr="00C765BC">
        <w:trPr>
          <w:jc w:val="center"/>
        </w:trPr>
        <w:tc>
          <w:tcPr>
            <w:tcW w:w="3114"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Solar inyección directa</w:t>
            </w:r>
          </w:p>
        </w:tc>
        <w:tc>
          <w:tcPr>
            <w:tcW w:w="2977"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4" w:right="142"/>
              <w:jc w:val="right"/>
              <w:rPr>
                <w:rFonts w:ascii="Bookman Old Style" w:hAnsi="Bookman Old Style" w:cs="Arial"/>
                <w:i/>
                <w:sz w:val="22"/>
                <w:szCs w:val="22"/>
                <w:lang w:val="es-CO"/>
              </w:rPr>
            </w:pPr>
            <w:r w:rsidRPr="00F62780">
              <w:rPr>
                <w:rFonts w:ascii="Bookman Old Style" w:hAnsi="Bookman Old Style" w:cs="Arial"/>
                <w:i/>
                <w:sz w:val="22"/>
                <w:szCs w:val="22"/>
                <w:lang w:val="es-CO"/>
              </w:rPr>
              <w:t>2514</w:t>
            </w:r>
          </w:p>
        </w:tc>
      </w:tr>
      <w:tr w:rsidR="00F62780" w:rsidRPr="00F62780" w:rsidTr="00C765BC">
        <w:trPr>
          <w:jc w:val="center"/>
        </w:trPr>
        <w:tc>
          <w:tcPr>
            <w:tcW w:w="3114"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 w:right="142"/>
              <w:jc w:val="both"/>
              <w:rPr>
                <w:rFonts w:ascii="Bookman Old Style" w:hAnsi="Bookman Old Style" w:cs="Arial"/>
                <w:i/>
                <w:sz w:val="22"/>
                <w:szCs w:val="22"/>
                <w:lang w:val="es-CO"/>
              </w:rPr>
            </w:pPr>
            <w:r w:rsidRPr="00F62780">
              <w:rPr>
                <w:rFonts w:ascii="Bookman Old Style" w:hAnsi="Bookman Old Style" w:cs="Arial"/>
                <w:i/>
                <w:sz w:val="22"/>
                <w:szCs w:val="22"/>
                <w:lang w:val="es-CO"/>
              </w:rPr>
              <w:t>Solar almacenamiento</w:t>
            </w:r>
          </w:p>
        </w:tc>
        <w:tc>
          <w:tcPr>
            <w:tcW w:w="2977"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4" w:right="142"/>
              <w:jc w:val="right"/>
              <w:rPr>
                <w:rFonts w:ascii="Bookman Old Style" w:hAnsi="Bookman Old Style" w:cs="Arial"/>
                <w:i/>
                <w:sz w:val="22"/>
                <w:szCs w:val="22"/>
                <w:lang w:val="es-CO"/>
              </w:rPr>
            </w:pPr>
            <w:r w:rsidRPr="00F62780">
              <w:rPr>
                <w:rFonts w:ascii="Bookman Old Style" w:hAnsi="Bookman Old Style" w:cs="Arial"/>
                <w:i/>
                <w:sz w:val="22"/>
                <w:szCs w:val="22"/>
                <w:lang w:val="es-CO"/>
              </w:rPr>
              <w:t>439</w:t>
            </w:r>
          </w:p>
        </w:tc>
      </w:tr>
      <w:tr w:rsidR="00F62780" w:rsidRPr="00F62780" w:rsidTr="00C765BC">
        <w:trPr>
          <w:jc w:val="center"/>
        </w:trPr>
        <w:tc>
          <w:tcPr>
            <w:tcW w:w="3114"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 w:right="142"/>
              <w:jc w:val="both"/>
              <w:rPr>
                <w:rFonts w:ascii="Bookman Old Style" w:hAnsi="Bookman Old Style" w:cs="Arial"/>
                <w:b/>
                <w:i/>
                <w:sz w:val="22"/>
                <w:szCs w:val="22"/>
                <w:lang w:val="es-CO"/>
              </w:rPr>
            </w:pPr>
            <w:r w:rsidRPr="00F62780">
              <w:rPr>
                <w:rFonts w:ascii="Bookman Old Style" w:hAnsi="Bookman Old Style" w:cs="Arial"/>
                <w:b/>
                <w:i/>
                <w:sz w:val="22"/>
                <w:szCs w:val="22"/>
                <w:lang w:val="es-CO"/>
              </w:rPr>
              <w:t>Total Generación</w:t>
            </w:r>
          </w:p>
        </w:tc>
        <w:tc>
          <w:tcPr>
            <w:tcW w:w="2977" w:type="dxa"/>
            <w:tcBorders>
              <w:top w:val="single" w:sz="4" w:space="0" w:color="auto"/>
              <w:left w:val="single" w:sz="4" w:space="0" w:color="auto"/>
              <w:bottom w:val="single" w:sz="4" w:space="0" w:color="auto"/>
              <w:right w:val="single" w:sz="4" w:space="0" w:color="auto"/>
            </w:tcBorders>
            <w:vAlign w:val="center"/>
          </w:tcPr>
          <w:p w:rsidR="00F62780" w:rsidRPr="00F62780" w:rsidRDefault="00F62780" w:rsidP="00C765BC">
            <w:pPr>
              <w:ind w:left="284" w:right="142"/>
              <w:jc w:val="right"/>
              <w:rPr>
                <w:rFonts w:ascii="Bookman Old Style" w:hAnsi="Bookman Old Style" w:cs="Arial"/>
                <w:i/>
                <w:sz w:val="22"/>
                <w:szCs w:val="22"/>
                <w:lang w:val="es-CO"/>
              </w:rPr>
            </w:pPr>
            <w:r w:rsidRPr="00F62780">
              <w:rPr>
                <w:rFonts w:ascii="Bookman Old Style" w:hAnsi="Bookman Old Style" w:cs="Arial"/>
                <w:i/>
                <w:sz w:val="22"/>
                <w:szCs w:val="22"/>
                <w:lang w:val="es-CO"/>
              </w:rPr>
              <w:t>14397</w:t>
            </w:r>
          </w:p>
        </w:tc>
      </w:tr>
    </w:tbl>
    <w:p w:rsidR="00B92DDF" w:rsidRPr="00F62780" w:rsidRDefault="00B92DDF" w:rsidP="00F62780">
      <w:pPr>
        <w:ind w:left="708" w:right="142"/>
        <w:jc w:val="both"/>
        <w:rPr>
          <w:rFonts w:ascii="Bookman Old Style" w:hAnsi="Bookman Old Style" w:cs="Arial"/>
          <w:i/>
          <w:sz w:val="22"/>
          <w:szCs w:val="22"/>
        </w:rPr>
      </w:pPr>
    </w:p>
    <w:p w:rsidR="00F4449E" w:rsidRDefault="00F4449E" w:rsidP="00F4449E">
      <w:pPr>
        <w:ind w:left="708" w:right="142"/>
        <w:jc w:val="both"/>
        <w:rPr>
          <w:rFonts w:ascii="Bookman Old Style" w:hAnsi="Bookman Old Style" w:cs="Arial"/>
          <w:i/>
          <w:sz w:val="22"/>
          <w:szCs w:val="22"/>
        </w:rPr>
      </w:pPr>
    </w:p>
    <w:p w:rsidR="00F4449E" w:rsidRPr="00F4449E" w:rsidRDefault="00F4449E" w:rsidP="00F4449E">
      <w:pPr>
        <w:ind w:left="708" w:right="142"/>
        <w:jc w:val="both"/>
        <w:rPr>
          <w:rFonts w:ascii="Bookman Old Style" w:hAnsi="Bookman Old Style" w:cs="Arial"/>
          <w:b/>
          <w:i/>
          <w:sz w:val="22"/>
          <w:szCs w:val="22"/>
        </w:rPr>
      </w:pPr>
      <w:r w:rsidRPr="00F4449E">
        <w:rPr>
          <w:rFonts w:ascii="Bookman Old Style" w:hAnsi="Bookman Old Style" w:cs="Arial"/>
          <w:b/>
          <w:i/>
          <w:sz w:val="22"/>
          <w:szCs w:val="22"/>
        </w:rPr>
        <w:t>MARCO NORMATIVO</w:t>
      </w:r>
    </w:p>
    <w:p w:rsidR="00F4449E" w:rsidRDefault="00F4449E" w:rsidP="00F4449E">
      <w:pPr>
        <w:ind w:left="708" w:right="142"/>
        <w:jc w:val="both"/>
        <w:rPr>
          <w:rFonts w:ascii="Bookman Old Style" w:hAnsi="Bookman Old Style" w:cs="Arial"/>
          <w:i/>
          <w:sz w:val="22"/>
          <w:szCs w:val="22"/>
        </w:rPr>
      </w:pPr>
    </w:p>
    <w:p w:rsidR="00F4449E" w:rsidRPr="00F4449E" w:rsidRDefault="00F4449E" w:rsidP="00F4449E">
      <w:pPr>
        <w:ind w:left="708" w:right="142"/>
        <w:jc w:val="both"/>
        <w:rPr>
          <w:rFonts w:ascii="Bookman Old Style" w:hAnsi="Bookman Old Style" w:cs="Arial"/>
          <w:i/>
          <w:sz w:val="22"/>
          <w:szCs w:val="22"/>
          <w:lang w:val="es-CO"/>
        </w:rPr>
      </w:pPr>
      <w:r w:rsidRPr="00F4449E">
        <w:rPr>
          <w:rFonts w:ascii="Bookman Old Style" w:hAnsi="Bookman Old Style" w:cs="Arial"/>
          <w:i/>
          <w:sz w:val="22"/>
          <w:szCs w:val="22"/>
          <w:lang w:val="es-CO"/>
        </w:rPr>
        <w:t xml:space="preserve">Los hechos que originan la solicitud de modificación de remuneración de la generación de electricidad en </w:t>
      </w:r>
      <w:proofErr w:type="spellStart"/>
      <w:r w:rsidRPr="00F4449E">
        <w:rPr>
          <w:rFonts w:ascii="Bookman Old Style" w:hAnsi="Bookman Old Style" w:cs="Arial"/>
          <w:i/>
          <w:sz w:val="22"/>
          <w:szCs w:val="22"/>
          <w:lang w:val="es-CO"/>
        </w:rPr>
        <w:t>Unguía</w:t>
      </w:r>
      <w:proofErr w:type="spellEnd"/>
      <w:r w:rsidRPr="00F4449E">
        <w:rPr>
          <w:rFonts w:ascii="Bookman Old Style" w:hAnsi="Bookman Old Style" w:cs="Arial"/>
          <w:i/>
          <w:sz w:val="22"/>
          <w:szCs w:val="22"/>
          <w:lang w:val="es-CO"/>
        </w:rPr>
        <w:t xml:space="preserve"> son los siguientes:</w:t>
      </w:r>
    </w:p>
    <w:p w:rsidR="00F4449E" w:rsidRPr="00F4449E" w:rsidRDefault="00F4449E" w:rsidP="00F4449E">
      <w:pPr>
        <w:ind w:left="708" w:right="142"/>
        <w:jc w:val="both"/>
        <w:rPr>
          <w:rFonts w:ascii="Bookman Old Style" w:hAnsi="Bookman Old Style" w:cs="Arial"/>
          <w:i/>
          <w:sz w:val="22"/>
          <w:szCs w:val="22"/>
          <w:lang w:val="es-CO"/>
        </w:rPr>
      </w:pPr>
    </w:p>
    <w:p w:rsidR="00F4449E" w:rsidRPr="00F4449E" w:rsidRDefault="00F4449E" w:rsidP="00F4449E">
      <w:pPr>
        <w:ind w:left="708" w:right="142"/>
        <w:jc w:val="both"/>
        <w:rPr>
          <w:rFonts w:ascii="Bookman Old Style" w:hAnsi="Bookman Old Style" w:cs="Arial"/>
          <w:i/>
          <w:sz w:val="22"/>
          <w:szCs w:val="22"/>
          <w:lang w:val="es-CO"/>
        </w:rPr>
      </w:pPr>
      <w:r w:rsidRPr="00F4449E">
        <w:rPr>
          <w:rFonts w:ascii="Bookman Old Style" w:hAnsi="Bookman Old Style" w:cs="Arial"/>
          <w:i/>
          <w:sz w:val="22"/>
          <w:szCs w:val="22"/>
          <w:lang w:val="es-CO"/>
        </w:rPr>
        <w:t xml:space="preserve">- Habrá un nuevo sistema de generación diferente de aquel con el cual se ha determinado la actual fórmula tarifaria. El nuevo sistema de generación propuesto es enteramente nuevo y es de carácter híbrido, a diferencia del sistema anterior que es </w:t>
      </w:r>
      <w:proofErr w:type="spellStart"/>
      <w:r w:rsidRPr="00F4449E">
        <w:rPr>
          <w:rFonts w:ascii="Bookman Old Style" w:hAnsi="Bookman Old Style" w:cs="Arial"/>
          <w:i/>
          <w:sz w:val="22"/>
          <w:szCs w:val="22"/>
          <w:lang w:val="es-CO"/>
        </w:rPr>
        <w:t>diesel</w:t>
      </w:r>
      <w:proofErr w:type="spellEnd"/>
      <w:r w:rsidRPr="00F4449E">
        <w:rPr>
          <w:rFonts w:ascii="Bookman Old Style" w:hAnsi="Bookman Old Style" w:cs="Arial"/>
          <w:i/>
          <w:sz w:val="22"/>
          <w:szCs w:val="22"/>
          <w:lang w:val="es-CO"/>
        </w:rPr>
        <w:t>, por lo cual los costos involucrados son por completo diferentes, así como las condiciones del servicio, en particular su continuidad.</w:t>
      </w:r>
    </w:p>
    <w:p w:rsidR="00F4449E" w:rsidRPr="00F4449E" w:rsidRDefault="00F4449E" w:rsidP="00F4449E">
      <w:pPr>
        <w:ind w:left="708" w:right="142"/>
        <w:jc w:val="both"/>
        <w:rPr>
          <w:rFonts w:ascii="Bookman Old Style" w:hAnsi="Bookman Old Style" w:cs="Arial"/>
          <w:i/>
          <w:sz w:val="22"/>
          <w:szCs w:val="22"/>
          <w:lang w:val="es-CO"/>
        </w:rPr>
      </w:pPr>
    </w:p>
    <w:p w:rsidR="00F4449E" w:rsidRPr="00F4449E" w:rsidRDefault="00F4449E" w:rsidP="00F4449E">
      <w:pPr>
        <w:ind w:left="708" w:right="142"/>
        <w:jc w:val="both"/>
        <w:rPr>
          <w:rFonts w:ascii="Bookman Old Style" w:hAnsi="Bookman Old Style" w:cs="Arial"/>
          <w:i/>
          <w:sz w:val="22"/>
          <w:szCs w:val="22"/>
          <w:lang w:val="es-CO"/>
        </w:rPr>
      </w:pPr>
      <w:r w:rsidRPr="00F4449E">
        <w:rPr>
          <w:rFonts w:ascii="Bookman Old Style" w:hAnsi="Bookman Old Style" w:cs="Arial"/>
          <w:i/>
          <w:sz w:val="22"/>
          <w:szCs w:val="22"/>
          <w:lang w:val="es-CO"/>
        </w:rPr>
        <w:lastRenderedPageBreak/>
        <w:t>- El área de prestación de servicio no constituye Área de Servicio Exclusivo, por lo cual la remuneración del servicio se establece mediante cargos regulados por costos medios, como lo determina el artículo 4 de la resolución CREG-091 de 2007:</w:t>
      </w:r>
    </w:p>
    <w:p w:rsidR="00F4449E" w:rsidRPr="00F4449E" w:rsidRDefault="00F4449E" w:rsidP="00F4449E">
      <w:pPr>
        <w:ind w:left="708" w:right="142"/>
        <w:jc w:val="both"/>
        <w:rPr>
          <w:rFonts w:ascii="Bookman Old Style" w:hAnsi="Bookman Old Style" w:cs="Arial"/>
          <w:i/>
          <w:sz w:val="22"/>
          <w:szCs w:val="22"/>
          <w:lang w:val="es-CO"/>
        </w:rPr>
      </w:pPr>
    </w:p>
    <w:p w:rsidR="00F4449E" w:rsidRPr="00F4449E" w:rsidRDefault="00F4449E" w:rsidP="00F4449E">
      <w:pPr>
        <w:ind w:left="708" w:right="142"/>
        <w:jc w:val="both"/>
        <w:rPr>
          <w:rFonts w:ascii="Bookman Old Style" w:hAnsi="Bookman Old Style" w:cs="Arial"/>
          <w:i/>
          <w:sz w:val="22"/>
          <w:szCs w:val="22"/>
          <w:lang w:val="es-CO"/>
        </w:rPr>
      </w:pPr>
      <w:r w:rsidRPr="00F4449E">
        <w:rPr>
          <w:rFonts w:ascii="Bookman Old Style" w:hAnsi="Bookman Old Style" w:cs="Arial"/>
          <w:i/>
          <w:sz w:val="22"/>
          <w:szCs w:val="22"/>
          <w:lang w:val="es-CO"/>
        </w:rPr>
        <w:t>"Artículo 4. Remuneración de la prestación del servicio. La remuneración de la prestación del servicio en las ZNI se efectuará por una de las siguientes metodologías: i) cargos determinados por competencia a la entrada mediante los procesos competitivos de que tratan los Capítulos II y III de la presente Resolución; o ii) cargos regulados determinados por costos medios, según se indica en los Capítulos IV, V y VI de la presente Resolución."</w:t>
      </w:r>
    </w:p>
    <w:p w:rsidR="00F4449E" w:rsidRPr="00F4449E" w:rsidRDefault="00F4449E" w:rsidP="00F4449E">
      <w:pPr>
        <w:ind w:left="708" w:right="142"/>
        <w:jc w:val="both"/>
        <w:rPr>
          <w:rFonts w:ascii="Bookman Old Style" w:hAnsi="Bookman Old Style" w:cs="Arial"/>
          <w:i/>
          <w:sz w:val="22"/>
          <w:szCs w:val="22"/>
          <w:lang w:val="es-CO"/>
        </w:rPr>
      </w:pPr>
    </w:p>
    <w:p w:rsidR="00F4449E" w:rsidRPr="00F4449E" w:rsidRDefault="00F4449E" w:rsidP="00F4449E">
      <w:pPr>
        <w:ind w:left="708" w:right="142"/>
        <w:jc w:val="both"/>
        <w:rPr>
          <w:rFonts w:ascii="Bookman Old Style" w:hAnsi="Bookman Old Style" w:cs="Arial"/>
          <w:i/>
          <w:sz w:val="22"/>
          <w:szCs w:val="22"/>
          <w:lang w:val="es-CO"/>
        </w:rPr>
      </w:pPr>
      <w:r w:rsidRPr="00F4449E">
        <w:rPr>
          <w:rFonts w:ascii="Bookman Old Style" w:hAnsi="Bookman Old Style" w:cs="Arial"/>
          <w:i/>
          <w:sz w:val="22"/>
          <w:szCs w:val="22"/>
          <w:lang w:val="es-CO"/>
        </w:rPr>
        <w:t xml:space="preserve">- La necesidad de modificar la remuneración de la generación de energía se funda en el artículo 126 de la ley 142 de </w:t>
      </w:r>
      <w:smartTag w:uri="urn:schemas-microsoft-com:office:smarttags" w:element="metricconverter">
        <w:smartTagPr>
          <w:attr w:name="ProductID" w:val="1994 a"/>
        </w:smartTagPr>
        <w:r w:rsidRPr="00F4449E">
          <w:rPr>
            <w:rFonts w:ascii="Bookman Old Style" w:hAnsi="Bookman Old Style" w:cs="Arial"/>
            <w:i/>
            <w:sz w:val="22"/>
            <w:szCs w:val="22"/>
            <w:lang w:val="es-CO"/>
          </w:rPr>
          <w:t>1994 a</w:t>
        </w:r>
      </w:smartTag>
      <w:r w:rsidRPr="00F4449E">
        <w:rPr>
          <w:rFonts w:ascii="Bookman Old Style" w:hAnsi="Bookman Old Style" w:cs="Arial"/>
          <w:i/>
          <w:sz w:val="22"/>
          <w:szCs w:val="22"/>
          <w:lang w:val="es-CO"/>
        </w:rPr>
        <w:t xml:space="preserve"> través de un acuerdo con la CREG.</w:t>
      </w:r>
    </w:p>
    <w:p w:rsidR="00F4449E" w:rsidRPr="00F4449E" w:rsidRDefault="00F4449E" w:rsidP="00F4449E">
      <w:pPr>
        <w:ind w:left="708" w:right="142"/>
        <w:jc w:val="both"/>
        <w:rPr>
          <w:rFonts w:ascii="Bookman Old Style" w:hAnsi="Bookman Old Style" w:cs="Arial"/>
          <w:i/>
          <w:sz w:val="22"/>
          <w:szCs w:val="22"/>
          <w:lang w:val="es-CO"/>
        </w:rPr>
      </w:pPr>
    </w:p>
    <w:p w:rsidR="00F4449E" w:rsidRPr="00F4449E" w:rsidRDefault="00F4449E" w:rsidP="00F4449E">
      <w:pPr>
        <w:ind w:left="708" w:right="142"/>
        <w:jc w:val="both"/>
        <w:rPr>
          <w:rFonts w:ascii="Bookman Old Style" w:hAnsi="Bookman Old Style" w:cs="Arial"/>
          <w:i/>
          <w:sz w:val="22"/>
          <w:szCs w:val="22"/>
          <w:lang w:val="es-CO"/>
        </w:rPr>
      </w:pPr>
      <w:r w:rsidRPr="00F4449E">
        <w:rPr>
          <w:rFonts w:ascii="Bookman Old Style" w:hAnsi="Bookman Old Style" w:cs="Arial"/>
          <w:i/>
          <w:sz w:val="22"/>
          <w:szCs w:val="22"/>
          <w:lang w:val="es-CO"/>
        </w:rPr>
        <w:t xml:space="preserve">"ARTÍCULO 126. VIGENCIA DE LAS FÓRMULAS DE TARIFAS.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  </w:t>
      </w:r>
    </w:p>
    <w:p w:rsidR="00F4449E" w:rsidRPr="00F4449E" w:rsidRDefault="00F4449E" w:rsidP="00F4449E">
      <w:pPr>
        <w:ind w:left="708" w:right="142"/>
        <w:jc w:val="both"/>
        <w:rPr>
          <w:rFonts w:ascii="Bookman Old Style" w:hAnsi="Bookman Old Style" w:cs="Arial"/>
          <w:i/>
          <w:sz w:val="22"/>
          <w:szCs w:val="22"/>
          <w:lang w:val="es-CO"/>
        </w:rPr>
      </w:pPr>
      <w:r w:rsidRPr="00F4449E">
        <w:rPr>
          <w:rFonts w:ascii="Bookman Old Style" w:hAnsi="Bookman Old Style" w:cs="Arial"/>
          <w:i/>
          <w:sz w:val="22"/>
          <w:szCs w:val="22"/>
          <w:lang w:val="es-CO"/>
        </w:rPr>
        <w:t>Vencido el período de vigencia de las fórmulas tarifarias, continuarán rigiendo mientras la comisión no fije las nuevas."</w:t>
      </w:r>
    </w:p>
    <w:p w:rsidR="00F4449E" w:rsidRPr="00F4449E" w:rsidRDefault="00F4449E" w:rsidP="00F4449E">
      <w:pPr>
        <w:ind w:left="708" w:right="142"/>
        <w:jc w:val="both"/>
        <w:rPr>
          <w:rFonts w:ascii="Bookman Old Style" w:hAnsi="Bookman Old Style" w:cs="Arial"/>
          <w:i/>
          <w:sz w:val="22"/>
          <w:szCs w:val="22"/>
          <w:lang w:val="es-CO"/>
        </w:rPr>
      </w:pPr>
    </w:p>
    <w:p w:rsidR="00B92DDF" w:rsidRPr="00F62780" w:rsidRDefault="00F62780" w:rsidP="00F4449E">
      <w:pPr>
        <w:ind w:left="708" w:right="142"/>
        <w:jc w:val="both"/>
        <w:rPr>
          <w:rFonts w:ascii="Bookman Old Style" w:hAnsi="Bookman Old Style" w:cs="Arial"/>
          <w:i/>
          <w:sz w:val="22"/>
          <w:szCs w:val="22"/>
        </w:rPr>
      </w:pPr>
      <w:r w:rsidRPr="00F62780">
        <w:rPr>
          <w:rFonts w:ascii="Bookman Old Style" w:hAnsi="Bookman Old Style" w:cs="Arial"/>
          <w:i/>
          <w:sz w:val="22"/>
          <w:szCs w:val="22"/>
        </w:rPr>
        <w:t>(…)</w:t>
      </w:r>
    </w:p>
    <w:p w:rsidR="00B92DDF" w:rsidRDefault="00B92DDF" w:rsidP="00D451C0">
      <w:pPr>
        <w:ind w:left="284" w:right="142"/>
        <w:jc w:val="both"/>
        <w:rPr>
          <w:rFonts w:ascii="Bookman Old Style" w:hAnsi="Bookman Old Style" w:cs="Arial"/>
        </w:rPr>
      </w:pPr>
    </w:p>
    <w:p w:rsidR="00F4449E" w:rsidRDefault="00F4449E" w:rsidP="00F4449E">
      <w:pPr>
        <w:ind w:left="708" w:right="142"/>
        <w:jc w:val="both"/>
        <w:rPr>
          <w:rFonts w:ascii="Bookman Old Style" w:hAnsi="Bookman Old Style" w:cs="Arial"/>
          <w:b/>
          <w:i/>
          <w:lang w:val="es-CO"/>
        </w:rPr>
      </w:pPr>
      <w:r w:rsidRPr="00F4449E">
        <w:rPr>
          <w:rFonts w:ascii="Bookman Old Style" w:hAnsi="Bookman Old Style" w:cs="Arial"/>
          <w:b/>
          <w:i/>
          <w:lang w:val="es-CO"/>
        </w:rPr>
        <w:t>OPCIONES DE CÁLCULO DE COSTOS UNITARIOS</w:t>
      </w:r>
    </w:p>
    <w:p w:rsidR="00F4449E" w:rsidRPr="00F4449E" w:rsidRDefault="00F4449E" w:rsidP="00F4449E">
      <w:pPr>
        <w:ind w:left="708" w:right="142"/>
        <w:jc w:val="both"/>
        <w:rPr>
          <w:rFonts w:ascii="Bookman Old Style" w:hAnsi="Bookman Old Style" w:cs="Arial"/>
          <w:b/>
          <w:i/>
        </w:rPr>
      </w:pPr>
    </w:p>
    <w:p w:rsidR="00F62780" w:rsidRPr="00F62780" w:rsidRDefault="00F62780" w:rsidP="00F4449E">
      <w:pPr>
        <w:ind w:left="708" w:right="142" w:firstLine="1"/>
        <w:jc w:val="both"/>
        <w:rPr>
          <w:rFonts w:ascii="Bookman Old Style" w:hAnsi="Bookman Old Style" w:cs="Arial"/>
          <w:i/>
          <w:sz w:val="22"/>
        </w:rPr>
      </w:pPr>
      <w:r w:rsidRPr="00F62780">
        <w:rPr>
          <w:rFonts w:ascii="Bookman Old Style" w:hAnsi="Bookman Old Style" w:cs="Arial"/>
          <w:i/>
          <w:sz w:val="22"/>
        </w:rPr>
        <w:t xml:space="preserve">En consecuencia, se proponen alternativas de determinación de los cargos para remunerar la generación de energía mediante el sistema híbrido proyectado para </w:t>
      </w:r>
      <w:proofErr w:type="spellStart"/>
      <w:r w:rsidRPr="00F62780">
        <w:rPr>
          <w:rFonts w:ascii="Bookman Old Style" w:hAnsi="Bookman Old Style" w:cs="Arial"/>
          <w:i/>
          <w:sz w:val="22"/>
        </w:rPr>
        <w:t>Unguía</w:t>
      </w:r>
      <w:proofErr w:type="spellEnd"/>
      <w:r w:rsidRPr="00F62780">
        <w:rPr>
          <w:rFonts w:ascii="Bookman Old Style" w:hAnsi="Bookman Old Style" w:cs="Arial"/>
          <w:i/>
          <w:sz w:val="22"/>
        </w:rPr>
        <w:t>, que son las siguientes:</w:t>
      </w:r>
    </w:p>
    <w:p w:rsidR="00F62780" w:rsidRPr="00F62780" w:rsidRDefault="00F62780" w:rsidP="00F4449E">
      <w:pPr>
        <w:ind w:left="708" w:right="142" w:firstLine="1"/>
        <w:jc w:val="both"/>
        <w:rPr>
          <w:rFonts w:ascii="Bookman Old Style" w:hAnsi="Bookman Old Style" w:cs="Arial"/>
          <w:i/>
          <w:sz w:val="22"/>
        </w:rPr>
      </w:pPr>
    </w:p>
    <w:p w:rsidR="00F62780" w:rsidRPr="00F62780" w:rsidRDefault="00F62780" w:rsidP="00F4449E">
      <w:pPr>
        <w:ind w:left="709" w:right="142" w:firstLine="1"/>
        <w:jc w:val="both"/>
        <w:rPr>
          <w:rFonts w:ascii="Bookman Old Style" w:hAnsi="Bookman Old Style" w:cs="Arial"/>
          <w:i/>
          <w:sz w:val="22"/>
        </w:rPr>
      </w:pPr>
      <w:r w:rsidRPr="00F62780">
        <w:rPr>
          <w:rFonts w:ascii="Bookman Old Style" w:hAnsi="Bookman Old Style" w:cs="Arial"/>
          <w:i/>
          <w:sz w:val="22"/>
        </w:rPr>
        <w:t>1- Opción real: se determina el costo medio de generación que sería suficiente para sufragar todos los costos de generación del proyecto tal como se han previsto y bajo las condiciones económicas que se definen más adelante. Todos los costos y condiciones económicas son aquellos que se ha previsto que prevalecerán durante la vida del proyecto, con base en información de los presupuestos de inversión, operación, mantenimiento y administración, proyecciones de demanda y estimación de los riesgos de la inversión y operación a realizar.</w:t>
      </w:r>
    </w:p>
    <w:p w:rsidR="00F62780" w:rsidRPr="00F62780" w:rsidRDefault="00F62780" w:rsidP="00F4449E">
      <w:pPr>
        <w:ind w:left="290" w:right="142" w:firstLine="1"/>
        <w:jc w:val="both"/>
        <w:rPr>
          <w:rFonts w:ascii="Bookman Old Style" w:hAnsi="Bookman Old Style" w:cs="Arial"/>
          <w:i/>
          <w:sz w:val="22"/>
        </w:rPr>
      </w:pPr>
    </w:p>
    <w:p w:rsidR="00F62780" w:rsidRPr="00F62780" w:rsidRDefault="00F62780" w:rsidP="00F4449E">
      <w:pPr>
        <w:ind w:left="708" w:right="142" w:firstLine="1"/>
        <w:jc w:val="both"/>
        <w:rPr>
          <w:rFonts w:ascii="Bookman Old Style" w:hAnsi="Bookman Old Style" w:cs="Arial"/>
          <w:i/>
          <w:sz w:val="22"/>
        </w:rPr>
      </w:pPr>
      <w:r w:rsidRPr="00F62780">
        <w:rPr>
          <w:rFonts w:ascii="Bookman Old Style" w:hAnsi="Bookman Old Style" w:cs="Arial"/>
          <w:i/>
          <w:sz w:val="22"/>
        </w:rPr>
        <w:t xml:space="preserve">2- Opción regulatoria 1: Costos unitarios proyecto cien por ciento </w:t>
      </w:r>
      <w:proofErr w:type="spellStart"/>
      <w:r w:rsidRPr="00F62780">
        <w:rPr>
          <w:rFonts w:ascii="Bookman Old Style" w:hAnsi="Bookman Old Style" w:cs="Arial"/>
          <w:i/>
          <w:sz w:val="22"/>
        </w:rPr>
        <w:t>diesel</w:t>
      </w:r>
      <w:proofErr w:type="spellEnd"/>
      <w:r w:rsidRPr="00F62780">
        <w:rPr>
          <w:rFonts w:ascii="Bookman Old Style" w:hAnsi="Bookman Old Style" w:cs="Arial"/>
          <w:i/>
          <w:sz w:val="22"/>
        </w:rPr>
        <w:t xml:space="preserve">. Esta alternativa consiste en aplicar la metodología de la CREG para sistemas </w:t>
      </w:r>
      <w:proofErr w:type="spellStart"/>
      <w:r w:rsidRPr="00F62780">
        <w:rPr>
          <w:rFonts w:ascii="Bookman Old Style" w:hAnsi="Bookman Old Style" w:cs="Arial"/>
          <w:i/>
          <w:sz w:val="22"/>
        </w:rPr>
        <w:t>diesel</w:t>
      </w:r>
      <w:proofErr w:type="spellEnd"/>
      <w:r w:rsidRPr="00F62780">
        <w:rPr>
          <w:rFonts w:ascii="Bookman Old Style" w:hAnsi="Bookman Old Style" w:cs="Arial"/>
          <w:i/>
          <w:sz w:val="22"/>
        </w:rPr>
        <w:t xml:space="preserve"> establecida en la resolución CREG-091 de 2007 y las demás que la modifican y complementan, lo cual implica asumir que los costos del componente fotovoltaico del proyecto se pueden asimilar a los costos de una planta </w:t>
      </w:r>
      <w:proofErr w:type="spellStart"/>
      <w:r w:rsidRPr="00F62780">
        <w:rPr>
          <w:rFonts w:ascii="Bookman Old Style" w:hAnsi="Bookman Old Style" w:cs="Arial"/>
          <w:i/>
          <w:sz w:val="22"/>
        </w:rPr>
        <w:t>diesel</w:t>
      </w:r>
      <w:proofErr w:type="spellEnd"/>
      <w:r w:rsidRPr="00F62780">
        <w:rPr>
          <w:rFonts w:ascii="Bookman Old Style" w:hAnsi="Bookman Old Style" w:cs="Arial"/>
          <w:i/>
          <w:sz w:val="22"/>
        </w:rPr>
        <w:t xml:space="preserve"> con la capacidad mínima necesaria para generar la misma cantidad de energía.</w:t>
      </w:r>
    </w:p>
    <w:p w:rsidR="00F62780" w:rsidRPr="00F62780" w:rsidRDefault="00F62780" w:rsidP="00F62780">
      <w:pPr>
        <w:ind w:left="284" w:right="142" w:firstLine="1"/>
        <w:jc w:val="both"/>
        <w:rPr>
          <w:rFonts w:ascii="Bookman Old Style" w:hAnsi="Bookman Old Style" w:cs="Arial"/>
          <w:i/>
          <w:sz w:val="22"/>
        </w:rPr>
      </w:pPr>
    </w:p>
    <w:p w:rsidR="00F62780" w:rsidRPr="00F62780" w:rsidRDefault="00F62780" w:rsidP="00F4449E">
      <w:pPr>
        <w:ind w:left="708" w:right="142" w:firstLine="1"/>
        <w:jc w:val="both"/>
        <w:rPr>
          <w:rFonts w:ascii="Bookman Old Style" w:hAnsi="Bookman Old Style" w:cs="Arial"/>
          <w:i/>
          <w:sz w:val="22"/>
        </w:rPr>
      </w:pPr>
      <w:r w:rsidRPr="00F62780">
        <w:rPr>
          <w:rFonts w:ascii="Bookman Old Style" w:hAnsi="Bookman Old Style" w:cs="Arial"/>
          <w:i/>
          <w:sz w:val="22"/>
        </w:rPr>
        <w:t xml:space="preserve">3- Opción regulatoria 2: Costos unitarios proyecto híbrido ponderando solar en su conjunto. Esta alternativa de cálculo de la remuneración de la energía generada consiste en aplicar al componente </w:t>
      </w:r>
      <w:proofErr w:type="spellStart"/>
      <w:r w:rsidRPr="00F62780">
        <w:rPr>
          <w:rFonts w:ascii="Bookman Old Style" w:hAnsi="Bookman Old Style" w:cs="Arial"/>
          <w:i/>
          <w:sz w:val="22"/>
        </w:rPr>
        <w:t>diesel</w:t>
      </w:r>
      <w:proofErr w:type="spellEnd"/>
      <w:r w:rsidRPr="00F62780">
        <w:rPr>
          <w:rFonts w:ascii="Bookman Old Style" w:hAnsi="Bookman Old Style" w:cs="Arial"/>
          <w:i/>
          <w:sz w:val="22"/>
        </w:rPr>
        <w:t xml:space="preserve"> la metodología de la CREG para sistemas </w:t>
      </w:r>
      <w:proofErr w:type="spellStart"/>
      <w:r w:rsidRPr="00F62780">
        <w:rPr>
          <w:rFonts w:ascii="Bookman Old Style" w:hAnsi="Bookman Old Style" w:cs="Arial"/>
          <w:i/>
          <w:sz w:val="22"/>
        </w:rPr>
        <w:t>diesel</w:t>
      </w:r>
      <w:proofErr w:type="spellEnd"/>
      <w:r w:rsidRPr="00F62780">
        <w:rPr>
          <w:rFonts w:ascii="Bookman Old Style" w:hAnsi="Bookman Old Style" w:cs="Arial"/>
          <w:i/>
          <w:sz w:val="22"/>
        </w:rPr>
        <w:t xml:space="preserve"> establecida en la resolución CREG-091 de 2007 y las demás que la modifican </w:t>
      </w:r>
      <w:r w:rsidRPr="00F62780">
        <w:rPr>
          <w:rFonts w:ascii="Bookman Old Style" w:hAnsi="Bookman Old Style" w:cs="Arial"/>
          <w:i/>
          <w:sz w:val="22"/>
        </w:rPr>
        <w:lastRenderedPageBreak/>
        <w:t xml:space="preserve">y complementan, mientras que para el componente fotovoltaico se aplica el costo correspondiente al proyecto real. Los dos costos parciales resultantes se promedian ponderándolos según la energía generada por cada componente para obtener la remuneración por </w:t>
      </w:r>
      <w:proofErr w:type="spellStart"/>
      <w:r w:rsidRPr="00F62780">
        <w:rPr>
          <w:rFonts w:ascii="Bookman Old Style" w:hAnsi="Bookman Old Style" w:cs="Arial"/>
          <w:i/>
          <w:sz w:val="22"/>
        </w:rPr>
        <w:t>kwh</w:t>
      </w:r>
      <w:proofErr w:type="spellEnd"/>
      <w:r w:rsidRPr="00F62780">
        <w:rPr>
          <w:rFonts w:ascii="Bookman Old Style" w:hAnsi="Bookman Old Style" w:cs="Arial"/>
          <w:i/>
          <w:sz w:val="22"/>
        </w:rPr>
        <w:t xml:space="preserve"> generado y entregado a la red.</w:t>
      </w:r>
    </w:p>
    <w:p w:rsidR="00F62780" w:rsidRPr="00F62780" w:rsidRDefault="00F62780" w:rsidP="00F4449E">
      <w:pPr>
        <w:ind w:left="291" w:right="142" w:firstLine="1"/>
        <w:jc w:val="both"/>
        <w:rPr>
          <w:rFonts w:ascii="Bookman Old Style" w:hAnsi="Bookman Old Style" w:cs="Arial"/>
          <w:i/>
          <w:sz w:val="22"/>
        </w:rPr>
      </w:pPr>
    </w:p>
    <w:p w:rsidR="00B92DDF" w:rsidRPr="00F62780" w:rsidRDefault="00F62780" w:rsidP="00F4449E">
      <w:pPr>
        <w:ind w:left="708" w:right="142" w:firstLine="1"/>
        <w:jc w:val="both"/>
        <w:rPr>
          <w:rFonts w:ascii="Bookman Old Style" w:hAnsi="Bookman Old Style" w:cs="Arial"/>
          <w:i/>
          <w:sz w:val="22"/>
          <w:highlight w:val="yellow"/>
        </w:rPr>
      </w:pPr>
      <w:r w:rsidRPr="00F62780">
        <w:rPr>
          <w:rFonts w:ascii="Bookman Old Style" w:hAnsi="Bookman Old Style" w:cs="Arial"/>
          <w:i/>
          <w:sz w:val="22"/>
        </w:rPr>
        <w:t xml:space="preserve">4- Opción regulatoria 3: Costos unitarios proyecto híbrido ponderando solar directa y solar almacenada por separado. Esta opción de cálculo es una variante de la anterior y consiste en aplicar al componente </w:t>
      </w:r>
      <w:proofErr w:type="spellStart"/>
      <w:r w:rsidRPr="00F62780">
        <w:rPr>
          <w:rFonts w:ascii="Bookman Old Style" w:hAnsi="Bookman Old Style" w:cs="Arial"/>
          <w:i/>
          <w:sz w:val="22"/>
        </w:rPr>
        <w:t>diesel</w:t>
      </w:r>
      <w:proofErr w:type="spellEnd"/>
      <w:r w:rsidRPr="00F62780">
        <w:rPr>
          <w:rFonts w:ascii="Bookman Old Style" w:hAnsi="Bookman Old Style" w:cs="Arial"/>
          <w:i/>
          <w:sz w:val="22"/>
        </w:rPr>
        <w:t xml:space="preserve"> y al componente fotovoltaico de generación directa la metodología de la CREG para sistemas </w:t>
      </w:r>
      <w:proofErr w:type="spellStart"/>
      <w:r w:rsidRPr="00F62780">
        <w:rPr>
          <w:rFonts w:ascii="Bookman Old Style" w:hAnsi="Bookman Old Style" w:cs="Arial"/>
          <w:i/>
          <w:sz w:val="22"/>
        </w:rPr>
        <w:t>diesel</w:t>
      </w:r>
      <w:proofErr w:type="spellEnd"/>
      <w:r w:rsidRPr="00F62780">
        <w:rPr>
          <w:rFonts w:ascii="Bookman Old Style" w:hAnsi="Bookman Old Style" w:cs="Arial"/>
          <w:i/>
          <w:sz w:val="22"/>
        </w:rPr>
        <w:t xml:space="preserve"> establecida en la resolución CREG-091 de 2007 y las demás que la modifican y complementan, mientras que para el componente fotovoltaico de almacenamiento se aplica el costo correspondiente al proyecto real. Los tres costos parciales resultantes se promedian ponderándolos según la energía generada por cada componente para obtener la remuneración por </w:t>
      </w:r>
      <w:proofErr w:type="spellStart"/>
      <w:r w:rsidRPr="00F62780">
        <w:rPr>
          <w:rFonts w:ascii="Bookman Old Style" w:hAnsi="Bookman Old Style" w:cs="Arial"/>
          <w:i/>
          <w:sz w:val="22"/>
        </w:rPr>
        <w:t>kwh</w:t>
      </w:r>
      <w:proofErr w:type="spellEnd"/>
      <w:r w:rsidRPr="00F62780">
        <w:rPr>
          <w:rFonts w:ascii="Bookman Old Style" w:hAnsi="Bookman Old Style" w:cs="Arial"/>
          <w:i/>
          <w:sz w:val="22"/>
        </w:rPr>
        <w:t xml:space="preserve"> generado y entregado a la red.</w:t>
      </w:r>
      <w:r>
        <w:rPr>
          <w:rFonts w:ascii="Bookman Old Style" w:hAnsi="Bookman Old Style" w:cs="Arial"/>
          <w:i/>
          <w:sz w:val="22"/>
        </w:rPr>
        <w:t>”</w:t>
      </w:r>
    </w:p>
    <w:p w:rsidR="00B92DDF" w:rsidRDefault="00B92DDF" w:rsidP="00D451C0">
      <w:pPr>
        <w:ind w:left="284" w:right="142"/>
        <w:jc w:val="both"/>
        <w:rPr>
          <w:rFonts w:ascii="Bookman Old Style" w:hAnsi="Bookman Old Style" w:cs="Arial"/>
          <w:highlight w:val="yellow"/>
        </w:rPr>
      </w:pPr>
    </w:p>
    <w:p w:rsidR="00D451C0" w:rsidRDefault="00D451C0" w:rsidP="00D451C0">
      <w:pPr>
        <w:numPr>
          <w:ilvl w:val="0"/>
          <w:numId w:val="8"/>
        </w:numPr>
        <w:ind w:right="142"/>
        <w:jc w:val="both"/>
        <w:rPr>
          <w:rFonts w:ascii="Bookman Old Style" w:hAnsi="Bookman Old Style" w:cs="Arial"/>
          <w:b/>
        </w:rPr>
      </w:pPr>
      <w:r>
        <w:rPr>
          <w:rFonts w:ascii="Bookman Old Style" w:hAnsi="Bookman Old Style" w:cs="Arial"/>
          <w:b/>
        </w:rPr>
        <w:t xml:space="preserve">COMPETENCIA </w:t>
      </w:r>
      <w:r w:rsidRPr="00552F05">
        <w:rPr>
          <w:rFonts w:ascii="Bookman Old Style" w:hAnsi="Bookman Old Style" w:cs="Arial"/>
          <w:b/>
        </w:rPr>
        <w:t>DE LA CREG</w:t>
      </w:r>
    </w:p>
    <w:p w:rsidR="00D451C0" w:rsidRPr="001459AA" w:rsidRDefault="00D451C0" w:rsidP="001459AA">
      <w:pPr>
        <w:ind w:left="284" w:right="142"/>
        <w:jc w:val="both"/>
        <w:rPr>
          <w:rFonts w:ascii="Bookman Old Style" w:hAnsi="Bookman Old Style"/>
        </w:rPr>
      </w:pPr>
    </w:p>
    <w:p w:rsidR="00D451C0" w:rsidRPr="001459AA" w:rsidRDefault="00D451C0" w:rsidP="00727040">
      <w:pPr>
        <w:ind w:left="284" w:right="142"/>
        <w:jc w:val="both"/>
        <w:rPr>
          <w:rFonts w:ascii="Bookman Old Style" w:hAnsi="Bookman Old Style"/>
        </w:rPr>
      </w:pPr>
      <w:r w:rsidRPr="00EF118C">
        <w:rPr>
          <w:rFonts w:ascii="Bookman Old Style" w:hAnsi="Bookman Old Style"/>
        </w:rPr>
        <w:t xml:space="preserve">En virtud de lo determinado por las </w:t>
      </w:r>
      <w:r w:rsidR="00B92DDF">
        <w:rPr>
          <w:rFonts w:ascii="Bookman Old Style" w:hAnsi="Bookman Old Style"/>
        </w:rPr>
        <w:t>L</w:t>
      </w:r>
      <w:r w:rsidRPr="00EF118C">
        <w:rPr>
          <w:rFonts w:ascii="Bookman Old Style" w:hAnsi="Bookman Old Style"/>
        </w:rPr>
        <w:t xml:space="preserve">eyes 142 y 143 de 1994, </w:t>
      </w:r>
      <w:r>
        <w:rPr>
          <w:rFonts w:ascii="Bookman Old Style" w:hAnsi="Bookman Old Style"/>
        </w:rPr>
        <w:t xml:space="preserve">los </w:t>
      </w:r>
      <w:r w:rsidR="00B92DDF">
        <w:rPr>
          <w:rFonts w:ascii="Bookman Old Style" w:hAnsi="Bookman Old Style"/>
        </w:rPr>
        <w:t>D</w:t>
      </w:r>
      <w:r w:rsidRPr="00EF118C">
        <w:rPr>
          <w:rFonts w:ascii="Bookman Old Style" w:hAnsi="Bookman Old Style"/>
        </w:rPr>
        <w:t xml:space="preserve">ecretos 1524 </w:t>
      </w:r>
      <w:r w:rsidRPr="00E11573">
        <w:rPr>
          <w:rFonts w:ascii="Bookman Old Style" w:hAnsi="Bookman Old Style"/>
        </w:rPr>
        <w:t>y 2253 de 1994</w:t>
      </w:r>
      <w:r w:rsidR="00727040">
        <w:rPr>
          <w:rFonts w:ascii="Bookman Old Style" w:hAnsi="Bookman Old Style"/>
        </w:rPr>
        <w:t>, 1260 de 2013</w:t>
      </w:r>
      <w:r w:rsidR="00EB7486">
        <w:rPr>
          <w:rFonts w:ascii="Bookman Old Style" w:hAnsi="Bookman Old Style"/>
        </w:rPr>
        <w:t>,</w:t>
      </w:r>
      <w:r w:rsidRPr="00E11573">
        <w:rPr>
          <w:rFonts w:ascii="Bookman Old Style" w:hAnsi="Bookman Old Style"/>
        </w:rPr>
        <w:t xml:space="preserve"> y en especial lo dispuesto en el </w:t>
      </w:r>
      <w:r w:rsidR="00727040">
        <w:rPr>
          <w:rFonts w:ascii="Bookman Old Style" w:hAnsi="Bookman Old Style"/>
        </w:rPr>
        <w:t>literal d</w:t>
      </w:r>
      <w:r w:rsidRPr="00E11573">
        <w:rPr>
          <w:rFonts w:ascii="Bookman Old Style" w:hAnsi="Bookman Old Style"/>
        </w:rPr>
        <w:t xml:space="preserve"> del artículo 2</w:t>
      </w:r>
      <w:r w:rsidR="00727040">
        <w:rPr>
          <w:rFonts w:ascii="Bookman Old Style" w:hAnsi="Bookman Old Style"/>
        </w:rPr>
        <w:t>2</w:t>
      </w:r>
      <w:r w:rsidR="006542DE">
        <w:rPr>
          <w:rFonts w:ascii="Bookman Old Style" w:hAnsi="Bookman Old Style"/>
        </w:rPr>
        <w:t xml:space="preserve"> y el numeral 24.5 del artículo 24</w:t>
      </w:r>
      <w:r w:rsidRPr="00E11573">
        <w:rPr>
          <w:rFonts w:ascii="Bookman Old Style" w:hAnsi="Bookman Old Style"/>
        </w:rPr>
        <w:t xml:space="preserve"> de la Resolución CREG 091 de 2007, la Comisión de Regulación de </w:t>
      </w:r>
      <w:r w:rsidRPr="00B92DDF">
        <w:rPr>
          <w:rFonts w:ascii="Bookman Old Style" w:hAnsi="Bookman Old Style"/>
        </w:rPr>
        <w:t xml:space="preserve">Energía y Gas cuenta con la competencia para resolver </w:t>
      </w:r>
      <w:r w:rsidR="00FA2779" w:rsidRPr="00B92DDF">
        <w:rPr>
          <w:rFonts w:ascii="Bookman Old Style" w:hAnsi="Bookman Old Style"/>
        </w:rPr>
        <w:t xml:space="preserve">la solicitud presentada por la </w:t>
      </w:r>
      <w:r w:rsidR="00B92DDF" w:rsidRPr="00B92DDF">
        <w:rPr>
          <w:rFonts w:ascii="Bookman Old Style" w:hAnsi="Bookman Old Style"/>
        </w:rPr>
        <w:t>empresa ESPUN S.A. E.S.P.</w:t>
      </w:r>
      <w:r w:rsidR="004F5290" w:rsidRPr="00B92DDF">
        <w:rPr>
          <w:rFonts w:ascii="Bookman Old Style" w:hAnsi="Bookman Old Style"/>
        </w:rPr>
        <w:t xml:space="preserve"> </w:t>
      </w:r>
    </w:p>
    <w:p w:rsidR="003C59FA" w:rsidRPr="001459AA" w:rsidRDefault="003C59FA" w:rsidP="001A74A7">
      <w:pPr>
        <w:ind w:left="284" w:right="142"/>
        <w:jc w:val="both"/>
        <w:rPr>
          <w:rFonts w:ascii="Bookman Old Style" w:hAnsi="Bookman Old Style"/>
        </w:rPr>
      </w:pPr>
    </w:p>
    <w:p w:rsidR="001A74A7" w:rsidRPr="001A74A7" w:rsidRDefault="001A74A7" w:rsidP="001A74A7">
      <w:pPr>
        <w:numPr>
          <w:ilvl w:val="0"/>
          <w:numId w:val="8"/>
        </w:numPr>
        <w:ind w:right="142"/>
        <w:jc w:val="both"/>
        <w:rPr>
          <w:rFonts w:ascii="Bookman Old Style" w:hAnsi="Bookman Old Style" w:cs="Arial"/>
          <w:b/>
        </w:rPr>
      </w:pPr>
      <w:r w:rsidRPr="001A74A7">
        <w:rPr>
          <w:rFonts w:ascii="Bookman Old Style" w:hAnsi="Bookman Old Style" w:cs="Arial"/>
          <w:b/>
        </w:rPr>
        <w:t>EL</w:t>
      </w:r>
      <w:r w:rsidR="005F2B6B">
        <w:rPr>
          <w:rFonts w:ascii="Bookman Old Style" w:hAnsi="Bookman Old Style" w:cs="Arial"/>
          <w:b/>
        </w:rPr>
        <w:t xml:space="preserve"> </w:t>
      </w:r>
      <w:r w:rsidRPr="001A74A7">
        <w:rPr>
          <w:rFonts w:ascii="Bookman Old Style" w:hAnsi="Bookman Old Style" w:cs="Arial"/>
          <w:b/>
        </w:rPr>
        <w:t xml:space="preserve">TRÁMITE </w:t>
      </w:r>
      <w:r w:rsidRPr="00552F05">
        <w:rPr>
          <w:rFonts w:ascii="Bookman Old Style" w:hAnsi="Bookman Old Style" w:cs="Arial"/>
          <w:b/>
        </w:rPr>
        <w:t>ADELANTADO</w:t>
      </w:r>
    </w:p>
    <w:p w:rsidR="001A74A7" w:rsidRDefault="001A74A7" w:rsidP="001459AA">
      <w:pPr>
        <w:ind w:left="284" w:right="142"/>
        <w:jc w:val="both"/>
        <w:rPr>
          <w:rFonts w:ascii="Bookman Old Style" w:hAnsi="Bookman Old Style" w:cs="Arial"/>
        </w:rPr>
      </w:pPr>
    </w:p>
    <w:p w:rsidR="00896C6C" w:rsidRDefault="00727040" w:rsidP="00727040">
      <w:pPr>
        <w:widowControl w:val="0"/>
        <w:ind w:left="284" w:right="51"/>
        <w:jc w:val="both"/>
        <w:rPr>
          <w:rFonts w:ascii="Bookman Old Style" w:eastAsia="Calibri" w:hAnsi="Bookman Old Style" w:cs="Arial"/>
          <w:lang w:eastAsia="en-US"/>
        </w:rPr>
      </w:pPr>
      <w:r w:rsidRPr="00896C6C">
        <w:rPr>
          <w:rFonts w:ascii="Bookman Old Style" w:eastAsia="Calibri" w:hAnsi="Bookman Old Style" w:cs="Arial"/>
          <w:lang w:eastAsia="en-US"/>
        </w:rPr>
        <w:t xml:space="preserve">Mediante Auto con radicado CREG </w:t>
      </w:r>
      <w:r w:rsidR="00896C6C" w:rsidRPr="00896C6C">
        <w:rPr>
          <w:rFonts w:ascii="Bookman Old Style" w:eastAsia="Calibri" w:hAnsi="Bookman Old Style" w:cs="Arial"/>
          <w:lang w:val="es-MX" w:eastAsia="en-US"/>
        </w:rPr>
        <w:t xml:space="preserve">I-2019-003514 </w:t>
      </w:r>
      <w:r w:rsidR="003623A6">
        <w:rPr>
          <w:rFonts w:ascii="Bookman Old Style" w:eastAsia="Calibri" w:hAnsi="Bookman Old Style" w:cs="Arial"/>
          <w:lang w:val="es-MX" w:eastAsia="en-US"/>
        </w:rPr>
        <w:t xml:space="preserve">publicado en el Diario Oficial </w:t>
      </w:r>
      <w:r w:rsidR="002946D7" w:rsidRPr="002946D7">
        <w:rPr>
          <w:rFonts w:ascii="Bookman Old Style" w:eastAsia="Calibri" w:hAnsi="Bookman Old Style" w:cs="Arial"/>
          <w:lang w:val="es-MX" w:eastAsia="en-US"/>
        </w:rPr>
        <w:t>No.</w:t>
      </w:r>
      <w:r w:rsidR="001C2B61">
        <w:rPr>
          <w:rFonts w:ascii="Bookman Old Style" w:eastAsia="Calibri" w:hAnsi="Bookman Old Style" w:cs="Arial"/>
          <w:lang w:val="es-MX" w:eastAsia="en-US"/>
        </w:rPr>
        <w:t xml:space="preserve"> </w:t>
      </w:r>
      <w:r w:rsidR="002946D7" w:rsidRPr="002946D7">
        <w:rPr>
          <w:rFonts w:ascii="Bookman Old Style" w:eastAsia="Calibri" w:hAnsi="Bookman Old Style" w:cs="Arial"/>
          <w:lang w:val="es-MX" w:eastAsia="en-US"/>
        </w:rPr>
        <w:t>50.981 del 11 de junio de 2019</w:t>
      </w:r>
      <w:r w:rsidR="003623A6" w:rsidRPr="003623A6">
        <w:rPr>
          <w:rFonts w:ascii="Bookman Old Style" w:eastAsia="Calibri" w:hAnsi="Bookman Old Style" w:cs="Arial"/>
          <w:lang w:val="es-MX" w:eastAsia="en-US"/>
        </w:rPr>
        <w:t>,</w:t>
      </w:r>
      <w:r w:rsidR="003623A6">
        <w:rPr>
          <w:rFonts w:ascii="Bookman Old Style" w:eastAsia="Calibri" w:hAnsi="Bookman Old Style" w:cs="Arial"/>
          <w:lang w:val="es-MX" w:eastAsia="en-US"/>
        </w:rPr>
        <w:t xml:space="preserve"> </w:t>
      </w:r>
      <w:r w:rsidRPr="00896C6C">
        <w:rPr>
          <w:rFonts w:ascii="Bookman Old Style" w:eastAsia="Calibri" w:hAnsi="Bookman Old Style" w:cs="Arial"/>
          <w:lang w:eastAsia="en-US"/>
        </w:rPr>
        <w:t>la Dirección Ejecutiva de la Comisión ordenó la conformación del expediente administrativo</w:t>
      </w:r>
      <w:r w:rsidR="00FB59D0">
        <w:rPr>
          <w:rFonts w:ascii="Bookman Old Style" w:eastAsia="Calibri" w:hAnsi="Bookman Old Style" w:cs="Arial"/>
          <w:lang w:eastAsia="en-US"/>
        </w:rPr>
        <w:t>,</w:t>
      </w:r>
      <w:r w:rsidRPr="00896C6C">
        <w:rPr>
          <w:rFonts w:ascii="Bookman Old Style" w:eastAsia="Calibri" w:hAnsi="Bookman Old Style" w:cs="Arial"/>
          <w:lang w:eastAsia="en-US"/>
        </w:rPr>
        <w:t xml:space="preserve"> </w:t>
      </w:r>
      <w:r w:rsidR="00896C6C" w:rsidRPr="00896C6C">
        <w:rPr>
          <w:rFonts w:ascii="Bookman Old Style" w:eastAsia="Calibri" w:hAnsi="Bookman Old Style" w:cs="Arial"/>
          <w:lang w:eastAsia="en-US"/>
        </w:rPr>
        <w:t>con el objeto de decidir sobre la solicitud de aprobación de un cargo de remuneración para un proyecto h</w:t>
      </w:r>
      <w:r w:rsidR="00FB59D0">
        <w:rPr>
          <w:rFonts w:ascii="Bookman Old Style" w:eastAsia="Calibri" w:hAnsi="Bookman Old Style" w:cs="Arial"/>
          <w:lang w:eastAsia="en-US"/>
        </w:rPr>
        <w:t>í</w:t>
      </w:r>
      <w:r w:rsidR="00896C6C" w:rsidRPr="00896C6C">
        <w:rPr>
          <w:rFonts w:ascii="Bookman Old Style" w:eastAsia="Calibri" w:hAnsi="Bookman Old Style" w:cs="Arial"/>
          <w:lang w:eastAsia="en-US"/>
        </w:rPr>
        <w:t xml:space="preserve">brido diésel fotovoltaico en el municipio de </w:t>
      </w:r>
      <w:proofErr w:type="spellStart"/>
      <w:r w:rsidR="00896C6C" w:rsidRPr="00896C6C">
        <w:rPr>
          <w:rFonts w:ascii="Bookman Old Style" w:eastAsia="Calibri" w:hAnsi="Bookman Old Style" w:cs="Arial"/>
          <w:lang w:eastAsia="en-US"/>
        </w:rPr>
        <w:t>Unguía</w:t>
      </w:r>
      <w:proofErr w:type="spellEnd"/>
      <w:r w:rsidR="00FB59D0">
        <w:rPr>
          <w:rFonts w:ascii="Bookman Old Style" w:eastAsia="Calibri" w:hAnsi="Bookman Old Style" w:cs="Arial"/>
          <w:lang w:eastAsia="en-US"/>
        </w:rPr>
        <w:t>,</w:t>
      </w:r>
      <w:r w:rsidR="00896C6C" w:rsidRPr="00896C6C">
        <w:rPr>
          <w:rFonts w:ascii="Bookman Old Style" w:eastAsia="Calibri" w:hAnsi="Bookman Old Style" w:cs="Arial"/>
          <w:lang w:eastAsia="en-US"/>
        </w:rPr>
        <w:t xml:space="preserve"> en el departamento del Chocó.</w:t>
      </w:r>
    </w:p>
    <w:p w:rsidR="00896C6C" w:rsidRDefault="00896C6C" w:rsidP="00727040">
      <w:pPr>
        <w:widowControl w:val="0"/>
        <w:ind w:left="284" w:right="51"/>
        <w:jc w:val="both"/>
        <w:rPr>
          <w:rFonts w:ascii="Bookman Old Style" w:eastAsia="Calibri" w:hAnsi="Bookman Old Style" w:cs="Arial"/>
          <w:lang w:eastAsia="en-US"/>
        </w:rPr>
      </w:pPr>
    </w:p>
    <w:p w:rsidR="00727040" w:rsidRPr="00896C6C" w:rsidRDefault="00896C6C" w:rsidP="00896C6C">
      <w:pPr>
        <w:widowControl w:val="0"/>
        <w:ind w:left="284" w:right="51"/>
        <w:jc w:val="both"/>
        <w:rPr>
          <w:rFonts w:ascii="Bookman Old Style" w:eastAsia="Calibri" w:hAnsi="Bookman Old Style" w:cs="Arial"/>
          <w:lang w:eastAsia="en-US"/>
        </w:rPr>
      </w:pPr>
      <w:r w:rsidRPr="00896C6C">
        <w:rPr>
          <w:rFonts w:ascii="Bookman Old Style" w:eastAsia="Calibri" w:hAnsi="Bookman Old Style" w:cs="Arial"/>
          <w:lang w:eastAsia="en-US"/>
        </w:rPr>
        <w:t>Igualmente,</w:t>
      </w:r>
      <w:r w:rsidR="00727040" w:rsidRPr="00896C6C">
        <w:rPr>
          <w:rFonts w:ascii="Bookman Old Style" w:eastAsia="Calibri" w:hAnsi="Bookman Old Style" w:cs="Arial"/>
          <w:lang w:eastAsia="en-US"/>
        </w:rPr>
        <w:t xml:space="preserve"> mediante el precitado auto se ordenó </w:t>
      </w:r>
      <w:r w:rsidRPr="00896C6C">
        <w:rPr>
          <w:rFonts w:ascii="Bookman Old Style" w:eastAsia="Calibri" w:hAnsi="Bookman Old Style" w:cs="Arial"/>
          <w:lang w:eastAsia="en-US"/>
        </w:rPr>
        <w:t xml:space="preserve">oficiar a la Alcaldía Municipal de </w:t>
      </w:r>
      <w:proofErr w:type="spellStart"/>
      <w:r w:rsidRPr="00896C6C">
        <w:rPr>
          <w:rFonts w:ascii="Bookman Old Style" w:eastAsia="Calibri" w:hAnsi="Bookman Old Style" w:cs="Arial"/>
          <w:lang w:eastAsia="en-US"/>
        </w:rPr>
        <w:t>Unguía</w:t>
      </w:r>
      <w:proofErr w:type="spellEnd"/>
      <w:r w:rsidR="00FB59D0">
        <w:rPr>
          <w:rFonts w:ascii="Bookman Old Style" w:eastAsia="Calibri" w:hAnsi="Bookman Old Style" w:cs="Arial"/>
          <w:lang w:eastAsia="en-US"/>
        </w:rPr>
        <w:t>,</w:t>
      </w:r>
      <w:r w:rsidRPr="00896C6C">
        <w:rPr>
          <w:rFonts w:ascii="Bookman Old Style" w:eastAsia="Calibri" w:hAnsi="Bookman Old Style" w:cs="Arial"/>
          <w:lang w:eastAsia="en-US"/>
        </w:rPr>
        <w:t xml:space="preserve"> para la publicación en su cartelera</w:t>
      </w:r>
      <w:r w:rsidR="00FB59D0">
        <w:rPr>
          <w:rFonts w:ascii="Bookman Old Style" w:eastAsia="Calibri" w:hAnsi="Bookman Old Style" w:cs="Arial"/>
          <w:lang w:eastAsia="en-US"/>
        </w:rPr>
        <w:t>,</w:t>
      </w:r>
      <w:r w:rsidRPr="00896C6C">
        <w:rPr>
          <w:rFonts w:ascii="Bookman Old Style" w:eastAsia="Calibri" w:hAnsi="Bookman Old Style" w:cs="Arial"/>
          <w:lang w:eastAsia="en-US"/>
        </w:rPr>
        <w:t xml:space="preserve"> del extracto del objeto de la actuación administrativa</w:t>
      </w:r>
      <w:r w:rsidR="00FB59D0">
        <w:rPr>
          <w:rFonts w:ascii="Bookman Old Style" w:eastAsia="Calibri" w:hAnsi="Bookman Old Style" w:cs="Arial"/>
          <w:lang w:eastAsia="en-US"/>
        </w:rPr>
        <w:t>,</w:t>
      </w:r>
      <w:r w:rsidRPr="00896C6C">
        <w:rPr>
          <w:rFonts w:ascii="Bookman Old Style" w:eastAsia="Calibri" w:hAnsi="Bookman Old Style" w:cs="Arial"/>
          <w:lang w:eastAsia="en-US"/>
        </w:rPr>
        <w:t xml:space="preserve"> y la publicación del mismo en la página web de la Comisión y en el Diario Oficial</w:t>
      </w:r>
      <w:r w:rsidR="00FB59D0">
        <w:rPr>
          <w:rFonts w:ascii="Bookman Old Style" w:eastAsia="Calibri" w:hAnsi="Bookman Old Style" w:cs="Arial"/>
          <w:lang w:eastAsia="en-US"/>
        </w:rPr>
        <w:t>,</w:t>
      </w:r>
      <w:r w:rsidRPr="00896C6C">
        <w:rPr>
          <w:rFonts w:ascii="Bookman Old Style" w:eastAsia="Calibri" w:hAnsi="Bookman Old Style" w:cs="Arial"/>
          <w:lang w:eastAsia="en-US"/>
        </w:rPr>
        <w:t xml:space="preserve"> </w:t>
      </w:r>
      <w:r w:rsidR="00727040" w:rsidRPr="00896C6C">
        <w:rPr>
          <w:rFonts w:ascii="Bookman Old Style" w:eastAsia="Calibri" w:hAnsi="Bookman Old Style" w:cs="Arial"/>
          <w:lang w:eastAsia="en-US"/>
        </w:rPr>
        <w:t xml:space="preserve">con </w:t>
      </w:r>
      <w:r w:rsidRPr="00896C6C">
        <w:rPr>
          <w:rFonts w:ascii="Bookman Old Style" w:eastAsia="Calibri" w:hAnsi="Bookman Old Style" w:cs="Arial"/>
          <w:lang w:eastAsia="en-US"/>
        </w:rPr>
        <w:t xml:space="preserve">el fin de </w:t>
      </w:r>
      <w:r w:rsidR="00727040" w:rsidRPr="00896C6C">
        <w:rPr>
          <w:rFonts w:ascii="Bookman Old Style" w:eastAsia="Calibri" w:hAnsi="Bookman Old Style" w:cs="Arial"/>
          <w:lang w:eastAsia="en-US"/>
        </w:rPr>
        <w:t xml:space="preserve">informar a terceros interesados sobre la existencia de dicha actuación, </w:t>
      </w:r>
      <w:r w:rsidR="00727040" w:rsidRPr="00896C6C">
        <w:rPr>
          <w:rFonts w:ascii="Bookman Old Style" w:hAnsi="Bookman Old Style" w:cs="Arial"/>
        </w:rPr>
        <w:t>conforme a lo ordenado por el artículo 37 del Código de Procedimiento Administrativo y de lo Contencioso Administrativo</w:t>
      </w:r>
      <w:r w:rsidR="00727040" w:rsidRPr="00896C6C">
        <w:rPr>
          <w:rFonts w:ascii="Bookman Old Style" w:eastAsia="Calibri" w:hAnsi="Bookman Old Style" w:cs="Arial"/>
          <w:lang w:eastAsia="en-US"/>
        </w:rPr>
        <w:t>.</w:t>
      </w:r>
    </w:p>
    <w:p w:rsidR="004F5290" w:rsidRPr="004F5290" w:rsidRDefault="004F5290" w:rsidP="00727040">
      <w:pPr>
        <w:ind w:left="284"/>
        <w:jc w:val="both"/>
        <w:rPr>
          <w:rFonts w:ascii="Bookman Old Style" w:hAnsi="Bookman Old Style" w:cs="Arial"/>
          <w:highlight w:val="yellow"/>
        </w:rPr>
      </w:pPr>
    </w:p>
    <w:p w:rsidR="00CA0209" w:rsidRDefault="00CA0209" w:rsidP="00727040">
      <w:pPr>
        <w:ind w:left="284"/>
        <w:jc w:val="both"/>
        <w:rPr>
          <w:rFonts w:ascii="Bookman Old Style" w:hAnsi="Bookman Old Style" w:cs="Arial"/>
        </w:rPr>
      </w:pPr>
      <w:r w:rsidRPr="00896C6C">
        <w:rPr>
          <w:rFonts w:ascii="Bookman Old Style" w:hAnsi="Bookman Old Style" w:cs="Arial"/>
        </w:rPr>
        <w:t xml:space="preserve">Mediante oficio del </w:t>
      </w:r>
      <w:r w:rsidR="00896C6C" w:rsidRPr="00896C6C">
        <w:rPr>
          <w:rFonts w:ascii="Bookman Old Style" w:hAnsi="Bookman Old Style" w:cs="Arial"/>
        </w:rPr>
        <w:t>30 de mayo de 2019</w:t>
      </w:r>
      <w:r w:rsidRPr="00896C6C">
        <w:rPr>
          <w:rFonts w:ascii="Bookman Old Style" w:hAnsi="Bookman Old Style" w:cs="Arial"/>
        </w:rPr>
        <w:t xml:space="preserve"> con radicado CREG S-20</w:t>
      </w:r>
      <w:r w:rsidR="00896C6C" w:rsidRPr="00896C6C">
        <w:rPr>
          <w:rFonts w:ascii="Bookman Old Style" w:hAnsi="Bookman Old Style" w:cs="Arial"/>
        </w:rPr>
        <w:t>19</w:t>
      </w:r>
      <w:r w:rsidRPr="00896C6C">
        <w:rPr>
          <w:rFonts w:ascii="Bookman Old Style" w:hAnsi="Bookman Old Style" w:cs="Arial"/>
        </w:rPr>
        <w:t>-0033</w:t>
      </w:r>
      <w:r w:rsidR="00896C6C" w:rsidRPr="00896C6C">
        <w:rPr>
          <w:rFonts w:ascii="Bookman Old Style" w:hAnsi="Bookman Old Style" w:cs="Arial"/>
        </w:rPr>
        <w:t>29</w:t>
      </w:r>
      <w:r w:rsidRPr="00896C6C">
        <w:rPr>
          <w:rFonts w:ascii="Bookman Old Style" w:hAnsi="Bookman Old Style" w:cs="Arial"/>
        </w:rPr>
        <w:t>, la Comisión le comunicó a la empresa</w:t>
      </w:r>
      <w:r w:rsidR="00896C6C" w:rsidRPr="00896C6C">
        <w:rPr>
          <w:rFonts w:ascii="Bookman Old Style" w:hAnsi="Bookman Old Style" w:cs="Arial"/>
        </w:rPr>
        <w:t xml:space="preserve"> ESPUN</w:t>
      </w:r>
      <w:r w:rsidRPr="00896C6C">
        <w:rPr>
          <w:rFonts w:ascii="Bookman Old Style" w:hAnsi="Bookman Old Style" w:cs="Arial"/>
        </w:rPr>
        <w:t xml:space="preserve"> S.A</w:t>
      </w:r>
      <w:r w:rsidR="00FB59D0">
        <w:rPr>
          <w:rFonts w:ascii="Bookman Old Style" w:hAnsi="Bookman Old Style" w:cs="Arial"/>
        </w:rPr>
        <w:t>.</w:t>
      </w:r>
      <w:r w:rsidRPr="00896C6C">
        <w:rPr>
          <w:rFonts w:ascii="Bookman Old Style" w:hAnsi="Bookman Old Style" w:cs="Arial"/>
        </w:rPr>
        <w:t xml:space="preserve"> E.S.P.</w:t>
      </w:r>
      <w:r w:rsidR="00FB59D0">
        <w:rPr>
          <w:rFonts w:ascii="Bookman Old Style" w:hAnsi="Bookman Old Style" w:cs="Arial"/>
        </w:rPr>
        <w:t>,</w:t>
      </w:r>
      <w:r w:rsidRPr="00896C6C">
        <w:rPr>
          <w:rFonts w:ascii="Bookman Old Style" w:hAnsi="Bookman Old Style" w:cs="Arial"/>
        </w:rPr>
        <w:t xml:space="preserve"> </w:t>
      </w:r>
      <w:r w:rsidR="00F57E6A" w:rsidRPr="00896C6C">
        <w:rPr>
          <w:rFonts w:ascii="Bookman Old Style" w:hAnsi="Bookman Old Style" w:cs="Arial"/>
        </w:rPr>
        <w:t xml:space="preserve">y remitió copia </w:t>
      </w:r>
      <w:r w:rsidRPr="00896C6C">
        <w:rPr>
          <w:rFonts w:ascii="Bookman Old Style" w:hAnsi="Bookman Old Style" w:cs="Arial"/>
        </w:rPr>
        <w:t>del auto de inicio de la actuación administrativa y de la publicación en la página web de la Comisión y en el Diario Oficial</w:t>
      </w:r>
      <w:r w:rsidR="00FB59D0">
        <w:rPr>
          <w:rFonts w:ascii="Bookman Old Style" w:hAnsi="Bookman Old Style" w:cs="Arial"/>
        </w:rPr>
        <w:t>,</w:t>
      </w:r>
      <w:r w:rsidRPr="00896C6C">
        <w:rPr>
          <w:rFonts w:ascii="Bookman Old Style" w:hAnsi="Bookman Old Style" w:cs="Arial"/>
        </w:rPr>
        <w:t xml:space="preserve"> de la copia del extracto inform</w:t>
      </w:r>
      <w:r w:rsidR="003C59FA" w:rsidRPr="00896C6C">
        <w:rPr>
          <w:rFonts w:ascii="Bookman Old Style" w:hAnsi="Bookman Old Style" w:cs="Arial"/>
        </w:rPr>
        <w:t>ativo anexo al respectivo auto.</w:t>
      </w:r>
    </w:p>
    <w:p w:rsidR="003623A6" w:rsidRDefault="003623A6" w:rsidP="00727040">
      <w:pPr>
        <w:ind w:left="284"/>
        <w:jc w:val="both"/>
        <w:rPr>
          <w:rFonts w:ascii="Bookman Old Style" w:hAnsi="Bookman Old Style" w:cs="Arial"/>
        </w:rPr>
      </w:pPr>
    </w:p>
    <w:p w:rsidR="003623A6" w:rsidRPr="00896C6C" w:rsidRDefault="003623A6" w:rsidP="003623A6">
      <w:pPr>
        <w:ind w:left="284"/>
        <w:jc w:val="both"/>
        <w:rPr>
          <w:rFonts w:ascii="Bookman Old Style" w:hAnsi="Bookman Old Style" w:cs="Arial"/>
        </w:rPr>
      </w:pPr>
      <w:r w:rsidRPr="00896C6C">
        <w:rPr>
          <w:rFonts w:ascii="Bookman Old Style" w:hAnsi="Bookman Old Style" w:cs="Arial"/>
        </w:rPr>
        <w:t>Mediante oficio del 30 de mayo de 2019 con radicado CREG S-2019-00</w:t>
      </w:r>
      <w:r>
        <w:rPr>
          <w:rFonts w:ascii="Bookman Old Style" w:hAnsi="Bookman Old Style" w:cs="Arial"/>
        </w:rPr>
        <w:t>3487</w:t>
      </w:r>
      <w:r w:rsidRPr="00896C6C">
        <w:rPr>
          <w:rFonts w:ascii="Bookman Old Style" w:hAnsi="Bookman Old Style" w:cs="Arial"/>
        </w:rPr>
        <w:t xml:space="preserve">, la Comisión le comunicó a la </w:t>
      </w:r>
      <w:r w:rsidRPr="00896C6C">
        <w:rPr>
          <w:rFonts w:ascii="Bookman Old Style" w:eastAsia="Calibri" w:hAnsi="Bookman Old Style" w:cs="Arial"/>
          <w:lang w:eastAsia="en-US"/>
        </w:rPr>
        <w:t xml:space="preserve">Alcaldía Municipal de </w:t>
      </w:r>
      <w:proofErr w:type="spellStart"/>
      <w:r w:rsidRPr="00896C6C">
        <w:rPr>
          <w:rFonts w:ascii="Bookman Old Style" w:eastAsia="Calibri" w:hAnsi="Bookman Old Style" w:cs="Arial"/>
          <w:lang w:eastAsia="en-US"/>
        </w:rPr>
        <w:t>Unguía</w:t>
      </w:r>
      <w:proofErr w:type="spellEnd"/>
      <w:r w:rsidRPr="00896C6C">
        <w:rPr>
          <w:rFonts w:ascii="Bookman Old Style" w:hAnsi="Bookman Old Style" w:cs="Arial"/>
        </w:rPr>
        <w:t xml:space="preserve"> y remitió copia del auto de inicio de la actuación administrativa y del extracto informativo </w:t>
      </w:r>
      <w:r>
        <w:rPr>
          <w:rFonts w:ascii="Bookman Old Style" w:hAnsi="Bookman Old Style" w:cs="Arial"/>
        </w:rPr>
        <w:t>del inicio de la actuación administrativa.</w:t>
      </w:r>
    </w:p>
    <w:p w:rsidR="003623A6" w:rsidRDefault="003623A6" w:rsidP="00727040">
      <w:pPr>
        <w:ind w:left="284"/>
        <w:jc w:val="both"/>
        <w:rPr>
          <w:rFonts w:ascii="Bookman Old Style" w:hAnsi="Bookman Old Style" w:cs="Arial"/>
        </w:rPr>
      </w:pPr>
    </w:p>
    <w:p w:rsidR="003623A6" w:rsidRPr="002946D7" w:rsidRDefault="003623A6" w:rsidP="003623A6">
      <w:pPr>
        <w:ind w:left="284"/>
        <w:jc w:val="both"/>
        <w:rPr>
          <w:rFonts w:ascii="Bookman Old Style" w:hAnsi="Bookman Old Style" w:cs="Arial"/>
        </w:rPr>
      </w:pPr>
      <w:r w:rsidRPr="002946D7">
        <w:rPr>
          <w:rFonts w:ascii="Bookman Old Style" w:hAnsi="Bookman Old Style" w:cs="Arial"/>
        </w:rPr>
        <w:lastRenderedPageBreak/>
        <w:t>Mediante Auto con radicado CREG I-2019-004648 proferido por la Dirección Ejecutiva de la Comisión el 25 de julio de 2019, se ordenó decretar la práctica de pruebas de oficio</w:t>
      </w:r>
      <w:r w:rsidR="00FB59D0">
        <w:rPr>
          <w:rFonts w:ascii="Bookman Old Style" w:hAnsi="Bookman Old Style" w:cs="Arial"/>
        </w:rPr>
        <w:t>,</w:t>
      </w:r>
      <w:r w:rsidRPr="002946D7">
        <w:rPr>
          <w:rFonts w:ascii="Bookman Old Style" w:hAnsi="Bookman Old Style" w:cs="Arial"/>
        </w:rPr>
        <w:t xml:space="preserve"> tendientes a aclarar y complementar la información presentada por parte de la empresa ESPUN S.A</w:t>
      </w:r>
      <w:r w:rsidR="00FB59D0">
        <w:rPr>
          <w:rFonts w:ascii="Bookman Old Style" w:hAnsi="Bookman Old Style" w:cs="Arial"/>
        </w:rPr>
        <w:t>.</w:t>
      </w:r>
      <w:r w:rsidRPr="002946D7">
        <w:rPr>
          <w:rFonts w:ascii="Bookman Old Style" w:hAnsi="Bookman Old Style" w:cs="Arial"/>
        </w:rPr>
        <w:t xml:space="preserve"> E.S.P. mediante </w:t>
      </w:r>
      <w:r w:rsidR="002946D7" w:rsidRPr="002946D7">
        <w:rPr>
          <w:rFonts w:ascii="Bookman Old Style" w:hAnsi="Bookman Old Style" w:cs="Arial"/>
        </w:rPr>
        <w:t>radicado CREG E-2018-010603</w:t>
      </w:r>
      <w:r w:rsidR="00FB59D0">
        <w:rPr>
          <w:rFonts w:ascii="Bookman Old Style" w:hAnsi="Bookman Old Style" w:cs="Arial"/>
        </w:rPr>
        <w:t>,</w:t>
      </w:r>
      <w:r w:rsidRPr="002946D7">
        <w:rPr>
          <w:rFonts w:ascii="Bookman Old Style" w:hAnsi="Bookman Old Style" w:cs="Arial"/>
        </w:rPr>
        <w:t xml:space="preserve"> dentro de la actuación administrativa.</w:t>
      </w:r>
    </w:p>
    <w:p w:rsidR="003623A6" w:rsidRPr="008529AF" w:rsidRDefault="003623A6" w:rsidP="003623A6">
      <w:pPr>
        <w:ind w:left="284"/>
        <w:jc w:val="both"/>
        <w:rPr>
          <w:rFonts w:ascii="Bookman Old Style" w:hAnsi="Bookman Old Style" w:cs="Arial"/>
        </w:rPr>
      </w:pPr>
    </w:p>
    <w:p w:rsidR="00D93196" w:rsidRDefault="003623A6" w:rsidP="003623A6">
      <w:pPr>
        <w:ind w:left="284"/>
        <w:jc w:val="both"/>
        <w:rPr>
          <w:rFonts w:ascii="Bookman Old Style" w:hAnsi="Bookman Old Style" w:cs="Arial"/>
        </w:rPr>
      </w:pPr>
      <w:r w:rsidRPr="008529AF">
        <w:rPr>
          <w:rFonts w:ascii="Bookman Old Style" w:hAnsi="Bookman Old Style" w:cs="Arial"/>
        </w:rPr>
        <w:t>La solicitud de aclaración y ampliación de información a la empresa fue en relación con</w:t>
      </w:r>
      <w:r w:rsidR="00D93196">
        <w:rPr>
          <w:rFonts w:ascii="Bookman Old Style" w:hAnsi="Bookman Old Style" w:cs="Arial"/>
        </w:rPr>
        <w:t>,</w:t>
      </w:r>
      <w:r w:rsidRPr="008529AF">
        <w:rPr>
          <w:rFonts w:ascii="Bookman Old Style" w:hAnsi="Bookman Old Style" w:cs="Arial"/>
        </w:rPr>
        <w:t xml:space="preserve"> entre otros: </w:t>
      </w:r>
      <w:r w:rsidR="008529AF" w:rsidRPr="008529AF">
        <w:rPr>
          <w:rFonts w:ascii="Bookman Old Style" w:hAnsi="Bookman Old Style" w:cs="Arial"/>
        </w:rPr>
        <w:t xml:space="preserve">las </w:t>
      </w:r>
      <w:r w:rsidR="0044232C" w:rsidRPr="008529AF">
        <w:rPr>
          <w:rFonts w:ascii="Bookman Old Style" w:hAnsi="Bookman Old Style" w:cs="Arial"/>
        </w:rPr>
        <w:t>pérdidas o eficiencias consideradas en los cálculos,</w:t>
      </w:r>
      <w:r w:rsidR="008529AF" w:rsidRPr="008529AF">
        <w:rPr>
          <w:rFonts w:ascii="Bookman Old Style" w:hAnsi="Bookman Old Style" w:cs="Arial"/>
        </w:rPr>
        <w:t xml:space="preserve"> las condiciones técnicas del sistema SCADA en caso de tenerlo y las características</w:t>
      </w:r>
      <w:r w:rsidR="0044232C" w:rsidRPr="008529AF">
        <w:rPr>
          <w:rFonts w:ascii="Bookman Old Style" w:hAnsi="Bookman Old Style" w:cs="Arial"/>
        </w:rPr>
        <w:t xml:space="preserve"> técnicas del sistema Sincronismo del proyecto</w:t>
      </w:r>
      <w:r w:rsidR="008529AF" w:rsidRPr="008529AF">
        <w:rPr>
          <w:rFonts w:ascii="Bookman Old Style" w:hAnsi="Bookman Old Style" w:cs="Arial"/>
        </w:rPr>
        <w:t>.</w:t>
      </w:r>
    </w:p>
    <w:p w:rsidR="003623A6" w:rsidRDefault="003623A6" w:rsidP="003623A6">
      <w:pPr>
        <w:ind w:left="284"/>
        <w:jc w:val="both"/>
        <w:rPr>
          <w:rFonts w:ascii="Bookman Old Style" w:hAnsi="Bookman Old Style" w:cs="Arial"/>
        </w:rPr>
      </w:pPr>
    </w:p>
    <w:p w:rsidR="003623A6" w:rsidRPr="00E84953" w:rsidRDefault="003623A6" w:rsidP="003623A6">
      <w:pPr>
        <w:ind w:left="284"/>
        <w:jc w:val="both"/>
        <w:rPr>
          <w:rFonts w:ascii="Bookman Old Style" w:hAnsi="Bookman Old Style" w:cs="Arial"/>
        </w:rPr>
      </w:pPr>
      <w:r w:rsidRPr="00E84953">
        <w:rPr>
          <w:rFonts w:ascii="Bookman Old Style" w:hAnsi="Bookman Old Style" w:cs="Arial"/>
        </w:rPr>
        <w:t xml:space="preserve">Mediante comunicación con radicado CREG </w:t>
      </w:r>
      <w:r w:rsidR="00E84953" w:rsidRPr="00E84953">
        <w:rPr>
          <w:rFonts w:ascii="Bookman Old Style" w:hAnsi="Bookman Old Style" w:cs="Arial"/>
        </w:rPr>
        <w:t>S-2019-004247</w:t>
      </w:r>
      <w:r w:rsidRPr="00E84953">
        <w:rPr>
          <w:rFonts w:ascii="Bookman Old Style" w:hAnsi="Bookman Old Style" w:cs="Arial"/>
        </w:rPr>
        <w:t xml:space="preserve"> del 2</w:t>
      </w:r>
      <w:r w:rsidR="00E84953" w:rsidRPr="00E84953">
        <w:rPr>
          <w:rFonts w:ascii="Bookman Old Style" w:hAnsi="Bookman Old Style" w:cs="Arial"/>
        </w:rPr>
        <w:t>5</w:t>
      </w:r>
      <w:r w:rsidRPr="00E84953">
        <w:rPr>
          <w:rFonts w:ascii="Bookman Old Style" w:hAnsi="Bookman Old Style" w:cs="Arial"/>
        </w:rPr>
        <w:t xml:space="preserve"> de julio de 2019, se le comunicó a la empresa </w:t>
      </w:r>
      <w:r w:rsidR="00E84953" w:rsidRPr="00E84953">
        <w:rPr>
          <w:rFonts w:ascii="Bookman Old Style" w:hAnsi="Bookman Old Style" w:cs="Arial"/>
        </w:rPr>
        <w:t>ESPUN S.A</w:t>
      </w:r>
      <w:r w:rsidR="00FB59D0">
        <w:rPr>
          <w:rFonts w:ascii="Bookman Old Style" w:hAnsi="Bookman Old Style" w:cs="Arial"/>
        </w:rPr>
        <w:t>.</w:t>
      </w:r>
      <w:r w:rsidR="00E84953" w:rsidRPr="00E84953">
        <w:rPr>
          <w:rFonts w:ascii="Bookman Old Style" w:hAnsi="Bookman Old Style" w:cs="Arial"/>
        </w:rPr>
        <w:t xml:space="preserve"> E.S.P. </w:t>
      </w:r>
      <w:r w:rsidRPr="00E84953">
        <w:rPr>
          <w:rFonts w:ascii="Bookman Old Style" w:hAnsi="Bookman Old Style" w:cs="Arial"/>
        </w:rPr>
        <w:t>del decreto de la práctica de pruebas y se le remitió copia del respectivo auto.</w:t>
      </w:r>
    </w:p>
    <w:p w:rsidR="00E84953" w:rsidRPr="003623A6" w:rsidRDefault="00E84953" w:rsidP="003623A6">
      <w:pPr>
        <w:ind w:left="284"/>
        <w:jc w:val="both"/>
        <w:rPr>
          <w:rFonts w:ascii="Bookman Old Style" w:hAnsi="Bookman Old Style" w:cs="Arial"/>
          <w:highlight w:val="yellow"/>
        </w:rPr>
      </w:pPr>
    </w:p>
    <w:p w:rsidR="003623A6" w:rsidRPr="00E84953" w:rsidRDefault="003623A6" w:rsidP="003623A6">
      <w:pPr>
        <w:ind w:left="284"/>
        <w:jc w:val="both"/>
        <w:rPr>
          <w:rFonts w:ascii="Bookman Old Style" w:hAnsi="Bookman Old Style" w:cs="Arial"/>
        </w:rPr>
      </w:pPr>
      <w:r w:rsidRPr="00E84953">
        <w:rPr>
          <w:rFonts w:ascii="Bookman Old Style" w:hAnsi="Bookman Old Style" w:cs="Arial"/>
        </w:rPr>
        <w:t xml:space="preserve">La empresa </w:t>
      </w:r>
      <w:r w:rsidR="00E84953" w:rsidRPr="00E84953">
        <w:rPr>
          <w:rFonts w:ascii="Bookman Old Style" w:hAnsi="Bookman Old Style" w:cs="Arial"/>
        </w:rPr>
        <w:t>ESPUN S.A</w:t>
      </w:r>
      <w:r w:rsidR="00FB59D0">
        <w:rPr>
          <w:rFonts w:ascii="Bookman Old Style" w:hAnsi="Bookman Old Style" w:cs="Arial"/>
        </w:rPr>
        <w:t>.</w:t>
      </w:r>
      <w:r w:rsidR="00E84953" w:rsidRPr="00E84953">
        <w:rPr>
          <w:rFonts w:ascii="Bookman Old Style" w:hAnsi="Bookman Old Style" w:cs="Arial"/>
        </w:rPr>
        <w:t xml:space="preserve"> E.S.P. </w:t>
      </w:r>
      <w:r w:rsidRPr="00E84953">
        <w:rPr>
          <w:rFonts w:ascii="Bookman Old Style" w:hAnsi="Bookman Old Style" w:cs="Arial"/>
        </w:rPr>
        <w:t>mediante comunicaci</w:t>
      </w:r>
      <w:r w:rsidR="00E84953" w:rsidRPr="00E84953">
        <w:rPr>
          <w:rFonts w:ascii="Bookman Old Style" w:hAnsi="Bookman Old Style" w:cs="Arial"/>
        </w:rPr>
        <w:t>ones</w:t>
      </w:r>
      <w:r w:rsidRPr="00E84953">
        <w:rPr>
          <w:rFonts w:ascii="Bookman Old Style" w:hAnsi="Bookman Old Style" w:cs="Arial"/>
        </w:rPr>
        <w:t xml:space="preserve"> con radicado</w:t>
      </w:r>
      <w:r w:rsidR="00E84953" w:rsidRPr="00E84953">
        <w:rPr>
          <w:rFonts w:ascii="Bookman Old Style" w:hAnsi="Bookman Old Style" w:cs="Arial"/>
        </w:rPr>
        <w:t>s</w:t>
      </w:r>
      <w:r w:rsidRPr="00E84953">
        <w:rPr>
          <w:rFonts w:ascii="Bookman Old Style" w:hAnsi="Bookman Old Style" w:cs="Arial"/>
        </w:rPr>
        <w:t xml:space="preserve"> CREG </w:t>
      </w:r>
      <w:r w:rsidR="00E84953" w:rsidRPr="00E84953">
        <w:rPr>
          <w:rFonts w:ascii="Bookman Old Style" w:hAnsi="Bookman Old Style" w:cs="Arial"/>
        </w:rPr>
        <w:t xml:space="preserve">E-2019- 008651 </w:t>
      </w:r>
      <w:r w:rsidRPr="00E84953">
        <w:rPr>
          <w:rFonts w:ascii="Bookman Old Style" w:hAnsi="Bookman Old Style" w:cs="Arial"/>
        </w:rPr>
        <w:t xml:space="preserve">del </w:t>
      </w:r>
      <w:r w:rsidR="00E84953" w:rsidRPr="00E84953">
        <w:rPr>
          <w:rFonts w:ascii="Bookman Old Style" w:hAnsi="Bookman Old Style" w:cs="Arial"/>
        </w:rPr>
        <w:t>14</w:t>
      </w:r>
      <w:r w:rsidRPr="00E84953">
        <w:rPr>
          <w:rFonts w:ascii="Bookman Old Style" w:hAnsi="Bookman Old Style" w:cs="Arial"/>
        </w:rPr>
        <w:t xml:space="preserve"> de </w:t>
      </w:r>
      <w:r w:rsidR="00E84953" w:rsidRPr="00E84953">
        <w:rPr>
          <w:rFonts w:ascii="Bookman Old Style" w:hAnsi="Bookman Old Style" w:cs="Arial"/>
        </w:rPr>
        <w:t>agosto</w:t>
      </w:r>
      <w:r w:rsidRPr="00E84953">
        <w:rPr>
          <w:rFonts w:ascii="Bookman Old Style" w:hAnsi="Bookman Old Style" w:cs="Arial"/>
        </w:rPr>
        <w:t xml:space="preserve"> de 2019 </w:t>
      </w:r>
      <w:r w:rsidR="00E84953" w:rsidRPr="00E84953">
        <w:rPr>
          <w:rFonts w:ascii="Bookman Old Style" w:hAnsi="Bookman Old Style" w:cs="Arial"/>
        </w:rPr>
        <w:t>y</w:t>
      </w:r>
      <w:r w:rsidR="00E84953" w:rsidRPr="00E84953">
        <w:t xml:space="preserve"> </w:t>
      </w:r>
      <w:r w:rsidR="00E84953" w:rsidRPr="00E84953">
        <w:rPr>
          <w:rFonts w:ascii="Bookman Old Style" w:hAnsi="Bookman Old Style" w:cs="Arial"/>
        </w:rPr>
        <w:t xml:space="preserve">E-2019-008762 del 16 de agosto de 2019, </w:t>
      </w:r>
      <w:r w:rsidRPr="00E84953">
        <w:rPr>
          <w:rFonts w:ascii="Bookman Old Style" w:hAnsi="Bookman Old Style" w:cs="Arial"/>
        </w:rPr>
        <w:t xml:space="preserve">presentó la información requerida en el auto de pruebas.  </w:t>
      </w:r>
    </w:p>
    <w:p w:rsidR="003623A6" w:rsidRPr="003623A6" w:rsidRDefault="003623A6" w:rsidP="003623A6">
      <w:pPr>
        <w:ind w:left="284"/>
        <w:jc w:val="both"/>
        <w:rPr>
          <w:rFonts w:ascii="Bookman Old Style" w:hAnsi="Bookman Old Style" w:cs="Arial"/>
          <w:highlight w:val="yellow"/>
        </w:rPr>
      </w:pPr>
    </w:p>
    <w:p w:rsidR="00E84953" w:rsidRPr="00E84953" w:rsidRDefault="003623A6" w:rsidP="003623A6">
      <w:pPr>
        <w:ind w:left="284"/>
        <w:jc w:val="both"/>
        <w:rPr>
          <w:rFonts w:ascii="Bookman Old Style" w:hAnsi="Bookman Old Style" w:cs="Arial"/>
        </w:rPr>
      </w:pPr>
      <w:r w:rsidRPr="00E84953">
        <w:rPr>
          <w:rFonts w:ascii="Bookman Old Style" w:hAnsi="Bookman Old Style" w:cs="Arial"/>
        </w:rPr>
        <w:t xml:space="preserve">Mediante comunicación con radicado CREG </w:t>
      </w:r>
      <w:r w:rsidR="00E84953" w:rsidRPr="00E84953">
        <w:rPr>
          <w:rFonts w:ascii="Bookman Old Style" w:hAnsi="Bookman Old Style" w:cs="Arial"/>
        </w:rPr>
        <w:t xml:space="preserve">E-2019-010112 </w:t>
      </w:r>
      <w:r w:rsidRPr="00E84953">
        <w:rPr>
          <w:rFonts w:ascii="Bookman Old Style" w:hAnsi="Bookman Old Style" w:cs="Arial"/>
        </w:rPr>
        <w:t xml:space="preserve">del </w:t>
      </w:r>
      <w:r w:rsidR="00E84953" w:rsidRPr="00E84953">
        <w:rPr>
          <w:rFonts w:ascii="Bookman Old Style" w:hAnsi="Bookman Old Style" w:cs="Arial"/>
        </w:rPr>
        <w:t>23</w:t>
      </w:r>
      <w:r w:rsidRPr="00E84953">
        <w:rPr>
          <w:rFonts w:ascii="Bookman Old Style" w:hAnsi="Bookman Old Style" w:cs="Arial"/>
        </w:rPr>
        <w:t xml:space="preserve"> de septiembre de 2019, </w:t>
      </w:r>
      <w:r w:rsidR="00E84953" w:rsidRPr="00E84953">
        <w:rPr>
          <w:rFonts w:ascii="Bookman Old Style" w:hAnsi="Bookman Old Style" w:cs="Arial"/>
        </w:rPr>
        <w:t xml:space="preserve">la Alcaldía de </w:t>
      </w:r>
      <w:proofErr w:type="spellStart"/>
      <w:r w:rsidR="00E84953" w:rsidRPr="00E84953">
        <w:rPr>
          <w:rFonts w:ascii="Bookman Old Style" w:hAnsi="Bookman Old Style" w:cs="Arial"/>
        </w:rPr>
        <w:t>Unguía</w:t>
      </w:r>
      <w:proofErr w:type="spellEnd"/>
      <w:r w:rsidR="00E84953" w:rsidRPr="00E84953">
        <w:rPr>
          <w:rFonts w:ascii="Bookman Old Style" w:hAnsi="Bookman Old Style" w:cs="Arial"/>
        </w:rPr>
        <w:t xml:space="preserve"> remitió certificación de la publicación del aviso de la actuación administrativa en su página web. </w:t>
      </w:r>
    </w:p>
    <w:p w:rsidR="00E84953" w:rsidRDefault="00E84953" w:rsidP="003623A6">
      <w:pPr>
        <w:ind w:left="284"/>
        <w:jc w:val="both"/>
        <w:rPr>
          <w:rFonts w:ascii="Bookman Old Style" w:hAnsi="Bookman Old Style" w:cs="Arial"/>
          <w:highlight w:val="yellow"/>
        </w:rPr>
      </w:pPr>
    </w:p>
    <w:p w:rsidR="003623A6" w:rsidRPr="003623A6" w:rsidRDefault="003623A6" w:rsidP="003623A6">
      <w:pPr>
        <w:ind w:left="284"/>
        <w:jc w:val="both"/>
        <w:rPr>
          <w:rFonts w:ascii="Bookman Old Style" w:hAnsi="Bookman Old Style" w:cs="Arial"/>
        </w:rPr>
      </w:pPr>
      <w:r w:rsidRPr="00E84953">
        <w:rPr>
          <w:rFonts w:ascii="Bookman Old Style" w:hAnsi="Bookman Old Style" w:cs="Arial"/>
        </w:rPr>
        <w:t>En la actuación administrativa no se hicieron parte usuarios u otros terceros interesados.</w:t>
      </w:r>
    </w:p>
    <w:p w:rsidR="003623A6" w:rsidRDefault="003623A6" w:rsidP="00727040">
      <w:pPr>
        <w:ind w:left="284"/>
        <w:jc w:val="both"/>
        <w:rPr>
          <w:rFonts w:ascii="Bookman Old Style" w:hAnsi="Bookman Old Style" w:cs="Arial"/>
        </w:rPr>
      </w:pPr>
    </w:p>
    <w:p w:rsidR="001A74A7" w:rsidRDefault="001A74A7" w:rsidP="001A74A7">
      <w:pPr>
        <w:numPr>
          <w:ilvl w:val="0"/>
          <w:numId w:val="8"/>
        </w:numPr>
        <w:ind w:right="142"/>
        <w:jc w:val="both"/>
        <w:rPr>
          <w:rFonts w:ascii="Bookman Old Style" w:hAnsi="Bookman Old Style" w:cs="Arial"/>
          <w:b/>
        </w:rPr>
      </w:pPr>
      <w:r w:rsidRPr="001A74A7">
        <w:rPr>
          <w:rFonts w:ascii="Bookman Old Style" w:hAnsi="Bookman Old Style" w:cs="Arial"/>
          <w:b/>
        </w:rPr>
        <w:t>ANÁLISIS DE LA SOLICITUD</w:t>
      </w:r>
    </w:p>
    <w:p w:rsidR="005F2B6B" w:rsidRDefault="005F2B6B" w:rsidP="00E87470">
      <w:pPr>
        <w:ind w:left="284" w:right="142"/>
        <w:jc w:val="both"/>
        <w:rPr>
          <w:rFonts w:ascii="Bookman Old Style" w:hAnsi="Bookman Old Style" w:cs="Arial"/>
          <w:b/>
        </w:rPr>
      </w:pPr>
    </w:p>
    <w:p w:rsidR="00D451C0" w:rsidRPr="0007678D" w:rsidRDefault="00D451C0" w:rsidP="0007678D">
      <w:pPr>
        <w:pStyle w:val="Prrafodelista"/>
        <w:numPr>
          <w:ilvl w:val="1"/>
          <w:numId w:val="8"/>
        </w:numPr>
        <w:ind w:right="142"/>
        <w:jc w:val="both"/>
        <w:rPr>
          <w:rFonts w:ascii="Bookman Old Style" w:hAnsi="Bookman Old Style"/>
          <w:b/>
          <w:sz w:val="24"/>
        </w:rPr>
      </w:pPr>
      <w:r w:rsidRPr="0007678D">
        <w:rPr>
          <w:rFonts w:ascii="Bookman Old Style" w:hAnsi="Bookman Old Style"/>
          <w:b/>
          <w:sz w:val="24"/>
        </w:rPr>
        <w:t>CONSIDERACIÓN JURÍDICA</w:t>
      </w:r>
    </w:p>
    <w:p w:rsidR="00A0381B" w:rsidRDefault="00A0381B" w:rsidP="00727040">
      <w:pPr>
        <w:ind w:left="284"/>
        <w:jc w:val="both"/>
        <w:rPr>
          <w:rFonts w:ascii="Bookman Old Style" w:hAnsi="Bookman Old Style" w:cs="Arial"/>
        </w:rPr>
      </w:pPr>
    </w:p>
    <w:p w:rsidR="00813A50" w:rsidRDefault="00935D74" w:rsidP="00813A50">
      <w:pPr>
        <w:ind w:left="284"/>
        <w:jc w:val="both"/>
        <w:rPr>
          <w:rFonts w:ascii="Bookman Old Style" w:hAnsi="Bookman Old Style" w:cs="Arial"/>
          <w:highlight w:val="yellow"/>
        </w:rPr>
      </w:pPr>
      <w:r w:rsidRPr="00813A50">
        <w:rPr>
          <w:rFonts w:ascii="Bookman Old Style" w:hAnsi="Bookman Old Style" w:cs="Arial"/>
        </w:rPr>
        <w:t>La empresa ESPUN S.A</w:t>
      </w:r>
      <w:r w:rsidR="00FB59D0">
        <w:rPr>
          <w:rFonts w:ascii="Bookman Old Style" w:hAnsi="Bookman Old Style" w:cs="Arial"/>
        </w:rPr>
        <w:t>.</w:t>
      </w:r>
      <w:r w:rsidRPr="00813A50">
        <w:rPr>
          <w:rFonts w:ascii="Bookman Old Style" w:hAnsi="Bookman Old Style" w:cs="Arial"/>
        </w:rPr>
        <w:t xml:space="preserve"> E.</w:t>
      </w:r>
      <w:r w:rsidR="00F666C4">
        <w:rPr>
          <w:rFonts w:ascii="Bookman Old Style" w:hAnsi="Bookman Old Style" w:cs="Arial"/>
        </w:rPr>
        <w:t>S.</w:t>
      </w:r>
      <w:r w:rsidR="00F666C4" w:rsidRPr="00813A50">
        <w:rPr>
          <w:rFonts w:ascii="Bookman Old Style" w:hAnsi="Bookman Old Style" w:cs="Arial"/>
        </w:rPr>
        <w:t>P</w:t>
      </w:r>
      <w:r w:rsidR="007D619F">
        <w:rPr>
          <w:rFonts w:ascii="Bookman Old Style" w:hAnsi="Bookman Old Style" w:cs="Arial"/>
        </w:rPr>
        <w:t>.</w:t>
      </w:r>
      <w:r w:rsidRPr="00813A50">
        <w:rPr>
          <w:rFonts w:ascii="Bookman Old Style" w:hAnsi="Bookman Old Style" w:cs="Arial"/>
        </w:rPr>
        <w:t>, solicitó aprobación de costos de inversión y remuneración de los gastos de administración, operación y mantenimiento de un proye</w:t>
      </w:r>
      <w:r w:rsidR="008C58D8" w:rsidRPr="00813A50">
        <w:rPr>
          <w:rFonts w:ascii="Bookman Old Style" w:hAnsi="Bookman Old Style" w:cs="Arial"/>
        </w:rPr>
        <w:t>cto h</w:t>
      </w:r>
      <w:r w:rsidR="00AE3CFB">
        <w:rPr>
          <w:rFonts w:ascii="Bookman Old Style" w:hAnsi="Bookman Old Style" w:cs="Arial"/>
        </w:rPr>
        <w:t>í</w:t>
      </w:r>
      <w:r w:rsidR="008C58D8" w:rsidRPr="00813A50">
        <w:rPr>
          <w:rFonts w:ascii="Bookman Old Style" w:hAnsi="Bookman Old Style" w:cs="Arial"/>
        </w:rPr>
        <w:t>brido diésel fotovoltaico</w:t>
      </w:r>
      <w:r w:rsidR="00AE3CFB">
        <w:rPr>
          <w:rFonts w:ascii="Bookman Old Style" w:hAnsi="Bookman Old Style" w:cs="Arial"/>
        </w:rPr>
        <w:t>,</w:t>
      </w:r>
      <w:r w:rsidR="008C58D8" w:rsidRPr="00813A50">
        <w:rPr>
          <w:rFonts w:ascii="Bookman Old Style" w:hAnsi="Bookman Old Style" w:cs="Arial"/>
        </w:rPr>
        <w:t xml:space="preserve"> para atender </w:t>
      </w:r>
      <w:r w:rsidRPr="00813A50">
        <w:rPr>
          <w:rFonts w:ascii="Bookman Old Style" w:hAnsi="Bookman Old Style" w:cs="Arial"/>
        </w:rPr>
        <w:t xml:space="preserve">la cabecera municipal y los corregimientos de </w:t>
      </w:r>
      <w:proofErr w:type="spellStart"/>
      <w:r w:rsidRPr="00813A50">
        <w:rPr>
          <w:rFonts w:ascii="Bookman Old Style" w:hAnsi="Bookman Old Style" w:cs="Arial"/>
        </w:rPr>
        <w:t>Gilgal</w:t>
      </w:r>
      <w:proofErr w:type="spellEnd"/>
      <w:r w:rsidRPr="00813A50">
        <w:rPr>
          <w:rFonts w:ascii="Bookman Old Style" w:hAnsi="Bookman Old Style" w:cs="Arial"/>
        </w:rPr>
        <w:t xml:space="preserve"> y Santa María</w:t>
      </w:r>
      <w:r w:rsidR="008C58D8" w:rsidRPr="00813A50">
        <w:rPr>
          <w:rFonts w:ascii="Bookman Old Style" w:hAnsi="Bookman Old Style" w:cs="Arial"/>
        </w:rPr>
        <w:t xml:space="preserve"> en el municipio de </w:t>
      </w:r>
      <w:proofErr w:type="spellStart"/>
      <w:r w:rsidR="008C58D8" w:rsidRPr="00813A50">
        <w:rPr>
          <w:rFonts w:ascii="Bookman Old Style" w:hAnsi="Bookman Old Style" w:cs="Arial"/>
        </w:rPr>
        <w:t>Unguía</w:t>
      </w:r>
      <w:proofErr w:type="spellEnd"/>
      <w:r w:rsidR="008C58D8" w:rsidRPr="00813A50">
        <w:rPr>
          <w:rFonts w:ascii="Bookman Old Style" w:hAnsi="Bookman Old Style" w:cs="Arial"/>
        </w:rPr>
        <w:t>, departamento del Chocó</w:t>
      </w:r>
      <w:r w:rsidRPr="00813A50">
        <w:rPr>
          <w:rFonts w:ascii="Bookman Old Style" w:hAnsi="Bookman Old Style" w:cs="Arial"/>
        </w:rPr>
        <w:t>.</w:t>
      </w:r>
      <w:r w:rsidR="00813A50">
        <w:rPr>
          <w:rFonts w:ascii="Bookman Old Style" w:hAnsi="Bookman Old Style" w:cs="Arial"/>
        </w:rPr>
        <w:t xml:space="preserve"> Para ello señalaron como fundamento de su solicitud lo previsto en </w:t>
      </w:r>
      <w:r w:rsidR="00813A50" w:rsidRPr="00813A50">
        <w:rPr>
          <w:rFonts w:ascii="Bookman Old Style" w:hAnsi="Bookman Old Style" w:cs="Arial"/>
        </w:rPr>
        <w:t>el artículo</w:t>
      </w:r>
      <w:r w:rsidR="00963D5E" w:rsidRPr="00813A50">
        <w:rPr>
          <w:rFonts w:ascii="Bookman Old Style" w:hAnsi="Bookman Old Style" w:cs="Arial"/>
        </w:rPr>
        <w:t xml:space="preserve"> 126 de la Ley 142 de 1994</w:t>
      </w:r>
      <w:r w:rsidR="00813A50" w:rsidRPr="00813A50">
        <w:rPr>
          <w:rFonts w:ascii="Bookman Old Style" w:hAnsi="Bookman Old Style" w:cs="Arial"/>
        </w:rPr>
        <w:t>,</w:t>
      </w:r>
      <w:r w:rsidR="00963D5E" w:rsidRPr="00813A50">
        <w:rPr>
          <w:rFonts w:ascii="Bookman Old Style" w:hAnsi="Bookman Old Style" w:cs="Arial"/>
        </w:rPr>
        <w:t xml:space="preserve"> el literal d del artículo 22 y los artículos </w:t>
      </w:r>
      <w:r w:rsidR="00963D5E" w:rsidRPr="003117D5">
        <w:rPr>
          <w:rFonts w:ascii="Bookman Old Style" w:hAnsi="Bookman Old Style" w:cs="Arial"/>
        </w:rPr>
        <w:t>24 y 25</w:t>
      </w:r>
      <w:r w:rsidR="00963D5E" w:rsidRPr="00813A50">
        <w:rPr>
          <w:rFonts w:ascii="Bookman Old Style" w:hAnsi="Bookman Old Style" w:cs="Arial"/>
        </w:rPr>
        <w:t xml:space="preserve"> de</w:t>
      </w:r>
      <w:r w:rsidR="00813A50" w:rsidRPr="00813A50">
        <w:rPr>
          <w:rFonts w:ascii="Bookman Old Style" w:hAnsi="Bookman Old Style" w:cs="Arial"/>
        </w:rPr>
        <w:t xml:space="preserve"> la Resolución CREG 091 de 2007. </w:t>
      </w:r>
    </w:p>
    <w:p w:rsidR="00813A50" w:rsidRDefault="00813A50" w:rsidP="00813A50">
      <w:pPr>
        <w:ind w:left="284"/>
        <w:jc w:val="both"/>
        <w:rPr>
          <w:rFonts w:ascii="Bookman Old Style" w:hAnsi="Bookman Old Style" w:cs="Arial"/>
          <w:highlight w:val="yellow"/>
        </w:rPr>
      </w:pPr>
    </w:p>
    <w:p w:rsidR="0083537A" w:rsidRPr="0083537A" w:rsidRDefault="0083537A" w:rsidP="0083537A">
      <w:pPr>
        <w:ind w:left="284"/>
        <w:jc w:val="both"/>
        <w:rPr>
          <w:rFonts w:ascii="Bookman Old Style" w:hAnsi="Bookman Old Style" w:cs="Arial"/>
        </w:rPr>
      </w:pPr>
      <w:r w:rsidRPr="0083537A">
        <w:rPr>
          <w:rFonts w:ascii="Bookman Old Style" w:hAnsi="Bookman Old Style" w:cs="Arial"/>
        </w:rPr>
        <w:t xml:space="preserve">El artículo 126 de la Ley 142 de 1994 señala lo siguiente:  </w:t>
      </w:r>
    </w:p>
    <w:p w:rsidR="0083537A" w:rsidRPr="001379B0" w:rsidRDefault="0083537A" w:rsidP="0083537A">
      <w:pPr>
        <w:ind w:left="284"/>
        <w:jc w:val="both"/>
        <w:rPr>
          <w:rFonts w:ascii="Bookman Old Style" w:hAnsi="Bookman Old Style" w:cs="Arial"/>
          <w:sz w:val="22"/>
        </w:rPr>
      </w:pPr>
    </w:p>
    <w:p w:rsidR="00392689" w:rsidRDefault="0083537A" w:rsidP="0083537A">
      <w:pPr>
        <w:ind w:left="708"/>
        <w:jc w:val="both"/>
        <w:rPr>
          <w:rFonts w:ascii="Bookman Old Style" w:hAnsi="Bookman Old Style" w:cs="Arial"/>
          <w:i/>
          <w:sz w:val="22"/>
        </w:rPr>
      </w:pPr>
      <w:r w:rsidRPr="001379B0">
        <w:rPr>
          <w:rFonts w:ascii="Bookman Old Style" w:hAnsi="Bookman Old Style" w:cs="Arial"/>
          <w:i/>
          <w:sz w:val="22"/>
        </w:rPr>
        <w:t>ARTÍCULO 126. VIGENCIA DE LAS FÓRMULAS DE TARIFAS.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rsidR="00392689" w:rsidRDefault="00392689" w:rsidP="0083537A">
      <w:pPr>
        <w:ind w:left="708"/>
        <w:jc w:val="both"/>
        <w:rPr>
          <w:rFonts w:ascii="Bookman Old Style" w:hAnsi="Bookman Old Style" w:cs="Arial"/>
          <w:i/>
          <w:sz w:val="22"/>
        </w:rPr>
      </w:pPr>
    </w:p>
    <w:p w:rsidR="0083537A" w:rsidRPr="001379B0" w:rsidRDefault="0083537A" w:rsidP="0083537A">
      <w:pPr>
        <w:ind w:left="708"/>
        <w:jc w:val="both"/>
        <w:rPr>
          <w:rFonts w:ascii="Bookman Old Style" w:hAnsi="Bookman Old Style" w:cs="Arial"/>
          <w:i/>
          <w:sz w:val="22"/>
        </w:rPr>
      </w:pPr>
      <w:r w:rsidRPr="001379B0">
        <w:rPr>
          <w:rFonts w:ascii="Bookman Old Style" w:hAnsi="Bookman Old Style" w:cs="Arial"/>
          <w:i/>
          <w:sz w:val="22"/>
        </w:rPr>
        <w:lastRenderedPageBreak/>
        <w:t>Vencido el período de vigencia de las fórmulas tarifarias, continuarán rigiendo mientras la comisión no fije las nuevas.</w:t>
      </w:r>
    </w:p>
    <w:p w:rsidR="0083537A" w:rsidRDefault="0083537A" w:rsidP="0083537A">
      <w:pPr>
        <w:ind w:left="284"/>
        <w:jc w:val="both"/>
        <w:rPr>
          <w:rFonts w:ascii="Bookman Old Style" w:hAnsi="Bookman Old Style" w:cs="Arial"/>
        </w:rPr>
      </w:pPr>
    </w:p>
    <w:p w:rsidR="00A33157" w:rsidRDefault="008974F5" w:rsidP="00A33157">
      <w:pPr>
        <w:ind w:left="284"/>
        <w:jc w:val="both"/>
        <w:rPr>
          <w:rFonts w:ascii="Bookman Old Style" w:hAnsi="Bookman Old Style" w:cs="Arial"/>
          <w:lang w:val="es-CO"/>
        </w:rPr>
      </w:pPr>
      <w:r>
        <w:rPr>
          <w:rFonts w:ascii="Bookman Old Style" w:hAnsi="Bookman Old Style" w:cs="Arial"/>
        </w:rPr>
        <w:t>L</w:t>
      </w:r>
      <w:r w:rsidR="00B540FF">
        <w:rPr>
          <w:rFonts w:ascii="Bookman Old Style" w:hAnsi="Bookman Old Style" w:cs="Arial"/>
        </w:rPr>
        <w:t>a empresa</w:t>
      </w:r>
      <w:r>
        <w:rPr>
          <w:rFonts w:ascii="Bookman Old Style" w:hAnsi="Bookman Old Style" w:cs="Arial"/>
        </w:rPr>
        <w:t xml:space="preserve"> manifiesta en su solicitud la necesidad de modificar la remuneración de la generación de energía a través de un acuerdo con la CREG. Al respecto</w:t>
      </w:r>
      <w:r w:rsidR="005F1C45">
        <w:rPr>
          <w:rFonts w:ascii="Bookman Old Style" w:hAnsi="Bookman Old Style" w:cs="Arial"/>
        </w:rPr>
        <w:t xml:space="preserve">, </w:t>
      </w:r>
      <w:r w:rsidR="00BD30DE">
        <w:rPr>
          <w:rFonts w:ascii="Bookman Old Style" w:hAnsi="Bookman Old Style" w:cs="Arial"/>
        </w:rPr>
        <w:t xml:space="preserve">debe señalarse que </w:t>
      </w:r>
      <w:r w:rsidR="00A33157" w:rsidRPr="00A33157">
        <w:rPr>
          <w:rFonts w:ascii="Bookman Old Style" w:hAnsi="Bookman Old Style" w:cs="Arial"/>
          <w:lang w:val="es-CO"/>
        </w:rPr>
        <w:t xml:space="preserve">la precitada Ley 142 de 1994 es muy clara en señalar que cualquier modificación por mutuo acuerdo deberá hacerse antes del plazo de cinco (5) años. </w:t>
      </w:r>
    </w:p>
    <w:p w:rsidR="00D87C51" w:rsidRPr="00A33157" w:rsidRDefault="00D87C51" w:rsidP="00A33157">
      <w:pPr>
        <w:ind w:left="284"/>
        <w:jc w:val="both"/>
        <w:rPr>
          <w:rFonts w:ascii="Bookman Old Style" w:hAnsi="Bookman Old Style" w:cs="Arial"/>
          <w:lang w:val="es-CO"/>
        </w:rPr>
      </w:pPr>
    </w:p>
    <w:p w:rsidR="00B540FF" w:rsidRDefault="00AF0563" w:rsidP="0083537A">
      <w:pPr>
        <w:ind w:left="284"/>
        <w:jc w:val="both"/>
        <w:rPr>
          <w:rFonts w:ascii="Bookman Old Style" w:hAnsi="Bookman Old Style" w:cs="Arial"/>
        </w:rPr>
      </w:pPr>
      <w:r>
        <w:rPr>
          <w:rFonts w:ascii="Bookman Old Style" w:hAnsi="Bookman Old Style" w:cs="Arial"/>
        </w:rPr>
        <w:t xml:space="preserve">En el caso en concreto, </w:t>
      </w:r>
      <w:r w:rsidR="00A33157">
        <w:rPr>
          <w:rFonts w:ascii="Bookman Old Style" w:hAnsi="Bookman Old Style" w:cs="Arial"/>
        </w:rPr>
        <w:t xml:space="preserve">la Resolución CREG 091 de </w:t>
      </w:r>
      <w:r w:rsidR="00ED7C7E">
        <w:rPr>
          <w:rFonts w:ascii="Bookman Old Style" w:hAnsi="Bookman Old Style" w:cs="Arial"/>
        </w:rPr>
        <w:t xml:space="preserve">2007, </w:t>
      </w:r>
      <w:r w:rsidR="00ED7C7E" w:rsidRPr="00ED7C7E">
        <w:rPr>
          <w:rFonts w:ascii="Bookman Old Style" w:hAnsi="Bookman Old Style" w:cs="Arial"/>
        </w:rPr>
        <w:t>publicada en el Diario Oficial el 24 de enero de 2008</w:t>
      </w:r>
      <w:r w:rsidR="00ED7C7E">
        <w:rPr>
          <w:rFonts w:ascii="Bookman Old Style" w:hAnsi="Bookman Old Style" w:cs="Arial"/>
        </w:rPr>
        <w:t>, entr</w:t>
      </w:r>
      <w:r w:rsidR="00AE3CFB">
        <w:rPr>
          <w:rFonts w:ascii="Bookman Old Style" w:hAnsi="Bookman Old Style" w:cs="Arial"/>
        </w:rPr>
        <w:t>ó</w:t>
      </w:r>
      <w:r w:rsidR="00A33157">
        <w:rPr>
          <w:rFonts w:ascii="Bookman Old Style" w:hAnsi="Bookman Old Style" w:cs="Arial"/>
        </w:rPr>
        <w:t xml:space="preserve"> en vigencia a partir del 31 de enero de </w:t>
      </w:r>
      <w:r w:rsidR="00ED7C7E">
        <w:rPr>
          <w:rFonts w:ascii="Bookman Old Style" w:hAnsi="Bookman Old Style" w:cs="Arial"/>
        </w:rPr>
        <w:t>2008</w:t>
      </w:r>
      <w:r w:rsidR="00AE3CFB">
        <w:rPr>
          <w:rFonts w:ascii="Bookman Old Style" w:hAnsi="Bookman Old Style" w:cs="Arial"/>
        </w:rPr>
        <w:t>,</w:t>
      </w:r>
      <w:r w:rsidR="00ED7C7E">
        <w:rPr>
          <w:rFonts w:ascii="Bookman Old Style" w:hAnsi="Bookman Old Style" w:cs="Arial"/>
        </w:rPr>
        <w:t xml:space="preserve"> y</w:t>
      </w:r>
      <w:r w:rsidR="00A33157">
        <w:rPr>
          <w:rFonts w:ascii="Bookman Old Style" w:hAnsi="Bookman Old Style" w:cs="Arial"/>
        </w:rPr>
        <w:t xml:space="preserve"> por ende</w:t>
      </w:r>
      <w:r w:rsidR="00AE3CFB">
        <w:rPr>
          <w:rFonts w:ascii="Bookman Old Style" w:hAnsi="Bookman Old Style" w:cs="Arial"/>
        </w:rPr>
        <w:t>,</w:t>
      </w:r>
      <w:r w:rsidR="00A33157">
        <w:rPr>
          <w:rFonts w:ascii="Bookman Old Style" w:hAnsi="Bookman Old Style" w:cs="Arial"/>
        </w:rPr>
        <w:t xml:space="preserve"> ya ha superado el per</w:t>
      </w:r>
      <w:r w:rsidR="00AE3CFB">
        <w:rPr>
          <w:rFonts w:ascii="Bookman Old Style" w:hAnsi="Bookman Old Style" w:cs="Arial"/>
        </w:rPr>
        <w:t>í</w:t>
      </w:r>
      <w:r w:rsidR="00A33157">
        <w:rPr>
          <w:rFonts w:ascii="Bookman Old Style" w:hAnsi="Bookman Old Style" w:cs="Arial"/>
        </w:rPr>
        <w:t>odo de vigencia</w:t>
      </w:r>
      <w:r w:rsidR="00B518DD">
        <w:rPr>
          <w:rFonts w:ascii="Bookman Old Style" w:hAnsi="Bookman Old Style" w:cs="Arial"/>
        </w:rPr>
        <w:t xml:space="preserve"> de cinco (5) años</w:t>
      </w:r>
      <w:r w:rsidR="00A33157">
        <w:rPr>
          <w:rFonts w:ascii="Bookman Old Style" w:hAnsi="Bookman Old Style" w:cs="Arial"/>
        </w:rPr>
        <w:t xml:space="preserve"> del que trata el precitado artículo 126 de la Ley 142 de </w:t>
      </w:r>
      <w:r w:rsidR="00A33157" w:rsidRPr="00B0583C">
        <w:rPr>
          <w:rFonts w:ascii="Bookman Old Style" w:hAnsi="Bookman Old Style" w:cs="Arial"/>
        </w:rPr>
        <w:t>1994</w:t>
      </w:r>
      <w:r w:rsidR="00AE3CFB">
        <w:rPr>
          <w:rFonts w:ascii="Bookman Old Style" w:hAnsi="Bookman Old Style" w:cs="Arial"/>
        </w:rPr>
        <w:t>, n</w:t>
      </w:r>
      <w:r w:rsidR="00B0583C">
        <w:rPr>
          <w:rFonts w:ascii="Bookman Old Style" w:hAnsi="Bookman Old Style" w:cs="Arial"/>
        </w:rPr>
        <w:t>o siendo posible la modificación por mutuo acuerdo solicitada por la empresa</w:t>
      </w:r>
      <w:r w:rsidR="0085477A">
        <w:rPr>
          <w:rFonts w:ascii="Bookman Old Style" w:hAnsi="Bookman Old Style" w:cs="Arial"/>
        </w:rPr>
        <w:t xml:space="preserve"> de la que trata el precitado artículo</w:t>
      </w:r>
      <w:r w:rsidR="00B0583C">
        <w:rPr>
          <w:rFonts w:ascii="Bookman Old Style" w:hAnsi="Bookman Old Style" w:cs="Arial"/>
        </w:rPr>
        <w:t xml:space="preserve">. </w:t>
      </w:r>
    </w:p>
    <w:p w:rsidR="00D5488A" w:rsidRDefault="00D5488A" w:rsidP="0083537A">
      <w:pPr>
        <w:ind w:left="284"/>
        <w:jc w:val="both"/>
        <w:rPr>
          <w:rFonts w:ascii="Bookman Old Style" w:hAnsi="Bookman Old Style" w:cs="Arial"/>
        </w:rPr>
      </w:pPr>
    </w:p>
    <w:p w:rsidR="005D2333" w:rsidRDefault="005D2333" w:rsidP="00D5488A">
      <w:pPr>
        <w:ind w:left="284"/>
        <w:jc w:val="both"/>
        <w:rPr>
          <w:rFonts w:ascii="Bookman Old Style" w:hAnsi="Bookman Old Style" w:cs="Arial"/>
        </w:rPr>
      </w:pPr>
      <w:r>
        <w:rPr>
          <w:rFonts w:ascii="Bookman Old Style" w:hAnsi="Bookman Old Style" w:cs="Arial"/>
        </w:rPr>
        <w:t>No obstante lo anterior, se procede a analizar el contenido de la solicitud presentada a la luz de las disposiciones legales aplicables y la regulación vigente.</w:t>
      </w:r>
      <w:r w:rsidR="005A5759">
        <w:rPr>
          <w:rFonts w:ascii="Bookman Old Style" w:hAnsi="Bookman Old Style" w:cs="Arial"/>
        </w:rPr>
        <w:t xml:space="preserve"> </w:t>
      </w:r>
    </w:p>
    <w:p w:rsidR="00643D27" w:rsidRDefault="00643D27" w:rsidP="00D5488A">
      <w:pPr>
        <w:ind w:left="284"/>
        <w:jc w:val="both"/>
        <w:rPr>
          <w:rFonts w:ascii="Bookman Old Style" w:hAnsi="Bookman Old Style" w:cs="Arial"/>
        </w:rPr>
      </w:pPr>
    </w:p>
    <w:p w:rsidR="00D5488A" w:rsidRPr="00D5488A" w:rsidRDefault="008A69F2" w:rsidP="00D5488A">
      <w:pPr>
        <w:ind w:left="284"/>
        <w:jc w:val="both"/>
        <w:rPr>
          <w:rFonts w:ascii="Bookman Old Style" w:hAnsi="Bookman Old Style" w:cs="Arial"/>
        </w:rPr>
      </w:pPr>
      <w:r>
        <w:rPr>
          <w:rFonts w:ascii="Bookman Old Style" w:hAnsi="Bookman Old Style" w:cs="Arial"/>
        </w:rPr>
        <w:t>De manera general, e</w:t>
      </w:r>
      <w:r w:rsidR="00D5488A" w:rsidRPr="00D5488A">
        <w:rPr>
          <w:rFonts w:ascii="Bookman Old Style" w:hAnsi="Bookman Old Style" w:cs="Arial"/>
        </w:rPr>
        <w:t>l artículo 3° del Código de Procedimiento Administrativo y de lo Contencioso Administrativo señala los principios que las autoridades deberán tener en cuenta para interpretar y aplicar las disposiciones que regulan las actuaciones y procedimientos administrativos, de la siguiente manera:</w:t>
      </w:r>
    </w:p>
    <w:p w:rsidR="00D5488A" w:rsidRPr="00D5488A" w:rsidRDefault="00D5488A" w:rsidP="00D5488A">
      <w:pPr>
        <w:ind w:left="284"/>
        <w:jc w:val="both"/>
        <w:rPr>
          <w:rFonts w:ascii="Bookman Old Style" w:hAnsi="Bookman Old Style" w:cs="Arial"/>
        </w:rPr>
      </w:pPr>
    </w:p>
    <w:p w:rsidR="00D5488A" w:rsidRPr="005D2333" w:rsidRDefault="00D5488A" w:rsidP="00D5488A">
      <w:pPr>
        <w:ind w:left="708"/>
        <w:jc w:val="both"/>
        <w:rPr>
          <w:rFonts w:ascii="Bookman Old Style" w:hAnsi="Bookman Old Style" w:cs="Arial"/>
          <w:i/>
          <w:sz w:val="22"/>
        </w:rPr>
      </w:pPr>
      <w:r w:rsidRPr="005D2333">
        <w:rPr>
          <w:rFonts w:ascii="Bookman Old Style" w:hAnsi="Bookman Old Style" w:cs="Arial"/>
          <w:i/>
          <w:sz w:val="22"/>
        </w:rPr>
        <w:t>“Artículo 3°. Principios. Todas las autoridades deberán interpretar y aplicar las disposiciones que regulan las actuaciones y procedimientos administrativos a la luz de los principios consagrados en la Constitución Política, en la Parte Primera de este Código y en las leyes especiales.</w:t>
      </w:r>
    </w:p>
    <w:p w:rsidR="00D5488A" w:rsidRPr="005D2333" w:rsidRDefault="00D5488A" w:rsidP="00D5488A">
      <w:pPr>
        <w:ind w:left="708"/>
        <w:jc w:val="both"/>
        <w:rPr>
          <w:rFonts w:ascii="Bookman Old Style" w:hAnsi="Bookman Old Style" w:cs="Arial"/>
          <w:i/>
          <w:sz w:val="22"/>
        </w:rPr>
      </w:pPr>
    </w:p>
    <w:p w:rsidR="00D5488A" w:rsidRPr="005D2333" w:rsidRDefault="00D5488A" w:rsidP="00D5488A">
      <w:pPr>
        <w:ind w:left="708"/>
        <w:jc w:val="both"/>
        <w:rPr>
          <w:rFonts w:ascii="Bookman Old Style" w:hAnsi="Bookman Old Style" w:cs="Arial"/>
          <w:i/>
          <w:sz w:val="22"/>
        </w:rPr>
      </w:pPr>
      <w:r w:rsidRPr="005D2333">
        <w:rPr>
          <w:rFonts w:ascii="Bookman Old Style" w:hAnsi="Bookman Old Style" w:cs="Arial"/>
          <w:i/>
          <w:sz w:val="22"/>
        </w:rPr>
        <w:t>Las actuaciones administrativas se desarrollarán, especialmente, con arreglo a los principios del debido proceso, igualdad, imparcialidad, buena fe, moralidad, participación, responsabilidad, transparencia, publicidad, coordinación, eficacia, economía y celeridad. (…)</w:t>
      </w:r>
    </w:p>
    <w:p w:rsidR="00D5488A" w:rsidRPr="005D2333" w:rsidRDefault="00D5488A" w:rsidP="00D5488A">
      <w:pPr>
        <w:ind w:left="708"/>
        <w:jc w:val="both"/>
        <w:rPr>
          <w:rFonts w:ascii="Bookman Old Style" w:hAnsi="Bookman Old Style" w:cs="Arial"/>
          <w:i/>
          <w:sz w:val="22"/>
        </w:rPr>
      </w:pPr>
    </w:p>
    <w:p w:rsidR="00D5488A" w:rsidRPr="005D2333" w:rsidRDefault="00D5488A" w:rsidP="00D5488A">
      <w:pPr>
        <w:ind w:left="708"/>
        <w:jc w:val="both"/>
        <w:rPr>
          <w:rFonts w:ascii="Bookman Old Style" w:hAnsi="Bookman Old Style" w:cs="Arial"/>
          <w:i/>
          <w:sz w:val="22"/>
        </w:rPr>
      </w:pPr>
      <w:r w:rsidRPr="005D2333">
        <w:rPr>
          <w:rFonts w:ascii="Bookman Old Style" w:hAnsi="Bookman Old Style" w:cs="Arial"/>
          <w:i/>
          <w:sz w:val="22"/>
        </w:rPr>
        <w:t>11. En virtud del principio de eficacia,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 (…)</w:t>
      </w:r>
    </w:p>
    <w:p w:rsidR="00D5488A" w:rsidRPr="005D2333" w:rsidRDefault="00D5488A" w:rsidP="00D5488A">
      <w:pPr>
        <w:ind w:left="708"/>
        <w:jc w:val="both"/>
        <w:rPr>
          <w:rFonts w:ascii="Bookman Old Style" w:hAnsi="Bookman Old Style" w:cs="Arial"/>
          <w:i/>
          <w:sz w:val="22"/>
        </w:rPr>
      </w:pPr>
    </w:p>
    <w:p w:rsidR="00D5488A" w:rsidRPr="005D2333" w:rsidRDefault="00D5488A" w:rsidP="00D5488A">
      <w:pPr>
        <w:ind w:left="708"/>
        <w:jc w:val="both"/>
        <w:rPr>
          <w:rFonts w:ascii="Bookman Old Style" w:hAnsi="Bookman Old Style" w:cs="Arial"/>
          <w:i/>
          <w:sz w:val="22"/>
        </w:rPr>
      </w:pPr>
      <w:r w:rsidRPr="005D2333">
        <w:rPr>
          <w:rFonts w:ascii="Bookman Old Style" w:hAnsi="Bookman Old Style" w:cs="Arial"/>
          <w:i/>
          <w:sz w:val="22"/>
        </w:rPr>
        <w:t>13. En virtud del principio de celeridad, las autoridades impulsarán oficiosamente los procedimientos, e incentivarán el uso de las tecnologías de la información y las comunicaciones, a efectos de que los procedimientos se adelanten con diligencia, dentro de los términos legales y sin dilaciones injustificadas.”</w:t>
      </w:r>
    </w:p>
    <w:p w:rsidR="00D5488A" w:rsidRDefault="00D5488A" w:rsidP="0083537A">
      <w:pPr>
        <w:ind w:left="284"/>
        <w:jc w:val="both"/>
        <w:rPr>
          <w:rFonts w:ascii="Bookman Old Style" w:hAnsi="Bookman Old Style" w:cs="Arial"/>
        </w:rPr>
      </w:pPr>
    </w:p>
    <w:p w:rsidR="00D5488A" w:rsidRDefault="00D5488A" w:rsidP="00D5488A">
      <w:pPr>
        <w:ind w:left="284"/>
        <w:jc w:val="both"/>
        <w:rPr>
          <w:rFonts w:ascii="Bookman Old Style" w:hAnsi="Bookman Old Style" w:cs="Arial"/>
        </w:rPr>
      </w:pPr>
      <w:r w:rsidRPr="00D5488A">
        <w:rPr>
          <w:rFonts w:ascii="Bookman Old Style" w:hAnsi="Bookman Old Style" w:cs="Arial"/>
        </w:rPr>
        <w:t>Teniendo en cuenta que</w:t>
      </w:r>
      <w:r w:rsidR="00AE3CFB">
        <w:rPr>
          <w:rFonts w:ascii="Bookman Old Style" w:hAnsi="Bookman Old Style" w:cs="Arial"/>
        </w:rPr>
        <w:t>,</w:t>
      </w:r>
      <w:r w:rsidRPr="00D5488A">
        <w:rPr>
          <w:rFonts w:ascii="Bookman Old Style" w:hAnsi="Bookman Old Style" w:cs="Arial"/>
        </w:rPr>
        <w:t xml:space="preserve"> dentro de las actuaciones administrativas</w:t>
      </w:r>
      <w:r w:rsidR="00AE3CFB">
        <w:rPr>
          <w:rFonts w:ascii="Bookman Old Style" w:hAnsi="Bookman Old Style" w:cs="Arial"/>
        </w:rPr>
        <w:t>,</w:t>
      </w:r>
      <w:r w:rsidRPr="00D5488A">
        <w:rPr>
          <w:rFonts w:ascii="Bookman Old Style" w:hAnsi="Bookman Old Style" w:cs="Arial"/>
        </w:rPr>
        <w:t xml:space="preserve"> la autoridad debe buscar que los procedimientos que se adelanten cumplan su finalidad, en el análisis de la presente solicitud encuentra esta Comisión que la información allegada por la empresa y los argumentos presentados en relación con los</w:t>
      </w:r>
      <w:r>
        <w:rPr>
          <w:rFonts w:ascii="Bookman Old Style" w:hAnsi="Bookman Old Style" w:cs="Arial"/>
        </w:rPr>
        <w:t xml:space="preserve"> costos de inversión y </w:t>
      </w:r>
      <w:r w:rsidRPr="00D5488A">
        <w:rPr>
          <w:rFonts w:ascii="Bookman Old Style" w:hAnsi="Bookman Old Style" w:cs="Arial"/>
        </w:rPr>
        <w:t>gastos de administración, operación y mantenimiento para un proyecto de generación h</w:t>
      </w:r>
      <w:r>
        <w:rPr>
          <w:rFonts w:ascii="Bookman Old Style" w:hAnsi="Bookman Old Style" w:cs="Arial"/>
        </w:rPr>
        <w:t>í</w:t>
      </w:r>
      <w:r w:rsidRPr="00D5488A">
        <w:rPr>
          <w:rFonts w:ascii="Bookman Old Style" w:hAnsi="Bookman Old Style" w:cs="Arial"/>
        </w:rPr>
        <w:t>brido</w:t>
      </w:r>
      <w:r>
        <w:rPr>
          <w:rFonts w:ascii="Bookman Old Style" w:hAnsi="Bookman Old Style" w:cs="Arial"/>
        </w:rPr>
        <w:t xml:space="preserve"> </w:t>
      </w:r>
      <w:r w:rsidRPr="00D5488A">
        <w:rPr>
          <w:rFonts w:ascii="Bookman Old Style" w:hAnsi="Bookman Old Style" w:cs="Arial"/>
        </w:rPr>
        <w:t xml:space="preserve">y la actualización de cargos máximos de </w:t>
      </w:r>
      <w:r w:rsidRPr="00D5488A">
        <w:rPr>
          <w:rFonts w:ascii="Bookman Old Style" w:hAnsi="Bookman Old Style" w:cs="Arial"/>
        </w:rPr>
        <w:lastRenderedPageBreak/>
        <w:t>generación</w:t>
      </w:r>
      <w:r w:rsidR="00AE3CFB">
        <w:rPr>
          <w:rFonts w:ascii="Bookman Old Style" w:hAnsi="Bookman Old Style" w:cs="Arial"/>
        </w:rPr>
        <w:t>,</w:t>
      </w:r>
      <w:r w:rsidRPr="00D5488A">
        <w:rPr>
          <w:rFonts w:ascii="Bookman Old Style" w:hAnsi="Bookman Old Style" w:cs="Arial"/>
        </w:rPr>
        <w:t xml:space="preserve"> son susceptibles de análisis bajo lo previsto en</w:t>
      </w:r>
      <w:r>
        <w:rPr>
          <w:rFonts w:ascii="Bookman Old Style" w:hAnsi="Bookman Old Style" w:cs="Arial"/>
        </w:rPr>
        <w:t xml:space="preserve"> </w:t>
      </w:r>
      <w:r w:rsidRPr="00D5488A">
        <w:rPr>
          <w:rFonts w:ascii="Bookman Old Style" w:hAnsi="Bookman Old Style" w:cs="Arial"/>
        </w:rPr>
        <w:t xml:space="preserve">el </w:t>
      </w:r>
      <w:r w:rsidRPr="00813A50">
        <w:rPr>
          <w:rFonts w:ascii="Bookman Old Style" w:hAnsi="Bookman Old Style" w:cs="Arial"/>
        </w:rPr>
        <w:t>literal d del artículo 22</w:t>
      </w:r>
      <w:r>
        <w:rPr>
          <w:rFonts w:ascii="Bookman Old Style" w:hAnsi="Bookman Old Style" w:cs="Arial"/>
        </w:rPr>
        <w:t xml:space="preserve">, el </w:t>
      </w:r>
      <w:r w:rsidRPr="00D5488A">
        <w:rPr>
          <w:rFonts w:ascii="Bookman Old Style" w:hAnsi="Bookman Old Style" w:cs="Arial"/>
        </w:rPr>
        <w:t xml:space="preserve">numeral 24.5 del artículo 24 y el artículo 25 </w:t>
      </w:r>
      <w:r>
        <w:rPr>
          <w:rFonts w:ascii="Bookman Old Style" w:hAnsi="Bookman Old Style" w:cs="Arial"/>
        </w:rPr>
        <w:t xml:space="preserve">de la Resolución CREG 091 de 2007. </w:t>
      </w:r>
    </w:p>
    <w:p w:rsidR="00D5488A" w:rsidRPr="00D5488A" w:rsidRDefault="00D5488A" w:rsidP="00D5488A">
      <w:pPr>
        <w:ind w:left="284"/>
        <w:jc w:val="both"/>
        <w:rPr>
          <w:rFonts w:ascii="Bookman Old Style" w:hAnsi="Bookman Old Style" w:cs="Arial"/>
        </w:rPr>
      </w:pPr>
    </w:p>
    <w:p w:rsidR="0083537A" w:rsidRDefault="0083537A" w:rsidP="0083537A">
      <w:pPr>
        <w:ind w:left="284"/>
        <w:jc w:val="both"/>
        <w:rPr>
          <w:rFonts w:ascii="Bookman Old Style" w:hAnsi="Bookman Old Style" w:cs="Arial"/>
        </w:rPr>
      </w:pPr>
      <w:r w:rsidRPr="000C5DD0">
        <w:rPr>
          <w:rFonts w:ascii="Bookman Old Style" w:hAnsi="Bookman Old Style" w:cs="Arial"/>
        </w:rPr>
        <w:t xml:space="preserve">Mediante </w:t>
      </w:r>
      <w:r w:rsidR="00545CD0">
        <w:rPr>
          <w:rFonts w:ascii="Bookman Old Style" w:hAnsi="Bookman Old Style" w:cs="Arial"/>
        </w:rPr>
        <w:t xml:space="preserve">la </w:t>
      </w:r>
      <w:r w:rsidRPr="000C5DD0">
        <w:rPr>
          <w:rFonts w:ascii="Bookman Old Style" w:hAnsi="Bookman Old Style" w:cs="Arial"/>
        </w:rPr>
        <w:t>Resolución CREG 091 de 2007 se establecen las metodologías generales para remunerar las actividades de generación, distribución y comercialización de energía eléctrica, y las fórmulas tarifarias generales para establecer el costo unitario de prestación del servicio público de energía eléctrica en zonas no interconectadas.</w:t>
      </w:r>
      <w:r w:rsidRPr="0083537A">
        <w:t xml:space="preserve"> </w:t>
      </w:r>
    </w:p>
    <w:p w:rsidR="00813A50" w:rsidRPr="0083537A" w:rsidRDefault="00813A50" w:rsidP="0083537A">
      <w:pPr>
        <w:ind w:left="284"/>
        <w:jc w:val="both"/>
        <w:rPr>
          <w:rFonts w:ascii="Bookman Old Style" w:hAnsi="Bookman Old Style" w:cs="Arial"/>
        </w:rPr>
      </w:pPr>
    </w:p>
    <w:p w:rsidR="005006B9" w:rsidRPr="000C5DD0" w:rsidRDefault="005006B9" w:rsidP="005006B9">
      <w:pPr>
        <w:pStyle w:val="Style2"/>
        <w:shd w:val="clear" w:color="auto" w:fill="auto"/>
        <w:spacing w:before="0" w:line="240" w:lineRule="auto"/>
        <w:ind w:left="284" w:right="51" w:firstLine="0"/>
        <w:jc w:val="both"/>
        <w:rPr>
          <w:rFonts w:ascii="Bookman Old Style" w:hAnsi="Bookman Old Style"/>
          <w:sz w:val="24"/>
          <w:szCs w:val="24"/>
        </w:rPr>
      </w:pPr>
      <w:r w:rsidRPr="000C5DD0">
        <w:rPr>
          <w:rFonts w:ascii="Bookman Old Style" w:hAnsi="Bookman Old Style"/>
          <w:sz w:val="24"/>
          <w:szCs w:val="24"/>
        </w:rPr>
        <w:t>El</w:t>
      </w:r>
      <w:r w:rsidR="00A0381B" w:rsidRPr="000C5DD0">
        <w:rPr>
          <w:rFonts w:ascii="Bookman Old Style" w:hAnsi="Bookman Old Style"/>
          <w:sz w:val="24"/>
          <w:szCs w:val="24"/>
        </w:rPr>
        <w:t xml:space="preserve"> literal d del</w:t>
      </w:r>
      <w:r w:rsidRPr="000C5DD0">
        <w:rPr>
          <w:rFonts w:ascii="Bookman Old Style" w:hAnsi="Bookman Old Style"/>
          <w:sz w:val="24"/>
          <w:szCs w:val="24"/>
        </w:rPr>
        <w:t xml:space="preserve"> art</w:t>
      </w:r>
      <w:r w:rsidR="00967D8F" w:rsidRPr="000C5DD0">
        <w:rPr>
          <w:rFonts w:ascii="Bookman Old Style" w:hAnsi="Bookman Old Style"/>
          <w:sz w:val="24"/>
          <w:szCs w:val="24"/>
        </w:rPr>
        <w:t xml:space="preserve">ículo </w:t>
      </w:r>
      <w:r w:rsidR="00A0381B" w:rsidRPr="000C5DD0">
        <w:rPr>
          <w:rFonts w:ascii="Bookman Old Style" w:hAnsi="Bookman Old Style"/>
          <w:sz w:val="24"/>
          <w:szCs w:val="24"/>
        </w:rPr>
        <w:t>22</w:t>
      </w:r>
      <w:r w:rsidR="00967D8F" w:rsidRPr="000C5DD0">
        <w:rPr>
          <w:rFonts w:ascii="Bookman Old Style" w:hAnsi="Bookman Old Style"/>
          <w:sz w:val="24"/>
          <w:szCs w:val="24"/>
        </w:rPr>
        <w:t xml:space="preserve"> de la </w:t>
      </w:r>
      <w:r w:rsidR="00A0381B" w:rsidRPr="000C5DD0">
        <w:rPr>
          <w:rFonts w:ascii="Bookman Old Style" w:hAnsi="Bookman Old Style"/>
          <w:sz w:val="24"/>
          <w:szCs w:val="24"/>
        </w:rPr>
        <w:t>Resolución CREG 091 de 2007</w:t>
      </w:r>
      <w:r w:rsidR="00967D8F" w:rsidRPr="000C5DD0">
        <w:rPr>
          <w:rFonts w:ascii="Bookman Old Style" w:hAnsi="Bookman Old Style"/>
          <w:sz w:val="24"/>
          <w:szCs w:val="24"/>
        </w:rPr>
        <w:t xml:space="preserve">, invocado como fundamento de la solicitud, </w:t>
      </w:r>
      <w:r w:rsidR="006926AA" w:rsidRPr="000C5DD0">
        <w:rPr>
          <w:rFonts w:ascii="Bookman Old Style" w:hAnsi="Bookman Old Style"/>
          <w:sz w:val="24"/>
          <w:szCs w:val="24"/>
        </w:rPr>
        <w:t>señala lo siguiente</w:t>
      </w:r>
      <w:r w:rsidR="00967D8F" w:rsidRPr="000C5DD0">
        <w:rPr>
          <w:rFonts w:ascii="Bookman Old Style" w:hAnsi="Bookman Old Style"/>
          <w:sz w:val="24"/>
          <w:szCs w:val="24"/>
        </w:rPr>
        <w:t xml:space="preserve">: </w:t>
      </w:r>
    </w:p>
    <w:p w:rsidR="005006B9" w:rsidRPr="005006B9" w:rsidRDefault="005006B9" w:rsidP="005006B9">
      <w:pPr>
        <w:pStyle w:val="Style2"/>
        <w:shd w:val="clear" w:color="auto" w:fill="auto"/>
        <w:spacing w:before="0" w:line="240" w:lineRule="auto"/>
        <w:ind w:left="284" w:right="51" w:firstLine="0"/>
        <w:jc w:val="both"/>
        <w:rPr>
          <w:rFonts w:ascii="Bookman Old Style" w:hAnsi="Bookman Old Style"/>
          <w:sz w:val="23"/>
          <w:szCs w:val="23"/>
        </w:rPr>
      </w:pPr>
    </w:p>
    <w:p w:rsidR="00A0381B" w:rsidRPr="00F62780" w:rsidRDefault="005A522D" w:rsidP="00A0381B">
      <w:pPr>
        <w:ind w:left="851" w:right="567"/>
        <w:jc w:val="both"/>
        <w:rPr>
          <w:rFonts w:ascii="Bookman Old Style" w:hAnsi="Bookman Old Style" w:cs="Arial"/>
          <w:i/>
          <w:sz w:val="22"/>
          <w:lang w:eastAsia="es-CO"/>
        </w:rPr>
      </w:pPr>
      <w:r w:rsidRPr="00F62780">
        <w:rPr>
          <w:rFonts w:ascii="Bookman Old Style" w:hAnsi="Bookman Old Style" w:cs="Arial"/>
          <w:i/>
          <w:sz w:val="22"/>
          <w:lang w:eastAsia="es-CO"/>
        </w:rPr>
        <w:t>“</w:t>
      </w:r>
      <w:r w:rsidR="00A0381B" w:rsidRPr="00F62780">
        <w:rPr>
          <w:rFonts w:ascii="Bookman Old Style" w:hAnsi="Bookman Old Style" w:cs="Arial"/>
          <w:b/>
          <w:bCs/>
          <w:i/>
          <w:sz w:val="22"/>
          <w:lang w:eastAsia="es-CO"/>
        </w:rPr>
        <w:t>Artículo 22. Remuneración de la componente de inversión y mantenimiento de tecnologías de Generación</w:t>
      </w:r>
      <w:r w:rsidR="00A0381B" w:rsidRPr="00F62780">
        <w:rPr>
          <w:rFonts w:ascii="Bookman Old Style" w:hAnsi="Bookman Old Style" w:cs="Arial"/>
          <w:i/>
          <w:sz w:val="22"/>
          <w:lang w:eastAsia="es-CO"/>
        </w:rPr>
        <w:t>. La componente de inversión de los Cargos Regulados de Generación, expresada en ($/</w:t>
      </w:r>
      <w:proofErr w:type="spellStart"/>
      <w:r w:rsidR="00A0381B" w:rsidRPr="00F62780">
        <w:rPr>
          <w:rFonts w:ascii="Bookman Old Style" w:hAnsi="Bookman Old Style" w:cs="Arial"/>
          <w:i/>
          <w:sz w:val="22"/>
          <w:lang w:eastAsia="es-CO"/>
        </w:rPr>
        <w:t>kWh</w:t>
      </w:r>
      <w:proofErr w:type="spellEnd"/>
      <w:r w:rsidR="00A0381B" w:rsidRPr="00F62780">
        <w:rPr>
          <w:rFonts w:ascii="Bookman Old Style" w:hAnsi="Bookman Old Style" w:cs="Arial"/>
          <w:i/>
          <w:sz w:val="22"/>
          <w:lang w:eastAsia="es-CO"/>
        </w:rPr>
        <w:t xml:space="preserve">), incluye los costos de adquisición, transporte, instalación, diseños, permisos ambientales, almacenamiento de combustible, transformadores elevadores, equipos de </w:t>
      </w:r>
      <w:proofErr w:type="spellStart"/>
      <w:r w:rsidR="00A0381B" w:rsidRPr="00F62780">
        <w:rPr>
          <w:rFonts w:ascii="Bookman Old Style" w:hAnsi="Bookman Old Style" w:cs="Arial"/>
          <w:i/>
          <w:sz w:val="22"/>
          <w:lang w:eastAsia="es-CO"/>
        </w:rPr>
        <w:t>telemedida</w:t>
      </w:r>
      <w:proofErr w:type="spellEnd"/>
      <w:r w:rsidR="00A0381B" w:rsidRPr="00F62780">
        <w:rPr>
          <w:rFonts w:ascii="Bookman Old Style" w:hAnsi="Bookman Old Style" w:cs="Arial"/>
          <w:i/>
          <w:sz w:val="22"/>
          <w:lang w:eastAsia="es-CO"/>
        </w:rPr>
        <w:t xml:space="preserve"> y los necesarios para la puesta en operación de una central de generación, y dependerá del tamaño, tecnología, horas de prestación del servicio y el tipo de combustible de cada unidad de generación, como se muestra a continuación: </w:t>
      </w:r>
    </w:p>
    <w:p w:rsidR="00A0381B" w:rsidRPr="00F62780" w:rsidRDefault="00A0381B" w:rsidP="00A0381B">
      <w:pPr>
        <w:ind w:left="851" w:right="567"/>
        <w:jc w:val="both"/>
        <w:rPr>
          <w:rFonts w:ascii="Bookman Old Style" w:hAnsi="Bookman Old Style" w:cs="Arial"/>
          <w:i/>
          <w:sz w:val="22"/>
          <w:lang w:eastAsia="es-CO"/>
        </w:rPr>
      </w:pPr>
    </w:p>
    <w:p w:rsidR="00A0381B" w:rsidRPr="00F62780" w:rsidRDefault="00A0381B" w:rsidP="00A0381B">
      <w:pPr>
        <w:ind w:left="851" w:right="567"/>
        <w:jc w:val="both"/>
        <w:rPr>
          <w:rFonts w:ascii="Bookman Old Style" w:hAnsi="Bookman Old Style" w:cs="Arial"/>
          <w:i/>
          <w:sz w:val="22"/>
          <w:lang w:eastAsia="es-CO"/>
        </w:rPr>
      </w:pPr>
      <w:r w:rsidRPr="00F62780">
        <w:rPr>
          <w:rFonts w:ascii="Bookman Old Style" w:hAnsi="Bookman Old Style" w:cs="Arial"/>
          <w:i/>
          <w:sz w:val="22"/>
          <w:lang w:eastAsia="es-CO"/>
        </w:rPr>
        <w:t>(…)</w:t>
      </w:r>
    </w:p>
    <w:p w:rsidR="00A0381B" w:rsidRPr="00F62780" w:rsidRDefault="00A0381B" w:rsidP="00A0381B">
      <w:pPr>
        <w:ind w:left="851" w:right="567"/>
        <w:jc w:val="both"/>
        <w:rPr>
          <w:rFonts w:ascii="Bookman Old Style" w:hAnsi="Bookman Old Style" w:cs="Arial"/>
          <w:i/>
          <w:sz w:val="22"/>
          <w:lang w:eastAsia="es-CO"/>
        </w:rPr>
      </w:pPr>
    </w:p>
    <w:p w:rsidR="00C42864" w:rsidRDefault="00A0381B" w:rsidP="00A0381B">
      <w:pPr>
        <w:ind w:left="851" w:right="567"/>
        <w:jc w:val="both"/>
        <w:rPr>
          <w:rFonts w:ascii="Bookman Old Style" w:hAnsi="Bookman Old Style" w:cs="Arial"/>
          <w:i/>
          <w:sz w:val="22"/>
          <w:lang w:eastAsia="es-CO"/>
        </w:rPr>
      </w:pPr>
      <w:r w:rsidRPr="00F62780">
        <w:rPr>
          <w:rFonts w:ascii="Bookman Old Style" w:hAnsi="Bookman Old Style" w:cs="Arial"/>
          <w:b/>
          <w:bCs/>
          <w:i/>
          <w:sz w:val="22"/>
          <w:lang w:eastAsia="es-CO"/>
        </w:rPr>
        <w:t>d) Costo de inversión de sistemas híbridos y otras tecnologías de generación</w:t>
      </w:r>
      <w:r w:rsidRPr="00F62780">
        <w:rPr>
          <w:rFonts w:ascii="Bookman Old Style" w:hAnsi="Bookman Old Style" w:cs="Arial"/>
          <w:i/>
          <w:sz w:val="22"/>
          <w:lang w:eastAsia="es-CO"/>
        </w:rPr>
        <w:br/>
      </w:r>
    </w:p>
    <w:p w:rsidR="00A0381B" w:rsidRPr="00F62780" w:rsidRDefault="00A0381B" w:rsidP="00A0381B">
      <w:pPr>
        <w:ind w:left="851" w:right="567"/>
        <w:jc w:val="both"/>
        <w:rPr>
          <w:rFonts w:ascii="Bookman Old Style" w:hAnsi="Bookman Old Style" w:cs="Arial"/>
          <w:i/>
          <w:sz w:val="22"/>
          <w:lang w:eastAsia="es-CO"/>
        </w:rPr>
      </w:pPr>
      <w:r w:rsidRPr="00F62780">
        <w:rPr>
          <w:rFonts w:ascii="Bookman Old Style" w:hAnsi="Bookman Old Style" w:cs="Arial"/>
          <w:i/>
          <w:sz w:val="22"/>
          <w:lang w:eastAsia="es-CO"/>
        </w:rPr>
        <w:t>Los costos unitarios de inversión para sistemas híbridos y otras tecnologías de generación no definidos en la presente resolución, podrán proponerse a la Comisión quién definirá en Resolución particular los costos correspondientes.” </w:t>
      </w:r>
    </w:p>
    <w:p w:rsidR="005006B9" w:rsidRPr="005A522D" w:rsidRDefault="005006B9" w:rsidP="00A0381B">
      <w:pPr>
        <w:ind w:right="567"/>
        <w:jc w:val="both"/>
        <w:rPr>
          <w:rFonts w:ascii="Bookman Old Style" w:hAnsi="Bookman Old Style" w:cs="Arial"/>
          <w:color w:val="000000"/>
          <w:sz w:val="22"/>
          <w:lang w:eastAsia="es-CO"/>
        </w:rPr>
      </w:pP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En el artículo 22 se define la remuneración de la componente de inversión y mantenimiento de tecnologías de generación, componente expresada en pesos por kilovatio hora ($/</w:t>
      </w:r>
      <w:proofErr w:type="spellStart"/>
      <w:r w:rsidRPr="00E63E5A">
        <w:rPr>
          <w:rFonts w:ascii="Bookman Old Style" w:hAnsi="Bookman Old Style"/>
          <w:sz w:val="24"/>
          <w:szCs w:val="24"/>
        </w:rPr>
        <w:t>kWh</w:t>
      </w:r>
      <w:proofErr w:type="spellEnd"/>
      <w:r w:rsidRPr="00E63E5A">
        <w:rPr>
          <w:rFonts w:ascii="Bookman Old Style" w:hAnsi="Bookman Old Style"/>
          <w:sz w:val="24"/>
          <w:szCs w:val="24"/>
        </w:rPr>
        <w:t xml:space="preserve">), la cual incluye los costos de adquisición, transporte, instalación, diseños, permisos ambientales, almacenamiento de combustible, transformadores elevadores, equipos de </w:t>
      </w:r>
      <w:proofErr w:type="spellStart"/>
      <w:r w:rsidRPr="00E63E5A">
        <w:rPr>
          <w:rFonts w:ascii="Bookman Old Style" w:hAnsi="Bookman Old Style"/>
          <w:sz w:val="24"/>
          <w:szCs w:val="24"/>
        </w:rPr>
        <w:t>telemedida</w:t>
      </w:r>
      <w:proofErr w:type="spellEnd"/>
      <w:r w:rsidRPr="00E63E5A">
        <w:rPr>
          <w:rFonts w:ascii="Bookman Old Style" w:hAnsi="Bookman Old Style"/>
          <w:sz w:val="24"/>
          <w:szCs w:val="24"/>
        </w:rPr>
        <w:t xml:space="preserve"> y los necesarios para la puesta en operación de una central de generación.</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63E5A" w:rsidRPr="00E63E5A" w:rsidRDefault="00660EA5"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E</w:t>
      </w:r>
      <w:r w:rsidR="00E63E5A" w:rsidRPr="00E63E5A">
        <w:rPr>
          <w:rFonts w:ascii="Bookman Old Style" w:hAnsi="Bookman Old Style"/>
          <w:sz w:val="24"/>
          <w:szCs w:val="24"/>
        </w:rPr>
        <w:t>n dicho artículo se establecen las metodologías para determinar:</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63E5A" w:rsidRPr="00E63E5A" w:rsidRDefault="00E63E5A" w:rsidP="00E77C3E">
      <w:pPr>
        <w:pStyle w:val="Style2"/>
        <w:shd w:val="clear" w:color="auto" w:fill="auto"/>
        <w:spacing w:after="120" w:line="240" w:lineRule="auto"/>
        <w:ind w:left="567" w:right="51" w:hanging="283"/>
        <w:jc w:val="both"/>
        <w:rPr>
          <w:rFonts w:ascii="Bookman Old Style" w:hAnsi="Bookman Old Style"/>
          <w:sz w:val="24"/>
          <w:szCs w:val="24"/>
        </w:rPr>
      </w:pPr>
      <w:r w:rsidRPr="00E63E5A">
        <w:rPr>
          <w:rFonts w:ascii="Bookman Old Style" w:hAnsi="Bookman Old Style"/>
          <w:sz w:val="24"/>
          <w:szCs w:val="24"/>
        </w:rPr>
        <w:t>a) Costos de inversión y mantenimiento de generadores diésel operando con ACPM.</w:t>
      </w:r>
    </w:p>
    <w:p w:rsidR="00E63E5A" w:rsidRPr="00E63E5A" w:rsidRDefault="00E63E5A" w:rsidP="00E77C3E">
      <w:pPr>
        <w:pStyle w:val="Style2"/>
        <w:shd w:val="clear" w:color="auto" w:fill="auto"/>
        <w:spacing w:after="12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b) Costo de inversión de centrales hidroeléctricas a pequeña escala.</w:t>
      </w:r>
    </w:p>
    <w:p w:rsidR="00E63E5A" w:rsidRPr="00E63E5A" w:rsidRDefault="00E63E5A" w:rsidP="00E77C3E">
      <w:pPr>
        <w:pStyle w:val="Style2"/>
        <w:shd w:val="clear" w:color="auto" w:fill="auto"/>
        <w:spacing w:after="12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c) Costo de inversión para soluciones individuales.</w:t>
      </w:r>
    </w:p>
    <w:p w:rsidR="00E63E5A" w:rsidRPr="00E63E5A" w:rsidRDefault="00E63E5A" w:rsidP="00E77C3E">
      <w:pPr>
        <w:pStyle w:val="Style2"/>
        <w:shd w:val="clear" w:color="auto" w:fill="auto"/>
        <w:spacing w:after="12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d) Costo de inversión de sistemas híbridos y otras tecnologías de generación.</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 xml:space="preserve">En el literal d) se determina: </w:t>
      </w:r>
      <w:r w:rsidRPr="00F62780">
        <w:rPr>
          <w:rFonts w:ascii="Bookman Old Style" w:hAnsi="Bookman Old Style"/>
          <w:i/>
          <w:sz w:val="22"/>
          <w:szCs w:val="24"/>
        </w:rPr>
        <w:t xml:space="preserve">“Los costos unitarios de inversión para sistemas híbridos y otras tecnologías de generación no definidos en la presente resolución, podrán </w:t>
      </w:r>
      <w:r w:rsidRPr="00F62780">
        <w:rPr>
          <w:rFonts w:ascii="Bookman Old Style" w:hAnsi="Bookman Old Style"/>
          <w:i/>
          <w:sz w:val="22"/>
          <w:szCs w:val="24"/>
        </w:rPr>
        <w:lastRenderedPageBreak/>
        <w:t xml:space="preserve">proponerse a la Comisión quién definirá en </w:t>
      </w:r>
      <w:r w:rsidR="00ED7F05" w:rsidRPr="00F62780">
        <w:rPr>
          <w:rFonts w:ascii="Bookman Old Style" w:hAnsi="Bookman Old Style"/>
          <w:i/>
          <w:sz w:val="22"/>
          <w:szCs w:val="24"/>
        </w:rPr>
        <w:t>r</w:t>
      </w:r>
      <w:r w:rsidRPr="00F62780">
        <w:rPr>
          <w:rFonts w:ascii="Bookman Old Style" w:hAnsi="Bookman Old Style"/>
          <w:i/>
          <w:sz w:val="22"/>
          <w:szCs w:val="24"/>
        </w:rPr>
        <w:t>esolución particular los costos correspondientes”</w:t>
      </w:r>
      <w:r w:rsidR="004D28B1" w:rsidRPr="00F62780">
        <w:rPr>
          <w:rFonts w:ascii="Bookman Old Style" w:hAnsi="Bookman Old Style"/>
          <w:i/>
          <w:sz w:val="22"/>
          <w:szCs w:val="24"/>
        </w:rPr>
        <w:t>.</w:t>
      </w:r>
    </w:p>
    <w:p w:rsidR="00F6590E" w:rsidRDefault="00F6590E" w:rsidP="00E63E5A">
      <w:pPr>
        <w:pStyle w:val="Style2"/>
        <w:shd w:val="clear" w:color="auto" w:fill="auto"/>
        <w:spacing w:before="0" w:line="240" w:lineRule="auto"/>
        <w:ind w:left="284" w:right="51" w:firstLine="0"/>
        <w:jc w:val="both"/>
        <w:rPr>
          <w:rFonts w:ascii="Bookman Old Style" w:hAnsi="Bookman Old Style"/>
          <w:sz w:val="24"/>
          <w:szCs w:val="24"/>
        </w:rPr>
      </w:pPr>
    </w:p>
    <w:p w:rsidR="00B85F36" w:rsidRPr="000C5DD0" w:rsidRDefault="005F39B6" w:rsidP="005006B9">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 xml:space="preserve">Dado </w:t>
      </w:r>
      <w:r w:rsidR="00E63E5A">
        <w:rPr>
          <w:rFonts w:ascii="Bookman Old Style" w:hAnsi="Bookman Old Style"/>
          <w:sz w:val="24"/>
          <w:szCs w:val="24"/>
        </w:rPr>
        <w:t>que e</w:t>
      </w:r>
      <w:r w:rsidR="00E63E5A" w:rsidRPr="00E63E5A">
        <w:rPr>
          <w:rFonts w:ascii="Bookman Old Style" w:hAnsi="Bookman Old Style"/>
          <w:sz w:val="24"/>
          <w:szCs w:val="24"/>
        </w:rPr>
        <w:t xml:space="preserve">l proyecto presentado por </w:t>
      </w:r>
      <w:r w:rsidR="006945D8">
        <w:rPr>
          <w:rFonts w:ascii="Bookman Old Style" w:hAnsi="Bookman Old Style"/>
          <w:sz w:val="24"/>
          <w:szCs w:val="24"/>
        </w:rPr>
        <w:t>ESPUN</w:t>
      </w:r>
      <w:r w:rsidR="00F6590E">
        <w:rPr>
          <w:rFonts w:ascii="Bookman Old Style" w:hAnsi="Bookman Old Style"/>
          <w:sz w:val="24"/>
          <w:szCs w:val="24"/>
        </w:rPr>
        <w:t xml:space="preserve"> S.A</w:t>
      </w:r>
      <w:r w:rsidR="00AE3CFB">
        <w:rPr>
          <w:rFonts w:ascii="Bookman Old Style" w:hAnsi="Bookman Old Style"/>
          <w:sz w:val="24"/>
          <w:szCs w:val="24"/>
        </w:rPr>
        <w:t>.</w:t>
      </w:r>
      <w:r w:rsidR="00F6590E">
        <w:rPr>
          <w:rFonts w:ascii="Bookman Old Style" w:hAnsi="Bookman Old Style"/>
          <w:sz w:val="24"/>
          <w:szCs w:val="24"/>
        </w:rPr>
        <w:t xml:space="preserve"> E.S.P.</w:t>
      </w:r>
      <w:r w:rsidR="00E63E5A">
        <w:rPr>
          <w:rFonts w:ascii="Bookman Old Style" w:hAnsi="Bookman Old Style"/>
          <w:sz w:val="24"/>
          <w:szCs w:val="24"/>
        </w:rPr>
        <w:t xml:space="preserve"> </w:t>
      </w:r>
      <w:r w:rsidR="00E63E5A" w:rsidRPr="00E63E5A">
        <w:rPr>
          <w:rFonts w:ascii="Bookman Old Style" w:hAnsi="Bookman Old Style"/>
          <w:sz w:val="24"/>
          <w:szCs w:val="24"/>
        </w:rPr>
        <w:t xml:space="preserve">corresponde a </w:t>
      </w:r>
      <w:r w:rsidR="00C42864">
        <w:rPr>
          <w:rFonts w:ascii="Bookman Old Style" w:hAnsi="Bookman Old Style"/>
          <w:sz w:val="24"/>
          <w:szCs w:val="24"/>
        </w:rPr>
        <w:t>un sistema híbrido</w:t>
      </w:r>
      <w:r w:rsidR="00E63E5A">
        <w:rPr>
          <w:rFonts w:ascii="Bookman Old Style" w:hAnsi="Bookman Old Style"/>
          <w:sz w:val="24"/>
          <w:szCs w:val="24"/>
        </w:rPr>
        <w:t xml:space="preserve">, encuentra </w:t>
      </w:r>
      <w:r w:rsidR="00B85F36" w:rsidRPr="000C5DD0">
        <w:rPr>
          <w:rFonts w:ascii="Bookman Old Style" w:hAnsi="Bookman Old Style"/>
          <w:sz w:val="24"/>
          <w:szCs w:val="24"/>
        </w:rPr>
        <w:t xml:space="preserve">esta Comisión </w:t>
      </w:r>
      <w:r w:rsidR="00E63E5A">
        <w:rPr>
          <w:rFonts w:ascii="Bookman Old Style" w:hAnsi="Bookman Old Style"/>
          <w:sz w:val="24"/>
          <w:szCs w:val="24"/>
        </w:rPr>
        <w:t xml:space="preserve">que </w:t>
      </w:r>
      <w:r w:rsidR="00B85F36" w:rsidRPr="000C5DD0">
        <w:rPr>
          <w:rFonts w:ascii="Bookman Old Style" w:hAnsi="Bookman Old Style"/>
          <w:sz w:val="24"/>
          <w:szCs w:val="24"/>
        </w:rPr>
        <w:t>tiene la competencia para definir</w:t>
      </w:r>
      <w:r w:rsidR="00AE3CFB">
        <w:rPr>
          <w:rFonts w:ascii="Bookman Old Style" w:hAnsi="Bookman Old Style"/>
          <w:sz w:val="24"/>
          <w:szCs w:val="24"/>
        </w:rPr>
        <w:t>,</w:t>
      </w:r>
      <w:r w:rsidR="00B85F36" w:rsidRPr="000C5DD0">
        <w:rPr>
          <w:rFonts w:ascii="Bookman Old Style" w:hAnsi="Bookman Old Style"/>
          <w:sz w:val="24"/>
          <w:szCs w:val="24"/>
        </w:rPr>
        <w:t xml:space="preserve"> mediante resolución particular</w:t>
      </w:r>
      <w:r w:rsidR="00AE3CFB">
        <w:rPr>
          <w:rFonts w:ascii="Bookman Old Style" w:hAnsi="Bookman Old Style"/>
          <w:sz w:val="24"/>
          <w:szCs w:val="24"/>
        </w:rPr>
        <w:t>,</w:t>
      </w:r>
      <w:r w:rsidR="00B85F36" w:rsidRPr="000C5DD0">
        <w:rPr>
          <w:rFonts w:ascii="Bookman Old Style" w:hAnsi="Bookman Old Style"/>
          <w:sz w:val="24"/>
          <w:szCs w:val="24"/>
        </w:rPr>
        <w:t xml:space="preserve"> los costos unitarios de inversión para sistemas híbridos y otras tecnologías de generación que no se encuentren definidos en la Resolución CREG 091 de 2007. </w:t>
      </w:r>
    </w:p>
    <w:p w:rsidR="000C5DD0" w:rsidRDefault="000C5DD0" w:rsidP="005006B9">
      <w:pPr>
        <w:pStyle w:val="Style2"/>
        <w:shd w:val="clear" w:color="auto" w:fill="auto"/>
        <w:spacing w:before="0" w:line="240" w:lineRule="auto"/>
        <w:ind w:left="284" w:right="51" w:firstLine="0"/>
        <w:jc w:val="both"/>
        <w:rPr>
          <w:rFonts w:ascii="Bookman Old Style" w:hAnsi="Bookman Old Style"/>
          <w:sz w:val="24"/>
          <w:szCs w:val="24"/>
        </w:rPr>
      </w:pP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Así mismo, c</w:t>
      </w:r>
      <w:r w:rsidRPr="00E63E5A">
        <w:rPr>
          <w:rFonts w:ascii="Bookman Old Style" w:hAnsi="Bookman Old Style"/>
          <w:sz w:val="24"/>
          <w:szCs w:val="24"/>
        </w:rPr>
        <w:t>on respecto a los gastos de administración, operación y mantenimiento, en el artículo 24 de la Resolución CREG 091 de 2007 s</w:t>
      </w:r>
      <w:r>
        <w:rPr>
          <w:rFonts w:ascii="Bookman Old Style" w:hAnsi="Bookman Old Style"/>
          <w:sz w:val="24"/>
          <w:szCs w:val="24"/>
        </w:rPr>
        <w:t>e e</w:t>
      </w:r>
      <w:r w:rsidRPr="00E63E5A">
        <w:rPr>
          <w:rFonts w:ascii="Bookman Old Style" w:hAnsi="Bookman Old Style"/>
          <w:sz w:val="24"/>
          <w:szCs w:val="24"/>
        </w:rPr>
        <w:t>stablece</w:t>
      </w:r>
      <w:r>
        <w:rPr>
          <w:rFonts w:ascii="Bookman Old Style" w:hAnsi="Bookman Old Style"/>
          <w:sz w:val="24"/>
          <w:szCs w:val="24"/>
        </w:rPr>
        <w:t xml:space="preserve"> lo siguiente</w:t>
      </w:r>
      <w:r w:rsidRPr="00E63E5A">
        <w:rPr>
          <w:rFonts w:ascii="Bookman Old Style" w:hAnsi="Bookman Old Style"/>
          <w:sz w:val="24"/>
          <w:szCs w:val="24"/>
        </w:rPr>
        <w:t>:</w:t>
      </w:r>
      <w:r>
        <w:rPr>
          <w:rFonts w:ascii="Bookman Old Style" w:hAnsi="Bookman Old Style"/>
          <w:sz w:val="24"/>
          <w:szCs w:val="24"/>
        </w:rPr>
        <w:t xml:space="preserve"> </w:t>
      </w:r>
    </w:p>
    <w:p w:rsidR="00E63E5A" w:rsidRPr="00F62780" w:rsidRDefault="00E63E5A" w:rsidP="00E63E5A">
      <w:pPr>
        <w:pStyle w:val="Textoindependiente21"/>
        <w:ind w:right="142"/>
        <w:rPr>
          <w:rFonts w:cs="Arial"/>
          <w:szCs w:val="22"/>
        </w:rPr>
      </w:pPr>
    </w:p>
    <w:p w:rsidR="00E63E5A" w:rsidRPr="00F62780" w:rsidRDefault="00E63E5A" w:rsidP="00E63E5A">
      <w:pPr>
        <w:pStyle w:val="Style2"/>
        <w:shd w:val="clear" w:color="auto" w:fill="auto"/>
        <w:spacing w:before="0" w:line="240" w:lineRule="auto"/>
        <w:ind w:left="708" w:right="51" w:firstLine="0"/>
        <w:jc w:val="both"/>
        <w:rPr>
          <w:rFonts w:ascii="Bookman Old Style" w:hAnsi="Bookman Old Style"/>
          <w:i/>
          <w:sz w:val="22"/>
          <w:szCs w:val="24"/>
        </w:rPr>
      </w:pPr>
      <w:r w:rsidRPr="00F62780">
        <w:rPr>
          <w:rFonts w:ascii="Bookman Old Style" w:hAnsi="Bookman Old Style"/>
          <w:sz w:val="22"/>
          <w:szCs w:val="24"/>
        </w:rPr>
        <w:t>“</w:t>
      </w:r>
      <w:r w:rsidRPr="00F62780">
        <w:rPr>
          <w:rFonts w:ascii="Bookman Old Style" w:hAnsi="Bookman Old Style"/>
          <w:i/>
          <w:sz w:val="22"/>
          <w:szCs w:val="24"/>
        </w:rPr>
        <w:t>Artículo 24. Remuneración de Gastos de Administración, Operación y Mantenimiento (AOM) para diferentes tecnologías de generación. Los gastos de administración, operación y mantenimiento (AOM) para cada tecnología de generación se determinarán como se indica a continuación:</w:t>
      </w:r>
    </w:p>
    <w:p w:rsidR="00E63E5A" w:rsidRPr="00F62780" w:rsidRDefault="00E63E5A" w:rsidP="00E63E5A">
      <w:pPr>
        <w:pStyle w:val="Style2"/>
        <w:shd w:val="clear" w:color="auto" w:fill="auto"/>
        <w:spacing w:before="0" w:line="240" w:lineRule="auto"/>
        <w:ind w:left="708" w:right="51" w:firstLine="0"/>
        <w:jc w:val="both"/>
        <w:rPr>
          <w:rFonts w:ascii="Bookman Old Style" w:hAnsi="Bookman Old Style"/>
          <w:i/>
          <w:sz w:val="24"/>
          <w:szCs w:val="24"/>
        </w:rPr>
      </w:pPr>
    </w:p>
    <w:p w:rsidR="00E63E5A" w:rsidRPr="00F62780" w:rsidRDefault="00E63E5A" w:rsidP="00E77C3E">
      <w:pPr>
        <w:pStyle w:val="Style2"/>
        <w:shd w:val="clear" w:color="auto" w:fill="auto"/>
        <w:spacing w:after="120" w:line="240" w:lineRule="auto"/>
        <w:ind w:left="709" w:right="51" w:firstLine="0"/>
        <w:jc w:val="both"/>
        <w:rPr>
          <w:rFonts w:ascii="Bookman Old Style" w:hAnsi="Bookman Old Style"/>
          <w:i/>
          <w:sz w:val="22"/>
          <w:szCs w:val="24"/>
        </w:rPr>
      </w:pPr>
      <w:r w:rsidRPr="00F62780">
        <w:rPr>
          <w:rFonts w:ascii="Bookman Old Style" w:hAnsi="Bookman Old Style"/>
          <w:i/>
          <w:sz w:val="22"/>
          <w:szCs w:val="24"/>
        </w:rPr>
        <w:t>24.1 Gastos de administración y operación de generadores diésel operando con ACPM.</w:t>
      </w:r>
    </w:p>
    <w:p w:rsidR="00E63E5A" w:rsidRPr="00F62780" w:rsidRDefault="00E63E5A" w:rsidP="00E77C3E">
      <w:pPr>
        <w:pStyle w:val="Style2"/>
        <w:shd w:val="clear" w:color="auto" w:fill="auto"/>
        <w:spacing w:after="120" w:line="240" w:lineRule="auto"/>
        <w:ind w:left="709" w:right="51" w:firstLine="0"/>
        <w:jc w:val="both"/>
        <w:rPr>
          <w:rFonts w:ascii="Bookman Old Style" w:hAnsi="Bookman Old Style"/>
          <w:i/>
          <w:sz w:val="22"/>
          <w:szCs w:val="24"/>
        </w:rPr>
      </w:pPr>
      <w:r w:rsidRPr="00F62780">
        <w:rPr>
          <w:rFonts w:ascii="Bookman Old Style" w:hAnsi="Bookman Old Style"/>
          <w:i/>
          <w:sz w:val="22"/>
          <w:szCs w:val="24"/>
        </w:rPr>
        <w:t xml:space="preserve">24.2 Gastos de administración y operación de generadores diésel operando con fuel </w:t>
      </w:r>
      <w:proofErr w:type="spellStart"/>
      <w:r w:rsidRPr="00F62780">
        <w:rPr>
          <w:rFonts w:ascii="Bookman Old Style" w:hAnsi="Bookman Old Style"/>
          <w:i/>
          <w:sz w:val="22"/>
          <w:szCs w:val="24"/>
        </w:rPr>
        <w:t>oil</w:t>
      </w:r>
      <w:proofErr w:type="spellEnd"/>
      <w:r w:rsidRPr="00F62780">
        <w:rPr>
          <w:rFonts w:ascii="Bookman Old Style" w:hAnsi="Bookman Old Style"/>
          <w:i/>
          <w:sz w:val="22"/>
          <w:szCs w:val="24"/>
        </w:rPr>
        <w:t xml:space="preserve"> No. 6.</w:t>
      </w:r>
    </w:p>
    <w:p w:rsidR="00E63E5A" w:rsidRPr="00F62780" w:rsidRDefault="00E63E5A" w:rsidP="00E77C3E">
      <w:pPr>
        <w:pStyle w:val="Style2"/>
        <w:shd w:val="clear" w:color="auto" w:fill="auto"/>
        <w:spacing w:after="120" w:line="240" w:lineRule="auto"/>
        <w:ind w:left="709" w:right="51" w:firstLine="0"/>
        <w:jc w:val="both"/>
        <w:rPr>
          <w:rFonts w:ascii="Bookman Old Style" w:hAnsi="Bookman Old Style"/>
          <w:i/>
          <w:sz w:val="22"/>
          <w:szCs w:val="24"/>
        </w:rPr>
      </w:pPr>
      <w:r w:rsidRPr="00F62780">
        <w:rPr>
          <w:rFonts w:ascii="Bookman Old Style" w:hAnsi="Bookman Old Style"/>
          <w:i/>
          <w:sz w:val="22"/>
          <w:szCs w:val="24"/>
        </w:rPr>
        <w:t>24.3 Gastos de administración, operación y mantenimiento de centrales hidroeléctricas a pequeña escala</w:t>
      </w:r>
    </w:p>
    <w:p w:rsidR="00E63E5A" w:rsidRPr="00F62780" w:rsidRDefault="00E63E5A" w:rsidP="00E77C3E">
      <w:pPr>
        <w:pStyle w:val="Style2"/>
        <w:shd w:val="clear" w:color="auto" w:fill="auto"/>
        <w:spacing w:after="120" w:line="240" w:lineRule="auto"/>
        <w:ind w:left="709" w:right="51" w:firstLine="0"/>
        <w:jc w:val="both"/>
        <w:rPr>
          <w:rFonts w:ascii="Bookman Old Style" w:hAnsi="Bookman Old Style"/>
          <w:i/>
          <w:sz w:val="22"/>
          <w:szCs w:val="24"/>
        </w:rPr>
      </w:pPr>
      <w:r w:rsidRPr="00F62780">
        <w:rPr>
          <w:rFonts w:ascii="Bookman Old Style" w:hAnsi="Bookman Old Style"/>
          <w:i/>
          <w:sz w:val="22"/>
          <w:szCs w:val="24"/>
        </w:rPr>
        <w:t>24.4 Gastos de Administración, Operación y Mantenimiento de Sistemas Solares Fotovoltaicos.</w:t>
      </w:r>
    </w:p>
    <w:p w:rsidR="00E63E5A" w:rsidRPr="00F62780" w:rsidRDefault="00E63E5A" w:rsidP="00E77C3E">
      <w:pPr>
        <w:pStyle w:val="Style2"/>
        <w:shd w:val="clear" w:color="auto" w:fill="auto"/>
        <w:spacing w:after="120" w:line="240" w:lineRule="auto"/>
        <w:ind w:left="709" w:right="51" w:firstLine="0"/>
        <w:jc w:val="both"/>
        <w:rPr>
          <w:rFonts w:ascii="Bookman Old Style" w:hAnsi="Bookman Old Style"/>
          <w:i/>
          <w:sz w:val="22"/>
          <w:szCs w:val="24"/>
        </w:rPr>
      </w:pPr>
      <w:r w:rsidRPr="00F62780">
        <w:rPr>
          <w:rFonts w:ascii="Bookman Old Style" w:hAnsi="Bookman Old Style"/>
          <w:i/>
          <w:sz w:val="22"/>
          <w:szCs w:val="24"/>
        </w:rPr>
        <w:t>24.5 Gastos de Administración, Operación y Mantenimiento para otras tecnologías de conversión”.</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63E5A" w:rsidRPr="00E63E5A" w:rsidRDefault="00ED7F05"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De acuerdo con</w:t>
      </w:r>
      <w:r w:rsidR="00E63E5A" w:rsidRPr="00E63E5A">
        <w:rPr>
          <w:rFonts w:ascii="Bookman Old Style" w:hAnsi="Bookman Old Style"/>
          <w:sz w:val="24"/>
          <w:szCs w:val="24"/>
        </w:rPr>
        <w:t xml:space="preserve"> el numeral 24.5</w:t>
      </w:r>
      <w:r>
        <w:rPr>
          <w:rFonts w:ascii="Bookman Old Style" w:hAnsi="Bookman Old Style"/>
          <w:sz w:val="24"/>
          <w:szCs w:val="24"/>
        </w:rPr>
        <w:t xml:space="preserve"> “l</w:t>
      </w:r>
      <w:r w:rsidR="00E63E5A" w:rsidRPr="00E63E5A">
        <w:rPr>
          <w:rFonts w:ascii="Bookman Old Style" w:hAnsi="Bookman Old Style"/>
          <w:sz w:val="24"/>
          <w:szCs w:val="24"/>
        </w:rPr>
        <w:t xml:space="preserve">os costos unitarios de </w:t>
      </w:r>
      <w:r>
        <w:rPr>
          <w:rFonts w:ascii="Bookman Old Style" w:hAnsi="Bookman Old Style"/>
          <w:sz w:val="24"/>
          <w:szCs w:val="24"/>
        </w:rPr>
        <w:t>a</w:t>
      </w:r>
      <w:r w:rsidR="00E63E5A" w:rsidRPr="00E63E5A">
        <w:rPr>
          <w:rFonts w:ascii="Bookman Old Style" w:hAnsi="Bookman Old Style"/>
          <w:sz w:val="24"/>
          <w:szCs w:val="24"/>
        </w:rPr>
        <w:t xml:space="preserve">dministración, </w:t>
      </w:r>
      <w:r>
        <w:rPr>
          <w:rFonts w:ascii="Bookman Old Style" w:hAnsi="Bookman Old Style"/>
          <w:sz w:val="24"/>
          <w:szCs w:val="24"/>
        </w:rPr>
        <w:t>o</w:t>
      </w:r>
      <w:r w:rsidR="00E63E5A" w:rsidRPr="00E63E5A">
        <w:rPr>
          <w:rFonts w:ascii="Bookman Old Style" w:hAnsi="Bookman Old Style"/>
          <w:sz w:val="24"/>
          <w:szCs w:val="24"/>
        </w:rPr>
        <w:t xml:space="preserve">peración y </w:t>
      </w:r>
      <w:r>
        <w:rPr>
          <w:rFonts w:ascii="Bookman Old Style" w:hAnsi="Bookman Old Style"/>
          <w:sz w:val="24"/>
          <w:szCs w:val="24"/>
        </w:rPr>
        <w:t>m</w:t>
      </w:r>
      <w:r w:rsidR="00E63E5A" w:rsidRPr="00E63E5A">
        <w:rPr>
          <w:rFonts w:ascii="Bookman Old Style" w:hAnsi="Bookman Old Style"/>
          <w:sz w:val="24"/>
          <w:szCs w:val="24"/>
        </w:rPr>
        <w:t xml:space="preserve">antenimiento para tecnologías de generación no definidos en la presente resolución, podrán solicitarse a la Comisión, quien los definirá en </w:t>
      </w:r>
      <w:r w:rsidR="00545CD0">
        <w:rPr>
          <w:rFonts w:ascii="Bookman Old Style" w:hAnsi="Bookman Old Style"/>
          <w:sz w:val="24"/>
          <w:szCs w:val="24"/>
        </w:rPr>
        <w:t>r</w:t>
      </w:r>
      <w:r w:rsidR="00E63E5A" w:rsidRPr="00E63E5A">
        <w:rPr>
          <w:rFonts w:ascii="Bookman Old Style" w:hAnsi="Bookman Old Style"/>
          <w:sz w:val="24"/>
          <w:szCs w:val="24"/>
        </w:rPr>
        <w:t>esolución particular”</w:t>
      </w:r>
      <w:r w:rsidR="004D28B1">
        <w:rPr>
          <w:rFonts w:ascii="Bookman Old Style" w:hAnsi="Bookman Old Style"/>
          <w:sz w:val="24"/>
          <w:szCs w:val="24"/>
        </w:rPr>
        <w:t>.</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D7F05" w:rsidRDefault="00ED7F05" w:rsidP="00F6590E">
      <w:pPr>
        <w:pStyle w:val="Style2"/>
        <w:shd w:val="clear" w:color="auto" w:fill="auto"/>
        <w:spacing w:before="0" w:line="240" w:lineRule="auto"/>
        <w:ind w:left="284" w:right="51" w:firstLine="0"/>
        <w:jc w:val="both"/>
        <w:rPr>
          <w:rFonts w:ascii="Bookman Old Style" w:hAnsi="Bookman Old Style"/>
          <w:sz w:val="24"/>
          <w:szCs w:val="24"/>
        </w:rPr>
      </w:pPr>
      <w:r w:rsidRPr="00E84E9A">
        <w:rPr>
          <w:rFonts w:ascii="Bookman Old Style" w:hAnsi="Bookman Old Style"/>
          <w:sz w:val="24"/>
          <w:szCs w:val="24"/>
        </w:rPr>
        <w:t xml:space="preserve">Revisado lo anterior, </w:t>
      </w:r>
      <w:r w:rsidR="00914CA3">
        <w:rPr>
          <w:rFonts w:ascii="Bookman Old Style" w:hAnsi="Bookman Old Style"/>
          <w:sz w:val="24"/>
          <w:szCs w:val="24"/>
        </w:rPr>
        <w:t xml:space="preserve">se </w:t>
      </w:r>
      <w:r w:rsidRPr="00E84E9A">
        <w:rPr>
          <w:rFonts w:ascii="Bookman Old Style" w:hAnsi="Bookman Old Style"/>
          <w:sz w:val="24"/>
          <w:szCs w:val="24"/>
        </w:rPr>
        <w:t>evidenci</w:t>
      </w:r>
      <w:r w:rsidR="00F6590E" w:rsidRPr="00E84E9A">
        <w:rPr>
          <w:rFonts w:ascii="Bookman Old Style" w:hAnsi="Bookman Old Style"/>
          <w:sz w:val="24"/>
          <w:szCs w:val="24"/>
        </w:rPr>
        <w:t>a</w:t>
      </w:r>
      <w:r w:rsidRPr="00E84E9A">
        <w:rPr>
          <w:rFonts w:ascii="Bookman Old Style" w:hAnsi="Bookman Old Style"/>
          <w:sz w:val="24"/>
          <w:szCs w:val="24"/>
        </w:rPr>
        <w:t xml:space="preserve"> </w:t>
      </w:r>
      <w:r w:rsidR="00E63E5A" w:rsidRPr="00E84E9A">
        <w:rPr>
          <w:rFonts w:ascii="Bookman Old Style" w:hAnsi="Bookman Old Style"/>
          <w:sz w:val="24"/>
          <w:szCs w:val="24"/>
        </w:rPr>
        <w:t xml:space="preserve">que </w:t>
      </w:r>
      <w:r w:rsidR="00926EF8" w:rsidRPr="00E84E9A">
        <w:rPr>
          <w:rFonts w:ascii="Bookman Old Style" w:hAnsi="Bookman Old Style"/>
          <w:sz w:val="24"/>
          <w:szCs w:val="24"/>
        </w:rPr>
        <w:t xml:space="preserve">el sistema de generación presentado en la solicitud allegada por </w:t>
      </w:r>
      <w:r w:rsidR="00F6590E" w:rsidRPr="00E84E9A">
        <w:rPr>
          <w:rFonts w:ascii="Bookman Old Style" w:hAnsi="Bookman Old Style"/>
          <w:sz w:val="24"/>
          <w:szCs w:val="24"/>
        </w:rPr>
        <w:t xml:space="preserve">la empresa </w:t>
      </w:r>
      <w:r w:rsidR="00926EF8" w:rsidRPr="00E84E9A">
        <w:rPr>
          <w:rFonts w:ascii="Bookman Old Style" w:hAnsi="Bookman Old Style"/>
          <w:sz w:val="24"/>
          <w:szCs w:val="24"/>
        </w:rPr>
        <w:t>ESPUN</w:t>
      </w:r>
      <w:r w:rsidR="00F6590E" w:rsidRPr="00E84E9A">
        <w:rPr>
          <w:rFonts w:ascii="Bookman Old Style" w:hAnsi="Bookman Old Style"/>
          <w:sz w:val="24"/>
          <w:szCs w:val="24"/>
        </w:rPr>
        <w:t xml:space="preserve"> S.A</w:t>
      </w:r>
      <w:r w:rsidR="00AE3CFB">
        <w:rPr>
          <w:rFonts w:ascii="Bookman Old Style" w:hAnsi="Bookman Old Style"/>
          <w:sz w:val="24"/>
          <w:szCs w:val="24"/>
        </w:rPr>
        <w:t>.</w:t>
      </w:r>
      <w:r w:rsidR="00F6590E" w:rsidRPr="00E84E9A">
        <w:rPr>
          <w:rFonts w:ascii="Bookman Old Style" w:hAnsi="Bookman Old Style"/>
          <w:sz w:val="24"/>
          <w:szCs w:val="24"/>
        </w:rPr>
        <w:t xml:space="preserve"> E.S.P.</w:t>
      </w:r>
      <w:r w:rsidR="00E63E5A" w:rsidRPr="00E84E9A">
        <w:rPr>
          <w:rFonts w:ascii="Bookman Old Style" w:hAnsi="Bookman Old Style"/>
          <w:sz w:val="24"/>
          <w:szCs w:val="24"/>
        </w:rPr>
        <w:t xml:space="preserve"> </w:t>
      </w:r>
      <w:r w:rsidRPr="00E84E9A">
        <w:rPr>
          <w:rFonts w:ascii="Bookman Old Style" w:hAnsi="Bookman Old Style"/>
          <w:sz w:val="24"/>
          <w:szCs w:val="24"/>
        </w:rPr>
        <w:t>corresponde a</w:t>
      </w:r>
      <w:r w:rsidR="008256F2">
        <w:rPr>
          <w:rFonts w:ascii="Bookman Old Style" w:hAnsi="Bookman Old Style"/>
          <w:sz w:val="24"/>
          <w:szCs w:val="24"/>
        </w:rPr>
        <w:t>l</w:t>
      </w:r>
      <w:r w:rsidRPr="00E84E9A">
        <w:rPr>
          <w:rFonts w:ascii="Bookman Old Style" w:hAnsi="Bookman Old Style"/>
          <w:sz w:val="24"/>
          <w:szCs w:val="24"/>
        </w:rPr>
        <w:t xml:space="preserve"> </w:t>
      </w:r>
      <w:r w:rsidR="008256F2">
        <w:rPr>
          <w:rFonts w:ascii="Bookman Old Style" w:hAnsi="Bookman Old Style"/>
          <w:sz w:val="24"/>
          <w:szCs w:val="24"/>
        </w:rPr>
        <w:t>caso</w:t>
      </w:r>
      <w:r w:rsidRPr="00E84E9A">
        <w:rPr>
          <w:rFonts w:ascii="Bookman Old Style" w:hAnsi="Bookman Old Style"/>
          <w:sz w:val="24"/>
          <w:szCs w:val="24"/>
        </w:rPr>
        <w:t xml:space="preserve"> previsto</w:t>
      </w:r>
      <w:r w:rsidR="00E63E5A" w:rsidRPr="00E84E9A">
        <w:rPr>
          <w:rFonts w:ascii="Bookman Old Style" w:hAnsi="Bookman Old Style"/>
          <w:sz w:val="24"/>
          <w:szCs w:val="24"/>
        </w:rPr>
        <w:t xml:space="preserve"> en </w:t>
      </w:r>
      <w:r w:rsidR="00C42864">
        <w:rPr>
          <w:rFonts w:ascii="Bookman Old Style" w:hAnsi="Bookman Old Style"/>
          <w:sz w:val="24"/>
          <w:szCs w:val="24"/>
        </w:rPr>
        <w:t xml:space="preserve">el numeral 24.5 de </w:t>
      </w:r>
      <w:r w:rsidR="00E63E5A" w:rsidRPr="00E84E9A">
        <w:rPr>
          <w:rFonts w:ascii="Bookman Old Style" w:hAnsi="Bookman Old Style"/>
          <w:sz w:val="24"/>
          <w:szCs w:val="24"/>
        </w:rPr>
        <w:t>la Resolución CREG 091</w:t>
      </w:r>
      <w:r w:rsidRPr="00E84E9A">
        <w:rPr>
          <w:rFonts w:ascii="Bookman Old Style" w:hAnsi="Bookman Old Style"/>
          <w:sz w:val="24"/>
          <w:szCs w:val="24"/>
        </w:rPr>
        <w:t xml:space="preserve"> de 2007</w:t>
      </w:r>
      <w:r w:rsidR="00E12CD5" w:rsidRPr="00E84E9A">
        <w:rPr>
          <w:rFonts w:ascii="Bookman Old Style" w:hAnsi="Bookman Old Style"/>
          <w:sz w:val="24"/>
          <w:szCs w:val="24"/>
        </w:rPr>
        <w:t xml:space="preserve"> y</w:t>
      </w:r>
      <w:r w:rsidR="00C42864">
        <w:rPr>
          <w:rFonts w:ascii="Bookman Old Style" w:hAnsi="Bookman Old Style"/>
          <w:sz w:val="24"/>
          <w:szCs w:val="24"/>
        </w:rPr>
        <w:t>,</w:t>
      </w:r>
      <w:r w:rsidR="00E12CD5" w:rsidRPr="00E84E9A">
        <w:rPr>
          <w:rFonts w:ascii="Bookman Old Style" w:hAnsi="Bookman Old Style"/>
          <w:sz w:val="24"/>
          <w:szCs w:val="24"/>
        </w:rPr>
        <w:t xml:space="preserve"> por ende</w:t>
      </w:r>
      <w:r w:rsidR="00C42864">
        <w:rPr>
          <w:rFonts w:ascii="Bookman Old Style" w:hAnsi="Bookman Old Style"/>
          <w:sz w:val="24"/>
          <w:szCs w:val="24"/>
        </w:rPr>
        <w:t>,</w:t>
      </w:r>
      <w:r w:rsidR="00E12CD5" w:rsidRPr="00E84E9A">
        <w:rPr>
          <w:rFonts w:ascii="Bookman Old Style" w:hAnsi="Bookman Old Style"/>
          <w:sz w:val="24"/>
          <w:szCs w:val="24"/>
        </w:rPr>
        <w:t xml:space="preserve"> </w:t>
      </w:r>
      <w:r w:rsidR="00ED7C7E">
        <w:rPr>
          <w:rFonts w:ascii="Bookman Old Style" w:hAnsi="Bookman Old Style"/>
          <w:sz w:val="24"/>
          <w:szCs w:val="24"/>
        </w:rPr>
        <w:t xml:space="preserve">de conformidad con </w:t>
      </w:r>
      <w:r w:rsidR="00914CA3">
        <w:rPr>
          <w:rFonts w:ascii="Bookman Old Style" w:hAnsi="Bookman Old Style"/>
          <w:sz w:val="24"/>
          <w:szCs w:val="24"/>
        </w:rPr>
        <w:t xml:space="preserve">lo señalado en </w:t>
      </w:r>
      <w:r w:rsidR="00ED7C7E">
        <w:rPr>
          <w:rFonts w:ascii="Bookman Old Style" w:hAnsi="Bookman Old Style"/>
          <w:sz w:val="24"/>
          <w:szCs w:val="24"/>
        </w:rPr>
        <w:t>el precitado artículo</w:t>
      </w:r>
      <w:r w:rsidR="00AE3CFB">
        <w:rPr>
          <w:rFonts w:ascii="Bookman Old Style" w:hAnsi="Bookman Old Style"/>
          <w:sz w:val="24"/>
          <w:szCs w:val="24"/>
        </w:rPr>
        <w:t>,</w:t>
      </w:r>
      <w:r w:rsidR="00ED7C7E">
        <w:rPr>
          <w:rFonts w:ascii="Bookman Old Style" w:hAnsi="Bookman Old Style"/>
          <w:sz w:val="24"/>
          <w:szCs w:val="24"/>
        </w:rPr>
        <w:t xml:space="preserve"> puede</w:t>
      </w:r>
      <w:r w:rsidR="00914CA3">
        <w:rPr>
          <w:rFonts w:ascii="Bookman Old Style" w:hAnsi="Bookman Old Style"/>
          <w:sz w:val="24"/>
          <w:szCs w:val="24"/>
        </w:rPr>
        <w:t xml:space="preserve"> </w:t>
      </w:r>
      <w:r w:rsidR="00914CA3" w:rsidRPr="00E84E9A">
        <w:rPr>
          <w:rFonts w:ascii="Bookman Old Style" w:hAnsi="Bookman Old Style"/>
          <w:sz w:val="24"/>
          <w:szCs w:val="24"/>
        </w:rPr>
        <w:t>esta Comisión</w:t>
      </w:r>
      <w:r w:rsidR="00ED7C7E">
        <w:rPr>
          <w:rFonts w:ascii="Bookman Old Style" w:hAnsi="Bookman Old Style"/>
          <w:sz w:val="24"/>
          <w:szCs w:val="24"/>
        </w:rPr>
        <w:t xml:space="preserve"> entrar a definir</w:t>
      </w:r>
      <w:r w:rsidRPr="00E84E9A">
        <w:rPr>
          <w:rFonts w:ascii="Bookman Old Style" w:hAnsi="Bookman Old Style"/>
          <w:sz w:val="24"/>
          <w:szCs w:val="24"/>
        </w:rPr>
        <w:t xml:space="preserve"> </w:t>
      </w:r>
      <w:r w:rsidR="00E63E5A" w:rsidRPr="00E84E9A">
        <w:rPr>
          <w:rFonts w:ascii="Bookman Old Style" w:hAnsi="Bookman Old Style"/>
          <w:sz w:val="24"/>
          <w:szCs w:val="24"/>
        </w:rPr>
        <w:t xml:space="preserve">los </w:t>
      </w:r>
      <w:r w:rsidR="00E54BB6" w:rsidRPr="00E84E9A">
        <w:rPr>
          <w:rFonts w:ascii="Bookman Old Style" w:hAnsi="Bookman Old Style"/>
          <w:sz w:val="24"/>
          <w:szCs w:val="24"/>
        </w:rPr>
        <w:t xml:space="preserve">gastos </w:t>
      </w:r>
      <w:r w:rsidR="00E63E5A" w:rsidRPr="00E84E9A">
        <w:rPr>
          <w:rFonts w:ascii="Bookman Old Style" w:hAnsi="Bookman Old Style"/>
          <w:sz w:val="24"/>
          <w:szCs w:val="24"/>
        </w:rPr>
        <w:t xml:space="preserve">de </w:t>
      </w:r>
      <w:r w:rsidR="00E54BB6" w:rsidRPr="00E84E9A">
        <w:rPr>
          <w:rFonts w:ascii="Bookman Old Style" w:hAnsi="Bookman Old Style"/>
          <w:sz w:val="24"/>
          <w:szCs w:val="24"/>
        </w:rPr>
        <w:t xml:space="preserve">administración, operación </w:t>
      </w:r>
      <w:r w:rsidR="00E63E5A" w:rsidRPr="00E84E9A">
        <w:rPr>
          <w:rFonts w:ascii="Bookman Old Style" w:hAnsi="Bookman Old Style"/>
          <w:sz w:val="24"/>
          <w:szCs w:val="24"/>
        </w:rPr>
        <w:t xml:space="preserve">y mantenimiento de </w:t>
      </w:r>
      <w:r w:rsidRPr="00E84E9A">
        <w:rPr>
          <w:rFonts w:ascii="Bookman Old Style" w:hAnsi="Bookman Old Style"/>
          <w:sz w:val="24"/>
          <w:szCs w:val="24"/>
        </w:rPr>
        <w:t xml:space="preserve">la </w:t>
      </w:r>
      <w:r w:rsidR="00E63E5A" w:rsidRPr="00E84E9A">
        <w:rPr>
          <w:rFonts w:ascii="Bookman Old Style" w:hAnsi="Bookman Old Style"/>
          <w:sz w:val="24"/>
          <w:szCs w:val="24"/>
        </w:rPr>
        <w:t>tecnología</w:t>
      </w:r>
      <w:r w:rsidR="00926EF8" w:rsidRPr="00E84E9A">
        <w:rPr>
          <w:rFonts w:ascii="Bookman Old Style" w:hAnsi="Bookman Old Style"/>
          <w:sz w:val="24"/>
          <w:szCs w:val="24"/>
        </w:rPr>
        <w:t xml:space="preserve"> propuesta.</w:t>
      </w:r>
    </w:p>
    <w:p w:rsidR="006B3789" w:rsidRDefault="006B3789" w:rsidP="00F6590E">
      <w:pPr>
        <w:pStyle w:val="Style2"/>
        <w:shd w:val="clear" w:color="auto" w:fill="auto"/>
        <w:spacing w:before="0" w:line="240" w:lineRule="auto"/>
        <w:ind w:left="284" w:right="51" w:firstLine="0"/>
        <w:jc w:val="both"/>
        <w:rPr>
          <w:rFonts w:ascii="Bookman Old Style" w:hAnsi="Bookman Old Style"/>
          <w:sz w:val="24"/>
          <w:szCs w:val="24"/>
        </w:rPr>
      </w:pPr>
    </w:p>
    <w:p w:rsidR="00065952" w:rsidRDefault="00065952" w:rsidP="00065952">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Por otra parte, la precitada resolución</w:t>
      </w:r>
      <w:r w:rsidR="00AE3CFB">
        <w:rPr>
          <w:rFonts w:ascii="Bookman Old Style" w:hAnsi="Bookman Old Style"/>
          <w:sz w:val="24"/>
          <w:szCs w:val="24"/>
        </w:rPr>
        <w:t>,</w:t>
      </w:r>
      <w:r>
        <w:rPr>
          <w:rFonts w:ascii="Bookman Old Style" w:hAnsi="Bookman Old Style"/>
          <w:sz w:val="24"/>
          <w:szCs w:val="24"/>
        </w:rPr>
        <w:t xml:space="preserve"> en su artículo 25</w:t>
      </w:r>
      <w:r w:rsidR="00AE3CFB">
        <w:rPr>
          <w:rFonts w:ascii="Bookman Old Style" w:hAnsi="Bookman Old Style"/>
          <w:sz w:val="24"/>
          <w:szCs w:val="24"/>
        </w:rPr>
        <w:t>,</w:t>
      </w:r>
      <w:r>
        <w:rPr>
          <w:rFonts w:ascii="Bookman Old Style" w:hAnsi="Bookman Old Style"/>
          <w:sz w:val="24"/>
          <w:szCs w:val="24"/>
        </w:rPr>
        <w:t xml:space="preserve"> establece lo siguiente:  </w:t>
      </w:r>
    </w:p>
    <w:p w:rsidR="00065952" w:rsidRDefault="00065952" w:rsidP="00065952">
      <w:pPr>
        <w:pStyle w:val="Style2"/>
        <w:shd w:val="clear" w:color="auto" w:fill="auto"/>
        <w:spacing w:before="0" w:line="240" w:lineRule="auto"/>
        <w:ind w:left="284" w:right="51" w:firstLine="0"/>
        <w:jc w:val="both"/>
        <w:rPr>
          <w:rFonts w:ascii="Bookman Old Style" w:hAnsi="Bookman Old Style"/>
          <w:sz w:val="24"/>
          <w:szCs w:val="24"/>
        </w:rPr>
      </w:pPr>
    </w:p>
    <w:p w:rsidR="00065952" w:rsidRPr="00F62780" w:rsidRDefault="00065952" w:rsidP="00065952">
      <w:pPr>
        <w:pStyle w:val="Style2"/>
        <w:shd w:val="clear" w:color="auto" w:fill="auto"/>
        <w:spacing w:before="0" w:line="240" w:lineRule="auto"/>
        <w:ind w:left="708" w:right="51" w:firstLine="0"/>
        <w:jc w:val="both"/>
        <w:rPr>
          <w:rFonts w:ascii="Bookman Old Style" w:hAnsi="Bookman Old Style"/>
          <w:i/>
          <w:sz w:val="22"/>
          <w:szCs w:val="24"/>
        </w:rPr>
      </w:pPr>
      <w:r w:rsidRPr="00F62780">
        <w:rPr>
          <w:rFonts w:ascii="Bookman Old Style" w:hAnsi="Bookman Old Style"/>
          <w:i/>
          <w:sz w:val="22"/>
          <w:szCs w:val="24"/>
        </w:rPr>
        <w:t xml:space="preserve"> “Artículo 25. Fórmula de Actualización de Cargos Máximos de Generación. Los Cargos Máximos de Generación expresados en pesos de la Fecha Base, se actualizarán con las siguientes fórmulas generales:</w:t>
      </w:r>
    </w:p>
    <w:p w:rsidR="00593565" w:rsidRPr="00F62780" w:rsidRDefault="00593565" w:rsidP="00065952">
      <w:pPr>
        <w:pStyle w:val="Style2"/>
        <w:shd w:val="clear" w:color="auto" w:fill="auto"/>
        <w:spacing w:before="0" w:line="240" w:lineRule="auto"/>
        <w:ind w:left="708" w:right="51" w:firstLine="0"/>
        <w:rPr>
          <w:rFonts w:ascii="Bookman Old Style" w:hAnsi="Bookman Old Style"/>
          <w:i/>
          <w:sz w:val="22"/>
          <w:szCs w:val="24"/>
        </w:rPr>
      </w:pPr>
    </w:p>
    <w:p w:rsidR="00065952" w:rsidRPr="00F62780" w:rsidRDefault="00065952" w:rsidP="00E77C3E">
      <w:pPr>
        <w:pStyle w:val="Style2"/>
        <w:shd w:val="clear" w:color="auto" w:fill="auto"/>
        <w:spacing w:after="120" w:line="240" w:lineRule="auto"/>
        <w:ind w:left="709" w:right="51" w:firstLine="0"/>
        <w:rPr>
          <w:rFonts w:ascii="Bookman Old Style" w:hAnsi="Bookman Old Style"/>
          <w:i/>
          <w:sz w:val="22"/>
          <w:szCs w:val="24"/>
        </w:rPr>
      </w:pPr>
      <w:r w:rsidRPr="00F62780">
        <w:rPr>
          <w:rFonts w:ascii="Bookman Old Style" w:hAnsi="Bookman Old Style"/>
          <w:i/>
          <w:sz w:val="22"/>
          <w:szCs w:val="24"/>
        </w:rPr>
        <w:t>a) Fórmula de Actualización de Cargos Máximos para Generación Diésel</w:t>
      </w:r>
    </w:p>
    <w:p w:rsidR="00065952" w:rsidRPr="00F62780" w:rsidRDefault="00065952" w:rsidP="00E77C3E">
      <w:pPr>
        <w:pStyle w:val="Style2"/>
        <w:shd w:val="clear" w:color="auto" w:fill="auto"/>
        <w:spacing w:after="120" w:line="240" w:lineRule="auto"/>
        <w:ind w:left="709" w:right="51" w:firstLine="0"/>
        <w:rPr>
          <w:rFonts w:ascii="Bookman Old Style" w:hAnsi="Bookman Old Style"/>
          <w:i/>
          <w:sz w:val="22"/>
          <w:szCs w:val="24"/>
        </w:rPr>
      </w:pPr>
      <w:r w:rsidRPr="00F62780">
        <w:rPr>
          <w:rFonts w:ascii="Bookman Old Style" w:hAnsi="Bookman Old Style"/>
          <w:i/>
          <w:sz w:val="22"/>
          <w:szCs w:val="24"/>
        </w:rPr>
        <w:lastRenderedPageBreak/>
        <w:t>b) Fórmula de Actualización de Cargos Máximos de Generación para Centrales Hidroeléctricas a Pequeña Escala</w:t>
      </w:r>
    </w:p>
    <w:p w:rsidR="00065952" w:rsidRPr="00F62780" w:rsidRDefault="00065952" w:rsidP="00E77C3E">
      <w:pPr>
        <w:pStyle w:val="Style2"/>
        <w:shd w:val="clear" w:color="auto" w:fill="auto"/>
        <w:spacing w:after="120" w:line="240" w:lineRule="auto"/>
        <w:ind w:left="709" w:right="51" w:firstLine="0"/>
        <w:rPr>
          <w:rFonts w:ascii="Bookman Old Style" w:hAnsi="Bookman Old Style"/>
          <w:i/>
          <w:sz w:val="22"/>
          <w:szCs w:val="24"/>
        </w:rPr>
      </w:pPr>
      <w:r w:rsidRPr="00F62780">
        <w:rPr>
          <w:rFonts w:ascii="Bookman Old Style" w:hAnsi="Bookman Old Style"/>
          <w:i/>
          <w:sz w:val="22"/>
          <w:szCs w:val="24"/>
        </w:rPr>
        <w:t>c) Fórmula de Actualización de Cargos Máximos de Generación para Soluciones Fotovoltaicas Individuales”</w:t>
      </w:r>
      <w:r w:rsidR="004D28B1" w:rsidRPr="00F62780">
        <w:rPr>
          <w:rFonts w:ascii="Bookman Old Style" w:hAnsi="Bookman Old Style"/>
          <w:i/>
          <w:sz w:val="22"/>
          <w:szCs w:val="24"/>
        </w:rPr>
        <w:t>.</w:t>
      </w:r>
    </w:p>
    <w:p w:rsidR="00065952" w:rsidRPr="004D28B1" w:rsidRDefault="00065952" w:rsidP="00065952">
      <w:pPr>
        <w:pStyle w:val="Style2"/>
        <w:shd w:val="clear" w:color="auto" w:fill="auto"/>
        <w:spacing w:before="0" w:line="240" w:lineRule="auto"/>
        <w:ind w:left="284" w:right="51" w:firstLine="0"/>
        <w:jc w:val="both"/>
        <w:rPr>
          <w:rFonts w:ascii="Bookman Old Style" w:hAnsi="Bookman Old Style"/>
          <w:sz w:val="28"/>
          <w:szCs w:val="24"/>
        </w:rPr>
      </w:pPr>
    </w:p>
    <w:p w:rsidR="00065952" w:rsidRDefault="00065952" w:rsidP="00065952">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En este contexto se identifica que las fórmulas de actualización de cargos máximos de generación definidas en el artículo 25</w:t>
      </w:r>
      <w:r w:rsidR="00E12CD5">
        <w:rPr>
          <w:rFonts w:ascii="Bookman Old Style" w:hAnsi="Bookman Old Style"/>
          <w:sz w:val="24"/>
          <w:szCs w:val="24"/>
        </w:rPr>
        <w:t xml:space="preserve"> de la precitada resolución</w:t>
      </w:r>
      <w:r>
        <w:rPr>
          <w:rFonts w:ascii="Bookman Old Style" w:hAnsi="Bookman Old Style"/>
          <w:sz w:val="24"/>
          <w:szCs w:val="24"/>
        </w:rPr>
        <w:t xml:space="preserve">, </w:t>
      </w:r>
      <w:r w:rsidR="00C42864">
        <w:rPr>
          <w:rFonts w:ascii="Bookman Old Style" w:hAnsi="Bookman Old Style"/>
          <w:sz w:val="24"/>
          <w:szCs w:val="24"/>
        </w:rPr>
        <w:t xml:space="preserve">no </w:t>
      </w:r>
      <w:r>
        <w:rPr>
          <w:rFonts w:ascii="Bookman Old Style" w:hAnsi="Bookman Old Style"/>
          <w:sz w:val="24"/>
          <w:szCs w:val="24"/>
        </w:rPr>
        <w:t xml:space="preserve">considera una </w:t>
      </w:r>
      <w:r w:rsidR="00C42864">
        <w:rPr>
          <w:rFonts w:ascii="Bookman Old Style" w:hAnsi="Bookman Old Style"/>
          <w:sz w:val="24"/>
          <w:szCs w:val="24"/>
        </w:rPr>
        <w:t xml:space="preserve">fórmula </w:t>
      </w:r>
      <w:r>
        <w:rPr>
          <w:rFonts w:ascii="Bookman Old Style" w:hAnsi="Bookman Old Style"/>
          <w:sz w:val="24"/>
          <w:szCs w:val="24"/>
        </w:rPr>
        <w:t xml:space="preserve">de actualización </w:t>
      </w:r>
      <w:r w:rsidR="00C42864">
        <w:rPr>
          <w:rFonts w:ascii="Bookman Old Style" w:hAnsi="Bookman Old Style"/>
          <w:sz w:val="24"/>
          <w:szCs w:val="24"/>
        </w:rPr>
        <w:t>de cargos de generación a partir de sistemas híbridos</w:t>
      </w:r>
      <w:r>
        <w:rPr>
          <w:rFonts w:ascii="Bookman Old Style" w:hAnsi="Bookman Old Style"/>
          <w:sz w:val="24"/>
          <w:szCs w:val="24"/>
        </w:rPr>
        <w:t xml:space="preserve">, lo cual será objeto de análisis en la presente resolución. </w:t>
      </w:r>
    </w:p>
    <w:p w:rsidR="00ED7F05" w:rsidRDefault="00ED7F05" w:rsidP="00E63E5A">
      <w:pPr>
        <w:pStyle w:val="Style2"/>
        <w:shd w:val="clear" w:color="auto" w:fill="auto"/>
        <w:spacing w:before="0" w:line="240" w:lineRule="auto"/>
        <w:ind w:left="284" w:right="51" w:firstLine="0"/>
        <w:jc w:val="both"/>
        <w:rPr>
          <w:rFonts w:ascii="Bookman Old Style" w:hAnsi="Bookman Old Style"/>
          <w:sz w:val="24"/>
          <w:szCs w:val="24"/>
        </w:rPr>
      </w:pPr>
    </w:p>
    <w:p w:rsidR="00E929F5" w:rsidRDefault="00873392" w:rsidP="00E41921">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E</w:t>
      </w:r>
      <w:r w:rsidR="00E929F5">
        <w:rPr>
          <w:rFonts w:ascii="Bookman Old Style" w:hAnsi="Bookman Old Style"/>
          <w:sz w:val="24"/>
          <w:szCs w:val="24"/>
        </w:rPr>
        <w:t xml:space="preserve">n el capítulo VII de la Resolución CREG 091 de 2007 se establecen las fórmulas tarifarias generales para usuarios regulados del servicio público de energía eléctrica en las zonas no interconectadas, diferenciando entre la aplicable a usuarios regulados del servicio de energía eléctrica con red y sin red, artículos 40 y 41 de la precitada resolución respectivamente. </w:t>
      </w:r>
    </w:p>
    <w:p w:rsidR="00E929F5" w:rsidRDefault="00E929F5" w:rsidP="00E41921">
      <w:pPr>
        <w:pStyle w:val="Style2"/>
        <w:shd w:val="clear" w:color="auto" w:fill="auto"/>
        <w:spacing w:before="0" w:line="240" w:lineRule="auto"/>
        <w:ind w:left="284" w:right="51" w:firstLine="0"/>
        <w:jc w:val="both"/>
        <w:rPr>
          <w:rFonts w:ascii="Bookman Old Style" w:hAnsi="Bookman Old Style"/>
          <w:sz w:val="24"/>
          <w:szCs w:val="24"/>
        </w:rPr>
      </w:pPr>
    </w:p>
    <w:p w:rsidR="00873392" w:rsidRDefault="00E929F5" w:rsidP="00873392">
      <w:pPr>
        <w:pStyle w:val="Style2"/>
        <w:shd w:val="clear" w:color="auto" w:fill="auto"/>
        <w:spacing w:before="0" w:line="240" w:lineRule="auto"/>
        <w:ind w:left="284" w:right="51" w:firstLine="0"/>
        <w:jc w:val="both"/>
        <w:rPr>
          <w:rFonts w:ascii="Bookman Old Style" w:hAnsi="Bookman Old Style"/>
          <w:sz w:val="24"/>
          <w:szCs w:val="24"/>
        </w:rPr>
      </w:pPr>
      <w:r w:rsidRPr="00415128">
        <w:rPr>
          <w:rFonts w:ascii="Bookman Old Style" w:hAnsi="Bookman Old Style"/>
          <w:sz w:val="24"/>
          <w:szCs w:val="24"/>
        </w:rPr>
        <w:t>Con la información presentada por</w:t>
      </w:r>
      <w:r w:rsidR="000258B0" w:rsidRPr="00415128">
        <w:rPr>
          <w:rFonts w:ascii="Bookman Old Style" w:hAnsi="Bookman Old Style"/>
          <w:sz w:val="24"/>
          <w:szCs w:val="24"/>
        </w:rPr>
        <w:t xml:space="preserve"> la empresa</w:t>
      </w:r>
      <w:r w:rsidRPr="00415128">
        <w:rPr>
          <w:rFonts w:ascii="Bookman Old Style" w:hAnsi="Bookman Old Style"/>
          <w:sz w:val="24"/>
          <w:szCs w:val="24"/>
        </w:rPr>
        <w:t xml:space="preserve"> </w:t>
      </w:r>
      <w:r w:rsidR="00926EF8" w:rsidRPr="00415128">
        <w:rPr>
          <w:rFonts w:ascii="Bookman Old Style" w:hAnsi="Bookman Old Style"/>
          <w:sz w:val="24"/>
          <w:szCs w:val="24"/>
        </w:rPr>
        <w:t>ESPUN</w:t>
      </w:r>
      <w:r w:rsidR="000258B0" w:rsidRPr="00415128">
        <w:rPr>
          <w:rFonts w:ascii="Bookman Old Style" w:hAnsi="Bookman Old Style"/>
          <w:sz w:val="24"/>
          <w:szCs w:val="24"/>
        </w:rPr>
        <w:t xml:space="preserve"> S.A</w:t>
      </w:r>
      <w:r w:rsidR="00AE3CFB">
        <w:rPr>
          <w:rFonts w:ascii="Bookman Old Style" w:hAnsi="Bookman Old Style"/>
          <w:sz w:val="24"/>
          <w:szCs w:val="24"/>
        </w:rPr>
        <w:t>.</w:t>
      </w:r>
      <w:r w:rsidR="000258B0" w:rsidRPr="00415128">
        <w:rPr>
          <w:rFonts w:ascii="Bookman Old Style" w:hAnsi="Bookman Old Style"/>
          <w:sz w:val="24"/>
          <w:szCs w:val="24"/>
        </w:rPr>
        <w:t xml:space="preserve"> E.S.P.</w:t>
      </w:r>
      <w:r w:rsidR="00926EF8" w:rsidRPr="00415128">
        <w:rPr>
          <w:rFonts w:ascii="Bookman Old Style" w:hAnsi="Bookman Old Style"/>
          <w:sz w:val="24"/>
          <w:szCs w:val="24"/>
        </w:rPr>
        <w:t xml:space="preserve">, </w:t>
      </w:r>
      <w:r w:rsidRPr="00415128">
        <w:rPr>
          <w:rFonts w:ascii="Bookman Old Style" w:hAnsi="Bookman Old Style"/>
          <w:sz w:val="24"/>
          <w:szCs w:val="24"/>
        </w:rPr>
        <w:t xml:space="preserve">se identifica que </w:t>
      </w:r>
      <w:r w:rsidR="00C42864">
        <w:rPr>
          <w:rFonts w:ascii="Bookman Old Style" w:hAnsi="Bookman Old Style"/>
          <w:sz w:val="24"/>
          <w:szCs w:val="24"/>
        </w:rPr>
        <w:t xml:space="preserve">la energía generada con el sistema híbrido </w:t>
      </w:r>
      <w:r w:rsidR="00E41921" w:rsidRPr="00415128">
        <w:rPr>
          <w:rFonts w:ascii="Bookman Old Style" w:hAnsi="Bookman Old Style"/>
          <w:sz w:val="24"/>
          <w:szCs w:val="24"/>
        </w:rPr>
        <w:t>permi</w:t>
      </w:r>
      <w:r w:rsidR="00D81821">
        <w:rPr>
          <w:rFonts w:ascii="Bookman Old Style" w:hAnsi="Bookman Old Style"/>
          <w:sz w:val="24"/>
          <w:szCs w:val="24"/>
        </w:rPr>
        <w:t xml:space="preserve">tirá la prestación del servicio </w:t>
      </w:r>
      <w:r w:rsidR="00E41921" w:rsidRPr="00415128">
        <w:rPr>
          <w:rFonts w:ascii="Bookman Old Style" w:hAnsi="Bookman Old Style"/>
          <w:sz w:val="24"/>
          <w:szCs w:val="24"/>
        </w:rPr>
        <w:t>a los usuarios</w:t>
      </w:r>
      <w:r w:rsidR="00D81821">
        <w:rPr>
          <w:rFonts w:ascii="Bookman Old Style" w:hAnsi="Bookman Old Style"/>
          <w:sz w:val="24"/>
          <w:szCs w:val="24"/>
        </w:rPr>
        <w:t xml:space="preserve">, 24 horas al día, </w:t>
      </w:r>
      <w:r w:rsidR="00E41921" w:rsidRPr="00415128">
        <w:rPr>
          <w:rFonts w:ascii="Bookman Old Style" w:hAnsi="Bookman Old Style"/>
          <w:sz w:val="24"/>
          <w:szCs w:val="24"/>
        </w:rPr>
        <w:t>mediante el uso de red. En ese sentido, la fórmula ta</w:t>
      </w:r>
      <w:r w:rsidR="00926EF8" w:rsidRPr="00415128">
        <w:rPr>
          <w:rFonts w:ascii="Bookman Old Style" w:hAnsi="Bookman Old Style"/>
          <w:sz w:val="24"/>
          <w:szCs w:val="24"/>
        </w:rPr>
        <w:t>rifaria aplicable corresponde</w:t>
      </w:r>
      <w:r w:rsidR="00E41921" w:rsidRPr="00415128">
        <w:rPr>
          <w:rFonts w:ascii="Bookman Old Style" w:hAnsi="Bookman Old Style"/>
          <w:sz w:val="24"/>
          <w:szCs w:val="24"/>
        </w:rPr>
        <w:t xml:space="preserve"> a la</w:t>
      </w:r>
      <w:r w:rsidR="00124B54">
        <w:rPr>
          <w:rFonts w:ascii="Bookman Old Style" w:hAnsi="Bookman Old Style"/>
          <w:sz w:val="24"/>
          <w:szCs w:val="24"/>
        </w:rPr>
        <w:t xml:space="preserve"> señalada en </w:t>
      </w:r>
      <w:r w:rsidR="00E41921" w:rsidRPr="00415128">
        <w:rPr>
          <w:rFonts w:ascii="Bookman Old Style" w:hAnsi="Bookman Old Style"/>
          <w:sz w:val="24"/>
          <w:szCs w:val="24"/>
        </w:rPr>
        <w:t>el artículo 40</w:t>
      </w:r>
      <w:r w:rsidR="00124B54">
        <w:rPr>
          <w:rFonts w:ascii="Bookman Old Style" w:hAnsi="Bookman Old Style"/>
          <w:sz w:val="24"/>
          <w:szCs w:val="24"/>
        </w:rPr>
        <w:t xml:space="preserve"> de la R</w:t>
      </w:r>
      <w:r w:rsidRPr="00415128">
        <w:rPr>
          <w:rFonts w:ascii="Bookman Old Style" w:hAnsi="Bookman Old Style"/>
          <w:sz w:val="24"/>
          <w:szCs w:val="24"/>
        </w:rPr>
        <w:t>esolución</w:t>
      </w:r>
      <w:r w:rsidR="00124B54">
        <w:rPr>
          <w:rFonts w:ascii="Bookman Old Style" w:hAnsi="Bookman Old Style"/>
          <w:sz w:val="24"/>
          <w:szCs w:val="24"/>
        </w:rPr>
        <w:t xml:space="preserve"> CREG 091 de 2007</w:t>
      </w:r>
      <w:r w:rsidR="00E41921" w:rsidRPr="00415128">
        <w:rPr>
          <w:rFonts w:ascii="Bookman Old Style" w:hAnsi="Bookman Old Style"/>
          <w:sz w:val="24"/>
          <w:szCs w:val="24"/>
        </w:rPr>
        <w:t>.</w:t>
      </w:r>
      <w:r w:rsidR="00E41921" w:rsidRPr="00E41921">
        <w:rPr>
          <w:rFonts w:ascii="Bookman Old Style" w:hAnsi="Bookman Old Style"/>
          <w:sz w:val="24"/>
          <w:szCs w:val="24"/>
        </w:rPr>
        <w:t xml:space="preserve"> </w:t>
      </w:r>
    </w:p>
    <w:p w:rsidR="00873392" w:rsidRDefault="00873392" w:rsidP="00873392">
      <w:pPr>
        <w:pStyle w:val="Style2"/>
        <w:shd w:val="clear" w:color="auto" w:fill="auto"/>
        <w:spacing w:before="0" w:line="240" w:lineRule="auto"/>
        <w:ind w:left="284" w:right="51" w:firstLine="0"/>
        <w:jc w:val="both"/>
        <w:rPr>
          <w:rFonts w:ascii="Bookman Old Style" w:hAnsi="Bookman Old Style"/>
          <w:sz w:val="24"/>
          <w:szCs w:val="24"/>
        </w:rPr>
      </w:pPr>
    </w:p>
    <w:p w:rsidR="00E41921" w:rsidRPr="00E41921" w:rsidRDefault="00D81E5C" w:rsidP="00873392">
      <w:pPr>
        <w:pStyle w:val="Style2"/>
        <w:shd w:val="clear" w:color="auto" w:fill="auto"/>
        <w:spacing w:before="0" w:line="240" w:lineRule="auto"/>
        <w:ind w:left="284" w:right="51" w:firstLine="0"/>
        <w:jc w:val="both"/>
        <w:rPr>
          <w:rFonts w:ascii="Bookman Old Style" w:hAnsi="Bookman Old Style"/>
          <w:sz w:val="24"/>
          <w:szCs w:val="24"/>
        </w:rPr>
      </w:pPr>
      <w:r w:rsidRPr="00D81E5C">
        <w:rPr>
          <w:rFonts w:ascii="Bookman Old Style" w:hAnsi="Bookman Old Style"/>
          <w:sz w:val="24"/>
          <w:szCs w:val="24"/>
        </w:rPr>
        <w:t>Dado lo anterior,</w:t>
      </w:r>
      <w:r>
        <w:rPr>
          <w:rFonts w:ascii="Bookman Old Style" w:hAnsi="Bookman Old Style"/>
          <w:sz w:val="24"/>
          <w:szCs w:val="24"/>
        </w:rPr>
        <w:t xml:space="preserve"> se evidencia que </w:t>
      </w:r>
      <w:r w:rsidR="00E41921" w:rsidRPr="00E41921">
        <w:rPr>
          <w:rFonts w:ascii="Bookman Old Style" w:hAnsi="Bookman Old Style"/>
          <w:sz w:val="24"/>
          <w:szCs w:val="24"/>
        </w:rPr>
        <w:t xml:space="preserve">no se encuentran tipificados los costos para </w:t>
      </w:r>
      <w:r w:rsidR="007D619F">
        <w:rPr>
          <w:rFonts w:ascii="Bookman Old Style" w:hAnsi="Bookman Old Style"/>
          <w:sz w:val="24"/>
          <w:szCs w:val="24"/>
        </w:rPr>
        <w:t xml:space="preserve">la generación con tecnologías </w:t>
      </w:r>
      <w:r w:rsidR="00E41921" w:rsidRPr="00E41921">
        <w:rPr>
          <w:rFonts w:ascii="Bookman Old Style" w:hAnsi="Bookman Old Style"/>
          <w:sz w:val="24"/>
          <w:szCs w:val="24"/>
        </w:rPr>
        <w:t xml:space="preserve">como </w:t>
      </w:r>
      <w:r w:rsidR="00873392">
        <w:rPr>
          <w:rFonts w:ascii="Bookman Old Style" w:hAnsi="Bookman Old Style"/>
          <w:sz w:val="24"/>
          <w:szCs w:val="24"/>
        </w:rPr>
        <w:t>l</w:t>
      </w:r>
      <w:r w:rsidR="00926EF8">
        <w:rPr>
          <w:rFonts w:ascii="Bookman Old Style" w:hAnsi="Bookman Old Style"/>
          <w:sz w:val="24"/>
          <w:szCs w:val="24"/>
        </w:rPr>
        <w:t xml:space="preserve">a presentada en la solicitud de reconocimiento del cargo máximo de generación interpuesto por </w:t>
      </w:r>
      <w:r w:rsidR="00873392">
        <w:rPr>
          <w:rFonts w:ascii="Bookman Old Style" w:hAnsi="Bookman Old Style"/>
          <w:sz w:val="24"/>
          <w:szCs w:val="24"/>
        </w:rPr>
        <w:t xml:space="preserve">la empresa. </w:t>
      </w:r>
      <w:r w:rsidR="00E41921">
        <w:rPr>
          <w:rFonts w:ascii="Bookman Old Style" w:hAnsi="Bookman Old Style"/>
          <w:sz w:val="24"/>
          <w:szCs w:val="24"/>
        </w:rPr>
        <w:t xml:space="preserve">En </w:t>
      </w:r>
      <w:r w:rsidR="00E41921" w:rsidRPr="00E41921">
        <w:rPr>
          <w:rFonts w:ascii="Bookman Old Style" w:hAnsi="Bookman Old Style"/>
          <w:sz w:val="24"/>
          <w:szCs w:val="24"/>
        </w:rPr>
        <w:t xml:space="preserve">consecuencia, debe determinarse el costo de inversión </w:t>
      </w:r>
      <w:r w:rsidR="00873392">
        <w:rPr>
          <w:rFonts w:ascii="Bookman Old Style" w:hAnsi="Bookman Old Style"/>
          <w:sz w:val="24"/>
          <w:szCs w:val="24"/>
        </w:rPr>
        <w:t xml:space="preserve">y los gastos de administración, operación y mantenimiento </w:t>
      </w:r>
      <w:r w:rsidR="00E41921" w:rsidRPr="00E41921">
        <w:rPr>
          <w:rFonts w:ascii="Bookman Old Style" w:hAnsi="Bookman Old Style"/>
          <w:sz w:val="24"/>
          <w:szCs w:val="24"/>
        </w:rPr>
        <w:t>en los términos definidos en la fórmula aplicable, esto es, en pe</w:t>
      </w:r>
      <w:r w:rsidR="00926EF8">
        <w:rPr>
          <w:rFonts w:ascii="Bookman Old Style" w:hAnsi="Bookman Old Style"/>
          <w:sz w:val="24"/>
          <w:szCs w:val="24"/>
        </w:rPr>
        <w:t>sos por kilovatio hora ($/</w:t>
      </w:r>
      <w:proofErr w:type="spellStart"/>
      <w:r w:rsidR="00926EF8">
        <w:rPr>
          <w:rFonts w:ascii="Bookman Old Style" w:hAnsi="Bookman Old Style"/>
          <w:sz w:val="24"/>
          <w:szCs w:val="24"/>
        </w:rPr>
        <w:t>kWh</w:t>
      </w:r>
      <w:proofErr w:type="spellEnd"/>
      <w:r w:rsidR="00926EF8">
        <w:rPr>
          <w:rFonts w:ascii="Bookman Old Style" w:hAnsi="Bookman Old Style"/>
          <w:sz w:val="24"/>
          <w:szCs w:val="24"/>
        </w:rPr>
        <w:t>).</w:t>
      </w:r>
    </w:p>
    <w:p w:rsidR="00ED514A" w:rsidRDefault="00ED514A" w:rsidP="00E87470">
      <w:pPr>
        <w:pStyle w:val="Style2"/>
        <w:shd w:val="clear" w:color="auto" w:fill="auto"/>
        <w:spacing w:before="0" w:line="240" w:lineRule="auto"/>
        <w:ind w:right="51" w:firstLine="0"/>
        <w:jc w:val="both"/>
        <w:rPr>
          <w:rFonts w:ascii="Bookman Old Style" w:eastAsia="Calibri" w:hAnsi="Bookman Old Style"/>
          <w:sz w:val="24"/>
          <w:szCs w:val="24"/>
          <w:lang w:val="es-MX" w:eastAsia="en-US"/>
        </w:rPr>
      </w:pPr>
    </w:p>
    <w:p w:rsidR="00D451C0" w:rsidRPr="00DE0BD1" w:rsidRDefault="00D451C0" w:rsidP="00D451C0">
      <w:pPr>
        <w:pStyle w:val="Textoindependiente"/>
        <w:ind w:left="284"/>
        <w:jc w:val="both"/>
        <w:rPr>
          <w:rFonts w:ascii="Bookman Old Style" w:hAnsi="Bookman Old Style"/>
        </w:rPr>
      </w:pPr>
      <w:r>
        <w:rPr>
          <w:rFonts w:ascii="Bookman Old Style" w:hAnsi="Bookman Old Style"/>
        </w:rPr>
        <w:t>5.2</w:t>
      </w:r>
      <w:r>
        <w:rPr>
          <w:rFonts w:ascii="Bookman Old Style" w:hAnsi="Bookman Old Style"/>
        </w:rPr>
        <w:tab/>
      </w:r>
      <w:r>
        <w:rPr>
          <w:rFonts w:ascii="Bookman Old Style" w:hAnsi="Bookman Old Style"/>
          <w:lang w:val="es-CO"/>
        </w:rPr>
        <w:t xml:space="preserve"> </w:t>
      </w:r>
      <w:r>
        <w:rPr>
          <w:rFonts w:ascii="Bookman Old Style" w:hAnsi="Bookman Old Style"/>
        </w:rPr>
        <w:t xml:space="preserve">ANÁLISIS </w:t>
      </w:r>
      <w:r w:rsidRPr="003C59FA">
        <w:rPr>
          <w:rFonts w:ascii="Bookman Old Style" w:hAnsi="Bookman Old Style"/>
        </w:rPr>
        <w:t>TÉCNICO</w:t>
      </w:r>
    </w:p>
    <w:p w:rsidR="00E35581" w:rsidRDefault="00E35581" w:rsidP="003A424A">
      <w:pPr>
        <w:pStyle w:val="Textoindependiente21"/>
        <w:ind w:left="284" w:right="142"/>
        <w:rPr>
          <w:rFonts w:ascii="Bookman Old Style" w:hAnsi="Bookman Old Style" w:cs="Arial"/>
          <w:sz w:val="24"/>
          <w:szCs w:val="24"/>
        </w:rPr>
      </w:pPr>
    </w:p>
    <w:p w:rsidR="004765C2" w:rsidRDefault="004765C2" w:rsidP="003A424A">
      <w:pPr>
        <w:pStyle w:val="Textoindependiente21"/>
        <w:ind w:left="284" w:right="142"/>
        <w:rPr>
          <w:rFonts w:ascii="Bookman Old Style" w:hAnsi="Bookman Old Style" w:cs="Arial"/>
          <w:sz w:val="24"/>
          <w:szCs w:val="24"/>
        </w:rPr>
      </w:pPr>
      <w:r>
        <w:rPr>
          <w:rFonts w:ascii="Bookman Old Style" w:hAnsi="Bookman Old Style" w:cs="Arial"/>
          <w:sz w:val="24"/>
          <w:szCs w:val="24"/>
        </w:rPr>
        <w:t xml:space="preserve">Teniendo en cuenta lo previsto en </w:t>
      </w:r>
      <w:r w:rsidR="00B11990">
        <w:rPr>
          <w:rFonts w:ascii="Bookman Old Style" w:hAnsi="Bookman Old Style" w:cs="Arial"/>
          <w:sz w:val="24"/>
          <w:szCs w:val="24"/>
        </w:rPr>
        <w:t xml:space="preserve">los artículos </w:t>
      </w:r>
      <w:r>
        <w:rPr>
          <w:rFonts w:ascii="Bookman Old Style" w:hAnsi="Bookman Old Style" w:cs="Arial"/>
          <w:sz w:val="24"/>
          <w:szCs w:val="24"/>
        </w:rPr>
        <w:t>22</w:t>
      </w:r>
      <w:r w:rsidR="00B11990">
        <w:rPr>
          <w:rFonts w:ascii="Bookman Old Style" w:hAnsi="Bookman Old Style" w:cs="Arial"/>
          <w:sz w:val="24"/>
          <w:szCs w:val="24"/>
        </w:rPr>
        <w:t xml:space="preserve">, 24, 25 y 40 </w:t>
      </w:r>
      <w:r>
        <w:rPr>
          <w:rFonts w:ascii="Bookman Old Style" w:hAnsi="Bookman Old Style" w:cs="Arial"/>
          <w:sz w:val="24"/>
          <w:szCs w:val="24"/>
        </w:rPr>
        <w:t xml:space="preserve">de la </w:t>
      </w:r>
      <w:r w:rsidR="00B11990">
        <w:rPr>
          <w:rFonts w:ascii="Bookman Old Style" w:hAnsi="Bookman Old Style" w:cs="Arial"/>
          <w:sz w:val="24"/>
          <w:szCs w:val="24"/>
        </w:rPr>
        <w:t>R</w:t>
      </w:r>
      <w:r>
        <w:rPr>
          <w:rFonts w:ascii="Bookman Old Style" w:hAnsi="Bookman Old Style" w:cs="Arial"/>
          <w:sz w:val="24"/>
          <w:szCs w:val="24"/>
        </w:rPr>
        <w:t xml:space="preserve">esolución CREG 091 de 2007, se procede a revisar la información allegada </w:t>
      </w:r>
      <w:r w:rsidR="000D1646">
        <w:rPr>
          <w:rFonts w:ascii="Bookman Old Style" w:hAnsi="Bookman Old Style" w:cs="Arial"/>
          <w:sz w:val="24"/>
          <w:szCs w:val="24"/>
        </w:rPr>
        <w:t>por</w:t>
      </w:r>
      <w:r w:rsidR="003D5591">
        <w:rPr>
          <w:rFonts w:ascii="Bookman Old Style" w:hAnsi="Bookman Old Style" w:cs="Arial"/>
          <w:sz w:val="24"/>
          <w:szCs w:val="24"/>
        </w:rPr>
        <w:t xml:space="preserve"> la</w:t>
      </w:r>
      <w:r w:rsidR="000D1646">
        <w:rPr>
          <w:rFonts w:ascii="Bookman Old Style" w:hAnsi="Bookman Old Style" w:cs="Arial"/>
          <w:sz w:val="24"/>
          <w:szCs w:val="24"/>
        </w:rPr>
        <w:t xml:space="preserve"> </w:t>
      </w:r>
      <w:r w:rsidR="003D5591">
        <w:rPr>
          <w:rFonts w:ascii="Bookman Old Style" w:hAnsi="Bookman Old Style" w:cs="Arial"/>
          <w:sz w:val="24"/>
          <w:szCs w:val="24"/>
        </w:rPr>
        <w:t xml:space="preserve">empresa </w:t>
      </w:r>
      <w:r w:rsidR="00926EF8">
        <w:rPr>
          <w:rFonts w:ascii="Bookman Old Style" w:hAnsi="Bookman Old Style" w:cs="Arial"/>
          <w:sz w:val="24"/>
          <w:szCs w:val="24"/>
        </w:rPr>
        <w:t>ESPUN</w:t>
      </w:r>
      <w:r w:rsidR="003D5591">
        <w:rPr>
          <w:rFonts w:ascii="Bookman Old Style" w:hAnsi="Bookman Old Style" w:cs="Arial"/>
          <w:sz w:val="24"/>
          <w:szCs w:val="24"/>
        </w:rPr>
        <w:t xml:space="preserve"> S.A</w:t>
      </w:r>
      <w:r w:rsidR="00AE3CFB">
        <w:rPr>
          <w:rFonts w:ascii="Bookman Old Style" w:hAnsi="Bookman Old Style" w:cs="Arial"/>
          <w:sz w:val="24"/>
          <w:szCs w:val="24"/>
        </w:rPr>
        <w:t>.</w:t>
      </w:r>
      <w:r w:rsidR="003D5591">
        <w:rPr>
          <w:rFonts w:ascii="Bookman Old Style" w:hAnsi="Bookman Old Style" w:cs="Arial"/>
          <w:sz w:val="24"/>
          <w:szCs w:val="24"/>
        </w:rPr>
        <w:t xml:space="preserve"> E.S.P.</w:t>
      </w:r>
      <w:r w:rsidR="00C42864">
        <w:rPr>
          <w:rFonts w:ascii="Bookman Old Style" w:hAnsi="Bookman Old Style" w:cs="Arial"/>
          <w:sz w:val="24"/>
          <w:szCs w:val="24"/>
        </w:rPr>
        <w:t>,</w:t>
      </w:r>
      <w:r w:rsidR="00B11990">
        <w:rPr>
          <w:rFonts w:ascii="Bookman Old Style" w:hAnsi="Bookman Old Style" w:cs="Arial"/>
          <w:sz w:val="24"/>
          <w:szCs w:val="24"/>
        </w:rPr>
        <w:t xml:space="preserve"> </w:t>
      </w:r>
      <w:r w:rsidR="000D1646">
        <w:rPr>
          <w:rFonts w:ascii="Bookman Old Style" w:hAnsi="Bookman Old Style" w:cs="Arial"/>
          <w:sz w:val="24"/>
          <w:szCs w:val="24"/>
        </w:rPr>
        <w:t>en términos de costos de inversión y gastos administración, operación y man</w:t>
      </w:r>
      <w:r w:rsidR="00451919">
        <w:rPr>
          <w:rFonts w:ascii="Bookman Old Style" w:hAnsi="Bookman Old Style" w:cs="Arial"/>
          <w:sz w:val="24"/>
          <w:szCs w:val="24"/>
        </w:rPr>
        <w:t>tenimien</w:t>
      </w:r>
      <w:r w:rsidR="00B11990">
        <w:rPr>
          <w:rFonts w:ascii="Bookman Old Style" w:hAnsi="Bookman Old Style" w:cs="Arial"/>
          <w:sz w:val="24"/>
          <w:szCs w:val="24"/>
        </w:rPr>
        <w:t>to, así como también se analizan</w:t>
      </w:r>
      <w:r w:rsidR="00451919">
        <w:rPr>
          <w:rFonts w:ascii="Bookman Old Style" w:hAnsi="Bookman Old Style" w:cs="Arial"/>
          <w:sz w:val="24"/>
          <w:szCs w:val="24"/>
        </w:rPr>
        <w:t xml:space="preserve"> los datos de proyección de energía a </w:t>
      </w:r>
      <w:r w:rsidR="00926EF8">
        <w:rPr>
          <w:rFonts w:ascii="Bookman Old Style" w:hAnsi="Bookman Old Style" w:cs="Arial"/>
          <w:sz w:val="24"/>
          <w:szCs w:val="24"/>
        </w:rPr>
        <w:t xml:space="preserve">generar </w:t>
      </w:r>
      <w:r w:rsidR="00451919">
        <w:rPr>
          <w:rFonts w:ascii="Bookman Old Style" w:hAnsi="Bookman Old Style" w:cs="Arial"/>
          <w:sz w:val="24"/>
          <w:szCs w:val="24"/>
        </w:rPr>
        <w:t>y de la demanda a atender</w:t>
      </w:r>
      <w:r w:rsidR="00926EF8">
        <w:rPr>
          <w:rFonts w:ascii="Bookman Old Style" w:hAnsi="Bookman Old Style" w:cs="Arial"/>
          <w:sz w:val="24"/>
          <w:szCs w:val="24"/>
        </w:rPr>
        <w:t>,</w:t>
      </w:r>
      <w:r w:rsidR="00B11990">
        <w:rPr>
          <w:rFonts w:ascii="Bookman Old Style" w:hAnsi="Bookman Old Style" w:cs="Arial"/>
          <w:sz w:val="24"/>
          <w:szCs w:val="24"/>
        </w:rPr>
        <w:t xml:space="preserve"> presentado</w:t>
      </w:r>
      <w:r w:rsidR="00926EF8">
        <w:rPr>
          <w:rFonts w:ascii="Bookman Old Style" w:hAnsi="Bookman Old Style" w:cs="Arial"/>
          <w:sz w:val="24"/>
          <w:szCs w:val="24"/>
        </w:rPr>
        <w:t>s en la solicitud</w:t>
      </w:r>
      <w:r w:rsidR="00451919">
        <w:rPr>
          <w:rFonts w:ascii="Bookman Old Style" w:hAnsi="Bookman Old Style" w:cs="Arial"/>
          <w:sz w:val="24"/>
          <w:szCs w:val="24"/>
        </w:rPr>
        <w:t>.</w:t>
      </w:r>
    </w:p>
    <w:p w:rsidR="000D1646" w:rsidRDefault="000D1646" w:rsidP="003A424A">
      <w:pPr>
        <w:pStyle w:val="Textoindependiente21"/>
        <w:ind w:left="284" w:right="142"/>
        <w:rPr>
          <w:rFonts w:ascii="Bookman Old Style" w:hAnsi="Bookman Old Style" w:cs="Arial"/>
          <w:sz w:val="24"/>
          <w:szCs w:val="24"/>
        </w:rPr>
      </w:pPr>
    </w:p>
    <w:p w:rsidR="008363B7" w:rsidRDefault="008363B7" w:rsidP="003A424A">
      <w:pPr>
        <w:pStyle w:val="Textoindependiente21"/>
        <w:ind w:left="284" w:right="142"/>
        <w:rPr>
          <w:rFonts w:ascii="Bookman Old Style" w:hAnsi="Bookman Old Style" w:cs="Arial"/>
          <w:sz w:val="24"/>
          <w:szCs w:val="24"/>
        </w:rPr>
      </w:pPr>
      <w:r w:rsidRPr="0036103B">
        <w:rPr>
          <w:rFonts w:ascii="Bookman Old Style" w:hAnsi="Bookman Old Style" w:cs="Arial"/>
          <w:sz w:val="24"/>
          <w:szCs w:val="24"/>
        </w:rPr>
        <w:t xml:space="preserve">El documento CREG </w:t>
      </w:r>
      <w:r w:rsidR="00F4684D" w:rsidRPr="0036103B">
        <w:rPr>
          <w:rFonts w:ascii="Bookman Old Style" w:hAnsi="Bookman Old Style" w:cs="Arial"/>
          <w:sz w:val="24"/>
          <w:szCs w:val="24"/>
        </w:rPr>
        <w:t>092</w:t>
      </w:r>
      <w:r w:rsidR="006540B8">
        <w:rPr>
          <w:rFonts w:ascii="Bookman Old Style" w:hAnsi="Bookman Old Style" w:cs="Arial"/>
          <w:sz w:val="24"/>
          <w:szCs w:val="24"/>
        </w:rPr>
        <w:t xml:space="preserve"> de </w:t>
      </w:r>
      <w:r w:rsidR="00593565">
        <w:rPr>
          <w:rFonts w:ascii="Bookman Old Style" w:hAnsi="Bookman Old Style" w:cs="Arial"/>
          <w:sz w:val="24"/>
          <w:szCs w:val="24"/>
        </w:rPr>
        <w:t>201</w:t>
      </w:r>
      <w:r w:rsidR="00926EF8">
        <w:rPr>
          <w:rFonts w:ascii="Bookman Old Style" w:hAnsi="Bookman Old Style" w:cs="Arial"/>
          <w:sz w:val="24"/>
          <w:szCs w:val="24"/>
        </w:rPr>
        <w:t>9</w:t>
      </w:r>
      <w:r>
        <w:rPr>
          <w:rFonts w:ascii="Bookman Old Style" w:hAnsi="Bookman Old Style" w:cs="Arial"/>
          <w:sz w:val="24"/>
          <w:szCs w:val="24"/>
        </w:rPr>
        <w:t>, soporte de la presente resolución, detalla</w:t>
      </w:r>
      <w:r w:rsidR="009E5F56">
        <w:rPr>
          <w:rFonts w:ascii="Bookman Old Style" w:hAnsi="Bookman Old Style" w:cs="Arial"/>
          <w:sz w:val="24"/>
          <w:szCs w:val="24"/>
        </w:rPr>
        <w:t xml:space="preserve"> el análisis técnico realizado </w:t>
      </w:r>
      <w:r>
        <w:rPr>
          <w:rFonts w:ascii="Bookman Old Style" w:hAnsi="Bookman Old Style" w:cs="Arial"/>
          <w:sz w:val="24"/>
          <w:szCs w:val="24"/>
        </w:rPr>
        <w:t xml:space="preserve">para resolver la solicitud de la empresa en cuestión. </w:t>
      </w:r>
    </w:p>
    <w:p w:rsidR="008363B7" w:rsidRDefault="008363B7" w:rsidP="003A424A">
      <w:pPr>
        <w:pStyle w:val="Textoindependiente21"/>
        <w:ind w:left="284" w:right="142"/>
        <w:rPr>
          <w:rFonts w:ascii="Bookman Old Style" w:hAnsi="Bookman Old Style" w:cs="Arial"/>
          <w:sz w:val="24"/>
          <w:szCs w:val="24"/>
        </w:rPr>
      </w:pPr>
    </w:p>
    <w:p w:rsidR="008B6CE5" w:rsidRPr="008B6CE5" w:rsidRDefault="00FB483F" w:rsidP="008B6CE5">
      <w:pPr>
        <w:pStyle w:val="Textoindependiente21"/>
        <w:ind w:left="284" w:right="142"/>
        <w:rPr>
          <w:rFonts w:ascii="Bookman Old Style" w:hAnsi="Bookman Old Style" w:cs="Arial"/>
          <w:sz w:val="24"/>
          <w:szCs w:val="24"/>
        </w:rPr>
      </w:pPr>
      <w:r>
        <w:rPr>
          <w:rFonts w:ascii="Bookman Old Style" w:hAnsi="Bookman Old Style" w:cs="Arial"/>
          <w:sz w:val="24"/>
          <w:szCs w:val="24"/>
        </w:rPr>
        <w:t>E</w:t>
      </w:r>
      <w:r w:rsidR="00CF403A">
        <w:rPr>
          <w:rFonts w:ascii="Bookman Old Style" w:hAnsi="Bookman Old Style" w:cs="Arial"/>
          <w:sz w:val="24"/>
          <w:szCs w:val="24"/>
        </w:rPr>
        <w:t xml:space="preserve">n </w:t>
      </w:r>
      <w:r w:rsidR="00CF403A" w:rsidRPr="0036103B">
        <w:rPr>
          <w:rFonts w:ascii="Bookman Old Style" w:hAnsi="Bookman Old Style" w:cs="Arial"/>
          <w:sz w:val="24"/>
          <w:szCs w:val="24"/>
        </w:rPr>
        <w:t>s</w:t>
      </w:r>
      <w:r w:rsidR="008B6CE5" w:rsidRPr="0036103B">
        <w:rPr>
          <w:rFonts w:ascii="Bookman Old Style" w:hAnsi="Bookman Old Style" w:cs="Arial"/>
          <w:sz w:val="24"/>
          <w:szCs w:val="24"/>
        </w:rPr>
        <w:t>esión No</w:t>
      </w:r>
      <w:r w:rsidR="00CF403A" w:rsidRPr="0036103B">
        <w:rPr>
          <w:rFonts w:ascii="Bookman Old Style" w:hAnsi="Bookman Old Style" w:cs="Arial"/>
          <w:sz w:val="24"/>
          <w:szCs w:val="24"/>
        </w:rPr>
        <w:t>.</w:t>
      </w:r>
      <w:r w:rsidR="008B6CE5" w:rsidRPr="0036103B">
        <w:rPr>
          <w:rFonts w:ascii="Bookman Old Style" w:hAnsi="Bookman Old Style" w:cs="Arial"/>
          <w:sz w:val="24"/>
          <w:szCs w:val="24"/>
        </w:rPr>
        <w:t xml:space="preserve"> </w:t>
      </w:r>
      <w:r w:rsidR="007D619F" w:rsidRPr="0036103B">
        <w:rPr>
          <w:rFonts w:ascii="Bookman Old Style" w:hAnsi="Bookman Old Style" w:cs="Arial"/>
          <w:sz w:val="24"/>
          <w:szCs w:val="24"/>
        </w:rPr>
        <w:t xml:space="preserve">950 </w:t>
      </w:r>
      <w:r w:rsidR="008B6CE5" w:rsidRPr="0036103B">
        <w:rPr>
          <w:rFonts w:ascii="Bookman Old Style" w:hAnsi="Bookman Old Style" w:cs="Arial"/>
          <w:sz w:val="24"/>
          <w:szCs w:val="24"/>
        </w:rPr>
        <w:t xml:space="preserve">de </w:t>
      </w:r>
      <w:r w:rsidR="003E09B5" w:rsidRPr="0036103B">
        <w:rPr>
          <w:rFonts w:ascii="Bookman Old Style" w:hAnsi="Bookman Old Style" w:cs="Arial"/>
          <w:sz w:val="24"/>
          <w:szCs w:val="24"/>
        </w:rPr>
        <w:t xml:space="preserve">octubre </w:t>
      </w:r>
      <w:r w:rsidR="007D619F" w:rsidRPr="0036103B">
        <w:rPr>
          <w:rFonts w:ascii="Bookman Old Style" w:hAnsi="Bookman Old Style" w:cs="Arial"/>
          <w:sz w:val="24"/>
          <w:szCs w:val="24"/>
        </w:rPr>
        <w:t>10</w:t>
      </w:r>
      <w:r w:rsidR="003E09B5" w:rsidRPr="0036103B">
        <w:rPr>
          <w:rFonts w:ascii="Bookman Old Style" w:hAnsi="Bookman Old Style" w:cs="Arial"/>
          <w:sz w:val="24"/>
          <w:szCs w:val="24"/>
        </w:rPr>
        <w:t xml:space="preserve"> de 2019</w:t>
      </w:r>
      <w:r w:rsidR="008B6CE5" w:rsidRPr="0036103B">
        <w:rPr>
          <w:rFonts w:ascii="Bookman Old Style" w:hAnsi="Bookman Old Style" w:cs="Arial"/>
          <w:sz w:val="24"/>
          <w:szCs w:val="24"/>
        </w:rPr>
        <w:t>, la Comisión</w:t>
      </w:r>
      <w:r w:rsidR="008B6CE5" w:rsidRPr="008B6CE5">
        <w:rPr>
          <w:rFonts w:ascii="Bookman Old Style" w:hAnsi="Bookman Old Style" w:cs="Arial"/>
          <w:sz w:val="24"/>
          <w:szCs w:val="24"/>
        </w:rPr>
        <w:t xml:space="preserve"> de Regulación de Energía y Gas analizó la presente actuación administrativa y</w:t>
      </w:r>
    </w:p>
    <w:p w:rsidR="008B6CE5" w:rsidRPr="008B6CE5" w:rsidRDefault="008B6CE5" w:rsidP="008B6CE5">
      <w:pPr>
        <w:pStyle w:val="Textoindependiente21"/>
        <w:ind w:left="284" w:right="142"/>
        <w:rPr>
          <w:rFonts w:ascii="Bookman Old Style" w:hAnsi="Bookman Old Style" w:cs="Arial"/>
          <w:sz w:val="24"/>
          <w:szCs w:val="24"/>
        </w:rPr>
      </w:pPr>
    </w:p>
    <w:p w:rsidR="008B6CE5" w:rsidRDefault="00FB483F" w:rsidP="008B6CE5">
      <w:pPr>
        <w:pStyle w:val="Textoindependiente21"/>
        <w:ind w:left="284" w:right="142"/>
        <w:rPr>
          <w:rFonts w:ascii="Bookman Old Style" w:hAnsi="Bookman Old Style" w:cs="Arial"/>
          <w:sz w:val="24"/>
          <w:szCs w:val="24"/>
        </w:rPr>
      </w:pPr>
      <w:r>
        <w:rPr>
          <w:rFonts w:ascii="Bookman Old Style" w:hAnsi="Bookman Old Style" w:cs="Arial"/>
          <w:sz w:val="24"/>
          <w:szCs w:val="24"/>
        </w:rPr>
        <w:t>P</w:t>
      </w:r>
      <w:r w:rsidR="008B6CE5">
        <w:rPr>
          <w:rFonts w:ascii="Bookman Old Style" w:hAnsi="Bookman Old Style" w:cs="Arial"/>
          <w:sz w:val="24"/>
          <w:szCs w:val="24"/>
        </w:rPr>
        <w:t>or lo anteriormente expuesto,</w:t>
      </w:r>
    </w:p>
    <w:p w:rsidR="00ED514A" w:rsidRDefault="00ED514A" w:rsidP="008B6CE5">
      <w:pPr>
        <w:pStyle w:val="Textoindependiente21"/>
        <w:ind w:left="284" w:right="142"/>
        <w:rPr>
          <w:rFonts w:ascii="Bookman Old Style" w:hAnsi="Bookman Old Style" w:cs="Arial"/>
          <w:sz w:val="24"/>
          <w:szCs w:val="24"/>
        </w:rPr>
      </w:pPr>
    </w:p>
    <w:p w:rsidR="009E6611" w:rsidRDefault="009E6611" w:rsidP="008B6CE5">
      <w:pPr>
        <w:pStyle w:val="Textoindependiente21"/>
        <w:ind w:left="284" w:right="142"/>
        <w:rPr>
          <w:rFonts w:ascii="Bookman Old Style" w:hAnsi="Bookman Old Style" w:cs="Arial"/>
          <w:sz w:val="24"/>
          <w:szCs w:val="24"/>
        </w:rPr>
      </w:pPr>
    </w:p>
    <w:p w:rsidR="00903C58" w:rsidRDefault="00903C58" w:rsidP="00E77C3E">
      <w:pPr>
        <w:keepNext/>
        <w:ind w:left="284" w:right="142"/>
        <w:jc w:val="center"/>
        <w:rPr>
          <w:rFonts w:ascii="Bookman Old Style" w:hAnsi="Bookman Old Style" w:cs="Arial"/>
          <w:b/>
        </w:rPr>
      </w:pPr>
      <w:r>
        <w:rPr>
          <w:rFonts w:ascii="Bookman Old Style" w:hAnsi="Bookman Old Style" w:cs="Arial"/>
          <w:b/>
        </w:rPr>
        <w:lastRenderedPageBreak/>
        <w:t>R E S U E L V E:</w:t>
      </w:r>
    </w:p>
    <w:p w:rsidR="00565C93" w:rsidRDefault="00565C93" w:rsidP="00E77C3E">
      <w:pPr>
        <w:pStyle w:val="Piedepgina"/>
        <w:keepNext/>
        <w:tabs>
          <w:tab w:val="clear" w:pos="4252"/>
          <w:tab w:val="clear" w:pos="8504"/>
          <w:tab w:val="center" w:pos="4845"/>
        </w:tabs>
        <w:ind w:left="284" w:right="142"/>
        <w:jc w:val="both"/>
        <w:rPr>
          <w:rFonts w:ascii="Bookman Old Style" w:hAnsi="Bookman Old Style" w:cs="Arial"/>
          <w:b/>
        </w:rPr>
      </w:pPr>
    </w:p>
    <w:p w:rsidR="00552F05" w:rsidRPr="00A1702A" w:rsidRDefault="00565C93" w:rsidP="000D59C1">
      <w:pPr>
        <w:pStyle w:val="Piedepgina"/>
        <w:keepNext/>
        <w:tabs>
          <w:tab w:val="clear" w:pos="4252"/>
          <w:tab w:val="clear" w:pos="8504"/>
          <w:tab w:val="center" w:pos="4845"/>
        </w:tabs>
        <w:ind w:left="284" w:right="142"/>
        <w:jc w:val="both"/>
        <w:rPr>
          <w:rFonts w:ascii="Bookman Old Style" w:hAnsi="Bookman Old Style" w:cs="Arial"/>
        </w:rPr>
      </w:pPr>
      <w:r w:rsidRPr="0019727B">
        <w:rPr>
          <w:rFonts w:ascii="Bookman Old Style" w:hAnsi="Bookman Old Style" w:cs="Arial"/>
          <w:b/>
        </w:rPr>
        <w:t>ARTÍCULO 1</w:t>
      </w:r>
      <w:r w:rsidR="00B50937" w:rsidRPr="0019727B">
        <w:rPr>
          <w:rFonts w:ascii="Bookman Old Style" w:hAnsi="Bookman Old Style" w:cs="Arial"/>
          <w:b/>
          <w:bCs/>
        </w:rPr>
        <w:t>.</w:t>
      </w:r>
      <w:r w:rsidR="00C765BC" w:rsidRPr="0019727B">
        <w:rPr>
          <w:rFonts w:ascii="Bookman Old Style" w:hAnsi="Bookman Old Style" w:cs="Arial"/>
          <w:b/>
        </w:rPr>
        <w:t xml:space="preserve"> Remuneración de las componentes de inversión y de administración, operación y mantenimient</w:t>
      </w:r>
      <w:r w:rsidR="0079736C">
        <w:rPr>
          <w:rFonts w:ascii="Bookman Old Style" w:hAnsi="Bookman Old Style" w:cs="Arial"/>
          <w:b/>
        </w:rPr>
        <w:t>o para sistemas híbridos diésel </w:t>
      </w:r>
      <w:r w:rsidR="0079736C">
        <w:rPr>
          <w:rFonts w:ascii="Bookman Old Style" w:hAnsi="Bookman Old Style" w:cs="Arial"/>
          <w:b/>
        </w:rPr>
        <w:noBreakHyphen/>
        <w:t> </w:t>
      </w:r>
      <w:r w:rsidR="00C765BC" w:rsidRPr="0019727B">
        <w:rPr>
          <w:rFonts w:ascii="Bookman Old Style" w:hAnsi="Bookman Old Style" w:cs="Arial"/>
          <w:b/>
        </w:rPr>
        <w:t xml:space="preserve">solar fotovoltaicos con acumulación en el mercado relevante de comercialización conformado por la cabecera municipal del municipio de </w:t>
      </w:r>
      <w:proofErr w:type="spellStart"/>
      <w:r w:rsidR="00C765BC" w:rsidRPr="0019727B">
        <w:rPr>
          <w:rFonts w:ascii="Bookman Old Style" w:hAnsi="Bookman Old Style" w:cs="Arial"/>
          <w:b/>
        </w:rPr>
        <w:t>Unguía</w:t>
      </w:r>
      <w:proofErr w:type="spellEnd"/>
      <w:r w:rsidR="00C765BC" w:rsidRPr="0019727B">
        <w:rPr>
          <w:rFonts w:ascii="Bookman Old Style" w:hAnsi="Bookman Old Style" w:cs="Arial"/>
          <w:b/>
        </w:rPr>
        <w:t xml:space="preserve">, Chocó, y las demás poblaciones </w:t>
      </w:r>
      <w:r w:rsidR="00DA6000" w:rsidRPr="0019727B">
        <w:rPr>
          <w:rFonts w:ascii="Bookman Old Style" w:hAnsi="Bookman Old Style" w:cs="Arial"/>
          <w:b/>
        </w:rPr>
        <w:t>y usuarios atendido</w:t>
      </w:r>
      <w:r w:rsidR="00C765BC" w:rsidRPr="0019727B">
        <w:rPr>
          <w:rFonts w:ascii="Bookman Old Style" w:hAnsi="Bookman Old Style" w:cs="Arial"/>
          <w:b/>
        </w:rPr>
        <w:t>s con el mismo sistema de distribución.</w:t>
      </w:r>
      <w:r w:rsidR="000D59C1">
        <w:rPr>
          <w:rFonts w:ascii="Bookman Old Style" w:hAnsi="Bookman Old Style" w:cs="Arial"/>
        </w:rPr>
        <w:t xml:space="preserve"> </w:t>
      </w:r>
      <w:r w:rsidR="00841735" w:rsidRPr="00B50937">
        <w:rPr>
          <w:rFonts w:ascii="Bookman Old Style" w:hAnsi="Bookman Old Style" w:cs="Arial"/>
        </w:rPr>
        <w:t xml:space="preserve">Las </w:t>
      </w:r>
      <w:r w:rsidR="00841735" w:rsidRPr="00B50937">
        <w:rPr>
          <w:rFonts w:ascii="Bookman Old Style" w:hAnsi="Bookman Old Style" w:cs="Arial"/>
          <w:bCs/>
        </w:rPr>
        <w:t xml:space="preserve">componentes </w:t>
      </w:r>
      <w:r w:rsidR="00841735">
        <w:rPr>
          <w:rFonts w:ascii="Bookman Old Style" w:hAnsi="Bookman Old Style" w:cs="Arial"/>
          <w:bCs/>
        </w:rPr>
        <w:t xml:space="preserve">que remuneran los costos </w:t>
      </w:r>
      <w:r w:rsidR="00841735" w:rsidRPr="00B50937">
        <w:rPr>
          <w:rFonts w:ascii="Bookman Old Style" w:hAnsi="Bookman Old Style" w:cs="Arial"/>
          <w:bCs/>
        </w:rPr>
        <w:t>de inversión</w:t>
      </w:r>
      <w:r w:rsidR="00BE5DDF">
        <w:rPr>
          <w:rFonts w:ascii="Bookman Old Style" w:hAnsi="Bookman Old Style" w:cs="Arial"/>
          <w:bCs/>
        </w:rPr>
        <w:t xml:space="preserve"> y de</w:t>
      </w:r>
      <w:r w:rsidR="00841735">
        <w:rPr>
          <w:rFonts w:ascii="Bookman Old Style" w:hAnsi="Bookman Old Style" w:cs="Arial"/>
          <w:bCs/>
        </w:rPr>
        <w:t xml:space="preserve"> </w:t>
      </w:r>
      <w:r w:rsidR="00841735" w:rsidRPr="00B50937">
        <w:rPr>
          <w:rFonts w:ascii="Bookman Old Style" w:hAnsi="Bookman Old Style" w:cs="Arial"/>
          <w:bCs/>
        </w:rPr>
        <w:t>administración, operación y mantenimiento</w:t>
      </w:r>
      <w:r w:rsidR="00841735">
        <w:rPr>
          <w:rFonts w:ascii="Bookman Old Style" w:hAnsi="Bookman Old Style" w:cs="Arial"/>
          <w:bCs/>
        </w:rPr>
        <w:t xml:space="preserve"> para </w:t>
      </w:r>
      <w:r w:rsidR="00705095" w:rsidRPr="00705095">
        <w:rPr>
          <w:rFonts w:ascii="Bookman Old Style" w:hAnsi="Bookman Old Style" w:cs="Arial"/>
        </w:rPr>
        <w:t xml:space="preserve">sistemas híbridos diésel </w:t>
      </w:r>
      <w:r w:rsidR="0034589F">
        <w:rPr>
          <w:rFonts w:ascii="Bookman Old Style" w:hAnsi="Bookman Old Style" w:cs="Arial"/>
        </w:rPr>
        <w:t xml:space="preserve">- </w:t>
      </w:r>
      <w:r w:rsidR="00705095" w:rsidRPr="00705095">
        <w:rPr>
          <w:rFonts w:ascii="Bookman Old Style" w:hAnsi="Bookman Old Style" w:cs="Arial"/>
        </w:rPr>
        <w:t>solar fotovoltaicos con acumulación</w:t>
      </w:r>
      <w:r w:rsidR="005773FC" w:rsidRPr="00705095">
        <w:rPr>
          <w:rFonts w:ascii="Bookman Old Style" w:hAnsi="Bookman Old Style" w:cs="Arial"/>
        </w:rPr>
        <w:t>,</w:t>
      </w:r>
      <w:r w:rsidR="005773FC">
        <w:rPr>
          <w:rFonts w:ascii="Bookman Old Style" w:hAnsi="Bookman Old Style" w:cs="Arial"/>
        </w:rPr>
        <w:t xml:space="preserve"> </w:t>
      </w:r>
      <w:r w:rsidR="00A1702A">
        <w:rPr>
          <w:rFonts w:ascii="Bookman Old Style" w:hAnsi="Bookman Old Style" w:cs="Arial"/>
        </w:rPr>
        <w:t>son las siguientes</w:t>
      </w:r>
      <w:r w:rsidR="009F572E">
        <w:rPr>
          <w:rFonts w:ascii="Bookman Old Style" w:hAnsi="Bookman Old Style" w:cs="Arial"/>
        </w:rPr>
        <w:t>:</w:t>
      </w:r>
    </w:p>
    <w:p w:rsidR="009E6611" w:rsidRDefault="009E6611" w:rsidP="00CF403A">
      <w:pPr>
        <w:pStyle w:val="Piedepgina"/>
        <w:tabs>
          <w:tab w:val="clear" w:pos="4252"/>
          <w:tab w:val="clear" w:pos="8504"/>
          <w:tab w:val="center" w:pos="4845"/>
        </w:tabs>
        <w:ind w:left="284" w:right="142"/>
        <w:jc w:val="both"/>
        <w:rPr>
          <w:rFonts w:ascii="Bookman Old Style" w:hAnsi="Bookman Old Style" w:cs="Arial"/>
        </w:rPr>
      </w:pPr>
    </w:p>
    <w:p w:rsidR="00705095" w:rsidRPr="00324C2A" w:rsidRDefault="00A1702A" w:rsidP="00B66162">
      <w:pPr>
        <w:pStyle w:val="Piedepgina"/>
        <w:tabs>
          <w:tab w:val="clear" w:pos="4252"/>
          <w:tab w:val="clear" w:pos="8504"/>
          <w:tab w:val="center" w:pos="4845"/>
        </w:tabs>
        <w:ind w:left="284" w:right="142"/>
        <w:jc w:val="center"/>
        <w:rPr>
          <w:rFonts w:ascii="Bookman Old Style" w:hAnsi="Bookman Old Style" w:cs="Arial"/>
          <w:b/>
        </w:rPr>
      </w:pPr>
      <w:r w:rsidRPr="00A1702A">
        <w:rPr>
          <w:rFonts w:ascii="Bookman Old Style" w:hAnsi="Bookman Old Style" w:cs="Arial"/>
          <w:b/>
        </w:rPr>
        <w:t>Tabla1. Componentes d</w:t>
      </w:r>
      <w:r w:rsidRPr="00324C2A">
        <w:rPr>
          <w:rFonts w:ascii="Bookman Old Style" w:hAnsi="Bookman Old Style" w:cs="Arial"/>
          <w:b/>
        </w:rPr>
        <w:t>e remuneración de costos de inversión</w:t>
      </w:r>
      <w:r w:rsidR="00BE5DDF" w:rsidRPr="00324C2A">
        <w:rPr>
          <w:rFonts w:ascii="Bookman Old Style" w:hAnsi="Bookman Old Style" w:cs="Arial"/>
          <w:b/>
        </w:rPr>
        <w:t xml:space="preserve"> y de</w:t>
      </w:r>
      <w:r w:rsidRPr="00324C2A">
        <w:rPr>
          <w:rFonts w:ascii="Bookman Old Style" w:hAnsi="Bookman Old Style" w:cs="Arial"/>
          <w:b/>
        </w:rPr>
        <w:t xml:space="preserve"> administración,</w:t>
      </w:r>
      <w:r w:rsidRPr="00324C2A">
        <w:rPr>
          <w:rFonts w:ascii="Bookman Old Style" w:hAnsi="Bookman Old Style" w:cs="Arial"/>
          <w:b/>
          <w:bCs/>
        </w:rPr>
        <w:t xml:space="preserve"> operación y man</w:t>
      </w:r>
      <w:r w:rsidR="005773FC" w:rsidRPr="00324C2A">
        <w:rPr>
          <w:rFonts w:ascii="Bookman Old Style" w:hAnsi="Bookman Old Style" w:cs="Arial"/>
          <w:b/>
          <w:bCs/>
        </w:rPr>
        <w:t xml:space="preserve">tenimiento </w:t>
      </w:r>
      <w:r w:rsidR="00705095" w:rsidRPr="00324C2A">
        <w:rPr>
          <w:rFonts w:ascii="Bookman Old Style" w:hAnsi="Bookman Old Style" w:cs="Arial"/>
          <w:b/>
          <w:bCs/>
        </w:rPr>
        <w:t xml:space="preserve">sistemas híbridos diésel </w:t>
      </w:r>
      <w:r w:rsidR="0034589F" w:rsidRPr="00324C2A">
        <w:rPr>
          <w:rFonts w:ascii="Bookman Old Style" w:hAnsi="Bookman Old Style" w:cs="Arial"/>
          <w:b/>
          <w:bCs/>
        </w:rPr>
        <w:t>-</w:t>
      </w:r>
      <w:r w:rsidR="00705095" w:rsidRPr="00324C2A">
        <w:rPr>
          <w:rFonts w:ascii="Bookman Old Style" w:hAnsi="Bookman Old Style" w:cs="Arial"/>
          <w:b/>
          <w:bCs/>
        </w:rPr>
        <w:t>solar fotovoltaicos con acumulación</w:t>
      </w:r>
    </w:p>
    <w:p w:rsidR="007A2ABF" w:rsidRPr="00A1702A" w:rsidRDefault="00A1702A" w:rsidP="00B66162">
      <w:pPr>
        <w:pStyle w:val="Piedepgina"/>
        <w:tabs>
          <w:tab w:val="clear" w:pos="4252"/>
          <w:tab w:val="clear" w:pos="8504"/>
          <w:tab w:val="center" w:pos="4845"/>
        </w:tabs>
        <w:ind w:left="284" w:right="142"/>
        <w:jc w:val="center"/>
        <w:rPr>
          <w:rFonts w:ascii="Bookman Old Style" w:hAnsi="Bookman Old Style" w:cs="Arial"/>
          <w:b/>
        </w:rPr>
      </w:pPr>
      <w:r w:rsidRPr="00324C2A">
        <w:rPr>
          <w:rFonts w:ascii="Bookman Old Style" w:hAnsi="Bookman Old Style" w:cs="Arial"/>
          <w:b/>
        </w:rPr>
        <w:t>(pes</w:t>
      </w:r>
      <w:r w:rsidRPr="00A1702A">
        <w:rPr>
          <w:rFonts w:ascii="Bookman Old Style" w:hAnsi="Bookman Old Style" w:cs="Arial"/>
          <w:b/>
        </w:rPr>
        <w:t>os de diciembre de 20</w:t>
      </w:r>
      <w:r w:rsidR="00587735">
        <w:rPr>
          <w:rFonts w:ascii="Bookman Old Style" w:hAnsi="Bookman Old Style" w:cs="Arial"/>
          <w:b/>
        </w:rPr>
        <w:t>06</w:t>
      </w:r>
      <w:r w:rsidRPr="00A1702A">
        <w:rPr>
          <w:rFonts w:ascii="Bookman Old Style" w:hAnsi="Bookman Old Style" w:cs="Arial"/>
          <w:b/>
        </w:rPr>
        <w:t>)</w:t>
      </w:r>
    </w:p>
    <w:p w:rsidR="006113A8" w:rsidRDefault="006113A8" w:rsidP="00CF403A">
      <w:pPr>
        <w:pStyle w:val="Piedepgina"/>
        <w:tabs>
          <w:tab w:val="clear" w:pos="4252"/>
          <w:tab w:val="clear" w:pos="8504"/>
          <w:tab w:val="center" w:pos="4845"/>
        </w:tabs>
        <w:ind w:left="284" w:right="142"/>
        <w:jc w:val="both"/>
        <w:rPr>
          <w:rFonts w:ascii="Bookman Old Style" w:hAnsi="Bookman Old Style" w:cs="Arial"/>
        </w:rPr>
      </w:pPr>
    </w:p>
    <w:tbl>
      <w:tblPr>
        <w:tblStyle w:val="Tablaconcuadrcula"/>
        <w:tblW w:w="9127" w:type="dxa"/>
        <w:tblInd w:w="279" w:type="dxa"/>
        <w:tblLayout w:type="fixed"/>
        <w:tblLook w:val="04A0" w:firstRow="1" w:lastRow="0" w:firstColumn="1" w:lastColumn="0" w:noHBand="0" w:noVBand="1"/>
      </w:tblPr>
      <w:tblGrid>
        <w:gridCol w:w="3005"/>
        <w:gridCol w:w="3061"/>
        <w:gridCol w:w="3061"/>
      </w:tblGrid>
      <w:tr w:rsidR="006113A8" w:rsidRPr="00DE0E66" w:rsidTr="000D59C1">
        <w:trPr>
          <w:trHeight w:val="1120"/>
        </w:trPr>
        <w:tc>
          <w:tcPr>
            <w:tcW w:w="3005" w:type="dxa"/>
            <w:vAlign w:val="center"/>
          </w:tcPr>
          <w:p w:rsidR="006113A8" w:rsidRPr="00DE0E66" w:rsidRDefault="006113A8" w:rsidP="00FA14D6">
            <w:pPr>
              <w:pStyle w:val="Piedepgina"/>
              <w:tabs>
                <w:tab w:val="clear" w:pos="4252"/>
                <w:tab w:val="clear" w:pos="8504"/>
                <w:tab w:val="center" w:pos="4845"/>
              </w:tabs>
              <w:ind w:right="142"/>
              <w:contextualSpacing/>
              <w:jc w:val="center"/>
              <w:rPr>
                <w:rFonts w:ascii="Bookman Old Style" w:hAnsi="Bookman Old Style" w:cs="Arial"/>
                <w:b/>
                <w:sz w:val="20"/>
                <w:szCs w:val="20"/>
              </w:rPr>
            </w:pPr>
            <w:r>
              <w:rPr>
                <w:rFonts w:ascii="Bookman Old Style" w:hAnsi="Bookman Old Style" w:cs="Arial"/>
                <w:b/>
                <w:sz w:val="20"/>
                <w:szCs w:val="20"/>
              </w:rPr>
              <w:t>Tipo de recurso</w:t>
            </w:r>
            <w:r w:rsidR="004F1810">
              <w:rPr>
                <w:rFonts w:ascii="Bookman Old Style" w:hAnsi="Bookman Old Style" w:cs="Arial"/>
                <w:b/>
                <w:sz w:val="20"/>
                <w:szCs w:val="20"/>
              </w:rPr>
              <w:t xml:space="preserve"> energético</w:t>
            </w:r>
          </w:p>
        </w:tc>
        <w:tc>
          <w:tcPr>
            <w:tcW w:w="3061" w:type="dxa"/>
            <w:vAlign w:val="center"/>
          </w:tcPr>
          <w:p w:rsidR="006113A8" w:rsidRPr="00DE0E66" w:rsidRDefault="006113A8" w:rsidP="00FA14D6">
            <w:pPr>
              <w:pStyle w:val="Piedepgina"/>
              <w:tabs>
                <w:tab w:val="clear" w:pos="4252"/>
                <w:tab w:val="clear" w:pos="8504"/>
                <w:tab w:val="center" w:pos="4845"/>
              </w:tabs>
              <w:ind w:right="142"/>
              <w:contextualSpacing/>
              <w:jc w:val="center"/>
              <w:rPr>
                <w:rFonts w:ascii="Bookman Old Style" w:hAnsi="Bookman Old Style" w:cs="Arial"/>
                <w:b/>
                <w:sz w:val="20"/>
                <w:szCs w:val="20"/>
                <w:vertAlign w:val="subscript"/>
              </w:rPr>
            </w:pPr>
            <w:r w:rsidRPr="00DE0E66">
              <w:rPr>
                <w:rFonts w:ascii="Bookman Old Style" w:hAnsi="Bookman Old Style" w:cs="Arial"/>
                <w:b/>
                <w:sz w:val="20"/>
                <w:szCs w:val="20"/>
              </w:rPr>
              <w:t xml:space="preserve">Costo de inversión, </w:t>
            </w:r>
            <w:r w:rsidRPr="00DE0E66">
              <w:rPr>
                <w:rFonts w:ascii="Bookman Old Style" w:hAnsi="Bookman Old Style" w:cs="Arial"/>
                <w:b/>
                <w:i/>
                <w:sz w:val="20"/>
                <w:szCs w:val="20"/>
              </w:rPr>
              <w:t>CI</w:t>
            </w:r>
            <w:r w:rsidR="00AC09DB">
              <w:rPr>
                <w:rFonts w:ascii="Bookman Old Style" w:hAnsi="Bookman Old Style" w:cs="Arial"/>
                <w:b/>
                <w:i/>
                <w:sz w:val="20"/>
                <w:szCs w:val="20"/>
                <w:vertAlign w:val="subscript"/>
              </w:rPr>
              <w:t>0,j</w:t>
            </w:r>
          </w:p>
          <w:p w:rsidR="006113A8" w:rsidRPr="00DE0E66" w:rsidRDefault="006113A8" w:rsidP="00FA14D6">
            <w:pPr>
              <w:pStyle w:val="Piedepgina"/>
              <w:tabs>
                <w:tab w:val="clear" w:pos="4252"/>
                <w:tab w:val="clear" w:pos="8504"/>
                <w:tab w:val="center" w:pos="4845"/>
              </w:tabs>
              <w:ind w:right="142"/>
              <w:contextualSpacing/>
              <w:jc w:val="center"/>
              <w:rPr>
                <w:rFonts w:ascii="Bookman Old Style" w:hAnsi="Bookman Old Style" w:cs="Arial"/>
                <w:b/>
                <w:sz w:val="20"/>
                <w:szCs w:val="20"/>
              </w:rPr>
            </w:pPr>
            <w:r w:rsidRPr="00DE0E66">
              <w:rPr>
                <w:rFonts w:ascii="Bookman Old Style" w:hAnsi="Bookman Old Style" w:cs="Arial"/>
                <w:b/>
                <w:sz w:val="20"/>
                <w:szCs w:val="20"/>
              </w:rPr>
              <w:t>($/</w:t>
            </w:r>
            <w:proofErr w:type="spellStart"/>
            <w:r w:rsidRPr="00DE0E66">
              <w:rPr>
                <w:rFonts w:ascii="Bookman Old Style" w:hAnsi="Bookman Old Style" w:cs="Arial"/>
                <w:b/>
                <w:sz w:val="20"/>
                <w:szCs w:val="20"/>
              </w:rPr>
              <w:t>kWh</w:t>
            </w:r>
            <w:proofErr w:type="spellEnd"/>
            <w:r w:rsidRPr="00DE0E66">
              <w:rPr>
                <w:rFonts w:ascii="Bookman Old Style" w:hAnsi="Bookman Old Style" w:cs="Arial"/>
                <w:b/>
                <w:sz w:val="20"/>
                <w:szCs w:val="20"/>
              </w:rPr>
              <w:t>)</w:t>
            </w:r>
          </w:p>
        </w:tc>
        <w:tc>
          <w:tcPr>
            <w:tcW w:w="3061" w:type="dxa"/>
            <w:vAlign w:val="center"/>
          </w:tcPr>
          <w:p w:rsidR="006113A8" w:rsidRPr="00DE0E66" w:rsidRDefault="006113A8" w:rsidP="00FA14D6">
            <w:pPr>
              <w:pStyle w:val="Piedepgina"/>
              <w:tabs>
                <w:tab w:val="clear" w:pos="4252"/>
                <w:tab w:val="clear" w:pos="8504"/>
                <w:tab w:val="center" w:pos="4845"/>
              </w:tabs>
              <w:ind w:right="142"/>
              <w:contextualSpacing/>
              <w:jc w:val="center"/>
              <w:rPr>
                <w:rFonts w:ascii="Bookman Old Style" w:hAnsi="Bookman Old Style" w:cs="Arial"/>
                <w:b/>
                <w:sz w:val="20"/>
                <w:szCs w:val="20"/>
              </w:rPr>
            </w:pPr>
            <w:r w:rsidRPr="00DE0E66">
              <w:rPr>
                <w:rFonts w:ascii="Bookman Old Style" w:hAnsi="Bookman Old Style" w:cs="Arial"/>
                <w:b/>
                <w:sz w:val="20"/>
                <w:szCs w:val="20"/>
              </w:rPr>
              <w:t>Costos de administración, operación y mantenimiento,</w:t>
            </w:r>
          </w:p>
          <w:p w:rsidR="006113A8" w:rsidRPr="00DE0E66" w:rsidRDefault="006113A8" w:rsidP="00FA14D6">
            <w:pPr>
              <w:pStyle w:val="Piedepgina"/>
              <w:tabs>
                <w:tab w:val="clear" w:pos="4252"/>
                <w:tab w:val="clear" w:pos="8504"/>
                <w:tab w:val="center" w:pos="4845"/>
              </w:tabs>
              <w:ind w:right="142"/>
              <w:contextualSpacing/>
              <w:jc w:val="center"/>
              <w:rPr>
                <w:rFonts w:ascii="Bookman Old Style" w:hAnsi="Bookman Old Style" w:cs="Arial"/>
                <w:b/>
                <w:sz w:val="20"/>
                <w:szCs w:val="20"/>
              </w:rPr>
            </w:pPr>
            <w:r w:rsidRPr="00DE0E66">
              <w:rPr>
                <w:rFonts w:ascii="Bookman Old Style" w:hAnsi="Bookman Old Style" w:cs="Arial"/>
                <w:b/>
                <w:i/>
                <w:sz w:val="20"/>
                <w:szCs w:val="20"/>
              </w:rPr>
              <w:t>CM</w:t>
            </w:r>
            <w:r w:rsidR="0001106F">
              <w:rPr>
                <w:rFonts w:ascii="Bookman Old Style" w:hAnsi="Bookman Old Style" w:cs="Arial"/>
                <w:b/>
                <w:i/>
                <w:sz w:val="20"/>
                <w:szCs w:val="20"/>
                <w:vertAlign w:val="subscript"/>
              </w:rPr>
              <w:t>0,j</w:t>
            </w:r>
            <w:r w:rsidRPr="00DE0E66">
              <w:rPr>
                <w:rFonts w:ascii="Bookman Old Style" w:hAnsi="Bookman Old Style" w:cs="Arial"/>
                <w:b/>
                <w:sz w:val="20"/>
                <w:szCs w:val="20"/>
              </w:rPr>
              <w:t xml:space="preserve"> ($/</w:t>
            </w:r>
            <w:proofErr w:type="spellStart"/>
            <w:r w:rsidRPr="00DE0E66">
              <w:rPr>
                <w:rFonts w:ascii="Bookman Old Style" w:hAnsi="Bookman Old Style" w:cs="Arial"/>
                <w:b/>
                <w:sz w:val="20"/>
                <w:szCs w:val="20"/>
              </w:rPr>
              <w:t>kWh</w:t>
            </w:r>
            <w:proofErr w:type="spellEnd"/>
            <w:r w:rsidRPr="00DE0E66">
              <w:rPr>
                <w:rFonts w:ascii="Bookman Old Style" w:hAnsi="Bookman Old Style" w:cs="Arial"/>
                <w:b/>
                <w:sz w:val="20"/>
                <w:szCs w:val="20"/>
              </w:rPr>
              <w:t>)</w:t>
            </w:r>
          </w:p>
        </w:tc>
      </w:tr>
      <w:tr w:rsidR="006113A8" w:rsidRPr="00DE0E66" w:rsidTr="000D59C1">
        <w:trPr>
          <w:trHeight w:val="846"/>
        </w:trPr>
        <w:tc>
          <w:tcPr>
            <w:tcW w:w="3005" w:type="dxa"/>
            <w:vAlign w:val="center"/>
          </w:tcPr>
          <w:p w:rsidR="006113A8" w:rsidRPr="00DE0E66" w:rsidRDefault="006113A8" w:rsidP="000D59C1">
            <w:pPr>
              <w:pStyle w:val="Piedepgina"/>
              <w:tabs>
                <w:tab w:val="clear" w:pos="4252"/>
                <w:tab w:val="clear" w:pos="8504"/>
                <w:tab w:val="center" w:pos="4845"/>
              </w:tabs>
              <w:ind w:right="142"/>
              <w:contextualSpacing/>
              <w:rPr>
                <w:rFonts w:ascii="Bookman Old Style" w:hAnsi="Bookman Old Style" w:cs="Arial"/>
                <w:sz w:val="20"/>
                <w:szCs w:val="20"/>
              </w:rPr>
            </w:pPr>
            <w:r w:rsidRPr="006113A8">
              <w:rPr>
                <w:rFonts w:ascii="Bookman Old Style" w:hAnsi="Bookman Old Style" w:cs="Arial"/>
                <w:sz w:val="20"/>
                <w:szCs w:val="20"/>
              </w:rPr>
              <w:t xml:space="preserve">Solar fotovoltaico </w:t>
            </w:r>
            <w:r w:rsidR="000D59C1">
              <w:rPr>
                <w:rFonts w:ascii="Bookman Old Style" w:hAnsi="Bookman Old Style" w:cs="Arial"/>
                <w:sz w:val="20"/>
                <w:szCs w:val="20"/>
              </w:rPr>
              <w:t xml:space="preserve">con </w:t>
            </w:r>
            <w:r w:rsidRPr="006113A8">
              <w:rPr>
                <w:rFonts w:ascii="Bookman Old Style" w:hAnsi="Bookman Old Style" w:cs="Arial"/>
                <w:sz w:val="20"/>
                <w:szCs w:val="20"/>
              </w:rPr>
              <w:t>alimentación directa a red</w:t>
            </w:r>
            <w:r w:rsidR="004F0E39">
              <w:rPr>
                <w:rFonts w:ascii="Bookman Old Style" w:hAnsi="Bookman Old Style" w:cs="Arial"/>
                <w:sz w:val="20"/>
                <w:szCs w:val="20"/>
              </w:rPr>
              <w:t>.</w:t>
            </w:r>
          </w:p>
        </w:tc>
        <w:tc>
          <w:tcPr>
            <w:tcW w:w="3061" w:type="dxa"/>
            <w:vAlign w:val="center"/>
          </w:tcPr>
          <w:p w:rsidR="006113A8" w:rsidRPr="006113A8" w:rsidRDefault="006113A8" w:rsidP="00FA14D6">
            <w:pPr>
              <w:pStyle w:val="Piedepgina"/>
              <w:tabs>
                <w:tab w:val="clear" w:pos="4252"/>
                <w:tab w:val="clear" w:pos="8504"/>
                <w:tab w:val="center" w:pos="4845"/>
              </w:tabs>
              <w:ind w:right="142"/>
              <w:contextualSpacing/>
              <w:jc w:val="center"/>
              <w:rPr>
                <w:rFonts w:ascii="Bookman Old Style" w:hAnsi="Bookman Old Style" w:cs="Arial"/>
                <w:sz w:val="20"/>
                <w:szCs w:val="20"/>
              </w:rPr>
            </w:pPr>
            <w:r>
              <w:rPr>
                <w:rFonts w:ascii="Bookman Old Style" w:hAnsi="Bookman Old Style" w:cs="Arial"/>
                <w:sz w:val="20"/>
                <w:szCs w:val="20"/>
              </w:rPr>
              <w:t>319,18</w:t>
            </w:r>
          </w:p>
        </w:tc>
        <w:tc>
          <w:tcPr>
            <w:tcW w:w="3061" w:type="dxa"/>
            <w:vAlign w:val="center"/>
          </w:tcPr>
          <w:p w:rsidR="006113A8" w:rsidRPr="00DE0E66" w:rsidRDefault="006113A8" w:rsidP="00FA14D6">
            <w:pPr>
              <w:pStyle w:val="Piedepgina"/>
              <w:tabs>
                <w:tab w:val="clear" w:pos="4252"/>
                <w:tab w:val="clear" w:pos="8504"/>
                <w:tab w:val="center" w:pos="4845"/>
              </w:tabs>
              <w:ind w:right="142"/>
              <w:contextualSpacing/>
              <w:jc w:val="center"/>
              <w:rPr>
                <w:rFonts w:ascii="Bookman Old Style" w:hAnsi="Bookman Old Style" w:cs="Arial"/>
                <w:sz w:val="20"/>
                <w:szCs w:val="20"/>
              </w:rPr>
            </w:pPr>
            <w:r>
              <w:rPr>
                <w:rFonts w:ascii="Bookman Old Style" w:hAnsi="Bookman Old Style" w:cs="Arial"/>
                <w:sz w:val="20"/>
                <w:szCs w:val="20"/>
              </w:rPr>
              <w:t>38</w:t>
            </w:r>
            <w:r w:rsidRPr="00DE0E66">
              <w:rPr>
                <w:rFonts w:ascii="Bookman Old Style" w:hAnsi="Bookman Old Style" w:cs="Arial"/>
                <w:sz w:val="20"/>
                <w:szCs w:val="20"/>
              </w:rPr>
              <w:t>,</w:t>
            </w:r>
            <w:r>
              <w:rPr>
                <w:rFonts w:ascii="Bookman Old Style" w:hAnsi="Bookman Old Style" w:cs="Arial"/>
                <w:sz w:val="20"/>
                <w:szCs w:val="20"/>
              </w:rPr>
              <w:t>05</w:t>
            </w:r>
          </w:p>
        </w:tc>
      </w:tr>
      <w:tr w:rsidR="006113A8" w:rsidRPr="00DE0E66" w:rsidTr="000D59C1">
        <w:trPr>
          <w:trHeight w:val="846"/>
        </w:trPr>
        <w:tc>
          <w:tcPr>
            <w:tcW w:w="3005" w:type="dxa"/>
            <w:vAlign w:val="center"/>
          </w:tcPr>
          <w:p w:rsidR="006113A8" w:rsidRPr="00DE0E66" w:rsidRDefault="00D877C9" w:rsidP="000D59C1">
            <w:pPr>
              <w:pStyle w:val="Piedepgina"/>
              <w:tabs>
                <w:tab w:val="clear" w:pos="4252"/>
                <w:tab w:val="clear" w:pos="8504"/>
                <w:tab w:val="center" w:pos="4845"/>
              </w:tabs>
              <w:ind w:right="142"/>
              <w:contextualSpacing/>
              <w:jc w:val="both"/>
              <w:rPr>
                <w:rFonts w:ascii="Bookman Old Style" w:hAnsi="Bookman Old Style" w:cs="Arial"/>
                <w:sz w:val="20"/>
                <w:szCs w:val="20"/>
              </w:rPr>
            </w:pPr>
            <w:r>
              <w:rPr>
                <w:rFonts w:ascii="Bookman Old Style" w:hAnsi="Bookman Old Style" w:cs="Arial"/>
                <w:sz w:val="20"/>
                <w:szCs w:val="20"/>
              </w:rPr>
              <w:t>Acumulación de recurso s</w:t>
            </w:r>
            <w:r w:rsidR="006113A8">
              <w:rPr>
                <w:rFonts w:ascii="Bookman Old Style" w:hAnsi="Bookman Old Style" w:cs="Arial"/>
                <w:sz w:val="20"/>
                <w:szCs w:val="20"/>
              </w:rPr>
              <w:t>olar fotov</w:t>
            </w:r>
            <w:r w:rsidR="006113A8" w:rsidRPr="006113A8">
              <w:rPr>
                <w:rFonts w:ascii="Bookman Old Style" w:hAnsi="Bookman Old Style" w:cs="Arial"/>
                <w:sz w:val="20"/>
                <w:szCs w:val="20"/>
              </w:rPr>
              <w:t>oltaico</w:t>
            </w:r>
            <w:r w:rsidR="004F0E39">
              <w:rPr>
                <w:rFonts w:ascii="Bookman Old Style" w:hAnsi="Bookman Old Style" w:cs="Arial"/>
                <w:sz w:val="20"/>
                <w:szCs w:val="20"/>
              </w:rPr>
              <w:t>.</w:t>
            </w:r>
          </w:p>
        </w:tc>
        <w:tc>
          <w:tcPr>
            <w:tcW w:w="3061" w:type="dxa"/>
            <w:vAlign w:val="center"/>
          </w:tcPr>
          <w:p w:rsidR="006113A8" w:rsidRPr="006113A8" w:rsidRDefault="006113A8" w:rsidP="00FA14D6">
            <w:pPr>
              <w:pStyle w:val="Piedepgina"/>
              <w:tabs>
                <w:tab w:val="clear" w:pos="4252"/>
                <w:tab w:val="clear" w:pos="8504"/>
                <w:tab w:val="center" w:pos="4845"/>
              </w:tabs>
              <w:ind w:right="142"/>
              <w:contextualSpacing/>
              <w:jc w:val="center"/>
              <w:rPr>
                <w:rFonts w:ascii="Bookman Old Style" w:hAnsi="Bookman Old Style" w:cs="Arial"/>
                <w:sz w:val="20"/>
                <w:szCs w:val="20"/>
              </w:rPr>
            </w:pPr>
            <w:r>
              <w:rPr>
                <w:rFonts w:ascii="Bookman Old Style" w:hAnsi="Bookman Old Style" w:cs="Arial"/>
                <w:sz w:val="20"/>
                <w:szCs w:val="20"/>
              </w:rPr>
              <w:t>1.889,13</w:t>
            </w:r>
          </w:p>
        </w:tc>
        <w:tc>
          <w:tcPr>
            <w:tcW w:w="3061" w:type="dxa"/>
            <w:vAlign w:val="center"/>
          </w:tcPr>
          <w:p w:rsidR="006113A8" w:rsidRPr="00DE0E66" w:rsidRDefault="006113A8" w:rsidP="00FA14D6">
            <w:pPr>
              <w:pStyle w:val="Piedepgina"/>
              <w:tabs>
                <w:tab w:val="clear" w:pos="4252"/>
                <w:tab w:val="clear" w:pos="8504"/>
                <w:tab w:val="center" w:pos="4845"/>
              </w:tabs>
              <w:ind w:right="142"/>
              <w:contextualSpacing/>
              <w:jc w:val="center"/>
              <w:rPr>
                <w:rFonts w:ascii="Bookman Old Style" w:hAnsi="Bookman Old Style" w:cs="Arial"/>
                <w:sz w:val="20"/>
                <w:szCs w:val="20"/>
              </w:rPr>
            </w:pPr>
            <w:r>
              <w:rPr>
                <w:rFonts w:ascii="Bookman Old Style" w:hAnsi="Bookman Old Style" w:cs="Arial"/>
                <w:sz w:val="20"/>
                <w:szCs w:val="20"/>
              </w:rPr>
              <w:t>208</w:t>
            </w:r>
            <w:r w:rsidRPr="00DE0E66">
              <w:rPr>
                <w:rFonts w:ascii="Bookman Old Style" w:hAnsi="Bookman Old Style" w:cs="Arial"/>
                <w:sz w:val="20"/>
                <w:szCs w:val="20"/>
              </w:rPr>
              <w:t>,</w:t>
            </w:r>
            <w:r>
              <w:rPr>
                <w:rFonts w:ascii="Bookman Old Style" w:hAnsi="Bookman Old Style" w:cs="Arial"/>
                <w:sz w:val="20"/>
                <w:szCs w:val="20"/>
              </w:rPr>
              <w:t>96</w:t>
            </w:r>
          </w:p>
        </w:tc>
      </w:tr>
      <w:tr w:rsidR="000D59C1" w:rsidRPr="00DE0E66" w:rsidTr="00700DE1">
        <w:trPr>
          <w:trHeight w:val="987"/>
        </w:trPr>
        <w:tc>
          <w:tcPr>
            <w:tcW w:w="3005" w:type="dxa"/>
            <w:vAlign w:val="center"/>
          </w:tcPr>
          <w:p w:rsidR="000D59C1" w:rsidRPr="00DE0E66" w:rsidRDefault="000D59C1" w:rsidP="000D59C1">
            <w:pPr>
              <w:pStyle w:val="Piedepgina"/>
              <w:tabs>
                <w:tab w:val="clear" w:pos="4252"/>
                <w:tab w:val="clear" w:pos="8504"/>
                <w:tab w:val="center" w:pos="4845"/>
              </w:tabs>
              <w:ind w:right="142"/>
              <w:contextualSpacing/>
              <w:rPr>
                <w:rFonts w:ascii="Bookman Old Style" w:hAnsi="Bookman Old Style" w:cs="Arial"/>
                <w:sz w:val="20"/>
                <w:szCs w:val="20"/>
              </w:rPr>
            </w:pPr>
            <w:r>
              <w:rPr>
                <w:rFonts w:ascii="Bookman Old Style" w:hAnsi="Bookman Old Style" w:cs="Arial"/>
                <w:sz w:val="20"/>
                <w:szCs w:val="20"/>
              </w:rPr>
              <w:t>Diésel.</w:t>
            </w:r>
          </w:p>
        </w:tc>
        <w:tc>
          <w:tcPr>
            <w:tcW w:w="6122" w:type="dxa"/>
            <w:gridSpan w:val="2"/>
            <w:vAlign w:val="center"/>
          </w:tcPr>
          <w:p w:rsidR="000D59C1" w:rsidRPr="00DE0E66" w:rsidRDefault="000D59C1" w:rsidP="004F1810">
            <w:pPr>
              <w:pStyle w:val="Piedepgina"/>
              <w:tabs>
                <w:tab w:val="clear" w:pos="4252"/>
                <w:tab w:val="clear" w:pos="8504"/>
                <w:tab w:val="center" w:pos="4845"/>
              </w:tabs>
              <w:ind w:right="142"/>
              <w:contextualSpacing/>
              <w:jc w:val="center"/>
              <w:rPr>
                <w:rFonts w:ascii="Bookman Old Style" w:hAnsi="Bookman Old Style" w:cs="Arial"/>
                <w:sz w:val="20"/>
                <w:szCs w:val="20"/>
              </w:rPr>
            </w:pPr>
            <w:r>
              <w:rPr>
                <w:rFonts w:ascii="Bookman Old Style" w:hAnsi="Bookman Old Style" w:cs="Arial"/>
                <w:sz w:val="20"/>
                <w:szCs w:val="20"/>
              </w:rPr>
              <w:t>Según lo previsto en el literal a), del artículo 22, de la Resolución CREG 091 de 2007, modificada mediante Resolución CREG 057 de 2009.</w:t>
            </w:r>
          </w:p>
        </w:tc>
      </w:tr>
    </w:tbl>
    <w:p w:rsidR="006113A8" w:rsidRDefault="006113A8" w:rsidP="00CF403A">
      <w:pPr>
        <w:pStyle w:val="Piedepgina"/>
        <w:tabs>
          <w:tab w:val="clear" w:pos="4252"/>
          <w:tab w:val="clear" w:pos="8504"/>
          <w:tab w:val="center" w:pos="4845"/>
        </w:tabs>
        <w:ind w:left="284" w:right="142"/>
        <w:jc w:val="both"/>
        <w:rPr>
          <w:rFonts w:ascii="Bookman Old Style" w:hAnsi="Bookman Old Style" w:cs="Arial"/>
        </w:rPr>
      </w:pPr>
    </w:p>
    <w:p w:rsidR="00D46CD5" w:rsidRPr="005773FC" w:rsidRDefault="005773FC" w:rsidP="00CF403A">
      <w:pPr>
        <w:pStyle w:val="Piedepgina"/>
        <w:tabs>
          <w:tab w:val="clear" w:pos="4252"/>
          <w:tab w:val="clear" w:pos="8504"/>
          <w:tab w:val="center" w:pos="4845"/>
        </w:tabs>
        <w:ind w:left="284" w:right="142"/>
        <w:jc w:val="both"/>
        <w:rPr>
          <w:rFonts w:ascii="Bookman Old Style" w:hAnsi="Bookman Old Style" w:cs="Arial"/>
        </w:rPr>
      </w:pPr>
      <w:r w:rsidRPr="005773FC">
        <w:rPr>
          <w:rFonts w:ascii="Bookman Old Style" w:hAnsi="Bookman Old Style" w:cs="Arial"/>
        </w:rPr>
        <w:t xml:space="preserve">En </w:t>
      </w:r>
      <w:r>
        <w:rPr>
          <w:rFonts w:ascii="Bookman Old Style" w:hAnsi="Bookman Old Style" w:cs="Arial"/>
        </w:rPr>
        <w:t>donde:</w:t>
      </w:r>
    </w:p>
    <w:p w:rsidR="00705095" w:rsidRPr="005773FC" w:rsidRDefault="00705095" w:rsidP="00CF403A">
      <w:pPr>
        <w:pStyle w:val="Piedepgina"/>
        <w:tabs>
          <w:tab w:val="clear" w:pos="4252"/>
          <w:tab w:val="clear" w:pos="8504"/>
          <w:tab w:val="center" w:pos="4845"/>
        </w:tabs>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435"/>
        <w:gridCol w:w="7648"/>
      </w:tblGrid>
      <w:tr w:rsidR="00FA068A" w:rsidTr="00FA068A">
        <w:tc>
          <w:tcPr>
            <w:tcW w:w="1272" w:type="dxa"/>
          </w:tcPr>
          <w:p w:rsidR="00FA068A" w:rsidRPr="00FA068A" w:rsidRDefault="00FA068A" w:rsidP="00920F21">
            <w:pPr>
              <w:ind w:right="142"/>
              <w:rPr>
                <w:rFonts w:ascii="Bookman Old Style" w:hAnsi="Bookman Old Style" w:cs="Arial"/>
                <w:bCs/>
              </w:rPr>
            </w:pPr>
            <w:r w:rsidRPr="00FA068A">
              <w:rPr>
                <w:rFonts w:ascii="Bookman Old Style" w:hAnsi="Bookman Old Style" w:cs="Arial"/>
                <w:i/>
              </w:rPr>
              <w:t>CI</w:t>
            </w:r>
            <w:r w:rsidR="005A30FF">
              <w:rPr>
                <w:rFonts w:ascii="Bookman Old Style" w:hAnsi="Bookman Old Style" w:cs="Arial"/>
                <w:i/>
                <w:vertAlign w:val="subscript"/>
              </w:rPr>
              <w:t>0,j</w:t>
            </w:r>
          </w:p>
        </w:tc>
        <w:tc>
          <w:tcPr>
            <w:tcW w:w="435" w:type="dxa"/>
          </w:tcPr>
          <w:p w:rsidR="00FA068A" w:rsidRDefault="00FA068A" w:rsidP="00A46F95">
            <w:pPr>
              <w:ind w:right="142"/>
              <w:jc w:val="both"/>
              <w:rPr>
                <w:rFonts w:ascii="Bookman Old Style" w:hAnsi="Bookman Old Style" w:cs="Arial"/>
                <w:bCs/>
              </w:rPr>
            </w:pPr>
            <w:r>
              <w:rPr>
                <w:rFonts w:ascii="Bookman Old Style" w:hAnsi="Bookman Old Style" w:cs="Arial"/>
                <w:bCs/>
              </w:rPr>
              <w:t>:</w:t>
            </w:r>
          </w:p>
        </w:tc>
        <w:tc>
          <w:tcPr>
            <w:tcW w:w="7648" w:type="dxa"/>
          </w:tcPr>
          <w:p w:rsidR="00FA068A" w:rsidRDefault="00920F21" w:rsidP="00324C2A">
            <w:pPr>
              <w:ind w:right="142"/>
              <w:jc w:val="both"/>
              <w:rPr>
                <w:rFonts w:ascii="Bookman Old Style" w:hAnsi="Bookman Old Style" w:cs="Arial"/>
              </w:rPr>
            </w:pPr>
            <w:r>
              <w:rPr>
                <w:rFonts w:ascii="Bookman Old Style" w:hAnsi="Bookman Old Style" w:cs="Arial"/>
              </w:rPr>
              <w:t>Componente</w:t>
            </w:r>
            <w:r w:rsidRPr="00920F21">
              <w:rPr>
                <w:rFonts w:ascii="Bookman Old Style" w:hAnsi="Bookman Old Style" w:cs="Arial"/>
              </w:rPr>
              <w:t xml:space="preserve"> de remuneración </w:t>
            </w:r>
            <w:r w:rsidR="005A30FF">
              <w:rPr>
                <w:rFonts w:ascii="Bookman Old Style" w:hAnsi="Bookman Old Style" w:cs="Arial"/>
              </w:rPr>
              <w:t xml:space="preserve">de los costos de inversión del recurso energético </w:t>
            </w:r>
            <w:r w:rsidR="005A30FF" w:rsidRPr="005A30FF">
              <w:rPr>
                <w:rFonts w:ascii="Bookman Old Style" w:hAnsi="Bookman Old Style" w:cs="Arial"/>
                <w:i/>
              </w:rPr>
              <w:t>j</w:t>
            </w:r>
            <w:r w:rsidR="005A30FF">
              <w:rPr>
                <w:rFonts w:ascii="Bookman Old Style" w:hAnsi="Bookman Old Style" w:cs="Arial"/>
              </w:rPr>
              <w:t xml:space="preserve">, </w:t>
            </w:r>
            <w:r w:rsidRPr="00920F21">
              <w:rPr>
                <w:rFonts w:ascii="Bookman Old Style" w:hAnsi="Bookman Old Style" w:cs="Arial"/>
              </w:rPr>
              <w:t>de</w:t>
            </w:r>
            <w:r w:rsidR="005A30FF">
              <w:rPr>
                <w:rFonts w:ascii="Bookman Old Style" w:hAnsi="Bookman Old Style" w:cs="Arial"/>
              </w:rPr>
              <w:t xml:space="preserve">l mercado relevante de comercialización del municipio de </w:t>
            </w:r>
            <w:proofErr w:type="spellStart"/>
            <w:r w:rsidR="005A30FF">
              <w:rPr>
                <w:rFonts w:ascii="Bookman Old Style" w:hAnsi="Bookman Old Style" w:cs="Arial"/>
              </w:rPr>
              <w:t>Unguía</w:t>
            </w:r>
            <w:proofErr w:type="spellEnd"/>
            <w:r w:rsidR="005A30FF">
              <w:rPr>
                <w:rFonts w:ascii="Bookman Old Style" w:hAnsi="Bookman Old Style" w:cs="Arial"/>
              </w:rPr>
              <w:t xml:space="preserve">, expresado en </w:t>
            </w:r>
            <w:r w:rsidR="0001106F">
              <w:rPr>
                <w:rFonts w:ascii="Bookman Old Style" w:hAnsi="Bookman Old Style" w:cs="Arial"/>
              </w:rPr>
              <w:t>pesos constantes de</w:t>
            </w:r>
            <w:r w:rsidR="00F41573">
              <w:rPr>
                <w:rFonts w:ascii="Bookman Old Style" w:hAnsi="Bookman Old Style" w:cs="Arial"/>
              </w:rPr>
              <w:t xml:space="preserve"> </w:t>
            </w:r>
            <w:r w:rsidR="0001106F">
              <w:rPr>
                <w:rFonts w:ascii="Bookman Old Style" w:hAnsi="Bookman Old Style" w:cs="Arial"/>
              </w:rPr>
              <w:t>l</w:t>
            </w:r>
            <w:r w:rsidR="00F41573">
              <w:rPr>
                <w:rFonts w:ascii="Bookman Old Style" w:hAnsi="Bookman Old Style" w:cs="Arial"/>
              </w:rPr>
              <w:t>a</w:t>
            </w:r>
            <w:r w:rsidR="0001106F">
              <w:rPr>
                <w:rFonts w:ascii="Bookman Old Style" w:hAnsi="Bookman Old Style" w:cs="Arial"/>
              </w:rPr>
              <w:t xml:space="preserve"> </w:t>
            </w:r>
            <w:r w:rsidR="00F41573">
              <w:rPr>
                <w:rFonts w:ascii="Bookman Old Style" w:hAnsi="Bookman Old Style" w:cs="Arial"/>
              </w:rPr>
              <w:t xml:space="preserve">fecha </w:t>
            </w:r>
            <w:r w:rsidR="0001106F">
              <w:rPr>
                <w:rFonts w:ascii="Bookman Old Style" w:hAnsi="Bookman Old Style" w:cs="Arial"/>
              </w:rPr>
              <w:t>base</w:t>
            </w:r>
            <w:r w:rsidR="00324C2A">
              <w:rPr>
                <w:rFonts w:ascii="Bookman Old Style" w:hAnsi="Bookman Old Style" w:cs="Arial"/>
              </w:rPr>
              <w:t>.</w:t>
            </w:r>
          </w:p>
          <w:p w:rsidR="00324C2A" w:rsidRDefault="00324C2A" w:rsidP="00324C2A">
            <w:pPr>
              <w:ind w:right="142"/>
              <w:jc w:val="both"/>
              <w:rPr>
                <w:rFonts w:ascii="Bookman Old Style" w:hAnsi="Bookman Old Style" w:cs="Arial"/>
                <w:bCs/>
              </w:rPr>
            </w:pPr>
          </w:p>
        </w:tc>
      </w:tr>
      <w:tr w:rsidR="004B61DC" w:rsidRPr="004B61DC" w:rsidTr="00FA068A">
        <w:tc>
          <w:tcPr>
            <w:tcW w:w="1272" w:type="dxa"/>
          </w:tcPr>
          <w:p w:rsidR="004B61DC" w:rsidRPr="004B61DC" w:rsidRDefault="004B61DC" w:rsidP="00FA068A">
            <w:pPr>
              <w:ind w:right="142"/>
              <w:rPr>
                <w:rFonts w:ascii="Bookman Old Style" w:hAnsi="Bookman Old Style" w:cs="Arial"/>
                <w:i/>
              </w:rPr>
            </w:pPr>
            <w:r w:rsidRPr="004B61DC">
              <w:rPr>
                <w:rFonts w:ascii="Bookman Old Style" w:hAnsi="Bookman Old Style" w:cs="Arial"/>
                <w:i/>
              </w:rPr>
              <w:t>CM</w:t>
            </w:r>
            <w:r w:rsidR="005A30FF">
              <w:rPr>
                <w:rFonts w:ascii="Bookman Old Style" w:hAnsi="Bookman Old Style" w:cs="Arial"/>
                <w:i/>
                <w:vertAlign w:val="subscript"/>
              </w:rPr>
              <w:t>0,j</w:t>
            </w:r>
          </w:p>
        </w:tc>
        <w:tc>
          <w:tcPr>
            <w:tcW w:w="435" w:type="dxa"/>
          </w:tcPr>
          <w:p w:rsidR="004B61DC" w:rsidRPr="004B61DC" w:rsidRDefault="00324C2A" w:rsidP="00A46F95">
            <w:pPr>
              <w:ind w:right="142"/>
              <w:jc w:val="both"/>
              <w:rPr>
                <w:rFonts w:ascii="Bookman Old Style" w:hAnsi="Bookman Old Style" w:cs="Arial"/>
                <w:bCs/>
              </w:rPr>
            </w:pPr>
            <w:r>
              <w:rPr>
                <w:rFonts w:ascii="Bookman Old Style" w:hAnsi="Bookman Old Style" w:cs="Arial"/>
                <w:bCs/>
              </w:rPr>
              <w:t>:</w:t>
            </w:r>
          </w:p>
        </w:tc>
        <w:tc>
          <w:tcPr>
            <w:tcW w:w="7648" w:type="dxa"/>
          </w:tcPr>
          <w:p w:rsidR="004B61DC" w:rsidRDefault="004B61DC" w:rsidP="00F41573">
            <w:pPr>
              <w:ind w:right="142"/>
              <w:jc w:val="both"/>
              <w:rPr>
                <w:rFonts w:ascii="Bookman Old Style" w:hAnsi="Bookman Old Style" w:cs="Arial"/>
              </w:rPr>
            </w:pPr>
            <w:r>
              <w:rPr>
                <w:rFonts w:ascii="Bookman Old Style" w:hAnsi="Bookman Old Style" w:cs="Arial"/>
              </w:rPr>
              <w:t>Componente</w:t>
            </w:r>
            <w:r w:rsidRPr="00920F21">
              <w:rPr>
                <w:rFonts w:ascii="Bookman Old Style" w:hAnsi="Bookman Old Style" w:cs="Arial"/>
              </w:rPr>
              <w:t xml:space="preserve"> de remuneración de </w:t>
            </w:r>
            <w:r>
              <w:rPr>
                <w:rFonts w:ascii="Bookman Old Style" w:hAnsi="Bookman Old Style" w:cs="Arial"/>
              </w:rPr>
              <w:t xml:space="preserve">los </w:t>
            </w:r>
            <w:r w:rsidRPr="00920F21">
              <w:rPr>
                <w:rFonts w:ascii="Bookman Old Style" w:hAnsi="Bookman Old Style" w:cs="Arial"/>
              </w:rPr>
              <w:t xml:space="preserve">costos de </w:t>
            </w:r>
            <w:r>
              <w:rPr>
                <w:rFonts w:ascii="Bookman Old Style" w:hAnsi="Bookman Old Style" w:cs="Arial"/>
              </w:rPr>
              <w:t>administración operación y mantenimiento</w:t>
            </w:r>
            <w:r w:rsidR="0001106F">
              <w:rPr>
                <w:rFonts w:ascii="Bookman Old Style" w:hAnsi="Bookman Old Style" w:cs="Arial"/>
              </w:rPr>
              <w:t xml:space="preserve"> </w:t>
            </w:r>
            <w:r w:rsidR="00541C87">
              <w:rPr>
                <w:rFonts w:ascii="Bookman Old Style" w:hAnsi="Bookman Old Style" w:cs="Arial"/>
              </w:rPr>
              <w:t xml:space="preserve">del recurso energético </w:t>
            </w:r>
            <w:r w:rsidR="00541C87" w:rsidRPr="005A30FF">
              <w:rPr>
                <w:rFonts w:ascii="Bookman Old Style" w:hAnsi="Bookman Old Style" w:cs="Arial"/>
                <w:i/>
              </w:rPr>
              <w:t>j</w:t>
            </w:r>
            <w:r w:rsidR="00541C87">
              <w:rPr>
                <w:rFonts w:ascii="Bookman Old Style" w:hAnsi="Bookman Old Style" w:cs="Arial"/>
              </w:rPr>
              <w:t xml:space="preserve">, </w:t>
            </w:r>
            <w:r w:rsidR="00541C87" w:rsidRPr="00920F21">
              <w:rPr>
                <w:rFonts w:ascii="Bookman Old Style" w:hAnsi="Bookman Old Style" w:cs="Arial"/>
              </w:rPr>
              <w:t>de</w:t>
            </w:r>
            <w:r w:rsidR="00541C87">
              <w:rPr>
                <w:rFonts w:ascii="Bookman Old Style" w:hAnsi="Bookman Old Style" w:cs="Arial"/>
              </w:rPr>
              <w:t xml:space="preserve">l mercado relevante de comercialización del municipio de </w:t>
            </w:r>
            <w:proofErr w:type="spellStart"/>
            <w:r w:rsidR="00541C87">
              <w:rPr>
                <w:rFonts w:ascii="Bookman Old Style" w:hAnsi="Bookman Old Style" w:cs="Arial"/>
              </w:rPr>
              <w:t>Unguía</w:t>
            </w:r>
            <w:proofErr w:type="spellEnd"/>
            <w:r w:rsidR="00541C87">
              <w:rPr>
                <w:rFonts w:ascii="Bookman Old Style" w:hAnsi="Bookman Old Style" w:cs="Arial"/>
              </w:rPr>
              <w:t>, expresado en pesos constantes de la fecha base</w:t>
            </w:r>
            <w:r>
              <w:rPr>
                <w:rFonts w:ascii="Bookman Old Style" w:hAnsi="Bookman Old Style" w:cs="Arial"/>
              </w:rPr>
              <w:t>.</w:t>
            </w:r>
          </w:p>
          <w:p w:rsidR="00541C87" w:rsidRPr="004B61DC" w:rsidRDefault="00541C87" w:rsidP="00F41573">
            <w:pPr>
              <w:ind w:right="142"/>
              <w:jc w:val="both"/>
              <w:rPr>
                <w:rFonts w:ascii="Bookman Old Style" w:hAnsi="Bookman Old Style" w:cs="Arial"/>
              </w:rPr>
            </w:pPr>
          </w:p>
        </w:tc>
      </w:tr>
      <w:tr w:rsidR="00F41573" w:rsidRPr="00F41573" w:rsidTr="00FA068A">
        <w:tc>
          <w:tcPr>
            <w:tcW w:w="1272" w:type="dxa"/>
          </w:tcPr>
          <w:p w:rsidR="00F41573" w:rsidRPr="00F41573" w:rsidRDefault="00F41573" w:rsidP="00FA068A">
            <w:pPr>
              <w:ind w:right="142"/>
              <w:rPr>
                <w:rFonts w:ascii="Bookman Old Style" w:hAnsi="Bookman Old Style" w:cs="Arial"/>
              </w:rPr>
            </w:pPr>
            <w:r w:rsidRPr="00F41573">
              <w:rPr>
                <w:rFonts w:ascii="Bookman Old Style" w:hAnsi="Bookman Old Style" w:cs="Arial"/>
              </w:rPr>
              <w:t>Fecha base</w:t>
            </w:r>
          </w:p>
        </w:tc>
        <w:tc>
          <w:tcPr>
            <w:tcW w:w="435" w:type="dxa"/>
          </w:tcPr>
          <w:p w:rsidR="00F41573" w:rsidRPr="00F41573" w:rsidRDefault="008256F2" w:rsidP="00A46F95">
            <w:pPr>
              <w:ind w:right="142"/>
              <w:jc w:val="both"/>
              <w:rPr>
                <w:rFonts w:ascii="Bookman Old Style" w:hAnsi="Bookman Old Style" w:cs="Arial"/>
                <w:bCs/>
              </w:rPr>
            </w:pPr>
            <w:r>
              <w:rPr>
                <w:rFonts w:ascii="Bookman Old Style" w:hAnsi="Bookman Old Style" w:cs="Arial"/>
                <w:bCs/>
              </w:rPr>
              <w:t>:</w:t>
            </w:r>
          </w:p>
        </w:tc>
        <w:tc>
          <w:tcPr>
            <w:tcW w:w="7648" w:type="dxa"/>
          </w:tcPr>
          <w:p w:rsidR="00F41573" w:rsidRPr="00F41573" w:rsidRDefault="00F41573" w:rsidP="00F41573">
            <w:pPr>
              <w:ind w:right="142"/>
              <w:jc w:val="both"/>
              <w:rPr>
                <w:rFonts w:ascii="Bookman Old Style" w:hAnsi="Bookman Old Style" w:cs="Arial"/>
              </w:rPr>
            </w:pPr>
            <w:r>
              <w:rPr>
                <w:rFonts w:ascii="Bookman Old Style" w:hAnsi="Bookman Old Style" w:cs="Arial"/>
              </w:rPr>
              <w:t>31 de diciembre de 2006.</w:t>
            </w:r>
          </w:p>
        </w:tc>
      </w:tr>
    </w:tbl>
    <w:p w:rsidR="00D46CD5" w:rsidRDefault="00D46CD5" w:rsidP="00CF403A">
      <w:pPr>
        <w:pStyle w:val="Piedepgina"/>
        <w:tabs>
          <w:tab w:val="clear" w:pos="4252"/>
          <w:tab w:val="clear" w:pos="8504"/>
          <w:tab w:val="center" w:pos="4845"/>
        </w:tabs>
        <w:ind w:left="284" w:right="142"/>
        <w:jc w:val="both"/>
        <w:rPr>
          <w:rFonts w:ascii="Bookman Old Style" w:hAnsi="Bookman Old Style" w:cs="Arial"/>
        </w:rPr>
      </w:pPr>
    </w:p>
    <w:p w:rsidR="00C52178" w:rsidRDefault="004F60C9" w:rsidP="006931CD">
      <w:pPr>
        <w:ind w:left="284" w:right="142"/>
        <w:jc w:val="both"/>
        <w:rPr>
          <w:rFonts w:ascii="Bookman Old Style" w:hAnsi="Bookman Old Style" w:cs="Arial"/>
        </w:rPr>
      </w:pPr>
      <w:r w:rsidRPr="005773FC">
        <w:rPr>
          <w:rFonts w:ascii="Bookman Old Style" w:hAnsi="Bookman Old Style" w:cs="Arial"/>
          <w:b/>
        </w:rPr>
        <w:t>A</w:t>
      </w:r>
      <w:r>
        <w:rPr>
          <w:rFonts w:ascii="Bookman Old Style" w:hAnsi="Bookman Old Style" w:cs="Arial"/>
          <w:b/>
        </w:rPr>
        <w:t>RTÍCULO 2</w:t>
      </w:r>
      <w:r w:rsidRPr="0069185E">
        <w:rPr>
          <w:rFonts w:ascii="Bookman Old Style" w:hAnsi="Bookman Old Style" w:cs="Arial"/>
          <w:b/>
          <w:bCs/>
        </w:rPr>
        <w:t>.</w:t>
      </w:r>
      <w:r>
        <w:rPr>
          <w:rFonts w:ascii="Bookman Old Style" w:hAnsi="Bookman Old Style" w:cs="Arial"/>
          <w:b/>
          <w:bCs/>
        </w:rPr>
        <w:t xml:space="preserve"> </w:t>
      </w:r>
      <w:r w:rsidR="00F41573">
        <w:rPr>
          <w:rFonts w:ascii="Bookman Old Style" w:hAnsi="Bookman Old Style" w:cs="Arial"/>
          <w:b/>
          <w:bCs/>
        </w:rPr>
        <w:t>F</w:t>
      </w:r>
      <w:r w:rsidR="00F41573" w:rsidRPr="00F41573">
        <w:rPr>
          <w:rFonts w:ascii="Bookman Old Style" w:hAnsi="Bookman Old Style" w:cs="Arial"/>
          <w:b/>
          <w:bCs/>
        </w:rPr>
        <w:t xml:space="preserve">órmula de Actualización de Cargos Máximos de Generación para sistemas híbridos diésel </w:t>
      </w:r>
      <w:r w:rsidR="0034589F">
        <w:rPr>
          <w:rFonts w:ascii="Bookman Old Style" w:hAnsi="Bookman Old Style" w:cs="Arial"/>
          <w:b/>
          <w:bCs/>
        </w:rPr>
        <w:t xml:space="preserve">- </w:t>
      </w:r>
      <w:r w:rsidR="00F41573" w:rsidRPr="00F41573">
        <w:rPr>
          <w:rFonts w:ascii="Bookman Old Style" w:hAnsi="Bookman Old Style" w:cs="Arial"/>
          <w:b/>
          <w:bCs/>
        </w:rPr>
        <w:t xml:space="preserve">solar fotovoltaicos con acumulación en </w:t>
      </w:r>
      <w:r w:rsidR="00AE5CC6">
        <w:rPr>
          <w:rFonts w:ascii="Bookman Old Style" w:hAnsi="Bookman Old Style" w:cs="Arial"/>
          <w:b/>
          <w:bCs/>
        </w:rPr>
        <w:t xml:space="preserve">el </w:t>
      </w:r>
      <w:r w:rsidR="00AE5CC6" w:rsidRPr="0019727B">
        <w:rPr>
          <w:rFonts w:ascii="Bookman Old Style" w:hAnsi="Bookman Old Style" w:cs="Arial"/>
          <w:b/>
        </w:rPr>
        <w:t xml:space="preserve">mercado relevante de comercialización conformado por la cabecera </w:t>
      </w:r>
      <w:r w:rsidR="00AE5CC6" w:rsidRPr="0019727B">
        <w:rPr>
          <w:rFonts w:ascii="Bookman Old Style" w:hAnsi="Bookman Old Style" w:cs="Arial"/>
          <w:b/>
        </w:rPr>
        <w:lastRenderedPageBreak/>
        <w:t xml:space="preserve">municipal del municipio de </w:t>
      </w:r>
      <w:proofErr w:type="spellStart"/>
      <w:r w:rsidR="00AE5CC6" w:rsidRPr="0019727B">
        <w:rPr>
          <w:rFonts w:ascii="Bookman Old Style" w:hAnsi="Bookman Old Style" w:cs="Arial"/>
          <w:b/>
        </w:rPr>
        <w:t>Unguía</w:t>
      </w:r>
      <w:proofErr w:type="spellEnd"/>
      <w:r w:rsidR="00AE5CC6" w:rsidRPr="0019727B">
        <w:rPr>
          <w:rFonts w:ascii="Bookman Old Style" w:hAnsi="Bookman Old Style" w:cs="Arial"/>
          <w:b/>
        </w:rPr>
        <w:t>, Chocó, y las demás poblaciones y usuarios atendidos con el mismo sistema de distribución</w:t>
      </w:r>
      <w:r>
        <w:rPr>
          <w:rFonts w:ascii="Bookman Old Style" w:hAnsi="Bookman Old Style" w:cs="Arial"/>
          <w:b/>
          <w:bCs/>
        </w:rPr>
        <w:t>.</w:t>
      </w:r>
      <w:r w:rsidRPr="00C52178">
        <w:rPr>
          <w:rFonts w:ascii="Bookman Old Style" w:hAnsi="Bookman Old Style" w:cs="Arial"/>
          <w:bCs/>
        </w:rPr>
        <w:t xml:space="preserve"> </w:t>
      </w:r>
      <w:r w:rsidR="00F41573" w:rsidRPr="00F41573">
        <w:rPr>
          <w:rFonts w:ascii="Bookman Old Style" w:hAnsi="Bookman Old Style" w:cs="Arial"/>
          <w:bCs/>
        </w:rPr>
        <w:t xml:space="preserve">Los </w:t>
      </w:r>
      <w:r w:rsidR="00BE5D7F">
        <w:rPr>
          <w:rFonts w:ascii="Bookman Old Style" w:hAnsi="Bookman Old Style" w:cs="Arial"/>
          <w:bCs/>
        </w:rPr>
        <w:t>c</w:t>
      </w:r>
      <w:r w:rsidR="00F41573" w:rsidRPr="00F41573">
        <w:rPr>
          <w:rFonts w:ascii="Bookman Old Style" w:hAnsi="Bookman Old Style" w:cs="Arial"/>
          <w:bCs/>
        </w:rPr>
        <w:t xml:space="preserve">argos </w:t>
      </w:r>
      <w:r w:rsidR="00BE5D7F">
        <w:rPr>
          <w:rFonts w:ascii="Bookman Old Style" w:hAnsi="Bookman Old Style" w:cs="Arial"/>
          <w:bCs/>
        </w:rPr>
        <w:t>m</w:t>
      </w:r>
      <w:r w:rsidR="00F41573" w:rsidRPr="00F41573">
        <w:rPr>
          <w:rFonts w:ascii="Bookman Old Style" w:hAnsi="Bookman Old Style" w:cs="Arial"/>
          <w:bCs/>
        </w:rPr>
        <w:t xml:space="preserve">áximos de </w:t>
      </w:r>
      <w:r w:rsidR="00BE5D7F">
        <w:rPr>
          <w:rFonts w:ascii="Bookman Old Style" w:hAnsi="Bookman Old Style" w:cs="Arial"/>
          <w:bCs/>
        </w:rPr>
        <w:t>g</w:t>
      </w:r>
      <w:r w:rsidR="00F41573" w:rsidRPr="00F41573">
        <w:rPr>
          <w:rFonts w:ascii="Bookman Old Style" w:hAnsi="Bookman Old Style" w:cs="Arial"/>
          <w:bCs/>
        </w:rPr>
        <w:t xml:space="preserve">eneración expresados en pesos de la </w:t>
      </w:r>
      <w:r w:rsidR="00BE5D7F">
        <w:rPr>
          <w:rFonts w:ascii="Bookman Old Style" w:hAnsi="Bookman Old Style" w:cs="Arial"/>
          <w:bCs/>
        </w:rPr>
        <w:t>f</w:t>
      </w:r>
      <w:r w:rsidR="00F41573" w:rsidRPr="00F41573">
        <w:rPr>
          <w:rFonts w:ascii="Bookman Old Style" w:hAnsi="Bookman Old Style" w:cs="Arial"/>
          <w:bCs/>
        </w:rPr>
        <w:t xml:space="preserve">echa </w:t>
      </w:r>
      <w:r w:rsidR="00BE5D7F">
        <w:rPr>
          <w:rFonts w:ascii="Bookman Old Style" w:hAnsi="Bookman Old Style" w:cs="Arial"/>
          <w:bCs/>
        </w:rPr>
        <w:t>b</w:t>
      </w:r>
      <w:r w:rsidR="00F41573" w:rsidRPr="00F41573">
        <w:rPr>
          <w:rFonts w:ascii="Bookman Old Style" w:hAnsi="Bookman Old Style" w:cs="Arial"/>
          <w:bCs/>
        </w:rPr>
        <w:t>ase, se actualizarán con las siguientes fórmulas generales:</w:t>
      </w:r>
    </w:p>
    <w:p w:rsidR="0046501D" w:rsidRDefault="0046501D" w:rsidP="006931CD">
      <w:pPr>
        <w:ind w:left="284" w:right="142"/>
        <w:jc w:val="both"/>
        <w:rPr>
          <w:rFonts w:ascii="Bookman Old Style" w:hAnsi="Bookman Old Style" w:cs="Arial"/>
        </w:rPr>
      </w:pPr>
    </w:p>
    <w:p w:rsidR="00F41573" w:rsidRPr="00D96D73" w:rsidRDefault="00845345" w:rsidP="006931CD">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U,m</m:t>
              </m:r>
            </m:sub>
          </m:sSub>
          <m:r>
            <w:rPr>
              <w:rFonts w:ascii="Cambria Math"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r>
                <w:rPr>
                  <w:rFonts w:ascii="Cambria Math" w:hAnsi="Cambria Math" w:cs="Arial"/>
                </w:rPr>
                <m:t>G</m:t>
              </m:r>
            </m:e>
            <m:sub>
              <m:r>
                <w:rPr>
                  <w:rFonts w:ascii="Cambria Math" w:hAnsi="Cambria Math" w:cs="Arial"/>
                </w:rPr>
                <m:t>m,D</m:t>
              </m:r>
            </m:sub>
          </m:sSub>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e>
          </m:d>
          <m:r>
            <w:rPr>
              <w:rFonts w:ascii="Cambria Math" w:hAnsi="Cambria Math" w:cs="Arial"/>
            </w:rPr>
            <m:t>β</m:t>
          </m:r>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e>
          </m:d>
          <m:d>
            <m:dPr>
              <m:ctrlPr>
                <w:rPr>
                  <w:rFonts w:ascii="Cambria Math" w:hAnsi="Cambria Math" w:cs="Arial"/>
                  <w:i/>
                </w:rPr>
              </m:ctrlPr>
            </m:dPr>
            <m:e>
              <m:r>
                <w:rPr>
                  <w:rFonts w:ascii="Cambria Math" w:hAnsi="Cambria Math" w:cs="Arial"/>
                </w:rPr>
                <m:t>1-β</m:t>
              </m:r>
            </m:e>
          </m:d>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p w:rsidR="00F41573" w:rsidRDefault="00F41573" w:rsidP="006931CD">
      <w:pPr>
        <w:ind w:left="284" w:right="142"/>
        <w:jc w:val="both"/>
        <w:rPr>
          <w:rFonts w:ascii="Bookman Old Style" w:hAnsi="Bookman Old Style" w:cs="Arial"/>
        </w:rPr>
      </w:pPr>
    </w:p>
    <w:p w:rsidR="00D96D73" w:rsidRDefault="00D96D73" w:rsidP="006931CD">
      <w:pPr>
        <w:ind w:left="284" w:right="142"/>
        <w:jc w:val="both"/>
        <w:rPr>
          <w:rFonts w:ascii="Bookman Old Style" w:hAnsi="Bookman Old Style" w:cs="Arial"/>
        </w:rPr>
      </w:pPr>
      <w:r>
        <w:rPr>
          <w:rFonts w:ascii="Bookman Old Style" w:hAnsi="Bookman Old Style" w:cs="Arial"/>
        </w:rPr>
        <w:t>En donde,</w:t>
      </w:r>
    </w:p>
    <w:p w:rsidR="00D96D73" w:rsidRDefault="00D96D73" w:rsidP="006931CD">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435"/>
        <w:gridCol w:w="8008"/>
      </w:tblGrid>
      <w:tr w:rsidR="008F6C07" w:rsidTr="00B628FB">
        <w:tc>
          <w:tcPr>
            <w:tcW w:w="912" w:type="dxa"/>
          </w:tcPr>
          <w:p w:rsidR="008F6C07" w:rsidRPr="00FA14D6"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U,m</m:t>
                    </m:r>
                  </m:sub>
                </m:sSub>
              </m:oMath>
            </m:oMathPara>
          </w:p>
        </w:tc>
        <w:tc>
          <w:tcPr>
            <w:tcW w:w="435" w:type="dxa"/>
          </w:tcPr>
          <w:p w:rsidR="008F6C07" w:rsidRDefault="008F6C07" w:rsidP="00B628FB">
            <w:pPr>
              <w:ind w:right="142"/>
              <w:jc w:val="both"/>
              <w:rPr>
                <w:rFonts w:ascii="Bookman Old Style" w:hAnsi="Bookman Old Style" w:cs="Arial"/>
                <w:bCs/>
              </w:rPr>
            </w:pPr>
            <w:r>
              <w:rPr>
                <w:rFonts w:ascii="Bookman Old Style" w:hAnsi="Bookman Old Style" w:cs="Arial"/>
                <w:bCs/>
              </w:rPr>
              <w:t>:</w:t>
            </w:r>
          </w:p>
        </w:tc>
        <w:tc>
          <w:tcPr>
            <w:tcW w:w="8008" w:type="dxa"/>
          </w:tcPr>
          <w:p w:rsidR="008F6C07" w:rsidRDefault="008F6C07" w:rsidP="00B628FB">
            <w:pPr>
              <w:ind w:right="142"/>
              <w:jc w:val="both"/>
              <w:rPr>
                <w:rFonts w:ascii="Bookman Old Style" w:hAnsi="Bookman Old Style" w:cs="Arial"/>
                <w:bCs/>
              </w:rPr>
            </w:pPr>
            <w:r w:rsidRPr="00F7441B">
              <w:rPr>
                <w:rFonts w:ascii="Bookman Old Style" w:hAnsi="Bookman Old Style" w:cs="Arial"/>
                <w:bCs/>
              </w:rPr>
              <w:t xml:space="preserve">Cargo </w:t>
            </w:r>
            <w:r w:rsidR="00BE5D7F">
              <w:rPr>
                <w:rFonts w:ascii="Bookman Old Style" w:hAnsi="Bookman Old Style" w:cs="Arial"/>
                <w:bCs/>
              </w:rPr>
              <w:t>m</w:t>
            </w:r>
            <w:r w:rsidRPr="00F7441B">
              <w:rPr>
                <w:rFonts w:ascii="Bookman Old Style" w:hAnsi="Bookman Old Style" w:cs="Arial"/>
                <w:bCs/>
              </w:rPr>
              <w:t xml:space="preserve">áximo de </w:t>
            </w:r>
            <w:r w:rsidR="00BE5D7F">
              <w:rPr>
                <w:rFonts w:ascii="Bookman Old Style" w:hAnsi="Bookman Old Style" w:cs="Arial"/>
                <w:bCs/>
              </w:rPr>
              <w:t>g</w:t>
            </w:r>
            <w:r w:rsidRPr="00F7441B">
              <w:rPr>
                <w:rFonts w:ascii="Bookman Old Style" w:hAnsi="Bookman Old Style" w:cs="Arial"/>
                <w:bCs/>
              </w:rPr>
              <w:t>eneración</w:t>
            </w:r>
            <w:r>
              <w:rPr>
                <w:rFonts w:ascii="Bookman Old Style" w:hAnsi="Bookman Old Style" w:cs="Arial"/>
                <w:bCs/>
              </w:rPr>
              <w:t xml:space="preserve"> para e</w:t>
            </w:r>
            <w:r>
              <w:rPr>
                <w:rFonts w:ascii="Bookman Old Style" w:hAnsi="Bookman Old Style" w:cs="Arial"/>
              </w:rPr>
              <w:t xml:space="preserve">l mercado relevante de comercialización </w:t>
            </w:r>
            <w:r w:rsidR="00AE5CC6">
              <w:rPr>
                <w:rFonts w:ascii="Bookman Old Style" w:hAnsi="Bookman Old Style" w:cs="Arial"/>
              </w:rPr>
              <w:t>señalado en este artículo</w:t>
            </w:r>
            <w:r>
              <w:rPr>
                <w:rFonts w:ascii="Bookman Old Style" w:hAnsi="Bookman Old Style" w:cs="Arial"/>
              </w:rPr>
              <w:t xml:space="preserve">, </w:t>
            </w:r>
            <w:r w:rsidRPr="00F7441B">
              <w:rPr>
                <w:rFonts w:ascii="Bookman Old Style" w:hAnsi="Bookman Old Style" w:cs="Arial"/>
                <w:bCs/>
              </w:rPr>
              <w:t xml:space="preserve">correspondiente al mes </w:t>
            </w:r>
            <w:r w:rsidRPr="00AE5CC6">
              <w:rPr>
                <w:rFonts w:ascii="Bookman Old Style" w:hAnsi="Bookman Old Style" w:cs="Arial"/>
                <w:bCs/>
                <w:i/>
              </w:rPr>
              <w:t>m</w:t>
            </w:r>
            <w:r w:rsidRPr="00F7441B">
              <w:rPr>
                <w:rFonts w:ascii="Bookman Old Style" w:hAnsi="Bookman Old Style" w:cs="Arial"/>
                <w:bCs/>
              </w:rPr>
              <w:t xml:space="preserve"> de prestación del servicio</w:t>
            </w:r>
            <w:r>
              <w:rPr>
                <w:rFonts w:ascii="Bookman Old Style" w:hAnsi="Bookman Old Style" w:cs="Arial"/>
                <w:bCs/>
              </w:rPr>
              <w:t>, expresado en pesos por kilovatio hora</w:t>
            </w:r>
            <w:r w:rsidRPr="00F7441B">
              <w:rPr>
                <w:rFonts w:ascii="Bookman Old Style" w:hAnsi="Bookman Old Style" w:cs="Arial"/>
                <w:bCs/>
              </w:rPr>
              <w:t xml:space="preserve"> ($/</w:t>
            </w:r>
            <w:proofErr w:type="spellStart"/>
            <w:r w:rsidRPr="00F7441B">
              <w:rPr>
                <w:rFonts w:ascii="Bookman Old Style" w:hAnsi="Bookman Old Style" w:cs="Arial"/>
                <w:bCs/>
              </w:rPr>
              <w:t>kWh</w:t>
            </w:r>
            <w:proofErr w:type="spellEnd"/>
            <w:r w:rsidRPr="00F7441B">
              <w:rPr>
                <w:rFonts w:ascii="Bookman Old Style" w:hAnsi="Bookman Old Style" w:cs="Arial"/>
                <w:bCs/>
              </w:rPr>
              <w:t>).</w:t>
            </w:r>
          </w:p>
          <w:p w:rsidR="008F6C07" w:rsidRDefault="008F6C07" w:rsidP="00B628FB">
            <w:pPr>
              <w:ind w:right="142"/>
              <w:jc w:val="both"/>
              <w:rPr>
                <w:rFonts w:ascii="Bookman Old Style" w:hAnsi="Bookman Old Style" w:cs="Arial"/>
                <w:bCs/>
              </w:rPr>
            </w:pPr>
          </w:p>
        </w:tc>
      </w:tr>
      <w:tr w:rsidR="0046501D" w:rsidTr="00B628FB">
        <w:tc>
          <w:tcPr>
            <w:tcW w:w="912" w:type="dxa"/>
          </w:tcPr>
          <w:p w:rsidR="0046501D" w:rsidRPr="0046501D" w:rsidRDefault="00845345" w:rsidP="00B628FB">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oMath>
            </m:oMathPara>
          </w:p>
        </w:tc>
        <w:tc>
          <w:tcPr>
            <w:tcW w:w="435" w:type="dxa"/>
          </w:tcPr>
          <w:p w:rsidR="0046501D" w:rsidRDefault="004F0E39" w:rsidP="00B628FB">
            <w:pPr>
              <w:ind w:right="142"/>
              <w:jc w:val="both"/>
              <w:rPr>
                <w:rFonts w:ascii="Bookman Old Style" w:hAnsi="Bookman Old Style" w:cs="Arial"/>
                <w:bCs/>
              </w:rPr>
            </w:pPr>
            <w:r>
              <w:rPr>
                <w:rFonts w:ascii="Bookman Old Style" w:hAnsi="Bookman Old Style" w:cs="Arial"/>
                <w:bCs/>
              </w:rPr>
              <w:t>:</w:t>
            </w:r>
          </w:p>
        </w:tc>
        <w:tc>
          <w:tcPr>
            <w:tcW w:w="8008" w:type="dxa"/>
          </w:tcPr>
          <w:p w:rsidR="0046501D" w:rsidRDefault="004F0E39" w:rsidP="00B628FB">
            <w:pPr>
              <w:ind w:right="142"/>
              <w:jc w:val="both"/>
              <w:rPr>
                <w:rFonts w:ascii="Bookman Old Style" w:hAnsi="Bookman Old Style" w:cs="Arial"/>
                <w:bCs/>
              </w:rPr>
            </w:pPr>
            <w:r>
              <w:rPr>
                <w:rFonts w:ascii="Bookman Old Style" w:hAnsi="Bookman Old Style" w:cs="Arial"/>
                <w:bCs/>
              </w:rPr>
              <w:t xml:space="preserve">Cargo </w:t>
            </w:r>
            <w:r w:rsidR="00BE5D7F">
              <w:rPr>
                <w:rFonts w:ascii="Bookman Old Style" w:hAnsi="Bookman Old Style" w:cs="Arial"/>
                <w:bCs/>
              </w:rPr>
              <w:t>m</w:t>
            </w:r>
            <w:r>
              <w:rPr>
                <w:rFonts w:ascii="Bookman Old Style" w:hAnsi="Bookman Old Style" w:cs="Arial"/>
                <w:bCs/>
              </w:rPr>
              <w:t xml:space="preserve">áximo de </w:t>
            </w:r>
            <w:r w:rsidR="00BE5D7F">
              <w:rPr>
                <w:rFonts w:ascii="Bookman Old Style" w:hAnsi="Bookman Old Style" w:cs="Arial"/>
                <w:bCs/>
              </w:rPr>
              <w:t>g</w:t>
            </w:r>
            <w:r>
              <w:rPr>
                <w:rFonts w:ascii="Bookman Old Style" w:hAnsi="Bookman Old Style" w:cs="Arial"/>
                <w:bCs/>
              </w:rPr>
              <w:t xml:space="preserve">eneración para energía suministrada a partir de recursos energéticos diésel, para el mes </w:t>
            </w:r>
            <w:r w:rsidRPr="004F0E39">
              <w:rPr>
                <w:rFonts w:ascii="Bookman Old Style" w:hAnsi="Bookman Old Style" w:cs="Arial"/>
                <w:bCs/>
                <w:i/>
              </w:rPr>
              <w:t>m</w:t>
            </w:r>
            <w:r>
              <w:rPr>
                <w:rFonts w:ascii="Bookman Old Style" w:hAnsi="Bookman Old Style" w:cs="Arial"/>
                <w:bCs/>
              </w:rPr>
              <w:t>, expresado en pesos por kilovatio hora</w:t>
            </w:r>
            <w:r w:rsidRPr="00F7441B">
              <w:rPr>
                <w:rFonts w:ascii="Bookman Old Style" w:hAnsi="Bookman Old Style" w:cs="Arial"/>
                <w:bCs/>
              </w:rPr>
              <w:t xml:space="preserve"> ($/</w:t>
            </w:r>
            <w:proofErr w:type="spellStart"/>
            <w:r w:rsidRPr="00F7441B">
              <w:rPr>
                <w:rFonts w:ascii="Bookman Old Style" w:hAnsi="Bookman Old Style" w:cs="Arial"/>
                <w:bCs/>
              </w:rPr>
              <w:t>kWh</w:t>
            </w:r>
            <w:proofErr w:type="spellEnd"/>
            <w:r w:rsidRPr="00F7441B">
              <w:rPr>
                <w:rFonts w:ascii="Bookman Old Style" w:hAnsi="Bookman Old Style" w:cs="Arial"/>
                <w:bCs/>
              </w:rPr>
              <w:t>)</w:t>
            </w:r>
            <w:r>
              <w:rPr>
                <w:rFonts w:ascii="Bookman Old Style" w:hAnsi="Bookman Old Style" w:cs="Arial"/>
                <w:bCs/>
              </w:rPr>
              <w:t>.</w:t>
            </w:r>
          </w:p>
          <w:p w:rsidR="0046501D" w:rsidRPr="00F7441B" w:rsidRDefault="0046501D" w:rsidP="00B628FB">
            <w:pPr>
              <w:ind w:right="142"/>
              <w:jc w:val="both"/>
              <w:rPr>
                <w:rFonts w:ascii="Bookman Old Style" w:hAnsi="Bookman Old Style" w:cs="Arial"/>
                <w:bCs/>
              </w:rPr>
            </w:pPr>
          </w:p>
        </w:tc>
      </w:tr>
      <w:tr w:rsidR="0046501D" w:rsidTr="00B628FB">
        <w:tc>
          <w:tcPr>
            <w:tcW w:w="912" w:type="dxa"/>
          </w:tcPr>
          <w:p w:rsidR="0046501D" w:rsidRPr="0046501D" w:rsidRDefault="00845345" w:rsidP="00B628FB">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oMath>
            </m:oMathPara>
          </w:p>
        </w:tc>
        <w:tc>
          <w:tcPr>
            <w:tcW w:w="435" w:type="dxa"/>
          </w:tcPr>
          <w:p w:rsidR="0046501D" w:rsidRDefault="004F0E39" w:rsidP="00B628FB">
            <w:pPr>
              <w:ind w:right="142"/>
              <w:jc w:val="both"/>
              <w:rPr>
                <w:rFonts w:ascii="Bookman Old Style" w:hAnsi="Bookman Old Style" w:cs="Arial"/>
                <w:bCs/>
              </w:rPr>
            </w:pPr>
            <w:r>
              <w:rPr>
                <w:rFonts w:ascii="Bookman Old Style" w:hAnsi="Bookman Old Style" w:cs="Arial"/>
                <w:bCs/>
              </w:rPr>
              <w:t>:</w:t>
            </w:r>
          </w:p>
        </w:tc>
        <w:tc>
          <w:tcPr>
            <w:tcW w:w="8008" w:type="dxa"/>
          </w:tcPr>
          <w:p w:rsidR="004F0E39" w:rsidRDefault="004F0E39" w:rsidP="004F0E39">
            <w:pPr>
              <w:ind w:right="142"/>
              <w:jc w:val="both"/>
              <w:rPr>
                <w:rFonts w:ascii="Bookman Old Style" w:hAnsi="Bookman Old Style" w:cs="Arial"/>
                <w:bCs/>
              </w:rPr>
            </w:pPr>
            <w:r>
              <w:rPr>
                <w:rFonts w:ascii="Bookman Old Style" w:hAnsi="Bookman Old Style" w:cs="Arial"/>
                <w:bCs/>
              </w:rPr>
              <w:t xml:space="preserve">Cargo </w:t>
            </w:r>
            <w:r w:rsidR="00BE5D7F">
              <w:rPr>
                <w:rFonts w:ascii="Bookman Old Style" w:hAnsi="Bookman Old Style" w:cs="Arial"/>
                <w:bCs/>
              </w:rPr>
              <w:t>m</w:t>
            </w:r>
            <w:r>
              <w:rPr>
                <w:rFonts w:ascii="Bookman Old Style" w:hAnsi="Bookman Old Style" w:cs="Arial"/>
                <w:bCs/>
              </w:rPr>
              <w:t xml:space="preserve">áximo de </w:t>
            </w:r>
            <w:r w:rsidR="00BE5D7F">
              <w:rPr>
                <w:rFonts w:ascii="Bookman Old Style" w:hAnsi="Bookman Old Style" w:cs="Arial"/>
                <w:bCs/>
              </w:rPr>
              <w:t>g</w:t>
            </w:r>
            <w:r>
              <w:rPr>
                <w:rFonts w:ascii="Bookman Old Style" w:hAnsi="Bookman Old Style" w:cs="Arial"/>
                <w:bCs/>
              </w:rPr>
              <w:t>eneración para energía suministrada a partir de 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sidRPr="004F0E39">
              <w:rPr>
                <w:rFonts w:ascii="Bookman Old Style" w:hAnsi="Bookman Old Style" w:cs="Arial"/>
                <w:bCs/>
              </w:rPr>
              <w:t xml:space="preserve"> </w:t>
            </w:r>
            <w:r>
              <w:rPr>
                <w:rFonts w:ascii="Bookman Old Style" w:hAnsi="Bookman Old Style" w:cs="Arial"/>
                <w:bCs/>
              </w:rPr>
              <w:t xml:space="preserve">con </w:t>
            </w:r>
            <w:r w:rsidRPr="004F0E39">
              <w:rPr>
                <w:rFonts w:ascii="Bookman Old Style" w:hAnsi="Bookman Old Style" w:cs="Arial"/>
                <w:bCs/>
              </w:rPr>
              <w:t xml:space="preserve">alimentación directa a </w:t>
            </w:r>
            <w:r>
              <w:rPr>
                <w:rFonts w:ascii="Bookman Old Style" w:hAnsi="Bookman Old Style" w:cs="Arial"/>
                <w:bCs/>
              </w:rPr>
              <w:t xml:space="preserve">la </w:t>
            </w:r>
            <w:r w:rsidRPr="004F0E39">
              <w:rPr>
                <w:rFonts w:ascii="Bookman Old Style" w:hAnsi="Bookman Old Style" w:cs="Arial"/>
                <w:bCs/>
              </w:rPr>
              <w:t>red</w:t>
            </w:r>
            <w:r>
              <w:rPr>
                <w:rFonts w:ascii="Bookman Old Style" w:hAnsi="Bookman Old Style" w:cs="Arial"/>
                <w:bCs/>
              </w:rPr>
              <w:t xml:space="preserve"> de distribución, para el mes </w:t>
            </w:r>
            <w:r w:rsidRPr="004F0E39">
              <w:rPr>
                <w:rFonts w:ascii="Bookman Old Style" w:hAnsi="Bookman Old Style" w:cs="Arial"/>
                <w:bCs/>
                <w:i/>
              </w:rPr>
              <w:t>m</w:t>
            </w:r>
            <w:r>
              <w:rPr>
                <w:rFonts w:ascii="Bookman Old Style" w:hAnsi="Bookman Old Style" w:cs="Arial"/>
                <w:bCs/>
              </w:rPr>
              <w:t>, expresado en pesos por kilovatio hora</w:t>
            </w:r>
            <w:r w:rsidRPr="00F7441B">
              <w:rPr>
                <w:rFonts w:ascii="Bookman Old Style" w:hAnsi="Bookman Old Style" w:cs="Arial"/>
                <w:bCs/>
              </w:rPr>
              <w:t xml:space="preserve"> ($/</w:t>
            </w:r>
            <w:proofErr w:type="spellStart"/>
            <w:r w:rsidRPr="00F7441B">
              <w:rPr>
                <w:rFonts w:ascii="Bookman Old Style" w:hAnsi="Bookman Old Style" w:cs="Arial"/>
                <w:bCs/>
              </w:rPr>
              <w:t>kWh</w:t>
            </w:r>
            <w:proofErr w:type="spellEnd"/>
            <w:r w:rsidRPr="00F7441B">
              <w:rPr>
                <w:rFonts w:ascii="Bookman Old Style" w:hAnsi="Bookman Old Style" w:cs="Arial"/>
                <w:bCs/>
              </w:rPr>
              <w:t>)</w:t>
            </w:r>
            <w:r>
              <w:rPr>
                <w:rFonts w:ascii="Bookman Old Style" w:hAnsi="Bookman Old Style" w:cs="Arial"/>
                <w:bCs/>
              </w:rPr>
              <w:t>.</w:t>
            </w:r>
          </w:p>
          <w:p w:rsidR="0046501D" w:rsidRPr="00F7441B" w:rsidRDefault="0046501D" w:rsidP="004F0E39">
            <w:pPr>
              <w:ind w:right="142"/>
              <w:jc w:val="both"/>
              <w:rPr>
                <w:rFonts w:ascii="Bookman Old Style" w:hAnsi="Bookman Old Style" w:cs="Arial"/>
                <w:bCs/>
              </w:rPr>
            </w:pPr>
          </w:p>
        </w:tc>
      </w:tr>
      <w:tr w:rsidR="0046501D" w:rsidTr="00B628FB">
        <w:tc>
          <w:tcPr>
            <w:tcW w:w="912" w:type="dxa"/>
          </w:tcPr>
          <w:p w:rsidR="0046501D" w:rsidRPr="0046501D" w:rsidRDefault="00845345" w:rsidP="00B628FB">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oMath>
            </m:oMathPara>
          </w:p>
        </w:tc>
        <w:tc>
          <w:tcPr>
            <w:tcW w:w="435" w:type="dxa"/>
          </w:tcPr>
          <w:p w:rsidR="0046501D" w:rsidRDefault="0046501D" w:rsidP="00B628FB">
            <w:pPr>
              <w:ind w:right="142"/>
              <w:jc w:val="both"/>
              <w:rPr>
                <w:rFonts w:ascii="Bookman Old Style" w:hAnsi="Bookman Old Style" w:cs="Arial"/>
                <w:bCs/>
              </w:rPr>
            </w:pPr>
          </w:p>
        </w:tc>
        <w:tc>
          <w:tcPr>
            <w:tcW w:w="8008" w:type="dxa"/>
          </w:tcPr>
          <w:p w:rsidR="004F0E39" w:rsidRDefault="004F0E39" w:rsidP="004F0E39">
            <w:pPr>
              <w:ind w:right="142"/>
              <w:jc w:val="both"/>
              <w:rPr>
                <w:rFonts w:ascii="Bookman Old Style" w:hAnsi="Bookman Old Style" w:cs="Arial"/>
                <w:bCs/>
              </w:rPr>
            </w:pPr>
            <w:r>
              <w:rPr>
                <w:rFonts w:ascii="Bookman Old Style" w:hAnsi="Bookman Old Style" w:cs="Arial"/>
                <w:bCs/>
              </w:rPr>
              <w:t xml:space="preserve">Cargo </w:t>
            </w:r>
            <w:r w:rsidR="00BE5D7F">
              <w:rPr>
                <w:rFonts w:ascii="Bookman Old Style" w:hAnsi="Bookman Old Style" w:cs="Arial"/>
                <w:bCs/>
              </w:rPr>
              <w:t>m</w:t>
            </w:r>
            <w:r>
              <w:rPr>
                <w:rFonts w:ascii="Bookman Old Style" w:hAnsi="Bookman Old Style" w:cs="Arial"/>
                <w:bCs/>
              </w:rPr>
              <w:t xml:space="preserve">áximo de </w:t>
            </w:r>
            <w:r w:rsidR="00BE5D7F">
              <w:rPr>
                <w:rFonts w:ascii="Bookman Old Style" w:hAnsi="Bookman Old Style" w:cs="Arial"/>
                <w:bCs/>
              </w:rPr>
              <w:t>g</w:t>
            </w:r>
            <w:r>
              <w:rPr>
                <w:rFonts w:ascii="Bookman Old Style" w:hAnsi="Bookman Old Style" w:cs="Arial"/>
                <w:bCs/>
              </w:rPr>
              <w:t xml:space="preserve">eneración para energía suministrada a partir de </w:t>
            </w:r>
            <w:r w:rsidR="00D877C9">
              <w:rPr>
                <w:rFonts w:ascii="Bookman Old Style" w:hAnsi="Bookman Old Style" w:cs="Arial"/>
                <w:bCs/>
              </w:rPr>
              <w:t xml:space="preserve">acumuladores de </w:t>
            </w:r>
            <w:r>
              <w:rPr>
                <w:rFonts w:ascii="Bookman Old Style" w:hAnsi="Bookman Old Style" w:cs="Arial"/>
                <w:bCs/>
              </w:rPr>
              <w:t>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 xml:space="preserve">s, para el mes </w:t>
            </w:r>
            <w:r w:rsidRPr="004F0E39">
              <w:rPr>
                <w:rFonts w:ascii="Bookman Old Style" w:hAnsi="Bookman Old Style" w:cs="Arial"/>
                <w:bCs/>
                <w:i/>
              </w:rPr>
              <w:t>m</w:t>
            </w:r>
            <w:r>
              <w:rPr>
                <w:rFonts w:ascii="Bookman Old Style" w:hAnsi="Bookman Old Style" w:cs="Arial"/>
                <w:bCs/>
              </w:rPr>
              <w:t>, expresado en pesos por kilovatio hora</w:t>
            </w:r>
            <w:r w:rsidRPr="00F7441B">
              <w:rPr>
                <w:rFonts w:ascii="Bookman Old Style" w:hAnsi="Bookman Old Style" w:cs="Arial"/>
                <w:bCs/>
              </w:rPr>
              <w:t xml:space="preserve"> ($/</w:t>
            </w:r>
            <w:proofErr w:type="spellStart"/>
            <w:r w:rsidRPr="00F7441B">
              <w:rPr>
                <w:rFonts w:ascii="Bookman Old Style" w:hAnsi="Bookman Old Style" w:cs="Arial"/>
                <w:bCs/>
              </w:rPr>
              <w:t>kWh</w:t>
            </w:r>
            <w:proofErr w:type="spellEnd"/>
            <w:r w:rsidRPr="00F7441B">
              <w:rPr>
                <w:rFonts w:ascii="Bookman Old Style" w:hAnsi="Bookman Old Style" w:cs="Arial"/>
                <w:bCs/>
              </w:rPr>
              <w:t>)</w:t>
            </w:r>
            <w:r>
              <w:rPr>
                <w:rFonts w:ascii="Bookman Old Style" w:hAnsi="Bookman Old Style" w:cs="Arial"/>
                <w:bCs/>
              </w:rPr>
              <w:t>.</w:t>
            </w:r>
          </w:p>
          <w:p w:rsidR="004F0E39" w:rsidRPr="00F7441B" w:rsidRDefault="004F0E39" w:rsidP="00672E15">
            <w:pPr>
              <w:ind w:right="142"/>
              <w:jc w:val="both"/>
              <w:rPr>
                <w:rFonts w:ascii="Bookman Old Style" w:hAnsi="Bookman Old Style" w:cs="Arial"/>
                <w:bCs/>
              </w:rPr>
            </w:pPr>
          </w:p>
        </w:tc>
      </w:tr>
      <w:tr w:rsidR="008F6C07" w:rsidTr="00B628FB">
        <w:tc>
          <w:tcPr>
            <w:tcW w:w="912" w:type="dxa"/>
          </w:tcPr>
          <w:p w:rsidR="008F6C07" w:rsidRPr="008F6C07" w:rsidRDefault="00845345" w:rsidP="00B628FB">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oMath>
            </m:oMathPara>
          </w:p>
        </w:tc>
        <w:tc>
          <w:tcPr>
            <w:tcW w:w="435" w:type="dxa"/>
          </w:tcPr>
          <w:p w:rsidR="008F6C07" w:rsidRDefault="008F6C07" w:rsidP="00B628FB">
            <w:pPr>
              <w:ind w:right="142"/>
              <w:jc w:val="both"/>
              <w:rPr>
                <w:rFonts w:ascii="Bookman Old Style" w:hAnsi="Bookman Old Style" w:cs="Arial"/>
                <w:bCs/>
              </w:rPr>
            </w:pPr>
            <w:r>
              <w:rPr>
                <w:rFonts w:ascii="Bookman Old Style" w:hAnsi="Bookman Old Style" w:cs="Arial"/>
                <w:bCs/>
              </w:rPr>
              <w:t>:</w:t>
            </w:r>
          </w:p>
        </w:tc>
        <w:tc>
          <w:tcPr>
            <w:tcW w:w="8008" w:type="dxa"/>
          </w:tcPr>
          <w:p w:rsidR="008F6C07" w:rsidRDefault="008F6C07" w:rsidP="008F6C07">
            <w:pPr>
              <w:ind w:right="142"/>
              <w:jc w:val="both"/>
              <w:rPr>
                <w:rFonts w:ascii="Bookman Old Style" w:hAnsi="Bookman Old Style" w:cs="Arial"/>
              </w:rPr>
            </w:pPr>
            <w:r>
              <w:rPr>
                <w:rFonts w:ascii="Bookman Old Style" w:hAnsi="Bookman Old Style" w:cs="Arial"/>
                <w:bCs/>
              </w:rPr>
              <w:t xml:space="preserve">Proporción de la generación </w:t>
            </w:r>
            <w:r w:rsidR="007C7DC8">
              <w:rPr>
                <w:rFonts w:ascii="Bookman Old Style" w:hAnsi="Bookman Old Style" w:cs="Arial"/>
                <w:bCs/>
              </w:rPr>
              <w:t xml:space="preserve">de recursos energéticos </w:t>
            </w:r>
            <w:r>
              <w:rPr>
                <w:rFonts w:ascii="Bookman Old Style" w:hAnsi="Bookman Old Style" w:cs="Arial"/>
                <w:bCs/>
              </w:rPr>
              <w:t>diésel como parte de la generación del parque de generación de</w:t>
            </w:r>
            <w:r>
              <w:rPr>
                <w:rFonts w:ascii="Bookman Old Style" w:hAnsi="Bookman Old Style" w:cs="Arial"/>
              </w:rPr>
              <w:t xml:space="preserve">l </w:t>
            </w:r>
            <w:r w:rsidR="00D877C9">
              <w:rPr>
                <w:rFonts w:ascii="Bookman Old Style" w:hAnsi="Bookman Old Style" w:cs="Arial"/>
              </w:rPr>
              <w:t>mercado relevante de comercialización señalado en este artículo</w:t>
            </w:r>
            <w:r>
              <w:rPr>
                <w:rFonts w:ascii="Bookman Old Style" w:hAnsi="Bookman Old Style" w:cs="Arial"/>
              </w:rPr>
              <w:t xml:space="preserve">, para el mes </w:t>
            </w:r>
            <w:r w:rsidRPr="007C7DC8">
              <w:rPr>
                <w:rFonts w:ascii="Bookman Old Style" w:hAnsi="Bookman Old Style" w:cs="Arial"/>
                <w:i/>
              </w:rPr>
              <w:t>m</w:t>
            </w:r>
            <w:r>
              <w:rPr>
                <w:rFonts w:ascii="Bookman Old Style" w:hAnsi="Bookman Old Style" w:cs="Arial"/>
              </w:rPr>
              <w:t>.</w:t>
            </w:r>
          </w:p>
          <w:p w:rsidR="008F6C07" w:rsidRPr="00F7441B" w:rsidRDefault="008F6C07" w:rsidP="008F6C07">
            <w:pPr>
              <w:ind w:right="142"/>
              <w:jc w:val="both"/>
              <w:rPr>
                <w:rFonts w:ascii="Bookman Old Style" w:hAnsi="Bookman Old Style" w:cs="Arial"/>
                <w:bCs/>
              </w:rPr>
            </w:pPr>
          </w:p>
        </w:tc>
      </w:tr>
      <w:tr w:rsidR="008F6C07" w:rsidTr="00B628FB">
        <w:tc>
          <w:tcPr>
            <w:tcW w:w="912" w:type="dxa"/>
          </w:tcPr>
          <w:p w:rsidR="008F6C07" w:rsidRPr="00F3786E" w:rsidRDefault="008F6C07" w:rsidP="00B628FB">
            <w:pPr>
              <w:ind w:right="142"/>
              <w:rPr>
                <w:rFonts w:ascii="Bookman Old Style" w:hAnsi="Bookman Old Style" w:cs="Arial"/>
                <w:bCs/>
              </w:rPr>
            </w:pPr>
            <m:oMathPara>
              <m:oMathParaPr>
                <m:jc m:val="left"/>
              </m:oMathParaPr>
              <m:oMath>
                <m:r>
                  <w:rPr>
                    <w:rFonts w:ascii="Cambria Math" w:hAnsi="Cambria Math" w:cs="Arial"/>
                  </w:rPr>
                  <m:t>β</m:t>
                </m:r>
              </m:oMath>
            </m:oMathPara>
          </w:p>
        </w:tc>
        <w:tc>
          <w:tcPr>
            <w:tcW w:w="435" w:type="dxa"/>
          </w:tcPr>
          <w:p w:rsidR="008F6C07" w:rsidRDefault="008F6C07" w:rsidP="00B628FB">
            <w:pPr>
              <w:ind w:right="142"/>
              <w:jc w:val="both"/>
              <w:rPr>
                <w:rFonts w:ascii="Bookman Old Style" w:hAnsi="Bookman Old Style" w:cs="Arial"/>
                <w:bCs/>
              </w:rPr>
            </w:pPr>
            <w:r>
              <w:rPr>
                <w:rFonts w:ascii="Bookman Old Style" w:hAnsi="Bookman Old Style" w:cs="Arial"/>
                <w:bCs/>
              </w:rPr>
              <w:t>:</w:t>
            </w:r>
          </w:p>
        </w:tc>
        <w:tc>
          <w:tcPr>
            <w:tcW w:w="8008" w:type="dxa"/>
          </w:tcPr>
          <w:p w:rsidR="008F6C07" w:rsidRDefault="008F6C07" w:rsidP="00B628FB">
            <w:pPr>
              <w:ind w:right="142"/>
              <w:jc w:val="both"/>
              <w:rPr>
                <w:rFonts w:ascii="Bookman Old Style" w:hAnsi="Bookman Old Style" w:cs="Arial"/>
              </w:rPr>
            </w:pPr>
            <w:r>
              <w:rPr>
                <w:rFonts w:ascii="Bookman Old Style" w:hAnsi="Bookman Old Style" w:cs="Arial"/>
              </w:rPr>
              <w:t>0,857.</w:t>
            </w:r>
          </w:p>
          <w:p w:rsidR="00672E15" w:rsidRDefault="00672E15" w:rsidP="00B628FB">
            <w:pPr>
              <w:ind w:right="142"/>
              <w:jc w:val="both"/>
              <w:rPr>
                <w:rFonts w:ascii="Bookman Old Style" w:hAnsi="Bookman Old Style" w:cs="Arial"/>
              </w:rPr>
            </w:pPr>
          </w:p>
        </w:tc>
      </w:tr>
      <w:tr w:rsidR="008F6C07" w:rsidTr="00B628FB">
        <w:tc>
          <w:tcPr>
            <w:tcW w:w="912" w:type="dxa"/>
          </w:tcPr>
          <w:p w:rsidR="008F6C07" w:rsidRPr="00672E15"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tc>
        <w:tc>
          <w:tcPr>
            <w:tcW w:w="435" w:type="dxa"/>
          </w:tcPr>
          <w:p w:rsidR="008F6C07" w:rsidRDefault="00672E15" w:rsidP="00B628FB">
            <w:pPr>
              <w:ind w:right="142"/>
              <w:jc w:val="both"/>
              <w:rPr>
                <w:rFonts w:ascii="Bookman Old Style" w:hAnsi="Bookman Old Style" w:cs="Arial"/>
                <w:bCs/>
              </w:rPr>
            </w:pPr>
            <w:r>
              <w:rPr>
                <w:rFonts w:ascii="Bookman Old Style" w:hAnsi="Bookman Old Style" w:cs="Arial"/>
                <w:bCs/>
              </w:rPr>
              <w:t>:</w:t>
            </w:r>
          </w:p>
        </w:tc>
        <w:tc>
          <w:tcPr>
            <w:tcW w:w="8008" w:type="dxa"/>
          </w:tcPr>
          <w:p w:rsidR="008F6C07" w:rsidRDefault="00672E15" w:rsidP="00672E15">
            <w:pPr>
              <w:ind w:right="142"/>
              <w:jc w:val="both"/>
              <w:rPr>
                <w:rFonts w:ascii="Bookman Old Style" w:hAnsi="Bookman Old Style" w:cs="Arial"/>
              </w:rPr>
            </w:pPr>
            <w:r w:rsidRPr="00672E15">
              <w:rPr>
                <w:rFonts w:ascii="Bookman Old Style" w:hAnsi="Bookman Old Style" w:cs="Arial"/>
              </w:rPr>
              <w:t xml:space="preserve">Cargo </w:t>
            </w:r>
            <w:r w:rsidR="00BE5D7F">
              <w:rPr>
                <w:rFonts w:ascii="Bookman Old Style" w:hAnsi="Bookman Old Style" w:cs="Arial"/>
              </w:rPr>
              <w:t>m</w:t>
            </w:r>
            <w:r>
              <w:rPr>
                <w:rFonts w:ascii="Bookman Old Style" w:hAnsi="Bookman Old Style" w:cs="Arial"/>
              </w:rPr>
              <w:t xml:space="preserve">áximo </w:t>
            </w:r>
            <w:r w:rsidRPr="00672E15">
              <w:rPr>
                <w:rFonts w:ascii="Bookman Old Style" w:hAnsi="Bookman Old Style" w:cs="Arial"/>
              </w:rPr>
              <w:t xml:space="preserve">que remunera la </w:t>
            </w:r>
            <w:r w:rsidR="00BE5D7F">
              <w:rPr>
                <w:rFonts w:ascii="Bookman Old Style" w:hAnsi="Bookman Old Style" w:cs="Arial"/>
              </w:rPr>
              <w:t>a</w:t>
            </w:r>
            <w:r w:rsidRPr="00672E15">
              <w:rPr>
                <w:rFonts w:ascii="Bookman Old Style" w:hAnsi="Bookman Old Style" w:cs="Arial"/>
              </w:rPr>
              <w:t xml:space="preserve">ctividad de </w:t>
            </w:r>
            <w:r w:rsidR="00BE5D7F">
              <w:rPr>
                <w:rFonts w:ascii="Bookman Old Style" w:hAnsi="Bookman Old Style" w:cs="Arial"/>
              </w:rPr>
              <w:t>m</w:t>
            </w:r>
            <w:r w:rsidRPr="00672E15">
              <w:rPr>
                <w:rFonts w:ascii="Bookman Old Style" w:hAnsi="Bookman Old Style" w:cs="Arial"/>
              </w:rPr>
              <w:t xml:space="preserve">onitoreo, expresado </w:t>
            </w:r>
            <w:r>
              <w:rPr>
                <w:rFonts w:ascii="Bookman Old Style" w:hAnsi="Bookman Old Style" w:cs="Arial"/>
                <w:bCs/>
              </w:rPr>
              <w:t>en pesos por kilovatio hora</w:t>
            </w:r>
            <w:r w:rsidRPr="00F7441B">
              <w:rPr>
                <w:rFonts w:ascii="Bookman Old Style" w:hAnsi="Bookman Old Style" w:cs="Arial"/>
                <w:bCs/>
              </w:rPr>
              <w:t xml:space="preserve"> ($/</w:t>
            </w:r>
            <w:proofErr w:type="spellStart"/>
            <w:r w:rsidRPr="00F7441B">
              <w:rPr>
                <w:rFonts w:ascii="Bookman Old Style" w:hAnsi="Bookman Old Style" w:cs="Arial"/>
                <w:bCs/>
              </w:rPr>
              <w:t>kWh</w:t>
            </w:r>
            <w:proofErr w:type="spellEnd"/>
            <w:r w:rsidRPr="00F7441B">
              <w:rPr>
                <w:rFonts w:ascii="Bookman Old Style" w:hAnsi="Bookman Old Style" w:cs="Arial"/>
                <w:bCs/>
              </w:rPr>
              <w:t>)</w:t>
            </w:r>
            <w:r>
              <w:rPr>
                <w:rFonts w:ascii="Bookman Old Style" w:hAnsi="Bookman Old Style" w:cs="Arial"/>
                <w:bCs/>
              </w:rPr>
              <w:t xml:space="preserve">. Para los efectos de esta resolución el valor reconocido será igual a cero (0). La </w:t>
            </w:r>
            <w:r w:rsidRPr="00672E15">
              <w:rPr>
                <w:rFonts w:ascii="Bookman Old Style" w:hAnsi="Bookman Old Style" w:cs="Arial"/>
              </w:rPr>
              <w:t xml:space="preserve">CREG </w:t>
            </w:r>
            <w:r>
              <w:rPr>
                <w:rFonts w:ascii="Bookman Old Style" w:hAnsi="Bookman Old Style" w:cs="Arial"/>
              </w:rPr>
              <w:t xml:space="preserve">podrá revisar </w:t>
            </w:r>
            <w:r w:rsidR="007C7DC8">
              <w:rPr>
                <w:rFonts w:ascii="Bookman Old Style" w:hAnsi="Bookman Old Style" w:cs="Arial"/>
              </w:rPr>
              <w:t xml:space="preserve">este valor, de oficio o por solicitud del prestador del servicio, </w:t>
            </w:r>
            <w:r w:rsidRPr="00672E15">
              <w:rPr>
                <w:rFonts w:ascii="Bookman Old Style" w:hAnsi="Bookman Old Style" w:cs="Arial"/>
              </w:rPr>
              <w:t xml:space="preserve">en </w:t>
            </w:r>
            <w:r>
              <w:rPr>
                <w:rFonts w:ascii="Bookman Old Style" w:hAnsi="Bookman Old Style" w:cs="Arial"/>
              </w:rPr>
              <w:t>r</w:t>
            </w:r>
            <w:r w:rsidRPr="00672E15">
              <w:rPr>
                <w:rFonts w:ascii="Bookman Old Style" w:hAnsi="Bookman Old Style" w:cs="Arial"/>
              </w:rPr>
              <w:t>esolución posterior.</w:t>
            </w:r>
          </w:p>
          <w:p w:rsidR="00672E15" w:rsidRDefault="00672E15" w:rsidP="00672E15">
            <w:pPr>
              <w:ind w:right="142"/>
              <w:jc w:val="both"/>
              <w:rPr>
                <w:rFonts w:ascii="Bookman Old Style" w:hAnsi="Bookman Old Style" w:cs="Arial"/>
              </w:rPr>
            </w:pPr>
          </w:p>
        </w:tc>
      </w:tr>
      <w:tr w:rsidR="008F6C07" w:rsidTr="00B628FB">
        <w:tc>
          <w:tcPr>
            <w:tcW w:w="912" w:type="dxa"/>
          </w:tcPr>
          <w:p w:rsidR="008F6C07" w:rsidRPr="00FA14D6" w:rsidRDefault="00AB5452" w:rsidP="00B628FB">
            <w:pPr>
              <w:ind w:right="142"/>
              <w:rPr>
                <w:i/>
              </w:rPr>
            </w:pPr>
            <w:r w:rsidRPr="00FA14D6">
              <w:rPr>
                <w:i/>
              </w:rPr>
              <w:t>M</w:t>
            </w:r>
          </w:p>
        </w:tc>
        <w:tc>
          <w:tcPr>
            <w:tcW w:w="435" w:type="dxa"/>
          </w:tcPr>
          <w:p w:rsidR="008F6C07" w:rsidRDefault="008F6C07" w:rsidP="00B628FB">
            <w:pPr>
              <w:ind w:right="142"/>
              <w:jc w:val="both"/>
              <w:rPr>
                <w:rFonts w:ascii="Bookman Old Style" w:hAnsi="Bookman Old Style" w:cs="Arial"/>
                <w:bCs/>
              </w:rPr>
            </w:pPr>
            <w:r>
              <w:rPr>
                <w:rFonts w:ascii="Bookman Old Style" w:hAnsi="Bookman Old Style" w:cs="Arial"/>
                <w:bCs/>
              </w:rPr>
              <w:t>:</w:t>
            </w:r>
          </w:p>
        </w:tc>
        <w:tc>
          <w:tcPr>
            <w:tcW w:w="8008" w:type="dxa"/>
          </w:tcPr>
          <w:p w:rsidR="008F6C07" w:rsidRDefault="008F6C07" w:rsidP="00B628FB">
            <w:pPr>
              <w:ind w:right="142"/>
              <w:jc w:val="both"/>
              <w:rPr>
                <w:rFonts w:ascii="Bookman Old Style" w:hAnsi="Bookman Old Style" w:cs="Arial"/>
              </w:rPr>
            </w:pPr>
            <w:r>
              <w:rPr>
                <w:rFonts w:ascii="Bookman Old Style" w:hAnsi="Bookman Old Style" w:cs="Arial"/>
              </w:rPr>
              <w:t>Mes de cálculo de la tarifa.</w:t>
            </w:r>
          </w:p>
          <w:p w:rsidR="007C7DC8" w:rsidRDefault="007C7DC8" w:rsidP="00B628FB">
            <w:pPr>
              <w:ind w:right="142"/>
              <w:jc w:val="both"/>
              <w:rPr>
                <w:rFonts w:ascii="Bookman Old Style" w:hAnsi="Bookman Old Style" w:cs="Arial"/>
              </w:rPr>
            </w:pPr>
          </w:p>
        </w:tc>
      </w:tr>
    </w:tbl>
    <w:p w:rsidR="008F6C07" w:rsidRDefault="008F6C07" w:rsidP="006931CD">
      <w:pPr>
        <w:ind w:left="284" w:right="142"/>
        <w:jc w:val="both"/>
        <w:rPr>
          <w:rFonts w:ascii="Bookman Old Style" w:hAnsi="Bookman Old Style" w:cs="Arial"/>
        </w:rPr>
      </w:pPr>
    </w:p>
    <w:p w:rsidR="008F6C07" w:rsidRDefault="008F6C07" w:rsidP="006931CD">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oMath>
      <w:r>
        <w:rPr>
          <w:rFonts w:ascii="Bookman Old Style" w:hAnsi="Bookman Old Style" w:cs="Arial"/>
        </w:rPr>
        <w:t xml:space="preserve"> se obtiene a partir de la siguiente fórmula</w:t>
      </w:r>
      <w:r w:rsidR="00672E15">
        <w:rPr>
          <w:rFonts w:ascii="Bookman Old Style" w:hAnsi="Bookman Old Style" w:cs="Arial"/>
        </w:rPr>
        <w:t>:</w:t>
      </w:r>
    </w:p>
    <w:p w:rsidR="008F6C07" w:rsidRDefault="008F6C07" w:rsidP="006931CD">
      <w:pPr>
        <w:ind w:left="284" w:right="142"/>
        <w:jc w:val="both"/>
        <w:rPr>
          <w:rFonts w:ascii="Bookman Old Style" w:hAnsi="Bookman Old Style" w:cs="Arial"/>
        </w:rPr>
      </w:pPr>
    </w:p>
    <w:p w:rsidR="00D96D73" w:rsidRDefault="00845345" w:rsidP="006931CD">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ED</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oMath>
      </m:oMathPara>
    </w:p>
    <w:p w:rsidR="00D96D73" w:rsidRDefault="00D96D73" w:rsidP="006931CD">
      <w:pPr>
        <w:ind w:left="284" w:right="142"/>
        <w:jc w:val="both"/>
        <w:rPr>
          <w:rFonts w:ascii="Bookman Old Style" w:hAnsi="Bookman Old Style" w:cs="Arial"/>
        </w:rPr>
      </w:pPr>
    </w:p>
    <w:p w:rsidR="008F6C07" w:rsidRDefault="008F6C07" w:rsidP="008F6C07">
      <w:pPr>
        <w:ind w:left="284" w:right="142"/>
        <w:jc w:val="both"/>
        <w:rPr>
          <w:rFonts w:ascii="Bookman Old Style" w:hAnsi="Bookman Old Style" w:cs="Arial"/>
        </w:rPr>
      </w:pPr>
      <w:r>
        <w:rPr>
          <w:rFonts w:ascii="Bookman Old Style" w:hAnsi="Bookman Old Style" w:cs="Arial"/>
        </w:rPr>
        <w:t>En donde,</w:t>
      </w: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433"/>
        <w:gridCol w:w="8010"/>
      </w:tblGrid>
      <w:tr w:rsidR="008F6C07" w:rsidTr="0036103B">
        <w:tc>
          <w:tcPr>
            <w:tcW w:w="912" w:type="dxa"/>
          </w:tcPr>
          <w:p w:rsidR="008F6C07" w:rsidRPr="00FA14D6"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ED</m:t>
                    </m:r>
                  </m:e>
                  <m:sub>
                    <m:r>
                      <w:rPr>
                        <w:rFonts w:ascii="Cambria Math" w:hAnsi="Cambria Math" w:cs="Arial"/>
                      </w:rPr>
                      <m:t>m-1</m:t>
                    </m:r>
                  </m:sub>
                </m:sSub>
              </m:oMath>
            </m:oMathPara>
          </w:p>
        </w:tc>
        <w:tc>
          <w:tcPr>
            <w:tcW w:w="433" w:type="dxa"/>
          </w:tcPr>
          <w:p w:rsidR="008F6C07" w:rsidRDefault="008F6C07" w:rsidP="00B628FB">
            <w:pPr>
              <w:ind w:right="142"/>
              <w:jc w:val="both"/>
              <w:rPr>
                <w:rFonts w:ascii="Bookman Old Style" w:hAnsi="Bookman Old Style" w:cs="Arial"/>
                <w:bCs/>
              </w:rPr>
            </w:pPr>
          </w:p>
        </w:tc>
        <w:tc>
          <w:tcPr>
            <w:tcW w:w="8010" w:type="dxa"/>
          </w:tcPr>
          <w:p w:rsidR="007F281C" w:rsidRDefault="008F6C07" w:rsidP="00AB5452">
            <w:pPr>
              <w:ind w:right="142"/>
              <w:jc w:val="both"/>
              <w:rPr>
                <w:rFonts w:ascii="Bookman Old Style" w:hAnsi="Bookman Old Style" w:cs="Arial"/>
              </w:rPr>
            </w:pPr>
            <w:r>
              <w:rPr>
                <w:rFonts w:ascii="Bookman Old Style" w:hAnsi="Bookman Old Style" w:cs="Arial"/>
              </w:rPr>
              <w:t xml:space="preserve">Energía total entregada al sistema de distribución del </w:t>
            </w:r>
            <w:r w:rsidR="00AB5452">
              <w:rPr>
                <w:rFonts w:ascii="Bookman Old Style" w:hAnsi="Bookman Old Style" w:cs="Arial"/>
              </w:rPr>
              <w:t>mercado relevante de comercialización señalado en este artículo</w:t>
            </w:r>
            <w:r>
              <w:rPr>
                <w:rFonts w:ascii="Bookman Old Style" w:hAnsi="Bookman Old Style" w:cs="Arial"/>
              </w:rPr>
              <w:t xml:space="preserve">, por </w:t>
            </w:r>
            <w:r w:rsidR="007C7DC8">
              <w:rPr>
                <w:rFonts w:ascii="Bookman Old Style" w:hAnsi="Bookman Old Style" w:cs="Arial"/>
              </w:rPr>
              <w:t xml:space="preserve">los recursos energéticos </w:t>
            </w:r>
            <w:r>
              <w:rPr>
                <w:rFonts w:ascii="Bookman Old Style" w:hAnsi="Bookman Old Style" w:cs="Arial"/>
              </w:rPr>
              <w:t xml:space="preserve">diésel del parque de generación, durante los últimos doce meses contados a partir del mes </w:t>
            </w:r>
            <w:r w:rsidRPr="00FB562A">
              <w:rPr>
                <w:rFonts w:ascii="Bookman Old Style" w:hAnsi="Bookman Old Style" w:cs="Arial"/>
                <w:i/>
              </w:rPr>
              <w:t>m</w:t>
            </w:r>
            <w:r>
              <w:rPr>
                <w:rFonts w:ascii="Bookman Old Style" w:hAnsi="Bookman Old Style" w:cs="Arial"/>
                <w:i/>
              </w:rPr>
              <w:t>-1</w:t>
            </w:r>
            <w:r w:rsidR="007F281C">
              <w:rPr>
                <w:rFonts w:ascii="Bookman Old Style" w:hAnsi="Bookman Old Style" w:cs="Arial"/>
              </w:rPr>
              <w:t>.</w:t>
            </w:r>
          </w:p>
          <w:p w:rsidR="007F281C" w:rsidRDefault="007F281C" w:rsidP="00AB5452">
            <w:pPr>
              <w:ind w:right="142"/>
              <w:jc w:val="both"/>
              <w:rPr>
                <w:rFonts w:ascii="Bookman Old Style" w:hAnsi="Bookman Old Style" w:cs="Arial"/>
              </w:rPr>
            </w:pPr>
          </w:p>
          <w:p w:rsidR="00AB5452" w:rsidRDefault="00DC032F" w:rsidP="00DC032F">
            <w:pPr>
              <w:ind w:right="142"/>
              <w:jc w:val="both"/>
              <w:rPr>
                <w:rFonts w:ascii="Bookman Old Style" w:hAnsi="Bookman Old Style" w:cs="Arial"/>
              </w:rPr>
            </w:pPr>
            <w:r>
              <w:rPr>
                <w:rFonts w:ascii="Bookman Old Style" w:hAnsi="Bookman Old Style" w:cs="Arial"/>
              </w:rPr>
              <w:t xml:space="preserve">A partir de la entrada en vigencia de esta resolución, según lo previsto en el artículo 3 </w:t>
            </w:r>
            <w:r w:rsidR="00A92F37">
              <w:rPr>
                <w:rFonts w:ascii="Bookman Old Style" w:hAnsi="Bookman Old Style" w:cs="Arial"/>
              </w:rPr>
              <w:t xml:space="preserve">de esta resolución </w:t>
            </w:r>
            <w:r>
              <w:rPr>
                <w:rFonts w:ascii="Bookman Old Style" w:hAnsi="Bookman Old Style" w:cs="Arial"/>
              </w:rPr>
              <w:t xml:space="preserve">y hasta contar con un histórico de 12 meses, </w:t>
            </w:r>
            <w:r w:rsidR="007F281C">
              <w:rPr>
                <w:rFonts w:ascii="Bookman Old Style" w:hAnsi="Bookman Old Style" w:cs="Arial"/>
              </w:rPr>
              <w:t>se tomará la inform</w:t>
            </w:r>
            <w:r>
              <w:rPr>
                <w:rFonts w:ascii="Bookman Old Style" w:hAnsi="Bookman Old Style" w:cs="Arial"/>
              </w:rPr>
              <w:t>ación acumulada de los meses que hayan transcurrido.</w:t>
            </w:r>
          </w:p>
          <w:p w:rsidR="00DC032F" w:rsidRDefault="00DC032F" w:rsidP="00DC032F">
            <w:pPr>
              <w:ind w:right="142"/>
              <w:jc w:val="both"/>
              <w:rPr>
                <w:rFonts w:ascii="Bookman Old Style" w:hAnsi="Bookman Old Style" w:cs="Arial"/>
              </w:rPr>
            </w:pPr>
          </w:p>
        </w:tc>
      </w:tr>
      <w:tr w:rsidR="008F6C07" w:rsidTr="0036103B">
        <w:tc>
          <w:tcPr>
            <w:tcW w:w="912" w:type="dxa"/>
          </w:tcPr>
          <w:p w:rsidR="008F6C07" w:rsidRPr="00FA14D6"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m:oMathPara>
          </w:p>
        </w:tc>
        <w:tc>
          <w:tcPr>
            <w:tcW w:w="433" w:type="dxa"/>
          </w:tcPr>
          <w:p w:rsidR="008F6C07" w:rsidRDefault="008F6C07" w:rsidP="00B628FB">
            <w:pPr>
              <w:ind w:right="142"/>
              <w:jc w:val="both"/>
              <w:rPr>
                <w:rFonts w:ascii="Bookman Old Style" w:hAnsi="Bookman Old Style" w:cs="Arial"/>
                <w:bCs/>
              </w:rPr>
            </w:pPr>
          </w:p>
        </w:tc>
        <w:tc>
          <w:tcPr>
            <w:tcW w:w="8010" w:type="dxa"/>
          </w:tcPr>
          <w:p w:rsidR="00685D1D" w:rsidRDefault="008F6C07" w:rsidP="007F281C">
            <w:pPr>
              <w:ind w:right="142"/>
              <w:jc w:val="both"/>
              <w:rPr>
                <w:rFonts w:ascii="Bookman Old Style" w:hAnsi="Bookman Old Style" w:cs="Arial"/>
              </w:rPr>
            </w:pPr>
            <w:r>
              <w:rPr>
                <w:rFonts w:ascii="Bookman Old Style" w:hAnsi="Bookman Old Style" w:cs="Arial"/>
              </w:rPr>
              <w:t xml:space="preserve">Energía total entregada al sistema de distribución del </w:t>
            </w:r>
            <w:r w:rsidR="007F281C">
              <w:rPr>
                <w:rFonts w:ascii="Bookman Old Style" w:hAnsi="Bookman Old Style" w:cs="Arial"/>
              </w:rPr>
              <w:t>mercado relevante de comercialización señalado en este artículo</w:t>
            </w:r>
            <w:r>
              <w:rPr>
                <w:rFonts w:ascii="Bookman Old Style" w:hAnsi="Bookman Old Style" w:cs="Arial"/>
              </w:rPr>
              <w:t xml:space="preserve">, por el parque de generación, durante los últimos doce meses contados a partir del mes </w:t>
            </w:r>
            <w:r w:rsidRPr="00FB562A">
              <w:rPr>
                <w:rFonts w:ascii="Bookman Old Style" w:hAnsi="Bookman Old Style" w:cs="Arial"/>
                <w:i/>
              </w:rPr>
              <w:t>m</w:t>
            </w:r>
            <w:r>
              <w:rPr>
                <w:rFonts w:ascii="Bookman Old Style" w:hAnsi="Bookman Old Style" w:cs="Arial"/>
                <w:i/>
              </w:rPr>
              <w:t>-1</w:t>
            </w:r>
            <w:r>
              <w:rPr>
                <w:rFonts w:ascii="Bookman Old Style" w:hAnsi="Bookman Old Style" w:cs="Arial"/>
              </w:rPr>
              <w:t xml:space="preserve">. </w:t>
            </w:r>
          </w:p>
          <w:p w:rsidR="007F281C" w:rsidRDefault="007F281C" w:rsidP="007F281C">
            <w:pPr>
              <w:ind w:right="142"/>
              <w:jc w:val="both"/>
              <w:rPr>
                <w:rFonts w:ascii="Bookman Old Style" w:hAnsi="Bookman Old Style" w:cs="Arial"/>
              </w:rPr>
            </w:pPr>
          </w:p>
          <w:p w:rsidR="00DC032F" w:rsidRDefault="00DC032F" w:rsidP="00DC032F">
            <w:pPr>
              <w:ind w:right="142"/>
              <w:jc w:val="both"/>
              <w:rPr>
                <w:rFonts w:ascii="Bookman Old Style" w:hAnsi="Bookman Old Style" w:cs="Arial"/>
              </w:rPr>
            </w:pPr>
            <w:r>
              <w:rPr>
                <w:rFonts w:ascii="Bookman Old Style" w:hAnsi="Bookman Old Style" w:cs="Arial"/>
              </w:rPr>
              <w:t>A partir de la entrada en vigencia de esta resolución, según lo previsto en el artículo 3</w:t>
            </w:r>
            <w:r w:rsidR="00A92F37">
              <w:rPr>
                <w:rFonts w:ascii="Bookman Old Style" w:hAnsi="Bookman Old Style" w:cs="Arial"/>
              </w:rPr>
              <w:t xml:space="preserve"> de esta resolución</w:t>
            </w:r>
            <w:r>
              <w:rPr>
                <w:rFonts w:ascii="Bookman Old Style" w:hAnsi="Bookman Old Style" w:cs="Arial"/>
              </w:rPr>
              <w:t xml:space="preserve"> y hasta contar con un histórico de 12 meses, se tomará la información acumulada de los meses que hayan transcurrido.</w:t>
            </w:r>
          </w:p>
          <w:p w:rsidR="007F281C" w:rsidRDefault="007F281C" w:rsidP="007F281C">
            <w:pPr>
              <w:ind w:right="142"/>
              <w:jc w:val="both"/>
              <w:rPr>
                <w:rFonts w:ascii="Bookman Old Style" w:hAnsi="Bookman Old Style" w:cs="Arial"/>
              </w:rPr>
            </w:pPr>
          </w:p>
        </w:tc>
      </w:tr>
    </w:tbl>
    <w:p w:rsidR="00685D1D" w:rsidRDefault="00685D1D" w:rsidP="00685D1D">
      <w:pPr>
        <w:ind w:left="284" w:right="142"/>
        <w:jc w:val="both"/>
        <w:rPr>
          <w:rFonts w:ascii="Bookman Old Style" w:hAnsi="Bookman Old Style" w:cs="Arial"/>
        </w:rPr>
      </w:pPr>
    </w:p>
    <w:p w:rsidR="00685D1D" w:rsidRDefault="00685D1D" w:rsidP="00685D1D">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oMath>
      <w:r>
        <w:rPr>
          <w:rFonts w:ascii="Bookman Old Style" w:hAnsi="Bookman Old Style" w:cs="Arial"/>
        </w:rPr>
        <w:t xml:space="preserve"> se obtiene a partir de la siguiente fórmula:</w:t>
      </w:r>
    </w:p>
    <w:p w:rsidR="00685D1D" w:rsidRDefault="00685D1D" w:rsidP="006931CD">
      <w:pPr>
        <w:ind w:left="284" w:right="142"/>
        <w:jc w:val="both"/>
        <w:rPr>
          <w:rFonts w:ascii="Bookman Old Style" w:hAnsi="Bookman Old Style" w:cs="Arial"/>
        </w:rPr>
      </w:pPr>
    </w:p>
    <w:p w:rsidR="00D96D73" w:rsidRDefault="00845345" w:rsidP="006931CD">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r>
            <w:rPr>
              <w:rFonts w:ascii="Cambria Math" w:hAnsi="Cambria Math" w:cs="Arial"/>
            </w:rPr>
            <m:t>=</m:t>
          </m:r>
          <m:d>
            <m:dPr>
              <m:begChr m:val="["/>
              <m:endChr m:val="]"/>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0,D</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0,D</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+1,1</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e>
              </m:d>
            </m:e>
          </m:d>
          <m:r>
            <w:rPr>
              <w:rFonts w:ascii="Cambria Math" w:hAnsi="Cambria Math" w:cs="Arial"/>
            </w:rPr>
            <m:t>*</m:t>
          </m:r>
          <m:d>
            <m:dPr>
              <m:ctrlPr>
                <w:rPr>
                  <w:rFonts w:ascii="Cambria Math" w:hAnsi="Cambria Math" w:cs="Arial"/>
                  <w:i/>
                </w:rPr>
              </m:ctrlPr>
            </m:dPr>
            <m:e>
              <m:r>
                <w:rPr>
                  <w:rFonts w:ascii="Cambria Math" w:hAnsi="Cambria Math" w:cs="Arial"/>
                </w:rPr>
                <m:t>1+PT</m:t>
              </m:r>
            </m:e>
          </m:d>
        </m:oMath>
      </m:oMathPara>
    </w:p>
    <w:p w:rsidR="00D96D73" w:rsidRDefault="00D96D73" w:rsidP="006931CD">
      <w:pPr>
        <w:ind w:left="284" w:right="142"/>
        <w:jc w:val="both"/>
        <w:rPr>
          <w:rFonts w:ascii="Bookman Old Style" w:hAnsi="Bookman Old Style" w:cs="Arial"/>
        </w:rPr>
      </w:pPr>
    </w:p>
    <w:p w:rsidR="00AF6567" w:rsidRDefault="00AF6567" w:rsidP="006931CD">
      <w:pPr>
        <w:ind w:left="284" w:right="142"/>
        <w:jc w:val="both"/>
        <w:rPr>
          <w:rFonts w:ascii="Bookman Old Style" w:hAnsi="Bookman Old Style" w:cs="Arial"/>
        </w:rPr>
      </w:pPr>
      <w:r>
        <w:rPr>
          <w:rFonts w:ascii="Bookman Old Style" w:hAnsi="Bookman Old Style" w:cs="Arial"/>
        </w:rPr>
        <w:t>En donde,</w:t>
      </w:r>
    </w:p>
    <w:p w:rsidR="00AF6567" w:rsidRDefault="00AF6567" w:rsidP="006931CD">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435"/>
        <w:gridCol w:w="7947"/>
      </w:tblGrid>
      <w:tr w:rsidR="00AF6567" w:rsidTr="00E95E47">
        <w:tc>
          <w:tcPr>
            <w:tcW w:w="973" w:type="dxa"/>
          </w:tcPr>
          <w:p w:rsidR="00AF6567" w:rsidRPr="00FA14D6"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0,D</m:t>
                    </m:r>
                  </m:sub>
                </m:sSub>
              </m:oMath>
            </m:oMathPara>
          </w:p>
        </w:tc>
        <w:tc>
          <w:tcPr>
            <w:tcW w:w="435" w:type="dxa"/>
          </w:tcPr>
          <w:p w:rsidR="00AF6567" w:rsidRDefault="00AF6567" w:rsidP="00B628FB">
            <w:pPr>
              <w:ind w:right="142"/>
              <w:jc w:val="both"/>
              <w:rPr>
                <w:rFonts w:ascii="Bookman Old Style" w:hAnsi="Bookman Old Style" w:cs="Arial"/>
                <w:bCs/>
              </w:rPr>
            </w:pPr>
            <w:r>
              <w:rPr>
                <w:rFonts w:ascii="Bookman Old Style" w:hAnsi="Bookman Old Style" w:cs="Arial"/>
                <w:bCs/>
              </w:rPr>
              <w:t>:</w:t>
            </w:r>
          </w:p>
        </w:tc>
        <w:tc>
          <w:tcPr>
            <w:tcW w:w="7947" w:type="dxa"/>
          </w:tcPr>
          <w:p w:rsidR="007C7DC8" w:rsidRDefault="007C7DC8" w:rsidP="00B628FB">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del</w:t>
            </w:r>
            <w:r w:rsidR="0008083F">
              <w:rPr>
                <w:rFonts w:ascii="Bookman Old Style" w:hAnsi="Bookman Old Style" w:cs="Arial"/>
              </w:rPr>
              <w:t xml:space="preserve"> costo promedio ponderado de inversión, por energía generada,</w:t>
            </w:r>
            <w:r>
              <w:rPr>
                <w:rFonts w:ascii="Bookman Old Style" w:hAnsi="Bookman Old Style" w:cs="Arial"/>
              </w:rPr>
              <w:t xml:space="preserve"> de los recursos energéticos </w:t>
            </w:r>
            <w:r w:rsidRPr="007C7DC8">
              <w:rPr>
                <w:rFonts w:ascii="Bookman Old Style" w:hAnsi="Bookman Old Style" w:cs="Arial"/>
              </w:rPr>
              <w:t>diés</w:t>
            </w:r>
            <w:r>
              <w:rPr>
                <w:rFonts w:ascii="Bookman Old Style" w:hAnsi="Bookman Old Style" w:cs="Arial"/>
              </w:rPr>
              <w:t xml:space="preserve">el, </w:t>
            </w:r>
            <w:r w:rsidRPr="00920F21">
              <w:rPr>
                <w:rFonts w:ascii="Bookman Old Style" w:hAnsi="Bookman Old Style" w:cs="Arial"/>
              </w:rPr>
              <w:t>de</w:t>
            </w:r>
            <w:r>
              <w:rPr>
                <w:rFonts w:ascii="Bookman Old Style" w:hAnsi="Bookman Old Style" w:cs="Arial"/>
              </w:rPr>
              <w:t xml:space="preserve">l </w:t>
            </w:r>
            <w:r w:rsidR="00E95E47">
              <w:rPr>
                <w:rFonts w:ascii="Bookman Old Style" w:hAnsi="Bookman Old Style" w:cs="Arial"/>
              </w:rPr>
              <w:t>mercado relevante de comercialización señalado en este artículo</w:t>
            </w:r>
            <w:r>
              <w:rPr>
                <w:rFonts w:ascii="Bookman Old Style" w:hAnsi="Bookman Old Style" w:cs="Arial"/>
              </w:rPr>
              <w:t>, expresado en pesos constantes de la fecha base</w:t>
            </w:r>
            <w:r w:rsidR="0008083F">
              <w:rPr>
                <w:rFonts w:ascii="Bookman Old Style" w:hAnsi="Bookman Old Style" w:cs="Arial"/>
              </w:rPr>
              <w:t>, s</w:t>
            </w:r>
            <w:r w:rsidR="0008083F" w:rsidRPr="0008083F">
              <w:rPr>
                <w:rFonts w:ascii="Bookman Old Style" w:hAnsi="Bookman Old Style" w:cs="Arial"/>
              </w:rPr>
              <w:t>eg</w:t>
            </w:r>
            <w:r w:rsidR="00783204">
              <w:rPr>
                <w:rFonts w:ascii="Bookman Old Style" w:hAnsi="Bookman Old Style" w:cs="Arial"/>
              </w:rPr>
              <w:t xml:space="preserve">ún lo previsto en el literal a) del artículo 22 </w:t>
            </w:r>
            <w:r w:rsidR="0008083F" w:rsidRPr="0008083F">
              <w:rPr>
                <w:rFonts w:ascii="Bookman Old Style" w:hAnsi="Bookman Old Style" w:cs="Arial"/>
              </w:rPr>
              <w:t xml:space="preserve">de la Resolución CREG 091 de 2007, modificada </w:t>
            </w:r>
            <w:r w:rsidR="0008083F" w:rsidRPr="00C367F8">
              <w:rPr>
                <w:rFonts w:ascii="Bookman Old Style" w:hAnsi="Bookman Old Style" w:cs="Arial"/>
              </w:rPr>
              <w:t xml:space="preserve">mediante </w:t>
            </w:r>
            <w:r w:rsidR="00783204">
              <w:rPr>
                <w:rFonts w:ascii="Bookman Old Style" w:hAnsi="Bookman Old Style" w:cs="Arial"/>
              </w:rPr>
              <w:t xml:space="preserve">la </w:t>
            </w:r>
            <w:r w:rsidR="0008083F" w:rsidRPr="00C367F8">
              <w:rPr>
                <w:rFonts w:ascii="Bookman Old Style" w:hAnsi="Bookman Old Style" w:cs="Arial"/>
              </w:rPr>
              <w:t xml:space="preserve">Resolución CREG </w:t>
            </w:r>
            <w:r w:rsidR="00C367F8" w:rsidRPr="00C367F8">
              <w:rPr>
                <w:rFonts w:ascii="Bookman Old Style" w:hAnsi="Bookman Old Style" w:cs="Arial"/>
              </w:rPr>
              <w:t>057</w:t>
            </w:r>
            <w:r w:rsidR="0008083F" w:rsidRPr="00C367F8">
              <w:rPr>
                <w:rFonts w:ascii="Bookman Old Style" w:hAnsi="Bookman Old Style" w:cs="Arial"/>
              </w:rPr>
              <w:t xml:space="preserve"> de 20</w:t>
            </w:r>
            <w:r w:rsidR="00C367F8" w:rsidRPr="00C367F8">
              <w:rPr>
                <w:rFonts w:ascii="Bookman Old Style" w:hAnsi="Bookman Old Style" w:cs="Arial"/>
              </w:rPr>
              <w:t>09</w:t>
            </w:r>
            <w:r w:rsidR="0008083F" w:rsidRPr="00C367F8">
              <w:rPr>
                <w:rFonts w:ascii="Bookman Old Style" w:hAnsi="Bookman Old Style" w:cs="Arial"/>
              </w:rPr>
              <w:t>.</w:t>
            </w:r>
          </w:p>
          <w:p w:rsidR="007C7DC8" w:rsidRDefault="007C7DC8" w:rsidP="00B628FB">
            <w:pPr>
              <w:ind w:right="142"/>
              <w:jc w:val="both"/>
              <w:rPr>
                <w:rFonts w:ascii="Bookman Old Style" w:hAnsi="Bookman Old Style" w:cs="Arial"/>
                <w:bCs/>
              </w:rPr>
            </w:pPr>
          </w:p>
        </w:tc>
      </w:tr>
      <w:tr w:rsidR="00AF6567" w:rsidTr="00E95E47">
        <w:tc>
          <w:tcPr>
            <w:tcW w:w="973" w:type="dxa"/>
          </w:tcPr>
          <w:p w:rsidR="00AF6567" w:rsidRDefault="00845345" w:rsidP="00B628FB">
            <w:pPr>
              <w:ind w:right="142"/>
              <w:rPr>
                <w:rFonts w:ascii="Bookman Old Style" w:hAnsi="Bookman Old Style" w:cs="Arial"/>
                <w:bCs/>
              </w:rPr>
            </w:pPr>
            <m:oMathPara>
              <m:oMath>
                <m:sSub>
                  <m:sSubPr>
                    <m:ctrlPr>
                      <w:rPr>
                        <w:rFonts w:ascii="Cambria Math" w:hAnsi="Cambria Math" w:cs="Arial"/>
                        <w:i/>
                      </w:rPr>
                    </m:ctrlPr>
                  </m:sSubPr>
                  <m:e>
                    <m:r>
                      <w:rPr>
                        <w:rFonts w:ascii="Cambria Math" w:hAnsi="Cambria Math" w:cs="Arial"/>
                      </w:rPr>
                      <m:t>CM</m:t>
                    </m:r>
                  </m:e>
                  <m:sub>
                    <m:r>
                      <w:rPr>
                        <w:rFonts w:ascii="Cambria Math" w:hAnsi="Cambria Math" w:cs="Arial"/>
                      </w:rPr>
                      <m:t>0,D</m:t>
                    </m:r>
                  </m:sub>
                </m:sSub>
              </m:oMath>
            </m:oMathPara>
          </w:p>
        </w:tc>
        <w:tc>
          <w:tcPr>
            <w:tcW w:w="435" w:type="dxa"/>
          </w:tcPr>
          <w:p w:rsidR="00AF6567" w:rsidRDefault="00AF6567" w:rsidP="00B628FB">
            <w:pPr>
              <w:ind w:right="142"/>
              <w:jc w:val="both"/>
              <w:rPr>
                <w:rFonts w:ascii="Bookman Old Style" w:hAnsi="Bookman Old Style" w:cs="Arial"/>
                <w:bCs/>
              </w:rPr>
            </w:pPr>
            <w:r>
              <w:rPr>
                <w:rFonts w:ascii="Bookman Old Style" w:hAnsi="Bookman Old Style" w:cs="Arial"/>
                <w:bCs/>
              </w:rPr>
              <w:t>:</w:t>
            </w:r>
          </w:p>
        </w:tc>
        <w:tc>
          <w:tcPr>
            <w:tcW w:w="7947" w:type="dxa"/>
          </w:tcPr>
          <w:p w:rsidR="00AF6567" w:rsidRDefault="0008083F" w:rsidP="00B628FB">
            <w:pPr>
              <w:ind w:right="142"/>
              <w:jc w:val="both"/>
              <w:rPr>
                <w:rFonts w:ascii="Bookman Old Style" w:hAnsi="Bookman Old Style" w:cs="Arial"/>
              </w:rPr>
            </w:pPr>
            <w:r>
              <w:rPr>
                <w:rFonts w:ascii="Bookman Old Style" w:hAnsi="Bookman Old Style" w:cs="Arial"/>
              </w:rPr>
              <w:t xml:space="preserve">Componente de remuneración del </w:t>
            </w:r>
            <w:r w:rsidRPr="00920F21">
              <w:rPr>
                <w:rFonts w:ascii="Bookman Old Style" w:hAnsi="Bookman Old Style" w:cs="Arial"/>
              </w:rPr>
              <w:t>costo</w:t>
            </w:r>
            <w:r>
              <w:rPr>
                <w:rFonts w:ascii="Bookman Old Style" w:hAnsi="Bookman Old Style" w:cs="Arial"/>
              </w:rPr>
              <w:t xml:space="preserve"> promedio ponderado </w:t>
            </w:r>
            <w:r w:rsidRPr="00920F21">
              <w:rPr>
                <w:rFonts w:ascii="Bookman Old Style" w:hAnsi="Bookman Old Style" w:cs="Arial"/>
              </w:rPr>
              <w:t xml:space="preserve">de </w:t>
            </w:r>
            <w:r>
              <w:rPr>
                <w:rFonts w:ascii="Bookman Old Style" w:hAnsi="Bookman Old Style" w:cs="Arial"/>
              </w:rPr>
              <w:t xml:space="preserve">mantenimiento, </w:t>
            </w:r>
            <w:r w:rsidR="00E95E47">
              <w:rPr>
                <w:rFonts w:ascii="Bookman Old Style" w:hAnsi="Bookman Old Style" w:cs="Arial"/>
              </w:rPr>
              <w:t xml:space="preserve">por energía generada, de los recursos energéticos </w:t>
            </w:r>
            <w:r w:rsidR="00E95E47" w:rsidRPr="007C7DC8">
              <w:rPr>
                <w:rFonts w:ascii="Bookman Old Style" w:hAnsi="Bookman Old Style" w:cs="Arial"/>
              </w:rPr>
              <w:t>diés</w:t>
            </w:r>
            <w:r w:rsidR="00E95E47">
              <w:rPr>
                <w:rFonts w:ascii="Bookman Old Style" w:hAnsi="Bookman Old Style" w:cs="Arial"/>
              </w:rPr>
              <w:t xml:space="preserve">el, </w:t>
            </w:r>
            <w:r w:rsidR="00E95E47" w:rsidRPr="00920F21">
              <w:rPr>
                <w:rFonts w:ascii="Bookman Old Style" w:hAnsi="Bookman Old Style" w:cs="Arial"/>
              </w:rPr>
              <w:t>de</w:t>
            </w:r>
            <w:r w:rsidR="00E95E47">
              <w:rPr>
                <w:rFonts w:ascii="Bookman Old Style" w:hAnsi="Bookman Old Style" w:cs="Arial"/>
              </w:rPr>
              <w:t>l mercado relevante de comercialización señalado en este artículo, expresado en pesos constantes de la fecha base, s</w:t>
            </w:r>
            <w:r w:rsidR="00E95E47" w:rsidRPr="0008083F">
              <w:rPr>
                <w:rFonts w:ascii="Bookman Old Style" w:hAnsi="Bookman Old Style" w:cs="Arial"/>
              </w:rPr>
              <w:t>egún lo previst</w:t>
            </w:r>
            <w:r w:rsidR="00783204">
              <w:rPr>
                <w:rFonts w:ascii="Bookman Old Style" w:hAnsi="Bookman Old Style" w:cs="Arial"/>
              </w:rPr>
              <w:t>o en el literal a) del artículo 22</w:t>
            </w:r>
            <w:r w:rsidR="00E95E47" w:rsidRPr="0008083F">
              <w:rPr>
                <w:rFonts w:ascii="Bookman Old Style" w:hAnsi="Bookman Old Style" w:cs="Arial"/>
              </w:rPr>
              <w:t xml:space="preserve"> de la Resolución CREG 091 de 2007, modificada </w:t>
            </w:r>
            <w:r w:rsidR="00E95E47" w:rsidRPr="00C367F8">
              <w:rPr>
                <w:rFonts w:ascii="Bookman Old Style" w:hAnsi="Bookman Old Style" w:cs="Arial"/>
              </w:rPr>
              <w:t>mediante</w:t>
            </w:r>
            <w:r w:rsidR="00783204">
              <w:rPr>
                <w:rFonts w:ascii="Bookman Old Style" w:hAnsi="Bookman Old Style" w:cs="Arial"/>
              </w:rPr>
              <w:t xml:space="preserve"> la</w:t>
            </w:r>
            <w:r w:rsidR="00E95E47" w:rsidRPr="00C367F8">
              <w:rPr>
                <w:rFonts w:ascii="Bookman Old Style" w:hAnsi="Bookman Old Style" w:cs="Arial"/>
              </w:rPr>
              <w:t xml:space="preserve"> Resolución CREG 057 de 2009.</w:t>
            </w:r>
          </w:p>
          <w:p w:rsidR="00AF6567" w:rsidRDefault="00AF6567" w:rsidP="00B628FB">
            <w:pPr>
              <w:ind w:right="142"/>
              <w:jc w:val="both"/>
              <w:rPr>
                <w:rFonts w:ascii="Bookman Old Style" w:hAnsi="Bookman Old Style" w:cs="Arial"/>
              </w:rPr>
            </w:pPr>
          </w:p>
        </w:tc>
      </w:tr>
      <w:tr w:rsidR="00AF6567" w:rsidTr="00E95E47">
        <w:tc>
          <w:tcPr>
            <w:tcW w:w="973" w:type="dxa"/>
          </w:tcPr>
          <w:p w:rsidR="00AF6567" w:rsidRPr="00FA14D6"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oMath>
            </m:oMathPara>
          </w:p>
        </w:tc>
        <w:tc>
          <w:tcPr>
            <w:tcW w:w="435" w:type="dxa"/>
          </w:tcPr>
          <w:p w:rsidR="00AF6567" w:rsidRDefault="00AF6567" w:rsidP="00B628FB">
            <w:pPr>
              <w:ind w:right="142"/>
              <w:jc w:val="both"/>
              <w:rPr>
                <w:rFonts w:ascii="Bookman Old Style" w:hAnsi="Bookman Old Style" w:cs="Arial"/>
                <w:bCs/>
              </w:rPr>
            </w:pPr>
            <w:r>
              <w:rPr>
                <w:rFonts w:ascii="Bookman Old Style" w:hAnsi="Bookman Old Style" w:cs="Arial"/>
                <w:bCs/>
              </w:rPr>
              <w:t>:</w:t>
            </w:r>
          </w:p>
        </w:tc>
        <w:tc>
          <w:tcPr>
            <w:tcW w:w="7947" w:type="dxa"/>
          </w:tcPr>
          <w:p w:rsidR="009F7F82" w:rsidRDefault="00B16C28" w:rsidP="00B628FB">
            <w:pPr>
              <w:ind w:right="142"/>
              <w:jc w:val="both"/>
              <w:rPr>
                <w:rFonts w:ascii="Bookman Old Style" w:hAnsi="Bookman Old Style" w:cs="Arial"/>
              </w:rPr>
            </w:pPr>
            <w:r>
              <w:rPr>
                <w:rFonts w:ascii="Bookman Old Style" w:hAnsi="Bookman Old Style" w:cs="Arial"/>
              </w:rPr>
              <w:t>Componente de remuneración del co</w:t>
            </w:r>
            <w:r w:rsidR="009F7F82" w:rsidRPr="009F7F82">
              <w:rPr>
                <w:rFonts w:ascii="Bookman Old Style" w:hAnsi="Bookman Old Style" w:cs="Arial"/>
              </w:rPr>
              <w:t xml:space="preserve">sto </w:t>
            </w:r>
            <w:r>
              <w:rPr>
                <w:rFonts w:ascii="Bookman Old Style" w:hAnsi="Bookman Old Style" w:cs="Arial"/>
              </w:rPr>
              <w:t>pro</w:t>
            </w:r>
            <w:r w:rsidR="009F7F82" w:rsidRPr="009F7F82">
              <w:rPr>
                <w:rFonts w:ascii="Bookman Old Style" w:hAnsi="Bookman Old Style" w:cs="Arial"/>
              </w:rPr>
              <w:t>medio de combustible</w:t>
            </w:r>
            <w:r>
              <w:rPr>
                <w:rFonts w:ascii="Bookman Old Style" w:hAnsi="Bookman Old Style" w:cs="Arial"/>
              </w:rPr>
              <w:t>, por energía generada,</w:t>
            </w:r>
            <w:r w:rsidR="009F7F82" w:rsidRPr="009F7F82">
              <w:rPr>
                <w:rFonts w:ascii="Bookman Old Style" w:hAnsi="Bookman Old Style" w:cs="Arial"/>
              </w:rPr>
              <w:t xml:space="preserve"> </w:t>
            </w:r>
            <w:r>
              <w:rPr>
                <w:rFonts w:ascii="Bookman Old Style" w:hAnsi="Bookman Old Style" w:cs="Arial"/>
              </w:rPr>
              <w:t xml:space="preserve">de los recursos energéticos diésel, </w:t>
            </w:r>
            <w:r w:rsidRPr="00920F21">
              <w:rPr>
                <w:rFonts w:ascii="Bookman Old Style" w:hAnsi="Bookman Old Style" w:cs="Arial"/>
              </w:rPr>
              <w:t>de</w:t>
            </w:r>
            <w:r>
              <w:rPr>
                <w:rFonts w:ascii="Bookman Old Style" w:hAnsi="Bookman Old Style" w:cs="Arial"/>
              </w:rPr>
              <w:t xml:space="preserve">l </w:t>
            </w:r>
            <w:r w:rsidR="00E95E47">
              <w:rPr>
                <w:rFonts w:ascii="Bookman Old Style" w:hAnsi="Bookman Old Style" w:cs="Arial"/>
              </w:rPr>
              <w:t>mercado relevante de comercialización señalado en este artículo</w:t>
            </w:r>
            <w:r>
              <w:rPr>
                <w:rFonts w:ascii="Bookman Old Style" w:hAnsi="Bookman Old Style" w:cs="Arial"/>
              </w:rPr>
              <w:t xml:space="preserve">, para el mes </w:t>
            </w:r>
            <w:r w:rsidRPr="00B16C28">
              <w:rPr>
                <w:rFonts w:ascii="Bookman Old Style" w:hAnsi="Bookman Old Style" w:cs="Arial"/>
                <w:i/>
              </w:rPr>
              <w:t>m</w:t>
            </w:r>
            <w:r>
              <w:rPr>
                <w:rFonts w:ascii="Bookman Old Style" w:hAnsi="Bookman Old Style" w:cs="Arial"/>
              </w:rPr>
              <w:t>, expresado en pe</w:t>
            </w:r>
            <w:r w:rsidR="00530D7B">
              <w:rPr>
                <w:rFonts w:ascii="Bookman Old Style" w:hAnsi="Bookman Old Style" w:cs="Arial"/>
              </w:rPr>
              <w:t>s</w:t>
            </w:r>
            <w:r>
              <w:rPr>
                <w:rFonts w:ascii="Bookman Old Style" w:hAnsi="Bookman Old Style" w:cs="Arial"/>
              </w:rPr>
              <w:t xml:space="preserve">os por kilovatio </w:t>
            </w:r>
            <w:r>
              <w:rPr>
                <w:rFonts w:ascii="Bookman Old Style" w:hAnsi="Bookman Old Style" w:cs="Arial"/>
              </w:rPr>
              <w:lastRenderedPageBreak/>
              <w:t>hora ($/</w:t>
            </w:r>
            <w:proofErr w:type="spellStart"/>
            <w:r>
              <w:rPr>
                <w:rFonts w:ascii="Bookman Old Style" w:hAnsi="Bookman Old Style" w:cs="Arial"/>
              </w:rPr>
              <w:t>kwh</w:t>
            </w:r>
            <w:proofErr w:type="spellEnd"/>
            <w:r>
              <w:rPr>
                <w:rFonts w:ascii="Bookman Old Style" w:hAnsi="Bookman Old Style" w:cs="Arial"/>
              </w:rPr>
              <w:t>), s</w:t>
            </w:r>
            <w:r w:rsidR="009F7F82" w:rsidRPr="009F7F82">
              <w:rPr>
                <w:rFonts w:ascii="Bookman Old Style" w:hAnsi="Bookman Old Style" w:cs="Arial"/>
              </w:rPr>
              <w:t>egún</w:t>
            </w:r>
            <w:r w:rsidR="00783204">
              <w:rPr>
                <w:rFonts w:ascii="Bookman Old Style" w:hAnsi="Bookman Old Style" w:cs="Arial"/>
              </w:rPr>
              <w:t xml:space="preserve"> lo previsto en el numeral 24.1 del artículo 24</w:t>
            </w:r>
            <w:r w:rsidR="009F7F82" w:rsidRPr="009F7F82">
              <w:rPr>
                <w:rFonts w:ascii="Bookman Old Style" w:hAnsi="Bookman Old Style" w:cs="Arial"/>
              </w:rPr>
              <w:t xml:space="preserve"> de la Resolución CREG 091 de 2007</w:t>
            </w:r>
            <w:r w:rsidR="00E95E47">
              <w:rPr>
                <w:rFonts w:ascii="Bookman Old Style" w:hAnsi="Bookman Old Style" w:cs="Arial"/>
              </w:rPr>
              <w:t>.</w:t>
            </w:r>
          </w:p>
          <w:p w:rsidR="00AF6567" w:rsidRDefault="00AF6567" w:rsidP="00B628FB">
            <w:pPr>
              <w:ind w:right="142"/>
              <w:jc w:val="both"/>
              <w:rPr>
                <w:rFonts w:ascii="Bookman Old Style" w:hAnsi="Bookman Old Style" w:cs="Arial"/>
              </w:rPr>
            </w:pPr>
          </w:p>
        </w:tc>
      </w:tr>
      <w:tr w:rsidR="00AF6567" w:rsidTr="00E95E47">
        <w:tc>
          <w:tcPr>
            <w:tcW w:w="973" w:type="dxa"/>
          </w:tcPr>
          <w:p w:rsidR="00AF6567" w:rsidRPr="00FA14D6"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oMath>
            </m:oMathPara>
          </w:p>
        </w:tc>
        <w:tc>
          <w:tcPr>
            <w:tcW w:w="435" w:type="dxa"/>
          </w:tcPr>
          <w:p w:rsidR="00AF6567" w:rsidRDefault="00AF6567" w:rsidP="00B628FB">
            <w:pPr>
              <w:ind w:right="142"/>
              <w:jc w:val="both"/>
              <w:rPr>
                <w:rFonts w:ascii="Bookman Old Style" w:hAnsi="Bookman Old Style" w:cs="Arial"/>
                <w:bCs/>
              </w:rPr>
            </w:pPr>
            <w:r>
              <w:rPr>
                <w:rFonts w:ascii="Bookman Old Style" w:hAnsi="Bookman Old Style" w:cs="Arial"/>
                <w:bCs/>
              </w:rPr>
              <w:t>:</w:t>
            </w:r>
          </w:p>
        </w:tc>
        <w:tc>
          <w:tcPr>
            <w:tcW w:w="7947" w:type="dxa"/>
          </w:tcPr>
          <w:p w:rsidR="00AD252D" w:rsidRDefault="00AD252D" w:rsidP="00AD252D">
            <w:pPr>
              <w:ind w:right="142"/>
              <w:jc w:val="both"/>
              <w:rPr>
                <w:rFonts w:ascii="Bookman Old Style" w:hAnsi="Bookman Old Style" w:cs="Arial"/>
              </w:rPr>
            </w:pPr>
            <w:r>
              <w:rPr>
                <w:rFonts w:ascii="Bookman Old Style" w:hAnsi="Bookman Old Style" w:cs="Arial"/>
              </w:rPr>
              <w:t>Componente de remuneración del co</w:t>
            </w:r>
            <w:r w:rsidRPr="009F7F82">
              <w:rPr>
                <w:rFonts w:ascii="Bookman Old Style" w:hAnsi="Bookman Old Style" w:cs="Arial"/>
              </w:rPr>
              <w:t xml:space="preserve">sto </w:t>
            </w:r>
            <w:r>
              <w:rPr>
                <w:rFonts w:ascii="Bookman Old Style" w:hAnsi="Bookman Old Style" w:cs="Arial"/>
              </w:rPr>
              <w:t>pro</w:t>
            </w:r>
            <w:r w:rsidRPr="009F7F82">
              <w:rPr>
                <w:rFonts w:ascii="Bookman Old Style" w:hAnsi="Bookman Old Style" w:cs="Arial"/>
              </w:rPr>
              <w:t xml:space="preserve">medio de </w:t>
            </w:r>
            <w:r>
              <w:rPr>
                <w:rFonts w:ascii="Bookman Old Style" w:hAnsi="Bookman Old Style" w:cs="Arial"/>
              </w:rPr>
              <w:t>lubricante, por energía generada,</w:t>
            </w:r>
            <w:r w:rsidRPr="009F7F82">
              <w:rPr>
                <w:rFonts w:ascii="Bookman Old Style" w:hAnsi="Bookman Old Style" w:cs="Arial"/>
              </w:rPr>
              <w:t xml:space="preserve"> </w:t>
            </w:r>
            <w:r>
              <w:rPr>
                <w:rFonts w:ascii="Bookman Old Style" w:hAnsi="Bookman Old Style" w:cs="Arial"/>
              </w:rPr>
              <w:t xml:space="preserve">de los recursos energéticos diésel, </w:t>
            </w:r>
            <w:r w:rsidRPr="00920F21">
              <w:rPr>
                <w:rFonts w:ascii="Bookman Old Style" w:hAnsi="Bookman Old Style" w:cs="Arial"/>
              </w:rPr>
              <w:t>de</w:t>
            </w:r>
            <w:r>
              <w:rPr>
                <w:rFonts w:ascii="Bookman Old Style" w:hAnsi="Bookman Old Style" w:cs="Arial"/>
              </w:rPr>
              <w:t xml:space="preserve">l </w:t>
            </w:r>
            <w:r w:rsidR="00E95E47">
              <w:rPr>
                <w:rFonts w:ascii="Bookman Old Style" w:hAnsi="Bookman Old Style" w:cs="Arial"/>
              </w:rPr>
              <w:t>mercado relevante de comercialización señalado en este artículo</w:t>
            </w:r>
            <w:r>
              <w:rPr>
                <w:rFonts w:ascii="Bookman Old Style" w:hAnsi="Bookman Old Style" w:cs="Arial"/>
              </w:rPr>
              <w:t xml:space="preserve">, para el mes </w:t>
            </w:r>
            <w:r w:rsidRPr="00B16C28">
              <w:rPr>
                <w:rFonts w:ascii="Bookman Old Style" w:hAnsi="Bookman Old Style" w:cs="Arial"/>
                <w:i/>
              </w:rPr>
              <w:t>m</w:t>
            </w:r>
            <w:r>
              <w:rPr>
                <w:rFonts w:ascii="Bookman Old Style" w:hAnsi="Bookman Old Style" w:cs="Arial"/>
              </w:rPr>
              <w:t>, expresado en pe</w:t>
            </w:r>
            <w:r w:rsidR="00530D7B">
              <w:rPr>
                <w:rFonts w:ascii="Bookman Old Style" w:hAnsi="Bookman Old Style" w:cs="Arial"/>
              </w:rPr>
              <w:t>s</w:t>
            </w:r>
            <w:r>
              <w:rPr>
                <w:rFonts w:ascii="Bookman Old Style" w:hAnsi="Bookman Old Style" w:cs="Arial"/>
              </w:rPr>
              <w:t>os por kilovatio hora ($/</w:t>
            </w:r>
            <w:proofErr w:type="spellStart"/>
            <w:r>
              <w:rPr>
                <w:rFonts w:ascii="Bookman Old Style" w:hAnsi="Bookman Old Style" w:cs="Arial"/>
              </w:rPr>
              <w:t>kwh</w:t>
            </w:r>
            <w:proofErr w:type="spellEnd"/>
            <w:r>
              <w:rPr>
                <w:rFonts w:ascii="Bookman Old Style" w:hAnsi="Bookman Old Style" w:cs="Arial"/>
              </w:rPr>
              <w:t>), s</w:t>
            </w:r>
            <w:r w:rsidRPr="009F7F82">
              <w:rPr>
                <w:rFonts w:ascii="Bookman Old Style" w:hAnsi="Bookman Old Style" w:cs="Arial"/>
              </w:rPr>
              <w:t>egún</w:t>
            </w:r>
            <w:r w:rsidR="00783204">
              <w:rPr>
                <w:rFonts w:ascii="Bookman Old Style" w:hAnsi="Bookman Old Style" w:cs="Arial"/>
              </w:rPr>
              <w:t xml:space="preserve"> lo previsto en el numeral 24.1 del artículo 24</w:t>
            </w:r>
            <w:r w:rsidRPr="009F7F82">
              <w:rPr>
                <w:rFonts w:ascii="Bookman Old Style" w:hAnsi="Bookman Old Style" w:cs="Arial"/>
              </w:rPr>
              <w:t xml:space="preserve"> de la Resolución CREG 091 de 2007</w:t>
            </w:r>
            <w:r w:rsidR="00E95E47">
              <w:rPr>
                <w:rFonts w:ascii="Bookman Old Style" w:hAnsi="Bookman Old Style" w:cs="Arial"/>
              </w:rPr>
              <w:t>.</w:t>
            </w:r>
          </w:p>
          <w:p w:rsidR="00AF6567" w:rsidRDefault="00AF6567" w:rsidP="00B628FB">
            <w:pPr>
              <w:ind w:right="142"/>
              <w:jc w:val="both"/>
              <w:rPr>
                <w:rFonts w:ascii="Bookman Old Style" w:hAnsi="Bookman Old Style" w:cs="Arial"/>
              </w:rPr>
            </w:pPr>
          </w:p>
        </w:tc>
      </w:tr>
      <w:tr w:rsidR="00F37126" w:rsidTr="00E95E47">
        <w:tc>
          <w:tcPr>
            <w:tcW w:w="973" w:type="dxa"/>
          </w:tcPr>
          <w:p w:rsidR="00F37126" w:rsidRPr="00F37126" w:rsidRDefault="00F37126" w:rsidP="00B628FB">
            <w:pPr>
              <w:ind w:right="142"/>
            </w:pPr>
            <m:oMathPara>
              <m:oMathParaPr>
                <m:jc m:val="left"/>
              </m:oMathParaPr>
              <m:oMath>
                <m:r>
                  <w:rPr>
                    <w:rFonts w:ascii="Cambria Math" w:hAnsi="Cambria Math" w:cs="Arial"/>
                  </w:rPr>
                  <m:t>PT</m:t>
                </m:r>
              </m:oMath>
            </m:oMathPara>
          </w:p>
        </w:tc>
        <w:tc>
          <w:tcPr>
            <w:tcW w:w="435" w:type="dxa"/>
          </w:tcPr>
          <w:p w:rsidR="00F37126" w:rsidRDefault="00F37126" w:rsidP="00B628FB">
            <w:pPr>
              <w:ind w:right="142"/>
              <w:jc w:val="both"/>
              <w:rPr>
                <w:rFonts w:ascii="Bookman Old Style" w:hAnsi="Bookman Old Style" w:cs="Arial"/>
                <w:bCs/>
              </w:rPr>
            </w:pPr>
            <w:r>
              <w:rPr>
                <w:rFonts w:ascii="Bookman Old Style" w:hAnsi="Bookman Old Style" w:cs="Arial"/>
                <w:bCs/>
              </w:rPr>
              <w:t>:</w:t>
            </w:r>
          </w:p>
        </w:tc>
        <w:tc>
          <w:tcPr>
            <w:tcW w:w="7947" w:type="dxa"/>
          </w:tcPr>
          <w:p w:rsidR="00AD252D" w:rsidRDefault="007D7680" w:rsidP="00AD252D">
            <w:pPr>
              <w:ind w:right="142"/>
              <w:jc w:val="both"/>
              <w:rPr>
                <w:rFonts w:ascii="Bookman Old Style" w:hAnsi="Bookman Old Style" w:cs="Arial"/>
              </w:rPr>
            </w:pPr>
            <w:r>
              <w:rPr>
                <w:rFonts w:ascii="Bookman Old Style" w:hAnsi="Bookman Old Style" w:cs="Arial"/>
              </w:rPr>
              <w:t xml:space="preserve">Porcentaje </w:t>
            </w:r>
            <w:r w:rsidR="00530D7B">
              <w:rPr>
                <w:rFonts w:ascii="Bookman Old Style" w:hAnsi="Bookman Old Style" w:cs="Arial"/>
              </w:rPr>
              <w:t xml:space="preserve">de </w:t>
            </w:r>
            <w:r w:rsidR="00AD252D" w:rsidRPr="00AD252D">
              <w:rPr>
                <w:rFonts w:ascii="Bookman Old Style" w:hAnsi="Bookman Old Style" w:cs="Arial"/>
              </w:rPr>
              <w:t xml:space="preserve">pérdidas </w:t>
            </w:r>
            <w:r w:rsidR="00530D7B">
              <w:rPr>
                <w:rFonts w:ascii="Bookman Old Style" w:hAnsi="Bookman Old Style" w:cs="Arial"/>
              </w:rPr>
              <w:t xml:space="preserve">promedio </w:t>
            </w:r>
            <w:r w:rsidR="00AD252D" w:rsidRPr="00AD252D">
              <w:rPr>
                <w:rFonts w:ascii="Bookman Old Style" w:hAnsi="Bookman Old Style" w:cs="Arial"/>
              </w:rPr>
              <w:t>de transformación</w:t>
            </w:r>
            <w:r w:rsidR="00D32658">
              <w:rPr>
                <w:rFonts w:ascii="Bookman Old Style" w:hAnsi="Bookman Old Style" w:cs="Arial"/>
              </w:rPr>
              <w:t xml:space="preserve">, </w:t>
            </w:r>
            <w:r w:rsidR="00D32658" w:rsidRPr="00AD252D">
              <w:rPr>
                <w:rFonts w:ascii="Bookman Old Style" w:hAnsi="Bookman Old Style" w:cs="Arial"/>
              </w:rPr>
              <w:t>de la conexión de</w:t>
            </w:r>
            <w:r w:rsidR="00D32658">
              <w:rPr>
                <w:rFonts w:ascii="Bookman Old Style" w:hAnsi="Bookman Old Style" w:cs="Arial"/>
              </w:rPr>
              <w:t xml:space="preserve"> </w:t>
            </w:r>
            <w:r w:rsidR="00D32658" w:rsidRPr="00AD252D">
              <w:rPr>
                <w:rFonts w:ascii="Bookman Old Style" w:hAnsi="Bookman Old Style" w:cs="Arial"/>
              </w:rPr>
              <w:t>l</w:t>
            </w:r>
            <w:r w:rsidR="00D32658">
              <w:rPr>
                <w:rFonts w:ascii="Bookman Old Style" w:hAnsi="Bookman Old Style" w:cs="Arial"/>
              </w:rPr>
              <w:t xml:space="preserve">os recursos energéticos diésel </w:t>
            </w:r>
            <w:r w:rsidR="00D32658" w:rsidRPr="00AD252D">
              <w:rPr>
                <w:rFonts w:ascii="Bookman Old Style" w:hAnsi="Bookman Old Style" w:cs="Arial"/>
              </w:rPr>
              <w:t>al sistema de distribución</w:t>
            </w:r>
            <w:r w:rsidR="00530D7B">
              <w:rPr>
                <w:rFonts w:ascii="Bookman Old Style" w:hAnsi="Bookman Old Style" w:cs="Arial"/>
              </w:rPr>
              <w:t>,</w:t>
            </w:r>
            <w:r w:rsidR="00D32658" w:rsidRPr="009F7F82">
              <w:rPr>
                <w:rFonts w:ascii="Bookman Old Style" w:hAnsi="Bookman Old Style" w:cs="Arial"/>
              </w:rPr>
              <w:t xml:space="preserve"> </w:t>
            </w:r>
            <w:r w:rsidR="00D32658" w:rsidRPr="00920F21">
              <w:rPr>
                <w:rFonts w:ascii="Bookman Old Style" w:hAnsi="Bookman Old Style" w:cs="Arial"/>
              </w:rPr>
              <w:t>de</w:t>
            </w:r>
            <w:r w:rsidR="00D32658">
              <w:rPr>
                <w:rFonts w:ascii="Bookman Old Style" w:hAnsi="Bookman Old Style" w:cs="Arial"/>
              </w:rPr>
              <w:t xml:space="preserve">l </w:t>
            </w:r>
            <w:r w:rsidR="00E95E47">
              <w:rPr>
                <w:rFonts w:ascii="Bookman Old Style" w:hAnsi="Bookman Old Style" w:cs="Arial"/>
              </w:rPr>
              <w:t>mercado relevante de comercialización señalado en este artículo</w:t>
            </w:r>
            <w:r w:rsidR="00D32658">
              <w:rPr>
                <w:rFonts w:ascii="Bookman Old Style" w:hAnsi="Bookman Old Style" w:cs="Arial"/>
              </w:rPr>
              <w:t xml:space="preserve">, </w:t>
            </w:r>
            <w:r w:rsidR="00AD252D">
              <w:rPr>
                <w:rFonts w:ascii="Bookman Old Style" w:hAnsi="Bookman Old Style" w:cs="Arial"/>
              </w:rPr>
              <w:t>s</w:t>
            </w:r>
            <w:r w:rsidR="00AD252D" w:rsidRPr="009F7F82">
              <w:rPr>
                <w:rFonts w:ascii="Bookman Old Style" w:hAnsi="Bookman Old Style" w:cs="Arial"/>
              </w:rPr>
              <w:t>egún</w:t>
            </w:r>
            <w:r w:rsidR="00783204">
              <w:rPr>
                <w:rFonts w:ascii="Bookman Old Style" w:hAnsi="Bookman Old Style" w:cs="Arial"/>
              </w:rPr>
              <w:t xml:space="preserve"> lo previsto en el numeral 24.1 del artículo 24</w:t>
            </w:r>
            <w:r w:rsidR="00AD252D" w:rsidRPr="009F7F82">
              <w:rPr>
                <w:rFonts w:ascii="Bookman Old Style" w:hAnsi="Bookman Old Style" w:cs="Arial"/>
              </w:rPr>
              <w:t xml:space="preserve"> de la Resolución CREG 091 de 2007</w:t>
            </w:r>
            <w:r w:rsidR="00E95E47">
              <w:rPr>
                <w:rFonts w:ascii="Bookman Old Style" w:hAnsi="Bookman Old Style" w:cs="Arial"/>
              </w:rPr>
              <w:t>.</w:t>
            </w:r>
          </w:p>
          <w:p w:rsidR="00AD252D" w:rsidRDefault="00AD252D" w:rsidP="00B628FB">
            <w:pPr>
              <w:ind w:right="142"/>
              <w:jc w:val="both"/>
              <w:rPr>
                <w:rFonts w:ascii="Bookman Old Style" w:hAnsi="Bookman Old Style" w:cs="Arial"/>
              </w:rPr>
            </w:pPr>
          </w:p>
        </w:tc>
      </w:tr>
      <w:tr w:rsidR="00AF6567" w:rsidTr="00E95E47">
        <w:tc>
          <w:tcPr>
            <w:tcW w:w="973" w:type="dxa"/>
          </w:tcPr>
          <w:p w:rsidR="00AF6567" w:rsidRPr="00FA14D6"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m:oMathPara>
          </w:p>
        </w:tc>
        <w:tc>
          <w:tcPr>
            <w:tcW w:w="435" w:type="dxa"/>
          </w:tcPr>
          <w:p w:rsidR="00AF6567" w:rsidRDefault="00AF7C27" w:rsidP="00B628FB">
            <w:pPr>
              <w:ind w:right="142"/>
              <w:jc w:val="both"/>
              <w:rPr>
                <w:rFonts w:ascii="Bookman Old Style" w:hAnsi="Bookman Old Style" w:cs="Arial"/>
                <w:bCs/>
              </w:rPr>
            </w:pPr>
            <w:r>
              <w:rPr>
                <w:rFonts w:ascii="Bookman Old Style" w:hAnsi="Bookman Old Style" w:cs="Arial"/>
                <w:bCs/>
              </w:rPr>
              <w:t>:</w:t>
            </w:r>
          </w:p>
        </w:tc>
        <w:tc>
          <w:tcPr>
            <w:tcW w:w="7947" w:type="dxa"/>
          </w:tcPr>
          <w:p w:rsidR="00AF6567" w:rsidRDefault="00260FB2" w:rsidP="00B628FB">
            <w:pPr>
              <w:ind w:right="142"/>
              <w:jc w:val="both"/>
              <w:rPr>
                <w:rFonts w:ascii="Bookman Old Style" w:hAnsi="Bookman Old Style" w:cs="Arial"/>
              </w:rPr>
            </w:pPr>
            <w:r>
              <w:rPr>
                <w:rFonts w:ascii="Bookman Old Style" w:hAnsi="Bookman Old Style" w:cs="Arial"/>
              </w:rPr>
              <w:t xml:space="preserve">Índice de precios al productor, Oferta Interna, del mes </w:t>
            </w:r>
            <w:r w:rsidRPr="00260FB2">
              <w:rPr>
                <w:rFonts w:ascii="Bookman Old Style" w:hAnsi="Bookman Old Style" w:cs="Arial"/>
                <w:i/>
              </w:rPr>
              <w:t>m-1</w:t>
            </w:r>
            <w:r>
              <w:rPr>
                <w:rFonts w:ascii="Bookman Old Style" w:hAnsi="Bookman Old Style" w:cs="Arial"/>
              </w:rPr>
              <w:t>.</w:t>
            </w:r>
          </w:p>
          <w:p w:rsidR="00AF7C27" w:rsidRDefault="00AF7C27" w:rsidP="00B628FB">
            <w:pPr>
              <w:ind w:right="142"/>
              <w:jc w:val="both"/>
              <w:rPr>
                <w:rFonts w:ascii="Bookman Old Style" w:hAnsi="Bookman Old Style" w:cs="Arial"/>
              </w:rPr>
            </w:pPr>
          </w:p>
        </w:tc>
      </w:tr>
      <w:tr w:rsidR="00AF6567" w:rsidTr="00E95E47">
        <w:tc>
          <w:tcPr>
            <w:tcW w:w="973" w:type="dxa"/>
          </w:tcPr>
          <w:p w:rsidR="00AF6567" w:rsidRPr="00AF7C27"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m:oMathPara>
          </w:p>
        </w:tc>
        <w:tc>
          <w:tcPr>
            <w:tcW w:w="435" w:type="dxa"/>
          </w:tcPr>
          <w:p w:rsidR="00AF6567" w:rsidRDefault="00AF7C27" w:rsidP="00B628FB">
            <w:pPr>
              <w:ind w:right="142"/>
              <w:jc w:val="both"/>
              <w:rPr>
                <w:rFonts w:ascii="Bookman Old Style" w:hAnsi="Bookman Old Style" w:cs="Arial"/>
                <w:bCs/>
              </w:rPr>
            </w:pPr>
            <w:r>
              <w:rPr>
                <w:rFonts w:ascii="Bookman Old Style" w:hAnsi="Bookman Old Style" w:cs="Arial"/>
                <w:bCs/>
              </w:rPr>
              <w:t>:</w:t>
            </w:r>
          </w:p>
        </w:tc>
        <w:tc>
          <w:tcPr>
            <w:tcW w:w="7947" w:type="dxa"/>
          </w:tcPr>
          <w:p w:rsidR="00AF6567" w:rsidRDefault="00260FB2" w:rsidP="00B628FB">
            <w:pPr>
              <w:ind w:right="142"/>
              <w:jc w:val="both"/>
              <w:rPr>
                <w:rFonts w:ascii="Bookman Old Style" w:hAnsi="Bookman Old Style" w:cs="Arial"/>
              </w:rPr>
            </w:pPr>
            <w:r>
              <w:rPr>
                <w:rFonts w:ascii="Bookman Old Style" w:hAnsi="Bookman Old Style" w:cs="Arial"/>
              </w:rPr>
              <w:t>Índice de precios al productor, Oferta Interna, de la fecha base.</w:t>
            </w:r>
          </w:p>
          <w:p w:rsidR="00AF7C27" w:rsidRDefault="00AF7C27" w:rsidP="00B628FB">
            <w:pPr>
              <w:ind w:right="142"/>
              <w:jc w:val="both"/>
              <w:rPr>
                <w:rFonts w:ascii="Bookman Old Style" w:hAnsi="Bookman Old Style" w:cs="Arial"/>
              </w:rPr>
            </w:pPr>
          </w:p>
        </w:tc>
      </w:tr>
    </w:tbl>
    <w:p w:rsidR="00AF6567" w:rsidRDefault="00AF6567" w:rsidP="006931CD">
      <w:pPr>
        <w:ind w:left="284" w:right="142"/>
        <w:jc w:val="both"/>
        <w:rPr>
          <w:rFonts w:ascii="Bookman Old Style" w:hAnsi="Bookman Old Style" w:cs="Arial"/>
        </w:rPr>
      </w:pPr>
    </w:p>
    <w:p w:rsidR="00AF6567" w:rsidRDefault="00C75656" w:rsidP="006931CD">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oMath>
      <w:r>
        <w:rPr>
          <w:rFonts w:ascii="Bookman Old Style" w:hAnsi="Bookman Old Style" w:cs="Arial"/>
        </w:rPr>
        <w:t xml:space="preserve"> se obtiene a partir de la siguiente fórmula:</w:t>
      </w:r>
    </w:p>
    <w:p w:rsidR="00AF6567" w:rsidRDefault="00AF6567" w:rsidP="006931CD">
      <w:pPr>
        <w:ind w:left="284" w:right="142"/>
        <w:jc w:val="both"/>
        <w:rPr>
          <w:rFonts w:ascii="Bookman Old Style" w:hAnsi="Bookman Old Style" w:cs="Arial"/>
        </w:rPr>
      </w:pPr>
    </w:p>
    <w:p w:rsidR="00F3786E" w:rsidRDefault="00845345" w:rsidP="006931CD">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0,SFV</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0,SFV</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oMath>
      </m:oMathPara>
    </w:p>
    <w:p w:rsidR="00F3786E" w:rsidRDefault="00F3786E" w:rsidP="006931CD">
      <w:pPr>
        <w:ind w:left="284" w:right="142"/>
        <w:jc w:val="both"/>
        <w:rPr>
          <w:rFonts w:ascii="Bookman Old Style" w:hAnsi="Bookman Old Style" w:cs="Arial"/>
        </w:rPr>
      </w:pPr>
    </w:p>
    <w:p w:rsidR="00C75656" w:rsidRDefault="0072683D" w:rsidP="006931CD">
      <w:pPr>
        <w:ind w:left="284" w:right="142"/>
        <w:jc w:val="both"/>
        <w:rPr>
          <w:rFonts w:ascii="Bookman Old Style" w:hAnsi="Bookman Old Style" w:cs="Arial"/>
        </w:rPr>
      </w:pPr>
      <w:r>
        <w:rPr>
          <w:rFonts w:ascii="Bookman Old Style" w:hAnsi="Bookman Old Style" w:cs="Arial"/>
        </w:rPr>
        <w:t>En donde,</w:t>
      </w:r>
    </w:p>
    <w:p w:rsidR="00C75656" w:rsidRDefault="00C75656" w:rsidP="006931CD">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435"/>
        <w:gridCol w:w="7911"/>
      </w:tblGrid>
      <w:tr w:rsidR="0072683D" w:rsidTr="00B628FB">
        <w:tc>
          <w:tcPr>
            <w:tcW w:w="907" w:type="dxa"/>
          </w:tcPr>
          <w:p w:rsidR="0072683D" w:rsidRPr="00FA14D6"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0,SFV</m:t>
                    </m:r>
                  </m:sub>
                </m:sSub>
              </m:oMath>
            </m:oMathPara>
          </w:p>
        </w:tc>
        <w:tc>
          <w:tcPr>
            <w:tcW w:w="433" w:type="dxa"/>
          </w:tcPr>
          <w:p w:rsidR="0072683D" w:rsidRDefault="0072683D" w:rsidP="00B628FB">
            <w:pPr>
              <w:ind w:right="142"/>
              <w:jc w:val="both"/>
              <w:rPr>
                <w:rFonts w:ascii="Bookman Old Style" w:hAnsi="Bookman Old Style" w:cs="Arial"/>
                <w:bCs/>
              </w:rPr>
            </w:pPr>
            <w:r>
              <w:rPr>
                <w:rFonts w:ascii="Bookman Old Style" w:hAnsi="Bookman Old Style" w:cs="Arial"/>
                <w:bCs/>
              </w:rPr>
              <w:t>:</w:t>
            </w:r>
          </w:p>
        </w:tc>
        <w:tc>
          <w:tcPr>
            <w:tcW w:w="8015" w:type="dxa"/>
          </w:tcPr>
          <w:p w:rsidR="00B628FB" w:rsidRDefault="00B628FB" w:rsidP="00B628FB">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del costo promedio ponderado de inversión, por energía </w:t>
            </w:r>
            <w:r w:rsidR="00C65935">
              <w:rPr>
                <w:rFonts w:ascii="Bookman Old Style" w:hAnsi="Bookman Old Style" w:cs="Arial"/>
              </w:rPr>
              <w:t>suministrada</w:t>
            </w:r>
            <w:r>
              <w:rPr>
                <w:rFonts w:ascii="Bookman Old Style" w:hAnsi="Bookman Old Style" w:cs="Arial"/>
              </w:rPr>
              <w:t xml:space="preserve">, de los recursos energéticos </w:t>
            </w:r>
            <w:r>
              <w:rPr>
                <w:rFonts w:ascii="Bookman Old Style" w:hAnsi="Bookman Old Style" w:cs="Arial"/>
                <w:bCs/>
              </w:rPr>
              <w:t>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sidRPr="004F0E39">
              <w:rPr>
                <w:rFonts w:ascii="Bookman Old Style" w:hAnsi="Bookman Old Style" w:cs="Arial"/>
                <w:bCs/>
              </w:rPr>
              <w:t xml:space="preserve"> </w:t>
            </w:r>
            <w:r>
              <w:rPr>
                <w:rFonts w:ascii="Bookman Old Style" w:hAnsi="Bookman Old Style" w:cs="Arial"/>
                <w:bCs/>
              </w:rPr>
              <w:t xml:space="preserve">con </w:t>
            </w:r>
            <w:r w:rsidRPr="004F0E39">
              <w:rPr>
                <w:rFonts w:ascii="Bookman Old Style" w:hAnsi="Bookman Old Style" w:cs="Arial"/>
                <w:bCs/>
              </w:rPr>
              <w:t xml:space="preserve">alimentación directa a </w:t>
            </w:r>
            <w:r>
              <w:rPr>
                <w:rFonts w:ascii="Bookman Old Style" w:hAnsi="Bookman Old Style" w:cs="Arial"/>
                <w:bCs/>
              </w:rPr>
              <w:t xml:space="preserve">la </w:t>
            </w:r>
            <w:r w:rsidRPr="004F0E39">
              <w:rPr>
                <w:rFonts w:ascii="Bookman Old Style" w:hAnsi="Bookman Old Style" w:cs="Arial"/>
                <w:bCs/>
              </w:rPr>
              <w:t>red</w:t>
            </w:r>
            <w:r>
              <w:rPr>
                <w:rFonts w:ascii="Bookman Old Style" w:hAnsi="Bookman Old Style" w:cs="Arial"/>
                <w:bCs/>
              </w:rPr>
              <w:t xml:space="preserve"> de distribución</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 xml:space="preserve">l </w:t>
            </w:r>
            <w:r w:rsidR="00FA5D36">
              <w:rPr>
                <w:rFonts w:ascii="Bookman Old Style" w:hAnsi="Bookman Old Style" w:cs="Arial"/>
              </w:rPr>
              <w:t>mercado relevante de comercialización señalado en este artículo</w:t>
            </w:r>
            <w:r>
              <w:rPr>
                <w:rFonts w:ascii="Bookman Old Style" w:hAnsi="Bookman Old Style" w:cs="Arial"/>
              </w:rPr>
              <w:t>, expresado en pesos constantes de la fecha base, s</w:t>
            </w:r>
            <w:r w:rsidRPr="0008083F">
              <w:rPr>
                <w:rFonts w:ascii="Bookman Old Style" w:hAnsi="Bookman Old Style" w:cs="Arial"/>
              </w:rPr>
              <w:t xml:space="preserve">egún lo previsto en el </w:t>
            </w:r>
            <w:r>
              <w:rPr>
                <w:rFonts w:ascii="Bookman Old Style" w:hAnsi="Bookman Old Style" w:cs="Arial"/>
              </w:rPr>
              <w:t>artículo 1 de esta resolución.</w:t>
            </w:r>
          </w:p>
          <w:p w:rsidR="0072683D" w:rsidRDefault="0072683D" w:rsidP="00B628FB">
            <w:pPr>
              <w:ind w:right="142"/>
              <w:jc w:val="both"/>
              <w:rPr>
                <w:rFonts w:ascii="Bookman Old Style" w:hAnsi="Bookman Old Style" w:cs="Arial"/>
                <w:bCs/>
              </w:rPr>
            </w:pPr>
          </w:p>
        </w:tc>
      </w:tr>
      <w:tr w:rsidR="0072683D" w:rsidTr="00B628FB">
        <w:tc>
          <w:tcPr>
            <w:tcW w:w="907" w:type="dxa"/>
          </w:tcPr>
          <w:p w:rsidR="0072683D" w:rsidRPr="0072683D"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CM</m:t>
                    </m:r>
                  </m:e>
                  <m:sub>
                    <m:r>
                      <w:rPr>
                        <w:rFonts w:ascii="Cambria Math" w:hAnsi="Cambria Math" w:cs="Arial"/>
                      </w:rPr>
                      <m:t>0,SFV</m:t>
                    </m:r>
                  </m:sub>
                </m:sSub>
              </m:oMath>
            </m:oMathPara>
          </w:p>
        </w:tc>
        <w:tc>
          <w:tcPr>
            <w:tcW w:w="433" w:type="dxa"/>
          </w:tcPr>
          <w:p w:rsidR="0072683D" w:rsidRDefault="0072683D" w:rsidP="00B628FB">
            <w:pPr>
              <w:ind w:right="142"/>
              <w:jc w:val="both"/>
              <w:rPr>
                <w:rFonts w:ascii="Bookman Old Style" w:hAnsi="Bookman Old Style" w:cs="Arial"/>
                <w:bCs/>
              </w:rPr>
            </w:pPr>
            <w:r>
              <w:rPr>
                <w:rFonts w:ascii="Bookman Old Style" w:hAnsi="Bookman Old Style" w:cs="Arial"/>
                <w:bCs/>
              </w:rPr>
              <w:t>:</w:t>
            </w:r>
          </w:p>
        </w:tc>
        <w:tc>
          <w:tcPr>
            <w:tcW w:w="8015" w:type="dxa"/>
          </w:tcPr>
          <w:p w:rsidR="00B628FB" w:rsidRDefault="00B628FB" w:rsidP="00B628FB">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 los costos promedios ponderados de </w:t>
            </w:r>
            <w:r w:rsidRPr="00B628FB">
              <w:rPr>
                <w:rFonts w:ascii="Bookman Old Style" w:hAnsi="Bookman Old Style" w:cs="Arial"/>
              </w:rPr>
              <w:t>administración, operación y mantenimiento</w:t>
            </w:r>
            <w:r>
              <w:rPr>
                <w:rFonts w:ascii="Bookman Old Style" w:hAnsi="Bookman Old Style" w:cs="Arial"/>
              </w:rPr>
              <w:t xml:space="preserve">, por energía </w:t>
            </w:r>
            <w:r w:rsidR="00C65935">
              <w:rPr>
                <w:rFonts w:ascii="Bookman Old Style" w:hAnsi="Bookman Old Style" w:cs="Arial"/>
              </w:rPr>
              <w:t>suministrada</w:t>
            </w:r>
            <w:r>
              <w:rPr>
                <w:rFonts w:ascii="Bookman Old Style" w:hAnsi="Bookman Old Style" w:cs="Arial"/>
              </w:rPr>
              <w:t xml:space="preserve">, de los recursos energéticos </w:t>
            </w:r>
            <w:r>
              <w:rPr>
                <w:rFonts w:ascii="Bookman Old Style" w:hAnsi="Bookman Old Style" w:cs="Arial"/>
                <w:bCs/>
              </w:rPr>
              <w:t>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sidRPr="004F0E39">
              <w:rPr>
                <w:rFonts w:ascii="Bookman Old Style" w:hAnsi="Bookman Old Style" w:cs="Arial"/>
                <w:bCs/>
              </w:rPr>
              <w:t xml:space="preserve"> </w:t>
            </w:r>
            <w:r>
              <w:rPr>
                <w:rFonts w:ascii="Bookman Old Style" w:hAnsi="Bookman Old Style" w:cs="Arial"/>
                <w:bCs/>
              </w:rPr>
              <w:t xml:space="preserve">con </w:t>
            </w:r>
            <w:r w:rsidRPr="004F0E39">
              <w:rPr>
                <w:rFonts w:ascii="Bookman Old Style" w:hAnsi="Bookman Old Style" w:cs="Arial"/>
                <w:bCs/>
              </w:rPr>
              <w:t xml:space="preserve">alimentación directa a </w:t>
            </w:r>
            <w:r>
              <w:rPr>
                <w:rFonts w:ascii="Bookman Old Style" w:hAnsi="Bookman Old Style" w:cs="Arial"/>
                <w:bCs/>
              </w:rPr>
              <w:t xml:space="preserve">la </w:t>
            </w:r>
            <w:r w:rsidRPr="004F0E39">
              <w:rPr>
                <w:rFonts w:ascii="Bookman Old Style" w:hAnsi="Bookman Old Style" w:cs="Arial"/>
                <w:bCs/>
              </w:rPr>
              <w:t>red</w:t>
            </w:r>
            <w:r>
              <w:rPr>
                <w:rFonts w:ascii="Bookman Old Style" w:hAnsi="Bookman Old Style" w:cs="Arial"/>
                <w:bCs/>
              </w:rPr>
              <w:t xml:space="preserve"> de distribución</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 xml:space="preserve">l </w:t>
            </w:r>
            <w:r w:rsidR="00FA5D36">
              <w:rPr>
                <w:rFonts w:ascii="Bookman Old Style" w:hAnsi="Bookman Old Style" w:cs="Arial"/>
              </w:rPr>
              <w:t>mercado relevante de comercialización señalado en este artículo</w:t>
            </w:r>
            <w:r>
              <w:rPr>
                <w:rFonts w:ascii="Bookman Old Style" w:hAnsi="Bookman Old Style" w:cs="Arial"/>
              </w:rPr>
              <w:t>, expresado en pesos constantes de la fecha base, s</w:t>
            </w:r>
            <w:r w:rsidRPr="0008083F">
              <w:rPr>
                <w:rFonts w:ascii="Bookman Old Style" w:hAnsi="Bookman Old Style" w:cs="Arial"/>
              </w:rPr>
              <w:t xml:space="preserve">egún lo previsto en el </w:t>
            </w:r>
            <w:r>
              <w:rPr>
                <w:rFonts w:ascii="Bookman Old Style" w:hAnsi="Bookman Old Style" w:cs="Arial"/>
              </w:rPr>
              <w:t>artículo 1 de esta resolución.</w:t>
            </w:r>
          </w:p>
          <w:p w:rsidR="0072683D" w:rsidRDefault="0072683D" w:rsidP="00B628FB">
            <w:pPr>
              <w:ind w:right="142"/>
              <w:jc w:val="both"/>
              <w:rPr>
                <w:rFonts w:ascii="Bookman Old Style" w:hAnsi="Bookman Old Style" w:cs="Arial"/>
              </w:rPr>
            </w:pPr>
          </w:p>
        </w:tc>
      </w:tr>
    </w:tbl>
    <w:p w:rsidR="0072683D" w:rsidRDefault="0072683D" w:rsidP="006931CD">
      <w:pPr>
        <w:ind w:left="284" w:right="142"/>
        <w:jc w:val="both"/>
        <w:rPr>
          <w:rFonts w:ascii="Bookman Old Style" w:hAnsi="Bookman Old Style" w:cs="Arial"/>
        </w:rPr>
      </w:pPr>
    </w:p>
    <w:p w:rsidR="00C75656" w:rsidRDefault="00C75656" w:rsidP="00C75656">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oMath>
      <w:r>
        <w:rPr>
          <w:rFonts w:ascii="Bookman Old Style" w:hAnsi="Bookman Old Style" w:cs="Arial"/>
        </w:rPr>
        <w:t xml:space="preserve"> se obtiene a partir de la siguiente fórmula:</w:t>
      </w:r>
    </w:p>
    <w:p w:rsidR="00C75656" w:rsidRDefault="00C75656" w:rsidP="006931CD">
      <w:pPr>
        <w:ind w:left="284" w:right="142"/>
        <w:jc w:val="both"/>
        <w:rPr>
          <w:rFonts w:ascii="Bookman Old Style" w:hAnsi="Bookman Old Style" w:cs="Arial"/>
        </w:rPr>
      </w:pPr>
    </w:p>
    <w:p w:rsidR="00F3786E" w:rsidRDefault="00845345" w:rsidP="006931CD">
      <w:pPr>
        <w:ind w:left="284" w:right="142"/>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0,A</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0,A</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oMath>
      </m:oMathPara>
    </w:p>
    <w:p w:rsidR="00F3786E" w:rsidRDefault="00F3786E" w:rsidP="006931CD">
      <w:pPr>
        <w:ind w:left="284" w:right="142"/>
        <w:jc w:val="both"/>
        <w:rPr>
          <w:rFonts w:ascii="Bookman Old Style" w:hAnsi="Bookman Old Style" w:cs="Arial"/>
        </w:rPr>
      </w:pPr>
    </w:p>
    <w:p w:rsidR="00D96D73" w:rsidRDefault="0072683D" w:rsidP="006931CD">
      <w:pPr>
        <w:ind w:left="284" w:right="142"/>
        <w:jc w:val="both"/>
        <w:rPr>
          <w:rFonts w:ascii="Bookman Old Style" w:hAnsi="Bookman Old Style" w:cs="Arial"/>
        </w:rPr>
      </w:pPr>
      <w:r>
        <w:rPr>
          <w:rFonts w:ascii="Bookman Old Style" w:hAnsi="Bookman Old Style" w:cs="Arial"/>
        </w:rPr>
        <w:lastRenderedPageBreak/>
        <w:t>En donde,</w:t>
      </w:r>
    </w:p>
    <w:p w:rsidR="009907DF" w:rsidRDefault="009907DF" w:rsidP="006931CD">
      <w:pPr>
        <w:ind w:left="284" w:right="142"/>
        <w:jc w:val="both"/>
        <w:rPr>
          <w:rFonts w:ascii="Bookman Old Style" w:hAnsi="Bookman Old Style" w:cs="Arial"/>
          <w:bCs/>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435"/>
        <w:gridCol w:w="8013"/>
      </w:tblGrid>
      <w:tr w:rsidR="00B628FB" w:rsidTr="00B628FB">
        <w:tc>
          <w:tcPr>
            <w:tcW w:w="907" w:type="dxa"/>
          </w:tcPr>
          <w:p w:rsidR="00B628FB" w:rsidRPr="00FA14D6"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0,A</m:t>
                    </m:r>
                  </m:sub>
                </m:sSub>
              </m:oMath>
            </m:oMathPara>
          </w:p>
        </w:tc>
        <w:tc>
          <w:tcPr>
            <w:tcW w:w="433" w:type="dxa"/>
          </w:tcPr>
          <w:p w:rsidR="00B628FB" w:rsidRDefault="00B628FB" w:rsidP="00B628FB">
            <w:pPr>
              <w:ind w:right="142"/>
              <w:jc w:val="both"/>
              <w:rPr>
                <w:rFonts w:ascii="Bookman Old Style" w:hAnsi="Bookman Old Style" w:cs="Arial"/>
                <w:bCs/>
              </w:rPr>
            </w:pPr>
            <w:r>
              <w:rPr>
                <w:rFonts w:ascii="Bookman Old Style" w:hAnsi="Bookman Old Style" w:cs="Arial"/>
                <w:bCs/>
              </w:rPr>
              <w:t>:</w:t>
            </w:r>
          </w:p>
        </w:tc>
        <w:tc>
          <w:tcPr>
            <w:tcW w:w="8015" w:type="dxa"/>
          </w:tcPr>
          <w:p w:rsidR="00B628FB" w:rsidRDefault="00B628FB" w:rsidP="00B628FB">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del costo promedio ponderado de inversión, por energía </w:t>
            </w:r>
            <w:r w:rsidR="00C65935">
              <w:rPr>
                <w:rFonts w:ascii="Bookman Old Style" w:hAnsi="Bookman Old Style" w:cs="Arial"/>
              </w:rPr>
              <w:t>suministrada</w:t>
            </w:r>
            <w:r>
              <w:rPr>
                <w:rFonts w:ascii="Bookman Old Style" w:hAnsi="Bookman Old Style" w:cs="Arial"/>
              </w:rPr>
              <w:t xml:space="preserve">, </w:t>
            </w:r>
            <w:r w:rsidR="009907DF">
              <w:rPr>
                <w:rFonts w:ascii="Bookman Old Style" w:hAnsi="Bookman Old Style" w:cs="Arial"/>
                <w:bCs/>
              </w:rPr>
              <w:t>a partir de acumuladores de recursos energéticos s</w:t>
            </w:r>
            <w:r w:rsidR="009907DF" w:rsidRPr="004F0E39">
              <w:rPr>
                <w:rFonts w:ascii="Bookman Old Style" w:hAnsi="Bookman Old Style" w:cs="Arial"/>
                <w:bCs/>
              </w:rPr>
              <w:t>olar</w:t>
            </w:r>
            <w:r w:rsidR="009907DF">
              <w:rPr>
                <w:rFonts w:ascii="Bookman Old Style" w:hAnsi="Bookman Old Style" w:cs="Arial"/>
                <w:bCs/>
              </w:rPr>
              <w:t>es</w:t>
            </w:r>
            <w:r w:rsidR="009907DF" w:rsidRPr="004F0E39">
              <w:rPr>
                <w:rFonts w:ascii="Bookman Old Style" w:hAnsi="Bookman Old Style" w:cs="Arial"/>
                <w:bCs/>
              </w:rPr>
              <w:t xml:space="preserve"> fotovoltaico</w:t>
            </w:r>
            <w:r w:rsidR="009907DF">
              <w:rPr>
                <w:rFonts w:ascii="Bookman Old Style" w:hAnsi="Bookman Old Style" w:cs="Arial"/>
                <w:bCs/>
              </w:rPr>
              <w:t>s</w:t>
            </w:r>
            <w:r w:rsidR="009907DF">
              <w:rPr>
                <w:rFonts w:ascii="Bookman Old Style" w:hAnsi="Bookman Old Style" w:cs="Arial"/>
              </w:rPr>
              <w:t xml:space="preserve">, </w:t>
            </w:r>
            <w:r w:rsidR="009907DF" w:rsidRPr="00920F21">
              <w:rPr>
                <w:rFonts w:ascii="Bookman Old Style" w:hAnsi="Bookman Old Style" w:cs="Arial"/>
              </w:rPr>
              <w:t>de</w:t>
            </w:r>
            <w:r w:rsidR="009907DF">
              <w:rPr>
                <w:rFonts w:ascii="Bookman Old Style" w:hAnsi="Bookman Old Style" w:cs="Arial"/>
              </w:rPr>
              <w:t>l mercado relevante de comercialización señalado en este artículo</w:t>
            </w:r>
            <w:r>
              <w:rPr>
                <w:rFonts w:ascii="Bookman Old Style" w:hAnsi="Bookman Old Style" w:cs="Arial"/>
              </w:rPr>
              <w:t>, expresado en pesos constantes de la fecha base, s</w:t>
            </w:r>
            <w:r w:rsidRPr="0008083F">
              <w:rPr>
                <w:rFonts w:ascii="Bookman Old Style" w:hAnsi="Bookman Old Style" w:cs="Arial"/>
              </w:rPr>
              <w:t xml:space="preserve">egún lo previsto en el </w:t>
            </w:r>
            <w:r>
              <w:rPr>
                <w:rFonts w:ascii="Bookman Old Style" w:hAnsi="Bookman Old Style" w:cs="Arial"/>
              </w:rPr>
              <w:t>artículo 1 de esta resolución.</w:t>
            </w:r>
          </w:p>
          <w:p w:rsidR="00B628FB" w:rsidRDefault="00B628FB" w:rsidP="00B628FB">
            <w:pPr>
              <w:ind w:right="142"/>
              <w:jc w:val="both"/>
              <w:rPr>
                <w:rFonts w:ascii="Bookman Old Style" w:hAnsi="Bookman Old Style" w:cs="Arial"/>
                <w:bCs/>
              </w:rPr>
            </w:pPr>
          </w:p>
        </w:tc>
      </w:tr>
      <w:tr w:rsidR="00B628FB" w:rsidTr="00B628FB">
        <w:tc>
          <w:tcPr>
            <w:tcW w:w="907" w:type="dxa"/>
          </w:tcPr>
          <w:p w:rsidR="00B628FB" w:rsidRPr="0072683D" w:rsidRDefault="00845345" w:rsidP="00B628FB">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CM</m:t>
                    </m:r>
                  </m:e>
                  <m:sub>
                    <m:r>
                      <w:rPr>
                        <w:rFonts w:ascii="Cambria Math" w:hAnsi="Cambria Math" w:cs="Arial"/>
                      </w:rPr>
                      <m:t>0,A</m:t>
                    </m:r>
                  </m:sub>
                </m:sSub>
              </m:oMath>
            </m:oMathPara>
          </w:p>
        </w:tc>
        <w:tc>
          <w:tcPr>
            <w:tcW w:w="433" w:type="dxa"/>
          </w:tcPr>
          <w:p w:rsidR="00B628FB" w:rsidRDefault="00B628FB" w:rsidP="00B628FB">
            <w:pPr>
              <w:ind w:right="142"/>
              <w:jc w:val="both"/>
              <w:rPr>
                <w:rFonts w:ascii="Bookman Old Style" w:hAnsi="Bookman Old Style" w:cs="Arial"/>
                <w:bCs/>
              </w:rPr>
            </w:pPr>
            <w:r>
              <w:rPr>
                <w:rFonts w:ascii="Bookman Old Style" w:hAnsi="Bookman Old Style" w:cs="Arial"/>
                <w:bCs/>
              </w:rPr>
              <w:t>:</w:t>
            </w:r>
          </w:p>
        </w:tc>
        <w:tc>
          <w:tcPr>
            <w:tcW w:w="8015" w:type="dxa"/>
          </w:tcPr>
          <w:p w:rsidR="00B628FB" w:rsidRDefault="00B628FB" w:rsidP="00B628FB">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 los costos promedios ponderados de </w:t>
            </w:r>
            <w:r w:rsidRPr="00B628FB">
              <w:rPr>
                <w:rFonts w:ascii="Bookman Old Style" w:hAnsi="Bookman Old Style" w:cs="Arial"/>
              </w:rPr>
              <w:t>administración, operación y mantenimiento</w:t>
            </w:r>
            <w:r>
              <w:rPr>
                <w:rFonts w:ascii="Bookman Old Style" w:hAnsi="Bookman Old Style" w:cs="Arial"/>
              </w:rPr>
              <w:t xml:space="preserve">, por energía </w:t>
            </w:r>
            <w:r w:rsidR="00C65935">
              <w:rPr>
                <w:rFonts w:ascii="Bookman Old Style" w:hAnsi="Bookman Old Style" w:cs="Arial"/>
              </w:rPr>
              <w:t>suministrada</w:t>
            </w:r>
            <w:r>
              <w:rPr>
                <w:rFonts w:ascii="Bookman Old Style" w:hAnsi="Bookman Old Style" w:cs="Arial"/>
              </w:rPr>
              <w:t>,</w:t>
            </w:r>
            <w:r w:rsidR="009907DF">
              <w:rPr>
                <w:rFonts w:ascii="Bookman Old Style" w:hAnsi="Bookman Old Style" w:cs="Arial"/>
              </w:rPr>
              <w:t xml:space="preserve"> </w:t>
            </w:r>
            <w:r w:rsidR="00C65935">
              <w:rPr>
                <w:rFonts w:ascii="Bookman Old Style" w:hAnsi="Bookman Old Style" w:cs="Arial"/>
                <w:bCs/>
              </w:rPr>
              <w:t>a partir de acumuladores de recursos energéticos s</w:t>
            </w:r>
            <w:r w:rsidR="00C65935" w:rsidRPr="004F0E39">
              <w:rPr>
                <w:rFonts w:ascii="Bookman Old Style" w:hAnsi="Bookman Old Style" w:cs="Arial"/>
                <w:bCs/>
              </w:rPr>
              <w:t>olar</w:t>
            </w:r>
            <w:r w:rsidR="00C65935">
              <w:rPr>
                <w:rFonts w:ascii="Bookman Old Style" w:hAnsi="Bookman Old Style" w:cs="Arial"/>
                <w:bCs/>
              </w:rPr>
              <w:t>es</w:t>
            </w:r>
            <w:r w:rsidR="00C65935" w:rsidRPr="004F0E39">
              <w:rPr>
                <w:rFonts w:ascii="Bookman Old Style" w:hAnsi="Bookman Old Style" w:cs="Arial"/>
                <w:bCs/>
              </w:rPr>
              <w:t xml:space="preserve"> fotovoltaico</w:t>
            </w:r>
            <w:r w:rsidR="00C65935">
              <w:rPr>
                <w:rFonts w:ascii="Bookman Old Style" w:hAnsi="Bookman Old Style" w:cs="Arial"/>
                <w:bCs/>
              </w:rPr>
              <w:t>s</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 xml:space="preserve">l </w:t>
            </w:r>
            <w:r w:rsidR="009907DF">
              <w:rPr>
                <w:rFonts w:ascii="Bookman Old Style" w:hAnsi="Bookman Old Style" w:cs="Arial"/>
              </w:rPr>
              <w:t>mercado relevante de comercialización señalado en este artículo</w:t>
            </w:r>
            <w:r>
              <w:rPr>
                <w:rFonts w:ascii="Bookman Old Style" w:hAnsi="Bookman Old Style" w:cs="Arial"/>
              </w:rPr>
              <w:t>, expresado en pesos constantes de la fecha base, s</w:t>
            </w:r>
            <w:r w:rsidRPr="0008083F">
              <w:rPr>
                <w:rFonts w:ascii="Bookman Old Style" w:hAnsi="Bookman Old Style" w:cs="Arial"/>
              </w:rPr>
              <w:t xml:space="preserve">egún lo previsto en el </w:t>
            </w:r>
            <w:r>
              <w:rPr>
                <w:rFonts w:ascii="Bookman Old Style" w:hAnsi="Bookman Old Style" w:cs="Arial"/>
              </w:rPr>
              <w:t>artículo 1 de esta resolución.</w:t>
            </w:r>
          </w:p>
          <w:p w:rsidR="00B628FB" w:rsidRDefault="00B628FB" w:rsidP="00B628FB">
            <w:pPr>
              <w:ind w:right="142"/>
              <w:jc w:val="both"/>
              <w:rPr>
                <w:rFonts w:ascii="Bookman Old Style" w:hAnsi="Bookman Old Style" w:cs="Arial"/>
              </w:rPr>
            </w:pPr>
          </w:p>
        </w:tc>
      </w:tr>
    </w:tbl>
    <w:p w:rsidR="00C75656" w:rsidRDefault="00C75656" w:rsidP="00C75656">
      <w:pPr>
        <w:ind w:left="284" w:right="142"/>
        <w:jc w:val="both"/>
        <w:rPr>
          <w:rFonts w:ascii="Bookman Old Style" w:hAnsi="Bookman Old Style" w:cs="Arial"/>
        </w:rPr>
      </w:pPr>
    </w:p>
    <w:p w:rsidR="00C75656" w:rsidRDefault="00C75656" w:rsidP="00C75656">
      <w:pPr>
        <w:ind w:left="284" w:right="142"/>
        <w:jc w:val="both"/>
        <w:rPr>
          <w:rFonts w:ascii="Bookman Old Style" w:hAnsi="Bookman Old Style" w:cs="Arial"/>
        </w:rPr>
      </w:pPr>
      <w:r w:rsidRPr="0035560A">
        <w:rPr>
          <w:rFonts w:ascii="Bookman Old Style" w:hAnsi="Bookman Old Style" w:cs="Arial"/>
          <w:b/>
        </w:rPr>
        <w:t>Parágrafo.</w:t>
      </w:r>
      <w:r>
        <w:rPr>
          <w:rFonts w:ascii="Bookman Old Style" w:hAnsi="Bookman Old Style" w:cs="Arial"/>
        </w:rPr>
        <w:t xml:space="preserve"> El valor máximo </w:t>
      </w:r>
      <w:r w:rsidR="009D0231">
        <w:rPr>
          <w:rFonts w:ascii="Bookman Old Style" w:hAnsi="Bookman Old Style" w:cs="Arial"/>
        </w:rPr>
        <w:t xml:space="preserve">aplicable a </w:t>
      </w:r>
      <m:oMath>
        <m:sSub>
          <m:sSubPr>
            <m:ctrlPr>
              <w:rPr>
                <w:rFonts w:ascii="Cambria Math" w:hAnsi="Cambria Math" w:cs="Arial"/>
                <w:i/>
              </w:rPr>
            </m:ctrlPr>
          </m:sSubPr>
          <m:e>
            <m:r>
              <w:rPr>
                <w:rFonts w:ascii="Cambria Math" w:hAnsi="Cambria Math" w:cs="Arial"/>
              </w:rPr>
              <m:t>G</m:t>
            </m:r>
          </m:e>
          <m:sub>
            <m:r>
              <w:rPr>
                <w:rFonts w:ascii="Cambria Math" w:hAnsi="Cambria Math" w:cs="Arial"/>
              </w:rPr>
              <m:t>U,m</m:t>
            </m:r>
          </m:sub>
        </m:sSub>
      </m:oMath>
      <w:r>
        <w:rPr>
          <w:rFonts w:ascii="Bookman Old Style" w:hAnsi="Bookman Old Style" w:cs="Arial"/>
        </w:rPr>
        <w:t xml:space="preserve"> </w:t>
      </w:r>
      <w:r w:rsidR="009D0231">
        <w:rPr>
          <w:rFonts w:ascii="Bookman Old Style" w:hAnsi="Bookman Old Style" w:cs="Arial"/>
        </w:rPr>
        <w:t xml:space="preserve">será el </w:t>
      </w:r>
      <w:r>
        <w:rPr>
          <w:rFonts w:ascii="Bookman Old Style" w:hAnsi="Bookman Old Style" w:cs="Arial"/>
        </w:rPr>
        <w:t xml:space="preserve">calculado para </w:t>
      </w:r>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oMath>
      <w:r>
        <w:rPr>
          <w:rFonts w:ascii="Bookman Old Style" w:hAnsi="Bookman Old Style" w:cs="Arial"/>
        </w:rPr>
        <w:t>.</w:t>
      </w:r>
    </w:p>
    <w:p w:rsidR="00F41573" w:rsidRDefault="00F41573" w:rsidP="006931CD">
      <w:pPr>
        <w:ind w:left="284" w:right="142"/>
        <w:jc w:val="both"/>
        <w:rPr>
          <w:rFonts w:ascii="Bookman Old Style" w:hAnsi="Bookman Old Style" w:cs="Arial"/>
          <w:bCs/>
        </w:rPr>
      </w:pPr>
    </w:p>
    <w:p w:rsidR="007D63FF" w:rsidRDefault="00AF1D01" w:rsidP="00555B02">
      <w:pPr>
        <w:ind w:left="284" w:right="142"/>
        <w:jc w:val="both"/>
        <w:rPr>
          <w:rFonts w:ascii="Bookman Old Style" w:hAnsi="Bookman Old Style" w:cs="Arial"/>
        </w:rPr>
      </w:pPr>
      <w:r w:rsidRPr="00BB5741">
        <w:rPr>
          <w:rFonts w:ascii="Bookman Old Style" w:hAnsi="Bookman Old Style" w:cs="Arial"/>
          <w:b/>
        </w:rPr>
        <w:t xml:space="preserve">ARTÍCULO 3. </w:t>
      </w:r>
      <w:r w:rsidR="006931CD" w:rsidRPr="00BB5741">
        <w:rPr>
          <w:rFonts w:ascii="Bookman Old Style" w:hAnsi="Bookman Old Style" w:cs="Arial"/>
          <w:b/>
        </w:rPr>
        <w:t>Vigencia.</w:t>
      </w:r>
      <w:r w:rsidR="006931CD" w:rsidRPr="00BB5741">
        <w:rPr>
          <w:rFonts w:ascii="Bookman Old Style" w:hAnsi="Bookman Old Style" w:cs="Arial"/>
        </w:rPr>
        <w:t xml:space="preserve"> </w:t>
      </w:r>
      <w:r w:rsidR="00BB5741" w:rsidRPr="00BB5741">
        <w:rPr>
          <w:rFonts w:ascii="Bookman Old Style" w:hAnsi="Bookman Old Style" w:cs="Arial"/>
        </w:rPr>
        <w:t xml:space="preserve">Las componentes de inversión y de administración, operación y mantenimiento para sistemas híbridos diésel </w:t>
      </w:r>
      <w:r w:rsidR="009907DF">
        <w:rPr>
          <w:rFonts w:ascii="Bookman Old Style" w:hAnsi="Bookman Old Style" w:cs="Arial"/>
        </w:rPr>
        <w:t xml:space="preserve">- </w:t>
      </w:r>
      <w:r w:rsidR="00BB5741" w:rsidRPr="00BB5741">
        <w:rPr>
          <w:rFonts w:ascii="Bookman Old Style" w:hAnsi="Bookman Old Style" w:cs="Arial"/>
        </w:rPr>
        <w:t>solar fotovoltaicos con acumulación</w:t>
      </w:r>
      <w:r w:rsidR="00C05BC4">
        <w:rPr>
          <w:rFonts w:ascii="Bookman Old Style" w:hAnsi="Bookman Old Style" w:cs="Arial"/>
        </w:rPr>
        <w:t>,</w:t>
      </w:r>
      <w:r w:rsidR="00C414AE">
        <w:rPr>
          <w:rFonts w:ascii="Bookman Old Style" w:hAnsi="Bookman Old Style" w:cs="Arial"/>
        </w:rPr>
        <w:t xml:space="preserve"> y la fórmula de actualización de cargos máximos</w:t>
      </w:r>
      <w:r w:rsidR="00864D4A">
        <w:rPr>
          <w:rFonts w:ascii="Bookman Old Style" w:hAnsi="Bookman Old Style" w:cs="Arial"/>
        </w:rPr>
        <w:t>,</w:t>
      </w:r>
      <w:r w:rsidR="00C414AE">
        <w:rPr>
          <w:rFonts w:ascii="Bookman Old Style" w:hAnsi="Bookman Old Style" w:cs="Arial"/>
        </w:rPr>
        <w:t xml:space="preserve"> señalados en los artículos </w:t>
      </w:r>
      <w:r w:rsidR="007F1CA9">
        <w:rPr>
          <w:rFonts w:ascii="Bookman Old Style" w:hAnsi="Bookman Old Style" w:cs="Arial"/>
        </w:rPr>
        <w:t>1</w:t>
      </w:r>
      <w:r w:rsidR="00C414AE">
        <w:rPr>
          <w:rFonts w:ascii="Bookman Old Style" w:hAnsi="Bookman Old Style" w:cs="Arial"/>
        </w:rPr>
        <w:t xml:space="preserve"> y </w:t>
      </w:r>
      <w:r w:rsidR="007F1CA9">
        <w:rPr>
          <w:rFonts w:ascii="Bookman Old Style" w:hAnsi="Bookman Old Style" w:cs="Arial"/>
        </w:rPr>
        <w:t>2</w:t>
      </w:r>
      <w:r w:rsidR="00C414AE">
        <w:rPr>
          <w:rFonts w:ascii="Bookman Old Style" w:hAnsi="Bookman Old Style" w:cs="Arial"/>
        </w:rPr>
        <w:t xml:space="preserve"> de la presente resolución</w:t>
      </w:r>
      <w:r w:rsidR="00864D4A">
        <w:rPr>
          <w:rFonts w:ascii="Bookman Old Style" w:hAnsi="Bookman Old Style" w:cs="Arial"/>
        </w:rPr>
        <w:t>,</w:t>
      </w:r>
      <w:r w:rsidR="006931CD" w:rsidRPr="00BB5741">
        <w:rPr>
          <w:rFonts w:ascii="Bookman Old Style" w:hAnsi="Bookman Old Style" w:cs="Arial"/>
        </w:rPr>
        <w:t xml:space="preserve"> </w:t>
      </w:r>
      <w:r w:rsidR="00446675" w:rsidRPr="00BB5741">
        <w:rPr>
          <w:rFonts w:ascii="Bookman Old Style" w:hAnsi="Bookman Old Style" w:cs="Arial"/>
        </w:rPr>
        <w:t xml:space="preserve">serán aplicables </w:t>
      </w:r>
      <w:r w:rsidR="00BB5741" w:rsidRPr="00BB5741">
        <w:rPr>
          <w:rFonts w:ascii="Bookman Old Style" w:hAnsi="Bookman Old Style" w:cs="Arial"/>
        </w:rPr>
        <w:t>a partir de la entrada en operación de cualquier recurso de generación solar fotovoltaico y h</w:t>
      </w:r>
      <w:r w:rsidR="006931CD" w:rsidRPr="00BB5741">
        <w:rPr>
          <w:rFonts w:ascii="Bookman Old Style" w:hAnsi="Bookman Old Style" w:cs="Arial"/>
        </w:rPr>
        <w:t xml:space="preserve">asta la entrada en vigencia de la resolución que </w:t>
      </w:r>
      <w:r w:rsidR="006542DE" w:rsidRPr="00BB5741">
        <w:rPr>
          <w:rFonts w:ascii="Bookman Old Style" w:hAnsi="Bookman Old Style" w:cs="Arial"/>
        </w:rPr>
        <w:t xml:space="preserve">modifique o </w:t>
      </w:r>
      <w:r w:rsidR="006931CD" w:rsidRPr="00BB5741">
        <w:rPr>
          <w:rFonts w:ascii="Bookman Old Style" w:hAnsi="Bookman Old Style" w:cs="Arial"/>
        </w:rPr>
        <w:t>sustituya a la Resolución CREG 091 de 2007</w:t>
      </w:r>
      <w:r w:rsidR="00C414AE">
        <w:rPr>
          <w:rFonts w:ascii="Bookman Old Style" w:hAnsi="Bookman Old Style" w:cs="Arial"/>
        </w:rPr>
        <w:t>.</w:t>
      </w:r>
    </w:p>
    <w:p w:rsidR="00C414AE" w:rsidRPr="00FA2E6C" w:rsidRDefault="00C414AE" w:rsidP="00555B02">
      <w:pPr>
        <w:ind w:left="284" w:right="142"/>
        <w:jc w:val="both"/>
        <w:rPr>
          <w:rFonts w:ascii="Bookman Old Style" w:hAnsi="Bookman Old Style" w:cs="Arial"/>
        </w:rPr>
      </w:pPr>
    </w:p>
    <w:p w:rsidR="00903C58" w:rsidRPr="004B6F15" w:rsidRDefault="004B6F15" w:rsidP="004B6F15">
      <w:pPr>
        <w:ind w:left="284" w:right="142"/>
        <w:jc w:val="both"/>
        <w:rPr>
          <w:rFonts w:ascii="Bookman Old Style" w:hAnsi="Bookman Old Style" w:cs="Arial"/>
          <w:b/>
        </w:rPr>
      </w:pPr>
      <w:r>
        <w:rPr>
          <w:rFonts w:ascii="Bookman Old Style" w:hAnsi="Bookman Old Style" w:cs="Arial"/>
          <w:b/>
        </w:rPr>
        <w:t xml:space="preserve">ARTÍCULO </w:t>
      </w:r>
      <w:r w:rsidR="00DE056C">
        <w:rPr>
          <w:rFonts w:ascii="Bookman Old Style" w:hAnsi="Bookman Old Style" w:cs="Arial"/>
          <w:b/>
        </w:rPr>
        <w:t>4</w:t>
      </w:r>
      <w:r>
        <w:rPr>
          <w:rFonts w:ascii="Bookman Old Style" w:hAnsi="Bookman Old Style" w:cs="Arial"/>
          <w:b/>
        </w:rPr>
        <w:t xml:space="preserve">. </w:t>
      </w:r>
      <w:r w:rsidR="00903C58" w:rsidRPr="00AF3646">
        <w:rPr>
          <w:rFonts w:ascii="Bookman Old Style" w:hAnsi="Bookman Old Style" w:cs="Arial"/>
        </w:rPr>
        <w:t xml:space="preserve">Notificar al apoderado de </w:t>
      </w:r>
      <w:r w:rsidR="008D38DF">
        <w:rPr>
          <w:rFonts w:ascii="Bookman Old Style" w:hAnsi="Bookman Old Style" w:cs="Arial"/>
        </w:rPr>
        <w:t xml:space="preserve">la </w:t>
      </w:r>
      <w:r w:rsidR="00306A98" w:rsidRPr="0074712A">
        <w:rPr>
          <w:rFonts w:ascii="Bookman Old Style" w:hAnsi="Bookman Old Style"/>
        </w:rPr>
        <w:t>e</w:t>
      </w:r>
      <w:r w:rsidR="00A46F95" w:rsidRPr="0074712A">
        <w:rPr>
          <w:rFonts w:ascii="Bookman Old Style" w:hAnsi="Bookman Old Style"/>
        </w:rPr>
        <w:t xml:space="preserve">mpresa </w:t>
      </w:r>
      <w:r w:rsidR="00312484" w:rsidRPr="0074712A">
        <w:rPr>
          <w:rFonts w:ascii="Bookman Old Style" w:hAnsi="Bookman Old Style"/>
        </w:rPr>
        <w:t>ESP</w:t>
      </w:r>
      <w:r w:rsidR="00A46F95" w:rsidRPr="0074712A">
        <w:rPr>
          <w:rFonts w:ascii="Bookman Old Style" w:hAnsi="Bookman Old Style"/>
        </w:rPr>
        <w:t>UN</w:t>
      </w:r>
      <w:r w:rsidR="00312484" w:rsidRPr="0074712A">
        <w:rPr>
          <w:rFonts w:ascii="Bookman Old Style" w:hAnsi="Bookman Old Style"/>
        </w:rPr>
        <w:t xml:space="preserve"> S.A</w:t>
      </w:r>
      <w:r w:rsidR="00835F66">
        <w:rPr>
          <w:rFonts w:ascii="Bookman Old Style" w:hAnsi="Bookman Old Style"/>
        </w:rPr>
        <w:t>.</w:t>
      </w:r>
      <w:r w:rsidR="00312484" w:rsidRPr="0074712A">
        <w:rPr>
          <w:rFonts w:ascii="Bookman Old Style" w:hAnsi="Bookman Old Style"/>
        </w:rPr>
        <w:t xml:space="preserve"> E.S.P.</w:t>
      </w:r>
      <w:r w:rsidR="00A46F95" w:rsidRPr="0074712A">
        <w:rPr>
          <w:rFonts w:ascii="Bookman Old Style" w:hAnsi="Bookman Old Style"/>
        </w:rPr>
        <w:t>,</w:t>
      </w:r>
      <w:r w:rsidR="00A46F95">
        <w:rPr>
          <w:rFonts w:ascii="Bookman Old Style" w:hAnsi="Bookman Old Style"/>
        </w:rPr>
        <w:t xml:space="preserve"> </w:t>
      </w:r>
      <w:r w:rsidR="00903C58" w:rsidRPr="00AF3646">
        <w:rPr>
          <w:rFonts w:ascii="Bookman Old Style" w:hAnsi="Bookman Old Style" w:cs="Arial"/>
        </w:rPr>
        <w:t xml:space="preserve">el contenido de </w:t>
      </w:r>
      <w:r w:rsidR="00BF1B50">
        <w:rPr>
          <w:rFonts w:ascii="Bookman Old Style" w:hAnsi="Bookman Old Style" w:cs="Arial"/>
        </w:rPr>
        <w:t>esta resolución</w:t>
      </w:r>
      <w:r w:rsidR="00903C58" w:rsidRPr="00AF3646">
        <w:rPr>
          <w:rFonts w:ascii="Bookman Old Style" w:hAnsi="Bookman Old Style" w:cs="Arial"/>
        </w:rPr>
        <w:t xml:space="preserve">. Contra lo dispuesto en </w:t>
      </w:r>
      <w:r w:rsidR="00BF1B50">
        <w:rPr>
          <w:rFonts w:ascii="Bookman Old Style" w:hAnsi="Bookman Old Style" w:cs="Arial"/>
        </w:rPr>
        <w:t>la</w:t>
      </w:r>
      <w:r w:rsidR="00903C58" w:rsidRPr="00AF3646">
        <w:rPr>
          <w:rFonts w:ascii="Bookman Old Style" w:hAnsi="Bookman Old Style" w:cs="Arial"/>
        </w:rPr>
        <w:t xml:space="preserve"> presente </w:t>
      </w:r>
      <w:r w:rsidR="00BF1B50">
        <w:rPr>
          <w:rFonts w:ascii="Bookman Old Style" w:hAnsi="Bookman Old Style" w:cs="Arial"/>
        </w:rPr>
        <w:t>resolución</w:t>
      </w:r>
      <w:r w:rsidR="008D38DF">
        <w:rPr>
          <w:rFonts w:ascii="Bookman Old Style" w:hAnsi="Bookman Old Style" w:cs="Arial"/>
        </w:rPr>
        <w:t xml:space="preserve"> </w:t>
      </w:r>
      <w:r w:rsidR="00903C58" w:rsidRPr="00AF3646">
        <w:rPr>
          <w:rFonts w:ascii="Bookman Old Style" w:hAnsi="Bookman Old Style" w:cs="Arial"/>
        </w:rPr>
        <w:t>procede recurso de reposición</w:t>
      </w:r>
      <w:r w:rsidR="008D38DF">
        <w:rPr>
          <w:rFonts w:ascii="Bookman Old Style" w:hAnsi="Bookman Old Style" w:cs="Arial"/>
        </w:rPr>
        <w:t>,</w:t>
      </w:r>
      <w:r w:rsidR="00903C58" w:rsidRPr="00AF3646">
        <w:rPr>
          <w:rFonts w:ascii="Bookman Old Style" w:hAnsi="Bookman Old Style" w:cs="Arial"/>
        </w:rPr>
        <w:t xml:space="preserve"> el cual deberá interponerse ante la Dirección Ejecutiva de la CREG dentro de los cinco (5) días siguientes a su notificación.</w:t>
      </w:r>
    </w:p>
    <w:p w:rsidR="007B04CB" w:rsidRDefault="007B04CB" w:rsidP="00DE4BF8">
      <w:pPr>
        <w:ind w:left="284" w:right="142"/>
        <w:jc w:val="both"/>
        <w:rPr>
          <w:rFonts w:ascii="Bookman Old Style" w:hAnsi="Bookman Old Style" w:cs="Arial"/>
        </w:rPr>
      </w:pPr>
    </w:p>
    <w:p w:rsidR="00DE4BF8" w:rsidRPr="00DE4BF8" w:rsidRDefault="00DE4BF8" w:rsidP="00DE4BF8">
      <w:pPr>
        <w:ind w:left="284" w:right="142"/>
        <w:jc w:val="center"/>
        <w:rPr>
          <w:rFonts w:ascii="Bookman Old Style" w:hAnsi="Bookman Old Style" w:cs="Arial"/>
          <w:b/>
        </w:rPr>
      </w:pPr>
      <w:r w:rsidRPr="00DE4BF8">
        <w:rPr>
          <w:rFonts w:ascii="Bookman Old Style" w:hAnsi="Bookman Old Style" w:cs="Arial"/>
          <w:b/>
        </w:rPr>
        <w:t>NOTIFÍQUESE, PUBLÍQUESE Y CÚMPLASE</w:t>
      </w:r>
    </w:p>
    <w:p w:rsidR="00FA2E6C" w:rsidRPr="00DE4BF8" w:rsidRDefault="00FA2E6C" w:rsidP="00DE4BF8">
      <w:pPr>
        <w:ind w:left="284" w:right="142"/>
        <w:rPr>
          <w:rFonts w:ascii="Bookman Old Style" w:hAnsi="Bookman Old Style" w:cs="Arial"/>
        </w:rPr>
      </w:pPr>
    </w:p>
    <w:p w:rsidR="00881DFA" w:rsidRPr="00C435C3" w:rsidRDefault="00881DFA" w:rsidP="00FA2E6C">
      <w:pPr>
        <w:ind w:left="284"/>
        <w:rPr>
          <w:rFonts w:ascii="Bookman Old Style" w:hAnsi="Bookman Old Style"/>
        </w:rPr>
      </w:pPr>
      <w:r w:rsidRPr="00C435C3">
        <w:rPr>
          <w:rFonts w:ascii="Bookman Old Style" w:hAnsi="Bookman Old Style"/>
        </w:rPr>
        <w:t xml:space="preserve">Dada en Bogotá. D. C., </w:t>
      </w:r>
    </w:p>
    <w:p w:rsidR="00881DFA" w:rsidRDefault="00881DFA" w:rsidP="00881DFA">
      <w:pPr>
        <w:rPr>
          <w:rFonts w:ascii="Bookman Old Style" w:hAnsi="Bookman Old Style"/>
        </w:rPr>
      </w:pPr>
    </w:p>
    <w:p w:rsidR="00C05BC4" w:rsidRDefault="00C05BC4" w:rsidP="00881DFA">
      <w:pPr>
        <w:rPr>
          <w:rFonts w:ascii="Bookman Old Style" w:hAnsi="Bookman Old Style"/>
        </w:rPr>
      </w:pPr>
    </w:p>
    <w:p w:rsidR="004D28B1" w:rsidRDefault="004D28B1" w:rsidP="00FF54B4">
      <w:pPr>
        <w:rPr>
          <w:rFonts w:ascii="Bookman Old Style" w:hAnsi="Bookman Old Style"/>
        </w:rPr>
      </w:pPr>
    </w:p>
    <w:p w:rsidR="00FF54B4" w:rsidRDefault="00FF54B4" w:rsidP="00FF54B4">
      <w:pPr>
        <w:rPr>
          <w:rFonts w:ascii="Bookman Old Style" w:hAnsi="Bookman Old Style"/>
        </w:rPr>
      </w:pPr>
    </w:p>
    <w:tbl>
      <w:tblPr>
        <w:tblW w:w="9923" w:type="dxa"/>
        <w:tblLayout w:type="fixed"/>
        <w:tblCellMar>
          <w:left w:w="70" w:type="dxa"/>
          <w:right w:w="70" w:type="dxa"/>
        </w:tblCellMar>
        <w:tblLook w:val="0000" w:firstRow="0" w:lastRow="0" w:firstColumn="0" w:lastColumn="0" w:noHBand="0" w:noVBand="0"/>
      </w:tblPr>
      <w:tblGrid>
        <w:gridCol w:w="4961"/>
        <w:gridCol w:w="4962"/>
      </w:tblGrid>
      <w:tr w:rsidR="00FF54B4" w:rsidRPr="00505CEA" w:rsidTr="00690B34">
        <w:tc>
          <w:tcPr>
            <w:tcW w:w="4961" w:type="dxa"/>
          </w:tcPr>
          <w:p w:rsidR="00FF54B4" w:rsidRPr="00505CEA" w:rsidRDefault="00D87C51" w:rsidP="00A46F95">
            <w:pPr>
              <w:tabs>
                <w:tab w:val="left" w:pos="0"/>
              </w:tabs>
              <w:suppressAutoHyphens/>
              <w:jc w:val="center"/>
              <w:rPr>
                <w:rFonts w:ascii="Bookman Old Style" w:hAnsi="Bookman Old Style" w:cs="Arial"/>
                <w:b/>
                <w:spacing w:val="-3"/>
              </w:rPr>
            </w:pPr>
            <w:r>
              <w:rPr>
                <w:rFonts w:ascii="Bookman Old Style" w:hAnsi="Bookman Old Style" w:cs="Arial"/>
                <w:b/>
                <w:spacing w:val="-3"/>
              </w:rPr>
              <w:t>DIEGO MESA PUYO</w:t>
            </w:r>
          </w:p>
          <w:p w:rsidR="00D87C51" w:rsidRDefault="00D87C51" w:rsidP="00665D59">
            <w:pPr>
              <w:tabs>
                <w:tab w:val="left" w:pos="-720"/>
              </w:tabs>
              <w:suppressAutoHyphens/>
              <w:jc w:val="center"/>
              <w:rPr>
                <w:rFonts w:ascii="Bookman Old Style" w:hAnsi="Bookman Old Style" w:cs="Arial"/>
                <w:spacing w:val="-3"/>
              </w:rPr>
            </w:pPr>
            <w:r>
              <w:rPr>
                <w:rFonts w:ascii="Bookman Old Style" w:hAnsi="Bookman Old Style" w:cs="Arial"/>
                <w:spacing w:val="-3"/>
              </w:rPr>
              <w:t>Viceministro de Energía</w:t>
            </w:r>
          </w:p>
          <w:p w:rsidR="00FF54B4" w:rsidRPr="00505CEA" w:rsidRDefault="00D87C51" w:rsidP="00665D59">
            <w:pPr>
              <w:tabs>
                <w:tab w:val="left" w:pos="-720"/>
              </w:tabs>
              <w:suppressAutoHyphens/>
              <w:jc w:val="center"/>
              <w:rPr>
                <w:rFonts w:ascii="Bookman Old Style" w:hAnsi="Bookman Old Style" w:cs="Arial"/>
                <w:spacing w:val="-3"/>
              </w:rPr>
            </w:pPr>
            <w:r>
              <w:rPr>
                <w:rFonts w:ascii="Bookman Old Style" w:hAnsi="Bookman Old Style" w:cs="Arial"/>
                <w:spacing w:val="-3"/>
              </w:rPr>
              <w:t xml:space="preserve">Delegado de la </w:t>
            </w:r>
            <w:r w:rsidR="00A46F95">
              <w:rPr>
                <w:rFonts w:ascii="Bookman Old Style" w:hAnsi="Bookman Old Style" w:cs="Arial"/>
                <w:spacing w:val="-3"/>
              </w:rPr>
              <w:t xml:space="preserve">Ministra </w:t>
            </w:r>
            <w:r w:rsidR="00FF54B4" w:rsidRPr="00505CEA">
              <w:rPr>
                <w:rFonts w:ascii="Bookman Old Style" w:hAnsi="Bookman Old Style" w:cs="Arial"/>
                <w:spacing w:val="-3"/>
              </w:rPr>
              <w:t>de Energía</w:t>
            </w:r>
          </w:p>
          <w:p w:rsidR="00FF54B4" w:rsidRPr="00505CEA" w:rsidRDefault="00FF54B4" w:rsidP="00665D59">
            <w:pPr>
              <w:tabs>
                <w:tab w:val="left" w:pos="-720"/>
              </w:tabs>
              <w:suppressAutoHyphens/>
              <w:jc w:val="center"/>
              <w:rPr>
                <w:rFonts w:ascii="Bookman Old Style" w:hAnsi="Bookman Old Style" w:cs="Arial"/>
                <w:b/>
                <w:strike/>
                <w:spacing w:val="-3"/>
              </w:rPr>
            </w:pPr>
            <w:r w:rsidRPr="00505CEA">
              <w:rPr>
                <w:rFonts w:ascii="Bookman Old Style" w:hAnsi="Bookman Old Style"/>
              </w:rPr>
              <w:t>Presidente</w:t>
            </w:r>
          </w:p>
        </w:tc>
        <w:tc>
          <w:tcPr>
            <w:tcW w:w="4962" w:type="dxa"/>
          </w:tcPr>
          <w:p w:rsidR="00FF54B4" w:rsidRPr="00505CEA" w:rsidRDefault="00A46F95" w:rsidP="00665D59">
            <w:pPr>
              <w:tabs>
                <w:tab w:val="left" w:pos="-720"/>
              </w:tabs>
              <w:suppressAutoHyphens/>
              <w:jc w:val="center"/>
              <w:rPr>
                <w:rFonts w:ascii="Bookman Old Style" w:hAnsi="Bookman Old Style" w:cs="Arial"/>
                <w:b/>
              </w:rPr>
            </w:pPr>
            <w:r>
              <w:rPr>
                <w:rFonts w:ascii="Bookman Old Style" w:hAnsi="Bookman Old Style" w:cs="Arial"/>
                <w:b/>
              </w:rPr>
              <w:t>CHRISTIAN JARAMILLO HERRERA</w:t>
            </w:r>
          </w:p>
          <w:p w:rsidR="00FF54B4" w:rsidRPr="00505CEA" w:rsidRDefault="00FF54B4" w:rsidP="00665D59">
            <w:pPr>
              <w:tabs>
                <w:tab w:val="left" w:pos="-720"/>
              </w:tabs>
              <w:suppressAutoHyphens/>
              <w:jc w:val="center"/>
              <w:rPr>
                <w:rFonts w:ascii="Bookman Old Style" w:hAnsi="Bookman Old Style" w:cs="Arial"/>
                <w:b/>
                <w:spacing w:val="-3"/>
              </w:rPr>
            </w:pPr>
            <w:r w:rsidRPr="00505CEA">
              <w:rPr>
                <w:rFonts w:ascii="Bookman Old Style" w:hAnsi="Bookman Old Style" w:cs="Arial"/>
                <w:spacing w:val="-3"/>
              </w:rPr>
              <w:t>Director Ejecutivo</w:t>
            </w:r>
          </w:p>
        </w:tc>
      </w:tr>
    </w:tbl>
    <w:p w:rsidR="00881DFA" w:rsidRDefault="00881DFA" w:rsidP="00F62780">
      <w:pPr>
        <w:rPr>
          <w:rFonts w:ascii="Bookman Old Style" w:hAnsi="Bookman Old Style"/>
        </w:rPr>
      </w:pPr>
    </w:p>
    <w:sectPr w:rsidR="00881DFA" w:rsidSect="00727040">
      <w:headerReference w:type="default" r:id="rId10"/>
      <w:headerReference w:type="first" r:id="rId11"/>
      <w:type w:val="continuous"/>
      <w:pgSz w:w="12242" w:h="18722" w:code="123"/>
      <w:pgMar w:top="1701" w:right="1185"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D0" w:rsidRDefault="00FD53D0">
      <w:r>
        <w:separator/>
      </w:r>
    </w:p>
  </w:endnote>
  <w:endnote w:type="continuationSeparator" w:id="0">
    <w:p w:rsidR="00FD53D0" w:rsidRDefault="00FD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D0" w:rsidRDefault="00FD53D0">
      <w:r>
        <w:separator/>
      </w:r>
    </w:p>
  </w:footnote>
  <w:footnote w:type="continuationSeparator" w:id="0">
    <w:p w:rsidR="00FD53D0" w:rsidRDefault="00FD53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27" w:rsidRDefault="00643D27" w:rsidP="00951F79">
    <w:pPr>
      <w:pStyle w:val="Ttulo1"/>
      <w:ind w:right="6"/>
      <w:jc w:val="left"/>
      <w:rPr>
        <w:rFonts w:ascii="Bookman Old Style" w:hAnsi="Bookman Old Style" w:cs="Arial"/>
        <w:b w:val="0"/>
        <w:sz w:val="22"/>
        <w:szCs w:val="22"/>
      </w:rPr>
    </w:pPr>
  </w:p>
  <w:p w:rsidR="00643D27" w:rsidRPr="00951F79" w:rsidRDefault="00643D27"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45345">
      <w:rPr>
        <w:rFonts w:ascii="Bookman Old Style" w:hAnsi="Bookman Old Style" w:cs="Arial"/>
        <w:b w:val="0"/>
        <w:noProof/>
        <w:sz w:val="22"/>
        <w:szCs w:val="22"/>
      </w:rPr>
      <w:t>16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845345">
      <w:rPr>
        <w:rFonts w:ascii="Bookman Old Style" w:hAnsi="Bookman Old Style" w:cs="Arial"/>
        <w:b w:val="0"/>
        <w:noProof/>
        <w:sz w:val="22"/>
        <w:szCs w:val="22"/>
      </w:rPr>
      <w:t>16</w:t>
    </w:r>
    <w:r>
      <w:rPr>
        <w:rFonts w:ascii="Bookman Old Style" w:hAnsi="Bookman Old Style" w:cs="Arial"/>
        <w:b w:val="0"/>
        <w:sz w:val="22"/>
        <w:szCs w:val="22"/>
      </w:rPr>
      <w:fldChar w:fldCharType="end"/>
    </w:r>
  </w:p>
  <w:p w:rsidR="00643D27" w:rsidRDefault="00643D27" w:rsidP="00507115">
    <w:pPr>
      <w:pStyle w:val="Textodebloque"/>
      <w:ind w:left="284" w:right="142"/>
      <w:rPr>
        <w:rFonts w:ascii="Bookman Old Style" w:hAnsi="Bookman Old Style" w:cs="Arial"/>
        <w:szCs w:val="24"/>
      </w:rPr>
    </w:pPr>
    <w:r>
      <w:rPr>
        <w:noProof/>
        <w:lang w:val="es-CO" w:eastAsia="es-CO"/>
      </w:rPr>
      <mc:AlternateContent>
        <mc:Choice Requires="wps">
          <w:drawing>
            <wp:anchor distT="0" distB="0" distL="114300" distR="114300" simplePos="0" relativeHeight="251657216" behindDoc="0" locked="0" layoutInCell="1" allowOverlap="1" wp14:anchorId="7565993D" wp14:editId="55B4A103">
              <wp:simplePos x="0" y="0"/>
              <wp:positionH relativeFrom="column">
                <wp:posOffset>-9884</wp:posOffset>
              </wp:positionH>
              <wp:positionV relativeFrom="paragraph">
                <wp:posOffset>144475</wp:posOffset>
              </wp:positionV>
              <wp:extent cx="6342380" cy="9939131"/>
              <wp:effectExtent l="0" t="0" r="2032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13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36C9D" id="Rectangle 4" o:spid="_x0000_s1026" style="position:absolute;margin-left:-.8pt;margin-top:11.4pt;width:499.4pt;height:78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" filled="f" strokeweight="1.5pt"/>
          </w:pict>
        </mc:Fallback>
      </mc:AlternateContent>
    </w:r>
    <w:r w:rsidRPr="00507115">
      <w:rPr>
        <w:rFonts w:ascii="Bookman Old Style" w:hAnsi="Bookman Old Style" w:cs="Arial"/>
        <w:szCs w:val="24"/>
      </w:rPr>
      <w:t xml:space="preserve"> </w:t>
    </w:r>
  </w:p>
  <w:p w:rsidR="00643D27" w:rsidRPr="00A33177" w:rsidRDefault="00643D27" w:rsidP="00A33177">
    <w:pPr>
      <w:pStyle w:val="Textodebloque"/>
      <w:spacing w:after="0"/>
      <w:ind w:left="284" w:right="142"/>
      <w:rPr>
        <w:rFonts w:ascii="Bookman Old Style" w:hAnsi="Bookman Old Style" w:cs="Arial"/>
        <w:sz w:val="22"/>
        <w:szCs w:val="22"/>
      </w:rPr>
    </w:pPr>
    <w:r w:rsidRPr="00B021B7">
      <w:rPr>
        <w:rFonts w:ascii="Bookman Old Style" w:hAnsi="Bookman Old Style" w:cs="Arial"/>
        <w:sz w:val="22"/>
        <w:szCs w:val="22"/>
      </w:rPr>
      <w:t xml:space="preserve">Por la cual se determina el cargo máximo de generación para sistemas híbridos diésel solar fotovoltaicos con acumulación en el mercado relevante de comercialización de la cabecera municipal del municipio de </w:t>
    </w:r>
    <w:proofErr w:type="spellStart"/>
    <w:r w:rsidRPr="00B021B7">
      <w:rPr>
        <w:rFonts w:ascii="Bookman Old Style" w:hAnsi="Bookman Old Style" w:cs="Arial"/>
        <w:sz w:val="22"/>
        <w:szCs w:val="22"/>
      </w:rPr>
      <w:t>Unguía</w:t>
    </w:r>
    <w:proofErr w:type="spellEnd"/>
    <w:r w:rsidRPr="00B021B7">
      <w:rPr>
        <w:rFonts w:ascii="Bookman Old Style" w:hAnsi="Bookman Old Style" w:cs="Arial"/>
        <w:sz w:val="22"/>
        <w:szCs w:val="22"/>
      </w:rPr>
      <w:t xml:space="preserve"> - Chocó</w:t>
    </w:r>
  </w:p>
  <w:p w:rsidR="00643D27" w:rsidRDefault="00643D27" w:rsidP="00272D34">
    <w:pPr>
      <w:pStyle w:val="Textodebloque"/>
      <w:spacing w:after="0"/>
      <w:ind w:left="284" w:right="142"/>
      <w:rPr>
        <w:rFonts w:ascii="Bookman Old Style" w:hAnsi="Bookman Old Style"/>
        <w:sz w:val="22"/>
        <w:szCs w:val="22"/>
      </w:rPr>
    </w:pPr>
    <w:r>
      <w:rPr>
        <w:rFonts w:ascii="Bookman Old Style" w:hAnsi="Bookman Old Style"/>
        <w:sz w:val="22"/>
        <w:szCs w:val="22"/>
      </w:rPr>
      <w:t>____________________________________________________________________________________</w:t>
    </w:r>
  </w:p>
  <w:p w:rsidR="00643D27" w:rsidRPr="00272D34" w:rsidRDefault="00643D27" w:rsidP="00272D34">
    <w:pPr>
      <w:pStyle w:val="Textodebloque"/>
      <w:spacing w:after="0"/>
      <w:ind w:left="284" w:right="142"/>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27" w:rsidRDefault="00643D27">
    <w:pPr>
      <w:pStyle w:val="Encabezado"/>
      <w:jc w:val="center"/>
      <w:rPr>
        <w:rFonts w:ascii="Arial" w:hAnsi="Arial" w:cs="Arial"/>
        <w:spacing w:val="20"/>
        <w:sz w:val="20"/>
      </w:rPr>
    </w:pPr>
    <w:r>
      <w:rPr>
        <w:rFonts w:ascii="Arial" w:hAnsi="Arial" w:cs="Arial"/>
        <w:spacing w:val="20"/>
        <w:sz w:val="20"/>
      </w:rPr>
      <w:t>República de Colombia</w:t>
    </w:r>
  </w:p>
  <w:p w:rsidR="00643D27" w:rsidRDefault="00643D27">
    <w:pPr>
      <w:pStyle w:val="Encabezado"/>
      <w:jc w:val="center"/>
      <w:rPr>
        <w:rFonts w:ascii="Arial" w:hAnsi="Arial" w:cs="Arial"/>
        <w:spacing w:val="20"/>
        <w:sz w:val="20"/>
      </w:rPr>
    </w:pPr>
  </w:p>
  <w:p w:rsidR="00643D27" w:rsidRDefault="00643D2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D91C0A4" wp14:editId="2B98112C">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5D839"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6"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BE515C"/>
    <w:multiLevelType w:val="hybridMultilevel"/>
    <w:tmpl w:val="F476072A"/>
    <w:lvl w:ilvl="0" w:tplc="080A0001">
      <w:start w:val="1"/>
      <w:numFmt w:val="bullet"/>
      <w:lvlText w:val=""/>
      <w:lvlJc w:val="left"/>
      <w:pPr>
        <w:ind w:left="1693" w:hanging="360"/>
      </w:pPr>
      <w:rPr>
        <w:rFonts w:ascii="Symbol" w:hAnsi="Symbol" w:hint="default"/>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2" w15:restartNumberingAfterBreak="0">
    <w:nsid w:val="2E66B5F9"/>
    <w:multiLevelType w:val="hybridMultilevel"/>
    <w:tmpl w:val="9924A9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283257"/>
    <w:multiLevelType w:val="multilevel"/>
    <w:tmpl w:val="745434BA"/>
    <w:lvl w:ilvl="0">
      <w:start w:val="1"/>
      <w:numFmt w:val="decimal"/>
      <w:lvlText w:val="%1."/>
      <w:lvlJc w:val="left"/>
      <w:pPr>
        <w:ind w:left="644" w:hanging="360"/>
      </w:pPr>
      <w:rPr>
        <w:b/>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15:restartNumberingAfterBreak="0">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6" w15:restartNumberingAfterBreak="0">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8" w15:restartNumberingAfterBreak="0">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0" w15:restartNumberingAfterBreak="0">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1" w15:restartNumberingAfterBreak="0">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26" w15:restartNumberingAfterBreak="0">
    <w:nsid w:val="5E2D211A"/>
    <w:multiLevelType w:val="hybridMultilevel"/>
    <w:tmpl w:val="FF62E3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8" w15:restartNumberingAfterBreak="0">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15:restartNumberingAfterBreak="0">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F339DD"/>
    <w:multiLevelType w:val="hybridMultilevel"/>
    <w:tmpl w:val="1D5EF9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4" w15:restartNumberingAfterBreak="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7"/>
  </w:num>
  <w:num w:numId="2">
    <w:abstractNumId w:val="7"/>
  </w:num>
  <w:num w:numId="3">
    <w:abstractNumId w:val="35"/>
  </w:num>
  <w:num w:numId="4">
    <w:abstractNumId w:val="10"/>
  </w:num>
  <w:num w:numId="5">
    <w:abstractNumId w:val="23"/>
  </w:num>
  <w:num w:numId="6">
    <w:abstractNumId w:val="3"/>
  </w:num>
  <w:num w:numId="7">
    <w:abstractNumId w:val="0"/>
  </w:num>
  <w:num w:numId="8">
    <w:abstractNumId w:val="14"/>
  </w:num>
  <w:num w:numId="9">
    <w:abstractNumId w:val="24"/>
  </w:num>
  <w:num w:numId="10">
    <w:abstractNumId w:val="5"/>
  </w:num>
  <w:num w:numId="11">
    <w:abstractNumId w:val="13"/>
  </w:num>
  <w:num w:numId="12">
    <w:abstractNumId w:val="4"/>
  </w:num>
  <w:num w:numId="13">
    <w:abstractNumId w:val="9"/>
  </w:num>
  <w:num w:numId="14">
    <w:abstractNumId w:val="22"/>
  </w:num>
  <w:num w:numId="15">
    <w:abstractNumId w:val="36"/>
  </w:num>
  <w:num w:numId="16">
    <w:abstractNumId w:val="8"/>
  </w:num>
  <w:num w:numId="17">
    <w:abstractNumId w:val="27"/>
  </w:num>
  <w:num w:numId="18">
    <w:abstractNumId w:val="30"/>
  </w:num>
  <w:num w:numId="19">
    <w:abstractNumId w:val="28"/>
  </w:num>
  <w:num w:numId="20">
    <w:abstractNumId w:val="2"/>
  </w:num>
  <w:num w:numId="21">
    <w:abstractNumId w:val="19"/>
  </w:num>
  <w:num w:numId="22">
    <w:abstractNumId w:val="21"/>
  </w:num>
  <w:num w:numId="23">
    <w:abstractNumId w:val="16"/>
  </w:num>
  <w:num w:numId="24">
    <w:abstractNumId w:val="34"/>
  </w:num>
  <w:num w:numId="25">
    <w:abstractNumId w:val="32"/>
  </w:num>
  <w:num w:numId="26">
    <w:abstractNumId w:val="1"/>
  </w:num>
  <w:num w:numId="27">
    <w:abstractNumId w:val="15"/>
  </w:num>
  <w:num w:numId="28">
    <w:abstractNumId w:val="31"/>
  </w:num>
  <w:num w:numId="29">
    <w:abstractNumId w:val="29"/>
  </w:num>
  <w:num w:numId="30">
    <w:abstractNumId w:val="25"/>
  </w:num>
  <w:num w:numId="31">
    <w:abstractNumId w:val="6"/>
  </w:num>
  <w:num w:numId="32">
    <w:abstractNumId w:val="18"/>
  </w:num>
  <w:num w:numId="33">
    <w:abstractNumId w:val="20"/>
  </w:num>
  <w:num w:numId="34">
    <w:abstractNumId w:val="11"/>
  </w:num>
  <w:num w:numId="35">
    <w:abstractNumId w:val="33"/>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B8"/>
    <w:rsid w:val="000061AB"/>
    <w:rsid w:val="00007CB3"/>
    <w:rsid w:val="0001106F"/>
    <w:rsid w:val="000127F4"/>
    <w:rsid w:val="00015261"/>
    <w:rsid w:val="00015A2B"/>
    <w:rsid w:val="00017089"/>
    <w:rsid w:val="000258B0"/>
    <w:rsid w:val="0002753E"/>
    <w:rsid w:val="00037C6F"/>
    <w:rsid w:val="00052EC4"/>
    <w:rsid w:val="00055B77"/>
    <w:rsid w:val="00065952"/>
    <w:rsid w:val="000726DF"/>
    <w:rsid w:val="0007678D"/>
    <w:rsid w:val="0008073E"/>
    <w:rsid w:val="0008083F"/>
    <w:rsid w:val="000876FF"/>
    <w:rsid w:val="00091CDB"/>
    <w:rsid w:val="00094181"/>
    <w:rsid w:val="000A19AC"/>
    <w:rsid w:val="000B22B8"/>
    <w:rsid w:val="000B23C4"/>
    <w:rsid w:val="000B7263"/>
    <w:rsid w:val="000C28F8"/>
    <w:rsid w:val="000C42C5"/>
    <w:rsid w:val="000C5DD0"/>
    <w:rsid w:val="000D1646"/>
    <w:rsid w:val="000D26F8"/>
    <w:rsid w:val="000D59C1"/>
    <w:rsid w:val="000E1B23"/>
    <w:rsid w:val="00100A81"/>
    <w:rsid w:val="00105F58"/>
    <w:rsid w:val="00111860"/>
    <w:rsid w:val="00113916"/>
    <w:rsid w:val="00124B54"/>
    <w:rsid w:val="00125FAF"/>
    <w:rsid w:val="00133B0C"/>
    <w:rsid w:val="00133E3D"/>
    <w:rsid w:val="001354FE"/>
    <w:rsid w:val="001379B0"/>
    <w:rsid w:val="001405C6"/>
    <w:rsid w:val="00140684"/>
    <w:rsid w:val="00141013"/>
    <w:rsid w:val="001459AA"/>
    <w:rsid w:val="00150140"/>
    <w:rsid w:val="00151C17"/>
    <w:rsid w:val="00153FF0"/>
    <w:rsid w:val="00162AEA"/>
    <w:rsid w:val="00176E35"/>
    <w:rsid w:val="00182D11"/>
    <w:rsid w:val="00192CBF"/>
    <w:rsid w:val="00192FF1"/>
    <w:rsid w:val="0019727B"/>
    <w:rsid w:val="001A10CF"/>
    <w:rsid w:val="001A35DF"/>
    <w:rsid w:val="001A3C92"/>
    <w:rsid w:val="001A5F1B"/>
    <w:rsid w:val="001A74A7"/>
    <w:rsid w:val="001B0B2E"/>
    <w:rsid w:val="001C2B61"/>
    <w:rsid w:val="001D3BC6"/>
    <w:rsid w:val="001D716C"/>
    <w:rsid w:val="001D76A4"/>
    <w:rsid w:val="00202B60"/>
    <w:rsid w:val="00210C04"/>
    <w:rsid w:val="00211FFE"/>
    <w:rsid w:val="00217657"/>
    <w:rsid w:val="00223319"/>
    <w:rsid w:val="00260FB2"/>
    <w:rsid w:val="00265543"/>
    <w:rsid w:val="00265A84"/>
    <w:rsid w:val="00270541"/>
    <w:rsid w:val="0027254B"/>
    <w:rsid w:val="00272D34"/>
    <w:rsid w:val="002768C5"/>
    <w:rsid w:val="002809FC"/>
    <w:rsid w:val="00290B43"/>
    <w:rsid w:val="002931B7"/>
    <w:rsid w:val="002946D7"/>
    <w:rsid w:val="00297326"/>
    <w:rsid w:val="002A0C9C"/>
    <w:rsid w:val="002B24B8"/>
    <w:rsid w:val="002B4F2E"/>
    <w:rsid w:val="002C5C1E"/>
    <w:rsid w:val="002D1BC1"/>
    <w:rsid w:val="002D3AE9"/>
    <w:rsid w:val="002E408A"/>
    <w:rsid w:val="002F46E7"/>
    <w:rsid w:val="002F6B4B"/>
    <w:rsid w:val="002F6CFD"/>
    <w:rsid w:val="00301168"/>
    <w:rsid w:val="0030354E"/>
    <w:rsid w:val="00306A98"/>
    <w:rsid w:val="003117D5"/>
    <w:rsid w:val="00312484"/>
    <w:rsid w:val="00314971"/>
    <w:rsid w:val="003211CE"/>
    <w:rsid w:val="003235DA"/>
    <w:rsid w:val="00324C2A"/>
    <w:rsid w:val="00325347"/>
    <w:rsid w:val="00325A21"/>
    <w:rsid w:val="003359BE"/>
    <w:rsid w:val="00336D2A"/>
    <w:rsid w:val="00340A28"/>
    <w:rsid w:val="0034589F"/>
    <w:rsid w:val="00347486"/>
    <w:rsid w:val="0035560A"/>
    <w:rsid w:val="00356115"/>
    <w:rsid w:val="00356A02"/>
    <w:rsid w:val="0036103B"/>
    <w:rsid w:val="003623A6"/>
    <w:rsid w:val="003709B5"/>
    <w:rsid w:val="003759C2"/>
    <w:rsid w:val="00392689"/>
    <w:rsid w:val="003A337E"/>
    <w:rsid w:val="003A424A"/>
    <w:rsid w:val="003A60FF"/>
    <w:rsid w:val="003C3447"/>
    <w:rsid w:val="003C59FA"/>
    <w:rsid w:val="003D076C"/>
    <w:rsid w:val="003D3571"/>
    <w:rsid w:val="003D5591"/>
    <w:rsid w:val="003E09B5"/>
    <w:rsid w:val="003F0220"/>
    <w:rsid w:val="003F7B17"/>
    <w:rsid w:val="0040363F"/>
    <w:rsid w:val="00404E84"/>
    <w:rsid w:val="0041082F"/>
    <w:rsid w:val="00415128"/>
    <w:rsid w:val="00422D43"/>
    <w:rsid w:val="0044232C"/>
    <w:rsid w:val="00445AA5"/>
    <w:rsid w:val="00446675"/>
    <w:rsid w:val="00451919"/>
    <w:rsid w:val="004604AC"/>
    <w:rsid w:val="0046501D"/>
    <w:rsid w:val="00465269"/>
    <w:rsid w:val="0047122B"/>
    <w:rsid w:val="00473244"/>
    <w:rsid w:val="00473B7A"/>
    <w:rsid w:val="0047432C"/>
    <w:rsid w:val="004765C2"/>
    <w:rsid w:val="0048195A"/>
    <w:rsid w:val="0049047A"/>
    <w:rsid w:val="004A2E88"/>
    <w:rsid w:val="004A5305"/>
    <w:rsid w:val="004B0B28"/>
    <w:rsid w:val="004B2B06"/>
    <w:rsid w:val="004B61DC"/>
    <w:rsid w:val="004B6F15"/>
    <w:rsid w:val="004C1E0B"/>
    <w:rsid w:val="004C2B0A"/>
    <w:rsid w:val="004C3C03"/>
    <w:rsid w:val="004D28B1"/>
    <w:rsid w:val="004D6CFF"/>
    <w:rsid w:val="004E2FCE"/>
    <w:rsid w:val="004F0C7C"/>
    <w:rsid w:val="004F0E39"/>
    <w:rsid w:val="004F1810"/>
    <w:rsid w:val="004F5290"/>
    <w:rsid w:val="004F60C9"/>
    <w:rsid w:val="005006B9"/>
    <w:rsid w:val="00507115"/>
    <w:rsid w:val="00520BB1"/>
    <w:rsid w:val="00527F6E"/>
    <w:rsid w:val="005300D3"/>
    <w:rsid w:val="00530D7B"/>
    <w:rsid w:val="0053247C"/>
    <w:rsid w:val="00535847"/>
    <w:rsid w:val="0053585B"/>
    <w:rsid w:val="00541C87"/>
    <w:rsid w:val="005451E8"/>
    <w:rsid w:val="00545CD0"/>
    <w:rsid w:val="00552F05"/>
    <w:rsid w:val="00554A91"/>
    <w:rsid w:val="00555B02"/>
    <w:rsid w:val="00561ED5"/>
    <w:rsid w:val="00562E5B"/>
    <w:rsid w:val="00565C93"/>
    <w:rsid w:val="00567500"/>
    <w:rsid w:val="0057267D"/>
    <w:rsid w:val="00574750"/>
    <w:rsid w:val="005773FC"/>
    <w:rsid w:val="00583A43"/>
    <w:rsid w:val="00584F15"/>
    <w:rsid w:val="00586737"/>
    <w:rsid w:val="00587735"/>
    <w:rsid w:val="005878BF"/>
    <w:rsid w:val="00593176"/>
    <w:rsid w:val="00593565"/>
    <w:rsid w:val="00593C4F"/>
    <w:rsid w:val="005946A8"/>
    <w:rsid w:val="00596C2F"/>
    <w:rsid w:val="005A083E"/>
    <w:rsid w:val="005A1B5E"/>
    <w:rsid w:val="005A30FF"/>
    <w:rsid w:val="005A4407"/>
    <w:rsid w:val="005A522D"/>
    <w:rsid w:val="005A5759"/>
    <w:rsid w:val="005A76E5"/>
    <w:rsid w:val="005B3476"/>
    <w:rsid w:val="005C06A9"/>
    <w:rsid w:val="005C64D6"/>
    <w:rsid w:val="005C753D"/>
    <w:rsid w:val="005D1D6F"/>
    <w:rsid w:val="005D2333"/>
    <w:rsid w:val="005D6BB7"/>
    <w:rsid w:val="005E0857"/>
    <w:rsid w:val="005E0A4E"/>
    <w:rsid w:val="005F1C45"/>
    <w:rsid w:val="005F2B6B"/>
    <w:rsid w:val="005F39B6"/>
    <w:rsid w:val="005F5CDB"/>
    <w:rsid w:val="005F7A74"/>
    <w:rsid w:val="006113A8"/>
    <w:rsid w:val="006203BF"/>
    <w:rsid w:val="00625DC6"/>
    <w:rsid w:val="006276AB"/>
    <w:rsid w:val="00643D27"/>
    <w:rsid w:val="006466F2"/>
    <w:rsid w:val="00647724"/>
    <w:rsid w:val="00651821"/>
    <w:rsid w:val="006540B8"/>
    <w:rsid w:val="006542DE"/>
    <w:rsid w:val="00654384"/>
    <w:rsid w:val="0066037F"/>
    <w:rsid w:val="00660EA5"/>
    <w:rsid w:val="0066466E"/>
    <w:rsid w:val="00665D59"/>
    <w:rsid w:val="00670669"/>
    <w:rsid w:val="00672E15"/>
    <w:rsid w:val="00673D40"/>
    <w:rsid w:val="00673F3F"/>
    <w:rsid w:val="006748D2"/>
    <w:rsid w:val="00676EF8"/>
    <w:rsid w:val="0067736B"/>
    <w:rsid w:val="00684D9B"/>
    <w:rsid w:val="00685D1D"/>
    <w:rsid w:val="00687AF1"/>
    <w:rsid w:val="00690836"/>
    <w:rsid w:val="00690B34"/>
    <w:rsid w:val="0069185E"/>
    <w:rsid w:val="006926AA"/>
    <w:rsid w:val="006931CD"/>
    <w:rsid w:val="006945D8"/>
    <w:rsid w:val="00697556"/>
    <w:rsid w:val="006A246A"/>
    <w:rsid w:val="006B1BED"/>
    <w:rsid w:val="006B2E8F"/>
    <w:rsid w:val="006B3789"/>
    <w:rsid w:val="006B4C2B"/>
    <w:rsid w:val="006C5CD3"/>
    <w:rsid w:val="006D49F9"/>
    <w:rsid w:val="006E2DC4"/>
    <w:rsid w:val="006F0C05"/>
    <w:rsid w:val="006F105C"/>
    <w:rsid w:val="006F4548"/>
    <w:rsid w:val="006F6BFF"/>
    <w:rsid w:val="006F6D95"/>
    <w:rsid w:val="00705095"/>
    <w:rsid w:val="00706F13"/>
    <w:rsid w:val="00725FA4"/>
    <w:rsid w:val="0072683D"/>
    <w:rsid w:val="00727040"/>
    <w:rsid w:val="00730DC4"/>
    <w:rsid w:val="007366A0"/>
    <w:rsid w:val="007438A9"/>
    <w:rsid w:val="0074491E"/>
    <w:rsid w:val="0074712A"/>
    <w:rsid w:val="00750E2C"/>
    <w:rsid w:val="007524DD"/>
    <w:rsid w:val="00763D60"/>
    <w:rsid w:val="0076507A"/>
    <w:rsid w:val="00771386"/>
    <w:rsid w:val="00781E26"/>
    <w:rsid w:val="00783204"/>
    <w:rsid w:val="0079059D"/>
    <w:rsid w:val="00795BFB"/>
    <w:rsid w:val="0079736C"/>
    <w:rsid w:val="007A2ABF"/>
    <w:rsid w:val="007B04CB"/>
    <w:rsid w:val="007B2528"/>
    <w:rsid w:val="007B5E33"/>
    <w:rsid w:val="007C7DC8"/>
    <w:rsid w:val="007D1C65"/>
    <w:rsid w:val="007D31E0"/>
    <w:rsid w:val="007D3224"/>
    <w:rsid w:val="007D619F"/>
    <w:rsid w:val="007D63FF"/>
    <w:rsid w:val="007D7680"/>
    <w:rsid w:val="007E4E34"/>
    <w:rsid w:val="007E72DF"/>
    <w:rsid w:val="007F0FF2"/>
    <w:rsid w:val="007F1CA9"/>
    <w:rsid w:val="007F281C"/>
    <w:rsid w:val="00805205"/>
    <w:rsid w:val="00812AE1"/>
    <w:rsid w:val="00813A50"/>
    <w:rsid w:val="008148CC"/>
    <w:rsid w:val="008211A4"/>
    <w:rsid w:val="008256F2"/>
    <w:rsid w:val="0083324C"/>
    <w:rsid w:val="0083537A"/>
    <w:rsid w:val="00835F66"/>
    <w:rsid w:val="008363B7"/>
    <w:rsid w:val="00841735"/>
    <w:rsid w:val="00844F56"/>
    <w:rsid w:val="00845345"/>
    <w:rsid w:val="00851448"/>
    <w:rsid w:val="008529AF"/>
    <w:rsid w:val="00852FBD"/>
    <w:rsid w:val="0085477A"/>
    <w:rsid w:val="00864D4A"/>
    <w:rsid w:val="0086545E"/>
    <w:rsid w:val="00867078"/>
    <w:rsid w:val="00873150"/>
    <w:rsid w:val="00873392"/>
    <w:rsid w:val="00874016"/>
    <w:rsid w:val="0087657D"/>
    <w:rsid w:val="00880832"/>
    <w:rsid w:val="00881DFA"/>
    <w:rsid w:val="00883A56"/>
    <w:rsid w:val="00886EE1"/>
    <w:rsid w:val="00894D64"/>
    <w:rsid w:val="0089544B"/>
    <w:rsid w:val="00896C6C"/>
    <w:rsid w:val="008974F5"/>
    <w:rsid w:val="00897C75"/>
    <w:rsid w:val="008A26EE"/>
    <w:rsid w:val="008A2DA0"/>
    <w:rsid w:val="008A69F2"/>
    <w:rsid w:val="008A738D"/>
    <w:rsid w:val="008B128B"/>
    <w:rsid w:val="008B35A8"/>
    <w:rsid w:val="008B6CE5"/>
    <w:rsid w:val="008C1B94"/>
    <w:rsid w:val="008C58D8"/>
    <w:rsid w:val="008D18E6"/>
    <w:rsid w:val="008D38DF"/>
    <w:rsid w:val="008E5A9F"/>
    <w:rsid w:val="008E7755"/>
    <w:rsid w:val="008F21F6"/>
    <w:rsid w:val="008F38CF"/>
    <w:rsid w:val="008F3A6A"/>
    <w:rsid w:val="008F6C07"/>
    <w:rsid w:val="008F7DEA"/>
    <w:rsid w:val="00903C58"/>
    <w:rsid w:val="00905AFC"/>
    <w:rsid w:val="00907189"/>
    <w:rsid w:val="00914CA3"/>
    <w:rsid w:val="00920F21"/>
    <w:rsid w:val="00921267"/>
    <w:rsid w:val="00921B91"/>
    <w:rsid w:val="00926EF8"/>
    <w:rsid w:val="009273A3"/>
    <w:rsid w:val="009305B2"/>
    <w:rsid w:val="00935D74"/>
    <w:rsid w:val="00941D3F"/>
    <w:rsid w:val="00942419"/>
    <w:rsid w:val="00945715"/>
    <w:rsid w:val="00951F79"/>
    <w:rsid w:val="00954164"/>
    <w:rsid w:val="00963D5E"/>
    <w:rsid w:val="00967D8F"/>
    <w:rsid w:val="00986A69"/>
    <w:rsid w:val="0098706D"/>
    <w:rsid w:val="009907DF"/>
    <w:rsid w:val="009935FB"/>
    <w:rsid w:val="00994621"/>
    <w:rsid w:val="009A5703"/>
    <w:rsid w:val="009B5A32"/>
    <w:rsid w:val="009B5B01"/>
    <w:rsid w:val="009C209F"/>
    <w:rsid w:val="009C21F8"/>
    <w:rsid w:val="009D0231"/>
    <w:rsid w:val="009D0AF6"/>
    <w:rsid w:val="009D2892"/>
    <w:rsid w:val="009D3A92"/>
    <w:rsid w:val="009D61ED"/>
    <w:rsid w:val="009E032A"/>
    <w:rsid w:val="009E5F56"/>
    <w:rsid w:val="009E6611"/>
    <w:rsid w:val="009F45B7"/>
    <w:rsid w:val="009F5267"/>
    <w:rsid w:val="009F572E"/>
    <w:rsid w:val="009F7F82"/>
    <w:rsid w:val="00A0381B"/>
    <w:rsid w:val="00A044F7"/>
    <w:rsid w:val="00A05048"/>
    <w:rsid w:val="00A1702A"/>
    <w:rsid w:val="00A25FD7"/>
    <w:rsid w:val="00A32AE4"/>
    <w:rsid w:val="00A33157"/>
    <w:rsid w:val="00A33177"/>
    <w:rsid w:val="00A337D7"/>
    <w:rsid w:val="00A354D5"/>
    <w:rsid w:val="00A42F4E"/>
    <w:rsid w:val="00A43AFF"/>
    <w:rsid w:val="00A46F95"/>
    <w:rsid w:val="00A50E58"/>
    <w:rsid w:val="00A63B88"/>
    <w:rsid w:val="00A72B18"/>
    <w:rsid w:val="00A73E8C"/>
    <w:rsid w:val="00A7793A"/>
    <w:rsid w:val="00A87024"/>
    <w:rsid w:val="00A90D98"/>
    <w:rsid w:val="00A91C7A"/>
    <w:rsid w:val="00A92F37"/>
    <w:rsid w:val="00AA5564"/>
    <w:rsid w:val="00AB13BC"/>
    <w:rsid w:val="00AB1559"/>
    <w:rsid w:val="00AB162E"/>
    <w:rsid w:val="00AB5452"/>
    <w:rsid w:val="00AB662D"/>
    <w:rsid w:val="00AB799B"/>
    <w:rsid w:val="00AC09DB"/>
    <w:rsid w:val="00AC12B1"/>
    <w:rsid w:val="00AC6B3A"/>
    <w:rsid w:val="00AD01E4"/>
    <w:rsid w:val="00AD252D"/>
    <w:rsid w:val="00AE3CFB"/>
    <w:rsid w:val="00AE5CC6"/>
    <w:rsid w:val="00AF0563"/>
    <w:rsid w:val="00AF1D01"/>
    <w:rsid w:val="00AF6567"/>
    <w:rsid w:val="00AF7C27"/>
    <w:rsid w:val="00AF7CBD"/>
    <w:rsid w:val="00B021B7"/>
    <w:rsid w:val="00B04F9A"/>
    <w:rsid w:val="00B050BA"/>
    <w:rsid w:val="00B0583C"/>
    <w:rsid w:val="00B11990"/>
    <w:rsid w:val="00B141E7"/>
    <w:rsid w:val="00B15031"/>
    <w:rsid w:val="00B1619C"/>
    <w:rsid w:val="00B16669"/>
    <w:rsid w:val="00B16C28"/>
    <w:rsid w:val="00B20BAA"/>
    <w:rsid w:val="00B213F2"/>
    <w:rsid w:val="00B22F4F"/>
    <w:rsid w:val="00B33CEC"/>
    <w:rsid w:val="00B33E8E"/>
    <w:rsid w:val="00B46BCA"/>
    <w:rsid w:val="00B50937"/>
    <w:rsid w:val="00B518DD"/>
    <w:rsid w:val="00B53ABF"/>
    <w:rsid w:val="00B540FF"/>
    <w:rsid w:val="00B54D44"/>
    <w:rsid w:val="00B628FB"/>
    <w:rsid w:val="00B66162"/>
    <w:rsid w:val="00B67FCA"/>
    <w:rsid w:val="00B77BD3"/>
    <w:rsid w:val="00B85F36"/>
    <w:rsid w:val="00B87806"/>
    <w:rsid w:val="00B87EC9"/>
    <w:rsid w:val="00B91141"/>
    <w:rsid w:val="00B92512"/>
    <w:rsid w:val="00B92917"/>
    <w:rsid w:val="00B92DDF"/>
    <w:rsid w:val="00B97A53"/>
    <w:rsid w:val="00BA49A9"/>
    <w:rsid w:val="00BA4FF0"/>
    <w:rsid w:val="00BA5E47"/>
    <w:rsid w:val="00BB36D6"/>
    <w:rsid w:val="00BB5741"/>
    <w:rsid w:val="00BC38FD"/>
    <w:rsid w:val="00BD1C99"/>
    <w:rsid w:val="00BD30DE"/>
    <w:rsid w:val="00BE5D7F"/>
    <w:rsid w:val="00BE5DDF"/>
    <w:rsid w:val="00BE5FE4"/>
    <w:rsid w:val="00BF1B50"/>
    <w:rsid w:val="00BF2F63"/>
    <w:rsid w:val="00C054BC"/>
    <w:rsid w:val="00C05BC4"/>
    <w:rsid w:val="00C10464"/>
    <w:rsid w:val="00C17897"/>
    <w:rsid w:val="00C20407"/>
    <w:rsid w:val="00C367F8"/>
    <w:rsid w:val="00C409D5"/>
    <w:rsid w:val="00C414AE"/>
    <w:rsid w:val="00C42864"/>
    <w:rsid w:val="00C50F92"/>
    <w:rsid w:val="00C52178"/>
    <w:rsid w:val="00C6234B"/>
    <w:rsid w:val="00C63EAE"/>
    <w:rsid w:val="00C64263"/>
    <w:rsid w:val="00C65935"/>
    <w:rsid w:val="00C67E29"/>
    <w:rsid w:val="00C74E84"/>
    <w:rsid w:val="00C754DC"/>
    <w:rsid w:val="00C75656"/>
    <w:rsid w:val="00C7629F"/>
    <w:rsid w:val="00C765BC"/>
    <w:rsid w:val="00C76CD4"/>
    <w:rsid w:val="00C77D37"/>
    <w:rsid w:val="00C8661B"/>
    <w:rsid w:val="00C86B29"/>
    <w:rsid w:val="00C873D6"/>
    <w:rsid w:val="00C93D0A"/>
    <w:rsid w:val="00C958E7"/>
    <w:rsid w:val="00CA0209"/>
    <w:rsid w:val="00CA176F"/>
    <w:rsid w:val="00CA5ED8"/>
    <w:rsid w:val="00CA77FB"/>
    <w:rsid w:val="00CB3143"/>
    <w:rsid w:val="00CB379B"/>
    <w:rsid w:val="00CB5751"/>
    <w:rsid w:val="00CB5B20"/>
    <w:rsid w:val="00CB5DD0"/>
    <w:rsid w:val="00CC03B7"/>
    <w:rsid w:val="00CC51D4"/>
    <w:rsid w:val="00CC65DA"/>
    <w:rsid w:val="00CD0B63"/>
    <w:rsid w:val="00CD195F"/>
    <w:rsid w:val="00CD5970"/>
    <w:rsid w:val="00CE09DF"/>
    <w:rsid w:val="00CE13EF"/>
    <w:rsid w:val="00CE1CA3"/>
    <w:rsid w:val="00CF21B9"/>
    <w:rsid w:val="00CF403A"/>
    <w:rsid w:val="00CF6BF9"/>
    <w:rsid w:val="00D02A10"/>
    <w:rsid w:val="00D032B5"/>
    <w:rsid w:val="00D03800"/>
    <w:rsid w:val="00D045C7"/>
    <w:rsid w:val="00D065D3"/>
    <w:rsid w:val="00D13297"/>
    <w:rsid w:val="00D1593C"/>
    <w:rsid w:val="00D1752C"/>
    <w:rsid w:val="00D2597A"/>
    <w:rsid w:val="00D26683"/>
    <w:rsid w:val="00D26B33"/>
    <w:rsid w:val="00D26BBC"/>
    <w:rsid w:val="00D32658"/>
    <w:rsid w:val="00D36033"/>
    <w:rsid w:val="00D42761"/>
    <w:rsid w:val="00D451C0"/>
    <w:rsid w:val="00D464BF"/>
    <w:rsid w:val="00D46CD5"/>
    <w:rsid w:val="00D52FBD"/>
    <w:rsid w:val="00D53E26"/>
    <w:rsid w:val="00D5488A"/>
    <w:rsid w:val="00D57F49"/>
    <w:rsid w:val="00D80AC5"/>
    <w:rsid w:val="00D81821"/>
    <w:rsid w:val="00D81E5C"/>
    <w:rsid w:val="00D83349"/>
    <w:rsid w:val="00D84855"/>
    <w:rsid w:val="00D877C9"/>
    <w:rsid w:val="00D87C51"/>
    <w:rsid w:val="00D93196"/>
    <w:rsid w:val="00D93573"/>
    <w:rsid w:val="00D96D73"/>
    <w:rsid w:val="00DA494F"/>
    <w:rsid w:val="00DA6000"/>
    <w:rsid w:val="00DB36F0"/>
    <w:rsid w:val="00DB559B"/>
    <w:rsid w:val="00DB68ED"/>
    <w:rsid w:val="00DB6D76"/>
    <w:rsid w:val="00DB7CC5"/>
    <w:rsid w:val="00DC032F"/>
    <w:rsid w:val="00DC27E1"/>
    <w:rsid w:val="00DD2CBE"/>
    <w:rsid w:val="00DD3069"/>
    <w:rsid w:val="00DD4F0E"/>
    <w:rsid w:val="00DE056C"/>
    <w:rsid w:val="00DE0E66"/>
    <w:rsid w:val="00DE2B84"/>
    <w:rsid w:val="00DE4BF8"/>
    <w:rsid w:val="00DF4F31"/>
    <w:rsid w:val="00DF5013"/>
    <w:rsid w:val="00DF763D"/>
    <w:rsid w:val="00E04C05"/>
    <w:rsid w:val="00E11573"/>
    <w:rsid w:val="00E1243F"/>
    <w:rsid w:val="00E12CD5"/>
    <w:rsid w:val="00E25FCF"/>
    <w:rsid w:val="00E26D62"/>
    <w:rsid w:val="00E3531E"/>
    <w:rsid w:val="00E35581"/>
    <w:rsid w:val="00E41921"/>
    <w:rsid w:val="00E41C6F"/>
    <w:rsid w:val="00E43828"/>
    <w:rsid w:val="00E44B45"/>
    <w:rsid w:val="00E45D18"/>
    <w:rsid w:val="00E52792"/>
    <w:rsid w:val="00E534CF"/>
    <w:rsid w:val="00E54BB6"/>
    <w:rsid w:val="00E60D28"/>
    <w:rsid w:val="00E63183"/>
    <w:rsid w:val="00E63E5A"/>
    <w:rsid w:val="00E703C5"/>
    <w:rsid w:val="00E77C3E"/>
    <w:rsid w:val="00E84953"/>
    <w:rsid w:val="00E84E9A"/>
    <w:rsid w:val="00E866E9"/>
    <w:rsid w:val="00E87470"/>
    <w:rsid w:val="00E929F5"/>
    <w:rsid w:val="00E95E47"/>
    <w:rsid w:val="00EA1B76"/>
    <w:rsid w:val="00EA7450"/>
    <w:rsid w:val="00EB7486"/>
    <w:rsid w:val="00EC2917"/>
    <w:rsid w:val="00EC4044"/>
    <w:rsid w:val="00EC4D6D"/>
    <w:rsid w:val="00ED514A"/>
    <w:rsid w:val="00ED6FBF"/>
    <w:rsid w:val="00ED7C7E"/>
    <w:rsid w:val="00ED7F05"/>
    <w:rsid w:val="00EE0523"/>
    <w:rsid w:val="00EE21FC"/>
    <w:rsid w:val="00EE2E6E"/>
    <w:rsid w:val="00EE2EFB"/>
    <w:rsid w:val="00EE77CE"/>
    <w:rsid w:val="00EF25BC"/>
    <w:rsid w:val="00EF751F"/>
    <w:rsid w:val="00F0130D"/>
    <w:rsid w:val="00F0393C"/>
    <w:rsid w:val="00F057C7"/>
    <w:rsid w:val="00F0759E"/>
    <w:rsid w:val="00F077F6"/>
    <w:rsid w:val="00F20106"/>
    <w:rsid w:val="00F239F9"/>
    <w:rsid w:val="00F2456F"/>
    <w:rsid w:val="00F37126"/>
    <w:rsid w:val="00F3786E"/>
    <w:rsid w:val="00F41573"/>
    <w:rsid w:val="00F442DD"/>
    <w:rsid w:val="00F4449E"/>
    <w:rsid w:val="00F4684D"/>
    <w:rsid w:val="00F47951"/>
    <w:rsid w:val="00F51E3D"/>
    <w:rsid w:val="00F53D63"/>
    <w:rsid w:val="00F57E6A"/>
    <w:rsid w:val="00F61A01"/>
    <w:rsid w:val="00F62780"/>
    <w:rsid w:val="00F6590E"/>
    <w:rsid w:val="00F666C4"/>
    <w:rsid w:val="00F73531"/>
    <w:rsid w:val="00F7441B"/>
    <w:rsid w:val="00F82339"/>
    <w:rsid w:val="00F90FD0"/>
    <w:rsid w:val="00F92AAF"/>
    <w:rsid w:val="00FA068A"/>
    <w:rsid w:val="00FA14D6"/>
    <w:rsid w:val="00FA1533"/>
    <w:rsid w:val="00FA2779"/>
    <w:rsid w:val="00FA28B5"/>
    <w:rsid w:val="00FA2E6C"/>
    <w:rsid w:val="00FA5D36"/>
    <w:rsid w:val="00FB2D39"/>
    <w:rsid w:val="00FB44F1"/>
    <w:rsid w:val="00FB483F"/>
    <w:rsid w:val="00FB5427"/>
    <w:rsid w:val="00FB562A"/>
    <w:rsid w:val="00FB59D0"/>
    <w:rsid w:val="00FB65FA"/>
    <w:rsid w:val="00FB75BA"/>
    <w:rsid w:val="00FC58EF"/>
    <w:rsid w:val="00FD0570"/>
    <w:rsid w:val="00FD1881"/>
    <w:rsid w:val="00FD53D0"/>
    <w:rsid w:val="00FE0FDD"/>
    <w:rsid w:val="00FE2EB4"/>
    <w:rsid w:val="00FE553A"/>
    <w:rsid w:val="00FE6953"/>
    <w:rsid w:val="00FF07FD"/>
    <w:rsid w:val="00FF3191"/>
    <w:rsid w:val="00FF39C7"/>
    <w:rsid w:val="00FF4A6D"/>
    <w:rsid w:val="00FF54B4"/>
    <w:rsid w:val="00FF73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5D6053E0-3E37-4AAD-A006-6BCE4A19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D5E"/>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semiHidden/>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 w:type="character" w:styleId="Textodelmarcadordeposicin">
    <w:name w:val="Placeholder Text"/>
    <w:basedOn w:val="Fuentedeprrafopredeter"/>
    <w:uiPriority w:val="99"/>
    <w:semiHidden/>
    <w:rsid w:val="00AF1D01"/>
    <w:rPr>
      <w:color w:val="808080"/>
    </w:rPr>
  </w:style>
  <w:style w:type="paragraph" w:customStyle="1" w:styleId="Pliego-Normal">
    <w:name w:val="Pliego-Normal"/>
    <w:basedOn w:val="Normal"/>
    <w:rsid w:val="007D3224"/>
    <w:pPr>
      <w:widowControl w:val="0"/>
      <w:adjustRightInd w:val="0"/>
      <w:spacing w:line="360" w:lineRule="atLeast"/>
      <w:jc w:val="both"/>
      <w:textAlignment w:val="baseline"/>
    </w:pPr>
    <w:rPr>
      <w:rFonts w:ascii="Garamond" w:hAnsi="Garamond"/>
      <w:bCs/>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4810">
      <w:bodyDiv w:val="1"/>
      <w:marLeft w:val="0"/>
      <w:marRight w:val="0"/>
      <w:marTop w:val="0"/>
      <w:marBottom w:val="0"/>
      <w:divBdr>
        <w:top w:val="none" w:sz="0" w:space="0" w:color="auto"/>
        <w:left w:val="none" w:sz="0" w:space="0" w:color="auto"/>
        <w:bottom w:val="none" w:sz="0" w:space="0" w:color="auto"/>
        <w:right w:val="none" w:sz="0" w:space="0" w:color="auto"/>
      </w:divBdr>
    </w:div>
    <w:div w:id="253822239">
      <w:bodyDiv w:val="1"/>
      <w:marLeft w:val="0"/>
      <w:marRight w:val="0"/>
      <w:marTop w:val="0"/>
      <w:marBottom w:val="0"/>
      <w:divBdr>
        <w:top w:val="none" w:sz="0" w:space="0" w:color="auto"/>
        <w:left w:val="none" w:sz="0" w:space="0" w:color="auto"/>
        <w:bottom w:val="none" w:sz="0" w:space="0" w:color="auto"/>
        <w:right w:val="none" w:sz="0" w:space="0" w:color="auto"/>
      </w:divBdr>
    </w:div>
    <w:div w:id="610434952">
      <w:bodyDiv w:val="1"/>
      <w:marLeft w:val="0"/>
      <w:marRight w:val="0"/>
      <w:marTop w:val="0"/>
      <w:marBottom w:val="0"/>
      <w:divBdr>
        <w:top w:val="none" w:sz="0" w:space="0" w:color="auto"/>
        <w:left w:val="none" w:sz="0" w:space="0" w:color="auto"/>
        <w:bottom w:val="none" w:sz="0" w:space="0" w:color="auto"/>
        <w:right w:val="none" w:sz="0" w:space="0" w:color="auto"/>
      </w:divBdr>
    </w:div>
    <w:div w:id="824735796">
      <w:bodyDiv w:val="1"/>
      <w:marLeft w:val="0"/>
      <w:marRight w:val="0"/>
      <w:marTop w:val="0"/>
      <w:marBottom w:val="0"/>
      <w:divBdr>
        <w:top w:val="none" w:sz="0" w:space="0" w:color="auto"/>
        <w:left w:val="none" w:sz="0" w:space="0" w:color="auto"/>
        <w:bottom w:val="none" w:sz="0" w:space="0" w:color="auto"/>
        <w:right w:val="none" w:sz="0" w:space="0" w:color="auto"/>
      </w:divBdr>
      <w:divsChild>
        <w:div w:id="1974601249">
          <w:marLeft w:val="547"/>
          <w:marRight w:val="0"/>
          <w:marTop w:val="0"/>
          <w:marBottom w:val="0"/>
          <w:divBdr>
            <w:top w:val="none" w:sz="0" w:space="0" w:color="auto"/>
            <w:left w:val="none" w:sz="0" w:space="0" w:color="auto"/>
            <w:bottom w:val="none" w:sz="0" w:space="0" w:color="auto"/>
            <w:right w:val="none" w:sz="0" w:space="0" w:color="auto"/>
          </w:divBdr>
        </w:div>
      </w:divsChild>
    </w:div>
    <w:div w:id="836312373">
      <w:bodyDiv w:val="1"/>
      <w:marLeft w:val="0"/>
      <w:marRight w:val="0"/>
      <w:marTop w:val="0"/>
      <w:marBottom w:val="0"/>
      <w:divBdr>
        <w:top w:val="none" w:sz="0" w:space="0" w:color="auto"/>
        <w:left w:val="none" w:sz="0" w:space="0" w:color="auto"/>
        <w:bottom w:val="none" w:sz="0" w:space="0" w:color="auto"/>
        <w:right w:val="none" w:sz="0" w:space="0" w:color="auto"/>
      </w:divBdr>
    </w:div>
    <w:div w:id="997342814">
      <w:bodyDiv w:val="1"/>
      <w:marLeft w:val="0"/>
      <w:marRight w:val="0"/>
      <w:marTop w:val="0"/>
      <w:marBottom w:val="0"/>
      <w:divBdr>
        <w:top w:val="none" w:sz="0" w:space="0" w:color="auto"/>
        <w:left w:val="none" w:sz="0" w:space="0" w:color="auto"/>
        <w:bottom w:val="none" w:sz="0" w:space="0" w:color="auto"/>
        <w:right w:val="none" w:sz="0" w:space="0" w:color="auto"/>
      </w:divBdr>
    </w:div>
    <w:div w:id="1040784384">
      <w:bodyDiv w:val="1"/>
      <w:marLeft w:val="0"/>
      <w:marRight w:val="0"/>
      <w:marTop w:val="0"/>
      <w:marBottom w:val="0"/>
      <w:divBdr>
        <w:top w:val="none" w:sz="0" w:space="0" w:color="auto"/>
        <w:left w:val="none" w:sz="0" w:space="0" w:color="auto"/>
        <w:bottom w:val="none" w:sz="0" w:space="0" w:color="auto"/>
        <w:right w:val="none" w:sz="0" w:space="0" w:color="auto"/>
      </w:divBdr>
    </w:div>
    <w:div w:id="1107121285">
      <w:bodyDiv w:val="1"/>
      <w:marLeft w:val="0"/>
      <w:marRight w:val="0"/>
      <w:marTop w:val="0"/>
      <w:marBottom w:val="0"/>
      <w:divBdr>
        <w:top w:val="none" w:sz="0" w:space="0" w:color="auto"/>
        <w:left w:val="none" w:sz="0" w:space="0" w:color="auto"/>
        <w:bottom w:val="none" w:sz="0" w:space="0" w:color="auto"/>
        <w:right w:val="none" w:sz="0" w:space="0" w:color="auto"/>
      </w:divBdr>
    </w:div>
    <w:div w:id="1169566138">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249078404">
      <w:bodyDiv w:val="1"/>
      <w:marLeft w:val="0"/>
      <w:marRight w:val="0"/>
      <w:marTop w:val="0"/>
      <w:marBottom w:val="0"/>
      <w:divBdr>
        <w:top w:val="none" w:sz="0" w:space="0" w:color="auto"/>
        <w:left w:val="none" w:sz="0" w:space="0" w:color="auto"/>
        <w:bottom w:val="none" w:sz="0" w:space="0" w:color="auto"/>
        <w:right w:val="none" w:sz="0" w:space="0" w:color="auto"/>
      </w:divBdr>
      <w:divsChild>
        <w:div w:id="1568804303">
          <w:marLeft w:val="547"/>
          <w:marRight w:val="0"/>
          <w:marTop w:val="0"/>
          <w:marBottom w:val="0"/>
          <w:divBdr>
            <w:top w:val="none" w:sz="0" w:space="0" w:color="auto"/>
            <w:left w:val="none" w:sz="0" w:space="0" w:color="auto"/>
            <w:bottom w:val="none" w:sz="0" w:space="0" w:color="auto"/>
            <w:right w:val="none" w:sz="0" w:space="0" w:color="auto"/>
          </w:divBdr>
        </w:div>
      </w:divsChild>
    </w:div>
    <w:div w:id="1356736911">
      <w:bodyDiv w:val="1"/>
      <w:marLeft w:val="0"/>
      <w:marRight w:val="0"/>
      <w:marTop w:val="0"/>
      <w:marBottom w:val="0"/>
      <w:divBdr>
        <w:top w:val="none" w:sz="0" w:space="0" w:color="auto"/>
        <w:left w:val="none" w:sz="0" w:space="0" w:color="auto"/>
        <w:bottom w:val="none" w:sz="0" w:space="0" w:color="auto"/>
        <w:right w:val="none" w:sz="0" w:space="0" w:color="auto"/>
      </w:divBdr>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 w:id="1926651726">
      <w:bodyDiv w:val="1"/>
      <w:marLeft w:val="0"/>
      <w:marRight w:val="0"/>
      <w:marTop w:val="0"/>
      <w:marBottom w:val="0"/>
      <w:divBdr>
        <w:top w:val="none" w:sz="0" w:space="0" w:color="auto"/>
        <w:left w:val="none" w:sz="0" w:space="0" w:color="auto"/>
        <w:bottom w:val="none" w:sz="0" w:space="0" w:color="auto"/>
        <w:right w:val="none" w:sz="0" w:space="0" w:color="auto"/>
      </w:divBdr>
    </w:div>
    <w:div w:id="1950232101">
      <w:bodyDiv w:val="1"/>
      <w:marLeft w:val="0"/>
      <w:marRight w:val="0"/>
      <w:marTop w:val="0"/>
      <w:marBottom w:val="0"/>
      <w:divBdr>
        <w:top w:val="none" w:sz="0" w:space="0" w:color="auto"/>
        <w:left w:val="none" w:sz="0" w:space="0" w:color="auto"/>
        <w:bottom w:val="none" w:sz="0" w:space="0" w:color="auto"/>
        <w:right w:val="none" w:sz="0" w:space="0" w:color="auto"/>
      </w:divBdr>
    </w:div>
    <w:div w:id="2072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D18BE-F3C7-472F-8F08-112E80C7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resoluciones.dot</Template>
  <TotalTime>1</TotalTime>
  <Pages>16</Pages>
  <Words>5941</Words>
  <Characters>32679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Ramos;Mónica Plaza;Carlos Castellanos;Ivone Peña</dc:creator>
  <cp:keywords/>
  <dc:description/>
  <cp:lastModifiedBy>Luz Stella Rojas Macias</cp:lastModifiedBy>
  <cp:revision>2</cp:revision>
  <cp:lastPrinted>2014-08-15T21:15:00Z</cp:lastPrinted>
  <dcterms:created xsi:type="dcterms:W3CDTF">2019-11-19T13:20:00Z</dcterms:created>
  <dcterms:modified xsi:type="dcterms:W3CDTF">2019-11-19T13:20:00Z</dcterms:modified>
</cp:coreProperties>
</file>