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3746" w:rsidRDefault="004F7CD0" w:rsidP="005E3746">
      <w:pPr>
        <w:pStyle w:val="Encabezado"/>
        <w:tabs>
          <w:tab w:val="clear" w:pos="8504"/>
          <w:tab w:val="left" w:pos="0"/>
          <w:tab w:val="right" w:pos="9498"/>
        </w:tabs>
        <w:ind w:right="-142"/>
        <w:rPr>
          <w:rFonts w:ascii="Bookman Old Style" w:hAnsi="Bookman Old Style"/>
          <w:bCs/>
          <w:szCs w:val="24"/>
        </w:rPr>
      </w:pPr>
      <w:bookmarkStart w:id="0" w:name="_GoBack"/>
      <w:bookmarkEnd w:id="0"/>
      <w:r>
        <w:rPr>
          <w:rFonts w:ascii="Bookman Old Style" w:hAnsi="Bookman Old Style"/>
          <w:noProof/>
          <w:szCs w:val="24"/>
        </w:rPr>
        <w:object w:dxaOrig="1440" w:dyaOrig="1440" w14:anchorId="70B84C9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218pt;margin-top:-53.35pt;width:52.5pt;height:48.75pt;z-index:251657728" fillcolor="#0c9">
            <v:imagedata r:id="rId8" o:title=""/>
          </v:shape>
          <o:OLEObject Type="Embed" ProgID="PBrush" ShapeID="_x0000_s1027" DrawAspect="Content" ObjectID="_1561193111" r:id="rId9"/>
        </w:object>
      </w:r>
    </w:p>
    <w:p w:rsidR="00D126E3" w:rsidRPr="005E3746" w:rsidRDefault="005E3746" w:rsidP="005A30CD">
      <w:pPr>
        <w:pStyle w:val="Encabezado"/>
        <w:tabs>
          <w:tab w:val="clear" w:pos="8504"/>
          <w:tab w:val="left" w:pos="0"/>
          <w:tab w:val="right" w:pos="9356"/>
        </w:tabs>
        <w:jc w:val="center"/>
        <w:rPr>
          <w:rFonts w:ascii="Bookman Old Style" w:hAnsi="Bookman Old Style"/>
          <w:szCs w:val="24"/>
        </w:rPr>
      </w:pPr>
      <w:r>
        <w:rPr>
          <w:rFonts w:ascii="Bookman Old Style" w:hAnsi="Bookman Old Style"/>
          <w:bCs/>
          <w:szCs w:val="24"/>
        </w:rPr>
        <w:t>M</w:t>
      </w:r>
      <w:r w:rsidR="00D126E3" w:rsidRPr="006B4647">
        <w:rPr>
          <w:rFonts w:ascii="Bookman Old Style" w:hAnsi="Bookman Old Style"/>
          <w:bCs/>
          <w:szCs w:val="24"/>
        </w:rPr>
        <w:t>inisterio de Minas y Energía</w:t>
      </w:r>
    </w:p>
    <w:p w:rsidR="00D126E3" w:rsidRPr="005E3746" w:rsidRDefault="00D126E3" w:rsidP="005A30CD">
      <w:pPr>
        <w:tabs>
          <w:tab w:val="right" w:pos="9356"/>
        </w:tabs>
        <w:jc w:val="center"/>
        <w:rPr>
          <w:b/>
        </w:rPr>
      </w:pPr>
    </w:p>
    <w:p w:rsidR="00D126E3" w:rsidRPr="005E3746" w:rsidRDefault="00D126E3" w:rsidP="005A30CD">
      <w:pPr>
        <w:tabs>
          <w:tab w:val="right" w:pos="9356"/>
        </w:tabs>
        <w:jc w:val="center"/>
        <w:rPr>
          <w:rFonts w:cs="Arial"/>
          <w:b/>
          <w:spacing w:val="20"/>
        </w:rPr>
      </w:pPr>
      <w:r w:rsidRPr="005E3746">
        <w:rPr>
          <w:rFonts w:cs="Arial"/>
          <w:b/>
          <w:spacing w:val="20"/>
        </w:rPr>
        <w:t>COMISIÓN DE REGULACIÓN DE ENERGÍA Y GAS</w:t>
      </w:r>
    </w:p>
    <w:p w:rsidR="005E3746" w:rsidRPr="005E3746" w:rsidRDefault="005E3746" w:rsidP="005A30CD">
      <w:pPr>
        <w:tabs>
          <w:tab w:val="right" w:pos="9356"/>
        </w:tabs>
        <w:jc w:val="center"/>
        <w:rPr>
          <w:b/>
          <w:lang w:val="es-ES_tradnl"/>
        </w:rPr>
      </w:pPr>
    </w:p>
    <w:p w:rsidR="00D126E3" w:rsidRPr="005E3746" w:rsidRDefault="005E3746" w:rsidP="005A30CD">
      <w:pPr>
        <w:tabs>
          <w:tab w:val="right" w:pos="9356"/>
        </w:tabs>
        <w:jc w:val="center"/>
        <w:rPr>
          <w:b/>
        </w:rPr>
      </w:pPr>
      <w:r w:rsidRPr="005E3746">
        <w:rPr>
          <w:b/>
        </w:rPr>
        <w:t>R</w:t>
      </w:r>
      <w:r w:rsidR="00D126E3" w:rsidRPr="005E3746">
        <w:rPr>
          <w:b/>
        </w:rPr>
        <w:t>ESOLUCIÓN No.                   DE 201</w:t>
      </w:r>
      <w:r w:rsidR="00DC001B">
        <w:rPr>
          <w:b/>
        </w:rPr>
        <w:t>7</w:t>
      </w:r>
    </w:p>
    <w:p w:rsidR="00D126E3" w:rsidRPr="006B4647" w:rsidRDefault="00D126E3" w:rsidP="005A30CD">
      <w:pPr>
        <w:tabs>
          <w:tab w:val="left" w:pos="0"/>
          <w:tab w:val="right" w:pos="9356"/>
        </w:tabs>
        <w:jc w:val="center"/>
        <w:rPr>
          <w:rFonts w:cs="Arial"/>
          <w:b/>
          <w:snapToGrid w:val="0"/>
          <w:color w:val="000000"/>
          <w:lang w:val="es-ES_tradnl"/>
        </w:rPr>
      </w:pPr>
    </w:p>
    <w:p w:rsidR="00D126E3" w:rsidRPr="005E3746" w:rsidRDefault="00D126E3" w:rsidP="005A30CD">
      <w:pPr>
        <w:tabs>
          <w:tab w:val="right" w:pos="9356"/>
        </w:tabs>
        <w:jc w:val="center"/>
        <w:rPr>
          <w:b/>
        </w:rPr>
      </w:pPr>
      <w:r w:rsidRPr="005E3746">
        <w:t>(                                  )</w:t>
      </w:r>
    </w:p>
    <w:p w:rsidR="00D126E3" w:rsidRPr="007507BF" w:rsidRDefault="00D126E3" w:rsidP="00D126E3">
      <w:pPr>
        <w:tabs>
          <w:tab w:val="left" w:pos="0"/>
          <w:tab w:val="right" w:pos="9498"/>
        </w:tabs>
        <w:ind w:right="-142"/>
        <w:jc w:val="center"/>
        <w:rPr>
          <w:sz w:val="20"/>
          <w:lang w:val="es-ES_tradnl"/>
        </w:rPr>
      </w:pPr>
    </w:p>
    <w:p w:rsidR="00DA3ED9" w:rsidRPr="00DC001B" w:rsidRDefault="00DA3ED9" w:rsidP="00D126E3">
      <w:pPr>
        <w:tabs>
          <w:tab w:val="right" w:pos="9498"/>
        </w:tabs>
        <w:ind w:right="-142"/>
        <w:rPr>
          <w:bCs/>
          <w:sz w:val="22"/>
          <w:lang w:val="es-ES_tradnl"/>
        </w:rPr>
      </w:pPr>
    </w:p>
    <w:p w:rsidR="00D126E3" w:rsidRPr="00D7035A" w:rsidRDefault="00D126E3" w:rsidP="00D126E3">
      <w:pPr>
        <w:jc w:val="center"/>
        <w:rPr>
          <w:bCs/>
          <w:lang w:val="es-CO"/>
        </w:rPr>
      </w:pPr>
      <w:r w:rsidRPr="00D7035A">
        <w:rPr>
          <w:bCs/>
          <w:lang w:val="es-CO"/>
        </w:rPr>
        <w:t xml:space="preserve">Por la cual se resuelve el recurso de reposición interpuesto por </w:t>
      </w:r>
      <w:r w:rsidR="008E05DD">
        <w:rPr>
          <w:bCs/>
          <w:lang w:val="es-CO"/>
        </w:rPr>
        <w:t>la Transportadora de Gas Internacional TGI S.A. E.S.P</w:t>
      </w:r>
      <w:r w:rsidRPr="00D7035A">
        <w:rPr>
          <w:bCs/>
          <w:lang w:val="es-CO"/>
        </w:rPr>
        <w:t>, contr</w:t>
      </w:r>
      <w:r w:rsidR="008E05DD">
        <w:rPr>
          <w:bCs/>
          <w:lang w:val="es-CO"/>
        </w:rPr>
        <w:t xml:space="preserve">a la Resolución CREG </w:t>
      </w:r>
      <w:r w:rsidR="0065204B">
        <w:rPr>
          <w:bCs/>
          <w:lang w:val="es-CO"/>
        </w:rPr>
        <w:t xml:space="preserve">261 </w:t>
      </w:r>
      <w:r w:rsidR="008E05DD">
        <w:rPr>
          <w:bCs/>
          <w:lang w:val="es-CO"/>
        </w:rPr>
        <w:t xml:space="preserve">de </w:t>
      </w:r>
      <w:r w:rsidR="0065204B">
        <w:rPr>
          <w:bCs/>
          <w:lang w:val="es-CO"/>
        </w:rPr>
        <w:t>2016</w:t>
      </w:r>
    </w:p>
    <w:p w:rsidR="00D126E3" w:rsidRPr="008E05DD" w:rsidRDefault="00D126E3" w:rsidP="00D126E3">
      <w:pPr>
        <w:widowControl w:val="0"/>
        <w:tabs>
          <w:tab w:val="right" w:pos="9498"/>
        </w:tabs>
        <w:adjustRightInd w:val="0"/>
        <w:ind w:right="-142"/>
        <w:rPr>
          <w:rFonts w:cs="Arial"/>
          <w:sz w:val="20"/>
          <w:lang w:val="es-CO"/>
        </w:rPr>
      </w:pPr>
    </w:p>
    <w:p w:rsidR="00D126E3" w:rsidRPr="006B4647" w:rsidRDefault="00D126E3" w:rsidP="005E3746">
      <w:pPr>
        <w:pStyle w:val="Ttulo7"/>
        <w:numPr>
          <w:ilvl w:val="0"/>
          <w:numId w:val="0"/>
        </w:numPr>
        <w:tabs>
          <w:tab w:val="right" w:pos="9498"/>
        </w:tabs>
        <w:ind w:right="-142"/>
        <w:jc w:val="center"/>
        <w:rPr>
          <w:rFonts w:ascii="Bookman Old Style" w:hAnsi="Bookman Old Style"/>
          <w:b/>
        </w:rPr>
      </w:pPr>
      <w:r w:rsidRPr="006B4647">
        <w:rPr>
          <w:rFonts w:ascii="Bookman Old Style" w:hAnsi="Bookman Old Style"/>
          <w:b/>
        </w:rPr>
        <w:t>LA COMISIÓN DE REGULACIÓN DE ENERGÍA Y GAS</w:t>
      </w:r>
    </w:p>
    <w:p w:rsidR="00D126E3" w:rsidRPr="003234E2" w:rsidRDefault="00D126E3" w:rsidP="00D126E3">
      <w:pPr>
        <w:tabs>
          <w:tab w:val="right" w:pos="9498"/>
        </w:tabs>
        <w:ind w:right="-142"/>
        <w:rPr>
          <w:rFonts w:cs="Arial"/>
          <w:b/>
          <w:sz w:val="22"/>
        </w:rPr>
      </w:pPr>
    </w:p>
    <w:p w:rsidR="00D126E3" w:rsidRPr="003234E2" w:rsidRDefault="00D126E3" w:rsidP="00D126E3">
      <w:pPr>
        <w:jc w:val="center"/>
        <w:rPr>
          <w:bCs/>
          <w:sz w:val="22"/>
          <w:lang w:val="es-CO"/>
        </w:rPr>
      </w:pPr>
    </w:p>
    <w:p w:rsidR="00D126E3" w:rsidRPr="00D7035A" w:rsidRDefault="00F51B27" w:rsidP="00D126E3">
      <w:pPr>
        <w:jc w:val="center"/>
        <w:rPr>
          <w:bCs/>
          <w:lang w:val="es-CO"/>
        </w:rPr>
      </w:pPr>
      <w:r>
        <w:rPr>
          <w:bCs/>
          <w:lang w:val="es-CO"/>
        </w:rPr>
        <w:t>E</w:t>
      </w:r>
      <w:r w:rsidR="00D126E3" w:rsidRPr="00D7035A">
        <w:rPr>
          <w:bCs/>
          <w:lang w:val="es-CO"/>
        </w:rPr>
        <w:t>n ejercicio de sus atribuciones constitucionales y legales, en especial las conferidas por la Ley 142 de 1994, y en desarrollo de los decretos 1524 y 2253 de 1994</w:t>
      </w:r>
      <w:r w:rsidR="008E05DD">
        <w:rPr>
          <w:bCs/>
          <w:lang w:val="es-CO"/>
        </w:rPr>
        <w:t xml:space="preserve"> y 1260 de 2013</w:t>
      </w:r>
      <w:r w:rsidR="00D126E3" w:rsidRPr="00D7035A">
        <w:rPr>
          <w:bCs/>
          <w:lang w:val="es-CO"/>
        </w:rPr>
        <w:t>.</w:t>
      </w:r>
    </w:p>
    <w:p w:rsidR="00D126E3" w:rsidRPr="008E05DD" w:rsidRDefault="00D126E3" w:rsidP="00D126E3">
      <w:pPr>
        <w:tabs>
          <w:tab w:val="right" w:pos="9498"/>
        </w:tabs>
        <w:ind w:right="-142"/>
        <w:rPr>
          <w:rFonts w:cs="Arial"/>
          <w:sz w:val="22"/>
          <w:lang w:val="es-CO"/>
        </w:rPr>
      </w:pPr>
    </w:p>
    <w:p w:rsidR="00D126E3" w:rsidRPr="003234E2" w:rsidRDefault="00D126E3" w:rsidP="00D126E3">
      <w:pPr>
        <w:tabs>
          <w:tab w:val="right" w:pos="9498"/>
        </w:tabs>
        <w:ind w:right="-142"/>
        <w:rPr>
          <w:rFonts w:cs="Arial"/>
          <w:sz w:val="22"/>
        </w:rPr>
      </w:pPr>
    </w:p>
    <w:p w:rsidR="00D126E3" w:rsidRDefault="00D126E3" w:rsidP="00D126E3">
      <w:pPr>
        <w:tabs>
          <w:tab w:val="right" w:pos="9498"/>
        </w:tabs>
        <w:ind w:right="-142"/>
        <w:jc w:val="center"/>
        <w:rPr>
          <w:rFonts w:cs="Arial"/>
          <w:b/>
        </w:rPr>
      </w:pPr>
      <w:r w:rsidRPr="006B4647">
        <w:rPr>
          <w:rFonts w:cs="Arial"/>
          <w:b/>
          <w:spacing w:val="80"/>
        </w:rPr>
        <w:t>CONSIDERANDO</w:t>
      </w:r>
      <w:r>
        <w:rPr>
          <w:rFonts w:cs="Arial"/>
          <w:b/>
          <w:spacing w:val="80"/>
        </w:rPr>
        <w:t xml:space="preserve"> QUE</w:t>
      </w:r>
      <w:r>
        <w:rPr>
          <w:rFonts w:cs="Arial"/>
          <w:b/>
        </w:rPr>
        <w:t>:</w:t>
      </w:r>
    </w:p>
    <w:p w:rsidR="00D126E3" w:rsidRPr="003234E2" w:rsidRDefault="00D126E3" w:rsidP="00D126E3">
      <w:pPr>
        <w:tabs>
          <w:tab w:val="right" w:pos="9498"/>
        </w:tabs>
        <w:ind w:right="-142"/>
        <w:jc w:val="center"/>
        <w:rPr>
          <w:rFonts w:cs="Arial"/>
          <w:b/>
          <w:sz w:val="20"/>
        </w:rPr>
      </w:pPr>
    </w:p>
    <w:p w:rsidR="00D126E3" w:rsidRDefault="00D126E3" w:rsidP="00D126E3">
      <w:pPr>
        <w:tabs>
          <w:tab w:val="right" w:pos="9498"/>
        </w:tabs>
        <w:ind w:right="-142"/>
        <w:jc w:val="center"/>
        <w:rPr>
          <w:rFonts w:cs="Arial"/>
          <w:b/>
        </w:rPr>
      </w:pPr>
    </w:p>
    <w:p w:rsidR="00D126E3" w:rsidRPr="005E3746" w:rsidRDefault="00D126E3" w:rsidP="005E3746">
      <w:pPr>
        <w:pStyle w:val="T1"/>
        <w:rPr>
          <w:lang w:val="es-CO"/>
        </w:rPr>
      </w:pPr>
      <w:r w:rsidRPr="005E3746">
        <w:t>ANTECEDENTES</w:t>
      </w:r>
    </w:p>
    <w:p w:rsidR="00F81DBF" w:rsidRDefault="00F81DBF" w:rsidP="00F81DBF">
      <w:pPr>
        <w:rPr>
          <w:lang w:val="es-CO"/>
        </w:rPr>
      </w:pPr>
    </w:p>
    <w:p w:rsidR="00450A10" w:rsidRPr="006114D0" w:rsidRDefault="00450A10" w:rsidP="00F81DBF">
      <w:pPr>
        <w:rPr>
          <w:iCs/>
          <w:lang w:val="es-CO"/>
        </w:rPr>
      </w:pPr>
      <w:r w:rsidRPr="006114D0">
        <w:rPr>
          <w:lang w:val="es-CO"/>
        </w:rPr>
        <w:t xml:space="preserve">De conformidad con lo establecido en el numeral 14.28 del artículo 14 de la Ley 142 de 1994 el servicio público domiciliario de gas combustible </w:t>
      </w:r>
      <w:r w:rsidRPr="006114D0">
        <w:rPr>
          <w:i/>
          <w:lang w:val="es-CO"/>
        </w:rPr>
        <w:t>“</w:t>
      </w:r>
      <w:r w:rsidRPr="006114D0">
        <w:rPr>
          <w:i/>
          <w:iCs/>
          <w:lang w:val="es-CO"/>
        </w:rPr>
        <w:t>es el conjunto de actividades ordenadas a la distribución de gas combustible, por tubería u otro medio, desde un sitio de acopio de grandes volúmenes o desde un gasoducto central hasta la instalación de un consumidor final, incluyendo su conexión y medición. También se aplicará esta ley a las actividades complementarias de comercialización desde la producción y transporte de gas por un gasoducto principal, o por otros medios, desde el sitio de generación hasta aquel en donde se conecte a una red secundaria”</w:t>
      </w:r>
      <w:r w:rsidRPr="006114D0">
        <w:rPr>
          <w:iCs/>
          <w:lang w:val="es-CO"/>
        </w:rPr>
        <w:t>.</w:t>
      </w:r>
    </w:p>
    <w:p w:rsidR="00450A10" w:rsidRPr="006114D0" w:rsidRDefault="00450A10" w:rsidP="00F81DBF">
      <w:pPr>
        <w:rPr>
          <w:lang w:val="es-CO"/>
        </w:rPr>
      </w:pPr>
    </w:p>
    <w:p w:rsidR="00450A10" w:rsidRPr="006455A1" w:rsidRDefault="00450A10" w:rsidP="00F81DBF">
      <w:pPr>
        <w:rPr>
          <w:rFonts w:cs="Arial"/>
          <w:bCs/>
        </w:rPr>
      </w:pPr>
      <w:r w:rsidRPr="006455A1">
        <w:rPr>
          <w:rFonts w:cs="Arial"/>
          <w:bCs/>
        </w:rPr>
        <w:t>Según lo dispuesto por el artículo 28 de la Ley 142 de 1994, la construcción y operación de redes para el transporte de gas, así como el señalamiento de las tarifas por su uso, se regirán exclusivamente por dicha ley.</w:t>
      </w:r>
    </w:p>
    <w:p w:rsidR="00450A10" w:rsidRPr="006455A1" w:rsidRDefault="00450A10" w:rsidP="00F81DBF">
      <w:pPr>
        <w:rPr>
          <w:rFonts w:cs="Arial"/>
          <w:bCs/>
        </w:rPr>
      </w:pPr>
    </w:p>
    <w:p w:rsidR="00450A10" w:rsidRPr="006455A1" w:rsidRDefault="00450A10" w:rsidP="00F81DBF">
      <w:pPr>
        <w:rPr>
          <w:rFonts w:cs="Arial"/>
          <w:bCs/>
        </w:rPr>
      </w:pPr>
      <w:r w:rsidRPr="006455A1">
        <w:rPr>
          <w:rFonts w:cs="Arial"/>
          <w:bCs/>
        </w:rPr>
        <w:t>El numeral 73.11 del artículo 73 de la Ley 142 de 1994 atribuyó a la Comisión de Regulación de Energía y Gas, CREG, la competencia para establecer las fórmulas para la fijación de las tarifas del servicio público domiciliario de gas combustible.</w:t>
      </w:r>
    </w:p>
    <w:p w:rsidR="00450A10" w:rsidRPr="006455A1" w:rsidRDefault="00450A10" w:rsidP="00F81DBF">
      <w:pPr>
        <w:rPr>
          <w:rFonts w:cs="Arial"/>
          <w:bCs/>
        </w:rPr>
      </w:pPr>
    </w:p>
    <w:p w:rsidR="00450A10" w:rsidRPr="00A63269" w:rsidRDefault="00450A10" w:rsidP="00F81DBF">
      <w:pPr>
        <w:rPr>
          <w:rFonts w:cs="Arial"/>
          <w:bCs/>
        </w:rPr>
      </w:pPr>
      <w:r w:rsidRPr="00A63269">
        <w:rPr>
          <w:rFonts w:cs="Arial"/>
          <w:bCs/>
        </w:rPr>
        <w:t>En aplicación de lo dispuesto en dicha metodología mediante las resoluciones CREG 110 de 2011</w:t>
      </w:r>
      <w:r w:rsidR="002B6910">
        <w:rPr>
          <w:rFonts w:cs="Arial"/>
          <w:bCs/>
        </w:rPr>
        <w:t xml:space="preserve"> y </w:t>
      </w:r>
      <w:r w:rsidRPr="00A63269">
        <w:rPr>
          <w:rFonts w:cs="Arial"/>
          <w:bCs/>
        </w:rPr>
        <w:t>121 de 2012 se establecieron los cargos regulados pa</w:t>
      </w:r>
      <w:r>
        <w:rPr>
          <w:rFonts w:cs="Arial"/>
          <w:bCs/>
        </w:rPr>
        <w:t xml:space="preserve">ra el sistema de transporte de </w:t>
      </w:r>
      <w:r w:rsidRPr="00A63269">
        <w:rPr>
          <w:rFonts w:cs="Arial"/>
          <w:bCs/>
        </w:rPr>
        <w:t>la empresa Transportadora de Gas Internacional - TGI S.A. E.S.P., en adelante TGI.</w:t>
      </w:r>
    </w:p>
    <w:p w:rsidR="00450A10" w:rsidRPr="006455A1" w:rsidRDefault="00450A10" w:rsidP="00F81DBF">
      <w:r w:rsidRPr="00A63269">
        <w:lastRenderedPageBreak/>
        <w:t>Mediante la Resolución CREG 160 de 2014 se ajustaron los cargos de transporte de TGI en aplicación de lo dispuesto en el artículo 126 de la Ley 142 de 1994.</w:t>
      </w:r>
    </w:p>
    <w:p w:rsidR="00450A10" w:rsidRDefault="00450A10" w:rsidP="00F81DBF"/>
    <w:p w:rsidR="00450A10" w:rsidRPr="006455A1" w:rsidRDefault="00450A10" w:rsidP="00F81DBF">
      <w:r w:rsidRPr="006455A1">
        <w:t>Mediante la Resolución 126 de 2010 la CREG estableci</w:t>
      </w:r>
      <w:r>
        <w:t>ó</w:t>
      </w:r>
      <w:r w:rsidRPr="006455A1">
        <w:t xml:space="preserve"> los criterios generales para la remuneración del servicio de transporte de gas natural y el esquema de cargos del sistema nacional de transporte, y dictó otras disposiciones en materia de transporte de gas natural.</w:t>
      </w:r>
    </w:p>
    <w:p w:rsidR="00450A10" w:rsidRPr="006455A1" w:rsidRDefault="00450A10" w:rsidP="00F81DBF"/>
    <w:p w:rsidR="00450A10" w:rsidRPr="006455A1" w:rsidRDefault="00450A10" w:rsidP="00F81DBF">
      <w:r w:rsidRPr="006455A1">
        <w:t>El artículo 14 de la Resolución CREG 126 de 2010, modificado por el artículo 2 de la Resolución CREG 066 de 2013, establece el procedimiento y las reglas aplicables para los gasoductos que cumplen su vida útil normativa.</w:t>
      </w:r>
    </w:p>
    <w:p w:rsidR="00450A10" w:rsidRPr="006455A1" w:rsidRDefault="00450A10" w:rsidP="00F81DBF"/>
    <w:p w:rsidR="00450A10" w:rsidRPr="006455A1" w:rsidRDefault="00450A10" w:rsidP="00F81DBF">
      <w:r w:rsidRPr="006455A1">
        <w:t xml:space="preserve">La Comisión resolvió las solicitudes hechas por la empresa TGI </w:t>
      </w:r>
      <w:r>
        <w:t>para 10 gasoductos que habían</w:t>
      </w:r>
      <w:r w:rsidRPr="006455A1">
        <w:t xml:space="preserve"> cumplido su vida útil normativa mediante la Resolución CREG 162 de 2015. Así mismo mediante </w:t>
      </w:r>
      <w:r w:rsidR="002B6910">
        <w:t xml:space="preserve">la </w:t>
      </w:r>
      <w:r w:rsidRPr="006455A1">
        <w:t>Resolución CREG 008 de 2016 se resolvió el recurso de reposición interpuesto por TGI contra la Resolución CREG 162 de 2015</w:t>
      </w:r>
      <w:r w:rsidR="002B6910">
        <w:t>.</w:t>
      </w:r>
    </w:p>
    <w:p w:rsidR="00450A10" w:rsidRDefault="00450A10" w:rsidP="00F81DBF">
      <w:pPr>
        <w:rPr>
          <w:sz w:val="22"/>
          <w:szCs w:val="22"/>
        </w:rPr>
      </w:pPr>
    </w:p>
    <w:p w:rsidR="00572B58" w:rsidRDefault="003E0FF2" w:rsidP="003E0FF2">
      <w:r>
        <w:t xml:space="preserve">Mediante Resolución CREG 261 de 2016 </w:t>
      </w:r>
      <w:r w:rsidR="00572B58">
        <w:t xml:space="preserve">se resolvió </w:t>
      </w:r>
      <w:r w:rsidR="00572B58" w:rsidRPr="00572B58">
        <w:t>una actuación administrativa iniciada de oficio en virtud de lo establecido en el artículo 126 de la Ley 142 de 1994 y se ajustan los cargos regulados del sistema de transporte de TGI S.A. E.S.P.</w:t>
      </w:r>
    </w:p>
    <w:p w:rsidR="003E0FF2" w:rsidRDefault="003E0FF2" w:rsidP="003E0FF2"/>
    <w:p w:rsidR="005E3DD3" w:rsidRPr="005E3746" w:rsidRDefault="00572B58" w:rsidP="005A30CD">
      <w:pPr>
        <w:rPr>
          <w:lang w:val="es-CO"/>
        </w:rPr>
      </w:pPr>
      <w:r>
        <w:t>A través de la</w:t>
      </w:r>
      <w:r w:rsidR="002B6910">
        <w:t>s</w:t>
      </w:r>
      <w:r w:rsidR="003E0FF2">
        <w:t xml:space="preserve"> </w:t>
      </w:r>
      <w:r w:rsidR="0006151C">
        <w:t>comunicaciones E-2017-002140</w:t>
      </w:r>
      <w:r w:rsidR="000D0B78">
        <w:rPr>
          <w:rStyle w:val="Refdenotaalpie"/>
        </w:rPr>
        <w:footnoteReference w:id="1"/>
      </w:r>
      <w:r w:rsidR="002B6910">
        <w:t xml:space="preserve"> y </w:t>
      </w:r>
      <w:r w:rsidR="003E0FF2">
        <w:t xml:space="preserve">E-2017-002152 TGI interpuso recurso de reposición frente a la Resolución CREG 261 de 2016, e incluyó un alcance al recurso mediante </w:t>
      </w:r>
      <w:r w:rsidR="002B6910">
        <w:t xml:space="preserve">la </w:t>
      </w:r>
      <w:r w:rsidR="003E0FF2">
        <w:t xml:space="preserve">comunicación </w:t>
      </w:r>
      <w:r w:rsidR="003E0FF2" w:rsidRPr="003E0FF2">
        <w:t>E-2017-002244</w:t>
      </w:r>
      <w:r>
        <w:t>.</w:t>
      </w:r>
    </w:p>
    <w:p w:rsidR="00D126E3" w:rsidRPr="00CC4D8C" w:rsidRDefault="002A2128" w:rsidP="005A30CD">
      <w:pPr>
        <w:pStyle w:val="T1"/>
        <w:rPr>
          <w:szCs w:val="27"/>
        </w:rPr>
      </w:pPr>
      <w:r w:rsidRPr="005E3746">
        <w:t>RECURSO</w:t>
      </w:r>
      <w:r w:rsidRPr="005E3746">
        <w:rPr>
          <w:lang w:val="es-CO"/>
        </w:rPr>
        <w:t xml:space="preserve"> DE REPOSICIÓN</w:t>
      </w:r>
    </w:p>
    <w:p w:rsidR="00D126E3" w:rsidRDefault="00D126E3" w:rsidP="005E3746">
      <w:pPr>
        <w:pStyle w:val="Ttulo2"/>
      </w:pPr>
      <w:r>
        <w:t>La admisibilidad del recurso</w:t>
      </w:r>
    </w:p>
    <w:p w:rsidR="00D126E3" w:rsidRPr="00D549B1" w:rsidRDefault="00D126E3" w:rsidP="00D126E3">
      <w:pPr>
        <w:pStyle w:val="Textoindependiente2"/>
        <w:spacing w:after="0" w:line="240" w:lineRule="auto"/>
        <w:ind w:left="-142" w:right="-142"/>
        <w:rPr>
          <w:szCs w:val="27"/>
        </w:rPr>
      </w:pPr>
    </w:p>
    <w:p w:rsidR="00D126E3" w:rsidRPr="00D549B1" w:rsidRDefault="00D126E3" w:rsidP="00D126E3">
      <w:pPr>
        <w:pStyle w:val="Textoindependiente2"/>
        <w:spacing w:after="0" w:line="240" w:lineRule="auto"/>
        <w:ind w:left="-142" w:right="-142"/>
        <w:rPr>
          <w:szCs w:val="27"/>
        </w:rPr>
      </w:pPr>
      <w:r w:rsidRPr="00D549B1">
        <w:rPr>
          <w:szCs w:val="27"/>
        </w:rPr>
        <w:t xml:space="preserve">Mediante </w:t>
      </w:r>
      <w:r w:rsidR="00572B58">
        <w:rPr>
          <w:szCs w:val="27"/>
        </w:rPr>
        <w:t>comunicación</w:t>
      </w:r>
      <w:r w:rsidR="00572B58" w:rsidRPr="00D549B1">
        <w:rPr>
          <w:szCs w:val="27"/>
        </w:rPr>
        <w:t xml:space="preserve"> </w:t>
      </w:r>
      <w:r w:rsidRPr="00D549B1">
        <w:rPr>
          <w:szCs w:val="27"/>
        </w:rPr>
        <w:t>radicad</w:t>
      </w:r>
      <w:r w:rsidR="00572B58">
        <w:rPr>
          <w:szCs w:val="27"/>
        </w:rPr>
        <w:t>a</w:t>
      </w:r>
      <w:r w:rsidRPr="00D549B1">
        <w:rPr>
          <w:szCs w:val="27"/>
        </w:rPr>
        <w:t xml:space="preserve"> en esta Comisión </w:t>
      </w:r>
      <w:r w:rsidR="00572B58">
        <w:rPr>
          <w:szCs w:val="27"/>
        </w:rPr>
        <w:t>el día</w:t>
      </w:r>
      <w:r w:rsidR="003366A5">
        <w:rPr>
          <w:szCs w:val="27"/>
        </w:rPr>
        <w:t xml:space="preserve"> </w:t>
      </w:r>
      <w:r w:rsidR="00636E42">
        <w:rPr>
          <w:szCs w:val="27"/>
        </w:rPr>
        <w:t>3 de marzo</w:t>
      </w:r>
      <w:r w:rsidR="003366A5">
        <w:rPr>
          <w:szCs w:val="27"/>
        </w:rPr>
        <w:t xml:space="preserve"> de 201</w:t>
      </w:r>
      <w:r w:rsidR="00636E42">
        <w:rPr>
          <w:szCs w:val="27"/>
        </w:rPr>
        <w:t>6</w:t>
      </w:r>
      <w:r w:rsidR="002B6910">
        <w:rPr>
          <w:szCs w:val="27"/>
        </w:rPr>
        <w:t>,</w:t>
      </w:r>
      <w:r w:rsidR="003366A5">
        <w:rPr>
          <w:szCs w:val="27"/>
        </w:rPr>
        <w:t xml:space="preserve"> </w:t>
      </w:r>
      <w:r w:rsidRPr="00D549B1">
        <w:rPr>
          <w:szCs w:val="27"/>
        </w:rPr>
        <w:t>con radicado número E-20</w:t>
      </w:r>
      <w:r w:rsidR="00572B58">
        <w:rPr>
          <w:szCs w:val="27"/>
        </w:rPr>
        <w:t>17-002152</w:t>
      </w:r>
      <w:r w:rsidRPr="00D549B1">
        <w:rPr>
          <w:szCs w:val="27"/>
        </w:rPr>
        <w:t xml:space="preserve">, </w:t>
      </w:r>
      <w:r w:rsidR="003366A5">
        <w:rPr>
          <w:szCs w:val="27"/>
        </w:rPr>
        <w:t>TGI a través de su representante legal presentó</w:t>
      </w:r>
      <w:r w:rsidRPr="00D549B1">
        <w:rPr>
          <w:szCs w:val="27"/>
        </w:rPr>
        <w:t xml:space="preserve"> recurso de reposici</w:t>
      </w:r>
      <w:r w:rsidR="003366A5">
        <w:rPr>
          <w:szCs w:val="27"/>
        </w:rPr>
        <w:t xml:space="preserve">ón contra la Resolución CREG </w:t>
      </w:r>
      <w:r w:rsidR="00572B58">
        <w:rPr>
          <w:szCs w:val="27"/>
        </w:rPr>
        <w:t>261</w:t>
      </w:r>
      <w:r w:rsidR="003366A5">
        <w:rPr>
          <w:szCs w:val="27"/>
        </w:rPr>
        <w:t xml:space="preserve"> de 201</w:t>
      </w:r>
      <w:r w:rsidR="00572B58">
        <w:rPr>
          <w:szCs w:val="27"/>
        </w:rPr>
        <w:t>6</w:t>
      </w:r>
      <w:r w:rsidRPr="00D549B1">
        <w:rPr>
          <w:szCs w:val="27"/>
        </w:rPr>
        <w:t>, para lo cual realiza las siguientes solicitudes:</w:t>
      </w:r>
    </w:p>
    <w:p w:rsidR="00D126E3" w:rsidRPr="00557C22" w:rsidRDefault="00D126E3" w:rsidP="00D126E3">
      <w:pPr>
        <w:widowControl w:val="0"/>
        <w:tabs>
          <w:tab w:val="right" w:pos="9498"/>
        </w:tabs>
        <w:adjustRightInd w:val="0"/>
        <w:ind w:right="-142"/>
        <w:rPr>
          <w:rFonts w:cs="Arial"/>
          <w:i/>
          <w:sz w:val="20"/>
          <w:szCs w:val="20"/>
        </w:rPr>
      </w:pPr>
    </w:p>
    <w:p w:rsidR="00D126E3" w:rsidRPr="001D4DE7" w:rsidRDefault="00D126E3" w:rsidP="00D126E3">
      <w:pPr>
        <w:widowControl w:val="0"/>
        <w:tabs>
          <w:tab w:val="right" w:pos="9498"/>
        </w:tabs>
        <w:adjustRightInd w:val="0"/>
        <w:ind w:left="284" w:right="284"/>
        <w:rPr>
          <w:rFonts w:cs="Arial"/>
          <w:i/>
          <w:sz w:val="22"/>
          <w:szCs w:val="22"/>
        </w:rPr>
      </w:pPr>
      <w:r w:rsidRPr="001D4DE7">
        <w:rPr>
          <w:rFonts w:cs="Arial"/>
          <w:i/>
          <w:sz w:val="22"/>
          <w:szCs w:val="22"/>
        </w:rPr>
        <w:t>“</w:t>
      </w:r>
      <w:r w:rsidR="00572B58">
        <w:rPr>
          <w:rFonts w:cs="Arial"/>
          <w:i/>
          <w:sz w:val="22"/>
          <w:szCs w:val="22"/>
        </w:rPr>
        <w:t>Solicito reponer la decisión contenida en la Resolución CREG 261 de 2016, por las razones que a continuación se exponen</w:t>
      </w:r>
      <w:r w:rsidRPr="001D4DE7">
        <w:rPr>
          <w:rFonts w:cs="Arial"/>
          <w:i/>
          <w:sz w:val="22"/>
          <w:szCs w:val="22"/>
        </w:rPr>
        <w:t>”</w:t>
      </w:r>
      <w:r w:rsidR="002B6910">
        <w:rPr>
          <w:rFonts w:cs="Arial"/>
          <w:i/>
          <w:sz w:val="22"/>
          <w:szCs w:val="22"/>
        </w:rPr>
        <w:t>.</w:t>
      </w:r>
      <w:r w:rsidRPr="001D4DE7">
        <w:rPr>
          <w:rFonts w:cs="Arial"/>
          <w:i/>
          <w:sz w:val="22"/>
          <w:szCs w:val="22"/>
        </w:rPr>
        <w:t xml:space="preserve"> </w:t>
      </w:r>
    </w:p>
    <w:p w:rsidR="00D126E3" w:rsidRDefault="00D126E3" w:rsidP="00D126E3">
      <w:pPr>
        <w:widowControl w:val="0"/>
        <w:tabs>
          <w:tab w:val="right" w:pos="9498"/>
        </w:tabs>
        <w:adjustRightInd w:val="0"/>
        <w:ind w:right="-142"/>
        <w:rPr>
          <w:rFonts w:cs="Arial"/>
        </w:rPr>
      </w:pPr>
    </w:p>
    <w:p w:rsidR="00D126E3" w:rsidRDefault="00D126E3" w:rsidP="00D126E3">
      <w:pPr>
        <w:pStyle w:val="Textoindependiente2"/>
        <w:spacing w:after="0" w:line="240" w:lineRule="auto"/>
        <w:ind w:left="-142" w:right="-142"/>
        <w:rPr>
          <w:szCs w:val="27"/>
        </w:rPr>
      </w:pPr>
      <w:r w:rsidRPr="00D549B1">
        <w:rPr>
          <w:szCs w:val="27"/>
        </w:rPr>
        <w:t>La Resolución CREG</w:t>
      </w:r>
      <w:r w:rsidR="00572B58">
        <w:rPr>
          <w:szCs w:val="27"/>
        </w:rPr>
        <w:t xml:space="preserve"> 261 </w:t>
      </w:r>
      <w:r w:rsidR="001D4DE7">
        <w:rPr>
          <w:szCs w:val="27"/>
        </w:rPr>
        <w:t>de 201</w:t>
      </w:r>
      <w:r w:rsidR="00572B58">
        <w:rPr>
          <w:szCs w:val="27"/>
        </w:rPr>
        <w:t>6</w:t>
      </w:r>
      <w:r w:rsidRPr="00D549B1">
        <w:rPr>
          <w:szCs w:val="27"/>
        </w:rPr>
        <w:t xml:space="preserve"> fue notificada a </w:t>
      </w:r>
      <w:r w:rsidR="001D4DE7">
        <w:rPr>
          <w:szCs w:val="27"/>
        </w:rPr>
        <w:t>TGI</w:t>
      </w:r>
      <w:r w:rsidRPr="00D549B1">
        <w:rPr>
          <w:szCs w:val="27"/>
        </w:rPr>
        <w:t xml:space="preserve"> el día 2</w:t>
      </w:r>
      <w:r w:rsidR="00572B58">
        <w:rPr>
          <w:szCs w:val="27"/>
        </w:rPr>
        <w:t>4</w:t>
      </w:r>
      <w:r w:rsidRPr="00D549B1">
        <w:rPr>
          <w:szCs w:val="27"/>
        </w:rPr>
        <w:t xml:space="preserve"> de </w:t>
      </w:r>
      <w:r w:rsidR="00572B58">
        <w:rPr>
          <w:szCs w:val="27"/>
        </w:rPr>
        <w:t>febrero</w:t>
      </w:r>
      <w:r w:rsidRPr="00D549B1">
        <w:rPr>
          <w:szCs w:val="27"/>
        </w:rPr>
        <w:t xml:space="preserve"> de 201</w:t>
      </w:r>
      <w:r w:rsidR="00572B58">
        <w:rPr>
          <w:szCs w:val="27"/>
        </w:rPr>
        <w:t>7</w:t>
      </w:r>
      <w:r w:rsidRPr="00D549B1">
        <w:rPr>
          <w:szCs w:val="27"/>
        </w:rPr>
        <w:t xml:space="preserve"> atendiend</w:t>
      </w:r>
      <w:r w:rsidR="00B3256E">
        <w:rPr>
          <w:szCs w:val="27"/>
        </w:rPr>
        <w:t>o lo dispuesto en el artículo 67</w:t>
      </w:r>
      <w:r w:rsidRPr="00D549B1">
        <w:rPr>
          <w:szCs w:val="27"/>
          <w:vertAlign w:val="superscript"/>
        </w:rPr>
        <w:footnoteReference w:id="2"/>
      </w:r>
      <w:r w:rsidRPr="00D549B1">
        <w:rPr>
          <w:szCs w:val="27"/>
        </w:rPr>
        <w:t xml:space="preserve"> de la Ley 1437 de 2011. El recurso de reposición fue interpuesto mediante correo electrónico </w:t>
      </w:r>
      <w:r w:rsidR="002B6910">
        <w:rPr>
          <w:szCs w:val="27"/>
        </w:rPr>
        <w:t>el</w:t>
      </w:r>
      <w:r w:rsidRPr="00D549B1">
        <w:rPr>
          <w:szCs w:val="27"/>
        </w:rPr>
        <w:t xml:space="preserve"> día </w:t>
      </w:r>
      <w:r w:rsidR="00636E42">
        <w:rPr>
          <w:szCs w:val="27"/>
        </w:rPr>
        <w:t>3</w:t>
      </w:r>
      <w:r w:rsidRPr="00D549B1">
        <w:rPr>
          <w:szCs w:val="27"/>
        </w:rPr>
        <w:t xml:space="preserve"> de </w:t>
      </w:r>
      <w:r w:rsidR="00636E42">
        <w:rPr>
          <w:szCs w:val="27"/>
        </w:rPr>
        <w:t>marzo</w:t>
      </w:r>
      <w:r w:rsidRPr="00D549B1">
        <w:rPr>
          <w:szCs w:val="27"/>
        </w:rPr>
        <w:t xml:space="preserve"> de</w:t>
      </w:r>
      <w:r w:rsidR="001D4DE7">
        <w:rPr>
          <w:szCs w:val="27"/>
        </w:rPr>
        <w:t xml:space="preserve"> 201</w:t>
      </w:r>
      <w:r w:rsidR="00636E42">
        <w:rPr>
          <w:szCs w:val="27"/>
        </w:rPr>
        <w:t>7</w:t>
      </w:r>
      <w:r w:rsidRPr="00D549B1">
        <w:rPr>
          <w:szCs w:val="27"/>
        </w:rPr>
        <w:t xml:space="preserve">, razón por la cual se establece que dicho recurso fue radicado dentro del término previsto en el artículo segundo de la parte resolutiva del acto recurrido. </w:t>
      </w:r>
    </w:p>
    <w:p w:rsidR="00636E42" w:rsidRDefault="00636E42" w:rsidP="00D126E3">
      <w:pPr>
        <w:pStyle w:val="Textoindependiente2"/>
        <w:spacing w:after="0" w:line="240" w:lineRule="auto"/>
        <w:ind w:left="-142" w:right="-142"/>
        <w:rPr>
          <w:szCs w:val="27"/>
        </w:rPr>
      </w:pPr>
    </w:p>
    <w:p w:rsidR="00636E42" w:rsidRPr="00D549B1" w:rsidRDefault="00636E42" w:rsidP="00D126E3">
      <w:pPr>
        <w:pStyle w:val="Textoindependiente2"/>
        <w:spacing w:after="0" w:line="240" w:lineRule="auto"/>
        <w:ind w:left="-142" w:right="-142"/>
        <w:rPr>
          <w:szCs w:val="27"/>
        </w:rPr>
      </w:pPr>
      <w:r>
        <w:rPr>
          <w:szCs w:val="27"/>
        </w:rPr>
        <w:lastRenderedPageBreak/>
        <w:t>Ahora, con respecto al recurso de reposición se debe precisar que la empresa dio alcance al mismo mediante comunicación E-2017-002</w:t>
      </w:r>
      <w:r w:rsidR="00294209">
        <w:rPr>
          <w:szCs w:val="27"/>
        </w:rPr>
        <w:t>244</w:t>
      </w:r>
      <w:r>
        <w:rPr>
          <w:szCs w:val="27"/>
        </w:rPr>
        <w:t xml:space="preserve"> de 7 de marzo de 2017. En relación con esta comunicación y </w:t>
      </w:r>
      <w:r w:rsidR="005A30CD">
        <w:rPr>
          <w:szCs w:val="27"/>
        </w:rPr>
        <w:t xml:space="preserve">respecto a </w:t>
      </w:r>
      <w:r>
        <w:rPr>
          <w:szCs w:val="27"/>
        </w:rPr>
        <w:t xml:space="preserve">la información que allí se incluye, se establece que la misma es extemporánea </w:t>
      </w:r>
      <w:r w:rsidR="00CC4D8C">
        <w:rPr>
          <w:szCs w:val="27"/>
        </w:rPr>
        <w:t xml:space="preserve">y fue radicada por fuera del término previsto en la Ley 142 de 1994, razón por la cual, dicha comunicación debe ser rechazada y no se tendrá en cuenta para efectos de resolver el recurso de reposición. En este sentido, la Comisión se limitará a resolver el recurso de reposición en los términos de la comunicación </w:t>
      </w:r>
      <w:r w:rsidR="00CC4D8C" w:rsidRPr="00CC4D8C">
        <w:rPr>
          <w:szCs w:val="27"/>
        </w:rPr>
        <w:t>E-2017-002152</w:t>
      </w:r>
      <w:r w:rsidR="00CC4D8C">
        <w:rPr>
          <w:szCs w:val="27"/>
        </w:rPr>
        <w:t>.</w:t>
      </w:r>
    </w:p>
    <w:p w:rsidR="00D126E3" w:rsidRPr="00D549B1" w:rsidRDefault="00D126E3" w:rsidP="00D126E3">
      <w:pPr>
        <w:pStyle w:val="Textoindependiente2"/>
        <w:spacing w:after="0" w:line="240" w:lineRule="auto"/>
        <w:ind w:left="-142" w:right="-142"/>
        <w:rPr>
          <w:szCs w:val="27"/>
        </w:rPr>
      </w:pPr>
    </w:p>
    <w:p w:rsidR="00494055" w:rsidRDefault="00D126E3" w:rsidP="000D0B78">
      <w:pPr>
        <w:pStyle w:val="Textoindependiente2"/>
        <w:spacing w:after="0" w:line="240" w:lineRule="auto"/>
        <w:ind w:left="-142" w:right="-142"/>
        <w:rPr>
          <w:lang w:val="es-CO"/>
        </w:rPr>
      </w:pPr>
      <w:r w:rsidRPr="00D549B1">
        <w:rPr>
          <w:szCs w:val="27"/>
        </w:rPr>
        <w:t>En virtud de lo anterior y una vez verificado el cumplimiento de los requisitos a los que hace referencia el artículo 77</w:t>
      </w:r>
      <w:r w:rsidRPr="00D549B1">
        <w:rPr>
          <w:szCs w:val="27"/>
          <w:vertAlign w:val="superscript"/>
        </w:rPr>
        <w:footnoteReference w:id="3"/>
      </w:r>
      <w:r w:rsidRPr="00D549B1">
        <w:rPr>
          <w:szCs w:val="27"/>
        </w:rPr>
        <w:t xml:space="preserve"> del Código de Procedimiento Administrativo y de lo Contencioso Administrativo, procede la Dirección Ejecutiva de la CREG a pronunciarse en relación con los argumentos en que se sustenta la impugnación. </w:t>
      </w:r>
    </w:p>
    <w:p w:rsidR="00D126E3" w:rsidRPr="009011F4" w:rsidRDefault="00D126E3" w:rsidP="005E3746">
      <w:pPr>
        <w:pStyle w:val="Ttulo2"/>
        <w:rPr>
          <w:rFonts w:cs="Arial"/>
        </w:rPr>
      </w:pPr>
      <w:r w:rsidRPr="00D549B1">
        <w:t>Fundamentos del recurso</w:t>
      </w:r>
    </w:p>
    <w:p w:rsidR="00D126E3" w:rsidRDefault="00D126E3" w:rsidP="00D126E3">
      <w:pPr>
        <w:widowControl w:val="0"/>
        <w:tabs>
          <w:tab w:val="right" w:pos="9498"/>
        </w:tabs>
        <w:adjustRightInd w:val="0"/>
        <w:ind w:right="-142"/>
        <w:rPr>
          <w:rFonts w:cs="Arial"/>
        </w:rPr>
      </w:pPr>
    </w:p>
    <w:p w:rsidR="00E731C4" w:rsidRDefault="00DE6D3A" w:rsidP="00956D63">
      <w:r>
        <w:t>L</w:t>
      </w:r>
      <w:r w:rsidR="005B7E6C">
        <w:t>os principales argumentos de TGI consignados en dicho recurso son los siguientes:</w:t>
      </w:r>
    </w:p>
    <w:p w:rsidR="003E0FF2" w:rsidRDefault="003E0FF2" w:rsidP="00956D63"/>
    <w:p w:rsidR="00B82F3A" w:rsidRPr="009E1A5B" w:rsidRDefault="00B82F3A" w:rsidP="00B82F3A">
      <w:pPr>
        <w:pStyle w:val="Ttulo3"/>
      </w:pPr>
      <w:r>
        <w:rPr>
          <w:lang w:eastAsia="es-CO"/>
        </w:rPr>
        <w:t>Aplicación del concepto de accesorio y principal</w:t>
      </w:r>
    </w:p>
    <w:p w:rsidR="00B82F3A" w:rsidRDefault="00B82F3A" w:rsidP="00B82F3A">
      <w:pPr>
        <w:rPr>
          <w:lang w:val="es-ES_tradnl"/>
        </w:rPr>
      </w:pPr>
    </w:p>
    <w:p w:rsidR="00B82F3A" w:rsidRDefault="00B82F3A" w:rsidP="00B82F3A">
      <w:pPr>
        <w:rPr>
          <w:lang w:val="es-ES_tradnl"/>
        </w:rPr>
      </w:pPr>
      <w:r>
        <w:rPr>
          <w:lang w:val="es-ES_tradnl"/>
        </w:rPr>
        <w:t>TGI señala:</w:t>
      </w:r>
    </w:p>
    <w:p w:rsidR="00B82F3A" w:rsidRPr="00A73476" w:rsidRDefault="00B82F3A" w:rsidP="00B82F3A">
      <w:pPr>
        <w:rPr>
          <w:sz w:val="22"/>
          <w:szCs w:val="22"/>
          <w:lang w:val="es-ES_tradnl"/>
        </w:rPr>
      </w:pPr>
    </w:p>
    <w:p w:rsidR="001E20DE" w:rsidRPr="00A73476" w:rsidRDefault="00B82F3A" w:rsidP="001E20DE">
      <w:pPr>
        <w:pStyle w:val="Citadestacada"/>
        <w:rPr>
          <w:sz w:val="22"/>
          <w:szCs w:val="22"/>
          <w:lang w:eastAsia="es-CO"/>
        </w:rPr>
      </w:pPr>
      <w:r w:rsidRPr="00A73476">
        <w:rPr>
          <w:sz w:val="22"/>
          <w:szCs w:val="22"/>
          <w:lang w:eastAsia="es-CO"/>
        </w:rPr>
        <w:t xml:space="preserve">“Al respecto, es necesario aclarar que el asumir este principio en la forma descrita por la Comisión, puede establecer una condición mediante la cual se afectan los periodos establecidos regulatoriamente para la recuperación de las inversiones realizadas por los transportadores bajo la figura de PNlt-1, IFPNlt-1 Y </w:t>
      </w:r>
      <w:proofErr w:type="spellStart"/>
      <w:r w:rsidRPr="00A73476">
        <w:rPr>
          <w:sz w:val="22"/>
          <w:szCs w:val="22"/>
          <w:lang w:eastAsia="es-CO"/>
        </w:rPr>
        <w:t>PNlt</w:t>
      </w:r>
      <w:proofErr w:type="spellEnd"/>
      <w:r w:rsidRPr="00A73476">
        <w:rPr>
          <w:sz w:val="22"/>
          <w:szCs w:val="22"/>
          <w:lang w:eastAsia="es-CO"/>
        </w:rPr>
        <w:t xml:space="preserve"> en aquellos casos en que el activo principal, como es de esperarse, preceda en el tiempo al activo considerado como accesorio. Esto se confirma al analizar lo establecido al respecto en la Resolución CREG 126 de 2010, art</w:t>
      </w:r>
      <w:r w:rsidR="001E20DE" w:rsidRPr="00A73476">
        <w:rPr>
          <w:sz w:val="22"/>
          <w:szCs w:val="22"/>
          <w:lang w:eastAsia="es-CO"/>
        </w:rPr>
        <w:t>.</w:t>
      </w:r>
      <w:r w:rsidRPr="00A73476">
        <w:rPr>
          <w:sz w:val="22"/>
          <w:szCs w:val="22"/>
          <w:lang w:eastAsia="es-CO"/>
        </w:rPr>
        <w:t xml:space="preserve"> 1 en cuanto a la definición de Vida Útil Normativa la cual establece: </w:t>
      </w:r>
    </w:p>
    <w:p w:rsidR="001E20DE" w:rsidRPr="00A73476" w:rsidRDefault="001E20DE" w:rsidP="001E20DE">
      <w:pPr>
        <w:pStyle w:val="Citadestacada"/>
        <w:rPr>
          <w:sz w:val="22"/>
          <w:szCs w:val="22"/>
          <w:lang w:eastAsia="es-CO"/>
        </w:rPr>
      </w:pPr>
    </w:p>
    <w:p w:rsidR="00B82F3A" w:rsidRPr="00A73476" w:rsidRDefault="00B82F3A" w:rsidP="001E20DE">
      <w:pPr>
        <w:pStyle w:val="Citadestacada"/>
        <w:rPr>
          <w:sz w:val="22"/>
          <w:szCs w:val="22"/>
          <w:lang w:eastAsia="es-CO"/>
        </w:rPr>
      </w:pPr>
      <w:r w:rsidRPr="00A73476">
        <w:rPr>
          <w:sz w:val="22"/>
          <w:szCs w:val="22"/>
          <w:lang w:eastAsia="es-CO"/>
        </w:rPr>
        <w:t xml:space="preserve">"Vida Útil Normativa: Es el período de 20 años, contado a partir de la fecha de entrada en operación de un activo, del cual dispone el transportador, de acuerdo con la regulación, para recuperar el valor eficiente de la inversión. Vencido este período se asumirá para todos los efectos que el valor eficiente de la inversión reconocida fue remunerado en su totalidad. Para el caso de los activos que forman parte del PNI </w:t>
      </w:r>
      <w:r w:rsidRPr="00A73476">
        <w:rPr>
          <w:rFonts w:ascii="Times New Roman" w:hAnsi="Times New Roman"/>
          <w:sz w:val="22"/>
          <w:szCs w:val="22"/>
          <w:lang w:eastAsia="es-CO"/>
        </w:rPr>
        <w:t xml:space="preserve">y </w:t>
      </w:r>
      <w:r w:rsidRPr="00A73476">
        <w:rPr>
          <w:sz w:val="22"/>
          <w:szCs w:val="22"/>
          <w:lang w:eastAsia="es-CO"/>
        </w:rPr>
        <w:t>de las IAC, este período se contará a partir de la entrada en vigencia de los cargos calculados con la presente metodología y que remuneren tales activos " (Subraya fuera de texto original).</w:t>
      </w:r>
    </w:p>
    <w:p w:rsidR="00B82F3A" w:rsidRPr="00A73476" w:rsidRDefault="00B82F3A" w:rsidP="00B82F3A">
      <w:pPr>
        <w:rPr>
          <w:sz w:val="22"/>
          <w:szCs w:val="22"/>
          <w:lang w:val="es-ES_tradnl" w:eastAsia="es-CO"/>
        </w:rPr>
      </w:pPr>
    </w:p>
    <w:p w:rsidR="00B82F3A" w:rsidRDefault="00B82F3A" w:rsidP="00DC001B">
      <w:pPr>
        <w:pStyle w:val="Citadestacada"/>
        <w:rPr>
          <w:sz w:val="22"/>
          <w:szCs w:val="22"/>
          <w:lang w:eastAsia="es-CO"/>
        </w:rPr>
      </w:pPr>
      <w:r w:rsidRPr="00A73476">
        <w:rPr>
          <w:sz w:val="22"/>
          <w:szCs w:val="22"/>
          <w:lang w:eastAsia="es-CO"/>
        </w:rPr>
        <w:t xml:space="preserve">Como se puede observar, la VUN fue definida por el mismo regulador para un periodo de 20 años los cuales garantizan y permiten la recuperación del valor eficiente de la inversión, lo cual implica que un periodo inferior a este </w:t>
      </w:r>
      <w:r w:rsidRPr="00A73476">
        <w:rPr>
          <w:sz w:val="22"/>
          <w:szCs w:val="22"/>
          <w:lang w:eastAsia="es-CO"/>
        </w:rPr>
        <w:lastRenderedPageBreak/>
        <w:t>no permitirá a la empresa dicha recuperación eficiente conllevando a que no se materializan los criterios que definen el régimen tarifario a los cuales hace alusión la ley 142 de 1994 en su artículo 87, de forma particular, a los principios de eficiencia económica y suficiencia financiera.</w:t>
      </w:r>
    </w:p>
    <w:p w:rsidR="00C83787" w:rsidRPr="00C83787" w:rsidRDefault="00C83787" w:rsidP="00C83787">
      <w:pPr>
        <w:rPr>
          <w:lang w:val="es-ES_tradnl" w:eastAsia="es-CO"/>
        </w:rPr>
      </w:pPr>
    </w:p>
    <w:p w:rsidR="00B82F3A" w:rsidRPr="00A73476" w:rsidRDefault="00B82F3A" w:rsidP="00B82F3A">
      <w:pPr>
        <w:pStyle w:val="Citadestacada"/>
        <w:rPr>
          <w:sz w:val="22"/>
          <w:szCs w:val="22"/>
          <w:lang w:eastAsia="es-CO"/>
        </w:rPr>
      </w:pPr>
      <w:r w:rsidRPr="00A73476">
        <w:rPr>
          <w:sz w:val="22"/>
          <w:szCs w:val="22"/>
          <w:lang w:eastAsia="es-CO"/>
        </w:rPr>
        <w:t>Bajo este contexto para el caso particular de las inversiones del PNI (al igual que las IAC) no tienen el carácter de accesorio por lo que la vida útil normativa es de 20 años los cuales se contarán desde la entrada en vigencia de los cargos.</w:t>
      </w:r>
    </w:p>
    <w:p w:rsidR="00B82F3A" w:rsidRPr="00A73476" w:rsidRDefault="00B82F3A" w:rsidP="00B82F3A">
      <w:pPr>
        <w:pStyle w:val="Citadestacada"/>
        <w:rPr>
          <w:sz w:val="22"/>
          <w:szCs w:val="22"/>
          <w:lang w:eastAsia="es-CO"/>
        </w:rPr>
      </w:pPr>
    </w:p>
    <w:p w:rsidR="00B82F3A" w:rsidRPr="00A73476" w:rsidRDefault="00B82F3A" w:rsidP="00B82F3A">
      <w:pPr>
        <w:pStyle w:val="Citadestacada"/>
        <w:rPr>
          <w:sz w:val="22"/>
          <w:szCs w:val="22"/>
          <w:lang w:eastAsia="es-CO"/>
        </w:rPr>
      </w:pPr>
      <w:r w:rsidRPr="00A73476">
        <w:rPr>
          <w:sz w:val="22"/>
          <w:szCs w:val="22"/>
          <w:lang w:eastAsia="es-CO"/>
        </w:rPr>
        <w:t>Ahora bien, es preciso mencionar que no obstante se considerara, pese a lo contradictorio que ello implica de conformidad a la definición de VUN, que las inversiones del PNI son accesorias, un periodo inferior a los 20 años no permitirá el reconocimiento eficiente de la inversión, independiente de que su clasificación sea principal o accesoria, ya que para aquellas inversiones PNI cuyos cargos entraron en vigencia años después de la fecha de entrada en operación del activo principal, no se realizaría el reconocimiento eficiente de la inversión conllevando a una grave afectación de los intereses de la empresa en la medida que no permite recuperar la inversión realizada por TGI S.A ESP.</w:t>
      </w:r>
    </w:p>
    <w:p w:rsidR="00B82F3A" w:rsidRPr="00A73476" w:rsidRDefault="00B82F3A" w:rsidP="00B82F3A">
      <w:pPr>
        <w:pStyle w:val="Citadestacada"/>
        <w:rPr>
          <w:sz w:val="22"/>
          <w:szCs w:val="22"/>
          <w:lang w:eastAsia="es-CO"/>
        </w:rPr>
      </w:pPr>
    </w:p>
    <w:p w:rsidR="00B82F3A" w:rsidRPr="00A73476" w:rsidRDefault="00B82F3A" w:rsidP="00B82F3A">
      <w:pPr>
        <w:pStyle w:val="Citadestacada"/>
        <w:rPr>
          <w:sz w:val="22"/>
          <w:szCs w:val="22"/>
          <w:lang w:eastAsia="es-CO"/>
        </w:rPr>
      </w:pPr>
      <w:r w:rsidRPr="00A73476">
        <w:rPr>
          <w:sz w:val="22"/>
          <w:szCs w:val="22"/>
          <w:lang w:eastAsia="es-CO"/>
        </w:rPr>
        <w:t>Algo similar ocurre para aquellas inversiones adelantadas como IFPNlt-1 que entraron en operación en años posteriores a la fecha de entrada en operación del ‘activo principal’, pues las IFPNlt-1 por su naturaleza y definición son ejecutadas después de la entrada en operación del activo principal, por lo que la vida útil de dicho activo principal se cumple antes del plazo en el cual se cumple la vida útil de aquel denominado accesorio, perdiendo con ello el inversionista la posibilidad de recuperar su inversión eficiente.</w:t>
      </w:r>
    </w:p>
    <w:p w:rsidR="00B82F3A" w:rsidRPr="00A73476" w:rsidRDefault="00B82F3A" w:rsidP="00B82F3A">
      <w:pPr>
        <w:pStyle w:val="Citadestacada"/>
        <w:rPr>
          <w:sz w:val="22"/>
          <w:szCs w:val="22"/>
          <w:lang w:eastAsia="es-CO"/>
        </w:rPr>
      </w:pPr>
    </w:p>
    <w:p w:rsidR="00B82F3A" w:rsidRPr="00A73476" w:rsidRDefault="00B82F3A" w:rsidP="00B82F3A">
      <w:pPr>
        <w:pStyle w:val="Citadestacada"/>
        <w:rPr>
          <w:sz w:val="22"/>
          <w:szCs w:val="22"/>
          <w:lang w:eastAsia="es-CO"/>
        </w:rPr>
      </w:pPr>
      <w:r w:rsidRPr="00A73476">
        <w:rPr>
          <w:sz w:val="22"/>
          <w:szCs w:val="22"/>
          <w:lang w:eastAsia="es-CO"/>
        </w:rPr>
        <w:t xml:space="preserve">Lo anterior se traduce en una reducción del plazo en el cual la empresa espera recuperar la totalidad de su inversión en consideración a lo establecido en la regulación vigente y con ello, se impide el total retorno de dichas inversiones al eliminar flujos de pago que el transportador espera se den a 20 años y no a plazos inferiores. Para analizar el anterior hecho, hemos estimado el ingreso esperado por TGI para las inversiones del PNlt-1, I FPNlt-1 y </w:t>
      </w:r>
      <w:proofErr w:type="spellStart"/>
      <w:r w:rsidRPr="00A73476">
        <w:rPr>
          <w:sz w:val="22"/>
          <w:szCs w:val="22"/>
          <w:lang w:eastAsia="es-CO"/>
        </w:rPr>
        <w:t>PNlt</w:t>
      </w:r>
      <w:proofErr w:type="spellEnd"/>
      <w:r w:rsidRPr="00A73476">
        <w:rPr>
          <w:sz w:val="22"/>
          <w:szCs w:val="22"/>
          <w:lang w:eastAsia="es-CO"/>
        </w:rPr>
        <w:t xml:space="preserve"> que han entrado en operación en los tramos Cusiana - </w:t>
      </w:r>
      <w:proofErr w:type="spellStart"/>
      <w:r w:rsidRPr="00A73476">
        <w:rPr>
          <w:sz w:val="22"/>
          <w:szCs w:val="22"/>
          <w:lang w:eastAsia="es-CO"/>
        </w:rPr>
        <w:t>Apiay</w:t>
      </w:r>
      <w:proofErr w:type="spellEnd"/>
      <w:r w:rsidRPr="00A73476">
        <w:rPr>
          <w:sz w:val="22"/>
          <w:szCs w:val="22"/>
          <w:lang w:eastAsia="es-CO"/>
        </w:rPr>
        <w:t xml:space="preserve">, </w:t>
      </w:r>
      <w:proofErr w:type="spellStart"/>
      <w:r w:rsidRPr="00A73476">
        <w:rPr>
          <w:sz w:val="22"/>
          <w:szCs w:val="22"/>
          <w:lang w:eastAsia="es-CO"/>
        </w:rPr>
        <w:t>Apiay</w:t>
      </w:r>
      <w:proofErr w:type="spellEnd"/>
      <w:r w:rsidRPr="00A73476">
        <w:rPr>
          <w:sz w:val="22"/>
          <w:szCs w:val="22"/>
          <w:lang w:eastAsia="es-CO"/>
        </w:rPr>
        <w:t xml:space="preserve">-Usme, </w:t>
      </w:r>
      <w:proofErr w:type="spellStart"/>
      <w:r w:rsidRPr="00A73476">
        <w:rPr>
          <w:sz w:val="22"/>
          <w:szCs w:val="22"/>
          <w:lang w:eastAsia="es-CO"/>
        </w:rPr>
        <w:t>Apiay</w:t>
      </w:r>
      <w:proofErr w:type="spellEnd"/>
      <w:r w:rsidRPr="00A73476">
        <w:rPr>
          <w:sz w:val="22"/>
          <w:szCs w:val="22"/>
          <w:lang w:eastAsia="es-CO"/>
        </w:rPr>
        <w:t>-Villavicencio-</w:t>
      </w:r>
      <w:proofErr w:type="spellStart"/>
      <w:r w:rsidRPr="00A73476">
        <w:rPr>
          <w:sz w:val="22"/>
          <w:szCs w:val="22"/>
          <w:lang w:eastAsia="es-CO"/>
        </w:rPr>
        <w:t>Ocoa</w:t>
      </w:r>
      <w:proofErr w:type="spellEnd"/>
      <w:r w:rsidRPr="00A73476">
        <w:rPr>
          <w:sz w:val="22"/>
          <w:szCs w:val="22"/>
          <w:lang w:eastAsia="es-CO"/>
        </w:rPr>
        <w:t>, Morichal-Yopal y la estampilla para los ramales desde el año 2004 hasta el 2017, observando que de aplicarse literalmente el principio esgrimido por la Comisión, para estos tramos, la empresa dejaría de percibir una remuneración por sus inversiones cercana a los tres millones de dólares.</w:t>
      </w:r>
    </w:p>
    <w:p w:rsidR="00B82F3A" w:rsidRPr="00A73476" w:rsidRDefault="00B82F3A" w:rsidP="00B82F3A">
      <w:pPr>
        <w:ind w:firstLine="708"/>
        <w:rPr>
          <w:sz w:val="22"/>
          <w:szCs w:val="22"/>
          <w:lang w:val="es-ES_tradnl"/>
        </w:rPr>
      </w:pPr>
    </w:p>
    <w:p w:rsidR="00B82F3A" w:rsidRPr="00A73476" w:rsidRDefault="00B82F3A" w:rsidP="00B82F3A">
      <w:pPr>
        <w:ind w:firstLine="708"/>
        <w:rPr>
          <w:sz w:val="22"/>
          <w:szCs w:val="22"/>
          <w:lang w:val="es-ES_tradnl"/>
        </w:rPr>
      </w:pPr>
      <w:r w:rsidRPr="00A73476">
        <w:rPr>
          <w:sz w:val="22"/>
          <w:szCs w:val="22"/>
          <w:lang w:val="es-ES_tradnl"/>
        </w:rPr>
        <w:t>(…)</w:t>
      </w:r>
    </w:p>
    <w:p w:rsidR="00B82F3A" w:rsidRPr="00A73476" w:rsidRDefault="00B82F3A" w:rsidP="00B82F3A">
      <w:pPr>
        <w:rPr>
          <w:sz w:val="22"/>
          <w:szCs w:val="22"/>
          <w:lang w:val="es-ES_tradnl"/>
        </w:rPr>
      </w:pPr>
    </w:p>
    <w:p w:rsidR="00B82F3A" w:rsidRPr="00A73476" w:rsidRDefault="00B82F3A" w:rsidP="00B82F3A">
      <w:pPr>
        <w:pStyle w:val="Citadestacada"/>
        <w:rPr>
          <w:sz w:val="22"/>
          <w:szCs w:val="22"/>
          <w:lang w:eastAsia="es-CO"/>
        </w:rPr>
      </w:pPr>
      <w:r w:rsidRPr="00A73476">
        <w:rPr>
          <w:sz w:val="22"/>
          <w:szCs w:val="22"/>
          <w:lang w:eastAsia="es-CO"/>
        </w:rPr>
        <w:t xml:space="preserve">Finalmente, es pertinente aclarar que el efecto de la interpretación y aplicación que ha dado la Comisión del principio </w:t>
      </w:r>
      <w:r w:rsidRPr="00A73476">
        <w:rPr>
          <w:i/>
          <w:iCs/>
          <w:sz w:val="22"/>
          <w:szCs w:val="22"/>
          <w:lang w:eastAsia="es-CO"/>
        </w:rPr>
        <w:t>"</w:t>
      </w:r>
      <w:proofErr w:type="spellStart"/>
      <w:r w:rsidRPr="00A73476">
        <w:rPr>
          <w:i/>
          <w:iCs/>
          <w:sz w:val="22"/>
          <w:szCs w:val="22"/>
          <w:lang w:eastAsia="es-CO"/>
        </w:rPr>
        <w:t>accesorium</w:t>
      </w:r>
      <w:proofErr w:type="spellEnd"/>
      <w:r w:rsidRPr="00A73476">
        <w:rPr>
          <w:i/>
          <w:iCs/>
          <w:sz w:val="22"/>
          <w:szCs w:val="22"/>
          <w:lang w:eastAsia="es-CO"/>
        </w:rPr>
        <w:t xml:space="preserve"> </w:t>
      </w:r>
      <w:proofErr w:type="spellStart"/>
      <w:r w:rsidRPr="00A73476">
        <w:rPr>
          <w:i/>
          <w:iCs/>
          <w:sz w:val="22"/>
          <w:szCs w:val="22"/>
          <w:lang w:eastAsia="es-CO"/>
        </w:rPr>
        <w:t>sequitur</w:t>
      </w:r>
      <w:proofErr w:type="spellEnd"/>
      <w:r w:rsidRPr="00A73476">
        <w:rPr>
          <w:i/>
          <w:iCs/>
          <w:sz w:val="22"/>
          <w:szCs w:val="22"/>
          <w:lang w:eastAsia="es-CO"/>
        </w:rPr>
        <w:t xml:space="preserve"> </w:t>
      </w:r>
      <w:proofErr w:type="spellStart"/>
      <w:r w:rsidRPr="00A73476">
        <w:rPr>
          <w:i/>
          <w:iCs/>
          <w:sz w:val="22"/>
          <w:szCs w:val="22"/>
          <w:lang w:eastAsia="es-CO"/>
        </w:rPr>
        <w:t>principale</w:t>
      </w:r>
      <w:proofErr w:type="spellEnd"/>
      <w:r w:rsidRPr="00A73476">
        <w:rPr>
          <w:i/>
          <w:iCs/>
          <w:sz w:val="22"/>
          <w:szCs w:val="22"/>
          <w:lang w:eastAsia="es-CO"/>
        </w:rPr>
        <w:t xml:space="preserve">" </w:t>
      </w:r>
      <w:r w:rsidRPr="00A73476">
        <w:rPr>
          <w:sz w:val="22"/>
          <w:szCs w:val="22"/>
          <w:lang w:eastAsia="es-CO"/>
        </w:rPr>
        <w:t xml:space="preserve">sobre la recuperación de las inversiones </w:t>
      </w:r>
      <w:proofErr w:type="spellStart"/>
      <w:r w:rsidRPr="00A73476">
        <w:rPr>
          <w:sz w:val="22"/>
          <w:szCs w:val="22"/>
          <w:lang w:eastAsia="es-CO"/>
        </w:rPr>
        <w:t>PNlt</w:t>
      </w:r>
      <w:proofErr w:type="spellEnd"/>
      <w:r w:rsidRPr="00A73476">
        <w:rPr>
          <w:sz w:val="22"/>
          <w:szCs w:val="22"/>
          <w:lang w:eastAsia="es-CO"/>
        </w:rPr>
        <w:t xml:space="preserve">, PNlt-1 e IFPNlt-1, solo se vislumbra a partir del análisis de los impactos sobre el valor final de los cargos aprobados por la Comisión en la Resolución objeto del presente recurso en desarrollo de la aplicación de los mismos en el proceso de reconocimiento de inversiones para activos que cumplen su VUN. </w:t>
      </w:r>
    </w:p>
    <w:p w:rsidR="00B82F3A" w:rsidRPr="00A73476" w:rsidRDefault="00B82F3A" w:rsidP="00B82F3A">
      <w:pPr>
        <w:pStyle w:val="Citadestacada"/>
        <w:rPr>
          <w:sz w:val="22"/>
          <w:szCs w:val="22"/>
          <w:lang w:eastAsia="es-CO"/>
        </w:rPr>
      </w:pPr>
    </w:p>
    <w:p w:rsidR="00B82F3A" w:rsidRPr="00A73476" w:rsidRDefault="00B82F3A" w:rsidP="00B82F3A">
      <w:pPr>
        <w:pStyle w:val="Citadestacada"/>
        <w:rPr>
          <w:sz w:val="22"/>
          <w:szCs w:val="22"/>
          <w:lang w:eastAsia="es-CO"/>
        </w:rPr>
      </w:pPr>
      <w:r w:rsidRPr="00A73476">
        <w:rPr>
          <w:sz w:val="22"/>
          <w:szCs w:val="22"/>
          <w:lang w:eastAsia="es-CO"/>
        </w:rPr>
        <w:t xml:space="preserve">La circunstancia expuesta, de hacerse efectiva con la implementación de lo establecido actualmente en la Resolución objeto del presente recurso, podría constituir una lesión injusta sobre los intereses de la empresa </w:t>
      </w:r>
      <w:r w:rsidRPr="00A73476">
        <w:rPr>
          <w:sz w:val="22"/>
          <w:szCs w:val="22"/>
          <w:lang w:eastAsia="es-CO"/>
        </w:rPr>
        <w:lastRenderedPageBreak/>
        <w:t xml:space="preserve">inversionista afectando incluso los intereses de los usuarios al derivar en una señal que obligue al transportador a que como agente racional reevalúe la factibilidad futura de adelantar inversiones </w:t>
      </w:r>
      <w:proofErr w:type="spellStart"/>
      <w:r w:rsidRPr="00A73476">
        <w:rPr>
          <w:sz w:val="22"/>
          <w:szCs w:val="22"/>
          <w:lang w:eastAsia="es-CO"/>
        </w:rPr>
        <w:t>PNlt</w:t>
      </w:r>
      <w:proofErr w:type="spellEnd"/>
      <w:r w:rsidRPr="00A73476">
        <w:rPr>
          <w:sz w:val="22"/>
          <w:szCs w:val="22"/>
          <w:lang w:eastAsia="es-CO"/>
        </w:rPr>
        <w:t>, PNlt-1 e IFPNlt-1, ante la certeza de que las mismas no serán remuneradas cabalmente.</w:t>
      </w:r>
    </w:p>
    <w:p w:rsidR="00B82F3A" w:rsidRPr="00A73476" w:rsidRDefault="00B82F3A" w:rsidP="00B82F3A">
      <w:pPr>
        <w:pStyle w:val="Citadestacada"/>
        <w:rPr>
          <w:sz w:val="22"/>
          <w:szCs w:val="22"/>
          <w:lang w:eastAsia="es-CO"/>
        </w:rPr>
      </w:pPr>
    </w:p>
    <w:p w:rsidR="00B82F3A" w:rsidRPr="00A73476" w:rsidRDefault="00B82F3A" w:rsidP="00B82F3A">
      <w:pPr>
        <w:pStyle w:val="Citadestacada"/>
        <w:rPr>
          <w:sz w:val="22"/>
          <w:szCs w:val="22"/>
          <w:lang w:eastAsia="es-CO"/>
        </w:rPr>
      </w:pPr>
      <w:r w:rsidRPr="00A73476">
        <w:rPr>
          <w:sz w:val="22"/>
          <w:szCs w:val="22"/>
          <w:lang w:eastAsia="es-CO"/>
        </w:rPr>
        <w:t xml:space="preserve">En adición a lo dicho llamamos la atención en cuanto a la aplicación del principio </w:t>
      </w:r>
      <w:r w:rsidRPr="00A73476">
        <w:rPr>
          <w:i/>
          <w:iCs/>
          <w:sz w:val="22"/>
          <w:szCs w:val="22"/>
          <w:lang w:eastAsia="es-CO"/>
        </w:rPr>
        <w:t>"</w:t>
      </w:r>
      <w:proofErr w:type="spellStart"/>
      <w:r w:rsidRPr="00A73476">
        <w:rPr>
          <w:i/>
          <w:iCs/>
          <w:sz w:val="22"/>
          <w:szCs w:val="22"/>
          <w:lang w:eastAsia="es-CO"/>
        </w:rPr>
        <w:t>accesorium</w:t>
      </w:r>
      <w:proofErr w:type="spellEnd"/>
      <w:r w:rsidRPr="00A73476">
        <w:rPr>
          <w:i/>
          <w:iCs/>
          <w:sz w:val="22"/>
          <w:szCs w:val="22"/>
          <w:lang w:eastAsia="es-CO"/>
        </w:rPr>
        <w:t xml:space="preserve"> </w:t>
      </w:r>
      <w:proofErr w:type="spellStart"/>
      <w:r w:rsidRPr="00A73476">
        <w:rPr>
          <w:i/>
          <w:iCs/>
          <w:sz w:val="22"/>
          <w:szCs w:val="22"/>
          <w:lang w:eastAsia="es-CO"/>
        </w:rPr>
        <w:t>sequitur</w:t>
      </w:r>
      <w:proofErr w:type="spellEnd"/>
      <w:r w:rsidRPr="00A73476">
        <w:rPr>
          <w:i/>
          <w:iCs/>
          <w:sz w:val="22"/>
          <w:szCs w:val="22"/>
          <w:lang w:eastAsia="es-CO"/>
        </w:rPr>
        <w:t xml:space="preserve"> </w:t>
      </w:r>
      <w:proofErr w:type="spellStart"/>
      <w:r w:rsidRPr="00A73476">
        <w:rPr>
          <w:i/>
          <w:iCs/>
          <w:sz w:val="22"/>
          <w:szCs w:val="22"/>
          <w:lang w:eastAsia="es-CO"/>
        </w:rPr>
        <w:t>principale</w:t>
      </w:r>
      <w:proofErr w:type="spellEnd"/>
      <w:r w:rsidRPr="00A73476">
        <w:rPr>
          <w:i/>
          <w:iCs/>
          <w:sz w:val="22"/>
          <w:szCs w:val="22"/>
          <w:lang w:eastAsia="es-CO"/>
        </w:rPr>
        <w:t xml:space="preserve">" </w:t>
      </w:r>
      <w:r w:rsidRPr="00A73476">
        <w:rPr>
          <w:sz w:val="22"/>
          <w:szCs w:val="22"/>
          <w:lang w:eastAsia="es-CO"/>
        </w:rPr>
        <w:t>toda vez, que existe norma expresa expedida por la Comisión, es decir, la Resolución CREG 126 de 2010 la cual aplica a la situación particular y que se pretende cambiar por un principio que es fuente secundaria, situación que genera una posible violación a los principios constitucionales, así como a la seguridad jurídica y a los criterios tarifarios de eficiencia económica y suficiencia financiera consagrados en la Ley 142 de 1994 para definir el régimen tarifario.</w:t>
      </w:r>
      <w:r w:rsidR="00A73476">
        <w:rPr>
          <w:sz w:val="22"/>
          <w:szCs w:val="22"/>
          <w:lang w:eastAsia="es-CO"/>
        </w:rPr>
        <w:t>”</w:t>
      </w:r>
    </w:p>
    <w:p w:rsidR="00294209" w:rsidRPr="00C83787" w:rsidRDefault="00294209" w:rsidP="00996C28">
      <w:pPr>
        <w:rPr>
          <w:sz w:val="32"/>
          <w:lang w:eastAsia="es-CO"/>
        </w:rPr>
      </w:pPr>
    </w:p>
    <w:p w:rsidR="003E0FF2" w:rsidRDefault="00451B2E" w:rsidP="00B518C3">
      <w:pPr>
        <w:pStyle w:val="Ttulo3"/>
      </w:pPr>
      <w:r>
        <w:t>Posible e</w:t>
      </w:r>
      <w:r w:rsidR="00A43A8F">
        <w:t xml:space="preserve">rror de transcripción, diámetro Ramal Zona Industrial </w:t>
      </w:r>
      <w:proofErr w:type="spellStart"/>
      <w:r w:rsidR="00A43A8F">
        <w:t>Cantagallo</w:t>
      </w:r>
      <w:proofErr w:type="spellEnd"/>
      <w:r w:rsidR="00A43A8F">
        <w:t xml:space="preserve"> – </w:t>
      </w:r>
      <w:proofErr w:type="spellStart"/>
      <w:r w:rsidR="00A43A8F">
        <w:t>Cantagallo</w:t>
      </w:r>
      <w:proofErr w:type="spellEnd"/>
      <w:r w:rsidR="00A43A8F">
        <w:t xml:space="preserve"> (Anexo 2. resolución CREG 261 de 2016)</w:t>
      </w:r>
    </w:p>
    <w:p w:rsidR="00A43A8F" w:rsidRDefault="00A43A8F" w:rsidP="00A43A8F">
      <w:pPr>
        <w:rPr>
          <w:lang w:val="es-ES_tradnl"/>
        </w:rPr>
      </w:pPr>
    </w:p>
    <w:p w:rsidR="00A43A8F" w:rsidRDefault="00A43A8F" w:rsidP="00A43A8F">
      <w:pPr>
        <w:rPr>
          <w:lang w:val="es-ES_tradnl"/>
        </w:rPr>
      </w:pPr>
      <w:r>
        <w:rPr>
          <w:lang w:val="es-ES_tradnl"/>
        </w:rPr>
        <w:t xml:space="preserve">En este aparte TGI incluye información </w:t>
      </w:r>
      <w:r w:rsidR="00294209">
        <w:rPr>
          <w:lang w:val="es-ES_tradnl"/>
        </w:rPr>
        <w:t xml:space="preserve">donde </w:t>
      </w:r>
      <w:r>
        <w:rPr>
          <w:lang w:val="es-ES_tradnl"/>
        </w:rPr>
        <w:t>señala que:</w:t>
      </w:r>
    </w:p>
    <w:p w:rsidR="00A43A8F" w:rsidRDefault="00A43A8F" w:rsidP="00A43A8F">
      <w:pPr>
        <w:rPr>
          <w:lang w:val="es-ES_tradnl"/>
        </w:rPr>
      </w:pPr>
    </w:p>
    <w:p w:rsidR="00A43A8F" w:rsidRPr="00A73476" w:rsidRDefault="00A43A8F" w:rsidP="00A43A8F">
      <w:pPr>
        <w:pStyle w:val="Citadestacada"/>
        <w:rPr>
          <w:sz w:val="22"/>
          <w:szCs w:val="22"/>
        </w:rPr>
      </w:pPr>
      <w:r w:rsidRPr="00A73476">
        <w:rPr>
          <w:sz w:val="22"/>
          <w:szCs w:val="22"/>
        </w:rPr>
        <w:t xml:space="preserve">“Dentro del anexo 2 de la Resolución CREG 261 de 2016, el cual reemplaza el anexo 4 de la Resolución CREG 110 de 2011, se verifica un error de transcripción relacionado con el diámetro del Ramal Z. </w:t>
      </w:r>
      <w:proofErr w:type="spellStart"/>
      <w:r w:rsidRPr="00A73476">
        <w:rPr>
          <w:sz w:val="22"/>
          <w:szCs w:val="22"/>
        </w:rPr>
        <w:t>Ind</w:t>
      </w:r>
      <w:proofErr w:type="spellEnd"/>
      <w:r w:rsidRPr="00A73476">
        <w:rPr>
          <w:sz w:val="22"/>
          <w:szCs w:val="22"/>
        </w:rPr>
        <w:t xml:space="preserve">. </w:t>
      </w:r>
      <w:proofErr w:type="spellStart"/>
      <w:r w:rsidRPr="00A73476">
        <w:rPr>
          <w:sz w:val="22"/>
          <w:szCs w:val="22"/>
        </w:rPr>
        <w:t>Cantagallo</w:t>
      </w:r>
      <w:proofErr w:type="spellEnd"/>
      <w:r w:rsidRPr="00A73476">
        <w:rPr>
          <w:sz w:val="22"/>
          <w:szCs w:val="22"/>
        </w:rPr>
        <w:t xml:space="preserve"> - </w:t>
      </w:r>
      <w:proofErr w:type="spellStart"/>
      <w:r w:rsidRPr="00A73476">
        <w:rPr>
          <w:sz w:val="22"/>
          <w:szCs w:val="22"/>
        </w:rPr>
        <w:t>Cantagallo</w:t>
      </w:r>
      <w:proofErr w:type="spellEnd"/>
      <w:r w:rsidRPr="00A73476">
        <w:rPr>
          <w:sz w:val="22"/>
          <w:szCs w:val="22"/>
        </w:rPr>
        <w:t>, al cual se asignan 6 pulgadas de manera errada puesto que debe ser de 4 pulgadas como corresponde a las características de este ramal”</w:t>
      </w:r>
      <w:r w:rsidR="00294209" w:rsidRPr="00A73476">
        <w:rPr>
          <w:sz w:val="22"/>
          <w:szCs w:val="22"/>
        </w:rPr>
        <w:t>.</w:t>
      </w:r>
      <w:r w:rsidRPr="00A73476">
        <w:rPr>
          <w:sz w:val="22"/>
          <w:szCs w:val="22"/>
        </w:rPr>
        <w:t xml:space="preserve"> </w:t>
      </w:r>
    </w:p>
    <w:p w:rsidR="00A43A8F" w:rsidRDefault="00A43A8F" w:rsidP="00A43A8F">
      <w:pPr>
        <w:rPr>
          <w:lang w:val="es-ES_tradnl"/>
        </w:rPr>
      </w:pPr>
    </w:p>
    <w:p w:rsidR="00A43A8F" w:rsidRDefault="00A43A8F" w:rsidP="00A43A8F">
      <w:pPr>
        <w:pStyle w:val="Citadestacada"/>
      </w:pPr>
    </w:p>
    <w:p w:rsidR="00A43A8F" w:rsidRDefault="00A43A8F" w:rsidP="00FE5DE7">
      <w:pPr>
        <w:pStyle w:val="Ttulo4"/>
        <w:jc w:val="both"/>
      </w:pPr>
      <w:r>
        <w:t>Información contrato enajenación de activos</w:t>
      </w:r>
    </w:p>
    <w:p w:rsidR="00A43A8F" w:rsidRDefault="00A43A8F" w:rsidP="00A43A8F">
      <w:pPr>
        <w:rPr>
          <w:lang w:val="es-ES_tradnl"/>
        </w:rPr>
      </w:pPr>
    </w:p>
    <w:p w:rsidR="00A43A8F" w:rsidRDefault="00A43A8F" w:rsidP="00A43A8F">
      <w:pPr>
        <w:rPr>
          <w:lang w:val="es-ES_tradnl"/>
        </w:rPr>
      </w:pPr>
      <w:r>
        <w:rPr>
          <w:lang w:val="es-ES_tradnl"/>
        </w:rPr>
        <w:t xml:space="preserve">TGI incluye en su argumentación información de referencia al contrato de enajenación de activos </w:t>
      </w:r>
      <w:r w:rsidR="00CC4D8C">
        <w:rPr>
          <w:lang w:val="es-ES_tradnl"/>
        </w:rPr>
        <w:t xml:space="preserve">de la extinta </w:t>
      </w:r>
      <w:proofErr w:type="spellStart"/>
      <w:r w:rsidR="00CC4D8C">
        <w:rPr>
          <w:lang w:val="es-ES_tradnl"/>
        </w:rPr>
        <w:t>Ecogas</w:t>
      </w:r>
      <w:proofErr w:type="spellEnd"/>
      <w:r w:rsidR="00CC4D8C">
        <w:rPr>
          <w:lang w:val="es-ES_tradnl"/>
        </w:rPr>
        <w:t xml:space="preserve"> </w:t>
      </w:r>
      <w:r>
        <w:rPr>
          <w:lang w:val="es-ES_tradnl"/>
        </w:rPr>
        <w:t>donde señala que:</w:t>
      </w:r>
    </w:p>
    <w:p w:rsidR="00A43A8F" w:rsidRPr="00A43A8F" w:rsidRDefault="00A43A8F" w:rsidP="00A43A8F">
      <w:pPr>
        <w:rPr>
          <w:lang w:val="es-ES_tradnl"/>
        </w:rPr>
      </w:pPr>
    </w:p>
    <w:p w:rsidR="00A43A8F" w:rsidRPr="00A73476" w:rsidRDefault="00AE5E1C" w:rsidP="00A43A8F">
      <w:pPr>
        <w:pStyle w:val="Citadestacada"/>
        <w:rPr>
          <w:sz w:val="22"/>
          <w:szCs w:val="22"/>
        </w:rPr>
      </w:pPr>
      <w:r w:rsidRPr="00A73476">
        <w:rPr>
          <w:sz w:val="22"/>
          <w:szCs w:val="22"/>
        </w:rPr>
        <w:t>“</w:t>
      </w:r>
      <w:r w:rsidR="00A43A8F" w:rsidRPr="00A73476">
        <w:rPr>
          <w:sz w:val="22"/>
          <w:szCs w:val="22"/>
        </w:rPr>
        <w:t>Contrato de Enajenación de los Activos, Cesión de los Derechos y Contratos de ECOGAS, Anexo 10.3, Tomo 4. En este documento se puede evidenciar que el activo entregado por ECOGAS a TGI tiene un diámetro de 4" como ha sido siempre informado por TGI a la Comisión. A continuación se presenta la imagen de la Tabla del Anexo citado, numeral 5 "Gasoductos Santander y Sur de Bolívar", pág. 22, tomo 4.</w:t>
      </w:r>
      <w:r w:rsidRPr="00A73476">
        <w:rPr>
          <w:sz w:val="22"/>
          <w:szCs w:val="22"/>
        </w:rPr>
        <w:t>”</w:t>
      </w:r>
      <w:r w:rsidR="00754005" w:rsidRPr="00A73476">
        <w:rPr>
          <w:sz w:val="22"/>
          <w:szCs w:val="22"/>
        </w:rPr>
        <w:t xml:space="preserve"> </w:t>
      </w:r>
    </w:p>
    <w:p w:rsidR="00CC4D8C" w:rsidRPr="00BC136E" w:rsidRDefault="00996C28" w:rsidP="00FE5DE7">
      <w:r w:rsidRPr="00A75E7E">
        <w:rPr>
          <w:noProof/>
          <w:lang w:val="es-CO" w:eastAsia="es-CO"/>
        </w:rPr>
        <w:lastRenderedPageBreak/>
        <w:drawing>
          <wp:inline distT="0" distB="0" distL="0" distR="0" wp14:anchorId="6AEBAF06" wp14:editId="1DFBCD62">
            <wp:extent cx="5781675" cy="3759695"/>
            <wp:effectExtent l="0" t="0" r="0" b="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789471" cy="3764765"/>
                    </a:xfrm>
                    <a:prstGeom prst="rect">
                      <a:avLst/>
                    </a:prstGeom>
                    <a:noFill/>
                    <a:ln>
                      <a:noFill/>
                    </a:ln>
                  </pic:spPr>
                </pic:pic>
              </a:graphicData>
            </a:graphic>
          </wp:inline>
        </w:drawing>
      </w:r>
    </w:p>
    <w:p w:rsidR="00A43A8F" w:rsidRDefault="00A43A8F" w:rsidP="00A43A8F">
      <w:pPr>
        <w:jc w:val="center"/>
        <w:rPr>
          <w:lang w:val="es-ES_tradnl"/>
        </w:rPr>
      </w:pPr>
    </w:p>
    <w:p w:rsidR="00FE5DE7" w:rsidRDefault="00FE5DE7" w:rsidP="00A43A8F">
      <w:pPr>
        <w:jc w:val="center"/>
        <w:rPr>
          <w:lang w:val="es-ES_tradnl"/>
        </w:rPr>
      </w:pPr>
    </w:p>
    <w:p w:rsidR="00A43A8F" w:rsidRDefault="00A43A8F" w:rsidP="00A43A8F">
      <w:pPr>
        <w:jc w:val="center"/>
        <w:rPr>
          <w:lang w:val="es-ES_tradnl"/>
        </w:rPr>
      </w:pPr>
    </w:p>
    <w:p w:rsidR="00A43A8F" w:rsidRDefault="00A43A8F" w:rsidP="000D0B78">
      <w:pPr>
        <w:pStyle w:val="Ttulo4"/>
        <w:jc w:val="both"/>
      </w:pPr>
      <w:r>
        <w:t>Información caracterización gasoductos</w:t>
      </w:r>
    </w:p>
    <w:p w:rsidR="00F71046" w:rsidRDefault="00F71046" w:rsidP="00A43A8F">
      <w:pPr>
        <w:rPr>
          <w:lang w:val="es-ES_tradnl"/>
        </w:rPr>
      </w:pPr>
    </w:p>
    <w:p w:rsidR="00A43A8F" w:rsidRDefault="00F71046" w:rsidP="00A43A8F">
      <w:pPr>
        <w:rPr>
          <w:lang w:val="es-ES_tradnl"/>
        </w:rPr>
      </w:pPr>
      <w:r>
        <w:rPr>
          <w:lang w:val="es-ES_tradnl"/>
        </w:rPr>
        <w:t>TGI incluye en su argumentación información de caracterización de los gasoductos dentro del proceso donde señala que:</w:t>
      </w:r>
    </w:p>
    <w:p w:rsidR="00A43A8F" w:rsidRDefault="00A43A8F" w:rsidP="00A43A8F">
      <w:pPr>
        <w:jc w:val="center"/>
        <w:rPr>
          <w:lang w:val="es-ES_tradnl"/>
        </w:rPr>
      </w:pPr>
    </w:p>
    <w:p w:rsidR="00A43A8F" w:rsidRPr="00A73476" w:rsidRDefault="00AE5E1C" w:rsidP="00A43A8F">
      <w:pPr>
        <w:pStyle w:val="Citadestacada"/>
        <w:rPr>
          <w:sz w:val="22"/>
          <w:szCs w:val="22"/>
          <w:lang w:eastAsia="es-CO"/>
        </w:rPr>
      </w:pPr>
      <w:r w:rsidRPr="00A73476">
        <w:rPr>
          <w:sz w:val="22"/>
          <w:szCs w:val="22"/>
          <w:lang w:eastAsia="es-CO"/>
        </w:rPr>
        <w:t>“</w:t>
      </w:r>
      <w:r w:rsidR="00A43A8F" w:rsidRPr="00A73476">
        <w:rPr>
          <w:sz w:val="22"/>
          <w:szCs w:val="22"/>
          <w:lang w:eastAsia="es-CO"/>
        </w:rPr>
        <w:t>Información entregada por TGI S.A. ESP a la Comisión mediante radicado TGI N. 003441 de fecha 21 de abril de 2014 dentro del presente procedimiento administrativo en desarrollo del arto 14</w:t>
      </w:r>
      <w:r w:rsidR="00CC4D8C" w:rsidRPr="00A73476">
        <w:rPr>
          <w:sz w:val="22"/>
          <w:szCs w:val="22"/>
          <w:lang w:eastAsia="es-CO"/>
        </w:rPr>
        <w:t xml:space="preserve"> </w:t>
      </w:r>
      <w:r w:rsidR="00A43A8F" w:rsidRPr="00A73476">
        <w:rPr>
          <w:sz w:val="22"/>
          <w:szCs w:val="22"/>
          <w:lang w:eastAsia="es-CO"/>
        </w:rPr>
        <w:t>de la Resolución CREG 126 de 2010. A través de CD la empresa reportó para este ramal la siguiente información</w:t>
      </w:r>
      <w:r w:rsidR="00754005" w:rsidRPr="00A73476">
        <w:rPr>
          <w:sz w:val="22"/>
          <w:szCs w:val="22"/>
          <w:lang w:eastAsia="es-CO"/>
        </w:rPr>
        <w:t>”.</w:t>
      </w:r>
    </w:p>
    <w:p w:rsidR="00DC001B" w:rsidRPr="00DC001B" w:rsidRDefault="00DC001B" w:rsidP="00DC001B">
      <w:pPr>
        <w:rPr>
          <w:lang w:val="es-ES_tradnl" w:eastAsia="es-CO"/>
        </w:rPr>
      </w:pPr>
    </w:p>
    <w:p w:rsidR="00A43A8F" w:rsidRDefault="00996C28" w:rsidP="00A43A8F">
      <w:pPr>
        <w:rPr>
          <w:lang w:val="es-ES_tradnl"/>
        </w:rPr>
      </w:pPr>
      <w:r>
        <w:rPr>
          <w:noProof/>
          <w:lang w:val="es-CO" w:eastAsia="es-CO"/>
        </w:rPr>
        <w:drawing>
          <wp:inline distT="0" distB="0" distL="0" distR="0" wp14:anchorId="74F2E0E0" wp14:editId="24A9EEBB">
            <wp:extent cx="5893671" cy="2428646"/>
            <wp:effectExtent l="0" t="0" r="0" b="0"/>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t="26199" r="24986" b="24346"/>
                    <a:stretch/>
                  </pic:blipFill>
                  <pic:spPr bwMode="auto">
                    <a:xfrm>
                      <a:off x="0" y="0"/>
                      <a:ext cx="5912780" cy="2436520"/>
                    </a:xfrm>
                    <a:prstGeom prst="rect">
                      <a:avLst/>
                    </a:prstGeom>
                    <a:ln>
                      <a:noFill/>
                    </a:ln>
                    <a:extLst>
                      <a:ext uri="{53640926-AAD7-44D8-BBD7-CCE9431645EC}">
                        <a14:shadowObscured xmlns:a14="http://schemas.microsoft.com/office/drawing/2010/main"/>
                      </a:ext>
                    </a:extLst>
                  </pic:spPr>
                </pic:pic>
              </a:graphicData>
            </a:graphic>
          </wp:inline>
        </w:drawing>
      </w:r>
    </w:p>
    <w:p w:rsidR="00DD6F91" w:rsidRDefault="00DD6F91" w:rsidP="00A43A8F">
      <w:pPr>
        <w:rPr>
          <w:lang w:val="es-ES_tradnl"/>
        </w:rPr>
      </w:pPr>
    </w:p>
    <w:p w:rsidR="00C83787" w:rsidRDefault="00C83787" w:rsidP="00A43A8F">
      <w:pPr>
        <w:rPr>
          <w:lang w:val="es-ES_tradnl"/>
        </w:rPr>
      </w:pPr>
    </w:p>
    <w:p w:rsidR="00A43A8F" w:rsidRPr="00A43A8F" w:rsidRDefault="009E1A5B" w:rsidP="00996C28">
      <w:pPr>
        <w:pStyle w:val="Ttulo4"/>
        <w:jc w:val="both"/>
      </w:pPr>
      <w:r>
        <w:lastRenderedPageBreak/>
        <w:t>Información de la valoración del perito</w:t>
      </w:r>
    </w:p>
    <w:p w:rsidR="008E6E83" w:rsidRDefault="008E6E83" w:rsidP="00956D63">
      <w:pPr>
        <w:rPr>
          <w:lang w:val="es-CO"/>
        </w:rPr>
      </w:pPr>
    </w:p>
    <w:p w:rsidR="00F71046" w:rsidRDefault="00F71046" w:rsidP="00F71046">
      <w:pPr>
        <w:rPr>
          <w:lang w:val="es-ES_tradnl"/>
        </w:rPr>
      </w:pPr>
      <w:r>
        <w:rPr>
          <w:lang w:val="es-ES_tradnl"/>
        </w:rPr>
        <w:t>TGI incluye en su argumentación información de referencia a la valoración del perito donde señala que:</w:t>
      </w:r>
    </w:p>
    <w:p w:rsidR="009E1A5B" w:rsidRPr="00F71046" w:rsidRDefault="009E1A5B" w:rsidP="00956D63">
      <w:pPr>
        <w:rPr>
          <w:lang w:val="es-ES_tradnl"/>
        </w:rPr>
      </w:pPr>
    </w:p>
    <w:p w:rsidR="00A43A8F" w:rsidRPr="00A73476" w:rsidRDefault="00AE5E1C" w:rsidP="00A43A8F">
      <w:pPr>
        <w:pStyle w:val="Citadestacada"/>
        <w:rPr>
          <w:sz w:val="22"/>
          <w:szCs w:val="22"/>
          <w:lang w:val="es-CO" w:eastAsia="es-CO"/>
        </w:rPr>
      </w:pPr>
      <w:r w:rsidRPr="00A73476">
        <w:rPr>
          <w:sz w:val="22"/>
          <w:szCs w:val="22"/>
          <w:lang w:eastAsia="es-CO"/>
        </w:rPr>
        <w:t>“</w:t>
      </w:r>
      <w:r w:rsidR="00A43A8F" w:rsidRPr="00A73476">
        <w:rPr>
          <w:sz w:val="22"/>
          <w:szCs w:val="22"/>
          <w:lang w:eastAsia="es-CO"/>
        </w:rPr>
        <w:t xml:space="preserve">Informe Pericial de la Resolución CREG 109 de 2013: </w:t>
      </w:r>
      <w:r w:rsidR="00A43A8F" w:rsidRPr="00A73476">
        <w:rPr>
          <w:i/>
          <w:iCs/>
          <w:sz w:val="22"/>
          <w:szCs w:val="22"/>
          <w:lang w:eastAsia="es-CO"/>
        </w:rPr>
        <w:t xml:space="preserve">"Total </w:t>
      </w:r>
      <w:proofErr w:type="spellStart"/>
      <w:r w:rsidR="00A43A8F" w:rsidRPr="00A73476">
        <w:rPr>
          <w:i/>
          <w:iCs/>
          <w:sz w:val="22"/>
          <w:szCs w:val="22"/>
          <w:lang w:eastAsia="es-CO"/>
        </w:rPr>
        <w:t>Installed</w:t>
      </w:r>
      <w:proofErr w:type="spellEnd"/>
      <w:r w:rsidR="00A43A8F" w:rsidRPr="00A73476">
        <w:rPr>
          <w:i/>
          <w:iCs/>
          <w:sz w:val="22"/>
          <w:szCs w:val="22"/>
          <w:lang w:eastAsia="es-CO"/>
        </w:rPr>
        <w:t xml:space="preserve"> </w:t>
      </w:r>
      <w:proofErr w:type="spellStart"/>
      <w:r w:rsidR="00A43A8F" w:rsidRPr="00A73476">
        <w:rPr>
          <w:i/>
          <w:iCs/>
          <w:sz w:val="22"/>
          <w:szCs w:val="22"/>
          <w:lang w:eastAsia="es-CO"/>
        </w:rPr>
        <w:t>Cost</w:t>
      </w:r>
      <w:proofErr w:type="spellEnd"/>
      <w:r w:rsidR="00A43A8F" w:rsidRPr="00A73476">
        <w:rPr>
          <w:i/>
          <w:iCs/>
          <w:sz w:val="22"/>
          <w:szCs w:val="22"/>
          <w:lang w:eastAsia="es-CO"/>
        </w:rPr>
        <w:t xml:space="preserve"> </w:t>
      </w:r>
      <w:proofErr w:type="spellStart"/>
      <w:r w:rsidR="00A43A8F" w:rsidRPr="00A73476">
        <w:rPr>
          <w:i/>
          <w:iCs/>
          <w:sz w:val="22"/>
          <w:szCs w:val="22"/>
          <w:lang w:val="es-CO" w:eastAsia="es-CO"/>
        </w:rPr>
        <w:t>Assessment</w:t>
      </w:r>
      <w:proofErr w:type="spellEnd"/>
      <w:r w:rsidR="00A43A8F" w:rsidRPr="00A73476">
        <w:rPr>
          <w:i/>
          <w:iCs/>
          <w:sz w:val="22"/>
          <w:szCs w:val="22"/>
          <w:lang w:val="es-CO" w:eastAsia="es-CO"/>
        </w:rPr>
        <w:t xml:space="preserve"> of </w:t>
      </w:r>
      <w:proofErr w:type="spellStart"/>
      <w:r w:rsidR="00A43A8F" w:rsidRPr="00A73476">
        <w:rPr>
          <w:i/>
          <w:iCs/>
          <w:sz w:val="22"/>
          <w:szCs w:val="22"/>
          <w:lang w:val="es-CO" w:eastAsia="es-CO"/>
        </w:rPr>
        <w:t>Twenty-Six</w:t>
      </w:r>
      <w:proofErr w:type="spellEnd"/>
      <w:r w:rsidR="00A43A8F" w:rsidRPr="00A73476">
        <w:rPr>
          <w:i/>
          <w:iCs/>
          <w:sz w:val="22"/>
          <w:szCs w:val="22"/>
          <w:lang w:val="es-CO" w:eastAsia="es-CO"/>
        </w:rPr>
        <w:t xml:space="preserve"> </w:t>
      </w:r>
      <w:r w:rsidR="00A43A8F" w:rsidRPr="00A73476">
        <w:rPr>
          <w:rFonts w:ascii="Times New Roman" w:hAnsi="Times New Roman"/>
          <w:sz w:val="22"/>
          <w:szCs w:val="22"/>
          <w:lang w:val="es-CO" w:eastAsia="es-CO"/>
        </w:rPr>
        <w:t xml:space="preserve">(26) </w:t>
      </w:r>
      <w:r w:rsidR="00A43A8F" w:rsidRPr="00A73476">
        <w:rPr>
          <w:i/>
          <w:iCs/>
          <w:sz w:val="22"/>
          <w:szCs w:val="22"/>
          <w:lang w:val="es-CO" w:eastAsia="es-CO"/>
        </w:rPr>
        <w:t xml:space="preserve">Natural </w:t>
      </w:r>
      <w:r w:rsidR="00A43A8F" w:rsidRPr="00A73476">
        <w:rPr>
          <w:sz w:val="22"/>
          <w:szCs w:val="22"/>
          <w:lang w:val="es-CO" w:eastAsia="es-CO"/>
        </w:rPr>
        <w:t xml:space="preserve">Gas </w:t>
      </w:r>
      <w:r w:rsidR="00A43A8F" w:rsidRPr="00A73476">
        <w:rPr>
          <w:i/>
          <w:iCs/>
          <w:sz w:val="22"/>
          <w:szCs w:val="22"/>
          <w:lang w:val="es-CO" w:eastAsia="es-CO"/>
        </w:rPr>
        <w:t xml:space="preserve">Pipelines'. </w:t>
      </w:r>
      <w:r w:rsidR="00A43A8F" w:rsidRPr="00A73476">
        <w:rPr>
          <w:sz w:val="22"/>
          <w:szCs w:val="22"/>
          <w:lang w:eastAsia="es-CO"/>
        </w:rPr>
        <w:t xml:space="preserve">Este informe fue adelantado por Frank Gregory </w:t>
      </w:r>
      <w:proofErr w:type="spellStart"/>
      <w:r w:rsidR="00A43A8F" w:rsidRPr="00A73476">
        <w:rPr>
          <w:sz w:val="22"/>
          <w:szCs w:val="22"/>
          <w:lang w:eastAsia="es-CO"/>
        </w:rPr>
        <w:t>Lamberson</w:t>
      </w:r>
      <w:proofErr w:type="spellEnd"/>
      <w:r w:rsidR="00A43A8F" w:rsidRPr="00A73476">
        <w:rPr>
          <w:sz w:val="22"/>
          <w:szCs w:val="22"/>
          <w:lang w:eastAsia="es-CO"/>
        </w:rPr>
        <w:t xml:space="preserve"> para la valoración de los gasoductos objeto de estudio conforme al procedimiento establecido en el artículo 14 de la Resolución CREG 126 de 2010, a partir del cual se verifica que la valoración realizada para este activo se hizo atendiendo a un diámetro de 4 pulgadas tal y como puede ser verificado en la siguiente tabla contenida en dicho informe </w:t>
      </w:r>
      <w:r w:rsidR="00A43A8F" w:rsidRPr="00A73476">
        <w:rPr>
          <w:sz w:val="22"/>
          <w:szCs w:val="22"/>
          <w:lang w:val="es-CO" w:eastAsia="es-CO"/>
        </w:rPr>
        <w:t xml:space="preserve">(APPENDIX E2 - </w:t>
      </w:r>
      <w:proofErr w:type="spellStart"/>
      <w:r w:rsidR="00A43A8F" w:rsidRPr="00A73476">
        <w:rPr>
          <w:sz w:val="22"/>
          <w:szCs w:val="22"/>
          <w:lang w:val="es-CO" w:eastAsia="es-CO"/>
        </w:rPr>
        <w:t>Summary</w:t>
      </w:r>
      <w:proofErr w:type="spellEnd"/>
      <w:r w:rsidR="00A43A8F" w:rsidRPr="00A73476">
        <w:rPr>
          <w:sz w:val="22"/>
          <w:szCs w:val="22"/>
          <w:lang w:val="es-CO" w:eastAsia="es-CO"/>
        </w:rPr>
        <w:t xml:space="preserve"> </w:t>
      </w:r>
      <w:proofErr w:type="spellStart"/>
      <w:r w:rsidR="00A43A8F" w:rsidRPr="00A73476">
        <w:rPr>
          <w:sz w:val="22"/>
          <w:szCs w:val="22"/>
          <w:lang w:val="es-CO" w:eastAsia="es-CO"/>
        </w:rPr>
        <w:t>Sheet</w:t>
      </w:r>
      <w:proofErr w:type="spellEnd"/>
      <w:r w:rsidR="00A43A8F" w:rsidRPr="00A73476">
        <w:rPr>
          <w:sz w:val="22"/>
          <w:szCs w:val="22"/>
          <w:lang w:val="es-CO" w:eastAsia="es-CO"/>
        </w:rPr>
        <w:t xml:space="preserve"> </w:t>
      </w:r>
      <w:proofErr w:type="spellStart"/>
      <w:r w:rsidR="00A43A8F" w:rsidRPr="00A73476">
        <w:rPr>
          <w:sz w:val="22"/>
          <w:szCs w:val="22"/>
          <w:lang w:val="es-CO" w:eastAsia="es-CO"/>
        </w:rPr>
        <w:t>for</w:t>
      </w:r>
      <w:proofErr w:type="spellEnd"/>
      <w:r w:rsidR="00A43A8F" w:rsidRPr="00A73476">
        <w:rPr>
          <w:sz w:val="22"/>
          <w:szCs w:val="22"/>
          <w:lang w:val="es-CO" w:eastAsia="es-CO"/>
        </w:rPr>
        <w:t xml:space="preserve"> Pipelines </w:t>
      </w:r>
      <w:r w:rsidR="00A43A8F" w:rsidRPr="00A73476">
        <w:rPr>
          <w:rFonts w:ascii="Times New Roman" w:hAnsi="Times New Roman"/>
          <w:sz w:val="22"/>
          <w:szCs w:val="22"/>
          <w:lang w:val="es-CO" w:eastAsia="es-CO"/>
        </w:rPr>
        <w:t xml:space="preserve">3,4 </w:t>
      </w:r>
      <w:r w:rsidR="00A43A8F" w:rsidRPr="00A73476">
        <w:rPr>
          <w:sz w:val="22"/>
          <w:szCs w:val="22"/>
          <w:lang w:val="es-CO" w:eastAsia="es-CO"/>
        </w:rPr>
        <w:t>and 5, pago 44):</w:t>
      </w:r>
      <w:r w:rsidRPr="00A73476">
        <w:rPr>
          <w:sz w:val="22"/>
          <w:szCs w:val="22"/>
          <w:lang w:val="es-CO" w:eastAsia="es-CO"/>
        </w:rPr>
        <w:t>”</w:t>
      </w:r>
    </w:p>
    <w:p w:rsidR="00DC001B" w:rsidRDefault="00DC001B" w:rsidP="00DC001B">
      <w:pPr>
        <w:rPr>
          <w:lang w:val="es-CO" w:eastAsia="es-CO"/>
        </w:rPr>
      </w:pPr>
    </w:p>
    <w:p w:rsidR="00C83787" w:rsidRPr="00DC001B" w:rsidRDefault="00C83787" w:rsidP="00DC001B">
      <w:pPr>
        <w:rPr>
          <w:lang w:val="es-CO" w:eastAsia="es-CO"/>
        </w:rPr>
      </w:pPr>
    </w:p>
    <w:p w:rsidR="00A43A8F" w:rsidRDefault="00996C28" w:rsidP="00956D63">
      <w:pPr>
        <w:rPr>
          <w:lang w:val="es-CO"/>
        </w:rPr>
      </w:pPr>
      <w:r w:rsidRPr="00FB5487">
        <w:rPr>
          <w:noProof/>
          <w:lang w:val="es-CO" w:eastAsia="es-CO"/>
        </w:rPr>
        <w:drawing>
          <wp:inline distT="0" distB="0" distL="0" distR="0" wp14:anchorId="46A1B5AC" wp14:editId="713149AA">
            <wp:extent cx="5941060" cy="1627505"/>
            <wp:effectExtent l="0" t="0" r="2540" b="0"/>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41060" cy="1627505"/>
                    </a:xfrm>
                    <a:prstGeom prst="rect">
                      <a:avLst/>
                    </a:prstGeom>
                    <a:noFill/>
                    <a:ln>
                      <a:noFill/>
                    </a:ln>
                  </pic:spPr>
                </pic:pic>
              </a:graphicData>
            </a:graphic>
          </wp:inline>
        </w:drawing>
      </w:r>
    </w:p>
    <w:p w:rsidR="009E1A5B" w:rsidRDefault="009E1A5B" w:rsidP="00956D63">
      <w:pPr>
        <w:rPr>
          <w:lang w:val="es-CO"/>
        </w:rPr>
      </w:pPr>
    </w:p>
    <w:p w:rsidR="00C83787" w:rsidRDefault="00C83787" w:rsidP="00956D63">
      <w:pPr>
        <w:rPr>
          <w:lang w:val="es-CO"/>
        </w:rPr>
      </w:pPr>
    </w:p>
    <w:p w:rsidR="009E1A5B" w:rsidRDefault="009E1A5B" w:rsidP="00996C28">
      <w:pPr>
        <w:pStyle w:val="Ttulo4"/>
        <w:jc w:val="both"/>
      </w:pPr>
      <w:r>
        <w:t xml:space="preserve">Tabla de diámetros de la Resolución </w:t>
      </w:r>
      <w:r w:rsidR="00F71046">
        <w:t xml:space="preserve">CREG </w:t>
      </w:r>
      <w:r>
        <w:t>105 de 2014</w:t>
      </w:r>
    </w:p>
    <w:p w:rsidR="009E1A5B" w:rsidRDefault="009E1A5B" w:rsidP="00956D63">
      <w:pPr>
        <w:rPr>
          <w:lang w:val="es-CO"/>
        </w:rPr>
      </w:pPr>
    </w:p>
    <w:p w:rsidR="00F71046" w:rsidRDefault="00F71046" w:rsidP="00F71046">
      <w:pPr>
        <w:rPr>
          <w:lang w:val="es-ES_tradnl"/>
        </w:rPr>
      </w:pPr>
      <w:r>
        <w:rPr>
          <w:lang w:val="es-ES_tradnl"/>
        </w:rPr>
        <w:t xml:space="preserve">TGI incluye en su argumentación </w:t>
      </w:r>
      <w:r w:rsidR="00DD6F91">
        <w:rPr>
          <w:lang w:val="es-ES_tradnl"/>
        </w:rPr>
        <w:t>la</w:t>
      </w:r>
      <w:r>
        <w:rPr>
          <w:lang w:val="es-ES_tradnl"/>
        </w:rPr>
        <w:t xml:space="preserve"> </w:t>
      </w:r>
      <w:r w:rsidRPr="00F71046">
        <w:rPr>
          <w:lang w:val="es-ES_tradnl"/>
        </w:rPr>
        <w:t>Tabla de diámetros de la Resolución CREG 105 de 2014</w:t>
      </w:r>
      <w:r>
        <w:rPr>
          <w:lang w:val="es-ES_tradnl"/>
        </w:rPr>
        <w:t xml:space="preserve"> donde señala que:</w:t>
      </w:r>
    </w:p>
    <w:p w:rsidR="009E1A5B" w:rsidRDefault="009E1A5B" w:rsidP="00956D63">
      <w:pPr>
        <w:rPr>
          <w:lang w:val="es-ES_tradnl"/>
        </w:rPr>
      </w:pPr>
    </w:p>
    <w:p w:rsidR="00AE5E1C" w:rsidRPr="00A73476" w:rsidRDefault="00A73476" w:rsidP="00AE5E1C">
      <w:pPr>
        <w:pStyle w:val="Citadestacada"/>
        <w:rPr>
          <w:sz w:val="22"/>
          <w:szCs w:val="22"/>
          <w:lang w:eastAsia="es-CO"/>
        </w:rPr>
      </w:pPr>
      <w:r>
        <w:rPr>
          <w:sz w:val="22"/>
          <w:szCs w:val="22"/>
          <w:lang w:eastAsia="es-CO"/>
        </w:rPr>
        <w:t>“</w:t>
      </w:r>
      <w:r w:rsidR="00AE5E1C" w:rsidRPr="00A73476">
        <w:rPr>
          <w:sz w:val="22"/>
          <w:szCs w:val="22"/>
          <w:lang w:eastAsia="es-CO"/>
        </w:rPr>
        <w:t>Resolución CREG 105 de 2014, Anexo 2. En este acto a través del cual la Comisión realizó la designación del perito dentro de las actuaciones adelantada</w:t>
      </w:r>
      <w:r w:rsidR="00DD6F91" w:rsidRPr="00A73476">
        <w:rPr>
          <w:sz w:val="22"/>
          <w:szCs w:val="22"/>
          <w:lang w:eastAsia="es-CO"/>
        </w:rPr>
        <w:t xml:space="preserve">s para las empresas </w:t>
      </w:r>
      <w:proofErr w:type="spellStart"/>
      <w:r w:rsidR="00DD6F91" w:rsidRPr="00A73476">
        <w:rPr>
          <w:sz w:val="22"/>
          <w:szCs w:val="22"/>
          <w:lang w:eastAsia="es-CO"/>
        </w:rPr>
        <w:t>Promigas</w:t>
      </w:r>
      <w:proofErr w:type="spellEnd"/>
      <w:r w:rsidR="00DD6F91" w:rsidRPr="00A73476">
        <w:rPr>
          <w:sz w:val="22"/>
          <w:szCs w:val="22"/>
          <w:lang w:eastAsia="es-CO"/>
        </w:rPr>
        <w:t xml:space="preserve"> SA.</w:t>
      </w:r>
      <w:r w:rsidR="00AE5E1C" w:rsidRPr="00A73476">
        <w:rPr>
          <w:sz w:val="22"/>
          <w:szCs w:val="22"/>
          <w:lang w:eastAsia="es-CO"/>
        </w:rPr>
        <w:t xml:space="preserve"> ESP, </w:t>
      </w:r>
      <w:proofErr w:type="spellStart"/>
      <w:r w:rsidR="00AE5E1C" w:rsidRPr="00A73476">
        <w:rPr>
          <w:sz w:val="22"/>
          <w:szCs w:val="22"/>
          <w:lang w:eastAsia="es-CO"/>
        </w:rPr>
        <w:t>Promioriente</w:t>
      </w:r>
      <w:proofErr w:type="spellEnd"/>
      <w:r w:rsidR="00AE5E1C" w:rsidRPr="00A73476">
        <w:rPr>
          <w:sz w:val="22"/>
          <w:szCs w:val="22"/>
          <w:lang w:eastAsia="es-CO"/>
        </w:rPr>
        <w:t xml:space="preserve"> S.A. ESP y TGI S.A.ESP se puede observar lo siguiente:</w:t>
      </w:r>
    </w:p>
    <w:p w:rsidR="00CC4D8C" w:rsidRPr="00996C28" w:rsidRDefault="00CC4D8C" w:rsidP="00996C28">
      <w:pPr>
        <w:rPr>
          <w:lang w:eastAsia="es-CO"/>
        </w:rPr>
      </w:pPr>
    </w:p>
    <w:p w:rsidR="009E1A5B" w:rsidRDefault="00996C28" w:rsidP="009E1A5B">
      <w:pPr>
        <w:jc w:val="center"/>
        <w:rPr>
          <w:lang w:val="es-CO"/>
        </w:rPr>
      </w:pPr>
      <w:r>
        <w:rPr>
          <w:noProof/>
          <w:lang w:val="es-CO" w:eastAsia="es-CO"/>
        </w:rPr>
        <w:lastRenderedPageBreak/>
        <w:drawing>
          <wp:inline distT="0" distB="0" distL="0" distR="0" wp14:anchorId="41C59D39" wp14:editId="552D71BE">
            <wp:extent cx="5205025" cy="3605193"/>
            <wp:effectExtent l="0" t="0" r="0" b="0"/>
            <wp:docPr id="22"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a:srcRect l="23095" t="17998" r="10359" b="8261"/>
                    <a:stretch/>
                  </pic:blipFill>
                  <pic:spPr bwMode="auto">
                    <a:xfrm>
                      <a:off x="0" y="0"/>
                      <a:ext cx="5216836" cy="3613374"/>
                    </a:xfrm>
                    <a:prstGeom prst="rect">
                      <a:avLst/>
                    </a:prstGeom>
                    <a:ln>
                      <a:noFill/>
                    </a:ln>
                    <a:extLst>
                      <a:ext uri="{53640926-AAD7-44D8-BBD7-CCE9431645EC}">
                        <a14:shadowObscured xmlns:a14="http://schemas.microsoft.com/office/drawing/2010/main"/>
                      </a:ext>
                    </a:extLst>
                  </pic:spPr>
                </pic:pic>
              </a:graphicData>
            </a:graphic>
          </wp:inline>
        </w:drawing>
      </w:r>
    </w:p>
    <w:p w:rsidR="009E1A5B" w:rsidRDefault="009E1A5B" w:rsidP="009E1A5B">
      <w:pPr>
        <w:jc w:val="center"/>
        <w:rPr>
          <w:lang w:val="es-CO"/>
        </w:rPr>
      </w:pPr>
    </w:p>
    <w:p w:rsidR="009E1A5B" w:rsidRDefault="009E1A5B" w:rsidP="009E1A5B">
      <w:pPr>
        <w:jc w:val="center"/>
        <w:rPr>
          <w:lang w:val="es-CO"/>
        </w:rPr>
      </w:pPr>
    </w:p>
    <w:p w:rsidR="009E1A5B" w:rsidRDefault="009E1A5B" w:rsidP="002A2128">
      <w:pPr>
        <w:pStyle w:val="Ttulo4"/>
        <w:jc w:val="both"/>
      </w:pPr>
      <w:r>
        <w:t>Tabla de valores a retirar de la resolución CREG 261 de 2016</w:t>
      </w:r>
    </w:p>
    <w:p w:rsidR="009E1A5B" w:rsidRDefault="009E1A5B" w:rsidP="009E1A5B">
      <w:pPr>
        <w:rPr>
          <w:lang w:val="es-ES_tradnl"/>
        </w:rPr>
      </w:pPr>
    </w:p>
    <w:p w:rsidR="00F71046" w:rsidRDefault="00F71046" w:rsidP="00F71046">
      <w:pPr>
        <w:rPr>
          <w:lang w:val="es-ES_tradnl"/>
        </w:rPr>
      </w:pPr>
      <w:r>
        <w:rPr>
          <w:lang w:val="es-ES_tradnl"/>
        </w:rPr>
        <w:t xml:space="preserve">TGI incluye en su argumentación información </w:t>
      </w:r>
      <w:r w:rsidR="00C30B85">
        <w:rPr>
          <w:lang w:val="es-ES_tradnl"/>
        </w:rPr>
        <w:t>la</w:t>
      </w:r>
      <w:r>
        <w:rPr>
          <w:lang w:val="es-ES_tradnl"/>
        </w:rPr>
        <w:t xml:space="preserve"> </w:t>
      </w:r>
      <w:r w:rsidRPr="00F71046">
        <w:rPr>
          <w:lang w:val="es-ES_tradnl"/>
        </w:rPr>
        <w:t xml:space="preserve">Tabla </w:t>
      </w:r>
      <w:r w:rsidR="00C30B85">
        <w:rPr>
          <w:lang w:val="es-ES_tradnl"/>
        </w:rPr>
        <w:t xml:space="preserve">1 </w:t>
      </w:r>
      <w:r w:rsidRPr="00F71046">
        <w:rPr>
          <w:lang w:val="es-ES_tradnl"/>
        </w:rPr>
        <w:t xml:space="preserve">de </w:t>
      </w:r>
      <w:r>
        <w:rPr>
          <w:lang w:val="es-ES_tradnl"/>
        </w:rPr>
        <w:t xml:space="preserve">valores a retirar </w:t>
      </w:r>
      <w:r w:rsidRPr="00F71046">
        <w:rPr>
          <w:lang w:val="es-ES_tradnl"/>
        </w:rPr>
        <w:t xml:space="preserve">de la Resolución CREG </w:t>
      </w:r>
      <w:r>
        <w:rPr>
          <w:lang w:val="es-ES_tradnl"/>
        </w:rPr>
        <w:t>261 de 2016 donde señala que:</w:t>
      </w:r>
    </w:p>
    <w:p w:rsidR="00F71046" w:rsidRDefault="00F71046" w:rsidP="009E1A5B">
      <w:pPr>
        <w:rPr>
          <w:lang w:val="es-ES_tradnl"/>
        </w:rPr>
      </w:pPr>
    </w:p>
    <w:p w:rsidR="009E1A5B" w:rsidRDefault="00996C28" w:rsidP="009E1A5B">
      <w:pPr>
        <w:rPr>
          <w:lang w:val="es-ES_tradnl"/>
        </w:rPr>
      </w:pPr>
      <w:r>
        <w:rPr>
          <w:noProof/>
          <w:lang w:val="es-CO" w:eastAsia="es-CO"/>
        </w:rPr>
        <w:drawing>
          <wp:inline distT="0" distB="0" distL="0" distR="0" wp14:anchorId="78EBF166" wp14:editId="0E98C1CE">
            <wp:extent cx="5862993" cy="2674405"/>
            <wp:effectExtent l="0" t="0" r="4445" b="0"/>
            <wp:docPr id="23"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4"/>
                    <a:srcRect l="25741" t="40059" r="11550" b="14177"/>
                    <a:stretch/>
                  </pic:blipFill>
                  <pic:spPr bwMode="auto">
                    <a:xfrm>
                      <a:off x="0" y="0"/>
                      <a:ext cx="5882345" cy="2683232"/>
                    </a:xfrm>
                    <a:prstGeom prst="rect">
                      <a:avLst/>
                    </a:prstGeom>
                    <a:ln>
                      <a:noFill/>
                    </a:ln>
                    <a:extLst>
                      <a:ext uri="{53640926-AAD7-44D8-BBD7-CCE9431645EC}">
                        <a14:shadowObscured xmlns:a14="http://schemas.microsoft.com/office/drawing/2010/main"/>
                      </a:ext>
                    </a:extLst>
                  </pic:spPr>
                </pic:pic>
              </a:graphicData>
            </a:graphic>
          </wp:inline>
        </w:drawing>
      </w:r>
    </w:p>
    <w:p w:rsidR="00C83787" w:rsidRDefault="00C83787" w:rsidP="00F71046">
      <w:pPr>
        <w:rPr>
          <w:lang w:val="es-ES_tradnl"/>
        </w:rPr>
      </w:pPr>
    </w:p>
    <w:p w:rsidR="00F71046" w:rsidRDefault="00F71046" w:rsidP="00F71046">
      <w:pPr>
        <w:rPr>
          <w:lang w:val="es-ES_tradnl"/>
        </w:rPr>
      </w:pPr>
      <w:r>
        <w:rPr>
          <w:lang w:val="es-ES_tradnl"/>
        </w:rPr>
        <w:t>Con base en los soportes citados TGI solicita:</w:t>
      </w:r>
    </w:p>
    <w:p w:rsidR="00F71046" w:rsidRDefault="00F71046" w:rsidP="00F71046">
      <w:pPr>
        <w:rPr>
          <w:lang w:val="es-ES_tradnl"/>
        </w:rPr>
      </w:pPr>
    </w:p>
    <w:p w:rsidR="00F71046" w:rsidRPr="00A73476" w:rsidRDefault="00A73476" w:rsidP="00F71046">
      <w:pPr>
        <w:pStyle w:val="Citadestacada"/>
        <w:rPr>
          <w:sz w:val="22"/>
          <w:szCs w:val="22"/>
          <w:lang w:eastAsia="es-CO"/>
        </w:rPr>
      </w:pPr>
      <w:r w:rsidRPr="00A73476">
        <w:rPr>
          <w:sz w:val="22"/>
          <w:szCs w:val="22"/>
          <w:lang w:eastAsia="es-CO"/>
        </w:rPr>
        <w:t>“</w:t>
      </w:r>
      <w:r w:rsidR="00F71046" w:rsidRPr="00A73476">
        <w:rPr>
          <w:sz w:val="22"/>
          <w:szCs w:val="22"/>
          <w:lang w:eastAsia="es-CO"/>
        </w:rPr>
        <w:t xml:space="preserve">En este sentido, es claro que existió en la Resolución CREG 261 de 2016 un error de transcripción en lo que refiere al diámetro del Ramal Z. Industrial </w:t>
      </w:r>
      <w:proofErr w:type="spellStart"/>
      <w:r w:rsidR="00F71046" w:rsidRPr="00A73476">
        <w:rPr>
          <w:sz w:val="22"/>
          <w:szCs w:val="22"/>
          <w:lang w:eastAsia="es-CO"/>
        </w:rPr>
        <w:t>Cantagallo</w:t>
      </w:r>
      <w:proofErr w:type="spellEnd"/>
      <w:r w:rsidR="00F71046" w:rsidRPr="00A73476">
        <w:rPr>
          <w:sz w:val="22"/>
          <w:szCs w:val="22"/>
          <w:lang w:eastAsia="es-CO"/>
        </w:rPr>
        <w:t xml:space="preserve"> – </w:t>
      </w:r>
      <w:proofErr w:type="spellStart"/>
      <w:r w:rsidR="00F71046" w:rsidRPr="00A73476">
        <w:rPr>
          <w:sz w:val="22"/>
          <w:szCs w:val="22"/>
          <w:lang w:eastAsia="es-CO"/>
        </w:rPr>
        <w:t>Cantagallo</w:t>
      </w:r>
      <w:proofErr w:type="spellEnd"/>
      <w:r w:rsidR="00F71046" w:rsidRPr="00A73476">
        <w:rPr>
          <w:sz w:val="22"/>
          <w:szCs w:val="22"/>
          <w:lang w:eastAsia="es-CO"/>
        </w:rPr>
        <w:t xml:space="preserve"> el cual corresponde a 4" y no a 6", aspecto que además puede ser verificado en el Contrato de Enajenación de los Activos, Cesión de los Derechos y Contratos de E</w:t>
      </w:r>
      <w:r w:rsidR="00034D91" w:rsidRPr="00A73476">
        <w:rPr>
          <w:sz w:val="22"/>
          <w:szCs w:val="22"/>
          <w:lang w:eastAsia="es-CO"/>
        </w:rPr>
        <w:t>C</w:t>
      </w:r>
      <w:r w:rsidR="00F71046" w:rsidRPr="00A73476">
        <w:rPr>
          <w:sz w:val="22"/>
          <w:szCs w:val="22"/>
          <w:lang w:eastAsia="es-CO"/>
        </w:rPr>
        <w:t xml:space="preserve">OGAS, de la forma verificada en la imagen presentada, así como en la información entregada </w:t>
      </w:r>
      <w:r w:rsidR="00F71046" w:rsidRPr="00A73476">
        <w:rPr>
          <w:sz w:val="22"/>
          <w:szCs w:val="22"/>
          <w:lang w:eastAsia="es-CO"/>
        </w:rPr>
        <w:lastRenderedPageBreak/>
        <w:t xml:space="preserve">por TGI S.A. ESP dentro de la actuación que se adelantó. Aspecto que igualmente fue tenido en cuenta en la valoración realizada por el perito Frank Gregory </w:t>
      </w:r>
      <w:proofErr w:type="spellStart"/>
      <w:r w:rsidR="00F71046" w:rsidRPr="00A73476">
        <w:rPr>
          <w:sz w:val="22"/>
          <w:szCs w:val="22"/>
          <w:lang w:eastAsia="es-CO"/>
        </w:rPr>
        <w:t>Lamberson</w:t>
      </w:r>
      <w:proofErr w:type="spellEnd"/>
      <w:r w:rsidR="00F71046" w:rsidRPr="00A73476">
        <w:rPr>
          <w:sz w:val="22"/>
          <w:szCs w:val="22"/>
          <w:lang w:eastAsia="es-CO"/>
        </w:rPr>
        <w:t xml:space="preserve"> dentro de su informe pericial a través del cual realizó la estimación del costo del activo.</w:t>
      </w:r>
    </w:p>
    <w:p w:rsidR="00CC4D8C" w:rsidRPr="00A73476" w:rsidRDefault="00CC4D8C" w:rsidP="00F71046">
      <w:pPr>
        <w:pStyle w:val="Citadestacada"/>
        <w:rPr>
          <w:sz w:val="22"/>
          <w:szCs w:val="22"/>
          <w:lang w:eastAsia="es-CO"/>
        </w:rPr>
      </w:pPr>
    </w:p>
    <w:p w:rsidR="00F71046" w:rsidRPr="00A73476" w:rsidRDefault="00F71046" w:rsidP="00F71046">
      <w:pPr>
        <w:pStyle w:val="Citadestacada"/>
        <w:rPr>
          <w:sz w:val="22"/>
          <w:szCs w:val="22"/>
        </w:rPr>
      </w:pPr>
      <w:r w:rsidRPr="00A73476">
        <w:rPr>
          <w:sz w:val="22"/>
          <w:szCs w:val="22"/>
          <w:lang w:eastAsia="es-CO"/>
        </w:rPr>
        <w:t>Finalmente, es un hecho que puede ser verificado en la Resolución CREG 105 de 2014 la cual fue soporte para la Tabla 1 de la Resolución CREG 261 de 2016, en la cual se menciona de forma expresa que se tomó la información de diámetros y longitudes de la primera resolución no siendo coincidente los diámetros en una y otra.</w:t>
      </w:r>
      <w:r w:rsidR="00A73476" w:rsidRPr="00A73476">
        <w:rPr>
          <w:sz w:val="22"/>
          <w:szCs w:val="22"/>
          <w:lang w:eastAsia="es-CO"/>
        </w:rPr>
        <w:t>”</w:t>
      </w:r>
    </w:p>
    <w:p w:rsidR="009E1A5B" w:rsidRPr="00A73476" w:rsidRDefault="009E1A5B" w:rsidP="009E1A5B">
      <w:pPr>
        <w:rPr>
          <w:sz w:val="22"/>
          <w:szCs w:val="22"/>
          <w:lang w:val="es-ES_tradnl"/>
        </w:rPr>
      </w:pPr>
    </w:p>
    <w:p w:rsidR="00A73476" w:rsidRDefault="00DE6D3A" w:rsidP="00A73476">
      <w:pPr>
        <w:pStyle w:val="T1"/>
        <w:spacing w:before="0" w:after="0"/>
        <w:rPr>
          <w:szCs w:val="27"/>
          <w:lang w:val="es-CO"/>
        </w:rPr>
      </w:pPr>
      <w:r w:rsidRPr="005E3746">
        <w:rPr>
          <w:lang w:val="es-CO"/>
        </w:rPr>
        <w:t xml:space="preserve">Análisis de los argumentos expuestos por TGI en el recurso. </w:t>
      </w:r>
      <w:r w:rsidR="00D126E3" w:rsidRPr="00996C28">
        <w:rPr>
          <w:szCs w:val="27"/>
          <w:lang w:val="es-CO"/>
        </w:rPr>
        <w:t>Consideraciones de la CREG</w:t>
      </w:r>
    </w:p>
    <w:p w:rsidR="00A73476" w:rsidRPr="00A73476" w:rsidRDefault="00A73476" w:rsidP="00A73476">
      <w:pPr>
        <w:pStyle w:val="T1"/>
        <w:numPr>
          <w:ilvl w:val="0"/>
          <w:numId w:val="0"/>
        </w:numPr>
        <w:spacing w:before="0" w:after="0"/>
        <w:ind w:left="432"/>
        <w:rPr>
          <w:szCs w:val="27"/>
          <w:lang w:val="es-CO"/>
        </w:rPr>
      </w:pPr>
    </w:p>
    <w:p w:rsidR="00A73476" w:rsidRDefault="009E1A5B" w:rsidP="00A73476">
      <w:pPr>
        <w:pStyle w:val="Ttulo2"/>
        <w:spacing w:before="0" w:after="0"/>
      </w:pPr>
      <w:r>
        <w:t>Generalidades</w:t>
      </w:r>
    </w:p>
    <w:p w:rsidR="003234E2" w:rsidRDefault="009E1A5B" w:rsidP="00A73476">
      <w:pPr>
        <w:pStyle w:val="Ttulo2"/>
        <w:numPr>
          <w:ilvl w:val="0"/>
          <w:numId w:val="0"/>
        </w:numPr>
        <w:spacing w:before="0" w:after="0"/>
        <w:ind w:left="576"/>
      </w:pPr>
      <w:r>
        <w:t xml:space="preserve"> </w:t>
      </w:r>
    </w:p>
    <w:p w:rsidR="008227F5" w:rsidRPr="00754005" w:rsidRDefault="00DE6D3A" w:rsidP="00A73476">
      <w:pPr>
        <w:pStyle w:val="Textoindependiente2"/>
        <w:spacing w:after="0" w:line="240" w:lineRule="auto"/>
        <w:ind w:left="-142" w:right="-142"/>
        <w:rPr>
          <w:szCs w:val="27"/>
        </w:rPr>
      </w:pPr>
      <w:r w:rsidRPr="00DE6D3A">
        <w:rPr>
          <w:szCs w:val="27"/>
        </w:rPr>
        <w:t>Una lectura de los argumentos expuestos por TGI en el recurso de reposición interpuesto permiten estable</w:t>
      </w:r>
      <w:r>
        <w:rPr>
          <w:szCs w:val="27"/>
        </w:rPr>
        <w:t xml:space="preserve">cer que la empresa pretende que sea modificada la Resolución CREG </w:t>
      </w:r>
      <w:r w:rsidR="009E1A5B">
        <w:rPr>
          <w:szCs w:val="27"/>
        </w:rPr>
        <w:t>261</w:t>
      </w:r>
      <w:r>
        <w:rPr>
          <w:szCs w:val="27"/>
        </w:rPr>
        <w:t xml:space="preserve"> de 201</w:t>
      </w:r>
      <w:r w:rsidR="009E1A5B">
        <w:rPr>
          <w:szCs w:val="27"/>
        </w:rPr>
        <w:t>6</w:t>
      </w:r>
      <w:r>
        <w:rPr>
          <w:szCs w:val="27"/>
        </w:rPr>
        <w:t xml:space="preserve"> a fin de que la CREG </w:t>
      </w:r>
      <w:r w:rsidR="009E1A5B">
        <w:rPr>
          <w:szCs w:val="27"/>
        </w:rPr>
        <w:t>ajuste</w:t>
      </w:r>
      <w:r w:rsidR="00451B2E">
        <w:rPr>
          <w:szCs w:val="27"/>
        </w:rPr>
        <w:t xml:space="preserve"> </w:t>
      </w:r>
      <w:r w:rsidR="009E1A5B">
        <w:rPr>
          <w:szCs w:val="27"/>
        </w:rPr>
        <w:t>el diámetro del Rama</w:t>
      </w:r>
      <w:r w:rsidR="00754005">
        <w:rPr>
          <w:szCs w:val="27"/>
        </w:rPr>
        <w:t>l</w:t>
      </w:r>
      <w:r w:rsidR="009E1A5B">
        <w:rPr>
          <w:szCs w:val="27"/>
        </w:rPr>
        <w:t xml:space="preserve"> Zona industrial </w:t>
      </w:r>
      <w:proofErr w:type="spellStart"/>
      <w:r w:rsidR="009E1A5B">
        <w:rPr>
          <w:szCs w:val="27"/>
        </w:rPr>
        <w:t>Cantagallo</w:t>
      </w:r>
      <w:proofErr w:type="spellEnd"/>
      <w:r w:rsidR="00E50DD2">
        <w:rPr>
          <w:szCs w:val="27"/>
        </w:rPr>
        <w:t xml:space="preserve"> </w:t>
      </w:r>
      <w:r w:rsidR="00451B2E">
        <w:rPr>
          <w:szCs w:val="27"/>
        </w:rPr>
        <w:t xml:space="preserve">y la </w:t>
      </w:r>
      <w:r w:rsidR="00451B2E">
        <w:rPr>
          <w:lang w:eastAsia="es-CO"/>
        </w:rPr>
        <w:t xml:space="preserve">remuneración eficiente de las inversiones realizadas </w:t>
      </w:r>
      <w:r w:rsidR="00451B2E" w:rsidRPr="00754005">
        <w:rPr>
          <w:lang w:eastAsia="es-CO"/>
        </w:rPr>
        <w:t xml:space="preserve">como PNlt-1, I FPNlt-1 </w:t>
      </w:r>
      <w:r w:rsidR="00754005" w:rsidRPr="00754005">
        <w:rPr>
          <w:lang w:eastAsia="es-CO"/>
        </w:rPr>
        <w:t>y</w:t>
      </w:r>
      <w:r w:rsidR="00451B2E" w:rsidRPr="00754005">
        <w:rPr>
          <w:lang w:eastAsia="es-CO"/>
        </w:rPr>
        <w:t xml:space="preserve"> </w:t>
      </w:r>
      <w:proofErr w:type="spellStart"/>
      <w:r w:rsidR="00451B2E" w:rsidRPr="00996C28">
        <w:rPr>
          <w:rFonts w:cs="Arial"/>
          <w:sz w:val="22"/>
          <w:szCs w:val="22"/>
          <w:lang w:val="es-CO" w:eastAsia="es-CO"/>
        </w:rPr>
        <w:t>PNlt</w:t>
      </w:r>
      <w:proofErr w:type="spellEnd"/>
      <w:r w:rsidR="00754005">
        <w:rPr>
          <w:rFonts w:cs="Arial"/>
          <w:sz w:val="22"/>
          <w:szCs w:val="22"/>
          <w:lang w:val="es-CO" w:eastAsia="es-CO"/>
        </w:rPr>
        <w:t>.</w:t>
      </w:r>
    </w:p>
    <w:p w:rsidR="009E1A5B" w:rsidRPr="00754005" w:rsidRDefault="009E1A5B" w:rsidP="00F95C9F">
      <w:pPr>
        <w:pStyle w:val="Textoindependiente2"/>
        <w:spacing w:after="0" w:line="240" w:lineRule="auto"/>
        <w:ind w:left="-142" w:right="-142"/>
        <w:rPr>
          <w:szCs w:val="27"/>
        </w:rPr>
      </w:pPr>
    </w:p>
    <w:p w:rsidR="00B82F3A" w:rsidRDefault="00B82F3A" w:rsidP="00996C28">
      <w:pPr>
        <w:pStyle w:val="Ttulo3"/>
        <w:rPr>
          <w:lang w:eastAsia="es-CO"/>
        </w:rPr>
      </w:pPr>
      <w:r>
        <w:rPr>
          <w:lang w:eastAsia="es-CO"/>
        </w:rPr>
        <w:t xml:space="preserve">Análisis de la aplicación del concepto de vida útil normativa y la posible  afectación de la remuneración de las inversiones de TGI </w:t>
      </w:r>
    </w:p>
    <w:p w:rsidR="00B82F3A" w:rsidRPr="00D45DC0" w:rsidRDefault="00B82F3A" w:rsidP="00B82F3A">
      <w:pPr>
        <w:rPr>
          <w:lang w:eastAsia="es-CO"/>
        </w:rPr>
      </w:pPr>
    </w:p>
    <w:p w:rsidR="00B82F3A" w:rsidRDefault="00B82F3A" w:rsidP="00B82F3A">
      <w:pPr>
        <w:pStyle w:val="Textoindependiente2"/>
        <w:spacing w:after="0" w:line="240" w:lineRule="auto"/>
        <w:ind w:left="-142" w:right="-142"/>
        <w:rPr>
          <w:lang w:val="es-ES_tradnl" w:eastAsia="es-CO"/>
        </w:rPr>
      </w:pPr>
      <w:r>
        <w:rPr>
          <w:lang w:val="es-ES_tradnl" w:eastAsia="es-CO"/>
        </w:rPr>
        <w:t>El concepto de Vida Útil Normativa (VUN) fue definido en la Resolución CREG 126 de la siguiente forma:</w:t>
      </w:r>
    </w:p>
    <w:p w:rsidR="00B82F3A" w:rsidRDefault="00B82F3A" w:rsidP="00B82F3A">
      <w:pPr>
        <w:pStyle w:val="Textoindependiente2"/>
        <w:spacing w:after="0" w:line="240" w:lineRule="auto"/>
        <w:ind w:left="-142" w:right="-142"/>
        <w:rPr>
          <w:lang w:val="es-ES_tradnl" w:eastAsia="es-CO"/>
        </w:rPr>
      </w:pPr>
    </w:p>
    <w:p w:rsidR="00B82F3A" w:rsidRPr="00D45DC0" w:rsidRDefault="00B82F3A" w:rsidP="00B82F3A">
      <w:pPr>
        <w:pStyle w:val="Textoindependiente2"/>
        <w:spacing w:after="0" w:line="240" w:lineRule="auto"/>
        <w:ind w:left="284" w:right="284"/>
        <w:rPr>
          <w:i/>
          <w:sz w:val="22"/>
          <w:szCs w:val="22"/>
          <w:lang w:val="es-ES_tradnl" w:eastAsia="es-CO"/>
        </w:rPr>
      </w:pPr>
      <w:r>
        <w:rPr>
          <w:b/>
          <w:i/>
          <w:sz w:val="22"/>
          <w:szCs w:val="22"/>
          <w:lang w:val="es-ES_tradnl" w:eastAsia="es-CO"/>
        </w:rPr>
        <w:t>“</w:t>
      </w:r>
      <w:r w:rsidRPr="00D45DC0">
        <w:rPr>
          <w:b/>
          <w:i/>
          <w:sz w:val="22"/>
          <w:szCs w:val="22"/>
          <w:lang w:val="es-ES_tradnl" w:eastAsia="es-CO"/>
        </w:rPr>
        <w:t>Vida Útil Normativa:</w:t>
      </w:r>
      <w:r w:rsidRPr="00D45DC0">
        <w:rPr>
          <w:i/>
          <w:sz w:val="22"/>
          <w:szCs w:val="22"/>
          <w:lang w:val="es-ES_tradnl" w:eastAsia="es-CO"/>
        </w:rPr>
        <w:t xml:space="preserve"> Es el período de 20 años, contado a partir de la fecha de </w:t>
      </w:r>
      <w:r w:rsidRPr="00D45DC0">
        <w:rPr>
          <w:b/>
          <w:i/>
          <w:sz w:val="22"/>
          <w:szCs w:val="22"/>
          <w:u w:val="single"/>
          <w:lang w:val="es-ES_tradnl" w:eastAsia="es-CO"/>
        </w:rPr>
        <w:t>entrada en operación de un activo</w:t>
      </w:r>
      <w:r w:rsidRPr="00D45DC0">
        <w:rPr>
          <w:i/>
          <w:sz w:val="22"/>
          <w:szCs w:val="22"/>
          <w:lang w:val="es-ES_tradnl" w:eastAsia="es-CO"/>
        </w:rPr>
        <w:t xml:space="preserve">, del cual dispone el transportador, de acuerdo con la regulación, para recuperar el valor eficiente de la inversión. </w:t>
      </w:r>
      <w:r w:rsidRPr="00D45DC0">
        <w:rPr>
          <w:b/>
          <w:i/>
          <w:sz w:val="22"/>
          <w:szCs w:val="22"/>
          <w:u w:val="single"/>
          <w:lang w:val="es-ES_tradnl" w:eastAsia="es-CO"/>
        </w:rPr>
        <w:t>Vencido este período se asumirá para todos los efectos que el valor eficiente de la inversión reconocida fue remunerado en su totalidad.</w:t>
      </w:r>
      <w:r w:rsidRPr="00D45DC0">
        <w:rPr>
          <w:i/>
          <w:sz w:val="22"/>
          <w:szCs w:val="22"/>
          <w:lang w:val="es-ES_tradnl" w:eastAsia="es-CO"/>
        </w:rPr>
        <w:t xml:space="preserve"> </w:t>
      </w:r>
      <w:r>
        <w:rPr>
          <w:i/>
          <w:sz w:val="22"/>
          <w:szCs w:val="22"/>
          <w:lang w:val="es-ES_tradnl" w:eastAsia="es-CO"/>
        </w:rPr>
        <w:t xml:space="preserve"> (…)”</w:t>
      </w:r>
      <w:r w:rsidR="00754005">
        <w:rPr>
          <w:i/>
          <w:sz w:val="22"/>
          <w:szCs w:val="22"/>
          <w:lang w:val="es-ES_tradnl" w:eastAsia="es-CO"/>
        </w:rPr>
        <w:t>.</w:t>
      </w:r>
    </w:p>
    <w:p w:rsidR="00B82F3A" w:rsidRDefault="00B82F3A" w:rsidP="00B82F3A">
      <w:pPr>
        <w:pStyle w:val="Textoindependiente2"/>
        <w:spacing w:after="0" w:line="240" w:lineRule="auto"/>
        <w:ind w:left="-142" w:right="-142"/>
        <w:rPr>
          <w:lang w:val="es-ES_tradnl" w:eastAsia="es-CO"/>
        </w:rPr>
      </w:pPr>
    </w:p>
    <w:p w:rsidR="00B82F3A" w:rsidRDefault="00B82F3A" w:rsidP="00B82F3A">
      <w:pPr>
        <w:pStyle w:val="Textoindependiente2"/>
        <w:spacing w:after="0" w:line="240" w:lineRule="auto"/>
        <w:ind w:left="-142" w:right="-142"/>
        <w:rPr>
          <w:lang w:val="es-ES_tradnl" w:eastAsia="es-CO"/>
        </w:rPr>
      </w:pPr>
      <w:r>
        <w:rPr>
          <w:lang w:val="es-ES_tradnl" w:eastAsia="es-CO"/>
        </w:rPr>
        <w:t>Con respecto a la forma y determinación de la VUN normativa los artículos 12 y 13 de la metodología disponen lo siguiente:</w:t>
      </w:r>
    </w:p>
    <w:p w:rsidR="00B82F3A" w:rsidRDefault="00B82F3A" w:rsidP="00B82F3A">
      <w:pPr>
        <w:pStyle w:val="Textoindependiente2"/>
        <w:spacing w:after="0" w:line="240" w:lineRule="auto"/>
        <w:ind w:left="-142" w:right="-142"/>
        <w:rPr>
          <w:lang w:val="es-ES_tradnl" w:eastAsia="es-CO"/>
        </w:rPr>
      </w:pPr>
    </w:p>
    <w:p w:rsidR="00B82F3A" w:rsidRPr="00A73476" w:rsidRDefault="00B82F3A" w:rsidP="00A73476">
      <w:pPr>
        <w:pStyle w:val="Textoindependiente2"/>
        <w:spacing w:after="0" w:line="240" w:lineRule="auto"/>
        <w:ind w:left="284" w:right="284"/>
        <w:rPr>
          <w:i/>
          <w:sz w:val="22"/>
          <w:szCs w:val="22"/>
          <w:lang w:val="es-ES_tradnl" w:eastAsia="es-CO"/>
        </w:rPr>
      </w:pPr>
      <w:r w:rsidRPr="00A73476">
        <w:rPr>
          <w:i/>
          <w:sz w:val="22"/>
          <w:szCs w:val="22"/>
          <w:lang w:val="es-ES_tradnl" w:eastAsia="es-CO"/>
        </w:rPr>
        <w:t>“</w:t>
      </w:r>
      <w:r w:rsidRPr="00A73476">
        <w:rPr>
          <w:b/>
          <w:i/>
          <w:sz w:val="22"/>
          <w:szCs w:val="22"/>
          <w:lang w:val="es-ES_tradnl" w:eastAsia="es-CO"/>
        </w:rPr>
        <w:t>Artículo 12. Determinación de la Vida Útil de un activo.</w:t>
      </w:r>
      <w:r w:rsidRPr="00A73476">
        <w:rPr>
          <w:i/>
          <w:sz w:val="22"/>
          <w:szCs w:val="22"/>
          <w:lang w:val="es-ES_tradnl" w:eastAsia="es-CO"/>
        </w:rPr>
        <w:t xml:space="preserve"> Para los activos asociados a la </w:t>
      </w:r>
      <w:proofErr w:type="spellStart"/>
      <w:r w:rsidRPr="00A73476">
        <w:rPr>
          <w:i/>
          <w:sz w:val="22"/>
          <w:szCs w:val="22"/>
          <w:lang w:val="es-ES_tradnl" w:eastAsia="es-CO"/>
        </w:rPr>
        <w:t>IEt</w:t>
      </w:r>
      <w:proofErr w:type="spellEnd"/>
      <w:r w:rsidRPr="00A73476">
        <w:rPr>
          <w:i/>
          <w:sz w:val="22"/>
          <w:szCs w:val="22"/>
          <w:lang w:val="es-ES_tradnl" w:eastAsia="es-CO"/>
        </w:rPr>
        <w:t xml:space="preserve"> la Vida Útil se contará a partir de su fecha de entrada en operación. Para los activos asociados al </w:t>
      </w:r>
      <w:proofErr w:type="spellStart"/>
      <w:r w:rsidRPr="00A73476">
        <w:rPr>
          <w:i/>
          <w:sz w:val="22"/>
          <w:szCs w:val="22"/>
          <w:lang w:val="es-ES_tradnl" w:eastAsia="es-CO"/>
        </w:rPr>
        <w:t>PNIt</w:t>
      </w:r>
      <w:proofErr w:type="spellEnd"/>
      <w:r w:rsidRPr="00A73476">
        <w:rPr>
          <w:i/>
          <w:sz w:val="22"/>
          <w:szCs w:val="22"/>
          <w:lang w:val="es-ES_tradnl" w:eastAsia="es-CO"/>
        </w:rPr>
        <w:t xml:space="preserve"> o a las </w:t>
      </w:r>
      <w:proofErr w:type="spellStart"/>
      <w:r w:rsidRPr="00A73476">
        <w:rPr>
          <w:i/>
          <w:sz w:val="22"/>
          <w:szCs w:val="22"/>
          <w:lang w:val="es-ES_tradnl" w:eastAsia="es-CO"/>
        </w:rPr>
        <w:t>IACt</w:t>
      </w:r>
      <w:proofErr w:type="spellEnd"/>
      <w:r w:rsidRPr="00A73476">
        <w:rPr>
          <w:i/>
          <w:sz w:val="22"/>
          <w:szCs w:val="22"/>
          <w:lang w:val="es-ES_tradnl" w:eastAsia="es-CO"/>
        </w:rPr>
        <w:t xml:space="preserve"> la Vida Útil se contará a partir de la fecha de entrada en vigencia de los cargos calculados con la presente metodología y que remuneren tales activos.</w:t>
      </w:r>
    </w:p>
    <w:p w:rsidR="00B82F3A" w:rsidRPr="00A73476" w:rsidRDefault="00B82F3A" w:rsidP="00A73476">
      <w:pPr>
        <w:pStyle w:val="Textoindependiente2"/>
        <w:spacing w:after="0" w:line="240" w:lineRule="auto"/>
        <w:ind w:left="284" w:right="284"/>
        <w:rPr>
          <w:i/>
          <w:sz w:val="22"/>
          <w:szCs w:val="22"/>
          <w:lang w:val="es-ES_tradnl" w:eastAsia="es-CO"/>
        </w:rPr>
      </w:pPr>
    </w:p>
    <w:p w:rsidR="00B82F3A" w:rsidRPr="00A73476" w:rsidRDefault="00B82F3A" w:rsidP="00A73476">
      <w:pPr>
        <w:pStyle w:val="Textoindependiente2"/>
        <w:spacing w:after="0" w:line="240" w:lineRule="auto"/>
        <w:ind w:left="284" w:right="284"/>
        <w:rPr>
          <w:i/>
          <w:sz w:val="22"/>
          <w:szCs w:val="22"/>
          <w:lang w:val="es-ES_tradnl" w:eastAsia="es-CO"/>
        </w:rPr>
      </w:pPr>
      <w:r w:rsidRPr="00A73476">
        <w:rPr>
          <w:i/>
          <w:sz w:val="22"/>
          <w:szCs w:val="22"/>
          <w:lang w:val="es-ES_tradnl" w:eastAsia="es-CO"/>
        </w:rPr>
        <w:t>Para aquellos gasoductos cuya tarifa vigente al momento de adoptar la Resolución CREG 001 de 2000 había sido calculada con base en el artículo 56 del Código de Petróleos, se tomará como año de entrada en operación del activo, el año correspondiente a la última revisión tarifaria bajo dicho Código. La enajenación de un activo no afectará la forma como se determina su Vida Útil.</w:t>
      </w:r>
    </w:p>
    <w:p w:rsidR="00C37699" w:rsidRPr="00A73476" w:rsidRDefault="00C37699" w:rsidP="00A73476">
      <w:pPr>
        <w:pStyle w:val="Textoindependiente2"/>
        <w:spacing w:after="0" w:line="240" w:lineRule="auto"/>
        <w:ind w:left="284" w:right="284"/>
        <w:rPr>
          <w:i/>
          <w:sz w:val="22"/>
          <w:szCs w:val="22"/>
          <w:lang w:val="es-ES_tradnl" w:eastAsia="es-CO"/>
        </w:rPr>
      </w:pPr>
    </w:p>
    <w:p w:rsidR="00B518C3" w:rsidRPr="00A73476" w:rsidRDefault="00B518C3" w:rsidP="00A73476">
      <w:pPr>
        <w:pStyle w:val="Textoindependiente2"/>
        <w:spacing w:after="0" w:line="240" w:lineRule="auto"/>
        <w:ind w:left="284" w:right="284"/>
        <w:rPr>
          <w:i/>
          <w:sz w:val="22"/>
          <w:szCs w:val="22"/>
          <w:lang w:val="es-ES_tradnl" w:eastAsia="es-CO"/>
        </w:rPr>
      </w:pPr>
      <w:r w:rsidRPr="00A73476">
        <w:rPr>
          <w:b/>
          <w:i/>
          <w:sz w:val="22"/>
          <w:szCs w:val="22"/>
          <w:lang w:val="es-ES_tradnl" w:eastAsia="es-CO"/>
        </w:rPr>
        <w:t>Artículo 13. Determinación de la Vida Útil Normativa de un activo.</w:t>
      </w:r>
      <w:r w:rsidRPr="00A73476">
        <w:rPr>
          <w:i/>
          <w:sz w:val="22"/>
          <w:szCs w:val="22"/>
          <w:lang w:val="es-ES_tradnl" w:eastAsia="es-CO"/>
        </w:rPr>
        <w:t xml:space="preserve"> Para los activos asociados a la </w:t>
      </w:r>
      <m:oMath>
        <m:sSub>
          <m:sSubPr>
            <m:ctrlPr>
              <w:rPr>
                <w:rFonts w:ascii="Cambria Math" w:hAnsi="Cambria Math"/>
                <w:i/>
                <w:sz w:val="22"/>
                <w:szCs w:val="22"/>
                <w:lang w:val="es-ES_tradnl" w:eastAsia="es-CO"/>
              </w:rPr>
            </m:ctrlPr>
          </m:sSubPr>
          <m:e>
            <m:r>
              <w:rPr>
                <w:rFonts w:ascii="Cambria Math" w:hAnsi="Cambria Math"/>
                <w:sz w:val="22"/>
                <w:szCs w:val="22"/>
                <w:lang w:val="es-ES_tradnl" w:eastAsia="es-CO"/>
              </w:rPr>
              <m:t>IE</m:t>
            </m:r>
          </m:e>
          <m:sub>
            <m:r>
              <w:rPr>
                <w:rFonts w:ascii="Cambria Math" w:hAnsi="Cambria Math"/>
                <w:sz w:val="22"/>
                <w:szCs w:val="22"/>
                <w:lang w:val="es-ES_tradnl" w:eastAsia="es-CO"/>
              </w:rPr>
              <m:t>t</m:t>
            </m:r>
          </m:sub>
        </m:sSub>
      </m:oMath>
      <w:r w:rsidRPr="00A73476">
        <w:rPr>
          <w:i/>
          <w:sz w:val="22"/>
          <w:szCs w:val="22"/>
          <w:lang w:val="es-ES_tradnl" w:eastAsia="es-CO"/>
        </w:rPr>
        <w:t xml:space="preserve"> la Vida Útil Normativa se contará a partir de su fecha de entrada en operación. Para los activos asociados al </w:t>
      </w:r>
      <m:oMath>
        <m:sSub>
          <m:sSubPr>
            <m:ctrlPr>
              <w:rPr>
                <w:rFonts w:ascii="Cambria Math" w:hAnsi="Cambria Math"/>
                <w:i/>
                <w:sz w:val="22"/>
                <w:szCs w:val="22"/>
                <w:lang w:val="es-ES_tradnl" w:eastAsia="es-CO"/>
              </w:rPr>
            </m:ctrlPr>
          </m:sSubPr>
          <m:e>
            <m:r>
              <w:rPr>
                <w:rFonts w:ascii="Cambria Math" w:hAnsi="Cambria Math"/>
                <w:sz w:val="22"/>
                <w:szCs w:val="22"/>
                <w:lang w:val="es-ES_tradnl" w:eastAsia="es-CO"/>
              </w:rPr>
              <m:t>PNI</m:t>
            </m:r>
          </m:e>
          <m:sub>
            <m:r>
              <w:rPr>
                <w:rFonts w:ascii="Cambria Math" w:hAnsi="Cambria Math"/>
                <w:sz w:val="22"/>
                <w:szCs w:val="22"/>
                <w:lang w:val="es-ES_tradnl" w:eastAsia="es-CO"/>
              </w:rPr>
              <m:t>t</m:t>
            </m:r>
          </m:sub>
        </m:sSub>
      </m:oMath>
      <w:r w:rsidRPr="00A73476">
        <w:rPr>
          <w:i/>
          <w:sz w:val="22"/>
          <w:szCs w:val="22"/>
          <w:lang w:val="es-ES_tradnl" w:eastAsia="es-CO"/>
        </w:rPr>
        <w:t xml:space="preserve"> o a las </w:t>
      </w:r>
      <m:oMath>
        <m:sSub>
          <m:sSubPr>
            <m:ctrlPr>
              <w:rPr>
                <w:rFonts w:ascii="Cambria Math" w:hAnsi="Cambria Math"/>
                <w:i/>
                <w:sz w:val="22"/>
                <w:szCs w:val="22"/>
                <w:lang w:val="es-ES_tradnl" w:eastAsia="es-CO"/>
              </w:rPr>
            </m:ctrlPr>
          </m:sSubPr>
          <m:e>
            <m:r>
              <w:rPr>
                <w:rFonts w:ascii="Cambria Math" w:hAnsi="Cambria Math"/>
                <w:sz w:val="22"/>
                <w:szCs w:val="22"/>
                <w:lang w:val="es-ES_tradnl" w:eastAsia="es-CO"/>
              </w:rPr>
              <m:t>IAC</m:t>
            </m:r>
          </m:e>
          <m:sub>
            <m:r>
              <w:rPr>
                <w:rFonts w:ascii="Cambria Math" w:hAnsi="Cambria Math"/>
                <w:sz w:val="22"/>
                <w:szCs w:val="22"/>
                <w:lang w:val="es-ES_tradnl" w:eastAsia="es-CO"/>
              </w:rPr>
              <m:t>t</m:t>
            </m:r>
          </m:sub>
        </m:sSub>
      </m:oMath>
      <w:r w:rsidRPr="00A73476">
        <w:rPr>
          <w:i/>
          <w:sz w:val="22"/>
          <w:szCs w:val="22"/>
          <w:lang w:val="es-ES_tradnl" w:eastAsia="es-CO"/>
        </w:rPr>
        <w:t xml:space="preserve"> la Vida Útil Normativa se contará a partir de la fecha de entrada en vigencia de los cargos calculados con la presente metodología y que remuneren tales activos. </w:t>
      </w:r>
    </w:p>
    <w:p w:rsidR="00B518C3" w:rsidRPr="00A73476" w:rsidRDefault="00B518C3" w:rsidP="00A73476">
      <w:pPr>
        <w:pStyle w:val="Textoindependiente2"/>
        <w:spacing w:after="0" w:line="240" w:lineRule="auto"/>
        <w:ind w:left="284" w:right="284"/>
        <w:rPr>
          <w:i/>
          <w:sz w:val="22"/>
          <w:szCs w:val="22"/>
          <w:lang w:val="es-ES_tradnl" w:eastAsia="es-CO"/>
        </w:rPr>
      </w:pPr>
    </w:p>
    <w:p w:rsidR="00B518C3" w:rsidRPr="00A73476" w:rsidRDefault="00B518C3" w:rsidP="00A73476">
      <w:pPr>
        <w:pStyle w:val="Textoindependiente2"/>
        <w:spacing w:after="0" w:line="240" w:lineRule="auto"/>
        <w:ind w:left="284" w:right="284"/>
        <w:rPr>
          <w:i/>
          <w:sz w:val="22"/>
          <w:szCs w:val="22"/>
          <w:lang w:val="es-ES_tradnl" w:eastAsia="es-CO"/>
        </w:rPr>
      </w:pPr>
      <w:r w:rsidRPr="00A73476">
        <w:rPr>
          <w:i/>
          <w:sz w:val="22"/>
          <w:szCs w:val="22"/>
          <w:lang w:val="es-ES_tradnl" w:eastAsia="es-CO"/>
        </w:rPr>
        <w:t xml:space="preserve">Para aquellos gasoductos cuya tarifa vigente al momento de adoptar la Resolución CREG 001 de 2000 había sido calculada con base en el artículo 56 del Código de Petróleos, se tomará como año de entrada en operación del activo, el año correspondiente a la última revisión tarifaria bajo dicho Código. La enajenación de un activo no afectará la forma como se determina su Vida Útil Normativa.” </w:t>
      </w:r>
    </w:p>
    <w:p w:rsidR="00B518C3" w:rsidRDefault="00B518C3" w:rsidP="000027E9">
      <w:pPr>
        <w:pStyle w:val="Textoindependiente2"/>
        <w:spacing w:after="0" w:line="240" w:lineRule="auto"/>
        <w:ind w:left="-142" w:right="-142"/>
        <w:rPr>
          <w:lang w:val="es-ES_tradnl" w:eastAsia="es-CO"/>
        </w:rPr>
      </w:pPr>
    </w:p>
    <w:p w:rsidR="0037077A" w:rsidRPr="00C37699" w:rsidRDefault="00B518C3" w:rsidP="00C37699">
      <w:pPr>
        <w:pStyle w:val="Textoindependiente2"/>
        <w:spacing w:after="0" w:line="240" w:lineRule="auto"/>
        <w:ind w:right="-142"/>
        <w:rPr>
          <w:lang w:val="es-ES_tradnl" w:eastAsia="es-CO"/>
        </w:rPr>
      </w:pPr>
      <w:r w:rsidRPr="00C37699">
        <w:rPr>
          <w:lang w:val="es-CO" w:eastAsia="es-CO"/>
        </w:rPr>
        <w:t xml:space="preserve">Finalmente, en cuanto al procedimiento para establecer el valor a </w:t>
      </w:r>
      <w:r w:rsidRPr="00B518C3">
        <w:rPr>
          <w:lang w:val="es-CO" w:eastAsia="es-CO"/>
        </w:rPr>
        <w:t>reconocer</w:t>
      </w:r>
      <w:r w:rsidRPr="00C37699">
        <w:rPr>
          <w:lang w:val="es-CO" w:eastAsia="es-CO"/>
        </w:rPr>
        <w:t xml:space="preserve"> para aquellos </w:t>
      </w:r>
      <w:r>
        <w:rPr>
          <w:lang w:val="es-CO" w:eastAsia="es-CO"/>
        </w:rPr>
        <w:t>que han cumplido su VUN</w:t>
      </w:r>
      <w:r w:rsidR="00034D91" w:rsidRPr="00C37699">
        <w:rPr>
          <w:lang w:val="es-CO" w:eastAsia="es-CO"/>
        </w:rPr>
        <w:t xml:space="preserve"> </w:t>
      </w:r>
      <w:r w:rsidR="0037077A" w:rsidRPr="00C37699">
        <w:rPr>
          <w:lang w:val="es-CO" w:eastAsia="es-CO"/>
        </w:rPr>
        <w:t>el artículo 14 de la Resolución CREG 126 de 2010</w:t>
      </w:r>
      <w:r w:rsidR="00E47F65">
        <w:rPr>
          <w:lang w:val="es-CO" w:eastAsia="es-CO"/>
        </w:rPr>
        <w:t xml:space="preserve">, así como el ajuste que se hace en los cargos de transporte para incorporar dichos valores, la metodología </w:t>
      </w:r>
      <w:r w:rsidR="0037077A" w:rsidRPr="00C37699">
        <w:rPr>
          <w:lang w:val="es-CO" w:eastAsia="es-CO"/>
        </w:rPr>
        <w:t>estableció lo siguiente</w:t>
      </w:r>
      <w:r w:rsidR="0037077A" w:rsidRPr="00C37699">
        <w:rPr>
          <w:lang w:val="es-ES_tradnl" w:eastAsia="es-CO"/>
        </w:rPr>
        <w:t>:</w:t>
      </w:r>
    </w:p>
    <w:p w:rsidR="0037077A" w:rsidRPr="0037077A" w:rsidRDefault="0037077A" w:rsidP="0037077A">
      <w:pPr>
        <w:rPr>
          <w:rFonts w:ascii="Arial" w:hAnsi="Arial" w:cs="Arial"/>
          <w:sz w:val="22"/>
          <w:szCs w:val="22"/>
          <w:lang w:val="es-ES_tradnl"/>
        </w:rPr>
      </w:pPr>
    </w:p>
    <w:p w:rsidR="0037077A" w:rsidRPr="00A73476" w:rsidRDefault="0037077A" w:rsidP="00A73476">
      <w:pPr>
        <w:pStyle w:val="Citadestacada"/>
        <w:ind w:left="284" w:right="284"/>
        <w:rPr>
          <w:i/>
          <w:sz w:val="22"/>
          <w:szCs w:val="22"/>
        </w:rPr>
      </w:pPr>
      <w:bookmarkStart w:id="1" w:name="_Ref254259303"/>
      <w:r w:rsidRPr="00A73476">
        <w:rPr>
          <w:i/>
          <w:sz w:val="22"/>
          <w:szCs w:val="22"/>
        </w:rPr>
        <w:t>“</w:t>
      </w:r>
      <w:r w:rsidRPr="00A73476">
        <w:rPr>
          <w:b/>
          <w:i/>
          <w:sz w:val="22"/>
          <w:szCs w:val="22"/>
        </w:rPr>
        <w:t>Artículo 14. Inversión a reconocer en activos que hayan cumplido la Vida Útil Normativa.</w:t>
      </w:r>
      <w:r w:rsidRPr="00A73476">
        <w:rPr>
          <w:i/>
          <w:sz w:val="22"/>
          <w:szCs w:val="22"/>
        </w:rPr>
        <w:t xml:space="preserve"> </w:t>
      </w:r>
      <w:r w:rsidRPr="00C9615F">
        <w:rPr>
          <w:b/>
          <w:i/>
          <w:sz w:val="22"/>
          <w:szCs w:val="22"/>
          <w:u w:val="single"/>
        </w:rPr>
        <w:t>Para aquellos activos en servicio</w:t>
      </w:r>
      <w:r w:rsidRPr="00A73476">
        <w:rPr>
          <w:i/>
          <w:sz w:val="22"/>
          <w:szCs w:val="22"/>
        </w:rPr>
        <w:t>, exceptuando terrenos y edificaciones, cuya Vida Útil Normativa se cumpla en el presente período tarifario, se aplicará el siguiente procedimiento:</w:t>
      </w:r>
      <w:bookmarkEnd w:id="1"/>
    </w:p>
    <w:p w:rsidR="0037077A" w:rsidRPr="00A73476" w:rsidRDefault="0037077A" w:rsidP="00A73476">
      <w:pPr>
        <w:pStyle w:val="Citadestacada"/>
        <w:ind w:left="284" w:right="284"/>
        <w:rPr>
          <w:i/>
          <w:sz w:val="22"/>
          <w:szCs w:val="22"/>
        </w:rPr>
      </w:pPr>
    </w:p>
    <w:p w:rsidR="003A7907" w:rsidRPr="00A73476" w:rsidRDefault="003A7907" w:rsidP="00A73476">
      <w:pPr>
        <w:pStyle w:val="Citadestacada"/>
        <w:ind w:left="284" w:right="284"/>
        <w:rPr>
          <w:i/>
          <w:sz w:val="22"/>
          <w:szCs w:val="22"/>
        </w:rPr>
      </w:pPr>
      <w:r w:rsidRPr="00A73476">
        <w:rPr>
          <w:i/>
          <w:sz w:val="22"/>
          <w:szCs w:val="22"/>
        </w:rPr>
        <w:t>a)</w:t>
      </w:r>
      <w:r w:rsidRPr="00A73476">
        <w:rPr>
          <w:i/>
          <w:sz w:val="22"/>
          <w:szCs w:val="22"/>
        </w:rPr>
        <w:tab/>
        <w:t>Un año antes del cumplimiento de la Vida Útil Normativa del activo, el transportador, mediante comunicación escrita, deberá solicitar a la CREG el inicio de una actuación administrativa en los términos definidos en el presente artículo.</w:t>
      </w:r>
    </w:p>
    <w:p w:rsidR="003A7907" w:rsidRPr="00A73476" w:rsidRDefault="003A7907" w:rsidP="00A73476">
      <w:pPr>
        <w:pStyle w:val="Citadestacada"/>
        <w:ind w:left="284" w:right="284"/>
        <w:rPr>
          <w:i/>
          <w:sz w:val="22"/>
          <w:szCs w:val="22"/>
        </w:rPr>
      </w:pPr>
    </w:p>
    <w:p w:rsidR="0037077A" w:rsidRPr="00A73476" w:rsidRDefault="003A7907" w:rsidP="00A73476">
      <w:pPr>
        <w:pStyle w:val="Citadestacada"/>
        <w:ind w:left="284" w:right="284"/>
        <w:rPr>
          <w:i/>
          <w:sz w:val="22"/>
          <w:szCs w:val="22"/>
        </w:rPr>
      </w:pPr>
      <w:r w:rsidRPr="00A73476">
        <w:rPr>
          <w:i/>
          <w:sz w:val="22"/>
          <w:szCs w:val="22"/>
        </w:rPr>
        <w:t>b)</w:t>
      </w:r>
      <w:r w:rsidRPr="00A73476">
        <w:rPr>
          <w:i/>
          <w:sz w:val="22"/>
          <w:szCs w:val="22"/>
        </w:rPr>
        <w:tab/>
        <w:t>La Comisión dará inició a la actuación administrativa que contendrá las siguientes etapas:</w:t>
      </w:r>
    </w:p>
    <w:p w:rsidR="0037077A" w:rsidRPr="00A73476" w:rsidRDefault="000B2201" w:rsidP="00A73476">
      <w:pPr>
        <w:pStyle w:val="Citadestacada"/>
        <w:ind w:left="284" w:right="284"/>
        <w:rPr>
          <w:i/>
          <w:sz w:val="22"/>
          <w:szCs w:val="22"/>
        </w:rPr>
      </w:pPr>
      <w:r w:rsidRPr="00A73476">
        <w:rPr>
          <w:i/>
          <w:sz w:val="22"/>
          <w:szCs w:val="22"/>
        </w:rPr>
        <w:t>(….)</w:t>
      </w:r>
    </w:p>
    <w:p w:rsidR="000B2201" w:rsidRPr="00A73476" w:rsidRDefault="000B2201" w:rsidP="00A73476">
      <w:pPr>
        <w:pStyle w:val="Citadestacada"/>
        <w:ind w:left="284" w:right="284"/>
        <w:rPr>
          <w:i/>
          <w:sz w:val="22"/>
          <w:szCs w:val="22"/>
        </w:rPr>
      </w:pPr>
    </w:p>
    <w:p w:rsidR="003A7907" w:rsidRPr="00A73476" w:rsidRDefault="003A7907" w:rsidP="00A73476">
      <w:pPr>
        <w:pStyle w:val="Citadestacada"/>
        <w:ind w:left="284" w:right="284"/>
        <w:rPr>
          <w:i/>
          <w:sz w:val="22"/>
          <w:szCs w:val="22"/>
        </w:rPr>
      </w:pPr>
      <w:r w:rsidRPr="00A73476">
        <w:rPr>
          <w:i/>
          <w:sz w:val="22"/>
          <w:szCs w:val="22"/>
        </w:rPr>
        <w:t>2.</w:t>
      </w:r>
      <w:r w:rsidRPr="00A73476">
        <w:rPr>
          <w:i/>
          <w:sz w:val="22"/>
          <w:szCs w:val="22"/>
        </w:rPr>
        <w:tab/>
        <w:t xml:space="preserve">A partir del ejercicio de valoración realizado por el perito la Comisión contará con un (1) Mes para realizar análisis propios con el fin de determinar el costo de reposición a nuevo del activo </w:t>
      </w:r>
      <m:oMath>
        <m:r>
          <w:rPr>
            <w:rFonts w:ascii="Cambria Math" w:hAnsi="Cambria Math"/>
            <w:sz w:val="22"/>
            <w:szCs w:val="22"/>
          </w:rPr>
          <m:t>VRAN</m:t>
        </m:r>
      </m:oMath>
      <w:r w:rsidRPr="00A73476">
        <w:rPr>
          <w:i/>
          <w:sz w:val="22"/>
          <w:szCs w:val="22"/>
        </w:rPr>
        <w:t xml:space="preserve">. </w:t>
      </w:r>
    </w:p>
    <w:p w:rsidR="003A7907" w:rsidRPr="00A73476" w:rsidRDefault="003A7907" w:rsidP="00A73476">
      <w:pPr>
        <w:pStyle w:val="Citadestacada"/>
        <w:ind w:left="284" w:right="284"/>
        <w:rPr>
          <w:i/>
          <w:sz w:val="22"/>
          <w:szCs w:val="22"/>
        </w:rPr>
      </w:pPr>
    </w:p>
    <w:p w:rsidR="003A7907" w:rsidRPr="00A73476" w:rsidRDefault="003A7907" w:rsidP="00A73476">
      <w:pPr>
        <w:pStyle w:val="Citadestacada"/>
        <w:ind w:left="284" w:right="284"/>
        <w:rPr>
          <w:i/>
          <w:sz w:val="22"/>
          <w:szCs w:val="22"/>
        </w:rPr>
      </w:pPr>
      <w:r w:rsidRPr="00A73476">
        <w:rPr>
          <w:i/>
          <w:sz w:val="22"/>
          <w:szCs w:val="22"/>
        </w:rPr>
        <w:t>3.</w:t>
      </w:r>
      <w:r w:rsidRPr="00A73476">
        <w:rPr>
          <w:i/>
          <w:sz w:val="22"/>
          <w:szCs w:val="22"/>
        </w:rPr>
        <w:tab/>
        <w:t xml:space="preserve">  La Comisión, una vez transcurrido el período correspondiente notificará a la empresa transportadora lo siguiente:</w:t>
      </w:r>
    </w:p>
    <w:p w:rsidR="003A7907" w:rsidRPr="00A73476" w:rsidRDefault="003A7907" w:rsidP="00A73476">
      <w:pPr>
        <w:pStyle w:val="Citadestacada"/>
        <w:ind w:left="284" w:right="284"/>
        <w:rPr>
          <w:i/>
          <w:sz w:val="22"/>
          <w:szCs w:val="22"/>
        </w:rPr>
      </w:pPr>
    </w:p>
    <w:p w:rsidR="0037077A" w:rsidRPr="00A73476" w:rsidRDefault="003A7907" w:rsidP="00A73476">
      <w:pPr>
        <w:pStyle w:val="Citadestacada"/>
        <w:ind w:left="284" w:right="284"/>
        <w:rPr>
          <w:i/>
          <w:sz w:val="22"/>
          <w:szCs w:val="22"/>
        </w:rPr>
      </w:pPr>
      <w:r w:rsidRPr="00A73476">
        <w:rPr>
          <w:i/>
          <w:sz w:val="22"/>
          <w:szCs w:val="22"/>
        </w:rPr>
        <w:t>i.</w:t>
      </w:r>
      <w:r w:rsidRPr="00A73476">
        <w:rPr>
          <w:i/>
          <w:sz w:val="22"/>
          <w:szCs w:val="22"/>
        </w:rPr>
        <w:tab/>
        <w:t>El valor a reconocer por el activo si continúa en operación. Este valor remunerará todas las inversiones en reparaciones que se requieran y será determinado como sigue:</w:t>
      </w:r>
    </w:p>
    <w:p w:rsidR="0037077A" w:rsidRPr="00A73476" w:rsidRDefault="004F7CD0" w:rsidP="000027E9">
      <w:pPr>
        <w:pStyle w:val="Citadestacada"/>
        <w:rPr>
          <w:sz w:val="22"/>
          <w:szCs w:val="22"/>
        </w:rPr>
      </w:pPr>
      <m:oMathPara>
        <m:oMath>
          <m:sSub>
            <m:sSubPr>
              <m:ctrlPr>
                <w:rPr>
                  <w:rFonts w:ascii="Cambria Math" w:hAnsi="Cambria Math"/>
                  <w:sz w:val="22"/>
                  <w:szCs w:val="22"/>
                </w:rPr>
              </m:ctrlPr>
            </m:sSubPr>
            <m:e>
              <m:r>
                <w:rPr>
                  <w:rFonts w:ascii="Cambria Math" w:hAnsi="Cambria Math"/>
                  <w:sz w:val="22"/>
                  <w:szCs w:val="22"/>
                </w:rPr>
                <m:t>VAO</m:t>
              </m:r>
            </m:e>
            <m:sub>
              <m:r>
                <w:rPr>
                  <w:rFonts w:ascii="Cambria Math" w:hAnsi="Cambria Math"/>
                  <w:sz w:val="22"/>
                  <w:szCs w:val="22"/>
                </w:rPr>
                <m:t>t</m:t>
              </m:r>
            </m:sub>
          </m:sSub>
          <m:r>
            <m:rPr>
              <m:sty m:val="p"/>
            </m:rPr>
            <w:rPr>
              <w:rFonts w:ascii="Cambria Math" w:hAnsi="Cambria Math"/>
              <w:sz w:val="22"/>
              <w:szCs w:val="22"/>
            </w:rPr>
            <m:t>=</m:t>
          </m:r>
          <m:r>
            <w:rPr>
              <w:rFonts w:ascii="Cambria Math" w:hAnsi="Cambria Math"/>
              <w:sz w:val="22"/>
              <w:szCs w:val="22"/>
            </w:rPr>
            <m:t>VRAN</m:t>
          </m:r>
          <m:r>
            <m:rPr>
              <m:sty m:val="p"/>
            </m:rPr>
            <w:rPr>
              <w:rFonts w:ascii="Cambria Math" w:hAnsi="Cambria Math"/>
              <w:sz w:val="22"/>
              <w:szCs w:val="22"/>
            </w:rPr>
            <m:t>×</m:t>
          </m:r>
          <m:f>
            <m:fPr>
              <m:ctrlPr>
                <w:rPr>
                  <w:rFonts w:ascii="Cambria Math" w:hAnsi="Cambria Math"/>
                  <w:sz w:val="22"/>
                  <w:szCs w:val="22"/>
                </w:rPr>
              </m:ctrlPr>
            </m:fPr>
            <m:num>
              <m:r>
                <w:rPr>
                  <w:rFonts w:ascii="Cambria Math" w:hAnsi="Cambria Math"/>
                  <w:sz w:val="22"/>
                  <w:szCs w:val="22"/>
                </w:rPr>
                <m:t>VUR</m:t>
              </m:r>
            </m:num>
            <m:den>
              <m:r>
                <w:rPr>
                  <w:rFonts w:ascii="Cambria Math" w:hAnsi="Cambria Math"/>
                  <w:sz w:val="22"/>
                  <w:szCs w:val="22"/>
                </w:rPr>
                <m:t>VU</m:t>
              </m:r>
            </m:den>
          </m:f>
        </m:oMath>
      </m:oMathPara>
    </w:p>
    <w:p w:rsidR="0037077A" w:rsidRPr="00A73476" w:rsidRDefault="0037077A" w:rsidP="000027E9">
      <w:pPr>
        <w:pStyle w:val="Citadestacada"/>
        <w:rPr>
          <w:sz w:val="22"/>
          <w:szCs w:val="22"/>
        </w:rPr>
      </w:pPr>
    </w:p>
    <w:p w:rsidR="0037077A" w:rsidRPr="00C9615F" w:rsidRDefault="0037077A" w:rsidP="00C9615F">
      <w:pPr>
        <w:pStyle w:val="Citadestacada"/>
        <w:ind w:left="284" w:right="284"/>
        <w:rPr>
          <w:i/>
          <w:sz w:val="22"/>
          <w:szCs w:val="22"/>
        </w:rPr>
      </w:pPr>
      <w:r w:rsidRPr="00C9615F">
        <w:rPr>
          <w:i/>
          <w:sz w:val="22"/>
          <w:szCs w:val="22"/>
        </w:rPr>
        <w:t>Donde,</w:t>
      </w:r>
    </w:p>
    <w:p w:rsidR="0037077A" w:rsidRPr="00C9615F" w:rsidRDefault="0037077A" w:rsidP="00C9615F">
      <w:pPr>
        <w:pStyle w:val="Citadestacada"/>
        <w:ind w:left="284" w:right="284"/>
        <w:rPr>
          <w:i/>
          <w:sz w:val="22"/>
          <w:szCs w:val="22"/>
        </w:rPr>
      </w:pPr>
    </w:p>
    <w:p w:rsidR="0037077A" w:rsidRPr="00C9615F" w:rsidRDefault="004F7CD0" w:rsidP="00C83787">
      <w:pPr>
        <w:pStyle w:val="Citadestacada"/>
        <w:ind w:left="1418" w:right="284" w:hanging="1134"/>
        <w:rPr>
          <w:i/>
          <w:sz w:val="22"/>
          <w:szCs w:val="22"/>
        </w:rPr>
      </w:pPr>
      <m:oMath>
        <m:sSub>
          <m:sSubPr>
            <m:ctrlPr>
              <w:rPr>
                <w:rFonts w:ascii="Cambria Math" w:hAnsi="Cambria Math"/>
                <w:i/>
                <w:sz w:val="22"/>
                <w:szCs w:val="22"/>
              </w:rPr>
            </m:ctrlPr>
          </m:sSubPr>
          <m:e>
            <m:r>
              <w:rPr>
                <w:rFonts w:ascii="Cambria Math" w:hAnsi="Cambria Math"/>
                <w:sz w:val="22"/>
                <w:szCs w:val="22"/>
              </w:rPr>
              <m:t>VAO</m:t>
            </m:r>
          </m:e>
          <m:sub>
            <m:r>
              <w:rPr>
                <w:rFonts w:ascii="Cambria Math" w:hAnsi="Cambria Math"/>
                <w:sz w:val="22"/>
                <w:szCs w:val="22"/>
              </w:rPr>
              <m:t>t</m:t>
            </m:r>
          </m:sub>
        </m:sSub>
        <m:r>
          <w:rPr>
            <w:rFonts w:ascii="Cambria Math" w:hAnsi="Cambria Math"/>
            <w:sz w:val="22"/>
            <w:szCs w:val="22"/>
          </w:rPr>
          <m:t>:</m:t>
        </m:r>
      </m:oMath>
      <w:r w:rsidR="0037077A" w:rsidRPr="00C9615F">
        <w:rPr>
          <w:i/>
          <w:sz w:val="22"/>
          <w:szCs w:val="22"/>
        </w:rPr>
        <w:t xml:space="preserve"> </w:t>
      </w:r>
      <w:r w:rsidR="0037077A" w:rsidRPr="00C9615F">
        <w:rPr>
          <w:i/>
          <w:sz w:val="22"/>
          <w:szCs w:val="22"/>
        </w:rPr>
        <w:tab/>
        <w:t>Valor del activo si se mantiene en operación, expresado en dólares de la Fecha Base.</w:t>
      </w:r>
    </w:p>
    <w:p w:rsidR="0037077A" w:rsidRPr="00C9615F" w:rsidRDefault="0037077A" w:rsidP="00C9615F">
      <w:pPr>
        <w:pStyle w:val="Citadestacada"/>
        <w:ind w:left="284" w:right="284"/>
        <w:rPr>
          <w:i/>
          <w:sz w:val="22"/>
          <w:szCs w:val="22"/>
        </w:rPr>
      </w:pPr>
    </w:p>
    <w:p w:rsidR="0037077A" w:rsidRPr="00C9615F" w:rsidRDefault="00C9615F" w:rsidP="00C83787">
      <w:pPr>
        <w:pStyle w:val="Citadestacada"/>
        <w:ind w:left="1418" w:right="284" w:hanging="1134"/>
        <w:rPr>
          <w:i/>
          <w:sz w:val="22"/>
          <w:szCs w:val="22"/>
        </w:rPr>
      </w:pPr>
      <m:oMath>
        <m:r>
          <w:rPr>
            <w:rFonts w:ascii="Cambria Math" w:hAnsi="Cambria Math"/>
            <w:sz w:val="22"/>
            <w:szCs w:val="22"/>
          </w:rPr>
          <m:t>VRAN:</m:t>
        </m:r>
      </m:oMath>
      <w:r w:rsidR="0037077A" w:rsidRPr="00C9615F">
        <w:rPr>
          <w:i/>
          <w:sz w:val="22"/>
          <w:szCs w:val="22"/>
        </w:rPr>
        <w:tab/>
        <w:t>Costo de reposición a nuevo del activo, expresado en dólares de la Fecha Base.</w:t>
      </w:r>
    </w:p>
    <w:p w:rsidR="0037077A" w:rsidRPr="00C9615F" w:rsidRDefault="0037077A" w:rsidP="00C9615F">
      <w:pPr>
        <w:pStyle w:val="Citadestacada"/>
        <w:ind w:left="284" w:right="284"/>
        <w:rPr>
          <w:i/>
          <w:sz w:val="22"/>
          <w:szCs w:val="22"/>
        </w:rPr>
      </w:pPr>
    </w:p>
    <w:p w:rsidR="0037077A" w:rsidRPr="00C9615F" w:rsidRDefault="00C9615F" w:rsidP="00C83787">
      <w:pPr>
        <w:pStyle w:val="Citadestacada"/>
        <w:ind w:left="1418" w:right="284" w:hanging="1134"/>
        <w:rPr>
          <w:i/>
          <w:sz w:val="22"/>
          <w:szCs w:val="22"/>
        </w:rPr>
      </w:pPr>
      <m:oMath>
        <m:r>
          <w:rPr>
            <w:rFonts w:ascii="Cambria Math" w:hAnsi="Cambria Math"/>
            <w:sz w:val="22"/>
            <w:szCs w:val="22"/>
          </w:rPr>
          <m:t>VUR:</m:t>
        </m:r>
      </m:oMath>
      <w:r w:rsidR="0037077A" w:rsidRPr="00C9615F">
        <w:rPr>
          <w:i/>
          <w:sz w:val="22"/>
          <w:szCs w:val="22"/>
        </w:rPr>
        <w:t xml:space="preserve"> </w:t>
      </w:r>
      <w:r w:rsidR="0037077A" w:rsidRPr="00C9615F">
        <w:rPr>
          <w:i/>
          <w:sz w:val="22"/>
          <w:szCs w:val="22"/>
        </w:rPr>
        <w:tab/>
        <w:t>Vida útil remanente, calculada como la diferencia entre la Vida Útil y la Vida Útil Normativa.</w:t>
      </w:r>
    </w:p>
    <w:p w:rsidR="0037077A" w:rsidRPr="00C9615F" w:rsidRDefault="0037077A" w:rsidP="00C9615F">
      <w:pPr>
        <w:pStyle w:val="Citadestacada"/>
        <w:ind w:left="284" w:right="284"/>
        <w:rPr>
          <w:i/>
          <w:sz w:val="22"/>
          <w:szCs w:val="22"/>
        </w:rPr>
      </w:pPr>
    </w:p>
    <w:p w:rsidR="0037077A" w:rsidRPr="00C9615F" w:rsidRDefault="00C9615F" w:rsidP="00C9615F">
      <w:pPr>
        <w:pStyle w:val="Citadestacada"/>
        <w:ind w:left="284" w:right="284"/>
        <w:rPr>
          <w:i/>
          <w:sz w:val="22"/>
          <w:szCs w:val="22"/>
        </w:rPr>
      </w:pPr>
      <m:oMath>
        <m:r>
          <w:rPr>
            <w:rFonts w:ascii="Cambria Math" w:hAnsi="Cambria Math"/>
            <w:sz w:val="22"/>
            <w:szCs w:val="22"/>
          </w:rPr>
          <m:t>VU:</m:t>
        </m:r>
      </m:oMath>
      <w:r w:rsidR="0037077A" w:rsidRPr="00C9615F">
        <w:rPr>
          <w:i/>
          <w:sz w:val="22"/>
          <w:szCs w:val="22"/>
        </w:rPr>
        <w:t xml:space="preserve"> </w:t>
      </w:r>
      <w:r w:rsidR="0037077A" w:rsidRPr="00C9615F">
        <w:rPr>
          <w:i/>
          <w:sz w:val="22"/>
          <w:szCs w:val="22"/>
        </w:rPr>
        <w:tab/>
      </w:r>
      <w:r w:rsidR="00C83787">
        <w:rPr>
          <w:i/>
          <w:sz w:val="22"/>
          <w:szCs w:val="22"/>
        </w:rPr>
        <w:t xml:space="preserve">          </w:t>
      </w:r>
      <w:r w:rsidR="0037077A" w:rsidRPr="00C9615F">
        <w:rPr>
          <w:i/>
          <w:sz w:val="22"/>
          <w:szCs w:val="22"/>
        </w:rPr>
        <w:t>Vida Útil.</w:t>
      </w:r>
    </w:p>
    <w:p w:rsidR="0037077A" w:rsidRPr="00C9615F" w:rsidRDefault="0037077A" w:rsidP="00C9615F">
      <w:pPr>
        <w:pStyle w:val="Citadestacada"/>
        <w:ind w:left="284" w:right="284"/>
        <w:rPr>
          <w:i/>
          <w:sz w:val="22"/>
          <w:szCs w:val="22"/>
        </w:rPr>
      </w:pPr>
    </w:p>
    <w:p w:rsidR="0037077A" w:rsidRPr="00C9615F" w:rsidRDefault="003A7907" w:rsidP="00C9615F">
      <w:pPr>
        <w:pStyle w:val="Citadestacada"/>
        <w:ind w:left="284" w:right="284"/>
        <w:rPr>
          <w:i/>
          <w:sz w:val="22"/>
          <w:szCs w:val="22"/>
        </w:rPr>
      </w:pPr>
      <w:r w:rsidRPr="00C9615F">
        <w:rPr>
          <w:i/>
          <w:sz w:val="22"/>
          <w:szCs w:val="22"/>
        </w:rPr>
        <w:t>ii.</w:t>
      </w:r>
      <w:r w:rsidRPr="00C9615F">
        <w:rPr>
          <w:i/>
          <w:sz w:val="22"/>
          <w:szCs w:val="22"/>
        </w:rPr>
        <w:tab/>
        <w:t xml:space="preserve">El valor a reconocer si decide reponerlo. Este valor es el costo de oportunidad del activo </w:t>
      </w:r>
      <m:oMath>
        <m:r>
          <w:rPr>
            <w:rFonts w:ascii="Cambria Math" w:hAnsi="Cambria Math"/>
            <w:sz w:val="22"/>
            <w:szCs w:val="22"/>
          </w:rPr>
          <m:t>VRAN:</m:t>
        </m:r>
      </m:oMath>
      <w:r w:rsidRPr="00C9615F">
        <w:rPr>
          <w:i/>
          <w:sz w:val="22"/>
          <w:szCs w:val="22"/>
        </w:rPr>
        <w:t xml:space="preserve"> , expresado en dólares de la Fecha Base</w:t>
      </w:r>
    </w:p>
    <w:p w:rsidR="003A7907" w:rsidRPr="00C9615F" w:rsidRDefault="003A7907" w:rsidP="00C9615F">
      <w:pPr>
        <w:pStyle w:val="Citadestacada"/>
        <w:ind w:left="284" w:right="284"/>
        <w:rPr>
          <w:i/>
          <w:sz w:val="22"/>
          <w:szCs w:val="22"/>
        </w:rPr>
      </w:pPr>
    </w:p>
    <w:p w:rsidR="0037077A" w:rsidRPr="00C9615F" w:rsidRDefault="0037077A" w:rsidP="00C9615F">
      <w:pPr>
        <w:pStyle w:val="Citadestacada"/>
        <w:ind w:left="284" w:right="284"/>
        <w:rPr>
          <w:i/>
          <w:sz w:val="22"/>
          <w:szCs w:val="22"/>
        </w:rPr>
      </w:pPr>
      <w:r w:rsidRPr="00C9615F">
        <w:rPr>
          <w:i/>
          <w:sz w:val="22"/>
          <w:szCs w:val="22"/>
        </w:rPr>
        <w:t>Estos valores se reconocerán al transportador por un período de veinte (20) años.</w:t>
      </w:r>
    </w:p>
    <w:p w:rsidR="0037077A" w:rsidRPr="00C9615F" w:rsidRDefault="0037077A" w:rsidP="00C9615F">
      <w:pPr>
        <w:pStyle w:val="Citadestacada"/>
        <w:ind w:left="284" w:right="284"/>
        <w:rPr>
          <w:i/>
          <w:sz w:val="22"/>
          <w:szCs w:val="22"/>
        </w:rPr>
      </w:pPr>
    </w:p>
    <w:p w:rsidR="003A7907" w:rsidRPr="00C9615F" w:rsidRDefault="003A7907" w:rsidP="00C9615F">
      <w:pPr>
        <w:pStyle w:val="Citadestacada"/>
        <w:ind w:left="284" w:right="284"/>
        <w:rPr>
          <w:i/>
          <w:sz w:val="22"/>
          <w:szCs w:val="22"/>
        </w:rPr>
      </w:pPr>
      <w:r w:rsidRPr="00C9615F">
        <w:rPr>
          <w:i/>
          <w:sz w:val="22"/>
          <w:szCs w:val="22"/>
        </w:rPr>
        <w:lastRenderedPageBreak/>
        <w:t>c)</w:t>
      </w:r>
      <w:r w:rsidRPr="00C9615F">
        <w:rPr>
          <w:i/>
          <w:sz w:val="22"/>
          <w:szCs w:val="22"/>
        </w:rPr>
        <w:tab/>
        <w:t>La empresa transportadora deberá informar a la Comisión acerca de la decisión tomada dentro del Mes siguiente a la fecha de notificación. El transportador reportará alguna de las siguientes decisiones:</w:t>
      </w:r>
    </w:p>
    <w:p w:rsidR="0037077A" w:rsidRPr="00C9615F" w:rsidRDefault="0037077A" w:rsidP="00C9615F">
      <w:pPr>
        <w:pStyle w:val="Citadestacada"/>
        <w:ind w:left="284" w:right="284"/>
        <w:rPr>
          <w:i/>
          <w:sz w:val="22"/>
          <w:szCs w:val="22"/>
        </w:rPr>
      </w:pPr>
    </w:p>
    <w:p w:rsidR="0037077A" w:rsidRPr="00C9615F" w:rsidRDefault="0037077A" w:rsidP="00C9615F">
      <w:pPr>
        <w:pStyle w:val="Citadestacada"/>
        <w:numPr>
          <w:ilvl w:val="0"/>
          <w:numId w:val="35"/>
        </w:numPr>
        <w:ind w:left="284" w:right="284"/>
        <w:rPr>
          <w:b/>
          <w:i/>
          <w:sz w:val="22"/>
          <w:szCs w:val="22"/>
          <w:u w:val="single"/>
        </w:rPr>
      </w:pPr>
      <w:r w:rsidRPr="00C9615F">
        <w:rPr>
          <w:i/>
          <w:sz w:val="22"/>
          <w:szCs w:val="22"/>
          <w:u w:val="single"/>
        </w:rPr>
        <w:t xml:space="preserve">Continuar operando el </w:t>
      </w:r>
      <w:r w:rsidRPr="00C9615F">
        <w:rPr>
          <w:b/>
          <w:i/>
          <w:sz w:val="22"/>
          <w:szCs w:val="22"/>
          <w:u w:val="single"/>
        </w:rPr>
        <w:t>activo</w:t>
      </w:r>
      <w:r w:rsidRPr="00C9615F">
        <w:rPr>
          <w:i/>
          <w:sz w:val="22"/>
          <w:szCs w:val="22"/>
          <w:u w:val="single"/>
        </w:rPr>
        <w:t xml:space="preserve"> existente</w:t>
      </w:r>
      <w:r w:rsidRPr="00C9615F">
        <w:rPr>
          <w:i/>
          <w:sz w:val="22"/>
          <w:szCs w:val="22"/>
        </w:rPr>
        <w:t xml:space="preserve">: En tal caso deberá solicitar a la Comisión un ajuste de los cargos regulados a que haya lugar. </w:t>
      </w:r>
      <w:r w:rsidRPr="00C9615F">
        <w:rPr>
          <w:b/>
          <w:i/>
          <w:sz w:val="22"/>
          <w:szCs w:val="22"/>
          <w:u w:val="single"/>
        </w:rPr>
        <w:t xml:space="preserve">Este ajuste se determinará de conformidad con el valor </w:t>
      </w:r>
      <m:oMath>
        <m:sSub>
          <m:sSubPr>
            <m:ctrlPr>
              <w:rPr>
                <w:rFonts w:ascii="Cambria Math" w:hAnsi="Cambria Math"/>
                <w:b/>
                <w:i/>
                <w:sz w:val="22"/>
                <w:szCs w:val="22"/>
                <w:u w:val="single"/>
              </w:rPr>
            </m:ctrlPr>
          </m:sSubPr>
          <m:e>
            <m:r>
              <m:rPr>
                <m:sty m:val="bi"/>
              </m:rPr>
              <w:rPr>
                <w:rFonts w:ascii="Cambria Math" w:hAnsi="Cambria Math"/>
                <w:sz w:val="22"/>
                <w:szCs w:val="22"/>
                <w:u w:val="single"/>
              </w:rPr>
              <m:t>VAO</m:t>
            </m:r>
          </m:e>
          <m:sub>
            <m:r>
              <m:rPr>
                <m:sty m:val="bi"/>
              </m:rPr>
              <w:rPr>
                <w:rFonts w:ascii="Cambria Math" w:hAnsi="Cambria Math"/>
                <w:sz w:val="22"/>
                <w:szCs w:val="22"/>
                <w:u w:val="single"/>
              </w:rPr>
              <m:t>t</m:t>
            </m:r>
          </m:sub>
        </m:sSub>
      </m:oMath>
      <w:r w:rsidRPr="00C9615F">
        <w:rPr>
          <w:b/>
          <w:i/>
          <w:sz w:val="22"/>
          <w:szCs w:val="22"/>
          <w:u w:val="single"/>
        </w:rPr>
        <w:t xml:space="preserve">. </w:t>
      </w:r>
    </w:p>
    <w:p w:rsidR="0037077A" w:rsidRPr="00C9615F" w:rsidRDefault="0037077A" w:rsidP="00C9615F">
      <w:pPr>
        <w:pStyle w:val="Citadestacada"/>
        <w:ind w:left="284" w:right="284"/>
        <w:rPr>
          <w:i/>
          <w:sz w:val="22"/>
          <w:szCs w:val="22"/>
        </w:rPr>
      </w:pPr>
    </w:p>
    <w:p w:rsidR="0037077A" w:rsidRPr="00C9615F" w:rsidRDefault="0037077A" w:rsidP="00C9615F">
      <w:pPr>
        <w:pStyle w:val="Citadestacada"/>
        <w:numPr>
          <w:ilvl w:val="0"/>
          <w:numId w:val="35"/>
        </w:numPr>
        <w:ind w:left="284" w:right="284"/>
        <w:rPr>
          <w:i/>
          <w:sz w:val="22"/>
          <w:szCs w:val="22"/>
        </w:rPr>
      </w:pPr>
      <w:r w:rsidRPr="00C9615F">
        <w:rPr>
          <w:i/>
          <w:sz w:val="22"/>
          <w:szCs w:val="22"/>
          <w:u w:val="single"/>
        </w:rPr>
        <w:t xml:space="preserve">Reposición del </w:t>
      </w:r>
      <w:r w:rsidRPr="00C9615F">
        <w:rPr>
          <w:b/>
          <w:i/>
          <w:sz w:val="22"/>
          <w:szCs w:val="22"/>
          <w:u w:val="single"/>
        </w:rPr>
        <w:t>activo</w:t>
      </w:r>
      <w:r w:rsidRPr="00C9615F">
        <w:rPr>
          <w:i/>
          <w:sz w:val="22"/>
          <w:szCs w:val="22"/>
        </w:rPr>
        <w:t xml:space="preserve">: En tal caso, la empresa transportadora deberá </w:t>
      </w:r>
      <w:r w:rsidRPr="00C9615F">
        <w:rPr>
          <w:b/>
          <w:i/>
          <w:sz w:val="22"/>
          <w:szCs w:val="22"/>
          <w:u w:val="single"/>
        </w:rPr>
        <w:t>solicitar un ajuste de los cargos regulados una vez el nuevo activo entre en operación</w:t>
      </w:r>
      <w:r w:rsidRPr="00C9615F">
        <w:rPr>
          <w:i/>
          <w:sz w:val="22"/>
          <w:szCs w:val="22"/>
        </w:rPr>
        <w:t xml:space="preserve">. Durante el período comprendido entre la fecha en que el activo existente cumpla la Vida Útil Normativa y la fecha de entrada en operación del nuevo activo se reconocerá el valor de </w:t>
      </w:r>
      <m:oMath>
        <m:sSub>
          <m:sSubPr>
            <m:ctrlPr>
              <w:rPr>
                <w:rFonts w:ascii="Cambria Math" w:hAnsi="Cambria Math"/>
                <w:i/>
                <w:sz w:val="22"/>
                <w:szCs w:val="22"/>
              </w:rPr>
            </m:ctrlPr>
          </m:sSubPr>
          <m:e>
            <m:r>
              <w:rPr>
                <w:rFonts w:ascii="Cambria Math" w:hAnsi="Cambria Math"/>
                <w:sz w:val="22"/>
                <w:szCs w:val="22"/>
              </w:rPr>
              <m:t>VAO</m:t>
            </m:r>
          </m:e>
          <m:sub>
            <m:r>
              <w:rPr>
                <w:rFonts w:ascii="Cambria Math" w:hAnsi="Cambria Math"/>
                <w:sz w:val="22"/>
                <w:szCs w:val="22"/>
              </w:rPr>
              <m:t>t</m:t>
            </m:r>
          </m:sub>
        </m:sSub>
      </m:oMath>
      <w:r w:rsidRPr="00C9615F">
        <w:rPr>
          <w:i/>
          <w:sz w:val="22"/>
          <w:szCs w:val="22"/>
        </w:rPr>
        <w:t>, siempre y cuando el activo a reponer se haya mantenido en operación.</w:t>
      </w:r>
    </w:p>
    <w:p w:rsidR="0037077A" w:rsidRPr="00C9615F" w:rsidRDefault="0037077A" w:rsidP="00C9615F">
      <w:pPr>
        <w:pStyle w:val="Citadestacada"/>
        <w:ind w:left="284" w:right="284"/>
        <w:rPr>
          <w:i/>
          <w:sz w:val="22"/>
          <w:szCs w:val="22"/>
        </w:rPr>
      </w:pPr>
    </w:p>
    <w:p w:rsidR="0037077A" w:rsidRPr="00C9615F" w:rsidRDefault="0037077A" w:rsidP="00C9615F">
      <w:pPr>
        <w:pStyle w:val="Citadestacada"/>
        <w:ind w:left="284" w:right="284"/>
        <w:rPr>
          <w:i/>
          <w:sz w:val="22"/>
          <w:szCs w:val="22"/>
        </w:rPr>
      </w:pPr>
      <w:r w:rsidRPr="00C9615F">
        <w:rPr>
          <w:i/>
          <w:sz w:val="22"/>
          <w:szCs w:val="22"/>
        </w:rPr>
        <w:t xml:space="preserve">Para efecto del cálculo tarifario la CREG calculará el Factor de Utilización y de ser necesario ajustará las demandas hasta alcanzar el Factor de Utilización Normativo. Las demás variables del cálculo tarifario no serán sujetas de modificación. </w:t>
      </w:r>
    </w:p>
    <w:p w:rsidR="0037077A" w:rsidRPr="00C9615F" w:rsidRDefault="0037077A" w:rsidP="00C9615F">
      <w:pPr>
        <w:pStyle w:val="Citadestacada"/>
        <w:ind w:left="284" w:right="284"/>
        <w:rPr>
          <w:i/>
          <w:sz w:val="22"/>
          <w:szCs w:val="22"/>
        </w:rPr>
      </w:pPr>
    </w:p>
    <w:p w:rsidR="0037077A" w:rsidRPr="00C9615F" w:rsidRDefault="0037077A" w:rsidP="00C9615F">
      <w:pPr>
        <w:pStyle w:val="Citadestacada"/>
        <w:ind w:left="284" w:right="284"/>
        <w:rPr>
          <w:i/>
          <w:sz w:val="22"/>
          <w:szCs w:val="22"/>
        </w:rPr>
      </w:pPr>
      <w:r w:rsidRPr="00C9615F">
        <w:rPr>
          <w:b/>
          <w:i/>
          <w:sz w:val="22"/>
          <w:szCs w:val="22"/>
        </w:rPr>
        <w:t>Parágrafo 1.</w:t>
      </w:r>
      <w:r w:rsidRPr="00C9615F">
        <w:rPr>
          <w:i/>
          <w:sz w:val="22"/>
          <w:szCs w:val="22"/>
        </w:rPr>
        <w:t xml:space="preserve"> </w:t>
      </w:r>
      <w:r w:rsidRPr="00C9615F">
        <w:rPr>
          <w:b/>
          <w:i/>
          <w:sz w:val="22"/>
          <w:szCs w:val="22"/>
          <w:u w:val="single"/>
        </w:rPr>
        <w:t>En ningún caso se efectuarán modificaciones al monto de las inversiones existentes, ocasionadas por reemplazos de activos propios de la operación antes de concluir su Vida Útil Normativa</w:t>
      </w:r>
      <w:r w:rsidR="000B2201" w:rsidRPr="00C9615F">
        <w:rPr>
          <w:i/>
          <w:sz w:val="22"/>
          <w:szCs w:val="22"/>
        </w:rPr>
        <w:t>. (…)</w:t>
      </w:r>
      <w:r w:rsidRPr="00C9615F">
        <w:rPr>
          <w:i/>
          <w:sz w:val="22"/>
          <w:szCs w:val="22"/>
        </w:rPr>
        <w:t>”.</w:t>
      </w:r>
      <w:r w:rsidR="000B2201" w:rsidRPr="00C9615F">
        <w:rPr>
          <w:i/>
          <w:sz w:val="22"/>
          <w:szCs w:val="22"/>
        </w:rPr>
        <w:t xml:space="preserve"> (Resaltado fuera de texto)</w:t>
      </w:r>
    </w:p>
    <w:p w:rsidR="0037077A" w:rsidRPr="00A73476" w:rsidRDefault="0037077A" w:rsidP="0037077A">
      <w:pPr>
        <w:suppressAutoHyphens/>
        <w:rPr>
          <w:rFonts w:cs="Arial"/>
          <w:sz w:val="22"/>
          <w:szCs w:val="22"/>
          <w:lang w:val="es-ES_tradnl"/>
        </w:rPr>
      </w:pPr>
    </w:p>
    <w:p w:rsidR="00BC136E" w:rsidRPr="00361436" w:rsidRDefault="00BC136E" w:rsidP="00361436">
      <w:pPr>
        <w:pStyle w:val="Textoindependiente2"/>
        <w:spacing w:after="0" w:line="240" w:lineRule="auto"/>
        <w:ind w:left="-142" w:right="-142"/>
        <w:rPr>
          <w:szCs w:val="27"/>
        </w:rPr>
      </w:pPr>
      <w:r>
        <w:rPr>
          <w:szCs w:val="27"/>
        </w:rPr>
        <w:t>Ahora bien, con relación a las disposiciones citadas de</w:t>
      </w:r>
      <w:r w:rsidR="004334A6">
        <w:rPr>
          <w:szCs w:val="27"/>
        </w:rPr>
        <w:t xml:space="preserve"> la metodología en relación con la </w:t>
      </w:r>
      <w:r>
        <w:rPr>
          <w:szCs w:val="27"/>
        </w:rPr>
        <w:t>VUN</w:t>
      </w:r>
      <w:r w:rsidR="00E47F65">
        <w:rPr>
          <w:szCs w:val="27"/>
        </w:rPr>
        <w:t>,</w:t>
      </w:r>
      <w:r>
        <w:rPr>
          <w:szCs w:val="27"/>
        </w:rPr>
        <w:t xml:space="preserve"> esta Comisión </w:t>
      </w:r>
      <w:r w:rsidR="006B1216">
        <w:rPr>
          <w:szCs w:val="27"/>
        </w:rPr>
        <w:t xml:space="preserve">expuso frente </w:t>
      </w:r>
      <w:r w:rsidRPr="00361436">
        <w:rPr>
          <w:szCs w:val="27"/>
        </w:rPr>
        <w:t xml:space="preserve">al mecanismo de remuneración </w:t>
      </w:r>
      <w:r w:rsidR="006B1216" w:rsidRPr="00361436">
        <w:rPr>
          <w:szCs w:val="27"/>
        </w:rPr>
        <w:t>dentro del documento 100 de 2010 lo siguiente:</w:t>
      </w:r>
    </w:p>
    <w:p w:rsidR="00BC136E" w:rsidRPr="00BC136E" w:rsidRDefault="00BC136E" w:rsidP="00BC136E">
      <w:pPr>
        <w:suppressAutoHyphens/>
        <w:rPr>
          <w:rFonts w:ascii="Arial" w:hAnsi="Arial" w:cs="Arial"/>
          <w:sz w:val="22"/>
          <w:szCs w:val="22"/>
          <w:lang w:val="es-ES_tradnl"/>
        </w:rPr>
      </w:pPr>
    </w:p>
    <w:p w:rsidR="00BC136E" w:rsidRPr="00C9615F" w:rsidRDefault="00BC136E" w:rsidP="00C9615F">
      <w:pPr>
        <w:suppressAutoHyphens/>
        <w:ind w:left="284" w:right="284"/>
        <w:rPr>
          <w:rFonts w:cs="Arial"/>
          <w:i/>
          <w:sz w:val="22"/>
          <w:szCs w:val="22"/>
          <w:lang w:val="es-ES_tradnl"/>
        </w:rPr>
      </w:pPr>
      <w:r w:rsidRPr="00C9615F">
        <w:rPr>
          <w:rFonts w:cs="Arial"/>
          <w:i/>
          <w:sz w:val="22"/>
          <w:szCs w:val="22"/>
          <w:lang w:val="es-ES_tradnl"/>
        </w:rPr>
        <w:t>“La Comisión definió en el artículo 3 de la Resolución CREG 001 de 2000 los siguientes criterios sobre la reposición de un activo una vez cumpla su vida útil normativa:</w:t>
      </w:r>
    </w:p>
    <w:p w:rsidR="00BC136E" w:rsidRPr="00C9615F" w:rsidRDefault="00BC136E" w:rsidP="00C9615F">
      <w:pPr>
        <w:suppressAutoHyphens/>
        <w:ind w:left="284" w:right="284"/>
        <w:rPr>
          <w:rFonts w:cs="Arial"/>
          <w:i/>
          <w:sz w:val="22"/>
          <w:szCs w:val="22"/>
          <w:lang w:val="es-ES_tradnl"/>
        </w:rPr>
      </w:pPr>
    </w:p>
    <w:p w:rsidR="00BC136E" w:rsidRPr="00C9615F" w:rsidRDefault="00BC136E" w:rsidP="00C9615F">
      <w:pPr>
        <w:suppressAutoHyphens/>
        <w:ind w:left="284" w:right="284"/>
        <w:rPr>
          <w:rFonts w:cs="Arial"/>
          <w:i/>
          <w:sz w:val="22"/>
          <w:szCs w:val="22"/>
          <w:lang w:val="es-ES_tradnl"/>
        </w:rPr>
      </w:pPr>
      <w:r w:rsidRPr="00C9615F">
        <w:rPr>
          <w:rFonts w:cs="Arial"/>
          <w:i/>
          <w:sz w:val="22"/>
          <w:szCs w:val="22"/>
          <w:lang w:val="es-ES_tradnl"/>
        </w:rPr>
        <w:t>‘Para activos en servicio, exceptuando terrenos y edificaciones, una vez transcurrida la Vida Útil Normativa se calculará el costo de oportunidad del activo a partir del año veinte transcurrido desde la fecha de entrada en operación del mismo. El cálculo del costo de oportunidad del activo se establecerá tomando en cuenta la proporción entre la vida útil remanente y la vida útil total estimada (vida útil transcurrida más vida útil remanente).</w:t>
      </w:r>
    </w:p>
    <w:p w:rsidR="00BC136E" w:rsidRPr="00C9615F" w:rsidRDefault="00BC136E" w:rsidP="00C9615F">
      <w:pPr>
        <w:suppressAutoHyphens/>
        <w:ind w:left="284" w:right="284"/>
        <w:rPr>
          <w:rFonts w:cs="Arial"/>
          <w:i/>
          <w:sz w:val="22"/>
          <w:szCs w:val="22"/>
          <w:lang w:val="es-ES_tradnl"/>
        </w:rPr>
      </w:pPr>
    </w:p>
    <w:p w:rsidR="00BC136E" w:rsidRPr="00C9615F" w:rsidRDefault="00BC136E" w:rsidP="00C9615F">
      <w:pPr>
        <w:suppressAutoHyphens/>
        <w:ind w:left="284" w:right="284"/>
        <w:rPr>
          <w:rFonts w:cs="Arial"/>
          <w:i/>
          <w:sz w:val="22"/>
          <w:szCs w:val="22"/>
          <w:lang w:val="es-ES_tradnl"/>
        </w:rPr>
      </w:pPr>
      <w:r w:rsidRPr="00C9615F">
        <w:rPr>
          <w:rFonts w:cs="Arial"/>
          <w:i/>
          <w:sz w:val="22"/>
          <w:szCs w:val="22"/>
          <w:lang w:val="es-ES_tradnl"/>
        </w:rPr>
        <w:t>Para activos cuya Vida Útil Normativa se agote durante el Período Tarifario empleado en la revisión, el Transportador realizará los análisis y sustentará ante la CREG la conveniencia de su retiro o reposición teniendo en cuenta las condiciones técnicas del activo, sus costos de operación y mantenimiento, aspectos de seguridad, confiabilidad y calidad del servicio entre otros. Análisis que conducirá a una de las siguientes dos opciones:</w:t>
      </w:r>
    </w:p>
    <w:p w:rsidR="00BC136E" w:rsidRPr="00C9615F" w:rsidRDefault="00BC136E" w:rsidP="00C9615F">
      <w:pPr>
        <w:suppressAutoHyphens/>
        <w:ind w:left="284" w:right="284"/>
        <w:rPr>
          <w:rFonts w:cs="Arial"/>
          <w:i/>
          <w:sz w:val="22"/>
          <w:szCs w:val="22"/>
          <w:lang w:val="es-ES_tradnl"/>
        </w:rPr>
      </w:pPr>
    </w:p>
    <w:p w:rsidR="00BC136E" w:rsidRPr="00C9615F" w:rsidRDefault="00BC136E" w:rsidP="00C9615F">
      <w:pPr>
        <w:numPr>
          <w:ilvl w:val="0"/>
          <w:numId w:val="24"/>
        </w:numPr>
        <w:ind w:left="284" w:right="284" w:hanging="426"/>
        <w:rPr>
          <w:rFonts w:cs="Arial"/>
          <w:i/>
          <w:sz w:val="22"/>
          <w:szCs w:val="22"/>
        </w:rPr>
      </w:pPr>
      <w:r w:rsidRPr="00C9615F">
        <w:rPr>
          <w:rFonts w:cs="Arial"/>
          <w:i/>
          <w:sz w:val="22"/>
          <w:szCs w:val="22"/>
        </w:rPr>
        <w:t>retirarlo del servicio al final de su Vida Útil Normativa y proceder a reemplazarlo, en cuyo caso dicho reemplazo constituirá un compromiso de inversión y aplicará lo previsto en esta Resolución para la valoración de nuevas inversiones. La inversión asociada al activo retirado no se incluirá en la base de activos considerada en el Período Tarifario correspondiente.</w:t>
      </w:r>
    </w:p>
    <w:p w:rsidR="00BC136E" w:rsidRPr="00C9615F" w:rsidRDefault="00BC136E" w:rsidP="00C9615F">
      <w:pPr>
        <w:ind w:left="284" w:right="284"/>
        <w:rPr>
          <w:rFonts w:cs="Arial"/>
          <w:i/>
          <w:sz w:val="22"/>
          <w:szCs w:val="22"/>
        </w:rPr>
      </w:pPr>
    </w:p>
    <w:p w:rsidR="00BC136E" w:rsidRPr="00C9615F" w:rsidRDefault="00BC136E" w:rsidP="00C9615F">
      <w:pPr>
        <w:numPr>
          <w:ilvl w:val="0"/>
          <w:numId w:val="24"/>
        </w:numPr>
        <w:ind w:left="284" w:right="284" w:hanging="426"/>
        <w:rPr>
          <w:rFonts w:cs="Arial"/>
          <w:i/>
          <w:sz w:val="22"/>
          <w:szCs w:val="22"/>
        </w:rPr>
      </w:pPr>
      <w:r w:rsidRPr="00C9615F">
        <w:rPr>
          <w:rFonts w:cs="Arial"/>
          <w:i/>
          <w:sz w:val="22"/>
          <w:szCs w:val="22"/>
        </w:rPr>
        <w:t xml:space="preserve">mantener el activo en operación después de agotada su Vida Útil Normativa, quedando a consideración de la CREG la determinación del costo de oportunidad de ese activo, conforme a lo descrito en el literal anterior.’ </w:t>
      </w:r>
    </w:p>
    <w:p w:rsidR="00BC136E" w:rsidRPr="00C9615F" w:rsidRDefault="00BC136E" w:rsidP="00C9615F">
      <w:pPr>
        <w:tabs>
          <w:tab w:val="left" w:pos="-720"/>
          <w:tab w:val="left" w:pos="0"/>
        </w:tabs>
        <w:suppressAutoHyphens/>
        <w:ind w:left="284" w:right="284"/>
        <w:rPr>
          <w:rFonts w:cs="Arial"/>
          <w:i/>
          <w:sz w:val="22"/>
          <w:szCs w:val="22"/>
          <w:lang w:val="es-ES_tradnl"/>
        </w:rPr>
      </w:pPr>
    </w:p>
    <w:p w:rsidR="00BC136E" w:rsidRPr="00C9615F" w:rsidRDefault="00BC136E" w:rsidP="00C9615F">
      <w:pPr>
        <w:tabs>
          <w:tab w:val="left" w:pos="-720"/>
          <w:tab w:val="left" w:pos="0"/>
        </w:tabs>
        <w:suppressAutoHyphens/>
        <w:ind w:left="284" w:right="284"/>
        <w:rPr>
          <w:rFonts w:cs="Arial"/>
          <w:i/>
          <w:sz w:val="22"/>
          <w:szCs w:val="22"/>
          <w:lang w:val="es-ES_tradnl"/>
        </w:rPr>
      </w:pPr>
      <w:r w:rsidRPr="00C9615F">
        <w:rPr>
          <w:rFonts w:cs="Arial"/>
          <w:i/>
          <w:sz w:val="22"/>
          <w:szCs w:val="22"/>
          <w:lang w:val="es-ES_tradnl"/>
        </w:rPr>
        <w:lastRenderedPageBreak/>
        <w:t>De otro lado, en el artículo 5 de la Resolución CREG 022 de 2009 se estableció lo siguiente:</w:t>
      </w:r>
    </w:p>
    <w:p w:rsidR="00BC136E" w:rsidRPr="00C9615F" w:rsidRDefault="00BC136E" w:rsidP="00C9615F">
      <w:pPr>
        <w:tabs>
          <w:tab w:val="left" w:pos="-720"/>
          <w:tab w:val="left" w:pos="0"/>
        </w:tabs>
        <w:suppressAutoHyphens/>
        <w:ind w:left="284" w:right="284"/>
        <w:rPr>
          <w:rFonts w:cs="Arial"/>
          <w:i/>
          <w:sz w:val="22"/>
          <w:szCs w:val="22"/>
          <w:lang w:val="es-ES_tradnl"/>
        </w:rPr>
      </w:pPr>
    </w:p>
    <w:p w:rsidR="00BC136E" w:rsidRPr="00C9615F" w:rsidRDefault="00BC136E" w:rsidP="00C9615F">
      <w:pPr>
        <w:tabs>
          <w:tab w:val="left" w:pos="-720"/>
          <w:tab w:val="left" w:pos="0"/>
        </w:tabs>
        <w:suppressAutoHyphens/>
        <w:ind w:left="284" w:right="284"/>
        <w:rPr>
          <w:rFonts w:cs="Arial"/>
          <w:i/>
          <w:sz w:val="22"/>
          <w:szCs w:val="22"/>
          <w:lang w:val="es-ES_tradnl"/>
        </w:rPr>
      </w:pPr>
      <w:r w:rsidRPr="00C9615F">
        <w:rPr>
          <w:rFonts w:cs="Arial"/>
          <w:i/>
          <w:sz w:val="22"/>
          <w:szCs w:val="22"/>
          <w:lang w:val="es-ES_tradnl"/>
        </w:rPr>
        <w:t xml:space="preserve">‘Para activos en servicio, exceptuando terrenos y edificaciones, una vez transcurrida su Vida Útil Normativa, el Transportador propondrá a la CREG la conveniencia de su retiro o reposición teniendo en cuenta las condiciones técnicas del activo, sus costos de operación y mantenimiento, aspectos de seguridad, confiabilidad y calidad del servicio entre otros. Con fundamento en dicho análisis el Transportador propondrá una de las siguientes dos opciones: </w:t>
      </w:r>
    </w:p>
    <w:p w:rsidR="00BC136E" w:rsidRPr="00C9615F" w:rsidRDefault="00BC136E" w:rsidP="00C9615F">
      <w:pPr>
        <w:tabs>
          <w:tab w:val="left" w:pos="-720"/>
          <w:tab w:val="left" w:pos="0"/>
        </w:tabs>
        <w:suppressAutoHyphens/>
        <w:ind w:left="284" w:right="284"/>
        <w:rPr>
          <w:rFonts w:cs="Arial"/>
          <w:i/>
          <w:sz w:val="22"/>
          <w:szCs w:val="22"/>
          <w:lang w:val="es-ES_tradnl"/>
        </w:rPr>
      </w:pPr>
    </w:p>
    <w:p w:rsidR="00BC136E" w:rsidRPr="00C9615F" w:rsidRDefault="00BC136E" w:rsidP="00C9615F">
      <w:pPr>
        <w:numPr>
          <w:ilvl w:val="0"/>
          <w:numId w:val="25"/>
        </w:numPr>
        <w:ind w:left="284" w:right="284" w:hanging="426"/>
        <w:rPr>
          <w:rFonts w:cs="Arial"/>
          <w:i/>
          <w:sz w:val="22"/>
          <w:szCs w:val="22"/>
        </w:rPr>
      </w:pPr>
      <w:r w:rsidRPr="00C9615F">
        <w:rPr>
          <w:rFonts w:cs="Arial"/>
          <w:i/>
          <w:sz w:val="22"/>
          <w:szCs w:val="22"/>
        </w:rPr>
        <w:t xml:space="preserve">Retirarlo del servicio al final de su Vida Útil Normativa y proceder a reemplazarlo, en cuyo caso el nuevo activo constituirá un compromiso de inversión y aplicará lo previsto en esta Resolución para el Programa de Nuevas Inversiones o para las inversiones no previstas en el Programa de Nuevas Inversiones. La inversión asociada a activos retirados, o aquellos que cumplan su Vida Útil Normativa, se excluye de la base de activos considerada en el Período Tarifario correspondiente, a partir del momento de su retiro o cumplimiento de la Vida Útil Normativa. Lo anterior se debe reflejar de manera inmediata en los cargos regulados que aplique el Transportador. </w:t>
      </w:r>
    </w:p>
    <w:p w:rsidR="00BC136E" w:rsidRPr="00C9615F" w:rsidRDefault="00BC136E" w:rsidP="00C9615F">
      <w:pPr>
        <w:ind w:left="284" w:right="284"/>
        <w:rPr>
          <w:rFonts w:cs="Arial"/>
          <w:i/>
          <w:sz w:val="22"/>
          <w:szCs w:val="22"/>
        </w:rPr>
      </w:pPr>
    </w:p>
    <w:p w:rsidR="00BC136E" w:rsidRPr="00C9615F" w:rsidRDefault="00BC136E" w:rsidP="00C9615F">
      <w:pPr>
        <w:numPr>
          <w:ilvl w:val="0"/>
          <w:numId w:val="25"/>
        </w:numPr>
        <w:ind w:left="284" w:right="284" w:hanging="426"/>
        <w:rPr>
          <w:rFonts w:cs="Arial"/>
          <w:i/>
          <w:sz w:val="22"/>
          <w:szCs w:val="22"/>
        </w:rPr>
      </w:pPr>
      <w:r w:rsidRPr="00C9615F">
        <w:rPr>
          <w:rFonts w:cs="Arial"/>
          <w:i/>
          <w:sz w:val="22"/>
          <w:szCs w:val="22"/>
        </w:rPr>
        <w:t>Mantener el activo en operación después de agotada su Vida Útil Normativa, quedando a consideración de la CREG la determinación de la remuneración por el uso de ese activo. El valor se establecerá así: 1) tomando en consideración la proporción entre la vida útil remanente y la vida útil total estimada (vida útil transcurrida más vida útil remanente) y; 2) evaluando el beneficio costo de incluir en la remuneración inversiones adicionales para prolongar la vida útil del activo. Las inversiones adicionales se podrán incluir sí y sólo sí el beneficio-costo es mayor que cero.’</w:t>
      </w:r>
    </w:p>
    <w:p w:rsidR="00BC136E" w:rsidRPr="00C9615F" w:rsidRDefault="00BC136E" w:rsidP="00C9615F">
      <w:pPr>
        <w:tabs>
          <w:tab w:val="left" w:pos="-720"/>
          <w:tab w:val="left" w:pos="0"/>
        </w:tabs>
        <w:suppressAutoHyphens/>
        <w:ind w:left="284" w:right="284"/>
        <w:rPr>
          <w:rFonts w:cs="Arial"/>
          <w:i/>
          <w:sz w:val="22"/>
          <w:szCs w:val="22"/>
          <w:lang w:val="es-ES_tradnl"/>
        </w:rPr>
      </w:pPr>
    </w:p>
    <w:p w:rsidR="00BC136E" w:rsidRPr="00C9615F" w:rsidRDefault="00BC136E" w:rsidP="00C9615F">
      <w:pPr>
        <w:tabs>
          <w:tab w:val="left" w:pos="-720"/>
          <w:tab w:val="left" w:pos="0"/>
        </w:tabs>
        <w:suppressAutoHyphens/>
        <w:ind w:left="284" w:right="284"/>
        <w:rPr>
          <w:rFonts w:cs="Arial"/>
          <w:i/>
          <w:sz w:val="22"/>
          <w:szCs w:val="22"/>
          <w:lang w:val="es-ES_tradnl"/>
        </w:rPr>
      </w:pPr>
      <w:r w:rsidRPr="00C9615F">
        <w:rPr>
          <w:rFonts w:cs="Arial"/>
          <w:i/>
          <w:sz w:val="22"/>
          <w:szCs w:val="22"/>
          <w:lang w:val="es-ES_tradnl"/>
        </w:rPr>
        <w:t xml:space="preserve">En las resoluciones citadas se identifican los siguientes aspectos: </w:t>
      </w:r>
    </w:p>
    <w:p w:rsidR="00BC136E" w:rsidRPr="00C9615F" w:rsidRDefault="00BC136E" w:rsidP="00C9615F">
      <w:pPr>
        <w:tabs>
          <w:tab w:val="left" w:pos="-720"/>
          <w:tab w:val="left" w:pos="0"/>
        </w:tabs>
        <w:suppressAutoHyphens/>
        <w:ind w:left="284" w:right="284"/>
        <w:rPr>
          <w:rFonts w:cs="Arial"/>
          <w:i/>
          <w:sz w:val="22"/>
          <w:szCs w:val="22"/>
          <w:lang w:val="es-ES_tradnl"/>
        </w:rPr>
      </w:pPr>
    </w:p>
    <w:p w:rsidR="00BC136E" w:rsidRPr="00C9615F" w:rsidRDefault="00BC136E" w:rsidP="00C9615F">
      <w:pPr>
        <w:numPr>
          <w:ilvl w:val="0"/>
          <w:numId w:val="26"/>
        </w:numPr>
        <w:ind w:left="284" w:right="284" w:hanging="426"/>
        <w:rPr>
          <w:rFonts w:cs="Arial"/>
          <w:i/>
          <w:sz w:val="22"/>
          <w:szCs w:val="22"/>
        </w:rPr>
      </w:pPr>
      <w:r w:rsidRPr="00C9615F">
        <w:rPr>
          <w:rFonts w:cs="Arial"/>
          <w:i/>
          <w:sz w:val="22"/>
          <w:szCs w:val="22"/>
        </w:rPr>
        <w:t>En primer lugar, se reconoce que quien tiene la mejor información sobre la condición operativa del activo es el transportado</w:t>
      </w:r>
      <w:r w:rsidR="00090C12">
        <w:rPr>
          <w:rFonts w:cs="Arial"/>
          <w:i/>
          <w:sz w:val="22"/>
          <w:szCs w:val="22"/>
        </w:rPr>
        <w:t>r</w:t>
      </w:r>
      <w:r w:rsidRPr="00C9615F">
        <w:rPr>
          <w:rFonts w:cs="Arial"/>
          <w:i/>
          <w:sz w:val="22"/>
          <w:szCs w:val="22"/>
        </w:rPr>
        <w:t>.</w:t>
      </w:r>
    </w:p>
    <w:p w:rsidR="00BC136E" w:rsidRPr="00C9615F" w:rsidRDefault="00BC136E" w:rsidP="00C9615F">
      <w:pPr>
        <w:ind w:left="284" w:right="284"/>
        <w:rPr>
          <w:rFonts w:cs="Arial"/>
          <w:i/>
          <w:sz w:val="22"/>
          <w:szCs w:val="22"/>
        </w:rPr>
      </w:pPr>
    </w:p>
    <w:p w:rsidR="00BC136E" w:rsidRPr="00C9615F" w:rsidRDefault="00BC136E" w:rsidP="00C9615F">
      <w:pPr>
        <w:numPr>
          <w:ilvl w:val="0"/>
          <w:numId w:val="26"/>
        </w:numPr>
        <w:ind w:left="284" w:right="284" w:hanging="426"/>
        <w:rPr>
          <w:rFonts w:cs="Arial"/>
          <w:b/>
          <w:i/>
          <w:sz w:val="22"/>
          <w:szCs w:val="22"/>
          <w:u w:val="single"/>
        </w:rPr>
      </w:pPr>
      <w:r w:rsidRPr="00C9615F">
        <w:rPr>
          <w:rFonts w:cs="Arial"/>
          <w:b/>
          <w:i/>
          <w:sz w:val="22"/>
          <w:szCs w:val="22"/>
          <w:u w:val="single"/>
        </w:rPr>
        <w:t>De otro lado, se establece que si la decisión del transportador es reponer el activo, se debe acoger a lo definido en el programa de nuevas inversiones.</w:t>
      </w:r>
    </w:p>
    <w:p w:rsidR="00BC136E" w:rsidRPr="00C9615F" w:rsidRDefault="00BC136E" w:rsidP="00C9615F">
      <w:pPr>
        <w:ind w:left="284" w:right="284"/>
        <w:rPr>
          <w:rFonts w:cs="Arial"/>
          <w:b/>
          <w:i/>
          <w:sz w:val="22"/>
          <w:szCs w:val="22"/>
          <w:u w:val="single"/>
        </w:rPr>
      </w:pPr>
    </w:p>
    <w:p w:rsidR="00BC136E" w:rsidRPr="00C9615F" w:rsidRDefault="00BC136E" w:rsidP="00C9615F">
      <w:pPr>
        <w:numPr>
          <w:ilvl w:val="0"/>
          <w:numId w:val="26"/>
        </w:numPr>
        <w:ind w:left="284" w:right="284" w:hanging="426"/>
        <w:rPr>
          <w:rFonts w:cs="Arial"/>
          <w:i/>
          <w:sz w:val="22"/>
          <w:szCs w:val="22"/>
        </w:rPr>
      </w:pPr>
      <w:r w:rsidRPr="00C9615F">
        <w:rPr>
          <w:rFonts w:cs="Arial"/>
          <w:i/>
          <w:sz w:val="22"/>
          <w:szCs w:val="22"/>
        </w:rPr>
        <w:t xml:space="preserve">Si el transportador decide mantener en operación el activo, la valoración del mismo estará determinada por el costo de oportunidad del mismo, para cuya estimación se tiene en cuenta la proporción entre la vida útil remanente y la vida útil total estimada. </w:t>
      </w:r>
    </w:p>
    <w:p w:rsidR="00BC136E" w:rsidRPr="00C9615F" w:rsidRDefault="00BC136E" w:rsidP="00C9615F">
      <w:pPr>
        <w:tabs>
          <w:tab w:val="left" w:pos="-720"/>
          <w:tab w:val="left" w:pos="0"/>
        </w:tabs>
        <w:suppressAutoHyphens/>
        <w:ind w:left="284" w:right="284"/>
        <w:rPr>
          <w:rFonts w:cs="Arial"/>
          <w:i/>
          <w:sz w:val="22"/>
          <w:szCs w:val="22"/>
          <w:lang w:val="es-ES_tradnl"/>
        </w:rPr>
      </w:pPr>
    </w:p>
    <w:p w:rsidR="00BC136E" w:rsidRPr="00C9615F" w:rsidRDefault="00BC136E" w:rsidP="00C9615F">
      <w:pPr>
        <w:tabs>
          <w:tab w:val="left" w:pos="-720"/>
          <w:tab w:val="left" w:pos="0"/>
        </w:tabs>
        <w:suppressAutoHyphens/>
        <w:ind w:left="284" w:right="284"/>
        <w:rPr>
          <w:rFonts w:cs="Arial"/>
          <w:i/>
          <w:sz w:val="22"/>
          <w:szCs w:val="22"/>
          <w:lang w:val="es-ES_tradnl"/>
        </w:rPr>
      </w:pPr>
      <w:r w:rsidRPr="00C9615F">
        <w:rPr>
          <w:rFonts w:cs="Arial"/>
          <w:i/>
          <w:sz w:val="22"/>
          <w:szCs w:val="22"/>
          <w:lang w:val="es-ES_tradnl"/>
        </w:rPr>
        <w:t>Adicionalmente, dentro de este esquema se identifican dos elementos que complementan el marco de incentivos con el fin de promover la eficiencia en la inversión y reposición de activos.</w:t>
      </w:r>
    </w:p>
    <w:p w:rsidR="00BC136E" w:rsidRPr="00C9615F" w:rsidRDefault="00BC136E" w:rsidP="00C9615F">
      <w:pPr>
        <w:tabs>
          <w:tab w:val="left" w:pos="-720"/>
          <w:tab w:val="left" w:pos="0"/>
        </w:tabs>
        <w:suppressAutoHyphens/>
        <w:ind w:left="284" w:right="284"/>
        <w:rPr>
          <w:rFonts w:cs="Arial"/>
          <w:i/>
          <w:sz w:val="22"/>
          <w:szCs w:val="22"/>
          <w:lang w:val="es-ES_tradnl"/>
        </w:rPr>
      </w:pPr>
    </w:p>
    <w:p w:rsidR="00BC136E" w:rsidRPr="00C9615F" w:rsidRDefault="00BC136E" w:rsidP="00C9615F">
      <w:pPr>
        <w:tabs>
          <w:tab w:val="left" w:pos="-720"/>
          <w:tab w:val="left" w:pos="0"/>
        </w:tabs>
        <w:suppressAutoHyphens/>
        <w:ind w:left="284" w:right="284"/>
        <w:rPr>
          <w:rFonts w:cs="Arial"/>
          <w:b/>
          <w:i/>
          <w:sz w:val="22"/>
          <w:szCs w:val="22"/>
          <w:u w:val="single"/>
          <w:lang w:val="es-ES_tradnl"/>
        </w:rPr>
      </w:pPr>
      <w:r w:rsidRPr="00C9615F">
        <w:rPr>
          <w:rFonts w:cs="Arial"/>
          <w:b/>
          <w:i/>
          <w:sz w:val="22"/>
          <w:szCs w:val="22"/>
          <w:u w:val="single"/>
          <w:lang w:val="es-ES_tradnl"/>
        </w:rPr>
        <w:t>En primer lugar, la definición de vida útil normativa como un período menos extenso que la vida útil total de un activo permite que el transportador recupere su inversión en un período razonable de tiempo, moderando los riesgos de demanda a los que se enfrenta el transportador.</w:t>
      </w:r>
    </w:p>
    <w:p w:rsidR="00BC136E" w:rsidRPr="00C9615F" w:rsidRDefault="00BC136E" w:rsidP="00C9615F">
      <w:pPr>
        <w:tabs>
          <w:tab w:val="left" w:pos="-720"/>
          <w:tab w:val="left" w:pos="0"/>
        </w:tabs>
        <w:suppressAutoHyphens/>
        <w:ind w:left="284" w:right="284"/>
        <w:rPr>
          <w:rFonts w:cs="Arial"/>
          <w:b/>
          <w:i/>
          <w:sz w:val="22"/>
          <w:szCs w:val="22"/>
          <w:u w:val="single"/>
          <w:lang w:val="es-ES_tradnl"/>
        </w:rPr>
      </w:pPr>
    </w:p>
    <w:p w:rsidR="00BC136E" w:rsidRPr="00C9615F" w:rsidRDefault="00BC136E" w:rsidP="00C9615F">
      <w:pPr>
        <w:tabs>
          <w:tab w:val="left" w:pos="-720"/>
          <w:tab w:val="left" w:pos="0"/>
        </w:tabs>
        <w:suppressAutoHyphens/>
        <w:ind w:left="284" w:right="284"/>
        <w:rPr>
          <w:rFonts w:cs="Arial"/>
          <w:b/>
          <w:i/>
          <w:sz w:val="22"/>
          <w:szCs w:val="22"/>
          <w:u w:val="single"/>
          <w:lang w:val="es-ES_tradnl"/>
        </w:rPr>
      </w:pPr>
      <w:r w:rsidRPr="00C9615F">
        <w:rPr>
          <w:rFonts w:cs="Arial"/>
          <w:b/>
          <w:i/>
          <w:sz w:val="22"/>
          <w:szCs w:val="22"/>
          <w:u w:val="single"/>
          <w:lang w:val="es-ES_tradnl"/>
        </w:rPr>
        <w:t>En segundo lugar, es conveniente definir con anticipación los incentivos para que el transportador continúe operando un activo después de que alcance su vida útil normativa, por cuanto éste tiene el incentivo económico de realizar inversiones en reposición una vez un activo supera ésta.</w:t>
      </w:r>
    </w:p>
    <w:p w:rsidR="00BC136E" w:rsidRPr="00C9615F" w:rsidRDefault="00BC136E" w:rsidP="00C9615F">
      <w:pPr>
        <w:tabs>
          <w:tab w:val="left" w:pos="-720"/>
          <w:tab w:val="left" w:pos="0"/>
        </w:tabs>
        <w:suppressAutoHyphens/>
        <w:ind w:left="284" w:right="284"/>
        <w:rPr>
          <w:rFonts w:cs="Arial"/>
          <w:i/>
          <w:sz w:val="22"/>
          <w:szCs w:val="22"/>
          <w:lang w:val="es-ES_tradnl"/>
        </w:rPr>
      </w:pPr>
    </w:p>
    <w:p w:rsidR="00BC136E" w:rsidRPr="00C9615F" w:rsidRDefault="00BC136E" w:rsidP="00C9615F">
      <w:pPr>
        <w:tabs>
          <w:tab w:val="left" w:pos="-720"/>
          <w:tab w:val="left" w:pos="0"/>
        </w:tabs>
        <w:suppressAutoHyphens/>
        <w:ind w:left="284" w:right="284"/>
        <w:rPr>
          <w:rFonts w:cs="Arial"/>
          <w:i/>
          <w:sz w:val="22"/>
          <w:szCs w:val="22"/>
          <w:lang w:val="es-ES_tradnl"/>
        </w:rPr>
      </w:pPr>
      <w:r w:rsidRPr="00C9615F">
        <w:rPr>
          <w:rFonts w:cs="Arial"/>
          <w:i/>
          <w:sz w:val="22"/>
          <w:szCs w:val="22"/>
          <w:lang w:val="es-ES_tradnl"/>
        </w:rPr>
        <w:lastRenderedPageBreak/>
        <w:t xml:space="preserve">Por tanto, a efecto de optimizar el uso de los recursos destinados a la inversión y no generar un sobrecosto innecesario para los usuarios, es preciso reconocer al transportador el costo de oportunidad del activo después de que éste haya alcanzado su vida útil normativa </w:t>
      </w:r>
    </w:p>
    <w:p w:rsidR="00BC136E" w:rsidRPr="00C9615F" w:rsidRDefault="00BC136E" w:rsidP="00C9615F">
      <w:pPr>
        <w:tabs>
          <w:tab w:val="left" w:pos="-720"/>
          <w:tab w:val="left" w:pos="0"/>
        </w:tabs>
        <w:suppressAutoHyphens/>
        <w:ind w:left="284" w:right="284"/>
        <w:rPr>
          <w:rFonts w:cs="Arial"/>
          <w:i/>
          <w:sz w:val="22"/>
          <w:szCs w:val="22"/>
          <w:lang w:val="es-ES_tradnl"/>
        </w:rPr>
      </w:pPr>
    </w:p>
    <w:p w:rsidR="00BC136E" w:rsidRPr="00C9615F" w:rsidRDefault="00BC136E" w:rsidP="00C9615F">
      <w:pPr>
        <w:ind w:left="284" w:right="284"/>
        <w:rPr>
          <w:rFonts w:cs="Arial"/>
          <w:i/>
          <w:sz w:val="22"/>
          <w:szCs w:val="22"/>
        </w:rPr>
      </w:pPr>
      <w:r w:rsidRPr="00C9615F">
        <w:rPr>
          <w:rFonts w:cs="Arial"/>
          <w:i/>
          <w:sz w:val="22"/>
          <w:szCs w:val="22"/>
        </w:rPr>
        <w:t>No obstante la consistencia de las resoluciones citadas y los incentivos identificados, consideramos pertinente determinar con mayor claridad el procedimiento de valoración del costo de oportunidad del activo para aquellos casos en que el transportador decida continuar operándolo después de cumplida su vida útil normativa, por un espacio de al menos veinte (20) años más, así como definir la vida útil total estimada, los gastos de administración, operación y mantenimiento (AOM) y, el procedimiento administrativo que enmarca la actuación de la Comisión y los agentes.</w:t>
      </w:r>
    </w:p>
    <w:p w:rsidR="00BC136E" w:rsidRPr="00C9615F" w:rsidRDefault="00BC136E" w:rsidP="00C9615F">
      <w:pPr>
        <w:ind w:left="284" w:right="284"/>
        <w:rPr>
          <w:rFonts w:cs="Arial"/>
          <w:i/>
          <w:sz w:val="22"/>
          <w:szCs w:val="22"/>
        </w:rPr>
      </w:pPr>
      <w:r w:rsidRPr="00C9615F">
        <w:rPr>
          <w:rFonts w:cs="Arial"/>
          <w:i/>
          <w:sz w:val="22"/>
          <w:szCs w:val="22"/>
        </w:rPr>
        <w:t xml:space="preserve"> </w:t>
      </w:r>
    </w:p>
    <w:p w:rsidR="00BC136E" w:rsidRPr="00C9615F" w:rsidRDefault="00BC136E" w:rsidP="00C9615F">
      <w:pPr>
        <w:ind w:left="284" w:right="284"/>
        <w:rPr>
          <w:rFonts w:cs="Arial"/>
          <w:i/>
          <w:sz w:val="22"/>
          <w:szCs w:val="22"/>
        </w:rPr>
      </w:pPr>
      <w:r w:rsidRPr="00C9615F">
        <w:rPr>
          <w:rFonts w:cs="Arial"/>
          <w:i/>
          <w:sz w:val="22"/>
          <w:szCs w:val="22"/>
        </w:rPr>
        <w:t>En primer lugar, en línea con la definición de costo de oportunidad encontrada en la literatura económica</w:t>
      </w:r>
      <w:r w:rsidRPr="00C9615F">
        <w:rPr>
          <w:rFonts w:cs="Arial"/>
          <w:i/>
          <w:sz w:val="22"/>
          <w:szCs w:val="22"/>
          <w:vertAlign w:val="superscript"/>
        </w:rPr>
        <w:footnoteReference w:id="4"/>
      </w:r>
      <w:r w:rsidRPr="00C9615F">
        <w:rPr>
          <w:rFonts w:cs="Arial"/>
          <w:i/>
          <w:sz w:val="22"/>
          <w:szCs w:val="22"/>
        </w:rPr>
        <w:t>, la Comisión estima conveniente que para calcular dicho costo se tome en consideración la valoración del activo a precios de mercado, haciendo uso de la metodología de reposición a nuevo.</w:t>
      </w:r>
    </w:p>
    <w:p w:rsidR="00BC136E" w:rsidRPr="00C9615F" w:rsidRDefault="00BC136E" w:rsidP="00C9615F">
      <w:pPr>
        <w:ind w:left="284" w:right="284"/>
        <w:rPr>
          <w:rFonts w:cs="Arial"/>
          <w:i/>
          <w:sz w:val="22"/>
          <w:szCs w:val="22"/>
        </w:rPr>
      </w:pPr>
    </w:p>
    <w:p w:rsidR="00BC136E" w:rsidRPr="00C9615F" w:rsidRDefault="00BC136E" w:rsidP="00C9615F">
      <w:pPr>
        <w:ind w:left="284" w:right="284"/>
        <w:rPr>
          <w:rFonts w:cs="Arial"/>
          <w:i/>
          <w:sz w:val="22"/>
          <w:szCs w:val="22"/>
        </w:rPr>
      </w:pPr>
      <w:r w:rsidRPr="00C9615F">
        <w:rPr>
          <w:rFonts w:cs="Arial"/>
          <w:i/>
          <w:sz w:val="22"/>
          <w:szCs w:val="22"/>
        </w:rPr>
        <w:t>Teniendo en cuenta la asimetría de información frente al valor de la inversión y dado que en esta oportunidad no hay lugar para realizar un proceso de convocatoria pública por cuanto el activo ya se encuentra construido, la Comisión considera que para estimar el costo de reposición a nuevo es conveniente contratar un perito para que éste emita un concepto de valoración.</w:t>
      </w:r>
    </w:p>
    <w:p w:rsidR="00BC136E" w:rsidRPr="00C9615F" w:rsidRDefault="00BC136E" w:rsidP="00C9615F">
      <w:pPr>
        <w:ind w:left="284" w:right="284"/>
        <w:rPr>
          <w:rFonts w:cs="Arial"/>
          <w:i/>
          <w:sz w:val="22"/>
          <w:szCs w:val="22"/>
        </w:rPr>
      </w:pPr>
    </w:p>
    <w:p w:rsidR="00BC136E" w:rsidRPr="00C9615F" w:rsidRDefault="00BC136E" w:rsidP="00C9615F">
      <w:pPr>
        <w:ind w:left="284" w:right="284"/>
        <w:rPr>
          <w:rFonts w:cs="Arial"/>
          <w:i/>
          <w:sz w:val="22"/>
          <w:szCs w:val="22"/>
        </w:rPr>
      </w:pPr>
      <w:r w:rsidRPr="00C9615F">
        <w:rPr>
          <w:rFonts w:cs="Arial"/>
          <w:i/>
          <w:sz w:val="22"/>
          <w:szCs w:val="22"/>
        </w:rPr>
        <w:t>La Comisión, con base en el concepto del perito y en análisis propios, determinará el costo de reposición a nuevo del activo en cuestión.</w:t>
      </w:r>
    </w:p>
    <w:p w:rsidR="00BC136E" w:rsidRPr="00C9615F" w:rsidRDefault="00BC136E" w:rsidP="00C9615F">
      <w:pPr>
        <w:ind w:left="284" w:right="284"/>
        <w:rPr>
          <w:rFonts w:cs="Arial"/>
          <w:i/>
          <w:sz w:val="22"/>
          <w:szCs w:val="22"/>
        </w:rPr>
      </w:pPr>
    </w:p>
    <w:p w:rsidR="00BC136E" w:rsidRPr="00C9615F" w:rsidRDefault="00BC136E" w:rsidP="00C9615F">
      <w:pPr>
        <w:ind w:left="284" w:right="284"/>
        <w:rPr>
          <w:rFonts w:cs="Arial"/>
          <w:i/>
          <w:sz w:val="22"/>
          <w:szCs w:val="22"/>
        </w:rPr>
      </w:pPr>
      <w:r w:rsidRPr="00C9615F">
        <w:rPr>
          <w:rFonts w:cs="Arial"/>
          <w:i/>
          <w:sz w:val="22"/>
          <w:szCs w:val="22"/>
        </w:rPr>
        <w:t>De otro lado, tomando en consideración actuaciones administrativas previas, se propone establecer en 50 años la vida útil total de los diferentes elementos que conforman la infraestructura de transporte de gas.</w:t>
      </w:r>
    </w:p>
    <w:p w:rsidR="00BC136E" w:rsidRPr="00C9615F" w:rsidRDefault="00BC136E" w:rsidP="00C9615F">
      <w:pPr>
        <w:ind w:left="284" w:right="284"/>
        <w:rPr>
          <w:rFonts w:cs="Arial"/>
          <w:i/>
          <w:sz w:val="22"/>
          <w:szCs w:val="22"/>
        </w:rPr>
      </w:pPr>
    </w:p>
    <w:p w:rsidR="00BC136E" w:rsidRPr="00C9615F" w:rsidRDefault="00BC136E" w:rsidP="00C9615F">
      <w:pPr>
        <w:ind w:left="284" w:right="284"/>
        <w:rPr>
          <w:rFonts w:cs="Arial"/>
          <w:i/>
          <w:sz w:val="22"/>
          <w:szCs w:val="22"/>
        </w:rPr>
      </w:pPr>
      <w:r w:rsidRPr="00C9615F">
        <w:rPr>
          <w:rFonts w:cs="Arial"/>
          <w:i/>
          <w:sz w:val="22"/>
          <w:szCs w:val="22"/>
        </w:rPr>
        <w:t>Así, si el transportador opta por continuar operando un activo por al menos veinte (20) años más después de cumplida su vida útil normativa, a éste se le reconocerá como inversión el valor resultante de multiplicar el costo de reposición a nuevo del activo, según lo determine la Comisión, por el cociente entre la vida útil remanente y 50 años, tal como se define en la siguiente fórmula:</w:t>
      </w:r>
    </w:p>
    <w:p w:rsidR="00BC136E" w:rsidRPr="00C9615F" w:rsidRDefault="00BC136E" w:rsidP="00361436">
      <w:pPr>
        <w:ind w:left="284" w:right="284"/>
        <w:rPr>
          <w:rFonts w:cs="Arial"/>
          <w:i/>
          <w:sz w:val="22"/>
          <w:szCs w:val="22"/>
        </w:rPr>
      </w:pPr>
    </w:p>
    <w:p w:rsidR="00BC136E" w:rsidRPr="00F12A91" w:rsidRDefault="004F7CD0" w:rsidP="00361436">
      <w:pPr>
        <w:ind w:left="284" w:right="284"/>
        <w:rPr>
          <w:rFonts w:cs="Arial"/>
          <w:i/>
          <w:sz w:val="22"/>
          <w:szCs w:val="22"/>
        </w:rPr>
      </w:pPr>
      <m:oMathPara>
        <m:oMath>
          <m:sSub>
            <m:sSubPr>
              <m:ctrlPr>
                <w:rPr>
                  <w:rFonts w:ascii="Cambria Math" w:hAnsi="Cambria Math" w:cs="Arial"/>
                  <w:i/>
                  <w:sz w:val="22"/>
                  <w:szCs w:val="22"/>
                </w:rPr>
              </m:ctrlPr>
            </m:sSubPr>
            <m:e>
              <m:r>
                <w:rPr>
                  <w:rFonts w:ascii="Cambria Math" w:hAnsi="Cambria Math" w:cs="Arial"/>
                  <w:sz w:val="22"/>
                  <w:szCs w:val="22"/>
                </w:rPr>
                <m:t>VAO</m:t>
              </m:r>
            </m:e>
            <m:sub>
              <m:r>
                <w:rPr>
                  <w:rFonts w:ascii="Cambria Math" w:hAnsi="Cambria Math" w:cs="Arial"/>
                  <w:sz w:val="22"/>
                  <w:szCs w:val="22"/>
                </w:rPr>
                <m:t>t</m:t>
              </m:r>
            </m:sub>
          </m:sSub>
          <m:r>
            <w:rPr>
              <w:rFonts w:ascii="Cambria Math" w:hAnsi="Cambria Math" w:cs="Arial"/>
              <w:sz w:val="22"/>
              <w:szCs w:val="22"/>
            </w:rPr>
            <m:t>=VRAN</m:t>
          </m:r>
          <m:r>
            <w:rPr>
              <w:rFonts w:ascii="Cambria Math" w:hAnsi="Cambria Math" w:cs="Arial" w:hint="eastAsia"/>
              <w:sz w:val="22"/>
              <w:szCs w:val="22"/>
            </w:rPr>
            <m:t>×</m:t>
          </m:r>
          <m:f>
            <m:fPr>
              <m:ctrlPr>
                <w:rPr>
                  <w:rFonts w:ascii="Cambria Math" w:hAnsi="Cambria Math" w:cs="Arial"/>
                  <w:i/>
                  <w:sz w:val="22"/>
                  <w:szCs w:val="22"/>
                </w:rPr>
              </m:ctrlPr>
            </m:fPr>
            <m:num>
              <m:r>
                <w:rPr>
                  <w:rFonts w:ascii="Cambria Math" w:hAnsi="Cambria Math" w:cs="Arial"/>
                  <w:sz w:val="22"/>
                  <w:szCs w:val="22"/>
                </w:rPr>
                <m:t>VUR</m:t>
              </m:r>
            </m:num>
            <m:den>
              <m:r>
                <w:rPr>
                  <w:rFonts w:ascii="Cambria Math" w:hAnsi="Cambria Math" w:cs="Arial"/>
                  <w:sz w:val="22"/>
                  <w:szCs w:val="22"/>
                </w:rPr>
                <m:t>50</m:t>
              </m:r>
            </m:den>
          </m:f>
        </m:oMath>
      </m:oMathPara>
    </w:p>
    <w:p w:rsidR="00BC136E" w:rsidRPr="00F12A91" w:rsidRDefault="00BC136E" w:rsidP="00361436">
      <w:pPr>
        <w:ind w:left="284" w:right="284"/>
        <w:rPr>
          <w:rFonts w:cs="Arial"/>
          <w:i/>
          <w:sz w:val="22"/>
          <w:szCs w:val="22"/>
        </w:rPr>
      </w:pPr>
    </w:p>
    <w:p w:rsidR="00BC136E" w:rsidRPr="00F12A91" w:rsidRDefault="00BC136E" w:rsidP="00361436">
      <w:pPr>
        <w:ind w:left="284" w:right="284"/>
        <w:rPr>
          <w:rFonts w:cs="Arial"/>
          <w:i/>
          <w:sz w:val="22"/>
          <w:szCs w:val="22"/>
        </w:rPr>
      </w:pPr>
      <w:r w:rsidRPr="00F12A91">
        <w:rPr>
          <w:rFonts w:cs="Arial"/>
          <w:i/>
          <w:sz w:val="22"/>
          <w:szCs w:val="22"/>
        </w:rPr>
        <w:t>Donde,</w:t>
      </w:r>
    </w:p>
    <w:p w:rsidR="00BC136E" w:rsidRPr="00F12A91" w:rsidRDefault="00BC136E" w:rsidP="00361436">
      <w:pPr>
        <w:ind w:left="284" w:right="284"/>
        <w:rPr>
          <w:rFonts w:cs="Arial"/>
          <w:i/>
          <w:sz w:val="22"/>
          <w:szCs w:val="22"/>
        </w:rPr>
      </w:pPr>
    </w:p>
    <w:p w:rsidR="00BC136E" w:rsidRPr="00F12A91" w:rsidRDefault="004F7CD0" w:rsidP="00F12A91">
      <w:pPr>
        <w:ind w:left="284" w:right="284"/>
        <w:rPr>
          <w:rFonts w:cs="Arial"/>
          <w:i/>
          <w:sz w:val="22"/>
          <w:szCs w:val="22"/>
        </w:rPr>
      </w:pPr>
      <m:oMath>
        <m:sSub>
          <m:sSubPr>
            <m:ctrlPr>
              <w:rPr>
                <w:rFonts w:ascii="Cambria Math" w:hAnsi="Cambria Math" w:cs="Arial"/>
                <w:i/>
                <w:sz w:val="22"/>
                <w:szCs w:val="22"/>
              </w:rPr>
            </m:ctrlPr>
          </m:sSubPr>
          <m:e>
            <m:r>
              <w:rPr>
                <w:rFonts w:ascii="Cambria Math" w:hAnsi="Cambria Math" w:cs="Arial"/>
                <w:sz w:val="22"/>
                <w:szCs w:val="22"/>
              </w:rPr>
              <m:t>VAO</m:t>
            </m:r>
          </m:e>
          <m:sub>
            <m:r>
              <w:rPr>
                <w:rFonts w:ascii="Cambria Math" w:hAnsi="Cambria Math" w:cs="Arial"/>
                <w:sz w:val="22"/>
                <w:szCs w:val="22"/>
              </w:rPr>
              <m:t>t</m:t>
            </m:r>
          </m:sub>
        </m:sSub>
        <m:r>
          <w:rPr>
            <w:rFonts w:ascii="Cambria Math" w:hAnsi="Cambria Math" w:cs="Arial"/>
            <w:sz w:val="22"/>
            <w:szCs w:val="22"/>
          </w:rPr>
          <m:t>:</m:t>
        </m:r>
      </m:oMath>
      <w:r w:rsidR="00BC136E" w:rsidRPr="00F12A91">
        <w:rPr>
          <w:rFonts w:cs="Arial"/>
          <w:i/>
          <w:sz w:val="22"/>
          <w:szCs w:val="22"/>
        </w:rPr>
        <w:t xml:space="preserve"> </w:t>
      </w:r>
      <w:r w:rsidR="00BC136E" w:rsidRPr="00F12A91">
        <w:rPr>
          <w:rFonts w:cs="Arial"/>
          <w:i/>
          <w:sz w:val="22"/>
          <w:szCs w:val="22"/>
        </w:rPr>
        <w:tab/>
        <w:t>Valor del activo si se mantiene en operación, expresado en dólares de la Fecha Base.</w:t>
      </w:r>
    </w:p>
    <w:p w:rsidR="00BC136E" w:rsidRPr="00F12A91" w:rsidRDefault="00BC136E" w:rsidP="00F12A91">
      <w:pPr>
        <w:ind w:left="284" w:right="284" w:hanging="993"/>
        <w:rPr>
          <w:rFonts w:cs="Arial"/>
          <w:i/>
          <w:sz w:val="22"/>
          <w:szCs w:val="22"/>
        </w:rPr>
      </w:pPr>
    </w:p>
    <w:p w:rsidR="00BC136E" w:rsidRPr="00F12A91" w:rsidRDefault="00BC136E" w:rsidP="00F12A91">
      <w:pPr>
        <w:ind w:left="284" w:right="284"/>
        <w:rPr>
          <w:rFonts w:cs="Arial"/>
          <w:i/>
          <w:sz w:val="22"/>
          <w:szCs w:val="22"/>
        </w:rPr>
      </w:pPr>
      <m:oMath>
        <m:r>
          <w:rPr>
            <w:rFonts w:ascii="Cambria Math" w:hAnsi="Cambria Math" w:cs="Arial"/>
            <w:sz w:val="22"/>
            <w:szCs w:val="22"/>
          </w:rPr>
          <m:t>VRAN:</m:t>
        </m:r>
      </m:oMath>
      <w:r w:rsidRPr="00F12A91">
        <w:rPr>
          <w:rFonts w:cs="Arial"/>
          <w:i/>
          <w:sz w:val="22"/>
          <w:szCs w:val="22"/>
        </w:rPr>
        <w:tab/>
        <w:t>Costo de reposición a nuevo del activo, expresado en dólares de la Fecha Base.</w:t>
      </w:r>
    </w:p>
    <w:p w:rsidR="00BC136E" w:rsidRPr="00F12A91" w:rsidRDefault="00BC136E" w:rsidP="00F12A91">
      <w:pPr>
        <w:ind w:left="284" w:right="284" w:hanging="993"/>
        <w:rPr>
          <w:rFonts w:cs="Arial"/>
          <w:i/>
          <w:sz w:val="22"/>
          <w:szCs w:val="22"/>
        </w:rPr>
      </w:pPr>
    </w:p>
    <w:p w:rsidR="00BC136E" w:rsidRPr="00F12A91" w:rsidRDefault="00BC136E" w:rsidP="00F12A91">
      <w:pPr>
        <w:ind w:left="1416" w:right="284" w:hanging="993"/>
        <w:rPr>
          <w:rFonts w:cs="Arial"/>
          <w:i/>
          <w:sz w:val="22"/>
          <w:szCs w:val="22"/>
        </w:rPr>
      </w:pPr>
      <m:oMath>
        <m:r>
          <w:rPr>
            <w:rFonts w:ascii="Cambria Math" w:hAnsi="Cambria Math" w:cs="Arial"/>
            <w:sz w:val="22"/>
            <w:szCs w:val="22"/>
          </w:rPr>
          <m:t>VUR:</m:t>
        </m:r>
      </m:oMath>
      <w:r w:rsidRPr="00F12A91">
        <w:rPr>
          <w:rFonts w:cs="Arial"/>
          <w:i/>
          <w:sz w:val="22"/>
          <w:szCs w:val="22"/>
        </w:rPr>
        <w:t xml:space="preserve"> </w:t>
      </w:r>
      <w:r w:rsidRPr="00F12A91">
        <w:rPr>
          <w:rFonts w:cs="Arial"/>
          <w:i/>
          <w:sz w:val="22"/>
          <w:szCs w:val="22"/>
        </w:rPr>
        <w:tab/>
        <w:t>Vida útil remanente, calculada como la diferencia entre la Vida Útil y la Vida Útil Normativa.</w:t>
      </w:r>
    </w:p>
    <w:p w:rsidR="00BC136E" w:rsidRPr="00F12A91" w:rsidRDefault="00BC136E" w:rsidP="00F12A91">
      <w:pPr>
        <w:ind w:left="284" w:right="284" w:hanging="993"/>
        <w:rPr>
          <w:rFonts w:cs="Arial"/>
          <w:i/>
          <w:sz w:val="22"/>
          <w:szCs w:val="22"/>
        </w:rPr>
      </w:pPr>
    </w:p>
    <w:p w:rsidR="00BC136E" w:rsidRPr="00F12A91" w:rsidRDefault="00BC136E" w:rsidP="00F12A91">
      <w:pPr>
        <w:ind w:left="284" w:right="284"/>
        <w:rPr>
          <w:rFonts w:cs="Arial"/>
          <w:i/>
          <w:sz w:val="22"/>
          <w:szCs w:val="22"/>
        </w:rPr>
      </w:pPr>
      <m:oMath>
        <m:r>
          <w:rPr>
            <w:rFonts w:ascii="Cambria Math" w:hAnsi="Cambria Math" w:cs="Arial"/>
            <w:sz w:val="22"/>
            <w:szCs w:val="22"/>
          </w:rPr>
          <m:t>VU:</m:t>
        </m:r>
      </m:oMath>
      <w:r w:rsidRPr="00F12A91">
        <w:rPr>
          <w:rFonts w:cs="Arial"/>
          <w:i/>
          <w:sz w:val="22"/>
          <w:szCs w:val="22"/>
        </w:rPr>
        <w:t xml:space="preserve"> </w:t>
      </w:r>
      <w:r w:rsidRPr="00F12A91">
        <w:rPr>
          <w:rFonts w:cs="Arial"/>
          <w:i/>
          <w:sz w:val="22"/>
          <w:szCs w:val="22"/>
        </w:rPr>
        <w:tab/>
        <w:t>Vida Útil.</w:t>
      </w:r>
    </w:p>
    <w:p w:rsidR="00BC136E" w:rsidRPr="00F12A91" w:rsidRDefault="00BC136E" w:rsidP="00F12A91">
      <w:pPr>
        <w:ind w:left="284" w:right="284"/>
        <w:rPr>
          <w:rFonts w:cs="Arial"/>
          <w:i/>
          <w:sz w:val="22"/>
          <w:szCs w:val="22"/>
        </w:rPr>
      </w:pPr>
    </w:p>
    <w:p w:rsidR="00BC136E" w:rsidRPr="00F12A91" w:rsidRDefault="00BC136E" w:rsidP="00F12A91">
      <w:pPr>
        <w:ind w:left="284" w:right="284"/>
        <w:rPr>
          <w:rFonts w:cs="Arial"/>
          <w:b/>
          <w:i/>
          <w:sz w:val="22"/>
          <w:szCs w:val="22"/>
          <w:u w:val="single"/>
        </w:rPr>
      </w:pPr>
      <w:r w:rsidRPr="00F12A91">
        <w:rPr>
          <w:rFonts w:cs="Arial"/>
          <w:b/>
          <w:i/>
          <w:sz w:val="22"/>
          <w:szCs w:val="22"/>
          <w:u w:val="single"/>
        </w:rPr>
        <w:lastRenderedPageBreak/>
        <w:t>El transportador debe evaluar si esta inversión, que se le reconocerá por espacio de veinte (20) años, es suficiente para remunerar las inversiones en adecuaciones que la infraestructura existente requiera.</w:t>
      </w:r>
    </w:p>
    <w:p w:rsidR="00BC136E" w:rsidRPr="00F12A91" w:rsidRDefault="00BC136E" w:rsidP="00F12A91">
      <w:pPr>
        <w:ind w:left="284" w:right="284"/>
        <w:rPr>
          <w:rFonts w:cs="Arial"/>
          <w:i/>
          <w:sz w:val="22"/>
          <w:szCs w:val="22"/>
        </w:rPr>
      </w:pPr>
    </w:p>
    <w:p w:rsidR="006B1216" w:rsidRDefault="00BC136E" w:rsidP="00F12A91">
      <w:pPr>
        <w:tabs>
          <w:tab w:val="left" w:pos="-720"/>
          <w:tab w:val="left" w:pos="0"/>
        </w:tabs>
        <w:suppressAutoHyphens/>
        <w:ind w:left="284" w:right="284"/>
        <w:rPr>
          <w:rFonts w:cs="Arial"/>
          <w:i/>
          <w:sz w:val="22"/>
          <w:szCs w:val="22"/>
          <w:lang w:val="es-ES_tradnl"/>
        </w:rPr>
      </w:pPr>
      <w:r w:rsidRPr="00F12A91">
        <w:rPr>
          <w:rFonts w:cs="Arial"/>
          <w:i/>
          <w:color w:val="000000"/>
          <w:spacing w:val="-3"/>
          <w:sz w:val="22"/>
          <w:szCs w:val="22"/>
        </w:rPr>
        <w:t>En el numeral II de esta sección se describen la metodología que se utilizará para valorar los activos que hayan superado su vida útil normativa. De otro lado, los gastos de AOM que se reconocerán al transportador, si continúa operando el activo, serán aquellos aprobados en el período tarifario vigente. Si el transportador repone el activo, la Comisión aplicará el procedimiento definido para el cálculo de AOM para nueva infraestructura embebida en el sistema de transporte existente</w:t>
      </w:r>
      <w:r w:rsidRPr="00F12A91">
        <w:rPr>
          <w:rFonts w:cs="Arial"/>
          <w:i/>
          <w:sz w:val="22"/>
          <w:szCs w:val="22"/>
          <w:lang w:val="es-ES_tradnl"/>
        </w:rPr>
        <w:t>”</w:t>
      </w:r>
      <w:r w:rsidR="00C9615F">
        <w:rPr>
          <w:rFonts w:cs="Arial"/>
          <w:i/>
          <w:sz w:val="22"/>
          <w:szCs w:val="22"/>
          <w:lang w:val="es-ES_tradnl"/>
        </w:rPr>
        <w:t xml:space="preserve"> (Resaltado fuera de texto)</w:t>
      </w:r>
    </w:p>
    <w:p w:rsidR="006B1216" w:rsidRPr="00F12A91" w:rsidRDefault="006B1216" w:rsidP="00F12A91">
      <w:pPr>
        <w:tabs>
          <w:tab w:val="left" w:pos="-720"/>
          <w:tab w:val="left" w:pos="0"/>
        </w:tabs>
        <w:suppressAutoHyphens/>
        <w:ind w:left="284" w:right="284"/>
        <w:rPr>
          <w:rFonts w:cs="Arial"/>
          <w:i/>
          <w:sz w:val="22"/>
          <w:szCs w:val="22"/>
          <w:lang w:val="es-ES_tradnl"/>
        </w:rPr>
      </w:pPr>
    </w:p>
    <w:p w:rsidR="0097015B" w:rsidRDefault="001435CD">
      <w:pPr>
        <w:pStyle w:val="Textoindependiente2"/>
        <w:spacing w:after="0" w:line="240" w:lineRule="auto"/>
        <w:ind w:left="-142" w:right="-142"/>
        <w:rPr>
          <w:szCs w:val="27"/>
        </w:rPr>
      </w:pPr>
      <w:r>
        <w:rPr>
          <w:szCs w:val="27"/>
        </w:rPr>
        <w:t>Teniendo en cuenta los apartes citados</w:t>
      </w:r>
      <w:r w:rsidR="006B1216">
        <w:rPr>
          <w:szCs w:val="27"/>
        </w:rPr>
        <w:t xml:space="preserve">, </w:t>
      </w:r>
      <w:r w:rsidR="006F2700" w:rsidRPr="006F2700">
        <w:rPr>
          <w:szCs w:val="27"/>
        </w:rPr>
        <w:t>el entendimiento de la regulación</w:t>
      </w:r>
      <w:r w:rsidR="00E2778F">
        <w:rPr>
          <w:szCs w:val="27"/>
        </w:rPr>
        <w:t xml:space="preserve"> en materia de transporte de gas natural, lo cual incluye en este caso las disposiciones relacionadas con la aplicación de la VUN,</w:t>
      </w:r>
      <w:r w:rsidR="006F2700" w:rsidRPr="006F2700">
        <w:rPr>
          <w:szCs w:val="27"/>
        </w:rPr>
        <w:t xml:space="preserve"> se debe hacer a partir de un ejercicio de herme</w:t>
      </w:r>
      <w:r w:rsidR="006F2700">
        <w:rPr>
          <w:szCs w:val="27"/>
        </w:rPr>
        <w:t>néutica regulatoria, entendido é</w:t>
      </w:r>
      <w:r w:rsidR="006F2700" w:rsidRPr="006F2700">
        <w:rPr>
          <w:szCs w:val="27"/>
        </w:rPr>
        <w:t>ste como la i</w:t>
      </w:r>
      <w:r w:rsidR="00E2778F">
        <w:rPr>
          <w:szCs w:val="27"/>
        </w:rPr>
        <w:t>nterpretación en la aplicación,</w:t>
      </w:r>
      <w:r w:rsidR="006F2700" w:rsidRPr="006F2700">
        <w:rPr>
          <w:szCs w:val="27"/>
        </w:rPr>
        <w:t xml:space="preserve"> alcance</w:t>
      </w:r>
      <w:r w:rsidR="00E2778F">
        <w:rPr>
          <w:szCs w:val="27"/>
        </w:rPr>
        <w:t xml:space="preserve"> y contenido</w:t>
      </w:r>
      <w:r w:rsidR="006F2700" w:rsidRPr="006F2700">
        <w:rPr>
          <w:szCs w:val="27"/>
        </w:rPr>
        <w:t xml:space="preserve"> de la regulación,</w:t>
      </w:r>
      <w:r w:rsidR="00C9615F">
        <w:rPr>
          <w:szCs w:val="27"/>
        </w:rPr>
        <w:t xml:space="preserve"> de forma tal que la misma se haga de manera </w:t>
      </w:r>
      <w:r w:rsidR="00A81C60">
        <w:rPr>
          <w:szCs w:val="27"/>
        </w:rPr>
        <w:t>coherente y</w:t>
      </w:r>
      <w:r w:rsidR="006B1216">
        <w:rPr>
          <w:szCs w:val="27"/>
        </w:rPr>
        <w:t xml:space="preserve"> sistemática</w:t>
      </w:r>
      <w:r w:rsidR="00A81C60">
        <w:rPr>
          <w:rStyle w:val="Refdenotaalpie"/>
          <w:szCs w:val="27"/>
        </w:rPr>
        <w:footnoteReference w:id="5"/>
      </w:r>
      <w:r w:rsidR="006F2700">
        <w:rPr>
          <w:szCs w:val="27"/>
        </w:rPr>
        <w:t xml:space="preserve">, ateniendo los fines y objetivos perseguidos </w:t>
      </w:r>
      <w:r w:rsidR="00E2778F">
        <w:rPr>
          <w:szCs w:val="27"/>
        </w:rPr>
        <w:t xml:space="preserve">por la regulación </w:t>
      </w:r>
      <w:r w:rsidR="006F2700">
        <w:rPr>
          <w:szCs w:val="27"/>
        </w:rPr>
        <w:t>en</w:t>
      </w:r>
      <w:r w:rsidR="00C9615F">
        <w:rPr>
          <w:szCs w:val="27"/>
        </w:rPr>
        <w:t xml:space="preserve"> el marco de la Ley 142 de 1994. </w:t>
      </w:r>
      <w:r w:rsidR="0097015B">
        <w:rPr>
          <w:szCs w:val="27"/>
        </w:rPr>
        <w:t>Esto considerando que dicha metodología corresponde a una metodología de incentivos,</w:t>
      </w:r>
      <w:r w:rsidR="004D5D56">
        <w:rPr>
          <w:szCs w:val="27"/>
        </w:rPr>
        <w:t xml:space="preserve"> </w:t>
      </w:r>
      <w:r w:rsidR="00A05B51">
        <w:rPr>
          <w:szCs w:val="27"/>
        </w:rPr>
        <w:t xml:space="preserve">en donde </w:t>
      </w:r>
      <w:r w:rsidR="004D5D56">
        <w:rPr>
          <w:szCs w:val="27"/>
        </w:rPr>
        <w:t>el</w:t>
      </w:r>
      <w:r w:rsidR="0097015B">
        <w:rPr>
          <w:szCs w:val="27"/>
        </w:rPr>
        <w:t xml:space="preserve"> </w:t>
      </w:r>
      <w:r w:rsidR="0097015B" w:rsidRPr="0097015B">
        <w:rPr>
          <w:szCs w:val="27"/>
        </w:rPr>
        <w:t>transportador se puede considerar como un agente activo en la búsqueda de eficienci</w:t>
      </w:r>
      <w:r w:rsidR="0097015B">
        <w:rPr>
          <w:szCs w:val="27"/>
        </w:rPr>
        <w:t>a, donde dicha metodología difiere de otro tipo de metodologías donde las inversiones se remuneran a través de depreciación o costos de las mismas.</w:t>
      </w:r>
    </w:p>
    <w:p w:rsidR="0097015B" w:rsidRDefault="0097015B">
      <w:pPr>
        <w:pStyle w:val="Textoindependiente2"/>
        <w:spacing w:after="0" w:line="240" w:lineRule="auto"/>
        <w:ind w:left="-142" w:right="-142"/>
        <w:rPr>
          <w:szCs w:val="27"/>
        </w:rPr>
      </w:pPr>
    </w:p>
    <w:p w:rsidR="003B3E5A" w:rsidRDefault="00C9615F">
      <w:pPr>
        <w:pStyle w:val="Textoindependiente2"/>
        <w:spacing w:after="0" w:line="240" w:lineRule="auto"/>
        <w:ind w:left="-142" w:right="-142"/>
        <w:rPr>
          <w:szCs w:val="27"/>
        </w:rPr>
      </w:pPr>
      <w:r>
        <w:rPr>
          <w:szCs w:val="27"/>
        </w:rPr>
        <w:t xml:space="preserve">Este ejercicio permite </w:t>
      </w:r>
      <w:r w:rsidR="006F2700">
        <w:rPr>
          <w:szCs w:val="27"/>
        </w:rPr>
        <w:t>en el presente caso</w:t>
      </w:r>
      <w:r w:rsidR="006B1216">
        <w:rPr>
          <w:szCs w:val="27"/>
        </w:rPr>
        <w:t xml:space="preserve"> establecer entre otros los siguientes elementos:</w:t>
      </w:r>
    </w:p>
    <w:p w:rsidR="000B2201" w:rsidRDefault="000B2201" w:rsidP="00F12A91">
      <w:pPr>
        <w:pStyle w:val="Textoindependiente2"/>
        <w:spacing w:after="0" w:line="240" w:lineRule="auto"/>
        <w:ind w:right="-142"/>
        <w:rPr>
          <w:szCs w:val="27"/>
        </w:rPr>
      </w:pPr>
    </w:p>
    <w:p w:rsidR="003B3E5A" w:rsidRDefault="006B1216" w:rsidP="008C2635">
      <w:pPr>
        <w:pStyle w:val="Textoindependiente2"/>
        <w:numPr>
          <w:ilvl w:val="0"/>
          <w:numId w:val="36"/>
        </w:numPr>
        <w:spacing w:after="0" w:line="240" w:lineRule="auto"/>
        <w:ind w:right="-142"/>
        <w:rPr>
          <w:szCs w:val="27"/>
        </w:rPr>
      </w:pPr>
      <w:r>
        <w:rPr>
          <w:szCs w:val="27"/>
        </w:rPr>
        <w:t xml:space="preserve">La aplicación de la VUN se realiza sobre los </w:t>
      </w:r>
      <w:r w:rsidR="00D63107">
        <w:rPr>
          <w:szCs w:val="27"/>
        </w:rPr>
        <w:t>“</w:t>
      </w:r>
      <w:r>
        <w:rPr>
          <w:szCs w:val="27"/>
        </w:rPr>
        <w:t>activos</w:t>
      </w:r>
      <w:r w:rsidR="00D63107">
        <w:rPr>
          <w:szCs w:val="27"/>
        </w:rPr>
        <w:t>”</w:t>
      </w:r>
      <w:r>
        <w:rPr>
          <w:szCs w:val="27"/>
        </w:rPr>
        <w:t xml:space="preserve"> que han cumplido dicha condici</w:t>
      </w:r>
      <w:r w:rsidR="00D63107">
        <w:rPr>
          <w:szCs w:val="27"/>
        </w:rPr>
        <w:t>ón. E</w:t>
      </w:r>
      <w:r>
        <w:rPr>
          <w:szCs w:val="27"/>
        </w:rPr>
        <w:t xml:space="preserve">sta Comisión ha expuesto dentro de la regulación en materia </w:t>
      </w:r>
      <w:r w:rsidR="00C531B2">
        <w:rPr>
          <w:szCs w:val="27"/>
        </w:rPr>
        <w:t>de transporte de gas natural</w:t>
      </w:r>
      <w:r>
        <w:rPr>
          <w:szCs w:val="27"/>
        </w:rPr>
        <w:t xml:space="preserve"> </w:t>
      </w:r>
      <w:r w:rsidR="00C531B2">
        <w:rPr>
          <w:szCs w:val="27"/>
        </w:rPr>
        <w:t>frente al concepto de “activos”</w:t>
      </w:r>
      <w:r w:rsidR="001435CD">
        <w:rPr>
          <w:rStyle w:val="Refdenotaalpie"/>
          <w:szCs w:val="27"/>
        </w:rPr>
        <w:footnoteReference w:id="6"/>
      </w:r>
      <w:r w:rsidR="001435CD">
        <w:rPr>
          <w:szCs w:val="27"/>
        </w:rPr>
        <w:t xml:space="preserve"> </w:t>
      </w:r>
      <w:r w:rsidR="00C531B2">
        <w:rPr>
          <w:szCs w:val="27"/>
        </w:rPr>
        <w:t>qu</w:t>
      </w:r>
      <w:r w:rsidR="0036041A">
        <w:rPr>
          <w:szCs w:val="27"/>
        </w:rPr>
        <w:t>e</w:t>
      </w:r>
      <w:r w:rsidR="00C531B2">
        <w:rPr>
          <w:szCs w:val="27"/>
        </w:rPr>
        <w:t xml:space="preserve"> </w:t>
      </w:r>
      <w:r>
        <w:rPr>
          <w:szCs w:val="27"/>
        </w:rPr>
        <w:t>un sistema de transporte de un transportador</w:t>
      </w:r>
      <w:r w:rsidR="00D63107">
        <w:rPr>
          <w:szCs w:val="27"/>
        </w:rPr>
        <w:t xml:space="preserve"> está compuesto por los activos</w:t>
      </w:r>
      <w:r w:rsidR="0036041A">
        <w:rPr>
          <w:szCs w:val="27"/>
        </w:rPr>
        <w:t xml:space="preserve"> que</w:t>
      </w:r>
      <w:r w:rsidR="00D63107">
        <w:rPr>
          <w:szCs w:val="27"/>
        </w:rPr>
        <w:t xml:space="preserve"> de </w:t>
      </w:r>
      <w:r w:rsidR="00C531B2">
        <w:rPr>
          <w:szCs w:val="27"/>
        </w:rPr>
        <w:t>este</w:t>
      </w:r>
      <w:r w:rsidR="00D63107">
        <w:rPr>
          <w:szCs w:val="27"/>
        </w:rPr>
        <w:t xml:space="preserve"> hacen parte</w:t>
      </w:r>
      <w:r w:rsidR="0036041A">
        <w:rPr>
          <w:szCs w:val="27"/>
        </w:rPr>
        <w:t>. En este sentido,</w:t>
      </w:r>
      <w:r w:rsidR="00D63107">
        <w:rPr>
          <w:szCs w:val="27"/>
        </w:rPr>
        <w:t xml:space="preserve"> el componente de las inversiones que se valoran y remuneran en los cargos de transporte que se aprueban están asociadas únicamente a</w:t>
      </w:r>
      <w:r>
        <w:rPr>
          <w:szCs w:val="27"/>
        </w:rPr>
        <w:t xml:space="preserve"> </w:t>
      </w:r>
      <w:r w:rsidR="00D63107">
        <w:rPr>
          <w:szCs w:val="27"/>
        </w:rPr>
        <w:t>dichos activos, entendidos estos, como</w:t>
      </w:r>
      <w:r w:rsidR="00E75B45">
        <w:rPr>
          <w:szCs w:val="27"/>
        </w:rPr>
        <w:t xml:space="preserve"> </w:t>
      </w:r>
      <w:r w:rsidR="001435CD">
        <w:rPr>
          <w:szCs w:val="27"/>
        </w:rPr>
        <w:t xml:space="preserve">los </w:t>
      </w:r>
      <w:r w:rsidR="00D63107" w:rsidRPr="003B3E5A">
        <w:rPr>
          <w:szCs w:val="27"/>
        </w:rPr>
        <w:t>gasoductos</w:t>
      </w:r>
      <w:r w:rsidR="00D63107">
        <w:rPr>
          <w:szCs w:val="27"/>
        </w:rPr>
        <w:t xml:space="preserve"> y estaciones de compresión</w:t>
      </w:r>
      <w:r w:rsidR="00516053">
        <w:rPr>
          <w:szCs w:val="27"/>
        </w:rPr>
        <w:t>, en su integridad</w:t>
      </w:r>
      <w:r w:rsidR="003B3E5A">
        <w:rPr>
          <w:szCs w:val="27"/>
        </w:rPr>
        <w:t>.</w:t>
      </w:r>
    </w:p>
    <w:p w:rsidR="0058272C" w:rsidRDefault="0058272C" w:rsidP="0058272C">
      <w:pPr>
        <w:pStyle w:val="Textoindependiente2"/>
        <w:spacing w:after="0" w:line="240" w:lineRule="auto"/>
        <w:ind w:left="-142" w:right="-142"/>
        <w:rPr>
          <w:szCs w:val="27"/>
        </w:rPr>
      </w:pPr>
    </w:p>
    <w:p w:rsidR="0036041A" w:rsidRDefault="0036041A" w:rsidP="00EB3ABA">
      <w:pPr>
        <w:pStyle w:val="Textoindependiente2"/>
        <w:spacing w:after="0" w:line="240" w:lineRule="auto"/>
        <w:ind w:left="284" w:right="-142"/>
        <w:rPr>
          <w:szCs w:val="27"/>
        </w:rPr>
      </w:pPr>
      <w:r>
        <w:rPr>
          <w:szCs w:val="27"/>
        </w:rPr>
        <w:t>Si</w:t>
      </w:r>
      <w:r w:rsidR="00516053">
        <w:rPr>
          <w:szCs w:val="27"/>
        </w:rPr>
        <w:t xml:space="preserve"> bien dentro de la metodolog</w:t>
      </w:r>
      <w:r w:rsidR="003B3E5A">
        <w:rPr>
          <w:szCs w:val="27"/>
        </w:rPr>
        <w:t xml:space="preserve">ía dichos activos pertenecen a </w:t>
      </w:r>
      <w:r w:rsidR="00516053">
        <w:rPr>
          <w:szCs w:val="27"/>
        </w:rPr>
        <w:t>l</w:t>
      </w:r>
      <w:r w:rsidR="003B3E5A">
        <w:rPr>
          <w:szCs w:val="27"/>
        </w:rPr>
        <w:t>a</w:t>
      </w:r>
      <w:r w:rsidR="00516053">
        <w:rPr>
          <w:szCs w:val="27"/>
        </w:rPr>
        <w:t xml:space="preserve"> componente de inversiones para efectos de establecer los cargos de transporte y sobre dicha componente se </w:t>
      </w:r>
      <w:r>
        <w:rPr>
          <w:szCs w:val="27"/>
        </w:rPr>
        <w:t>definen</w:t>
      </w:r>
      <w:r w:rsidR="00516053">
        <w:rPr>
          <w:szCs w:val="27"/>
        </w:rPr>
        <w:t xml:space="preserve"> una serie de variables para darle el tratamiento regulatorio y tarifario que corresponda, entender como “activo” no el gasoducto o una estación de compresión en su integridad, </w:t>
      </w:r>
      <w:r w:rsidR="003B3E5A">
        <w:rPr>
          <w:szCs w:val="27"/>
        </w:rPr>
        <w:t xml:space="preserve">sino elementos accesorios al gasoducto principal, </w:t>
      </w:r>
      <w:r w:rsidR="00516053">
        <w:rPr>
          <w:szCs w:val="27"/>
        </w:rPr>
        <w:t xml:space="preserve">afectaría y dificultaría la aplicación </w:t>
      </w:r>
      <w:r w:rsidR="003B3E5A">
        <w:rPr>
          <w:szCs w:val="27"/>
        </w:rPr>
        <w:t xml:space="preserve">e implementación </w:t>
      </w:r>
      <w:r w:rsidR="00516053">
        <w:rPr>
          <w:szCs w:val="27"/>
        </w:rPr>
        <w:t xml:space="preserve">del concepto de VUN, </w:t>
      </w:r>
      <w:r>
        <w:rPr>
          <w:szCs w:val="27"/>
        </w:rPr>
        <w:t>tanto para el ejercicio de valoración, como para el</w:t>
      </w:r>
      <w:r w:rsidR="00516053">
        <w:rPr>
          <w:szCs w:val="27"/>
        </w:rPr>
        <w:t xml:space="preserve"> ajuste en los cargos de transporte, en el marco de los principios de eficiencia y simplicidad a que hacen referencia el artículo 87 de la Ley 142 de 1994</w:t>
      </w:r>
      <w:r w:rsidR="003B3E5A">
        <w:rPr>
          <w:szCs w:val="27"/>
        </w:rPr>
        <w:t>, así como la estabilidad de los cargos y las tarifas</w:t>
      </w:r>
      <w:r w:rsidR="001435CD">
        <w:rPr>
          <w:szCs w:val="27"/>
        </w:rPr>
        <w:t xml:space="preserve"> al momento de realizar el ajuste en los cargos</w:t>
      </w:r>
      <w:r w:rsidR="003B3E5A">
        <w:rPr>
          <w:szCs w:val="27"/>
        </w:rPr>
        <w:t xml:space="preserve">. </w:t>
      </w:r>
    </w:p>
    <w:p w:rsidR="0036041A" w:rsidRDefault="0036041A" w:rsidP="00EB3ABA">
      <w:pPr>
        <w:pStyle w:val="Textoindependiente2"/>
        <w:spacing w:after="0" w:line="240" w:lineRule="auto"/>
        <w:ind w:left="284" w:right="-142"/>
        <w:rPr>
          <w:szCs w:val="27"/>
        </w:rPr>
      </w:pPr>
    </w:p>
    <w:p w:rsidR="0036041A" w:rsidRDefault="0036041A" w:rsidP="00EB3ABA">
      <w:pPr>
        <w:pStyle w:val="Textoindependiente2"/>
        <w:spacing w:after="0" w:line="240" w:lineRule="auto"/>
        <w:ind w:left="284" w:right="-142"/>
        <w:rPr>
          <w:szCs w:val="27"/>
        </w:rPr>
      </w:pPr>
      <w:r>
        <w:rPr>
          <w:szCs w:val="27"/>
        </w:rPr>
        <w:lastRenderedPageBreak/>
        <w:t>Es por esto que, de acuerdo con lo previsto en el artículo 14 de la metodología, la solicitud que se realiza por parte del transportador, la valoración que se realiza por parte del perito, y la evaluación de la Comisión a efectos de llevar a cabo el ajuste en los cargos, se realiza sobre dicho activo en su integridad; circunstancias que se vislumbran dentro del trámite de la actuaciones administrativas que culm</w:t>
      </w:r>
      <w:r w:rsidR="0097015B">
        <w:rPr>
          <w:szCs w:val="27"/>
        </w:rPr>
        <w:t>inaron</w:t>
      </w:r>
      <w:r>
        <w:rPr>
          <w:szCs w:val="27"/>
        </w:rPr>
        <w:t xml:space="preserve"> con la expedición de las resoluciones CREG 162 de 2015 y 261 de 2016.</w:t>
      </w:r>
      <w:r w:rsidR="00530CA5">
        <w:rPr>
          <w:szCs w:val="27"/>
        </w:rPr>
        <w:t xml:space="preserve"> </w:t>
      </w:r>
    </w:p>
    <w:p w:rsidR="00D63107" w:rsidRDefault="00D63107" w:rsidP="008C2635">
      <w:pPr>
        <w:pStyle w:val="Textoindependiente2"/>
        <w:spacing w:after="0" w:line="240" w:lineRule="auto"/>
        <w:ind w:right="-142"/>
        <w:rPr>
          <w:szCs w:val="27"/>
        </w:rPr>
      </w:pPr>
    </w:p>
    <w:p w:rsidR="00E347FF" w:rsidRPr="00180B0B" w:rsidRDefault="00D63107" w:rsidP="00180B0B">
      <w:pPr>
        <w:pStyle w:val="Textoindependiente2"/>
        <w:numPr>
          <w:ilvl w:val="0"/>
          <w:numId w:val="36"/>
        </w:numPr>
        <w:spacing w:after="0" w:line="240" w:lineRule="auto"/>
        <w:ind w:right="-142"/>
        <w:rPr>
          <w:szCs w:val="27"/>
        </w:rPr>
      </w:pPr>
      <w:r>
        <w:rPr>
          <w:szCs w:val="27"/>
        </w:rPr>
        <w:t xml:space="preserve">La metodología establece frente al componente inversiones una serie de variables para efectos de distinguir dichos activos y establecer el tratamiento </w:t>
      </w:r>
      <w:r w:rsidR="00C531B2">
        <w:rPr>
          <w:szCs w:val="27"/>
        </w:rPr>
        <w:t xml:space="preserve">que estos deben recibir </w:t>
      </w:r>
      <w:r w:rsidR="00C531B2" w:rsidRPr="00C531B2">
        <w:rPr>
          <w:szCs w:val="27"/>
        </w:rPr>
        <w:t>en la determ</w:t>
      </w:r>
      <w:r w:rsidR="00C531B2">
        <w:rPr>
          <w:szCs w:val="27"/>
        </w:rPr>
        <w:t>inación de los cargos regulados</w:t>
      </w:r>
      <w:r w:rsidR="00E14009">
        <w:rPr>
          <w:szCs w:val="27"/>
        </w:rPr>
        <w:t>. E</w:t>
      </w:r>
      <w:r w:rsidR="00E75B45">
        <w:rPr>
          <w:szCs w:val="27"/>
        </w:rPr>
        <w:t>n</w:t>
      </w:r>
      <w:r w:rsidR="00C531B2">
        <w:rPr>
          <w:szCs w:val="27"/>
        </w:rPr>
        <w:t xml:space="preserve"> relación con </w:t>
      </w:r>
      <w:r w:rsidR="00E75B45">
        <w:rPr>
          <w:szCs w:val="27"/>
        </w:rPr>
        <w:t>los gasoductos</w:t>
      </w:r>
      <w:r w:rsidR="00C531B2">
        <w:rPr>
          <w:szCs w:val="27"/>
        </w:rPr>
        <w:t>,</w:t>
      </w:r>
      <w:r w:rsidR="00180B0B">
        <w:rPr>
          <w:szCs w:val="27"/>
        </w:rPr>
        <w:t xml:space="preserve"> durante el período de VUN de estos activos esta Comisión ha procedido a reconocer dentro de los cargos de transporte inversiones asociadas a variantes. A</w:t>
      </w:r>
      <w:r w:rsidR="00E75B45" w:rsidRPr="00180B0B">
        <w:rPr>
          <w:szCs w:val="27"/>
        </w:rPr>
        <w:t xml:space="preserve">l momento de dicho reconocimiento, allí se ha precisado que estas </w:t>
      </w:r>
      <w:r w:rsidR="00180B0B">
        <w:rPr>
          <w:szCs w:val="27"/>
        </w:rPr>
        <w:t xml:space="preserve">variantes </w:t>
      </w:r>
      <w:r w:rsidR="00E75B45" w:rsidRPr="00180B0B">
        <w:rPr>
          <w:szCs w:val="27"/>
        </w:rPr>
        <w:t>no se reconocen como un nuevo activo</w:t>
      </w:r>
      <w:r w:rsidR="004B608B" w:rsidRPr="00180B0B">
        <w:rPr>
          <w:szCs w:val="27"/>
        </w:rPr>
        <w:t xml:space="preserve"> o un activo diferente</w:t>
      </w:r>
      <w:r w:rsidR="00E75B45" w:rsidRPr="00180B0B">
        <w:rPr>
          <w:szCs w:val="27"/>
        </w:rPr>
        <w:t>, ni cambian o modifican la condición del activo o gasoducto existente</w:t>
      </w:r>
      <w:r w:rsidR="004B608B" w:rsidRPr="00180B0B">
        <w:rPr>
          <w:szCs w:val="27"/>
        </w:rPr>
        <w:t>, de lo cual se pueda inferir que dichas variantes corresponden a un nuevo activo o que frente al gasoducto existente</w:t>
      </w:r>
      <w:r w:rsidR="00E5275A" w:rsidRPr="00180B0B">
        <w:rPr>
          <w:szCs w:val="27"/>
        </w:rPr>
        <w:t>,</w:t>
      </w:r>
      <w:r w:rsidR="0036041A" w:rsidRPr="00180B0B">
        <w:rPr>
          <w:szCs w:val="27"/>
        </w:rPr>
        <w:t xml:space="preserve"> dicha circunstancia genera</w:t>
      </w:r>
      <w:r w:rsidR="004B608B" w:rsidRPr="00180B0B">
        <w:rPr>
          <w:szCs w:val="27"/>
        </w:rPr>
        <w:t xml:space="preserve"> que se altere el período en que se debe contar su </w:t>
      </w:r>
      <w:r w:rsidR="0036041A" w:rsidRPr="00180B0B">
        <w:rPr>
          <w:szCs w:val="27"/>
        </w:rPr>
        <w:t>VUN</w:t>
      </w:r>
      <w:r w:rsidR="004B608B" w:rsidRPr="00180B0B">
        <w:rPr>
          <w:szCs w:val="27"/>
        </w:rPr>
        <w:t xml:space="preserve">. </w:t>
      </w:r>
    </w:p>
    <w:p w:rsidR="00E347FF" w:rsidRDefault="00E347FF" w:rsidP="00F95C9F">
      <w:pPr>
        <w:pStyle w:val="Textoindependiente2"/>
        <w:spacing w:after="0" w:line="240" w:lineRule="auto"/>
        <w:ind w:left="-142" w:right="-142"/>
        <w:rPr>
          <w:szCs w:val="27"/>
        </w:rPr>
      </w:pPr>
    </w:p>
    <w:p w:rsidR="0097015B" w:rsidRDefault="00E347FF" w:rsidP="00996C28">
      <w:pPr>
        <w:pStyle w:val="Textoindependiente2"/>
        <w:spacing w:after="0" w:line="240" w:lineRule="auto"/>
        <w:ind w:left="218" w:right="-142"/>
        <w:rPr>
          <w:szCs w:val="27"/>
        </w:rPr>
      </w:pPr>
      <w:r>
        <w:rPr>
          <w:szCs w:val="27"/>
        </w:rPr>
        <w:t xml:space="preserve">En este sentido, </w:t>
      </w:r>
      <w:r w:rsidR="0036041A">
        <w:rPr>
          <w:szCs w:val="27"/>
        </w:rPr>
        <w:t>de acuerdo con lo previsto en la</w:t>
      </w:r>
      <w:r>
        <w:rPr>
          <w:szCs w:val="27"/>
        </w:rPr>
        <w:t xml:space="preserve"> regulación el</w:t>
      </w:r>
      <w:r w:rsidR="004B608B">
        <w:rPr>
          <w:szCs w:val="27"/>
        </w:rPr>
        <w:t xml:space="preserve"> concepto de variante </w:t>
      </w:r>
      <w:r w:rsidR="0036041A">
        <w:rPr>
          <w:szCs w:val="27"/>
        </w:rPr>
        <w:t xml:space="preserve">no permite identificarlo </w:t>
      </w:r>
      <w:r w:rsidR="004B608B">
        <w:rPr>
          <w:szCs w:val="27"/>
        </w:rPr>
        <w:t xml:space="preserve">como un activo </w:t>
      </w:r>
      <w:r w:rsidR="00E14009">
        <w:rPr>
          <w:szCs w:val="27"/>
        </w:rPr>
        <w:t xml:space="preserve">único o </w:t>
      </w:r>
      <w:r w:rsidR="004B608B">
        <w:rPr>
          <w:szCs w:val="27"/>
        </w:rPr>
        <w:t>diferente a efectos aplicar la VUN</w:t>
      </w:r>
      <w:r w:rsidR="00E5275A">
        <w:rPr>
          <w:szCs w:val="27"/>
        </w:rPr>
        <w:t>, sino que por el contrario dicho “activo” se entiende como el gasoducto en su integridad</w:t>
      </w:r>
      <w:r>
        <w:rPr>
          <w:szCs w:val="27"/>
        </w:rPr>
        <w:t xml:space="preserve">. </w:t>
      </w:r>
    </w:p>
    <w:p w:rsidR="0097015B" w:rsidRDefault="0097015B" w:rsidP="00996C28">
      <w:pPr>
        <w:pStyle w:val="Textoindependiente2"/>
        <w:spacing w:after="0" w:line="240" w:lineRule="auto"/>
        <w:ind w:left="218" w:right="-142"/>
        <w:rPr>
          <w:szCs w:val="27"/>
        </w:rPr>
      </w:pPr>
    </w:p>
    <w:p w:rsidR="004B608B" w:rsidRDefault="00E347FF" w:rsidP="00996C28">
      <w:pPr>
        <w:pStyle w:val="Textoindependiente2"/>
        <w:spacing w:after="0" w:line="240" w:lineRule="auto"/>
        <w:ind w:left="218" w:right="-142"/>
        <w:rPr>
          <w:szCs w:val="27"/>
        </w:rPr>
      </w:pPr>
      <w:r>
        <w:rPr>
          <w:szCs w:val="27"/>
        </w:rPr>
        <w:t>De la misma forma, de acuerdo como se reconoce dicha inversión dentro de los cargos de transporte, no se genera una nueva remuneración</w:t>
      </w:r>
      <w:r w:rsidR="00842882">
        <w:rPr>
          <w:szCs w:val="27"/>
        </w:rPr>
        <w:t xml:space="preserve"> o un nuevo período de remuneración</w:t>
      </w:r>
      <w:r>
        <w:rPr>
          <w:szCs w:val="27"/>
        </w:rPr>
        <w:t>, sino que por el contrario, se modifica</w:t>
      </w:r>
      <w:r w:rsidR="00E5275A">
        <w:rPr>
          <w:szCs w:val="27"/>
        </w:rPr>
        <w:t xml:space="preserve"> el valor de</w:t>
      </w:r>
      <w:r>
        <w:rPr>
          <w:szCs w:val="27"/>
        </w:rPr>
        <w:t xml:space="preserve"> la remuneración existente considerando el período </w:t>
      </w:r>
      <w:r w:rsidR="00E5275A">
        <w:rPr>
          <w:szCs w:val="27"/>
        </w:rPr>
        <w:t xml:space="preserve">de remuneración </w:t>
      </w:r>
      <w:r>
        <w:rPr>
          <w:szCs w:val="27"/>
        </w:rPr>
        <w:t xml:space="preserve">transcurrido </w:t>
      </w:r>
      <w:r w:rsidR="00E5275A">
        <w:rPr>
          <w:szCs w:val="27"/>
        </w:rPr>
        <w:t xml:space="preserve">hasta ese momento y frente al cual </w:t>
      </w:r>
      <w:r>
        <w:rPr>
          <w:szCs w:val="27"/>
        </w:rPr>
        <w:t>dicho activo se ha ido remunerando.</w:t>
      </w:r>
    </w:p>
    <w:p w:rsidR="004B608B" w:rsidRDefault="004B608B" w:rsidP="00996C28">
      <w:pPr>
        <w:pStyle w:val="Textoindependiente2"/>
        <w:spacing w:after="0" w:line="240" w:lineRule="auto"/>
        <w:ind w:left="218" w:right="-142"/>
        <w:rPr>
          <w:szCs w:val="27"/>
        </w:rPr>
      </w:pPr>
    </w:p>
    <w:p w:rsidR="00D63107" w:rsidRDefault="004B608B" w:rsidP="0097015B">
      <w:pPr>
        <w:pStyle w:val="Textoindependiente2"/>
        <w:spacing w:after="0" w:line="240" w:lineRule="auto"/>
        <w:ind w:left="218" w:right="-142"/>
        <w:rPr>
          <w:szCs w:val="27"/>
        </w:rPr>
      </w:pPr>
      <w:r>
        <w:rPr>
          <w:szCs w:val="27"/>
        </w:rPr>
        <w:t xml:space="preserve">En relación con lo anterior </w:t>
      </w:r>
      <w:r w:rsidR="00842882">
        <w:rPr>
          <w:szCs w:val="27"/>
        </w:rPr>
        <w:t xml:space="preserve">y para el caso particular de la recurrente, se considera relevante exponer como antecedente lo realizado por </w:t>
      </w:r>
      <w:r>
        <w:rPr>
          <w:szCs w:val="27"/>
        </w:rPr>
        <w:t xml:space="preserve">esta Comisión en la Resolución CREG 121 de 2012:  </w:t>
      </w:r>
    </w:p>
    <w:p w:rsidR="00D63107" w:rsidRDefault="00D63107" w:rsidP="008C2635">
      <w:pPr>
        <w:pStyle w:val="Textoindependiente2"/>
        <w:spacing w:after="0" w:line="240" w:lineRule="auto"/>
        <w:ind w:right="-142"/>
        <w:rPr>
          <w:szCs w:val="27"/>
        </w:rPr>
      </w:pPr>
    </w:p>
    <w:p w:rsidR="00C531B2" w:rsidRPr="008C2635" w:rsidRDefault="004B608B" w:rsidP="008C2635">
      <w:pPr>
        <w:tabs>
          <w:tab w:val="left" w:pos="284"/>
          <w:tab w:val="left" w:pos="426"/>
        </w:tabs>
        <w:ind w:left="284" w:right="284"/>
        <w:rPr>
          <w:bCs/>
          <w:sz w:val="22"/>
          <w:szCs w:val="22"/>
        </w:rPr>
      </w:pPr>
      <w:r>
        <w:rPr>
          <w:bCs/>
          <w:sz w:val="22"/>
          <w:szCs w:val="22"/>
        </w:rPr>
        <w:t>“</w:t>
      </w:r>
      <w:r w:rsidR="00C531B2" w:rsidRPr="008C2635">
        <w:rPr>
          <w:bCs/>
          <w:sz w:val="22"/>
          <w:szCs w:val="22"/>
        </w:rPr>
        <w:t xml:space="preserve">En el cálculo de los cargos regulados adoptados mediante la Resolución CREG 110 de 2011 se descontó de la inversión existente el valor de los tramos de gasoducto que se remplazan o retiran del servicio como consecuencia de las variantes. </w:t>
      </w:r>
    </w:p>
    <w:p w:rsidR="00C531B2" w:rsidRPr="008C2635" w:rsidRDefault="00C531B2" w:rsidP="008C2635">
      <w:pPr>
        <w:tabs>
          <w:tab w:val="left" w:pos="284"/>
          <w:tab w:val="left" w:pos="426"/>
        </w:tabs>
        <w:ind w:left="284" w:right="284"/>
        <w:rPr>
          <w:bCs/>
          <w:sz w:val="22"/>
          <w:szCs w:val="22"/>
        </w:rPr>
      </w:pPr>
    </w:p>
    <w:p w:rsidR="00C531B2" w:rsidRPr="008C2635" w:rsidRDefault="00C531B2" w:rsidP="008C2635">
      <w:pPr>
        <w:tabs>
          <w:tab w:val="left" w:pos="284"/>
          <w:tab w:val="left" w:pos="426"/>
        </w:tabs>
        <w:ind w:left="284" w:right="284"/>
        <w:rPr>
          <w:bCs/>
          <w:sz w:val="22"/>
          <w:szCs w:val="22"/>
        </w:rPr>
      </w:pPr>
      <w:r w:rsidRPr="008C2635">
        <w:rPr>
          <w:bCs/>
          <w:sz w:val="22"/>
          <w:szCs w:val="22"/>
        </w:rPr>
        <w:t xml:space="preserve">En la página 195 del documento CREG 085 de 2011 se anota lo siguiente: </w:t>
      </w:r>
    </w:p>
    <w:p w:rsidR="00C531B2" w:rsidRPr="008C2635" w:rsidRDefault="00C531B2" w:rsidP="008C2635">
      <w:pPr>
        <w:tabs>
          <w:tab w:val="left" w:pos="284"/>
          <w:tab w:val="left" w:pos="426"/>
        </w:tabs>
        <w:ind w:left="284" w:right="284"/>
        <w:rPr>
          <w:bCs/>
          <w:sz w:val="22"/>
          <w:szCs w:val="22"/>
        </w:rPr>
      </w:pPr>
    </w:p>
    <w:p w:rsidR="00C531B2" w:rsidRPr="008C2635" w:rsidRDefault="004B608B">
      <w:pPr>
        <w:ind w:left="284" w:right="284"/>
        <w:rPr>
          <w:rFonts w:cs="Arial"/>
          <w:sz w:val="22"/>
          <w:szCs w:val="22"/>
          <w:lang w:val="es-CO"/>
        </w:rPr>
      </w:pPr>
      <w:r>
        <w:rPr>
          <w:rFonts w:cs="Arial"/>
          <w:sz w:val="22"/>
          <w:szCs w:val="22"/>
        </w:rPr>
        <w:t>‘</w:t>
      </w:r>
      <w:r w:rsidR="00C531B2" w:rsidRPr="008C2635">
        <w:rPr>
          <w:rFonts w:cs="Arial"/>
          <w:sz w:val="22"/>
          <w:szCs w:val="22"/>
          <w:lang w:val="es-CO"/>
        </w:rPr>
        <w:t>…para efectos regulatorios se propone calcular el valor del tramo reemplazado como el producto entre: i) el valor IEt-1 del gasoducto troncal El Porvenir – La Belleza (ver Anexo 15); y ii) el cociente entre la longitud reemplazada (i.e. 2,46 km) y la longitud total del tramo (i.e. 189 km)</w:t>
      </w:r>
      <w:r>
        <w:rPr>
          <w:rFonts w:cs="Arial"/>
          <w:sz w:val="22"/>
          <w:szCs w:val="22"/>
          <w:lang w:val="es-CO"/>
        </w:rPr>
        <w:t>…’</w:t>
      </w:r>
      <w:r w:rsidR="00C531B2" w:rsidRPr="008C2635">
        <w:rPr>
          <w:rFonts w:cs="Arial"/>
          <w:sz w:val="22"/>
          <w:szCs w:val="22"/>
          <w:lang w:val="es-CO"/>
        </w:rPr>
        <w:t xml:space="preserve"> </w:t>
      </w:r>
    </w:p>
    <w:p w:rsidR="00C531B2" w:rsidRPr="008C2635" w:rsidRDefault="00C531B2" w:rsidP="008C2635">
      <w:pPr>
        <w:tabs>
          <w:tab w:val="left" w:pos="284"/>
          <w:tab w:val="left" w:pos="426"/>
        </w:tabs>
        <w:ind w:left="284" w:right="284"/>
        <w:rPr>
          <w:bCs/>
          <w:sz w:val="22"/>
          <w:szCs w:val="22"/>
          <w:lang w:val="es-CO"/>
        </w:rPr>
      </w:pPr>
    </w:p>
    <w:p w:rsidR="00C531B2" w:rsidRPr="008C2635" w:rsidRDefault="00C531B2" w:rsidP="008C2635">
      <w:pPr>
        <w:tabs>
          <w:tab w:val="left" w:pos="284"/>
          <w:tab w:val="left" w:pos="426"/>
        </w:tabs>
        <w:ind w:left="284" w:right="284"/>
        <w:rPr>
          <w:b/>
          <w:bCs/>
          <w:sz w:val="22"/>
          <w:szCs w:val="22"/>
          <w:u w:val="single"/>
        </w:rPr>
      </w:pPr>
      <w:r w:rsidRPr="008C2635">
        <w:rPr>
          <w:bCs/>
          <w:sz w:val="22"/>
          <w:szCs w:val="22"/>
        </w:rPr>
        <w:t xml:space="preserve">En los cargos regulados de la Resolución CREG 110 de 2011 se tuvo en cuenta la anterior propuesta presentada a la CREG. </w:t>
      </w:r>
      <w:r w:rsidRPr="008C2635">
        <w:rPr>
          <w:b/>
          <w:bCs/>
          <w:sz w:val="22"/>
          <w:szCs w:val="22"/>
          <w:u w:val="single"/>
        </w:rPr>
        <w:t xml:space="preserve">De esto se deduce que el criterio adoptado por la CREG para calcular el valor del tramo remplazado por variantes considera dos elementos: i) la inversión existente IEt-1; y ii) el cociente entre la longitud remplazada y la longitud total del tramo donde se construye la variante. </w:t>
      </w:r>
    </w:p>
    <w:p w:rsidR="00C531B2" w:rsidRPr="008C2635" w:rsidRDefault="00C531B2" w:rsidP="008C2635">
      <w:pPr>
        <w:tabs>
          <w:tab w:val="left" w:pos="284"/>
          <w:tab w:val="left" w:pos="426"/>
        </w:tabs>
        <w:ind w:left="284" w:right="284"/>
        <w:rPr>
          <w:b/>
          <w:bCs/>
          <w:sz w:val="22"/>
          <w:szCs w:val="22"/>
          <w:u w:val="single"/>
        </w:rPr>
      </w:pPr>
    </w:p>
    <w:p w:rsidR="00C531B2" w:rsidRPr="008C2635" w:rsidRDefault="00C531B2" w:rsidP="008C2635">
      <w:pPr>
        <w:tabs>
          <w:tab w:val="left" w:pos="284"/>
          <w:tab w:val="left" w:pos="426"/>
        </w:tabs>
        <w:ind w:left="284" w:right="284"/>
        <w:rPr>
          <w:b/>
          <w:bCs/>
          <w:sz w:val="22"/>
          <w:szCs w:val="22"/>
          <w:u w:val="single"/>
        </w:rPr>
      </w:pPr>
      <w:r w:rsidRPr="008C2635">
        <w:rPr>
          <w:b/>
          <w:bCs/>
          <w:sz w:val="22"/>
          <w:szCs w:val="22"/>
          <w:u w:val="single"/>
        </w:rPr>
        <w:t xml:space="preserve">El criterio adoptado por la CREG se basa en los siguientes preceptos de la </w:t>
      </w:r>
      <w:r w:rsidRPr="008C2635">
        <w:rPr>
          <w:b/>
          <w:bCs/>
          <w:i/>
          <w:sz w:val="22"/>
          <w:szCs w:val="22"/>
          <w:u w:val="single"/>
        </w:rPr>
        <w:t>metodología</w:t>
      </w:r>
      <w:r w:rsidRPr="008C2635">
        <w:rPr>
          <w:b/>
          <w:bCs/>
          <w:sz w:val="22"/>
          <w:szCs w:val="22"/>
          <w:u w:val="single"/>
        </w:rPr>
        <w:t xml:space="preserve">: </w:t>
      </w:r>
    </w:p>
    <w:p w:rsidR="00C531B2" w:rsidRPr="008C2635" w:rsidRDefault="00C531B2" w:rsidP="008C2635">
      <w:pPr>
        <w:tabs>
          <w:tab w:val="left" w:pos="284"/>
          <w:tab w:val="left" w:pos="426"/>
        </w:tabs>
        <w:ind w:left="284" w:right="284"/>
        <w:rPr>
          <w:b/>
          <w:bCs/>
          <w:sz w:val="22"/>
          <w:szCs w:val="22"/>
          <w:u w:val="single"/>
        </w:rPr>
      </w:pPr>
    </w:p>
    <w:p w:rsidR="00C531B2" w:rsidRPr="008C2635" w:rsidRDefault="00C531B2" w:rsidP="008C2635">
      <w:pPr>
        <w:numPr>
          <w:ilvl w:val="0"/>
          <w:numId w:val="27"/>
        </w:numPr>
        <w:tabs>
          <w:tab w:val="left" w:pos="284"/>
        </w:tabs>
        <w:ind w:left="284" w:right="284" w:hanging="426"/>
        <w:rPr>
          <w:b/>
          <w:bCs/>
          <w:sz w:val="22"/>
          <w:szCs w:val="22"/>
          <w:u w:val="single"/>
        </w:rPr>
      </w:pPr>
      <w:r w:rsidRPr="008C2635">
        <w:rPr>
          <w:b/>
          <w:bCs/>
          <w:sz w:val="22"/>
          <w:szCs w:val="22"/>
          <w:u w:val="single"/>
        </w:rPr>
        <w:t xml:space="preserve">De acuerdo con lo establecido en el artículo 15 de la </w:t>
      </w:r>
      <w:r w:rsidRPr="008C2635">
        <w:rPr>
          <w:b/>
          <w:bCs/>
          <w:i/>
          <w:sz w:val="22"/>
          <w:szCs w:val="22"/>
          <w:u w:val="single"/>
        </w:rPr>
        <w:t>metodología</w:t>
      </w:r>
      <w:r w:rsidRPr="008C2635">
        <w:rPr>
          <w:b/>
          <w:bCs/>
          <w:sz w:val="22"/>
          <w:szCs w:val="22"/>
          <w:u w:val="single"/>
        </w:rPr>
        <w:t xml:space="preserve">, desde el momento en que queden en firme los cargos el transportador puede empezar a remunerar las inversiones reconocidas en el </w:t>
      </w:r>
      <w:proofErr w:type="spellStart"/>
      <w:r w:rsidRPr="008C2635">
        <w:rPr>
          <w:b/>
          <w:bCs/>
          <w:sz w:val="22"/>
          <w:szCs w:val="22"/>
          <w:u w:val="single"/>
        </w:rPr>
        <w:t>PNIt</w:t>
      </w:r>
      <w:proofErr w:type="spellEnd"/>
      <w:r w:rsidRPr="008C2635">
        <w:rPr>
          <w:b/>
          <w:bCs/>
          <w:sz w:val="22"/>
          <w:szCs w:val="22"/>
          <w:u w:val="single"/>
        </w:rPr>
        <w:t xml:space="preserve">, donde se incluye el valor de las variantes </w:t>
      </w:r>
      <w:proofErr w:type="spellStart"/>
      <w:r w:rsidRPr="008C2635">
        <w:rPr>
          <w:b/>
          <w:bCs/>
          <w:sz w:val="22"/>
          <w:szCs w:val="22"/>
          <w:u w:val="single"/>
        </w:rPr>
        <w:t>Nazareth</w:t>
      </w:r>
      <w:proofErr w:type="spellEnd"/>
      <w:r w:rsidRPr="008C2635">
        <w:rPr>
          <w:b/>
          <w:bCs/>
          <w:sz w:val="22"/>
          <w:szCs w:val="22"/>
          <w:u w:val="single"/>
        </w:rPr>
        <w:t xml:space="preserve">, </w:t>
      </w:r>
      <w:proofErr w:type="spellStart"/>
      <w:r w:rsidRPr="008C2635">
        <w:rPr>
          <w:b/>
          <w:bCs/>
          <w:sz w:val="22"/>
          <w:szCs w:val="22"/>
          <w:u w:val="single"/>
        </w:rPr>
        <w:t>Yamunta</w:t>
      </w:r>
      <w:proofErr w:type="spellEnd"/>
      <w:r w:rsidRPr="008C2635">
        <w:rPr>
          <w:b/>
          <w:bCs/>
          <w:sz w:val="22"/>
          <w:szCs w:val="22"/>
          <w:u w:val="single"/>
        </w:rPr>
        <w:t xml:space="preserve"> y Río </w:t>
      </w:r>
      <w:proofErr w:type="spellStart"/>
      <w:r w:rsidRPr="008C2635">
        <w:rPr>
          <w:b/>
          <w:bCs/>
          <w:sz w:val="22"/>
          <w:szCs w:val="22"/>
          <w:u w:val="single"/>
        </w:rPr>
        <w:t>Guarinó</w:t>
      </w:r>
      <w:proofErr w:type="spellEnd"/>
      <w:r w:rsidRPr="008C2635">
        <w:rPr>
          <w:b/>
          <w:bCs/>
          <w:sz w:val="22"/>
          <w:szCs w:val="22"/>
          <w:u w:val="single"/>
        </w:rPr>
        <w:t xml:space="preserve">. Es decir, el valor reconocido para las variantes </w:t>
      </w:r>
      <w:proofErr w:type="spellStart"/>
      <w:r w:rsidRPr="008C2635">
        <w:rPr>
          <w:b/>
          <w:bCs/>
          <w:sz w:val="22"/>
          <w:szCs w:val="22"/>
          <w:u w:val="single"/>
        </w:rPr>
        <w:t>Nazareth</w:t>
      </w:r>
      <w:proofErr w:type="spellEnd"/>
      <w:r w:rsidRPr="008C2635">
        <w:rPr>
          <w:b/>
          <w:bCs/>
          <w:sz w:val="22"/>
          <w:szCs w:val="22"/>
          <w:u w:val="single"/>
        </w:rPr>
        <w:t xml:space="preserve">, </w:t>
      </w:r>
      <w:proofErr w:type="spellStart"/>
      <w:r w:rsidRPr="008C2635">
        <w:rPr>
          <w:b/>
          <w:bCs/>
          <w:sz w:val="22"/>
          <w:szCs w:val="22"/>
          <w:u w:val="single"/>
        </w:rPr>
        <w:t>Yamunta</w:t>
      </w:r>
      <w:proofErr w:type="spellEnd"/>
      <w:r w:rsidRPr="008C2635">
        <w:rPr>
          <w:b/>
          <w:bCs/>
          <w:sz w:val="22"/>
          <w:szCs w:val="22"/>
          <w:u w:val="single"/>
        </w:rPr>
        <w:t xml:space="preserve"> y Río </w:t>
      </w:r>
      <w:proofErr w:type="spellStart"/>
      <w:r w:rsidRPr="008C2635">
        <w:rPr>
          <w:b/>
          <w:bCs/>
          <w:sz w:val="22"/>
          <w:szCs w:val="22"/>
          <w:u w:val="single"/>
        </w:rPr>
        <w:t>Guarinó</w:t>
      </w:r>
      <w:proofErr w:type="spellEnd"/>
      <w:r w:rsidRPr="008C2635">
        <w:rPr>
          <w:b/>
          <w:bCs/>
          <w:sz w:val="22"/>
          <w:szCs w:val="22"/>
          <w:u w:val="single"/>
        </w:rPr>
        <w:t xml:space="preserve"> se empieza a remunerar desde el primer día del período tarifario independientemente del año del período tarifario en el que se ejecuten. Este hecho hace parte del concepto de costo medio de mediano plazo en el que se basa la </w:t>
      </w:r>
      <w:r w:rsidRPr="008C2635">
        <w:rPr>
          <w:b/>
          <w:bCs/>
          <w:i/>
          <w:sz w:val="22"/>
          <w:szCs w:val="22"/>
          <w:u w:val="single"/>
        </w:rPr>
        <w:t>metodología</w:t>
      </w:r>
      <w:r w:rsidRPr="008C2635">
        <w:rPr>
          <w:b/>
          <w:bCs/>
          <w:sz w:val="22"/>
          <w:szCs w:val="22"/>
          <w:u w:val="single"/>
        </w:rPr>
        <w:t xml:space="preserve">. </w:t>
      </w:r>
    </w:p>
    <w:p w:rsidR="00C531B2" w:rsidRPr="008C2635" w:rsidRDefault="00C531B2" w:rsidP="008C2635">
      <w:pPr>
        <w:tabs>
          <w:tab w:val="left" w:pos="284"/>
        </w:tabs>
        <w:ind w:left="284" w:right="284"/>
        <w:rPr>
          <w:b/>
          <w:bCs/>
          <w:sz w:val="22"/>
          <w:szCs w:val="22"/>
          <w:u w:val="single"/>
        </w:rPr>
      </w:pPr>
    </w:p>
    <w:p w:rsidR="00C531B2" w:rsidRPr="008C2635" w:rsidRDefault="00C531B2" w:rsidP="008C2635">
      <w:pPr>
        <w:numPr>
          <w:ilvl w:val="0"/>
          <w:numId w:val="27"/>
        </w:numPr>
        <w:tabs>
          <w:tab w:val="left" w:pos="284"/>
        </w:tabs>
        <w:ind w:left="284" w:right="284" w:hanging="426"/>
        <w:rPr>
          <w:b/>
          <w:bCs/>
          <w:sz w:val="22"/>
          <w:szCs w:val="22"/>
          <w:u w:val="single"/>
        </w:rPr>
      </w:pPr>
      <w:r w:rsidRPr="008C2635">
        <w:rPr>
          <w:b/>
          <w:bCs/>
          <w:sz w:val="22"/>
          <w:szCs w:val="22"/>
          <w:u w:val="single"/>
        </w:rPr>
        <w:t xml:space="preserve">En el literal c del artículo 5 de la </w:t>
      </w:r>
      <w:r w:rsidRPr="008C2635">
        <w:rPr>
          <w:b/>
          <w:bCs/>
          <w:i/>
          <w:sz w:val="22"/>
          <w:szCs w:val="22"/>
          <w:u w:val="single"/>
        </w:rPr>
        <w:t xml:space="preserve">metodología </w:t>
      </w:r>
      <w:r w:rsidRPr="008C2635">
        <w:rPr>
          <w:b/>
          <w:bCs/>
          <w:sz w:val="22"/>
          <w:szCs w:val="22"/>
          <w:u w:val="single"/>
        </w:rPr>
        <w:t xml:space="preserve">se establece que bajo ninguna circunstancia se debe incluir en el monto de las inversiones existentes aquellos activos propios de la operación retirados del servicio. En tal sentido, es necesario retirar de la inversión existente el valor de la parte del gasoducto existente que es remplazado por las variantes. Se debe notar que para efectos tarifarios este valor corresponde a un ‘valor presente’ pues el mismo es una porción del valor reconocido como inversión existente para el respectivo gasoducto. </w:t>
      </w:r>
    </w:p>
    <w:p w:rsidR="00C531B2" w:rsidRPr="008C2635" w:rsidRDefault="00C531B2" w:rsidP="008C2635">
      <w:pPr>
        <w:tabs>
          <w:tab w:val="left" w:pos="284"/>
          <w:tab w:val="left" w:pos="426"/>
        </w:tabs>
        <w:ind w:left="284" w:right="284"/>
        <w:rPr>
          <w:bCs/>
          <w:sz w:val="22"/>
          <w:szCs w:val="22"/>
        </w:rPr>
      </w:pPr>
    </w:p>
    <w:p w:rsidR="00C531B2" w:rsidRPr="008C2635" w:rsidRDefault="00C531B2" w:rsidP="008C2635">
      <w:pPr>
        <w:tabs>
          <w:tab w:val="left" w:pos="284"/>
          <w:tab w:val="left" w:pos="426"/>
        </w:tabs>
        <w:ind w:left="284" w:right="284"/>
        <w:rPr>
          <w:bCs/>
          <w:sz w:val="22"/>
          <w:szCs w:val="22"/>
        </w:rPr>
      </w:pPr>
      <w:r w:rsidRPr="008C2635">
        <w:rPr>
          <w:bCs/>
          <w:sz w:val="22"/>
          <w:szCs w:val="22"/>
        </w:rPr>
        <w:t xml:space="preserve">Se entiende que TGI propone que al valor de </w:t>
      </w:r>
      <w:proofErr w:type="spellStart"/>
      <w:r w:rsidRPr="008C2635">
        <w:rPr>
          <w:bCs/>
          <w:sz w:val="22"/>
          <w:szCs w:val="22"/>
        </w:rPr>
        <w:t>PNIt</w:t>
      </w:r>
      <w:proofErr w:type="spellEnd"/>
      <w:r w:rsidRPr="008C2635">
        <w:rPr>
          <w:bCs/>
          <w:sz w:val="22"/>
          <w:szCs w:val="22"/>
        </w:rPr>
        <w:t xml:space="preserve"> de la respectiva variante se le descuente el valor calculado con el criterio adoptado por la CREG. Es decir, al valor del </w:t>
      </w:r>
      <w:proofErr w:type="spellStart"/>
      <w:r w:rsidRPr="008C2635">
        <w:rPr>
          <w:bCs/>
          <w:sz w:val="22"/>
          <w:szCs w:val="22"/>
        </w:rPr>
        <w:t>PNIt</w:t>
      </w:r>
      <w:proofErr w:type="spellEnd"/>
      <w:r w:rsidRPr="008C2635">
        <w:rPr>
          <w:bCs/>
          <w:sz w:val="22"/>
          <w:szCs w:val="22"/>
        </w:rPr>
        <w:t xml:space="preserve"> restarle el valor obtenido del producto entre: i) el valor IEt-1 del respectivo tramo; y ii) el cociente entre la longitud remplazada y la longitud total del tramo. </w:t>
      </w:r>
    </w:p>
    <w:p w:rsidR="00C531B2" w:rsidRPr="008C2635" w:rsidRDefault="00C531B2" w:rsidP="008C2635">
      <w:pPr>
        <w:tabs>
          <w:tab w:val="left" w:pos="284"/>
          <w:tab w:val="left" w:pos="426"/>
        </w:tabs>
        <w:ind w:left="284" w:right="284"/>
        <w:rPr>
          <w:bCs/>
          <w:sz w:val="22"/>
          <w:szCs w:val="22"/>
        </w:rPr>
      </w:pPr>
    </w:p>
    <w:p w:rsidR="00C531B2" w:rsidRPr="008C2635" w:rsidRDefault="00C531B2" w:rsidP="008C2635">
      <w:pPr>
        <w:tabs>
          <w:tab w:val="left" w:pos="284"/>
          <w:tab w:val="left" w:pos="426"/>
        </w:tabs>
        <w:ind w:left="284" w:right="284"/>
        <w:rPr>
          <w:bCs/>
          <w:sz w:val="22"/>
          <w:szCs w:val="22"/>
        </w:rPr>
      </w:pPr>
      <w:r w:rsidRPr="008C2635">
        <w:rPr>
          <w:bCs/>
          <w:sz w:val="22"/>
          <w:szCs w:val="22"/>
        </w:rPr>
        <w:t xml:space="preserve">Se debe tener en cuenta que el valor del </w:t>
      </w:r>
      <w:proofErr w:type="spellStart"/>
      <w:r w:rsidRPr="008C2635">
        <w:rPr>
          <w:bCs/>
          <w:sz w:val="22"/>
          <w:szCs w:val="22"/>
        </w:rPr>
        <w:t>PNIt</w:t>
      </w:r>
      <w:proofErr w:type="spellEnd"/>
      <w:r w:rsidRPr="008C2635">
        <w:rPr>
          <w:bCs/>
          <w:sz w:val="22"/>
          <w:szCs w:val="22"/>
        </w:rPr>
        <w:t xml:space="preserve"> es un valor futuro para el año del período tarifario en que el transportador espera ejecutar el proyecto. Para efectos del cálculo tarifario este valor futuro se trae a valor presente y se adiciona al valor de la inversión existente (ver fórmulas de artículo 15 de la </w:t>
      </w:r>
      <w:r w:rsidRPr="008C2635">
        <w:rPr>
          <w:bCs/>
          <w:i/>
          <w:sz w:val="22"/>
          <w:szCs w:val="22"/>
        </w:rPr>
        <w:t>metodología</w:t>
      </w:r>
      <w:r w:rsidRPr="008C2635">
        <w:rPr>
          <w:bCs/>
          <w:sz w:val="22"/>
          <w:szCs w:val="22"/>
        </w:rPr>
        <w:t>).</w:t>
      </w:r>
    </w:p>
    <w:p w:rsidR="00C531B2" w:rsidRPr="008C2635" w:rsidRDefault="00C531B2" w:rsidP="008C2635">
      <w:pPr>
        <w:tabs>
          <w:tab w:val="left" w:pos="284"/>
          <w:tab w:val="left" w:pos="426"/>
        </w:tabs>
        <w:ind w:left="284" w:right="284"/>
        <w:rPr>
          <w:bCs/>
          <w:sz w:val="22"/>
          <w:szCs w:val="22"/>
        </w:rPr>
      </w:pPr>
    </w:p>
    <w:p w:rsidR="00C531B2" w:rsidRPr="008C2635" w:rsidRDefault="00C531B2" w:rsidP="008C2635">
      <w:pPr>
        <w:tabs>
          <w:tab w:val="left" w:pos="284"/>
          <w:tab w:val="left" w:pos="426"/>
        </w:tabs>
        <w:ind w:left="284" w:right="284"/>
        <w:rPr>
          <w:bCs/>
          <w:sz w:val="22"/>
          <w:szCs w:val="22"/>
        </w:rPr>
      </w:pPr>
      <w:r w:rsidRPr="008C2635">
        <w:rPr>
          <w:bCs/>
          <w:sz w:val="22"/>
          <w:szCs w:val="22"/>
        </w:rPr>
        <w:t xml:space="preserve">La propuesta de TGI es inconsistente numéricamente puesto que plantea restar un valor presente (i.e. el valor a descontar por el tramo que sale de servicio) a un valor futuro (i.e. el valor </w:t>
      </w:r>
      <w:proofErr w:type="spellStart"/>
      <w:r w:rsidRPr="008C2635">
        <w:rPr>
          <w:bCs/>
          <w:sz w:val="22"/>
          <w:szCs w:val="22"/>
        </w:rPr>
        <w:t>PNIt</w:t>
      </w:r>
      <w:proofErr w:type="spellEnd"/>
      <w:r w:rsidRPr="008C2635">
        <w:rPr>
          <w:bCs/>
          <w:sz w:val="22"/>
          <w:szCs w:val="22"/>
        </w:rPr>
        <w:t xml:space="preserve">). Lo acertado es hacer la resta entre valores futuros o entre valores presentes. Es decir, para hacer la resta del </w:t>
      </w:r>
      <w:proofErr w:type="spellStart"/>
      <w:r w:rsidRPr="008C2635">
        <w:rPr>
          <w:bCs/>
          <w:sz w:val="22"/>
          <w:szCs w:val="22"/>
        </w:rPr>
        <w:t>PNIt</w:t>
      </w:r>
      <w:proofErr w:type="spellEnd"/>
      <w:r w:rsidRPr="008C2635">
        <w:rPr>
          <w:bCs/>
          <w:sz w:val="22"/>
          <w:szCs w:val="22"/>
        </w:rPr>
        <w:t xml:space="preserve"> el valor a restar se debe llevar a valor futuro. Esto es equivalente a restarle al valor presente del </w:t>
      </w:r>
      <w:proofErr w:type="spellStart"/>
      <w:r w:rsidRPr="008C2635">
        <w:rPr>
          <w:bCs/>
          <w:sz w:val="22"/>
          <w:szCs w:val="22"/>
        </w:rPr>
        <w:t>PNIt</w:t>
      </w:r>
      <w:proofErr w:type="spellEnd"/>
      <w:r w:rsidRPr="008C2635">
        <w:rPr>
          <w:bCs/>
          <w:sz w:val="22"/>
          <w:szCs w:val="22"/>
        </w:rPr>
        <w:t>, o al valor de la inversión existente, el valor a descontar calculado con el criterio adoptado por la CREG, el cual está en valor presente.</w:t>
      </w:r>
    </w:p>
    <w:p w:rsidR="00C531B2" w:rsidRPr="008C2635" w:rsidRDefault="00C531B2" w:rsidP="008C2635">
      <w:pPr>
        <w:tabs>
          <w:tab w:val="left" w:pos="284"/>
          <w:tab w:val="left" w:pos="426"/>
        </w:tabs>
        <w:ind w:left="284" w:right="284"/>
        <w:rPr>
          <w:bCs/>
          <w:sz w:val="22"/>
          <w:szCs w:val="22"/>
        </w:rPr>
      </w:pPr>
    </w:p>
    <w:p w:rsidR="00C531B2" w:rsidRPr="008C2635" w:rsidRDefault="00C531B2" w:rsidP="008C2635">
      <w:pPr>
        <w:tabs>
          <w:tab w:val="left" w:pos="284"/>
          <w:tab w:val="left" w:pos="426"/>
        </w:tabs>
        <w:ind w:left="284" w:right="284"/>
        <w:rPr>
          <w:bCs/>
          <w:sz w:val="22"/>
          <w:szCs w:val="22"/>
        </w:rPr>
      </w:pPr>
      <w:r w:rsidRPr="008C2635">
        <w:rPr>
          <w:bCs/>
          <w:sz w:val="22"/>
          <w:szCs w:val="22"/>
        </w:rPr>
        <w:t xml:space="preserve">En el cálculo tarifario de los cargos adoptados mediante la Resolución CREG 110 de 2011 se restó de la inversión existente el valor a descontar calculado con el criterio adoptado por la CREG, lo cual es numéricamente consistente y cumple con los criterios establecidos en la </w:t>
      </w:r>
      <w:r w:rsidRPr="008C2635">
        <w:rPr>
          <w:bCs/>
          <w:i/>
          <w:sz w:val="22"/>
          <w:szCs w:val="22"/>
        </w:rPr>
        <w:t>metodología</w:t>
      </w:r>
      <w:r w:rsidRPr="008C2635">
        <w:rPr>
          <w:bCs/>
          <w:sz w:val="22"/>
          <w:szCs w:val="22"/>
        </w:rPr>
        <w:t xml:space="preserve">.  </w:t>
      </w:r>
    </w:p>
    <w:p w:rsidR="00C531B2" w:rsidRPr="008C2635" w:rsidRDefault="00C531B2" w:rsidP="008C2635">
      <w:pPr>
        <w:tabs>
          <w:tab w:val="left" w:pos="284"/>
          <w:tab w:val="left" w:pos="426"/>
        </w:tabs>
        <w:ind w:left="284" w:right="284"/>
        <w:rPr>
          <w:bCs/>
          <w:sz w:val="22"/>
          <w:szCs w:val="22"/>
        </w:rPr>
      </w:pPr>
    </w:p>
    <w:p w:rsidR="00C531B2" w:rsidRPr="00C531B2" w:rsidRDefault="00C531B2" w:rsidP="008C2635">
      <w:pPr>
        <w:tabs>
          <w:tab w:val="left" w:pos="284"/>
          <w:tab w:val="left" w:pos="426"/>
        </w:tabs>
        <w:ind w:left="284" w:right="284"/>
        <w:rPr>
          <w:bCs/>
        </w:rPr>
      </w:pPr>
      <w:r w:rsidRPr="008C2635">
        <w:rPr>
          <w:bCs/>
          <w:sz w:val="22"/>
          <w:szCs w:val="22"/>
        </w:rPr>
        <w:t xml:space="preserve">De lo anterior se concluye que la propuesta de la recurrente, en el sentido de descontar el valor del tramo que sale de servicio del valor del </w:t>
      </w:r>
      <w:proofErr w:type="spellStart"/>
      <w:r w:rsidRPr="008C2635">
        <w:rPr>
          <w:bCs/>
          <w:sz w:val="22"/>
          <w:szCs w:val="22"/>
        </w:rPr>
        <w:t>PNIt</w:t>
      </w:r>
      <w:proofErr w:type="spellEnd"/>
      <w:r w:rsidRPr="008C2635">
        <w:rPr>
          <w:bCs/>
          <w:sz w:val="22"/>
          <w:szCs w:val="22"/>
        </w:rPr>
        <w:t>, es inconsistente numéricamente y por tanto no puede prosperar.</w:t>
      </w:r>
      <w:r w:rsidR="00180B0B">
        <w:rPr>
          <w:bCs/>
          <w:sz w:val="22"/>
          <w:szCs w:val="22"/>
        </w:rPr>
        <w:t>” (Resaltado fuera de texto)</w:t>
      </w:r>
      <w:r w:rsidRPr="00C531B2">
        <w:rPr>
          <w:bCs/>
        </w:rPr>
        <w:t xml:space="preserve">  </w:t>
      </w:r>
    </w:p>
    <w:p w:rsidR="00180B0B" w:rsidRDefault="00180B0B" w:rsidP="00180B0B">
      <w:pPr>
        <w:pStyle w:val="Textoindependiente2"/>
        <w:spacing w:after="0" w:line="240" w:lineRule="auto"/>
        <w:ind w:right="-142"/>
        <w:rPr>
          <w:szCs w:val="27"/>
        </w:rPr>
      </w:pPr>
    </w:p>
    <w:p w:rsidR="00E5275A" w:rsidRDefault="00E14009" w:rsidP="0097015B">
      <w:pPr>
        <w:pStyle w:val="Textoindependiente2"/>
        <w:numPr>
          <w:ilvl w:val="0"/>
          <w:numId w:val="36"/>
        </w:numPr>
        <w:spacing w:after="0" w:line="240" w:lineRule="auto"/>
        <w:ind w:right="-142"/>
        <w:rPr>
          <w:rFonts w:cs="Arial"/>
          <w:lang w:val="es-ES_tradnl"/>
        </w:rPr>
      </w:pPr>
      <w:r w:rsidRPr="00E14009">
        <w:rPr>
          <w:szCs w:val="27"/>
        </w:rPr>
        <w:t xml:space="preserve">La metodología establece frente al componente inversiones una serie de variables para efectos de distinguir dichos activos y establecer el tratamiento que estos deben recibir en la </w:t>
      </w:r>
      <w:r w:rsidRPr="00180B0B">
        <w:rPr>
          <w:rFonts w:cs="Arial"/>
          <w:lang w:val="es-ES_tradnl"/>
        </w:rPr>
        <w:t>determinación</w:t>
      </w:r>
      <w:r w:rsidRPr="00E14009">
        <w:rPr>
          <w:szCs w:val="27"/>
        </w:rPr>
        <w:t xml:space="preserve"> de los cargos regulados. En relación con los gasoductos,</w:t>
      </w:r>
      <w:r>
        <w:rPr>
          <w:szCs w:val="27"/>
        </w:rPr>
        <w:t xml:space="preserve"> entendidos como aquellos activos que han cumplido su VUN, teniendo en cuenta el análisis expuesto en el literal anterior, su valoración </w:t>
      </w:r>
      <w:r>
        <w:rPr>
          <w:szCs w:val="27"/>
        </w:rPr>
        <w:lastRenderedPageBreak/>
        <w:t xml:space="preserve">genera efectos </w:t>
      </w:r>
      <w:r w:rsidRPr="00E14009">
        <w:rPr>
          <w:rFonts w:cs="Arial"/>
          <w:lang w:val="es-ES_tradnl"/>
        </w:rPr>
        <w:t>sobre las variables consideradas en e</w:t>
      </w:r>
      <w:r>
        <w:rPr>
          <w:rFonts w:cs="Arial"/>
          <w:lang w:val="es-ES_tradnl"/>
        </w:rPr>
        <w:t>l cálculo de los cargos regulados.</w:t>
      </w:r>
    </w:p>
    <w:p w:rsidR="00E5275A" w:rsidRDefault="00E5275A" w:rsidP="008C2635">
      <w:pPr>
        <w:pStyle w:val="Textoindependiente2"/>
        <w:spacing w:after="0" w:line="240" w:lineRule="auto"/>
        <w:ind w:left="-142" w:right="-142"/>
        <w:rPr>
          <w:rFonts w:cs="Arial"/>
          <w:lang w:val="es-ES_tradnl"/>
        </w:rPr>
      </w:pPr>
    </w:p>
    <w:p w:rsidR="00A12F30" w:rsidRDefault="00E14009" w:rsidP="0097015B">
      <w:pPr>
        <w:pStyle w:val="Textoindependiente2"/>
        <w:spacing w:after="0" w:line="240" w:lineRule="auto"/>
        <w:ind w:left="218" w:right="-142"/>
        <w:rPr>
          <w:rFonts w:cs="Arial"/>
          <w:lang w:val="es-ES_tradnl"/>
        </w:rPr>
      </w:pPr>
      <w:r>
        <w:rPr>
          <w:rFonts w:cs="Arial"/>
          <w:lang w:val="es-ES_tradnl"/>
        </w:rPr>
        <w:t xml:space="preserve">En este sentido, la Comisión ha precisado </w:t>
      </w:r>
      <w:r w:rsidR="00E347FF">
        <w:rPr>
          <w:rFonts w:cs="Arial"/>
          <w:lang w:val="es-ES_tradnl"/>
        </w:rPr>
        <w:t>que de</w:t>
      </w:r>
      <w:r w:rsidR="00A12F30">
        <w:rPr>
          <w:rFonts w:cs="Arial"/>
          <w:lang w:val="es-ES_tradnl"/>
        </w:rPr>
        <w:t xml:space="preserve"> acuerdo con</w:t>
      </w:r>
      <w:r w:rsidR="00E347FF">
        <w:rPr>
          <w:rFonts w:cs="Arial"/>
          <w:lang w:val="es-ES_tradnl"/>
        </w:rPr>
        <w:t xml:space="preserve"> lo previsto en </w:t>
      </w:r>
      <w:r w:rsidR="00180B0B">
        <w:rPr>
          <w:rFonts w:cs="Arial"/>
          <w:lang w:val="es-ES_tradnl"/>
        </w:rPr>
        <w:t>la metodología, tanto en su</w:t>
      </w:r>
      <w:r w:rsidR="00842882">
        <w:rPr>
          <w:rFonts w:cs="Arial"/>
          <w:lang w:val="es-ES_tradnl"/>
        </w:rPr>
        <w:t xml:space="preserve"> artículo</w:t>
      </w:r>
      <w:r w:rsidR="00E347FF">
        <w:rPr>
          <w:rFonts w:cs="Arial"/>
          <w:lang w:val="es-ES_tradnl"/>
        </w:rPr>
        <w:t xml:space="preserve"> 14, del concepto de </w:t>
      </w:r>
      <w:r w:rsidR="00842882">
        <w:rPr>
          <w:rFonts w:cs="Arial"/>
          <w:lang w:val="es-ES_tradnl"/>
        </w:rPr>
        <w:t>VUN</w:t>
      </w:r>
      <w:r w:rsidR="00E347FF">
        <w:rPr>
          <w:rStyle w:val="Refdenotaalpie"/>
          <w:rFonts w:cs="Arial"/>
          <w:lang w:val="es-ES_tradnl"/>
        </w:rPr>
        <w:footnoteReference w:id="7"/>
      </w:r>
      <w:r w:rsidR="00E347FF">
        <w:rPr>
          <w:rFonts w:cs="Arial"/>
          <w:lang w:val="es-ES_tradnl"/>
        </w:rPr>
        <w:t>, así como de</w:t>
      </w:r>
      <w:r w:rsidR="00E5275A">
        <w:rPr>
          <w:rFonts w:cs="Arial"/>
          <w:lang w:val="es-ES_tradnl"/>
        </w:rPr>
        <w:t>l procedimiento y</w:t>
      </w:r>
      <w:r w:rsidR="00180B0B">
        <w:rPr>
          <w:rFonts w:cs="Arial"/>
          <w:lang w:val="es-ES_tradnl"/>
        </w:rPr>
        <w:t xml:space="preserve"> los </w:t>
      </w:r>
      <w:r w:rsidR="00180B0B" w:rsidRPr="0097015B">
        <w:rPr>
          <w:szCs w:val="27"/>
        </w:rPr>
        <w:t>incentivos</w:t>
      </w:r>
      <w:r w:rsidR="00180B0B">
        <w:rPr>
          <w:rFonts w:cs="Arial"/>
          <w:lang w:val="es-ES_tradnl"/>
        </w:rPr>
        <w:t xml:space="preserve"> previstos en</w:t>
      </w:r>
      <w:r w:rsidR="00E347FF">
        <w:rPr>
          <w:rFonts w:cs="Arial"/>
          <w:lang w:val="es-ES_tradnl"/>
        </w:rPr>
        <w:t xml:space="preserve"> la remuneración </w:t>
      </w:r>
      <w:r w:rsidR="00180B0B">
        <w:rPr>
          <w:rFonts w:cs="Arial"/>
          <w:lang w:val="es-ES_tradnl"/>
        </w:rPr>
        <w:t>(</w:t>
      </w:r>
      <w:r w:rsidR="00E347FF">
        <w:rPr>
          <w:rFonts w:cs="Arial"/>
          <w:lang w:val="es-ES_tradnl"/>
        </w:rPr>
        <w:t>para continuar o no con la operación del activo</w:t>
      </w:r>
      <w:r w:rsidR="00180B0B">
        <w:rPr>
          <w:rFonts w:cs="Arial"/>
          <w:lang w:val="es-ES_tradnl"/>
        </w:rPr>
        <w:t>)</w:t>
      </w:r>
      <w:r w:rsidR="003A7C57">
        <w:rPr>
          <w:rFonts w:cs="Arial"/>
          <w:lang w:val="es-ES_tradnl"/>
        </w:rPr>
        <w:t>, al momento</w:t>
      </w:r>
      <w:r w:rsidR="00E5275A">
        <w:rPr>
          <w:rFonts w:cs="Arial"/>
          <w:lang w:val="es-ES_tradnl"/>
        </w:rPr>
        <w:t xml:space="preserve"> de llevar a cabo la aplicación </w:t>
      </w:r>
      <w:r w:rsidR="00A12F30">
        <w:rPr>
          <w:rFonts w:cs="Arial"/>
          <w:lang w:val="es-ES_tradnl"/>
        </w:rPr>
        <w:t xml:space="preserve">de estas disposiciones </w:t>
      </w:r>
      <w:r w:rsidR="003A7C57">
        <w:rPr>
          <w:rFonts w:cs="Arial"/>
          <w:lang w:val="es-ES_tradnl"/>
        </w:rPr>
        <w:t>dentro de las actuaciones administrativas a efectos de resolver las solicitudes de los transportadores para los activos que han cumplido</w:t>
      </w:r>
      <w:r w:rsidR="004816B5">
        <w:rPr>
          <w:rFonts w:cs="Arial"/>
          <w:lang w:val="es-ES_tradnl"/>
        </w:rPr>
        <w:t xml:space="preserve"> su VUN</w:t>
      </w:r>
      <w:r w:rsidR="00E5275A">
        <w:rPr>
          <w:rFonts w:cs="Arial"/>
          <w:lang w:val="es-ES_tradnl"/>
        </w:rPr>
        <w:t xml:space="preserve">, </w:t>
      </w:r>
      <w:r w:rsidR="00A12F30">
        <w:rPr>
          <w:rFonts w:cs="Arial"/>
          <w:lang w:val="es-ES_tradnl"/>
        </w:rPr>
        <w:t>se debe efectuar</w:t>
      </w:r>
      <w:r w:rsidR="004816B5" w:rsidRPr="004816B5">
        <w:rPr>
          <w:rFonts w:cs="Arial"/>
          <w:lang w:val="es-ES_tradnl"/>
        </w:rPr>
        <w:t xml:space="preserve"> la revisión del valor de las variables de inversión</w:t>
      </w:r>
      <w:r w:rsidR="004816B5">
        <w:rPr>
          <w:rFonts w:cs="Arial"/>
          <w:lang w:val="es-ES_tradnl"/>
        </w:rPr>
        <w:t xml:space="preserve"> </w:t>
      </w:r>
      <w:r w:rsidR="00C6149C">
        <w:rPr>
          <w:rFonts w:cs="Arial"/>
          <w:lang w:val="es-ES_tradnl"/>
        </w:rPr>
        <w:t xml:space="preserve">de los cargos </w:t>
      </w:r>
      <w:r w:rsidR="00E5275A">
        <w:rPr>
          <w:rFonts w:cs="Arial"/>
          <w:lang w:val="es-ES_tradnl"/>
        </w:rPr>
        <w:t>como es el caso de la</w:t>
      </w:r>
      <w:r w:rsidR="00E347FF" w:rsidRPr="008C2635">
        <w:rPr>
          <w:rFonts w:cs="Arial"/>
          <w:lang w:val="es-ES_tradnl"/>
        </w:rPr>
        <w:t xml:space="preserve"> inversión existente, </w:t>
      </w:r>
      <m:oMath>
        <m:sSub>
          <m:sSubPr>
            <m:ctrlPr>
              <w:rPr>
                <w:rFonts w:ascii="Cambria Math" w:hAnsi="Cambria Math" w:cs="Arial"/>
                <w:i/>
                <w:lang w:val="es-CO"/>
              </w:rPr>
            </m:ctrlPr>
          </m:sSubPr>
          <m:e>
            <m:r>
              <w:rPr>
                <w:rFonts w:ascii="Cambria Math" w:hAnsi="Cambria Math" w:cs="Arial"/>
                <w:lang w:val="es-ES_tradnl"/>
              </w:rPr>
              <m:t>IE</m:t>
            </m:r>
          </m:e>
          <m:sub>
            <m:r>
              <w:rPr>
                <w:rFonts w:ascii="Cambria Math" w:hAnsi="Cambria Math" w:cs="Arial"/>
                <w:lang w:val="es-ES_tradnl"/>
              </w:rPr>
              <m:t>t</m:t>
            </m:r>
          </m:sub>
        </m:sSub>
      </m:oMath>
      <w:r w:rsidR="00E347FF" w:rsidRPr="008C2635">
        <w:rPr>
          <w:rFonts w:cs="Arial"/>
          <w:lang w:val="es-CO"/>
        </w:rPr>
        <w:t>,</w:t>
      </w:r>
      <w:r w:rsidR="004816B5">
        <w:rPr>
          <w:rFonts w:cs="Arial"/>
          <w:lang w:val="es-CO"/>
        </w:rPr>
        <w:t xml:space="preserve"> </w:t>
      </w:r>
      <w:r w:rsidR="004816B5" w:rsidRPr="008C2635">
        <w:rPr>
          <w:rFonts w:cs="Arial"/>
          <w:lang w:val="es-ES_tradnl"/>
        </w:rPr>
        <w:t xml:space="preserve">y del valor del programa de nuevas inversiones, </w:t>
      </w:r>
      <m:oMath>
        <m:sSub>
          <m:sSubPr>
            <m:ctrlPr>
              <w:rPr>
                <w:rFonts w:ascii="Cambria Math" w:hAnsi="Cambria Math" w:cs="Arial"/>
                <w:lang w:val="es-ES_tradnl"/>
              </w:rPr>
            </m:ctrlPr>
          </m:sSubPr>
          <m:e>
            <m:r>
              <w:rPr>
                <w:rFonts w:ascii="Cambria Math" w:hAnsi="Cambria Math" w:cs="Arial"/>
                <w:lang w:val="es-ES_tradnl"/>
              </w:rPr>
              <m:t>PNI</m:t>
            </m:r>
          </m:e>
          <m:sub>
            <m:r>
              <w:rPr>
                <w:rFonts w:ascii="Cambria Math" w:hAnsi="Cambria Math" w:cs="Arial"/>
                <w:lang w:val="es-ES_tradnl"/>
              </w:rPr>
              <m:t>t</m:t>
            </m:r>
          </m:sub>
        </m:sSub>
      </m:oMath>
      <w:r w:rsidR="004816B5">
        <w:rPr>
          <w:rFonts w:cs="Arial"/>
          <w:lang w:val="es-ES_tradnl"/>
        </w:rPr>
        <w:t xml:space="preserve">. </w:t>
      </w:r>
    </w:p>
    <w:p w:rsidR="00A12F30" w:rsidRDefault="00A12F30" w:rsidP="00A12F30">
      <w:pPr>
        <w:pStyle w:val="Textoindependiente2"/>
        <w:spacing w:after="0" w:line="240" w:lineRule="auto"/>
        <w:ind w:left="-142" w:right="-142"/>
        <w:rPr>
          <w:rFonts w:cs="Arial"/>
          <w:lang w:val="es-ES_tradnl"/>
        </w:rPr>
      </w:pPr>
    </w:p>
    <w:p w:rsidR="004816B5" w:rsidRDefault="004816B5" w:rsidP="0097015B">
      <w:pPr>
        <w:pStyle w:val="Textoindependiente2"/>
        <w:spacing w:after="0" w:line="240" w:lineRule="auto"/>
        <w:ind w:left="218" w:right="-142"/>
        <w:rPr>
          <w:rFonts w:cs="Arial"/>
          <w:lang w:val="es-ES_tradnl"/>
        </w:rPr>
      </w:pPr>
      <w:r>
        <w:rPr>
          <w:rFonts w:cs="Arial"/>
          <w:lang w:val="es-ES_tradnl"/>
        </w:rPr>
        <w:t>Lo anterior, toda vez que</w:t>
      </w:r>
      <w:r w:rsidR="008432C0">
        <w:rPr>
          <w:rFonts w:cs="Arial"/>
          <w:lang w:val="es-ES_tradnl"/>
        </w:rPr>
        <w:t xml:space="preserve"> para</w:t>
      </w:r>
      <w:r>
        <w:rPr>
          <w:rFonts w:cs="Arial"/>
          <w:lang w:val="es-ES_tradnl"/>
        </w:rPr>
        <w:t xml:space="preserve"> la correcta aplicación de lo previsto en la metodología</w:t>
      </w:r>
      <w:r w:rsidR="00C06F3D">
        <w:rPr>
          <w:rFonts w:cs="Arial"/>
          <w:lang w:val="es-ES_tradnl"/>
        </w:rPr>
        <w:t xml:space="preserve"> en relación con la VUN</w:t>
      </w:r>
      <w:r w:rsidR="008432C0">
        <w:rPr>
          <w:rFonts w:cs="Arial"/>
          <w:lang w:val="es-ES_tradnl"/>
        </w:rPr>
        <w:t xml:space="preserve"> y el ajuste en los cargos de transporte de gas natural</w:t>
      </w:r>
      <w:r w:rsidR="00E21F52">
        <w:rPr>
          <w:rFonts w:cs="Arial"/>
          <w:lang w:val="es-ES_tradnl"/>
        </w:rPr>
        <w:t xml:space="preserve"> a que hace referencia el numeral 1 </w:t>
      </w:r>
      <w:r w:rsidR="00E21F52" w:rsidRPr="0097015B">
        <w:rPr>
          <w:szCs w:val="27"/>
        </w:rPr>
        <w:t>del</w:t>
      </w:r>
      <w:r w:rsidR="00E21F52">
        <w:rPr>
          <w:rFonts w:cs="Arial"/>
          <w:lang w:val="es-ES_tradnl"/>
        </w:rPr>
        <w:t xml:space="preserve"> literal c del artículo 14 de la Resolución CREG 126  de</w:t>
      </w:r>
      <w:r w:rsidR="008C2635">
        <w:rPr>
          <w:rFonts w:cs="Arial"/>
          <w:lang w:val="es-ES_tradnl"/>
        </w:rPr>
        <w:t xml:space="preserve"> </w:t>
      </w:r>
      <w:r w:rsidR="00E21F52">
        <w:rPr>
          <w:rFonts w:cs="Arial"/>
          <w:lang w:val="es-ES_tradnl"/>
        </w:rPr>
        <w:t>2010</w:t>
      </w:r>
      <w:r w:rsidR="008432C0">
        <w:rPr>
          <w:rFonts w:cs="Arial"/>
          <w:lang w:val="es-ES_tradnl"/>
        </w:rPr>
        <w:t xml:space="preserve">, </w:t>
      </w:r>
      <w:r w:rsidRPr="00C126EA">
        <w:rPr>
          <w:rFonts w:cs="Arial"/>
          <w:lang w:val="es-ES_tradnl"/>
        </w:rPr>
        <w:t xml:space="preserve">los valores de las variables </w:t>
      </w:r>
      <m:oMath>
        <m:sSub>
          <m:sSubPr>
            <m:ctrlPr>
              <w:rPr>
                <w:rFonts w:ascii="Cambria Math" w:hAnsi="Cambria Math" w:cs="Arial"/>
                <w:i/>
                <w:lang w:val="es-ES_tradnl"/>
              </w:rPr>
            </m:ctrlPr>
          </m:sSubPr>
          <m:e>
            <m:r>
              <w:rPr>
                <w:rFonts w:ascii="Cambria Math" w:hAnsi="Cambria Math" w:cs="Arial"/>
                <w:lang w:val="es-ES_tradnl"/>
              </w:rPr>
              <m:t>VAO</m:t>
            </m:r>
          </m:e>
          <m:sub>
            <m:r>
              <w:rPr>
                <w:rFonts w:ascii="Cambria Math" w:hAnsi="Cambria Math" w:cs="Arial"/>
                <w:lang w:val="es-ES_tradnl"/>
              </w:rPr>
              <m:t>t</m:t>
            </m:r>
          </m:sub>
        </m:sSub>
      </m:oMath>
      <w:r w:rsidRPr="00C126EA">
        <w:rPr>
          <w:rFonts w:cs="Arial"/>
          <w:lang w:val="es-ES_tradnl"/>
        </w:rPr>
        <w:t xml:space="preserve"> y </w:t>
      </w:r>
      <m:oMath>
        <m:r>
          <w:rPr>
            <w:rFonts w:ascii="Cambria Math" w:hAnsi="Cambria Math" w:cs="Arial"/>
            <w:lang w:val="es-ES_tradnl"/>
          </w:rPr>
          <m:t>VRAN</m:t>
        </m:r>
      </m:oMath>
      <w:r>
        <w:rPr>
          <w:rFonts w:cs="Arial"/>
          <w:lang w:val="es-ES_tradnl"/>
        </w:rPr>
        <w:t xml:space="preserve"> que corresponden a los valores de las inversiones que se incorporan en los cargos</w:t>
      </w:r>
      <w:r w:rsidRPr="00C126EA">
        <w:rPr>
          <w:rFonts w:cs="Arial"/>
          <w:lang w:val="es-ES_tradnl"/>
        </w:rPr>
        <w:t>, según</w:t>
      </w:r>
      <w:r>
        <w:rPr>
          <w:rFonts w:cs="Arial"/>
          <w:lang w:val="es-ES_tradnl"/>
        </w:rPr>
        <w:t xml:space="preserve"> la decisión que libremente tomen los transportadores</w:t>
      </w:r>
      <w:r w:rsidRPr="00C126EA">
        <w:rPr>
          <w:rFonts w:cs="Arial"/>
          <w:lang w:val="es-ES_tradnl"/>
        </w:rPr>
        <w:t xml:space="preserve">, </w:t>
      </w:r>
      <w:r w:rsidRPr="008C2635">
        <w:rPr>
          <w:rFonts w:cs="Arial"/>
          <w:b/>
          <w:u w:val="single"/>
          <w:lang w:val="es-ES_tradnl"/>
        </w:rPr>
        <w:t>remplazan</w:t>
      </w:r>
      <w:r w:rsidRPr="00C126EA">
        <w:rPr>
          <w:rFonts w:cs="Arial"/>
          <w:lang w:val="es-ES_tradnl"/>
        </w:rPr>
        <w:t xml:space="preserve"> los valores de </w:t>
      </w:r>
      <w:r>
        <w:rPr>
          <w:rFonts w:cs="Arial"/>
          <w:lang w:val="es-ES_tradnl"/>
        </w:rPr>
        <w:t xml:space="preserve">las variables </w:t>
      </w:r>
      <m:oMath>
        <m:sSub>
          <m:sSubPr>
            <m:ctrlPr>
              <w:rPr>
                <w:rFonts w:ascii="Cambria Math" w:hAnsi="Cambria Math" w:cs="Arial"/>
                <w:i/>
                <w:lang w:val="es-CO"/>
              </w:rPr>
            </m:ctrlPr>
          </m:sSubPr>
          <m:e>
            <m:r>
              <w:rPr>
                <w:rFonts w:ascii="Cambria Math" w:hAnsi="Cambria Math" w:cs="Arial"/>
                <w:lang w:val="es-ES_tradnl"/>
              </w:rPr>
              <m:t>IE</m:t>
            </m:r>
          </m:e>
          <m:sub>
            <m:r>
              <w:rPr>
                <w:rFonts w:ascii="Cambria Math" w:hAnsi="Cambria Math" w:cs="Arial"/>
                <w:lang w:val="es-ES_tradnl"/>
              </w:rPr>
              <m:t>t</m:t>
            </m:r>
          </m:sub>
        </m:sSub>
      </m:oMath>
      <w:r w:rsidRPr="00C126EA">
        <w:rPr>
          <w:rFonts w:cs="Arial"/>
          <w:lang w:val="es-CO"/>
        </w:rPr>
        <w:t xml:space="preserve"> y de </w:t>
      </w:r>
      <m:oMath>
        <m:sSub>
          <m:sSubPr>
            <m:ctrlPr>
              <w:rPr>
                <w:rFonts w:ascii="Cambria Math" w:hAnsi="Cambria Math" w:cs="Arial"/>
                <w:i/>
                <w:lang w:val="es-ES_tradnl"/>
              </w:rPr>
            </m:ctrlPr>
          </m:sSubPr>
          <m:e>
            <m:r>
              <w:rPr>
                <w:rFonts w:ascii="Cambria Math" w:hAnsi="Cambria Math" w:cs="Arial"/>
                <w:lang w:val="es-ES_tradnl"/>
              </w:rPr>
              <m:t>PNI</m:t>
            </m:r>
          </m:e>
          <m:sub>
            <m:r>
              <w:rPr>
                <w:rFonts w:ascii="Cambria Math" w:hAnsi="Cambria Math" w:cs="Arial"/>
                <w:lang w:val="es-ES_tradnl"/>
              </w:rPr>
              <m:t>t</m:t>
            </m:r>
          </m:sub>
        </m:sSub>
      </m:oMath>
      <w:r w:rsidRPr="00C126EA">
        <w:rPr>
          <w:rFonts w:cs="Arial"/>
          <w:lang w:val="es-ES_tradnl"/>
        </w:rPr>
        <w:t xml:space="preserve"> </w:t>
      </w:r>
      <w:r w:rsidRPr="00C126EA">
        <w:rPr>
          <w:rFonts w:cs="Arial"/>
          <w:lang w:val="es-CO"/>
        </w:rPr>
        <w:t xml:space="preserve">asociados a aquellos activos que cumplen la </w:t>
      </w:r>
      <w:r w:rsidR="00C06F3D">
        <w:rPr>
          <w:rFonts w:cs="Arial"/>
          <w:lang w:val="es-CO"/>
        </w:rPr>
        <w:t>VUN</w:t>
      </w:r>
      <w:r w:rsidR="00A12F30">
        <w:rPr>
          <w:rStyle w:val="Refdenotaalpie"/>
          <w:rFonts w:cs="Arial"/>
          <w:lang w:val="es-CO"/>
        </w:rPr>
        <w:footnoteReference w:id="8"/>
      </w:r>
      <w:r w:rsidRPr="00C126EA">
        <w:rPr>
          <w:rFonts w:cs="Arial"/>
          <w:lang w:val="es-CO"/>
        </w:rPr>
        <w:t>.</w:t>
      </w:r>
      <w:r>
        <w:rPr>
          <w:rFonts w:cs="Arial"/>
          <w:lang w:val="es-CO"/>
        </w:rPr>
        <w:t xml:space="preserve"> </w:t>
      </w:r>
    </w:p>
    <w:p w:rsidR="004816B5" w:rsidRDefault="004816B5" w:rsidP="008C2635">
      <w:pPr>
        <w:pStyle w:val="Textoindependiente2"/>
        <w:spacing w:after="0" w:line="240" w:lineRule="auto"/>
        <w:ind w:left="-142" w:right="-142"/>
        <w:rPr>
          <w:rFonts w:cs="Arial"/>
          <w:lang w:val="es-ES_tradnl"/>
        </w:rPr>
      </w:pPr>
    </w:p>
    <w:p w:rsidR="004816B5" w:rsidRDefault="00C06F3D" w:rsidP="0097015B">
      <w:pPr>
        <w:pStyle w:val="Textoindependiente2"/>
        <w:spacing w:after="0" w:line="240" w:lineRule="auto"/>
        <w:ind w:left="218" w:right="-142"/>
        <w:rPr>
          <w:rFonts w:cs="Arial"/>
          <w:lang w:val="es-ES_tradnl"/>
        </w:rPr>
      </w:pPr>
      <w:r>
        <w:rPr>
          <w:rFonts w:cs="Arial"/>
          <w:lang w:val="es-ES_tradnl"/>
        </w:rPr>
        <w:t xml:space="preserve">De acuerdo con esto, la </w:t>
      </w:r>
      <w:r w:rsidR="004816B5" w:rsidRPr="008C2635">
        <w:rPr>
          <w:rFonts w:cs="Arial"/>
          <w:lang w:val="es-ES_tradnl"/>
        </w:rPr>
        <w:t>revisión del valor de la inversión existente</w:t>
      </w:r>
      <w:proofErr w:type="gramStart"/>
      <w:r w:rsidR="004816B5" w:rsidRPr="008C2635">
        <w:rPr>
          <w:rFonts w:cs="Arial"/>
          <w:lang w:val="es-ES_tradnl"/>
        </w:rPr>
        <w:t>,</w:t>
      </w:r>
      <w:r w:rsidR="008432C0">
        <w:rPr>
          <w:rFonts w:cs="Arial"/>
          <w:lang w:val="es-ES_tradnl"/>
        </w:rPr>
        <w:t xml:space="preserve"> </w:t>
      </w:r>
      <m:oMath>
        <m:sSub>
          <m:sSubPr>
            <m:ctrlPr>
              <w:rPr>
                <w:rFonts w:ascii="Cambria Math" w:hAnsi="Cambria Math" w:cs="Arial"/>
                <w:lang w:val="es-ES_tradnl"/>
              </w:rPr>
            </m:ctrlPr>
          </m:sSubPr>
          <m:e>
            <m:r>
              <w:rPr>
                <w:rFonts w:ascii="Cambria Math" w:hAnsi="Cambria Math" w:cs="Arial"/>
                <w:lang w:val="es-ES_tradnl"/>
              </w:rPr>
              <m:t>IE</m:t>
            </m:r>
          </m:e>
          <m:sub>
            <m:r>
              <w:rPr>
                <w:rFonts w:ascii="Cambria Math" w:hAnsi="Cambria Math" w:cs="Arial"/>
                <w:lang w:val="es-ES_tradnl"/>
              </w:rPr>
              <m:t>t</m:t>
            </m:r>
          </m:sub>
        </m:sSub>
      </m:oMath>
      <w:r w:rsidR="004816B5" w:rsidRPr="008C2635">
        <w:rPr>
          <w:rFonts w:cs="Arial"/>
          <w:lang w:val="es-ES_tradnl"/>
        </w:rPr>
        <w:t>,</w:t>
      </w:r>
      <w:proofErr w:type="gramEnd"/>
      <w:r w:rsidR="004816B5" w:rsidRPr="008C2635">
        <w:rPr>
          <w:rFonts w:cs="Arial"/>
          <w:lang w:val="es-ES_tradnl"/>
        </w:rPr>
        <w:t xml:space="preserve"> implica revisar los valores de las variables </w:t>
      </w:r>
      <m:oMath>
        <m:sSub>
          <m:sSubPr>
            <m:ctrlPr>
              <w:rPr>
                <w:rFonts w:ascii="Cambria Math" w:hAnsi="Cambria Math" w:cs="Arial"/>
                <w:lang w:val="es-ES_tradnl"/>
              </w:rPr>
            </m:ctrlPr>
          </m:sSubPr>
          <m:e>
            <m:r>
              <w:rPr>
                <w:rFonts w:ascii="Cambria Math" w:hAnsi="Cambria Math" w:cs="Arial"/>
                <w:lang w:val="es-ES_tradnl"/>
              </w:rPr>
              <m:t>IE</m:t>
            </m:r>
          </m:e>
          <m:sub>
            <m:r>
              <w:rPr>
                <w:rFonts w:ascii="Cambria Math" w:hAnsi="Cambria Math" w:cs="Arial"/>
                <w:lang w:val="es-ES_tradnl"/>
              </w:rPr>
              <m:t>t</m:t>
            </m:r>
            <m:r>
              <m:rPr>
                <m:sty m:val="p"/>
              </m:rPr>
              <w:rPr>
                <w:rFonts w:ascii="Cambria Math" w:hAnsi="Cambria Math" w:cs="Arial"/>
                <w:lang w:val="es-ES_tradnl"/>
              </w:rPr>
              <m:t>-1</m:t>
            </m:r>
          </m:sub>
        </m:sSub>
      </m:oMath>
      <w:r w:rsidR="004816B5" w:rsidRPr="008C2635">
        <w:rPr>
          <w:rFonts w:cs="Arial"/>
          <w:lang w:val="es-ES_tradnl"/>
        </w:rPr>
        <w:t xml:space="preserve">, </w:t>
      </w:r>
      <m:oMath>
        <m:sSub>
          <m:sSubPr>
            <m:ctrlPr>
              <w:rPr>
                <w:rFonts w:ascii="Cambria Math" w:hAnsi="Cambria Math" w:cs="Arial"/>
                <w:lang w:val="es-ES_tradnl"/>
              </w:rPr>
            </m:ctrlPr>
          </m:sSubPr>
          <m:e>
            <m:r>
              <w:rPr>
                <w:rFonts w:ascii="Cambria Math" w:hAnsi="Cambria Math" w:cs="Arial"/>
                <w:lang w:val="es-ES_tradnl"/>
              </w:rPr>
              <m:t>PNI</m:t>
            </m:r>
          </m:e>
          <m:sub>
            <m:r>
              <w:rPr>
                <w:rFonts w:ascii="Cambria Math" w:hAnsi="Cambria Math" w:cs="Arial"/>
                <w:lang w:val="es-ES_tradnl"/>
              </w:rPr>
              <m:t>t</m:t>
            </m:r>
            <m:r>
              <m:rPr>
                <m:sty m:val="p"/>
              </m:rPr>
              <w:rPr>
                <w:rFonts w:ascii="Cambria Math" w:hAnsi="Cambria Math" w:cs="Arial"/>
                <w:lang w:val="es-ES_tradnl"/>
              </w:rPr>
              <m:t>-1</m:t>
            </m:r>
          </m:sub>
        </m:sSub>
      </m:oMath>
      <w:r w:rsidR="004816B5" w:rsidRPr="008C2635">
        <w:rPr>
          <w:rFonts w:cs="Arial"/>
          <w:lang w:val="es-ES_tradnl"/>
        </w:rPr>
        <w:t xml:space="preserve">, </w:t>
      </w:r>
      <m:oMath>
        <m:sSub>
          <m:sSubPr>
            <m:ctrlPr>
              <w:rPr>
                <w:rFonts w:ascii="Cambria Math" w:hAnsi="Cambria Math" w:cs="Arial"/>
                <w:lang w:val="es-ES_tradnl"/>
              </w:rPr>
            </m:ctrlPr>
          </m:sSubPr>
          <m:e>
            <m:r>
              <w:rPr>
                <w:rFonts w:ascii="Cambria Math" w:hAnsi="Cambria Math" w:cs="Arial"/>
                <w:lang w:val="es-ES_tradnl"/>
              </w:rPr>
              <m:t>IFPNI</m:t>
            </m:r>
          </m:e>
          <m:sub>
            <m:r>
              <w:rPr>
                <w:rFonts w:ascii="Cambria Math" w:hAnsi="Cambria Math" w:cs="Arial"/>
                <w:lang w:val="es-ES_tradnl"/>
              </w:rPr>
              <m:t>t</m:t>
            </m:r>
            <m:r>
              <m:rPr>
                <m:sty m:val="p"/>
              </m:rPr>
              <w:rPr>
                <w:rFonts w:ascii="Cambria Math" w:hAnsi="Cambria Math" w:cs="Arial"/>
                <w:lang w:val="es-ES_tradnl"/>
              </w:rPr>
              <m:t>-1</m:t>
            </m:r>
          </m:sub>
        </m:sSub>
      </m:oMath>
      <w:r w:rsidR="004816B5" w:rsidRPr="008C2635">
        <w:rPr>
          <w:rFonts w:cs="Arial"/>
          <w:lang w:val="es-ES_tradnl"/>
        </w:rPr>
        <w:t>,</w:t>
      </w:r>
      <w:r w:rsidR="004816B5" w:rsidRPr="008C2635" w:rsidDel="002337D4">
        <w:rPr>
          <w:rFonts w:cs="Arial"/>
          <w:lang w:val="es-ES_tradnl"/>
        </w:rPr>
        <w:t xml:space="preserve"> </w:t>
      </w:r>
      <w:r w:rsidR="004816B5" w:rsidRPr="008C2635">
        <w:rPr>
          <w:rFonts w:cs="Arial"/>
          <w:lang w:val="es-ES_tradnl"/>
        </w:rPr>
        <w:t xml:space="preserve">e </w:t>
      </w:r>
      <m:oMath>
        <m:sSub>
          <m:sSubPr>
            <m:ctrlPr>
              <w:rPr>
                <w:rFonts w:ascii="Cambria Math" w:hAnsi="Cambria Math" w:cs="Arial"/>
                <w:lang w:val="es-ES_tradnl"/>
              </w:rPr>
            </m:ctrlPr>
          </m:sSubPr>
          <m:e>
            <m:r>
              <w:rPr>
                <w:rFonts w:ascii="Cambria Math" w:hAnsi="Cambria Math" w:cs="Arial"/>
                <w:lang w:val="es-ES_tradnl"/>
              </w:rPr>
              <m:t>INO</m:t>
            </m:r>
          </m:e>
          <m:sub>
            <m:r>
              <w:rPr>
                <w:rFonts w:ascii="Cambria Math" w:hAnsi="Cambria Math" w:cs="Arial"/>
                <w:lang w:val="es-ES_tradnl"/>
              </w:rPr>
              <m:t>t</m:t>
            </m:r>
          </m:sub>
        </m:sSub>
      </m:oMath>
      <w:r w:rsidR="004816B5" w:rsidRPr="008C2635">
        <w:rPr>
          <w:rFonts w:cs="Arial"/>
          <w:lang w:val="es-ES_tradnl"/>
        </w:rPr>
        <w:t xml:space="preserve"> que correspondan a activos asociados a aquellos que cumplen la </w:t>
      </w:r>
      <w:r>
        <w:rPr>
          <w:rFonts w:cs="Arial"/>
          <w:lang w:val="es-ES_tradnl"/>
        </w:rPr>
        <w:t xml:space="preserve">VUN, lo cual es igualmente aplicable a los </w:t>
      </w:r>
      <w:r w:rsidRPr="00F4604C">
        <w:rPr>
          <w:rFonts w:cs="Arial"/>
          <w:lang w:val="es-ES_tradnl"/>
        </w:rPr>
        <w:t xml:space="preserve">valores de la variable </w:t>
      </w:r>
      <m:oMath>
        <m:sSub>
          <m:sSubPr>
            <m:ctrlPr>
              <w:rPr>
                <w:rFonts w:ascii="Cambria Math" w:hAnsi="Cambria Math" w:cs="Arial"/>
                <w:lang w:val="es-ES_tradnl"/>
              </w:rPr>
            </m:ctrlPr>
          </m:sSubPr>
          <m:e>
            <m:r>
              <w:rPr>
                <w:rFonts w:ascii="Cambria Math" w:hAnsi="Cambria Math" w:cs="Arial"/>
                <w:lang w:val="es-ES_tradnl"/>
              </w:rPr>
              <m:t>PNI</m:t>
            </m:r>
          </m:e>
          <m:sub>
            <m:r>
              <w:rPr>
                <w:rFonts w:ascii="Cambria Math" w:hAnsi="Cambria Math" w:cs="Arial"/>
                <w:lang w:val="es-ES_tradnl"/>
              </w:rPr>
              <m:t>t</m:t>
            </m:r>
          </m:sub>
        </m:sSub>
      </m:oMath>
      <w:r>
        <w:rPr>
          <w:rFonts w:cs="Arial"/>
          <w:lang w:val="es-ES_tradnl"/>
        </w:rPr>
        <w:t xml:space="preserve">. En este sentido, la aplicación del </w:t>
      </w:r>
      <w:r w:rsidR="004816B5" w:rsidRPr="008C2635">
        <w:rPr>
          <w:rFonts w:cs="Arial"/>
          <w:lang w:val="es-ES_tradnl"/>
        </w:rPr>
        <w:t>principio ‘</w:t>
      </w:r>
      <w:proofErr w:type="spellStart"/>
      <w:r w:rsidR="004816B5" w:rsidRPr="008C2635">
        <w:rPr>
          <w:rFonts w:cs="Arial"/>
          <w:i/>
          <w:lang w:val="es-ES_tradnl"/>
        </w:rPr>
        <w:t>accesorium</w:t>
      </w:r>
      <w:proofErr w:type="spellEnd"/>
      <w:r w:rsidR="004816B5" w:rsidRPr="008C2635">
        <w:rPr>
          <w:rFonts w:cs="Arial"/>
          <w:i/>
          <w:lang w:val="es-ES_tradnl"/>
        </w:rPr>
        <w:t xml:space="preserve"> </w:t>
      </w:r>
      <w:proofErr w:type="spellStart"/>
      <w:r w:rsidR="004816B5" w:rsidRPr="008C2635">
        <w:rPr>
          <w:rFonts w:cs="Arial"/>
          <w:i/>
          <w:lang w:val="es-ES_tradnl"/>
        </w:rPr>
        <w:t>sequitur</w:t>
      </w:r>
      <w:proofErr w:type="spellEnd"/>
      <w:r w:rsidR="004816B5" w:rsidRPr="008C2635">
        <w:rPr>
          <w:rFonts w:cs="Arial"/>
          <w:i/>
          <w:lang w:val="es-ES_tradnl"/>
        </w:rPr>
        <w:t xml:space="preserve"> </w:t>
      </w:r>
      <w:proofErr w:type="spellStart"/>
      <w:r w:rsidR="004816B5" w:rsidRPr="008C2635">
        <w:rPr>
          <w:rFonts w:cs="Arial"/>
          <w:i/>
          <w:lang w:val="es-ES_tradnl"/>
        </w:rPr>
        <w:t>principale</w:t>
      </w:r>
      <w:proofErr w:type="spellEnd"/>
      <w:r w:rsidR="004816B5" w:rsidRPr="008C2635">
        <w:rPr>
          <w:rFonts w:cs="Arial"/>
          <w:i/>
          <w:lang w:val="es-ES_tradnl"/>
        </w:rPr>
        <w:t>’</w:t>
      </w:r>
      <w:r w:rsidR="0097015B">
        <w:rPr>
          <w:rFonts w:cs="Arial"/>
          <w:i/>
          <w:lang w:val="es-ES_tradnl"/>
        </w:rPr>
        <w:t xml:space="preserve"> </w:t>
      </w:r>
      <w:r w:rsidR="0097015B" w:rsidRPr="0097015B">
        <w:rPr>
          <w:rFonts w:cs="Arial"/>
          <w:lang w:val="es-ES_tradnl"/>
        </w:rPr>
        <w:t xml:space="preserve">(i.e. </w:t>
      </w:r>
      <w:r w:rsidR="004816B5" w:rsidRPr="0097015B">
        <w:rPr>
          <w:rFonts w:cs="Arial"/>
          <w:lang w:val="es-ES_tradnl"/>
        </w:rPr>
        <w:t xml:space="preserve">lo </w:t>
      </w:r>
      <w:r w:rsidR="0097015B" w:rsidRPr="0097015B">
        <w:rPr>
          <w:rFonts w:cs="Arial"/>
          <w:lang w:val="es-ES_tradnl"/>
        </w:rPr>
        <w:t>accesorio sigue a lo principal),</w:t>
      </w:r>
      <w:r>
        <w:rPr>
          <w:rFonts w:cs="Arial"/>
          <w:lang w:val="es-ES_tradnl"/>
        </w:rPr>
        <w:t xml:space="preserve"> </w:t>
      </w:r>
      <w:r w:rsidR="008432C0">
        <w:rPr>
          <w:rFonts w:cs="Arial"/>
          <w:lang w:val="es-ES_tradnl"/>
        </w:rPr>
        <w:t>se deriva de la aplicación de lo previsto en la metodología en relación con la aplicación de las normas relativas a la VUN, de lo cual hace parte el cumplimiento de dicha condición, la forma como estos se remuneran</w:t>
      </w:r>
      <w:r w:rsidR="00842882">
        <w:rPr>
          <w:rFonts w:cs="Arial"/>
          <w:lang w:val="es-ES_tradnl"/>
        </w:rPr>
        <w:t xml:space="preserve"> y</w:t>
      </w:r>
      <w:r w:rsidR="008432C0">
        <w:rPr>
          <w:rFonts w:cs="Arial"/>
          <w:lang w:val="es-ES_tradnl"/>
        </w:rPr>
        <w:t xml:space="preserve"> se lleva a cabo el ajuste en los cargos a efectos de incorporar </w:t>
      </w:r>
      <w:r w:rsidR="008432C0" w:rsidRPr="00C126EA">
        <w:rPr>
          <w:rFonts w:cs="Arial"/>
          <w:lang w:val="es-ES_tradnl"/>
        </w:rPr>
        <w:t xml:space="preserve">los valores de las variables </w:t>
      </w:r>
      <m:oMath>
        <m:sSub>
          <m:sSubPr>
            <m:ctrlPr>
              <w:rPr>
                <w:rFonts w:ascii="Cambria Math" w:hAnsi="Cambria Math" w:cs="Arial"/>
                <w:i/>
                <w:lang w:val="es-ES_tradnl"/>
              </w:rPr>
            </m:ctrlPr>
          </m:sSubPr>
          <m:e>
            <m:r>
              <w:rPr>
                <w:rFonts w:ascii="Cambria Math" w:hAnsi="Cambria Math" w:cs="Arial"/>
                <w:lang w:val="es-ES_tradnl"/>
              </w:rPr>
              <m:t>VAO</m:t>
            </m:r>
          </m:e>
          <m:sub>
            <m:r>
              <w:rPr>
                <w:rFonts w:ascii="Cambria Math" w:hAnsi="Cambria Math" w:cs="Arial"/>
                <w:lang w:val="es-ES_tradnl"/>
              </w:rPr>
              <m:t>t</m:t>
            </m:r>
          </m:sub>
        </m:sSub>
      </m:oMath>
      <w:r w:rsidR="008432C0" w:rsidRPr="00C126EA">
        <w:rPr>
          <w:rFonts w:cs="Arial"/>
          <w:lang w:val="es-ES_tradnl"/>
        </w:rPr>
        <w:t xml:space="preserve"> y </w:t>
      </w:r>
      <m:oMath>
        <m:r>
          <w:rPr>
            <w:rFonts w:ascii="Cambria Math" w:hAnsi="Cambria Math" w:cs="Arial"/>
            <w:lang w:val="es-ES_tradnl"/>
          </w:rPr>
          <m:t>VRAN</m:t>
        </m:r>
      </m:oMath>
      <w:r w:rsidR="006607BC">
        <w:rPr>
          <w:rFonts w:cs="Arial"/>
          <w:lang w:val="es-ES_tradnl"/>
        </w:rPr>
        <w:t xml:space="preserve">, así como el </w:t>
      </w:r>
      <w:r w:rsidR="00277375">
        <w:rPr>
          <w:rFonts w:cs="Arial"/>
          <w:lang w:val="es-ES_tradnl"/>
        </w:rPr>
        <w:t>tratamiento</w:t>
      </w:r>
      <w:r w:rsidR="006607BC">
        <w:rPr>
          <w:rFonts w:cs="Arial"/>
          <w:lang w:val="es-ES_tradnl"/>
        </w:rPr>
        <w:t xml:space="preserve"> regulatorio que le ha dado la regulación a las inversiones y el concepto de activos en materia de transporte de gas natural</w:t>
      </w:r>
      <w:r w:rsidR="00277375">
        <w:rPr>
          <w:rFonts w:cs="Arial"/>
          <w:lang w:val="es-ES_tradnl"/>
        </w:rPr>
        <w:t xml:space="preserve">, por lo que </w:t>
      </w:r>
      <w:r w:rsidR="004816B5" w:rsidRPr="008C2635">
        <w:rPr>
          <w:rFonts w:cs="Arial"/>
          <w:lang w:val="es-ES_tradnl"/>
        </w:rPr>
        <w:t>no resulta razonable</w:t>
      </w:r>
      <w:r w:rsidR="00842882">
        <w:rPr>
          <w:rFonts w:cs="Arial"/>
          <w:lang w:val="es-ES_tradnl"/>
        </w:rPr>
        <w:t xml:space="preserve"> en términos regulatorios</w:t>
      </w:r>
      <w:r w:rsidR="004816B5" w:rsidRPr="008C2635">
        <w:rPr>
          <w:rFonts w:cs="Arial"/>
          <w:lang w:val="es-ES_tradnl"/>
        </w:rPr>
        <w:t xml:space="preserve"> modifica</w:t>
      </w:r>
      <w:r w:rsidR="00277375">
        <w:rPr>
          <w:rFonts w:cs="Arial"/>
          <w:lang w:val="es-ES_tradnl"/>
        </w:rPr>
        <w:t>r lo principal sin lo accesorio.</w:t>
      </w:r>
      <w:r>
        <w:rPr>
          <w:rFonts w:cs="Arial"/>
          <w:lang w:val="es-ES_tradnl"/>
        </w:rPr>
        <w:t xml:space="preserve"> </w:t>
      </w:r>
    </w:p>
    <w:p w:rsidR="00FF7F64" w:rsidRDefault="00FF7F64" w:rsidP="008C2635">
      <w:pPr>
        <w:pStyle w:val="Textoindependiente2"/>
        <w:spacing w:after="0" w:line="240" w:lineRule="auto"/>
        <w:ind w:left="-142" w:right="-142"/>
        <w:rPr>
          <w:rFonts w:cs="Arial"/>
          <w:lang w:val="es-ES_tradnl"/>
        </w:rPr>
      </w:pPr>
    </w:p>
    <w:p w:rsidR="00A12F30" w:rsidRDefault="0067592F" w:rsidP="0097015B">
      <w:pPr>
        <w:pStyle w:val="Textoindependiente2"/>
        <w:spacing w:after="0" w:line="240" w:lineRule="auto"/>
        <w:ind w:left="218" w:right="-142"/>
        <w:rPr>
          <w:rFonts w:cs="Arial"/>
          <w:lang w:val="es-ES_tradnl"/>
        </w:rPr>
      </w:pPr>
      <w:r>
        <w:rPr>
          <w:rFonts w:cs="Arial"/>
          <w:lang w:val="es-ES_tradnl"/>
        </w:rPr>
        <w:t>Así mismo, para llevar a cabo una correcta aplicación de la regulación, se h</w:t>
      </w:r>
      <w:r w:rsidR="0027543A">
        <w:rPr>
          <w:rFonts w:cs="Arial"/>
          <w:lang w:val="es-ES_tradnl"/>
        </w:rPr>
        <w:t>a</w:t>
      </w:r>
      <w:r>
        <w:rPr>
          <w:rFonts w:cs="Arial"/>
          <w:lang w:val="es-ES_tradnl"/>
        </w:rPr>
        <w:t xml:space="preserve"> precisado igualmente por parte de esta Comisión que el ajuste</w:t>
      </w:r>
      <w:r w:rsidR="00FF7F64">
        <w:rPr>
          <w:rFonts w:cs="Arial"/>
          <w:lang w:val="es-ES_tradnl"/>
        </w:rPr>
        <w:t xml:space="preserve"> en los cargos derivados de la aplicación de la VUN, </w:t>
      </w:r>
      <w:r>
        <w:rPr>
          <w:rFonts w:cs="Arial"/>
          <w:lang w:val="es-ES_tradnl"/>
        </w:rPr>
        <w:t>no da</w:t>
      </w:r>
      <w:r w:rsidR="00FF7F64" w:rsidRPr="008C2635">
        <w:rPr>
          <w:rFonts w:cs="Arial"/>
          <w:lang w:val="es-ES_tradnl"/>
        </w:rPr>
        <w:t xml:space="preserve"> lugar a modificar los valores de gastos de AOM</w:t>
      </w:r>
      <w:r>
        <w:rPr>
          <w:rFonts w:cs="Arial"/>
          <w:lang w:val="es-ES_tradnl"/>
        </w:rPr>
        <w:t xml:space="preserve"> de los activos asociados que cumplen su VUN</w:t>
      </w:r>
      <w:r w:rsidR="00FF7F64" w:rsidRPr="008C2635">
        <w:rPr>
          <w:rFonts w:cs="Arial"/>
          <w:lang w:val="es-ES_tradnl"/>
        </w:rPr>
        <w:t>. Los valores que por este concepto se reconocen son independientes de la decisión de la empresa de reponer el activo o continuar operando el existente.</w:t>
      </w:r>
      <w:r w:rsidR="00FF7F64">
        <w:rPr>
          <w:rFonts w:cs="Arial"/>
          <w:lang w:val="es-ES_tradnl"/>
        </w:rPr>
        <w:t xml:space="preserve"> </w:t>
      </w:r>
    </w:p>
    <w:p w:rsidR="00A12F30" w:rsidRDefault="00A12F30" w:rsidP="008C2635">
      <w:pPr>
        <w:pStyle w:val="Textoindependiente2"/>
        <w:spacing w:after="0" w:line="240" w:lineRule="auto"/>
        <w:ind w:left="-142" w:right="-142"/>
        <w:rPr>
          <w:rFonts w:cs="Arial"/>
          <w:lang w:val="es-ES_tradnl"/>
        </w:rPr>
      </w:pPr>
    </w:p>
    <w:p w:rsidR="00FF7F64" w:rsidRDefault="0067592F" w:rsidP="0097015B">
      <w:pPr>
        <w:pStyle w:val="Textoindependiente2"/>
        <w:spacing w:after="0" w:line="240" w:lineRule="auto"/>
        <w:ind w:left="218" w:right="-142"/>
        <w:rPr>
          <w:rFonts w:cs="Arial"/>
          <w:lang w:val="es-ES_tradnl"/>
        </w:rPr>
      </w:pPr>
      <w:r>
        <w:rPr>
          <w:rFonts w:cs="Arial"/>
          <w:lang w:val="es-ES_tradnl"/>
        </w:rPr>
        <w:lastRenderedPageBreak/>
        <w:t>De igual forma, la</w:t>
      </w:r>
      <w:r w:rsidR="00FF7F64">
        <w:rPr>
          <w:rFonts w:cs="Arial"/>
          <w:lang w:val="es-ES_tradnl"/>
        </w:rPr>
        <w:t xml:space="preserve"> aplicación de dichas normas </w:t>
      </w:r>
      <w:r w:rsidR="00FF7F64" w:rsidRPr="008C2635">
        <w:rPr>
          <w:rFonts w:cs="Arial"/>
          <w:lang w:val="es-ES_tradnl"/>
        </w:rPr>
        <w:t xml:space="preserve">no constituye un vehículo para modificar las capacidades máximas de mediano plazo de los tramos en donde hay activos que cumplen la </w:t>
      </w:r>
      <w:r w:rsidR="00A12F30">
        <w:rPr>
          <w:rFonts w:cs="Arial"/>
          <w:lang w:val="es-ES_tradnl"/>
        </w:rPr>
        <w:t>VUN</w:t>
      </w:r>
      <w:r w:rsidR="00FF7F64" w:rsidRPr="008C2635">
        <w:rPr>
          <w:rFonts w:cs="Arial"/>
          <w:lang w:val="es-ES_tradnl"/>
        </w:rPr>
        <w:t>. Las inversiones en expansiones que derivan en aumentos de capacidad deben seguir los procedimientos establecidos en la metodologí</w:t>
      </w:r>
      <w:r w:rsidR="00FF7F64">
        <w:rPr>
          <w:rFonts w:cs="Arial"/>
          <w:lang w:val="es-ES_tradnl"/>
        </w:rPr>
        <w:t>a</w:t>
      </w:r>
      <w:r w:rsidR="00A12F30">
        <w:rPr>
          <w:rFonts w:cs="Arial"/>
          <w:lang w:val="es-ES_tradnl"/>
        </w:rPr>
        <w:t xml:space="preserve"> (i.e. </w:t>
      </w:r>
      <w:proofErr w:type="spellStart"/>
      <w:r w:rsidR="00A12F30" w:rsidRPr="00A12F30">
        <w:rPr>
          <w:rFonts w:cs="Arial"/>
          <w:i/>
          <w:lang w:val="es-ES_tradnl"/>
        </w:rPr>
        <w:t>loops</w:t>
      </w:r>
      <w:proofErr w:type="spellEnd"/>
      <w:r w:rsidR="00A12F30">
        <w:rPr>
          <w:rFonts w:cs="Arial"/>
          <w:lang w:val="es-ES_tradnl"/>
        </w:rPr>
        <w:t xml:space="preserve"> y estaciones de compresión como IAC)</w:t>
      </w:r>
      <w:r w:rsidR="00FF7F64">
        <w:rPr>
          <w:rFonts w:cs="Arial"/>
          <w:lang w:val="es-ES_tradnl"/>
        </w:rPr>
        <w:t>.</w:t>
      </w:r>
    </w:p>
    <w:p w:rsidR="00A12F30" w:rsidRDefault="00A12F30" w:rsidP="00996C28">
      <w:pPr>
        <w:pStyle w:val="Textoindependiente2"/>
        <w:spacing w:after="0" w:line="240" w:lineRule="auto"/>
        <w:ind w:right="-142"/>
        <w:rPr>
          <w:rFonts w:cs="Arial"/>
          <w:lang w:val="es-ES_tradnl"/>
        </w:rPr>
      </w:pPr>
    </w:p>
    <w:p w:rsidR="00133039" w:rsidRDefault="00A12F30" w:rsidP="0097015B">
      <w:pPr>
        <w:pStyle w:val="Textoindependiente2"/>
        <w:spacing w:after="0" w:line="240" w:lineRule="auto"/>
        <w:ind w:left="218" w:right="-142"/>
        <w:rPr>
          <w:rFonts w:cs="Arial"/>
          <w:lang w:val="es-ES_tradnl"/>
        </w:rPr>
      </w:pPr>
      <w:r>
        <w:rPr>
          <w:rFonts w:cs="Arial"/>
          <w:lang w:val="es-ES_tradnl"/>
        </w:rPr>
        <w:t xml:space="preserve">d) </w:t>
      </w:r>
      <w:r w:rsidR="009C4FDC">
        <w:rPr>
          <w:rFonts w:cs="Arial"/>
          <w:lang w:val="es-ES_tradnl"/>
        </w:rPr>
        <w:t>D</w:t>
      </w:r>
      <w:r w:rsidR="0061407D">
        <w:rPr>
          <w:rFonts w:cs="Arial"/>
          <w:lang w:val="es-ES_tradnl"/>
        </w:rPr>
        <w:t xml:space="preserve">e </w:t>
      </w:r>
      <w:r w:rsidR="0061407D" w:rsidRPr="0061407D">
        <w:rPr>
          <w:rFonts w:cs="Arial"/>
          <w:lang w:val="es-ES_tradnl"/>
        </w:rPr>
        <w:t>acuerdo con la metodología, cuando los g</w:t>
      </w:r>
      <w:r>
        <w:rPr>
          <w:rFonts w:cs="Arial"/>
          <w:lang w:val="es-ES_tradnl"/>
        </w:rPr>
        <w:t>asoductos cumplen su periodo de</w:t>
      </w:r>
      <w:r w:rsidR="0027543A">
        <w:rPr>
          <w:rFonts w:cs="Arial"/>
          <w:lang w:val="es-ES_tradnl"/>
        </w:rPr>
        <w:t xml:space="preserve"> </w:t>
      </w:r>
      <w:r w:rsidR="003B3E5A">
        <w:rPr>
          <w:rFonts w:cs="Arial"/>
          <w:lang w:val="es-ES_tradnl"/>
        </w:rPr>
        <w:t>VUN</w:t>
      </w:r>
      <w:r w:rsidR="0061407D" w:rsidRPr="0061407D">
        <w:rPr>
          <w:rFonts w:cs="Arial"/>
          <w:lang w:val="es-ES_tradnl"/>
        </w:rPr>
        <w:t>, regulatoriamente se estableció una señal p</w:t>
      </w:r>
      <w:r w:rsidR="00712088">
        <w:rPr>
          <w:rFonts w:cs="Arial"/>
          <w:lang w:val="es-ES_tradnl"/>
        </w:rPr>
        <w:t>ara que la empresa decida si repone el activo o continúa operándolo, y la CREG reconoce</w:t>
      </w:r>
      <w:r w:rsidR="0061407D" w:rsidRPr="0061407D">
        <w:rPr>
          <w:rFonts w:cs="Arial"/>
          <w:lang w:val="es-ES_tradnl"/>
        </w:rPr>
        <w:t xml:space="preserve"> un valor de reposición o un porcentaje del valor de reposición. Esta s</w:t>
      </w:r>
      <w:r w:rsidR="008C5801">
        <w:rPr>
          <w:rFonts w:cs="Arial"/>
          <w:lang w:val="es-ES_tradnl"/>
        </w:rPr>
        <w:t>eñal es conocida por la empresa</w:t>
      </w:r>
      <w:r w:rsidR="00411A6B">
        <w:rPr>
          <w:rFonts w:cs="Arial"/>
          <w:lang w:val="es-ES_tradnl"/>
        </w:rPr>
        <w:t xml:space="preserve"> en dicho momento</w:t>
      </w:r>
      <w:r w:rsidR="00997025">
        <w:rPr>
          <w:rFonts w:cs="Arial"/>
          <w:lang w:val="es-ES_tradnl"/>
        </w:rPr>
        <w:t xml:space="preserve">, </w:t>
      </w:r>
      <w:r w:rsidR="00133039">
        <w:rPr>
          <w:rFonts w:cs="Arial"/>
          <w:lang w:val="es-ES_tradnl"/>
        </w:rPr>
        <w:t xml:space="preserve">por lo que su definición previa, es conveniente a efectos de que el </w:t>
      </w:r>
      <w:r w:rsidR="00133039" w:rsidRPr="00133039">
        <w:rPr>
          <w:rFonts w:cs="Arial"/>
          <w:lang w:val="es-ES_tradnl"/>
        </w:rPr>
        <w:t xml:space="preserve">transportador continúe operando </w:t>
      </w:r>
      <w:r w:rsidR="008C5801">
        <w:rPr>
          <w:rFonts w:cs="Arial"/>
          <w:lang w:val="es-ES_tradnl"/>
        </w:rPr>
        <w:t>el</w:t>
      </w:r>
      <w:r w:rsidR="00133039" w:rsidRPr="00133039">
        <w:rPr>
          <w:rFonts w:cs="Arial"/>
          <w:lang w:val="es-ES_tradnl"/>
        </w:rPr>
        <w:t xml:space="preserve"> activo, por cuanto éste tiene el incentivo económico de realizar inversiones en reposición una vez un activo supera ésta.</w:t>
      </w:r>
    </w:p>
    <w:p w:rsidR="00133039" w:rsidRDefault="00133039" w:rsidP="008C2635">
      <w:pPr>
        <w:pStyle w:val="Textoindependiente2"/>
        <w:spacing w:after="0" w:line="240" w:lineRule="auto"/>
        <w:ind w:left="-142" w:right="-142"/>
        <w:rPr>
          <w:rFonts w:cs="Arial"/>
          <w:lang w:val="es-ES_tradnl"/>
        </w:rPr>
      </w:pPr>
    </w:p>
    <w:p w:rsidR="00997025" w:rsidRDefault="009C4FDC" w:rsidP="0097015B">
      <w:pPr>
        <w:pStyle w:val="Textoindependiente2"/>
        <w:spacing w:after="0" w:line="240" w:lineRule="auto"/>
        <w:ind w:left="218" w:right="-142"/>
        <w:rPr>
          <w:rFonts w:cs="Arial"/>
          <w:lang w:val="es-CO"/>
        </w:rPr>
      </w:pPr>
      <w:r>
        <w:rPr>
          <w:rFonts w:cs="Arial"/>
          <w:lang w:val="es-CO"/>
        </w:rPr>
        <w:t xml:space="preserve">Es por esto que, </w:t>
      </w:r>
      <w:r w:rsidR="00A05B51">
        <w:rPr>
          <w:rFonts w:cs="Arial"/>
          <w:lang w:val="es-CO"/>
        </w:rPr>
        <w:t xml:space="preserve">en </w:t>
      </w:r>
      <w:r w:rsidR="004D5D56">
        <w:rPr>
          <w:rFonts w:cs="Arial"/>
          <w:lang w:val="es-CO"/>
        </w:rPr>
        <w:t xml:space="preserve">concordancia </w:t>
      </w:r>
      <w:r w:rsidR="008C5801">
        <w:rPr>
          <w:rFonts w:cs="Arial"/>
          <w:lang w:val="es-CO"/>
        </w:rPr>
        <w:t xml:space="preserve">y bajo el mismo parámetro aplicado </w:t>
      </w:r>
      <w:r w:rsidRPr="009C4FDC">
        <w:rPr>
          <w:rFonts w:cs="Arial"/>
          <w:lang w:val="es-CO"/>
        </w:rPr>
        <w:t>en relación con el tratamiento regulatorio de los activos existentes y que so</w:t>
      </w:r>
      <w:r>
        <w:rPr>
          <w:rFonts w:cs="Arial"/>
          <w:lang w:val="es-CO"/>
        </w:rPr>
        <w:t>n objeto de aplicación de las n</w:t>
      </w:r>
      <w:r w:rsidRPr="009C4FDC">
        <w:rPr>
          <w:rFonts w:cs="Arial"/>
          <w:lang w:val="es-CO"/>
        </w:rPr>
        <w:t>o</w:t>
      </w:r>
      <w:r>
        <w:rPr>
          <w:rFonts w:cs="Arial"/>
          <w:lang w:val="es-CO"/>
        </w:rPr>
        <w:t>r</w:t>
      </w:r>
      <w:r w:rsidRPr="009C4FDC">
        <w:rPr>
          <w:rFonts w:cs="Arial"/>
          <w:lang w:val="es-CO"/>
        </w:rPr>
        <w:t>mas previstas en materia de VUN,</w:t>
      </w:r>
      <w:r>
        <w:rPr>
          <w:rFonts w:cs="Arial"/>
          <w:lang w:val="es-CO"/>
        </w:rPr>
        <w:t xml:space="preserve"> para los activos que continúan en operación o </w:t>
      </w:r>
      <w:r w:rsidR="008C5801">
        <w:rPr>
          <w:rFonts w:cs="Arial"/>
          <w:lang w:val="es-CO"/>
        </w:rPr>
        <w:t xml:space="preserve">que </w:t>
      </w:r>
      <w:r>
        <w:rPr>
          <w:rFonts w:cs="Arial"/>
          <w:lang w:val="es-CO"/>
        </w:rPr>
        <w:t>son objeto de reemplazo la Comisión estableció</w:t>
      </w:r>
      <w:r w:rsidR="008C5801">
        <w:rPr>
          <w:rFonts w:cs="Arial"/>
          <w:lang w:val="es-CO"/>
        </w:rPr>
        <w:t>, atendiendo lo previsto en la metodología,</w:t>
      </w:r>
      <w:r>
        <w:rPr>
          <w:rFonts w:cs="Arial"/>
          <w:lang w:val="es-CO"/>
        </w:rPr>
        <w:t xml:space="preserve"> que</w:t>
      </w:r>
      <w:r w:rsidR="008C5801">
        <w:rPr>
          <w:rFonts w:cs="Arial"/>
          <w:lang w:val="es-CO"/>
        </w:rPr>
        <w:t>: i) en</w:t>
      </w:r>
      <w:r>
        <w:rPr>
          <w:rFonts w:cs="Arial"/>
          <w:lang w:val="es-CO"/>
        </w:rPr>
        <w:t xml:space="preserve"> </w:t>
      </w:r>
      <w:r w:rsidR="00997025" w:rsidRPr="00277375">
        <w:rPr>
          <w:rFonts w:cs="Arial"/>
          <w:lang w:val="es-CO"/>
        </w:rPr>
        <w:t xml:space="preserve">ningún caso se efectuarán modificaciones al monto de las inversiones </w:t>
      </w:r>
      <w:r w:rsidR="00997025" w:rsidRPr="0097015B">
        <w:rPr>
          <w:rFonts w:cs="Arial"/>
          <w:lang w:val="es-ES_tradnl"/>
        </w:rPr>
        <w:t>existentes</w:t>
      </w:r>
      <w:r w:rsidR="00997025" w:rsidRPr="00277375">
        <w:rPr>
          <w:rFonts w:cs="Arial"/>
          <w:lang w:val="es-CO"/>
        </w:rPr>
        <w:t xml:space="preserve">, ocasionadas por reemplazos de activos propios de la operación </w:t>
      </w:r>
      <w:r>
        <w:rPr>
          <w:rFonts w:cs="Arial"/>
          <w:lang w:val="es-CO"/>
        </w:rPr>
        <w:t xml:space="preserve">antes de concluir su </w:t>
      </w:r>
      <w:r w:rsidR="00A12F30">
        <w:rPr>
          <w:rFonts w:cs="Arial"/>
          <w:lang w:val="es-CO"/>
        </w:rPr>
        <w:t>VUN</w:t>
      </w:r>
      <w:r w:rsidR="008C5801">
        <w:rPr>
          <w:rFonts w:cs="Arial"/>
          <w:lang w:val="es-CO"/>
        </w:rPr>
        <w:t xml:space="preserve">; ii) </w:t>
      </w:r>
      <w:r w:rsidR="008C5801" w:rsidRPr="008C5801">
        <w:rPr>
          <w:rFonts w:cs="Arial"/>
          <w:lang w:val="es-CO"/>
        </w:rPr>
        <w:t xml:space="preserve">los valores de inversión aprobados </w:t>
      </w:r>
      <w:r w:rsidR="008C5801">
        <w:rPr>
          <w:rFonts w:cs="Arial"/>
          <w:lang w:val="es-CO"/>
        </w:rPr>
        <w:t xml:space="preserve">por la CREG </w:t>
      </w:r>
      <w:r w:rsidR="008C5801" w:rsidRPr="008C5801">
        <w:rPr>
          <w:rFonts w:cs="Arial"/>
          <w:lang w:val="es-CO"/>
        </w:rPr>
        <w:t>remunerarán t</w:t>
      </w:r>
      <w:r w:rsidR="008C5801">
        <w:rPr>
          <w:rFonts w:cs="Arial"/>
          <w:lang w:val="es-CO"/>
        </w:rPr>
        <w:t>odas las inversiones requeridas</w:t>
      </w:r>
      <w:r w:rsidR="008C5801" w:rsidRPr="008C5801">
        <w:rPr>
          <w:rFonts w:cs="Arial"/>
          <w:lang w:val="es-CO"/>
        </w:rPr>
        <w:t xml:space="preserve"> para mantener la integridad y seguridad de los activos correspondientes durante la nueva </w:t>
      </w:r>
      <w:r w:rsidR="008C5801">
        <w:rPr>
          <w:rFonts w:cs="Arial"/>
          <w:lang w:val="es-CO"/>
        </w:rPr>
        <w:t>VUN</w:t>
      </w:r>
      <w:r w:rsidR="008C5801" w:rsidRPr="008C5801">
        <w:rPr>
          <w:rFonts w:cs="Arial"/>
          <w:lang w:val="es-CO"/>
        </w:rPr>
        <w:t>, tales como inversiones en reparaciones, variantes y reposiciones parciales.</w:t>
      </w:r>
      <w:r w:rsidRPr="009C4FDC">
        <w:rPr>
          <w:rFonts w:cs="Arial"/>
          <w:lang w:val="es-CO"/>
        </w:rPr>
        <w:t xml:space="preserve"> </w:t>
      </w:r>
      <w:r w:rsidR="00A12F30">
        <w:rPr>
          <w:rFonts w:cs="Arial"/>
          <w:lang w:val="es-CO"/>
        </w:rPr>
        <w:t>En e</w:t>
      </w:r>
      <w:r w:rsidR="008C5801">
        <w:rPr>
          <w:rFonts w:cs="Arial"/>
          <w:lang w:val="es-CO"/>
        </w:rPr>
        <w:t>ste sentido,</w:t>
      </w:r>
      <w:r>
        <w:rPr>
          <w:rFonts w:cs="Arial"/>
          <w:lang w:val="es-CO"/>
        </w:rPr>
        <w:t xml:space="preserve"> </w:t>
      </w:r>
      <w:r w:rsidR="008C5801">
        <w:rPr>
          <w:rFonts w:cs="Arial"/>
          <w:lang w:val="es-CO"/>
        </w:rPr>
        <w:t>la reposición consiste</w:t>
      </w:r>
      <w:r w:rsidRPr="009C4FDC">
        <w:rPr>
          <w:rFonts w:cs="Arial"/>
          <w:lang w:val="es-CO"/>
        </w:rPr>
        <w:t xml:space="preserve"> en el remplazó de la totalidad del activo.</w:t>
      </w:r>
    </w:p>
    <w:p w:rsidR="00133039" w:rsidRDefault="00133039" w:rsidP="008C2635">
      <w:pPr>
        <w:pStyle w:val="Textoindependiente2"/>
        <w:spacing w:after="0" w:line="240" w:lineRule="auto"/>
        <w:ind w:left="-142" w:right="-142"/>
        <w:rPr>
          <w:rFonts w:cs="Arial"/>
          <w:lang w:val="es-CO"/>
        </w:rPr>
      </w:pPr>
    </w:p>
    <w:p w:rsidR="009C4FDC" w:rsidRDefault="00E84A73" w:rsidP="0097015B">
      <w:pPr>
        <w:pStyle w:val="Textoindependiente2"/>
        <w:spacing w:after="0" w:line="240" w:lineRule="auto"/>
        <w:ind w:left="218" w:right="-142"/>
        <w:rPr>
          <w:rFonts w:cs="Arial"/>
          <w:lang w:val="es-CO"/>
        </w:rPr>
      </w:pPr>
      <w:r>
        <w:rPr>
          <w:rFonts w:cs="Arial"/>
          <w:lang w:val="es-CO"/>
        </w:rPr>
        <w:t xml:space="preserve">De acuerdo con </w:t>
      </w:r>
      <w:r w:rsidR="00A12F30">
        <w:rPr>
          <w:rFonts w:cs="Arial"/>
          <w:lang w:val="es-CO"/>
        </w:rPr>
        <w:t>lo anterior</w:t>
      </w:r>
      <w:r>
        <w:rPr>
          <w:rFonts w:cs="Arial"/>
          <w:lang w:val="es-CO"/>
        </w:rPr>
        <w:t xml:space="preserve">, tal como se ha </w:t>
      </w:r>
      <w:r w:rsidR="00A12F30">
        <w:rPr>
          <w:rFonts w:cs="Arial"/>
          <w:lang w:val="es-CO"/>
        </w:rPr>
        <w:t>precisado</w:t>
      </w:r>
      <w:r>
        <w:rPr>
          <w:rFonts w:cs="Arial"/>
          <w:lang w:val="es-CO"/>
        </w:rPr>
        <w:t xml:space="preserve"> para el caso de los activos que han cumplido su VUN, se ha establecido desde la metodología y su aplicación </w:t>
      </w:r>
      <w:r w:rsidR="00A01862">
        <w:rPr>
          <w:rFonts w:cs="Arial"/>
          <w:lang w:val="es-CO"/>
        </w:rPr>
        <w:t xml:space="preserve">que esta </w:t>
      </w:r>
      <w:r>
        <w:rPr>
          <w:rFonts w:cs="Arial"/>
          <w:lang w:val="es-CO"/>
        </w:rPr>
        <w:t>nu</w:t>
      </w:r>
      <w:r w:rsidR="00A01862">
        <w:rPr>
          <w:rFonts w:cs="Arial"/>
          <w:lang w:val="es-CO"/>
        </w:rPr>
        <w:t xml:space="preserve">eva </w:t>
      </w:r>
      <w:r>
        <w:rPr>
          <w:rFonts w:cs="Arial"/>
          <w:lang w:val="es-CO"/>
        </w:rPr>
        <w:t>remuneración</w:t>
      </w:r>
      <w:r w:rsidR="00A01862">
        <w:rPr>
          <w:rFonts w:cs="Arial"/>
          <w:lang w:val="es-CO"/>
        </w:rPr>
        <w:t xml:space="preserve"> de </w:t>
      </w:r>
      <w:r w:rsidR="00A01862" w:rsidRPr="00A01862">
        <w:rPr>
          <w:rFonts w:cs="Arial"/>
          <w:lang w:val="es-ES_tradnl"/>
        </w:rPr>
        <w:t xml:space="preserve">los valores de las variables </w:t>
      </w:r>
      <m:oMath>
        <m:sSub>
          <m:sSubPr>
            <m:ctrlPr>
              <w:rPr>
                <w:rFonts w:ascii="Cambria Math" w:hAnsi="Cambria Math" w:cs="Arial"/>
                <w:i/>
                <w:lang w:val="es-ES_tradnl"/>
              </w:rPr>
            </m:ctrlPr>
          </m:sSubPr>
          <m:e>
            <m:r>
              <w:rPr>
                <w:rFonts w:ascii="Cambria Math" w:hAnsi="Cambria Math" w:cs="Arial"/>
                <w:lang w:val="es-ES_tradnl"/>
              </w:rPr>
              <m:t>VAO</m:t>
            </m:r>
          </m:e>
          <m:sub>
            <m:r>
              <w:rPr>
                <w:rFonts w:ascii="Cambria Math" w:hAnsi="Cambria Math" w:cs="Arial"/>
                <w:lang w:val="es-ES_tradnl"/>
              </w:rPr>
              <m:t>t</m:t>
            </m:r>
          </m:sub>
        </m:sSub>
      </m:oMath>
      <w:r w:rsidR="00A01862">
        <w:rPr>
          <w:rFonts w:cs="Arial"/>
          <w:lang w:val="es-ES_tradnl"/>
        </w:rPr>
        <w:t xml:space="preserve"> o</w:t>
      </w:r>
      <w:r w:rsidR="00A01862" w:rsidRPr="00A01862">
        <w:rPr>
          <w:rFonts w:cs="Arial"/>
          <w:lang w:val="es-ES_tradnl"/>
        </w:rPr>
        <w:t xml:space="preserve"> </w:t>
      </w:r>
      <m:oMath>
        <m:r>
          <w:rPr>
            <w:rFonts w:ascii="Cambria Math" w:hAnsi="Cambria Math" w:cs="Arial"/>
            <w:lang w:val="es-ES_tradnl"/>
          </w:rPr>
          <m:t>VRAN</m:t>
        </m:r>
      </m:oMath>
      <w:r w:rsidR="00A01862">
        <w:rPr>
          <w:rFonts w:cs="Arial"/>
          <w:lang w:val="es-CO"/>
        </w:rPr>
        <w:t xml:space="preserve"> y reconocimiento dentro de los cargos de transporte, incorporan todas aquellos aspectos que mantengan en integridad la totalidad del activo</w:t>
      </w:r>
      <w:r>
        <w:rPr>
          <w:rFonts w:cs="Arial"/>
          <w:lang w:val="es-CO"/>
        </w:rPr>
        <w:t>,</w:t>
      </w:r>
      <w:r w:rsidR="00A01862">
        <w:rPr>
          <w:rFonts w:cs="Arial"/>
          <w:lang w:val="es-CO"/>
        </w:rPr>
        <w:t xml:space="preserve"> En este sentido, al igual que ocurre </w:t>
      </w:r>
      <w:r w:rsidR="00411A6B">
        <w:rPr>
          <w:rFonts w:cs="Arial"/>
          <w:lang w:val="es-CO"/>
        </w:rPr>
        <w:t xml:space="preserve">en el caso de </w:t>
      </w:r>
      <w:r w:rsidR="00A01862">
        <w:rPr>
          <w:rFonts w:cs="Arial"/>
          <w:lang w:val="es-CO"/>
        </w:rPr>
        <w:t xml:space="preserve">los activos que cumplen su VUN, </w:t>
      </w:r>
      <w:r w:rsidR="00411A6B">
        <w:rPr>
          <w:rFonts w:cs="Arial"/>
          <w:lang w:val="es-CO"/>
        </w:rPr>
        <w:t xml:space="preserve">para </w:t>
      </w:r>
      <w:r w:rsidR="00A01862">
        <w:rPr>
          <w:rFonts w:cs="Arial"/>
          <w:lang w:val="es-CO"/>
        </w:rPr>
        <w:t xml:space="preserve">los activos que se reponen o continúan en operación, </w:t>
      </w:r>
      <w:r w:rsidR="00411A6B">
        <w:rPr>
          <w:rFonts w:cs="Arial"/>
          <w:lang w:val="es-CO"/>
        </w:rPr>
        <w:t xml:space="preserve">estos </w:t>
      </w:r>
      <w:r w:rsidR="00A01862">
        <w:rPr>
          <w:rFonts w:cs="Arial"/>
          <w:lang w:val="es-CO"/>
        </w:rPr>
        <w:t>se entienden como una sola infraestructura en su integridad.</w:t>
      </w:r>
    </w:p>
    <w:p w:rsidR="00A01862" w:rsidRDefault="00A01862" w:rsidP="008C2635">
      <w:pPr>
        <w:pStyle w:val="Textoindependiente2"/>
        <w:spacing w:after="0" w:line="240" w:lineRule="auto"/>
        <w:ind w:left="-142" w:right="-142"/>
        <w:rPr>
          <w:rFonts w:cs="Arial"/>
          <w:lang w:val="es-CO"/>
        </w:rPr>
      </w:pPr>
    </w:p>
    <w:p w:rsidR="007B676E" w:rsidRDefault="0097015B">
      <w:pPr>
        <w:pStyle w:val="Textoindependiente2"/>
        <w:spacing w:after="0" w:line="240" w:lineRule="auto"/>
        <w:ind w:left="-142" w:right="-142"/>
        <w:rPr>
          <w:rFonts w:cs="Arial"/>
          <w:lang w:val="es-CO"/>
        </w:rPr>
      </w:pPr>
      <w:r>
        <w:rPr>
          <w:rFonts w:cs="Arial"/>
          <w:lang w:val="es-CO"/>
        </w:rPr>
        <w:t>Una</w:t>
      </w:r>
      <w:r w:rsidR="00A01862">
        <w:rPr>
          <w:rFonts w:cs="Arial"/>
          <w:lang w:val="es-CO"/>
        </w:rPr>
        <w:t xml:space="preserve"> vez expuesto</w:t>
      </w:r>
      <w:r w:rsidR="00A12F30">
        <w:rPr>
          <w:rFonts w:cs="Arial"/>
          <w:lang w:val="es-CO"/>
        </w:rPr>
        <w:t>s</w:t>
      </w:r>
      <w:r w:rsidR="00A01862">
        <w:rPr>
          <w:rFonts w:cs="Arial"/>
          <w:lang w:val="es-CO"/>
        </w:rPr>
        <w:t xml:space="preserve"> lo</w:t>
      </w:r>
      <w:r w:rsidR="008C5801">
        <w:rPr>
          <w:rFonts w:cs="Arial"/>
          <w:lang w:val="es-CO"/>
        </w:rPr>
        <w:t>s</w:t>
      </w:r>
      <w:r w:rsidR="00A01862">
        <w:rPr>
          <w:rFonts w:cs="Arial"/>
          <w:lang w:val="es-CO"/>
        </w:rPr>
        <w:t xml:space="preserve"> anterior</w:t>
      </w:r>
      <w:r w:rsidR="008C5801">
        <w:rPr>
          <w:rFonts w:cs="Arial"/>
          <w:lang w:val="es-CO"/>
        </w:rPr>
        <w:t>es literales</w:t>
      </w:r>
      <w:r w:rsidR="00A01862">
        <w:rPr>
          <w:rFonts w:cs="Arial"/>
          <w:lang w:val="es-CO"/>
        </w:rPr>
        <w:t xml:space="preserve">, </w:t>
      </w:r>
      <w:r w:rsidR="006F2700">
        <w:rPr>
          <w:rFonts w:cs="Arial"/>
          <w:lang w:val="es-CO"/>
        </w:rPr>
        <w:t xml:space="preserve">del análisis de los </w:t>
      </w:r>
      <w:r w:rsidR="00FD4D4D">
        <w:rPr>
          <w:rFonts w:cs="Arial"/>
          <w:lang w:val="es-CO"/>
        </w:rPr>
        <w:t>argumentos expuestos</w:t>
      </w:r>
      <w:r w:rsidR="006F2700">
        <w:rPr>
          <w:rFonts w:cs="Arial"/>
          <w:lang w:val="es-CO"/>
        </w:rPr>
        <w:t xml:space="preserve"> por TGI en su recurso de reposición, </w:t>
      </w:r>
      <w:r w:rsidR="00555B8B">
        <w:rPr>
          <w:rFonts w:cs="Arial"/>
          <w:lang w:val="es-CO"/>
        </w:rPr>
        <w:t xml:space="preserve">se advierte por parte de esta Comisión que </w:t>
      </w:r>
      <w:r w:rsidR="00B86C47">
        <w:rPr>
          <w:rFonts w:cs="Arial"/>
          <w:lang w:val="es-CO"/>
        </w:rPr>
        <w:t xml:space="preserve">los </w:t>
      </w:r>
      <w:r w:rsidR="006F2700">
        <w:rPr>
          <w:rFonts w:cs="Arial"/>
          <w:lang w:val="es-CO"/>
        </w:rPr>
        <w:t>mismos</w:t>
      </w:r>
      <w:r w:rsidR="00B86C47">
        <w:rPr>
          <w:rFonts w:cs="Arial"/>
          <w:lang w:val="es-CO"/>
        </w:rPr>
        <w:t xml:space="preserve"> </w:t>
      </w:r>
      <w:r w:rsidR="00555B8B">
        <w:rPr>
          <w:rFonts w:cs="Arial"/>
          <w:lang w:val="es-CO"/>
        </w:rPr>
        <w:t xml:space="preserve">no </w:t>
      </w:r>
      <w:r w:rsidR="00B86C47">
        <w:rPr>
          <w:rFonts w:cs="Arial"/>
          <w:lang w:val="es-CO"/>
        </w:rPr>
        <w:t>están dirigidos a cuestionar</w:t>
      </w:r>
      <w:r w:rsidR="00555B8B">
        <w:rPr>
          <w:rFonts w:cs="Arial"/>
          <w:lang w:val="es-CO"/>
        </w:rPr>
        <w:t xml:space="preserve"> la Resoluci</w:t>
      </w:r>
      <w:r w:rsidR="006F2700">
        <w:rPr>
          <w:rFonts w:cs="Arial"/>
          <w:lang w:val="es-CO"/>
        </w:rPr>
        <w:t>ón CREG 241 de 2016 ateniendo el</w:t>
      </w:r>
      <w:r w:rsidR="00555B8B">
        <w:rPr>
          <w:rFonts w:cs="Arial"/>
          <w:lang w:val="es-CO"/>
        </w:rPr>
        <w:t xml:space="preserve"> objeto</w:t>
      </w:r>
      <w:r w:rsidR="006F2700">
        <w:rPr>
          <w:rFonts w:cs="Arial"/>
          <w:lang w:val="es-CO"/>
        </w:rPr>
        <w:t xml:space="preserve"> de dicho acto administrativo</w:t>
      </w:r>
      <w:r w:rsidR="00555B8B">
        <w:rPr>
          <w:rFonts w:cs="Arial"/>
          <w:lang w:val="es-CO"/>
        </w:rPr>
        <w:t xml:space="preserve">, </w:t>
      </w:r>
      <w:r w:rsidR="006F2700">
        <w:rPr>
          <w:rFonts w:cs="Arial"/>
          <w:lang w:val="es-CO"/>
        </w:rPr>
        <w:t xml:space="preserve">el cual corresponde a los resultados del </w:t>
      </w:r>
      <w:r w:rsidR="00B86C47">
        <w:rPr>
          <w:rFonts w:cs="Arial"/>
          <w:lang w:val="es-CO"/>
        </w:rPr>
        <w:t>ajuste en los cargos</w:t>
      </w:r>
      <w:r w:rsidR="007B676E">
        <w:rPr>
          <w:rFonts w:cs="Arial"/>
          <w:lang w:val="es-CO"/>
        </w:rPr>
        <w:t xml:space="preserve"> </w:t>
      </w:r>
      <w:r w:rsidR="00555B8B">
        <w:rPr>
          <w:rFonts w:cs="Arial"/>
          <w:lang w:val="es-CO"/>
        </w:rPr>
        <w:t>de transporte de TGI</w:t>
      </w:r>
      <w:r w:rsidR="007B676E">
        <w:rPr>
          <w:rFonts w:cs="Arial"/>
          <w:lang w:val="es-CO"/>
        </w:rPr>
        <w:t>,</w:t>
      </w:r>
      <w:r w:rsidR="00B86C47">
        <w:rPr>
          <w:rFonts w:cs="Arial"/>
          <w:lang w:val="es-CO"/>
        </w:rPr>
        <w:t xml:space="preserve"> una vez realizada la valoración de</w:t>
      </w:r>
      <w:r w:rsidR="007B676E">
        <w:rPr>
          <w:rFonts w:cs="Arial"/>
          <w:lang w:val="es-CO"/>
        </w:rPr>
        <w:t xml:space="preserve"> los activos que cumplen su VUN</w:t>
      </w:r>
      <w:r w:rsidR="008C5801">
        <w:rPr>
          <w:rFonts w:cs="Arial"/>
          <w:lang w:val="es-CO"/>
        </w:rPr>
        <w:t xml:space="preserve"> por parte de la CREG</w:t>
      </w:r>
      <w:r w:rsidR="00FD4D4D">
        <w:rPr>
          <w:rFonts w:cs="Arial"/>
          <w:lang w:val="es-CO"/>
        </w:rPr>
        <w:t xml:space="preserve">. Esto, </w:t>
      </w:r>
      <w:r w:rsidR="006F2700">
        <w:rPr>
          <w:rFonts w:cs="Arial"/>
          <w:lang w:val="es-CO"/>
        </w:rPr>
        <w:t>de acuerdo con lo procedimiento previsto</w:t>
      </w:r>
      <w:r w:rsidR="007B676E">
        <w:rPr>
          <w:rFonts w:cs="Arial"/>
          <w:lang w:val="es-CO"/>
        </w:rPr>
        <w:t xml:space="preserve"> en el literal c del artículo 14 de la Resolución CREG 126 de 2010</w:t>
      </w:r>
      <w:r w:rsidR="006F2700">
        <w:rPr>
          <w:rStyle w:val="Refdenotaalpie"/>
          <w:rFonts w:cs="Arial"/>
          <w:lang w:val="es-CO"/>
        </w:rPr>
        <w:footnoteReference w:id="9"/>
      </w:r>
      <w:r w:rsidR="007B676E">
        <w:rPr>
          <w:rFonts w:cs="Arial"/>
          <w:lang w:val="es-CO"/>
        </w:rPr>
        <w:t>, así como lo dispuesto en el artículo 6 de la Resolución CREG 162 de 2015</w:t>
      </w:r>
      <w:r w:rsidR="00411A6B">
        <w:rPr>
          <w:rFonts w:cs="Arial"/>
          <w:lang w:val="es-CO"/>
        </w:rPr>
        <w:t>,</w:t>
      </w:r>
      <w:r w:rsidR="007B676E">
        <w:rPr>
          <w:rFonts w:cs="Arial"/>
          <w:lang w:val="es-CO"/>
        </w:rPr>
        <w:t xml:space="preserve"> el cual establece lo siguiente:</w:t>
      </w:r>
    </w:p>
    <w:p w:rsidR="007B676E" w:rsidRPr="008C2635" w:rsidRDefault="007B676E" w:rsidP="008C2635">
      <w:pPr>
        <w:ind w:left="284" w:right="284"/>
        <w:rPr>
          <w:i/>
          <w:sz w:val="22"/>
          <w:szCs w:val="22"/>
        </w:rPr>
      </w:pPr>
      <w:r w:rsidRPr="008C2635">
        <w:rPr>
          <w:rFonts w:cs="Arial"/>
          <w:i/>
          <w:lang w:val="es-CO"/>
        </w:rPr>
        <w:lastRenderedPageBreak/>
        <w:t>“</w:t>
      </w:r>
      <w:r w:rsidRPr="008C2635">
        <w:rPr>
          <w:rFonts w:cs="Arial"/>
          <w:b/>
          <w:i/>
          <w:sz w:val="22"/>
          <w:szCs w:val="22"/>
        </w:rPr>
        <w:t xml:space="preserve">Artículo 6. Ajuste en los cargos regulados. </w:t>
      </w:r>
      <w:r w:rsidRPr="008C2635">
        <w:rPr>
          <w:i/>
          <w:sz w:val="22"/>
          <w:szCs w:val="22"/>
        </w:rPr>
        <w:t>De conformidad con lo establecido en el artículo 14 de la Resolución CREG 126 de 2010, con la declaración de que trata el Parágrafo 1 del artículo 1 de la presente resolución, TGI S.A. E.S.P. deberá solicitar el ajuste a que haya lugar en los cargos regulados.</w:t>
      </w:r>
    </w:p>
    <w:p w:rsidR="007B676E" w:rsidRPr="008C2635" w:rsidRDefault="007B676E" w:rsidP="008C2635">
      <w:pPr>
        <w:ind w:left="284" w:right="284"/>
        <w:rPr>
          <w:i/>
          <w:sz w:val="22"/>
          <w:szCs w:val="22"/>
        </w:rPr>
      </w:pPr>
    </w:p>
    <w:p w:rsidR="007B676E" w:rsidRPr="008C2635" w:rsidRDefault="007B676E" w:rsidP="008C2635">
      <w:pPr>
        <w:ind w:left="284" w:right="284"/>
        <w:rPr>
          <w:rFonts w:cs="Arial"/>
          <w:i/>
          <w:sz w:val="22"/>
          <w:szCs w:val="22"/>
          <w:u w:val="single"/>
        </w:rPr>
      </w:pPr>
      <w:r w:rsidRPr="008C2635">
        <w:rPr>
          <w:rFonts w:cs="Arial"/>
          <w:b/>
          <w:i/>
          <w:sz w:val="22"/>
          <w:szCs w:val="22"/>
        </w:rPr>
        <w:t xml:space="preserve">Parágrafo 1. </w:t>
      </w:r>
      <w:r w:rsidRPr="008C2635">
        <w:rPr>
          <w:rFonts w:cs="Arial"/>
          <w:i/>
          <w:sz w:val="22"/>
          <w:szCs w:val="22"/>
        </w:rPr>
        <w:t xml:space="preserve">Cuando TGI S.A. E.S.P. presente la declaración de que trata el Parágrafo 1 del artículo 1 de esta resolución y solicite el ajuste en los cargos regulados, </w:t>
      </w:r>
      <w:r w:rsidRPr="008C2635">
        <w:rPr>
          <w:rFonts w:cs="Arial"/>
          <w:i/>
          <w:sz w:val="22"/>
          <w:szCs w:val="22"/>
          <w:u w:val="single"/>
        </w:rPr>
        <w:t xml:space="preserve">en dichos cargos los valores </w:t>
      </w:r>
      <w:proofErr w:type="spellStart"/>
      <w:r w:rsidRPr="008C2635">
        <w:rPr>
          <w:rFonts w:cs="Arial"/>
          <w:i/>
          <w:sz w:val="22"/>
          <w:szCs w:val="22"/>
          <w:u w:val="single"/>
        </w:rPr>
        <w:t>VAO</w:t>
      </w:r>
      <w:r w:rsidRPr="008C2635">
        <w:rPr>
          <w:rFonts w:cs="Arial"/>
          <w:i/>
          <w:sz w:val="22"/>
          <w:szCs w:val="22"/>
          <w:u w:val="single"/>
          <w:vertAlign w:val="subscript"/>
        </w:rPr>
        <w:t>t</w:t>
      </w:r>
      <w:proofErr w:type="spellEnd"/>
      <w:r w:rsidRPr="008C2635">
        <w:rPr>
          <w:rFonts w:cs="Arial"/>
          <w:i/>
          <w:sz w:val="22"/>
          <w:szCs w:val="22"/>
          <w:u w:val="single"/>
        </w:rPr>
        <w:t xml:space="preserve"> reemplazarán los valores del Anexo 2 según corresponda.</w:t>
      </w:r>
    </w:p>
    <w:p w:rsidR="007B676E" w:rsidRPr="008C2635" w:rsidRDefault="007B676E" w:rsidP="008C2635">
      <w:pPr>
        <w:ind w:left="284" w:right="284"/>
        <w:rPr>
          <w:rFonts w:cs="Arial"/>
          <w:i/>
          <w:sz w:val="22"/>
          <w:szCs w:val="22"/>
        </w:rPr>
      </w:pPr>
    </w:p>
    <w:p w:rsidR="007B676E" w:rsidRPr="008C2635" w:rsidRDefault="007B676E" w:rsidP="008C2635">
      <w:pPr>
        <w:ind w:left="284" w:right="284"/>
        <w:rPr>
          <w:rFonts w:cs="Arial"/>
          <w:i/>
          <w:sz w:val="22"/>
          <w:szCs w:val="22"/>
        </w:rPr>
      </w:pPr>
      <w:r w:rsidRPr="008C2635">
        <w:rPr>
          <w:rFonts w:cs="Arial"/>
          <w:b/>
          <w:i/>
          <w:sz w:val="22"/>
          <w:szCs w:val="22"/>
        </w:rPr>
        <w:t xml:space="preserve">Parágrafo 2. </w:t>
      </w:r>
      <w:r w:rsidRPr="008C2635">
        <w:rPr>
          <w:rFonts w:cs="Arial"/>
          <w:i/>
          <w:sz w:val="22"/>
          <w:szCs w:val="22"/>
        </w:rPr>
        <w:t xml:space="preserve">Cuando i) dentro del plazo máximo de tres (3) años TGI S.A. E.S.P. reemplace y ponga en operación uno o varios de los gasoductos señalados en el artículo 1 de esta Resolución; ii) la Superintendencia de Servicios Públicos Domiciliarios, en ejercicio de sus funciones de inspección y vigilancia previstas en el artículo 79 de la Ley 142 de 1994, confirme a la CREG que el activo fue repuesto en su totalidad y que entró en operación en el plazo previsto; y iii) TGI S.A. E.S.P. solicite el ajuste en los cargos regulados, en dichos cargos los valores VRAN reemplazarán los valores </w:t>
      </w:r>
      <w:proofErr w:type="spellStart"/>
      <w:r w:rsidRPr="008C2635">
        <w:rPr>
          <w:rFonts w:cs="Arial"/>
          <w:i/>
          <w:sz w:val="22"/>
          <w:szCs w:val="22"/>
        </w:rPr>
        <w:t>VAO</w:t>
      </w:r>
      <w:r w:rsidRPr="008C2635">
        <w:rPr>
          <w:rFonts w:cs="Arial"/>
          <w:i/>
          <w:sz w:val="22"/>
          <w:szCs w:val="22"/>
          <w:vertAlign w:val="subscript"/>
        </w:rPr>
        <w:t>t</w:t>
      </w:r>
      <w:proofErr w:type="spellEnd"/>
      <w:r w:rsidRPr="008C2635">
        <w:rPr>
          <w:rFonts w:cs="Arial"/>
          <w:i/>
          <w:sz w:val="22"/>
          <w:szCs w:val="22"/>
        </w:rPr>
        <w:t xml:space="preserve"> según corresponda.</w:t>
      </w:r>
    </w:p>
    <w:p w:rsidR="007B676E" w:rsidRPr="008C2635" w:rsidRDefault="007B676E" w:rsidP="008C2635">
      <w:pPr>
        <w:ind w:left="284" w:right="284"/>
        <w:rPr>
          <w:rFonts w:cs="Arial"/>
          <w:i/>
          <w:sz w:val="22"/>
          <w:szCs w:val="22"/>
        </w:rPr>
      </w:pPr>
    </w:p>
    <w:p w:rsidR="007B676E" w:rsidRPr="008C2635" w:rsidRDefault="007B676E" w:rsidP="008C2635">
      <w:pPr>
        <w:ind w:left="284" w:right="284"/>
        <w:rPr>
          <w:rFonts w:cs="Arial"/>
          <w:i/>
          <w:sz w:val="22"/>
          <w:szCs w:val="22"/>
        </w:rPr>
      </w:pPr>
      <w:r w:rsidRPr="008C2635">
        <w:rPr>
          <w:rFonts w:cs="Arial"/>
          <w:i/>
          <w:sz w:val="22"/>
          <w:szCs w:val="22"/>
        </w:rPr>
        <w:t>Antes de iniciar la reposición de los activos, TGI S.A. E.S.P. deberá informarle a la Superintendencia de Servicios Públicos Domiciliarios la fecha de inicio de las obras de reposición y el cronograma detallado de estas obras.</w:t>
      </w:r>
      <w:r>
        <w:rPr>
          <w:rFonts w:cs="Arial"/>
          <w:i/>
          <w:sz w:val="22"/>
          <w:szCs w:val="22"/>
        </w:rPr>
        <w:t>” (Subrayado fuera de texto)</w:t>
      </w:r>
    </w:p>
    <w:p w:rsidR="007B676E" w:rsidRPr="008C2635" w:rsidRDefault="007B676E">
      <w:pPr>
        <w:pStyle w:val="Textoindependiente2"/>
        <w:spacing w:after="0" w:line="240" w:lineRule="auto"/>
        <w:ind w:left="-142" w:right="-142"/>
        <w:rPr>
          <w:rFonts w:cs="Arial"/>
        </w:rPr>
      </w:pPr>
    </w:p>
    <w:p w:rsidR="00411A6B" w:rsidRDefault="00555B8B" w:rsidP="008C2635">
      <w:pPr>
        <w:pStyle w:val="Textoindependiente2"/>
        <w:spacing w:after="0" w:line="240" w:lineRule="auto"/>
        <w:ind w:left="-142" w:right="-142"/>
        <w:rPr>
          <w:rFonts w:cs="Arial"/>
          <w:lang w:val="es-CO"/>
        </w:rPr>
      </w:pPr>
      <w:r>
        <w:rPr>
          <w:rFonts w:cs="Arial"/>
        </w:rPr>
        <w:t>Por el contrario, un</w:t>
      </w:r>
      <w:r w:rsidR="007B676E">
        <w:rPr>
          <w:rFonts w:cs="Arial"/>
          <w:lang w:val="es-CO"/>
        </w:rPr>
        <w:t xml:space="preserve"> análisis del contenido del recurso y sus argumentos permite establecer por parte de esta Comisión que la impugnación hecha por el recurrente se realiza sobre</w:t>
      </w:r>
      <w:r w:rsidR="00D10468">
        <w:rPr>
          <w:rFonts w:cs="Arial"/>
          <w:lang w:val="es-CO"/>
        </w:rPr>
        <w:t xml:space="preserve">: </w:t>
      </w:r>
    </w:p>
    <w:p w:rsidR="00411A6B" w:rsidRDefault="00411A6B" w:rsidP="008C2635">
      <w:pPr>
        <w:pStyle w:val="Textoindependiente2"/>
        <w:spacing w:after="0" w:line="240" w:lineRule="auto"/>
        <w:ind w:left="-142" w:right="-142"/>
        <w:rPr>
          <w:rFonts w:cs="Arial"/>
          <w:lang w:val="es-CO"/>
        </w:rPr>
      </w:pPr>
    </w:p>
    <w:p w:rsidR="00411A6B" w:rsidRDefault="00D10468" w:rsidP="008C2635">
      <w:pPr>
        <w:pStyle w:val="Textoindependiente2"/>
        <w:spacing w:after="0" w:line="240" w:lineRule="auto"/>
        <w:ind w:left="-142" w:right="-142"/>
        <w:rPr>
          <w:rFonts w:cs="Arial"/>
          <w:lang w:val="es-CO"/>
        </w:rPr>
      </w:pPr>
      <w:r>
        <w:rPr>
          <w:rFonts w:cs="Arial"/>
          <w:lang w:val="es-CO"/>
        </w:rPr>
        <w:t>i)</w:t>
      </w:r>
      <w:r w:rsidR="007B676E">
        <w:rPr>
          <w:rFonts w:cs="Arial"/>
          <w:lang w:val="es-CO"/>
        </w:rPr>
        <w:t xml:space="preserve"> elementos </w:t>
      </w:r>
      <w:r>
        <w:rPr>
          <w:rFonts w:cs="Arial"/>
          <w:lang w:val="es-CO"/>
        </w:rPr>
        <w:t xml:space="preserve">conceptuales y abstractos </w:t>
      </w:r>
      <w:r w:rsidR="007B676E">
        <w:rPr>
          <w:rFonts w:cs="Arial"/>
          <w:lang w:val="es-CO"/>
        </w:rPr>
        <w:t xml:space="preserve">relativos </w:t>
      </w:r>
      <w:r>
        <w:rPr>
          <w:rFonts w:cs="Arial"/>
          <w:lang w:val="es-CO"/>
        </w:rPr>
        <w:t>a los e</w:t>
      </w:r>
      <w:r w:rsidRPr="00D10468">
        <w:rPr>
          <w:rFonts w:cs="Arial"/>
          <w:lang w:val="es-CO"/>
        </w:rPr>
        <w:t>fecto</w:t>
      </w:r>
      <w:r>
        <w:rPr>
          <w:rFonts w:cs="Arial"/>
          <w:lang w:val="es-CO"/>
        </w:rPr>
        <w:t>s</w:t>
      </w:r>
      <w:r w:rsidRPr="00D10468">
        <w:rPr>
          <w:rFonts w:cs="Arial"/>
          <w:lang w:val="es-CO"/>
        </w:rPr>
        <w:t xml:space="preserve"> sobre las variables consideradas en el cálculo de los cargos regulados</w:t>
      </w:r>
      <w:r>
        <w:rPr>
          <w:rFonts w:cs="Arial"/>
          <w:lang w:val="es-CO"/>
        </w:rPr>
        <w:t xml:space="preserve"> (i. e. aplicación del concepto ‘</w:t>
      </w:r>
      <w:proofErr w:type="spellStart"/>
      <w:r w:rsidRPr="008C2635">
        <w:rPr>
          <w:rFonts w:cs="Arial"/>
          <w:i/>
          <w:lang w:val="es-CO"/>
        </w:rPr>
        <w:t>accesorium</w:t>
      </w:r>
      <w:proofErr w:type="spellEnd"/>
      <w:r w:rsidRPr="008C2635">
        <w:rPr>
          <w:rFonts w:cs="Arial"/>
          <w:i/>
          <w:lang w:val="es-CO"/>
        </w:rPr>
        <w:t xml:space="preserve"> </w:t>
      </w:r>
      <w:proofErr w:type="spellStart"/>
      <w:r w:rsidRPr="008C2635">
        <w:rPr>
          <w:rFonts w:cs="Arial"/>
          <w:i/>
          <w:lang w:val="es-CO"/>
        </w:rPr>
        <w:t>sequitur</w:t>
      </w:r>
      <w:proofErr w:type="spellEnd"/>
      <w:r w:rsidRPr="008C2635">
        <w:rPr>
          <w:rFonts w:cs="Arial"/>
          <w:i/>
          <w:lang w:val="es-CO"/>
        </w:rPr>
        <w:t xml:space="preserve"> </w:t>
      </w:r>
      <w:proofErr w:type="spellStart"/>
      <w:r w:rsidRPr="008C2635">
        <w:rPr>
          <w:rFonts w:cs="Arial"/>
          <w:i/>
          <w:lang w:val="es-CO"/>
        </w:rPr>
        <w:t>principale</w:t>
      </w:r>
      <w:proofErr w:type="spellEnd"/>
      <w:r w:rsidRPr="008C2635">
        <w:rPr>
          <w:rFonts w:cs="Arial"/>
          <w:i/>
          <w:lang w:val="es-CO"/>
        </w:rPr>
        <w:t>’</w:t>
      </w:r>
      <w:r w:rsidRPr="00D10468">
        <w:rPr>
          <w:rFonts w:cs="Arial"/>
          <w:lang w:val="es-CO"/>
        </w:rPr>
        <w:t xml:space="preserve"> lo accesorio sigue a lo principal</w:t>
      </w:r>
      <w:r>
        <w:rPr>
          <w:rFonts w:cs="Arial"/>
          <w:lang w:val="es-CO"/>
        </w:rPr>
        <w:t>) en relación con la forma</w:t>
      </w:r>
      <w:r w:rsidR="00FD4D4D">
        <w:rPr>
          <w:rFonts w:cs="Arial"/>
          <w:lang w:val="es-CO"/>
        </w:rPr>
        <w:t xml:space="preserve"> y el procedimiento</w:t>
      </w:r>
      <w:r>
        <w:rPr>
          <w:rFonts w:cs="Arial"/>
          <w:lang w:val="es-CO"/>
        </w:rPr>
        <w:t xml:space="preserve"> que se debe llevar a cabo </w:t>
      </w:r>
      <w:r w:rsidR="00FD4D4D">
        <w:rPr>
          <w:rFonts w:cs="Arial"/>
          <w:lang w:val="es-CO"/>
        </w:rPr>
        <w:t>para el</w:t>
      </w:r>
      <w:r>
        <w:rPr>
          <w:rFonts w:cs="Arial"/>
          <w:lang w:val="es-CO"/>
        </w:rPr>
        <w:t xml:space="preserve"> ajuste en los cargos por parte de la Comisión una vez se han valorados los activos que cumplen su VUN, los cuales se encuentran previstos en el </w:t>
      </w:r>
      <w:r w:rsidRPr="00D10468">
        <w:rPr>
          <w:rFonts w:cs="Arial"/>
          <w:lang w:val="es-CO"/>
        </w:rPr>
        <w:t>literal c del artículo 14 de la Resolución CREG 126 de 2010, así como en el artículo 6 de la Resolución CREG 162 de 2015</w:t>
      </w:r>
      <w:r w:rsidR="00411A6B">
        <w:rPr>
          <w:rFonts w:cs="Arial"/>
          <w:lang w:val="es-CO"/>
        </w:rPr>
        <w:t xml:space="preserve">; </w:t>
      </w:r>
    </w:p>
    <w:p w:rsidR="00411A6B" w:rsidRDefault="00411A6B" w:rsidP="008C2635">
      <w:pPr>
        <w:pStyle w:val="Textoindependiente2"/>
        <w:spacing w:after="0" w:line="240" w:lineRule="auto"/>
        <w:ind w:left="-142" w:right="-142"/>
        <w:rPr>
          <w:rFonts w:cs="Arial"/>
          <w:lang w:val="es-CO"/>
        </w:rPr>
      </w:pPr>
    </w:p>
    <w:p w:rsidR="00D10468" w:rsidRDefault="00411A6B" w:rsidP="008C2635">
      <w:pPr>
        <w:pStyle w:val="Textoindependiente2"/>
        <w:spacing w:after="0" w:line="240" w:lineRule="auto"/>
        <w:ind w:left="-142" w:right="-142"/>
        <w:rPr>
          <w:rFonts w:cs="Arial"/>
          <w:lang w:val="es-CO"/>
        </w:rPr>
      </w:pPr>
      <w:r>
        <w:rPr>
          <w:rFonts w:cs="Arial"/>
          <w:lang w:val="es-CO"/>
        </w:rPr>
        <w:t>ii)  los</w:t>
      </w:r>
      <w:r w:rsidR="00D10468">
        <w:rPr>
          <w:rFonts w:cs="Arial"/>
          <w:lang w:val="es-CO"/>
        </w:rPr>
        <w:t xml:space="preserve"> efectos y de manera particular, </w:t>
      </w:r>
      <w:r w:rsidR="00555B8B">
        <w:rPr>
          <w:rFonts w:cs="Arial"/>
          <w:lang w:val="es-CO"/>
        </w:rPr>
        <w:t xml:space="preserve">se cuestiona </w:t>
      </w:r>
      <w:r w:rsidR="00D10468">
        <w:rPr>
          <w:rFonts w:cs="Arial"/>
          <w:lang w:val="es-CO"/>
        </w:rPr>
        <w:t>el valor a</w:t>
      </w:r>
      <w:r w:rsidR="007B676E">
        <w:rPr>
          <w:rFonts w:cs="Arial"/>
          <w:lang w:val="es-CO"/>
        </w:rPr>
        <w:t xml:space="preserve"> retirar de la base tarifaria</w:t>
      </w:r>
      <w:r w:rsidR="00D10468">
        <w:rPr>
          <w:rFonts w:cs="Arial"/>
          <w:lang w:val="es-CO"/>
        </w:rPr>
        <w:t xml:space="preserve"> que fue</w:t>
      </w:r>
      <w:r w:rsidR="007B676E">
        <w:rPr>
          <w:rFonts w:cs="Arial"/>
          <w:lang w:val="es-CO"/>
        </w:rPr>
        <w:t xml:space="preserve"> expuesto en el Anexo 2</w:t>
      </w:r>
      <w:r w:rsidR="00D10468">
        <w:rPr>
          <w:rFonts w:cs="Arial"/>
          <w:lang w:val="es-CO"/>
        </w:rPr>
        <w:t xml:space="preserve">, así como en el parágrafo 2º del artículo 6 de la </w:t>
      </w:r>
      <w:r w:rsidR="00D10468" w:rsidRPr="00D10468">
        <w:rPr>
          <w:rFonts w:cs="Arial"/>
          <w:lang w:val="es-CO"/>
        </w:rPr>
        <w:t>Resolución CREG 162 de 2015</w:t>
      </w:r>
      <w:r w:rsidR="00D10468">
        <w:rPr>
          <w:rFonts w:cs="Arial"/>
          <w:lang w:val="es-CO"/>
        </w:rPr>
        <w:t xml:space="preserve"> con respecto a la</w:t>
      </w:r>
      <w:r>
        <w:rPr>
          <w:rFonts w:cs="Arial"/>
          <w:lang w:val="es-CO"/>
        </w:rPr>
        <w:t>s</w:t>
      </w:r>
      <w:r w:rsidR="00D10468">
        <w:rPr>
          <w:rFonts w:cs="Arial"/>
          <w:lang w:val="es-CO"/>
        </w:rPr>
        <w:t xml:space="preserve"> variable</w:t>
      </w:r>
      <w:r>
        <w:rPr>
          <w:rFonts w:cs="Arial"/>
          <w:lang w:val="es-CO"/>
        </w:rPr>
        <w:t>s</w:t>
      </w:r>
      <w:r w:rsidR="00D10468">
        <w:rPr>
          <w:rFonts w:cs="Arial"/>
          <w:lang w:val="es-CO"/>
        </w:rPr>
        <w:t xml:space="preserve"> de la columna </w:t>
      </w:r>
      <w:proofErr w:type="spellStart"/>
      <w:r w:rsidR="00D10468" w:rsidRPr="00EB3ABA">
        <w:rPr>
          <w:rFonts w:cs="Arial"/>
          <w:i/>
          <w:lang w:val="es-CO"/>
        </w:rPr>
        <w:t>PNIt</w:t>
      </w:r>
      <w:proofErr w:type="spellEnd"/>
      <w:r w:rsidR="00D10468">
        <w:rPr>
          <w:rFonts w:cs="Arial"/>
          <w:lang w:val="es-CO"/>
        </w:rPr>
        <w:t>, cuando en dicho anexo se expone lo siguiente:</w:t>
      </w:r>
    </w:p>
    <w:p w:rsidR="00BD5912" w:rsidRDefault="00BD5912" w:rsidP="00BD5912">
      <w:pPr>
        <w:pStyle w:val="Textoindependiente2"/>
        <w:keepLines/>
        <w:spacing w:after="0" w:line="240" w:lineRule="auto"/>
        <w:ind w:left="-142" w:right="-142"/>
        <w:rPr>
          <w:rFonts w:cs="Arial"/>
          <w:lang w:val="es-CO"/>
        </w:rPr>
      </w:pPr>
    </w:p>
    <w:p w:rsidR="00C83787" w:rsidRDefault="00C83787" w:rsidP="00BD5912">
      <w:pPr>
        <w:pStyle w:val="Textoindependiente2"/>
        <w:keepLines/>
        <w:spacing w:after="0" w:line="240" w:lineRule="auto"/>
        <w:ind w:left="-142" w:right="-142"/>
        <w:rPr>
          <w:rFonts w:cs="Arial"/>
          <w:lang w:val="es-CO"/>
        </w:rPr>
      </w:pPr>
    </w:p>
    <w:p w:rsidR="00C83787" w:rsidRDefault="00C83787" w:rsidP="00BD5912">
      <w:pPr>
        <w:pStyle w:val="Textoindependiente2"/>
        <w:keepLines/>
        <w:spacing w:after="0" w:line="240" w:lineRule="auto"/>
        <w:ind w:left="-142" w:right="-142"/>
        <w:rPr>
          <w:rFonts w:cs="Arial"/>
          <w:lang w:val="es-CO"/>
        </w:rPr>
      </w:pPr>
    </w:p>
    <w:p w:rsidR="00C83787" w:rsidRDefault="00C83787" w:rsidP="00BD5912">
      <w:pPr>
        <w:pStyle w:val="Textoindependiente2"/>
        <w:keepLines/>
        <w:spacing w:after="0" w:line="240" w:lineRule="auto"/>
        <w:ind w:left="-142" w:right="-142"/>
        <w:rPr>
          <w:rFonts w:cs="Arial"/>
          <w:lang w:val="es-CO"/>
        </w:rPr>
      </w:pPr>
    </w:p>
    <w:p w:rsidR="00C83787" w:rsidRDefault="00C83787" w:rsidP="00BD5912">
      <w:pPr>
        <w:pStyle w:val="Textoindependiente2"/>
        <w:keepLines/>
        <w:spacing w:after="0" w:line="240" w:lineRule="auto"/>
        <w:ind w:left="-142" w:right="-142"/>
        <w:rPr>
          <w:rFonts w:cs="Arial"/>
          <w:lang w:val="es-CO"/>
        </w:rPr>
      </w:pPr>
    </w:p>
    <w:p w:rsidR="00C83787" w:rsidRDefault="00C83787" w:rsidP="00BD5912">
      <w:pPr>
        <w:pStyle w:val="Textoindependiente2"/>
        <w:keepLines/>
        <w:spacing w:after="0" w:line="240" w:lineRule="auto"/>
        <w:ind w:left="-142" w:right="-142"/>
        <w:rPr>
          <w:rFonts w:cs="Arial"/>
          <w:lang w:val="es-CO"/>
        </w:rPr>
      </w:pPr>
    </w:p>
    <w:p w:rsidR="00D10468" w:rsidRDefault="00555B8B" w:rsidP="00BD5912">
      <w:pPr>
        <w:keepLines/>
        <w:ind w:left="284" w:right="284"/>
        <w:jc w:val="center"/>
        <w:rPr>
          <w:b/>
          <w:bCs/>
          <w:sz w:val="22"/>
          <w:szCs w:val="22"/>
          <w:lang w:val="es-CO"/>
        </w:rPr>
      </w:pPr>
      <w:r>
        <w:rPr>
          <w:b/>
          <w:bCs/>
          <w:sz w:val="22"/>
          <w:szCs w:val="22"/>
          <w:lang w:val="es-CO"/>
        </w:rPr>
        <w:t xml:space="preserve">“Anexo 2 </w:t>
      </w:r>
      <w:r w:rsidR="00D10468" w:rsidRPr="00EB3ABA">
        <w:rPr>
          <w:b/>
          <w:bCs/>
          <w:sz w:val="22"/>
          <w:szCs w:val="22"/>
          <w:lang w:val="es-CO"/>
        </w:rPr>
        <w:t>Valores a retirar de la base tarifaria cuando se realice el ajuste tarifario de que trata el Artículo 2 de la presente Resolución</w:t>
      </w:r>
    </w:p>
    <w:p w:rsidR="00C83787" w:rsidRPr="00EB3ABA" w:rsidRDefault="00C83787" w:rsidP="00BD5912">
      <w:pPr>
        <w:keepLines/>
        <w:ind w:left="284" w:right="284"/>
        <w:jc w:val="center"/>
        <w:rPr>
          <w:b/>
          <w:bCs/>
          <w:sz w:val="22"/>
          <w:szCs w:val="22"/>
          <w:lang w:val="es-CO"/>
        </w:rPr>
      </w:pPr>
    </w:p>
    <w:p w:rsidR="00555B8B" w:rsidRDefault="00555B8B" w:rsidP="00BD5912">
      <w:pPr>
        <w:pStyle w:val="Textoindependiente2"/>
        <w:keepLines/>
        <w:spacing w:after="0" w:line="240" w:lineRule="auto"/>
        <w:ind w:left="-142" w:right="-142"/>
        <w:jc w:val="center"/>
        <w:rPr>
          <w:rFonts w:cs="Arial"/>
          <w:lang w:val="es-CO"/>
        </w:rPr>
      </w:pPr>
      <w:r w:rsidRPr="00555B8B">
        <w:rPr>
          <w:rFonts w:eastAsia="Arial Unicode MS"/>
          <w:noProof/>
          <w:lang w:val="es-CO" w:eastAsia="es-CO"/>
        </w:rPr>
        <w:lastRenderedPageBreak/>
        <w:drawing>
          <wp:inline distT="0" distB="0" distL="0" distR="0" wp14:anchorId="051FAC04" wp14:editId="326599C7">
            <wp:extent cx="5746172" cy="1755648"/>
            <wp:effectExtent l="0" t="0" r="6985"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78220" cy="1765440"/>
                    </a:xfrm>
                    <a:prstGeom prst="rect">
                      <a:avLst/>
                    </a:prstGeom>
                    <a:noFill/>
                    <a:ln>
                      <a:noFill/>
                    </a:ln>
                  </pic:spPr>
                </pic:pic>
              </a:graphicData>
            </a:graphic>
          </wp:inline>
        </w:drawing>
      </w:r>
    </w:p>
    <w:p w:rsidR="00555B8B" w:rsidRDefault="00555B8B" w:rsidP="00EB3ABA">
      <w:pPr>
        <w:pStyle w:val="Textoindependiente2"/>
        <w:spacing w:after="0" w:line="240" w:lineRule="auto"/>
        <w:ind w:right="-142"/>
        <w:rPr>
          <w:rFonts w:cs="Arial"/>
          <w:lang w:val="es-CO"/>
        </w:rPr>
      </w:pPr>
    </w:p>
    <w:p w:rsidR="00C83787" w:rsidRDefault="00C83787" w:rsidP="00EB3ABA">
      <w:pPr>
        <w:pStyle w:val="Textoindependiente2"/>
        <w:spacing w:after="0" w:line="240" w:lineRule="auto"/>
        <w:ind w:left="-142" w:right="-142"/>
        <w:rPr>
          <w:rFonts w:cs="Arial"/>
          <w:lang w:val="es-CO"/>
        </w:rPr>
      </w:pPr>
    </w:p>
    <w:p w:rsidR="00411A6B" w:rsidRDefault="00555B8B" w:rsidP="00EB3ABA">
      <w:pPr>
        <w:pStyle w:val="Textoindependiente2"/>
        <w:spacing w:after="0" w:line="240" w:lineRule="auto"/>
        <w:ind w:left="-142" w:right="-142"/>
        <w:rPr>
          <w:rFonts w:cs="Arial"/>
          <w:lang w:val="es-CO"/>
        </w:rPr>
      </w:pPr>
      <w:r>
        <w:rPr>
          <w:rFonts w:cs="Arial"/>
          <w:lang w:val="es-CO"/>
        </w:rPr>
        <w:t>De acuerdo con lo anterior, los argumentos del recurso de reposición corresponden a un cuestionamiento de la metodología de carácter general y en el caso</w:t>
      </w:r>
      <w:r w:rsidR="00FD4D4D">
        <w:rPr>
          <w:rFonts w:cs="Arial"/>
          <w:lang w:val="es-CO"/>
        </w:rPr>
        <w:t xml:space="preserve"> de la actuación</w:t>
      </w:r>
      <w:r>
        <w:rPr>
          <w:rFonts w:cs="Arial"/>
          <w:lang w:val="es-CO"/>
        </w:rPr>
        <w:t xml:space="preserve"> particular de TGI</w:t>
      </w:r>
      <w:r w:rsidR="008C5801">
        <w:rPr>
          <w:rFonts w:cs="Arial"/>
          <w:lang w:val="es-CO"/>
        </w:rPr>
        <w:t>,</w:t>
      </w:r>
      <w:r w:rsidR="00FD4D4D">
        <w:rPr>
          <w:rFonts w:cs="Arial"/>
          <w:lang w:val="es-CO"/>
        </w:rPr>
        <w:t xml:space="preserve"> con respecto a la inversión a retirar</w:t>
      </w:r>
      <w:r w:rsidR="008C5801">
        <w:rPr>
          <w:rFonts w:cs="Arial"/>
          <w:lang w:val="es-CO"/>
        </w:rPr>
        <w:t xml:space="preserve">. </w:t>
      </w:r>
    </w:p>
    <w:p w:rsidR="00411A6B" w:rsidRDefault="00411A6B" w:rsidP="00EB3ABA">
      <w:pPr>
        <w:pStyle w:val="Textoindependiente2"/>
        <w:spacing w:after="0" w:line="240" w:lineRule="auto"/>
        <w:ind w:left="-142" w:right="-142"/>
        <w:rPr>
          <w:rFonts w:cs="Arial"/>
          <w:lang w:val="es-CO"/>
        </w:rPr>
      </w:pPr>
    </w:p>
    <w:p w:rsidR="00B86C47" w:rsidRDefault="008C5801" w:rsidP="00EB3ABA">
      <w:pPr>
        <w:pStyle w:val="Textoindependiente2"/>
        <w:spacing w:after="0" w:line="240" w:lineRule="auto"/>
        <w:ind w:left="-142" w:right="-142"/>
        <w:rPr>
          <w:rFonts w:cs="Arial"/>
          <w:lang w:val="es-CO"/>
        </w:rPr>
      </w:pPr>
      <w:r>
        <w:rPr>
          <w:rFonts w:cs="Arial"/>
          <w:lang w:val="es-CO"/>
        </w:rPr>
        <w:t>Es por esto que,</w:t>
      </w:r>
      <w:r w:rsidR="00555B8B">
        <w:rPr>
          <w:rFonts w:cs="Arial"/>
          <w:lang w:val="es-CO"/>
        </w:rPr>
        <w:t xml:space="preserve"> dichos argumentos debieron ser expuestos al momento de recurrir la Resolución CREG 162 de 2015, en particular lo dispuesto en el artículo 6 y el Anexo 2 de dicho acto administrativo</w:t>
      </w:r>
      <w:r w:rsidR="00411A6B">
        <w:rPr>
          <w:rFonts w:cs="Arial"/>
          <w:lang w:val="es-CO"/>
        </w:rPr>
        <w:t xml:space="preserve">, así como los cuestionamientos generales sobre la metodología implican realizar un juicio de legalidad sobre la misma </w:t>
      </w:r>
      <w:r w:rsidR="00555B8B">
        <w:rPr>
          <w:rFonts w:cs="Arial"/>
          <w:lang w:val="es-CO"/>
        </w:rPr>
        <w:t xml:space="preserve">. En este sentido, los argumentos del recurso de reposición no corresponden al objeto y alcance de la actuación administrativa de la Resolución CREG </w:t>
      </w:r>
      <w:r w:rsidR="00757C14">
        <w:rPr>
          <w:rFonts w:cs="Arial"/>
          <w:lang w:val="es-CO"/>
        </w:rPr>
        <w:t>261 de 2016</w:t>
      </w:r>
      <w:r w:rsidR="00FD4D4D">
        <w:rPr>
          <w:rFonts w:cs="Arial"/>
          <w:lang w:val="es-CO"/>
        </w:rPr>
        <w:t>, el cual se limita al cálculo que lleva a cabo la CREG para realizar el ajuste en los cargos</w:t>
      </w:r>
      <w:r w:rsidR="00757C14">
        <w:rPr>
          <w:rFonts w:cs="Arial"/>
          <w:lang w:val="es-CO"/>
        </w:rPr>
        <w:t>.</w:t>
      </w:r>
      <w:r w:rsidR="00555B8B">
        <w:rPr>
          <w:rFonts w:cs="Arial"/>
          <w:lang w:val="es-CO"/>
        </w:rPr>
        <w:t xml:space="preserve"> </w:t>
      </w:r>
    </w:p>
    <w:p w:rsidR="008C5801" w:rsidRDefault="008C5801" w:rsidP="00EB3ABA">
      <w:pPr>
        <w:pStyle w:val="Textoindependiente2"/>
        <w:spacing w:after="0" w:line="240" w:lineRule="auto"/>
        <w:ind w:left="-142" w:right="-142"/>
        <w:rPr>
          <w:rFonts w:cs="Arial"/>
          <w:lang w:val="es-CO"/>
        </w:rPr>
      </w:pPr>
    </w:p>
    <w:p w:rsidR="007C30B5" w:rsidRDefault="00411A6B" w:rsidP="00EB3ABA">
      <w:pPr>
        <w:pStyle w:val="Textoindependiente2"/>
        <w:spacing w:after="0" w:line="240" w:lineRule="auto"/>
        <w:ind w:left="-142" w:right="-142"/>
        <w:rPr>
          <w:rFonts w:cs="Arial"/>
          <w:lang w:val="es-CO"/>
        </w:rPr>
      </w:pPr>
      <w:r>
        <w:rPr>
          <w:rFonts w:cs="Arial"/>
          <w:lang w:val="es-CO"/>
        </w:rPr>
        <w:t>Ahora bien,</w:t>
      </w:r>
      <w:r w:rsidR="00B86C47">
        <w:rPr>
          <w:rFonts w:cs="Arial"/>
          <w:lang w:val="es-CO"/>
        </w:rPr>
        <w:t xml:space="preserve"> </w:t>
      </w:r>
      <w:r w:rsidR="008C5801">
        <w:rPr>
          <w:rFonts w:cs="Arial"/>
          <w:lang w:val="es-CO"/>
        </w:rPr>
        <w:t xml:space="preserve">sin </w:t>
      </w:r>
      <w:r w:rsidR="00B86C47">
        <w:rPr>
          <w:rFonts w:cs="Arial"/>
          <w:lang w:val="es-CO"/>
        </w:rPr>
        <w:t xml:space="preserve">perjuicio de </w:t>
      </w:r>
      <w:r w:rsidR="008C5801">
        <w:rPr>
          <w:rFonts w:cs="Arial"/>
          <w:lang w:val="es-CO"/>
        </w:rPr>
        <w:t>esto</w:t>
      </w:r>
      <w:r w:rsidR="00B86C47">
        <w:rPr>
          <w:rFonts w:cs="Arial"/>
          <w:lang w:val="es-CO"/>
        </w:rPr>
        <w:t xml:space="preserve">, se establece por parte de </w:t>
      </w:r>
      <w:r w:rsidR="00A01862">
        <w:rPr>
          <w:rFonts w:cs="Arial"/>
          <w:lang w:val="es-CO"/>
        </w:rPr>
        <w:t xml:space="preserve">la Comisión que los argumentos de TGI en relación con la aplicación del concepto “lo accesorio sigue la suerte de lo principal” como principio general del derecho no </w:t>
      </w:r>
      <w:r w:rsidR="00127170">
        <w:rPr>
          <w:rFonts w:cs="Arial"/>
          <w:lang w:val="es-CO"/>
        </w:rPr>
        <w:t>corresponden a</w:t>
      </w:r>
      <w:r w:rsidR="00A01862">
        <w:rPr>
          <w:rFonts w:cs="Arial"/>
          <w:lang w:val="es-CO"/>
        </w:rPr>
        <w:t xml:space="preserve"> un elemento </w:t>
      </w:r>
      <w:r w:rsidR="002D47AC">
        <w:rPr>
          <w:rFonts w:cs="Arial"/>
          <w:lang w:val="es-CO"/>
        </w:rPr>
        <w:t>“contradictorio”</w:t>
      </w:r>
      <w:r w:rsidR="007C30B5">
        <w:rPr>
          <w:rFonts w:cs="Arial"/>
          <w:lang w:val="es-CO"/>
        </w:rPr>
        <w:t xml:space="preserve"> y “no previsto”</w:t>
      </w:r>
      <w:r w:rsidR="00A81C60">
        <w:rPr>
          <w:rFonts w:cs="Arial"/>
          <w:lang w:val="es-CO"/>
        </w:rPr>
        <w:t xml:space="preserve"> en relación con la</w:t>
      </w:r>
      <w:r w:rsidR="00127170">
        <w:rPr>
          <w:rFonts w:cs="Arial"/>
          <w:lang w:val="es-CO"/>
        </w:rPr>
        <w:t xml:space="preserve"> aplicación de las normas relativas a la VUN de los activos dentro de las variables</w:t>
      </w:r>
      <w:r w:rsidR="00A81C60">
        <w:rPr>
          <w:rFonts w:cs="Arial"/>
          <w:lang w:val="es-CO"/>
        </w:rPr>
        <w:t xml:space="preserve"> </w:t>
      </w:r>
      <w:r w:rsidR="00A81C60" w:rsidRPr="00A81C60">
        <w:rPr>
          <w:rFonts w:cs="Arial"/>
          <w:lang w:val="es-ES_tradnl"/>
        </w:rPr>
        <w:t xml:space="preserve">inversión existente, </w:t>
      </w:r>
      <m:oMath>
        <m:sSub>
          <m:sSubPr>
            <m:ctrlPr>
              <w:rPr>
                <w:rFonts w:ascii="Cambria Math" w:hAnsi="Cambria Math" w:cs="Arial"/>
                <w:lang w:val="es-ES_tradnl"/>
              </w:rPr>
            </m:ctrlPr>
          </m:sSubPr>
          <m:e>
            <m:r>
              <w:rPr>
                <w:rFonts w:ascii="Cambria Math" w:hAnsi="Cambria Math" w:cs="Arial"/>
                <w:lang w:val="es-ES_tradnl"/>
              </w:rPr>
              <m:t>IE</m:t>
            </m:r>
          </m:e>
          <m:sub>
            <m:r>
              <w:rPr>
                <w:rFonts w:ascii="Cambria Math" w:hAnsi="Cambria Math" w:cs="Arial"/>
                <w:lang w:val="es-ES_tradnl"/>
              </w:rPr>
              <m:t>t</m:t>
            </m:r>
          </m:sub>
        </m:sSub>
      </m:oMath>
      <w:r w:rsidR="00A81C60" w:rsidRPr="00A81C60">
        <w:rPr>
          <w:rFonts w:cs="Arial"/>
          <w:lang w:val="es-ES_tradnl"/>
        </w:rPr>
        <w:t xml:space="preserve">, y del plan de nuevas inversiones, </w:t>
      </w:r>
      <m:oMath>
        <m:sSub>
          <m:sSubPr>
            <m:ctrlPr>
              <w:rPr>
                <w:rFonts w:ascii="Cambria Math" w:hAnsi="Cambria Math" w:cs="Arial"/>
                <w:lang w:val="es-ES_tradnl"/>
              </w:rPr>
            </m:ctrlPr>
          </m:sSubPr>
          <m:e>
            <m:r>
              <w:rPr>
                <w:rFonts w:ascii="Cambria Math" w:hAnsi="Cambria Math" w:cs="Arial"/>
                <w:lang w:val="es-ES_tradnl"/>
              </w:rPr>
              <m:t>PNI</m:t>
            </m:r>
          </m:e>
          <m:sub>
            <m:r>
              <w:rPr>
                <w:rFonts w:ascii="Cambria Math" w:hAnsi="Cambria Math" w:cs="Arial"/>
                <w:lang w:val="es-ES_tradnl"/>
              </w:rPr>
              <m:t>t</m:t>
            </m:r>
          </m:sub>
        </m:sSub>
      </m:oMath>
      <w:r w:rsidR="007C30B5">
        <w:rPr>
          <w:rFonts w:cs="Arial"/>
          <w:lang w:val="es-ES_tradnl"/>
        </w:rPr>
        <w:t xml:space="preserve"> y el mismo </w:t>
      </w:r>
      <w:r w:rsidR="007C30B5" w:rsidRPr="00EB3ABA">
        <w:rPr>
          <w:rFonts w:cs="Arial"/>
          <w:b/>
          <w:u w:val="single"/>
          <w:lang w:val="es-ES_tradnl"/>
        </w:rPr>
        <w:t>NO</w:t>
      </w:r>
      <w:r w:rsidR="007C30B5">
        <w:rPr>
          <w:rFonts w:cs="Arial"/>
          <w:lang w:val="es-ES_tradnl"/>
        </w:rPr>
        <w:t xml:space="preserve"> “se vislumbra a partir del análisis de impactos sobre el valor final de los cargos aprobados por la CREG en la resolución objeto de recurso”.</w:t>
      </w:r>
    </w:p>
    <w:p w:rsidR="007C30B5" w:rsidRDefault="007C30B5" w:rsidP="00EB3ABA">
      <w:pPr>
        <w:pStyle w:val="Textoindependiente2"/>
        <w:spacing w:after="0" w:line="240" w:lineRule="auto"/>
        <w:ind w:left="-142" w:right="-142"/>
        <w:rPr>
          <w:rFonts w:cs="Arial"/>
          <w:lang w:val="es-CO"/>
        </w:rPr>
      </w:pPr>
    </w:p>
    <w:p w:rsidR="00A01862" w:rsidRDefault="007C30B5" w:rsidP="00EB3ABA">
      <w:pPr>
        <w:pStyle w:val="Textoindependiente2"/>
        <w:spacing w:after="0" w:line="240" w:lineRule="auto"/>
        <w:ind w:left="-142" w:right="-142"/>
        <w:rPr>
          <w:rFonts w:cs="Arial"/>
          <w:lang w:val="es-CO"/>
        </w:rPr>
      </w:pPr>
      <w:r>
        <w:rPr>
          <w:rFonts w:cs="Arial"/>
          <w:lang w:val="es-CO"/>
        </w:rPr>
        <w:t>P</w:t>
      </w:r>
      <w:r w:rsidR="00A01862">
        <w:rPr>
          <w:rFonts w:cs="Arial"/>
          <w:lang w:val="es-CO"/>
        </w:rPr>
        <w:t>or el contrario, el mism</w:t>
      </w:r>
      <w:r w:rsidR="00A81C60">
        <w:rPr>
          <w:rFonts w:cs="Arial"/>
          <w:lang w:val="es-CO"/>
        </w:rPr>
        <w:t>o parte de lo dispuesto en</w:t>
      </w:r>
      <w:r w:rsidR="00127170">
        <w:rPr>
          <w:rFonts w:cs="Arial"/>
          <w:lang w:val="es-CO"/>
        </w:rPr>
        <w:t xml:space="preserve"> la metodología y su correcta aplicación, en particular</w:t>
      </w:r>
      <w:r w:rsidR="00411A6B">
        <w:rPr>
          <w:rFonts w:cs="Arial"/>
          <w:lang w:val="es-CO"/>
        </w:rPr>
        <w:t>: i)</w:t>
      </w:r>
      <w:r w:rsidR="00127170">
        <w:rPr>
          <w:rFonts w:cs="Arial"/>
          <w:lang w:val="es-CO"/>
        </w:rPr>
        <w:t xml:space="preserve"> de</w:t>
      </w:r>
      <w:r w:rsidR="008C5801">
        <w:rPr>
          <w:rFonts w:cs="Arial"/>
          <w:lang w:val="es-CO"/>
        </w:rPr>
        <w:t>l artículo</w:t>
      </w:r>
      <w:r w:rsidR="00A81C60">
        <w:rPr>
          <w:rFonts w:cs="Arial"/>
          <w:lang w:val="es-CO"/>
        </w:rPr>
        <w:t xml:space="preserve"> 14 de la Resolución CREG 126 de 2010, el concepto </w:t>
      </w:r>
      <w:r w:rsidR="003B3E5A">
        <w:rPr>
          <w:rFonts w:cs="Arial"/>
          <w:lang w:val="es-CO"/>
        </w:rPr>
        <w:t xml:space="preserve">y definición </w:t>
      </w:r>
      <w:r w:rsidR="00411A6B">
        <w:rPr>
          <w:rFonts w:cs="Arial"/>
          <w:lang w:val="es-CO"/>
        </w:rPr>
        <w:t>de VUN; ii)</w:t>
      </w:r>
      <w:r w:rsidR="00127170">
        <w:rPr>
          <w:rFonts w:cs="Arial"/>
          <w:lang w:val="es-CO"/>
        </w:rPr>
        <w:t xml:space="preserve"> los incentivos y la forma como se l</w:t>
      </w:r>
      <w:r w:rsidR="003B3E5A">
        <w:rPr>
          <w:rFonts w:cs="Arial"/>
          <w:lang w:val="es-CO"/>
        </w:rPr>
        <w:t>leva a cabo dicha remuneración,</w:t>
      </w:r>
      <w:r w:rsidR="00127170">
        <w:rPr>
          <w:rFonts w:cs="Arial"/>
          <w:lang w:val="es-CO"/>
        </w:rPr>
        <w:t xml:space="preserve"> </w:t>
      </w:r>
      <w:r w:rsidR="00127170" w:rsidRPr="00127170">
        <w:rPr>
          <w:rFonts w:cs="Arial"/>
          <w:lang w:val="es-ES_tradnl"/>
        </w:rPr>
        <w:t>el ajuste en los carg</w:t>
      </w:r>
      <w:r w:rsidR="00127170">
        <w:rPr>
          <w:rFonts w:cs="Arial"/>
          <w:lang w:val="es-ES_tradnl"/>
        </w:rPr>
        <w:t>os de transporte de gas natural a efectos de incorporar</w:t>
      </w:r>
      <w:r w:rsidR="00127170" w:rsidRPr="00127170">
        <w:rPr>
          <w:rFonts w:cs="Arial"/>
          <w:lang w:val="es-ES_tradnl"/>
        </w:rPr>
        <w:t xml:space="preserve"> los valores de las variables </w:t>
      </w:r>
      <m:oMath>
        <m:sSub>
          <m:sSubPr>
            <m:ctrlPr>
              <w:rPr>
                <w:rFonts w:ascii="Cambria Math" w:hAnsi="Cambria Math" w:cs="Arial"/>
                <w:i/>
                <w:lang w:val="es-ES_tradnl"/>
              </w:rPr>
            </m:ctrlPr>
          </m:sSubPr>
          <m:e>
            <m:r>
              <w:rPr>
                <w:rFonts w:ascii="Cambria Math" w:hAnsi="Cambria Math" w:cs="Arial"/>
                <w:lang w:val="es-ES_tradnl"/>
              </w:rPr>
              <m:t>VAO</m:t>
            </m:r>
          </m:e>
          <m:sub>
            <m:r>
              <w:rPr>
                <w:rFonts w:ascii="Cambria Math" w:hAnsi="Cambria Math" w:cs="Arial"/>
                <w:lang w:val="es-ES_tradnl"/>
              </w:rPr>
              <m:t>t</m:t>
            </m:r>
          </m:sub>
        </m:sSub>
      </m:oMath>
      <w:r w:rsidR="00127170" w:rsidRPr="00127170">
        <w:rPr>
          <w:rFonts w:cs="Arial"/>
          <w:lang w:val="es-ES_tradnl"/>
        </w:rPr>
        <w:t xml:space="preserve"> y </w:t>
      </w:r>
      <m:oMath>
        <m:r>
          <w:rPr>
            <w:rFonts w:ascii="Cambria Math" w:hAnsi="Cambria Math" w:cs="Arial"/>
            <w:lang w:val="es-ES_tradnl"/>
          </w:rPr>
          <m:t>VRAN</m:t>
        </m:r>
      </m:oMath>
      <w:r w:rsidR="00411A6B">
        <w:rPr>
          <w:rFonts w:cs="Arial"/>
          <w:lang w:val="es-ES_tradnl"/>
        </w:rPr>
        <w:t>; iii)</w:t>
      </w:r>
      <w:r w:rsidR="00127170">
        <w:rPr>
          <w:rFonts w:cs="Arial"/>
          <w:lang w:val="es-ES_tradnl"/>
        </w:rPr>
        <w:t xml:space="preserve"> </w:t>
      </w:r>
      <w:r w:rsidR="00A81C60">
        <w:rPr>
          <w:rFonts w:cs="Arial"/>
          <w:lang w:val="es-CO"/>
        </w:rPr>
        <w:t xml:space="preserve">el entendimiento del concepto de </w:t>
      </w:r>
      <w:r w:rsidR="00127170">
        <w:rPr>
          <w:rFonts w:cs="Arial"/>
          <w:lang w:val="es-CO"/>
        </w:rPr>
        <w:t>“</w:t>
      </w:r>
      <w:r w:rsidR="00A81C60">
        <w:rPr>
          <w:rFonts w:cs="Arial"/>
          <w:lang w:val="es-CO"/>
        </w:rPr>
        <w:t>activo</w:t>
      </w:r>
      <w:r w:rsidR="00127170">
        <w:rPr>
          <w:rFonts w:cs="Arial"/>
          <w:lang w:val="es-CO"/>
        </w:rPr>
        <w:t>”</w:t>
      </w:r>
      <w:r w:rsidR="00A81C60">
        <w:rPr>
          <w:rFonts w:cs="Arial"/>
          <w:lang w:val="es-CO"/>
        </w:rPr>
        <w:t xml:space="preserve"> dentro de la infraestructura del servicio público de </w:t>
      </w:r>
      <w:r w:rsidR="00E90507">
        <w:rPr>
          <w:rFonts w:cs="Arial"/>
          <w:lang w:val="es-CO"/>
        </w:rPr>
        <w:t xml:space="preserve">transporte de </w:t>
      </w:r>
      <w:r w:rsidR="00A81C60">
        <w:rPr>
          <w:rFonts w:cs="Arial"/>
          <w:lang w:val="es-CO"/>
        </w:rPr>
        <w:t>gas natural</w:t>
      </w:r>
      <w:r w:rsidR="00411A6B">
        <w:rPr>
          <w:rFonts w:cs="Arial"/>
          <w:lang w:val="es-CO"/>
        </w:rPr>
        <w:t xml:space="preserve"> (incluido</w:t>
      </w:r>
      <w:r w:rsidR="00E90507">
        <w:rPr>
          <w:rFonts w:cs="Arial"/>
          <w:lang w:val="es-CO"/>
        </w:rPr>
        <w:t xml:space="preserve"> el reconocimiento </w:t>
      </w:r>
      <w:r w:rsidR="00A81C60">
        <w:rPr>
          <w:rFonts w:cs="Arial"/>
          <w:lang w:val="es-CO"/>
        </w:rPr>
        <w:t>de las variantes sobre dicha infraestructura de los cargos y el ajuste en los mismos</w:t>
      </w:r>
      <w:r w:rsidR="00411A6B">
        <w:rPr>
          <w:rFonts w:cs="Arial"/>
          <w:lang w:val="es-CO"/>
        </w:rPr>
        <w:t xml:space="preserve">); elementos que han sido aplicados de manera </w:t>
      </w:r>
      <w:r w:rsidR="00A81C60">
        <w:rPr>
          <w:rFonts w:cs="Arial"/>
          <w:lang w:val="es-CO"/>
        </w:rPr>
        <w:t>consistente</w:t>
      </w:r>
      <w:r w:rsidR="00411A6B">
        <w:rPr>
          <w:rFonts w:cs="Arial"/>
          <w:lang w:val="es-CO"/>
        </w:rPr>
        <w:t xml:space="preserve"> por pate de la Comisión </w:t>
      </w:r>
      <w:r w:rsidR="00A81C60">
        <w:rPr>
          <w:rFonts w:cs="Arial"/>
          <w:lang w:val="es-CO"/>
        </w:rPr>
        <w:t xml:space="preserve">en aquellas actuaciones administrativas en las que </w:t>
      </w:r>
      <w:r w:rsidR="00411A6B">
        <w:rPr>
          <w:rFonts w:cs="Arial"/>
          <w:lang w:val="es-CO"/>
        </w:rPr>
        <w:t>se</w:t>
      </w:r>
      <w:r w:rsidR="00127170">
        <w:rPr>
          <w:rFonts w:cs="Arial"/>
          <w:lang w:val="es-CO"/>
        </w:rPr>
        <w:t xml:space="preserve"> ha</w:t>
      </w:r>
      <w:r w:rsidR="00411A6B">
        <w:rPr>
          <w:rFonts w:cs="Arial"/>
          <w:lang w:val="es-CO"/>
        </w:rPr>
        <w:t>n</w:t>
      </w:r>
      <w:r w:rsidR="00A81C60">
        <w:rPr>
          <w:rFonts w:cs="Arial"/>
          <w:lang w:val="es-CO"/>
        </w:rPr>
        <w:t xml:space="preserve"> resuelt</w:t>
      </w:r>
      <w:r w:rsidR="00127170">
        <w:rPr>
          <w:rFonts w:cs="Arial"/>
          <w:lang w:val="es-CO"/>
        </w:rPr>
        <w:t>o</w:t>
      </w:r>
      <w:r w:rsidR="00A81C60">
        <w:rPr>
          <w:rFonts w:cs="Arial"/>
          <w:lang w:val="es-CO"/>
        </w:rPr>
        <w:t xml:space="preserve"> las solicitudes de los transportadores en aquellos activos que han cumplido su VUN</w:t>
      </w:r>
      <w:r w:rsidR="00411A6B">
        <w:rPr>
          <w:rFonts w:cs="Arial"/>
          <w:lang w:val="es-CO"/>
        </w:rPr>
        <w:t>.</w:t>
      </w:r>
      <w:r w:rsidR="00A81C60">
        <w:rPr>
          <w:rStyle w:val="Refdenotaalpie"/>
          <w:rFonts w:cs="Arial"/>
          <w:lang w:val="es-CO"/>
        </w:rPr>
        <w:footnoteReference w:id="10"/>
      </w:r>
      <w:r w:rsidR="00A81C60">
        <w:rPr>
          <w:rFonts w:cs="Arial"/>
          <w:lang w:val="es-CO"/>
        </w:rPr>
        <w:t xml:space="preserve">  </w:t>
      </w:r>
      <w:r w:rsidR="00A01862">
        <w:rPr>
          <w:rFonts w:cs="Arial"/>
          <w:lang w:val="es-CO"/>
        </w:rPr>
        <w:t xml:space="preserve"> </w:t>
      </w:r>
    </w:p>
    <w:p w:rsidR="00133039" w:rsidRPr="00411A6B" w:rsidRDefault="00133039" w:rsidP="00EB3ABA">
      <w:pPr>
        <w:pStyle w:val="Textoindependiente2"/>
        <w:spacing w:after="0" w:line="240" w:lineRule="auto"/>
        <w:ind w:left="-142" w:right="-142"/>
        <w:rPr>
          <w:rFonts w:cs="Arial"/>
          <w:lang w:val="es-CO"/>
        </w:rPr>
      </w:pPr>
    </w:p>
    <w:p w:rsidR="003A5ABA" w:rsidRDefault="00A01862">
      <w:pPr>
        <w:pStyle w:val="Textoindependiente2"/>
        <w:spacing w:after="0" w:line="240" w:lineRule="auto"/>
        <w:ind w:left="-142" w:right="-142"/>
        <w:rPr>
          <w:rFonts w:cs="Arial"/>
          <w:lang w:val="es-ES_tradnl"/>
        </w:rPr>
      </w:pPr>
      <w:r>
        <w:rPr>
          <w:rFonts w:cs="Arial"/>
          <w:lang w:val="es-ES_tradnl"/>
        </w:rPr>
        <w:t>Ahora, con respecto a</w:t>
      </w:r>
      <w:r w:rsidR="00A81C60">
        <w:rPr>
          <w:rFonts w:cs="Arial"/>
          <w:lang w:val="es-ES_tradnl"/>
        </w:rPr>
        <w:t>l período de “recuperación de est</w:t>
      </w:r>
      <w:r w:rsidR="00127170">
        <w:rPr>
          <w:rFonts w:cs="Arial"/>
          <w:lang w:val="es-ES_tradnl"/>
        </w:rPr>
        <w:t xml:space="preserve">as inversiones”, entendido como el </w:t>
      </w:r>
      <w:r w:rsidR="00A81C60">
        <w:rPr>
          <w:rFonts w:cs="Arial"/>
          <w:lang w:val="es-ES_tradnl"/>
        </w:rPr>
        <w:t xml:space="preserve">período de remuneración de los activos asociados a los PNI, </w:t>
      </w:r>
      <w:r w:rsidR="00127170">
        <w:rPr>
          <w:rFonts w:cs="Arial"/>
          <w:lang w:val="es-ES_tradnl"/>
        </w:rPr>
        <w:t xml:space="preserve">al ser inferior a 20 años </w:t>
      </w:r>
      <w:r w:rsidR="007C30B5">
        <w:rPr>
          <w:rFonts w:cs="Arial"/>
          <w:lang w:val="es-ES_tradnl"/>
        </w:rPr>
        <w:t xml:space="preserve">se argumenta por parte de la recurrente que esto </w:t>
      </w:r>
      <w:r w:rsidR="00127170">
        <w:rPr>
          <w:rFonts w:cs="Arial"/>
          <w:lang w:val="es-ES_tradnl"/>
        </w:rPr>
        <w:t>“no permitiría el reconocimie</w:t>
      </w:r>
      <w:r w:rsidR="007C30B5">
        <w:rPr>
          <w:rFonts w:cs="Arial"/>
          <w:lang w:val="es-ES_tradnl"/>
        </w:rPr>
        <w:t>nto eficiente de la inversión”</w:t>
      </w:r>
      <w:r w:rsidR="0033025F">
        <w:rPr>
          <w:rFonts w:cs="Arial"/>
          <w:lang w:val="es-ES_tradnl"/>
        </w:rPr>
        <w:t xml:space="preserve">. </w:t>
      </w:r>
      <w:r w:rsidR="00593AEB">
        <w:rPr>
          <w:rFonts w:cs="Arial"/>
          <w:lang w:val="es-ES_tradnl"/>
        </w:rPr>
        <w:t xml:space="preserve">Sobre el particular </w:t>
      </w:r>
      <w:r w:rsidR="007C30B5">
        <w:rPr>
          <w:rFonts w:cs="Arial"/>
          <w:lang w:val="es-ES_tradnl"/>
        </w:rPr>
        <w:t xml:space="preserve">esta Comisión </w:t>
      </w:r>
      <w:r w:rsidR="00593AEB">
        <w:rPr>
          <w:rFonts w:cs="Arial"/>
          <w:lang w:val="es-ES_tradnl"/>
        </w:rPr>
        <w:lastRenderedPageBreak/>
        <w:t xml:space="preserve">considera </w:t>
      </w:r>
      <w:r w:rsidR="007C30B5">
        <w:rPr>
          <w:rFonts w:cs="Arial"/>
          <w:lang w:val="es-ES_tradnl"/>
        </w:rPr>
        <w:t xml:space="preserve">que lo previsto en la metodología en relación con la remuneración de las inversiones y la aplicación de las normas </w:t>
      </w:r>
      <w:r w:rsidR="00AE4B93">
        <w:rPr>
          <w:rFonts w:cs="Arial"/>
          <w:lang w:val="es-ES_tradnl"/>
        </w:rPr>
        <w:t xml:space="preserve">allí </w:t>
      </w:r>
      <w:r w:rsidR="007C30B5">
        <w:rPr>
          <w:rFonts w:cs="Arial"/>
          <w:lang w:val="es-ES_tradnl"/>
        </w:rPr>
        <w:t xml:space="preserve">previstas </w:t>
      </w:r>
      <w:r w:rsidR="00593AEB">
        <w:rPr>
          <w:rFonts w:cs="Arial"/>
          <w:lang w:val="es-ES_tradnl"/>
        </w:rPr>
        <w:t xml:space="preserve">sobre </w:t>
      </w:r>
      <w:r w:rsidR="003A5ABA">
        <w:rPr>
          <w:rFonts w:cs="Arial"/>
          <w:lang w:val="es-ES_tradnl"/>
        </w:rPr>
        <w:t xml:space="preserve">la </w:t>
      </w:r>
      <w:r w:rsidR="007C30B5">
        <w:rPr>
          <w:rFonts w:cs="Arial"/>
          <w:lang w:val="es-ES_tradnl"/>
        </w:rPr>
        <w:t>VUN</w:t>
      </w:r>
      <w:r w:rsidR="00593AEB">
        <w:rPr>
          <w:rFonts w:cs="Arial"/>
          <w:lang w:val="es-ES_tradnl"/>
        </w:rPr>
        <w:t xml:space="preserve"> no se ve afectado. Esta consideración obedece al hecho de que la metodología de remuneración es de incentivos y por tanto el transportador evalúa si el valor que reconoce la CREG</w:t>
      </w:r>
      <w:r w:rsidR="008A519E">
        <w:rPr>
          <w:rFonts w:cs="Arial"/>
          <w:lang w:val="es-ES_tradnl"/>
        </w:rPr>
        <w:t xml:space="preserve"> (i.e. el VAO o el VRAN),</w:t>
      </w:r>
      <w:r w:rsidR="00593AEB">
        <w:rPr>
          <w:rFonts w:cs="Arial"/>
          <w:lang w:val="es-ES_tradnl"/>
        </w:rPr>
        <w:t xml:space="preserve"> cuando el activo cumple su vida útil normativa</w:t>
      </w:r>
      <w:r w:rsidR="008A519E">
        <w:rPr>
          <w:rFonts w:cs="Arial"/>
          <w:lang w:val="es-ES_tradnl"/>
        </w:rPr>
        <w:t>,</w:t>
      </w:r>
      <w:r w:rsidR="00593AEB">
        <w:rPr>
          <w:rFonts w:cs="Arial"/>
          <w:lang w:val="es-ES_tradnl"/>
        </w:rPr>
        <w:t xml:space="preserve"> cubre la remuneración remanente de inversiones que hacen parte del activo pero que aún </w:t>
      </w:r>
      <w:r w:rsidR="003A5ABA">
        <w:rPr>
          <w:rFonts w:cs="Arial"/>
          <w:lang w:val="es-ES_tradnl"/>
        </w:rPr>
        <w:t xml:space="preserve">no </w:t>
      </w:r>
      <w:r w:rsidR="00593AEB">
        <w:rPr>
          <w:rFonts w:cs="Arial"/>
          <w:lang w:val="es-ES_tradnl"/>
        </w:rPr>
        <w:t>llevan 20 años en operación (</w:t>
      </w:r>
      <w:proofErr w:type="spellStart"/>
      <w:r w:rsidR="00593AEB">
        <w:rPr>
          <w:rFonts w:cs="Arial"/>
          <w:lang w:val="es-ES_tradnl"/>
        </w:rPr>
        <w:t>e.g</w:t>
      </w:r>
      <w:proofErr w:type="spellEnd"/>
      <w:r w:rsidR="00593AEB">
        <w:rPr>
          <w:rFonts w:cs="Arial"/>
          <w:lang w:val="es-ES_tradnl"/>
        </w:rPr>
        <w:t>. una variante, obras de geotecnia)</w:t>
      </w:r>
      <w:r w:rsidR="008A519E">
        <w:rPr>
          <w:rFonts w:cs="Arial"/>
          <w:lang w:val="es-ES_tradnl"/>
        </w:rPr>
        <w:t xml:space="preserve"> y la remuneración de inversiones que el transportador </w:t>
      </w:r>
      <w:r w:rsidR="0040768B">
        <w:rPr>
          <w:rFonts w:cs="Arial"/>
          <w:lang w:val="es-ES_tradnl"/>
        </w:rPr>
        <w:t>prevé</w:t>
      </w:r>
      <w:r w:rsidR="008A519E">
        <w:rPr>
          <w:rFonts w:cs="Arial"/>
          <w:lang w:val="es-ES_tradnl"/>
        </w:rPr>
        <w:t xml:space="preserve"> realizar en el activo para mantenerlo operativo por otro período tarifario en caso de que no </w:t>
      </w:r>
      <w:r w:rsidR="0040768B">
        <w:rPr>
          <w:rFonts w:cs="Arial"/>
          <w:lang w:val="es-ES_tradnl"/>
        </w:rPr>
        <w:t xml:space="preserve">lo </w:t>
      </w:r>
      <w:r w:rsidR="008A519E">
        <w:rPr>
          <w:rFonts w:cs="Arial"/>
          <w:lang w:val="es-ES_tradnl"/>
        </w:rPr>
        <w:t>reemplace</w:t>
      </w:r>
      <w:r w:rsidR="0040768B">
        <w:rPr>
          <w:rFonts w:cs="Arial"/>
          <w:lang w:val="es-ES_tradnl"/>
        </w:rPr>
        <w:t>.</w:t>
      </w:r>
      <w:r w:rsidR="00593AEB">
        <w:rPr>
          <w:rFonts w:cs="Arial"/>
          <w:lang w:val="es-ES_tradnl"/>
        </w:rPr>
        <w:t xml:space="preserve"> </w:t>
      </w:r>
    </w:p>
    <w:p w:rsidR="003A5ABA" w:rsidRDefault="003A5ABA">
      <w:pPr>
        <w:pStyle w:val="Textoindependiente2"/>
        <w:spacing w:after="0" w:line="240" w:lineRule="auto"/>
        <w:ind w:left="-142" w:right="-142"/>
        <w:rPr>
          <w:rFonts w:cs="Arial"/>
          <w:lang w:val="es-ES_tradnl"/>
        </w:rPr>
      </w:pPr>
    </w:p>
    <w:p w:rsidR="00133039" w:rsidRDefault="003A5ABA">
      <w:pPr>
        <w:pStyle w:val="Textoindependiente2"/>
        <w:spacing w:after="0" w:line="240" w:lineRule="auto"/>
        <w:ind w:left="-142" w:right="-142"/>
        <w:rPr>
          <w:rFonts w:cs="Arial"/>
          <w:lang w:val="es-ES_tradnl"/>
        </w:rPr>
      </w:pPr>
      <w:r>
        <w:rPr>
          <w:rFonts w:cs="Arial"/>
          <w:lang w:val="es-ES_tradnl"/>
        </w:rPr>
        <w:t>Cabe anotar que en una metodología de tasa de retorno con contabilidad detallada por activo es necesario asegurar la remuneración de cada activo en su respectivo período de remuneración. En las metodologías de incentivos los agentes toman decisiones con base en el incentivo que otorgue el regulador. Los valores VAO y VRAN tienen implícito incentivos para que los transportadores tomen la decisión más adecuada para continuar prestando el servicio</w:t>
      </w:r>
      <w:r w:rsidR="008A519E">
        <w:rPr>
          <w:rFonts w:cs="Arial"/>
          <w:lang w:val="es-ES_tradnl"/>
        </w:rPr>
        <w:t xml:space="preserve"> (i.e. continuar operando el activo existente o reemplazarlo por uno nuevo)</w:t>
      </w:r>
      <w:r>
        <w:rPr>
          <w:rFonts w:cs="Arial"/>
          <w:lang w:val="es-ES_tradnl"/>
        </w:rPr>
        <w:t xml:space="preserve">. </w:t>
      </w:r>
    </w:p>
    <w:p w:rsidR="00593AEB" w:rsidRDefault="00593AEB">
      <w:pPr>
        <w:pStyle w:val="Textoindependiente2"/>
        <w:spacing w:after="0" w:line="240" w:lineRule="auto"/>
        <w:ind w:left="-142" w:right="-142"/>
        <w:rPr>
          <w:rFonts w:cs="Arial"/>
          <w:lang w:val="es-ES_tradnl"/>
        </w:rPr>
      </w:pPr>
    </w:p>
    <w:p w:rsidR="00AE4B93" w:rsidRDefault="00AE4B93">
      <w:pPr>
        <w:pStyle w:val="Textoindependiente2"/>
        <w:spacing w:after="0" w:line="240" w:lineRule="auto"/>
        <w:ind w:left="-142" w:right="-142"/>
        <w:rPr>
          <w:rFonts w:cs="Arial"/>
          <w:lang w:val="es-CO"/>
        </w:rPr>
      </w:pPr>
      <w:r>
        <w:rPr>
          <w:rFonts w:cs="Arial"/>
          <w:lang w:val="es-ES_tradnl"/>
        </w:rPr>
        <w:t>La aplicación de la VUN en la resolución objeto de impugnación</w:t>
      </w:r>
      <w:r w:rsidR="00A83C94">
        <w:rPr>
          <w:rFonts w:cs="Arial"/>
          <w:lang w:val="es-ES_tradnl"/>
        </w:rPr>
        <w:t>, así como en la Resolución CREG 162 de 2015,</w:t>
      </w:r>
      <w:r>
        <w:rPr>
          <w:rFonts w:cs="Arial"/>
          <w:lang w:val="es-ES_tradnl"/>
        </w:rPr>
        <w:t xml:space="preserve"> se hace en el marco de los incentivos y señales previstas y definidas previamente en la metodología, </w:t>
      </w:r>
      <w:r w:rsidRPr="00AE4B93">
        <w:rPr>
          <w:rFonts w:cs="Arial"/>
          <w:lang w:val="es-ES_tradnl"/>
        </w:rPr>
        <w:t xml:space="preserve">con el fin de promover la eficiencia en la </w:t>
      </w:r>
      <w:r>
        <w:rPr>
          <w:rFonts w:cs="Arial"/>
          <w:lang w:val="es-ES_tradnl"/>
        </w:rPr>
        <w:t xml:space="preserve">remuneración de las </w:t>
      </w:r>
      <w:r w:rsidRPr="00AE4B93">
        <w:rPr>
          <w:rFonts w:cs="Arial"/>
          <w:lang w:val="es-ES_tradnl"/>
        </w:rPr>
        <w:t>in</w:t>
      </w:r>
      <w:r>
        <w:rPr>
          <w:rFonts w:cs="Arial"/>
          <w:lang w:val="es-ES_tradnl"/>
        </w:rPr>
        <w:t xml:space="preserve">versiones y reposición de activos, los cuales son conocidas por el transportador desde el momento de expedición de la metodología a efectos de solicitar las inversiones en su solicitud de cargos, así como la aplicación del artículo 14 </w:t>
      </w:r>
      <w:r w:rsidR="00016F23">
        <w:rPr>
          <w:rFonts w:cs="Arial"/>
          <w:lang w:val="es-ES_tradnl"/>
        </w:rPr>
        <w:t>en aquellos</w:t>
      </w:r>
      <w:r>
        <w:rPr>
          <w:rFonts w:cs="Arial"/>
          <w:lang w:val="es-ES_tradnl"/>
        </w:rPr>
        <w:t xml:space="preserve"> activos </w:t>
      </w:r>
      <w:r w:rsidR="00016F23">
        <w:rPr>
          <w:rFonts w:cs="Arial"/>
          <w:lang w:val="es-ES_tradnl"/>
        </w:rPr>
        <w:t xml:space="preserve">a los cuales se les debe </w:t>
      </w:r>
      <w:r>
        <w:rPr>
          <w:rFonts w:cs="Arial"/>
          <w:lang w:val="es-ES_tradnl"/>
        </w:rPr>
        <w:t xml:space="preserve">reconocer un nuevo período de VUN. En este sentido, la Comisión establece que el reconocimiento de </w:t>
      </w:r>
      <w:r w:rsidRPr="00AE4B93">
        <w:rPr>
          <w:rFonts w:cs="Arial"/>
          <w:lang w:val="es-ES_tradnl"/>
        </w:rPr>
        <w:t xml:space="preserve">los valores de las variables </w:t>
      </w:r>
      <m:oMath>
        <m:sSub>
          <m:sSubPr>
            <m:ctrlPr>
              <w:rPr>
                <w:rFonts w:ascii="Cambria Math" w:hAnsi="Cambria Math" w:cs="Arial"/>
                <w:i/>
                <w:lang w:val="es-ES_tradnl"/>
              </w:rPr>
            </m:ctrlPr>
          </m:sSubPr>
          <m:e>
            <m:r>
              <w:rPr>
                <w:rFonts w:ascii="Cambria Math" w:hAnsi="Cambria Math" w:cs="Arial"/>
                <w:lang w:val="es-ES_tradnl"/>
              </w:rPr>
              <m:t>VAO</m:t>
            </m:r>
          </m:e>
          <m:sub>
            <m:r>
              <w:rPr>
                <w:rFonts w:ascii="Cambria Math" w:hAnsi="Cambria Math" w:cs="Arial"/>
                <w:lang w:val="es-ES_tradnl"/>
              </w:rPr>
              <m:t>t</m:t>
            </m:r>
          </m:sub>
        </m:sSub>
      </m:oMath>
      <w:r w:rsidRPr="00AE4B93">
        <w:rPr>
          <w:rFonts w:cs="Arial"/>
          <w:lang w:val="es-ES_tradnl"/>
        </w:rPr>
        <w:t xml:space="preserve"> o </w:t>
      </w:r>
      <m:oMath>
        <m:r>
          <w:rPr>
            <w:rFonts w:ascii="Cambria Math" w:hAnsi="Cambria Math" w:cs="Arial"/>
            <w:lang w:val="es-ES_tradnl"/>
          </w:rPr>
          <m:t>VRAN</m:t>
        </m:r>
      </m:oMath>
      <w:r w:rsidRPr="00AE4B93">
        <w:rPr>
          <w:rFonts w:cs="Arial"/>
          <w:lang w:val="es-CO"/>
        </w:rPr>
        <w:t xml:space="preserve"> dentro de los cargos de transporte</w:t>
      </w:r>
      <w:r>
        <w:rPr>
          <w:rFonts w:cs="Arial"/>
          <w:lang w:val="es-CO"/>
        </w:rPr>
        <w:t xml:space="preserve"> garantiza la remuneración del activo por un nuevo período de VUN, a efectos de dar correcta aplicación del criterio de suficiencia financiera al transportador y que el mismo no se vea afectado dentro de la remuneración de la actividad de transporte de gas natural. </w:t>
      </w:r>
    </w:p>
    <w:p w:rsidR="00AE4B93" w:rsidRDefault="00AE4B93">
      <w:pPr>
        <w:pStyle w:val="Textoindependiente2"/>
        <w:spacing w:after="0" w:line="240" w:lineRule="auto"/>
        <w:ind w:left="-142" w:right="-142"/>
        <w:rPr>
          <w:rFonts w:cs="Arial"/>
          <w:lang w:val="es-CO"/>
        </w:rPr>
      </w:pPr>
    </w:p>
    <w:p w:rsidR="004816B5" w:rsidRDefault="00AE4B93" w:rsidP="00EB3ABA">
      <w:pPr>
        <w:pStyle w:val="Textoindependiente2"/>
        <w:spacing w:after="0" w:line="240" w:lineRule="auto"/>
        <w:ind w:left="-142" w:right="-142"/>
        <w:rPr>
          <w:rFonts w:cs="Arial"/>
          <w:lang w:val="es-ES_tradnl"/>
        </w:rPr>
      </w:pPr>
      <w:r>
        <w:rPr>
          <w:rFonts w:cs="Arial"/>
          <w:lang w:val="es-ES_tradnl"/>
        </w:rPr>
        <w:t>De acuerdo con lo anterior</w:t>
      </w:r>
      <w:r w:rsidRPr="00AE4B93">
        <w:rPr>
          <w:rFonts w:cs="Arial"/>
          <w:lang w:val="es-ES_tradnl"/>
        </w:rPr>
        <w:t xml:space="preserve">, </w:t>
      </w:r>
      <w:r w:rsidR="00757C14">
        <w:rPr>
          <w:rFonts w:cs="Arial"/>
          <w:lang w:val="es-ES_tradnl"/>
        </w:rPr>
        <w:t>la R</w:t>
      </w:r>
      <w:r>
        <w:rPr>
          <w:rFonts w:cs="Arial"/>
          <w:lang w:val="es-ES_tradnl"/>
        </w:rPr>
        <w:t>esoluci</w:t>
      </w:r>
      <w:r w:rsidR="00E21F52">
        <w:rPr>
          <w:rFonts w:cs="Arial"/>
          <w:lang w:val="es-ES_tradnl"/>
        </w:rPr>
        <w:t>ón</w:t>
      </w:r>
      <w:r w:rsidR="00757C14">
        <w:rPr>
          <w:rFonts w:cs="Arial"/>
          <w:lang w:val="es-ES_tradnl"/>
        </w:rPr>
        <w:t xml:space="preserve"> CREG 162 de 2015</w:t>
      </w:r>
      <w:r w:rsidR="00E21F52">
        <w:rPr>
          <w:rFonts w:cs="Arial"/>
          <w:lang w:val="es-ES_tradnl"/>
        </w:rPr>
        <w:t xml:space="preserve"> y los ajustes en los cargos </w:t>
      </w:r>
      <w:r w:rsidR="00757C14">
        <w:rPr>
          <w:rFonts w:cs="Arial"/>
          <w:lang w:val="es-ES_tradnl"/>
        </w:rPr>
        <w:t xml:space="preserve">de la Resolución CREG 261 de 2016 </w:t>
      </w:r>
      <w:r w:rsidR="00E21F52">
        <w:rPr>
          <w:rFonts w:cs="Arial"/>
          <w:lang w:val="es-ES_tradnl"/>
        </w:rPr>
        <w:t>reflejan</w:t>
      </w:r>
      <w:r w:rsidRPr="00AE4B93">
        <w:rPr>
          <w:rFonts w:cs="Arial"/>
          <w:lang w:val="es-ES_tradnl"/>
        </w:rPr>
        <w:t xml:space="preserve"> </w:t>
      </w:r>
      <w:r w:rsidR="00B86C47">
        <w:rPr>
          <w:rFonts w:cs="Arial"/>
          <w:lang w:val="es-ES_tradnl"/>
        </w:rPr>
        <w:t xml:space="preserve">la remuneración de las inversiones frente a las cuales se lleva a cabo la prestación del servicio de transporte, en el entendido </w:t>
      </w:r>
      <w:r w:rsidR="00887246">
        <w:rPr>
          <w:rFonts w:cs="Arial"/>
          <w:lang w:val="es-ES_tradnl"/>
        </w:rPr>
        <w:t xml:space="preserve">de </w:t>
      </w:r>
      <w:r w:rsidR="00B86C47">
        <w:rPr>
          <w:rFonts w:cs="Arial"/>
          <w:lang w:val="es-ES_tradnl"/>
        </w:rPr>
        <w:t xml:space="preserve">que estos activos han cumplido su VUN y el transportador ha decidido reponerlos y en otros casos ha decidido mantenerlos en </w:t>
      </w:r>
      <w:r w:rsidRPr="00AE4B93">
        <w:rPr>
          <w:rFonts w:cs="Arial"/>
          <w:lang w:val="es-ES_tradnl"/>
        </w:rPr>
        <w:t xml:space="preserve">operación. Es por esto que </w:t>
      </w:r>
      <w:r w:rsidR="00B86C47">
        <w:rPr>
          <w:rFonts w:cs="Arial"/>
          <w:lang w:val="es-ES_tradnl"/>
        </w:rPr>
        <w:t xml:space="preserve">el ajuste en los cargos de la Resolución CREG 241 de 2016 se ajusta a los criterios tarifarios previstos en el artículo 87 de la Ley 142 de 1994, </w:t>
      </w:r>
      <w:r w:rsidR="00757C14">
        <w:rPr>
          <w:rFonts w:cs="Arial"/>
          <w:lang w:val="es-ES_tradnl"/>
        </w:rPr>
        <w:t>recog</w:t>
      </w:r>
      <w:r w:rsidR="000B2201">
        <w:rPr>
          <w:rFonts w:cs="Arial"/>
          <w:lang w:val="es-ES_tradnl"/>
        </w:rPr>
        <w:t>iendo</w:t>
      </w:r>
      <w:r w:rsidR="00757C14">
        <w:rPr>
          <w:rFonts w:cs="Arial"/>
          <w:lang w:val="es-ES_tradnl"/>
        </w:rPr>
        <w:t xml:space="preserve"> los</w:t>
      </w:r>
      <w:r w:rsidR="00B86C47">
        <w:rPr>
          <w:rFonts w:cs="Arial"/>
          <w:lang w:val="es-ES_tradnl"/>
        </w:rPr>
        <w:t xml:space="preserve"> valores eficientes</w:t>
      </w:r>
      <w:r w:rsidR="00757C14">
        <w:rPr>
          <w:rFonts w:cs="Arial"/>
          <w:lang w:val="es-ES_tradnl"/>
        </w:rPr>
        <w:t xml:space="preserve"> reconocidos en la Resolución CREG 162 de 2015</w:t>
      </w:r>
      <w:r w:rsidR="000B2201">
        <w:rPr>
          <w:lang w:val="es-ES_tradnl"/>
        </w:rPr>
        <w:t xml:space="preserve">, razón por la cual, la misma </w:t>
      </w:r>
      <w:r w:rsidR="006F2700">
        <w:rPr>
          <w:rFonts w:cs="Arial"/>
          <w:lang w:val="es-ES_tradnl"/>
        </w:rPr>
        <w:t>está</w:t>
      </w:r>
      <w:r w:rsidR="000B2201">
        <w:rPr>
          <w:rFonts w:cs="Arial"/>
          <w:lang w:val="es-ES_tradnl"/>
        </w:rPr>
        <w:t xml:space="preserve"> orientada</w:t>
      </w:r>
      <w:r w:rsidR="000B2201" w:rsidRPr="000B2201">
        <w:rPr>
          <w:rFonts w:cs="Arial"/>
          <w:lang w:val="es-ES_tradnl"/>
        </w:rPr>
        <w:t xml:space="preserve"> a</w:t>
      </w:r>
      <w:r w:rsidR="000B2201">
        <w:rPr>
          <w:rFonts w:cs="Arial"/>
          <w:lang w:val="es-ES_tradnl"/>
        </w:rPr>
        <w:t xml:space="preserve"> dar cumplimiento a</w:t>
      </w:r>
      <w:r w:rsidR="000B2201" w:rsidRPr="000B2201">
        <w:rPr>
          <w:rFonts w:cs="Arial"/>
          <w:lang w:val="es-ES_tradnl"/>
        </w:rPr>
        <w:t xml:space="preserve"> los fines y principios que</w:t>
      </w:r>
      <w:r w:rsidR="000B2201">
        <w:rPr>
          <w:rFonts w:cs="Arial"/>
          <w:lang w:val="es-ES_tradnl"/>
        </w:rPr>
        <w:t xml:space="preserve"> persigue la Ley 142 de 1994, lo</w:t>
      </w:r>
      <w:r w:rsidR="000B2201" w:rsidRPr="000B2201">
        <w:rPr>
          <w:rFonts w:cs="Arial"/>
          <w:lang w:val="es-ES_tradnl"/>
        </w:rPr>
        <w:t xml:space="preserve"> cual incluye la continuidad y la garantía en la prestación del servicio de manera eficiente.</w:t>
      </w:r>
    </w:p>
    <w:p w:rsidR="00757C14" w:rsidRDefault="00757C14" w:rsidP="00EB3ABA">
      <w:pPr>
        <w:pStyle w:val="Textoindependiente2"/>
        <w:spacing w:after="0" w:line="240" w:lineRule="auto"/>
        <w:ind w:left="-142" w:right="-142"/>
        <w:rPr>
          <w:rFonts w:cs="Arial"/>
          <w:lang w:val="es-ES_tradnl"/>
        </w:rPr>
      </w:pPr>
    </w:p>
    <w:p w:rsidR="00757C14" w:rsidRDefault="00757C14" w:rsidP="00EB3ABA">
      <w:pPr>
        <w:pStyle w:val="Textoindependiente2"/>
        <w:spacing w:after="0" w:line="240" w:lineRule="auto"/>
        <w:ind w:left="-142" w:right="-142"/>
        <w:rPr>
          <w:rFonts w:cs="Arial"/>
          <w:lang w:val="es-CO"/>
        </w:rPr>
      </w:pPr>
      <w:r>
        <w:rPr>
          <w:rFonts w:cs="Arial"/>
          <w:lang w:val="es-ES_tradnl"/>
        </w:rPr>
        <w:t>Es por esto que los argumentos de TGI además de no corresponder y no guardar relación con el objeto de la resolución objeto de recurso se deben considerar abiertamente improcedentes y los mismos no conllevan a modificar lo dispuest</w:t>
      </w:r>
      <w:r w:rsidR="00016F23">
        <w:rPr>
          <w:rFonts w:cs="Arial"/>
          <w:lang w:val="es-ES_tradnl"/>
        </w:rPr>
        <w:t>o en la Resolución CREG 26</w:t>
      </w:r>
      <w:r>
        <w:rPr>
          <w:rFonts w:cs="Arial"/>
          <w:lang w:val="es-ES_tradnl"/>
        </w:rPr>
        <w:t>1 de 2016.</w:t>
      </w:r>
    </w:p>
    <w:p w:rsidR="004816B5" w:rsidRDefault="004816B5" w:rsidP="00EB3ABA">
      <w:pPr>
        <w:pStyle w:val="Textoindependiente2"/>
        <w:spacing w:after="0" w:line="240" w:lineRule="auto"/>
        <w:ind w:left="-142" w:right="-142"/>
        <w:rPr>
          <w:rFonts w:cs="Arial"/>
          <w:lang w:val="es-CO"/>
        </w:rPr>
      </w:pPr>
    </w:p>
    <w:p w:rsidR="008C2635" w:rsidRDefault="008C2635" w:rsidP="00996C28">
      <w:pPr>
        <w:pStyle w:val="Ttulo3"/>
        <w:jc w:val="both"/>
      </w:pPr>
      <w:r>
        <w:lastRenderedPageBreak/>
        <w:t>Análisis del posible error de transcripción</w:t>
      </w:r>
      <w:r w:rsidR="00FB0E31">
        <w:t xml:space="preserve"> del</w:t>
      </w:r>
      <w:r>
        <w:t xml:space="preserve"> diámetro </w:t>
      </w:r>
      <w:r w:rsidR="00FB0E31">
        <w:t>del r</w:t>
      </w:r>
      <w:r>
        <w:t xml:space="preserve">amal Zona Industrial </w:t>
      </w:r>
      <w:proofErr w:type="spellStart"/>
      <w:r>
        <w:t>Cantagallo</w:t>
      </w:r>
      <w:proofErr w:type="spellEnd"/>
      <w:r>
        <w:t xml:space="preserve"> – </w:t>
      </w:r>
      <w:proofErr w:type="spellStart"/>
      <w:r>
        <w:t>Cantagallo</w:t>
      </w:r>
      <w:proofErr w:type="spellEnd"/>
    </w:p>
    <w:p w:rsidR="008C2635" w:rsidRDefault="008C2635" w:rsidP="008C2635">
      <w:pPr>
        <w:pStyle w:val="Textoindependiente2"/>
        <w:spacing w:after="0" w:line="240" w:lineRule="auto"/>
        <w:ind w:left="-142" w:right="-142"/>
        <w:rPr>
          <w:szCs w:val="27"/>
          <w:lang w:val="es-ES_tradnl"/>
        </w:rPr>
      </w:pPr>
    </w:p>
    <w:p w:rsidR="00533402" w:rsidRDefault="00051188" w:rsidP="008C2635">
      <w:pPr>
        <w:pStyle w:val="Textoindependiente2"/>
        <w:spacing w:after="0" w:line="240" w:lineRule="auto"/>
        <w:ind w:left="-142" w:right="-142"/>
        <w:rPr>
          <w:szCs w:val="27"/>
          <w:lang w:val="es-ES_tradnl"/>
        </w:rPr>
      </w:pPr>
      <w:r>
        <w:rPr>
          <w:szCs w:val="27"/>
          <w:lang w:val="es-ES_tradnl"/>
        </w:rPr>
        <w:t>Sobre este punto s</w:t>
      </w:r>
      <w:r w:rsidR="00996C28">
        <w:rPr>
          <w:szCs w:val="27"/>
          <w:lang w:val="es-ES_tradnl"/>
        </w:rPr>
        <w:t>e</w:t>
      </w:r>
      <w:r w:rsidR="002B5190">
        <w:rPr>
          <w:szCs w:val="27"/>
          <w:lang w:val="es-ES_tradnl"/>
        </w:rPr>
        <w:t xml:space="preserve"> </w:t>
      </w:r>
      <w:r w:rsidR="008C2635">
        <w:rPr>
          <w:szCs w:val="27"/>
          <w:lang w:val="es-ES_tradnl"/>
        </w:rPr>
        <w:t>aclara</w:t>
      </w:r>
      <w:r w:rsidR="00533402">
        <w:rPr>
          <w:szCs w:val="27"/>
          <w:lang w:val="es-ES_tradnl"/>
        </w:rPr>
        <w:t xml:space="preserve"> lo siguiente:</w:t>
      </w:r>
    </w:p>
    <w:p w:rsidR="00533402" w:rsidRDefault="00533402" w:rsidP="008C2635">
      <w:pPr>
        <w:pStyle w:val="Textoindependiente2"/>
        <w:spacing w:after="0" w:line="240" w:lineRule="auto"/>
        <w:ind w:left="-142" w:right="-142"/>
        <w:rPr>
          <w:szCs w:val="27"/>
          <w:lang w:val="es-ES_tradnl"/>
        </w:rPr>
      </w:pPr>
    </w:p>
    <w:p w:rsidR="008C2635" w:rsidRDefault="00533402" w:rsidP="00996C28">
      <w:pPr>
        <w:pStyle w:val="Textoindependiente2"/>
        <w:numPr>
          <w:ilvl w:val="0"/>
          <w:numId w:val="41"/>
        </w:numPr>
        <w:spacing w:after="0" w:line="240" w:lineRule="auto"/>
        <w:ind w:left="284" w:right="-142" w:hanging="426"/>
        <w:rPr>
          <w:szCs w:val="27"/>
          <w:lang w:val="es-ES_tradnl"/>
        </w:rPr>
      </w:pPr>
      <w:r>
        <w:rPr>
          <w:szCs w:val="27"/>
          <w:lang w:val="es-ES_tradnl"/>
        </w:rPr>
        <w:t>L</w:t>
      </w:r>
      <w:r w:rsidR="008C2635">
        <w:rPr>
          <w:szCs w:val="27"/>
          <w:lang w:val="es-ES_tradnl"/>
        </w:rPr>
        <w:t xml:space="preserve">a información que reposa en la </w:t>
      </w:r>
      <w:r w:rsidR="00831905">
        <w:rPr>
          <w:szCs w:val="27"/>
          <w:lang w:val="es-ES_tradnl"/>
        </w:rPr>
        <w:t>C</w:t>
      </w:r>
      <w:r w:rsidR="008C2635">
        <w:rPr>
          <w:szCs w:val="27"/>
          <w:lang w:val="es-ES_tradnl"/>
        </w:rPr>
        <w:t>omisión dentro de las actuaciones administrativas es producto del reporte entregado por los agentes, en este caso TGI</w:t>
      </w:r>
      <w:r w:rsidR="00D26F4A">
        <w:rPr>
          <w:szCs w:val="27"/>
          <w:lang w:val="es-ES_tradnl"/>
        </w:rPr>
        <w:t>. L</w:t>
      </w:r>
      <w:r w:rsidR="008C2635">
        <w:rPr>
          <w:szCs w:val="27"/>
          <w:lang w:val="es-ES_tradnl"/>
        </w:rPr>
        <w:t xml:space="preserve">os valores </w:t>
      </w:r>
      <w:r w:rsidR="00494092">
        <w:rPr>
          <w:szCs w:val="27"/>
          <w:lang w:val="es-ES_tradnl"/>
        </w:rPr>
        <w:t xml:space="preserve">de diámetros y longitudes </w:t>
      </w:r>
      <w:r w:rsidR="008C2635">
        <w:rPr>
          <w:szCs w:val="27"/>
          <w:lang w:val="es-ES_tradnl"/>
        </w:rPr>
        <w:t>consignados en la</w:t>
      </w:r>
      <w:r w:rsidR="00831905">
        <w:rPr>
          <w:szCs w:val="27"/>
          <w:lang w:val="es-ES_tradnl"/>
        </w:rPr>
        <w:t xml:space="preserve"> </w:t>
      </w:r>
      <w:r w:rsidR="008C2635">
        <w:rPr>
          <w:szCs w:val="27"/>
          <w:lang w:val="es-ES_tradnl"/>
        </w:rPr>
        <w:t xml:space="preserve">Resolución CREG 160 de 2014 fueron declarados </w:t>
      </w:r>
      <w:r w:rsidR="008C2635" w:rsidRPr="00C37699">
        <w:rPr>
          <w:szCs w:val="27"/>
          <w:lang w:val="es-ES_tradnl"/>
        </w:rPr>
        <w:t>por la empresa en su momento</w:t>
      </w:r>
      <w:r w:rsidR="008C2635">
        <w:rPr>
          <w:szCs w:val="27"/>
          <w:lang w:val="es-ES_tradnl"/>
        </w:rPr>
        <w:t>.</w:t>
      </w:r>
    </w:p>
    <w:p w:rsidR="008C2635" w:rsidRDefault="008C2635" w:rsidP="008C2635">
      <w:pPr>
        <w:pStyle w:val="Textoindependiente2"/>
        <w:spacing w:after="0" w:line="240" w:lineRule="auto"/>
        <w:ind w:left="-142" w:right="-142"/>
        <w:rPr>
          <w:szCs w:val="27"/>
          <w:lang w:val="es-ES_tradnl"/>
        </w:rPr>
      </w:pPr>
    </w:p>
    <w:p w:rsidR="008C2635" w:rsidRDefault="008C2635" w:rsidP="00996C28">
      <w:pPr>
        <w:pStyle w:val="Textoindependiente2"/>
        <w:numPr>
          <w:ilvl w:val="0"/>
          <w:numId w:val="41"/>
        </w:numPr>
        <w:spacing w:after="0" w:line="240" w:lineRule="auto"/>
        <w:ind w:left="284" w:right="-142" w:hanging="426"/>
        <w:rPr>
          <w:szCs w:val="27"/>
          <w:lang w:val="es-ES_tradnl"/>
        </w:rPr>
      </w:pPr>
      <w:r>
        <w:rPr>
          <w:szCs w:val="27"/>
          <w:lang w:val="es-ES_tradnl"/>
        </w:rPr>
        <w:t xml:space="preserve">Las actualizaciones de información </w:t>
      </w:r>
      <w:r w:rsidR="00533402">
        <w:rPr>
          <w:szCs w:val="27"/>
          <w:lang w:val="es-ES_tradnl"/>
        </w:rPr>
        <w:t xml:space="preserve">de gasoductos </w:t>
      </w:r>
      <w:r>
        <w:rPr>
          <w:szCs w:val="27"/>
          <w:lang w:val="es-ES_tradnl"/>
        </w:rPr>
        <w:t>al cumplir la vida útil normativa</w:t>
      </w:r>
      <w:r w:rsidR="00831905">
        <w:rPr>
          <w:szCs w:val="27"/>
          <w:lang w:val="es-ES_tradnl"/>
        </w:rPr>
        <w:t>,</w:t>
      </w:r>
      <w:r>
        <w:rPr>
          <w:szCs w:val="27"/>
          <w:lang w:val="es-ES_tradnl"/>
        </w:rPr>
        <w:t xml:space="preserve"> VUN</w:t>
      </w:r>
      <w:r w:rsidR="00831905">
        <w:rPr>
          <w:szCs w:val="27"/>
          <w:lang w:val="es-ES_tradnl"/>
        </w:rPr>
        <w:t>,</w:t>
      </w:r>
      <w:r>
        <w:rPr>
          <w:szCs w:val="27"/>
          <w:lang w:val="es-ES_tradnl"/>
        </w:rPr>
        <w:t xml:space="preserve"> declarada por TGI mediante radicado </w:t>
      </w:r>
      <w:r w:rsidRPr="00C37699">
        <w:rPr>
          <w:szCs w:val="27"/>
          <w:lang w:val="es-ES_tradnl"/>
        </w:rPr>
        <w:t>E-2014-003562</w:t>
      </w:r>
      <w:r>
        <w:rPr>
          <w:szCs w:val="27"/>
          <w:lang w:val="es-ES_tradnl"/>
        </w:rPr>
        <w:t xml:space="preserve">, se incluyeron dentro del principio de buena fe en los análisis encomendados por la </w:t>
      </w:r>
      <w:r w:rsidR="00831905">
        <w:rPr>
          <w:szCs w:val="27"/>
          <w:lang w:val="es-ES_tradnl"/>
        </w:rPr>
        <w:t>C</w:t>
      </w:r>
      <w:r>
        <w:rPr>
          <w:szCs w:val="27"/>
          <w:lang w:val="es-ES_tradnl"/>
        </w:rPr>
        <w:t xml:space="preserve">omisión al perito designado mediante </w:t>
      </w:r>
      <w:r w:rsidR="00831905">
        <w:rPr>
          <w:szCs w:val="27"/>
          <w:lang w:val="es-ES_tradnl"/>
        </w:rPr>
        <w:t xml:space="preserve">la </w:t>
      </w:r>
      <w:r>
        <w:rPr>
          <w:szCs w:val="27"/>
          <w:lang w:val="es-ES_tradnl"/>
        </w:rPr>
        <w:t>Resolución CREG 105 de 2014, de tal manera que el cálculo tarifario incluyó dicha actualización de información.</w:t>
      </w:r>
    </w:p>
    <w:p w:rsidR="008C2635" w:rsidRDefault="008C2635" w:rsidP="008C2635">
      <w:pPr>
        <w:pStyle w:val="Textoindependiente2"/>
        <w:spacing w:after="0" w:line="240" w:lineRule="auto"/>
        <w:ind w:left="-142" w:right="-142"/>
        <w:rPr>
          <w:szCs w:val="27"/>
          <w:lang w:val="es-ES_tradnl"/>
        </w:rPr>
      </w:pPr>
    </w:p>
    <w:p w:rsidR="002B5190" w:rsidRDefault="0003546A" w:rsidP="00996C28">
      <w:pPr>
        <w:pStyle w:val="Textoindependiente2"/>
        <w:spacing w:after="0" w:line="240" w:lineRule="auto"/>
        <w:ind w:left="284" w:right="-142"/>
        <w:rPr>
          <w:lang w:val="es-CO" w:eastAsia="es-CO"/>
        </w:rPr>
      </w:pPr>
      <w:r>
        <w:rPr>
          <w:szCs w:val="27"/>
          <w:lang w:val="es-ES_tradnl"/>
        </w:rPr>
        <w:t>La Comisión aplicó el</w:t>
      </w:r>
      <w:r w:rsidR="008C2635" w:rsidRPr="00C37699">
        <w:rPr>
          <w:lang w:val="es-CO" w:eastAsia="es-CO"/>
        </w:rPr>
        <w:t xml:space="preserve"> procedimiento </w:t>
      </w:r>
      <w:r w:rsidR="00831905">
        <w:rPr>
          <w:lang w:val="es-CO" w:eastAsia="es-CO"/>
        </w:rPr>
        <w:t xml:space="preserve">establecido en </w:t>
      </w:r>
      <w:r w:rsidR="00831905" w:rsidRPr="00C37699">
        <w:rPr>
          <w:lang w:val="es-CO" w:eastAsia="es-CO"/>
        </w:rPr>
        <w:t>el artículo 14 de la Resolución CREG 126 de 2010</w:t>
      </w:r>
      <w:r w:rsidR="00831905">
        <w:rPr>
          <w:lang w:val="es-CO" w:eastAsia="es-CO"/>
        </w:rPr>
        <w:t xml:space="preserve"> </w:t>
      </w:r>
      <w:r w:rsidR="008C2635" w:rsidRPr="00C37699">
        <w:rPr>
          <w:lang w:val="es-CO" w:eastAsia="es-CO"/>
        </w:rPr>
        <w:t xml:space="preserve">para establecer el valor a </w:t>
      </w:r>
      <w:r w:rsidR="008C2635" w:rsidRPr="00B518C3">
        <w:rPr>
          <w:lang w:val="es-CO" w:eastAsia="es-CO"/>
        </w:rPr>
        <w:t>reconocer</w:t>
      </w:r>
      <w:r w:rsidR="008C2635" w:rsidRPr="00C37699">
        <w:rPr>
          <w:lang w:val="es-CO" w:eastAsia="es-CO"/>
        </w:rPr>
        <w:t xml:space="preserve"> para aquellos </w:t>
      </w:r>
      <w:r w:rsidR="00831905">
        <w:rPr>
          <w:lang w:val="es-CO" w:eastAsia="es-CO"/>
        </w:rPr>
        <w:t xml:space="preserve">gasoductos </w:t>
      </w:r>
      <w:r w:rsidR="008C2635">
        <w:rPr>
          <w:lang w:val="es-CO" w:eastAsia="es-CO"/>
        </w:rPr>
        <w:t>que han cumplido su VUN</w:t>
      </w:r>
      <w:r w:rsidR="00831905">
        <w:rPr>
          <w:lang w:val="es-CO" w:eastAsia="es-CO"/>
        </w:rPr>
        <w:t>. A</w:t>
      </w:r>
      <w:r w:rsidR="008C2635">
        <w:rPr>
          <w:lang w:val="es-CO" w:eastAsia="es-CO"/>
        </w:rPr>
        <w:t xml:space="preserve">sí </w:t>
      </w:r>
      <w:r w:rsidR="00831905">
        <w:rPr>
          <w:lang w:val="es-CO" w:eastAsia="es-CO"/>
        </w:rPr>
        <w:t xml:space="preserve">mismo la </w:t>
      </w:r>
      <w:r w:rsidR="002A7EF1">
        <w:rPr>
          <w:lang w:val="es-CO" w:eastAsia="es-CO"/>
        </w:rPr>
        <w:t>C</w:t>
      </w:r>
      <w:r w:rsidR="00831905">
        <w:rPr>
          <w:lang w:val="es-CO" w:eastAsia="es-CO"/>
        </w:rPr>
        <w:t xml:space="preserve">omisión realizó </w:t>
      </w:r>
      <w:r w:rsidR="008C2635">
        <w:rPr>
          <w:lang w:val="es-CO" w:eastAsia="es-CO"/>
        </w:rPr>
        <w:t>el ajuste en los cargos de transporte para incorporar dichos valores</w:t>
      </w:r>
      <w:r w:rsidR="002B5190">
        <w:rPr>
          <w:lang w:val="es-CO" w:eastAsia="es-CO"/>
        </w:rPr>
        <w:t xml:space="preserve">. </w:t>
      </w:r>
    </w:p>
    <w:p w:rsidR="00D26F4A" w:rsidRDefault="00D26F4A" w:rsidP="00D26F4A">
      <w:pPr>
        <w:pStyle w:val="Textoindependiente2"/>
        <w:spacing w:after="0" w:line="240" w:lineRule="auto"/>
        <w:ind w:left="-142" w:right="-142"/>
        <w:rPr>
          <w:szCs w:val="27"/>
        </w:rPr>
      </w:pPr>
    </w:p>
    <w:p w:rsidR="002D0DC2" w:rsidRDefault="00533402" w:rsidP="00996C28">
      <w:pPr>
        <w:pStyle w:val="Textoindependiente2"/>
        <w:numPr>
          <w:ilvl w:val="0"/>
          <w:numId w:val="41"/>
        </w:numPr>
        <w:spacing w:after="0" w:line="240" w:lineRule="auto"/>
        <w:ind w:left="284" w:right="-142" w:hanging="426"/>
        <w:rPr>
          <w:szCs w:val="27"/>
        </w:rPr>
      </w:pPr>
      <w:r>
        <w:rPr>
          <w:szCs w:val="27"/>
        </w:rPr>
        <w:t>L</w:t>
      </w:r>
      <w:r w:rsidR="00494092">
        <w:rPr>
          <w:szCs w:val="27"/>
        </w:rPr>
        <w:t>os valores de diámetros y longitudes consignados en las resoluciones corresponden a la</w:t>
      </w:r>
      <w:r w:rsidR="001F1A77">
        <w:rPr>
          <w:szCs w:val="27"/>
        </w:rPr>
        <w:t>s</w:t>
      </w:r>
      <w:r w:rsidR="00494092">
        <w:rPr>
          <w:szCs w:val="27"/>
        </w:rPr>
        <w:t xml:space="preserve"> </w:t>
      </w:r>
      <w:r w:rsidR="001F1A77">
        <w:rPr>
          <w:szCs w:val="27"/>
        </w:rPr>
        <w:t>características té</w:t>
      </w:r>
      <w:r w:rsidR="00494092">
        <w:rPr>
          <w:szCs w:val="27"/>
        </w:rPr>
        <w:t>cnica</w:t>
      </w:r>
      <w:r w:rsidR="001F1A77">
        <w:rPr>
          <w:szCs w:val="27"/>
        </w:rPr>
        <w:t>s</w:t>
      </w:r>
      <w:r w:rsidR="00494092">
        <w:rPr>
          <w:szCs w:val="27"/>
        </w:rPr>
        <w:t xml:space="preserve"> básica</w:t>
      </w:r>
      <w:r w:rsidR="001F1A77">
        <w:rPr>
          <w:szCs w:val="27"/>
        </w:rPr>
        <w:t>s</w:t>
      </w:r>
      <w:r w:rsidR="00494092">
        <w:rPr>
          <w:szCs w:val="27"/>
        </w:rPr>
        <w:t xml:space="preserve"> de los gasoductos. </w:t>
      </w:r>
      <w:r w:rsidR="001F1A77">
        <w:rPr>
          <w:szCs w:val="27"/>
        </w:rPr>
        <w:t>E</w:t>
      </w:r>
      <w:r w:rsidR="00494092">
        <w:rPr>
          <w:szCs w:val="27"/>
        </w:rPr>
        <w:t>sta</w:t>
      </w:r>
      <w:r w:rsidR="001F1A77">
        <w:rPr>
          <w:szCs w:val="27"/>
        </w:rPr>
        <w:t>s</w:t>
      </w:r>
      <w:r w:rsidR="00494092">
        <w:rPr>
          <w:szCs w:val="27"/>
        </w:rPr>
        <w:t xml:space="preserve"> </w:t>
      </w:r>
      <w:r w:rsidR="001F1A77">
        <w:rPr>
          <w:szCs w:val="27"/>
        </w:rPr>
        <w:t>características no cambian en el tiempo, excepto si se modifican por variantes o reemplazo de tramos</w:t>
      </w:r>
      <w:r w:rsidR="002A7EF1">
        <w:rPr>
          <w:szCs w:val="27"/>
        </w:rPr>
        <w:t xml:space="preserve"> de gasoducto</w:t>
      </w:r>
      <w:r w:rsidR="001F1A77">
        <w:rPr>
          <w:szCs w:val="27"/>
        </w:rPr>
        <w:t xml:space="preserve">, pero sí es factible que haya lugar a </w:t>
      </w:r>
      <w:r w:rsidR="00FD1F50">
        <w:rPr>
          <w:szCs w:val="27"/>
        </w:rPr>
        <w:t xml:space="preserve">ajustar </w:t>
      </w:r>
      <w:r w:rsidR="001F1A77">
        <w:rPr>
          <w:szCs w:val="27"/>
        </w:rPr>
        <w:t>cifras en casos que por razones históricas no se registr</w:t>
      </w:r>
      <w:r w:rsidR="002D0DC2">
        <w:rPr>
          <w:szCs w:val="27"/>
        </w:rPr>
        <w:t xml:space="preserve">aron los </w:t>
      </w:r>
      <w:r w:rsidR="001F1A77">
        <w:rPr>
          <w:szCs w:val="27"/>
        </w:rPr>
        <w:t>valor</w:t>
      </w:r>
      <w:r w:rsidR="002D0DC2">
        <w:rPr>
          <w:szCs w:val="27"/>
        </w:rPr>
        <w:t>es</w:t>
      </w:r>
      <w:r w:rsidR="001F1A77">
        <w:rPr>
          <w:szCs w:val="27"/>
        </w:rPr>
        <w:t xml:space="preserve"> </w:t>
      </w:r>
      <w:r w:rsidR="00FD1F50">
        <w:rPr>
          <w:szCs w:val="27"/>
        </w:rPr>
        <w:t>reales</w:t>
      </w:r>
      <w:r w:rsidR="001F1A77">
        <w:rPr>
          <w:szCs w:val="27"/>
        </w:rPr>
        <w:t>.</w:t>
      </w:r>
      <w:r w:rsidR="004B297A">
        <w:rPr>
          <w:szCs w:val="27"/>
        </w:rPr>
        <w:t xml:space="preserve"> </w:t>
      </w:r>
      <w:r w:rsidR="002A7EF1">
        <w:rPr>
          <w:szCs w:val="27"/>
        </w:rPr>
        <w:t>En todo caso e</w:t>
      </w:r>
      <w:r w:rsidR="004B297A">
        <w:rPr>
          <w:szCs w:val="27"/>
        </w:rPr>
        <w:t>sta</w:t>
      </w:r>
      <w:r w:rsidR="00FA2082">
        <w:rPr>
          <w:szCs w:val="27"/>
        </w:rPr>
        <w:t>s</w:t>
      </w:r>
      <w:r w:rsidR="004B297A">
        <w:rPr>
          <w:szCs w:val="27"/>
        </w:rPr>
        <w:t xml:space="preserve"> correcci</w:t>
      </w:r>
      <w:r w:rsidR="00FA2082">
        <w:rPr>
          <w:szCs w:val="27"/>
        </w:rPr>
        <w:t xml:space="preserve">ones </w:t>
      </w:r>
      <w:r w:rsidR="004B297A">
        <w:rPr>
          <w:szCs w:val="27"/>
        </w:rPr>
        <w:t>no da</w:t>
      </w:r>
      <w:r w:rsidR="00FA2082">
        <w:rPr>
          <w:szCs w:val="27"/>
        </w:rPr>
        <w:t>n</w:t>
      </w:r>
      <w:r w:rsidR="004B297A">
        <w:rPr>
          <w:szCs w:val="27"/>
        </w:rPr>
        <w:t xml:space="preserve"> lugar</w:t>
      </w:r>
      <w:r w:rsidR="00FA2082">
        <w:rPr>
          <w:szCs w:val="27"/>
        </w:rPr>
        <w:t xml:space="preserve"> a ajust</w:t>
      </w:r>
      <w:r w:rsidR="002A7EF1">
        <w:rPr>
          <w:szCs w:val="27"/>
        </w:rPr>
        <w:t>ar</w:t>
      </w:r>
      <w:r w:rsidR="00FA2082">
        <w:rPr>
          <w:szCs w:val="27"/>
        </w:rPr>
        <w:t xml:space="preserve"> </w:t>
      </w:r>
      <w:r w:rsidR="002A7EF1">
        <w:rPr>
          <w:szCs w:val="27"/>
        </w:rPr>
        <w:t xml:space="preserve">los </w:t>
      </w:r>
      <w:r w:rsidR="00FA2082">
        <w:rPr>
          <w:szCs w:val="27"/>
        </w:rPr>
        <w:t>valores de inversión existente</w:t>
      </w:r>
      <w:r w:rsidR="002A7EF1">
        <w:rPr>
          <w:szCs w:val="27"/>
        </w:rPr>
        <w:t xml:space="preserve"> reconocidos en revisiones tarifarias anteriores, excepto en casos de inversiones nuevas (PNI o IAC) en las que el transportador construya una infraestructura de dimensiones notablemente inferiores a las previstas en los cargos regulados aprobados</w:t>
      </w:r>
      <w:r w:rsidR="00411A6B">
        <w:rPr>
          <w:rStyle w:val="Refdenotaalpie"/>
          <w:szCs w:val="27"/>
        </w:rPr>
        <w:footnoteReference w:id="11"/>
      </w:r>
      <w:r w:rsidR="002A7EF1">
        <w:rPr>
          <w:szCs w:val="27"/>
        </w:rPr>
        <w:t xml:space="preserve">.  </w:t>
      </w:r>
      <w:r w:rsidR="004B297A">
        <w:rPr>
          <w:szCs w:val="27"/>
        </w:rPr>
        <w:t xml:space="preserve"> </w:t>
      </w:r>
      <w:r w:rsidR="001F1A77">
        <w:rPr>
          <w:szCs w:val="27"/>
        </w:rPr>
        <w:t xml:space="preserve"> </w:t>
      </w:r>
    </w:p>
    <w:p w:rsidR="00533402" w:rsidRPr="00411A6B" w:rsidRDefault="00533402" w:rsidP="00411A6B">
      <w:pPr>
        <w:pStyle w:val="Textoindependiente2"/>
        <w:spacing w:after="0" w:line="240" w:lineRule="auto"/>
        <w:ind w:right="-142"/>
        <w:rPr>
          <w:rFonts w:cs="Arial"/>
        </w:rPr>
      </w:pPr>
    </w:p>
    <w:p w:rsidR="0003546A" w:rsidRDefault="00411A6B" w:rsidP="00411A6B">
      <w:pPr>
        <w:pStyle w:val="Textoindependiente2"/>
        <w:spacing w:after="0" w:line="240" w:lineRule="auto"/>
        <w:ind w:left="-142" w:right="-142"/>
        <w:rPr>
          <w:szCs w:val="27"/>
          <w:lang w:val="es-ES_tradnl"/>
        </w:rPr>
      </w:pPr>
      <w:r>
        <w:rPr>
          <w:szCs w:val="27"/>
        </w:rPr>
        <w:t>Es por esto que con r</w:t>
      </w:r>
      <w:proofErr w:type="spellStart"/>
      <w:r w:rsidR="0003546A">
        <w:rPr>
          <w:szCs w:val="27"/>
          <w:lang w:val="es-ES_tradnl"/>
        </w:rPr>
        <w:t>especto</w:t>
      </w:r>
      <w:proofErr w:type="spellEnd"/>
      <w:r w:rsidR="0003546A">
        <w:rPr>
          <w:szCs w:val="27"/>
          <w:lang w:val="es-ES_tradnl"/>
        </w:rPr>
        <w:t xml:space="preserve"> a la solicitud realizada por TGI </w:t>
      </w:r>
      <w:r w:rsidR="00FB0E31">
        <w:rPr>
          <w:szCs w:val="27"/>
          <w:lang w:val="es-ES_tradnl"/>
        </w:rPr>
        <w:t xml:space="preserve">sobre </w:t>
      </w:r>
      <w:r w:rsidR="0003546A">
        <w:rPr>
          <w:szCs w:val="27"/>
          <w:lang w:val="es-ES_tradnl"/>
        </w:rPr>
        <w:t xml:space="preserve">la transcripción del diámetro, </w:t>
      </w:r>
      <w:r w:rsidR="00533402">
        <w:rPr>
          <w:szCs w:val="27"/>
          <w:lang w:val="es-ES_tradnl"/>
        </w:rPr>
        <w:t>l</w:t>
      </w:r>
      <w:r w:rsidR="00D26F4A">
        <w:rPr>
          <w:szCs w:val="27"/>
          <w:lang w:val="es-ES_tradnl"/>
        </w:rPr>
        <w:t xml:space="preserve">a </w:t>
      </w:r>
      <w:r w:rsidR="00533402">
        <w:rPr>
          <w:szCs w:val="27"/>
          <w:lang w:val="es-ES_tradnl"/>
        </w:rPr>
        <w:t>C</w:t>
      </w:r>
      <w:r w:rsidR="00D26F4A">
        <w:rPr>
          <w:szCs w:val="27"/>
          <w:lang w:val="es-ES_tradnl"/>
        </w:rPr>
        <w:t>omisión considera que</w:t>
      </w:r>
      <w:r>
        <w:rPr>
          <w:szCs w:val="27"/>
          <w:lang w:val="es-ES_tradnl"/>
        </w:rPr>
        <w:t xml:space="preserve"> no existe “</w:t>
      </w:r>
      <w:r w:rsidRPr="00411A6B">
        <w:rPr>
          <w:szCs w:val="27"/>
          <w:lang w:val="es-ES_tradnl"/>
        </w:rPr>
        <w:t xml:space="preserve">un error de transcripción en lo que refiere al diámetro del Ramal Z. Industrial </w:t>
      </w:r>
      <w:proofErr w:type="spellStart"/>
      <w:r w:rsidRPr="00411A6B">
        <w:rPr>
          <w:szCs w:val="27"/>
          <w:lang w:val="es-ES_tradnl"/>
        </w:rPr>
        <w:t>Cantagallo</w:t>
      </w:r>
      <w:proofErr w:type="spellEnd"/>
      <w:r w:rsidRPr="00411A6B">
        <w:rPr>
          <w:szCs w:val="27"/>
          <w:lang w:val="es-ES_tradnl"/>
        </w:rPr>
        <w:t xml:space="preserve"> – </w:t>
      </w:r>
      <w:proofErr w:type="spellStart"/>
      <w:r w:rsidRPr="00411A6B">
        <w:rPr>
          <w:szCs w:val="27"/>
          <w:lang w:val="es-ES_tradnl"/>
        </w:rPr>
        <w:t>Cantagallo</w:t>
      </w:r>
      <w:proofErr w:type="spellEnd"/>
      <w:r>
        <w:rPr>
          <w:szCs w:val="27"/>
          <w:lang w:val="es-ES_tradnl"/>
        </w:rPr>
        <w:t>” en el contexto manifestado por la empresa. Sin embargo, de los literales anteriormente expuestos</w:t>
      </w:r>
      <w:r w:rsidR="00D90EED">
        <w:rPr>
          <w:szCs w:val="27"/>
          <w:lang w:val="es-ES_tradnl"/>
        </w:rPr>
        <w:t>: (i) es pertinente ajustar el valor de los diámetros y las longitudes de alg</w:t>
      </w:r>
      <w:r>
        <w:rPr>
          <w:szCs w:val="27"/>
          <w:lang w:val="es-ES_tradnl"/>
        </w:rPr>
        <w:t>unos gasoductos</w:t>
      </w:r>
      <w:r w:rsidR="00D26F4A">
        <w:rPr>
          <w:szCs w:val="27"/>
          <w:lang w:val="es-ES_tradnl"/>
        </w:rPr>
        <w:t xml:space="preserve"> </w:t>
      </w:r>
      <w:r w:rsidR="00D90EED">
        <w:rPr>
          <w:szCs w:val="27"/>
          <w:lang w:val="es-ES_tradnl"/>
        </w:rPr>
        <w:t xml:space="preserve">incluidos en la </w:t>
      </w:r>
      <w:r w:rsidR="00D90EED">
        <w:rPr>
          <w:rFonts w:cs="Arial"/>
          <w:lang w:val="es-ES_tradnl"/>
        </w:rPr>
        <w:t>Resolución CREG 261 de 2016</w:t>
      </w:r>
      <w:r w:rsidR="008D2125">
        <w:rPr>
          <w:rFonts w:cs="Arial"/>
          <w:lang w:val="es-ES_tradnl"/>
        </w:rPr>
        <w:t xml:space="preserve"> </w:t>
      </w:r>
      <w:r w:rsidR="008D2125">
        <w:rPr>
          <w:szCs w:val="27"/>
          <w:lang w:val="es-ES_tradnl"/>
        </w:rPr>
        <w:t xml:space="preserve">con el fin de registrar los últimos valores </w:t>
      </w:r>
      <w:r w:rsidR="008D2125" w:rsidRPr="00946090">
        <w:rPr>
          <w:szCs w:val="27"/>
          <w:lang w:val="es-ES_tradnl"/>
        </w:rPr>
        <w:t>reportad</w:t>
      </w:r>
      <w:r w:rsidR="008D2125">
        <w:rPr>
          <w:szCs w:val="27"/>
          <w:lang w:val="es-ES_tradnl"/>
        </w:rPr>
        <w:t>os</w:t>
      </w:r>
      <w:r w:rsidR="008D2125" w:rsidRPr="00946090">
        <w:rPr>
          <w:szCs w:val="27"/>
          <w:lang w:val="es-ES_tradnl"/>
        </w:rPr>
        <w:t xml:space="preserve"> por TGI</w:t>
      </w:r>
      <w:r w:rsidR="00D90EED">
        <w:rPr>
          <w:rFonts w:cs="Arial"/>
          <w:lang w:val="es-ES_tradnl"/>
        </w:rPr>
        <w:t xml:space="preserve">; y (ii) </w:t>
      </w:r>
      <w:r w:rsidR="0003546A">
        <w:rPr>
          <w:szCs w:val="27"/>
          <w:lang w:val="es-ES_tradnl"/>
        </w:rPr>
        <w:t xml:space="preserve">para efectos de claridad y trazabilidad del ajuste de </w:t>
      </w:r>
      <w:r w:rsidR="00D90EED">
        <w:rPr>
          <w:szCs w:val="27"/>
          <w:lang w:val="es-ES_tradnl"/>
        </w:rPr>
        <w:t xml:space="preserve">longitudes y diámetros </w:t>
      </w:r>
      <w:r w:rsidR="00533402">
        <w:rPr>
          <w:szCs w:val="27"/>
          <w:lang w:val="es-ES_tradnl"/>
        </w:rPr>
        <w:t xml:space="preserve">es </w:t>
      </w:r>
      <w:r w:rsidR="008D2125">
        <w:rPr>
          <w:szCs w:val="27"/>
          <w:lang w:val="es-ES_tradnl"/>
        </w:rPr>
        <w:t xml:space="preserve">necesario </w:t>
      </w:r>
      <w:r w:rsidR="000460B2">
        <w:rPr>
          <w:szCs w:val="27"/>
          <w:lang w:val="es-ES_tradnl"/>
        </w:rPr>
        <w:t>explicar</w:t>
      </w:r>
      <w:r w:rsidR="00FB0E31" w:rsidRPr="00411A6B">
        <w:rPr>
          <w:szCs w:val="27"/>
          <w:lang w:val="es-ES_tradnl"/>
        </w:rPr>
        <w:t>,</w:t>
      </w:r>
      <w:r w:rsidR="00533402" w:rsidRPr="00FB0E31">
        <w:rPr>
          <w:szCs w:val="27"/>
          <w:lang w:val="es-ES_tradnl"/>
        </w:rPr>
        <w:t xml:space="preserve"> </w:t>
      </w:r>
      <w:r w:rsidR="0003546A" w:rsidRPr="00FB0E31">
        <w:rPr>
          <w:szCs w:val="27"/>
          <w:lang w:val="es-ES_tradnl"/>
        </w:rPr>
        <w:t>en las tablas respectivas incluidas en la resolución</w:t>
      </w:r>
      <w:r w:rsidR="00FB0E31" w:rsidRPr="00411A6B">
        <w:rPr>
          <w:szCs w:val="27"/>
          <w:lang w:val="es-ES_tradnl"/>
        </w:rPr>
        <w:t>, los ajustes a que haya lugar</w:t>
      </w:r>
      <w:r w:rsidR="00DB0841">
        <w:rPr>
          <w:szCs w:val="27"/>
          <w:lang w:val="es-ES_tradnl"/>
        </w:rPr>
        <w:t xml:space="preserve"> en cada gasoducto</w:t>
      </w:r>
      <w:r w:rsidR="0003546A" w:rsidRPr="00FB0E31">
        <w:rPr>
          <w:szCs w:val="27"/>
          <w:lang w:val="es-ES_tradnl"/>
        </w:rPr>
        <w:t>.</w:t>
      </w:r>
      <w:r w:rsidR="00E4411B">
        <w:rPr>
          <w:szCs w:val="27"/>
          <w:lang w:val="es-ES_tradnl"/>
        </w:rPr>
        <w:t xml:space="preserve"> Lo anterior bajo el entendido de que estos últimos valores reportados por TGI son las cifras reales de longitud y diámetro.</w:t>
      </w:r>
    </w:p>
    <w:p w:rsidR="003A5ABA" w:rsidRDefault="003A5ABA" w:rsidP="0003546A">
      <w:pPr>
        <w:pStyle w:val="Textoindependiente2"/>
        <w:spacing w:after="0" w:line="240" w:lineRule="auto"/>
        <w:ind w:left="-142" w:right="-142"/>
        <w:rPr>
          <w:szCs w:val="27"/>
          <w:lang w:val="es-ES_tradnl"/>
        </w:rPr>
      </w:pPr>
    </w:p>
    <w:p w:rsidR="003A5ABA" w:rsidRDefault="003A5ABA" w:rsidP="003A5ABA">
      <w:pPr>
        <w:ind w:left="-142"/>
        <w:rPr>
          <w:rFonts w:eastAsia="Arial Unicode MS" w:cs="Arial"/>
          <w:bCs/>
        </w:rPr>
      </w:pPr>
      <w:r w:rsidRPr="006D2027">
        <w:rPr>
          <w:rFonts w:eastAsia="Arial Unicode MS" w:cs="Arial"/>
          <w:bCs/>
        </w:rPr>
        <w:lastRenderedPageBreak/>
        <w:t xml:space="preserve">Una vez surtido el procedimiento previsto en la Ley 142 de 1994, así como en la metodología de la Resolución CREG 126 de 2010, la Comisión de Regulación de Energía y Gas, en su sesión </w:t>
      </w:r>
      <w:r w:rsidR="00090C12">
        <w:rPr>
          <w:rFonts w:eastAsia="Arial Unicode MS" w:cs="Arial"/>
          <w:bCs/>
        </w:rPr>
        <w:t xml:space="preserve">778 </w:t>
      </w:r>
      <w:r w:rsidRPr="006D2027">
        <w:rPr>
          <w:rFonts w:eastAsia="Arial Unicode MS" w:cs="Arial"/>
          <w:bCs/>
        </w:rPr>
        <w:t xml:space="preserve">del </w:t>
      </w:r>
      <w:r w:rsidR="00090C12">
        <w:rPr>
          <w:rFonts w:eastAsia="Arial Unicode MS" w:cs="Arial"/>
          <w:bCs/>
        </w:rPr>
        <w:t>15</w:t>
      </w:r>
      <w:r w:rsidRPr="006D2027">
        <w:rPr>
          <w:rFonts w:eastAsia="Arial Unicode MS" w:cs="Arial"/>
          <w:bCs/>
        </w:rPr>
        <w:t xml:space="preserve"> de </w:t>
      </w:r>
      <w:r w:rsidR="00090C12">
        <w:rPr>
          <w:rFonts w:eastAsia="Arial Unicode MS" w:cs="Arial"/>
          <w:bCs/>
        </w:rPr>
        <w:t>mayo</w:t>
      </w:r>
      <w:r>
        <w:rPr>
          <w:rFonts w:eastAsia="Arial Unicode MS" w:cs="Arial"/>
          <w:bCs/>
        </w:rPr>
        <w:t xml:space="preserve"> de 2017</w:t>
      </w:r>
      <w:r w:rsidRPr="006D2027">
        <w:rPr>
          <w:rFonts w:eastAsia="Arial Unicode MS" w:cs="Arial"/>
          <w:bCs/>
        </w:rPr>
        <w:t xml:space="preserve">, aprobó </w:t>
      </w:r>
      <w:r w:rsidR="00587C8F">
        <w:rPr>
          <w:rFonts w:eastAsia="Arial Unicode MS" w:cs="Arial"/>
          <w:bCs/>
        </w:rPr>
        <w:t xml:space="preserve">la presente Resolución </w:t>
      </w:r>
      <w:r w:rsidRPr="006D2027">
        <w:rPr>
          <w:rFonts w:eastAsia="Arial Unicode MS" w:cs="Arial"/>
          <w:bCs/>
        </w:rPr>
        <w:t xml:space="preserve">mediante la cual se resuelve </w:t>
      </w:r>
      <w:r>
        <w:rPr>
          <w:rFonts w:eastAsia="Arial Unicode MS" w:cs="Arial"/>
          <w:bCs/>
        </w:rPr>
        <w:t>el recurso de reposición interpuesto por TGI S.A. E.S.P. contra la Resolución CREG 261 de 2016</w:t>
      </w:r>
      <w:r w:rsidRPr="006D2027">
        <w:rPr>
          <w:rFonts w:eastAsia="Arial Unicode MS" w:cs="Arial"/>
          <w:bCs/>
        </w:rPr>
        <w:t>.</w:t>
      </w:r>
    </w:p>
    <w:p w:rsidR="003A5ABA" w:rsidRPr="00090C12" w:rsidRDefault="003A5ABA" w:rsidP="0003546A">
      <w:pPr>
        <w:pStyle w:val="Textoindependiente2"/>
        <w:spacing w:after="0" w:line="240" w:lineRule="auto"/>
        <w:ind w:left="-142" w:right="-142"/>
        <w:rPr>
          <w:szCs w:val="27"/>
        </w:rPr>
      </w:pPr>
    </w:p>
    <w:p w:rsidR="003A5ABA" w:rsidRDefault="003A5ABA" w:rsidP="0003546A">
      <w:pPr>
        <w:pStyle w:val="Textoindependiente2"/>
        <w:spacing w:after="0" w:line="240" w:lineRule="auto"/>
        <w:ind w:left="-142" w:right="-142"/>
        <w:rPr>
          <w:szCs w:val="27"/>
          <w:lang w:val="es-ES_tradnl"/>
        </w:rPr>
      </w:pPr>
    </w:p>
    <w:p w:rsidR="00D126E3" w:rsidRDefault="00D126E3" w:rsidP="00D126E3">
      <w:pPr>
        <w:tabs>
          <w:tab w:val="right" w:pos="9498"/>
        </w:tabs>
        <w:ind w:right="-142"/>
        <w:jc w:val="center"/>
        <w:rPr>
          <w:rFonts w:cs="Arial"/>
        </w:rPr>
      </w:pPr>
      <w:r w:rsidRPr="00945A3C">
        <w:rPr>
          <w:rFonts w:cs="Arial"/>
          <w:b/>
          <w:spacing w:val="80"/>
        </w:rPr>
        <w:t>RESUELVE</w:t>
      </w:r>
      <w:r w:rsidRPr="00945A3C">
        <w:rPr>
          <w:rFonts w:cs="Arial"/>
        </w:rPr>
        <w:t>:</w:t>
      </w:r>
    </w:p>
    <w:p w:rsidR="00D126E3" w:rsidRPr="003234E2" w:rsidRDefault="00D126E3" w:rsidP="00D126E3">
      <w:pPr>
        <w:tabs>
          <w:tab w:val="right" w:pos="9498"/>
        </w:tabs>
        <w:ind w:right="-142"/>
        <w:rPr>
          <w:rFonts w:cs="Arial"/>
          <w:b/>
          <w:spacing w:val="-3"/>
          <w:sz w:val="20"/>
        </w:rPr>
      </w:pPr>
    </w:p>
    <w:p w:rsidR="00132A24" w:rsidRDefault="0084212F" w:rsidP="0006151C">
      <w:pPr>
        <w:pStyle w:val="ARTICULOS"/>
      </w:pPr>
      <w:r>
        <w:rPr>
          <w:lang w:val="es-CO"/>
        </w:rPr>
        <w:t>R</w:t>
      </w:r>
      <w:r w:rsidR="00D126E3" w:rsidRPr="005E3746">
        <w:t xml:space="preserve">eponer </w:t>
      </w:r>
      <w:r>
        <w:rPr>
          <w:lang w:val="es-CO"/>
        </w:rPr>
        <w:t xml:space="preserve">parcialmente </w:t>
      </w:r>
      <w:r w:rsidR="00D126E3" w:rsidRPr="005E3746">
        <w:t xml:space="preserve">la Resolución CREG </w:t>
      </w:r>
      <w:r w:rsidR="00451B2E">
        <w:t>261 de 2016</w:t>
      </w:r>
      <w:r w:rsidR="00132A24">
        <w:t xml:space="preserve"> frente al recurso de reposición interpuesto por la Transportadora de Gas Internacional TGI S.A. E.S.P.</w:t>
      </w:r>
    </w:p>
    <w:p w:rsidR="0006151C" w:rsidRPr="000C4F71" w:rsidRDefault="00132A24" w:rsidP="0006151C">
      <w:pPr>
        <w:pStyle w:val="ARTICULOS"/>
      </w:pPr>
      <w:r>
        <w:t xml:space="preserve">De acuerdo con lo expuesto en la parte motiva de la presente resolución, </w:t>
      </w:r>
      <w:r w:rsidR="009747EE">
        <w:rPr>
          <w:lang w:val="es-CO"/>
        </w:rPr>
        <w:t xml:space="preserve">reemplazar </w:t>
      </w:r>
      <w:r w:rsidR="00952C2B">
        <w:rPr>
          <w:lang w:val="es-CO"/>
        </w:rPr>
        <w:t xml:space="preserve">el </w:t>
      </w:r>
      <w:r>
        <w:t xml:space="preserve">Anexo </w:t>
      </w:r>
      <w:r w:rsidR="00D26F4A">
        <w:t>1</w:t>
      </w:r>
      <w:r>
        <w:t xml:space="preserve"> de la Resolución CREG 261 de 2016</w:t>
      </w:r>
      <w:r w:rsidR="00952C2B">
        <w:rPr>
          <w:lang w:val="es-CO"/>
        </w:rPr>
        <w:t xml:space="preserve">, que corresponde al </w:t>
      </w:r>
      <w:r w:rsidR="00094A7D">
        <w:rPr>
          <w:lang w:val="es-CO"/>
        </w:rPr>
        <w:t xml:space="preserve">Anexo </w:t>
      </w:r>
      <w:r w:rsidR="00952C2B">
        <w:rPr>
          <w:lang w:val="es-CO"/>
        </w:rPr>
        <w:t xml:space="preserve">2 de la Resolución 162 </w:t>
      </w:r>
      <w:r w:rsidR="00952C2B" w:rsidRPr="000C4F71">
        <w:rPr>
          <w:lang w:val="es-CO"/>
        </w:rPr>
        <w:t>de 2015</w:t>
      </w:r>
      <w:r w:rsidR="00323504" w:rsidRPr="000C4F71">
        <w:rPr>
          <w:lang w:val="es-CO"/>
        </w:rPr>
        <w:t>, por el Anexo 1 de la presente resolución</w:t>
      </w:r>
      <w:r w:rsidR="00411A6B" w:rsidRPr="000C4F71">
        <w:rPr>
          <w:lang w:val="es-CO"/>
        </w:rPr>
        <w:t>.</w:t>
      </w:r>
    </w:p>
    <w:p w:rsidR="009747EE" w:rsidRPr="000C4F71" w:rsidRDefault="009747EE" w:rsidP="00FB2F62">
      <w:pPr>
        <w:pStyle w:val="ARTICULOS"/>
      </w:pPr>
      <w:r>
        <w:rPr>
          <w:lang w:val="es-CO"/>
        </w:rPr>
        <w:t>De acuerdo con lo previsto en la parte motiva de la presente resolución y a</w:t>
      </w:r>
      <w:r w:rsidRPr="009747EE">
        <w:rPr>
          <w:lang w:val="es-CO"/>
        </w:rPr>
        <w:t xml:space="preserve"> efectos de realizar </w:t>
      </w:r>
      <w:r w:rsidR="005C70F7" w:rsidRPr="009747EE">
        <w:rPr>
          <w:lang w:val="es-CO"/>
        </w:rPr>
        <w:t>las aclaraciones respectiv</w:t>
      </w:r>
      <w:r w:rsidR="00D26F4A" w:rsidRPr="009747EE">
        <w:rPr>
          <w:lang w:val="es-CO"/>
        </w:rPr>
        <w:t>as en los diámetros y longitudes para los gasoductos que apliquen</w:t>
      </w:r>
      <w:r w:rsidR="002A1FFB">
        <w:rPr>
          <w:lang w:val="es-CO"/>
        </w:rPr>
        <w:t>,</w:t>
      </w:r>
      <w:r w:rsidR="00D26F4A" w:rsidRPr="009747EE">
        <w:rPr>
          <w:lang w:val="es-CO"/>
        </w:rPr>
        <w:t xml:space="preserve"> </w:t>
      </w:r>
      <w:r w:rsidR="002A1FFB">
        <w:rPr>
          <w:lang w:val="es-CO"/>
        </w:rPr>
        <w:t>se r</w:t>
      </w:r>
      <w:r w:rsidR="002A1FFB">
        <w:t>emplaza</w:t>
      </w:r>
      <w:r w:rsidRPr="009747EE">
        <w:t xml:space="preserve"> el</w:t>
      </w:r>
      <w:r w:rsidR="00952C2B" w:rsidRPr="00952C2B">
        <w:t xml:space="preserve"> </w:t>
      </w:r>
      <w:r w:rsidR="00952C2B">
        <w:rPr>
          <w:lang w:val="es-CO"/>
        </w:rPr>
        <w:t xml:space="preserve">Anexo 2 de la Resolución CREG 261 de 2016, correspondiente al </w:t>
      </w:r>
      <w:r w:rsidR="00952C2B" w:rsidRPr="009747EE">
        <w:t>Anexo 4 de la Resolución CREG 110 de 2011, modificado por el artículo 7 de la Resolución CREG 121 de 2012, modificados a su vez por el artículo 5 de la Resolución CREG 160 de 2014</w:t>
      </w:r>
      <w:r w:rsidR="00BD5912">
        <w:rPr>
          <w:lang w:val="es-CO"/>
        </w:rPr>
        <w:t xml:space="preserve">, </w:t>
      </w:r>
      <w:r w:rsidR="00BD5912" w:rsidRPr="000C4F71">
        <w:rPr>
          <w:lang w:val="es-CO"/>
        </w:rPr>
        <w:t>por el Anexo 2 de la presente resolución</w:t>
      </w:r>
      <w:r w:rsidRPr="000C4F71">
        <w:t>.</w:t>
      </w:r>
    </w:p>
    <w:p w:rsidR="00132A24" w:rsidRDefault="00132A24" w:rsidP="0006151C"/>
    <w:p w:rsidR="00D126E3" w:rsidRDefault="00411A6B" w:rsidP="0006151C">
      <w:r>
        <w:rPr>
          <w:b/>
        </w:rPr>
        <w:t>Artículo 4.</w:t>
      </w:r>
      <w:r w:rsidR="00132A24" w:rsidRPr="0006151C">
        <w:rPr>
          <w:b/>
        </w:rPr>
        <w:t xml:space="preserve"> </w:t>
      </w:r>
      <w:r w:rsidR="00D126E3" w:rsidRPr="005E3746">
        <w:t xml:space="preserve">La presente Resolución deberá notificarse a la empresa </w:t>
      </w:r>
      <w:r w:rsidR="00447106" w:rsidRPr="005E3746">
        <w:t>Transportadora de Gas Internacional TGI S.A. E.S.P.</w:t>
      </w:r>
      <w:r w:rsidR="00D126E3" w:rsidRPr="005E3746">
        <w:t xml:space="preserve"> y publicarse en el </w:t>
      </w:r>
      <w:r w:rsidR="00D126E3" w:rsidRPr="0006151C">
        <w:rPr>
          <w:i/>
        </w:rPr>
        <w:t>Diario Oficial.</w:t>
      </w:r>
      <w:r w:rsidR="00D126E3" w:rsidRPr="005E3746">
        <w:t xml:space="preserve"> Contra las disposiciones contenidas en esta Resolución, no procede recurso alguno. </w:t>
      </w:r>
    </w:p>
    <w:p w:rsidR="00132A24" w:rsidRPr="002A2128" w:rsidRDefault="00132A24" w:rsidP="0006151C"/>
    <w:p w:rsidR="00D126E3" w:rsidRDefault="00D126E3" w:rsidP="00D126E3">
      <w:pPr>
        <w:tabs>
          <w:tab w:val="right" w:pos="9498"/>
        </w:tabs>
        <w:ind w:right="-142"/>
        <w:rPr>
          <w:rFonts w:cs="Arial"/>
          <w:sz w:val="10"/>
        </w:rPr>
      </w:pPr>
    </w:p>
    <w:p w:rsidR="00D126E3" w:rsidRPr="005023D3" w:rsidRDefault="00D126E3" w:rsidP="00D126E3">
      <w:pPr>
        <w:ind w:left="-181"/>
        <w:jc w:val="center"/>
        <w:rPr>
          <w:rFonts w:cs="Arial"/>
          <w:b/>
        </w:rPr>
      </w:pPr>
      <w:r>
        <w:rPr>
          <w:rFonts w:cs="Arial"/>
          <w:b/>
        </w:rPr>
        <w:t xml:space="preserve">     </w:t>
      </w:r>
      <w:r w:rsidRPr="005023D3">
        <w:rPr>
          <w:rFonts w:cs="Arial"/>
          <w:b/>
        </w:rPr>
        <w:t>NOTIFÍQUESE, PUBLÍQUESE Y CÚMPLASE,</w:t>
      </w:r>
    </w:p>
    <w:p w:rsidR="00D126E3" w:rsidRDefault="00D126E3" w:rsidP="00D126E3">
      <w:pPr>
        <w:rPr>
          <w:rFonts w:cs="Arial"/>
          <w:sz w:val="20"/>
          <w:szCs w:val="20"/>
        </w:rPr>
      </w:pPr>
    </w:p>
    <w:p w:rsidR="00447106" w:rsidRDefault="00447106" w:rsidP="00D126E3">
      <w:pPr>
        <w:rPr>
          <w:rFonts w:cs="Arial"/>
          <w:sz w:val="20"/>
          <w:szCs w:val="20"/>
        </w:rPr>
      </w:pPr>
    </w:p>
    <w:p w:rsidR="007B291D" w:rsidRPr="003234E2" w:rsidRDefault="007B291D" w:rsidP="00D126E3">
      <w:pPr>
        <w:rPr>
          <w:rFonts w:cs="Arial"/>
          <w:sz w:val="20"/>
          <w:szCs w:val="20"/>
        </w:rPr>
      </w:pPr>
    </w:p>
    <w:p w:rsidR="00D126E3" w:rsidRPr="005023D3" w:rsidRDefault="00D126E3" w:rsidP="00D126E3">
      <w:pPr>
        <w:rPr>
          <w:rFonts w:cs="Arial"/>
          <w:szCs w:val="20"/>
        </w:rPr>
      </w:pPr>
      <w:r w:rsidRPr="005023D3">
        <w:rPr>
          <w:rFonts w:cs="Arial"/>
          <w:szCs w:val="20"/>
        </w:rPr>
        <w:t>Dada en Bogotá, D.C.</w:t>
      </w:r>
    </w:p>
    <w:p w:rsidR="00D126E3" w:rsidRDefault="00D126E3" w:rsidP="00D126E3">
      <w:pPr>
        <w:rPr>
          <w:rFonts w:cs="Arial"/>
          <w:szCs w:val="20"/>
        </w:rPr>
      </w:pPr>
    </w:p>
    <w:p w:rsidR="00D126E3" w:rsidRPr="002A01F2" w:rsidRDefault="00D126E3" w:rsidP="00D126E3">
      <w:pPr>
        <w:rPr>
          <w:rFonts w:cs="Arial"/>
          <w:sz w:val="18"/>
          <w:szCs w:val="20"/>
        </w:rPr>
      </w:pPr>
    </w:p>
    <w:p w:rsidR="00D126E3" w:rsidRPr="00FE2D9D" w:rsidRDefault="00D126E3" w:rsidP="00D126E3">
      <w:pPr>
        <w:rPr>
          <w:rFonts w:cs="Arial"/>
          <w:sz w:val="22"/>
          <w:szCs w:val="20"/>
        </w:rPr>
      </w:pPr>
    </w:p>
    <w:p w:rsidR="00D126E3" w:rsidRDefault="00D126E3" w:rsidP="00D126E3">
      <w:pPr>
        <w:rPr>
          <w:rFonts w:cs="Arial"/>
          <w:szCs w:val="20"/>
        </w:rPr>
      </w:pPr>
    </w:p>
    <w:p w:rsidR="00447106" w:rsidRPr="00FE2D9D" w:rsidRDefault="00447106" w:rsidP="00D126E3">
      <w:pPr>
        <w:rPr>
          <w:rFonts w:cs="Arial"/>
          <w:szCs w:val="20"/>
        </w:rPr>
      </w:pPr>
    </w:p>
    <w:tbl>
      <w:tblPr>
        <w:tblW w:w="10038" w:type="dxa"/>
        <w:tblInd w:w="-142" w:type="dxa"/>
        <w:tblLayout w:type="fixed"/>
        <w:tblCellMar>
          <w:left w:w="0" w:type="dxa"/>
          <w:right w:w="0" w:type="dxa"/>
        </w:tblCellMar>
        <w:tblLook w:val="04A0" w:firstRow="1" w:lastRow="0" w:firstColumn="1" w:lastColumn="0" w:noHBand="0" w:noVBand="1"/>
      </w:tblPr>
      <w:tblGrid>
        <w:gridCol w:w="5019"/>
        <w:gridCol w:w="5019"/>
      </w:tblGrid>
      <w:tr w:rsidR="00996C28" w:rsidRPr="00782E1A" w:rsidTr="00996C28">
        <w:trPr>
          <w:trHeight w:val="284"/>
        </w:trPr>
        <w:tc>
          <w:tcPr>
            <w:tcW w:w="5019" w:type="dxa"/>
          </w:tcPr>
          <w:p w:rsidR="00996C28" w:rsidRPr="00782E1A" w:rsidRDefault="00996C28" w:rsidP="00BB55F8">
            <w:pPr>
              <w:snapToGrid w:val="0"/>
              <w:jc w:val="center"/>
              <w:rPr>
                <w:rFonts w:cs="Arial"/>
                <w:b/>
                <w:bCs/>
              </w:rPr>
            </w:pPr>
            <w:r w:rsidRPr="006114D0">
              <w:rPr>
                <w:rFonts w:cs="Arial"/>
                <w:b/>
              </w:rPr>
              <w:t>RUTTY PAOLA ORTIZ JARA</w:t>
            </w:r>
          </w:p>
        </w:tc>
        <w:tc>
          <w:tcPr>
            <w:tcW w:w="5019" w:type="dxa"/>
            <w:hideMark/>
          </w:tcPr>
          <w:p w:rsidR="00996C28" w:rsidRPr="00782E1A" w:rsidRDefault="00996C28">
            <w:pPr>
              <w:snapToGrid w:val="0"/>
              <w:jc w:val="center"/>
              <w:rPr>
                <w:rFonts w:cs="Arial"/>
                <w:b/>
                <w:bCs/>
              </w:rPr>
            </w:pPr>
            <w:r w:rsidRPr="00782E1A">
              <w:rPr>
                <w:rFonts w:cs="Arial"/>
                <w:b/>
                <w:bCs/>
              </w:rPr>
              <w:t xml:space="preserve">GERMAN </w:t>
            </w:r>
            <w:r>
              <w:rPr>
                <w:rFonts w:cs="Arial"/>
                <w:b/>
                <w:bCs/>
              </w:rPr>
              <w:t>C</w:t>
            </w:r>
            <w:r w:rsidRPr="00782E1A">
              <w:rPr>
                <w:rFonts w:cs="Arial"/>
                <w:b/>
                <w:bCs/>
              </w:rPr>
              <w:t>A</w:t>
            </w:r>
            <w:r>
              <w:rPr>
                <w:rFonts w:cs="Arial"/>
                <w:b/>
                <w:bCs/>
              </w:rPr>
              <w:t>ST</w:t>
            </w:r>
            <w:r w:rsidRPr="00782E1A">
              <w:rPr>
                <w:rFonts w:cs="Arial"/>
                <w:b/>
                <w:bCs/>
              </w:rPr>
              <w:t>R</w:t>
            </w:r>
            <w:r>
              <w:rPr>
                <w:rFonts w:cs="Arial"/>
                <w:b/>
                <w:bCs/>
              </w:rPr>
              <w:t>O</w:t>
            </w:r>
            <w:r w:rsidRPr="00782E1A">
              <w:rPr>
                <w:rFonts w:cs="Arial"/>
                <w:b/>
                <w:bCs/>
              </w:rPr>
              <w:t xml:space="preserve"> </w:t>
            </w:r>
            <w:r>
              <w:rPr>
                <w:rFonts w:cs="Arial"/>
                <w:b/>
                <w:bCs/>
              </w:rPr>
              <w:t>FERREIRA</w:t>
            </w:r>
          </w:p>
        </w:tc>
      </w:tr>
      <w:tr w:rsidR="00996C28" w:rsidRPr="00782E1A" w:rsidTr="00996C28">
        <w:trPr>
          <w:trHeight w:val="298"/>
        </w:trPr>
        <w:tc>
          <w:tcPr>
            <w:tcW w:w="5019" w:type="dxa"/>
          </w:tcPr>
          <w:p w:rsidR="00996C28" w:rsidRPr="006114D0" w:rsidRDefault="00996C28" w:rsidP="00BB55F8">
            <w:pPr>
              <w:widowControl w:val="0"/>
              <w:jc w:val="center"/>
              <w:rPr>
                <w:rFonts w:cs="Arial"/>
              </w:rPr>
            </w:pPr>
            <w:r>
              <w:rPr>
                <w:rFonts w:cs="Arial"/>
              </w:rPr>
              <w:t>Viceministra de Energía</w:t>
            </w:r>
          </w:p>
          <w:p w:rsidR="00996C28" w:rsidRPr="006114D0" w:rsidRDefault="00996C28" w:rsidP="00BB55F8">
            <w:pPr>
              <w:widowControl w:val="0"/>
              <w:jc w:val="center"/>
              <w:rPr>
                <w:rFonts w:cs="Arial"/>
              </w:rPr>
            </w:pPr>
            <w:r w:rsidRPr="006114D0">
              <w:rPr>
                <w:rFonts w:cs="Arial"/>
              </w:rPr>
              <w:t>Delegada del Ministro de Minas y Energía</w:t>
            </w:r>
          </w:p>
          <w:p w:rsidR="00996C28" w:rsidRPr="00782E1A" w:rsidRDefault="00996C28" w:rsidP="00BB55F8">
            <w:pPr>
              <w:snapToGrid w:val="0"/>
              <w:jc w:val="center"/>
              <w:rPr>
                <w:rFonts w:cs="Arial"/>
              </w:rPr>
            </w:pPr>
            <w:r w:rsidRPr="006114D0">
              <w:rPr>
                <w:rFonts w:cs="Arial"/>
              </w:rPr>
              <w:t>Presidente</w:t>
            </w:r>
          </w:p>
        </w:tc>
        <w:tc>
          <w:tcPr>
            <w:tcW w:w="5019" w:type="dxa"/>
            <w:hideMark/>
          </w:tcPr>
          <w:p w:rsidR="00996C28" w:rsidRPr="00782E1A" w:rsidRDefault="00996C28">
            <w:pPr>
              <w:snapToGrid w:val="0"/>
              <w:jc w:val="center"/>
              <w:rPr>
                <w:rFonts w:cs="Arial"/>
              </w:rPr>
            </w:pPr>
            <w:r>
              <w:rPr>
                <w:rFonts w:cs="Arial"/>
              </w:rPr>
              <w:t>Director Ejecutivo</w:t>
            </w:r>
          </w:p>
        </w:tc>
      </w:tr>
      <w:tr w:rsidR="00996C28" w:rsidRPr="00BE4163" w:rsidTr="00996C28">
        <w:trPr>
          <w:trHeight w:val="336"/>
        </w:trPr>
        <w:tc>
          <w:tcPr>
            <w:tcW w:w="5019" w:type="dxa"/>
          </w:tcPr>
          <w:p w:rsidR="00996C28" w:rsidRPr="00782E1A" w:rsidRDefault="00996C28" w:rsidP="00BB55F8">
            <w:pPr>
              <w:snapToGrid w:val="0"/>
              <w:jc w:val="center"/>
              <w:rPr>
                <w:rFonts w:cs="Arial"/>
              </w:rPr>
            </w:pPr>
          </w:p>
        </w:tc>
        <w:tc>
          <w:tcPr>
            <w:tcW w:w="5019" w:type="dxa"/>
            <w:hideMark/>
          </w:tcPr>
          <w:p w:rsidR="00996C28" w:rsidRPr="00BE4163" w:rsidRDefault="00996C28" w:rsidP="00996C28">
            <w:pPr>
              <w:snapToGrid w:val="0"/>
              <w:rPr>
                <w:rFonts w:cs="Arial"/>
              </w:rPr>
            </w:pPr>
          </w:p>
        </w:tc>
      </w:tr>
    </w:tbl>
    <w:p w:rsidR="003E59E7" w:rsidRDefault="003E59E7" w:rsidP="00FE2D9D">
      <w:pPr>
        <w:rPr>
          <w:sz w:val="20"/>
        </w:rPr>
      </w:pPr>
    </w:p>
    <w:p w:rsidR="00D90A80" w:rsidRDefault="00D90A80" w:rsidP="00FE2D9D">
      <w:pPr>
        <w:rPr>
          <w:sz w:val="20"/>
        </w:rPr>
      </w:pPr>
    </w:p>
    <w:p w:rsidR="005C70F7" w:rsidRDefault="005C70F7">
      <w:pPr>
        <w:jc w:val="left"/>
        <w:rPr>
          <w:sz w:val="20"/>
          <w:lang w:val="es-CO"/>
        </w:rPr>
      </w:pPr>
      <w:r>
        <w:rPr>
          <w:sz w:val="20"/>
          <w:lang w:val="es-CO"/>
        </w:rPr>
        <w:br w:type="page"/>
      </w:r>
    </w:p>
    <w:p w:rsidR="005C70F7" w:rsidRPr="00411A6B" w:rsidRDefault="005C70F7" w:rsidP="005C70F7">
      <w:pPr>
        <w:pStyle w:val="Ttulo1"/>
        <w:numPr>
          <w:ilvl w:val="0"/>
          <w:numId w:val="0"/>
        </w:numPr>
        <w:spacing w:line="276" w:lineRule="auto"/>
        <w:jc w:val="center"/>
        <w:rPr>
          <w:b/>
        </w:rPr>
      </w:pPr>
      <w:r w:rsidRPr="00411A6B">
        <w:rPr>
          <w:b/>
        </w:rPr>
        <w:lastRenderedPageBreak/>
        <w:t xml:space="preserve">Anexo 1 </w:t>
      </w:r>
    </w:p>
    <w:p w:rsidR="0097535B" w:rsidRPr="007F2036" w:rsidRDefault="0097535B" w:rsidP="00996C28"/>
    <w:p w:rsidR="0097535B" w:rsidRDefault="0097535B" w:rsidP="005C70F7">
      <w:pPr>
        <w:pStyle w:val="Ttulo1"/>
        <w:numPr>
          <w:ilvl w:val="0"/>
          <w:numId w:val="0"/>
        </w:numPr>
        <w:jc w:val="center"/>
        <w:rPr>
          <w:bCs/>
        </w:rPr>
      </w:pPr>
      <w:r>
        <w:rPr>
          <w:bCs/>
        </w:rPr>
        <w:t>“Anexo 1</w:t>
      </w:r>
    </w:p>
    <w:p w:rsidR="005C70F7" w:rsidRDefault="005C70F7" w:rsidP="005C70F7">
      <w:pPr>
        <w:pStyle w:val="Ttulo1"/>
        <w:numPr>
          <w:ilvl w:val="0"/>
          <w:numId w:val="0"/>
        </w:numPr>
        <w:jc w:val="center"/>
        <w:rPr>
          <w:b/>
          <w:bCs/>
        </w:rPr>
      </w:pPr>
      <w:r w:rsidRPr="000D6799">
        <w:rPr>
          <w:bCs/>
        </w:rPr>
        <w:t>Valores a retirar de la base tarifaria</w:t>
      </w:r>
      <w:r>
        <w:rPr>
          <w:bCs/>
        </w:rPr>
        <w:t xml:space="preserve"> cuando se realice el ajuste tarifario de que trata </w:t>
      </w:r>
      <w:r w:rsidRPr="000D6799">
        <w:rPr>
          <w:bCs/>
        </w:rPr>
        <w:t>e</w:t>
      </w:r>
      <w:r>
        <w:rPr>
          <w:bCs/>
        </w:rPr>
        <w:t>l Artículo 2 de la Resolución CREG 162 de 2015</w:t>
      </w:r>
    </w:p>
    <w:p w:rsidR="005C70F7" w:rsidRDefault="005C70F7" w:rsidP="00FE2D9D">
      <w:pPr>
        <w:rPr>
          <w:sz w:val="20"/>
          <w:lang w:val="es-CO"/>
        </w:rPr>
      </w:pPr>
    </w:p>
    <w:p w:rsidR="005C70F7" w:rsidRDefault="005C70F7" w:rsidP="00FE2D9D">
      <w:pPr>
        <w:rPr>
          <w:sz w:val="20"/>
          <w:lang w:val="es-CO"/>
        </w:rPr>
      </w:pPr>
    </w:p>
    <w:p w:rsidR="00D90A80" w:rsidRDefault="005E47BB" w:rsidP="005E47BB">
      <w:pPr>
        <w:ind w:left="-142"/>
        <w:rPr>
          <w:sz w:val="20"/>
          <w:lang w:val="es-CO"/>
        </w:rPr>
      </w:pPr>
      <w:r w:rsidRPr="005E47BB">
        <w:rPr>
          <w:noProof/>
          <w:lang w:val="es-CO" w:eastAsia="es-CO"/>
        </w:rPr>
        <w:drawing>
          <wp:inline distT="0" distB="0" distL="0" distR="0">
            <wp:extent cx="6062814" cy="2303253"/>
            <wp:effectExtent l="0" t="0" r="0" b="190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075890" cy="2308221"/>
                    </a:xfrm>
                    <a:prstGeom prst="rect">
                      <a:avLst/>
                    </a:prstGeom>
                    <a:noFill/>
                    <a:ln>
                      <a:noFill/>
                    </a:ln>
                  </pic:spPr>
                </pic:pic>
              </a:graphicData>
            </a:graphic>
          </wp:inline>
        </w:drawing>
      </w:r>
    </w:p>
    <w:p w:rsidR="005C70F7" w:rsidRDefault="005C70F7" w:rsidP="00FE2D9D">
      <w:pPr>
        <w:rPr>
          <w:sz w:val="20"/>
          <w:lang w:val="es-CO"/>
        </w:rPr>
      </w:pPr>
    </w:p>
    <w:p w:rsidR="005C70F7" w:rsidRDefault="00FB0E31" w:rsidP="00FE2D9D">
      <w:pPr>
        <w:rPr>
          <w:sz w:val="20"/>
          <w:lang w:val="es-CO"/>
        </w:rPr>
      </w:pPr>
      <w:r>
        <w:rPr>
          <w:sz w:val="20"/>
          <w:lang w:val="es-CO"/>
        </w:rPr>
        <w:t>”</w:t>
      </w:r>
    </w:p>
    <w:p w:rsidR="005C70F7" w:rsidRDefault="005C70F7" w:rsidP="005C70F7">
      <w:pPr>
        <w:jc w:val="center"/>
        <w:rPr>
          <w:b/>
          <w:sz w:val="18"/>
        </w:rPr>
      </w:pPr>
    </w:p>
    <w:p w:rsidR="00BB55F8" w:rsidRDefault="00BB55F8" w:rsidP="005C70F7">
      <w:pPr>
        <w:jc w:val="center"/>
        <w:rPr>
          <w:b/>
          <w:sz w:val="18"/>
        </w:rPr>
      </w:pPr>
    </w:p>
    <w:p w:rsidR="00BB55F8" w:rsidRDefault="00BB55F8" w:rsidP="005C70F7">
      <w:pPr>
        <w:jc w:val="center"/>
        <w:rPr>
          <w:b/>
          <w:sz w:val="18"/>
        </w:rPr>
      </w:pPr>
    </w:p>
    <w:p w:rsidR="005C70F7" w:rsidRDefault="005C70F7" w:rsidP="005C70F7">
      <w:pPr>
        <w:jc w:val="center"/>
        <w:rPr>
          <w:b/>
          <w:sz w:val="18"/>
        </w:rPr>
      </w:pPr>
    </w:p>
    <w:p w:rsidR="005C70F7" w:rsidRDefault="005C70F7" w:rsidP="005C70F7">
      <w:pPr>
        <w:jc w:val="center"/>
        <w:rPr>
          <w:b/>
          <w:sz w:val="18"/>
        </w:rPr>
      </w:pPr>
    </w:p>
    <w:tbl>
      <w:tblPr>
        <w:tblW w:w="0" w:type="auto"/>
        <w:jc w:val="center"/>
        <w:tblCellSpacing w:w="0" w:type="dxa"/>
        <w:tblCellMar>
          <w:left w:w="0" w:type="dxa"/>
          <w:right w:w="0" w:type="dxa"/>
        </w:tblCellMar>
        <w:tblLook w:val="04A0" w:firstRow="1" w:lastRow="0" w:firstColumn="1" w:lastColumn="0" w:noHBand="0" w:noVBand="1"/>
      </w:tblPr>
      <w:tblGrid>
        <w:gridCol w:w="5529"/>
        <w:gridCol w:w="3827"/>
      </w:tblGrid>
      <w:tr w:rsidR="005C70F7" w:rsidRPr="006114D0" w:rsidTr="002B6910">
        <w:trPr>
          <w:tblCellSpacing w:w="0" w:type="dxa"/>
          <w:jc w:val="center"/>
        </w:trPr>
        <w:tc>
          <w:tcPr>
            <w:tcW w:w="5529" w:type="dxa"/>
            <w:hideMark/>
          </w:tcPr>
          <w:p w:rsidR="005C70F7" w:rsidRPr="006114D0" w:rsidRDefault="005C70F7" w:rsidP="002B6910">
            <w:pPr>
              <w:widowControl w:val="0"/>
              <w:jc w:val="center"/>
              <w:rPr>
                <w:rFonts w:cs="Arial"/>
                <w:b/>
              </w:rPr>
            </w:pPr>
            <w:r w:rsidRPr="006114D0">
              <w:rPr>
                <w:rFonts w:cs="Arial"/>
                <w:b/>
              </w:rPr>
              <w:t>RUTTY PAOLA ORTIZ JARA</w:t>
            </w:r>
          </w:p>
        </w:tc>
        <w:tc>
          <w:tcPr>
            <w:tcW w:w="3827" w:type="dxa"/>
            <w:hideMark/>
          </w:tcPr>
          <w:p w:rsidR="005C70F7" w:rsidRPr="006114D0" w:rsidRDefault="005C70F7" w:rsidP="002B6910">
            <w:pPr>
              <w:widowControl w:val="0"/>
              <w:jc w:val="center"/>
              <w:rPr>
                <w:rFonts w:cs="Arial"/>
                <w:b/>
                <w:bCs/>
              </w:rPr>
            </w:pPr>
            <w:r w:rsidRPr="006114D0">
              <w:rPr>
                <w:rFonts w:cs="Arial"/>
                <w:b/>
                <w:bCs/>
              </w:rPr>
              <w:t>GERMÁN CASTRO FERREIRA</w:t>
            </w:r>
          </w:p>
        </w:tc>
      </w:tr>
      <w:tr w:rsidR="005C70F7" w:rsidRPr="006114D0" w:rsidTr="002B6910">
        <w:trPr>
          <w:tblCellSpacing w:w="0" w:type="dxa"/>
          <w:jc w:val="center"/>
        </w:trPr>
        <w:tc>
          <w:tcPr>
            <w:tcW w:w="5529" w:type="dxa"/>
            <w:hideMark/>
          </w:tcPr>
          <w:p w:rsidR="005C70F7" w:rsidRPr="006114D0" w:rsidRDefault="005C70F7" w:rsidP="002B6910">
            <w:pPr>
              <w:widowControl w:val="0"/>
              <w:jc w:val="center"/>
              <w:rPr>
                <w:rFonts w:cs="Arial"/>
              </w:rPr>
            </w:pPr>
            <w:r>
              <w:rPr>
                <w:rFonts w:cs="Arial"/>
              </w:rPr>
              <w:t>Viceministra de Energía</w:t>
            </w:r>
          </w:p>
          <w:p w:rsidR="005C70F7" w:rsidRPr="006114D0" w:rsidRDefault="005C70F7" w:rsidP="002B6910">
            <w:pPr>
              <w:widowControl w:val="0"/>
              <w:jc w:val="center"/>
              <w:rPr>
                <w:rFonts w:cs="Arial"/>
              </w:rPr>
            </w:pPr>
            <w:r w:rsidRPr="006114D0">
              <w:rPr>
                <w:rFonts w:cs="Arial"/>
              </w:rPr>
              <w:t>Delegada del Ministro de Minas y Energía</w:t>
            </w:r>
          </w:p>
          <w:p w:rsidR="005C70F7" w:rsidRPr="006114D0" w:rsidRDefault="005C70F7" w:rsidP="002B6910">
            <w:pPr>
              <w:widowControl w:val="0"/>
              <w:jc w:val="center"/>
              <w:rPr>
                <w:rFonts w:cs="Arial"/>
              </w:rPr>
            </w:pPr>
            <w:r w:rsidRPr="006114D0">
              <w:rPr>
                <w:rFonts w:cs="Arial"/>
              </w:rPr>
              <w:t>Presidente</w:t>
            </w:r>
          </w:p>
        </w:tc>
        <w:tc>
          <w:tcPr>
            <w:tcW w:w="3827" w:type="dxa"/>
            <w:hideMark/>
          </w:tcPr>
          <w:p w:rsidR="005C70F7" w:rsidRPr="006114D0" w:rsidRDefault="005C70F7" w:rsidP="002B6910">
            <w:pPr>
              <w:widowControl w:val="0"/>
              <w:jc w:val="center"/>
              <w:rPr>
                <w:rFonts w:cs="Arial"/>
                <w:bCs/>
              </w:rPr>
            </w:pPr>
            <w:r w:rsidRPr="006114D0">
              <w:rPr>
                <w:rFonts w:cs="Arial"/>
                <w:bCs/>
              </w:rPr>
              <w:t>Director Ejecutivo</w:t>
            </w:r>
          </w:p>
        </w:tc>
      </w:tr>
    </w:tbl>
    <w:p w:rsidR="005C70F7" w:rsidRDefault="005C70F7" w:rsidP="005C70F7">
      <w:pPr>
        <w:rPr>
          <w:b/>
          <w:sz w:val="18"/>
        </w:rPr>
      </w:pPr>
    </w:p>
    <w:p w:rsidR="005C70F7" w:rsidRDefault="005C70F7" w:rsidP="005C70F7">
      <w:pPr>
        <w:jc w:val="center"/>
        <w:rPr>
          <w:b/>
          <w:sz w:val="18"/>
        </w:rPr>
      </w:pPr>
    </w:p>
    <w:p w:rsidR="005C70F7" w:rsidRDefault="005C70F7" w:rsidP="005C70F7">
      <w:pPr>
        <w:jc w:val="left"/>
        <w:rPr>
          <w:b/>
          <w:spacing w:val="4"/>
        </w:rPr>
      </w:pPr>
      <w:r>
        <w:br w:type="page"/>
      </w:r>
    </w:p>
    <w:p w:rsidR="00FB0E31" w:rsidRPr="00411A6B" w:rsidRDefault="005C70F7" w:rsidP="005C70F7">
      <w:pPr>
        <w:pStyle w:val="Ttulo1"/>
        <w:numPr>
          <w:ilvl w:val="0"/>
          <w:numId w:val="0"/>
        </w:numPr>
        <w:ind w:left="432"/>
        <w:jc w:val="center"/>
        <w:rPr>
          <w:b/>
        </w:rPr>
      </w:pPr>
      <w:r w:rsidRPr="00411A6B">
        <w:rPr>
          <w:b/>
        </w:rPr>
        <w:lastRenderedPageBreak/>
        <w:t>Anexo 2</w:t>
      </w:r>
    </w:p>
    <w:p w:rsidR="00FB0E31" w:rsidRDefault="008F5503" w:rsidP="005C70F7">
      <w:pPr>
        <w:pStyle w:val="Ttulo1"/>
        <w:numPr>
          <w:ilvl w:val="0"/>
          <w:numId w:val="0"/>
        </w:numPr>
        <w:ind w:left="432"/>
        <w:jc w:val="center"/>
      </w:pPr>
      <w:r>
        <w:t>El Anexo 4 de la Resolución CREG 110 DE 2011 quedará así:</w:t>
      </w:r>
    </w:p>
    <w:p w:rsidR="00FB0E31" w:rsidRDefault="00FB0E31" w:rsidP="005C70F7">
      <w:pPr>
        <w:pStyle w:val="Ttulo1"/>
        <w:numPr>
          <w:ilvl w:val="0"/>
          <w:numId w:val="0"/>
        </w:numPr>
        <w:ind w:left="432"/>
        <w:jc w:val="center"/>
      </w:pPr>
      <w:r>
        <w:t>“</w:t>
      </w:r>
      <w:r w:rsidRPr="00996C28">
        <w:rPr>
          <w:b/>
        </w:rPr>
        <w:t>Anexo 4</w:t>
      </w:r>
    </w:p>
    <w:p w:rsidR="005C70F7" w:rsidRDefault="005C70F7" w:rsidP="005C70F7">
      <w:pPr>
        <w:pStyle w:val="Ttulo1"/>
        <w:numPr>
          <w:ilvl w:val="0"/>
          <w:numId w:val="0"/>
        </w:numPr>
        <w:ind w:left="432"/>
        <w:jc w:val="center"/>
        <w:rPr>
          <w:b/>
        </w:rPr>
      </w:pPr>
      <w:r w:rsidRPr="00996C28">
        <w:rPr>
          <w:b/>
        </w:rPr>
        <w:t xml:space="preserve"> Inversión existente</w:t>
      </w:r>
    </w:p>
    <w:p w:rsidR="005C70F7" w:rsidRDefault="00C83787" w:rsidP="005C70F7">
      <w:pPr>
        <w:jc w:val="center"/>
        <w:rPr>
          <w:sz w:val="18"/>
        </w:rPr>
      </w:pPr>
      <w:r w:rsidRPr="004737E0">
        <w:rPr>
          <w:noProof/>
          <w:lang w:val="es-CO" w:eastAsia="es-CO"/>
        </w:rPr>
        <w:drawing>
          <wp:inline distT="0" distB="0" distL="0" distR="0" wp14:anchorId="17E829C3" wp14:editId="4096E8FE">
            <wp:extent cx="5941060" cy="7722285"/>
            <wp:effectExtent l="0" t="0" r="254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941060" cy="7722285"/>
                    </a:xfrm>
                    <a:prstGeom prst="rect">
                      <a:avLst/>
                    </a:prstGeom>
                    <a:noFill/>
                    <a:ln>
                      <a:noFill/>
                    </a:ln>
                  </pic:spPr>
                </pic:pic>
              </a:graphicData>
            </a:graphic>
          </wp:inline>
        </w:drawing>
      </w:r>
    </w:p>
    <w:p w:rsidR="005C70F7" w:rsidRDefault="005C70F7" w:rsidP="00C87842">
      <w:pPr>
        <w:ind w:left="-284"/>
        <w:jc w:val="center"/>
        <w:rPr>
          <w:sz w:val="18"/>
        </w:rPr>
      </w:pPr>
    </w:p>
    <w:p w:rsidR="005C70F7" w:rsidRDefault="005C70F7" w:rsidP="00FE2D9D">
      <w:pPr>
        <w:rPr>
          <w:sz w:val="20"/>
        </w:rPr>
      </w:pPr>
    </w:p>
    <w:p w:rsidR="005C0930" w:rsidRDefault="005C0930" w:rsidP="00FE2D9D">
      <w:pPr>
        <w:rPr>
          <w:sz w:val="20"/>
        </w:rPr>
      </w:pPr>
    </w:p>
    <w:p w:rsidR="005C0930" w:rsidRDefault="005C0930" w:rsidP="00FE2D9D">
      <w:pPr>
        <w:rPr>
          <w:sz w:val="20"/>
        </w:rPr>
      </w:pPr>
    </w:p>
    <w:p w:rsidR="00FB0E31" w:rsidRDefault="005C0930" w:rsidP="00996C28">
      <w:pPr>
        <w:pStyle w:val="Ttulo1"/>
        <w:numPr>
          <w:ilvl w:val="0"/>
          <w:numId w:val="0"/>
        </w:numPr>
        <w:ind w:left="432"/>
        <w:jc w:val="center"/>
        <w:rPr>
          <w:sz w:val="18"/>
        </w:rPr>
      </w:pPr>
      <w:r w:rsidRPr="00804D1A">
        <w:lastRenderedPageBreak/>
        <w:t xml:space="preserve">Anexo </w:t>
      </w:r>
      <w:r>
        <w:t>2</w:t>
      </w:r>
      <w:r w:rsidR="00FB0E31">
        <w:t xml:space="preserve"> </w:t>
      </w:r>
      <w:r>
        <w:t>(cont</w:t>
      </w:r>
      <w:r w:rsidR="00FB0E31">
        <w:t>.)</w:t>
      </w:r>
    </w:p>
    <w:p w:rsidR="00FB0E31" w:rsidRDefault="00FB0E31" w:rsidP="00FB0E31">
      <w:pPr>
        <w:pStyle w:val="Ttulo1"/>
        <w:numPr>
          <w:ilvl w:val="0"/>
          <w:numId w:val="0"/>
        </w:numPr>
        <w:ind w:left="432"/>
        <w:jc w:val="center"/>
      </w:pPr>
    </w:p>
    <w:p w:rsidR="00FB0E31" w:rsidRDefault="00FB0E31" w:rsidP="00FB0E31">
      <w:pPr>
        <w:pStyle w:val="Ttulo1"/>
        <w:numPr>
          <w:ilvl w:val="0"/>
          <w:numId w:val="0"/>
        </w:numPr>
        <w:ind w:left="432"/>
        <w:jc w:val="center"/>
      </w:pPr>
      <w:r>
        <w:t>“</w:t>
      </w:r>
      <w:r w:rsidRPr="00946090">
        <w:rPr>
          <w:b/>
        </w:rPr>
        <w:t>Anexo 4</w:t>
      </w:r>
    </w:p>
    <w:p w:rsidR="00FB0E31" w:rsidRPr="00946090" w:rsidRDefault="00FB0E31" w:rsidP="00FB0E31">
      <w:pPr>
        <w:pStyle w:val="Ttulo1"/>
        <w:numPr>
          <w:ilvl w:val="0"/>
          <w:numId w:val="0"/>
        </w:numPr>
        <w:ind w:left="432"/>
        <w:jc w:val="center"/>
        <w:rPr>
          <w:b/>
          <w:sz w:val="14"/>
        </w:rPr>
      </w:pPr>
      <w:r w:rsidRPr="00946090">
        <w:rPr>
          <w:b/>
        </w:rPr>
        <w:t xml:space="preserve"> Inversión existente</w:t>
      </w:r>
      <w:r>
        <w:rPr>
          <w:b/>
        </w:rPr>
        <w:t xml:space="preserve"> (cont.)</w:t>
      </w:r>
    </w:p>
    <w:p w:rsidR="005C0930" w:rsidRDefault="004737E0" w:rsidP="002572AC">
      <w:pPr>
        <w:ind w:left="-284"/>
        <w:rPr>
          <w:sz w:val="20"/>
        </w:rPr>
      </w:pPr>
      <w:r w:rsidRPr="004737E0">
        <w:rPr>
          <w:noProof/>
          <w:lang w:val="es-CO" w:eastAsia="es-CO"/>
        </w:rPr>
        <w:drawing>
          <wp:inline distT="0" distB="0" distL="0" distR="0">
            <wp:extent cx="6223000" cy="5953118"/>
            <wp:effectExtent l="0" t="0" r="635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6223000" cy="5953118"/>
                    </a:xfrm>
                    <a:prstGeom prst="rect">
                      <a:avLst/>
                    </a:prstGeom>
                    <a:noFill/>
                    <a:ln>
                      <a:noFill/>
                    </a:ln>
                  </pic:spPr>
                </pic:pic>
              </a:graphicData>
            </a:graphic>
          </wp:inline>
        </w:drawing>
      </w:r>
    </w:p>
    <w:p w:rsidR="005C0930" w:rsidRDefault="005C0930" w:rsidP="00FE2D9D">
      <w:pPr>
        <w:rPr>
          <w:sz w:val="20"/>
        </w:rPr>
      </w:pPr>
    </w:p>
    <w:p w:rsidR="002572AC" w:rsidRDefault="00FB0E31" w:rsidP="00FE2D9D">
      <w:pPr>
        <w:rPr>
          <w:sz w:val="20"/>
        </w:rPr>
      </w:pPr>
      <w:r>
        <w:rPr>
          <w:sz w:val="20"/>
        </w:rPr>
        <w:t>”</w:t>
      </w:r>
    </w:p>
    <w:p w:rsidR="002572AC" w:rsidRDefault="002572AC" w:rsidP="00FE2D9D">
      <w:pPr>
        <w:rPr>
          <w:sz w:val="20"/>
        </w:rPr>
      </w:pPr>
    </w:p>
    <w:p w:rsidR="00FB0E31" w:rsidRDefault="00FB0E31" w:rsidP="00FE2D9D">
      <w:pPr>
        <w:rPr>
          <w:sz w:val="20"/>
        </w:rPr>
      </w:pPr>
    </w:p>
    <w:p w:rsidR="00FB0E31" w:rsidRDefault="00FB0E31" w:rsidP="00FE2D9D">
      <w:pPr>
        <w:rPr>
          <w:sz w:val="20"/>
        </w:rPr>
      </w:pPr>
    </w:p>
    <w:p w:rsidR="005C0930" w:rsidRDefault="005C0930" w:rsidP="00FE2D9D">
      <w:pPr>
        <w:rPr>
          <w:sz w:val="20"/>
        </w:rPr>
      </w:pPr>
    </w:p>
    <w:tbl>
      <w:tblPr>
        <w:tblW w:w="0" w:type="auto"/>
        <w:jc w:val="center"/>
        <w:tblCellSpacing w:w="0" w:type="dxa"/>
        <w:tblCellMar>
          <w:left w:w="0" w:type="dxa"/>
          <w:right w:w="0" w:type="dxa"/>
        </w:tblCellMar>
        <w:tblLook w:val="04A0" w:firstRow="1" w:lastRow="0" w:firstColumn="1" w:lastColumn="0" w:noHBand="0" w:noVBand="1"/>
      </w:tblPr>
      <w:tblGrid>
        <w:gridCol w:w="5529"/>
        <w:gridCol w:w="3827"/>
      </w:tblGrid>
      <w:tr w:rsidR="005C0930" w:rsidRPr="006114D0" w:rsidTr="002B6910">
        <w:trPr>
          <w:tblCellSpacing w:w="0" w:type="dxa"/>
          <w:jc w:val="center"/>
        </w:trPr>
        <w:tc>
          <w:tcPr>
            <w:tcW w:w="5529" w:type="dxa"/>
            <w:hideMark/>
          </w:tcPr>
          <w:p w:rsidR="005C0930" w:rsidRPr="006114D0" w:rsidRDefault="005C0930" w:rsidP="002B6910">
            <w:pPr>
              <w:widowControl w:val="0"/>
              <w:jc w:val="center"/>
              <w:rPr>
                <w:rFonts w:cs="Arial"/>
                <w:b/>
              </w:rPr>
            </w:pPr>
            <w:r w:rsidRPr="006114D0">
              <w:rPr>
                <w:rFonts w:cs="Arial"/>
                <w:b/>
              </w:rPr>
              <w:t>RUTTY PAOLA ORTIZ JARA</w:t>
            </w:r>
          </w:p>
        </w:tc>
        <w:tc>
          <w:tcPr>
            <w:tcW w:w="3827" w:type="dxa"/>
            <w:hideMark/>
          </w:tcPr>
          <w:p w:rsidR="005C0930" w:rsidRPr="006114D0" w:rsidRDefault="005C0930" w:rsidP="002B6910">
            <w:pPr>
              <w:widowControl w:val="0"/>
              <w:jc w:val="center"/>
              <w:rPr>
                <w:rFonts w:cs="Arial"/>
                <w:b/>
                <w:bCs/>
              </w:rPr>
            </w:pPr>
            <w:r w:rsidRPr="006114D0">
              <w:rPr>
                <w:rFonts w:cs="Arial"/>
                <w:b/>
                <w:bCs/>
              </w:rPr>
              <w:t>GERMÁN CASTRO FERREIRA</w:t>
            </w:r>
          </w:p>
        </w:tc>
      </w:tr>
      <w:tr w:rsidR="005C0930" w:rsidRPr="006114D0" w:rsidTr="00996C28">
        <w:trPr>
          <w:trHeight w:val="87"/>
          <w:tblCellSpacing w:w="0" w:type="dxa"/>
          <w:jc w:val="center"/>
        </w:trPr>
        <w:tc>
          <w:tcPr>
            <w:tcW w:w="5529" w:type="dxa"/>
            <w:hideMark/>
          </w:tcPr>
          <w:p w:rsidR="005C0930" w:rsidRPr="006114D0" w:rsidRDefault="005C0930" w:rsidP="002B6910">
            <w:pPr>
              <w:widowControl w:val="0"/>
              <w:jc w:val="center"/>
              <w:rPr>
                <w:rFonts w:cs="Arial"/>
              </w:rPr>
            </w:pPr>
            <w:r>
              <w:rPr>
                <w:rFonts w:cs="Arial"/>
              </w:rPr>
              <w:t>Viceministra de Energía</w:t>
            </w:r>
          </w:p>
          <w:p w:rsidR="005C0930" w:rsidRPr="006114D0" w:rsidRDefault="005C0930" w:rsidP="002B6910">
            <w:pPr>
              <w:widowControl w:val="0"/>
              <w:jc w:val="center"/>
              <w:rPr>
                <w:rFonts w:cs="Arial"/>
              </w:rPr>
            </w:pPr>
            <w:r w:rsidRPr="006114D0">
              <w:rPr>
                <w:rFonts w:cs="Arial"/>
              </w:rPr>
              <w:t>Delegada del Ministro de Minas y Energía</w:t>
            </w:r>
          </w:p>
          <w:p w:rsidR="005C0930" w:rsidRPr="006114D0" w:rsidRDefault="005C0930" w:rsidP="002B6910">
            <w:pPr>
              <w:widowControl w:val="0"/>
              <w:jc w:val="center"/>
              <w:rPr>
                <w:rFonts w:cs="Arial"/>
              </w:rPr>
            </w:pPr>
            <w:r w:rsidRPr="006114D0">
              <w:rPr>
                <w:rFonts w:cs="Arial"/>
              </w:rPr>
              <w:t>Presidente</w:t>
            </w:r>
          </w:p>
        </w:tc>
        <w:tc>
          <w:tcPr>
            <w:tcW w:w="3827" w:type="dxa"/>
            <w:hideMark/>
          </w:tcPr>
          <w:p w:rsidR="005C0930" w:rsidRPr="006114D0" w:rsidRDefault="005C0930" w:rsidP="002B6910">
            <w:pPr>
              <w:widowControl w:val="0"/>
              <w:jc w:val="center"/>
              <w:rPr>
                <w:rFonts w:cs="Arial"/>
                <w:bCs/>
              </w:rPr>
            </w:pPr>
            <w:r w:rsidRPr="006114D0">
              <w:rPr>
                <w:rFonts w:cs="Arial"/>
                <w:bCs/>
              </w:rPr>
              <w:t>Director Ejecutivo</w:t>
            </w:r>
          </w:p>
        </w:tc>
      </w:tr>
    </w:tbl>
    <w:p w:rsidR="005C0930" w:rsidRPr="0006151C" w:rsidRDefault="005C0930" w:rsidP="00FE2D9D">
      <w:pPr>
        <w:rPr>
          <w:sz w:val="20"/>
        </w:rPr>
      </w:pPr>
    </w:p>
    <w:sectPr w:rsidR="005C0930" w:rsidRPr="0006151C" w:rsidSect="00D549B1">
      <w:headerReference w:type="default" r:id="rId19"/>
      <w:headerReference w:type="first" r:id="rId20"/>
      <w:type w:val="continuous"/>
      <w:pgSz w:w="12242" w:h="18722" w:code="123"/>
      <w:pgMar w:top="2341" w:right="1185" w:bottom="175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F7CD0" w:rsidRDefault="004F7CD0">
      <w:r>
        <w:separator/>
      </w:r>
    </w:p>
  </w:endnote>
  <w:endnote w:type="continuationSeparator" w:id="0">
    <w:p w:rsidR="004F7CD0" w:rsidRDefault="004F7C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omic Sans MS">
    <w:panose1 w:val="030F0702030302020204"/>
    <w:charset w:val="00"/>
    <w:family w:val="script"/>
    <w:pitch w:val="variable"/>
    <w:sig w:usb0="00000287" w:usb1="4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F7CD0" w:rsidRDefault="004F7CD0">
      <w:r>
        <w:separator/>
      </w:r>
    </w:p>
  </w:footnote>
  <w:footnote w:type="continuationSeparator" w:id="0">
    <w:p w:rsidR="004F7CD0" w:rsidRDefault="004F7CD0">
      <w:r>
        <w:continuationSeparator/>
      </w:r>
    </w:p>
  </w:footnote>
  <w:footnote w:id="1">
    <w:p w:rsidR="00952C2B" w:rsidRPr="00996C28" w:rsidRDefault="00952C2B">
      <w:pPr>
        <w:pStyle w:val="Textonotapie"/>
        <w:rPr>
          <w:rFonts w:ascii="Bookman Old Style" w:hAnsi="Bookman Old Style" w:cs="Arial"/>
          <w:sz w:val="16"/>
          <w:szCs w:val="16"/>
        </w:rPr>
      </w:pPr>
      <w:r w:rsidRPr="00996C28">
        <w:rPr>
          <w:rFonts w:ascii="Bookman Old Style" w:hAnsi="Bookman Old Style" w:cs="Arial"/>
          <w:sz w:val="16"/>
          <w:szCs w:val="16"/>
        </w:rPr>
        <w:footnoteRef/>
      </w:r>
      <w:r w:rsidRPr="00996C28">
        <w:rPr>
          <w:rFonts w:ascii="Bookman Old Style" w:hAnsi="Bookman Old Style" w:cs="Arial"/>
          <w:sz w:val="16"/>
          <w:szCs w:val="16"/>
        </w:rPr>
        <w:t xml:space="preserve"> Comunicación igual a E-2017-002152 sin anexos.</w:t>
      </w:r>
    </w:p>
  </w:footnote>
  <w:footnote w:id="2">
    <w:p w:rsidR="00952C2B" w:rsidRPr="009F7C06" w:rsidRDefault="00952C2B" w:rsidP="00B3256E">
      <w:pPr>
        <w:pStyle w:val="Textonotapie"/>
        <w:rPr>
          <w:rFonts w:ascii="Bookman Old Style" w:hAnsi="Bookman Old Style" w:cs="Arial"/>
          <w:sz w:val="16"/>
          <w:szCs w:val="16"/>
        </w:rPr>
      </w:pPr>
      <w:r w:rsidRPr="009F7C06">
        <w:rPr>
          <w:rFonts w:ascii="Bookman Old Style" w:hAnsi="Bookman Old Style" w:cs="Arial"/>
          <w:sz w:val="16"/>
          <w:szCs w:val="16"/>
        </w:rPr>
        <w:footnoteRef/>
      </w:r>
      <w:r w:rsidRPr="009F7C06">
        <w:rPr>
          <w:rFonts w:ascii="Bookman Old Style" w:hAnsi="Bookman Old Style" w:cs="Arial"/>
          <w:sz w:val="16"/>
          <w:szCs w:val="16"/>
        </w:rPr>
        <w:t xml:space="preserve"> Ley 1437 de 2011. </w:t>
      </w:r>
      <w:r>
        <w:rPr>
          <w:rFonts w:ascii="Bookman Old Style" w:hAnsi="Bookman Old Style" w:cs="Arial"/>
          <w:sz w:val="16"/>
          <w:szCs w:val="16"/>
        </w:rPr>
        <w:t xml:space="preserve">“Artículo </w:t>
      </w:r>
      <w:r w:rsidRPr="009F7C06">
        <w:rPr>
          <w:rFonts w:ascii="Bookman Old Style" w:hAnsi="Bookman Old Style" w:cs="Arial"/>
          <w:sz w:val="16"/>
          <w:szCs w:val="16"/>
        </w:rPr>
        <w:t>67. Notificación personal. Las decisiones que pongan término a una actuación administrativa se notificarán personalmente al interesado, a su representante o apoderado, o a la persona debidamente autorizada por el interesado para notificarse.</w:t>
      </w:r>
    </w:p>
    <w:p w:rsidR="00952C2B" w:rsidRPr="009F7C06" w:rsidRDefault="00952C2B" w:rsidP="00B3256E">
      <w:pPr>
        <w:pStyle w:val="Textonotapie"/>
        <w:rPr>
          <w:rFonts w:ascii="Bookman Old Style" w:hAnsi="Bookman Old Style" w:cs="Arial"/>
          <w:sz w:val="16"/>
          <w:szCs w:val="16"/>
        </w:rPr>
      </w:pPr>
    </w:p>
    <w:p w:rsidR="00952C2B" w:rsidRPr="009F7C06" w:rsidRDefault="00952C2B" w:rsidP="00B3256E">
      <w:pPr>
        <w:pStyle w:val="Textonotapie"/>
        <w:rPr>
          <w:rFonts w:ascii="Bookman Old Style" w:hAnsi="Bookman Old Style" w:cs="Arial"/>
          <w:sz w:val="16"/>
          <w:szCs w:val="16"/>
        </w:rPr>
      </w:pPr>
      <w:r w:rsidRPr="009F7C06">
        <w:rPr>
          <w:rFonts w:ascii="Bookman Old Style" w:hAnsi="Bookman Old Style" w:cs="Arial"/>
          <w:sz w:val="16"/>
          <w:szCs w:val="16"/>
        </w:rPr>
        <w:t>En la diligencia de notificación se entregará al interesado copia íntegra, auténtica y gratuita del acto administrativo, con anotación de la fecha y la hora, los recursos que legalmente proceden, las autoridades ante quienes deben interponerse y los plazos para hacerlo (…).”</w:t>
      </w:r>
    </w:p>
  </w:footnote>
  <w:footnote w:id="3">
    <w:p w:rsidR="00952C2B" w:rsidRPr="009F7C06" w:rsidRDefault="00952C2B" w:rsidP="00D126E3">
      <w:pPr>
        <w:pStyle w:val="Textonotapie"/>
        <w:rPr>
          <w:rFonts w:ascii="Bookman Old Style" w:hAnsi="Bookman Old Style" w:cs="Arial"/>
          <w:sz w:val="16"/>
          <w:szCs w:val="16"/>
        </w:rPr>
      </w:pPr>
    </w:p>
    <w:p w:rsidR="00952C2B" w:rsidRPr="009F7C06" w:rsidRDefault="00952C2B" w:rsidP="00D126E3">
      <w:pPr>
        <w:pStyle w:val="Textonotapie"/>
        <w:rPr>
          <w:rFonts w:ascii="Bookman Old Style" w:hAnsi="Bookman Old Style" w:cs="Arial"/>
          <w:sz w:val="16"/>
          <w:szCs w:val="16"/>
        </w:rPr>
      </w:pPr>
      <w:r w:rsidRPr="009F7C06">
        <w:rPr>
          <w:rFonts w:ascii="Bookman Old Style" w:hAnsi="Bookman Old Style" w:cs="Arial"/>
          <w:sz w:val="16"/>
          <w:szCs w:val="16"/>
        </w:rPr>
        <w:footnoteRef/>
      </w:r>
      <w:r w:rsidRPr="009F7C06">
        <w:rPr>
          <w:rFonts w:ascii="Bookman Old Style" w:hAnsi="Bookman Old Style" w:cs="Arial"/>
          <w:sz w:val="16"/>
          <w:szCs w:val="16"/>
        </w:rPr>
        <w:t xml:space="preserve"> “Artículo 77. Requisitos. Por regla general los recursos se interpondrán por escrito que no requiere de presentación personal si quien lo presenta ha sido reconocido en la actuación. Igualmente, podrán presentarse por medios electrónicos. Los recursos deberán reunir, además, los siguientes requisitos:</w:t>
      </w:r>
    </w:p>
    <w:p w:rsidR="00952C2B" w:rsidRPr="009F7C06" w:rsidRDefault="00952C2B" w:rsidP="00D126E3">
      <w:pPr>
        <w:pStyle w:val="Textonotapie"/>
        <w:rPr>
          <w:rFonts w:ascii="Bookman Old Style" w:hAnsi="Bookman Old Style" w:cs="Arial"/>
          <w:sz w:val="16"/>
          <w:szCs w:val="16"/>
        </w:rPr>
      </w:pPr>
      <w:r w:rsidRPr="009F7C06">
        <w:rPr>
          <w:rFonts w:ascii="Bookman Old Style" w:hAnsi="Bookman Old Style" w:cs="Arial"/>
          <w:sz w:val="16"/>
          <w:szCs w:val="16"/>
        </w:rPr>
        <w:t>1. Interponerse dentro del plazo legal, por el interesado o su representante o apoderado debidamente constituido.</w:t>
      </w:r>
    </w:p>
    <w:p w:rsidR="00952C2B" w:rsidRPr="009F7C06" w:rsidRDefault="00952C2B" w:rsidP="00D126E3">
      <w:pPr>
        <w:pStyle w:val="Textonotapie"/>
        <w:rPr>
          <w:rFonts w:ascii="Bookman Old Style" w:hAnsi="Bookman Old Style" w:cs="Arial"/>
          <w:sz w:val="16"/>
          <w:szCs w:val="16"/>
        </w:rPr>
      </w:pPr>
      <w:r w:rsidRPr="009F7C06">
        <w:rPr>
          <w:rFonts w:ascii="Bookman Old Style" w:hAnsi="Bookman Old Style" w:cs="Arial"/>
          <w:sz w:val="16"/>
          <w:szCs w:val="16"/>
        </w:rPr>
        <w:t>2. Sustentarse con expresión concreta de los motivos de inconformidad.</w:t>
      </w:r>
    </w:p>
    <w:p w:rsidR="00952C2B" w:rsidRPr="009F7C06" w:rsidRDefault="00952C2B" w:rsidP="00D126E3">
      <w:pPr>
        <w:pStyle w:val="Textonotapie"/>
        <w:rPr>
          <w:rFonts w:ascii="Bookman Old Style" w:hAnsi="Bookman Old Style" w:cs="Arial"/>
          <w:sz w:val="16"/>
          <w:szCs w:val="16"/>
        </w:rPr>
      </w:pPr>
      <w:r w:rsidRPr="009F7C06">
        <w:rPr>
          <w:rFonts w:ascii="Bookman Old Style" w:hAnsi="Bookman Old Style" w:cs="Arial"/>
          <w:sz w:val="16"/>
          <w:szCs w:val="16"/>
        </w:rPr>
        <w:t>3. Solicitar y aportar las pruebas que se pretende hacer valer.</w:t>
      </w:r>
    </w:p>
    <w:p w:rsidR="00952C2B" w:rsidRPr="009F7C06" w:rsidRDefault="00952C2B" w:rsidP="00D126E3">
      <w:pPr>
        <w:pStyle w:val="Textonotapie"/>
        <w:rPr>
          <w:rFonts w:ascii="Bookman Old Style" w:hAnsi="Bookman Old Style"/>
          <w:sz w:val="16"/>
          <w:szCs w:val="16"/>
        </w:rPr>
      </w:pPr>
      <w:r w:rsidRPr="009F7C06">
        <w:rPr>
          <w:rFonts w:ascii="Bookman Old Style" w:hAnsi="Bookman Old Style" w:cs="Arial"/>
          <w:sz w:val="16"/>
          <w:szCs w:val="16"/>
        </w:rPr>
        <w:t>4. Indicar el nombre y la dirección del recurrente, así como la dirección electrónica si desea ser notificado por este medio. (…)”</w:t>
      </w:r>
    </w:p>
  </w:footnote>
  <w:footnote w:id="4">
    <w:p w:rsidR="00952C2B" w:rsidRPr="0058272C" w:rsidRDefault="00952C2B" w:rsidP="00BC136E">
      <w:pPr>
        <w:pStyle w:val="Textonotapie"/>
        <w:rPr>
          <w:rFonts w:ascii="Bookman Old Style" w:hAnsi="Bookman Old Style" w:cs="Arial"/>
          <w:color w:val="000000"/>
          <w:sz w:val="16"/>
          <w:szCs w:val="16"/>
        </w:rPr>
      </w:pPr>
      <w:r w:rsidRPr="0058272C">
        <w:rPr>
          <w:rStyle w:val="Refdenotaalpie"/>
          <w:rFonts w:ascii="Bookman Old Style" w:hAnsi="Bookman Old Style" w:cs="Arial"/>
          <w:sz w:val="16"/>
          <w:szCs w:val="16"/>
        </w:rPr>
        <w:footnoteRef/>
      </w:r>
      <w:r w:rsidRPr="0058272C">
        <w:rPr>
          <w:rFonts w:ascii="Bookman Old Style" w:hAnsi="Bookman Old Style" w:cs="Arial"/>
          <w:sz w:val="16"/>
          <w:szCs w:val="16"/>
        </w:rPr>
        <w:t xml:space="preserve"> </w:t>
      </w:r>
      <w:r w:rsidRPr="0058272C">
        <w:rPr>
          <w:rFonts w:ascii="Bookman Old Style" w:hAnsi="Bookman Old Style" w:cs="Arial"/>
          <w:color w:val="000000"/>
          <w:sz w:val="16"/>
          <w:szCs w:val="16"/>
        </w:rPr>
        <w:t>El costo de oportunidad es definido como el costo de las oportunidades sacrificadas cuando los recursos de una firma no son asignados a su mejor uso alternativo.</w:t>
      </w:r>
    </w:p>
  </w:footnote>
  <w:footnote w:id="5">
    <w:p w:rsidR="00952C2B" w:rsidRPr="0058272C" w:rsidRDefault="00952C2B">
      <w:pPr>
        <w:pStyle w:val="Textonotapie"/>
        <w:rPr>
          <w:rFonts w:ascii="Bookman Old Style" w:hAnsi="Bookman Old Style"/>
          <w:sz w:val="16"/>
          <w:szCs w:val="16"/>
        </w:rPr>
      </w:pPr>
      <w:r w:rsidRPr="0058272C">
        <w:rPr>
          <w:rStyle w:val="Refdenotaalpie"/>
          <w:rFonts w:ascii="Bookman Old Style" w:hAnsi="Bookman Old Style"/>
          <w:sz w:val="16"/>
          <w:szCs w:val="16"/>
        </w:rPr>
        <w:footnoteRef/>
      </w:r>
      <w:r w:rsidRPr="0058272C">
        <w:rPr>
          <w:rFonts w:ascii="Bookman Old Style" w:hAnsi="Bookman Old Style"/>
          <w:sz w:val="16"/>
          <w:szCs w:val="16"/>
        </w:rPr>
        <w:t xml:space="preserve"> El método sistemático apela a encontrar el sentido de las disposiciones a partir de la comparación con otras normas que pertenecen al orden jurídico legal y que guardan relación con aquella</w:t>
      </w:r>
      <w:r>
        <w:rPr>
          <w:rFonts w:ascii="Bookman Old Style" w:hAnsi="Bookman Old Style"/>
          <w:sz w:val="16"/>
          <w:szCs w:val="16"/>
        </w:rPr>
        <w:t xml:space="preserve">. Corte Constitucional, Sentencia C-054 de 2016. </w:t>
      </w:r>
    </w:p>
  </w:footnote>
  <w:footnote w:id="6">
    <w:p w:rsidR="00952C2B" w:rsidRDefault="00952C2B">
      <w:pPr>
        <w:pStyle w:val="Textonotapie"/>
      </w:pPr>
      <w:r w:rsidRPr="001435CD">
        <w:rPr>
          <w:rFonts w:ascii="Bookman Old Style" w:hAnsi="Bookman Old Style"/>
          <w:sz w:val="16"/>
          <w:szCs w:val="16"/>
        </w:rPr>
        <w:footnoteRef/>
      </w:r>
      <w:r w:rsidRPr="001435CD">
        <w:rPr>
          <w:rFonts w:ascii="Bookman Old Style" w:hAnsi="Bookman Old Style"/>
          <w:sz w:val="16"/>
          <w:szCs w:val="16"/>
        </w:rPr>
        <w:t xml:space="preserve"> En especial de acuerdo con la forma como se establecen y determinan los cargos de transporte.</w:t>
      </w:r>
    </w:p>
  </w:footnote>
  <w:footnote w:id="7">
    <w:p w:rsidR="00952C2B" w:rsidRPr="0058272C" w:rsidRDefault="00952C2B">
      <w:pPr>
        <w:pStyle w:val="Textonotapie"/>
        <w:rPr>
          <w:rFonts w:ascii="Bookman Old Style" w:hAnsi="Bookman Old Style"/>
          <w:sz w:val="16"/>
          <w:szCs w:val="16"/>
        </w:rPr>
      </w:pPr>
      <w:r w:rsidRPr="008C2635">
        <w:rPr>
          <w:rStyle w:val="Refdenotaalpie"/>
          <w:rFonts w:ascii="Bookman Old Style" w:hAnsi="Bookman Old Style"/>
          <w:sz w:val="16"/>
          <w:szCs w:val="16"/>
        </w:rPr>
        <w:footnoteRef/>
      </w:r>
      <w:r w:rsidRPr="0058272C">
        <w:rPr>
          <w:rFonts w:ascii="Bookman Old Style" w:hAnsi="Bookman Old Style"/>
          <w:sz w:val="16"/>
          <w:szCs w:val="16"/>
        </w:rPr>
        <w:t xml:space="preserve"> Vida Útil Normativa: Es el período de 20 años, contado a partir de la fecha de entrada en operación de un activo, del cual dispone el transportador, de acuerdo con la regulación, para recuperar el valor eficiente de la inversión. Vencido este período se asumirá para todos los efectos que el valor eficiente de la inversión reconocida fue remunerado en su totalidad. Para el caso de los activos que forman parte del PNI y de las IAC, este período se contará a partir de la entrada en vigencia de los cargos calculados con la presente metodología y que remuneren tales activos. Para aquellos gasoductos construidos bajo esquema contractual de BOMT se mantendrá el período de treinta (30) años para la Vida Útil Normativa, establecido para el Periodo Tarifario t-1, sin perjuicio de que en la aprobación de cargos la Comisión decida una periodo distinto.</w:t>
      </w:r>
    </w:p>
  </w:footnote>
  <w:footnote w:id="8">
    <w:p w:rsidR="00952C2B" w:rsidRDefault="00952C2B">
      <w:pPr>
        <w:pStyle w:val="Textonotapie"/>
      </w:pPr>
      <w:r w:rsidRPr="00A12F30">
        <w:rPr>
          <w:rFonts w:ascii="Bookman Old Style" w:hAnsi="Bookman Old Style"/>
          <w:sz w:val="16"/>
          <w:szCs w:val="16"/>
        </w:rPr>
        <w:footnoteRef/>
      </w:r>
      <w:r w:rsidRPr="00A12F30">
        <w:rPr>
          <w:rFonts w:ascii="Bookman Old Style" w:hAnsi="Bookman Old Style"/>
          <w:sz w:val="16"/>
          <w:szCs w:val="16"/>
        </w:rPr>
        <w:t xml:space="preserve"> Esto bajo la consideración hecha dentro de la regulación lo que se entiende como activo dentro de la infraestructura de transporte de gas natural, las cuales corresponden a los gasoductos en su integridad, así como a las estaciones de compresión.</w:t>
      </w:r>
    </w:p>
  </w:footnote>
  <w:footnote w:id="9">
    <w:p w:rsidR="00952C2B" w:rsidRPr="008C2635" w:rsidRDefault="00952C2B" w:rsidP="008C2635">
      <w:pPr>
        <w:widowControl w:val="0"/>
        <w:rPr>
          <w:rFonts w:cs="Arial"/>
          <w:color w:val="000000"/>
          <w:sz w:val="16"/>
          <w:szCs w:val="16"/>
        </w:rPr>
      </w:pPr>
      <w:r w:rsidRPr="008C2635">
        <w:rPr>
          <w:rStyle w:val="Refdenotaalpie"/>
          <w:sz w:val="16"/>
          <w:szCs w:val="16"/>
        </w:rPr>
        <w:footnoteRef/>
      </w:r>
      <w:r w:rsidRPr="008C2635">
        <w:rPr>
          <w:sz w:val="16"/>
          <w:szCs w:val="16"/>
        </w:rPr>
        <w:t xml:space="preserve"> </w:t>
      </w:r>
      <w:r w:rsidRPr="006F2700">
        <w:rPr>
          <w:sz w:val="16"/>
          <w:szCs w:val="16"/>
        </w:rPr>
        <w:t xml:space="preserve">c) </w:t>
      </w:r>
      <w:r w:rsidRPr="008C2635">
        <w:rPr>
          <w:rFonts w:cs="Arial"/>
          <w:color w:val="000000"/>
          <w:sz w:val="16"/>
          <w:szCs w:val="16"/>
        </w:rPr>
        <w:t>La empresa transportadora deberá informar a la Comisión acerca de la decisión tomada dentro del Mes siguiente a la fecha de notificación. El transportador reportará alguna de las siguientes decisiones:</w:t>
      </w:r>
    </w:p>
    <w:p w:rsidR="00952C2B" w:rsidRPr="008C2635" w:rsidRDefault="00952C2B" w:rsidP="008C2635">
      <w:pPr>
        <w:widowControl w:val="0"/>
        <w:rPr>
          <w:rFonts w:cs="Arial"/>
          <w:color w:val="000000"/>
          <w:sz w:val="16"/>
          <w:szCs w:val="16"/>
        </w:rPr>
      </w:pPr>
    </w:p>
    <w:p w:rsidR="00952C2B" w:rsidRPr="008C2635" w:rsidRDefault="00952C2B" w:rsidP="008C2635">
      <w:pPr>
        <w:widowControl w:val="0"/>
        <w:rPr>
          <w:rFonts w:cs="Arial"/>
          <w:color w:val="000000"/>
          <w:sz w:val="16"/>
          <w:szCs w:val="16"/>
          <w:u w:val="single"/>
        </w:rPr>
      </w:pPr>
      <w:r w:rsidRPr="008C2635">
        <w:rPr>
          <w:rFonts w:cs="Arial"/>
          <w:color w:val="000000"/>
          <w:sz w:val="16"/>
          <w:szCs w:val="16"/>
        </w:rPr>
        <w:t xml:space="preserve">  Continuar operando el activo existente: En tal caso deberá solicitar a la Comisión un ajuste de los cargos regulados a que haya lugar. </w:t>
      </w:r>
      <w:r w:rsidRPr="008C2635">
        <w:rPr>
          <w:rFonts w:cs="Arial"/>
          <w:color w:val="000000"/>
          <w:sz w:val="16"/>
          <w:szCs w:val="16"/>
          <w:u w:val="single"/>
        </w:rPr>
        <w:t xml:space="preserve">Este ajuste se determinará de conformidad con el valor </w:t>
      </w:r>
      <m:oMath>
        <m:sSub>
          <m:sSubPr>
            <m:ctrlPr>
              <w:rPr>
                <w:rFonts w:ascii="Cambria Math" w:hAnsi="Cambria Math" w:cs="Arial"/>
                <w:color w:val="000000"/>
                <w:sz w:val="16"/>
                <w:szCs w:val="16"/>
                <w:u w:val="single"/>
              </w:rPr>
            </m:ctrlPr>
          </m:sSubPr>
          <m:e>
            <m:r>
              <w:rPr>
                <w:rFonts w:ascii="Cambria Math" w:hAnsi="Cambria Math" w:cs="Arial"/>
                <w:color w:val="000000"/>
                <w:sz w:val="16"/>
                <w:szCs w:val="16"/>
                <w:u w:val="single"/>
              </w:rPr>
              <m:t>VAO</m:t>
            </m:r>
          </m:e>
          <m:sub>
            <m:r>
              <w:rPr>
                <w:rFonts w:ascii="Cambria Math" w:hAnsi="Cambria Math" w:cs="Arial"/>
                <w:color w:val="000000"/>
                <w:sz w:val="16"/>
                <w:szCs w:val="16"/>
                <w:u w:val="single"/>
              </w:rPr>
              <m:t>t</m:t>
            </m:r>
          </m:sub>
        </m:sSub>
      </m:oMath>
      <w:r w:rsidRPr="008C2635">
        <w:rPr>
          <w:rFonts w:cs="Arial"/>
          <w:color w:val="000000"/>
          <w:sz w:val="16"/>
          <w:szCs w:val="16"/>
          <w:u w:val="single"/>
        </w:rPr>
        <w:t xml:space="preserve">. </w:t>
      </w:r>
    </w:p>
    <w:p w:rsidR="00952C2B" w:rsidRPr="008C2635" w:rsidRDefault="00952C2B" w:rsidP="008C2635">
      <w:pPr>
        <w:widowControl w:val="0"/>
        <w:rPr>
          <w:rFonts w:cs="Arial"/>
          <w:color w:val="000000"/>
          <w:sz w:val="16"/>
          <w:szCs w:val="16"/>
        </w:rPr>
      </w:pPr>
    </w:p>
    <w:p w:rsidR="00952C2B" w:rsidRPr="008C2635" w:rsidRDefault="00952C2B" w:rsidP="008C2635">
      <w:pPr>
        <w:widowControl w:val="0"/>
        <w:rPr>
          <w:rFonts w:cs="Arial"/>
          <w:color w:val="000000"/>
          <w:sz w:val="16"/>
          <w:szCs w:val="16"/>
        </w:rPr>
      </w:pPr>
      <w:r w:rsidRPr="008C2635">
        <w:rPr>
          <w:rFonts w:cs="Arial"/>
          <w:color w:val="000000"/>
          <w:sz w:val="16"/>
          <w:szCs w:val="16"/>
        </w:rPr>
        <w:t xml:space="preserve">  Reposición del activo: </w:t>
      </w:r>
      <w:r w:rsidRPr="008C2635">
        <w:rPr>
          <w:rFonts w:cs="Arial"/>
          <w:color w:val="000000"/>
          <w:sz w:val="16"/>
          <w:szCs w:val="16"/>
          <w:u w:val="single"/>
        </w:rPr>
        <w:t>En tal caso, la empresa transportadora deberá solicitar un ajuste de los cargos regulados una vez el nuevo activo entre en operación.</w:t>
      </w:r>
      <w:r w:rsidRPr="008C2635">
        <w:rPr>
          <w:rFonts w:cs="Arial"/>
          <w:color w:val="000000"/>
          <w:sz w:val="16"/>
          <w:szCs w:val="16"/>
        </w:rPr>
        <w:t xml:space="preserve"> Durante el período comprendido entre la fecha en que el activo existente cumpla la Vida Útil Normativa y la fecha de entrada en operación del nuevo activo se reconocerá el valor de </w:t>
      </w:r>
      <m:oMath>
        <m:sSub>
          <m:sSubPr>
            <m:ctrlPr>
              <w:rPr>
                <w:rFonts w:ascii="Cambria Math" w:hAnsi="Cambria Math" w:cs="Arial"/>
                <w:color w:val="000000"/>
                <w:sz w:val="16"/>
                <w:szCs w:val="16"/>
              </w:rPr>
            </m:ctrlPr>
          </m:sSubPr>
          <m:e>
            <m:r>
              <w:rPr>
                <w:rFonts w:ascii="Cambria Math" w:hAnsi="Cambria Math" w:cs="Arial"/>
                <w:color w:val="000000"/>
                <w:sz w:val="16"/>
                <w:szCs w:val="16"/>
              </w:rPr>
              <m:t>VAO</m:t>
            </m:r>
          </m:e>
          <m:sub>
            <m:r>
              <w:rPr>
                <w:rFonts w:ascii="Cambria Math" w:hAnsi="Cambria Math" w:cs="Arial"/>
                <w:color w:val="000000"/>
                <w:sz w:val="16"/>
                <w:szCs w:val="16"/>
              </w:rPr>
              <m:t>t</m:t>
            </m:r>
          </m:sub>
        </m:sSub>
      </m:oMath>
      <w:r w:rsidRPr="008C2635">
        <w:rPr>
          <w:rFonts w:cs="Arial"/>
          <w:color w:val="000000"/>
          <w:sz w:val="16"/>
          <w:szCs w:val="16"/>
        </w:rPr>
        <w:t>, siempre y cuando el activo a reponer se haya mantenido en operación.</w:t>
      </w:r>
    </w:p>
    <w:p w:rsidR="00952C2B" w:rsidRPr="008C2635" w:rsidRDefault="00952C2B" w:rsidP="008C2635">
      <w:pPr>
        <w:widowControl w:val="0"/>
        <w:rPr>
          <w:rFonts w:cs="Arial"/>
          <w:color w:val="000000"/>
          <w:sz w:val="16"/>
          <w:szCs w:val="16"/>
        </w:rPr>
      </w:pPr>
    </w:p>
  </w:footnote>
  <w:footnote w:id="10">
    <w:p w:rsidR="00952C2B" w:rsidRPr="008C2635" w:rsidRDefault="00952C2B">
      <w:pPr>
        <w:pStyle w:val="Textonotapie"/>
        <w:rPr>
          <w:rFonts w:ascii="Bookman Old Style" w:hAnsi="Bookman Old Style"/>
          <w:sz w:val="16"/>
          <w:szCs w:val="16"/>
        </w:rPr>
      </w:pPr>
      <w:r w:rsidRPr="00996C28">
        <w:rPr>
          <w:rStyle w:val="Refdenotaalpie"/>
          <w:rFonts w:ascii="Bookman Old Style" w:hAnsi="Bookman Old Style"/>
          <w:sz w:val="16"/>
          <w:szCs w:val="16"/>
        </w:rPr>
        <w:footnoteRef/>
      </w:r>
      <w:r w:rsidRPr="00996C28">
        <w:rPr>
          <w:rFonts w:ascii="Bookman Old Style" w:hAnsi="Bookman Old Style"/>
          <w:sz w:val="16"/>
          <w:szCs w:val="16"/>
        </w:rPr>
        <w:t xml:space="preserve"> </w:t>
      </w:r>
      <w:r>
        <w:rPr>
          <w:rFonts w:ascii="Bookman Old Style" w:hAnsi="Bookman Old Style"/>
          <w:sz w:val="16"/>
          <w:szCs w:val="16"/>
        </w:rPr>
        <w:t xml:space="preserve">Ver Resoluciones CREG 018 de 2014, 082 de 2014, 163 de 2015, 220 de 2015, 085 de 2016, 086 de 2016 y 241 de 2016. </w:t>
      </w:r>
    </w:p>
  </w:footnote>
  <w:footnote w:id="11">
    <w:p w:rsidR="00952C2B" w:rsidRPr="00411A6B" w:rsidRDefault="00952C2B" w:rsidP="00411A6B">
      <w:pPr>
        <w:pStyle w:val="Textonotapie"/>
        <w:rPr>
          <w:rFonts w:ascii="Bookman Old Style" w:hAnsi="Bookman Old Style"/>
          <w:sz w:val="16"/>
          <w:szCs w:val="16"/>
        </w:rPr>
      </w:pPr>
      <w:r w:rsidRPr="00411A6B">
        <w:rPr>
          <w:rStyle w:val="Refdenotaalpie"/>
          <w:rFonts w:ascii="Bookman Old Style" w:hAnsi="Bookman Old Style"/>
          <w:sz w:val="16"/>
          <w:szCs w:val="16"/>
        </w:rPr>
        <w:footnoteRef/>
      </w:r>
      <w:r w:rsidRPr="00411A6B">
        <w:rPr>
          <w:rFonts w:ascii="Bookman Old Style" w:hAnsi="Bookman Old Style"/>
          <w:sz w:val="16"/>
          <w:szCs w:val="16"/>
        </w:rPr>
        <w:t xml:space="preserve"> Como antecedente se puede citar el caso del gasoducto Gibraltar - Bucaramanga donde inicialmente, en la Resolución CREG 044 de 2007, se registró un diámetro de 10 pulgadas y 190 kilómetros. Estos datos fueron reportados por el transportador como información proyectada para la construcción del gasoducto. Una vez se construyó el gasoducto el transportador informó que la longitud y el diámetro real del gasoducto fue de 177,15 km y 12 pulgadas. Estos nuevos valores se incluyeron en la Resolución CREG 045 de 2014. </w:t>
      </w:r>
    </w:p>
    <w:p w:rsidR="00952C2B" w:rsidRPr="00411A6B" w:rsidRDefault="00952C2B" w:rsidP="00411A6B">
      <w:pPr>
        <w:pStyle w:val="Textonotapie"/>
        <w:rPr>
          <w:rFonts w:ascii="Bookman Old Style" w:hAnsi="Bookman Old Style"/>
          <w:sz w:val="16"/>
          <w:szCs w:val="16"/>
        </w:rPr>
      </w:pPr>
    </w:p>
    <w:p w:rsidR="00952C2B" w:rsidRDefault="00952C2B" w:rsidP="00411A6B">
      <w:pPr>
        <w:pStyle w:val="Textonotapie"/>
      </w:pPr>
      <w:r w:rsidRPr="00411A6B">
        <w:rPr>
          <w:rFonts w:ascii="Bookman Old Style" w:hAnsi="Bookman Old Style"/>
          <w:sz w:val="16"/>
          <w:szCs w:val="16"/>
        </w:rPr>
        <w:t>Este ajuste en las características técnicas del gasoducto Gibraltar – Bucaramanga no dio lugar a ajuste en la inversión reconocida por la Comisión.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2C2B" w:rsidRPr="00951F79" w:rsidRDefault="00952C2B" w:rsidP="002A2128">
    <w:pPr>
      <w:pStyle w:val="Ttulo1"/>
      <w:numPr>
        <w:ilvl w:val="0"/>
        <w:numId w:val="0"/>
      </w:numPr>
      <w:ind w:right="6"/>
      <w:jc w:val="left"/>
      <w:rPr>
        <w:rFonts w:cs="Arial"/>
        <w:b/>
        <w:sz w:val="22"/>
        <w:szCs w:val="22"/>
      </w:rPr>
    </w:pPr>
    <w:r w:rsidRPr="00654384">
      <w:rPr>
        <w:rFonts w:cs="Arial"/>
        <w:sz w:val="22"/>
        <w:szCs w:val="22"/>
      </w:rPr>
      <w:t>RESOLUCIÓN No.</w:t>
    </w:r>
    <w:r>
      <w:rPr>
        <w:rFonts w:cs="Arial"/>
        <w:sz w:val="22"/>
        <w:szCs w:val="22"/>
      </w:rPr>
      <w:t xml:space="preserve">  ________________</w:t>
    </w:r>
    <w:r w:rsidRPr="00654384">
      <w:rPr>
        <w:rFonts w:cs="Arial"/>
        <w:sz w:val="22"/>
        <w:szCs w:val="22"/>
      </w:rPr>
      <w:tab/>
    </w:r>
    <w:r>
      <w:rPr>
        <w:rFonts w:cs="Arial"/>
        <w:sz w:val="22"/>
        <w:szCs w:val="22"/>
      </w:rPr>
      <w:t>DE ________________</w:t>
    </w:r>
    <w:r>
      <w:rPr>
        <w:rFonts w:cs="Arial"/>
        <w:sz w:val="22"/>
        <w:szCs w:val="22"/>
      </w:rPr>
      <w:tab/>
    </w:r>
    <w:r w:rsidRPr="00654384">
      <w:rPr>
        <w:rFonts w:cs="Arial"/>
        <w:sz w:val="22"/>
        <w:szCs w:val="22"/>
      </w:rPr>
      <w:t xml:space="preserve">HOJA No. </w:t>
    </w:r>
    <w:r w:rsidRPr="00FE5DE7">
      <w:rPr>
        <w:rFonts w:cs="Arial"/>
        <w:sz w:val="22"/>
        <w:szCs w:val="22"/>
      </w:rPr>
      <w:fldChar w:fldCharType="begin"/>
    </w:r>
    <w:r w:rsidRPr="00FE5DE7">
      <w:rPr>
        <w:rFonts w:cs="Arial"/>
        <w:sz w:val="22"/>
        <w:szCs w:val="22"/>
      </w:rPr>
      <w:instrText xml:space="preserve"> PAGE   \* MERGEFORMAT </w:instrText>
    </w:r>
    <w:r w:rsidRPr="00FE5DE7">
      <w:rPr>
        <w:rFonts w:cs="Arial"/>
        <w:sz w:val="22"/>
        <w:szCs w:val="22"/>
      </w:rPr>
      <w:fldChar w:fldCharType="separate"/>
    </w:r>
    <w:r w:rsidR="001D510D">
      <w:rPr>
        <w:rFonts w:cs="Arial"/>
        <w:noProof/>
        <w:sz w:val="22"/>
        <w:szCs w:val="22"/>
      </w:rPr>
      <w:t>21</w:t>
    </w:r>
    <w:r w:rsidRPr="00FE5DE7">
      <w:rPr>
        <w:rFonts w:cs="Arial"/>
        <w:sz w:val="22"/>
        <w:szCs w:val="22"/>
      </w:rPr>
      <w:fldChar w:fldCharType="end"/>
    </w:r>
    <w:r w:rsidRPr="00654384">
      <w:rPr>
        <w:rFonts w:cs="Arial"/>
        <w:sz w:val="22"/>
        <w:szCs w:val="22"/>
      </w:rPr>
      <w:t>/</w:t>
    </w:r>
    <w:r w:rsidR="004F7CD0">
      <w:fldChar w:fldCharType="begin"/>
    </w:r>
    <w:r w:rsidR="004F7CD0">
      <w:instrText xml:space="preserve"> NUMPAGES  \* MERGEFORMAT </w:instrText>
    </w:r>
    <w:r w:rsidR="004F7CD0">
      <w:fldChar w:fldCharType="separate"/>
    </w:r>
    <w:r w:rsidR="001D510D" w:rsidRPr="001D510D">
      <w:rPr>
        <w:rFonts w:cs="Arial"/>
        <w:noProof/>
        <w:sz w:val="22"/>
        <w:szCs w:val="22"/>
      </w:rPr>
      <w:t>26</w:t>
    </w:r>
    <w:r w:rsidR="004F7CD0">
      <w:rPr>
        <w:rFonts w:cs="Arial"/>
        <w:noProof/>
        <w:sz w:val="22"/>
        <w:szCs w:val="22"/>
      </w:rPr>
      <w:fldChar w:fldCharType="end"/>
    </w:r>
  </w:p>
  <w:p w:rsidR="00952C2B" w:rsidRDefault="00952C2B" w:rsidP="00AD01E4">
    <w:pPr>
      <w:ind w:left="142" w:right="148"/>
      <w:rPr>
        <w:rFonts w:cs="Arial"/>
      </w:rPr>
    </w:pPr>
    <w:r w:rsidRPr="0042068C">
      <w:rPr>
        <w:noProof/>
        <w:lang w:val="es-CO" w:eastAsia="es-CO"/>
      </w:rPr>
      <mc:AlternateContent>
        <mc:Choice Requires="wps">
          <w:drawing>
            <wp:anchor distT="0" distB="0" distL="114300" distR="114300" simplePos="0" relativeHeight="251656704" behindDoc="0" locked="0" layoutInCell="1" allowOverlap="1" wp14:anchorId="6B0C757A" wp14:editId="5803B0A5">
              <wp:simplePos x="0" y="0"/>
              <wp:positionH relativeFrom="column">
                <wp:posOffset>-177610</wp:posOffset>
              </wp:positionH>
              <wp:positionV relativeFrom="paragraph">
                <wp:posOffset>140038</wp:posOffset>
              </wp:positionV>
              <wp:extent cx="6267450" cy="10135590"/>
              <wp:effectExtent l="0" t="0" r="19050" b="18415"/>
              <wp:wrapNone/>
              <wp:docPr id="3"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0" cy="1013559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FC2409" id="Rectangle 1" o:spid="_x0000_s1026" style="position:absolute;margin-left:-14pt;margin-top:11.05pt;width:493.5pt;height:798.1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" filled="f" strokeweight="1.5pt"/>
          </w:pict>
        </mc:Fallback>
      </mc:AlternateContent>
    </w:r>
  </w:p>
  <w:p w:rsidR="00952C2B" w:rsidRPr="00616D65" w:rsidRDefault="00952C2B" w:rsidP="00BD0898">
    <w:pPr>
      <w:rPr>
        <w:rFonts w:cs="Arial"/>
        <w:sz w:val="22"/>
        <w:szCs w:val="22"/>
      </w:rPr>
    </w:pPr>
    <w:r w:rsidRPr="008E05DD">
      <w:rPr>
        <w:rFonts w:cs="Arial"/>
        <w:sz w:val="22"/>
        <w:szCs w:val="22"/>
      </w:rPr>
      <w:t xml:space="preserve">Por la cual se resuelve el recurso de reposición interpuesto por la Transportadora de Gas Internacional TGI S.A. E.S.P, contra la Resolución CREG </w:t>
    </w:r>
    <w:r>
      <w:rPr>
        <w:rFonts w:cs="Arial"/>
        <w:sz w:val="22"/>
        <w:szCs w:val="22"/>
      </w:rPr>
      <w:t>261</w:t>
    </w:r>
    <w:r w:rsidRPr="008E05DD">
      <w:rPr>
        <w:rFonts w:cs="Arial"/>
        <w:sz w:val="22"/>
        <w:szCs w:val="22"/>
      </w:rPr>
      <w:t xml:space="preserve"> de 201</w:t>
    </w:r>
    <w:r>
      <w:rPr>
        <w:rFonts w:cs="Arial"/>
        <w:sz w:val="22"/>
        <w:szCs w:val="22"/>
      </w:rPr>
      <w:t>6</w:t>
    </w:r>
    <w:r w:rsidRPr="008E05DD">
      <w:rPr>
        <w:rFonts w:cs="Arial"/>
        <w:sz w:val="22"/>
        <w:szCs w:val="22"/>
      </w:rPr>
      <w:t>.</w:t>
    </w:r>
  </w:p>
  <w:p w:rsidR="00952C2B" w:rsidRPr="00730C9E" w:rsidRDefault="00952C2B" w:rsidP="0098213C">
    <w:pPr>
      <w:widowControl w:val="0"/>
      <w:adjustRightInd w:val="0"/>
      <w:ind w:right="20"/>
      <w:rPr>
        <w:b/>
        <w:lang w:val="es-ES_tradnl"/>
      </w:rPr>
    </w:pPr>
    <w:r>
      <w:rPr>
        <w:b/>
        <w:noProof/>
        <w:lang w:val="es-CO" w:eastAsia="es-CO"/>
      </w:rPr>
      <mc:AlternateContent>
        <mc:Choice Requires="wps">
          <w:drawing>
            <wp:anchor distT="0" distB="0" distL="114300" distR="114300" simplePos="0" relativeHeight="251658752" behindDoc="0" locked="0" layoutInCell="1" allowOverlap="1" wp14:anchorId="209C965D" wp14:editId="32414142">
              <wp:simplePos x="0" y="0"/>
              <wp:positionH relativeFrom="column">
                <wp:posOffset>-108585</wp:posOffset>
              </wp:positionH>
              <wp:positionV relativeFrom="paragraph">
                <wp:posOffset>97155</wp:posOffset>
              </wp:positionV>
              <wp:extent cx="5972175" cy="0"/>
              <wp:effectExtent l="9525" t="8255" r="9525" b="10795"/>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721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1C00FA1" id="_x0000_t32" coordsize="21600,21600" o:spt="32" o:oned="t" path="m,l21600,21600e" filled="f">
              <v:path arrowok="t" fillok="f" o:connecttype="none"/>
              <o:lock v:ext="edit" shapetype="t"/>
            </v:shapetype>
            <v:shape id="AutoShape 3" o:spid="_x0000_s1026" type="#_x0000_t32" style="position:absolute;margin-left:-8.55pt;margin-top:7.65pt;width:470.25pt;height: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"/>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2C2B" w:rsidRDefault="00952C2B" w:rsidP="002A2128">
    <w:pPr>
      <w:pStyle w:val="Encabezado"/>
      <w:tabs>
        <w:tab w:val="clear" w:pos="8504"/>
        <w:tab w:val="right" w:pos="9356"/>
      </w:tabs>
      <w:jc w:val="center"/>
      <w:rPr>
        <w:rFonts w:ascii="Arial" w:hAnsi="Arial" w:cs="Arial"/>
        <w:spacing w:val="20"/>
        <w:sz w:val="20"/>
      </w:rPr>
    </w:pPr>
    <w:r>
      <w:rPr>
        <w:rFonts w:ascii="Arial" w:hAnsi="Arial" w:cs="Arial"/>
        <w:spacing w:val="20"/>
        <w:sz w:val="20"/>
      </w:rPr>
      <w:t>República de Colombia</w:t>
    </w:r>
  </w:p>
  <w:p w:rsidR="00952C2B" w:rsidRDefault="00952C2B">
    <w:pPr>
      <w:pStyle w:val="Encabezado"/>
      <w:jc w:val="center"/>
      <w:rPr>
        <w:rFonts w:ascii="Arial" w:hAnsi="Arial" w:cs="Arial"/>
        <w:spacing w:val="20"/>
        <w:sz w:val="20"/>
      </w:rPr>
    </w:pPr>
  </w:p>
  <w:p w:rsidR="00952C2B" w:rsidRDefault="00952C2B" w:rsidP="00CA77FB">
    <w:pPr>
      <w:pStyle w:val="Encabezado"/>
      <w:jc w:val="center"/>
    </w:pPr>
    <w:r w:rsidRPr="0042068C">
      <w:rPr>
        <w:rFonts w:ascii="Arial" w:hAnsi="Arial" w:cs="Arial"/>
        <w:noProof/>
        <w:spacing w:val="20"/>
        <w:sz w:val="20"/>
        <w:lang w:eastAsia="es-CO"/>
      </w:rPr>
      <mc:AlternateContent>
        <mc:Choice Requires="wps">
          <w:drawing>
            <wp:anchor distT="0" distB="0" distL="114300" distR="114300" simplePos="0" relativeHeight="251657728" behindDoc="0" locked="0" layoutInCell="1" allowOverlap="1" wp14:anchorId="0C7141CB" wp14:editId="6FF5C0CA">
              <wp:simplePos x="0" y="0"/>
              <wp:positionH relativeFrom="column">
                <wp:posOffset>-213360</wp:posOffset>
              </wp:positionH>
              <wp:positionV relativeFrom="paragraph">
                <wp:posOffset>377190</wp:posOffset>
              </wp:positionV>
              <wp:extent cx="6343650" cy="9839325"/>
              <wp:effectExtent l="9525" t="12065" r="9525" b="1651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3650" cy="983932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6B703D" id="Rectangle 2" o:spid="_x0000_s1026" style="position:absolute;margin-left:-16.8pt;margin-top:29.7pt;width:499.5pt;height:774.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" filled="f" strokeweight="1.5p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572AE4"/>
    <w:multiLevelType w:val="hybridMultilevel"/>
    <w:tmpl w:val="3C76F17E"/>
    <w:lvl w:ilvl="0" w:tplc="240A000F">
      <w:start w:val="1"/>
      <w:numFmt w:val="decimal"/>
      <w:lvlText w:val="%1."/>
      <w:lvlJc w:val="left"/>
      <w:pPr>
        <w:ind w:left="1345" w:hanging="360"/>
      </w:pPr>
    </w:lvl>
    <w:lvl w:ilvl="1" w:tplc="240A0019" w:tentative="1">
      <w:start w:val="1"/>
      <w:numFmt w:val="lowerLetter"/>
      <w:lvlText w:val="%2."/>
      <w:lvlJc w:val="left"/>
      <w:pPr>
        <w:ind w:left="2065" w:hanging="360"/>
      </w:pPr>
    </w:lvl>
    <w:lvl w:ilvl="2" w:tplc="240A001B" w:tentative="1">
      <w:start w:val="1"/>
      <w:numFmt w:val="lowerRoman"/>
      <w:lvlText w:val="%3."/>
      <w:lvlJc w:val="right"/>
      <w:pPr>
        <w:ind w:left="2785" w:hanging="180"/>
      </w:pPr>
    </w:lvl>
    <w:lvl w:ilvl="3" w:tplc="240A000F" w:tentative="1">
      <w:start w:val="1"/>
      <w:numFmt w:val="decimal"/>
      <w:lvlText w:val="%4."/>
      <w:lvlJc w:val="left"/>
      <w:pPr>
        <w:ind w:left="3505" w:hanging="360"/>
      </w:pPr>
    </w:lvl>
    <w:lvl w:ilvl="4" w:tplc="240A0019" w:tentative="1">
      <w:start w:val="1"/>
      <w:numFmt w:val="lowerLetter"/>
      <w:lvlText w:val="%5."/>
      <w:lvlJc w:val="left"/>
      <w:pPr>
        <w:ind w:left="4225" w:hanging="360"/>
      </w:pPr>
    </w:lvl>
    <w:lvl w:ilvl="5" w:tplc="240A001B" w:tentative="1">
      <w:start w:val="1"/>
      <w:numFmt w:val="lowerRoman"/>
      <w:lvlText w:val="%6."/>
      <w:lvlJc w:val="right"/>
      <w:pPr>
        <w:ind w:left="4945" w:hanging="180"/>
      </w:pPr>
    </w:lvl>
    <w:lvl w:ilvl="6" w:tplc="240A000F" w:tentative="1">
      <w:start w:val="1"/>
      <w:numFmt w:val="decimal"/>
      <w:lvlText w:val="%7."/>
      <w:lvlJc w:val="left"/>
      <w:pPr>
        <w:ind w:left="5665" w:hanging="360"/>
      </w:pPr>
    </w:lvl>
    <w:lvl w:ilvl="7" w:tplc="240A0019" w:tentative="1">
      <w:start w:val="1"/>
      <w:numFmt w:val="lowerLetter"/>
      <w:lvlText w:val="%8."/>
      <w:lvlJc w:val="left"/>
      <w:pPr>
        <w:ind w:left="6385" w:hanging="360"/>
      </w:pPr>
    </w:lvl>
    <w:lvl w:ilvl="8" w:tplc="240A001B" w:tentative="1">
      <w:start w:val="1"/>
      <w:numFmt w:val="lowerRoman"/>
      <w:lvlText w:val="%9."/>
      <w:lvlJc w:val="right"/>
      <w:pPr>
        <w:ind w:left="7105" w:hanging="180"/>
      </w:pPr>
    </w:lvl>
  </w:abstractNum>
  <w:abstractNum w:abstractNumId="1" w15:restartNumberingAfterBreak="0">
    <w:nsid w:val="02CB6244"/>
    <w:multiLevelType w:val="hybridMultilevel"/>
    <w:tmpl w:val="14208148"/>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 w15:restartNumberingAfterBreak="0">
    <w:nsid w:val="03493CE6"/>
    <w:multiLevelType w:val="hybridMultilevel"/>
    <w:tmpl w:val="2536F3A2"/>
    <w:lvl w:ilvl="0" w:tplc="240A0001">
      <w:start w:val="1"/>
      <w:numFmt w:val="bullet"/>
      <w:lvlText w:val=""/>
      <w:lvlJc w:val="left"/>
      <w:pPr>
        <w:ind w:left="578" w:hanging="360"/>
      </w:pPr>
      <w:rPr>
        <w:rFonts w:ascii="Symbol" w:hAnsi="Symbol" w:hint="default"/>
      </w:rPr>
    </w:lvl>
    <w:lvl w:ilvl="1" w:tplc="240A0003" w:tentative="1">
      <w:start w:val="1"/>
      <w:numFmt w:val="bullet"/>
      <w:lvlText w:val="o"/>
      <w:lvlJc w:val="left"/>
      <w:pPr>
        <w:ind w:left="1298" w:hanging="360"/>
      </w:pPr>
      <w:rPr>
        <w:rFonts w:ascii="Courier New" w:hAnsi="Courier New" w:cs="Courier New" w:hint="default"/>
      </w:rPr>
    </w:lvl>
    <w:lvl w:ilvl="2" w:tplc="240A0005" w:tentative="1">
      <w:start w:val="1"/>
      <w:numFmt w:val="bullet"/>
      <w:lvlText w:val=""/>
      <w:lvlJc w:val="left"/>
      <w:pPr>
        <w:ind w:left="2018" w:hanging="360"/>
      </w:pPr>
      <w:rPr>
        <w:rFonts w:ascii="Wingdings" w:hAnsi="Wingdings" w:hint="default"/>
      </w:rPr>
    </w:lvl>
    <w:lvl w:ilvl="3" w:tplc="240A0001" w:tentative="1">
      <w:start w:val="1"/>
      <w:numFmt w:val="bullet"/>
      <w:lvlText w:val=""/>
      <w:lvlJc w:val="left"/>
      <w:pPr>
        <w:ind w:left="2738" w:hanging="360"/>
      </w:pPr>
      <w:rPr>
        <w:rFonts w:ascii="Symbol" w:hAnsi="Symbol" w:hint="default"/>
      </w:rPr>
    </w:lvl>
    <w:lvl w:ilvl="4" w:tplc="240A0003" w:tentative="1">
      <w:start w:val="1"/>
      <w:numFmt w:val="bullet"/>
      <w:lvlText w:val="o"/>
      <w:lvlJc w:val="left"/>
      <w:pPr>
        <w:ind w:left="3458" w:hanging="360"/>
      </w:pPr>
      <w:rPr>
        <w:rFonts w:ascii="Courier New" w:hAnsi="Courier New" w:cs="Courier New" w:hint="default"/>
      </w:rPr>
    </w:lvl>
    <w:lvl w:ilvl="5" w:tplc="240A0005" w:tentative="1">
      <w:start w:val="1"/>
      <w:numFmt w:val="bullet"/>
      <w:lvlText w:val=""/>
      <w:lvlJc w:val="left"/>
      <w:pPr>
        <w:ind w:left="4178" w:hanging="360"/>
      </w:pPr>
      <w:rPr>
        <w:rFonts w:ascii="Wingdings" w:hAnsi="Wingdings" w:hint="default"/>
      </w:rPr>
    </w:lvl>
    <w:lvl w:ilvl="6" w:tplc="240A0001" w:tentative="1">
      <w:start w:val="1"/>
      <w:numFmt w:val="bullet"/>
      <w:lvlText w:val=""/>
      <w:lvlJc w:val="left"/>
      <w:pPr>
        <w:ind w:left="4898" w:hanging="360"/>
      </w:pPr>
      <w:rPr>
        <w:rFonts w:ascii="Symbol" w:hAnsi="Symbol" w:hint="default"/>
      </w:rPr>
    </w:lvl>
    <w:lvl w:ilvl="7" w:tplc="240A0003" w:tentative="1">
      <w:start w:val="1"/>
      <w:numFmt w:val="bullet"/>
      <w:lvlText w:val="o"/>
      <w:lvlJc w:val="left"/>
      <w:pPr>
        <w:ind w:left="5618" w:hanging="360"/>
      </w:pPr>
      <w:rPr>
        <w:rFonts w:ascii="Courier New" w:hAnsi="Courier New" w:cs="Courier New" w:hint="default"/>
      </w:rPr>
    </w:lvl>
    <w:lvl w:ilvl="8" w:tplc="240A0005" w:tentative="1">
      <w:start w:val="1"/>
      <w:numFmt w:val="bullet"/>
      <w:lvlText w:val=""/>
      <w:lvlJc w:val="left"/>
      <w:pPr>
        <w:ind w:left="6338" w:hanging="360"/>
      </w:pPr>
      <w:rPr>
        <w:rFonts w:ascii="Wingdings" w:hAnsi="Wingdings" w:hint="default"/>
      </w:rPr>
    </w:lvl>
  </w:abstractNum>
  <w:abstractNum w:abstractNumId="3" w15:restartNumberingAfterBreak="0">
    <w:nsid w:val="050C5C59"/>
    <w:multiLevelType w:val="multilevel"/>
    <w:tmpl w:val="FAE4ACFE"/>
    <w:lvl w:ilvl="0">
      <w:start w:val="1"/>
      <w:numFmt w:val="decimal"/>
      <w:pStyle w:val="Ttulo1"/>
      <w:lvlText w:val="%1"/>
      <w:lvlJc w:val="left"/>
      <w:pPr>
        <w:ind w:left="432" w:hanging="432"/>
      </w:pPr>
      <w:rPr>
        <w:rFonts w:hint="default"/>
      </w:r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1006"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4" w15:restartNumberingAfterBreak="0">
    <w:nsid w:val="05362898"/>
    <w:multiLevelType w:val="hybridMultilevel"/>
    <w:tmpl w:val="088EB12C"/>
    <w:name w:val="WW8Num6423223"/>
    <w:lvl w:ilvl="0" w:tplc="2A7C39E8">
      <w:start w:val="1"/>
      <w:numFmt w:val="decimal"/>
      <w:lvlText w:val="%1."/>
      <w:lvlJc w:val="left"/>
      <w:pPr>
        <w:ind w:left="1146"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0B7664EA"/>
    <w:multiLevelType w:val="multilevel"/>
    <w:tmpl w:val="2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FFF6B5E"/>
    <w:multiLevelType w:val="hybridMultilevel"/>
    <w:tmpl w:val="A8E27B16"/>
    <w:lvl w:ilvl="0" w:tplc="240A001B">
      <w:start w:val="1"/>
      <w:numFmt w:val="lowerRoman"/>
      <w:lvlText w:val="%1."/>
      <w:lvlJc w:val="right"/>
      <w:pPr>
        <w:ind w:left="1428" w:hanging="360"/>
      </w:pPr>
    </w:lvl>
    <w:lvl w:ilvl="1" w:tplc="240A0019" w:tentative="1">
      <w:start w:val="1"/>
      <w:numFmt w:val="lowerLetter"/>
      <w:lvlText w:val="%2."/>
      <w:lvlJc w:val="left"/>
      <w:pPr>
        <w:ind w:left="2148" w:hanging="360"/>
      </w:pPr>
    </w:lvl>
    <w:lvl w:ilvl="2" w:tplc="240A001B" w:tentative="1">
      <w:start w:val="1"/>
      <w:numFmt w:val="lowerRoman"/>
      <w:lvlText w:val="%3."/>
      <w:lvlJc w:val="right"/>
      <w:pPr>
        <w:ind w:left="2868" w:hanging="180"/>
      </w:pPr>
    </w:lvl>
    <w:lvl w:ilvl="3" w:tplc="240A000F" w:tentative="1">
      <w:start w:val="1"/>
      <w:numFmt w:val="decimal"/>
      <w:lvlText w:val="%4."/>
      <w:lvlJc w:val="left"/>
      <w:pPr>
        <w:ind w:left="3588" w:hanging="360"/>
      </w:pPr>
    </w:lvl>
    <w:lvl w:ilvl="4" w:tplc="240A0019" w:tentative="1">
      <w:start w:val="1"/>
      <w:numFmt w:val="lowerLetter"/>
      <w:lvlText w:val="%5."/>
      <w:lvlJc w:val="left"/>
      <w:pPr>
        <w:ind w:left="4308" w:hanging="360"/>
      </w:pPr>
    </w:lvl>
    <w:lvl w:ilvl="5" w:tplc="240A001B" w:tentative="1">
      <w:start w:val="1"/>
      <w:numFmt w:val="lowerRoman"/>
      <w:lvlText w:val="%6."/>
      <w:lvlJc w:val="right"/>
      <w:pPr>
        <w:ind w:left="5028" w:hanging="180"/>
      </w:pPr>
    </w:lvl>
    <w:lvl w:ilvl="6" w:tplc="240A000F" w:tentative="1">
      <w:start w:val="1"/>
      <w:numFmt w:val="decimal"/>
      <w:lvlText w:val="%7."/>
      <w:lvlJc w:val="left"/>
      <w:pPr>
        <w:ind w:left="5748" w:hanging="360"/>
      </w:pPr>
    </w:lvl>
    <w:lvl w:ilvl="7" w:tplc="240A0019" w:tentative="1">
      <w:start w:val="1"/>
      <w:numFmt w:val="lowerLetter"/>
      <w:lvlText w:val="%8."/>
      <w:lvlJc w:val="left"/>
      <w:pPr>
        <w:ind w:left="6468" w:hanging="360"/>
      </w:pPr>
    </w:lvl>
    <w:lvl w:ilvl="8" w:tplc="240A001B" w:tentative="1">
      <w:start w:val="1"/>
      <w:numFmt w:val="lowerRoman"/>
      <w:lvlText w:val="%9."/>
      <w:lvlJc w:val="right"/>
      <w:pPr>
        <w:ind w:left="7188" w:hanging="180"/>
      </w:pPr>
    </w:lvl>
  </w:abstractNum>
  <w:abstractNum w:abstractNumId="7" w15:restartNumberingAfterBreak="0">
    <w:nsid w:val="11E11AEA"/>
    <w:multiLevelType w:val="multilevel"/>
    <w:tmpl w:val="3A08D23A"/>
    <w:lvl w:ilvl="0">
      <w:start w:val="1"/>
      <w:numFmt w:val="decimal"/>
      <w:lvlText w:val="%1."/>
      <w:lvlJc w:val="left"/>
      <w:pPr>
        <w:ind w:left="705" w:hanging="705"/>
      </w:pPr>
      <w:rPr>
        <w:rFonts w:hint="default"/>
      </w:rPr>
    </w:lvl>
    <w:lvl w:ilvl="1">
      <w:start w:val="1"/>
      <w:numFmt w:val="decimal"/>
      <w:isLgl/>
      <w:lvlText w:val="%1.%2"/>
      <w:lvlJc w:val="left"/>
      <w:pPr>
        <w:ind w:left="390" w:hanging="390"/>
      </w:pPr>
      <w:rPr>
        <w:rFonts w:hint="default"/>
        <w:b/>
        <w:i w:val="0"/>
      </w:rPr>
    </w:lvl>
    <w:lvl w:ilvl="2">
      <w:start w:val="1"/>
      <w:numFmt w:val="decimal"/>
      <w:isLgl/>
      <w:lvlText w:val="%1.%2.%3"/>
      <w:lvlJc w:val="left"/>
      <w:pPr>
        <w:ind w:left="720" w:hanging="720"/>
      </w:pPr>
      <w:rPr>
        <w:rFonts w:hint="default"/>
        <w:sz w:val="24"/>
        <w:szCs w:val="24"/>
      </w:rPr>
    </w:lvl>
    <w:lvl w:ilvl="3">
      <w:start w:val="1"/>
      <w:numFmt w:val="decimal"/>
      <w:isLgl/>
      <w:lvlText w:val="%1.%2.%3.%4"/>
      <w:lvlJc w:val="left"/>
      <w:pPr>
        <w:ind w:left="1080" w:hanging="1080"/>
      </w:pPr>
      <w:rPr>
        <w:rFonts w:hint="default"/>
        <w:sz w:val="24"/>
        <w:szCs w:val="24"/>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8" w15:restartNumberingAfterBreak="0">
    <w:nsid w:val="16033740"/>
    <w:multiLevelType w:val="hybridMultilevel"/>
    <w:tmpl w:val="87B47EC4"/>
    <w:lvl w:ilvl="0" w:tplc="4CE0ABD6">
      <w:start w:val="1"/>
      <w:numFmt w:val="bullet"/>
      <w:lvlText w:val=""/>
      <w:lvlJc w:val="left"/>
      <w:pPr>
        <w:ind w:left="720" w:hanging="360"/>
      </w:pPr>
      <w:rPr>
        <w:rFonts w:ascii="Symbol" w:hAnsi="Symbol" w:hint="default"/>
      </w:rPr>
    </w:lvl>
    <w:lvl w:ilvl="1" w:tplc="C38A36AA">
      <w:start w:val="1"/>
      <w:numFmt w:val="bullet"/>
      <w:lvlText w:val="o"/>
      <w:lvlJc w:val="left"/>
      <w:pPr>
        <w:ind w:left="1440" w:hanging="360"/>
      </w:pPr>
      <w:rPr>
        <w:rFonts w:ascii="Courier New" w:hAnsi="Courier New" w:cs="Courier New" w:hint="default"/>
      </w:rPr>
    </w:lvl>
    <w:lvl w:ilvl="2" w:tplc="89727220" w:tentative="1">
      <w:start w:val="1"/>
      <w:numFmt w:val="bullet"/>
      <w:lvlText w:val=""/>
      <w:lvlJc w:val="left"/>
      <w:pPr>
        <w:ind w:left="2160" w:hanging="360"/>
      </w:pPr>
      <w:rPr>
        <w:rFonts w:ascii="Wingdings" w:hAnsi="Wingdings" w:hint="default"/>
      </w:rPr>
    </w:lvl>
    <w:lvl w:ilvl="3" w:tplc="AEE89182" w:tentative="1">
      <w:start w:val="1"/>
      <w:numFmt w:val="bullet"/>
      <w:lvlText w:val=""/>
      <w:lvlJc w:val="left"/>
      <w:pPr>
        <w:ind w:left="2880" w:hanging="360"/>
      </w:pPr>
      <w:rPr>
        <w:rFonts w:ascii="Symbol" w:hAnsi="Symbol" w:hint="default"/>
      </w:rPr>
    </w:lvl>
    <w:lvl w:ilvl="4" w:tplc="A8AE93C8" w:tentative="1">
      <w:start w:val="1"/>
      <w:numFmt w:val="bullet"/>
      <w:lvlText w:val="o"/>
      <w:lvlJc w:val="left"/>
      <w:pPr>
        <w:ind w:left="3600" w:hanging="360"/>
      </w:pPr>
      <w:rPr>
        <w:rFonts w:ascii="Courier New" w:hAnsi="Courier New" w:cs="Courier New" w:hint="default"/>
      </w:rPr>
    </w:lvl>
    <w:lvl w:ilvl="5" w:tplc="DE42305E" w:tentative="1">
      <w:start w:val="1"/>
      <w:numFmt w:val="bullet"/>
      <w:lvlText w:val=""/>
      <w:lvlJc w:val="left"/>
      <w:pPr>
        <w:ind w:left="4320" w:hanging="360"/>
      </w:pPr>
      <w:rPr>
        <w:rFonts w:ascii="Wingdings" w:hAnsi="Wingdings" w:hint="default"/>
      </w:rPr>
    </w:lvl>
    <w:lvl w:ilvl="6" w:tplc="F3E2D850" w:tentative="1">
      <w:start w:val="1"/>
      <w:numFmt w:val="bullet"/>
      <w:lvlText w:val=""/>
      <w:lvlJc w:val="left"/>
      <w:pPr>
        <w:ind w:left="5040" w:hanging="360"/>
      </w:pPr>
      <w:rPr>
        <w:rFonts w:ascii="Symbol" w:hAnsi="Symbol" w:hint="default"/>
      </w:rPr>
    </w:lvl>
    <w:lvl w:ilvl="7" w:tplc="1D247772" w:tentative="1">
      <w:start w:val="1"/>
      <w:numFmt w:val="bullet"/>
      <w:lvlText w:val="o"/>
      <w:lvlJc w:val="left"/>
      <w:pPr>
        <w:ind w:left="5760" w:hanging="360"/>
      </w:pPr>
      <w:rPr>
        <w:rFonts w:ascii="Courier New" w:hAnsi="Courier New" w:cs="Courier New" w:hint="default"/>
      </w:rPr>
    </w:lvl>
    <w:lvl w:ilvl="8" w:tplc="E222D35E" w:tentative="1">
      <w:start w:val="1"/>
      <w:numFmt w:val="bullet"/>
      <w:lvlText w:val=""/>
      <w:lvlJc w:val="left"/>
      <w:pPr>
        <w:ind w:left="6480" w:hanging="360"/>
      </w:pPr>
      <w:rPr>
        <w:rFonts w:ascii="Wingdings" w:hAnsi="Wingdings" w:hint="default"/>
      </w:rPr>
    </w:lvl>
  </w:abstractNum>
  <w:abstractNum w:abstractNumId="9" w15:restartNumberingAfterBreak="0">
    <w:nsid w:val="19DA780E"/>
    <w:multiLevelType w:val="multilevel"/>
    <w:tmpl w:val="2B142B30"/>
    <w:lvl w:ilvl="0">
      <w:start w:val="1"/>
      <w:numFmt w:val="decimal"/>
      <w:lvlText w:val="%1"/>
      <w:lvlJc w:val="left"/>
      <w:pPr>
        <w:tabs>
          <w:tab w:val="num" w:pos="360"/>
        </w:tabs>
        <w:ind w:left="0" w:firstLine="0"/>
      </w:pPr>
      <w:rPr>
        <w:rFonts w:ascii="Arial" w:hAnsi="Arial" w:cs="Times New Roman" w:hint="default"/>
        <w:b/>
        <w:i w:val="0"/>
        <w:sz w:val="20"/>
        <w:szCs w:val="20"/>
      </w:rPr>
    </w:lvl>
    <w:lvl w:ilvl="1">
      <w:start w:val="1"/>
      <w:numFmt w:val="decimal"/>
      <w:lvlText w:val="%1.%2."/>
      <w:lvlJc w:val="left"/>
      <w:pPr>
        <w:tabs>
          <w:tab w:val="num" w:pos="720"/>
        </w:tabs>
        <w:ind w:left="0" w:firstLine="0"/>
      </w:pPr>
      <w:rPr>
        <w:rFonts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1004"/>
        </w:tabs>
        <w:ind w:left="284" w:firstLine="0"/>
      </w:pPr>
      <w:rPr>
        <w:rFonts w:ascii="Arial" w:hAnsi="Arial" w:cs="Times New Roman" w:hint="default"/>
        <w:b/>
        <w:i w:val="0"/>
        <w:strike w:val="0"/>
        <w:dstrike w:val="0"/>
        <w:sz w:val="22"/>
        <w:szCs w:val="20"/>
        <w:u w:val="none"/>
        <w:effect w:val="none"/>
      </w:rPr>
    </w:lvl>
    <w:lvl w:ilvl="3">
      <w:start w:val="1"/>
      <w:numFmt w:val="decimal"/>
      <w:lvlText w:val="%1.%2.%3.%4."/>
      <w:lvlJc w:val="left"/>
      <w:pPr>
        <w:tabs>
          <w:tab w:val="num" w:pos="1080"/>
        </w:tabs>
        <w:ind w:left="0" w:firstLine="0"/>
      </w:pPr>
      <w:rPr>
        <w:rFonts w:ascii="Arial" w:hAnsi="Arial" w:cs="Times New Roman" w:hint="default"/>
        <w:b w:val="0"/>
        <w:i w:val="0"/>
        <w:strike w:val="0"/>
        <w:dstrike w:val="0"/>
        <w:sz w:val="20"/>
        <w:szCs w:val="20"/>
        <w:u w:val="none"/>
        <w:effect w:val="none"/>
      </w:rPr>
    </w:lvl>
    <w:lvl w:ilvl="4">
      <w:start w:val="1"/>
      <w:numFmt w:val="decimal"/>
      <w:lvlText w:val="%1.%2.%3.%4.%5."/>
      <w:lvlJc w:val="left"/>
      <w:pPr>
        <w:tabs>
          <w:tab w:val="num" w:pos="1080"/>
        </w:tabs>
        <w:ind w:left="0" w:firstLine="0"/>
      </w:pPr>
      <w:rPr>
        <w:rFonts w:ascii="Arial" w:hAnsi="Arial" w:cs="Times New Roman" w:hint="default"/>
        <w:b w:val="0"/>
        <w:i w:val="0"/>
        <w:sz w:val="20"/>
        <w:szCs w:val="20"/>
      </w:rPr>
    </w:lvl>
    <w:lvl w:ilvl="5">
      <w:start w:val="1"/>
      <w:numFmt w:val="decimal"/>
      <w:lvlText w:val="%1.%2.%3.%4.%5.%6."/>
      <w:lvlJc w:val="left"/>
      <w:pPr>
        <w:tabs>
          <w:tab w:val="num" w:pos="0"/>
        </w:tabs>
        <w:ind w:left="0" w:firstLine="0"/>
      </w:pPr>
      <w:rPr>
        <w:rFonts w:ascii="Arial" w:hAnsi="Arial" w:cs="Times New Roman" w:hint="default"/>
        <w:b/>
        <w:i w:val="0"/>
        <w:sz w:val="24"/>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10" w15:restartNumberingAfterBreak="0">
    <w:nsid w:val="1CDC5380"/>
    <w:multiLevelType w:val="hybridMultilevel"/>
    <w:tmpl w:val="1E1C7566"/>
    <w:lvl w:ilvl="0" w:tplc="240A0017">
      <w:start w:val="1"/>
      <w:numFmt w:val="lowerLetter"/>
      <w:lvlText w:val="%1)"/>
      <w:lvlJc w:val="left"/>
      <w:pPr>
        <w:ind w:left="578" w:hanging="360"/>
      </w:pPr>
    </w:lvl>
    <w:lvl w:ilvl="1" w:tplc="240A0019" w:tentative="1">
      <w:start w:val="1"/>
      <w:numFmt w:val="lowerLetter"/>
      <w:lvlText w:val="%2."/>
      <w:lvlJc w:val="left"/>
      <w:pPr>
        <w:ind w:left="1298" w:hanging="360"/>
      </w:pPr>
    </w:lvl>
    <w:lvl w:ilvl="2" w:tplc="240A001B" w:tentative="1">
      <w:start w:val="1"/>
      <w:numFmt w:val="lowerRoman"/>
      <w:lvlText w:val="%3."/>
      <w:lvlJc w:val="right"/>
      <w:pPr>
        <w:ind w:left="2018" w:hanging="180"/>
      </w:pPr>
    </w:lvl>
    <w:lvl w:ilvl="3" w:tplc="240A000F" w:tentative="1">
      <w:start w:val="1"/>
      <w:numFmt w:val="decimal"/>
      <w:lvlText w:val="%4."/>
      <w:lvlJc w:val="left"/>
      <w:pPr>
        <w:ind w:left="2738" w:hanging="360"/>
      </w:pPr>
    </w:lvl>
    <w:lvl w:ilvl="4" w:tplc="240A0019" w:tentative="1">
      <w:start w:val="1"/>
      <w:numFmt w:val="lowerLetter"/>
      <w:lvlText w:val="%5."/>
      <w:lvlJc w:val="left"/>
      <w:pPr>
        <w:ind w:left="3458" w:hanging="360"/>
      </w:pPr>
    </w:lvl>
    <w:lvl w:ilvl="5" w:tplc="240A001B" w:tentative="1">
      <w:start w:val="1"/>
      <w:numFmt w:val="lowerRoman"/>
      <w:lvlText w:val="%6."/>
      <w:lvlJc w:val="right"/>
      <w:pPr>
        <w:ind w:left="4178" w:hanging="180"/>
      </w:pPr>
    </w:lvl>
    <w:lvl w:ilvl="6" w:tplc="240A000F" w:tentative="1">
      <w:start w:val="1"/>
      <w:numFmt w:val="decimal"/>
      <w:lvlText w:val="%7."/>
      <w:lvlJc w:val="left"/>
      <w:pPr>
        <w:ind w:left="4898" w:hanging="360"/>
      </w:pPr>
    </w:lvl>
    <w:lvl w:ilvl="7" w:tplc="240A0019" w:tentative="1">
      <w:start w:val="1"/>
      <w:numFmt w:val="lowerLetter"/>
      <w:lvlText w:val="%8."/>
      <w:lvlJc w:val="left"/>
      <w:pPr>
        <w:ind w:left="5618" w:hanging="360"/>
      </w:pPr>
    </w:lvl>
    <w:lvl w:ilvl="8" w:tplc="240A001B" w:tentative="1">
      <w:start w:val="1"/>
      <w:numFmt w:val="lowerRoman"/>
      <w:lvlText w:val="%9."/>
      <w:lvlJc w:val="right"/>
      <w:pPr>
        <w:ind w:left="6338" w:hanging="180"/>
      </w:pPr>
    </w:lvl>
  </w:abstractNum>
  <w:abstractNum w:abstractNumId="11" w15:restartNumberingAfterBreak="0">
    <w:nsid w:val="20F51A53"/>
    <w:multiLevelType w:val="hybridMultilevel"/>
    <w:tmpl w:val="3C76F17E"/>
    <w:lvl w:ilvl="0" w:tplc="240A000F">
      <w:start w:val="1"/>
      <w:numFmt w:val="decimal"/>
      <w:lvlText w:val="%1."/>
      <w:lvlJc w:val="left"/>
      <w:pPr>
        <w:ind w:left="1345" w:hanging="360"/>
      </w:pPr>
    </w:lvl>
    <w:lvl w:ilvl="1" w:tplc="240A0019" w:tentative="1">
      <w:start w:val="1"/>
      <w:numFmt w:val="lowerLetter"/>
      <w:lvlText w:val="%2."/>
      <w:lvlJc w:val="left"/>
      <w:pPr>
        <w:ind w:left="2065" w:hanging="360"/>
      </w:pPr>
    </w:lvl>
    <w:lvl w:ilvl="2" w:tplc="240A001B" w:tentative="1">
      <w:start w:val="1"/>
      <w:numFmt w:val="lowerRoman"/>
      <w:lvlText w:val="%3."/>
      <w:lvlJc w:val="right"/>
      <w:pPr>
        <w:ind w:left="2785" w:hanging="180"/>
      </w:pPr>
    </w:lvl>
    <w:lvl w:ilvl="3" w:tplc="240A000F" w:tentative="1">
      <w:start w:val="1"/>
      <w:numFmt w:val="decimal"/>
      <w:lvlText w:val="%4."/>
      <w:lvlJc w:val="left"/>
      <w:pPr>
        <w:ind w:left="3505" w:hanging="360"/>
      </w:pPr>
    </w:lvl>
    <w:lvl w:ilvl="4" w:tplc="240A0019">
      <w:start w:val="1"/>
      <w:numFmt w:val="lowerLetter"/>
      <w:lvlText w:val="%5."/>
      <w:lvlJc w:val="left"/>
      <w:pPr>
        <w:ind w:left="4225" w:hanging="360"/>
      </w:pPr>
    </w:lvl>
    <w:lvl w:ilvl="5" w:tplc="240A001B" w:tentative="1">
      <w:start w:val="1"/>
      <w:numFmt w:val="lowerRoman"/>
      <w:lvlText w:val="%6."/>
      <w:lvlJc w:val="right"/>
      <w:pPr>
        <w:ind w:left="4945" w:hanging="180"/>
      </w:pPr>
    </w:lvl>
    <w:lvl w:ilvl="6" w:tplc="240A000F" w:tentative="1">
      <w:start w:val="1"/>
      <w:numFmt w:val="decimal"/>
      <w:lvlText w:val="%7."/>
      <w:lvlJc w:val="left"/>
      <w:pPr>
        <w:ind w:left="5665" w:hanging="360"/>
      </w:pPr>
    </w:lvl>
    <w:lvl w:ilvl="7" w:tplc="240A0019" w:tentative="1">
      <w:start w:val="1"/>
      <w:numFmt w:val="lowerLetter"/>
      <w:lvlText w:val="%8."/>
      <w:lvlJc w:val="left"/>
      <w:pPr>
        <w:ind w:left="6385" w:hanging="360"/>
      </w:pPr>
    </w:lvl>
    <w:lvl w:ilvl="8" w:tplc="240A001B" w:tentative="1">
      <w:start w:val="1"/>
      <w:numFmt w:val="lowerRoman"/>
      <w:lvlText w:val="%9."/>
      <w:lvlJc w:val="right"/>
      <w:pPr>
        <w:ind w:left="7105" w:hanging="180"/>
      </w:pPr>
    </w:lvl>
  </w:abstractNum>
  <w:abstractNum w:abstractNumId="12" w15:restartNumberingAfterBreak="0">
    <w:nsid w:val="225A0332"/>
    <w:multiLevelType w:val="hybridMultilevel"/>
    <w:tmpl w:val="F2041A58"/>
    <w:lvl w:ilvl="0" w:tplc="F0F48640">
      <w:start w:val="1"/>
      <w:numFmt w:val="lowerLetter"/>
      <w:lvlText w:val="%1)"/>
      <w:lvlJc w:val="left"/>
      <w:pPr>
        <w:ind w:left="218" w:hanging="360"/>
      </w:pPr>
      <w:rPr>
        <w:rFonts w:hint="default"/>
      </w:rPr>
    </w:lvl>
    <w:lvl w:ilvl="1" w:tplc="240A0019" w:tentative="1">
      <w:start w:val="1"/>
      <w:numFmt w:val="lowerLetter"/>
      <w:lvlText w:val="%2."/>
      <w:lvlJc w:val="left"/>
      <w:pPr>
        <w:ind w:left="938" w:hanging="360"/>
      </w:pPr>
    </w:lvl>
    <w:lvl w:ilvl="2" w:tplc="240A001B" w:tentative="1">
      <w:start w:val="1"/>
      <w:numFmt w:val="lowerRoman"/>
      <w:lvlText w:val="%3."/>
      <w:lvlJc w:val="right"/>
      <w:pPr>
        <w:ind w:left="1658" w:hanging="180"/>
      </w:pPr>
    </w:lvl>
    <w:lvl w:ilvl="3" w:tplc="240A000F" w:tentative="1">
      <w:start w:val="1"/>
      <w:numFmt w:val="decimal"/>
      <w:lvlText w:val="%4."/>
      <w:lvlJc w:val="left"/>
      <w:pPr>
        <w:ind w:left="2378" w:hanging="360"/>
      </w:pPr>
    </w:lvl>
    <w:lvl w:ilvl="4" w:tplc="240A0019" w:tentative="1">
      <w:start w:val="1"/>
      <w:numFmt w:val="lowerLetter"/>
      <w:lvlText w:val="%5."/>
      <w:lvlJc w:val="left"/>
      <w:pPr>
        <w:ind w:left="3098" w:hanging="360"/>
      </w:pPr>
    </w:lvl>
    <w:lvl w:ilvl="5" w:tplc="240A001B" w:tentative="1">
      <w:start w:val="1"/>
      <w:numFmt w:val="lowerRoman"/>
      <w:lvlText w:val="%6."/>
      <w:lvlJc w:val="right"/>
      <w:pPr>
        <w:ind w:left="3818" w:hanging="180"/>
      </w:pPr>
    </w:lvl>
    <w:lvl w:ilvl="6" w:tplc="240A000F" w:tentative="1">
      <w:start w:val="1"/>
      <w:numFmt w:val="decimal"/>
      <w:lvlText w:val="%7."/>
      <w:lvlJc w:val="left"/>
      <w:pPr>
        <w:ind w:left="4538" w:hanging="360"/>
      </w:pPr>
    </w:lvl>
    <w:lvl w:ilvl="7" w:tplc="240A0019" w:tentative="1">
      <w:start w:val="1"/>
      <w:numFmt w:val="lowerLetter"/>
      <w:lvlText w:val="%8."/>
      <w:lvlJc w:val="left"/>
      <w:pPr>
        <w:ind w:left="5258" w:hanging="360"/>
      </w:pPr>
    </w:lvl>
    <w:lvl w:ilvl="8" w:tplc="240A001B" w:tentative="1">
      <w:start w:val="1"/>
      <w:numFmt w:val="lowerRoman"/>
      <w:lvlText w:val="%9."/>
      <w:lvlJc w:val="right"/>
      <w:pPr>
        <w:ind w:left="5978" w:hanging="180"/>
      </w:pPr>
    </w:lvl>
  </w:abstractNum>
  <w:abstractNum w:abstractNumId="13" w15:restartNumberingAfterBreak="0">
    <w:nsid w:val="237746D7"/>
    <w:multiLevelType w:val="hybridMultilevel"/>
    <w:tmpl w:val="E3A2844C"/>
    <w:lvl w:ilvl="0" w:tplc="8E888A7A">
      <w:start w:val="1"/>
      <w:numFmt w:val="lowerRoman"/>
      <w:lvlText w:val="%1)"/>
      <w:lvlJc w:val="left"/>
      <w:pPr>
        <w:ind w:left="578" w:hanging="720"/>
      </w:pPr>
      <w:rPr>
        <w:rFonts w:hint="default"/>
      </w:rPr>
    </w:lvl>
    <w:lvl w:ilvl="1" w:tplc="240A0019" w:tentative="1">
      <w:start w:val="1"/>
      <w:numFmt w:val="lowerLetter"/>
      <w:lvlText w:val="%2."/>
      <w:lvlJc w:val="left"/>
      <w:pPr>
        <w:ind w:left="938" w:hanging="360"/>
      </w:pPr>
    </w:lvl>
    <w:lvl w:ilvl="2" w:tplc="240A001B" w:tentative="1">
      <w:start w:val="1"/>
      <w:numFmt w:val="lowerRoman"/>
      <w:lvlText w:val="%3."/>
      <w:lvlJc w:val="right"/>
      <w:pPr>
        <w:ind w:left="1658" w:hanging="180"/>
      </w:pPr>
    </w:lvl>
    <w:lvl w:ilvl="3" w:tplc="240A000F" w:tentative="1">
      <w:start w:val="1"/>
      <w:numFmt w:val="decimal"/>
      <w:lvlText w:val="%4."/>
      <w:lvlJc w:val="left"/>
      <w:pPr>
        <w:ind w:left="2378" w:hanging="360"/>
      </w:pPr>
    </w:lvl>
    <w:lvl w:ilvl="4" w:tplc="240A0019" w:tentative="1">
      <w:start w:val="1"/>
      <w:numFmt w:val="lowerLetter"/>
      <w:lvlText w:val="%5."/>
      <w:lvlJc w:val="left"/>
      <w:pPr>
        <w:ind w:left="3098" w:hanging="360"/>
      </w:pPr>
    </w:lvl>
    <w:lvl w:ilvl="5" w:tplc="240A001B" w:tentative="1">
      <w:start w:val="1"/>
      <w:numFmt w:val="lowerRoman"/>
      <w:lvlText w:val="%6."/>
      <w:lvlJc w:val="right"/>
      <w:pPr>
        <w:ind w:left="3818" w:hanging="180"/>
      </w:pPr>
    </w:lvl>
    <w:lvl w:ilvl="6" w:tplc="240A000F" w:tentative="1">
      <w:start w:val="1"/>
      <w:numFmt w:val="decimal"/>
      <w:lvlText w:val="%7."/>
      <w:lvlJc w:val="left"/>
      <w:pPr>
        <w:ind w:left="4538" w:hanging="360"/>
      </w:pPr>
    </w:lvl>
    <w:lvl w:ilvl="7" w:tplc="240A0019" w:tentative="1">
      <w:start w:val="1"/>
      <w:numFmt w:val="lowerLetter"/>
      <w:lvlText w:val="%8."/>
      <w:lvlJc w:val="left"/>
      <w:pPr>
        <w:ind w:left="5258" w:hanging="360"/>
      </w:pPr>
    </w:lvl>
    <w:lvl w:ilvl="8" w:tplc="240A001B" w:tentative="1">
      <w:start w:val="1"/>
      <w:numFmt w:val="lowerRoman"/>
      <w:lvlText w:val="%9."/>
      <w:lvlJc w:val="right"/>
      <w:pPr>
        <w:ind w:left="5978" w:hanging="180"/>
      </w:pPr>
    </w:lvl>
  </w:abstractNum>
  <w:abstractNum w:abstractNumId="14" w15:restartNumberingAfterBreak="0">
    <w:nsid w:val="259E4EBB"/>
    <w:multiLevelType w:val="hybridMultilevel"/>
    <w:tmpl w:val="A63A88BA"/>
    <w:lvl w:ilvl="0" w:tplc="EB2A57CC">
      <w:start w:val="1"/>
      <w:numFmt w:val="decimal"/>
      <w:lvlText w:val="%1."/>
      <w:lvlJc w:val="left"/>
      <w:pPr>
        <w:ind w:left="218" w:hanging="360"/>
      </w:pPr>
      <w:rPr>
        <w:rFonts w:hint="default"/>
        <w:b/>
      </w:rPr>
    </w:lvl>
    <w:lvl w:ilvl="1" w:tplc="240A0019" w:tentative="1">
      <w:start w:val="1"/>
      <w:numFmt w:val="lowerLetter"/>
      <w:lvlText w:val="%2."/>
      <w:lvlJc w:val="left"/>
      <w:pPr>
        <w:ind w:left="938" w:hanging="360"/>
      </w:pPr>
    </w:lvl>
    <w:lvl w:ilvl="2" w:tplc="240A001B" w:tentative="1">
      <w:start w:val="1"/>
      <w:numFmt w:val="lowerRoman"/>
      <w:lvlText w:val="%3."/>
      <w:lvlJc w:val="right"/>
      <w:pPr>
        <w:ind w:left="1658" w:hanging="180"/>
      </w:pPr>
    </w:lvl>
    <w:lvl w:ilvl="3" w:tplc="240A000F" w:tentative="1">
      <w:start w:val="1"/>
      <w:numFmt w:val="decimal"/>
      <w:lvlText w:val="%4."/>
      <w:lvlJc w:val="left"/>
      <w:pPr>
        <w:ind w:left="2378" w:hanging="360"/>
      </w:pPr>
    </w:lvl>
    <w:lvl w:ilvl="4" w:tplc="240A0019" w:tentative="1">
      <w:start w:val="1"/>
      <w:numFmt w:val="lowerLetter"/>
      <w:lvlText w:val="%5."/>
      <w:lvlJc w:val="left"/>
      <w:pPr>
        <w:ind w:left="3098" w:hanging="360"/>
      </w:pPr>
    </w:lvl>
    <w:lvl w:ilvl="5" w:tplc="240A001B" w:tentative="1">
      <w:start w:val="1"/>
      <w:numFmt w:val="lowerRoman"/>
      <w:lvlText w:val="%6."/>
      <w:lvlJc w:val="right"/>
      <w:pPr>
        <w:ind w:left="3818" w:hanging="180"/>
      </w:pPr>
    </w:lvl>
    <w:lvl w:ilvl="6" w:tplc="240A000F" w:tentative="1">
      <w:start w:val="1"/>
      <w:numFmt w:val="decimal"/>
      <w:lvlText w:val="%7."/>
      <w:lvlJc w:val="left"/>
      <w:pPr>
        <w:ind w:left="4538" w:hanging="360"/>
      </w:pPr>
    </w:lvl>
    <w:lvl w:ilvl="7" w:tplc="240A0019" w:tentative="1">
      <w:start w:val="1"/>
      <w:numFmt w:val="lowerLetter"/>
      <w:lvlText w:val="%8."/>
      <w:lvlJc w:val="left"/>
      <w:pPr>
        <w:ind w:left="5258" w:hanging="360"/>
      </w:pPr>
    </w:lvl>
    <w:lvl w:ilvl="8" w:tplc="240A001B" w:tentative="1">
      <w:start w:val="1"/>
      <w:numFmt w:val="lowerRoman"/>
      <w:lvlText w:val="%9."/>
      <w:lvlJc w:val="right"/>
      <w:pPr>
        <w:ind w:left="5978" w:hanging="180"/>
      </w:pPr>
    </w:lvl>
  </w:abstractNum>
  <w:abstractNum w:abstractNumId="15" w15:restartNumberingAfterBreak="0">
    <w:nsid w:val="295B44E0"/>
    <w:multiLevelType w:val="hybridMultilevel"/>
    <w:tmpl w:val="0394B20C"/>
    <w:lvl w:ilvl="0" w:tplc="2F94B3F2">
      <w:start w:val="1"/>
      <w:numFmt w:val="lowerRoman"/>
      <w:lvlText w:val="%1."/>
      <w:lvlJc w:val="left"/>
      <w:pPr>
        <w:ind w:left="578" w:hanging="720"/>
      </w:pPr>
      <w:rPr>
        <w:rFonts w:hint="default"/>
      </w:rPr>
    </w:lvl>
    <w:lvl w:ilvl="1" w:tplc="240A0019" w:tentative="1">
      <w:start w:val="1"/>
      <w:numFmt w:val="lowerLetter"/>
      <w:lvlText w:val="%2."/>
      <w:lvlJc w:val="left"/>
      <w:pPr>
        <w:ind w:left="938" w:hanging="360"/>
      </w:pPr>
    </w:lvl>
    <w:lvl w:ilvl="2" w:tplc="240A001B" w:tentative="1">
      <w:start w:val="1"/>
      <w:numFmt w:val="lowerRoman"/>
      <w:lvlText w:val="%3."/>
      <w:lvlJc w:val="right"/>
      <w:pPr>
        <w:ind w:left="1658" w:hanging="180"/>
      </w:pPr>
    </w:lvl>
    <w:lvl w:ilvl="3" w:tplc="240A000F" w:tentative="1">
      <w:start w:val="1"/>
      <w:numFmt w:val="decimal"/>
      <w:lvlText w:val="%4."/>
      <w:lvlJc w:val="left"/>
      <w:pPr>
        <w:ind w:left="2378" w:hanging="360"/>
      </w:pPr>
    </w:lvl>
    <w:lvl w:ilvl="4" w:tplc="240A0019" w:tentative="1">
      <w:start w:val="1"/>
      <w:numFmt w:val="lowerLetter"/>
      <w:lvlText w:val="%5."/>
      <w:lvlJc w:val="left"/>
      <w:pPr>
        <w:ind w:left="3098" w:hanging="360"/>
      </w:pPr>
    </w:lvl>
    <w:lvl w:ilvl="5" w:tplc="240A001B" w:tentative="1">
      <w:start w:val="1"/>
      <w:numFmt w:val="lowerRoman"/>
      <w:lvlText w:val="%6."/>
      <w:lvlJc w:val="right"/>
      <w:pPr>
        <w:ind w:left="3818" w:hanging="180"/>
      </w:pPr>
    </w:lvl>
    <w:lvl w:ilvl="6" w:tplc="240A000F" w:tentative="1">
      <w:start w:val="1"/>
      <w:numFmt w:val="decimal"/>
      <w:lvlText w:val="%7."/>
      <w:lvlJc w:val="left"/>
      <w:pPr>
        <w:ind w:left="4538" w:hanging="360"/>
      </w:pPr>
    </w:lvl>
    <w:lvl w:ilvl="7" w:tplc="240A0019" w:tentative="1">
      <w:start w:val="1"/>
      <w:numFmt w:val="lowerLetter"/>
      <w:lvlText w:val="%8."/>
      <w:lvlJc w:val="left"/>
      <w:pPr>
        <w:ind w:left="5258" w:hanging="360"/>
      </w:pPr>
    </w:lvl>
    <w:lvl w:ilvl="8" w:tplc="240A001B" w:tentative="1">
      <w:start w:val="1"/>
      <w:numFmt w:val="lowerRoman"/>
      <w:lvlText w:val="%9."/>
      <w:lvlJc w:val="right"/>
      <w:pPr>
        <w:ind w:left="5978" w:hanging="180"/>
      </w:pPr>
    </w:lvl>
  </w:abstractNum>
  <w:abstractNum w:abstractNumId="16" w15:restartNumberingAfterBreak="0">
    <w:nsid w:val="2EB635DA"/>
    <w:multiLevelType w:val="hybridMultilevel"/>
    <w:tmpl w:val="67245772"/>
    <w:lvl w:ilvl="0" w:tplc="240A0015">
      <w:start w:val="1"/>
      <w:numFmt w:val="upperLetter"/>
      <w:lvlText w:val="%1."/>
      <w:lvlJc w:val="left"/>
      <w:pPr>
        <w:ind w:left="720" w:hanging="360"/>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325E027D"/>
    <w:multiLevelType w:val="singleLevel"/>
    <w:tmpl w:val="5088F2C0"/>
    <w:lvl w:ilvl="0">
      <w:start w:val="1"/>
      <w:numFmt w:val="lowerRoman"/>
      <w:lvlText w:val="%1)"/>
      <w:lvlJc w:val="left"/>
      <w:pPr>
        <w:tabs>
          <w:tab w:val="num" w:pos="1713"/>
        </w:tabs>
        <w:ind w:left="1713" w:hanging="720"/>
      </w:pPr>
      <w:rPr>
        <w:rFonts w:hint="default"/>
      </w:rPr>
    </w:lvl>
  </w:abstractNum>
  <w:abstractNum w:abstractNumId="18" w15:restartNumberingAfterBreak="0">
    <w:nsid w:val="348F13D4"/>
    <w:multiLevelType w:val="multilevel"/>
    <w:tmpl w:val="C1AA0D6C"/>
    <w:lvl w:ilvl="0">
      <w:start w:val="2"/>
      <w:numFmt w:val="decimal"/>
      <w:lvlText w:val="Artículo %1."/>
      <w:lvlJc w:val="left"/>
      <w:pPr>
        <w:ind w:left="0" w:firstLine="0"/>
      </w:pPr>
      <w:rPr>
        <w:rFonts w:ascii="Bookman Old Style" w:hAnsi="Bookman Old Style" w:hint="default"/>
        <w:b/>
        <w:i w:val="0"/>
        <w:sz w:val="24"/>
      </w:rPr>
    </w:lvl>
    <w:lvl w:ilvl="1">
      <w:start w:val="1"/>
      <w:numFmt w:val="decimal"/>
      <w:lvlText w:val="%1.%2."/>
      <w:lvlJc w:val="left"/>
      <w:pPr>
        <w:ind w:left="0" w:firstLine="0"/>
      </w:pPr>
      <w:rPr>
        <w:rFonts w:ascii="Bookman Old Style" w:hAnsi="Bookman Old Style" w:hint="default"/>
        <w:b/>
        <w:i w:val="0"/>
        <w:sz w:val="24"/>
        <w:szCs w:val="24"/>
      </w:rPr>
    </w:lvl>
    <w:lvl w:ilvl="2">
      <w:start w:val="1"/>
      <w:numFmt w:val="decimal"/>
      <w:suff w:val="nothing"/>
      <w:lvlText w:val="%1.%2.%3. "/>
      <w:lvlJc w:val="left"/>
      <w:pPr>
        <w:ind w:left="0" w:firstLine="0"/>
      </w:pPr>
      <w:rPr>
        <w:rFonts w:ascii="Bookman Old Style" w:hAnsi="Bookman Old Style" w:hint="default"/>
        <w:b/>
        <w:i w:val="0"/>
        <w:sz w:val="24"/>
      </w:rPr>
    </w:lvl>
    <w:lvl w:ilvl="3">
      <w:start w:val="1"/>
      <w:numFmt w:val="lowerRoman"/>
      <w:lvlText w:val="(%4)"/>
      <w:lvlJc w:val="right"/>
      <w:pPr>
        <w:ind w:left="-1135" w:firstLine="0"/>
      </w:pPr>
      <w:rPr>
        <w:rFonts w:hint="default"/>
      </w:rPr>
    </w:lvl>
    <w:lvl w:ilvl="4">
      <w:start w:val="1"/>
      <w:numFmt w:val="decimal"/>
      <w:lvlText w:val="%5)"/>
      <w:lvlJc w:val="left"/>
      <w:pPr>
        <w:ind w:left="-1135" w:firstLine="0"/>
      </w:pPr>
      <w:rPr>
        <w:rFonts w:hint="default"/>
      </w:rPr>
    </w:lvl>
    <w:lvl w:ilvl="5">
      <w:start w:val="1"/>
      <w:numFmt w:val="lowerLetter"/>
      <w:lvlText w:val="%6)"/>
      <w:lvlJc w:val="left"/>
      <w:pPr>
        <w:ind w:left="-1135" w:firstLine="0"/>
      </w:pPr>
      <w:rPr>
        <w:rFonts w:hint="default"/>
      </w:rPr>
    </w:lvl>
    <w:lvl w:ilvl="6">
      <w:start w:val="1"/>
      <w:numFmt w:val="lowerRoman"/>
      <w:lvlText w:val="%7)"/>
      <w:lvlJc w:val="right"/>
      <w:pPr>
        <w:ind w:left="-1135" w:firstLine="0"/>
      </w:pPr>
      <w:rPr>
        <w:rFonts w:hint="default"/>
      </w:rPr>
    </w:lvl>
    <w:lvl w:ilvl="7">
      <w:start w:val="1"/>
      <w:numFmt w:val="lowerLetter"/>
      <w:lvlText w:val="%8."/>
      <w:lvlJc w:val="left"/>
      <w:pPr>
        <w:ind w:left="-1135" w:firstLine="0"/>
      </w:pPr>
      <w:rPr>
        <w:rFonts w:hint="default"/>
      </w:rPr>
    </w:lvl>
    <w:lvl w:ilvl="8">
      <w:start w:val="1"/>
      <w:numFmt w:val="lowerRoman"/>
      <w:lvlText w:val="%9."/>
      <w:lvlJc w:val="right"/>
      <w:pPr>
        <w:ind w:left="-1135" w:firstLine="0"/>
      </w:pPr>
      <w:rPr>
        <w:rFonts w:hint="default"/>
      </w:rPr>
    </w:lvl>
  </w:abstractNum>
  <w:abstractNum w:abstractNumId="19" w15:restartNumberingAfterBreak="0">
    <w:nsid w:val="36CB5859"/>
    <w:multiLevelType w:val="hybridMultilevel"/>
    <w:tmpl w:val="F11C4032"/>
    <w:lvl w:ilvl="0" w:tplc="240A0017">
      <w:start w:val="1"/>
      <w:numFmt w:val="lowerLetter"/>
      <w:lvlText w:val="%1)"/>
      <w:lvlJc w:val="left"/>
      <w:pPr>
        <w:ind w:left="578" w:hanging="360"/>
      </w:pPr>
    </w:lvl>
    <w:lvl w:ilvl="1" w:tplc="5388E8AC">
      <w:start w:val="1"/>
      <w:numFmt w:val="decimal"/>
      <w:lvlText w:val="%2."/>
      <w:lvlJc w:val="left"/>
      <w:pPr>
        <w:ind w:left="1373" w:hanging="435"/>
      </w:pPr>
      <w:rPr>
        <w:rFonts w:hint="default"/>
        <w:lang w:val="es-ES"/>
      </w:rPr>
    </w:lvl>
    <w:lvl w:ilvl="2" w:tplc="240A001B" w:tentative="1">
      <w:start w:val="1"/>
      <w:numFmt w:val="lowerRoman"/>
      <w:lvlText w:val="%3."/>
      <w:lvlJc w:val="right"/>
      <w:pPr>
        <w:ind w:left="2018" w:hanging="180"/>
      </w:pPr>
    </w:lvl>
    <w:lvl w:ilvl="3" w:tplc="240A000F" w:tentative="1">
      <w:start w:val="1"/>
      <w:numFmt w:val="decimal"/>
      <w:lvlText w:val="%4."/>
      <w:lvlJc w:val="left"/>
      <w:pPr>
        <w:ind w:left="2738" w:hanging="360"/>
      </w:pPr>
    </w:lvl>
    <w:lvl w:ilvl="4" w:tplc="240A0019" w:tentative="1">
      <w:start w:val="1"/>
      <w:numFmt w:val="lowerLetter"/>
      <w:lvlText w:val="%5."/>
      <w:lvlJc w:val="left"/>
      <w:pPr>
        <w:ind w:left="3458" w:hanging="360"/>
      </w:pPr>
    </w:lvl>
    <w:lvl w:ilvl="5" w:tplc="240A001B" w:tentative="1">
      <w:start w:val="1"/>
      <w:numFmt w:val="lowerRoman"/>
      <w:lvlText w:val="%6."/>
      <w:lvlJc w:val="right"/>
      <w:pPr>
        <w:ind w:left="4178" w:hanging="180"/>
      </w:pPr>
    </w:lvl>
    <w:lvl w:ilvl="6" w:tplc="240A000F" w:tentative="1">
      <w:start w:val="1"/>
      <w:numFmt w:val="decimal"/>
      <w:lvlText w:val="%7."/>
      <w:lvlJc w:val="left"/>
      <w:pPr>
        <w:ind w:left="4898" w:hanging="360"/>
      </w:pPr>
    </w:lvl>
    <w:lvl w:ilvl="7" w:tplc="240A0019" w:tentative="1">
      <w:start w:val="1"/>
      <w:numFmt w:val="lowerLetter"/>
      <w:lvlText w:val="%8."/>
      <w:lvlJc w:val="left"/>
      <w:pPr>
        <w:ind w:left="5618" w:hanging="360"/>
      </w:pPr>
    </w:lvl>
    <w:lvl w:ilvl="8" w:tplc="240A001B" w:tentative="1">
      <w:start w:val="1"/>
      <w:numFmt w:val="lowerRoman"/>
      <w:lvlText w:val="%9."/>
      <w:lvlJc w:val="right"/>
      <w:pPr>
        <w:ind w:left="6338" w:hanging="180"/>
      </w:pPr>
    </w:lvl>
  </w:abstractNum>
  <w:abstractNum w:abstractNumId="20" w15:restartNumberingAfterBreak="0">
    <w:nsid w:val="38A60351"/>
    <w:multiLevelType w:val="hybridMultilevel"/>
    <w:tmpl w:val="F560238A"/>
    <w:lvl w:ilvl="0" w:tplc="240A0001">
      <w:start w:val="1"/>
      <w:numFmt w:val="bullet"/>
      <w:lvlText w:val=""/>
      <w:lvlJc w:val="left"/>
      <w:pPr>
        <w:ind w:left="218" w:hanging="360"/>
      </w:pPr>
      <w:rPr>
        <w:rFonts w:ascii="Symbol" w:hAnsi="Symbol" w:hint="default"/>
      </w:rPr>
    </w:lvl>
    <w:lvl w:ilvl="1" w:tplc="240A0003" w:tentative="1">
      <w:start w:val="1"/>
      <w:numFmt w:val="bullet"/>
      <w:lvlText w:val="o"/>
      <w:lvlJc w:val="left"/>
      <w:pPr>
        <w:ind w:left="938" w:hanging="360"/>
      </w:pPr>
      <w:rPr>
        <w:rFonts w:ascii="Courier New" w:hAnsi="Courier New" w:cs="Courier New" w:hint="default"/>
      </w:rPr>
    </w:lvl>
    <w:lvl w:ilvl="2" w:tplc="240A0005" w:tentative="1">
      <w:start w:val="1"/>
      <w:numFmt w:val="bullet"/>
      <w:lvlText w:val=""/>
      <w:lvlJc w:val="left"/>
      <w:pPr>
        <w:ind w:left="1658" w:hanging="360"/>
      </w:pPr>
      <w:rPr>
        <w:rFonts w:ascii="Wingdings" w:hAnsi="Wingdings" w:hint="default"/>
      </w:rPr>
    </w:lvl>
    <w:lvl w:ilvl="3" w:tplc="240A0001" w:tentative="1">
      <w:start w:val="1"/>
      <w:numFmt w:val="bullet"/>
      <w:lvlText w:val=""/>
      <w:lvlJc w:val="left"/>
      <w:pPr>
        <w:ind w:left="2378" w:hanging="360"/>
      </w:pPr>
      <w:rPr>
        <w:rFonts w:ascii="Symbol" w:hAnsi="Symbol" w:hint="default"/>
      </w:rPr>
    </w:lvl>
    <w:lvl w:ilvl="4" w:tplc="240A0003" w:tentative="1">
      <w:start w:val="1"/>
      <w:numFmt w:val="bullet"/>
      <w:lvlText w:val="o"/>
      <w:lvlJc w:val="left"/>
      <w:pPr>
        <w:ind w:left="3098" w:hanging="360"/>
      </w:pPr>
      <w:rPr>
        <w:rFonts w:ascii="Courier New" w:hAnsi="Courier New" w:cs="Courier New" w:hint="default"/>
      </w:rPr>
    </w:lvl>
    <w:lvl w:ilvl="5" w:tplc="240A0005" w:tentative="1">
      <w:start w:val="1"/>
      <w:numFmt w:val="bullet"/>
      <w:lvlText w:val=""/>
      <w:lvlJc w:val="left"/>
      <w:pPr>
        <w:ind w:left="3818" w:hanging="360"/>
      </w:pPr>
      <w:rPr>
        <w:rFonts w:ascii="Wingdings" w:hAnsi="Wingdings" w:hint="default"/>
      </w:rPr>
    </w:lvl>
    <w:lvl w:ilvl="6" w:tplc="240A0001" w:tentative="1">
      <w:start w:val="1"/>
      <w:numFmt w:val="bullet"/>
      <w:lvlText w:val=""/>
      <w:lvlJc w:val="left"/>
      <w:pPr>
        <w:ind w:left="4538" w:hanging="360"/>
      </w:pPr>
      <w:rPr>
        <w:rFonts w:ascii="Symbol" w:hAnsi="Symbol" w:hint="default"/>
      </w:rPr>
    </w:lvl>
    <w:lvl w:ilvl="7" w:tplc="240A0003" w:tentative="1">
      <w:start w:val="1"/>
      <w:numFmt w:val="bullet"/>
      <w:lvlText w:val="o"/>
      <w:lvlJc w:val="left"/>
      <w:pPr>
        <w:ind w:left="5258" w:hanging="360"/>
      </w:pPr>
      <w:rPr>
        <w:rFonts w:ascii="Courier New" w:hAnsi="Courier New" w:cs="Courier New" w:hint="default"/>
      </w:rPr>
    </w:lvl>
    <w:lvl w:ilvl="8" w:tplc="240A0005" w:tentative="1">
      <w:start w:val="1"/>
      <w:numFmt w:val="bullet"/>
      <w:lvlText w:val=""/>
      <w:lvlJc w:val="left"/>
      <w:pPr>
        <w:ind w:left="5978" w:hanging="360"/>
      </w:pPr>
      <w:rPr>
        <w:rFonts w:ascii="Wingdings" w:hAnsi="Wingdings" w:hint="default"/>
      </w:rPr>
    </w:lvl>
  </w:abstractNum>
  <w:abstractNum w:abstractNumId="21" w15:restartNumberingAfterBreak="0">
    <w:nsid w:val="39250C14"/>
    <w:multiLevelType w:val="hybridMultilevel"/>
    <w:tmpl w:val="37F060FC"/>
    <w:lvl w:ilvl="0" w:tplc="FDD689B2">
      <w:start w:val="1"/>
      <w:numFmt w:val="decimal"/>
      <w:lvlText w:val="Artículo %1"/>
      <w:lvlJc w:val="left"/>
      <w:pPr>
        <w:ind w:left="720" w:hanging="360"/>
      </w:pPr>
      <w:rPr>
        <w:rFonts w:ascii="Bookman Old Style" w:hAnsi="Bookman Old Style" w:hint="default"/>
        <w:b/>
        <w:i w:val="0"/>
        <w:color w:val="auto"/>
        <w:sz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15:restartNumberingAfterBreak="0">
    <w:nsid w:val="3A7303AF"/>
    <w:multiLevelType w:val="hybridMultilevel"/>
    <w:tmpl w:val="7526C480"/>
    <w:lvl w:ilvl="0" w:tplc="5A587F8C">
      <w:start w:val="1"/>
      <w:numFmt w:val="upperLetter"/>
      <w:lvlText w:val="%1."/>
      <w:lvlJc w:val="left"/>
      <w:pPr>
        <w:ind w:left="218" w:hanging="360"/>
      </w:pPr>
      <w:rPr>
        <w:rFonts w:hint="default"/>
        <w:b/>
      </w:rPr>
    </w:lvl>
    <w:lvl w:ilvl="1" w:tplc="240A0019" w:tentative="1">
      <w:start w:val="1"/>
      <w:numFmt w:val="lowerLetter"/>
      <w:lvlText w:val="%2."/>
      <w:lvlJc w:val="left"/>
      <w:pPr>
        <w:ind w:left="938" w:hanging="360"/>
      </w:pPr>
    </w:lvl>
    <w:lvl w:ilvl="2" w:tplc="240A001B" w:tentative="1">
      <w:start w:val="1"/>
      <w:numFmt w:val="lowerRoman"/>
      <w:lvlText w:val="%3."/>
      <w:lvlJc w:val="right"/>
      <w:pPr>
        <w:ind w:left="1658" w:hanging="180"/>
      </w:pPr>
    </w:lvl>
    <w:lvl w:ilvl="3" w:tplc="240A000F" w:tentative="1">
      <w:start w:val="1"/>
      <w:numFmt w:val="decimal"/>
      <w:lvlText w:val="%4."/>
      <w:lvlJc w:val="left"/>
      <w:pPr>
        <w:ind w:left="2378" w:hanging="360"/>
      </w:pPr>
    </w:lvl>
    <w:lvl w:ilvl="4" w:tplc="240A0019" w:tentative="1">
      <w:start w:val="1"/>
      <w:numFmt w:val="lowerLetter"/>
      <w:lvlText w:val="%5."/>
      <w:lvlJc w:val="left"/>
      <w:pPr>
        <w:ind w:left="3098" w:hanging="360"/>
      </w:pPr>
    </w:lvl>
    <w:lvl w:ilvl="5" w:tplc="240A001B" w:tentative="1">
      <w:start w:val="1"/>
      <w:numFmt w:val="lowerRoman"/>
      <w:lvlText w:val="%6."/>
      <w:lvlJc w:val="right"/>
      <w:pPr>
        <w:ind w:left="3818" w:hanging="180"/>
      </w:pPr>
    </w:lvl>
    <w:lvl w:ilvl="6" w:tplc="240A000F" w:tentative="1">
      <w:start w:val="1"/>
      <w:numFmt w:val="decimal"/>
      <w:lvlText w:val="%7."/>
      <w:lvlJc w:val="left"/>
      <w:pPr>
        <w:ind w:left="4538" w:hanging="360"/>
      </w:pPr>
    </w:lvl>
    <w:lvl w:ilvl="7" w:tplc="240A0019" w:tentative="1">
      <w:start w:val="1"/>
      <w:numFmt w:val="lowerLetter"/>
      <w:lvlText w:val="%8."/>
      <w:lvlJc w:val="left"/>
      <w:pPr>
        <w:ind w:left="5258" w:hanging="360"/>
      </w:pPr>
    </w:lvl>
    <w:lvl w:ilvl="8" w:tplc="240A001B" w:tentative="1">
      <w:start w:val="1"/>
      <w:numFmt w:val="lowerRoman"/>
      <w:lvlText w:val="%9."/>
      <w:lvlJc w:val="right"/>
      <w:pPr>
        <w:ind w:left="5978" w:hanging="180"/>
      </w:pPr>
    </w:lvl>
  </w:abstractNum>
  <w:abstractNum w:abstractNumId="23" w15:restartNumberingAfterBreak="0">
    <w:nsid w:val="3AB8632C"/>
    <w:multiLevelType w:val="hybridMultilevel"/>
    <w:tmpl w:val="6D3053FC"/>
    <w:lvl w:ilvl="0" w:tplc="43523502">
      <w:start w:val="1"/>
      <w:numFmt w:val="lowerLetter"/>
      <w:lvlText w:val="%1."/>
      <w:lvlJc w:val="left"/>
      <w:pPr>
        <w:ind w:left="360" w:hanging="360"/>
      </w:pPr>
      <w:rPr>
        <w:i/>
      </w:rPr>
    </w:lvl>
    <w:lvl w:ilvl="1" w:tplc="240A0001">
      <w:start w:val="1"/>
      <w:numFmt w:val="bullet"/>
      <w:lvlText w:val=""/>
      <w:lvlJc w:val="left"/>
      <w:pPr>
        <w:ind w:left="1080" w:hanging="360"/>
      </w:pPr>
      <w:rPr>
        <w:rFonts w:ascii="Symbol" w:hAnsi="Symbol" w:hint="default"/>
      </w:r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4" w15:restartNumberingAfterBreak="0">
    <w:nsid w:val="3B8B0F63"/>
    <w:multiLevelType w:val="hybridMultilevel"/>
    <w:tmpl w:val="E6D88650"/>
    <w:lvl w:ilvl="0" w:tplc="240A0001">
      <w:start w:val="1"/>
      <w:numFmt w:val="bullet"/>
      <w:lvlText w:val=""/>
      <w:lvlJc w:val="left"/>
      <w:pPr>
        <w:ind w:left="578" w:hanging="360"/>
      </w:pPr>
      <w:rPr>
        <w:rFonts w:ascii="Symbol" w:hAnsi="Symbol" w:hint="default"/>
      </w:rPr>
    </w:lvl>
    <w:lvl w:ilvl="1" w:tplc="240A0003" w:tentative="1">
      <w:start w:val="1"/>
      <w:numFmt w:val="bullet"/>
      <w:lvlText w:val="o"/>
      <w:lvlJc w:val="left"/>
      <w:pPr>
        <w:ind w:left="1298" w:hanging="360"/>
      </w:pPr>
      <w:rPr>
        <w:rFonts w:ascii="Courier New" w:hAnsi="Courier New" w:cs="Courier New" w:hint="default"/>
      </w:rPr>
    </w:lvl>
    <w:lvl w:ilvl="2" w:tplc="240A0005" w:tentative="1">
      <w:start w:val="1"/>
      <w:numFmt w:val="bullet"/>
      <w:lvlText w:val=""/>
      <w:lvlJc w:val="left"/>
      <w:pPr>
        <w:ind w:left="2018" w:hanging="360"/>
      </w:pPr>
      <w:rPr>
        <w:rFonts w:ascii="Wingdings" w:hAnsi="Wingdings" w:hint="default"/>
      </w:rPr>
    </w:lvl>
    <w:lvl w:ilvl="3" w:tplc="240A0001" w:tentative="1">
      <w:start w:val="1"/>
      <w:numFmt w:val="bullet"/>
      <w:lvlText w:val=""/>
      <w:lvlJc w:val="left"/>
      <w:pPr>
        <w:ind w:left="2738" w:hanging="360"/>
      </w:pPr>
      <w:rPr>
        <w:rFonts w:ascii="Symbol" w:hAnsi="Symbol" w:hint="default"/>
      </w:rPr>
    </w:lvl>
    <w:lvl w:ilvl="4" w:tplc="240A0003" w:tentative="1">
      <w:start w:val="1"/>
      <w:numFmt w:val="bullet"/>
      <w:lvlText w:val="o"/>
      <w:lvlJc w:val="left"/>
      <w:pPr>
        <w:ind w:left="3458" w:hanging="360"/>
      </w:pPr>
      <w:rPr>
        <w:rFonts w:ascii="Courier New" w:hAnsi="Courier New" w:cs="Courier New" w:hint="default"/>
      </w:rPr>
    </w:lvl>
    <w:lvl w:ilvl="5" w:tplc="240A0005" w:tentative="1">
      <w:start w:val="1"/>
      <w:numFmt w:val="bullet"/>
      <w:lvlText w:val=""/>
      <w:lvlJc w:val="left"/>
      <w:pPr>
        <w:ind w:left="4178" w:hanging="360"/>
      </w:pPr>
      <w:rPr>
        <w:rFonts w:ascii="Wingdings" w:hAnsi="Wingdings" w:hint="default"/>
      </w:rPr>
    </w:lvl>
    <w:lvl w:ilvl="6" w:tplc="240A0001" w:tentative="1">
      <w:start w:val="1"/>
      <w:numFmt w:val="bullet"/>
      <w:lvlText w:val=""/>
      <w:lvlJc w:val="left"/>
      <w:pPr>
        <w:ind w:left="4898" w:hanging="360"/>
      </w:pPr>
      <w:rPr>
        <w:rFonts w:ascii="Symbol" w:hAnsi="Symbol" w:hint="default"/>
      </w:rPr>
    </w:lvl>
    <w:lvl w:ilvl="7" w:tplc="240A0003" w:tentative="1">
      <w:start w:val="1"/>
      <w:numFmt w:val="bullet"/>
      <w:lvlText w:val="o"/>
      <w:lvlJc w:val="left"/>
      <w:pPr>
        <w:ind w:left="5618" w:hanging="360"/>
      </w:pPr>
      <w:rPr>
        <w:rFonts w:ascii="Courier New" w:hAnsi="Courier New" w:cs="Courier New" w:hint="default"/>
      </w:rPr>
    </w:lvl>
    <w:lvl w:ilvl="8" w:tplc="240A0005" w:tentative="1">
      <w:start w:val="1"/>
      <w:numFmt w:val="bullet"/>
      <w:lvlText w:val=""/>
      <w:lvlJc w:val="left"/>
      <w:pPr>
        <w:ind w:left="6338" w:hanging="360"/>
      </w:pPr>
      <w:rPr>
        <w:rFonts w:ascii="Wingdings" w:hAnsi="Wingdings" w:hint="default"/>
      </w:rPr>
    </w:lvl>
  </w:abstractNum>
  <w:abstractNum w:abstractNumId="25" w15:restartNumberingAfterBreak="0">
    <w:nsid w:val="3D54016C"/>
    <w:multiLevelType w:val="hybridMultilevel"/>
    <w:tmpl w:val="5C7C9328"/>
    <w:lvl w:ilvl="0" w:tplc="9EB063EA">
      <w:start w:val="1"/>
      <w:numFmt w:val="lowerRoman"/>
      <w:lvlText w:val="%1."/>
      <w:lvlJc w:val="left"/>
      <w:pPr>
        <w:ind w:left="1428" w:hanging="360"/>
      </w:pPr>
      <w:rPr>
        <w:rFonts w:hint="default"/>
      </w:rPr>
    </w:lvl>
    <w:lvl w:ilvl="1" w:tplc="240A0019" w:tentative="1">
      <w:start w:val="1"/>
      <w:numFmt w:val="lowerLetter"/>
      <w:lvlText w:val="%2."/>
      <w:lvlJc w:val="left"/>
      <w:pPr>
        <w:ind w:left="2148" w:hanging="360"/>
      </w:pPr>
    </w:lvl>
    <w:lvl w:ilvl="2" w:tplc="240A001B" w:tentative="1">
      <w:start w:val="1"/>
      <w:numFmt w:val="lowerRoman"/>
      <w:lvlText w:val="%3."/>
      <w:lvlJc w:val="right"/>
      <w:pPr>
        <w:ind w:left="2868" w:hanging="180"/>
      </w:pPr>
    </w:lvl>
    <w:lvl w:ilvl="3" w:tplc="240A000F" w:tentative="1">
      <w:start w:val="1"/>
      <w:numFmt w:val="decimal"/>
      <w:lvlText w:val="%4."/>
      <w:lvlJc w:val="left"/>
      <w:pPr>
        <w:ind w:left="3588" w:hanging="360"/>
      </w:pPr>
    </w:lvl>
    <w:lvl w:ilvl="4" w:tplc="240A0019" w:tentative="1">
      <w:start w:val="1"/>
      <w:numFmt w:val="lowerLetter"/>
      <w:lvlText w:val="%5."/>
      <w:lvlJc w:val="left"/>
      <w:pPr>
        <w:ind w:left="4308" w:hanging="360"/>
      </w:pPr>
    </w:lvl>
    <w:lvl w:ilvl="5" w:tplc="240A001B" w:tentative="1">
      <w:start w:val="1"/>
      <w:numFmt w:val="lowerRoman"/>
      <w:lvlText w:val="%6."/>
      <w:lvlJc w:val="right"/>
      <w:pPr>
        <w:ind w:left="5028" w:hanging="180"/>
      </w:pPr>
    </w:lvl>
    <w:lvl w:ilvl="6" w:tplc="240A000F" w:tentative="1">
      <w:start w:val="1"/>
      <w:numFmt w:val="decimal"/>
      <w:lvlText w:val="%7."/>
      <w:lvlJc w:val="left"/>
      <w:pPr>
        <w:ind w:left="5748" w:hanging="360"/>
      </w:pPr>
    </w:lvl>
    <w:lvl w:ilvl="7" w:tplc="240A0019" w:tentative="1">
      <w:start w:val="1"/>
      <w:numFmt w:val="lowerLetter"/>
      <w:lvlText w:val="%8."/>
      <w:lvlJc w:val="left"/>
      <w:pPr>
        <w:ind w:left="6468" w:hanging="360"/>
      </w:pPr>
    </w:lvl>
    <w:lvl w:ilvl="8" w:tplc="240A001B" w:tentative="1">
      <w:start w:val="1"/>
      <w:numFmt w:val="lowerRoman"/>
      <w:lvlText w:val="%9."/>
      <w:lvlJc w:val="right"/>
      <w:pPr>
        <w:ind w:left="7188" w:hanging="180"/>
      </w:pPr>
    </w:lvl>
  </w:abstractNum>
  <w:abstractNum w:abstractNumId="26" w15:restartNumberingAfterBreak="0">
    <w:nsid w:val="3E7B3574"/>
    <w:multiLevelType w:val="hybridMultilevel"/>
    <w:tmpl w:val="4210E2EE"/>
    <w:lvl w:ilvl="0" w:tplc="CD5A8C5C">
      <w:start w:val="2"/>
      <w:numFmt w:val="decimal"/>
      <w:lvlText w:val="%1."/>
      <w:lvlJc w:val="left"/>
      <w:pPr>
        <w:ind w:left="644" w:hanging="360"/>
      </w:pPr>
      <w:rPr>
        <w:rFonts w:hint="default"/>
      </w:rPr>
    </w:lvl>
    <w:lvl w:ilvl="1" w:tplc="240A0019" w:tentative="1">
      <w:start w:val="1"/>
      <w:numFmt w:val="lowerLetter"/>
      <w:lvlText w:val="%2."/>
      <w:lvlJc w:val="left"/>
      <w:pPr>
        <w:ind w:left="1364" w:hanging="360"/>
      </w:pPr>
    </w:lvl>
    <w:lvl w:ilvl="2" w:tplc="240A001B" w:tentative="1">
      <w:start w:val="1"/>
      <w:numFmt w:val="lowerRoman"/>
      <w:lvlText w:val="%3."/>
      <w:lvlJc w:val="right"/>
      <w:pPr>
        <w:ind w:left="2084" w:hanging="180"/>
      </w:pPr>
    </w:lvl>
    <w:lvl w:ilvl="3" w:tplc="240A000F" w:tentative="1">
      <w:start w:val="1"/>
      <w:numFmt w:val="decimal"/>
      <w:lvlText w:val="%4."/>
      <w:lvlJc w:val="left"/>
      <w:pPr>
        <w:ind w:left="2804" w:hanging="360"/>
      </w:pPr>
    </w:lvl>
    <w:lvl w:ilvl="4" w:tplc="240A0019" w:tentative="1">
      <w:start w:val="1"/>
      <w:numFmt w:val="lowerLetter"/>
      <w:lvlText w:val="%5."/>
      <w:lvlJc w:val="left"/>
      <w:pPr>
        <w:ind w:left="3524" w:hanging="360"/>
      </w:pPr>
    </w:lvl>
    <w:lvl w:ilvl="5" w:tplc="240A001B" w:tentative="1">
      <w:start w:val="1"/>
      <w:numFmt w:val="lowerRoman"/>
      <w:lvlText w:val="%6."/>
      <w:lvlJc w:val="right"/>
      <w:pPr>
        <w:ind w:left="4244" w:hanging="180"/>
      </w:pPr>
    </w:lvl>
    <w:lvl w:ilvl="6" w:tplc="240A000F" w:tentative="1">
      <w:start w:val="1"/>
      <w:numFmt w:val="decimal"/>
      <w:lvlText w:val="%7."/>
      <w:lvlJc w:val="left"/>
      <w:pPr>
        <w:ind w:left="4964" w:hanging="360"/>
      </w:pPr>
    </w:lvl>
    <w:lvl w:ilvl="7" w:tplc="240A0019" w:tentative="1">
      <w:start w:val="1"/>
      <w:numFmt w:val="lowerLetter"/>
      <w:lvlText w:val="%8."/>
      <w:lvlJc w:val="left"/>
      <w:pPr>
        <w:ind w:left="5684" w:hanging="360"/>
      </w:pPr>
    </w:lvl>
    <w:lvl w:ilvl="8" w:tplc="240A001B" w:tentative="1">
      <w:start w:val="1"/>
      <w:numFmt w:val="lowerRoman"/>
      <w:lvlText w:val="%9."/>
      <w:lvlJc w:val="right"/>
      <w:pPr>
        <w:ind w:left="6404" w:hanging="180"/>
      </w:pPr>
    </w:lvl>
  </w:abstractNum>
  <w:abstractNum w:abstractNumId="27" w15:restartNumberingAfterBreak="0">
    <w:nsid w:val="43A269F7"/>
    <w:multiLevelType w:val="hybridMultilevel"/>
    <w:tmpl w:val="7ABABFF4"/>
    <w:lvl w:ilvl="0" w:tplc="69B0F894">
      <w:start w:val="1"/>
      <w:numFmt w:val="decimal"/>
      <w:lvlText w:val="%1."/>
      <w:lvlJc w:val="left"/>
      <w:pPr>
        <w:ind w:left="1428" w:hanging="360"/>
      </w:pPr>
      <w:rPr>
        <w:b w:val="0"/>
      </w:rPr>
    </w:lvl>
    <w:lvl w:ilvl="1" w:tplc="240A0019" w:tentative="1">
      <w:start w:val="1"/>
      <w:numFmt w:val="lowerLetter"/>
      <w:lvlText w:val="%2."/>
      <w:lvlJc w:val="left"/>
      <w:pPr>
        <w:ind w:left="2148" w:hanging="360"/>
      </w:pPr>
    </w:lvl>
    <w:lvl w:ilvl="2" w:tplc="240A001B" w:tentative="1">
      <w:start w:val="1"/>
      <w:numFmt w:val="lowerRoman"/>
      <w:lvlText w:val="%3."/>
      <w:lvlJc w:val="right"/>
      <w:pPr>
        <w:ind w:left="2868" w:hanging="180"/>
      </w:pPr>
    </w:lvl>
    <w:lvl w:ilvl="3" w:tplc="240A000F" w:tentative="1">
      <w:start w:val="1"/>
      <w:numFmt w:val="decimal"/>
      <w:lvlText w:val="%4."/>
      <w:lvlJc w:val="left"/>
      <w:pPr>
        <w:ind w:left="3588" w:hanging="360"/>
      </w:pPr>
    </w:lvl>
    <w:lvl w:ilvl="4" w:tplc="240A0019" w:tentative="1">
      <w:start w:val="1"/>
      <w:numFmt w:val="lowerLetter"/>
      <w:lvlText w:val="%5."/>
      <w:lvlJc w:val="left"/>
      <w:pPr>
        <w:ind w:left="4308" w:hanging="360"/>
      </w:pPr>
    </w:lvl>
    <w:lvl w:ilvl="5" w:tplc="240A001B" w:tentative="1">
      <w:start w:val="1"/>
      <w:numFmt w:val="lowerRoman"/>
      <w:lvlText w:val="%6."/>
      <w:lvlJc w:val="right"/>
      <w:pPr>
        <w:ind w:left="5028" w:hanging="180"/>
      </w:pPr>
    </w:lvl>
    <w:lvl w:ilvl="6" w:tplc="240A000F" w:tentative="1">
      <w:start w:val="1"/>
      <w:numFmt w:val="decimal"/>
      <w:lvlText w:val="%7."/>
      <w:lvlJc w:val="left"/>
      <w:pPr>
        <w:ind w:left="5748" w:hanging="360"/>
      </w:pPr>
    </w:lvl>
    <w:lvl w:ilvl="7" w:tplc="240A0019" w:tentative="1">
      <w:start w:val="1"/>
      <w:numFmt w:val="lowerLetter"/>
      <w:lvlText w:val="%8."/>
      <w:lvlJc w:val="left"/>
      <w:pPr>
        <w:ind w:left="6468" w:hanging="360"/>
      </w:pPr>
    </w:lvl>
    <w:lvl w:ilvl="8" w:tplc="240A001B" w:tentative="1">
      <w:start w:val="1"/>
      <w:numFmt w:val="lowerRoman"/>
      <w:lvlText w:val="%9."/>
      <w:lvlJc w:val="right"/>
      <w:pPr>
        <w:ind w:left="7188" w:hanging="180"/>
      </w:pPr>
    </w:lvl>
  </w:abstractNum>
  <w:abstractNum w:abstractNumId="28" w15:restartNumberingAfterBreak="0">
    <w:nsid w:val="4730532D"/>
    <w:multiLevelType w:val="singleLevel"/>
    <w:tmpl w:val="5088F2C0"/>
    <w:lvl w:ilvl="0">
      <w:start w:val="1"/>
      <w:numFmt w:val="lowerRoman"/>
      <w:lvlText w:val="%1)"/>
      <w:lvlJc w:val="left"/>
      <w:pPr>
        <w:tabs>
          <w:tab w:val="num" w:pos="1713"/>
        </w:tabs>
        <w:ind w:left="1713" w:hanging="720"/>
      </w:pPr>
      <w:rPr>
        <w:rFonts w:hint="default"/>
      </w:rPr>
    </w:lvl>
  </w:abstractNum>
  <w:abstractNum w:abstractNumId="29" w15:restartNumberingAfterBreak="0">
    <w:nsid w:val="50064C23"/>
    <w:multiLevelType w:val="hybridMultilevel"/>
    <w:tmpl w:val="94B8036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0" w15:restartNumberingAfterBreak="0">
    <w:nsid w:val="523E4CBC"/>
    <w:multiLevelType w:val="hybridMultilevel"/>
    <w:tmpl w:val="D42424B8"/>
    <w:lvl w:ilvl="0" w:tplc="240A000F">
      <w:start w:val="2"/>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1" w15:restartNumberingAfterBreak="0">
    <w:nsid w:val="5DA0072C"/>
    <w:multiLevelType w:val="hybridMultilevel"/>
    <w:tmpl w:val="7CE245F2"/>
    <w:lvl w:ilvl="0" w:tplc="9EB063EA">
      <w:start w:val="1"/>
      <w:numFmt w:val="lowerRoman"/>
      <w:lvlText w:val="%1."/>
      <w:lvlJc w:val="left"/>
      <w:pPr>
        <w:ind w:left="1287" w:hanging="360"/>
      </w:pPr>
      <w:rPr>
        <w:rFonts w:hint="default"/>
      </w:rPr>
    </w:lvl>
    <w:lvl w:ilvl="1" w:tplc="240A0019" w:tentative="1">
      <w:start w:val="1"/>
      <w:numFmt w:val="lowerLetter"/>
      <w:lvlText w:val="%2."/>
      <w:lvlJc w:val="left"/>
      <w:pPr>
        <w:ind w:left="2007" w:hanging="360"/>
      </w:pPr>
    </w:lvl>
    <w:lvl w:ilvl="2" w:tplc="240A001B" w:tentative="1">
      <w:start w:val="1"/>
      <w:numFmt w:val="lowerRoman"/>
      <w:lvlText w:val="%3."/>
      <w:lvlJc w:val="right"/>
      <w:pPr>
        <w:ind w:left="2727" w:hanging="180"/>
      </w:pPr>
    </w:lvl>
    <w:lvl w:ilvl="3" w:tplc="240A000F" w:tentative="1">
      <w:start w:val="1"/>
      <w:numFmt w:val="decimal"/>
      <w:lvlText w:val="%4."/>
      <w:lvlJc w:val="left"/>
      <w:pPr>
        <w:ind w:left="3447" w:hanging="360"/>
      </w:pPr>
    </w:lvl>
    <w:lvl w:ilvl="4" w:tplc="240A0019" w:tentative="1">
      <w:start w:val="1"/>
      <w:numFmt w:val="lowerLetter"/>
      <w:lvlText w:val="%5."/>
      <w:lvlJc w:val="left"/>
      <w:pPr>
        <w:ind w:left="4167" w:hanging="360"/>
      </w:pPr>
    </w:lvl>
    <w:lvl w:ilvl="5" w:tplc="240A001B" w:tentative="1">
      <w:start w:val="1"/>
      <w:numFmt w:val="lowerRoman"/>
      <w:lvlText w:val="%6."/>
      <w:lvlJc w:val="right"/>
      <w:pPr>
        <w:ind w:left="4887" w:hanging="180"/>
      </w:pPr>
    </w:lvl>
    <w:lvl w:ilvl="6" w:tplc="240A000F" w:tentative="1">
      <w:start w:val="1"/>
      <w:numFmt w:val="decimal"/>
      <w:lvlText w:val="%7."/>
      <w:lvlJc w:val="left"/>
      <w:pPr>
        <w:ind w:left="5607" w:hanging="360"/>
      </w:pPr>
    </w:lvl>
    <w:lvl w:ilvl="7" w:tplc="240A0019" w:tentative="1">
      <w:start w:val="1"/>
      <w:numFmt w:val="lowerLetter"/>
      <w:lvlText w:val="%8."/>
      <w:lvlJc w:val="left"/>
      <w:pPr>
        <w:ind w:left="6327" w:hanging="360"/>
      </w:pPr>
    </w:lvl>
    <w:lvl w:ilvl="8" w:tplc="240A001B" w:tentative="1">
      <w:start w:val="1"/>
      <w:numFmt w:val="lowerRoman"/>
      <w:lvlText w:val="%9."/>
      <w:lvlJc w:val="right"/>
      <w:pPr>
        <w:ind w:left="7047" w:hanging="180"/>
      </w:pPr>
    </w:lvl>
  </w:abstractNum>
  <w:abstractNum w:abstractNumId="32" w15:restartNumberingAfterBreak="0">
    <w:nsid w:val="601431A9"/>
    <w:multiLevelType w:val="hybridMultilevel"/>
    <w:tmpl w:val="D692265E"/>
    <w:lvl w:ilvl="0" w:tplc="FFFFFFFF">
      <w:start w:val="1"/>
      <w:numFmt w:val="lowerLetter"/>
      <w:lvlText w:val="%1)"/>
      <w:lvlJc w:val="left"/>
      <w:pPr>
        <w:tabs>
          <w:tab w:val="num" w:pos="705"/>
        </w:tabs>
        <w:ind w:left="705" w:hanging="705"/>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631B5131"/>
    <w:multiLevelType w:val="hybridMultilevel"/>
    <w:tmpl w:val="2258D084"/>
    <w:lvl w:ilvl="0" w:tplc="240A0017">
      <w:start w:val="1"/>
      <w:numFmt w:val="lowerLetter"/>
      <w:lvlText w:val="%1)"/>
      <w:lvlJc w:val="left"/>
      <w:pPr>
        <w:ind w:left="1287" w:hanging="360"/>
      </w:pPr>
    </w:lvl>
    <w:lvl w:ilvl="1" w:tplc="240A0019" w:tentative="1">
      <w:start w:val="1"/>
      <w:numFmt w:val="lowerLetter"/>
      <w:lvlText w:val="%2."/>
      <w:lvlJc w:val="left"/>
      <w:pPr>
        <w:ind w:left="2007" w:hanging="360"/>
      </w:pPr>
    </w:lvl>
    <w:lvl w:ilvl="2" w:tplc="240A001B" w:tentative="1">
      <w:start w:val="1"/>
      <w:numFmt w:val="lowerRoman"/>
      <w:lvlText w:val="%3."/>
      <w:lvlJc w:val="right"/>
      <w:pPr>
        <w:ind w:left="2727" w:hanging="180"/>
      </w:pPr>
    </w:lvl>
    <w:lvl w:ilvl="3" w:tplc="240A000F" w:tentative="1">
      <w:start w:val="1"/>
      <w:numFmt w:val="decimal"/>
      <w:lvlText w:val="%4."/>
      <w:lvlJc w:val="left"/>
      <w:pPr>
        <w:ind w:left="3447" w:hanging="360"/>
      </w:pPr>
    </w:lvl>
    <w:lvl w:ilvl="4" w:tplc="240A0019" w:tentative="1">
      <w:start w:val="1"/>
      <w:numFmt w:val="lowerLetter"/>
      <w:lvlText w:val="%5."/>
      <w:lvlJc w:val="left"/>
      <w:pPr>
        <w:ind w:left="4167" w:hanging="360"/>
      </w:pPr>
    </w:lvl>
    <w:lvl w:ilvl="5" w:tplc="240A001B" w:tentative="1">
      <w:start w:val="1"/>
      <w:numFmt w:val="lowerRoman"/>
      <w:lvlText w:val="%6."/>
      <w:lvlJc w:val="right"/>
      <w:pPr>
        <w:ind w:left="4887" w:hanging="180"/>
      </w:pPr>
    </w:lvl>
    <w:lvl w:ilvl="6" w:tplc="240A000F" w:tentative="1">
      <w:start w:val="1"/>
      <w:numFmt w:val="decimal"/>
      <w:lvlText w:val="%7."/>
      <w:lvlJc w:val="left"/>
      <w:pPr>
        <w:ind w:left="5607" w:hanging="360"/>
      </w:pPr>
    </w:lvl>
    <w:lvl w:ilvl="7" w:tplc="240A0019" w:tentative="1">
      <w:start w:val="1"/>
      <w:numFmt w:val="lowerLetter"/>
      <w:lvlText w:val="%8."/>
      <w:lvlJc w:val="left"/>
      <w:pPr>
        <w:ind w:left="6327" w:hanging="360"/>
      </w:pPr>
    </w:lvl>
    <w:lvl w:ilvl="8" w:tplc="240A001B" w:tentative="1">
      <w:start w:val="1"/>
      <w:numFmt w:val="lowerRoman"/>
      <w:lvlText w:val="%9."/>
      <w:lvlJc w:val="right"/>
      <w:pPr>
        <w:ind w:left="7047" w:hanging="180"/>
      </w:pPr>
    </w:lvl>
  </w:abstractNum>
  <w:abstractNum w:abstractNumId="34" w15:restartNumberingAfterBreak="0">
    <w:nsid w:val="6C8A33E4"/>
    <w:multiLevelType w:val="hybridMultilevel"/>
    <w:tmpl w:val="7ABABFF4"/>
    <w:lvl w:ilvl="0" w:tplc="69B0F894">
      <w:start w:val="1"/>
      <w:numFmt w:val="decimal"/>
      <w:lvlText w:val="%1."/>
      <w:lvlJc w:val="left"/>
      <w:pPr>
        <w:ind w:left="1428" w:hanging="360"/>
      </w:pPr>
      <w:rPr>
        <w:b w:val="0"/>
      </w:rPr>
    </w:lvl>
    <w:lvl w:ilvl="1" w:tplc="240A0019" w:tentative="1">
      <w:start w:val="1"/>
      <w:numFmt w:val="lowerLetter"/>
      <w:lvlText w:val="%2."/>
      <w:lvlJc w:val="left"/>
      <w:pPr>
        <w:ind w:left="2148" w:hanging="360"/>
      </w:pPr>
    </w:lvl>
    <w:lvl w:ilvl="2" w:tplc="240A001B" w:tentative="1">
      <w:start w:val="1"/>
      <w:numFmt w:val="lowerRoman"/>
      <w:lvlText w:val="%3."/>
      <w:lvlJc w:val="right"/>
      <w:pPr>
        <w:ind w:left="2868" w:hanging="180"/>
      </w:pPr>
    </w:lvl>
    <w:lvl w:ilvl="3" w:tplc="240A000F" w:tentative="1">
      <w:start w:val="1"/>
      <w:numFmt w:val="decimal"/>
      <w:lvlText w:val="%4."/>
      <w:lvlJc w:val="left"/>
      <w:pPr>
        <w:ind w:left="3588" w:hanging="360"/>
      </w:pPr>
    </w:lvl>
    <w:lvl w:ilvl="4" w:tplc="240A0019" w:tentative="1">
      <w:start w:val="1"/>
      <w:numFmt w:val="lowerLetter"/>
      <w:lvlText w:val="%5."/>
      <w:lvlJc w:val="left"/>
      <w:pPr>
        <w:ind w:left="4308" w:hanging="360"/>
      </w:pPr>
    </w:lvl>
    <w:lvl w:ilvl="5" w:tplc="240A001B" w:tentative="1">
      <w:start w:val="1"/>
      <w:numFmt w:val="lowerRoman"/>
      <w:lvlText w:val="%6."/>
      <w:lvlJc w:val="right"/>
      <w:pPr>
        <w:ind w:left="5028" w:hanging="180"/>
      </w:pPr>
    </w:lvl>
    <w:lvl w:ilvl="6" w:tplc="240A000F" w:tentative="1">
      <w:start w:val="1"/>
      <w:numFmt w:val="decimal"/>
      <w:lvlText w:val="%7."/>
      <w:lvlJc w:val="left"/>
      <w:pPr>
        <w:ind w:left="5748" w:hanging="360"/>
      </w:pPr>
    </w:lvl>
    <w:lvl w:ilvl="7" w:tplc="240A0019" w:tentative="1">
      <w:start w:val="1"/>
      <w:numFmt w:val="lowerLetter"/>
      <w:lvlText w:val="%8."/>
      <w:lvlJc w:val="left"/>
      <w:pPr>
        <w:ind w:left="6468" w:hanging="360"/>
      </w:pPr>
    </w:lvl>
    <w:lvl w:ilvl="8" w:tplc="240A001B" w:tentative="1">
      <w:start w:val="1"/>
      <w:numFmt w:val="lowerRoman"/>
      <w:lvlText w:val="%9."/>
      <w:lvlJc w:val="right"/>
      <w:pPr>
        <w:ind w:left="7188" w:hanging="180"/>
      </w:pPr>
    </w:lvl>
  </w:abstractNum>
  <w:abstractNum w:abstractNumId="35" w15:restartNumberingAfterBreak="0">
    <w:nsid w:val="73432BD8"/>
    <w:multiLevelType w:val="hybridMultilevel"/>
    <w:tmpl w:val="139EEB48"/>
    <w:lvl w:ilvl="0" w:tplc="AB64B13A">
      <w:start w:val="1"/>
      <w:numFmt w:val="decimal"/>
      <w:pStyle w:val="ARTICULOS"/>
      <w:lvlText w:val="Artículo %1."/>
      <w:lvlJc w:val="left"/>
      <w:pPr>
        <w:ind w:left="360" w:hanging="360"/>
      </w:pPr>
      <w:rPr>
        <w:rFonts w:ascii="Bookman Old Style" w:hAnsi="Bookman Old Style" w:cs="Times New Roman" w:hint="default"/>
        <w:b/>
        <w:i w:val="0"/>
        <w:iCs w:val="0"/>
        <w:caps w:val="0"/>
        <w:smallCaps w:val="0"/>
        <w:strike w:val="0"/>
        <w:dstrike w:val="0"/>
        <w:noProof w:val="0"/>
        <w:vanish w:val="0"/>
        <w:color w:val="000000"/>
        <w:spacing w:val="0"/>
        <w:kern w:val="0"/>
        <w:position w:val="0"/>
        <w:sz w:val="24"/>
        <w:szCs w:val="24"/>
        <w:u w:val="none"/>
        <w:effect w:val="none"/>
        <w:vertAlign w:val="baseline"/>
        <w:em w:val="none"/>
        <w:lang w:val="es-CO" w:eastAsia="x-none"/>
        <w:specVanish w:val="0"/>
        <w14:shadow w14:blurRad="0" w14:dist="0" w14:dir="0" w14:sx="0" w14:sy="0" w14:kx="0" w14:ky="0" w14:algn="none">
          <w14:srgbClr w14:val="000000"/>
        </w14:shadow>
        <w14:textOutline w14:w="0" w14:cap="rnd" w14:cmpd="sng" w14:algn="ctr">
          <w14:noFill/>
          <w14:prstDash w14:val="solid"/>
          <w14:bevel/>
        </w14:textOutline>
      </w:rPr>
    </w:lvl>
    <w:lvl w:ilvl="1" w:tplc="240A0019">
      <w:start w:val="1"/>
      <w:numFmt w:val="lowerLetter"/>
      <w:lvlText w:val="%2."/>
      <w:lvlJc w:val="left"/>
      <w:pPr>
        <w:ind w:left="-1615" w:hanging="360"/>
      </w:pPr>
    </w:lvl>
    <w:lvl w:ilvl="2" w:tplc="240A000F">
      <w:start w:val="1"/>
      <w:numFmt w:val="decimal"/>
      <w:lvlText w:val="%3."/>
      <w:lvlJc w:val="left"/>
      <w:pPr>
        <w:ind w:left="-895" w:hanging="180"/>
      </w:pPr>
    </w:lvl>
    <w:lvl w:ilvl="3" w:tplc="F4E8F414">
      <w:start w:val="1"/>
      <w:numFmt w:val="lowerRoman"/>
      <w:lvlText w:val="%4)"/>
      <w:lvlJc w:val="left"/>
      <w:pPr>
        <w:ind w:left="185" w:hanging="720"/>
      </w:pPr>
      <w:rPr>
        <w:rFonts w:hint="default"/>
      </w:rPr>
    </w:lvl>
    <w:lvl w:ilvl="4" w:tplc="240A0019" w:tentative="1">
      <w:start w:val="1"/>
      <w:numFmt w:val="lowerLetter"/>
      <w:lvlText w:val="%5."/>
      <w:lvlJc w:val="left"/>
      <w:pPr>
        <w:ind w:left="545" w:hanging="360"/>
      </w:pPr>
    </w:lvl>
    <w:lvl w:ilvl="5" w:tplc="240A001B" w:tentative="1">
      <w:start w:val="1"/>
      <w:numFmt w:val="lowerRoman"/>
      <w:lvlText w:val="%6."/>
      <w:lvlJc w:val="right"/>
      <w:pPr>
        <w:ind w:left="1265" w:hanging="180"/>
      </w:pPr>
    </w:lvl>
    <w:lvl w:ilvl="6" w:tplc="240A000F" w:tentative="1">
      <w:start w:val="1"/>
      <w:numFmt w:val="decimal"/>
      <w:lvlText w:val="%7."/>
      <w:lvlJc w:val="left"/>
      <w:pPr>
        <w:ind w:left="1985" w:hanging="360"/>
      </w:pPr>
    </w:lvl>
    <w:lvl w:ilvl="7" w:tplc="240A0019" w:tentative="1">
      <w:start w:val="1"/>
      <w:numFmt w:val="lowerLetter"/>
      <w:lvlText w:val="%8."/>
      <w:lvlJc w:val="left"/>
      <w:pPr>
        <w:ind w:left="2705" w:hanging="360"/>
      </w:pPr>
    </w:lvl>
    <w:lvl w:ilvl="8" w:tplc="240A001B" w:tentative="1">
      <w:start w:val="1"/>
      <w:numFmt w:val="lowerRoman"/>
      <w:lvlText w:val="%9."/>
      <w:lvlJc w:val="right"/>
      <w:pPr>
        <w:ind w:left="3425" w:hanging="180"/>
      </w:pPr>
    </w:lvl>
  </w:abstractNum>
  <w:abstractNum w:abstractNumId="36" w15:restartNumberingAfterBreak="0">
    <w:nsid w:val="74DF5C53"/>
    <w:multiLevelType w:val="hybridMultilevel"/>
    <w:tmpl w:val="A378E322"/>
    <w:lvl w:ilvl="0" w:tplc="240A0001">
      <w:start w:val="1"/>
      <w:numFmt w:val="bullet"/>
      <w:lvlText w:val=""/>
      <w:lvlJc w:val="left"/>
      <w:pPr>
        <w:ind w:left="578" w:hanging="360"/>
      </w:pPr>
      <w:rPr>
        <w:rFonts w:ascii="Symbol" w:hAnsi="Symbol" w:hint="default"/>
      </w:rPr>
    </w:lvl>
    <w:lvl w:ilvl="1" w:tplc="240A0003" w:tentative="1">
      <w:start w:val="1"/>
      <w:numFmt w:val="bullet"/>
      <w:lvlText w:val="o"/>
      <w:lvlJc w:val="left"/>
      <w:pPr>
        <w:ind w:left="1298" w:hanging="360"/>
      </w:pPr>
      <w:rPr>
        <w:rFonts w:ascii="Courier New" w:hAnsi="Courier New" w:cs="Courier New" w:hint="default"/>
      </w:rPr>
    </w:lvl>
    <w:lvl w:ilvl="2" w:tplc="240A0005" w:tentative="1">
      <w:start w:val="1"/>
      <w:numFmt w:val="bullet"/>
      <w:lvlText w:val=""/>
      <w:lvlJc w:val="left"/>
      <w:pPr>
        <w:ind w:left="2018" w:hanging="360"/>
      </w:pPr>
      <w:rPr>
        <w:rFonts w:ascii="Wingdings" w:hAnsi="Wingdings" w:hint="default"/>
      </w:rPr>
    </w:lvl>
    <w:lvl w:ilvl="3" w:tplc="240A0001" w:tentative="1">
      <w:start w:val="1"/>
      <w:numFmt w:val="bullet"/>
      <w:lvlText w:val=""/>
      <w:lvlJc w:val="left"/>
      <w:pPr>
        <w:ind w:left="2738" w:hanging="360"/>
      </w:pPr>
      <w:rPr>
        <w:rFonts w:ascii="Symbol" w:hAnsi="Symbol" w:hint="default"/>
      </w:rPr>
    </w:lvl>
    <w:lvl w:ilvl="4" w:tplc="240A0003" w:tentative="1">
      <w:start w:val="1"/>
      <w:numFmt w:val="bullet"/>
      <w:lvlText w:val="o"/>
      <w:lvlJc w:val="left"/>
      <w:pPr>
        <w:ind w:left="3458" w:hanging="360"/>
      </w:pPr>
      <w:rPr>
        <w:rFonts w:ascii="Courier New" w:hAnsi="Courier New" w:cs="Courier New" w:hint="default"/>
      </w:rPr>
    </w:lvl>
    <w:lvl w:ilvl="5" w:tplc="240A0005" w:tentative="1">
      <w:start w:val="1"/>
      <w:numFmt w:val="bullet"/>
      <w:lvlText w:val=""/>
      <w:lvlJc w:val="left"/>
      <w:pPr>
        <w:ind w:left="4178" w:hanging="360"/>
      </w:pPr>
      <w:rPr>
        <w:rFonts w:ascii="Wingdings" w:hAnsi="Wingdings" w:hint="default"/>
      </w:rPr>
    </w:lvl>
    <w:lvl w:ilvl="6" w:tplc="240A0001" w:tentative="1">
      <w:start w:val="1"/>
      <w:numFmt w:val="bullet"/>
      <w:lvlText w:val=""/>
      <w:lvlJc w:val="left"/>
      <w:pPr>
        <w:ind w:left="4898" w:hanging="360"/>
      </w:pPr>
      <w:rPr>
        <w:rFonts w:ascii="Symbol" w:hAnsi="Symbol" w:hint="default"/>
      </w:rPr>
    </w:lvl>
    <w:lvl w:ilvl="7" w:tplc="240A0003" w:tentative="1">
      <w:start w:val="1"/>
      <w:numFmt w:val="bullet"/>
      <w:lvlText w:val="o"/>
      <w:lvlJc w:val="left"/>
      <w:pPr>
        <w:ind w:left="5618" w:hanging="360"/>
      </w:pPr>
      <w:rPr>
        <w:rFonts w:ascii="Courier New" w:hAnsi="Courier New" w:cs="Courier New" w:hint="default"/>
      </w:rPr>
    </w:lvl>
    <w:lvl w:ilvl="8" w:tplc="240A0005" w:tentative="1">
      <w:start w:val="1"/>
      <w:numFmt w:val="bullet"/>
      <w:lvlText w:val=""/>
      <w:lvlJc w:val="left"/>
      <w:pPr>
        <w:ind w:left="6338" w:hanging="360"/>
      </w:pPr>
      <w:rPr>
        <w:rFonts w:ascii="Wingdings" w:hAnsi="Wingdings" w:hint="default"/>
      </w:rPr>
    </w:lvl>
  </w:abstractNum>
  <w:num w:numId="1">
    <w:abstractNumId w:val="3"/>
  </w:num>
  <w:num w:numId="2">
    <w:abstractNumId w:val="16"/>
  </w:num>
  <w:num w:numId="3">
    <w:abstractNumId w:val="30"/>
  </w:num>
  <w:num w:numId="4">
    <w:abstractNumId w:val="14"/>
  </w:num>
  <w:num w:numId="5">
    <w:abstractNumId w:val="22"/>
  </w:num>
  <w:num w:numId="6">
    <w:abstractNumId w:val="24"/>
  </w:num>
  <w:num w:numId="7">
    <w:abstractNumId w:val="3"/>
  </w:num>
  <w:num w:numId="8">
    <w:abstractNumId w:val="5"/>
  </w:num>
  <w:num w:numId="9">
    <w:abstractNumId w:val="29"/>
  </w:num>
  <w:num w:numId="10">
    <w:abstractNumId w:val="9"/>
  </w:num>
  <w:num w:numId="11">
    <w:abstractNumId w:val="21"/>
  </w:num>
  <w:num w:numId="12">
    <w:abstractNumId w:val="3"/>
  </w:num>
  <w:num w:numId="13">
    <w:abstractNumId w:val="8"/>
  </w:num>
  <w:num w:numId="14">
    <w:abstractNumId w:val="26"/>
  </w:num>
  <w:num w:numId="15">
    <w:abstractNumId w:val="19"/>
  </w:num>
  <w:num w:numId="16">
    <w:abstractNumId w:val="20"/>
  </w:num>
  <w:num w:numId="17">
    <w:abstractNumId w:val="36"/>
  </w:num>
  <w:num w:numId="18">
    <w:abstractNumId w:val="2"/>
  </w:num>
  <w:num w:numId="19">
    <w:abstractNumId w:val="33"/>
  </w:num>
  <w:num w:numId="20">
    <w:abstractNumId w:val="11"/>
  </w:num>
  <w:num w:numId="21">
    <w:abstractNumId w:val="31"/>
  </w:num>
  <w:num w:numId="22">
    <w:abstractNumId w:val="0"/>
  </w:num>
  <w:num w:numId="23">
    <w:abstractNumId w:val="18"/>
  </w:num>
  <w:num w:numId="24">
    <w:abstractNumId w:val="17"/>
  </w:num>
  <w:num w:numId="25">
    <w:abstractNumId w:val="28"/>
  </w:num>
  <w:num w:numId="26">
    <w:abstractNumId w:val="23"/>
  </w:num>
  <w:num w:numId="27">
    <w:abstractNumId w:val="13"/>
  </w:num>
  <w:num w:numId="28">
    <w:abstractNumId w:val="7"/>
  </w:num>
  <w:num w:numId="29">
    <w:abstractNumId w:val="1"/>
  </w:num>
  <w:num w:numId="30">
    <w:abstractNumId w:val="4"/>
  </w:num>
  <w:num w:numId="31">
    <w:abstractNumId w:val="32"/>
  </w:num>
  <w:num w:numId="32">
    <w:abstractNumId w:val="35"/>
  </w:num>
  <w:num w:numId="33">
    <w:abstractNumId w:val="25"/>
  </w:num>
  <w:num w:numId="34">
    <w:abstractNumId w:val="6"/>
  </w:num>
  <w:num w:numId="35">
    <w:abstractNumId w:val="27"/>
  </w:num>
  <w:num w:numId="36">
    <w:abstractNumId w:val="12"/>
  </w:num>
  <w:num w:numId="3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4"/>
  </w:num>
  <w:num w:numId="40">
    <w:abstractNumId w:val="10"/>
  </w:num>
  <w:num w:numId="41">
    <w:abstractNumId w:val="1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08"/>
  <w:hyphenationZone w:val="425"/>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340"/>
    <w:rsid w:val="00000DA6"/>
    <w:rsid w:val="00000EAC"/>
    <w:rsid w:val="00001AB7"/>
    <w:rsid w:val="000027E9"/>
    <w:rsid w:val="00005191"/>
    <w:rsid w:val="00006AE2"/>
    <w:rsid w:val="000076A1"/>
    <w:rsid w:val="00010A83"/>
    <w:rsid w:val="000114E5"/>
    <w:rsid w:val="00012259"/>
    <w:rsid w:val="00014C71"/>
    <w:rsid w:val="0001647B"/>
    <w:rsid w:val="00016F23"/>
    <w:rsid w:val="000175DD"/>
    <w:rsid w:val="0002201E"/>
    <w:rsid w:val="00024FE0"/>
    <w:rsid w:val="00025383"/>
    <w:rsid w:val="000275B9"/>
    <w:rsid w:val="000337A6"/>
    <w:rsid w:val="00034816"/>
    <w:rsid w:val="00034D91"/>
    <w:rsid w:val="00034F40"/>
    <w:rsid w:val="0003546A"/>
    <w:rsid w:val="000402D0"/>
    <w:rsid w:val="000432F7"/>
    <w:rsid w:val="000460B2"/>
    <w:rsid w:val="0004674A"/>
    <w:rsid w:val="00051188"/>
    <w:rsid w:val="000537E8"/>
    <w:rsid w:val="00054829"/>
    <w:rsid w:val="00060D57"/>
    <w:rsid w:val="0006151C"/>
    <w:rsid w:val="000623A6"/>
    <w:rsid w:val="00063657"/>
    <w:rsid w:val="00065504"/>
    <w:rsid w:val="000657E2"/>
    <w:rsid w:val="00066D23"/>
    <w:rsid w:val="00070222"/>
    <w:rsid w:val="00070B2B"/>
    <w:rsid w:val="00072400"/>
    <w:rsid w:val="0007402F"/>
    <w:rsid w:val="0007548D"/>
    <w:rsid w:val="00076680"/>
    <w:rsid w:val="00076A1D"/>
    <w:rsid w:val="0008073E"/>
    <w:rsid w:val="00084B8C"/>
    <w:rsid w:val="000856E0"/>
    <w:rsid w:val="000867FA"/>
    <w:rsid w:val="00087733"/>
    <w:rsid w:val="00090C12"/>
    <w:rsid w:val="00091CDB"/>
    <w:rsid w:val="00092215"/>
    <w:rsid w:val="00094A7D"/>
    <w:rsid w:val="00096E1F"/>
    <w:rsid w:val="00097013"/>
    <w:rsid w:val="000A061F"/>
    <w:rsid w:val="000A19AC"/>
    <w:rsid w:val="000A1CE8"/>
    <w:rsid w:val="000A5D67"/>
    <w:rsid w:val="000B03C2"/>
    <w:rsid w:val="000B0627"/>
    <w:rsid w:val="000B20EA"/>
    <w:rsid w:val="000B2201"/>
    <w:rsid w:val="000B27E6"/>
    <w:rsid w:val="000B48BF"/>
    <w:rsid w:val="000B4B19"/>
    <w:rsid w:val="000B667A"/>
    <w:rsid w:val="000C19DF"/>
    <w:rsid w:val="000C4F71"/>
    <w:rsid w:val="000C6FE5"/>
    <w:rsid w:val="000D0B78"/>
    <w:rsid w:val="000D22D4"/>
    <w:rsid w:val="000D26F8"/>
    <w:rsid w:val="000E01B8"/>
    <w:rsid w:val="000E07E3"/>
    <w:rsid w:val="000E0C5A"/>
    <w:rsid w:val="000E243C"/>
    <w:rsid w:val="000E2447"/>
    <w:rsid w:val="000F1132"/>
    <w:rsid w:val="000F178F"/>
    <w:rsid w:val="000F410B"/>
    <w:rsid w:val="000F5641"/>
    <w:rsid w:val="00100A80"/>
    <w:rsid w:val="00100AB7"/>
    <w:rsid w:val="00100EBA"/>
    <w:rsid w:val="00104B62"/>
    <w:rsid w:val="00106511"/>
    <w:rsid w:val="0010707E"/>
    <w:rsid w:val="00111AE3"/>
    <w:rsid w:val="00112FAE"/>
    <w:rsid w:val="00113128"/>
    <w:rsid w:val="0011342F"/>
    <w:rsid w:val="0011359D"/>
    <w:rsid w:val="00113930"/>
    <w:rsid w:val="00114A43"/>
    <w:rsid w:val="00115E75"/>
    <w:rsid w:val="0011665A"/>
    <w:rsid w:val="00116953"/>
    <w:rsid w:val="001206A0"/>
    <w:rsid w:val="0012200E"/>
    <w:rsid w:val="00122C3D"/>
    <w:rsid w:val="00127170"/>
    <w:rsid w:val="00130821"/>
    <w:rsid w:val="00130C68"/>
    <w:rsid w:val="00132A24"/>
    <w:rsid w:val="00133039"/>
    <w:rsid w:val="0014017F"/>
    <w:rsid w:val="001405C6"/>
    <w:rsid w:val="00141013"/>
    <w:rsid w:val="00142085"/>
    <w:rsid w:val="00142711"/>
    <w:rsid w:val="001435CD"/>
    <w:rsid w:val="00143C0C"/>
    <w:rsid w:val="00143D18"/>
    <w:rsid w:val="0014428A"/>
    <w:rsid w:val="00144441"/>
    <w:rsid w:val="00144F08"/>
    <w:rsid w:val="00151E8C"/>
    <w:rsid w:val="00157D58"/>
    <w:rsid w:val="001635F2"/>
    <w:rsid w:val="00164D51"/>
    <w:rsid w:val="0016590D"/>
    <w:rsid w:val="001670CB"/>
    <w:rsid w:val="00170272"/>
    <w:rsid w:val="001779AB"/>
    <w:rsid w:val="00177FE3"/>
    <w:rsid w:val="00180B0B"/>
    <w:rsid w:val="00182917"/>
    <w:rsid w:val="0018547A"/>
    <w:rsid w:val="00192CBF"/>
    <w:rsid w:val="00192FF1"/>
    <w:rsid w:val="001946B2"/>
    <w:rsid w:val="00194D9A"/>
    <w:rsid w:val="00195B37"/>
    <w:rsid w:val="00195E5B"/>
    <w:rsid w:val="00196A89"/>
    <w:rsid w:val="001A01B6"/>
    <w:rsid w:val="001A4274"/>
    <w:rsid w:val="001A43F3"/>
    <w:rsid w:val="001A59B6"/>
    <w:rsid w:val="001A5A68"/>
    <w:rsid w:val="001A5BA8"/>
    <w:rsid w:val="001A5F1B"/>
    <w:rsid w:val="001B1C22"/>
    <w:rsid w:val="001B34C6"/>
    <w:rsid w:val="001B5CDD"/>
    <w:rsid w:val="001B6003"/>
    <w:rsid w:val="001B61EB"/>
    <w:rsid w:val="001C05B5"/>
    <w:rsid w:val="001D033A"/>
    <w:rsid w:val="001D1FBD"/>
    <w:rsid w:val="001D244B"/>
    <w:rsid w:val="001D48AE"/>
    <w:rsid w:val="001D4DE7"/>
    <w:rsid w:val="001D510D"/>
    <w:rsid w:val="001D7832"/>
    <w:rsid w:val="001E0774"/>
    <w:rsid w:val="001E20DE"/>
    <w:rsid w:val="001E22BD"/>
    <w:rsid w:val="001E27EF"/>
    <w:rsid w:val="001E42F6"/>
    <w:rsid w:val="001E70A9"/>
    <w:rsid w:val="001F091E"/>
    <w:rsid w:val="001F128C"/>
    <w:rsid w:val="001F1A77"/>
    <w:rsid w:val="001F4E31"/>
    <w:rsid w:val="001F501A"/>
    <w:rsid w:val="0020108D"/>
    <w:rsid w:val="00202EAD"/>
    <w:rsid w:val="00204A96"/>
    <w:rsid w:val="00206C47"/>
    <w:rsid w:val="00207B65"/>
    <w:rsid w:val="00211523"/>
    <w:rsid w:val="00211D34"/>
    <w:rsid w:val="00214F04"/>
    <w:rsid w:val="00215B3E"/>
    <w:rsid w:val="00217BEC"/>
    <w:rsid w:val="002205E2"/>
    <w:rsid w:val="00221498"/>
    <w:rsid w:val="00223B98"/>
    <w:rsid w:val="00226B1A"/>
    <w:rsid w:val="00233C24"/>
    <w:rsid w:val="00233E7D"/>
    <w:rsid w:val="00240455"/>
    <w:rsid w:val="00241399"/>
    <w:rsid w:val="00241898"/>
    <w:rsid w:val="00241F57"/>
    <w:rsid w:val="00242E90"/>
    <w:rsid w:val="0024446D"/>
    <w:rsid w:val="00244C3F"/>
    <w:rsid w:val="0024645F"/>
    <w:rsid w:val="0024682D"/>
    <w:rsid w:val="00246AA1"/>
    <w:rsid w:val="00246C1A"/>
    <w:rsid w:val="002528AF"/>
    <w:rsid w:val="00253E07"/>
    <w:rsid w:val="002572AC"/>
    <w:rsid w:val="002606C2"/>
    <w:rsid w:val="002606F0"/>
    <w:rsid w:val="00260CE3"/>
    <w:rsid w:val="00266CD6"/>
    <w:rsid w:val="002708A0"/>
    <w:rsid w:val="002709FC"/>
    <w:rsid w:val="00273AE4"/>
    <w:rsid w:val="00273C18"/>
    <w:rsid w:val="0027543A"/>
    <w:rsid w:val="00275DAB"/>
    <w:rsid w:val="00277375"/>
    <w:rsid w:val="002817D6"/>
    <w:rsid w:val="00286B51"/>
    <w:rsid w:val="002870E7"/>
    <w:rsid w:val="00292B28"/>
    <w:rsid w:val="00294209"/>
    <w:rsid w:val="002948CB"/>
    <w:rsid w:val="0029597D"/>
    <w:rsid w:val="00295B70"/>
    <w:rsid w:val="00297D3E"/>
    <w:rsid w:val="002A01F2"/>
    <w:rsid w:val="002A1FFB"/>
    <w:rsid w:val="002A2128"/>
    <w:rsid w:val="002A4E70"/>
    <w:rsid w:val="002A579E"/>
    <w:rsid w:val="002A64F9"/>
    <w:rsid w:val="002A782A"/>
    <w:rsid w:val="002A7EF1"/>
    <w:rsid w:val="002A7F80"/>
    <w:rsid w:val="002B11E2"/>
    <w:rsid w:val="002B24B8"/>
    <w:rsid w:val="002B3063"/>
    <w:rsid w:val="002B38EF"/>
    <w:rsid w:val="002B3CF4"/>
    <w:rsid w:val="002B43F8"/>
    <w:rsid w:val="002B5190"/>
    <w:rsid w:val="002B6910"/>
    <w:rsid w:val="002C3803"/>
    <w:rsid w:val="002D0DC2"/>
    <w:rsid w:val="002D3AE9"/>
    <w:rsid w:val="002D4510"/>
    <w:rsid w:val="002D47AC"/>
    <w:rsid w:val="002D656D"/>
    <w:rsid w:val="002D6B5D"/>
    <w:rsid w:val="002D7D3D"/>
    <w:rsid w:val="002E06B1"/>
    <w:rsid w:val="002E1F16"/>
    <w:rsid w:val="002E3349"/>
    <w:rsid w:val="002E3D50"/>
    <w:rsid w:val="002E704B"/>
    <w:rsid w:val="002F0734"/>
    <w:rsid w:val="002F158F"/>
    <w:rsid w:val="002F2F60"/>
    <w:rsid w:val="002F32A4"/>
    <w:rsid w:val="002F46E7"/>
    <w:rsid w:val="002F5A0E"/>
    <w:rsid w:val="00304121"/>
    <w:rsid w:val="00306779"/>
    <w:rsid w:val="00306CA4"/>
    <w:rsid w:val="003101DA"/>
    <w:rsid w:val="00314757"/>
    <w:rsid w:val="00316A9A"/>
    <w:rsid w:val="00317791"/>
    <w:rsid w:val="003211CE"/>
    <w:rsid w:val="003212AB"/>
    <w:rsid w:val="003234E2"/>
    <w:rsid w:val="00323504"/>
    <w:rsid w:val="00326658"/>
    <w:rsid w:val="0032669A"/>
    <w:rsid w:val="0033025F"/>
    <w:rsid w:val="00332B81"/>
    <w:rsid w:val="00332BE1"/>
    <w:rsid w:val="00333DFB"/>
    <w:rsid w:val="00335916"/>
    <w:rsid w:val="003366A5"/>
    <w:rsid w:val="0033799B"/>
    <w:rsid w:val="00341341"/>
    <w:rsid w:val="00341F38"/>
    <w:rsid w:val="00346E50"/>
    <w:rsid w:val="00350138"/>
    <w:rsid w:val="0035028C"/>
    <w:rsid w:val="003530FB"/>
    <w:rsid w:val="0035403A"/>
    <w:rsid w:val="0036041A"/>
    <w:rsid w:val="00361436"/>
    <w:rsid w:val="003618ED"/>
    <w:rsid w:val="0036294B"/>
    <w:rsid w:val="003638D6"/>
    <w:rsid w:val="0036394B"/>
    <w:rsid w:val="00366D5C"/>
    <w:rsid w:val="0036751E"/>
    <w:rsid w:val="0037077A"/>
    <w:rsid w:val="003709B5"/>
    <w:rsid w:val="00373D56"/>
    <w:rsid w:val="00374471"/>
    <w:rsid w:val="00374C07"/>
    <w:rsid w:val="003759C2"/>
    <w:rsid w:val="00376A8A"/>
    <w:rsid w:val="003776D4"/>
    <w:rsid w:val="00381139"/>
    <w:rsid w:val="0038380F"/>
    <w:rsid w:val="003846C6"/>
    <w:rsid w:val="0038623A"/>
    <w:rsid w:val="0039315E"/>
    <w:rsid w:val="00393F0D"/>
    <w:rsid w:val="003943C4"/>
    <w:rsid w:val="00397365"/>
    <w:rsid w:val="003A31F6"/>
    <w:rsid w:val="003A3AAF"/>
    <w:rsid w:val="003A5ABA"/>
    <w:rsid w:val="003A7907"/>
    <w:rsid w:val="003A7C57"/>
    <w:rsid w:val="003B10B0"/>
    <w:rsid w:val="003B10B9"/>
    <w:rsid w:val="003B17FC"/>
    <w:rsid w:val="003B2AF6"/>
    <w:rsid w:val="003B3E5A"/>
    <w:rsid w:val="003B4844"/>
    <w:rsid w:val="003B6A60"/>
    <w:rsid w:val="003B769B"/>
    <w:rsid w:val="003C142B"/>
    <w:rsid w:val="003C157F"/>
    <w:rsid w:val="003C1AEF"/>
    <w:rsid w:val="003C3447"/>
    <w:rsid w:val="003C35A2"/>
    <w:rsid w:val="003C49CB"/>
    <w:rsid w:val="003C5787"/>
    <w:rsid w:val="003D076C"/>
    <w:rsid w:val="003D2A46"/>
    <w:rsid w:val="003D3835"/>
    <w:rsid w:val="003D47BD"/>
    <w:rsid w:val="003D5E91"/>
    <w:rsid w:val="003E0FF2"/>
    <w:rsid w:val="003E26E3"/>
    <w:rsid w:val="003E2FCC"/>
    <w:rsid w:val="003E3304"/>
    <w:rsid w:val="003E4875"/>
    <w:rsid w:val="003E59E7"/>
    <w:rsid w:val="003E78B5"/>
    <w:rsid w:val="003F023F"/>
    <w:rsid w:val="003F3E5B"/>
    <w:rsid w:val="003F6ACE"/>
    <w:rsid w:val="00404DA1"/>
    <w:rsid w:val="0040768B"/>
    <w:rsid w:val="00407E99"/>
    <w:rsid w:val="0041048A"/>
    <w:rsid w:val="00411A6B"/>
    <w:rsid w:val="00412BB6"/>
    <w:rsid w:val="00413FAF"/>
    <w:rsid w:val="00415BAB"/>
    <w:rsid w:val="00415ED2"/>
    <w:rsid w:val="00417B3D"/>
    <w:rsid w:val="0042068C"/>
    <w:rsid w:val="00423E39"/>
    <w:rsid w:val="00426523"/>
    <w:rsid w:val="004328D9"/>
    <w:rsid w:val="00433128"/>
    <w:rsid w:val="004334A6"/>
    <w:rsid w:val="00435119"/>
    <w:rsid w:val="0044048C"/>
    <w:rsid w:val="00441C4E"/>
    <w:rsid w:val="00442915"/>
    <w:rsid w:val="00443C12"/>
    <w:rsid w:val="00443D9A"/>
    <w:rsid w:val="00444A03"/>
    <w:rsid w:val="00445F87"/>
    <w:rsid w:val="00447106"/>
    <w:rsid w:val="00447C6D"/>
    <w:rsid w:val="00450A10"/>
    <w:rsid w:val="00451434"/>
    <w:rsid w:val="00451B2E"/>
    <w:rsid w:val="004526E0"/>
    <w:rsid w:val="004532A9"/>
    <w:rsid w:val="00454019"/>
    <w:rsid w:val="004551B3"/>
    <w:rsid w:val="00456FE2"/>
    <w:rsid w:val="00457D70"/>
    <w:rsid w:val="0046024D"/>
    <w:rsid w:val="0046176B"/>
    <w:rsid w:val="00463C49"/>
    <w:rsid w:val="00463F18"/>
    <w:rsid w:val="004708A3"/>
    <w:rsid w:val="0047122B"/>
    <w:rsid w:val="004737E0"/>
    <w:rsid w:val="00473B7A"/>
    <w:rsid w:val="0047410D"/>
    <w:rsid w:val="004816B5"/>
    <w:rsid w:val="00481830"/>
    <w:rsid w:val="00481A57"/>
    <w:rsid w:val="00483A01"/>
    <w:rsid w:val="00490647"/>
    <w:rsid w:val="00491E18"/>
    <w:rsid w:val="00493726"/>
    <w:rsid w:val="00494055"/>
    <w:rsid w:val="00494092"/>
    <w:rsid w:val="00495A52"/>
    <w:rsid w:val="004960E9"/>
    <w:rsid w:val="004A2E88"/>
    <w:rsid w:val="004A5305"/>
    <w:rsid w:val="004A563E"/>
    <w:rsid w:val="004A6EE1"/>
    <w:rsid w:val="004B0C00"/>
    <w:rsid w:val="004B297A"/>
    <w:rsid w:val="004B608B"/>
    <w:rsid w:val="004B78C1"/>
    <w:rsid w:val="004C0BFE"/>
    <w:rsid w:val="004C19C2"/>
    <w:rsid w:val="004C7BD8"/>
    <w:rsid w:val="004D110D"/>
    <w:rsid w:val="004D19FA"/>
    <w:rsid w:val="004D1BE8"/>
    <w:rsid w:val="004D3045"/>
    <w:rsid w:val="004D44DB"/>
    <w:rsid w:val="004D5D56"/>
    <w:rsid w:val="004D7634"/>
    <w:rsid w:val="004E0836"/>
    <w:rsid w:val="004E1536"/>
    <w:rsid w:val="004E1A22"/>
    <w:rsid w:val="004E33F2"/>
    <w:rsid w:val="004E364E"/>
    <w:rsid w:val="004E46D0"/>
    <w:rsid w:val="004F3744"/>
    <w:rsid w:val="004F7CD0"/>
    <w:rsid w:val="004F7D1F"/>
    <w:rsid w:val="0050015E"/>
    <w:rsid w:val="00503267"/>
    <w:rsid w:val="0051257C"/>
    <w:rsid w:val="00515932"/>
    <w:rsid w:val="00516053"/>
    <w:rsid w:val="005300D3"/>
    <w:rsid w:val="00530CA5"/>
    <w:rsid w:val="00533402"/>
    <w:rsid w:val="00535B16"/>
    <w:rsid w:val="00536323"/>
    <w:rsid w:val="0054206F"/>
    <w:rsid w:val="0054284F"/>
    <w:rsid w:val="00544F82"/>
    <w:rsid w:val="005457C2"/>
    <w:rsid w:val="00547183"/>
    <w:rsid w:val="005544E8"/>
    <w:rsid w:val="00554DDC"/>
    <w:rsid w:val="00554FFF"/>
    <w:rsid w:val="00555B8B"/>
    <w:rsid w:val="00557C22"/>
    <w:rsid w:val="00567915"/>
    <w:rsid w:val="00572B58"/>
    <w:rsid w:val="00573970"/>
    <w:rsid w:val="00573C98"/>
    <w:rsid w:val="005750EF"/>
    <w:rsid w:val="005808D1"/>
    <w:rsid w:val="00581094"/>
    <w:rsid w:val="0058201E"/>
    <w:rsid w:val="0058272C"/>
    <w:rsid w:val="00584FE9"/>
    <w:rsid w:val="00587C8F"/>
    <w:rsid w:val="0059317B"/>
    <w:rsid w:val="00593AEB"/>
    <w:rsid w:val="00593C4F"/>
    <w:rsid w:val="005946A8"/>
    <w:rsid w:val="00594AFC"/>
    <w:rsid w:val="00596B5A"/>
    <w:rsid w:val="00596EEA"/>
    <w:rsid w:val="00596EFA"/>
    <w:rsid w:val="005972F1"/>
    <w:rsid w:val="005976CD"/>
    <w:rsid w:val="005A1309"/>
    <w:rsid w:val="005A30CD"/>
    <w:rsid w:val="005A351E"/>
    <w:rsid w:val="005A4407"/>
    <w:rsid w:val="005A59EF"/>
    <w:rsid w:val="005A6DEF"/>
    <w:rsid w:val="005A6E1A"/>
    <w:rsid w:val="005B1B14"/>
    <w:rsid w:val="005B7E6C"/>
    <w:rsid w:val="005C0930"/>
    <w:rsid w:val="005C41AF"/>
    <w:rsid w:val="005C568C"/>
    <w:rsid w:val="005C64BA"/>
    <w:rsid w:val="005C6BB2"/>
    <w:rsid w:val="005C6E8F"/>
    <w:rsid w:val="005C70F7"/>
    <w:rsid w:val="005D1817"/>
    <w:rsid w:val="005D31E5"/>
    <w:rsid w:val="005D5FF9"/>
    <w:rsid w:val="005D77A0"/>
    <w:rsid w:val="005E035F"/>
    <w:rsid w:val="005E253A"/>
    <w:rsid w:val="005E260A"/>
    <w:rsid w:val="005E3516"/>
    <w:rsid w:val="005E3746"/>
    <w:rsid w:val="005E3DD3"/>
    <w:rsid w:val="005E3E17"/>
    <w:rsid w:val="005E42A6"/>
    <w:rsid w:val="005E44A9"/>
    <w:rsid w:val="005E47BB"/>
    <w:rsid w:val="005E5CE6"/>
    <w:rsid w:val="005E7350"/>
    <w:rsid w:val="005F26E0"/>
    <w:rsid w:val="005F49DD"/>
    <w:rsid w:val="005F4BB9"/>
    <w:rsid w:val="005F5F07"/>
    <w:rsid w:val="005F6F41"/>
    <w:rsid w:val="005F7184"/>
    <w:rsid w:val="00606FD6"/>
    <w:rsid w:val="006138F1"/>
    <w:rsid w:val="00613CBB"/>
    <w:rsid w:val="0061407D"/>
    <w:rsid w:val="00616D65"/>
    <w:rsid w:val="0062102E"/>
    <w:rsid w:val="00621590"/>
    <w:rsid w:val="006234BC"/>
    <w:rsid w:val="00625DC6"/>
    <w:rsid w:val="00626344"/>
    <w:rsid w:val="00630F5A"/>
    <w:rsid w:val="00631E8F"/>
    <w:rsid w:val="00636E42"/>
    <w:rsid w:val="00640301"/>
    <w:rsid w:val="0064120A"/>
    <w:rsid w:val="00642281"/>
    <w:rsid w:val="0064391D"/>
    <w:rsid w:val="0064486D"/>
    <w:rsid w:val="00645549"/>
    <w:rsid w:val="00647A97"/>
    <w:rsid w:val="006503C3"/>
    <w:rsid w:val="006511AD"/>
    <w:rsid w:val="00651821"/>
    <w:rsid w:val="0065204B"/>
    <w:rsid w:val="00654384"/>
    <w:rsid w:val="006544D0"/>
    <w:rsid w:val="00654D63"/>
    <w:rsid w:val="00655884"/>
    <w:rsid w:val="00660346"/>
    <w:rsid w:val="006605EA"/>
    <w:rsid w:val="006607BC"/>
    <w:rsid w:val="00663D4F"/>
    <w:rsid w:val="006672F7"/>
    <w:rsid w:val="006674B6"/>
    <w:rsid w:val="006675CD"/>
    <w:rsid w:val="006701E6"/>
    <w:rsid w:val="00671A62"/>
    <w:rsid w:val="00671EB8"/>
    <w:rsid w:val="00673146"/>
    <w:rsid w:val="0067592F"/>
    <w:rsid w:val="00675AF8"/>
    <w:rsid w:val="00682473"/>
    <w:rsid w:val="00682932"/>
    <w:rsid w:val="006845D3"/>
    <w:rsid w:val="00684D9B"/>
    <w:rsid w:val="00686E48"/>
    <w:rsid w:val="00690C05"/>
    <w:rsid w:val="00693339"/>
    <w:rsid w:val="006965D3"/>
    <w:rsid w:val="00697556"/>
    <w:rsid w:val="006A01FE"/>
    <w:rsid w:val="006A1472"/>
    <w:rsid w:val="006A4917"/>
    <w:rsid w:val="006A4D4F"/>
    <w:rsid w:val="006A5554"/>
    <w:rsid w:val="006A5FD7"/>
    <w:rsid w:val="006B0FE8"/>
    <w:rsid w:val="006B1216"/>
    <w:rsid w:val="006B1C64"/>
    <w:rsid w:val="006B4647"/>
    <w:rsid w:val="006B4C2B"/>
    <w:rsid w:val="006B6D47"/>
    <w:rsid w:val="006C2624"/>
    <w:rsid w:val="006C32E7"/>
    <w:rsid w:val="006C5AFE"/>
    <w:rsid w:val="006C709E"/>
    <w:rsid w:val="006D19AA"/>
    <w:rsid w:val="006D2027"/>
    <w:rsid w:val="006D3C10"/>
    <w:rsid w:val="006D3E42"/>
    <w:rsid w:val="006D5418"/>
    <w:rsid w:val="006D6139"/>
    <w:rsid w:val="006D79D9"/>
    <w:rsid w:val="006E6198"/>
    <w:rsid w:val="006E73A5"/>
    <w:rsid w:val="006F193C"/>
    <w:rsid w:val="006F1D41"/>
    <w:rsid w:val="006F2700"/>
    <w:rsid w:val="006F3BDC"/>
    <w:rsid w:val="006F586A"/>
    <w:rsid w:val="006F6D95"/>
    <w:rsid w:val="006F6E5D"/>
    <w:rsid w:val="006F73FB"/>
    <w:rsid w:val="006F7765"/>
    <w:rsid w:val="007030EA"/>
    <w:rsid w:val="00703722"/>
    <w:rsid w:val="00705E2A"/>
    <w:rsid w:val="00706F13"/>
    <w:rsid w:val="007072E8"/>
    <w:rsid w:val="00710289"/>
    <w:rsid w:val="00712088"/>
    <w:rsid w:val="0071618D"/>
    <w:rsid w:val="00717187"/>
    <w:rsid w:val="0072310E"/>
    <w:rsid w:val="00725FA4"/>
    <w:rsid w:val="00726A1D"/>
    <w:rsid w:val="00730825"/>
    <w:rsid w:val="00730B0C"/>
    <w:rsid w:val="00730C9E"/>
    <w:rsid w:val="0073215E"/>
    <w:rsid w:val="00732179"/>
    <w:rsid w:val="007334CD"/>
    <w:rsid w:val="00733551"/>
    <w:rsid w:val="00735FB9"/>
    <w:rsid w:val="0074029E"/>
    <w:rsid w:val="00740446"/>
    <w:rsid w:val="00740A1D"/>
    <w:rsid w:val="007438A9"/>
    <w:rsid w:val="0074491E"/>
    <w:rsid w:val="00744B02"/>
    <w:rsid w:val="00744BBB"/>
    <w:rsid w:val="00747CAE"/>
    <w:rsid w:val="007507BF"/>
    <w:rsid w:val="00751023"/>
    <w:rsid w:val="00753607"/>
    <w:rsid w:val="00754005"/>
    <w:rsid w:val="00755165"/>
    <w:rsid w:val="00755A34"/>
    <w:rsid w:val="007562B4"/>
    <w:rsid w:val="00757C14"/>
    <w:rsid w:val="0076247A"/>
    <w:rsid w:val="0076483A"/>
    <w:rsid w:val="00766560"/>
    <w:rsid w:val="007667C6"/>
    <w:rsid w:val="00767CCD"/>
    <w:rsid w:val="00767D27"/>
    <w:rsid w:val="007715F0"/>
    <w:rsid w:val="00772807"/>
    <w:rsid w:val="00772DA8"/>
    <w:rsid w:val="00773C92"/>
    <w:rsid w:val="00773FFC"/>
    <w:rsid w:val="0077480B"/>
    <w:rsid w:val="0077513F"/>
    <w:rsid w:val="00775891"/>
    <w:rsid w:val="00775964"/>
    <w:rsid w:val="007765FE"/>
    <w:rsid w:val="00780FAA"/>
    <w:rsid w:val="0078760A"/>
    <w:rsid w:val="00790CEA"/>
    <w:rsid w:val="0079226F"/>
    <w:rsid w:val="00793152"/>
    <w:rsid w:val="007951FD"/>
    <w:rsid w:val="00795983"/>
    <w:rsid w:val="00795BFB"/>
    <w:rsid w:val="00796875"/>
    <w:rsid w:val="007974F9"/>
    <w:rsid w:val="007A0FE6"/>
    <w:rsid w:val="007A246B"/>
    <w:rsid w:val="007A2F35"/>
    <w:rsid w:val="007B0DD0"/>
    <w:rsid w:val="007B122F"/>
    <w:rsid w:val="007B1F48"/>
    <w:rsid w:val="007B265C"/>
    <w:rsid w:val="007B2760"/>
    <w:rsid w:val="007B291D"/>
    <w:rsid w:val="007B2FD1"/>
    <w:rsid w:val="007B40C9"/>
    <w:rsid w:val="007B453E"/>
    <w:rsid w:val="007B676E"/>
    <w:rsid w:val="007B75D8"/>
    <w:rsid w:val="007C2092"/>
    <w:rsid w:val="007C2305"/>
    <w:rsid w:val="007C30B5"/>
    <w:rsid w:val="007C3D90"/>
    <w:rsid w:val="007C56A8"/>
    <w:rsid w:val="007C6762"/>
    <w:rsid w:val="007C67C9"/>
    <w:rsid w:val="007C7252"/>
    <w:rsid w:val="007D111E"/>
    <w:rsid w:val="007D195A"/>
    <w:rsid w:val="007D1EE9"/>
    <w:rsid w:val="007E10E1"/>
    <w:rsid w:val="007E1F80"/>
    <w:rsid w:val="007E36BE"/>
    <w:rsid w:val="007E3AB1"/>
    <w:rsid w:val="007E4819"/>
    <w:rsid w:val="007F0732"/>
    <w:rsid w:val="007F0941"/>
    <w:rsid w:val="007F2036"/>
    <w:rsid w:val="007F550D"/>
    <w:rsid w:val="0080012A"/>
    <w:rsid w:val="008009C2"/>
    <w:rsid w:val="00800D09"/>
    <w:rsid w:val="00802179"/>
    <w:rsid w:val="00802283"/>
    <w:rsid w:val="00802330"/>
    <w:rsid w:val="00804473"/>
    <w:rsid w:val="00804B35"/>
    <w:rsid w:val="0080584B"/>
    <w:rsid w:val="00806C01"/>
    <w:rsid w:val="008074E7"/>
    <w:rsid w:val="00807C95"/>
    <w:rsid w:val="00810E7F"/>
    <w:rsid w:val="008112E8"/>
    <w:rsid w:val="008136C3"/>
    <w:rsid w:val="008148CC"/>
    <w:rsid w:val="00817D04"/>
    <w:rsid w:val="00820A7B"/>
    <w:rsid w:val="008211A4"/>
    <w:rsid w:val="008227F5"/>
    <w:rsid w:val="0082312E"/>
    <w:rsid w:val="0082378D"/>
    <w:rsid w:val="00823A07"/>
    <w:rsid w:val="00825115"/>
    <w:rsid w:val="00826ED0"/>
    <w:rsid w:val="00831905"/>
    <w:rsid w:val="00832398"/>
    <w:rsid w:val="00833BEE"/>
    <w:rsid w:val="008348CB"/>
    <w:rsid w:val="00836006"/>
    <w:rsid w:val="0084212F"/>
    <w:rsid w:val="00842882"/>
    <w:rsid w:val="008430BA"/>
    <w:rsid w:val="008432C0"/>
    <w:rsid w:val="00850F85"/>
    <w:rsid w:val="00852BAB"/>
    <w:rsid w:val="00854C37"/>
    <w:rsid w:val="0085598C"/>
    <w:rsid w:val="00861627"/>
    <w:rsid w:val="00862B36"/>
    <w:rsid w:val="008632F2"/>
    <w:rsid w:val="00864289"/>
    <w:rsid w:val="00865BD4"/>
    <w:rsid w:val="008679A0"/>
    <w:rsid w:val="00870C9C"/>
    <w:rsid w:val="00873150"/>
    <w:rsid w:val="00876567"/>
    <w:rsid w:val="0087657D"/>
    <w:rsid w:val="008807D5"/>
    <w:rsid w:val="00880832"/>
    <w:rsid w:val="00882263"/>
    <w:rsid w:val="008835AA"/>
    <w:rsid w:val="00883C72"/>
    <w:rsid w:val="00885F45"/>
    <w:rsid w:val="00886967"/>
    <w:rsid w:val="00886EE1"/>
    <w:rsid w:val="00887246"/>
    <w:rsid w:val="0088727D"/>
    <w:rsid w:val="0089185E"/>
    <w:rsid w:val="00895F71"/>
    <w:rsid w:val="0089643C"/>
    <w:rsid w:val="00897C75"/>
    <w:rsid w:val="008A0383"/>
    <w:rsid w:val="008A2456"/>
    <w:rsid w:val="008A4076"/>
    <w:rsid w:val="008A519E"/>
    <w:rsid w:val="008A657A"/>
    <w:rsid w:val="008B413B"/>
    <w:rsid w:val="008C1130"/>
    <w:rsid w:val="008C2635"/>
    <w:rsid w:val="008C266F"/>
    <w:rsid w:val="008C2DB4"/>
    <w:rsid w:val="008C4BE1"/>
    <w:rsid w:val="008C5801"/>
    <w:rsid w:val="008C64B8"/>
    <w:rsid w:val="008D0995"/>
    <w:rsid w:val="008D1472"/>
    <w:rsid w:val="008D18E6"/>
    <w:rsid w:val="008D191F"/>
    <w:rsid w:val="008D2125"/>
    <w:rsid w:val="008D2C00"/>
    <w:rsid w:val="008D3EA0"/>
    <w:rsid w:val="008D464B"/>
    <w:rsid w:val="008D5C35"/>
    <w:rsid w:val="008D675E"/>
    <w:rsid w:val="008D7A9B"/>
    <w:rsid w:val="008E05DD"/>
    <w:rsid w:val="008E0C72"/>
    <w:rsid w:val="008E2BF5"/>
    <w:rsid w:val="008E44EF"/>
    <w:rsid w:val="008E61CB"/>
    <w:rsid w:val="008E6E83"/>
    <w:rsid w:val="008E7049"/>
    <w:rsid w:val="008E76AC"/>
    <w:rsid w:val="008F1017"/>
    <w:rsid w:val="008F21F6"/>
    <w:rsid w:val="008F2A14"/>
    <w:rsid w:val="008F2D55"/>
    <w:rsid w:val="008F36E1"/>
    <w:rsid w:val="008F3972"/>
    <w:rsid w:val="008F5503"/>
    <w:rsid w:val="009011F4"/>
    <w:rsid w:val="00902D87"/>
    <w:rsid w:val="0090417A"/>
    <w:rsid w:val="0090707F"/>
    <w:rsid w:val="00913905"/>
    <w:rsid w:val="00916247"/>
    <w:rsid w:val="00917874"/>
    <w:rsid w:val="0092134D"/>
    <w:rsid w:val="0092279E"/>
    <w:rsid w:val="00922CA7"/>
    <w:rsid w:val="009246BD"/>
    <w:rsid w:val="009269A7"/>
    <w:rsid w:val="009269E3"/>
    <w:rsid w:val="009270E0"/>
    <w:rsid w:val="00927FA3"/>
    <w:rsid w:val="00931F7E"/>
    <w:rsid w:val="0093345C"/>
    <w:rsid w:val="00934CFC"/>
    <w:rsid w:val="00936FB4"/>
    <w:rsid w:val="00937565"/>
    <w:rsid w:val="00937F18"/>
    <w:rsid w:val="009410CB"/>
    <w:rsid w:val="009438AD"/>
    <w:rsid w:val="00945A3C"/>
    <w:rsid w:val="00951F1B"/>
    <w:rsid w:val="00951F79"/>
    <w:rsid w:val="00952ADF"/>
    <w:rsid w:val="00952C2B"/>
    <w:rsid w:val="00952F4A"/>
    <w:rsid w:val="00956D63"/>
    <w:rsid w:val="00957A47"/>
    <w:rsid w:val="00960049"/>
    <w:rsid w:val="00960FB7"/>
    <w:rsid w:val="00961A1C"/>
    <w:rsid w:val="00962962"/>
    <w:rsid w:val="00967121"/>
    <w:rsid w:val="0096755E"/>
    <w:rsid w:val="00967FD2"/>
    <w:rsid w:val="0097015B"/>
    <w:rsid w:val="00973049"/>
    <w:rsid w:val="009742E8"/>
    <w:rsid w:val="009747EE"/>
    <w:rsid w:val="00974AB5"/>
    <w:rsid w:val="0097535B"/>
    <w:rsid w:val="00980704"/>
    <w:rsid w:val="0098213C"/>
    <w:rsid w:val="00985A22"/>
    <w:rsid w:val="0098706D"/>
    <w:rsid w:val="009909CB"/>
    <w:rsid w:val="009935FB"/>
    <w:rsid w:val="0099379E"/>
    <w:rsid w:val="009955D1"/>
    <w:rsid w:val="00996C28"/>
    <w:rsid w:val="00997025"/>
    <w:rsid w:val="0099780A"/>
    <w:rsid w:val="009A6E35"/>
    <w:rsid w:val="009B2AED"/>
    <w:rsid w:val="009B3501"/>
    <w:rsid w:val="009C0467"/>
    <w:rsid w:val="009C1F60"/>
    <w:rsid w:val="009C4FDC"/>
    <w:rsid w:val="009C6488"/>
    <w:rsid w:val="009C7A49"/>
    <w:rsid w:val="009D15DF"/>
    <w:rsid w:val="009D262C"/>
    <w:rsid w:val="009D42C8"/>
    <w:rsid w:val="009D53A9"/>
    <w:rsid w:val="009D56A3"/>
    <w:rsid w:val="009E11C8"/>
    <w:rsid w:val="009E1A5B"/>
    <w:rsid w:val="009E2F5E"/>
    <w:rsid w:val="009E7A7F"/>
    <w:rsid w:val="009F0D98"/>
    <w:rsid w:val="009F4A3B"/>
    <w:rsid w:val="009F4A54"/>
    <w:rsid w:val="009F4B06"/>
    <w:rsid w:val="009F4BEC"/>
    <w:rsid w:val="009F7C06"/>
    <w:rsid w:val="00A012E5"/>
    <w:rsid w:val="00A01862"/>
    <w:rsid w:val="00A041E8"/>
    <w:rsid w:val="00A05B51"/>
    <w:rsid w:val="00A10A0B"/>
    <w:rsid w:val="00A1296D"/>
    <w:rsid w:val="00A12F30"/>
    <w:rsid w:val="00A16385"/>
    <w:rsid w:val="00A21A33"/>
    <w:rsid w:val="00A22D58"/>
    <w:rsid w:val="00A23A1B"/>
    <w:rsid w:val="00A241D5"/>
    <w:rsid w:val="00A25FD7"/>
    <w:rsid w:val="00A30197"/>
    <w:rsid w:val="00A32D3C"/>
    <w:rsid w:val="00A33E14"/>
    <w:rsid w:val="00A35FEF"/>
    <w:rsid w:val="00A40EC5"/>
    <w:rsid w:val="00A42FAB"/>
    <w:rsid w:val="00A433C5"/>
    <w:rsid w:val="00A43A8F"/>
    <w:rsid w:val="00A43AFF"/>
    <w:rsid w:val="00A454AA"/>
    <w:rsid w:val="00A478A0"/>
    <w:rsid w:val="00A47F3A"/>
    <w:rsid w:val="00A5373F"/>
    <w:rsid w:val="00A54052"/>
    <w:rsid w:val="00A54BC2"/>
    <w:rsid w:val="00A62B3F"/>
    <w:rsid w:val="00A631A3"/>
    <w:rsid w:val="00A654DC"/>
    <w:rsid w:val="00A70F81"/>
    <w:rsid w:val="00A73476"/>
    <w:rsid w:val="00A74AF2"/>
    <w:rsid w:val="00A763E7"/>
    <w:rsid w:val="00A7793A"/>
    <w:rsid w:val="00A81C60"/>
    <w:rsid w:val="00A83C94"/>
    <w:rsid w:val="00A83FDD"/>
    <w:rsid w:val="00A87B7A"/>
    <w:rsid w:val="00A93C40"/>
    <w:rsid w:val="00AA4CC7"/>
    <w:rsid w:val="00AA4F68"/>
    <w:rsid w:val="00AA5E8E"/>
    <w:rsid w:val="00AB0354"/>
    <w:rsid w:val="00AB2271"/>
    <w:rsid w:val="00AB2A7D"/>
    <w:rsid w:val="00AB2ACC"/>
    <w:rsid w:val="00AB6CA7"/>
    <w:rsid w:val="00AB6CE2"/>
    <w:rsid w:val="00AC20BC"/>
    <w:rsid w:val="00AC2651"/>
    <w:rsid w:val="00AC453E"/>
    <w:rsid w:val="00AC7A58"/>
    <w:rsid w:val="00AD01E4"/>
    <w:rsid w:val="00AD0844"/>
    <w:rsid w:val="00AD0858"/>
    <w:rsid w:val="00AD1559"/>
    <w:rsid w:val="00AD2E04"/>
    <w:rsid w:val="00AD36D1"/>
    <w:rsid w:val="00AD4DB6"/>
    <w:rsid w:val="00AD5E02"/>
    <w:rsid w:val="00AE4B93"/>
    <w:rsid w:val="00AE556C"/>
    <w:rsid w:val="00AE5E1C"/>
    <w:rsid w:val="00AE6AFC"/>
    <w:rsid w:val="00AE6CBA"/>
    <w:rsid w:val="00AE72B5"/>
    <w:rsid w:val="00AE7340"/>
    <w:rsid w:val="00AE7DA4"/>
    <w:rsid w:val="00AF1558"/>
    <w:rsid w:val="00AF1BBD"/>
    <w:rsid w:val="00AF34F5"/>
    <w:rsid w:val="00AF3B72"/>
    <w:rsid w:val="00AF6DEF"/>
    <w:rsid w:val="00B01B73"/>
    <w:rsid w:val="00B04B81"/>
    <w:rsid w:val="00B05626"/>
    <w:rsid w:val="00B05914"/>
    <w:rsid w:val="00B10207"/>
    <w:rsid w:val="00B10B61"/>
    <w:rsid w:val="00B10CED"/>
    <w:rsid w:val="00B13E74"/>
    <w:rsid w:val="00B141E7"/>
    <w:rsid w:val="00B21EFD"/>
    <w:rsid w:val="00B22BFF"/>
    <w:rsid w:val="00B23A09"/>
    <w:rsid w:val="00B309B2"/>
    <w:rsid w:val="00B31959"/>
    <w:rsid w:val="00B3256E"/>
    <w:rsid w:val="00B351B4"/>
    <w:rsid w:val="00B35C23"/>
    <w:rsid w:val="00B46BCA"/>
    <w:rsid w:val="00B4775D"/>
    <w:rsid w:val="00B518C3"/>
    <w:rsid w:val="00B526A3"/>
    <w:rsid w:val="00B54F3C"/>
    <w:rsid w:val="00B55F26"/>
    <w:rsid w:val="00B563ED"/>
    <w:rsid w:val="00B60A3F"/>
    <w:rsid w:val="00B60A77"/>
    <w:rsid w:val="00B63B12"/>
    <w:rsid w:val="00B63FAD"/>
    <w:rsid w:val="00B675E4"/>
    <w:rsid w:val="00B70AF2"/>
    <w:rsid w:val="00B74F1F"/>
    <w:rsid w:val="00B75ED9"/>
    <w:rsid w:val="00B7686B"/>
    <w:rsid w:val="00B825E3"/>
    <w:rsid w:val="00B82F3A"/>
    <w:rsid w:val="00B8328F"/>
    <w:rsid w:val="00B83F3A"/>
    <w:rsid w:val="00B86C47"/>
    <w:rsid w:val="00B87806"/>
    <w:rsid w:val="00B87EC9"/>
    <w:rsid w:val="00B87FA9"/>
    <w:rsid w:val="00B905E0"/>
    <w:rsid w:val="00B92BC9"/>
    <w:rsid w:val="00B92EAC"/>
    <w:rsid w:val="00B93149"/>
    <w:rsid w:val="00B9603A"/>
    <w:rsid w:val="00BA3338"/>
    <w:rsid w:val="00BA67CD"/>
    <w:rsid w:val="00BB076C"/>
    <w:rsid w:val="00BB3AA5"/>
    <w:rsid w:val="00BB55F8"/>
    <w:rsid w:val="00BB5FC4"/>
    <w:rsid w:val="00BC136E"/>
    <w:rsid w:val="00BC2BE8"/>
    <w:rsid w:val="00BC38F3"/>
    <w:rsid w:val="00BC38FD"/>
    <w:rsid w:val="00BC4AE4"/>
    <w:rsid w:val="00BC794F"/>
    <w:rsid w:val="00BD0898"/>
    <w:rsid w:val="00BD0E7E"/>
    <w:rsid w:val="00BD1135"/>
    <w:rsid w:val="00BD3267"/>
    <w:rsid w:val="00BD5912"/>
    <w:rsid w:val="00BD5FB4"/>
    <w:rsid w:val="00BD7AF0"/>
    <w:rsid w:val="00BE120E"/>
    <w:rsid w:val="00BF119E"/>
    <w:rsid w:val="00BF35DB"/>
    <w:rsid w:val="00BF4008"/>
    <w:rsid w:val="00BF4A20"/>
    <w:rsid w:val="00C013F0"/>
    <w:rsid w:val="00C034CB"/>
    <w:rsid w:val="00C051A8"/>
    <w:rsid w:val="00C054BC"/>
    <w:rsid w:val="00C0554D"/>
    <w:rsid w:val="00C06F3D"/>
    <w:rsid w:val="00C122C4"/>
    <w:rsid w:val="00C12B39"/>
    <w:rsid w:val="00C15CDD"/>
    <w:rsid w:val="00C17897"/>
    <w:rsid w:val="00C17DB0"/>
    <w:rsid w:val="00C22517"/>
    <w:rsid w:val="00C225E7"/>
    <w:rsid w:val="00C24251"/>
    <w:rsid w:val="00C25C26"/>
    <w:rsid w:val="00C30B85"/>
    <w:rsid w:val="00C322F9"/>
    <w:rsid w:val="00C350E9"/>
    <w:rsid w:val="00C35B2B"/>
    <w:rsid w:val="00C3612F"/>
    <w:rsid w:val="00C37699"/>
    <w:rsid w:val="00C400BD"/>
    <w:rsid w:val="00C409D5"/>
    <w:rsid w:val="00C4104C"/>
    <w:rsid w:val="00C410E0"/>
    <w:rsid w:val="00C435C3"/>
    <w:rsid w:val="00C45223"/>
    <w:rsid w:val="00C45A68"/>
    <w:rsid w:val="00C531B2"/>
    <w:rsid w:val="00C53E81"/>
    <w:rsid w:val="00C5741C"/>
    <w:rsid w:val="00C609F5"/>
    <w:rsid w:val="00C6149C"/>
    <w:rsid w:val="00C61EAC"/>
    <w:rsid w:val="00C6234B"/>
    <w:rsid w:val="00C62D01"/>
    <w:rsid w:val="00C63EAE"/>
    <w:rsid w:val="00C64697"/>
    <w:rsid w:val="00C65342"/>
    <w:rsid w:val="00C66FC8"/>
    <w:rsid w:val="00C70A73"/>
    <w:rsid w:val="00C721CE"/>
    <w:rsid w:val="00C7430C"/>
    <w:rsid w:val="00C7629F"/>
    <w:rsid w:val="00C820DC"/>
    <w:rsid w:val="00C83787"/>
    <w:rsid w:val="00C85364"/>
    <w:rsid w:val="00C8661B"/>
    <w:rsid w:val="00C873D4"/>
    <w:rsid w:val="00C87842"/>
    <w:rsid w:val="00C9491C"/>
    <w:rsid w:val="00C9615F"/>
    <w:rsid w:val="00CA139A"/>
    <w:rsid w:val="00CA2899"/>
    <w:rsid w:val="00CA2B1D"/>
    <w:rsid w:val="00CA3A3D"/>
    <w:rsid w:val="00CA77FB"/>
    <w:rsid w:val="00CB31A9"/>
    <w:rsid w:val="00CB379B"/>
    <w:rsid w:val="00CB3D87"/>
    <w:rsid w:val="00CB460F"/>
    <w:rsid w:val="00CB4ACB"/>
    <w:rsid w:val="00CB5DD0"/>
    <w:rsid w:val="00CB7F94"/>
    <w:rsid w:val="00CC0B0B"/>
    <w:rsid w:val="00CC4D8C"/>
    <w:rsid w:val="00CC51D4"/>
    <w:rsid w:val="00CC58F1"/>
    <w:rsid w:val="00CC65DA"/>
    <w:rsid w:val="00CC76EF"/>
    <w:rsid w:val="00CD38A1"/>
    <w:rsid w:val="00CD3BBA"/>
    <w:rsid w:val="00CD75E7"/>
    <w:rsid w:val="00CE1EEF"/>
    <w:rsid w:val="00CE21E3"/>
    <w:rsid w:val="00CF15DE"/>
    <w:rsid w:val="00CF21B9"/>
    <w:rsid w:val="00CF6BF9"/>
    <w:rsid w:val="00CF7CC6"/>
    <w:rsid w:val="00D0082F"/>
    <w:rsid w:val="00D017A6"/>
    <w:rsid w:val="00D01F0A"/>
    <w:rsid w:val="00D031C9"/>
    <w:rsid w:val="00D03800"/>
    <w:rsid w:val="00D03E47"/>
    <w:rsid w:val="00D065D3"/>
    <w:rsid w:val="00D10468"/>
    <w:rsid w:val="00D11415"/>
    <w:rsid w:val="00D126E3"/>
    <w:rsid w:val="00D14C94"/>
    <w:rsid w:val="00D16F2E"/>
    <w:rsid w:val="00D20911"/>
    <w:rsid w:val="00D20AE3"/>
    <w:rsid w:val="00D26F4A"/>
    <w:rsid w:val="00D27114"/>
    <w:rsid w:val="00D279DC"/>
    <w:rsid w:val="00D313EC"/>
    <w:rsid w:val="00D32669"/>
    <w:rsid w:val="00D342A6"/>
    <w:rsid w:val="00D356D0"/>
    <w:rsid w:val="00D35AB2"/>
    <w:rsid w:val="00D36ABB"/>
    <w:rsid w:val="00D40598"/>
    <w:rsid w:val="00D42A15"/>
    <w:rsid w:val="00D44B79"/>
    <w:rsid w:val="00D460EB"/>
    <w:rsid w:val="00D464BF"/>
    <w:rsid w:val="00D47AB0"/>
    <w:rsid w:val="00D53E26"/>
    <w:rsid w:val="00D549B1"/>
    <w:rsid w:val="00D6036E"/>
    <w:rsid w:val="00D607B1"/>
    <w:rsid w:val="00D62044"/>
    <w:rsid w:val="00D63107"/>
    <w:rsid w:val="00D639B7"/>
    <w:rsid w:val="00D66DD4"/>
    <w:rsid w:val="00D7035A"/>
    <w:rsid w:val="00D74A42"/>
    <w:rsid w:val="00D74BAC"/>
    <w:rsid w:val="00D74C3E"/>
    <w:rsid w:val="00D76582"/>
    <w:rsid w:val="00D76C1E"/>
    <w:rsid w:val="00D83101"/>
    <w:rsid w:val="00D83E59"/>
    <w:rsid w:val="00D84F46"/>
    <w:rsid w:val="00D90A80"/>
    <w:rsid w:val="00D90EED"/>
    <w:rsid w:val="00D918EC"/>
    <w:rsid w:val="00D92EC6"/>
    <w:rsid w:val="00D93773"/>
    <w:rsid w:val="00D95493"/>
    <w:rsid w:val="00D96E9A"/>
    <w:rsid w:val="00DA0D65"/>
    <w:rsid w:val="00DA29B8"/>
    <w:rsid w:val="00DA3ED9"/>
    <w:rsid w:val="00DA4135"/>
    <w:rsid w:val="00DA4157"/>
    <w:rsid w:val="00DA4BB6"/>
    <w:rsid w:val="00DA5B9E"/>
    <w:rsid w:val="00DB0240"/>
    <w:rsid w:val="00DB0841"/>
    <w:rsid w:val="00DB122B"/>
    <w:rsid w:val="00DB7520"/>
    <w:rsid w:val="00DB7AC1"/>
    <w:rsid w:val="00DC001B"/>
    <w:rsid w:val="00DC2818"/>
    <w:rsid w:val="00DC2D17"/>
    <w:rsid w:val="00DC3340"/>
    <w:rsid w:val="00DD1391"/>
    <w:rsid w:val="00DD3CE8"/>
    <w:rsid w:val="00DD4F0E"/>
    <w:rsid w:val="00DD6F91"/>
    <w:rsid w:val="00DE28C5"/>
    <w:rsid w:val="00DE4017"/>
    <w:rsid w:val="00DE6D3A"/>
    <w:rsid w:val="00DF070D"/>
    <w:rsid w:val="00DF0BF0"/>
    <w:rsid w:val="00DF465D"/>
    <w:rsid w:val="00DF4E15"/>
    <w:rsid w:val="00DF4F58"/>
    <w:rsid w:val="00E0158D"/>
    <w:rsid w:val="00E0456C"/>
    <w:rsid w:val="00E05E0A"/>
    <w:rsid w:val="00E06ECE"/>
    <w:rsid w:val="00E07420"/>
    <w:rsid w:val="00E101ED"/>
    <w:rsid w:val="00E14009"/>
    <w:rsid w:val="00E1406C"/>
    <w:rsid w:val="00E14E26"/>
    <w:rsid w:val="00E14EDB"/>
    <w:rsid w:val="00E15D29"/>
    <w:rsid w:val="00E20A83"/>
    <w:rsid w:val="00E20AA8"/>
    <w:rsid w:val="00E21057"/>
    <w:rsid w:val="00E21F52"/>
    <w:rsid w:val="00E22F61"/>
    <w:rsid w:val="00E233B4"/>
    <w:rsid w:val="00E2778F"/>
    <w:rsid w:val="00E3198B"/>
    <w:rsid w:val="00E347FF"/>
    <w:rsid w:val="00E35B22"/>
    <w:rsid w:val="00E35D4F"/>
    <w:rsid w:val="00E37248"/>
    <w:rsid w:val="00E37400"/>
    <w:rsid w:val="00E41DFD"/>
    <w:rsid w:val="00E436A8"/>
    <w:rsid w:val="00E43916"/>
    <w:rsid w:val="00E4411B"/>
    <w:rsid w:val="00E45536"/>
    <w:rsid w:val="00E47F65"/>
    <w:rsid w:val="00E502FE"/>
    <w:rsid w:val="00E50DD2"/>
    <w:rsid w:val="00E51E0A"/>
    <w:rsid w:val="00E5275A"/>
    <w:rsid w:val="00E534CF"/>
    <w:rsid w:val="00E53E9B"/>
    <w:rsid w:val="00E5522E"/>
    <w:rsid w:val="00E56ED5"/>
    <w:rsid w:val="00E57338"/>
    <w:rsid w:val="00E61467"/>
    <w:rsid w:val="00E61DA0"/>
    <w:rsid w:val="00E61FF2"/>
    <w:rsid w:val="00E63B14"/>
    <w:rsid w:val="00E67421"/>
    <w:rsid w:val="00E7046A"/>
    <w:rsid w:val="00E72868"/>
    <w:rsid w:val="00E72C5E"/>
    <w:rsid w:val="00E731C4"/>
    <w:rsid w:val="00E758F3"/>
    <w:rsid w:val="00E75B45"/>
    <w:rsid w:val="00E768C4"/>
    <w:rsid w:val="00E81CB4"/>
    <w:rsid w:val="00E84A73"/>
    <w:rsid w:val="00E8585B"/>
    <w:rsid w:val="00E877F1"/>
    <w:rsid w:val="00E90507"/>
    <w:rsid w:val="00E958BA"/>
    <w:rsid w:val="00EA20EE"/>
    <w:rsid w:val="00EA3F15"/>
    <w:rsid w:val="00EA7847"/>
    <w:rsid w:val="00EB1916"/>
    <w:rsid w:val="00EB2614"/>
    <w:rsid w:val="00EB3344"/>
    <w:rsid w:val="00EB3ABA"/>
    <w:rsid w:val="00EB4BA1"/>
    <w:rsid w:val="00EB54E4"/>
    <w:rsid w:val="00EC28B2"/>
    <w:rsid w:val="00ED028D"/>
    <w:rsid w:val="00ED048C"/>
    <w:rsid w:val="00ED1F55"/>
    <w:rsid w:val="00ED463D"/>
    <w:rsid w:val="00ED5722"/>
    <w:rsid w:val="00EE25CE"/>
    <w:rsid w:val="00EE2A7D"/>
    <w:rsid w:val="00EE2E6E"/>
    <w:rsid w:val="00EE39A8"/>
    <w:rsid w:val="00EF086D"/>
    <w:rsid w:val="00EF78A2"/>
    <w:rsid w:val="00F0000A"/>
    <w:rsid w:val="00F00E4A"/>
    <w:rsid w:val="00F01F07"/>
    <w:rsid w:val="00F03154"/>
    <w:rsid w:val="00F0499E"/>
    <w:rsid w:val="00F05F20"/>
    <w:rsid w:val="00F06BB2"/>
    <w:rsid w:val="00F0759E"/>
    <w:rsid w:val="00F10B17"/>
    <w:rsid w:val="00F120AE"/>
    <w:rsid w:val="00F12A91"/>
    <w:rsid w:val="00F13E6D"/>
    <w:rsid w:val="00F14B80"/>
    <w:rsid w:val="00F16F1A"/>
    <w:rsid w:val="00F205F5"/>
    <w:rsid w:val="00F21115"/>
    <w:rsid w:val="00F22B1C"/>
    <w:rsid w:val="00F22E25"/>
    <w:rsid w:val="00F30C51"/>
    <w:rsid w:val="00F30F7F"/>
    <w:rsid w:val="00F31FCD"/>
    <w:rsid w:val="00F35523"/>
    <w:rsid w:val="00F369F8"/>
    <w:rsid w:val="00F37CD2"/>
    <w:rsid w:val="00F40AE5"/>
    <w:rsid w:val="00F4350B"/>
    <w:rsid w:val="00F43F5B"/>
    <w:rsid w:val="00F43FD6"/>
    <w:rsid w:val="00F44BB1"/>
    <w:rsid w:val="00F452BE"/>
    <w:rsid w:val="00F4610A"/>
    <w:rsid w:val="00F471E0"/>
    <w:rsid w:val="00F509F9"/>
    <w:rsid w:val="00F50EDA"/>
    <w:rsid w:val="00F5143E"/>
    <w:rsid w:val="00F51B27"/>
    <w:rsid w:val="00F53BD8"/>
    <w:rsid w:val="00F57246"/>
    <w:rsid w:val="00F630D6"/>
    <w:rsid w:val="00F64654"/>
    <w:rsid w:val="00F679F2"/>
    <w:rsid w:val="00F71046"/>
    <w:rsid w:val="00F75127"/>
    <w:rsid w:val="00F75280"/>
    <w:rsid w:val="00F76E79"/>
    <w:rsid w:val="00F81DBF"/>
    <w:rsid w:val="00F821A3"/>
    <w:rsid w:val="00F84A47"/>
    <w:rsid w:val="00F9314A"/>
    <w:rsid w:val="00F95C9F"/>
    <w:rsid w:val="00FA049B"/>
    <w:rsid w:val="00FA2082"/>
    <w:rsid w:val="00FA47B7"/>
    <w:rsid w:val="00FA717D"/>
    <w:rsid w:val="00FA7CDB"/>
    <w:rsid w:val="00FB0C95"/>
    <w:rsid w:val="00FB0E31"/>
    <w:rsid w:val="00FB2F62"/>
    <w:rsid w:val="00FB5E09"/>
    <w:rsid w:val="00FB6E4D"/>
    <w:rsid w:val="00FC462E"/>
    <w:rsid w:val="00FC55EF"/>
    <w:rsid w:val="00FC58EF"/>
    <w:rsid w:val="00FD0CF1"/>
    <w:rsid w:val="00FD1F50"/>
    <w:rsid w:val="00FD3206"/>
    <w:rsid w:val="00FD33DF"/>
    <w:rsid w:val="00FD39FC"/>
    <w:rsid w:val="00FD46B0"/>
    <w:rsid w:val="00FD4D4D"/>
    <w:rsid w:val="00FD6BF7"/>
    <w:rsid w:val="00FD7259"/>
    <w:rsid w:val="00FE01D4"/>
    <w:rsid w:val="00FE1426"/>
    <w:rsid w:val="00FE1B89"/>
    <w:rsid w:val="00FE1FDD"/>
    <w:rsid w:val="00FE2D9D"/>
    <w:rsid w:val="00FE39D7"/>
    <w:rsid w:val="00FE3F15"/>
    <w:rsid w:val="00FE5DE7"/>
    <w:rsid w:val="00FF1CBF"/>
    <w:rsid w:val="00FF2AEA"/>
    <w:rsid w:val="00FF7732"/>
    <w:rsid w:val="00FF7F6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41632B08-FE07-4916-B152-687CA62CEE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CO" w:eastAsia="es-CO"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1DBF"/>
    <w:pPr>
      <w:jc w:val="both"/>
    </w:pPr>
    <w:rPr>
      <w:rFonts w:ascii="Bookman Old Style" w:hAnsi="Bookman Old Style"/>
      <w:sz w:val="24"/>
      <w:szCs w:val="24"/>
      <w:lang w:val="es-ES" w:eastAsia="es-ES"/>
    </w:rPr>
  </w:style>
  <w:style w:type="paragraph" w:styleId="Ttulo1">
    <w:name w:val="heading 1"/>
    <w:basedOn w:val="Normal"/>
    <w:next w:val="Normal"/>
    <w:link w:val="Ttulo1Car"/>
    <w:qFormat/>
    <w:rsid w:val="005E3746"/>
    <w:pPr>
      <w:keepNext/>
      <w:numPr>
        <w:numId w:val="1"/>
      </w:numPr>
      <w:outlineLvl w:val="0"/>
    </w:pPr>
    <w:rPr>
      <w:szCs w:val="20"/>
      <w:lang w:val="es-CO"/>
    </w:rPr>
  </w:style>
  <w:style w:type="paragraph" w:styleId="Ttulo2">
    <w:name w:val="heading 2"/>
    <w:basedOn w:val="Normal"/>
    <w:next w:val="Normal"/>
    <w:link w:val="Ttulo2Car"/>
    <w:unhideWhenUsed/>
    <w:qFormat/>
    <w:rsid w:val="005E3746"/>
    <w:pPr>
      <w:keepNext/>
      <w:numPr>
        <w:ilvl w:val="1"/>
        <w:numId w:val="1"/>
      </w:numPr>
      <w:spacing w:before="240" w:after="60"/>
      <w:outlineLvl w:val="1"/>
    </w:pPr>
    <w:rPr>
      <w:b/>
      <w:bCs/>
      <w:iCs/>
      <w:szCs w:val="28"/>
    </w:rPr>
  </w:style>
  <w:style w:type="paragraph" w:styleId="Ttulo3">
    <w:name w:val="heading 3"/>
    <w:aliases w:val="T3"/>
    <w:basedOn w:val="Normal"/>
    <w:next w:val="Normal"/>
    <w:link w:val="Ttulo3Car"/>
    <w:qFormat/>
    <w:rsid w:val="003E0FF2"/>
    <w:pPr>
      <w:keepNext/>
      <w:numPr>
        <w:ilvl w:val="2"/>
        <w:numId w:val="1"/>
      </w:numPr>
      <w:jc w:val="left"/>
      <w:outlineLvl w:val="2"/>
    </w:pPr>
    <w:rPr>
      <w:b/>
      <w:snapToGrid w:val="0"/>
      <w:color w:val="000000"/>
      <w:szCs w:val="20"/>
      <w:lang w:val="es-ES_tradnl"/>
    </w:rPr>
  </w:style>
  <w:style w:type="paragraph" w:styleId="Ttulo4">
    <w:name w:val="heading 4"/>
    <w:basedOn w:val="Normal"/>
    <w:next w:val="Normal"/>
    <w:link w:val="Ttulo4Car"/>
    <w:qFormat/>
    <w:rsid w:val="00A43A8F"/>
    <w:pPr>
      <w:keepNext/>
      <w:numPr>
        <w:ilvl w:val="3"/>
        <w:numId w:val="1"/>
      </w:numPr>
      <w:jc w:val="left"/>
      <w:outlineLvl w:val="3"/>
    </w:pPr>
    <w:rPr>
      <w:rFonts w:cs="Arial"/>
      <w:b/>
      <w:snapToGrid w:val="0"/>
      <w:color w:val="000000"/>
      <w:spacing w:val="20"/>
      <w:szCs w:val="20"/>
      <w:lang w:val="es-ES_tradnl"/>
    </w:rPr>
  </w:style>
  <w:style w:type="paragraph" w:styleId="Ttulo5">
    <w:name w:val="heading 5"/>
    <w:basedOn w:val="Normal"/>
    <w:next w:val="Normal"/>
    <w:link w:val="Ttulo5Car"/>
    <w:qFormat/>
    <w:rsid w:val="003101DA"/>
    <w:pPr>
      <w:keepNext/>
      <w:numPr>
        <w:ilvl w:val="4"/>
        <w:numId w:val="1"/>
      </w:numPr>
      <w:jc w:val="center"/>
      <w:outlineLvl w:val="4"/>
    </w:pPr>
    <w:rPr>
      <w:rFonts w:ascii="Arial" w:hAnsi="Arial" w:cs="Arial"/>
      <w:b/>
      <w:snapToGrid w:val="0"/>
      <w:color w:val="000000"/>
      <w:spacing w:val="20"/>
      <w:sz w:val="28"/>
      <w:szCs w:val="20"/>
      <w:lang w:val="es-ES_tradnl"/>
    </w:rPr>
  </w:style>
  <w:style w:type="paragraph" w:styleId="Ttulo6">
    <w:name w:val="heading 6"/>
    <w:basedOn w:val="Normal"/>
    <w:next w:val="Normal"/>
    <w:link w:val="Ttulo6Car"/>
    <w:unhideWhenUsed/>
    <w:qFormat/>
    <w:rsid w:val="00795BFB"/>
    <w:pPr>
      <w:numPr>
        <w:ilvl w:val="5"/>
        <w:numId w:val="1"/>
      </w:numPr>
      <w:spacing w:before="240" w:after="60"/>
      <w:outlineLvl w:val="5"/>
    </w:pPr>
    <w:rPr>
      <w:rFonts w:ascii="Calibri" w:hAnsi="Calibri"/>
      <w:b/>
      <w:bCs/>
      <w:sz w:val="22"/>
      <w:szCs w:val="22"/>
    </w:rPr>
  </w:style>
  <w:style w:type="paragraph" w:styleId="Ttulo7">
    <w:name w:val="heading 7"/>
    <w:basedOn w:val="Normal"/>
    <w:next w:val="Normal"/>
    <w:link w:val="Ttulo7Car"/>
    <w:uiPriority w:val="9"/>
    <w:semiHidden/>
    <w:unhideWhenUsed/>
    <w:qFormat/>
    <w:rsid w:val="006B4647"/>
    <w:pPr>
      <w:numPr>
        <w:ilvl w:val="6"/>
        <w:numId w:val="1"/>
      </w:numPr>
      <w:spacing w:before="240" w:after="60"/>
      <w:outlineLvl w:val="6"/>
    </w:pPr>
    <w:rPr>
      <w:rFonts w:ascii="Calibri" w:hAnsi="Calibri"/>
    </w:rPr>
  </w:style>
  <w:style w:type="paragraph" w:styleId="Ttulo8">
    <w:name w:val="heading 8"/>
    <w:basedOn w:val="Normal"/>
    <w:next w:val="Normal"/>
    <w:link w:val="Ttulo8Car"/>
    <w:uiPriority w:val="9"/>
    <w:semiHidden/>
    <w:unhideWhenUsed/>
    <w:qFormat/>
    <w:rsid w:val="005E3746"/>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5E3746"/>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3101DA"/>
    <w:pPr>
      <w:tabs>
        <w:tab w:val="center" w:pos="4252"/>
        <w:tab w:val="right" w:pos="8504"/>
      </w:tabs>
    </w:pPr>
    <w:rPr>
      <w:rFonts w:ascii="CG Times" w:hAnsi="CG Times"/>
      <w:szCs w:val="20"/>
      <w:lang w:val="es-CO"/>
    </w:rPr>
  </w:style>
  <w:style w:type="paragraph" w:styleId="Piedepgina">
    <w:name w:val="footer"/>
    <w:basedOn w:val="Normal"/>
    <w:semiHidden/>
    <w:rsid w:val="003101DA"/>
    <w:pPr>
      <w:tabs>
        <w:tab w:val="center" w:pos="4252"/>
        <w:tab w:val="right" w:pos="8504"/>
      </w:tabs>
    </w:pPr>
  </w:style>
  <w:style w:type="paragraph" w:customStyle="1" w:styleId="Estilo1">
    <w:name w:val="Estilo1"/>
    <w:basedOn w:val="Normal"/>
    <w:rsid w:val="003101DA"/>
    <w:pPr>
      <w:shd w:val="clear" w:color="auto" w:fill="C0C0C0"/>
      <w:jc w:val="center"/>
    </w:pPr>
    <w:rPr>
      <w:rFonts w:ascii="Comic Sans MS" w:hAnsi="Comic Sans MS"/>
      <w:color w:val="0000FF"/>
      <w:sz w:val="36"/>
      <w:szCs w:val="20"/>
      <w:lang w:val="es-CO"/>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styleId="Nmerodepgina">
    <w:name w:val="page number"/>
    <w:basedOn w:val="Fuentedeprrafopredeter"/>
    <w:semiHidden/>
    <w:rsid w:val="003101DA"/>
  </w:style>
  <w:style w:type="paragraph" w:styleId="Textoindependiente">
    <w:name w:val="Body Text"/>
    <w:basedOn w:val="Normal"/>
    <w:link w:val="TextoindependienteCar"/>
    <w:semiHidden/>
    <w:rsid w:val="003101DA"/>
    <w:pPr>
      <w:jc w:val="center"/>
    </w:pPr>
    <w:rPr>
      <w:rFonts w:ascii="Arial" w:hAnsi="Arial" w:cs="Arial"/>
      <w:b/>
      <w:bCs/>
    </w:rPr>
  </w:style>
  <w:style w:type="paragraph" w:styleId="Textoindependiente3">
    <w:name w:val="Body Text 3"/>
    <w:basedOn w:val="Normal"/>
    <w:link w:val="Textoindependiente3Car"/>
    <w:semiHidden/>
    <w:rsid w:val="003101DA"/>
    <w:pPr>
      <w:jc w:val="center"/>
      <w:outlineLvl w:val="0"/>
    </w:pPr>
    <w:rPr>
      <w:rFonts w:ascii="Arial" w:hAnsi="Arial" w:cs="Arial"/>
      <w:b/>
      <w:bCs/>
      <w:spacing w:val="-3"/>
    </w:rPr>
  </w:style>
  <w:style w:type="paragraph" w:styleId="Textodeglobo">
    <w:name w:val="Balloon Text"/>
    <w:basedOn w:val="Normal"/>
    <w:link w:val="TextodegloboCar"/>
    <w:uiPriority w:val="99"/>
    <w:semiHidden/>
    <w:unhideWhenUsed/>
    <w:rsid w:val="00725FA4"/>
    <w:rPr>
      <w:rFonts w:ascii="Tahoma" w:hAnsi="Tahoma" w:cs="Tahoma"/>
      <w:sz w:val="16"/>
      <w:szCs w:val="16"/>
    </w:rPr>
  </w:style>
  <w:style w:type="character" w:customStyle="1" w:styleId="TextodegloboCar">
    <w:name w:val="Texto de globo Car"/>
    <w:link w:val="Textodeglobo"/>
    <w:uiPriority w:val="99"/>
    <w:semiHidden/>
    <w:rsid w:val="00725FA4"/>
    <w:rPr>
      <w:rFonts w:ascii="Tahoma" w:hAnsi="Tahoma" w:cs="Tahoma"/>
      <w:sz w:val="16"/>
      <w:szCs w:val="16"/>
    </w:rPr>
  </w:style>
  <w:style w:type="character" w:customStyle="1" w:styleId="EncabezadoCar">
    <w:name w:val="Encabezado Car"/>
    <w:link w:val="Encabezado"/>
    <w:uiPriority w:val="99"/>
    <w:rsid w:val="00593C4F"/>
    <w:rPr>
      <w:rFonts w:ascii="CG Times" w:hAnsi="CG Times"/>
      <w:sz w:val="24"/>
      <w:lang w:val="es-CO"/>
    </w:rPr>
  </w:style>
  <w:style w:type="character" w:customStyle="1" w:styleId="Ttulo3Car">
    <w:name w:val="Título 3 Car"/>
    <w:aliases w:val="T3 Car"/>
    <w:link w:val="Ttulo3"/>
    <w:rsid w:val="003E0FF2"/>
    <w:rPr>
      <w:rFonts w:ascii="Bookman Old Style" w:hAnsi="Bookman Old Style"/>
      <w:b/>
      <w:snapToGrid w:val="0"/>
      <w:color w:val="000000"/>
      <w:sz w:val="24"/>
      <w:lang w:val="es-ES_tradnl" w:eastAsia="es-ES"/>
    </w:rPr>
  </w:style>
  <w:style w:type="character" w:customStyle="1" w:styleId="Ttulo4Car">
    <w:name w:val="Título 4 Car"/>
    <w:link w:val="Ttulo4"/>
    <w:rsid w:val="00A43A8F"/>
    <w:rPr>
      <w:rFonts w:ascii="Bookman Old Style" w:hAnsi="Bookman Old Style" w:cs="Arial"/>
      <w:b/>
      <w:snapToGrid w:val="0"/>
      <w:color w:val="000000"/>
      <w:spacing w:val="20"/>
      <w:sz w:val="24"/>
      <w:lang w:val="es-ES_tradnl" w:eastAsia="es-ES"/>
    </w:rPr>
  </w:style>
  <w:style w:type="character" w:customStyle="1" w:styleId="Ttulo5Car">
    <w:name w:val="Título 5 Car"/>
    <w:link w:val="Ttulo5"/>
    <w:rsid w:val="00141013"/>
    <w:rPr>
      <w:rFonts w:ascii="Arial" w:hAnsi="Arial" w:cs="Arial"/>
      <w:b/>
      <w:snapToGrid w:val="0"/>
      <w:color w:val="000000"/>
      <w:spacing w:val="20"/>
      <w:sz w:val="28"/>
      <w:lang w:val="es-ES_tradnl"/>
    </w:rPr>
  </w:style>
  <w:style w:type="character" w:customStyle="1" w:styleId="TextoindependienteCar">
    <w:name w:val="Texto independiente Car"/>
    <w:link w:val="Textoindependiente"/>
    <w:semiHidden/>
    <w:rsid w:val="00141013"/>
    <w:rPr>
      <w:rFonts w:ascii="Arial" w:hAnsi="Arial" w:cs="Arial"/>
      <w:b/>
      <w:bCs/>
      <w:sz w:val="24"/>
      <w:szCs w:val="24"/>
    </w:rPr>
  </w:style>
  <w:style w:type="character" w:customStyle="1" w:styleId="Textoindependiente3Car">
    <w:name w:val="Texto independiente 3 Car"/>
    <w:link w:val="Textoindependiente3"/>
    <w:semiHidden/>
    <w:rsid w:val="00141013"/>
    <w:rPr>
      <w:rFonts w:ascii="Arial" w:hAnsi="Arial" w:cs="Arial"/>
      <w:b/>
      <w:bCs/>
      <w:spacing w:val="-3"/>
      <w:sz w:val="24"/>
      <w:szCs w:val="24"/>
    </w:rPr>
  </w:style>
  <w:style w:type="table" w:styleId="Tablaconcuadrcula">
    <w:name w:val="Table Grid"/>
    <w:basedOn w:val="Tablanormal"/>
    <w:uiPriority w:val="59"/>
    <w:rsid w:val="0014101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tulo6Car">
    <w:name w:val="Título 6 Car"/>
    <w:link w:val="Ttulo6"/>
    <w:rsid w:val="00795BFB"/>
    <w:rPr>
      <w:rFonts w:ascii="Calibri" w:eastAsia="Times New Roman" w:hAnsi="Calibri" w:cs="Times New Roman"/>
      <w:b/>
      <w:bCs/>
      <w:sz w:val="22"/>
      <w:szCs w:val="22"/>
    </w:rPr>
  </w:style>
  <w:style w:type="paragraph" w:customStyle="1" w:styleId="Ttulo">
    <w:name w:val="Título"/>
    <w:basedOn w:val="Normal"/>
    <w:link w:val="TtuloCar"/>
    <w:qFormat/>
    <w:rsid w:val="00795BFB"/>
    <w:pPr>
      <w:widowControl w:val="0"/>
      <w:adjustRightInd w:val="0"/>
      <w:spacing w:line="360" w:lineRule="atLeast"/>
      <w:jc w:val="center"/>
      <w:textAlignment w:val="baseline"/>
    </w:pPr>
    <w:rPr>
      <w:rFonts w:ascii="Arial" w:hAnsi="Arial" w:cs="Arial"/>
      <w:b/>
      <w:bCs/>
    </w:rPr>
  </w:style>
  <w:style w:type="character" w:customStyle="1" w:styleId="TtuloCar">
    <w:name w:val="Título Car"/>
    <w:link w:val="Ttulo"/>
    <w:rsid w:val="00795BFB"/>
    <w:rPr>
      <w:rFonts w:ascii="Arial" w:hAnsi="Arial" w:cs="Arial"/>
      <w:b/>
      <w:bCs/>
      <w:sz w:val="24"/>
      <w:szCs w:val="24"/>
    </w:rPr>
  </w:style>
  <w:style w:type="paragraph" w:styleId="Prrafodelista">
    <w:name w:val="List Paragraph"/>
    <w:basedOn w:val="Normal"/>
    <w:link w:val="PrrafodelistaCar"/>
    <w:uiPriority w:val="99"/>
    <w:qFormat/>
    <w:rsid w:val="001405C6"/>
    <w:pPr>
      <w:ind w:left="708"/>
    </w:pPr>
    <w:rPr>
      <w:sz w:val="20"/>
      <w:szCs w:val="20"/>
      <w:lang w:val="es-CO"/>
    </w:rPr>
  </w:style>
  <w:style w:type="character" w:customStyle="1" w:styleId="PrrafodelistaCar">
    <w:name w:val="Párrafo de lista Car"/>
    <w:link w:val="Prrafodelista"/>
    <w:uiPriority w:val="99"/>
    <w:rsid w:val="001405C6"/>
    <w:rPr>
      <w:lang w:val="es-CO"/>
    </w:rPr>
  </w:style>
  <w:style w:type="paragraph" w:styleId="TDC1">
    <w:name w:val="toc 1"/>
    <w:basedOn w:val="Normal"/>
    <w:next w:val="Normal"/>
    <w:autoRedefine/>
    <w:semiHidden/>
    <w:rsid w:val="00D03800"/>
    <w:pPr>
      <w:tabs>
        <w:tab w:val="left" w:pos="480"/>
        <w:tab w:val="right" w:leader="dot" w:pos="8828"/>
      </w:tabs>
      <w:spacing w:before="120"/>
    </w:pPr>
    <w:rPr>
      <w:rFonts w:ascii="Arial" w:hAnsi="Arial"/>
      <w:noProof/>
    </w:rPr>
  </w:style>
  <w:style w:type="paragraph" w:styleId="Textodebloque">
    <w:name w:val="Block Text"/>
    <w:basedOn w:val="Normal"/>
    <w:rsid w:val="00D03800"/>
    <w:pPr>
      <w:suppressAutoHyphens/>
      <w:spacing w:after="240"/>
      <w:ind w:right="788"/>
    </w:pPr>
    <w:rPr>
      <w:rFonts w:ascii="Arial" w:hAnsi="Arial"/>
      <w:spacing w:val="-3"/>
      <w:szCs w:val="20"/>
      <w:lang w:val="es-ES_tradnl"/>
    </w:rPr>
  </w:style>
  <w:style w:type="paragraph" w:styleId="Textoindependiente2">
    <w:name w:val="Body Text 2"/>
    <w:basedOn w:val="Normal"/>
    <w:link w:val="Textoindependiente2Car"/>
    <w:uiPriority w:val="99"/>
    <w:unhideWhenUsed/>
    <w:rsid w:val="00006AE2"/>
    <w:pPr>
      <w:spacing w:after="120" w:line="480" w:lineRule="auto"/>
    </w:pPr>
  </w:style>
  <w:style w:type="character" w:customStyle="1" w:styleId="Textoindependiente2Car">
    <w:name w:val="Texto independiente 2 Car"/>
    <w:link w:val="Textoindependiente2"/>
    <w:uiPriority w:val="99"/>
    <w:rsid w:val="00006AE2"/>
    <w:rPr>
      <w:sz w:val="24"/>
      <w:szCs w:val="24"/>
    </w:rPr>
  </w:style>
  <w:style w:type="paragraph" w:customStyle="1" w:styleId="Epgrafe">
    <w:name w:val="Epígrafe"/>
    <w:basedOn w:val="Normal"/>
    <w:next w:val="Normal"/>
    <w:uiPriority w:val="35"/>
    <w:qFormat/>
    <w:rsid w:val="003A31F6"/>
    <w:pPr>
      <w:widowControl w:val="0"/>
      <w:adjustRightInd w:val="0"/>
      <w:spacing w:before="120" w:after="120" w:line="360" w:lineRule="atLeast"/>
      <w:jc w:val="center"/>
      <w:textAlignment w:val="baseline"/>
    </w:pPr>
    <w:rPr>
      <w:rFonts w:ascii="Arial" w:hAnsi="Arial"/>
      <w:sz w:val="20"/>
      <w:szCs w:val="20"/>
    </w:rPr>
  </w:style>
  <w:style w:type="paragraph" w:styleId="Sinespaciado">
    <w:name w:val="No Spacing"/>
    <w:uiPriority w:val="1"/>
    <w:qFormat/>
    <w:rsid w:val="003A31F6"/>
    <w:rPr>
      <w:rFonts w:ascii="Calibri" w:hAnsi="Calibri" w:cs="Calibri"/>
      <w:sz w:val="22"/>
      <w:szCs w:val="22"/>
      <w:lang w:val="es-ES" w:eastAsia="en-US"/>
    </w:rPr>
  </w:style>
  <w:style w:type="character" w:customStyle="1" w:styleId="apple-style-span">
    <w:name w:val="apple-style-span"/>
    <w:rsid w:val="003A31F6"/>
    <w:rPr>
      <w:rFonts w:ascii="Times New Roman" w:hAnsi="Times New Roman" w:cs="Times New Roman"/>
    </w:rPr>
  </w:style>
  <w:style w:type="paragraph" w:styleId="Subttulo">
    <w:name w:val="Subtitle"/>
    <w:basedOn w:val="Normal"/>
    <w:link w:val="SubttuloCar"/>
    <w:qFormat/>
    <w:rsid w:val="003A31F6"/>
    <w:rPr>
      <w:rFonts w:ascii="Century Gothic" w:hAnsi="Century Gothic"/>
      <w:b/>
      <w:bCs/>
    </w:rPr>
  </w:style>
  <w:style w:type="character" w:customStyle="1" w:styleId="SubttuloCar">
    <w:name w:val="Subtítulo Car"/>
    <w:link w:val="Subttulo"/>
    <w:rsid w:val="003A31F6"/>
    <w:rPr>
      <w:rFonts w:ascii="Century Gothic" w:hAnsi="Century Gothic"/>
      <w:b/>
      <w:bCs/>
      <w:sz w:val="24"/>
      <w:szCs w:val="24"/>
    </w:rPr>
  </w:style>
  <w:style w:type="character" w:customStyle="1" w:styleId="apple-converted-space">
    <w:name w:val="apple-converted-space"/>
    <w:basedOn w:val="Fuentedeprrafopredeter"/>
    <w:rsid w:val="003A31F6"/>
  </w:style>
  <w:style w:type="paragraph" w:customStyle="1" w:styleId="BodyText21">
    <w:name w:val="Body Text 21"/>
    <w:basedOn w:val="Normal"/>
    <w:uiPriority w:val="99"/>
    <w:rsid w:val="00C034CB"/>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adjustRightInd w:val="0"/>
      <w:spacing w:before="120" w:after="120" w:line="240" w:lineRule="exact"/>
      <w:textAlignment w:val="baseline"/>
    </w:pPr>
    <w:rPr>
      <w:rFonts w:ascii="Arial" w:hAnsi="Arial"/>
      <w:sz w:val="22"/>
      <w:szCs w:val="20"/>
    </w:rPr>
  </w:style>
  <w:style w:type="character" w:customStyle="1" w:styleId="Ttulo7Car">
    <w:name w:val="Título 7 Car"/>
    <w:link w:val="Ttulo7"/>
    <w:uiPriority w:val="9"/>
    <w:semiHidden/>
    <w:rsid w:val="006B4647"/>
    <w:rPr>
      <w:rFonts w:ascii="Calibri" w:eastAsia="Times New Roman" w:hAnsi="Calibri" w:cs="Times New Roman"/>
      <w:sz w:val="24"/>
      <w:szCs w:val="24"/>
      <w:lang w:val="es-ES" w:eastAsia="es-ES"/>
    </w:rPr>
  </w:style>
  <w:style w:type="paragraph" w:styleId="Textonotapie">
    <w:name w:val="footnote text"/>
    <w:aliases w:val="Footnote Text Char Char Char Char Char,Footnote Text Char Char Char Char,Footnote reference,FA Fu,Footnote Text Cha,Footnote Text Char Char Char,FA Fußnotentext,FA Fuﬂnotentext,Footnote Text Char Char,texto de nota al p,FA Fu Car Car Car"/>
    <w:basedOn w:val="Normal"/>
    <w:link w:val="TextonotapieCar"/>
    <w:unhideWhenUsed/>
    <w:rsid w:val="007D1EE9"/>
    <w:rPr>
      <w:rFonts w:ascii="Calibri" w:eastAsia="Calibri" w:hAnsi="Calibri"/>
      <w:sz w:val="20"/>
      <w:szCs w:val="20"/>
      <w:lang w:val="es-CO" w:eastAsia="en-US"/>
    </w:rPr>
  </w:style>
  <w:style w:type="character" w:customStyle="1" w:styleId="TextonotapieCar">
    <w:name w:val="Texto nota pie Car"/>
    <w:aliases w:val="Footnote Text Char Char Char Char Char Car,Footnote Text Char Char Char Char Car,Footnote reference Car,FA Fu Car,Footnote Text Cha Car,Footnote Text Char Char Char Car,FA Fußnotentext Car,FA Fuﬂnotentext Car,texto de nota al p Car"/>
    <w:link w:val="Textonotapie"/>
    <w:rsid w:val="007D1EE9"/>
    <w:rPr>
      <w:rFonts w:ascii="Calibri" w:eastAsia="Calibri" w:hAnsi="Calibri"/>
      <w:lang w:eastAsia="en-US"/>
    </w:rPr>
  </w:style>
  <w:style w:type="character" w:styleId="Refdenotaalpie">
    <w:name w:val="footnote reference"/>
    <w:aliases w:val="Ref. de nota al pie 2,Texto de nota al pie,Pie de Página,FC,Appel note de bas de page,Footnotes refss,Footnote number,referencia nota al pie,BVI fnr,f,4_G,16 Point,Superscript 6 Point,Texto nota al pie,Texto de nota al pi"/>
    <w:unhideWhenUsed/>
    <w:rsid w:val="007D1EE9"/>
    <w:rPr>
      <w:vertAlign w:val="superscript"/>
    </w:rPr>
  </w:style>
  <w:style w:type="paragraph" w:styleId="Sangra2detindependiente">
    <w:name w:val="Body Text Indent 2"/>
    <w:basedOn w:val="Normal"/>
    <w:link w:val="Sangra2detindependienteCar"/>
    <w:uiPriority w:val="99"/>
    <w:semiHidden/>
    <w:unhideWhenUsed/>
    <w:rsid w:val="00755165"/>
    <w:pPr>
      <w:spacing w:after="120" w:line="480" w:lineRule="auto"/>
      <w:ind w:left="283"/>
    </w:pPr>
  </w:style>
  <w:style w:type="character" w:customStyle="1" w:styleId="Sangra2detindependienteCar">
    <w:name w:val="Sangría 2 de t. independiente Car"/>
    <w:link w:val="Sangra2detindependiente"/>
    <w:uiPriority w:val="99"/>
    <w:semiHidden/>
    <w:rsid w:val="00755165"/>
    <w:rPr>
      <w:sz w:val="24"/>
      <w:szCs w:val="24"/>
      <w:lang w:val="es-ES" w:eastAsia="es-ES"/>
    </w:rPr>
  </w:style>
  <w:style w:type="paragraph" w:styleId="NormalWeb">
    <w:name w:val="Normal (Web)"/>
    <w:basedOn w:val="Normal"/>
    <w:uiPriority w:val="99"/>
    <w:semiHidden/>
    <w:unhideWhenUsed/>
    <w:rsid w:val="00376A8A"/>
    <w:pPr>
      <w:spacing w:before="100" w:beforeAutospacing="1" w:after="100" w:afterAutospacing="1"/>
    </w:pPr>
    <w:rPr>
      <w:color w:val="000000"/>
      <w:lang w:val="es-CO" w:eastAsia="es-CO"/>
    </w:rPr>
  </w:style>
  <w:style w:type="character" w:styleId="Refdecomentario">
    <w:name w:val="annotation reference"/>
    <w:semiHidden/>
    <w:unhideWhenUsed/>
    <w:rsid w:val="00376A8A"/>
    <w:rPr>
      <w:sz w:val="16"/>
      <w:szCs w:val="16"/>
    </w:rPr>
  </w:style>
  <w:style w:type="paragraph" w:styleId="Textocomentario">
    <w:name w:val="annotation text"/>
    <w:basedOn w:val="Normal"/>
    <w:link w:val="TextocomentarioCar"/>
    <w:uiPriority w:val="99"/>
    <w:semiHidden/>
    <w:unhideWhenUsed/>
    <w:rsid w:val="00376A8A"/>
    <w:rPr>
      <w:sz w:val="20"/>
      <w:szCs w:val="20"/>
    </w:rPr>
  </w:style>
  <w:style w:type="character" w:customStyle="1" w:styleId="TextocomentarioCar">
    <w:name w:val="Texto comentario Car"/>
    <w:link w:val="Textocomentario"/>
    <w:uiPriority w:val="99"/>
    <w:semiHidden/>
    <w:rsid w:val="00376A8A"/>
    <w:rPr>
      <w:lang w:val="es-ES" w:eastAsia="es-ES"/>
    </w:rPr>
  </w:style>
  <w:style w:type="paragraph" w:styleId="Asuntodelcomentario">
    <w:name w:val="annotation subject"/>
    <w:basedOn w:val="Textocomentario"/>
    <w:next w:val="Textocomentario"/>
    <w:link w:val="AsuntodelcomentarioCar"/>
    <w:uiPriority w:val="99"/>
    <w:semiHidden/>
    <w:unhideWhenUsed/>
    <w:rsid w:val="00376A8A"/>
    <w:rPr>
      <w:b/>
      <w:bCs/>
    </w:rPr>
  </w:style>
  <w:style w:type="character" w:customStyle="1" w:styleId="AsuntodelcomentarioCar">
    <w:name w:val="Asunto del comentario Car"/>
    <w:link w:val="Asuntodelcomentario"/>
    <w:uiPriority w:val="99"/>
    <w:semiHidden/>
    <w:rsid w:val="00376A8A"/>
    <w:rPr>
      <w:b/>
      <w:bCs/>
      <w:lang w:val="es-ES" w:eastAsia="es-ES"/>
    </w:rPr>
  </w:style>
  <w:style w:type="paragraph" w:customStyle="1" w:styleId="Default">
    <w:name w:val="Default"/>
    <w:rsid w:val="00084B8C"/>
    <w:pPr>
      <w:autoSpaceDE w:val="0"/>
      <w:autoSpaceDN w:val="0"/>
      <w:adjustRightInd w:val="0"/>
    </w:pPr>
    <w:rPr>
      <w:rFonts w:ascii="Arial" w:hAnsi="Arial" w:cs="Arial"/>
      <w:color w:val="000000"/>
      <w:sz w:val="24"/>
      <w:szCs w:val="24"/>
    </w:rPr>
  </w:style>
  <w:style w:type="character" w:customStyle="1" w:styleId="Ttulo1Car">
    <w:name w:val="Título 1 Car"/>
    <w:link w:val="Ttulo1"/>
    <w:rsid w:val="005E3746"/>
    <w:rPr>
      <w:rFonts w:ascii="Bookman Old Style" w:hAnsi="Bookman Old Style"/>
      <w:sz w:val="24"/>
      <w:lang w:eastAsia="es-ES"/>
    </w:rPr>
  </w:style>
  <w:style w:type="paragraph" w:customStyle="1" w:styleId="TableHeading">
    <w:name w:val="Table Heading"/>
    <w:basedOn w:val="Normal"/>
    <w:rsid w:val="00767CCD"/>
    <w:pPr>
      <w:suppressLineNumbers/>
      <w:suppressAutoHyphens/>
      <w:jc w:val="center"/>
    </w:pPr>
    <w:rPr>
      <w:rFonts w:ascii="Arial" w:hAnsi="Arial"/>
      <w:b/>
      <w:bCs/>
      <w:sz w:val="22"/>
      <w:lang w:eastAsia="ar-SA"/>
    </w:rPr>
  </w:style>
  <w:style w:type="character" w:customStyle="1" w:styleId="Ttulo2Car">
    <w:name w:val="Título 2 Car"/>
    <w:link w:val="Ttulo2"/>
    <w:rsid w:val="005E3746"/>
    <w:rPr>
      <w:rFonts w:ascii="Bookman Old Style" w:hAnsi="Bookman Old Style"/>
      <w:b/>
      <w:bCs/>
      <w:iCs/>
      <w:sz w:val="24"/>
      <w:szCs w:val="28"/>
      <w:lang w:val="es-ES" w:eastAsia="es-ES"/>
    </w:rPr>
  </w:style>
  <w:style w:type="paragraph" w:customStyle="1" w:styleId="T1">
    <w:name w:val="T1"/>
    <w:basedOn w:val="Ttulo1"/>
    <w:link w:val="T1Car"/>
    <w:qFormat/>
    <w:rsid w:val="007A246B"/>
    <w:pPr>
      <w:spacing w:before="240" w:after="60"/>
    </w:pPr>
    <w:rPr>
      <w:rFonts w:cs="Arial"/>
      <w:b/>
      <w:bCs/>
      <w:szCs w:val="32"/>
      <w:lang w:val="en-US"/>
    </w:rPr>
  </w:style>
  <w:style w:type="character" w:customStyle="1" w:styleId="T1Car">
    <w:name w:val="T1 Car"/>
    <w:basedOn w:val="Ttulo1Car"/>
    <w:link w:val="T1"/>
    <w:locked/>
    <w:rsid w:val="007A246B"/>
    <w:rPr>
      <w:rFonts w:ascii="Bookman Old Style" w:hAnsi="Bookman Old Style" w:cs="Arial"/>
      <w:b/>
      <w:bCs/>
      <w:sz w:val="24"/>
      <w:szCs w:val="32"/>
      <w:lang w:val="en-US" w:eastAsia="es-ES"/>
    </w:rPr>
  </w:style>
  <w:style w:type="character" w:customStyle="1" w:styleId="Ttulo8Car">
    <w:name w:val="Título 8 Car"/>
    <w:basedOn w:val="Fuentedeprrafopredeter"/>
    <w:link w:val="Ttulo8"/>
    <w:uiPriority w:val="9"/>
    <w:semiHidden/>
    <w:rsid w:val="005E3746"/>
    <w:rPr>
      <w:rFonts w:asciiTheme="majorHAnsi" w:eastAsiaTheme="majorEastAsia" w:hAnsiTheme="majorHAnsi" w:cstheme="majorBidi"/>
      <w:color w:val="272727" w:themeColor="text1" w:themeTint="D8"/>
      <w:sz w:val="21"/>
      <w:szCs w:val="21"/>
      <w:lang w:val="es-ES" w:eastAsia="es-ES"/>
    </w:rPr>
  </w:style>
  <w:style w:type="character" w:customStyle="1" w:styleId="Ttulo9Car">
    <w:name w:val="Título 9 Car"/>
    <w:basedOn w:val="Fuentedeprrafopredeter"/>
    <w:link w:val="Ttulo9"/>
    <w:uiPriority w:val="9"/>
    <w:semiHidden/>
    <w:rsid w:val="005E3746"/>
    <w:rPr>
      <w:rFonts w:asciiTheme="majorHAnsi" w:eastAsiaTheme="majorEastAsia" w:hAnsiTheme="majorHAnsi" w:cstheme="majorBidi"/>
      <w:i/>
      <w:iCs/>
      <w:color w:val="272727" w:themeColor="text1" w:themeTint="D8"/>
      <w:sz w:val="21"/>
      <w:szCs w:val="21"/>
      <w:lang w:val="es-ES" w:eastAsia="es-ES"/>
    </w:rPr>
  </w:style>
  <w:style w:type="paragraph" w:styleId="Citadestacada">
    <w:name w:val="Intense Quote"/>
    <w:basedOn w:val="Normal"/>
    <w:next w:val="Normal"/>
    <w:link w:val="CitadestacadaCar"/>
    <w:uiPriority w:val="30"/>
    <w:qFormat/>
    <w:rsid w:val="00A43A8F"/>
    <w:pPr>
      <w:ind w:left="708" w:right="567"/>
    </w:pPr>
    <w:rPr>
      <w:sz w:val="20"/>
      <w:lang w:val="es-ES_tradnl"/>
    </w:rPr>
  </w:style>
  <w:style w:type="character" w:customStyle="1" w:styleId="CitadestacadaCar">
    <w:name w:val="Cita destacada Car"/>
    <w:basedOn w:val="Fuentedeprrafopredeter"/>
    <w:link w:val="Citadestacada"/>
    <w:uiPriority w:val="30"/>
    <w:rsid w:val="00A43A8F"/>
    <w:rPr>
      <w:rFonts w:ascii="Bookman Old Style" w:hAnsi="Bookman Old Style"/>
      <w:szCs w:val="24"/>
      <w:lang w:val="es-ES_tradnl" w:eastAsia="es-ES"/>
    </w:rPr>
  </w:style>
  <w:style w:type="paragraph" w:styleId="Revisin">
    <w:name w:val="Revision"/>
    <w:hidden/>
    <w:uiPriority w:val="99"/>
    <w:semiHidden/>
    <w:rsid w:val="00CC4D8C"/>
    <w:rPr>
      <w:rFonts w:ascii="Bookman Old Style" w:hAnsi="Bookman Old Style"/>
      <w:sz w:val="24"/>
      <w:szCs w:val="24"/>
      <w:lang w:val="es-ES" w:eastAsia="es-ES"/>
    </w:rPr>
  </w:style>
  <w:style w:type="paragraph" w:customStyle="1" w:styleId="ARTICULOS">
    <w:name w:val="ARTICULOS"/>
    <w:basedOn w:val="TDC1"/>
    <w:link w:val="ARTICULOSCar"/>
    <w:qFormat/>
    <w:rsid w:val="00132A24"/>
    <w:pPr>
      <w:widowControl w:val="0"/>
      <w:numPr>
        <w:numId w:val="32"/>
      </w:numPr>
      <w:tabs>
        <w:tab w:val="clear" w:pos="480"/>
        <w:tab w:val="clear" w:pos="8828"/>
        <w:tab w:val="left" w:pos="709"/>
        <w:tab w:val="left" w:pos="1701"/>
        <w:tab w:val="right" w:leader="dot" w:pos="9356"/>
      </w:tabs>
      <w:adjustRightInd w:val="0"/>
      <w:spacing w:before="240"/>
      <w:ind w:left="0" w:firstLine="0"/>
      <w:textAlignment w:val="baseline"/>
    </w:pPr>
    <w:rPr>
      <w:rFonts w:ascii="Bookman Old Style" w:hAnsi="Bookman Old Style"/>
      <w:bCs/>
      <w:lang w:val="x-none" w:eastAsia="x-none"/>
    </w:rPr>
  </w:style>
  <w:style w:type="character" w:customStyle="1" w:styleId="ARTICULOSCar">
    <w:name w:val="ARTICULOS Car"/>
    <w:link w:val="ARTICULOS"/>
    <w:rsid w:val="00132A24"/>
    <w:rPr>
      <w:rFonts w:ascii="Bookman Old Style" w:hAnsi="Bookman Old Style"/>
      <w:bCs/>
      <w:noProof/>
      <w:sz w:val="24"/>
      <w:szCs w:val="24"/>
      <w:lang w:val="x-none" w:eastAsia="x-none"/>
    </w:rPr>
  </w:style>
  <w:style w:type="paragraph" w:styleId="Cita">
    <w:name w:val="Quote"/>
    <w:basedOn w:val="Normal"/>
    <w:next w:val="Normal"/>
    <w:link w:val="CitaCar"/>
    <w:uiPriority w:val="29"/>
    <w:qFormat/>
    <w:rsid w:val="0003546A"/>
    <w:pPr>
      <w:spacing w:before="200" w:after="160"/>
      <w:ind w:left="864" w:right="864"/>
      <w:jc w:val="center"/>
    </w:pPr>
    <w:rPr>
      <w:i/>
      <w:iCs/>
      <w:color w:val="404040" w:themeColor="text1" w:themeTint="BF"/>
    </w:rPr>
  </w:style>
  <w:style w:type="character" w:customStyle="1" w:styleId="CitaCar">
    <w:name w:val="Cita Car"/>
    <w:basedOn w:val="Fuentedeprrafopredeter"/>
    <w:link w:val="Cita"/>
    <w:uiPriority w:val="29"/>
    <w:rsid w:val="0003546A"/>
    <w:rPr>
      <w:rFonts w:ascii="Bookman Old Style" w:hAnsi="Bookman Old Style"/>
      <w:i/>
      <w:iCs/>
      <w:color w:val="404040" w:themeColor="text1" w:themeTint="BF"/>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75269">
      <w:bodyDiv w:val="1"/>
      <w:marLeft w:val="0"/>
      <w:marRight w:val="0"/>
      <w:marTop w:val="0"/>
      <w:marBottom w:val="0"/>
      <w:divBdr>
        <w:top w:val="none" w:sz="0" w:space="0" w:color="auto"/>
        <w:left w:val="none" w:sz="0" w:space="0" w:color="auto"/>
        <w:bottom w:val="none" w:sz="0" w:space="0" w:color="auto"/>
        <w:right w:val="none" w:sz="0" w:space="0" w:color="auto"/>
      </w:divBdr>
    </w:div>
    <w:div w:id="52697274">
      <w:bodyDiv w:val="1"/>
      <w:marLeft w:val="0"/>
      <w:marRight w:val="0"/>
      <w:marTop w:val="0"/>
      <w:marBottom w:val="0"/>
      <w:divBdr>
        <w:top w:val="none" w:sz="0" w:space="0" w:color="auto"/>
        <w:left w:val="none" w:sz="0" w:space="0" w:color="auto"/>
        <w:bottom w:val="none" w:sz="0" w:space="0" w:color="auto"/>
        <w:right w:val="none" w:sz="0" w:space="0" w:color="auto"/>
      </w:divBdr>
    </w:div>
    <w:div w:id="64230524">
      <w:bodyDiv w:val="1"/>
      <w:marLeft w:val="0"/>
      <w:marRight w:val="0"/>
      <w:marTop w:val="0"/>
      <w:marBottom w:val="0"/>
      <w:divBdr>
        <w:top w:val="none" w:sz="0" w:space="0" w:color="auto"/>
        <w:left w:val="none" w:sz="0" w:space="0" w:color="auto"/>
        <w:bottom w:val="none" w:sz="0" w:space="0" w:color="auto"/>
        <w:right w:val="none" w:sz="0" w:space="0" w:color="auto"/>
      </w:divBdr>
    </w:div>
    <w:div w:id="87623879">
      <w:bodyDiv w:val="1"/>
      <w:marLeft w:val="0"/>
      <w:marRight w:val="0"/>
      <w:marTop w:val="0"/>
      <w:marBottom w:val="0"/>
      <w:divBdr>
        <w:top w:val="none" w:sz="0" w:space="0" w:color="auto"/>
        <w:left w:val="none" w:sz="0" w:space="0" w:color="auto"/>
        <w:bottom w:val="none" w:sz="0" w:space="0" w:color="auto"/>
        <w:right w:val="none" w:sz="0" w:space="0" w:color="auto"/>
      </w:divBdr>
    </w:div>
    <w:div w:id="129980111">
      <w:bodyDiv w:val="1"/>
      <w:marLeft w:val="0"/>
      <w:marRight w:val="0"/>
      <w:marTop w:val="0"/>
      <w:marBottom w:val="0"/>
      <w:divBdr>
        <w:top w:val="none" w:sz="0" w:space="0" w:color="auto"/>
        <w:left w:val="none" w:sz="0" w:space="0" w:color="auto"/>
        <w:bottom w:val="none" w:sz="0" w:space="0" w:color="auto"/>
        <w:right w:val="none" w:sz="0" w:space="0" w:color="auto"/>
      </w:divBdr>
    </w:div>
    <w:div w:id="156580303">
      <w:bodyDiv w:val="1"/>
      <w:marLeft w:val="0"/>
      <w:marRight w:val="0"/>
      <w:marTop w:val="0"/>
      <w:marBottom w:val="0"/>
      <w:divBdr>
        <w:top w:val="none" w:sz="0" w:space="0" w:color="auto"/>
        <w:left w:val="none" w:sz="0" w:space="0" w:color="auto"/>
        <w:bottom w:val="none" w:sz="0" w:space="0" w:color="auto"/>
        <w:right w:val="none" w:sz="0" w:space="0" w:color="auto"/>
      </w:divBdr>
    </w:div>
    <w:div w:id="219099900">
      <w:bodyDiv w:val="1"/>
      <w:marLeft w:val="0"/>
      <w:marRight w:val="0"/>
      <w:marTop w:val="0"/>
      <w:marBottom w:val="0"/>
      <w:divBdr>
        <w:top w:val="none" w:sz="0" w:space="0" w:color="auto"/>
        <w:left w:val="none" w:sz="0" w:space="0" w:color="auto"/>
        <w:bottom w:val="none" w:sz="0" w:space="0" w:color="auto"/>
        <w:right w:val="none" w:sz="0" w:space="0" w:color="auto"/>
      </w:divBdr>
    </w:div>
    <w:div w:id="238953507">
      <w:bodyDiv w:val="1"/>
      <w:marLeft w:val="0"/>
      <w:marRight w:val="0"/>
      <w:marTop w:val="0"/>
      <w:marBottom w:val="0"/>
      <w:divBdr>
        <w:top w:val="none" w:sz="0" w:space="0" w:color="auto"/>
        <w:left w:val="none" w:sz="0" w:space="0" w:color="auto"/>
        <w:bottom w:val="none" w:sz="0" w:space="0" w:color="auto"/>
        <w:right w:val="none" w:sz="0" w:space="0" w:color="auto"/>
      </w:divBdr>
    </w:div>
    <w:div w:id="241767905">
      <w:bodyDiv w:val="1"/>
      <w:marLeft w:val="0"/>
      <w:marRight w:val="0"/>
      <w:marTop w:val="0"/>
      <w:marBottom w:val="0"/>
      <w:divBdr>
        <w:top w:val="none" w:sz="0" w:space="0" w:color="auto"/>
        <w:left w:val="none" w:sz="0" w:space="0" w:color="auto"/>
        <w:bottom w:val="none" w:sz="0" w:space="0" w:color="auto"/>
        <w:right w:val="none" w:sz="0" w:space="0" w:color="auto"/>
      </w:divBdr>
    </w:div>
    <w:div w:id="311099449">
      <w:bodyDiv w:val="1"/>
      <w:marLeft w:val="0"/>
      <w:marRight w:val="0"/>
      <w:marTop w:val="0"/>
      <w:marBottom w:val="0"/>
      <w:divBdr>
        <w:top w:val="none" w:sz="0" w:space="0" w:color="auto"/>
        <w:left w:val="none" w:sz="0" w:space="0" w:color="auto"/>
        <w:bottom w:val="none" w:sz="0" w:space="0" w:color="auto"/>
        <w:right w:val="none" w:sz="0" w:space="0" w:color="auto"/>
      </w:divBdr>
    </w:div>
    <w:div w:id="328558730">
      <w:bodyDiv w:val="1"/>
      <w:marLeft w:val="0"/>
      <w:marRight w:val="0"/>
      <w:marTop w:val="0"/>
      <w:marBottom w:val="0"/>
      <w:divBdr>
        <w:top w:val="none" w:sz="0" w:space="0" w:color="auto"/>
        <w:left w:val="none" w:sz="0" w:space="0" w:color="auto"/>
        <w:bottom w:val="none" w:sz="0" w:space="0" w:color="auto"/>
        <w:right w:val="none" w:sz="0" w:space="0" w:color="auto"/>
      </w:divBdr>
    </w:div>
    <w:div w:id="351150456">
      <w:bodyDiv w:val="1"/>
      <w:marLeft w:val="0"/>
      <w:marRight w:val="0"/>
      <w:marTop w:val="0"/>
      <w:marBottom w:val="0"/>
      <w:divBdr>
        <w:top w:val="none" w:sz="0" w:space="0" w:color="auto"/>
        <w:left w:val="none" w:sz="0" w:space="0" w:color="auto"/>
        <w:bottom w:val="none" w:sz="0" w:space="0" w:color="auto"/>
        <w:right w:val="none" w:sz="0" w:space="0" w:color="auto"/>
      </w:divBdr>
    </w:div>
    <w:div w:id="381755817">
      <w:bodyDiv w:val="1"/>
      <w:marLeft w:val="0"/>
      <w:marRight w:val="0"/>
      <w:marTop w:val="0"/>
      <w:marBottom w:val="0"/>
      <w:divBdr>
        <w:top w:val="none" w:sz="0" w:space="0" w:color="auto"/>
        <w:left w:val="none" w:sz="0" w:space="0" w:color="auto"/>
        <w:bottom w:val="none" w:sz="0" w:space="0" w:color="auto"/>
        <w:right w:val="none" w:sz="0" w:space="0" w:color="auto"/>
      </w:divBdr>
    </w:div>
    <w:div w:id="399327278">
      <w:bodyDiv w:val="1"/>
      <w:marLeft w:val="0"/>
      <w:marRight w:val="0"/>
      <w:marTop w:val="0"/>
      <w:marBottom w:val="0"/>
      <w:divBdr>
        <w:top w:val="none" w:sz="0" w:space="0" w:color="auto"/>
        <w:left w:val="none" w:sz="0" w:space="0" w:color="auto"/>
        <w:bottom w:val="none" w:sz="0" w:space="0" w:color="auto"/>
        <w:right w:val="none" w:sz="0" w:space="0" w:color="auto"/>
      </w:divBdr>
    </w:div>
    <w:div w:id="426466568">
      <w:bodyDiv w:val="1"/>
      <w:marLeft w:val="0"/>
      <w:marRight w:val="0"/>
      <w:marTop w:val="0"/>
      <w:marBottom w:val="0"/>
      <w:divBdr>
        <w:top w:val="none" w:sz="0" w:space="0" w:color="auto"/>
        <w:left w:val="none" w:sz="0" w:space="0" w:color="auto"/>
        <w:bottom w:val="none" w:sz="0" w:space="0" w:color="auto"/>
        <w:right w:val="none" w:sz="0" w:space="0" w:color="auto"/>
      </w:divBdr>
    </w:div>
    <w:div w:id="458302239">
      <w:bodyDiv w:val="1"/>
      <w:marLeft w:val="0"/>
      <w:marRight w:val="0"/>
      <w:marTop w:val="0"/>
      <w:marBottom w:val="0"/>
      <w:divBdr>
        <w:top w:val="none" w:sz="0" w:space="0" w:color="auto"/>
        <w:left w:val="none" w:sz="0" w:space="0" w:color="auto"/>
        <w:bottom w:val="none" w:sz="0" w:space="0" w:color="auto"/>
        <w:right w:val="none" w:sz="0" w:space="0" w:color="auto"/>
      </w:divBdr>
    </w:div>
    <w:div w:id="486479105">
      <w:bodyDiv w:val="1"/>
      <w:marLeft w:val="0"/>
      <w:marRight w:val="0"/>
      <w:marTop w:val="0"/>
      <w:marBottom w:val="0"/>
      <w:divBdr>
        <w:top w:val="none" w:sz="0" w:space="0" w:color="auto"/>
        <w:left w:val="none" w:sz="0" w:space="0" w:color="auto"/>
        <w:bottom w:val="none" w:sz="0" w:space="0" w:color="auto"/>
        <w:right w:val="none" w:sz="0" w:space="0" w:color="auto"/>
      </w:divBdr>
    </w:div>
    <w:div w:id="506599777">
      <w:bodyDiv w:val="1"/>
      <w:marLeft w:val="0"/>
      <w:marRight w:val="0"/>
      <w:marTop w:val="0"/>
      <w:marBottom w:val="0"/>
      <w:divBdr>
        <w:top w:val="none" w:sz="0" w:space="0" w:color="auto"/>
        <w:left w:val="none" w:sz="0" w:space="0" w:color="auto"/>
        <w:bottom w:val="none" w:sz="0" w:space="0" w:color="auto"/>
        <w:right w:val="none" w:sz="0" w:space="0" w:color="auto"/>
      </w:divBdr>
    </w:div>
    <w:div w:id="524558234">
      <w:bodyDiv w:val="1"/>
      <w:marLeft w:val="0"/>
      <w:marRight w:val="0"/>
      <w:marTop w:val="0"/>
      <w:marBottom w:val="0"/>
      <w:divBdr>
        <w:top w:val="none" w:sz="0" w:space="0" w:color="auto"/>
        <w:left w:val="none" w:sz="0" w:space="0" w:color="auto"/>
        <w:bottom w:val="none" w:sz="0" w:space="0" w:color="auto"/>
        <w:right w:val="none" w:sz="0" w:space="0" w:color="auto"/>
      </w:divBdr>
    </w:div>
    <w:div w:id="531499852">
      <w:bodyDiv w:val="1"/>
      <w:marLeft w:val="0"/>
      <w:marRight w:val="0"/>
      <w:marTop w:val="0"/>
      <w:marBottom w:val="0"/>
      <w:divBdr>
        <w:top w:val="none" w:sz="0" w:space="0" w:color="auto"/>
        <w:left w:val="none" w:sz="0" w:space="0" w:color="auto"/>
        <w:bottom w:val="none" w:sz="0" w:space="0" w:color="auto"/>
        <w:right w:val="none" w:sz="0" w:space="0" w:color="auto"/>
      </w:divBdr>
    </w:div>
    <w:div w:id="572476084">
      <w:bodyDiv w:val="1"/>
      <w:marLeft w:val="0"/>
      <w:marRight w:val="0"/>
      <w:marTop w:val="0"/>
      <w:marBottom w:val="0"/>
      <w:divBdr>
        <w:top w:val="none" w:sz="0" w:space="0" w:color="auto"/>
        <w:left w:val="none" w:sz="0" w:space="0" w:color="auto"/>
        <w:bottom w:val="none" w:sz="0" w:space="0" w:color="auto"/>
        <w:right w:val="none" w:sz="0" w:space="0" w:color="auto"/>
      </w:divBdr>
    </w:div>
    <w:div w:id="611476563">
      <w:bodyDiv w:val="1"/>
      <w:marLeft w:val="0"/>
      <w:marRight w:val="0"/>
      <w:marTop w:val="0"/>
      <w:marBottom w:val="0"/>
      <w:divBdr>
        <w:top w:val="none" w:sz="0" w:space="0" w:color="auto"/>
        <w:left w:val="none" w:sz="0" w:space="0" w:color="auto"/>
        <w:bottom w:val="none" w:sz="0" w:space="0" w:color="auto"/>
        <w:right w:val="none" w:sz="0" w:space="0" w:color="auto"/>
      </w:divBdr>
    </w:div>
    <w:div w:id="695496545">
      <w:bodyDiv w:val="1"/>
      <w:marLeft w:val="0"/>
      <w:marRight w:val="0"/>
      <w:marTop w:val="0"/>
      <w:marBottom w:val="0"/>
      <w:divBdr>
        <w:top w:val="none" w:sz="0" w:space="0" w:color="auto"/>
        <w:left w:val="none" w:sz="0" w:space="0" w:color="auto"/>
        <w:bottom w:val="none" w:sz="0" w:space="0" w:color="auto"/>
        <w:right w:val="none" w:sz="0" w:space="0" w:color="auto"/>
      </w:divBdr>
    </w:div>
    <w:div w:id="701058042">
      <w:bodyDiv w:val="1"/>
      <w:marLeft w:val="0"/>
      <w:marRight w:val="0"/>
      <w:marTop w:val="0"/>
      <w:marBottom w:val="0"/>
      <w:divBdr>
        <w:top w:val="none" w:sz="0" w:space="0" w:color="auto"/>
        <w:left w:val="none" w:sz="0" w:space="0" w:color="auto"/>
        <w:bottom w:val="none" w:sz="0" w:space="0" w:color="auto"/>
        <w:right w:val="none" w:sz="0" w:space="0" w:color="auto"/>
      </w:divBdr>
    </w:div>
    <w:div w:id="750664939">
      <w:bodyDiv w:val="1"/>
      <w:marLeft w:val="0"/>
      <w:marRight w:val="0"/>
      <w:marTop w:val="0"/>
      <w:marBottom w:val="0"/>
      <w:divBdr>
        <w:top w:val="none" w:sz="0" w:space="0" w:color="auto"/>
        <w:left w:val="none" w:sz="0" w:space="0" w:color="auto"/>
        <w:bottom w:val="none" w:sz="0" w:space="0" w:color="auto"/>
        <w:right w:val="none" w:sz="0" w:space="0" w:color="auto"/>
      </w:divBdr>
    </w:div>
    <w:div w:id="841433525">
      <w:bodyDiv w:val="1"/>
      <w:marLeft w:val="0"/>
      <w:marRight w:val="0"/>
      <w:marTop w:val="0"/>
      <w:marBottom w:val="0"/>
      <w:divBdr>
        <w:top w:val="none" w:sz="0" w:space="0" w:color="auto"/>
        <w:left w:val="none" w:sz="0" w:space="0" w:color="auto"/>
        <w:bottom w:val="none" w:sz="0" w:space="0" w:color="auto"/>
        <w:right w:val="none" w:sz="0" w:space="0" w:color="auto"/>
      </w:divBdr>
    </w:div>
    <w:div w:id="871311288">
      <w:bodyDiv w:val="1"/>
      <w:marLeft w:val="0"/>
      <w:marRight w:val="0"/>
      <w:marTop w:val="0"/>
      <w:marBottom w:val="0"/>
      <w:divBdr>
        <w:top w:val="none" w:sz="0" w:space="0" w:color="auto"/>
        <w:left w:val="none" w:sz="0" w:space="0" w:color="auto"/>
        <w:bottom w:val="none" w:sz="0" w:space="0" w:color="auto"/>
        <w:right w:val="none" w:sz="0" w:space="0" w:color="auto"/>
      </w:divBdr>
    </w:div>
    <w:div w:id="900748749">
      <w:bodyDiv w:val="1"/>
      <w:marLeft w:val="0"/>
      <w:marRight w:val="0"/>
      <w:marTop w:val="0"/>
      <w:marBottom w:val="0"/>
      <w:divBdr>
        <w:top w:val="none" w:sz="0" w:space="0" w:color="auto"/>
        <w:left w:val="none" w:sz="0" w:space="0" w:color="auto"/>
        <w:bottom w:val="none" w:sz="0" w:space="0" w:color="auto"/>
        <w:right w:val="none" w:sz="0" w:space="0" w:color="auto"/>
      </w:divBdr>
    </w:div>
    <w:div w:id="996303138">
      <w:bodyDiv w:val="1"/>
      <w:marLeft w:val="0"/>
      <w:marRight w:val="0"/>
      <w:marTop w:val="0"/>
      <w:marBottom w:val="0"/>
      <w:divBdr>
        <w:top w:val="none" w:sz="0" w:space="0" w:color="auto"/>
        <w:left w:val="none" w:sz="0" w:space="0" w:color="auto"/>
        <w:bottom w:val="none" w:sz="0" w:space="0" w:color="auto"/>
        <w:right w:val="none" w:sz="0" w:space="0" w:color="auto"/>
      </w:divBdr>
    </w:div>
    <w:div w:id="1108503290">
      <w:bodyDiv w:val="1"/>
      <w:marLeft w:val="0"/>
      <w:marRight w:val="0"/>
      <w:marTop w:val="0"/>
      <w:marBottom w:val="0"/>
      <w:divBdr>
        <w:top w:val="none" w:sz="0" w:space="0" w:color="auto"/>
        <w:left w:val="none" w:sz="0" w:space="0" w:color="auto"/>
        <w:bottom w:val="none" w:sz="0" w:space="0" w:color="auto"/>
        <w:right w:val="none" w:sz="0" w:space="0" w:color="auto"/>
      </w:divBdr>
    </w:div>
    <w:div w:id="1201355677">
      <w:bodyDiv w:val="1"/>
      <w:marLeft w:val="0"/>
      <w:marRight w:val="0"/>
      <w:marTop w:val="0"/>
      <w:marBottom w:val="0"/>
      <w:divBdr>
        <w:top w:val="none" w:sz="0" w:space="0" w:color="auto"/>
        <w:left w:val="none" w:sz="0" w:space="0" w:color="auto"/>
        <w:bottom w:val="none" w:sz="0" w:space="0" w:color="auto"/>
        <w:right w:val="none" w:sz="0" w:space="0" w:color="auto"/>
      </w:divBdr>
    </w:div>
    <w:div w:id="1221593967">
      <w:bodyDiv w:val="1"/>
      <w:marLeft w:val="0"/>
      <w:marRight w:val="0"/>
      <w:marTop w:val="0"/>
      <w:marBottom w:val="0"/>
      <w:divBdr>
        <w:top w:val="none" w:sz="0" w:space="0" w:color="auto"/>
        <w:left w:val="none" w:sz="0" w:space="0" w:color="auto"/>
        <w:bottom w:val="none" w:sz="0" w:space="0" w:color="auto"/>
        <w:right w:val="none" w:sz="0" w:space="0" w:color="auto"/>
      </w:divBdr>
    </w:div>
    <w:div w:id="1278559864">
      <w:bodyDiv w:val="1"/>
      <w:marLeft w:val="0"/>
      <w:marRight w:val="0"/>
      <w:marTop w:val="0"/>
      <w:marBottom w:val="0"/>
      <w:divBdr>
        <w:top w:val="none" w:sz="0" w:space="0" w:color="auto"/>
        <w:left w:val="none" w:sz="0" w:space="0" w:color="auto"/>
        <w:bottom w:val="none" w:sz="0" w:space="0" w:color="auto"/>
        <w:right w:val="none" w:sz="0" w:space="0" w:color="auto"/>
      </w:divBdr>
    </w:div>
    <w:div w:id="1341393108">
      <w:bodyDiv w:val="1"/>
      <w:marLeft w:val="0"/>
      <w:marRight w:val="0"/>
      <w:marTop w:val="0"/>
      <w:marBottom w:val="0"/>
      <w:divBdr>
        <w:top w:val="none" w:sz="0" w:space="0" w:color="auto"/>
        <w:left w:val="none" w:sz="0" w:space="0" w:color="auto"/>
        <w:bottom w:val="none" w:sz="0" w:space="0" w:color="auto"/>
        <w:right w:val="none" w:sz="0" w:space="0" w:color="auto"/>
      </w:divBdr>
    </w:div>
    <w:div w:id="1373337778">
      <w:bodyDiv w:val="1"/>
      <w:marLeft w:val="0"/>
      <w:marRight w:val="0"/>
      <w:marTop w:val="0"/>
      <w:marBottom w:val="0"/>
      <w:divBdr>
        <w:top w:val="none" w:sz="0" w:space="0" w:color="auto"/>
        <w:left w:val="none" w:sz="0" w:space="0" w:color="auto"/>
        <w:bottom w:val="none" w:sz="0" w:space="0" w:color="auto"/>
        <w:right w:val="none" w:sz="0" w:space="0" w:color="auto"/>
      </w:divBdr>
    </w:div>
    <w:div w:id="1468737075">
      <w:bodyDiv w:val="1"/>
      <w:marLeft w:val="0"/>
      <w:marRight w:val="0"/>
      <w:marTop w:val="0"/>
      <w:marBottom w:val="0"/>
      <w:divBdr>
        <w:top w:val="none" w:sz="0" w:space="0" w:color="auto"/>
        <w:left w:val="none" w:sz="0" w:space="0" w:color="auto"/>
        <w:bottom w:val="none" w:sz="0" w:space="0" w:color="auto"/>
        <w:right w:val="none" w:sz="0" w:space="0" w:color="auto"/>
      </w:divBdr>
    </w:div>
    <w:div w:id="1492477574">
      <w:bodyDiv w:val="1"/>
      <w:marLeft w:val="0"/>
      <w:marRight w:val="0"/>
      <w:marTop w:val="0"/>
      <w:marBottom w:val="0"/>
      <w:divBdr>
        <w:top w:val="none" w:sz="0" w:space="0" w:color="auto"/>
        <w:left w:val="none" w:sz="0" w:space="0" w:color="auto"/>
        <w:bottom w:val="none" w:sz="0" w:space="0" w:color="auto"/>
        <w:right w:val="none" w:sz="0" w:space="0" w:color="auto"/>
      </w:divBdr>
    </w:div>
    <w:div w:id="1515605915">
      <w:bodyDiv w:val="1"/>
      <w:marLeft w:val="0"/>
      <w:marRight w:val="0"/>
      <w:marTop w:val="0"/>
      <w:marBottom w:val="0"/>
      <w:divBdr>
        <w:top w:val="none" w:sz="0" w:space="0" w:color="auto"/>
        <w:left w:val="none" w:sz="0" w:space="0" w:color="auto"/>
        <w:bottom w:val="none" w:sz="0" w:space="0" w:color="auto"/>
        <w:right w:val="none" w:sz="0" w:space="0" w:color="auto"/>
      </w:divBdr>
    </w:div>
    <w:div w:id="1621112447">
      <w:bodyDiv w:val="1"/>
      <w:marLeft w:val="0"/>
      <w:marRight w:val="0"/>
      <w:marTop w:val="0"/>
      <w:marBottom w:val="0"/>
      <w:divBdr>
        <w:top w:val="none" w:sz="0" w:space="0" w:color="auto"/>
        <w:left w:val="none" w:sz="0" w:space="0" w:color="auto"/>
        <w:bottom w:val="none" w:sz="0" w:space="0" w:color="auto"/>
        <w:right w:val="none" w:sz="0" w:space="0" w:color="auto"/>
      </w:divBdr>
    </w:div>
    <w:div w:id="1626425173">
      <w:bodyDiv w:val="1"/>
      <w:marLeft w:val="0"/>
      <w:marRight w:val="0"/>
      <w:marTop w:val="0"/>
      <w:marBottom w:val="0"/>
      <w:divBdr>
        <w:top w:val="none" w:sz="0" w:space="0" w:color="auto"/>
        <w:left w:val="none" w:sz="0" w:space="0" w:color="auto"/>
        <w:bottom w:val="none" w:sz="0" w:space="0" w:color="auto"/>
        <w:right w:val="none" w:sz="0" w:space="0" w:color="auto"/>
      </w:divBdr>
    </w:div>
    <w:div w:id="1697732642">
      <w:bodyDiv w:val="1"/>
      <w:marLeft w:val="0"/>
      <w:marRight w:val="0"/>
      <w:marTop w:val="0"/>
      <w:marBottom w:val="0"/>
      <w:divBdr>
        <w:top w:val="none" w:sz="0" w:space="0" w:color="auto"/>
        <w:left w:val="none" w:sz="0" w:space="0" w:color="auto"/>
        <w:bottom w:val="none" w:sz="0" w:space="0" w:color="auto"/>
        <w:right w:val="none" w:sz="0" w:space="0" w:color="auto"/>
      </w:divBdr>
    </w:div>
    <w:div w:id="1837259119">
      <w:bodyDiv w:val="1"/>
      <w:marLeft w:val="0"/>
      <w:marRight w:val="0"/>
      <w:marTop w:val="0"/>
      <w:marBottom w:val="0"/>
      <w:divBdr>
        <w:top w:val="none" w:sz="0" w:space="0" w:color="auto"/>
        <w:left w:val="none" w:sz="0" w:space="0" w:color="auto"/>
        <w:bottom w:val="none" w:sz="0" w:space="0" w:color="auto"/>
        <w:right w:val="none" w:sz="0" w:space="0" w:color="auto"/>
      </w:divBdr>
    </w:div>
    <w:div w:id="1907177209">
      <w:bodyDiv w:val="1"/>
      <w:marLeft w:val="0"/>
      <w:marRight w:val="0"/>
      <w:marTop w:val="0"/>
      <w:marBottom w:val="0"/>
      <w:divBdr>
        <w:top w:val="none" w:sz="0" w:space="0" w:color="auto"/>
        <w:left w:val="none" w:sz="0" w:space="0" w:color="auto"/>
        <w:bottom w:val="none" w:sz="0" w:space="0" w:color="auto"/>
        <w:right w:val="none" w:sz="0" w:space="0" w:color="auto"/>
      </w:divBdr>
    </w:div>
    <w:div w:id="1926498715">
      <w:bodyDiv w:val="1"/>
      <w:marLeft w:val="0"/>
      <w:marRight w:val="0"/>
      <w:marTop w:val="0"/>
      <w:marBottom w:val="0"/>
      <w:divBdr>
        <w:top w:val="none" w:sz="0" w:space="0" w:color="auto"/>
        <w:left w:val="none" w:sz="0" w:space="0" w:color="auto"/>
        <w:bottom w:val="none" w:sz="0" w:space="0" w:color="auto"/>
        <w:right w:val="none" w:sz="0" w:space="0" w:color="auto"/>
      </w:divBdr>
    </w:div>
    <w:div w:id="1960797409">
      <w:bodyDiv w:val="1"/>
      <w:marLeft w:val="0"/>
      <w:marRight w:val="0"/>
      <w:marTop w:val="0"/>
      <w:marBottom w:val="0"/>
      <w:divBdr>
        <w:top w:val="none" w:sz="0" w:space="0" w:color="auto"/>
        <w:left w:val="none" w:sz="0" w:space="0" w:color="auto"/>
        <w:bottom w:val="none" w:sz="0" w:space="0" w:color="auto"/>
        <w:right w:val="none" w:sz="0" w:space="0" w:color="auto"/>
      </w:divBdr>
    </w:div>
    <w:div w:id="2092267414">
      <w:bodyDiv w:val="1"/>
      <w:marLeft w:val="0"/>
      <w:marRight w:val="0"/>
      <w:marTop w:val="0"/>
      <w:marBottom w:val="0"/>
      <w:divBdr>
        <w:top w:val="none" w:sz="0" w:space="0" w:color="auto"/>
        <w:left w:val="none" w:sz="0" w:space="0" w:color="auto"/>
        <w:bottom w:val="none" w:sz="0" w:space="0" w:color="auto"/>
        <w:right w:val="none" w:sz="0" w:space="0" w:color="auto"/>
      </w:divBdr>
    </w:div>
    <w:div w:id="2099331432">
      <w:bodyDiv w:val="1"/>
      <w:marLeft w:val="0"/>
      <w:marRight w:val="0"/>
      <w:marTop w:val="0"/>
      <w:marBottom w:val="0"/>
      <w:divBdr>
        <w:top w:val="none" w:sz="0" w:space="0" w:color="auto"/>
        <w:left w:val="none" w:sz="0" w:space="0" w:color="auto"/>
        <w:bottom w:val="none" w:sz="0" w:space="0" w:color="auto"/>
        <w:right w:val="none" w:sz="0" w:space="0" w:color="auto"/>
      </w:divBdr>
    </w:div>
    <w:div w:id="2104451092">
      <w:bodyDiv w:val="1"/>
      <w:marLeft w:val="0"/>
      <w:marRight w:val="0"/>
      <w:marTop w:val="0"/>
      <w:marBottom w:val="0"/>
      <w:divBdr>
        <w:top w:val="none" w:sz="0" w:space="0" w:color="auto"/>
        <w:left w:val="none" w:sz="0" w:space="0" w:color="auto"/>
        <w:bottom w:val="none" w:sz="0" w:space="0" w:color="auto"/>
        <w:right w:val="none" w:sz="0" w:space="0" w:color="auto"/>
      </w:divBdr>
    </w:div>
    <w:div w:id="2132938567">
      <w:bodyDiv w:val="1"/>
      <w:marLeft w:val="0"/>
      <w:marRight w:val="0"/>
      <w:marTop w:val="0"/>
      <w:marBottom w:val="0"/>
      <w:divBdr>
        <w:top w:val="none" w:sz="0" w:space="0" w:color="auto"/>
        <w:left w:val="none" w:sz="0" w:space="0" w:color="auto"/>
        <w:bottom w:val="none" w:sz="0" w:space="0" w:color="auto"/>
        <w:right w:val="none" w:sz="0" w:space="0" w:color="auto"/>
      </w:divBdr>
    </w:div>
    <w:div w:id="2144275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image" Target="media/image10.emf"/><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4.emf"/><Relationship Id="rId17" Type="http://schemas.openxmlformats.org/officeDocument/2006/relationships/image" Target="media/image9.emf"/><Relationship Id="rId2" Type="http://schemas.openxmlformats.org/officeDocument/2006/relationships/numbering" Target="numbering.xml"/><Relationship Id="rId16" Type="http://schemas.openxmlformats.org/officeDocument/2006/relationships/image" Target="media/image8.emf"/><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7.emf"/><Relationship Id="rId10" Type="http://schemas.openxmlformats.org/officeDocument/2006/relationships/image" Target="media/image2.emf"/><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6.png"/><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Stella%20Rojas\Nueva%20carpeta\PLANTILLA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A8FD88-EB7A-4732-B55B-9F2E1EB66E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PLANTILLA1</Template>
  <TotalTime>1</TotalTime>
  <Pages>1</Pages>
  <Words>8910</Words>
  <Characters>49008</Characters>
  <Application>Microsoft Office Word</Application>
  <DocSecurity>0</DocSecurity>
  <Lines>408</Lines>
  <Paragraphs>115</Paragraphs>
  <ScaleCrop>false</ScaleCrop>
  <HeadingPairs>
    <vt:vector size="2" baseType="variant">
      <vt:variant>
        <vt:lpstr>Título</vt:lpstr>
      </vt:variant>
      <vt:variant>
        <vt:i4>1</vt:i4>
      </vt:variant>
    </vt:vector>
  </HeadingPairs>
  <TitlesOfParts>
    <vt:vector size="1" baseType="lpstr">
      <vt:lpstr/>
    </vt:vector>
  </TitlesOfParts>
  <Company>CREG</Company>
  <LinksUpToDate>false</LinksUpToDate>
  <CharactersWithSpaces>57803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LSROJAS</dc:creator>
  <cp:keywords/>
  <dc:description/>
  <cp:lastModifiedBy>Diana Patino</cp:lastModifiedBy>
  <cp:revision>3</cp:revision>
  <cp:lastPrinted>2017-05-26T22:06:00Z</cp:lastPrinted>
  <dcterms:created xsi:type="dcterms:W3CDTF">2017-07-10T16:59:00Z</dcterms:created>
  <dcterms:modified xsi:type="dcterms:W3CDTF">2017-07-10T16:59:00Z</dcterms:modified>
</cp:coreProperties>
</file>