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472CD5"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407765778"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93249A">
        <w:rPr>
          <w:rFonts w:ascii="Bookman Old Style" w:hAnsi="Bookman Old Style"/>
          <w:sz w:val="24"/>
          <w:szCs w:val="24"/>
        </w:rPr>
        <w:t>2</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Default="00E433F6" w:rsidP="00E433F6">
      <w:pPr>
        <w:ind w:left="0"/>
        <w:rPr>
          <w:rFonts w:ascii="Bookman Old Style" w:hAnsi="Bookman Old Style"/>
          <w:bCs/>
          <w:lang w:val="es-CO"/>
        </w:rPr>
      </w:pPr>
    </w:p>
    <w:p w:rsidR="00066776" w:rsidRPr="000058F4" w:rsidRDefault="0006677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w:t>
      </w:r>
      <w:r w:rsidR="005F237E">
        <w:rPr>
          <w:rFonts w:ascii="Bookman Old Style" w:hAnsi="Bookman Old Style"/>
          <w:szCs w:val="24"/>
        </w:rPr>
        <w:t xml:space="preserve">actualiza el Costo Anual por el uso de los activos de nivel de tensión 4 </w:t>
      </w:r>
      <w:r w:rsidR="005F237E" w:rsidRPr="005F237E">
        <w:rPr>
          <w:rFonts w:ascii="Bookman Old Style" w:hAnsi="Bookman Old Style"/>
          <w:szCs w:val="24"/>
        </w:rPr>
        <w:t xml:space="preserve">de la </w:t>
      </w:r>
      <w:r w:rsidR="008377FE">
        <w:rPr>
          <w:rFonts w:ascii="Bookman Old Style" w:hAnsi="Bookman Old Style"/>
          <w:szCs w:val="24"/>
        </w:rPr>
        <w:t>Electrificadora de Santander</w:t>
      </w:r>
      <w:r w:rsidR="005F237E" w:rsidRPr="005F237E">
        <w:rPr>
          <w:rFonts w:ascii="Bookman Old Style" w:hAnsi="Bookman Old Style"/>
          <w:szCs w:val="24"/>
        </w:rPr>
        <w:t xml:space="preserve"> 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Default="00E433F6" w:rsidP="00E433F6">
      <w:pPr>
        <w:ind w:left="0" w:right="51"/>
        <w:jc w:val="both"/>
        <w:rPr>
          <w:rFonts w:ascii="Bookman Old Style" w:hAnsi="Bookman Old Style"/>
        </w:rPr>
      </w:pPr>
    </w:p>
    <w:p w:rsidR="00066776" w:rsidRPr="000058F4" w:rsidRDefault="0006677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w:t>
      </w:r>
      <w:r w:rsidR="005F237E">
        <w:rPr>
          <w:rFonts w:ascii="Bookman Old Style" w:hAnsi="Bookman Old Style"/>
          <w:b w:val="0"/>
        </w:rPr>
        <w:t>os Decretos 1524 y 2253 de 1994</w:t>
      </w:r>
      <w:r w:rsidR="00C032EB">
        <w:rPr>
          <w:rFonts w:ascii="Bookman Old Style" w:hAnsi="Bookman Old Style"/>
          <w:b w:val="0"/>
        </w:rPr>
        <w:t>,</w:t>
      </w:r>
      <w:r w:rsidR="005F237E">
        <w:rPr>
          <w:rFonts w:ascii="Bookman Old Style" w:hAnsi="Bookman Old Style"/>
          <w:b w:val="0"/>
        </w:rPr>
        <w:t xml:space="preserve"> y</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5F237E" w:rsidRPr="00F254A8" w:rsidRDefault="000F5BD2" w:rsidP="005F237E">
      <w:pPr>
        <w:ind w:left="0"/>
        <w:jc w:val="both"/>
        <w:rPr>
          <w:rFonts w:ascii="Bookman Old Style" w:hAnsi="Bookman Old Style"/>
        </w:rPr>
      </w:pPr>
      <w:r>
        <w:rPr>
          <w:rFonts w:ascii="Bookman Old Style" w:hAnsi="Bookman Old Style"/>
        </w:rPr>
        <w:t>Que m</w:t>
      </w:r>
      <w:r w:rsidR="005F237E" w:rsidRPr="00F254A8">
        <w:rPr>
          <w:rFonts w:ascii="Bookman Old Style" w:hAnsi="Bookman Old Style"/>
        </w:rPr>
        <w:t>ediante la Resolución CREG 097 de 2008 modificada por las Resoluciones CREG 133, 135 y 166 de 2008, la Comisión aprobó los principios generales y la metodología para el establecimiento de los Cargos por Uso de los Sistemas de Transmisión Regional (STR) y de Distribución Local (SDL)</w:t>
      </w:r>
      <w:r>
        <w:rPr>
          <w:rFonts w:ascii="Bookman Old Style" w:hAnsi="Bookman Old Style"/>
        </w:rPr>
        <w:t>;</w:t>
      </w:r>
    </w:p>
    <w:p w:rsidR="005F237E" w:rsidRPr="00F254A8" w:rsidRDefault="005F237E" w:rsidP="005F237E">
      <w:pPr>
        <w:ind w:left="0"/>
        <w:jc w:val="both"/>
        <w:rPr>
          <w:rFonts w:ascii="Bookman Old Style" w:hAnsi="Bookman Old Style"/>
        </w:rPr>
      </w:pPr>
    </w:p>
    <w:p w:rsidR="005F237E" w:rsidRPr="00F254A8" w:rsidRDefault="000F5BD2" w:rsidP="005F237E">
      <w:pPr>
        <w:ind w:left="0"/>
        <w:jc w:val="both"/>
        <w:rPr>
          <w:rFonts w:ascii="Bookman Old Style" w:hAnsi="Bookman Old Style"/>
        </w:rPr>
      </w:pPr>
      <w:r>
        <w:rPr>
          <w:rFonts w:ascii="Bookman Old Style" w:hAnsi="Bookman Old Style"/>
        </w:rPr>
        <w:t>Que m</w:t>
      </w:r>
      <w:r w:rsidR="005F237E" w:rsidRPr="00F254A8">
        <w:rPr>
          <w:rFonts w:ascii="Bookman Old Style" w:hAnsi="Bookman Old Style"/>
        </w:rPr>
        <w:t>ediante la Resolución CREG 12</w:t>
      </w:r>
      <w:r w:rsidR="008377FE">
        <w:rPr>
          <w:rFonts w:ascii="Bookman Old Style" w:hAnsi="Bookman Old Style"/>
        </w:rPr>
        <w:t>1</w:t>
      </w:r>
      <w:r w:rsidR="005F237E" w:rsidRPr="00F254A8">
        <w:rPr>
          <w:rFonts w:ascii="Bookman Old Style" w:hAnsi="Bookman Old Style"/>
        </w:rPr>
        <w:t xml:space="preserve"> de 2009, la CREG aprobó el Costo Anual por el uso de los Activos del Nivel de Tensión 4 y los Cargos Máximos de los Niveles de Tensión 3, 2 y 1 de los activos operados por la </w:t>
      </w:r>
      <w:r w:rsidR="00CB4B8D" w:rsidRPr="00CB4B8D">
        <w:rPr>
          <w:rFonts w:ascii="Bookman Old Style" w:hAnsi="Bookman Old Style"/>
        </w:rPr>
        <w:t>Electrificadora de Santander S.A. E.S.P.</w:t>
      </w:r>
      <w:r w:rsidR="005F237E" w:rsidRPr="00F254A8">
        <w:rPr>
          <w:rFonts w:ascii="Bookman Old Style" w:hAnsi="Bookman Old Style"/>
        </w:rPr>
        <w:t xml:space="preserve"> en el Sistema de Transmisión Regional (STR) y en el Sistema de Distribución Local (SDL)</w:t>
      </w:r>
      <w:r>
        <w:rPr>
          <w:rFonts w:ascii="Bookman Old Style" w:hAnsi="Bookman Old Style"/>
        </w:rPr>
        <w:t>;</w:t>
      </w:r>
    </w:p>
    <w:p w:rsidR="00E433F6" w:rsidRPr="000058F4" w:rsidRDefault="00E433F6" w:rsidP="00E433F6">
      <w:pPr>
        <w:ind w:left="0"/>
        <w:jc w:val="both"/>
        <w:rPr>
          <w:rFonts w:ascii="Bookman Old Style" w:hAnsi="Bookman Old Style"/>
        </w:rPr>
      </w:pPr>
    </w:p>
    <w:p w:rsidR="000F5BD2" w:rsidRDefault="000F5BD2" w:rsidP="000F5BD2">
      <w:pPr>
        <w:ind w:left="0"/>
        <w:jc w:val="both"/>
        <w:rPr>
          <w:rFonts w:ascii="Bookman Old Style" w:hAnsi="Bookman Old Style"/>
        </w:rPr>
      </w:pPr>
      <w:r>
        <w:rPr>
          <w:rFonts w:ascii="Bookman Old Style" w:hAnsi="Bookman Old Style"/>
        </w:rPr>
        <w:t>Que m</w:t>
      </w:r>
      <w:r w:rsidRPr="00F254A8">
        <w:rPr>
          <w:rFonts w:ascii="Bookman Old Style" w:hAnsi="Bookman Old Style"/>
        </w:rPr>
        <w:t xml:space="preserve">ediante la Resolución CREG </w:t>
      </w:r>
      <w:r w:rsidR="00CB4B8D">
        <w:rPr>
          <w:rFonts w:ascii="Bookman Old Style" w:hAnsi="Bookman Old Style"/>
        </w:rPr>
        <w:t>172</w:t>
      </w:r>
      <w:r w:rsidRPr="00F254A8">
        <w:rPr>
          <w:rFonts w:ascii="Bookman Old Style" w:hAnsi="Bookman Old Style"/>
        </w:rPr>
        <w:t xml:space="preserve"> de 20</w:t>
      </w:r>
      <w:r w:rsidR="00CB4B8D">
        <w:rPr>
          <w:rFonts w:ascii="Bookman Old Style" w:hAnsi="Bookman Old Style"/>
        </w:rPr>
        <w:t>09</w:t>
      </w:r>
      <w:r w:rsidRPr="00F254A8">
        <w:rPr>
          <w:rFonts w:ascii="Bookman Old Style" w:hAnsi="Bookman Old Style"/>
        </w:rPr>
        <w:t xml:space="preserve">, la CREG </w:t>
      </w:r>
      <w:r w:rsidR="00CB4B8D">
        <w:rPr>
          <w:rFonts w:ascii="Bookman Old Style" w:hAnsi="Bookman Old Style"/>
        </w:rPr>
        <w:t xml:space="preserve">resolvió el recurso de reposición interpuesto por la </w:t>
      </w:r>
      <w:r w:rsidR="00CB4B8D" w:rsidRPr="00CB4B8D">
        <w:rPr>
          <w:rFonts w:ascii="Bookman Old Style" w:hAnsi="Bookman Old Style"/>
        </w:rPr>
        <w:t>Electrificadora de Santander S.A. E.S.P.</w:t>
      </w:r>
      <w:r w:rsidR="00CB4B8D">
        <w:rPr>
          <w:rFonts w:ascii="Bookman Old Style" w:hAnsi="Bookman Old Style"/>
        </w:rPr>
        <w:t xml:space="preserve"> sobre la resolución CREG 121 de 2009</w:t>
      </w:r>
      <w:r>
        <w:rPr>
          <w:rFonts w:ascii="Bookman Old Style" w:hAnsi="Bookman Old Style"/>
        </w:rPr>
        <w:t>;</w:t>
      </w:r>
    </w:p>
    <w:p w:rsidR="000F5BD2" w:rsidRDefault="000F5BD2" w:rsidP="000F5BD2">
      <w:pPr>
        <w:ind w:left="0"/>
        <w:jc w:val="both"/>
        <w:rPr>
          <w:rFonts w:ascii="Bookman Old Style" w:hAnsi="Bookman Old Style"/>
        </w:rPr>
      </w:pPr>
    </w:p>
    <w:p w:rsidR="000F5BD2" w:rsidRDefault="000F5BD2" w:rsidP="000F5BD2">
      <w:pPr>
        <w:ind w:left="0"/>
        <w:jc w:val="both"/>
        <w:rPr>
          <w:rFonts w:ascii="Bookman Old Style" w:hAnsi="Bookman Old Style"/>
        </w:rPr>
      </w:pPr>
      <w:r>
        <w:rPr>
          <w:rFonts w:ascii="Bookman Old Style" w:hAnsi="Bookman Old Style"/>
        </w:rPr>
        <w:lastRenderedPageBreak/>
        <w:t>Que de acuerdo con el Artículo 9 de la Resolución CREG 097 de 2008, por la puesta en operación de nuevos activos podrán actualizarse los cargos por uso de los OR, siempre que se cumplan las condiciones establecidas en el capítulo 4 del anexo general de esa resolución;</w:t>
      </w:r>
    </w:p>
    <w:p w:rsidR="000F5BD2" w:rsidRDefault="000F5BD2" w:rsidP="000F5BD2">
      <w:pPr>
        <w:ind w:left="0"/>
        <w:jc w:val="both"/>
        <w:rPr>
          <w:rFonts w:ascii="Bookman Old Style" w:hAnsi="Bookman Old Style"/>
        </w:rPr>
      </w:pPr>
    </w:p>
    <w:p w:rsidR="000F5BD2" w:rsidRDefault="000F5BD2" w:rsidP="000F5BD2">
      <w:pPr>
        <w:ind w:left="0"/>
        <w:jc w:val="both"/>
        <w:rPr>
          <w:rFonts w:ascii="Bookman Old Style" w:hAnsi="Bookman Old Style"/>
        </w:rPr>
      </w:pPr>
      <w:r>
        <w:rPr>
          <w:rFonts w:ascii="Bookman Old Style" w:hAnsi="Bookman Old Style"/>
        </w:rPr>
        <w:t>Que la</w:t>
      </w:r>
      <w:r w:rsidR="00CB4B8D">
        <w:rPr>
          <w:rFonts w:ascii="Bookman Old Style" w:hAnsi="Bookman Old Style"/>
        </w:rPr>
        <w:t xml:space="preserve"> </w:t>
      </w:r>
      <w:r w:rsidR="00CB4B8D" w:rsidRPr="00CB4B8D">
        <w:rPr>
          <w:rFonts w:ascii="Bookman Old Style" w:hAnsi="Bookman Old Style"/>
        </w:rPr>
        <w:t>Electrificadora de Santander S.A. E.S.P.</w:t>
      </w:r>
      <w:r w:rsidR="00CB4B8D">
        <w:rPr>
          <w:rFonts w:ascii="Bookman Old Style" w:hAnsi="Bookman Old Style"/>
        </w:rPr>
        <w:t>,</w:t>
      </w:r>
      <w:r w:rsidR="004E7824">
        <w:rPr>
          <w:rFonts w:ascii="Bookman Old Style" w:hAnsi="Bookman Old Style"/>
        </w:rPr>
        <w:t xml:space="preserve"> mediante comunicació</w:t>
      </w:r>
      <w:r>
        <w:rPr>
          <w:rFonts w:ascii="Bookman Old Style" w:hAnsi="Bookman Old Style"/>
        </w:rPr>
        <w:t>n con radicado CREG E-201</w:t>
      </w:r>
      <w:r w:rsidR="004E7824">
        <w:rPr>
          <w:rFonts w:ascii="Bookman Old Style" w:hAnsi="Bookman Old Style"/>
        </w:rPr>
        <w:t>2</w:t>
      </w:r>
      <w:r>
        <w:rPr>
          <w:rFonts w:ascii="Bookman Old Style" w:hAnsi="Bookman Old Style"/>
        </w:rPr>
        <w:t>-00</w:t>
      </w:r>
      <w:r w:rsidR="004E7824">
        <w:rPr>
          <w:rFonts w:ascii="Bookman Old Style" w:hAnsi="Bookman Old Style"/>
        </w:rPr>
        <w:t>21</w:t>
      </w:r>
      <w:r w:rsidR="00CB4B8D">
        <w:rPr>
          <w:rFonts w:ascii="Bookman Old Style" w:hAnsi="Bookman Old Style"/>
        </w:rPr>
        <w:t>45</w:t>
      </w:r>
      <w:r>
        <w:rPr>
          <w:rFonts w:ascii="Bookman Old Style" w:hAnsi="Bookman Old Style"/>
        </w:rPr>
        <w:t>, solicitó a la CREG la actualizaci</w:t>
      </w:r>
      <w:r w:rsidR="009C3BBD">
        <w:rPr>
          <w:rFonts w:ascii="Bookman Old Style" w:hAnsi="Bookman Old Style"/>
        </w:rPr>
        <w:t>ón del Costo Anual por el U</w:t>
      </w:r>
      <w:r>
        <w:rPr>
          <w:rFonts w:ascii="Bookman Old Style" w:hAnsi="Bookman Old Style"/>
        </w:rPr>
        <w:t xml:space="preserve">so de los </w:t>
      </w:r>
      <w:r w:rsidR="009C3BBD">
        <w:rPr>
          <w:rFonts w:ascii="Bookman Old Style" w:hAnsi="Bookman Old Style"/>
        </w:rPr>
        <w:t>Activos de N</w:t>
      </w:r>
      <w:r>
        <w:rPr>
          <w:rFonts w:ascii="Bookman Old Style" w:hAnsi="Bookman Old Style"/>
        </w:rPr>
        <w:t xml:space="preserve">ivel de </w:t>
      </w:r>
      <w:r w:rsidR="009C3BBD">
        <w:rPr>
          <w:rFonts w:ascii="Bookman Old Style" w:hAnsi="Bookman Old Style"/>
        </w:rPr>
        <w:t>T</w:t>
      </w:r>
      <w:r>
        <w:rPr>
          <w:rFonts w:ascii="Bookman Old Style" w:hAnsi="Bookman Old Style"/>
        </w:rPr>
        <w:t xml:space="preserve">ensión 4 </w:t>
      </w:r>
      <w:r w:rsidR="00937C80">
        <w:rPr>
          <w:rFonts w:ascii="Bookman Old Style" w:hAnsi="Bookman Old Style"/>
        </w:rPr>
        <w:t>por la entrada en operación comercial de</w:t>
      </w:r>
      <w:r w:rsidR="00CB4B8D">
        <w:rPr>
          <w:rFonts w:ascii="Bookman Old Style" w:hAnsi="Bookman Old Style"/>
        </w:rPr>
        <w:t xml:space="preserve"> los activos de la subestación Piedecuesta 115 </w:t>
      </w:r>
      <w:proofErr w:type="spellStart"/>
      <w:r w:rsidR="00CB4B8D">
        <w:rPr>
          <w:rFonts w:ascii="Bookman Old Style" w:hAnsi="Bookman Old Style"/>
        </w:rPr>
        <w:t>kV</w:t>
      </w:r>
      <w:proofErr w:type="spellEnd"/>
      <w:r w:rsidR="004E7824">
        <w:rPr>
          <w:rFonts w:ascii="Bookman Old Style" w:hAnsi="Bookman Old Style"/>
        </w:rPr>
        <w:t>;</w:t>
      </w:r>
    </w:p>
    <w:p w:rsidR="00937C80" w:rsidRDefault="00937C80" w:rsidP="000F5BD2">
      <w:pPr>
        <w:ind w:left="0"/>
        <w:jc w:val="both"/>
        <w:rPr>
          <w:rFonts w:ascii="Bookman Old Style" w:hAnsi="Bookman Old Style"/>
        </w:rPr>
      </w:pPr>
    </w:p>
    <w:p w:rsidR="00937C80" w:rsidRDefault="00937C80" w:rsidP="000F5BD2">
      <w:pPr>
        <w:ind w:left="0"/>
        <w:jc w:val="both"/>
        <w:rPr>
          <w:rFonts w:ascii="Bookman Old Style" w:hAnsi="Bookman Old Style"/>
        </w:rPr>
      </w:pPr>
      <w:r>
        <w:rPr>
          <w:rFonts w:ascii="Bookman Old Style" w:hAnsi="Bookman Old Style"/>
        </w:rPr>
        <w:t xml:space="preserve">Que con la solicitud la </w:t>
      </w:r>
      <w:r w:rsidR="00CB4B8D" w:rsidRPr="00CB4B8D">
        <w:rPr>
          <w:rFonts w:ascii="Bookman Old Style" w:hAnsi="Bookman Old Style"/>
        </w:rPr>
        <w:t>Electrificadora de Santander S.A. E.S.P.</w:t>
      </w:r>
      <w:r>
        <w:rPr>
          <w:rFonts w:ascii="Bookman Old Style" w:hAnsi="Bookman Old Style"/>
        </w:rPr>
        <w:t xml:space="preserve"> entregó la siguiente información:</w:t>
      </w:r>
    </w:p>
    <w:p w:rsidR="009C3BBD" w:rsidRDefault="009C3BBD" w:rsidP="000F5BD2">
      <w:pPr>
        <w:ind w:left="0"/>
        <w:jc w:val="both"/>
        <w:rPr>
          <w:rFonts w:ascii="Bookman Old Style" w:hAnsi="Bookman Old Style"/>
        </w:rPr>
      </w:pPr>
    </w:p>
    <w:p w:rsidR="00937C80" w:rsidRDefault="00937C80"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Listado de unidades constructivas que componen el proyecto</w:t>
      </w:r>
      <w:r w:rsidR="00644A3C">
        <w:rPr>
          <w:rFonts w:ascii="Bookman Old Style" w:hAnsi="Bookman Old Style"/>
          <w:sz w:val="24"/>
          <w:szCs w:val="24"/>
        </w:rPr>
        <w:t>, con base en las definidas en el capítulo 5 del anexo general de</w:t>
      </w:r>
      <w:r w:rsidR="00472C02">
        <w:rPr>
          <w:rFonts w:ascii="Bookman Old Style" w:hAnsi="Bookman Old Style"/>
          <w:sz w:val="24"/>
          <w:szCs w:val="24"/>
        </w:rPr>
        <w:t xml:space="preserve"> la Resolución CREG 097 de 2008. Estas son:</w:t>
      </w:r>
    </w:p>
    <w:p w:rsidR="00472C02" w:rsidRDefault="00472C02" w:rsidP="00472C02">
      <w:pPr>
        <w:pStyle w:val="Prrafodelista"/>
        <w:ind w:left="720"/>
        <w:jc w:val="both"/>
        <w:rPr>
          <w:rFonts w:ascii="Bookman Old Style" w:hAnsi="Bookman Old Style"/>
          <w:sz w:val="24"/>
          <w:szCs w:val="24"/>
        </w:rPr>
      </w:pPr>
    </w:p>
    <w:p w:rsidR="00472C02" w:rsidRPr="00472C02" w:rsidRDefault="004B1009" w:rsidP="007D77E9">
      <w:pPr>
        <w:pStyle w:val="Prrafodelista"/>
        <w:ind w:left="0" w:firstLine="708"/>
        <w:jc w:val="center"/>
        <w:rPr>
          <w:rFonts w:ascii="Bookman Old Style" w:hAnsi="Bookman Old Style"/>
          <w:sz w:val="24"/>
          <w:szCs w:val="24"/>
        </w:rPr>
      </w:pPr>
      <w:r w:rsidRPr="004B1009">
        <w:rPr>
          <w:noProof/>
          <w:lang w:eastAsia="es-CO"/>
        </w:rPr>
        <w:drawing>
          <wp:inline distT="0" distB="0" distL="0" distR="0">
            <wp:extent cx="4346852" cy="34764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4643" cy="3482676"/>
                    </a:xfrm>
                    <a:prstGeom prst="rect">
                      <a:avLst/>
                    </a:prstGeom>
                    <a:noFill/>
                    <a:ln>
                      <a:noFill/>
                    </a:ln>
                  </pic:spPr>
                </pic:pic>
              </a:graphicData>
            </a:graphic>
          </wp:inline>
        </w:drawing>
      </w:r>
    </w:p>
    <w:p w:rsidR="007D77E9" w:rsidRDefault="007D77E9" w:rsidP="007D77E9">
      <w:pPr>
        <w:pStyle w:val="Prrafodelista"/>
        <w:ind w:left="720"/>
        <w:jc w:val="both"/>
        <w:rPr>
          <w:rFonts w:ascii="Bookman Old Style" w:hAnsi="Bookman Old Style"/>
          <w:sz w:val="24"/>
          <w:szCs w:val="24"/>
        </w:rPr>
      </w:pPr>
    </w:p>
    <w:p w:rsidR="00937C80" w:rsidRDefault="00937C80"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 xml:space="preserve">Copia del concepto </w:t>
      </w:r>
      <w:r w:rsidR="00644A3C">
        <w:rPr>
          <w:rFonts w:ascii="Bookman Old Style" w:hAnsi="Bookman Old Style"/>
          <w:sz w:val="24"/>
          <w:szCs w:val="24"/>
        </w:rPr>
        <w:t>que sobre el proyecto emitió</w:t>
      </w:r>
      <w:r>
        <w:rPr>
          <w:rFonts w:ascii="Bookman Old Style" w:hAnsi="Bookman Old Style"/>
          <w:sz w:val="24"/>
          <w:szCs w:val="24"/>
        </w:rPr>
        <w:t xml:space="preserve"> la Unidad de Planeación Minero Energética con radicado UPME </w:t>
      </w:r>
      <w:r w:rsidR="004E7824">
        <w:rPr>
          <w:rFonts w:ascii="Bookman Old Style" w:hAnsi="Bookman Old Style"/>
          <w:sz w:val="24"/>
          <w:szCs w:val="24"/>
        </w:rPr>
        <w:t>201</w:t>
      </w:r>
      <w:r w:rsidR="002B56D9">
        <w:rPr>
          <w:rFonts w:ascii="Bookman Old Style" w:hAnsi="Bookman Old Style"/>
          <w:sz w:val="24"/>
          <w:szCs w:val="24"/>
        </w:rPr>
        <w:t>0</w:t>
      </w:r>
      <w:r w:rsidR="004E7824">
        <w:rPr>
          <w:rFonts w:ascii="Bookman Old Style" w:hAnsi="Bookman Old Style"/>
          <w:sz w:val="24"/>
          <w:szCs w:val="24"/>
        </w:rPr>
        <w:t>15000</w:t>
      </w:r>
      <w:r w:rsidR="002B56D9">
        <w:rPr>
          <w:rFonts w:ascii="Bookman Old Style" w:hAnsi="Bookman Old Style"/>
          <w:sz w:val="24"/>
          <w:szCs w:val="24"/>
        </w:rPr>
        <w:t>29501</w:t>
      </w:r>
      <w:r>
        <w:rPr>
          <w:rFonts w:ascii="Bookman Old Style" w:hAnsi="Bookman Old Style"/>
          <w:sz w:val="24"/>
          <w:szCs w:val="24"/>
        </w:rPr>
        <w:t xml:space="preserve"> de </w:t>
      </w:r>
      <w:r w:rsidR="002B56D9">
        <w:rPr>
          <w:rFonts w:ascii="Bookman Old Style" w:hAnsi="Bookman Old Style"/>
          <w:sz w:val="24"/>
          <w:szCs w:val="24"/>
        </w:rPr>
        <w:t>marzo 25</w:t>
      </w:r>
      <w:r w:rsidR="004E7824">
        <w:rPr>
          <w:rFonts w:ascii="Bookman Old Style" w:hAnsi="Bookman Old Style"/>
          <w:sz w:val="24"/>
          <w:szCs w:val="24"/>
        </w:rPr>
        <w:t xml:space="preserve"> </w:t>
      </w:r>
      <w:r w:rsidR="00644A3C">
        <w:rPr>
          <w:rFonts w:ascii="Bookman Old Style" w:hAnsi="Bookman Old Style"/>
          <w:sz w:val="24"/>
          <w:szCs w:val="24"/>
        </w:rPr>
        <w:t>de 20</w:t>
      </w:r>
      <w:r w:rsidR="004E7824">
        <w:rPr>
          <w:rFonts w:ascii="Bookman Old Style" w:hAnsi="Bookman Old Style"/>
          <w:sz w:val="24"/>
          <w:szCs w:val="24"/>
        </w:rPr>
        <w:t>1</w:t>
      </w:r>
      <w:r w:rsidR="002B56D9">
        <w:rPr>
          <w:rFonts w:ascii="Bookman Old Style" w:hAnsi="Bookman Old Style"/>
          <w:sz w:val="24"/>
          <w:szCs w:val="24"/>
        </w:rPr>
        <w:t>0</w:t>
      </w:r>
      <w:r w:rsidR="00644A3C">
        <w:rPr>
          <w:rFonts w:ascii="Bookman Old Style" w:hAnsi="Bookman Old Style"/>
          <w:sz w:val="24"/>
          <w:szCs w:val="24"/>
        </w:rPr>
        <w:t>.</w:t>
      </w:r>
    </w:p>
    <w:p w:rsidR="00D01521" w:rsidRDefault="00D01521" w:rsidP="00D01521">
      <w:pPr>
        <w:pStyle w:val="Prrafodelista"/>
        <w:ind w:left="720"/>
        <w:jc w:val="both"/>
        <w:rPr>
          <w:rFonts w:ascii="Bookman Old Style" w:hAnsi="Bookman Old Style"/>
          <w:sz w:val="24"/>
          <w:szCs w:val="24"/>
        </w:rPr>
      </w:pPr>
    </w:p>
    <w:p w:rsidR="00937C80" w:rsidRDefault="00644A3C"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 xml:space="preserve">Copia del certificado </w:t>
      </w:r>
      <w:r w:rsidR="002D7E0C">
        <w:rPr>
          <w:rFonts w:ascii="Bookman Old Style" w:hAnsi="Bookman Old Style"/>
          <w:sz w:val="24"/>
          <w:szCs w:val="24"/>
        </w:rPr>
        <w:t>expedido por XM sobre la</w:t>
      </w:r>
      <w:r>
        <w:rPr>
          <w:rFonts w:ascii="Bookman Old Style" w:hAnsi="Bookman Old Style"/>
          <w:sz w:val="24"/>
          <w:szCs w:val="24"/>
        </w:rPr>
        <w:t xml:space="preserve"> entrada en operación comercial </w:t>
      </w:r>
      <w:r w:rsidR="002B56D9">
        <w:rPr>
          <w:rFonts w:ascii="Bookman Old Style" w:hAnsi="Bookman Old Style"/>
          <w:sz w:val="24"/>
          <w:szCs w:val="24"/>
        </w:rPr>
        <w:t xml:space="preserve">de los activos que componen el proyecto de la subestación Piedecuesta 115 </w:t>
      </w:r>
      <w:proofErr w:type="spellStart"/>
      <w:r w:rsidR="002B56D9">
        <w:rPr>
          <w:rFonts w:ascii="Bookman Old Style" w:hAnsi="Bookman Old Style"/>
          <w:sz w:val="24"/>
          <w:szCs w:val="24"/>
        </w:rPr>
        <w:t>kV</w:t>
      </w:r>
      <w:proofErr w:type="spellEnd"/>
      <w:r>
        <w:rPr>
          <w:rFonts w:ascii="Bookman Old Style" w:hAnsi="Bookman Old Style"/>
          <w:sz w:val="24"/>
          <w:szCs w:val="24"/>
        </w:rPr>
        <w:t>;</w:t>
      </w:r>
    </w:p>
    <w:p w:rsidR="00644A3C" w:rsidRPr="00644A3C" w:rsidRDefault="00644A3C" w:rsidP="00644A3C">
      <w:pPr>
        <w:jc w:val="both"/>
        <w:rPr>
          <w:rFonts w:ascii="Bookman Old Style" w:hAnsi="Bookman Old Style"/>
        </w:rPr>
      </w:pPr>
    </w:p>
    <w:p w:rsidR="00F60019" w:rsidRDefault="00F60019" w:rsidP="00F60019">
      <w:pPr>
        <w:ind w:left="0"/>
        <w:jc w:val="both"/>
        <w:rPr>
          <w:rFonts w:ascii="Bookman Old Style" w:hAnsi="Bookman Old Style"/>
        </w:rPr>
      </w:pPr>
      <w:r>
        <w:rPr>
          <w:rFonts w:ascii="Bookman Old Style" w:hAnsi="Bookman Old Style"/>
        </w:rPr>
        <w:t>Que m</w:t>
      </w:r>
      <w:r w:rsidRPr="00A8635E">
        <w:rPr>
          <w:rFonts w:ascii="Bookman Old Style" w:hAnsi="Bookman Old Style"/>
        </w:rPr>
        <w:t xml:space="preserve">ediante auto del </w:t>
      </w:r>
      <w:r w:rsidR="002B56D9">
        <w:rPr>
          <w:rFonts w:ascii="Bookman Old Style" w:hAnsi="Bookman Old Style"/>
        </w:rPr>
        <w:t>04</w:t>
      </w:r>
      <w:r w:rsidRPr="00A8635E">
        <w:rPr>
          <w:rFonts w:ascii="Bookman Old Style" w:hAnsi="Bookman Old Style"/>
        </w:rPr>
        <w:t xml:space="preserve"> de </w:t>
      </w:r>
      <w:r>
        <w:rPr>
          <w:rFonts w:ascii="Bookman Old Style" w:hAnsi="Bookman Old Style"/>
        </w:rPr>
        <w:t xml:space="preserve">abril </w:t>
      </w:r>
      <w:r w:rsidRPr="00A8635E">
        <w:rPr>
          <w:rFonts w:ascii="Bookman Old Style" w:hAnsi="Bookman Old Style"/>
        </w:rPr>
        <w:t>de 20</w:t>
      </w:r>
      <w:r>
        <w:rPr>
          <w:rFonts w:ascii="Bookman Old Style" w:hAnsi="Bookman Old Style"/>
        </w:rPr>
        <w:t>12</w:t>
      </w:r>
      <w:r w:rsidRPr="00A8635E">
        <w:rPr>
          <w:rFonts w:ascii="Bookman Old Style" w:hAnsi="Bookman Old Style"/>
        </w:rPr>
        <w:t xml:space="preserve">, la Comisión dio inicio a la actuación administrativa tendiente a </w:t>
      </w:r>
      <w:r>
        <w:rPr>
          <w:rFonts w:ascii="Bookman Old Style" w:hAnsi="Bookman Old Style"/>
        </w:rPr>
        <w:t xml:space="preserve">actualizar </w:t>
      </w:r>
      <w:r w:rsidR="00D82C6E">
        <w:rPr>
          <w:rFonts w:ascii="Bookman Old Style" w:hAnsi="Bookman Old Style"/>
        </w:rPr>
        <w:t xml:space="preserve">el costo anual por el uso de los activos de Nivel de Tensión 4 de la </w:t>
      </w:r>
      <w:r w:rsidR="002B56D9" w:rsidRPr="002B56D9">
        <w:rPr>
          <w:rFonts w:ascii="Bookman Old Style" w:hAnsi="Bookman Old Style"/>
        </w:rPr>
        <w:t>Electrificadora de Santander S.A. E.S.P.</w:t>
      </w:r>
      <w:r w:rsidRPr="00A8635E">
        <w:rPr>
          <w:rFonts w:ascii="Bookman Old Style" w:hAnsi="Bookman Old Style"/>
        </w:rPr>
        <w:t>, y ordenó la apertura del respectivo expediente que fue distinguido con el número 20</w:t>
      </w:r>
      <w:r w:rsidR="00D82C6E">
        <w:rPr>
          <w:rFonts w:ascii="Bookman Old Style" w:hAnsi="Bookman Old Style"/>
        </w:rPr>
        <w:t>12-002</w:t>
      </w:r>
      <w:r w:rsidR="002B56D9">
        <w:rPr>
          <w:rFonts w:ascii="Bookman Old Style" w:hAnsi="Bookman Old Style"/>
        </w:rPr>
        <w:t>9</w:t>
      </w:r>
      <w:r w:rsidR="0093249A">
        <w:rPr>
          <w:rFonts w:ascii="Bookman Old Style" w:hAnsi="Bookman Old Style"/>
        </w:rPr>
        <w:t>;</w:t>
      </w:r>
      <w:r w:rsidRPr="00A8635E">
        <w:rPr>
          <w:rFonts w:ascii="Bookman Old Style" w:hAnsi="Bookman Old Style"/>
        </w:rPr>
        <w:t xml:space="preserve"> </w:t>
      </w:r>
    </w:p>
    <w:p w:rsidR="00AA3367" w:rsidRDefault="00AA3367" w:rsidP="00AA3367">
      <w:pPr>
        <w:ind w:left="0"/>
        <w:jc w:val="both"/>
        <w:rPr>
          <w:rFonts w:ascii="Bookman Old Style" w:hAnsi="Bookman Old Style"/>
        </w:rPr>
      </w:pPr>
      <w:r w:rsidRPr="00EF6C23">
        <w:rPr>
          <w:rFonts w:ascii="Bookman Old Style" w:hAnsi="Bookman Old Style"/>
        </w:rPr>
        <w:lastRenderedPageBreak/>
        <w:t xml:space="preserve">Que en cumplimiento de los artículos 15 y 16 del Código Contencioso Administrativo, se ordenó a la solicitante la publicación de un aviso en un periódico de amplia circulación nacional, </w:t>
      </w:r>
      <w:r>
        <w:rPr>
          <w:rFonts w:ascii="Bookman Old Style" w:hAnsi="Bookman Old Style"/>
        </w:rPr>
        <w:t>con</w:t>
      </w:r>
      <w:r w:rsidRPr="00EF6C23">
        <w:rPr>
          <w:rFonts w:ascii="Bookman Old Style" w:hAnsi="Bookman Old Style"/>
        </w:rPr>
        <w:t xml:space="preserve"> un extracto de la solicitud, en la forma señalada por la Dirección Ejecutiva, en respuesta a lo cual </w:t>
      </w:r>
      <w:r>
        <w:rPr>
          <w:rFonts w:ascii="Bookman Old Style" w:hAnsi="Bookman Old Style"/>
        </w:rPr>
        <w:t xml:space="preserve">la </w:t>
      </w:r>
      <w:r w:rsidR="002B56D9" w:rsidRPr="002B56D9">
        <w:rPr>
          <w:rFonts w:ascii="Bookman Old Style" w:hAnsi="Bookman Old Style"/>
        </w:rPr>
        <w:t>Electrificadora de Santander S.A. E.S.P.</w:t>
      </w:r>
      <w:r w:rsidRPr="00EF6C23">
        <w:rPr>
          <w:rFonts w:ascii="Bookman Old Style" w:hAnsi="Bookman Old Style"/>
        </w:rPr>
        <w:t xml:space="preserve"> remitió copia del aviso de prensa en el periódico </w:t>
      </w:r>
      <w:r w:rsidR="002B56D9">
        <w:rPr>
          <w:rFonts w:ascii="Bookman Old Style" w:hAnsi="Bookman Old Style"/>
        </w:rPr>
        <w:t>Vanguardia Liberal</w:t>
      </w:r>
      <w:r w:rsidRPr="00EF6C23">
        <w:rPr>
          <w:rFonts w:ascii="Bookman Old Style" w:hAnsi="Bookman Old Style"/>
        </w:rPr>
        <w:t xml:space="preserve"> de fecha </w:t>
      </w:r>
      <w:r w:rsidR="002B56D9">
        <w:rPr>
          <w:rFonts w:ascii="Bookman Old Style" w:hAnsi="Bookman Old Style"/>
        </w:rPr>
        <w:t>16</w:t>
      </w:r>
      <w:r w:rsidRPr="00EF6C23">
        <w:rPr>
          <w:rFonts w:ascii="Bookman Old Style" w:hAnsi="Bookman Old Style"/>
        </w:rPr>
        <w:t xml:space="preserve"> de </w:t>
      </w:r>
      <w:r w:rsidR="00175714">
        <w:rPr>
          <w:rFonts w:ascii="Bookman Old Style" w:hAnsi="Bookman Old Style"/>
        </w:rPr>
        <w:t xml:space="preserve">abril </w:t>
      </w:r>
      <w:r w:rsidRPr="00EF6C23">
        <w:rPr>
          <w:rFonts w:ascii="Bookman Old Style" w:hAnsi="Bookman Old Style"/>
        </w:rPr>
        <w:t>de 20</w:t>
      </w:r>
      <w:r w:rsidR="00175714">
        <w:rPr>
          <w:rFonts w:ascii="Bookman Old Style" w:hAnsi="Bookman Old Style"/>
        </w:rPr>
        <w:t>12</w:t>
      </w:r>
      <w:r w:rsidRPr="00EF6C23">
        <w:rPr>
          <w:rFonts w:ascii="Bookman Old Style" w:hAnsi="Bookman Old Style"/>
        </w:rPr>
        <w:t>, conforme a lo ordenado por la Comisión;</w:t>
      </w:r>
    </w:p>
    <w:p w:rsidR="002B56D9" w:rsidRDefault="002B56D9" w:rsidP="00AA3367">
      <w:pPr>
        <w:ind w:left="0"/>
        <w:jc w:val="both"/>
        <w:rPr>
          <w:rFonts w:ascii="Bookman Old Style" w:hAnsi="Bookman Old Style"/>
        </w:rPr>
      </w:pPr>
    </w:p>
    <w:p w:rsidR="002B56D9" w:rsidRDefault="002B56D9" w:rsidP="00AA3367">
      <w:pPr>
        <w:ind w:left="0"/>
        <w:jc w:val="both"/>
        <w:rPr>
          <w:rFonts w:ascii="Bookman Old Style" w:hAnsi="Bookman Old Style"/>
        </w:rPr>
      </w:pPr>
      <w:r>
        <w:rPr>
          <w:rFonts w:ascii="Bookman Old Style" w:hAnsi="Bookman Old Style"/>
        </w:rPr>
        <w:t xml:space="preserve">Que debido a que se encontraron diferencias entre las unidades constructivas solicitadas por la </w:t>
      </w:r>
      <w:r w:rsidRPr="002B56D9">
        <w:rPr>
          <w:rFonts w:ascii="Bookman Old Style" w:hAnsi="Bookman Old Style"/>
        </w:rPr>
        <w:t>Electrificadora de Santander S.A. E.S.P.</w:t>
      </w:r>
      <w:r>
        <w:rPr>
          <w:rFonts w:ascii="Bookman Old Style" w:hAnsi="Bookman Old Style"/>
        </w:rPr>
        <w:t xml:space="preserve"> y las aprobadas en el concepto emitido por la UPME,</w:t>
      </w:r>
      <w:r w:rsidR="00DD35CC">
        <w:rPr>
          <w:rFonts w:ascii="Bookman Old Style" w:hAnsi="Bookman Old Style"/>
        </w:rPr>
        <w:t xml:space="preserve"> así como </w:t>
      </w:r>
      <w:r w:rsidR="00B44064">
        <w:rPr>
          <w:rFonts w:ascii="Bookman Old Style" w:hAnsi="Bookman Old Style"/>
        </w:rPr>
        <w:t>en</w:t>
      </w:r>
      <w:r w:rsidR="00DD35CC">
        <w:rPr>
          <w:rFonts w:ascii="Bookman Old Style" w:hAnsi="Bookman Old Style"/>
        </w:rPr>
        <w:t xml:space="preserve"> la fecha de entrada en operación prevista para el proyecto,</w:t>
      </w:r>
      <w:r>
        <w:rPr>
          <w:rFonts w:ascii="Bookman Old Style" w:hAnsi="Bookman Old Style"/>
        </w:rPr>
        <w:t xml:space="preserve"> mediante comunicación con radicado CREG S-2012-001975 se solicitó a esa entidad</w:t>
      </w:r>
      <w:r w:rsidR="00DD35CC">
        <w:rPr>
          <w:rFonts w:ascii="Bookman Old Style" w:hAnsi="Bookman Old Style"/>
        </w:rPr>
        <w:t xml:space="preserve"> confirmar la vigencia del concepto</w:t>
      </w:r>
      <w:r w:rsidR="0093249A">
        <w:rPr>
          <w:rFonts w:ascii="Bookman Old Style" w:hAnsi="Bookman Old Style"/>
        </w:rPr>
        <w:t>;</w:t>
      </w:r>
    </w:p>
    <w:p w:rsidR="00DD35CC" w:rsidRDefault="00DD35CC" w:rsidP="00AA3367">
      <w:pPr>
        <w:ind w:left="0"/>
        <w:jc w:val="both"/>
        <w:rPr>
          <w:rFonts w:ascii="Bookman Old Style" w:hAnsi="Bookman Old Style"/>
        </w:rPr>
      </w:pPr>
    </w:p>
    <w:p w:rsidR="00DD35CC" w:rsidRDefault="00DD35CC" w:rsidP="00AA3367">
      <w:pPr>
        <w:ind w:left="0"/>
        <w:jc w:val="both"/>
        <w:rPr>
          <w:rFonts w:ascii="Bookman Old Style" w:hAnsi="Bookman Old Style"/>
        </w:rPr>
      </w:pPr>
      <w:r>
        <w:rPr>
          <w:rFonts w:ascii="Bookman Old Style" w:hAnsi="Bookman Old Style"/>
        </w:rPr>
        <w:t xml:space="preserve">Que en respuesta a lo solicitado, la UPME, mediante comunicación con radicado CREG E-2012-006023 confirmó la vigencia del concepto y dio alcance respecto a los activos aprobados, con lo que se hace coherente la solicitud hecha por la </w:t>
      </w:r>
      <w:r w:rsidRPr="00DD35CC">
        <w:rPr>
          <w:rFonts w:ascii="Bookman Old Style" w:hAnsi="Bookman Old Style"/>
        </w:rPr>
        <w:t>Electrificadora de Santander S.A. E.S.P.</w:t>
      </w:r>
      <w:r>
        <w:rPr>
          <w:rFonts w:ascii="Bookman Old Style" w:hAnsi="Bookman Old Style"/>
        </w:rPr>
        <w:t xml:space="preserve"> y lo aprobado por la UPME</w:t>
      </w:r>
      <w:r w:rsidR="0093249A">
        <w:rPr>
          <w:rFonts w:ascii="Bookman Old Style" w:hAnsi="Bookman Old Style"/>
        </w:rPr>
        <w:t>;</w:t>
      </w:r>
    </w:p>
    <w:p w:rsidR="00AA3367" w:rsidRDefault="00AA3367" w:rsidP="00AA3367">
      <w:pPr>
        <w:ind w:left="0"/>
        <w:jc w:val="both"/>
        <w:rPr>
          <w:rFonts w:ascii="Bookman Old Style" w:hAnsi="Bookman Old Style"/>
        </w:rPr>
      </w:pPr>
    </w:p>
    <w:p w:rsidR="002D7E0C" w:rsidRDefault="002D7E0C" w:rsidP="00E433F6">
      <w:pPr>
        <w:ind w:left="0"/>
        <w:jc w:val="both"/>
        <w:rPr>
          <w:rFonts w:ascii="Bookman Old Style" w:hAnsi="Bookman Old Style"/>
        </w:rPr>
      </w:pPr>
      <w:r>
        <w:rPr>
          <w:rFonts w:ascii="Bookman Old Style" w:hAnsi="Bookman Old Style"/>
        </w:rPr>
        <w:t xml:space="preserve">Que con el fin de verificar las características de los activos solicitados por la empresa, el día </w:t>
      </w:r>
      <w:r w:rsidR="00DD35CC">
        <w:rPr>
          <w:rFonts w:ascii="Bookman Old Style" w:hAnsi="Bookman Old Style"/>
        </w:rPr>
        <w:t>31</w:t>
      </w:r>
      <w:r>
        <w:rPr>
          <w:rFonts w:ascii="Bookman Old Style" w:hAnsi="Bookman Old Style"/>
        </w:rPr>
        <w:t xml:space="preserve"> de </w:t>
      </w:r>
      <w:r w:rsidR="00DD35CC">
        <w:rPr>
          <w:rFonts w:ascii="Bookman Old Style" w:hAnsi="Bookman Old Style"/>
        </w:rPr>
        <w:t xml:space="preserve">mayo </w:t>
      </w:r>
      <w:r>
        <w:rPr>
          <w:rFonts w:ascii="Bookman Old Style" w:hAnsi="Bookman Old Style"/>
        </w:rPr>
        <w:t xml:space="preserve">de 2012 funcionarios de la CREG llevaron a cabo una visita a la Subestación </w:t>
      </w:r>
      <w:r w:rsidR="00DD35CC">
        <w:rPr>
          <w:rFonts w:ascii="Bookman Old Style" w:hAnsi="Bookman Old Style"/>
        </w:rPr>
        <w:t>Piedecuesta 1</w:t>
      </w:r>
      <w:r>
        <w:rPr>
          <w:rFonts w:ascii="Bookman Old Style" w:hAnsi="Bookman Old Style"/>
        </w:rPr>
        <w:t xml:space="preserve">15 </w:t>
      </w:r>
      <w:proofErr w:type="spellStart"/>
      <w:r>
        <w:rPr>
          <w:rFonts w:ascii="Bookman Old Style" w:hAnsi="Bookman Old Style"/>
        </w:rPr>
        <w:t>kV</w:t>
      </w:r>
      <w:proofErr w:type="spellEnd"/>
      <w:r>
        <w:rPr>
          <w:rFonts w:ascii="Bookman Old Style" w:hAnsi="Bookman Old Style"/>
        </w:rPr>
        <w:t xml:space="preserve">, la cual fue acompañada por personal de la </w:t>
      </w:r>
      <w:r w:rsidR="00DD35CC" w:rsidRPr="00DD35CC">
        <w:rPr>
          <w:rFonts w:ascii="Bookman Old Style" w:hAnsi="Bookman Old Style"/>
        </w:rPr>
        <w:t>Electrificadora de Santander S.A. E.S.P.</w:t>
      </w:r>
      <w:r>
        <w:rPr>
          <w:rFonts w:ascii="Bookman Old Style" w:hAnsi="Bookman Old Style"/>
        </w:rPr>
        <w:t>;</w:t>
      </w:r>
    </w:p>
    <w:p w:rsidR="002D7E0C" w:rsidRDefault="002D7E0C" w:rsidP="00E433F6">
      <w:pPr>
        <w:ind w:left="0"/>
        <w:jc w:val="both"/>
        <w:rPr>
          <w:rFonts w:ascii="Bookman Old Style" w:hAnsi="Bookman Old Style"/>
        </w:rPr>
      </w:pPr>
    </w:p>
    <w:p w:rsidR="00AA3367" w:rsidRDefault="00822AE9" w:rsidP="00E433F6">
      <w:pPr>
        <w:ind w:left="0"/>
        <w:jc w:val="both"/>
        <w:rPr>
          <w:rFonts w:ascii="Bookman Old Style" w:hAnsi="Bookman Old Style"/>
        </w:rPr>
      </w:pPr>
      <w:r>
        <w:rPr>
          <w:rFonts w:ascii="Bookman Old Style" w:hAnsi="Bookman Old Style"/>
        </w:rPr>
        <w:t xml:space="preserve">Que en la verificación de activos llevada a cabo se encontró que </w:t>
      </w:r>
      <w:r w:rsidR="00DD35CC">
        <w:rPr>
          <w:rFonts w:ascii="Bookman Old Style" w:hAnsi="Bookman Old Style"/>
        </w:rPr>
        <w:t>los activos solicitados por la empresa coincidían con los que se encuentran operando en la subestación Piedecuesta, con excepción de la unidad de adquisi</w:t>
      </w:r>
      <w:r w:rsidR="007A462D">
        <w:rPr>
          <w:rFonts w:ascii="Bookman Old Style" w:hAnsi="Bookman Old Style"/>
        </w:rPr>
        <w:t xml:space="preserve">ción de datos pues el equipo verificado en terreno hace parte de los equipos que se remuneran con las unidades constructivas de </w:t>
      </w:r>
      <w:r w:rsidR="00F75DE2">
        <w:rPr>
          <w:rFonts w:ascii="Bookman Old Style" w:hAnsi="Bookman Old Style"/>
        </w:rPr>
        <w:t xml:space="preserve">las </w:t>
      </w:r>
      <w:r w:rsidR="007A462D">
        <w:rPr>
          <w:rFonts w:ascii="Bookman Old Style" w:hAnsi="Bookman Old Style"/>
        </w:rPr>
        <w:t>bahía</w:t>
      </w:r>
      <w:r w:rsidR="00F75DE2">
        <w:rPr>
          <w:rFonts w:ascii="Bookman Old Style" w:hAnsi="Bookman Old Style"/>
        </w:rPr>
        <w:t>s</w:t>
      </w:r>
      <w:r w:rsidR="007A462D">
        <w:rPr>
          <w:rFonts w:ascii="Bookman Old Style" w:hAnsi="Bookman Old Style"/>
        </w:rPr>
        <w:t xml:space="preserve"> de línea</w:t>
      </w:r>
      <w:r w:rsidR="00DC255D">
        <w:rPr>
          <w:rFonts w:ascii="Bookman Old Style" w:hAnsi="Bookman Old Style"/>
        </w:rPr>
        <w:t>;</w:t>
      </w:r>
    </w:p>
    <w:p w:rsidR="00AA3367" w:rsidRDefault="00AA3367" w:rsidP="00E433F6">
      <w:pPr>
        <w:ind w:left="0"/>
        <w:jc w:val="both"/>
        <w:rPr>
          <w:rFonts w:ascii="Bookman Old Style" w:hAnsi="Bookman Old Style"/>
        </w:rPr>
      </w:pPr>
    </w:p>
    <w:p w:rsidR="00A90A01" w:rsidRDefault="00A90A01" w:rsidP="00E433F6">
      <w:pPr>
        <w:ind w:left="0"/>
        <w:jc w:val="both"/>
        <w:rPr>
          <w:rFonts w:ascii="Bookman Old Style" w:hAnsi="Bookman Old Style"/>
        </w:rPr>
      </w:pPr>
      <w:r>
        <w:rPr>
          <w:rFonts w:ascii="Bookman Old Style" w:hAnsi="Bookman Old Style"/>
        </w:rPr>
        <w:t xml:space="preserve">Que como resultado del análisis de la información entregada </w:t>
      </w:r>
      <w:r w:rsidR="00617137">
        <w:rPr>
          <w:rFonts w:ascii="Bookman Old Style" w:hAnsi="Bookman Old Style"/>
        </w:rPr>
        <w:t xml:space="preserve">por la </w:t>
      </w:r>
      <w:r w:rsidR="007A462D" w:rsidRPr="007A462D">
        <w:rPr>
          <w:rFonts w:ascii="Bookman Old Style" w:hAnsi="Bookman Old Style"/>
        </w:rPr>
        <w:t>Electrificadora de Santander S.A. E.S.P.</w:t>
      </w:r>
      <w:r w:rsidR="00617137">
        <w:rPr>
          <w:rFonts w:ascii="Bookman Old Style" w:hAnsi="Bookman Old Style"/>
        </w:rPr>
        <w:t xml:space="preserve"> </w:t>
      </w:r>
      <w:r w:rsidR="00D41220">
        <w:rPr>
          <w:rFonts w:ascii="Bookman Old Style" w:hAnsi="Bookman Old Style"/>
        </w:rPr>
        <w:t>durante la actuación administrativa</w:t>
      </w:r>
      <w:r w:rsidR="00617137">
        <w:rPr>
          <w:rFonts w:ascii="Bookman Old Style" w:hAnsi="Bookman Old Style"/>
        </w:rPr>
        <w:t>,</w:t>
      </w:r>
      <w:r w:rsidR="00D41220">
        <w:rPr>
          <w:rFonts w:ascii="Bookman Old Style" w:hAnsi="Bookman Old Style"/>
        </w:rPr>
        <w:t xml:space="preserve"> </w:t>
      </w:r>
      <w:r>
        <w:rPr>
          <w:rFonts w:ascii="Bookman Old Style" w:hAnsi="Bookman Old Style"/>
        </w:rPr>
        <w:t>se ajustó el inve</w:t>
      </w:r>
      <w:r w:rsidR="0093506B">
        <w:rPr>
          <w:rFonts w:ascii="Bookman Old Style" w:hAnsi="Bookman Old Style"/>
        </w:rPr>
        <w:t>ntario de activos de la empresa;</w:t>
      </w:r>
    </w:p>
    <w:p w:rsidR="00617137" w:rsidRDefault="00617137" w:rsidP="00E433F6">
      <w:pPr>
        <w:ind w:left="0"/>
        <w:jc w:val="both"/>
        <w:rPr>
          <w:rFonts w:ascii="Bookman Old Style" w:hAnsi="Bookman Old Style"/>
        </w:rPr>
      </w:pPr>
    </w:p>
    <w:p w:rsidR="00617137" w:rsidRDefault="00617137" w:rsidP="00E433F6">
      <w:pPr>
        <w:ind w:left="0"/>
        <w:jc w:val="both"/>
        <w:rPr>
          <w:rFonts w:ascii="Bookman Old Style" w:hAnsi="Bookman Old Style"/>
        </w:rPr>
      </w:pPr>
      <w:r>
        <w:rPr>
          <w:rFonts w:ascii="Bookman Old Style" w:hAnsi="Bookman Old Style"/>
        </w:rPr>
        <w:t>Que aplicada la metodología establecida en la Resolución CREG 097 de 2008 se calc</w:t>
      </w:r>
      <w:r w:rsidR="00E9263F">
        <w:rPr>
          <w:rFonts w:ascii="Bookman Old Style" w:hAnsi="Bookman Old Style"/>
        </w:rPr>
        <w:t>ularon las siguientes variables</w:t>
      </w:r>
      <w:r>
        <w:rPr>
          <w:rFonts w:ascii="Bookman Old Style" w:hAnsi="Bookman Old Style"/>
        </w:rPr>
        <w:t>:</w:t>
      </w:r>
    </w:p>
    <w:p w:rsidR="00066776" w:rsidRDefault="00066776" w:rsidP="00E433F6">
      <w:pPr>
        <w:ind w:left="0"/>
        <w:jc w:val="both"/>
        <w:rPr>
          <w:rFonts w:ascii="Bookman Old Style" w:hAnsi="Bookman Old Style"/>
        </w:rPr>
      </w:pPr>
    </w:p>
    <w:p w:rsidR="00617137" w:rsidRDefault="00617137" w:rsidP="00E433F6">
      <w:pPr>
        <w:ind w:left="0"/>
        <w:jc w:val="both"/>
        <w:rPr>
          <w:rFonts w:ascii="Bookman Old Style" w:hAnsi="Bookman Old Style"/>
        </w:rPr>
      </w:pPr>
    </w:p>
    <w:tbl>
      <w:tblPr>
        <w:tblW w:w="6977" w:type="dxa"/>
        <w:jc w:val="center"/>
        <w:tblInd w:w="-622" w:type="dxa"/>
        <w:tblCellMar>
          <w:left w:w="70" w:type="dxa"/>
          <w:right w:w="70" w:type="dxa"/>
        </w:tblCellMar>
        <w:tblLook w:val="04A0" w:firstRow="1" w:lastRow="0" w:firstColumn="1" w:lastColumn="0" w:noHBand="0" w:noVBand="1"/>
      </w:tblPr>
      <w:tblGrid>
        <w:gridCol w:w="2411"/>
        <w:gridCol w:w="1573"/>
        <w:gridCol w:w="1420"/>
        <w:gridCol w:w="1573"/>
      </w:tblGrid>
      <w:tr w:rsidR="00E9263F" w:rsidRPr="008C7515" w:rsidTr="007D77E9">
        <w:trPr>
          <w:trHeight w:val="525"/>
          <w:jc w:val="center"/>
        </w:trPr>
        <w:tc>
          <w:tcPr>
            <w:tcW w:w="2411" w:type="dxa"/>
            <w:tcBorders>
              <w:top w:val="single" w:sz="8" w:space="0" w:color="auto"/>
              <w:left w:val="single" w:sz="8" w:space="0" w:color="auto"/>
              <w:bottom w:val="single" w:sz="8" w:space="0" w:color="auto"/>
              <w:right w:val="nil"/>
            </w:tcBorders>
            <w:shd w:val="clear" w:color="auto" w:fill="FFFFFF" w:themeFill="background1"/>
            <w:vAlign w:val="center"/>
            <w:hideMark/>
          </w:tcPr>
          <w:p w:rsidR="00E9263F" w:rsidRPr="008C7515" w:rsidRDefault="007D77E9" w:rsidP="00E9263F">
            <w:pPr>
              <w:ind w:left="0"/>
              <w:jc w:val="center"/>
              <w:rPr>
                <w:rFonts w:ascii="Bookman Old Style" w:hAnsi="Bookman Old Style"/>
                <w:b/>
                <w:bCs/>
                <w:color w:val="000000"/>
                <w:sz w:val="20"/>
                <w:szCs w:val="20"/>
              </w:rPr>
            </w:pPr>
            <w:r w:rsidRPr="008C7515">
              <w:rPr>
                <w:rFonts w:ascii="Bookman Old Style" w:hAnsi="Bookman Old Style"/>
                <w:b/>
                <w:bCs/>
                <w:color w:val="000000"/>
                <w:sz w:val="20"/>
                <w:szCs w:val="20"/>
              </w:rPr>
              <w:t>Cotos anuales</w:t>
            </w:r>
          </w:p>
          <w:p w:rsidR="001A38F3" w:rsidRPr="008C7515" w:rsidRDefault="001A38F3" w:rsidP="001A38F3">
            <w:pPr>
              <w:ind w:left="0"/>
              <w:jc w:val="center"/>
              <w:rPr>
                <w:rFonts w:ascii="Bookman Old Style" w:hAnsi="Bookman Old Style"/>
                <w:b/>
                <w:bCs/>
                <w:color w:val="000000"/>
                <w:sz w:val="20"/>
                <w:szCs w:val="20"/>
              </w:rPr>
            </w:pPr>
            <w:r w:rsidRPr="008C7515">
              <w:rPr>
                <w:rFonts w:ascii="Bookman Old Style" w:hAnsi="Bookman Old Style"/>
                <w:b/>
                <w:bCs/>
                <w:color w:val="000000"/>
                <w:sz w:val="20"/>
                <w:szCs w:val="20"/>
              </w:rPr>
              <w:t>[Pesos dic 2007]</w:t>
            </w:r>
          </w:p>
        </w:tc>
        <w:tc>
          <w:tcPr>
            <w:tcW w:w="15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E9263F" w:rsidRPr="008C7515" w:rsidRDefault="00E9263F" w:rsidP="00E9263F">
            <w:pPr>
              <w:ind w:left="0"/>
              <w:jc w:val="center"/>
              <w:rPr>
                <w:rFonts w:ascii="Bookman Old Style" w:hAnsi="Bookman Old Style"/>
                <w:b/>
                <w:bCs/>
                <w:color w:val="000000"/>
                <w:sz w:val="20"/>
                <w:szCs w:val="20"/>
              </w:rPr>
            </w:pPr>
            <w:proofErr w:type="spellStart"/>
            <w:r w:rsidRPr="008C7515">
              <w:rPr>
                <w:rFonts w:ascii="Bookman Old Style" w:hAnsi="Bookman Old Style"/>
                <w:b/>
                <w:bCs/>
                <w:color w:val="000000"/>
                <w:sz w:val="20"/>
                <w:szCs w:val="20"/>
              </w:rPr>
              <w:t>NCAAE</w:t>
            </w:r>
            <w:r w:rsidRPr="008C7515">
              <w:rPr>
                <w:rFonts w:ascii="Bookman Old Style" w:hAnsi="Bookman Old Style"/>
                <w:b/>
                <w:bCs/>
                <w:color w:val="000000"/>
                <w:sz w:val="20"/>
                <w:szCs w:val="20"/>
                <w:vertAlign w:val="subscript"/>
              </w:rPr>
              <w:t>j,n</w:t>
            </w:r>
            <w:proofErr w:type="spellEnd"/>
          </w:p>
        </w:tc>
        <w:tc>
          <w:tcPr>
            <w:tcW w:w="142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9263F" w:rsidRPr="008C7515" w:rsidRDefault="00E9263F" w:rsidP="00E9263F">
            <w:pPr>
              <w:ind w:left="0"/>
              <w:jc w:val="center"/>
              <w:rPr>
                <w:rFonts w:ascii="Bookman Old Style" w:hAnsi="Bookman Old Style"/>
                <w:b/>
                <w:bCs/>
                <w:color w:val="000000"/>
                <w:sz w:val="20"/>
                <w:szCs w:val="20"/>
              </w:rPr>
            </w:pPr>
            <w:proofErr w:type="spellStart"/>
            <w:r w:rsidRPr="008C7515">
              <w:rPr>
                <w:rFonts w:ascii="Bookman Old Style" w:hAnsi="Bookman Old Style"/>
                <w:b/>
                <w:bCs/>
                <w:color w:val="000000"/>
                <w:sz w:val="20"/>
                <w:szCs w:val="20"/>
              </w:rPr>
              <w:t>CAANE</w:t>
            </w:r>
            <w:r w:rsidRPr="008C7515">
              <w:rPr>
                <w:rFonts w:ascii="Bookman Old Style" w:hAnsi="Bookman Old Style"/>
                <w:b/>
                <w:bCs/>
                <w:color w:val="000000"/>
                <w:sz w:val="20"/>
                <w:szCs w:val="20"/>
                <w:vertAlign w:val="subscript"/>
              </w:rPr>
              <w:t>j,n</w:t>
            </w:r>
            <w:proofErr w:type="spellEnd"/>
          </w:p>
        </w:tc>
        <w:tc>
          <w:tcPr>
            <w:tcW w:w="1573"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9263F" w:rsidRPr="008C7515" w:rsidRDefault="00E9263F" w:rsidP="00E9263F">
            <w:pPr>
              <w:ind w:left="0"/>
              <w:jc w:val="center"/>
              <w:rPr>
                <w:rFonts w:ascii="Bookman Old Style" w:hAnsi="Bookman Old Style"/>
                <w:b/>
                <w:bCs/>
                <w:color w:val="000000"/>
                <w:sz w:val="20"/>
                <w:szCs w:val="20"/>
              </w:rPr>
            </w:pPr>
            <w:proofErr w:type="spellStart"/>
            <w:r w:rsidRPr="008C7515">
              <w:rPr>
                <w:rFonts w:ascii="Bookman Old Style" w:hAnsi="Bookman Old Style"/>
                <w:b/>
                <w:bCs/>
                <w:color w:val="000000"/>
                <w:sz w:val="20"/>
                <w:szCs w:val="20"/>
              </w:rPr>
              <w:t>AOM</w:t>
            </w:r>
            <w:r w:rsidRPr="008C7515">
              <w:rPr>
                <w:rFonts w:ascii="Bookman Old Style" w:hAnsi="Bookman Old Style"/>
                <w:b/>
                <w:bCs/>
                <w:color w:val="000000"/>
                <w:sz w:val="20"/>
                <w:szCs w:val="20"/>
                <w:vertAlign w:val="subscript"/>
              </w:rPr>
              <w:t>j,n</w:t>
            </w:r>
            <w:proofErr w:type="spellEnd"/>
          </w:p>
        </w:tc>
      </w:tr>
      <w:tr w:rsidR="00E9263F" w:rsidRPr="00434776" w:rsidTr="007D77E9">
        <w:trPr>
          <w:trHeight w:val="385"/>
          <w:jc w:val="center"/>
        </w:trPr>
        <w:tc>
          <w:tcPr>
            <w:tcW w:w="2411" w:type="dxa"/>
            <w:tcBorders>
              <w:top w:val="nil"/>
              <w:left w:val="single" w:sz="8" w:space="0" w:color="auto"/>
              <w:bottom w:val="single" w:sz="4" w:space="0" w:color="auto"/>
              <w:right w:val="nil"/>
            </w:tcBorders>
            <w:shd w:val="clear" w:color="000000" w:fill="FFFFFF"/>
            <w:noWrap/>
            <w:vAlign w:val="center"/>
            <w:hideMark/>
          </w:tcPr>
          <w:p w:rsidR="00E9263F" w:rsidRPr="008C7515" w:rsidRDefault="007D77E9" w:rsidP="007D77E9">
            <w:pPr>
              <w:ind w:left="0"/>
              <w:jc w:val="center"/>
              <w:rPr>
                <w:rFonts w:ascii="Bookman Old Style" w:hAnsi="Bookman Old Style"/>
                <w:bCs/>
                <w:color w:val="000000"/>
                <w:sz w:val="20"/>
                <w:szCs w:val="20"/>
              </w:rPr>
            </w:pPr>
            <w:r w:rsidRPr="008C7515">
              <w:rPr>
                <w:rFonts w:ascii="Bookman Old Style" w:hAnsi="Bookman Old Style"/>
                <w:bCs/>
                <w:color w:val="000000"/>
                <w:sz w:val="20"/>
                <w:szCs w:val="20"/>
              </w:rPr>
              <w:t xml:space="preserve">Nivel de Tensión </w:t>
            </w:r>
            <w:r w:rsidR="00E9263F" w:rsidRPr="008C7515">
              <w:rPr>
                <w:rFonts w:ascii="Bookman Old Style" w:hAnsi="Bookman Old Style"/>
                <w:bCs/>
                <w:color w:val="000000"/>
                <w:sz w:val="20"/>
                <w:szCs w:val="20"/>
              </w:rPr>
              <w:t>4</w:t>
            </w:r>
          </w:p>
        </w:tc>
        <w:tc>
          <w:tcPr>
            <w:tcW w:w="1573" w:type="dxa"/>
            <w:tcBorders>
              <w:top w:val="nil"/>
              <w:left w:val="single" w:sz="8" w:space="0" w:color="auto"/>
              <w:bottom w:val="single" w:sz="4" w:space="0" w:color="auto"/>
              <w:right w:val="single" w:sz="8" w:space="0" w:color="auto"/>
            </w:tcBorders>
            <w:vAlign w:val="center"/>
          </w:tcPr>
          <w:p w:rsidR="00E9263F" w:rsidRPr="008C7515" w:rsidRDefault="00FB45E7" w:rsidP="00A33B38">
            <w:pPr>
              <w:ind w:left="0"/>
              <w:jc w:val="center"/>
              <w:rPr>
                <w:rFonts w:ascii="Bookman Old Style" w:hAnsi="Bookman Old Style"/>
                <w:color w:val="000000"/>
                <w:sz w:val="20"/>
                <w:szCs w:val="20"/>
              </w:rPr>
            </w:pPr>
            <w:r w:rsidRPr="00FB45E7">
              <w:rPr>
                <w:rFonts w:ascii="Bookman Old Style" w:hAnsi="Bookman Old Style"/>
                <w:color w:val="000000"/>
                <w:sz w:val="20"/>
                <w:szCs w:val="20"/>
              </w:rPr>
              <w:t>1</w:t>
            </w:r>
            <w:r w:rsidR="00A33B38">
              <w:rPr>
                <w:rFonts w:ascii="Bookman Old Style" w:hAnsi="Bookman Old Style"/>
                <w:color w:val="000000"/>
                <w:sz w:val="20"/>
                <w:szCs w:val="20"/>
              </w:rPr>
              <w:t>.</w:t>
            </w:r>
            <w:r w:rsidRPr="00FB45E7">
              <w:rPr>
                <w:rFonts w:ascii="Bookman Old Style" w:hAnsi="Bookman Old Style"/>
                <w:color w:val="000000"/>
                <w:sz w:val="20"/>
                <w:szCs w:val="20"/>
              </w:rPr>
              <w:t>895</w:t>
            </w:r>
            <w:r w:rsidR="00A33B38">
              <w:rPr>
                <w:rFonts w:ascii="Bookman Old Style" w:hAnsi="Bookman Old Style"/>
                <w:color w:val="000000"/>
                <w:sz w:val="20"/>
                <w:szCs w:val="20"/>
              </w:rPr>
              <w:t>.</w:t>
            </w:r>
            <w:r w:rsidRPr="00FB45E7">
              <w:rPr>
                <w:rFonts w:ascii="Bookman Old Style" w:hAnsi="Bookman Old Style"/>
                <w:color w:val="000000"/>
                <w:sz w:val="20"/>
                <w:szCs w:val="20"/>
              </w:rPr>
              <w:t>754</w:t>
            </w:r>
            <w:r w:rsidR="00A33B38">
              <w:rPr>
                <w:rFonts w:ascii="Bookman Old Style" w:hAnsi="Bookman Old Style"/>
                <w:color w:val="000000"/>
                <w:sz w:val="20"/>
                <w:szCs w:val="20"/>
              </w:rPr>
              <w:t>.</w:t>
            </w:r>
            <w:r w:rsidRPr="00FB45E7">
              <w:rPr>
                <w:rFonts w:ascii="Bookman Old Style" w:hAnsi="Bookman Old Style"/>
                <w:color w:val="000000"/>
                <w:sz w:val="20"/>
                <w:szCs w:val="20"/>
              </w:rPr>
              <w:t>043</w:t>
            </w:r>
          </w:p>
        </w:tc>
        <w:tc>
          <w:tcPr>
            <w:tcW w:w="1420" w:type="dxa"/>
            <w:tcBorders>
              <w:top w:val="nil"/>
              <w:left w:val="nil"/>
              <w:bottom w:val="single" w:sz="4" w:space="0" w:color="auto"/>
              <w:right w:val="single" w:sz="8" w:space="0" w:color="auto"/>
            </w:tcBorders>
            <w:shd w:val="clear" w:color="auto" w:fill="auto"/>
            <w:noWrap/>
            <w:vAlign w:val="center"/>
          </w:tcPr>
          <w:p w:rsidR="00E9263F" w:rsidRPr="008C7515" w:rsidRDefault="00FB45E7" w:rsidP="00A33B38">
            <w:pPr>
              <w:ind w:left="0"/>
              <w:jc w:val="center"/>
              <w:rPr>
                <w:rFonts w:ascii="Bookman Old Style" w:hAnsi="Bookman Old Style"/>
                <w:color w:val="000000"/>
                <w:sz w:val="20"/>
                <w:szCs w:val="20"/>
              </w:rPr>
            </w:pPr>
            <w:r>
              <w:rPr>
                <w:rFonts w:ascii="Bookman Old Style" w:hAnsi="Bookman Old Style"/>
                <w:color w:val="000000"/>
                <w:sz w:val="20"/>
                <w:szCs w:val="20"/>
              </w:rPr>
              <w:t>992</w:t>
            </w:r>
            <w:r w:rsidR="00A33B38">
              <w:rPr>
                <w:rFonts w:ascii="Bookman Old Style" w:hAnsi="Bookman Old Style"/>
                <w:color w:val="000000"/>
                <w:sz w:val="20"/>
                <w:szCs w:val="20"/>
              </w:rPr>
              <w:t>.</w:t>
            </w:r>
            <w:r>
              <w:rPr>
                <w:rFonts w:ascii="Bookman Old Style" w:hAnsi="Bookman Old Style"/>
                <w:color w:val="000000"/>
                <w:sz w:val="20"/>
                <w:szCs w:val="20"/>
              </w:rPr>
              <w:t>376</w:t>
            </w:r>
            <w:r w:rsidR="00A33B38">
              <w:rPr>
                <w:rFonts w:ascii="Bookman Old Style" w:hAnsi="Bookman Old Style"/>
                <w:color w:val="000000"/>
                <w:sz w:val="20"/>
                <w:szCs w:val="20"/>
              </w:rPr>
              <w:t>.</w:t>
            </w:r>
            <w:r>
              <w:rPr>
                <w:rFonts w:ascii="Bookman Old Style" w:hAnsi="Bookman Old Style"/>
                <w:color w:val="000000"/>
                <w:sz w:val="20"/>
                <w:szCs w:val="20"/>
              </w:rPr>
              <w:t>123</w:t>
            </w:r>
          </w:p>
        </w:tc>
        <w:tc>
          <w:tcPr>
            <w:tcW w:w="1573" w:type="dxa"/>
            <w:tcBorders>
              <w:top w:val="nil"/>
              <w:left w:val="nil"/>
              <w:bottom w:val="single" w:sz="4" w:space="0" w:color="auto"/>
              <w:right w:val="single" w:sz="8" w:space="0" w:color="auto"/>
            </w:tcBorders>
            <w:shd w:val="clear" w:color="auto" w:fill="auto"/>
            <w:noWrap/>
            <w:vAlign w:val="center"/>
          </w:tcPr>
          <w:p w:rsidR="00E9263F" w:rsidRPr="008C7515" w:rsidRDefault="00FB45E7" w:rsidP="00A33B38">
            <w:pPr>
              <w:ind w:left="0"/>
              <w:jc w:val="center"/>
              <w:rPr>
                <w:rFonts w:ascii="Bookman Old Style" w:hAnsi="Bookman Old Style"/>
                <w:color w:val="000000"/>
                <w:sz w:val="20"/>
                <w:szCs w:val="20"/>
              </w:rPr>
            </w:pPr>
            <w:r>
              <w:rPr>
                <w:rFonts w:ascii="Bookman Old Style" w:hAnsi="Bookman Old Style"/>
                <w:color w:val="000000"/>
                <w:sz w:val="20"/>
                <w:szCs w:val="20"/>
              </w:rPr>
              <w:t>5</w:t>
            </w:r>
            <w:r w:rsidR="00A33B38">
              <w:rPr>
                <w:rFonts w:ascii="Bookman Old Style" w:hAnsi="Bookman Old Style"/>
                <w:color w:val="000000"/>
                <w:sz w:val="20"/>
                <w:szCs w:val="20"/>
              </w:rPr>
              <w:t>.</w:t>
            </w:r>
            <w:r>
              <w:rPr>
                <w:rFonts w:ascii="Bookman Old Style" w:hAnsi="Bookman Old Style"/>
                <w:color w:val="000000"/>
                <w:sz w:val="20"/>
                <w:szCs w:val="20"/>
              </w:rPr>
              <w:t>295</w:t>
            </w:r>
            <w:r w:rsidR="00A33B38">
              <w:rPr>
                <w:rFonts w:ascii="Bookman Old Style" w:hAnsi="Bookman Old Style"/>
                <w:color w:val="000000"/>
                <w:sz w:val="20"/>
                <w:szCs w:val="20"/>
              </w:rPr>
              <w:t>.</w:t>
            </w:r>
            <w:r>
              <w:rPr>
                <w:rFonts w:ascii="Bookman Old Style" w:hAnsi="Bookman Old Style"/>
                <w:color w:val="000000"/>
                <w:sz w:val="20"/>
                <w:szCs w:val="20"/>
              </w:rPr>
              <w:t>154</w:t>
            </w:r>
            <w:r w:rsidR="00A33B38">
              <w:rPr>
                <w:rFonts w:ascii="Bookman Old Style" w:hAnsi="Bookman Old Style"/>
                <w:color w:val="000000"/>
                <w:sz w:val="20"/>
                <w:szCs w:val="20"/>
              </w:rPr>
              <w:t>.</w:t>
            </w:r>
            <w:r>
              <w:rPr>
                <w:rFonts w:ascii="Bookman Old Style" w:hAnsi="Bookman Old Style"/>
                <w:color w:val="000000"/>
                <w:sz w:val="20"/>
                <w:szCs w:val="20"/>
              </w:rPr>
              <w:t>786</w:t>
            </w:r>
          </w:p>
        </w:tc>
      </w:tr>
    </w:tbl>
    <w:p w:rsidR="00E9263F" w:rsidRDefault="00E9263F" w:rsidP="00E433F6">
      <w:pPr>
        <w:ind w:left="0"/>
        <w:jc w:val="both"/>
        <w:rPr>
          <w:rFonts w:ascii="Bookman Old Style" w:hAnsi="Bookman Old Style"/>
        </w:rPr>
      </w:pPr>
    </w:p>
    <w:p w:rsidR="00066776" w:rsidRDefault="00066776" w:rsidP="00E433F6">
      <w:pPr>
        <w:ind w:left="0"/>
        <w:jc w:val="both"/>
        <w:rPr>
          <w:rFonts w:ascii="Bookman Old Style" w:hAnsi="Bookman Old Style"/>
        </w:rPr>
      </w:pPr>
    </w:p>
    <w:p w:rsidR="0093506B" w:rsidRPr="00D34DBB" w:rsidRDefault="0093506B" w:rsidP="0093506B">
      <w:pPr>
        <w:ind w:left="0"/>
        <w:jc w:val="both"/>
        <w:rPr>
          <w:rFonts w:ascii="Bookman Old Style" w:hAnsi="Bookman Old Style"/>
        </w:rPr>
      </w:pPr>
      <w:r>
        <w:rPr>
          <w:rFonts w:ascii="Bookman Old Style" w:hAnsi="Bookman Old Style"/>
          <w:lang w:val="es-CO"/>
        </w:rPr>
        <w:t>Que e</w:t>
      </w:r>
      <w:r>
        <w:rPr>
          <w:rFonts w:ascii="Bookman Old Style" w:hAnsi="Bookman Old Style"/>
        </w:rPr>
        <w:t>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A90A01" w:rsidRDefault="00A90A01"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93249A">
        <w:rPr>
          <w:rFonts w:ascii="Bookman Old Style" w:hAnsi="Bookman Old Style"/>
        </w:rPr>
        <w:t>529</w:t>
      </w:r>
      <w:r w:rsidR="00FC4E3D">
        <w:rPr>
          <w:rFonts w:ascii="Bookman Old Style" w:hAnsi="Bookman Old Style"/>
        </w:rPr>
        <w:t xml:space="preserve"> </w:t>
      </w:r>
      <w:r w:rsidRPr="000058F4">
        <w:rPr>
          <w:rFonts w:ascii="Bookman Old Style" w:hAnsi="Bookman Old Style"/>
        </w:rPr>
        <w:t xml:space="preserve">del </w:t>
      </w:r>
      <w:r w:rsidR="00671720">
        <w:rPr>
          <w:rFonts w:ascii="Bookman Old Style" w:hAnsi="Bookman Old Style"/>
        </w:rPr>
        <w:t xml:space="preserve">día </w:t>
      </w:r>
      <w:r w:rsidR="0093249A">
        <w:rPr>
          <w:rFonts w:ascii="Bookman Old Style" w:hAnsi="Bookman Old Style"/>
        </w:rPr>
        <w:t>1</w:t>
      </w:r>
      <w:r w:rsidRPr="000058F4">
        <w:rPr>
          <w:rFonts w:ascii="Bookman Old Style" w:hAnsi="Bookman Old Style"/>
        </w:rPr>
        <w:t xml:space="preserve"> de </w:t>
      </w:r>
      <w:r w:rsidR="0093249A">
        <w:rPr>
          <w:rFonts w:ascii="Bookman Old Style" w:hAnsi="Bookman Old Style"/>
        </w:rPr>
        <w:t>agosto</w:t>
      </w:r>
      <w:r w:rsidR="00FC4E3D">
        <w:rPr>
          <w:rFonts w:ascii="Bookman Old Style" w:hAnsi="Bookman Old Style"/>
        </w:rPr>
        <w:t xml:space="preserve"> </w:t>
      </w:r>
      <w:r w:rsidRPr="000058F4">
        <w:rPr>
          <w:rFonts w:ascii="Bookman Old Style" w:hAnsi="Bookman Old Style"/>
        </w:rPr>
        <w:t>de 201</w:t>
      </w:r>
      <w:r w:rsidR="00175714">
        <w:rPr>
          <w:rFonts w:ascii="Bookman Old Style" w:hAnsi="Bookman Old Style"/>
        </w:rPr>
        <w:t>2</w:t>
      </w:r>
      <w:r w:rsidRPr="000058F4">
        <w:rPr>
          <w:rFonts w:ascii="Bookman Old Style" w:hAnsi="Bookman Old Style"/>
        </w:rPr>
        <w:t xml:space="preserve">, aprobó </w:t>
      </w:r>
      <w:r w:rsidR="009C3BBD">
        <w:rPr>
          <w:rFonts w:ascii="Bookman Old Style" w:hAnsi="Bookman Old Style"/>
        </w:rPr>
        <w:t>modificar el Costo Anual por el Uso de los Activos de Nivel de Tensión 4</w:t>
      </w:r>
      <w:r w:rsidR="009C3BBD">
        <w:rPr>
          <w:rFonts w:ascii="Bookman Old Style" w:hAnsi="Bookman Old Style" w:cs="Arial"/>
        </w:rPr>
        <w:t xml:space="preserve"> de la </w:t>
      </w:r>
      <w:r w:rsidR="007A462D" w:rsidRPr="007A462D">
        <w:rPr>
          <w:rFonts w:ascii="Bookman Old Style" w:hAnsi="Bookman Old Style" w:cs="Arial"/>
        </w:rPr>
        <w:t>Electrificadora de Santander S.A. E.S.P.</w:t>
      </w:r>
      <w:r w:rsidR="009C3BBD">
        <w:rPr>
          <w:rFonts w:ascii="Bookman Old Style" w:hAnsi="Bookman Old Style" w:cs="Arial"/>
        </w:rPr>
        <w:t>, por la entrada en operación comercial de</w:t>
      </w:r>
      <w:r w:rsidR="007A462D">
        <w:rPr>
          <w:rFonts w:ascii="Bookman Old Style" w:hAnsi="Bookman Old Style" w:cs="Arial"/>
        </w:rPr>
        <w:t xml:space="preserve"> la subestación Piedecuesta 115 </w:t>
      </w:r>
      <w:proofErr w:type="spellStart"/>
      <w:r w:rsidR="007A462D">
        <w:rPr>
          <w:rFonts w:ascii="Bookman Old Style" w:hAnsi="Bookman Old Style" w:cs="Arial"/>
        </w:rPr>
        <w:t>kV</w:t>
      </w:r>
      <w:proofErr w:type="spellEnd"/>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FB4485" w:rsidRDefault="00FB4485" w:rsidP="00E433F6">
      <w:pPr>
        <w:suppressAutoHyphens/>
        <w:jc w:val="center"/>
        <w:rPr>
          <w:rFonts w:ascii="Bookman Old Style" w:hAnsi="Bookman Old Style" w:cs="Arial"/>
          <w:b/>
          <w:spacing w:val="-3"/>
          <w:sz w:val="26"/>
        </w:rPr>
      </w:pPr>
    </w:p>
    <w:p w:rsidR="00FB4485" w:rsidRDefault="00FB4485" w:rsidP="00E433F6">
      <w:pPr>
        <w:suppressAutoHyphens/>
        <w:jc w:val="center"/>
        <w:rPr>
          <w:rFonts w:ascii="Bookman Old Style" w:hAnsi="Bookman Old Style" w:cs="Arial"/>
          <w:b/>
          <w:spacing w:val="-3"/>
          <w:sz w:val="26"/>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6B71CD" w:rsidRDefault="009C3BBD" w:rsidP="006B71CD">
      <w:pPr>
        <w:widowControl w:val="0"/>
        <w:numPr>
          <w:ilvl w:val="0"/>
          <w:numId w:val="16"/>
        </w:numPr>
        <w:adjustRightInd w:val="0"/>
        <w:jc w:val="both"/>
        <w:textAlignment w:val="baseline"/>
        <w:rPr>
          <w:rFonts w:ascii="Bookman Old Style" w:hAnsi="Bookman Old Style"/>
        </w:rPr>
      </w:pPr>
      <w:r w:rsidRPr="006B71CD">
        <w:rPr>
          <w:rFonts w:ascii="Bookman Old Style" w:hAnsi="Bookman Old Style"/>
        </w:rPr>
        <w:t xml:space="preserve">El </w:t>
      </w:r>
      <w:r w:rsidR="006B71CD">
        <w:rPr>
          <w:rFonts w:ascii="Bookman Old Style" w:hAnsi="Bookman Old Style"/>
        </w:rPr>
        <w:t>A</w:t>
      </w:r>
      <w:r w:rsidRPr="006B71CD">
        <w:rPr>
          <w:rFonts w:ascii="Bookman Old Style" w:hAnsi="Bookman Old Style"/>
        </w:rPr>
        <w:t>rtículo</w:t>
      </w:r>
      <w:r w:rsidR="006B71CD">
        <w:rPr>
          <w:rFonts w:ascii="Bookman Old Style" w:hAnsi="Bookman Old Style"/>
        </w:rPr>
        <w:t xml:space="preserve"> </w:t>
      </w:r>
      <w:r w:rsidRPr="006B71CD">
        <w:rPr>
          <w:rFonts w:ascii="Bookman Old Style" w:hAnsi="Bookman Old Style"/>
        </w:rPr>
        <w:t xml:space="preserve">1 </w:t>
      </w:r>
      <w:r w:rsidR="002316E8">
        <w:rPr>
          <w:rFonts w:ascii="Bookman Old Style" w:hAnsi="Bookman Old Style"/>
        </w:rPr>
        <w:t>de la R</w:t>
      </w:r>
      <w:r w:rsidR="0001033D">
        <w:rPr>
          <w:rFonts w:ascii="Bookman Old Style" w:hAnsi="Bookman Old Style"/>
        </w:rPr>
        <w:t>esolución CREG 121</w:t>
      </w:r>
      <w:r w:rsidRPr="006B71CD">
        <w:rPr>
          <w:rFonts w:ascii="Bookman Old Style" w:hAnsi="Bookman Old Style"/>
        </w:rPr>
        <w:t xml:space="preserve"> de 2009, modificado por la</w:t>
      </w:r>
      <w:r w:rsidR="00417564">
        <w:rPr>
          <w:rFonts w:ascii="Bookman Old Style" w:hAnsi="Bookman Old Style"/>
        </w:rPr>
        <w:t xml:space="preserve"> resolució</w:t>
      </w:r>
      <w:r w:rsidRPr="006B71CD">
        <w:rPr>
          <w:rFonts w:ascii="Bookman Old Style" w:hAnsi="Bookman Old Style"/>
        </w:rPr>
        <w:t xml:space="preserve">n CREG </w:t>
      </w:r>
      <w:r w:rsidR="00F75DE2">
        <w:rPr>
          <w:rFonts w:ascii="Bookman Old Style" w:hAnsi="Bookman Old Style"/>
        </w:rPr>
        <w:t>172</w:t>
      </w:r>
      <w:r w:rsidRPr="006B71CD">
        <w:rPr>
          <w:rFonts w:ascii="Bookman Old Style" w:hAnsi="Bookman Old Style"/>
        </w:rPr>
        <w:t xml:space="preserve"> de 20</w:t>
      </w:r>
      <w:r w:rsidR="00F75DE2">
        <w:rPr>
          <w:rFonts w:ascii="Bookman Old Style" w:hAnsi="Bookman Old Style"/>
        </w:rPr>
        <w:t>09</w:t>
      </w:r>
      <w:r w:rsidRPr="006B71CD">
        <w:rPr>
          <w:rFonts w:ascii="Bookman Old Style" w:hAnsi="Bookman Old Style"/>
        </w:rPr>
        <w:t>, queda así:</w:t>
      </w:r>
    </w:p>
    <w:p w:rsidR="00A90A01" w:rsidRDefault="00A90A01" w:rsidP="00A90A01">
      <w:pPr>
        <w:widowControl w:val="0"/>
        <w:adjustRightInd w:val="0"/>
        <w:ind w:left="1361"/>
        <w:jc w:val="both"/>
        <w:textAlignment w:val="baseline"/>
        <w:rPr>
          <w:rFonts w:ascii="Bookman Old Style" w:hAnsi="Bookman Old Style"/>
        </w:rPr>
      </w:pPr>
    </w:p>
    <w:p w:rsidR="00066776" w:rsidRDefault="00066776" w:rsidP="00A90A01">
      <w:pPr>
        <w:widowControl w:val="0"/>
        <w:adjustRightInd w:val="0"/>
        <w:ind w:left="1361"/>
        <w:jc w:val="both"/>
        <w:textAlignment w:val="baseline"/>
        <w:rPr>
          <w:rFonts w:ascii="Bookman Old Style" w:hAnsi="Bookman Old Style"/>
        </w:rPr>
      </w:pPr>
    </w:p>
    <w:p w:rsidR="00417564" w:rsidRDefault="006B71CD" w:rsidP="00417564">
      <w:pPr>
        <w:ind w:left="708"/>
        <w:jc w:val="both"/>
        <w:rPr>
          <w:rFonts w:ascii="Bookman Old Style" w:hAnsi="Bookman Old Style"/>
          <w:i/>
        </w:rPr>
      </w:pPr>
      <w:r w:rsidRPr="006B71CD">
        <w:rPr>
          <w:rFonts w:ascii="Bookman Old Style" w:hAnsi="Bookman Old Style"/>
          <w:lang w:val="es-CO"/>
        </w:rPr>
        <w:t>“</w:t>
      </w:r>
      <w:r w:rsidR="00417564" w:rsidRPr="00642CB0">
        <w:rPr>
          <w:rFonts w:ascii="Bookman Old Style" w:hAnsi="Bookman Old Style"/>
          <w:b/>
          <w:i/>
          <w:spacing w:val="-3"/>
        </w:rPr>
        <w:t xml:space="preserve">Artículo 1. </w:t>
      </w:r>
      <w:r w:rsidR="00417564" w:rsidRPr="00642CB0">
        <w:rPr>
          <w:rFonts w:ascii="Bookman Old Style" w:hAnsi="Bookman Old Style"/>
          <w:b/>
          <w:i/>
        </w:rPr>
        <w:t>Costo Anual por el uso de los activos del Nivel de Tensión 4.</w:t>
      </w:r>
      <w:r w:rsidR="00417564" w:rsidRPr="00642CB0">
        <w:rPr>
          <w:rFonts w:ascii="Bookman Old Style" w:hAnsi="Bookman Old Style"/>
          <w:i/>
        </w:rPr>
        <w:t xml:space="preserve"> El Costo Anual por el Uso de los Activos del Nivel de Tensión 4 operados por la Electrificadora de Santander S.A. E.S.P., calculado en la forma establecida en la Resolución CREG 097 de 2008, es el siguiente:</w:t>
      </w:r>
    </w:p>
    <w:p w:rsidR="00066776" w:rsidRPr="00642CB0" w:rsidRDefault="00066776" w:rsidP="00417564">
      <w:pPr>
        <w:ind w:left="708"/>
        <w:jc w:val="both"/>
        <w:rPr>
          <w:rFonts w:ascii="Bookman Old Style" w:hAnsi="Bookman Old Style"/>
          <w:i/>
        </w:rPr>
      </w:pPr>
    </w:p>
    <w:p w:rsidR="00417564" w:rsidRPr="00642CB0" w:rsidRDefault="00417564" w:rsidP="00417564">
      <w:pPr>
        <w:ind w:left="708"/>
        <w:rPr>
          <w:rFonts w:ascii="Bookman Old Style" w:hAnsi="Bookman Old Style"/>
          <w:i/>
        </w:rPr>
      </w:pPr>
    </w:p>
    <w:p w:rsidR="00817F7A" w:rsidRPr="00417564" w:rsidRDefault="00FB45E7" w:rsidP="00417564">
      <w:pPr>
        <w:jc w:val="center"/>
        <w:rPr>
          <w:rFonts w:ascii="Bookman Old Style" w:hAnsi="Bookman Old Style"/>
          <w:lang w:val="es-CO"/>
        </w:rPr>
      </w:pPr>
      <w:r w:rsidRPr="00FB45E7">
        <w:rPr>
          <w:noProof/>
          <w:lang w:val="es-CO" w:eastAsia="es-CO"/>
        </w:rPr>
        <w:drawing>
          <wp:inline distT="0" distB="0" distL="0" distR="0">
            <wp:extent cx="4235450" cy="638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5450" cy="638175"/>
                    </a:xfrm>
                    <a:prstGeom prst="rect">
                      <a:avLst/>
                    </a:prstGeom>
                    <a:noFill/>
                    <a:ln>
                      <a:noFill/>
                    </a:ln>
                  </pic:spPr>
                </pic:pic>
              </a:graphicData>
            </a:graphic>
          </wp:inline>
        </w:drawing>
      </w:r>
      <w:r w:rsidR="00817F7A" w:rsidRPr="00417564">
        <w:rPr>
          <w:rFonts w:ascii="Bookman Old Style" w:hAnsi="Bookman Old Style"/>
          <w:lang w:val="es-CO"/>
        </w:rPr>
        <w:t>”</w:t>
      </w:r>
    </w:p>
    <w:p w:rsidR="006B71CD" w:rsidRDefault="006B71CD" w:rsidP="006B71CD">
      <w:pPr>
        <w:widowControl w:val="0"/>
        <w:adjustRightInd w:val="0"/>
        <w:ind w:left="1361"/>
        <w:jc w:val="both"/>
        <w:textAlignment w:val="baseline"/>
        <w:rPr>
          <w:rFonts w:ascii="Bookman Old Style" w:hAnsi="Bookman Old Style"/>
          <w:lang w:val="es-CO"/>
        </w:rPr>
      </w:pPr>
    </w:p>
    <w:p w:rsidR="00066776" w:rsidRPr="00417564" w:rsidRDefault="00066776" w:rsidP="006B71CD">
      <w:pPr>
        <w:widowControl w:val="0"/>
        <w:adjustRightInd w:val="0"/>
        <w:ind w:left="1361"/>
        <w:jc w:val="both"/>
        <w:textAlignment w:val="baseline"/>
        <w:rPr>
          <w:rFonts w:ascii="Bookman Old Style" w:hAnsi="Bookman Old Style"/>
          <w:lang w:val="es-CO"/>
        </w:rPr>
      </w:pPr>
    </w:p>
    <w:p w:rsidR="006B71CD" w:rsidRPr="00417564" w:rsidRDefault="002316E8" w:rsidP="006B71CD">
      <w:pPr>
        <w:widowControl w:val="0"/>
        <w:numPr>
          <w:ilvl w:val="0"/>
          <w:numId w:val="16"/>
        </w:numPr>
        <w:adjustRightInd w:val="0"/>
        <w:jc w:val="both"/>
        <w:textAlignment w:val="baseline"/>
        <w:rPr>
          <w:rFonts w:ascii="Bookman Old Style" w:hAnsi="Bookman Old Style"/>
        </w:rPr>
      </w:pPr>
      <w:r w:rsidRPr="00417564">
        <w:rPr>
          <w:rFonts w:ascii="Bookman Old Style" w:hAnsi="Bookman Old Style"/>
        </w:rPr>
        <w:t>El Artículo 5 de la Resolución CREG 12</w:t>
      </w:r>
      <w:r w:rsidR="00417564" w:rsidRPr="00417564">
        <w:rPr>
          <w:rFonts w:ascii="Bookman Old Style" w:hAnsi="Bookman Old Style"/>
        </w:rPr>
        <w:t>1</w:t>
      </w:r>
      <w:r w:rsidRPr="00417564">
        <w:rPr>
          <w:rFonts w:ascii="Bookman Old Style" w:hAnsi="Bookman Old Style"/>
        </w:rPr>
        <w:t xml:space="preserve"> de 2009,</w:t>
      </w:r>
      <w:r w:rsidR="00DC255D" w:rsidRPr="00417564">
        <w:rPr>
          <w:rFonts w:ascii="Bookman Old Style" w:hAnsi="Bookman Old Style"/>
        </w:rPr>
        <w:t xml:space="preserve"> modificado por la Resolución CREG </w:t>
      </w:r>
      <w:r w:rsidR="00417564" w:rsidRPr="00417564">
        <w:rPr>
          <w:rFonts w:ascii="Bookman Old Style" w:hAnsi="Bookman Old Style"/>
        </w:rPr>
        <w:t>172</w:t>
      </w:r>
      <w:r w:rsidR="00DC255D" w:rsidRPr="00417564">
        <w:rPr>
          <w:rFonts w:ascii="Bookman Old Style" w:hAnsi="Bookman Old Style"/>
        </w:rPr>
        <w:t xml:space="preserve"> de 20</w:t>
      </w:r>
      <w:r w:rsidR="00417564" w:rsidRPr="00417564">
        <w:rPr>
          <w:rFonts w:ascii="Bookman Old Style" w:hAnsi="Bookman Old Style"/>
        </w:rPr>
        <w:t>09</w:t>
      </w:r>
      <w:r w:rsidR="00DC255D" w:rsidRPr="00417564">
        <w:rPr>
          <w:rFonts w:ascii="Bookman Old Style" w:hAnsi="Bookman Old Style"/>
        </w:rPr>
        <w:t>,</w:t>
      </w:r>
      <w:r w:rsidRPr="00417564">
        <w:rPr>
          <w:rFonts w:ascii="Bookman Old Style" w:hAnsi="Bookman Old Style"/>
        </w:rPr>
        <w:t xml:space="preserve"> queda así:</w:t>
      </w:r>
    </w:p>
    <w:p w:rsidR="006B71CD" w:rsidRPr="00417564" w:rsidRDefault="006B71CD" w:rsidP="006B71CD">
      <w:pPr>
        <w:widowControl w:val="0"/>
        <w:adjustRightInd w:val="0"/>
        <w:ind w:left="1361"/>
        <w:jc w:val="both"/>
        <w:textAlignment w:val="baseline"/>
        <w:rPr>
          <w:rFonts w:ascii="Bookman Old Style" w:hAnsi="Bookman Old Style"/>
        </w:rPr>
      </w:pPr>
    </w:p>
    <w:p w:rsidR="00417564" w:rsidRDefault="00817F7A" w:rsidP="00417564">
      <w:pPr>
        <w:ind w:left="708"/>
        <w:jc w:val="both"/>
        <w:rPr>
          <w:rFonts w:ascii="Bookman Old Style" w:hAnsi="Bookman Old Style"/>
          <w:i/>
          <w:spacing w:val="-3"/>
        </w:rPr>
      </w:pPr>
      <w:r w:rsidRPr="00417564">
        <w:rPr>
          <w:rFonts w:ascii="Bookman Old Style" w:hAnsi="Bookman Old Style"/>
          <w:b/>
        </w:rPr>
        <w:t>“</w:t>
      </w:r>
      <w:r w:rsidR="00417564" w:rsidRPr="00417564">
        <w:rPr>
          <w:rFonts w:ascii="Bookman Old Style" w:hAnsi="Bookman Old Style"/>
          <w:b/>
          <w:i/>
          <w:spacing w:val="-3"/>
        </w:rPr>
        <w:t>Artículo 5.</w:t>
      </w:r>
      <w:r w:rsidR="00417564" w:rsidRPr="00417564">
        <w:rPr>
          <w:rFonts w:ascii="Bookman Old Style" w:hAnsi="Bookman Old Style"/>
        </w:rPr>
        <w:t xml:space="preserve"> </w:t>
      </w:r>
      <w:r w:rsidR="00417564" w:rsidRPr="00417564">
        <w:rPr>
          <w:rFonts w:ascii="Bookman Old Style" w:hAnsi="Bookman Old Style"/>
          <w:b/>
          <w:i/>
          <w:spacing w:val="-3"/>
        </w:rPr>
        <w:t>Costos de reposición de la inversión</w:t>
      </w:r>
      <w:r w:rsidR="00417564" w:rsidRPr="00417564">
        <w:rPr>
          <w:rFonts w:ascii="Bookman Old Style" w:hAnsi="Bookman Old Style"/>
          <w:i/>
          <w:spacing w:val="-3"/>
        </w:rPr>
        <w:t>. Los costos de reposición</w:t>
      </w:r>
      <w:r w:rsidR="00417564" w:rsidRPr="00642CB0">
        <w:rPr>
          <w:rFonts w:ascii="Bookman Old Style" w:hAnsi="Bookman Old Style"/>
          <w:i/>
          <w:spacing w:val="-3"/>
        </w:rPr>
        <w:t xml:space="preserve"> de la inversión del OR Electrificadora de Santander S.A. E.S.P. para cada nivel de tensión, calculados en la forma establecida en la Resolución CREG 097 de 2008, son los siguientes:</w:t>
      </w:r>
    </w:p>
    <w:p w:rsidR="00066776" w:rsidRDefault="00066776" w:rsidP="00417564">
      <w:pPr>
        <w:ind w:left="708"/>
        <w:jc w:val="both"/>
        <w:rPr>
          <w:rFonts w:ascii="Bookman Old Style" w:hAnsi="Bookman Old Style"/>
          <w:i/>
          <w:spacing w:val="-3"/>
        </w:rPr>
      </w:pPr>
    </w:p>
    <w:p w:rsidR="00417564" w:rsidRPr="00642CB0" w:rsidRDefault="00417564" w:rsidP="00417564">
      <w:pPr>
        <w:ind w:left="708"/>
        <w:rPr>
          <w:rFonts w:ascii="Bookman Old Style" w:hAnsi="Bookman Old Style"/>
          <w:i/>
        </w:rPr>
      </w:pPr>
    </w:p>
    <w:p w:rsidR="00817F7A" w:rsidRDefault="00FB45E7" w:rsidP="00417564">
      <w:pPr>
        <w:widowControl w:val="0"/>
        <w:adjustRightInd w:val="0"/>
        <w:jc w:val="center"/>
        <w:textAlignment w:val="baseline"/>
        <w:rPr>
          <w:rFonts w:ascii="Bookman Old Style" w:hAnsi="Bookman Old Style"/>
        </w:rPr>
      </w:pPr>
      <w:r w:rsidRPr="00FB45E7">
        <w:rPr>
          <w:noProof/>
          <w:lang w:val="es-CO" w:eastAsia="es-CO"/>
        </w:rPr>
        <w:drawing>
          <wp:inline distT="0" distB="0" distL="0" distR="0">
            <wp:extent cx="4632325" cy="13544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2325" cy="1354455"/>
                    </a:xfrm>
                    <a:prstGeom prst="rect">
                      <a:avLst/>
                    </a:prstGeom>
                    <a:noFill/>
                    <a:ln>
                      <a:noFill/>
                    </a:ln>
                  </pic:spPr>
                </pic:pic>
              </a:graphicData>
            </a:graphic>
          </wp:inline>
        </w:drawing>
      </w:r>
      <w:r w:rsidR="00817F7A" w:rsidRPr="00417564">
        <w:rPr>
          <w:rFonts w:ascii="Bookman Old Style" w:hAnsi="Bookman Old Style"/>
        </w:rPr>
        <w:t>”</w:t>
      </w:r>
    </w:p>
    <w:p w:rsidR="00066776" w:rsidRPr="00417564" w:rsidRDefault="00066776" w:rsidP="00417564">
      <w:pPr>
        <w:widowControl w:val="0"/>
        <w:adjustRightInd w:val="0"/>
        <w:jc w:val="center"/>
        <w:textAlignment w:val="baseline"/>
        <w:rPr>
          <w:rFonts w:ascii="Bookman Old Style" w:hAnsi="Bookman Old Style"/>
        </w:rPr>
      </w:pPr>
    </w:p>
    <w:p w:rsidR="006B71CD" w:rsidRPr="00417564" w:rsidRDefault="006B71CD" w:rsidP="006B71CD">
      <w:pPr>
        <w:widowControl w:val="0"/>
        <w:adjustRightInd w:val="0"/>
        <w:ind w:left="1361"/>
        <w:jc w:val="both"/>
        <w:textAlignment w:val="baseline"/>
        <w:rPr>
          <w:rFonts w:ascii="Bookman Old Style" w:hAnsi="Bookman Old Style"/>
        </w:rPr>
      </w:pPr>
    </w:p>
    <w:p w:rsidR="00BB1387" w:rsidRPr="00417564" w:rsidRDefault="00BB1387" w:rsidP="00BB1387">
      <w:pPr>
        <w:widowControl w:val="0"/>
        <w:numPr>
          <w:ilvl w:val="0"/>
          <w:numId w:val="16"/>
        </w:numPr>
        <w:adjustRightInd w:val="0"/>
        <w:jc w:val="both"/>
        <w:textAlignment w:val="baseline"/>
        <w:rPr>
          <w:rFonts w:ascii="Bookman Old Style" w:hAnsi="Bookman Old Style"/>
        </w:rPr>
      </w:pPr>
      <w:r w:rsidRPr="00417564">
        <w:rPr>
          <w:rFonts w:ascii="Bookman Old Style" w:hAnsi="Bookman Old Style"/>
          <w:b/>
        </w:rPr>
        <w:t>Vigencia.</w:t>
      </w:r>
      <w:r w:rsidRPr="00417564">
        <w:rPr>
          <w:rFonts w:ascii="Bookman Old Style" w:hAnsi="Bookman Old Style"/>
        </w:rPr>
        <w:t xml:space="preserve"> De conformidad con lo previsto por el artículo 19 de la Resolución CREG 097 de 2008, los cargos y valores aprobados en esta Resolución estarán vigentes desde la fecha en que quede en firme y </w:t>
      </w:r>
      <w:r w:rsidR="00417564">
        <w:rPr>
          <w:rFonts w:ascii="Bookman Old Style" w:hAnsi="Bookman Old Style"/>
        </w:rPr>
        <w:t xml:space="preserve">hasta el 5 de octubre de 2013. </w:t>
      </w:r>
      <w:r w:rsidRPr="00417564">
        <w:rPr>
          <w:rFonts w:ascii="Bookman Old Style" w:hAnsi="Bookman Old Style"/>
        </w:rPr>
        <w:t>Vencido su período de vigencia, continuarán rigiendo hasta que la Comisión apruebe los nuevos.</w:t>
      </w:r>
    </w:p>
    <w:p w:rsidR="00BB1387" w:rsidRPr="00417564" w:rsidRDefault="00BB1387" w:rsidP="00BB1387">
      <w:pPr>
        <w:rPr>
          <w:rFonts w:ascii="Bookman Old Style" w:hAnsi="Bookman Old Style"/>
          <w:b/>
          <w:bCs/>
        </w:rPr>
      </w:pPr>
    </w:p>
    <w:p w:rsidR="00BB1387" w:rsidRPr="00417564" w:rsidRDefault="00BB1387" w:rsidP="00BB1387">
      <w:pPr>
        <w:widowControl w:val="0"/>
        <w:numPr>
          <w:ilvl w:val="0"/>
          <w:numId w:val="16"/>
        </w:numPr>
        <w:adjustRightInd w:val="0"/>
        <w:jc w:val="both"/>
        <w:textAlignment w:val="baseline"/>
        <w:rPr>
          <w:rFonts w:ascii="Bookman Old Style" w:hAnsi="Bookman Old Style"/>
          <w:b/>
        </w:rPr>
      </w:pPr>
      <w:r w:rsidRPr="00417564">
        <w:rPr>
          <w:rFonts w:ascii="Bookman Old Style" w:hAnsi="Bookman Old Style"/>
          <w:b/>
        </w:rPr>
        <w:lastRenderedPageBreak/>
        <w:t xml:space="preserve">Recursos. </w:t>
      </w:r>
      <w:r w:rsidRPr="00417564">
        <w:rPr>
          <w:rFonts w:ascii="Bookman Old Style" w:hAnsi="Bookman Old Style"/>
        </w:rPr>
        <w:t>La presente Resolución deberá notificarse a la</w:t>
      </w:r>
      <w:r w:rsidR="00417564" w:rsidRPr="00417564">
        <w:rPr>
          <w:rFonts w:ascii="Bookman Old Style" w:hAnsi="Bookman Old Style"/>
        </w:rPr>
        <w:t xml:space="preserve"> Electrificadora de Santander S.A. E.S.P.</w:t>
      </w:r>
      <w:r w:rsidRPr="00417564">
        <w:rPr>
          <w:rFonts w:ascii="Bookman Old Style" w:hAnsi="Bookman Old Style"/>
        </w:rPr>
        <w:t xml:space="preserve"> Contra lo dispuesto en este acto procede el recurso de reposición, el cual se podrá interponer ante la Dirección Ejecutiva de la CREG dentro de los cinco (5) días hábiles siguientes a la fecha de su notificación.</w:t>
      </w:r>
    </w:p>
    <w:p w:rsidR="006B71CD" w:rsidRPr="00417564" w:rsidRDefault="006B71CD" w:rsidP="006B71CD">
      <w:pPr>
        <w:widowControl w:val="0"/>
        <w:adjustRightInd w:val="0"/>
        <w:ind w:left="1361"/>
        <w:jc w:val="both"/>
        <w:textAlignment w:val="baseline"/>
        <w:rPr>
          <w:rFonts w:ascii="Bookman Old Style" w:hAnsi="Bookman Old Style"/>
        </w:rPr>
      </w:pPr>
    </w:p>
    <w:p w:rsidR="006B71CD" w:rsidRPr="00417564" w:rsidRDefault="006B71CD" w:rsidP="006B71CD">
      <w:pPr>
        <w:widowControl w:val="0"/>
        <w:adjustRightInd w:val="0"/>
        <w:ind w:left="1361"/>
        <w:jc w:val="both"/>
        <w:textAlignment w:val="baseline"/>
        <w:rPr>
          <w:rFonts w:ascii="Bookman Old Style" w:hAnsi="Bookman Old Style"/>
        </w:rPr>
      </w:pPr>
    </w:p>
    <w:p w:rsidR="00E433F6" w:rsidRPr="00417564" w:rsidRDefault="00E433F6" w:rsidP="00E433F6">
      <w:pPr>
        <w:ind w:left="0"/>
        <w:jc w:val="center"/>
        <w:rPr>
          <w:rFonts w:ascii="Bookman Old Style" w:hAnsi="Bookman Old Style"/>
          <w:b/>
        </w:rPr>
      </w:pPr>
      <w:r w:rsidRPr="00417564">
        <w:rPr>
          <w:rFonts w:ascii="Bookman Old Style" w:hAnsi="Bookman Old Style"/>
          <w:b/>
        </w:rPr>
        <w:t>NOTIFÍQUESE</w:t>
      </w:r>
      <w:r w:rsidR="001C7022" w:rsidRPr="00417564">
        <w:rPr>
          <w:rFonts w:ascii="Bookman Old Style" w:hAnsi="Bookman Old Style"/>
          <w:b/>
        </w:rPr>
        <w:t>, PUBLÍQUESE</w:t>
      </w:r>
      <w:r w:rsidRPr="00417564">
        <w:rPr>
          <w:rFonts w:ascii="Bookman Old Style" w:hAnsi="Bookman Old Style"/>
          <w:b/>
        </w:rPr>
        <w:t xml:space="preserve"> Y CÚMPLASE</w:t>
      </w:r>
    </w:p>
    <w:p w:rsidR="00E433F6" w:rsidRPr="00417564" w:rsidRDefault="00E433F6" w:rsidP="00E433F6">
      <w:pPr>
        <w:ind w:left="0"/>
        <w:rPr>
          <w:rFonts w:ascii="Bookman Old Style" w:hAnsi="Bookman Old Style"/>
        </w:rPr>
      </w:pPr>
    </w:p>
    <w:p w:rsidR="000E6937" w:rsidRPr="00417564" w:rsidRDefault="000E6937" w:rsidP="00E433F6">
      <w:pPr>
        <w:ind w:left="0"/>
        <w:rPr>
          <w:rFonts w:ascii="Bookman Old Style" w:hAnsi="Bookman Old Style"/>
        </w:rPr>
      </w:pPr>
    </w:p>
    <w:p w:rsidR="00E433F6" w:rsidRPr="00417564" w:rsidRDefault="00E433F6" w:rsidP="00E433F6">
      <w:pPr>
        <w:ind w:left="0"/>
        <w:rPr>
          <w:rFonts w:ascii="Bookman Old Style" w:hAnsi="Bookman Old Style"/>
        </w:rPr>
      </w:pPr>
      <w:r w:rsidRPr="00417564">
        <w:rPr>
          <w:rFonts w:ascii="Bookman Old Style" w:hAnsi="Bookman Old Style"/>
        </w:rPr>
        <w:t>Dada en Bogotá. D. C., a los</w:t>
      </w:r>
    </w:p>
    <w:p w:rsidR="00E433F6" w:rsidRPr="00417564" w:rsidRDefault="00E433F6" w:rsidP="00E433F6">
      <w:pPr>
        <w:rPr>
          <w:rFonts w:ascii="Bookman Old Style" w:hAnsi="Bookman Old Style"/>
        </w:rPr>
      </w:pPr>
    </w:p>
    <w:p w:rsidR="002D7BCF" w:rsidRPr="00417564" w:rsidRDefault="002D7BCF" w:rsidP="00E433F6">
      <w:pPr>
        <w:rPr>
          <w:rFonts w:ascii="Bookman Old Style" w:hAnsi="Bookman Old Style"/>
        </w:rPr>
      </w:pPr>
    </w:p>
    <w:p w:rsidR="002D7BCF" w:rsidRPr="00417564" w:rsidRDefault="002D7BCF" w:rsidP="00E433F6">
      <w:pPr>
        <w:rPr>
          <w:rFonts w:ascii="Bookman Old Style" w:hAnsi="Bookman Old Style"/>
        </w:rPr>
      </w:pPr>
    </w:p>
    <w:p w:rsidR="002D7BCF" w:rsidRPr="00417564" w:rsidRDefault="002D7BCF" w:rsidP="00E433F6">
      <w:pPr>
        <w:rPr>
          <w:rFonts w:ascii="Bookman Old Style" w:hAnsi="Bookman Old Style"/>
        </w:rPr>
      </w:pPr>
    </w:p>
    <w:p w:rsidR="002D7BCF" w:rsidRPr="0041756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417564" w:rsidTr="00475E3A">
        <w:tc>
          <w:tcPr>
            <w:tcW w:w="5104" w:type="dxa"/>
          </w:tcPr>
          <w:p w:rsidR="002D7BCF" w:rsidRPr="00417564" w:rsidRDefault="002D7BCF" w:rsidP="00475E3A">
            <w:pPr>
              <w:snapToGrid w:val="0"/>
              <w:ind w:left="0"/>
              <w:jc w:val="center"/>
              <w:rPr>
                <w:rFonts w:ascii="Bookman Old Style" w:hAnsi="Bookman Old Style" w:cs="Arial"/>
                <w:b/>
                <w:bCs/>
                <w:szCs w:val="22"/>
              </w:rPr>
            </w:pPr>
            <w:r w:rsidRPr="00417564">
              <w:rPr>
                <w:rFonts w:ascii="Bookman Old Style" w:hAnsi="Bookman Old Style" w:cs="Arial"/>
                <w:b/>
                <w:bCs/>
                <w:szCs w:val="22"/>
              </w:rPr>
              <w:t>TOMÁS GONZÁLEZ ESTRADA</w:t>
            </w:r>
          </w:p>
        </w:tc>
        <w:tc>
          <w:tcPr>
            <w:tcW w:w="4394" w:type="dxa"/>
          </w:tcPr>
          <w:p w:rsidR="002D7BCF" w:rsidRPr="00417564" w:rsidRDefault="003244E8" w:rsidP="00475E3A">
            <w:pPr>
              <w:snapToGrid w:val="0"/>
              <w:ind w:left="0"/>
              <w:jc w:val="center"/>
              <w:rPr>
                <w:rFonts w:ascii="Bookman Old Style" w:hAnsi="Bookman Old Style" w:cs="Arial"/>
                <w:b/>
                <w:bCs/>
                <w:szCs w:val="22"/>
              </w:rPr>
            </w:pPr>
            <w:r w:rsidRPr="00417564">
              <w:rPr>
                <w:rFonts w:ascii="Bookman Old Style" w:hAnsi="Bookman Old Style" w:cs="Arial"/>
                <w:b/>
                <w:bCs/>
                <w:szCs w:val="22"/>
              </w:rPr>
              <w:t>GERMÁN CASTRO FERREIRA</w:t>
            </w:r>
          </w:p>
        </w:tc>
      </w:tr>
      <w:tr w:rsidR="002D7BCF" w:rsidRPr="00417564" w:rsidTr="00475E3A">
        <w:tc>
          <w:tcPr>
            <w:tcW w:w="5104" w:type="dxa"/>
          </w:tcPr>
          <w:p w:rsidR="002D7BCF" w:rsidRPr="00417564" w:rsidRDefault="002D7BCF" w:rsidP="003244E8">
            <w:pPr>
              <w:snapToGrid w:val="0"/>
              <w:ind w:left="0"/>
              <w:jc w:val="center"/>
              <w:rPr>
                <w:rFonts w:ascii="Bookman Old Style" w:hAnsi="Bookman Old Style" w:cs="Arial"/>
                <w:szCs w:val="22"/>
              </w:rPr>
            </w:pPr>
            <w:r w:rsidRPr="00417564">
              <w:rPr>
                <w:rFonts w:ascii="Bookman Old Style" w:hAnsi="Bookman Old Style" w:cs="Arial"/>
                <w:szCs w:val="22"/>
              </w:rPr>
              <w:t>Viceministro de Energía</w:t>
            </w:r>
            <w:r w:rsidRPr="00417564">
              <w:rPr>
                <w:rFonts w:ascii="Bookman Old Style" w:hAnsi="Bookman Old Style" w:cs="Arial"/>
                <w:szCs w:val="22"/>
              </w:rPr>
              <w:br/>
              <w:t>Delegado del Ministro de Minas y Energía</w:t>
            </w:r>
          </w:p>
        </w:tc>
        <w:tc>
          <w:tcPr>
            <w:tcW w:w="4394" w:type="dxa"/>
          </w:tcPr>
          <w:p w:rsidR="002D7BCF" w:rsidRPr="00417564" w:rsidRDefault="002D7BCF" w:rsidP="00475E3A">
            <w:pPr>
              <w:snapToGrid w:val="0"/>
              <w:ind w:left="0"/>
              <w:jc w:val="center"/>
              <w:rPr>
                <w:rFonts w:ascii="Bookman Old Style" w:hAnsi="Bookman Old Style" w:cs="Arial"/>
                <w:szCs w:val="22"/>
              </w:rPr>
            </w:pPr>
            <w:r w:rsidRPr="00417564">
              <w:rPr>
                <w:rFonts w:ascii="Bookman Old Style" w:hAnsi="Bookman Old Style" w:cs="Arial"/>
                <w:szCs w:val="22"/>
              </w:rPr>
              <w:t>Director Ejecutivo</w:t>
            </w:r>
          </w:p>
        </w:tc>
      </w:tr>
      <w:tr w:rsidR="002D7BCF" w:rsidRPr="000377B0" w:rsidTr="00475E3A">
        <w:tc>
          <w:tcPr>
            <w:tcW w:w="5104" w:type="dxa"/>
          </w:tcPr>
          <w:p w:rsidR="002D7BCF" w:rsidRPr="000377B0" w:rsidRDefault="002D7BCF" w:rsidP="00475E3A">
            <w:pPr>
              <w:snapToGrid w:val="0"/>
              <w:ind w:left="0"/>
              <w:jc w:val="center"/>
              <w:rPr>
                <w:rFonts w:ascii="Bookman Old Style" w:hAnsi="Bookman Old Style" w:cs="Arial"/>
                <w:szCs w:val="22"/>
              </w:rPr>
            </w:pPr>
            <w:r w:rsidRPr="00417564">
              <w:rPr>
                <w:rFonts w:ascii="Bookman Old Style" w:hAnsi="Bookman Old Style" w:cs="Arial"/>
                <w:szCs w:val="22"/>
              </w:rPr>
              <w:t>Presidente</w:t>
            </w:r>
          </w:p>
        </w:tc>
        <w:tc>
          <w:tcPr>
            <w:tcW w:w="4394" w:type="dxa"/>
          </w:tcPr>
          <w:p w:rsidR="002D7BCF" w:rsidRPr="000377B0" w:rsidRDefault="002D7BCF" w:rsidP="00475E3A">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E7" w:rsidRDefault="00FB45E7">
      <w:r>
        <w:separator/>
      </w:r>
    </w:p>
  </w:endnote>
  <w:endnote w:type="continuationSeparator" w:id="0">
    <w:p w:rsidR="00FB45E7" w:rsidRDefault="00FB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E7" w:rsidRDefault="00FB45E7">
      <w:r>
        <w:separator/>
      </w:r>
    </w:p>
  </w:footnote>
  <w:footnote w:type="continuationSeparator" w:id="0">
    <w:p w:rsidR="00FB45E7" w:rsidRDefault="00FB4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E7" w:rsidRDefault="00FB45E7" w:rsidP="00951F79">
    <w:pPr>
      <w:pStyle w:val="Ttulo1"/>
      <w:ind w:right="6"/>
      <w:jc w:val="left"/>
      <w:rPr>
        <w:rFonts w:ascii="Bookman Old Style" w:hAnsi="Bookman Old Style" w:cs="Arial"/>
        <w:b w:val="0"/>
        <w:sz w:val="22"/>
        <w:szCs w:val="22"/>
      </w:rPr>
    </w:pPr>
  </w:p>
  <w:p w:rsidR="00FB45E7" w:rsidRPr="00951F79" w:rsidRDefault="00FB45E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72CD5">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72CD5" w:rsidRPr="00472CD5">
        <w:rPr>
          <w:rFonts w:ascii="Bookman Old Style" w:hAnsi="Bookman Old Style" w:cs="Arial"/>
          <w:b w:val="0"/>
          <w:noProof/>
          <w:sz w:val="22"/>
          <w:szCs w:val="22"/>
        </w:rPr>
        <w:t>5</w:t>
      </w:r>
    </w:fldSimple>
  </w:p>
  <w:p w:rsidR="00FB45E7" w:rsidRDefault="00FB45E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323E5BE" wp14:editId="533181EA">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FB45E7" w:rsidRPr="00CB5DD0" w:rsidRDefault="00FB45E7" w:rsidP="00FB4485">
    <w:pPr>
      <w:pBdr>
        <w:bottom w:val="single" w:sz="4" w:space="1" w:color="auto"/>
      </w:pBdr>
      <w:ind w:left="142" w:right="148"/>
      <w:jc w:val="both"/>
      <w:rPr>
        <w:b/>
      </w:rPr>
    </w:pPr>
    <w:r w:rsidRPr="00FB4485">
      <w:rPr>
        <w:rFonts w:ascii="Bookman Old Style" w:hAnsi="Bookman Old Style" w:cs="Arial"/>
        <w:spacing w:val="-3"/>
        <w:sz w:val="22"/>
        <w:szCs w:val="22"/>
        <w:lang w:val="es-ES_tradnl"/>
      </w:rPr>
      <w:t xml:space="preserve">Por la cual se actualiza el Costo Anual por el uso de los activos de nivel de tensión 4 de la </w:t>
    </w:r>
    <w:r>
      <w:rPr>
        <w:rFonts w:ascii="Bookman Old Style" w:hAnsi="Bookman Old Style" w:cs="Arial"/>
        <w:spacing w:val="-3"/>
        <w:sz w:val="22"/>
        <w:szCs w:val="22"/>
        <w:lang w:val="es-ES_tradnl"/>
      </w:rPr>
      <w:t>Electrificadora de Santander</w:t>
    </w:r>
    <w:r w:rsidRPr="00FB4485">
      <w:rPr>
        <w:rFonts w:ascii="Bookman Old Style" w:hAnsi="Bookman Old Style" w:cs="Arial"/>
        <w:spacing w:val="-3"/>
        <w:sz w:val="22"/>
        <w:szCs w:val="22"/>
        <w:lang w:val="es-ES_tradnl"/>
      </w:rPr>
      <w:t xml:space="preserve"> S.A. E.S.P</w:t>
    </w:r>
    <w:r>
      <w:rPr>
        <w:rFonts w:ascii="Bookman Old Style" w:hAnsi="Bookman Old Style" w:cs="Arial"/>
        <w:spacing w:val="-3"/>
        <w:sz w:val="22"/>
        <w:szCs w:val="22"/>
        <w:lang w:val="es-ES_tradn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E7" w:rsidRDefault="00FB45E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B45E7" w:rsidRDefault="00FB45E7">
    <w:pPr>
      <w:pStyle w:val="Encabezado"/>
      <w:jc w:val="center"/>
      <w:rPr>
        <w:rFonts w:ascii="Arial" w:hAnsi="Arial" w:cs="Arial"/>
        <w:spacing w:val="20"/>
        <w:sz w:val="20"/>
      </w:rPr>
    </w:pPr>
  </w:p>
  <w:p w:rsidR="00FB45E7" w:rsidRDefault="00FB45E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78775C2"/>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1116C6"/>
    <w:multiLevelType w:val="hybridMultilevel"/>
    <w:tmpl w:val="0C3A5DB0"/>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040E94"/>
    <w:multiLevelType w:val="hybridMultilevel"/>
    <w:tmpl w:val="ED2C5AD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0BB63A8"/>
    <w:multiLevelType w:val="hybridMultilevel"/>
    <w:tmpl w:val="7EB0B206"/>
    <w:lvl w:ilvl="0" w:tplc="407AD4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8"/>
  </w:num>
  <w:num w:numId="4">
    <w:abstractNumId w:val="8"/>
  </w:num>
  <w:num w:numId="5">
    <w:abstractNumId w:val="14"/>
  </w:num>
  <w:num w:numId="6">
    <w:abstractNumId w:val="2"/>
  </w:num>
  <w:num w:numId="7">
    <w:abstractNumId w:val="1"/>
  </w:num>
  <w:num w:numId="8">
    <w:abstractNumId w:val="16"/>
  </w:num>
  <w:num w:numId="9">
    <w:abstractNumId w:val="15"/>
  </w:num>
  <w:num w:numId="10">
    <w:abstractNumId w:val="12"/>
  </w:num>
  <w:num w:numId="11">
    <w:abstractNumId w:val="19"/>
  </w:num>
  <w:num w:numId="12">
    <w:abstractNumId w:val="17"/>
  </w:num>
  <w:num w:numId="13">
    <w:abstractNumId w:val="9"/>
  </w:num>
  <w:num w:numId="14">
    <w:abstractNumId w:val="0"/>
  </w:num>
  <w:num w:numId="15">
    <w:abstractNumId w:val="10"/>
  </w:num>
  <w:num w:numId="16">
    <w:abstractNumId w:val="13"/>
  </w:num>
  <w:num w:numId="17">
    <w:abstractNumId w:val="5"/>
  </w:num>
  <w:num w:numId="18">
    <w:abstractNumId w:val="3"/>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033D"/>
    <w:rsid w:val="00012259"/>
    <w:rsid w:val="00025383"/>
    <w:rsid w:val="00046FCE"/>
    <w:rsid w:val="00057583"/>
    <w:rsid w:val="00063657"/>
    <w:rsid w:val="000658B0"/>
    <w:rsid w:val="00066776"/>
    <w:rsid w:val="00074836"/>
    <w:rsid w:val="00076680"/>
    <w:rsid w:val="0007691B"/>
    <w:rsid w:val="0008073E"/>
    <w:rsid w:val="00081F53"/>
    <w:rsid w:val="00091CDB"/>
    <w:rsid w:val="000A19AC"/>
    <w:rsid w:val="000A5B9E"/>
    <w:rsid w:val="000B5996"/>
    <w:rsid w:val="000D26F8"/>
    <w:rsid w:val="000E6937"/>
    <w:rsid w:val="000F1EE3"/>
    <w:rsid w:val="000F5BD2"/>
    <w:rsid w:val="00100F33"/>
    <w:rsid w:val="0010128A"/>
    <w:rsid w:val="00133081"/>
    <w:rsid w:val="001405C6"/>
    <w:rsid w:val="00141013"/>
    <w:rsid w:val="001710FF"/>
    <w:rsid w:val="001715E0"/>
    <w:rsid w:val="00175714"/>
    <w:rsid w:val="00192CBF"/>
    <w:rsid w:val="00192FF1"/>
    <w:rsid w:val="001A38F3"/>
    <w:rsid w:val="001A5F1B"/>
    <w:rsid w:val="001A7196"/>
    <w:rsid w:val="001B1C22"/>
    <w:rsid w:val="001B34C6"/>
    <w:rsid w:val="001C098B"/>
    <w:rsid w:val="001C5E02"/>
    <w:rsid w:val="001C7022"/>
    <w:rsid w:val="001D7832"/>
    <w:rsid w:val="001E2001"/>
    <w:rsid w:val="001E5CC9"/>
    <w:rsid w:val="001F59F3"/>
    <w:rsid w:val="00204735"/>
    <w:rsid w:val="00211D34"/>
    <w:rsid w:val="00214F04"/>
    <w:rsid w:val="002316E8"/>
    <w:rsid w:val="00250FF2"/>
    <w:rsid w:val="002520A5"/>
    <w:rsid w:val="00253A4C"/>
    <w:rsid w:val="00266CD6"/>
    <w:rsid w:val="00270D1A"/>
    <w:rsid w:val="0028277C"/>
    <w:rsid w:val="002953CD"/>
    <w:rsid w:val="00297FA1"/>
    <w:rsid w:val="002B11E2"/>
    <w:rsid w:val="002B24B8"/>
    <w:rsid w:val="002B56D9"/>
    <w:rsid w:val="002C3BF0"/>
    <w:rsid w:val="002C78A3"/>
    <w:rsid w:val="002D3AE9"/>
    <w:rsid w:val="002D7BCF"/>
    <w:rsid w:val="002D7E0C"/>
    <w:rsid w:val="002E27FA"/>
    <w:rsid w:val="002F0734"/>
    <w:rsid w:val="002F46E7"/>
    <w:rsid w:val="00304B6E"/>
    <w:rsid w:val="003101DA"/>
    <w:rsid w:val="00314757"/>
    <w:rsid w:val="00317BC1"/>
    <w:rsid w:val="003211CE"/>
    <w:rsid w:val="003244E8"/>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17564"/>
    <w:rsid w:val="0042068C"/>
    <w:rsid w:val="00426E0F"/>
    <w:rsid w:val="004308BD"/>
    <w:rsid w:val="0043189C"/>
    <w:rsid w:val="00434776"/>
    <w:rsid w:val="00434C75"/>
    <w:rsid w:val="004408E5"/>
    <w:rsid w:val="00452143"/>
    <w:rsid w:val="0047122B"/>
    <w:rsid w:val="00472C02"/>
    <w:rsid w:val="00472CD5"/>
    <w:rsid w:val="00473B7A"/>
    <w:rsid w:val="00475E3A"/>
    <w:rsid w:val="0048139F"/>
    <w:rsid w:val="00483942"/>
    <w:rsid w:val="00485F87"/>
    <w:rsid w:val="00487ABF"/>
    <w:rsid w:val="004932B1"/>
    <w:rsid w:val="004960E9"/>
    <w:rsid w:val="00496275"/>
    <w:rsid w:val="004A1EC8"/>
    <w:rsid w:val="004A2E88"/>
    <w:rsid w:val="004A5305"/>
    <w:rsid w:val="004B1009"/>
    <w:rsid w:val="004B6CE9"/>
    <w:rsid w:val="004D1D3A"/>
    <w:rsid w:val="004D3EF2"/>
    <w:rsid w:val="004D53CD"/>
    <w:rsid w:val="004D7634"/>
    <w:rsid w:val="004E7824"/>
    <w:rsid w:val="00503E41"/>
    <w:rsid w:val="00504863"/>
    <w:rsid w:val="00524F59"/>
    <w:rsid w:val="005300D3"/>
    <w:rsid w:val="00535285"/>
    <w:rsid w:val="00544F82"/>
    <w:rsid w:val="005555DC"/>
    <w:rsid w:val="00571353"/>
    <w:rsid w:val="00585D3A"/>
    <w:rsid w:val="00593C4F"/>
    <w:rsid w:val="005946A8"/>
    <w:rsid w:val="005A4407"/>
    <w:rsid w:val="005A59EF"/>
    <w:rsid w:val="005A6994"/>
    <w:rsid w:val="005B4C9B"/>
    <w:rsid w:val="005E04BC"/>
    <w:rsid w:val="005F237E"/>
    <w:rsid w:val="00601E4A"/>
    <w:rsid w:val="0061647C"/>
    <w:rsid w:val="00617137"/>
    <w:rsid w:val="00625DC6"/>
    <w:rsid w:val="00627105"/>
    <w:rsid w:val="00634693"/>
    <w:rsid w:val="00635C1B"/>
    <w:rsid w:val="0064398F"/>
    <w:rsid w:val="00644A3C"/>
    <w:rsid w:val="00645CB6"/>
    <w:rsid w:val="00646F87"/>
    <w:rsid w:val="00651821"/>
    <w:rsid w:val="00654384"/>
    <w:rsid w:val="00666CE7"/>
    <w:rsid w:val="006675CD"/>
    <w:rsid w:val="00670BC4"/>
    <w:rsid w:val="00671720"/>
    <w:rsid w:val="00684D9B"/>
    <w:rsid w:val="0069382C"/>
    <w:rsid w:val="00697556"/>
    <w:rsid w:val="006B4C2B"/>
    <w:rsid w:val="006B6D47"/>
    <w:rsid w:val="006B71CD"/>
    <w:rsid w:val="006B79E2"/>
    <w:rsid w:val="006C0DD6"/>
    <w:rsid w:val="006F6D95"/>
    <w:rsid w:val="00706F13"/>
    <w:rsid w:val="007072E8"/>
    <w:rsid w:val="007104E9"/>
    <w:rsid w:val="0071618D"/>
    <w:rsid w:val="00723E40"/>
    <w:rsid w:val="00725FA4"/>
    <w:rsid w:val="0073666F"/>
    <w:rsid w:val="00740446"/>
    <w:rsid w:val="007438A9"/>
    <w:rsid w:val="0074491E"/>
    <w:rsid w:val="0074794B"/>
    <w:rsid w:val="00755584"/>
    <w:rsid w:val="00761656"/>
    <w:rsid w:val="007651C0"/>
    <w:rsid w:val="00775964"/>
    <w:rsid w:val="007845E1"/>
    <w:rsid w:val="00795BFB"/>
    <w:rsid w:val="00797BD0"/>
    <w:rsid w:val="007A1915"/>
    <w:rsid w:val="007A3E38"/>
    <w:rsid w:val="007A462D"/>
    <w:rsid w:val="007B2760"/>
    <w:rsid w:val="007C5B9C"/>
    <w:rsid w:val="007D428F"/>
    <w:rsid w:val="007D77E9"/>
    <w:rsid w:val="007E453B"/>
    <w:rsid w:val="007E65B5"/>
    <w:rsid w:val="008012A9"/>
    <w:rsid w:val="00806C01"/>
    <w:rsid w:val="00811BEF"/>
    <w:rsid w:val="00813B0E"/>
    <w:rsid w:val="008148CC"/>
    <w:rsid w:val="00816EAA"/>
    <w:rsid w:val="00817F7A"/>
    <w:rsid w:val="008211A4"/>
    <w:rsid w:val="00821345"/>
    <w:rsid w:val="00822AE9"/>
    <w:rsid w:val="008377FE"/>
    <w:rsid w:val="00845514"/>
    <w:rsid w:val="008531E3"/>
    <w:rsid w:val="00853BEE"/>
    <w:rsid w:val="008660A2"/>
    <w:rsid w:val="00873150"/>
    <w:rsid w:val="0087657D"/>
    <w:rsid w:val="008775D5"/>
    <w:rsid w:val="008807D5"/>
    <w:rsid w:val="00880832"/>
    <w:rsid w:val="00886EE1"/>
    <w:rsid w:val="0088727D"/>
    <w:rsid w:val="00897C75"/>
    <w:rsid w:val="008C1130"/>
    <w:rsid w:val="008C7515"/>
    <w:rsid w:val="008D18E6"/>
    <w:rsid w:val="008D7A9B"/>
    <w:rsid w:val="008E76AC"/>
    <w:rsid w:val="008F21F6"/>
    <w:rsid w:val="008F4F9A"/>
    <w:rsid w:val="009301E5"/>
    <w:rsid w:val="0093246C"/>
    <w:rsid w:val="0093249A"/>
    <w:rsid w:val="00933072"/>
    <w:rsid w:val="0093506B"/>
    <w:rsid w:val="00937C80"/>
    <w:rsid w:val="00951F79"/>
    <w:rsid w:val="00972BAD"/>
    <w:rsid w:val="00974AB5"/>
    <w:rsid w:val="00974C38"/>
    <w:rsid w:val="0098706D"/>
    <w:rsid w:val="00991DE5"/>
    <w:rsid w:val="009935FB"/>
    <w:rsid w:val="009C14F9"/>
    <w:rsid w:val="009C3BBD"/>
    <w:rsid w:val="009C3EF0"/>
    <w:rsid w:val="009E698D"/>
    <w:rsid w:val="009F4A54"/>
    <w:rsid w:val="009F4BEC"/>
    <w:rsid w:val="00A17C23"/>
    <w:rsid w:val="00A17E0C"/>
    <w:rsid w:val="00A21FC7"/>
    <w:rsid w:val="00A25FD7"/>
    <w:rsid w:val="00A33B38"/>
    <w:rsid w:val="00A33C22"/>
    <w:rsid w:val="00A43AFF"/>
    <w:rsid w:val="00A621D6"/>
    <w:rsid w:val="00A64866"/>
    <w:rsid w:val="00A703A8"/>
    <w:rsid w:val="00A7793A"/>
    <w:rsid w:val="00A77D85"/>
    <w:rsid w:val="00A85B4B"/>
    <w:rsid w:val="00A90A01"/>
    <w:rsid w:val="00A95565"/>
    <w:rsid w:val="00AA0080"/>
    <w:rsid w:val="00AA3367"/>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4064"/>
    <w:rsid w:val="00B46BCA"/>
    <w:rsid w:val="00B50816"/>
    <w:rsid w:val="00B64127"/>
    <w:rsid w:val="00B66DCE"/>
    <w:rsid w:val="00B72766"/>
    <w:rsid w:val="00B86F7B"/>
    <w:rsid w:val="00B87806"/>
    <w:rsid w:val="00B87EC9"/>
    <w:rsid w:val="00BB0715"/>
    <w:rsid w:val="00BB1387"/>
    <w:rsid w:val="00BC38FD"/>
    <w:rsid w:val="00BD7B34"/>
    <w:rsid w:val="00C032EB"/>
    <w:rsid w:val="00C034CB"/>
    <w:rsid w:val="00C04F7A"/>
    <w:rsid w:val="00C051A8"/>
    <w:rsid w:val="00C054BC"/>
    <w:rsid w:val="00C0577A"/>
    <w:rsid w:val="00C1014F"/>
    <w:rsid w:val="00C17897"/>
    <w:rsid w:val="00C22A01"/>
    <w:rsid w:val="00C26E60"/>
    <w:rsid w:val="00C27833"/>
    <w:rsid w:val="00C33E50"/>
    <w:rsid w:val="00C34904"/>
    <w:rsid w:val="00C34EAF"/>
    <w:rsid w:val="00C3655B"/>
    <w:rsid w:val="00C409D5"/>
    <w:rsid w:val="00C466B5"/>
    <w:rsid w:val="00C6234B"/>
    <w:rsid w:val="00C63EAE"/>
    <w:rsid w:val="00C746E7"/>
    <w:rsid w:val="00C7629F"/>
    <w:rsid w:val="00C8065C"/>
    <w:rsid w:val="00C8661B"/>
    <w:rsid w:val="00CA139A"/>
    <w:rsid w:val="00CA2899"/>
    <w:rsid w:val="00CA77FB"/>
    <w:rsid w:val="00CB379B"/>
    <w:rsid w:val="00CB382F"/>
    <w:rsid w:val="00CB4B8D"/>
    <w:rsid w:val="00CB5DD0"/>
    <w:rsid w:val="00CC51D4"/>
    <w:rsid w:val="00CC65DA"/>
    <w:rsid w:val="00CF0042"/>
    <w:rsid w:val="00CF21B9"/>
    <w:rsid w:val="00CF6BF9"/>
    <w:rsid w:val="00D01521"/>
    <w:rsid w:val="00D03800"/>
    <w:rsid w:val="00D048ED"/>
    <w:rsid w:val="00D065D3"/>
    <w:rsid w:val="00D1264F"/>
    <w:rsid w:val="00D14C94"/>
    <w:rsid w:val="00D159D8"/>
    <w:rsid w:val="00D2525B"/>
    <w:rsid w:val="00D342A6"/>
    <w:rsid w:val="00D34DBB"/>
    <w:rsid w:val="00D41220"/>
    <w:rsid w:val="00D464BF"/>
    <w:rsid w:val="00D53E26"/>
    <w:rsid w:val="00D5698E"/>
    <w:rsid w:val="00D61FA9"/>
    <w:rsid w:val="00D670AA"/>
    <w:rsid w:val="00D67940"/>
    <w:rsid w:val="00D7616D"/>
    <w:rsid w:val="00D82C6E"/>
    <w:rsid w:val="00D84DFF"/>
    <w:rsid w:val="00D922E9"/>
    <w:rsid w:val="00D97682"/>
    <w:rsid w:val="00DB451C"/>
    <w:rsid w:val="00DB51C7"/>
    <w:rsid w:val="00DC255D"/>
    <w:rsid w:val="00DC5A43"/>
    <w:rsid w:val="00DD28C6"/>
    <w:rsid w:val="00DD35CC"/>
    <w:rsid w:val="00DD4F0E"/>
    <w:rsid w:val="00DD7C59"/>
    <w:rsid w:val="00DF0ACF"/>
    <w:rsid w:val="00DF375A"/>
    <w:rsid w:val="00E00AAF"/>
    <w:rsid w:val="00E05E0A"/>
    <w:rsid w:val="00E212D5"/>
    <w:rsid w:val="00E27B4D"/>
    <w:rsid w:val="00E37FB9"/>
    <w:rsid w:val="00E433F6"/>
    <w:rsid w:val="00E534CF"/>
    <w:rsid w:val="00E566FE"/>
    <w:rsid w:val="00E81CB4"/>
    <w:rsid w:val="00E81E82"/>
    <w:rsid w:val="00E820DD"/>
    <w:rsid w:val="00E8585B"/>
    <w:rsid w:val="00E85A2D"/>
    <w:rsid w:val="00E86AFA"/>
    <w:rsid w:val="00E9263F"/>
    <w:rsid w:val="00E93051"/>
    <w:rsid w:val="00E94997"/>
    <w:rsid w:val="00EA3F15"/>
    <w:rsid w:val="00EA40C9"/>
    <w:rsid w:val="00EA7847"/>
    <w:rsid w:val="00EC16C2"/>
    <w:rsid w:val="00EC6D45"/>
    <w:rsid w:val="00ED7141"/>
    <w:rsid w:val="00EE2E6E"/>
    <w:rsid w:val="00EF0538"/>
    <w:rsid w:val="00EF061E"/>
    <w:rsid w:val="00EF5C39"/>
    <w:rsid w:val="00EF6C23"/>
    <w:rsid w:val="00F0759E"/>
    <w:rsid w:val="00F12BA5"/>
    <w:rsid w:val="00F43023"/>
    <w:rsid w:val="00F45935"/>
    <w:rsid w:val="00F60019"/>
    <w:rsid w:val="00F75DE2"/>
    <w:rsid w:val="00F821A3"/>
    <w:rsid w:val="00F86847"/>
    <w:rsid w:val="00F9314A"/>
    <w:rsid w:val="00F96D1B"/>
    <w:rsid w:val="00FB0A17"/>
    <w:rsid w:val="00FB29AB"/>
    <w:rsid w:val="00FB4485"/>
    <w:rsid w:val="00FB45E7"/>
    <w:rsid w:val="00FC4E3D"/>
    <w:rsid w:val="00FC58EF"/>
    <w:rsid w:val="00FD33DF"/>
    <w:rsid w:val="00FD552B"/>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34825">
      <w:bodyDiv w:val="1"/>
      <w:marLeft w:val="0"/>
      <w:marRight w:val="0"/>
      <w:marTop w:val="0"/>
      <w:marBottom w:val="0"/>
      <w:divBdr>
        <w:top w:val="none" w:sz="0" w:space="0" w:color="auto"/>
        <w:left w:val="none" w:sz="0" w:space="0" w:color="auto"/>
        <w:bottom w:val="none" w:sz="0" w:space="0" w:color="auto"/>
        <w:right w:val="none" w:sz="0" w:space="0" w:color="auto"/>
      </w:divBdr>
    </w:div>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5C90-48ED-4AC6-9201-62F9ECD3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1180</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2012-08-03T20:49:00Z</cp:lastPrinted>
  <dcterms:created xsi:type="dcterms:W3CDTF">2012-08-29T22:17:00Z</dcterms:created>
  <dcterms:modified xsi:type="dcterms:W3CDTF">2012-08-29T22:17:00Z</dcterms:modified>
</cp:coreProperties>
</file>