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6B4647" w:rsidRDefault="00AB3B9F"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596434658" r:id="rId9"/>
        </w:object>
      </w:r>
    </w:p>
    <w:p w:rsidR="00CA77FB" w:rsidRPr="006B4647" w:rsidRDefault="00CA77FB" w:rsidP="00012259">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CA77FB" w:rsidRPr="006B4647" w:rsidRDefault="00CA77FB" w:rsidP="00012259">
      <w:pPr>
        <w:pStyle w:val="Ttulo4"/>
        <w:tabs>
          <w:tab w:val="left" w:pos="0"/>
          <w:tab w:val="right" w:pos="9356"/>
        </w:tabs>
        <w:ind w:left="0"/>
        <w:rPr>
          <w:rFonts w:ascii="Bookman Old Style" w:hAnsi="Bookman Old Style"/>
          <w:b w:val="0"/>
          <w:bCs/>
          <w:sz w:val="24"/>
          <w:szCs w:val="24"/>
        </w:rPr>
      </w:pPr>
    </w:p>
    <w:p w:rsidR="00CA77FB" w:rsidRPr="006B4647" w:rsidRDefault="00CA77FB" w:rsidP="00012259">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CA77FB" w:rsidRPr="006B4647" w:rsidRDefault="00CA77FB" w:rsidP="00012259">
      <w:pPr>
        <w:pStyle w:val="Ttulo5"/>
        <w:tabs>
          <w:tab w:val="left" w:pos="0"/>
          <w:tab w:val="right" w:pos="9356"/>
        </w:tabs>
        <w:ind w:left="0"/>
        <w:rPr>
          <w:rFonts w:ascii="Bookman Old Style" w:hAnsi="Bookman Old Style"/>
          <w:sz w:val="24"/>
          <w:szCs w:val="24"/>
        </w:rPr>
      </w:pPr>
    </w:p>
    <w:p w:rsidR="00CA77FB" w:rsidRPr="006B4647" w:rsidRDefault="00CA77FB" w:rsidP="00012259">
      <w:pPr>
        <w:pStyle w:val="Ttulo5"/>
        <w:tabs>
          <w:tab w:val="left" w:pos="0"/>
          <w:tab w:val="right" w:pos="9356"/>
        </w:tabs>
        <w:ind w:left="0"/>
        <w:rPr>
          <w:rFonts w:ascii="Bookman Old Style" w:hAnsi="Bookman Old Style"/>
          <w:sz w:val="24"/>
          <w:szCs w:val="24"/>
        </w:rPr>
      </w:pPr>
    </w:p>
    <w:p w:rsidR="00CA77FB" w:rsidRPr="006B4647" w:rsidRDefault="00CA77FB" w:rsidP="00012259">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872D82" w:rsidRPr="006B4647">
        <w:rPr>
          <w:rFonts w:ascii="Bookman Old Style" w:hAnsi="Bookman Old Style"/>
          <w:sz w:val="24"/>
          <w:szCs w:val="24"/>
        </w:rPr>
        <w:t>201</w:t>
      </w:r>
      <w:r w:rsidR="00B0787C">
        <w:rPr>
          <w:rFonts w:ascii="Bookman Old Style" w:hAnsi="Bookman Old Style"/>
          <w:sz w:val="24"/>
          <w:szCs w:val="24"/>
        </w:rPr>
        <w:t>8</w:t>
      </w:r>
    </w:p>
    <w:p w:rsidR="00CA77FB" w:rsidRPr="006B4647"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6B4647" w:rsidRDefault="00CA77FB" w:rsidP="00012259">
      <w:pPr>
        <w:pStyle w:val="Ttulo3"/>
        <w:tabs>
          <w:tab w:val="left" w:pos="0"/>
          <w:tab w:val="right" w:pos="9356"/>
        </w:tabs>
        <w:ind w:left="0"/>
        <w:rPr>
          <w:rFonts w:ascii="Bookman Old Style" w:hAnsi="Bookman Old Style"/>
          <w:b w:val="0"/>
          <w:szCs w:val="24"/>
        </w:rPr>
      </w:pPr>
      <w:r w:rsidRPr="006B4647">
        <w:rPr>
          <w:rFonts w:ascii="Bookman Old Style" w:hAnsi="Bookman Old Style"/>
          <w:b w:val="0"/>
          <w:szCs w:val="24"/>
        </w:rPr>
        <w:t>(                                  )</w:t>
      </w:r>
    </w:p>
    <w:p w:rsidR="00CA77FB" w:rsidRPr="006B4647" w:rsidRDefault="00CA77FB" w:rsidP="00012259">
      <w:pPr>
        <w:tabs>
          <w:tab w:val="left" w:pos="0"/>
          <w:tab w:val="right" w:pos="9356"/>
        </w:tabs>
        <w:ind w:left="0"/>
        <w:jc w:val="center"/>
        <w:rPr>
          <w:rFonts w:ascii="Bookman Old Style" w:hAnsi="Bookman Old Style"/>
          <w:lang w:val="es-ES_tradnl"/>
        </w:rPr>
      </w:pPr>
    </w:p>
    <w:p w:rsidR="00273C2C" w:rsidRDefault="00273C2C" w:rsidP="00273C2C">
      <w:pPr>
        <w:widowControl w:val="0"/>
        <w:adjustRightInd w:val="0"/>
        <w:ind w:left="0" w:right="20"/>
        <w:jc w:val="both"/>
        <w:rPr>
          <w:rFonts w:ascii="Bookman Old Style" w:hAnsi="Bookman Old Style" w:cs="Arial"/>
          <w:lang w:val="es-ES_tradnl"/>
        </w:rPr>
      </w:pPr>
    </w:p>
    <w:p w:rsidR="00273C2C" w:rsidRDefault="00273C2C" w:rsidP="00273C2C">
      <w:pPr>
        <w:widowControl w:val="0"/>
        <w:adjustRightInd w:val="0"/>
        <w:ind w:left="0" w:right="20"/>
        <w:jc w:val="both"/>
        <w:rPr>
          <w:rFonts w:ascii="Bookman Old Style" w:hAnsi="Bookman Old Style" w:cs="Arial"/>
          <w:lang w:val="es-ES_tradnl"/>
        </w:rPr>
      </w:pPr>
      <w:r w:rsidRPr="00D03E47">
        <w:rPr>
          <w:rFonts w:ascii="Bookman Old Style" w:hAnsi="Bookman Old Style" w:cs="Arial"/>
          <w:lang w:val="es-ES_tradnl"/>
        </w:rPr>
        <w:t xml:space="preserve">Por la cual se aprueba </w:t>
      </w:r>
      <w:r w:rsidR="00260569">
        <w:rPr>
          <w:rFonts w:ascii="Bookman Old Style" w:hAnsi="Bookman Old Style" w:cs="Arial"/>
          <w:lang w:val="es-ES_tradnl"/>
        </w:rPr>
        <w:t>el</w:t>
      </w:r>
      <w:r w:rsidR="0073086C">
        <w:rPr>
          <w:rFonts w:ascii="Bookman Old Style" w:hAnsi="Bookman Old Style" w:cs="Arial"/>
          <w:lang w:val="es-ES_tradnl"/>
        </w:rPr>
        <w:t xml:space="preserve"> </w:t>
      </w:r>
      <w:r w:rsidR="00260569">
        <w:rPr>
          <w:rFonts w:ascii="Bookman Old Style" w:hAnsi="Bookman Old Style" w:cs="Arial"/>
          <w:lang w:val="es-ES_tradnl"/>
        </w:rPr>
        <w:t>c</w:t>
      </w:r>
      <w:r w:rsidRPr="00D03E47">
        <w:rPr>
          <w:rFonts w:ascii="Bookman Old Style" w:hAnsi="Bookman Old Style" w:cs="Arial"/>
          <w:lang w:val="es-ES_tradnl"/>
        </w:rPr>
        <w:t xml:space="preserve">argo </w:t>
      </w:r>
      <w:r w:rsidR="00260569">
        <w:rPr>
          <w:rFonts w:ascii="Bookman Old Style" w:hAnsi="Bookman Old Style" w:cs="Arial"/>
          <w:lang w:val="es-ES_tradnl"/>
        </w:rPr>
        <w:t>m</w:t>
      </w:r>
      <w:r w:rsidRPr="00D03E47">
        <w:rPr>
          <w:rFonts w:ascii="Bookman Old Style" w:hAnsi="Bookman Old Style" w:cs="Arial"/>
          <w:lang w:val="es-ES_tradnl"/>
        </w:rPr>
        <w:t xml:space="preserve">áximo </w:t>
      </w:r>
      <w:r w:rsidR="00260569">
        <w:rPr>
          <w:rFonts w:ascii="Bookman Old Style" w:hAnsi="Bookman Old Style" w:cs="Arial"/>
          <w:lang w:val="es-ES_tradnl"/>
        </w:rPr>
        <w:t>b</w:t>
      </w:r>
      <w:r w:rsidRPr="00D03E47">
        <w:rPr>
          <w:rFonts w:ascii="Bookman Old Style" w:hAnsi="Bookman Old Style" w:cs="Arial"/>
          <w:lang w:val="es-ES_tradnl"/>
        </w:rPr>
        <w:t xml:space="preserve">ase de </w:t>
      </w:r>
      <w:r w:rsidR="00260569">
        <w:rPr>
          <w:rFonts w:ascii="Bookman Old Style" w:hAnsi="Bookman Old Style" w:cs="Arial"/>
          <w:lang w:val="es-ES_tradnl"/>
        </w:rPr>
        <w:t>c</w:t>
      </w:r>
      <w:r w:rsidRPr="00D03E47">
        <w:rPr>
          <w:rFonts w:ascii="Bookman Old Style" w:hAnsi="Bookman Old Style" w:cs="Arial"/>
          <w:lang w:val="es-ES_tradnl"/>
        </w:rPr>
        <w:t xml:space="preserve">omercialización de gas combustible por redes de tubería, </w:t>
      </w:r>
      <w:r w:rsidR="00FE7A62" w:rsidRPr="00D03E47">
        <w:rPr>
          <w:rFonts w:ascii="Bookman Old Style" w:hAnsi="Bookman Old Style" w:cs="Arial"/>
          <w:lang w:val="es-ES_tradnl"/>
        </w:rPr>
        <w:t xml:space="preserve">para el mercado relevante </w:t>
      </w:r>
      <w:r w:rsidR="000A28DC">
        <w:rPr>
          <w:rFonts w:ascii="Bookman Old Style" w:hAnsi="Bookman Old Style" w:cs="Arial"/>
          <w:lang w:val="es-ES_tradnl"/>
        </w:rPr>
        <w:t xml:space="preserve">conformado </w:t>
      </w:r>
      <w:r w:rsidR="00D45BB8" w:rsidRPr="00241B5F">
        <w:rPr>
          <w:rFonts w:ascii="Bookman Old Style" w:hAnsi="Bookman Old Style" w:cs="Arial"/>
          <w:lang w:val="es-ES_tradnl"/>
        </w:rPr>
        <w:t xml:space="preserve">por </w:t>
      </w:r>
      <w:r w:rsidR="00D45BB8">
        <w:rPr>
          <w:rFonts w:ascii="Bookman Old Style" w:hAnsi="Bookman Old Style" w:cs="Arial"/>
          <w:lang w:val="es-ES_tradnl"/>
        </w:rPr>
        <w:t xml:space="preserve">los </w:t>
      </w:r>
      <w:r w:rsidR="00CC0B2F" w:rsidRPr="00BF4A40">
        <w:rPr>
          <w:rFonts w:ascii="Bookman Old Style" w:hAnsi="Bookman Old Style" w:cs="Arial"/>
          <w:lang w:val="es-ES_tradnl"/>
        </w:rPr>
        <w:t xml:space="preserve">centros poblados de </w:t>
      </w:r>
      <w:proofErr w:type="spellStart"/>
      <w:r w:rsidR="00140927" w:rsidRPr="00BF4A40">
        <w:rPr>
          <w:rFonts w:ascii="Bookman Old Style" w:hAnsi="Bookman Old Style" w:cs="Arial"/>
          <w:lang w:val="es-ES_tradnl"/>
        </w:rPr>
        <w:t>Taravita</w:t>
      </w:r>
      <w:proofErr w:type="spellEnd"/>
      <w:r w:rsidR="00140927" w:rsidRPr="00BF4A40">
        <w:rPr>
          <w:rFonts w:ascii="Bookman Old Style" w:hAnsi="Bookman Old Style" w:cs="Arial"/>
          <w:lang w:val="es-ES_tradnl"/>
        </w:rPr>
        <w:t xml:space="preserve"> en el municipio de </w:t>
      </w:r>
      <w:proofErr w:type="spellStart"/>
      <w:r w:rsidR="00140927" w:rsidRPr="00BF4A40">
        <w:rPr>
          <w:rFonts w:ascii="Bookman Old Style" w:hAnsi="Bookman Old Style" w:cs="Arial"/>
          <w:lang w:val="es-ES_tradnl"/>
        </w:rPr>
        <w:t>Fúquene</w:t>
      </w:r>
      <w:proofErr w:type="spellEnd"/>
      <w:r w:rsidR="00140927" w:rsidRPr="00BF4A40">
        <w:rPr>
          <w:rFonts w:ascii="Bookman Old Style" w:hAnsi="Bookman Old Style" w:cs="Arial"/>
          <w:lang w:val="es-ES_tradnl"/>
        </w:rPr>
        <w:t xml:space="preserve">, </w:t>
      </w:r>
      <w:proofErr w:type="spellStart"/>
      <w:r w:rsidR="00140927" w:rsidRPr="00BF4A40">
        <w:rPr>
          <w:rFonts w:ascii="Bookman Old Style" w:hAnsi="Bookman Old Style" w:cs="Arial"/>
          <w:lang w:val="es-ES_tradnl"/>
        </w:rPr>
        <w:t>Ticha</w:t>
      </w:r>
      <w:proofErr w:type="spellEnd"/>
      <w:r w:rsidR="00140927" w:rsidRPr="00BF4A40">
        <w:rPr>
          <w:rFonts w:ascii="Bookman Old Style" w:hAnsi="Bookman Old Style" w:cs="Arial"/>
          <w:lang w:val="es-ES_tradnl"/>
        </w:rPr>
        <w:t xml:space="preserve">, </w:t>
      </w:r>
      <w:proofErr w:type="spellStart"/>
      <w:r w:rsidR="00140927" w:rsidRPr="00BF4A40">
        <w:rPr>
          <w:rFonts w:ascii="Bookman Old Style" w:hAnsi="Bookman Old Style" w:cs="Arial"/>
          <w:lang w:val="es-ES_tradnl"/>
        </w:rPr>
        <w:t>Nengua</w:t>
      </w:r>
      <w:proofErr w:type="spellEnd"/>
      <w:r w:rsidR="00140927" w:rsidRPr="00BF4A40">
        <w:rPr>
          <w:rFonts w:ascii="Bookman Old Style" w:hAnsi="Bookman Old Style" w:cs="Arial"/>
          <w:lang w:val="es-ES_tradnl"/>
        </w:rPr>
        <w:t xml:space="preserve"> y </w:t>
      </w:r>
      <w:proofErr w:type="spellStart"/>
      <w:r w:rsidR="00140927" w:rsidRPr="00BF4A40">
        <w:rPr>
          <w:rFonts w:ascii="Bookman Old Style" w:hAnsi="Bookman Old Style" w:cs="Arial"/>
          <w:lang w:val="es-ES_tradnl"/>
        </w:rPr>
        <w:t>Miña</w:t>
      </w:r>
      <w:proofErr w:type="spellEnd"/>
      <w:r w:rsidR="00140927" w:rsidRPr="00BF4A40">
        <w:rPr>
          <w:rFonts w:ascii="Bookman Old Style" w:hAnsi="Bookman Old Style" w:cs="Arial"/>
          <w:lang w:val="es-ES_tradnl"/>
        </w:rPr>
        <w:t xml:space="preserve"> en el municipio de </w:t>
      </w:r>
      <w:proofErr w:type="spellStart"/>
      <w:r w:rsidR="00140927" w:rsidRPr="00BF4A40">
        <w:rPr>
          <w:rFonts w:ascii="Bookman Old Style" w:hAnsi="Bookman Old Style" w:cs="Arial"/>
          <w:lang w:val="es-ES_tradnl"/>
        </w:rPr>
        <w:t>Guachetá</w:t>
      </w:r>
      <w:proofErr w:type="spellEnd"/>
      <w:r w:rsidR="004A4244" w:rsidRPr="00BF4A40">
        <w:rPr>
          <w:rFonts w:ascii="Bookman Old Style" w:hAnsi="Bookman Old Style" w:cs="Arial"/>
          <w:lang w:val="es-ES_tradnl"/>
        </w:rPr>
        <w:t xml:space="preserve">, departamento de </w:t>
      </w:r>
      <w:r w:rsidR="002E6488" w:rsidRPr="00BF4A40">
        <w:rPr>
          <w:rFonts w:ascii="Bookman Old Style" w:hAnsi="Bookman Old Style" w:cs="Arial"/>
          <w:lang w:val="es-ES_tradnl"/>
        </w:rPr>
        <w:t>Cundinamarca</w:t>
      </w:r>
      <w:r w:rsidR="0061761C" w:rsidRPr="00BF4A40">
        <w:rPr>
          <w:rFonts w:ascii="Bookman Old Style" w:hAnsi="Bookman Old Style" w:cs="Arial"/>
          <w:lang w:val="es-ES_tradnl"/>
        </w:rPr>
        <w:t xml:space="preserve">, según solicitud tarifaria presentada por la empresa </w:t>
      </w:r>
      <w:r w:rsidR="00EA294C" w:rsidRPr="00BF4A40">
        <w:rPr>
          <w:rFonts w:ascii="Bookman Old Style" w:hAnsi="Bookman Old Style" w:cs="Arial"/>
          <w:lang w:val="es-ES_tradnl"/>
        </w:rPr>
        <w:t>INGENIERIA Y SERVICIOS S.A. E.S.P.</w:t>
      </w:r>
    </w:p>
    <w:p w:rsidR="005A3F3A" w:rsidRPr="00671B4F" w:rsidRDefault="005A3F3A" w:rsidP="00273C2C">
      <w:pPr>
        <w:widowControl w:val="0"/>
        <w:adjustRightInd w:val="0"/>
        <w:ind w:left="0" w:right="20"/>
        <w:jc w:val="both"/>
        <w:rPr>
          <w:rFonts w:ascii="Bookman Old Style" w:hAnsi="Bookman Old Style" w:cs="Arial"/>
          <w:lang w:val="es-ES_tradnl"/>
        </w:rPr>
      </w:pPr>
    </w:p>
    <w:p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rsidR="00273C2C" w:rsidRPr="006B4647" w:rsidRDefault="00273C2C" w:rsidP="00273C2C">
      <w:pPr>
        <w:ind w:left="0"/>
        <w:jc w:val="both"/>
        <w:rPr>
          <w:rFonts w:ascii="Bookman Old Style" w:hAnsi="Bookman Old Style" w:cs="Arial"/>
          <w:b/>
        </w:rPr>
      </w:pPr>
    </w:p>
    <w:p w:rsidR="00273C2C" w:rsidRDefault="00273C2C" w:rsidP="00273C2C">
      <w:pPr>
        <w:ind w:left="0"/>
        <w:jc w:val="both"/>
        <w:rPr>
          <w:rFonts w:ascii="Bookman Old Style" w:hAnsi="Bookman Old Style" w:cs="Arial"/>
        </w:rPr>
      </w:pPr>
    </w:p>
    <w:p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 y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9D138E" w:rsidRPr="006B4647">
        <w:rPr>
          <w:rFonts w:ascii="Bookman Old Style" w:hAnsi="Bookman Old Style" w:cs="Arial"/>
        </w:rPr>
        <w:t>.</w:t>
      </w:r>
    </w:p>
    <w:p w:rsidR="00273C2C" w:rsidRDefault="00273C2C" w:rsidP="00273C2C">
      <w:pPr>
        <w:ind w:left="0"/>
        <w:jc w:val="both"/>
        <w:rPr>
          <w:rFonts w:ascii="Bookman Old Style" w:hAnsi="Bookman Old Style" w:cs="Arial"/>
        </w:rPr>
      </w:pPr>
    </w:p>
    <w:p w:rsidR="00273C2C" w:rsidRPr="006B4647"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rsidR="00273C2C" w:rsidRDefault="00273C2C" w:rsidP="00273C2C">
      <w:pPr>
        <w:ind w:left="0"/>
        <w:jc w:val="both"/>
        <w:rPr>
          <w:rFonts w:ascii="Bookman Old Style" w:hAnsi="Bookman Old Style" w:cs="Arial"/>
          <w:b/>
        </w:rPr>
      </w:pPr>
    </w:p>
    <w:p w:rsidR="00273C2C" w:rsidRDefault="00273C2C" w:rsidP="00273C2C">
      <w:pPr>
        <w:ind w:left="0"/>
        <w:jc w:val="both"/>
        <w:rPr>
          <w:rFonts w:ascii="Bookman Old Style" w:hAnsi="Bookman Old Style" w:cs="Arial"/>
          <w:b/>
        </w:rPr>
      </w:pPr>
    </w:p>
    <w:p w:rsidR="00273C2C" w:rsidRPr="00D03E47" w:rsidRDefault="00273C2C" w:rsidP="00273C2C">
      <w:pPr>
        <w:widowControl w:val="0"/>
        <w:adjustRightInd w:val="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273C2C" w:rsidRPr="00D03E47" w:rsidRDefault="00273C2C" w:rsidP="00273C2C">
      <w:pPr>
        <w:widowControl w:val="0"/>
        <w:adjustRightInd w:val="0"/>
        <w:ind w:left="0" w:right="20"/>
        <w:jc w:val="both"/>
        <w:rPr>
          <w:rFonts w:ascii="Bookman Old Style" w:hAnsi="Bookman Old Style" w:cs="Arial"/>
          <w:spacing w:val="-3"/>
        </w:rPr>
      </w:pPr>
    </w:p>
    <w:p w:rsidR="00273C2C" w:rsidRPr="00D03E47" w:rsidRDefault="00273C2C" w:rsidP="00273C2C">
      <w:pPr>
        <w:widowControl w:val="0"/>
        <w:adjustRightInd w:val="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 xml:space="preserve">rtículo 73.11 de la Ley 142 de 1994 atribuyó a la Comisión de Regulación de Energía y Gas la competencia para establecer las fórmulas para la fijación de las tarifas del servicio público domiciliario de gas combustible. </w:t>
      </w:r>
    </w:p>
    <w:p w:rsidR="00273C2C" w:rsidRPr="00D03E47" w:rsidRDefault="00273C2C" w:rsidP="00273C2C">
      <w:pPr>
        <w:widowControl w:val="0"/>
        <w:adjustRightInd w:val="0"/>
        <w:ind w:left="0" w:right="20"/>
        <w:jc w:val="both"/>
        <w:rPr>
          <w:rFonts w:ascii="Bookman Old Style" w:hAnsi="Bookman Old Style" w:cs="Arial"/>
        </w:rPr>
      </w:pPr>
    </w:p>
    <w:p w:rsidR="00273C2C" w:rsidRPr="00D03E47" w:rsidRDefault="00273C2C" w:rsidP="00273C2C">
      <w:pPr>
        <w:widowControl w:val="0"/>
        <w:adjustRightInd w:val="0"/>
        <w:ind w:left="0" w:right="20"/>
        <w:jc w:val="both"/>
        <w:rPr>
          <w:rFonts w:ascii="Bookman Old Style" w:hAnsi="Bookman Old Style" w:cs="Arial"/>
        </w:rPr>
      </w:pPr>
      <w:r w:rsidRPr="00D03E47">
        <w:rPr>
          <w:rFonts w:ascii="Bookman Old Style" w:hAnsi="Bookman Old Style" w:cs="Arial"/>
        </w:rPr>
        <w:t xml:space="preserve">Según lo dispuesto por el </w:t>
      </w:r>
      <w:r>
        <w:rPr>
          <w:rFonts w:ascii="Bookman Old Style" w:hAnsi="Bookman Old Style" w:cs="Arial"/>
        </w:rPr>
        <w:t>a</w:t>
      </w:r>
      <w:r w:rsidRPr="00D03E47">
        <w:rPr>
          <w:rFonts w:ascii="Bookman Old Style" w:hAnsi="Bookman Old Style" w:cs="Arial"/>
        </w:rPr>
        <w:t>rtículo 88.1 de la Ley 142 de 1994, la Comisión de Regulación de Energía y Gas podrá establecer topes máximos y mínimos tarifarios, de obligatorio cumplimiento por parte de las empresas.</w:t>
      </w:r>
    </w:p>
    <w:p w:rsidR="00273C2C" w:rsidRDefault="00273C2C" w:rsidP="00273C2C">
      <w:pPr>
        <w:widowControl w:val="0"/>
        <w:adjustRightInd w:val="0"/>
        <w:ind w:left="0" w:right="20"/>
        <w:jc w:val="both"/>
        <w:rPr>
          <w:rFonts w:ascii="Bookman Old Style" w:hAnsi="Bookman Old Style" w:cs="Arial"/>
        </w:rPr>
      </w:pPr>
    </w:p>
    <w:p w:rsidR="00273C2C" w:rsidRDefault="00273C2C" w:rsidP="00273C2C">
      <w:pPr>
        <w:widowControl w:val="0"/>
        <w:adjustRightInd w:val="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 vencido el período de vigencia de las fórmulas tarifarias éstas continuarán rigiendo mientras la Comisión no fije las nuevas.</w:t>
      </w:r>
    </w:p>
    <w:p w:rsidR="00A11391" w:rsidRDefault="00A11391" w:rsidP="00273C2C">
      <w:pPr>
        <w:widowControl w:val="0"/>
        <w:adjustRightInd w:val="0"/>
        <w:ind w:left="0" w:right="20"/>
        <w:jc w:val="both"/>
        <w:rPr>
          <w:rFonts w:ascii="Bookman Old Style" w:hAnsi="Bookman Old Style" w:cs="Arial"/>
        </w:rPr>
      </w:pPr>
    </w:p>
    <w:p w:rsidR="00E14D38" w:rsidRDefault="00E14D38" w:rsidP="00E14D38">
      <w:pPr>
        <w:widowControl w:val="0"/>
        <w:adjustRightInd w:val="0"/>
        <w:ind w:left="0" w:right="20"/>
        <w:jc w:val="both"/>
        <w:rPr>
          <w:rFonts w:ascii="Bookman Old Style" w:hAnsi="Bookman Old Style" w:cs="Arial"/>
        </w:rPr>
      </w:pPr>
      <w:r>
        <w:rPr>
          <w:rFonts w:ascii="Bookman Old Style" w:hAnsi="Bookman Old Style" w:cs="Arial"/>
        </w:rPr>
        <w:t xml:space="preserve">La metodología de comercialización de gas combustible se encuentra contenida en la </w:t>
      </w:r>
      <w:r w:rsidRPr="00D03E47">
        <w:rPr>
          <w:rFonts w:ascii="Bookman Old Style" w:hAnsi="Bookman Old Style" w:cs="Arial"/>
        </w:rPr>
        <w:t>Resolución CREG</w:t>
      </w:r>
      <w:r>
        <w:rPr>
          <w:rFonts w:ascii="Bookman Old Style" w:hAnsi="Bookman Old Style" w:cs="Arial"/>
        </w:rPr>
        <w:t xml:space="preserve"> 011 de 2003 en el Artículo 23. En este se indica que el cargo máximo base de comercialización de gas se determina como:</w:t>
      </w:r>
    </w:p>
    <w:p w:rsidR="00E14D38" w:rsidRPr="00BE5461" w:rsidRDefault="00E14D38" w:rsidP="00E14D38">
      <w:pPr>
        <w:widowControl w:val="0"/>
        <w:adjustRightInd w:val="0"/>
        <w:ind w:left="0" w:right="20"/>
        <w:jc w:val="both"/>
        <w:rPr>
          <w:rFonts w:ascii="Bookman Old Style" w:hAnsi="Bookman Old Style" w:cs="Arial"/>
        </w:rPr>
      </w:pPr>
    </w:p>
    <w:p w:rsidR="00E14D38" w:rsidRDefault="00E14D38" w:rsidP="00E14D38">
      <w:pPr>
        <w:widowControl w:val="0"/>
        <w:adjustRightInd w:val="0"/>
        <w:ind w:left="284" w:right="20"/>
        <w:jc w:val="both"/>
        <w:rPr>
          <w:rFonts w:ascii="Bookman Old Style" w:hAnsi="Bookman Old Style" w:cs="Arial"/>
          <w:i/>
        </w:rPr>
      </w:pPr>
      <w:r>
        <w:rPr>
          <w:rFonts w:ascii="Bookman Old Style" w:hAnsi="Bookman Old Style" w:cs="Arial"/>
          <w:i/>
        </w:rPr>
        <w:t>“</w:t>
      </w:r>
      <w:r w:rsidRPr="00D21D8E">
        <w:rPr>
          <w:rFonts w:ascii="Bookman Old Style" w:hAnsi="Bookman Old Style" w:cs="Arial"/>
          <w:i/>
        </w:rPr>
        <w:t xml:space="preserve">Artículo 23. METODOLOGÍA PARA EL CÁLCULO DEL CARGO MÁXIMO BASE DE COMERCIALIZACIÓN. El cargo máximo base de comercialización C0 se </w:t>
      </w:r>
      <w:r w:rsidRPr="00D21D8E">
        <w:rPr>
          <w:rFonts w:ascii="Bookman Old Style" w:hAnsi="Bookman Old Style" w:cs="Arial"/>
          <w:i/>
        </w:rPr>
        <w:lastRenderedPageBreak/>
        <w:t>determinará como el cociente de la suma de los componentes a) y b) descritos a continuación, sobre el número de facturas del año para el cual se tomaron los parámetros de cálculo de dichos componentes.</w:t>
      </w:r>
    </w:p>
    <w:p w:rsidR="00E14D38" w:rsidRPr="00D21D8E" w:rsidRDefault="00E14D38" w:rsidP="00E14D38">
      <w:pPr>
        <w:widowControl w:val="0"/>
        <w:adjustRightInd w:val="0"/>
        <w:ind w:left="284" w:right="20"/>
        <w:jc w:val="both"/>
        <w:rPr>
          <w:rFonts w:ascii="Bookman Old Style" w:hAnsi="Bookman Old Style" w:cs="Arial"/>
          <w:i/>
        </w:rPr>
      </w:pPr>
    </w:p>
    <w:p w:rsidR="00E14D38" w:rsidRDefault="00E14D38" w:rsidP="00E14D38">
      <w:pPr>
        <w:widowControl w:val="0"/>
        <w:adjustRightInd w:val="0"/>
        <w:ind w:left="284" w:right="20"/>
        <w:jc w:val="both"/>
        <w:rPr>
          <w:rFonts w:ascii="Bookman Old Style" w:hAnsi="Bookman Old Style" w:cs="Arial"/>
          <w:i/>
        </w:rPr>
      </w:pPr>
      <w:r w:rsidRPr="00D21D8E">
        <w:rPr>
          <w:rFonts w:ascii="Bookman Old Style" w:hAnsi="Bookman Old Style" w:cs="Arial"/>
          <w:i/>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rsidR="00E14D38" w:rsidRPr="00D21D8E" w:rsidRDefault="00E14D38" w:rsidP="00E14D38">
      <w:pPr>
        <w:widowControl w:val="0"/>
        <w:adjustRightInd w:val="0"/>
        <w:ind w:left="284" w:right="20"/>
        <w:jc w:val="both"/>
        <w:rPr>
          <w:rFonts w:ascii="Bookman Old Style" w:hAnsi="Bookman Old Style" w:cs="Arial"/>
          <w:i/>
        </w:rPr>
      </w:pPr>
    </w:p>
    <w:p w:rsidR="00E14D38" w:rsidRDefault="00E14D38" w:rsidP="00E14D38">
      <w:pPr>
        <w:widowControl w:val="0"/>
        <w:adjustRightInd w:val="0"/>
        <w:ind w:left="284" w:right="20"/>
        <w:jc w:val="both"/>
        <w:rPr>
          <w:rFonts w:ascii="Bookman Old Style" w:hAnsi="Bookman Old Style" w:cs="Arial"/>
          <w:i/>
        </w:rPr>
      </w:pPr>
      <w:r w:rsidRPr="00D21D8E">
        <w:rPr>
          <w:rFonts w:ascii="Bookman Old Style" w:hAnsi="Bookman Old Style" w:cs="Arial"/>
          <w:i/>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D21D8E">
        <w:rPr>
          <w:rFonts w:ascii="Bookman Old Style" w:hAnsi="Bookman Old Style" w:cs="Arial"/>
          <w:i/>
        </w:rPr>
        <w:t>Mst</w:t>
      </w:r>
      <w:proofErr w:type="spellEnd"/>
      <w:r w:rsidRPr="00D21D8E">
        <w:rPr>
          <w:rFonts w:ascii="Bookman Old Style" w:hAnsi="Bookman Old Style" w:cs="Arial"/>
          <w:i/>
        </w:rPr>
        <w:t xml:space="preserve"> o del </w:t>
      </w:r>
      <w:proofErr w:type="spellStart"/>
      <w:r w:rsidRPr="00D21D8E">
        <w:rPr>
          <w:rFonts w:ascii="Bookman Old Style" w:hAnsi="Bookman Old Style" w:cs="Arial"/>
          <w:i/>
        </w:rPr>
        <w:t>Msm</w:t>
      </w:r>
      <w:proofErr w:type="spellEnd"/>
      <w:r w:rsidRPr="00D21D8E">
        <w:rPr>
          <w:rFonts w:ascii="Bookman Old Style" w:hAnsi="Bookman Old Style" w:cs="Arial"/>
          <w:i/>
        </w:rPr>
        <w:t>, según sea el caso.</w:t>
      </w:r>
    </w:p>
    <w:p w:rsidR="00E14D38" w:rsidRDefault="00E14D38" w:rsidP="00E14D38">
      <w:pPr>
        <w:widowControl w:val="0"/>
        <w:adjustRightInd w:val="0"/>
        <w:ind w:left="284" w:right="20"/>
        <w:jc w:val="both"/>
        <w:rPr>
          <w:rFonts w:ascii="Bookman Old Style" w:hAnsi="Bookman Old Style" w:cs="Arial"/>
          <w:i/>
        </w:rPr>
      </w:pPr>
    </w:p>
    <w:p w:rsidR="00E14D38" w:rsidRDefault="00E14D38" w:rsidP="00E14D38">
      <w:pPr>
        <w:widowControl w:val="0"/>
        <w:adjustRightInd w:val="0"/>
        <w:ind w:left="284" w:right="20"/>
        <w:jc w:val="both"/>
        <w:rPr>
          <w:rFonts w:ascii="Bookman Old Style" w:hAnsi="Bookman Old Style" w:cs="Arial"/>
          <w:i/>
        </w:rPr>
      </w:pPr>
      <w:r w:rsidRPr="00D21D8E">
        <w:rPr>
          <w:rFonts w:ascii="Bookman Old Style" w:hAnsi="Bookman Old Style" w:cs="Arial"/>
          <w:i/>
        </w:rPr>
        <w:t>Parágrafo 1: Para el caso de Comercializadores que no cuenten con la anterior información, se les fijará un Cargo de Comercialización igual al de otro Comercializador que atienda un mercado similar.</w:t>
      </w:r>
    </w:p>
    <w:p w:rsidR="00E14D38" w:rsidRDefault="00E14D38" w:rsidP="00E14D38">
      <w:pPr>
        <w:widowControl w:val="0"/>
        <w:adjustRightInd w:val="0"/>
        <w:ind w:left="284" w:right="20"/>
        <w:jc w:val="both"/>
        <w:rPr>
          <w:rFonts w:ascii="Bookman Old Style" w:hAnsi="Bookman Old Style" w:cs="Arial"/>
          <w:i/>
        </w:rPr>
      </w:pPr>
    </w:p>
    <w:p w:rsidR="00E14D38" w:rsidRPr="00D21D8E" w:rsidRDefault="00E14D38" w:rsidP="00E14D38">
      <w:pPr>
        <w:widowControl w:val="0"/>
        <w:adjustRightInd w:val="0"/>
        <w:ind w:left="284" w:right="20"/>
        <w:jc w:val="both"/>
        <w:rPr>
          <w:rFonts w:ascii="Bookman Old Style" w:hAnsi="Bookman Old Style" w:cs="Arial"/>
          <w:i/>
        </w:rPr>
      </w:pPr>
      <w:r w:rsidRPr="00D21D8E">
        <w:rPr>
          <w:rFonts w:ascii="Bookman Old Style" w:hAnsi="Bookman Old Style" w:cs="Arial"/>
          <w:i/>
        </w:rPr>
        <w:t>Parágrafo 2: El valor de Co así calculado se referirá a la Fecha Base de la solicitud tarifaria</w:t>
      </w:r>
      <w:r>
        <w:rPr>
          <w:rFonts w:ascii="Bookman Old Style" w:hAnsi="Bookman Old Style" w:cs="Arial"/>
          <w:i/>
        </w:rPr>
        <w:t>”</w:t>
      </w:r>
      <w:r w:rsidRPr="00D21D8E">
        <w:rPr>
          <w:rFonts w:ascii="Bookman Old Style" w:hAnsi="Bookman Old Style" w:cs="Arial"/>
          <w:i/>
        </w:rPr>
        <w:t>.</w:t>
      </w:r>
    </w:p>
    <w:p w:rsidR="00273C2C" w:rsidRDefault="00273C2C" w:rsidP="00273C2C">
      <w:pPr>
        <w:widowControl w:val="0"/>
        <w:adjustRightInd w:val="0"/>
        <w:ind w:left="0" w:right="20"/>
        <w:jc w:val="both"/>
        <w:rPr>
          <w:rFonts w:ascii="Bookman Old Style" w:hAnsi="Bookman Old Style" w:cs="Arial"/>
        </w:rPr>
      </w:pPr>
    </w:p>
    <w:p w:rsidR="006D039F" w:rsidRDefault="000F7019" w:rsidP="006D039F">
      <w:pPr>
        <w:widowControl w:val="0"/>
        <w:adjustRightInd w:val="0"/>
        <w:ind w:left="0" w:right="20"/>
        <w:jc w:val="both"/>
        <w:rPr>
          <w:rFonts w:ascii="Bookman Old Style" w:hAnsi="Bookman Old Style" w:cs="Arial"/>
        </w:rPr>
      </w:pPr>
      <w:r w:rsidRPr="00181B79">
        <w:rPr>
          <w:rFonts w:ascii="Bookman Old Style" w:hAnsi="Bookman Old Style" w:cs="Arial"/>
          <w:lang w:val="es-CO"/>
        </w:rPr>
        <w:t xml:space="preserve">La empresa </w:t>
      </w:r>
      <w:r w:rsidR="00EA294C" w:rsidRPr="00BF4A40">
        <w:rPr>
          <w:rFonts w:ascii="Bookman Old Style" w:hAnsi="Bookman Old Style" w:cs="Arial"/>
        </w:rPr>
        <w:t>INGENIERIA Y SERVICIOS S.A. E.S.P.</w:t>
      </w:r>
      <w:r w:rsidR="002C6C8D" w:rsidRPr="00BF4A40">
        <w:rPr>
          <w:rFonts w:ascii="Bookman Old Style" w:hAnsi="Bookman Old Style" w:cs="Arial"/>
        </w:rPr>
        <w:t xml:space="preserve">, a través de la comunicación radicada en la CREG bajo el número </w:t>
      </w:r>
      <w:r w:rsidR="0061761C" w:rsidRPr="00BF4A40">
        <w:rPr>
          <w:rFonts w:ascii="Bookman Old Style" w:hAnsi="Bookman Old Style" w:cs="Arial"/>
        </w:rPr>
        <w:t>E-2017-0</w:t>
      </w:r>
      <w:r w:rsidR="00A21332" w:rsidRPr="00BF4A40">
        <w:rPr>
          <w:rFonts w:ascii="Bookman Old Style" w:hAnsi="Bookman Old Style" w:cs="Arial"/>
        </w:rPr>
        <w:t>11721</w:t>
      </w:r>
      <w:r w:rsidR="002C6C8D" w:rsidRPr="00BF4A40">
        <w:rPr>
          <w:rFonts w:ascii="Bookman Old Style" w:hAnsi="Bookman Old Style" w:cs="Arial"/>
        </w:rPr>
        <w:t xml:space="preserve"> de </w:t>
      </w:r>
      <w:r w:rsidR="0061761C" w:rsidRPr="00BF4A40">
        <w:rPr>
          <w:rFonts w:ascii="Bookman Old Style" w:hAnsi="Bookman Old Style" w:cs="Arial"/>
        </w:rPr>
        <w:t xml:space="preserve">diciembre </w:t>
      </w:r>
      <w:r w:rsidR="00A21332" w:rsidRPr="00BF4A40">
        <w:rPr>
          <w:rFonts w:ascii="Bookman Old Style" w:hAnsi="Bookman Old Style" w:cs="Arial"/>
        </w:rPr>
        <w:t>1</w:t>
      </w:r>
      <w:r w:rsidR="0061761C" w:rsidRPr="00BF4A40">
        <w:rPr>
          <w:rFonts w:ascii="Bookman Old Style" w:hAnsi="Bookman Old Style" w:cs="Arial"/>
        </w:rPr>
        <w:t>8</w:t>
      </w:r>
      <w:r w:rsidR="002C6C8D" w:rsidRPr="00BF4A40">
        <w:rPr>
          <w:rFonts w:ascii="Bookman Old Style" w:hAnsi="Bookman Old Style" w:cs="Arial"/>
        </w:rPr>
        <w:t xml:space="preserve"> de 2017</w:t>
      </w:r>
      <w:r w:rsidRPr="00BF4A40">
        <w:rPr>
          <w:rFonts w:ascii="Bookman Old Style" w:hAnsi="Bookman Old Style" w:cs="Arial"/>
          <w:lang w:val="es-CO"/>
        </w:rPr>
        <w:t xml:space="preserve">, solicitó aprobación del cargo de comercialización de </w:t>
      </w:r>
      <w:r w:rsidR="00A21332" w:rsidRPr="00BF4A40">
        <w:rPr>
          <w:rFonts w:ascii="Bookman Old Style" w:hAnsi="Bookman Old Style" w:cs="Arial"/>
          <w:lang w:val="es-CO"/>
        </w:rPr>
        <w:t>GN</w:t>
      </w:r>
      <w:r w:rsidRPr="00BF4A40">
        <w:rPr>
          <w:rFonts w:ascii="Bookman Old Style" w:hAnsi="Bookman Old Style" w:cs="Arial"/>
          <w:lang w:val="es-CO"/>
        </w:rPr>
        <w:t xml:space="preserve"> por redes</w:t>
      </w:r>
      <w:r w:rsidRPr="00181B79">
        <w:rPr>
          <w:rFonts w:ascii="Bookman Old Style" w:hAnsi="Bookman Old Style" w:cs="Arial"/>
          <w:lang w:val="es-CO"/>
        </w:rPr>
        <w:t xml:space="preserve">, para el mercado relevante </w:t>
      </w:r>
      <w:r w:rsidR="00E420D7" w:rsidRPr="008321F1">
        <w:rPr>
          <w:rFonts w:ascii="Bookman Old Style" w:hAnsi="Bookman Old Style" w:cs="Arial"/>
          <w:lang w:val="es-CO"/>
        </w:rPr>
        <w:t xml:space="preserve">conformado </w:t>
      </w:r>
      <w:r w:rsidR="006D039F" w:rsidRPr="00B665FD">
        <w:rPr>
          <w:rFonts w:ascii="Bookman Old Style" w:hAnsi="Bookman Old Style" w:cs="Arial"/>
        </w:rPr>
        <w:t xml:space="preserve">por </w:t>
      </w:r>
      <w:r w:rsidR="006D039F">
        <w:rPr>
          <w:rFonts w:ascii="Bookman Old Style" w:hAnsi="Bookman Old Style" w:cs="Arial"/>
        </w:rPr>
        <w:t xml:space="preserve">los siguientes </w:t>
      </w:r>
      <w:r w:rsidR="00A21332">
        <w:rPr>
          <w:rFonts w:ascii="Bookman Old Style" w:hAnsi="Bookman Old Style" w:cs="Arial"/>
        </w:rPr>
        <w:t>centros poblados</w:t>
      </w:r>
      <w:r w:rsidR="006D039F">
        <w:rPr>
          <w:rFonts w:ascii="Bookman Old Style" w:hAnsi="Bookman Old Style" w:cs="Arial"/>
        </w:rPr>
        <w:t>:</w:t>
      </w:r>
    </w:p>
    <w:p w:rsidR="002C6C8D" w:rsidRDefault="002C6C8D" w:rsidP="006D039F">
      <w:pPr>
        <w:widowControl w:val="0"/>
        <w:adjustRightInd w:val="0"/>
        <w:ind w:left="0" w:right="20"/>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2"/>
        <w:gridCol w:w="2235"/>
        <w:gridCol w:w="2126"/>
        <w:gridCol w:w="1905"/>
      </w:tblGrid>
      <w:tr w:rsidR="00F16445" w:rsidRPr="00C52112" w:rsidTr="009C34EF">
        <w:trPr>
          <w:jc w:val="center"/>
        </w:trPr>
        <w:tc>
          <w:tcPr>
            <w:tcW w:w="2722" w:type="dxa"/>
            <w:shd w:val="clear" w:color="auto" w:fill="D9D9D9"/>
          </w:tcPr>
          <w:p w:rsidR="00F16445" w:rsidRPr="00E35625" w:rsidRDefault="00F16445" w:rsidP="009C34EF">
            <w:pPr>
              <w:keepNext/>
              <w:ind w:left="-98"/>
              <w:jc w:val="center"/>
              <w:rPr>
                <w:rFonts w:ascii="Bookman Old Style" w:hAnsi="Bookman Old Style" w:cs="Arial"/>
                <w:b/>
                <w:sz w:val="22"/>
              </w:rPr>
            </w:pPr>
            <w:r>
              <w:rPr>
                <w:rFonts w:ascii="Bookman Old Style" w:hAnsi="Bookman Old Style" w:cs="Arial"/>
                <w:b/>
                <w:sz w:val="22"/>
              </w:rPr>
              <w:t>Nombre de los centros poblados</w:t>
            </w:r>
          </w:p>
        </w:tc>
        <w:tc>
          <w:tcPr>
            <w:tcW w:w="2235" w:type="dxa"/>
            <w:shd w:val="clear" w:color="auto" w:fill="D9D9D9"/>
            <w:vAlign w:val="center"/>
          </w:tcPr>
          <w:p w:rsidR="00F16445" w:rsidRPr="00E35625" w:rsidRDefault="00F16445" w:rsidP="009C34EF">
            <w:pPr>
              <w:keepNext/>
              <w:ind w:left="-98"/>
              <w:jc w:val="center"/>
              <w:rPr>
                <w:rFonts w:ascii="Bookman Old Style" w:hAnsi="Bookman Old Style" w:cs="Arial"/>
                <w:b/>
                <w:sz w:val="22"/>
              </w:rPr>
            </w:pPr>
            <w:r w:rsidRPr="00E35625">
              <w:rPr>
                <w:rFonts w:ascii="Bookman Old Style" w:hAnsi="Bookman Old Style" w:cs="Arial"/>
                <w:b/>
                <w:sz w:val="22"/>
              </w:rPr>
              <w:t>C</w:t>
            </w:r>
            <w:r>
              <w:rPr>
                <w:rFonts w:ascii="Bookman Old Style" w:hAnsi="Bookman Old Style" w:cs="Arial"/>
                <w:b/>
                <w:sz w:val="22"/>
              </w:rPr>
              <w:t>ódigo DANE del municipio</w:t>
            </w:r>
          </w:p>
        </w:tc>
        <w:tc>
          <w:tcPr>
            <w:tcW w:w="2126" w:type="dxa"/>
            <w:shd w:val="clear" w:color="auto" w:fill="D9D9D9"/>
            <w:vAlign w:val="center"/>
          </w:tcPr>
          <w:p w:rsidR="00F16445" w:rsidRPr="00E35625" w:rsidRDefault="00F16445" w:rsidP="009C34EF">
            <w:pPr>
              <w:keepNext/>
              <w:ind w:left="-98"/>
              <w:jc w:val="center"/>
              <w:rPr>
                <w:rFonts w:ascii="Bookman Old Style" w:hAnsi="Bookman Old Style" w:cs="Arial"/>
                <w:b/>
                <w:sz w:val="22"/>
              </w:rPr>
            </w:pPr>
            <w:r w:rsidRPr="00E35625">
              <w:rPr>
                <w:rFonts w:ascii="Bookman Old Style" w:hAnsi="Bookman Old Style" w:cs="Arial"/>
                <w:b/>
                <w:sz w:val="22"/>
              </w:rPr>
              <w:t>M</w:t>
            </w:r>
            <w:r>
              <w:rPr>
                <w:rFonts w:ascii="Bookman Old Style" w:hAnsi="Bookman Old Style" w:cs="Arial"/>
                <w:b/>
                <w:sz w:val="22"/>
              </w:rPr>
              <w:t>unicipio</w:t>
            </w:r>
          </w:p>
        </w:tc>
        <w:tc>
          <w:tcPr>
            <w:tcW w:w="1905" w:type="dxa"/>
            <w:shd w:val="clear" w:color="auto" w:fill="D9D9D9"/>
            <w:vAlign w:val="center"/>
          </w:tcPr>
          <w:p w:rsidR="00F16445" w:rsidRPr="00E35625" w:rsidRDefault="00F16445" w:rsidP="009C34EF">
            <w:pPr>
              <w:keepNext/>
              <w:ind w:left="-98"/>
              <w:jc w:val="center"/>
              <w:rPr>
                <w:rFonts w:ascii="Bookman Old Style" w:hAnsi="Bookman Old Style" w:cs="Arial"/>
                <w:b/>
                <w:sz w:val="22"/>
              </w:rPr>
            </w:pPr>
            <w:r w:rsidRPr="00E35625">
              <w:rPr>
                <w:rFonts w:ascii="Bookman Old Style" w:hAnsi="Bookman Old Style" w:cs="Arial"/>
                <w:b/>
                <w:sz w:val="22"/>
              </w:rPr>
              <w:t>D</w:t>
            </w:r>
            <w:r>
              <w:rPr>
                <w:rFonts w:ascii="Bookman Old Style" w:hAnsi="Bookman Old Style" w:cs="Arial"/>
                <w:b/>
                <w:sz w:val="22"/>
              </w:rPr>
              <w:t>epartamento</w:t>
            </w:r>
          </w:p>
        </w:tc>
      </w:tr>
      <w:tr w:rsidR="00D7455F" w:rsidRPr="00C52112" w:rsidTr="00D7455F">
        <w:trPr>
          <w:jc w:val="center"/>
        </w:trPr>
        <w:tc>
          <w:tcPr>
            <w:tcW w:w="2722" w:type="dxa"/>
          </w:tcPr>
          <w:p w:rsidR="00D7455F" w:rsidRPr="00E35625" w:rsidRDefault="00D7455F" w:rsidP="009C34EF">
            <w:pPr>
              <w:ind w:left="33" w:right="-1"/>
              <w:rPr>
                <w:rFonts w:ascii="Bookman Old Style" w:hAnsi="Bookman Old Style" w:cs="Arial"/>
                <w:sz w:val="22"/>
              </w:rPr>
            </w:pPr>
            <w:r>
              <w:rPr>
                <w:rFonts w:ascii="Bookman Old Style" w:hAnsi="Bookman Old Style" w:cs="Arial"/>
                <w:sz w:val="22"/>
              </w:rPr>
              <w:t>Taravita</w:t>
            </w:r>
          </w:p>
        </w:tc>
        <w:tc>
          <w:tcPr>
            <w:tcW w:w="2235" w:type="dxa"/>
            <w:shd w:val="clear" w:color="auto" w:fill="auto"/>
            <w:vAlign w:val="center"/>
          </w:tcPr>
          <w:p w:rsidR="00D7455F" w:rsidRPr="00E35625" w:rsidRDefault="00D7455F" w:rsidP="00D7455F">
            <w:pPr>
              <w:ind w:left="-98" w:right="-1"/>
              <w:jc w:val="center"/>
              <w:rPr>
                <w:rFonts w:ascii="Bookman Old Style" w:hAnsi="Bookman Old Style" w:cs="Arial"/>
                <w:sz w:val="22"/>
              </w:rPr>
            </w:pPr>
            <w:r>
              <w:rPr>
                <w:rFonts w:ascii="Bookman Old Style" w:hAnsi="Bookman Old Style" w:cs="Arial"/>
                <w:sz w:val="22"/>
              </w:rPr>
              <w:t>25288</w:t>
            </w:r>
          </w:p>
        </w:tc>
        <w:tc>
          <w:tcPr>
            <w:tcW w:w="2126" w:type="dxa"/>
            <w:shd w:val="clear" w:color="auto" w:fill="auto"/>
            <w:vAlign w:val="center"/>
          </w:tcPr>
          <w:p w:rsidR="00D7455F" w:rsidRPr="00E35625" w:rsidRDefault="00D7455F" w:rsidP="009C34EF">
            <w:pPr>
              <w:ind w:left="-98" w:right="-1"/>
              <w:jc w:val="center"/>
              <w:rPr>
                <w:rFonts w:ascii="Bookman Old Style" w:hAnsi="Bookman Old Style" w:cs="Arial"/>
                <w:sz w:val="22"/>
              </w:rPr>
            </w:pPr>
            <w:proofErr w:type="spellStart"/>
            <w:r>
              <w:rPr>
                <w:rFonts w:ascii="Bookman Old Style" w:hAnsi="Bookman Old Style" w:cs="Arial"/>
                <w:sz w:val="22"/>
              </w:rPr>
              <w:t>Fúquene</w:t>
            </w:r>
            <w:proofErr w:type="spellEnd"/>
          </w:p>
        </w:tc>
        <w:tc>
          <w:tcPr>
            <w:tcW w:w="1905" w:type="dxa"/>
            <w:vMerge w:val="restart"/>
            <w:shd w:val="clear" w:color="auto" w:fill="auto"/>
            <w:vAlign w:val="center"/>
          </w:tcPr>
          <w:p w:rsidR="00D7455F" w:rsidRPr="00E35625" w:rsidRDefault="002E6488" w:rsidP="009C34EF">
            <w:pPr>
              <w:ind w:left="-98" w:right="-1"/>
              <w:jc w:val="center"/>
              <w:rPr>
                <w:rFonts w:ascii="Bookman Old Style" w:hAnsi="Bookman Old Style" w:cs="Arial"/>
                <w:sz w:val="22"/>
              </w:rPr>
            </w:pPr>
            <w:r>
              <w:rPr>
                <w:rFonts w:ascii="Bookman Old Style" w:hAnsi="Bookman Old Style" w:cs="Arial"/>
                <w:sz w:val="22"/>
              </w:rPr>
              <w:t>Cundinamarca</w:t>
            </w:r>
          </w:p>
        </w:tc>
      </w:tr>
      <w:tr w:rsidR="00D7455F" w:rsidRPr="00C52112" w:rsidTr="00D7455F">
        <w:trPr>
          <w:jc w:val="center"/>
        </w:trPr>
        <w:tc>
          <w:tcPr>
            <w:tcW w:w="2722" w:type="dxa"/>
          </w:tcPr>
          <w:p w:rsidR="00D7455F" w:rsidRPr="00E35625" w:rsidRDefault="00D7455F" w:rsidP="009C34EF">
            <w:pPr>
              <w:ind w:left="33" w:right="-1"/>
              <w:rPr>
                <w:rFonts w:ascii="Bookman Old Style" w:hAnsi="Bookman Old Style" w:cs="Arial"/>
                <w:sz w:val="22"/>
              </w:rPr>
            </w:pPr>
            <w:proofErr w:type="spellStart"/>
            <w:r>
              <w:rPr>
                <w:rFonts w:ascii="Bookman Old Style" w:hAnsi="Bookman Old Style" w:cs="Arial"/>
                <w:sz w:val="22"/>
              </w:rPr>
              <w:t>Ticha</w:t>
            </w:r>
            <w:proofErr w:type="spellEnd"/>
          </w:p>
        </w:tc>
        <w:tc>
          <w:tcPr>
            <w:tcW w:w="2235" w:type="dxa"/>
            <w:vMerge w:val="restart"/>
            <w:shd w:val="clear" w:color="auto" w:fill="auto"/>
            <w:vAlign w:val="center"/>
          </w:tcPr>
          <w:p w:rsidR="00D7455F" w:rsidRPr="00E35625" w:rsidRDefault="00D7455F" w:rsidP="00D7455F">
            <w:pPr>
              <w:ind w:left="-98" w:right="-1"/>
              <w:jc w:val="center"/>
              <w:rPr>
                <w:rFonts w:ascii="Bookman Old Style" w:hAnsi="Bookman Old Style" w:cs="Arial"/>
                <w:sz w:val="22"/>
              </w:rPr>
            </w:pPr>
            <w:r>
              <w:rPr>
                <w:rFonts w:ascii="Bookman Old Style" w:hAnsi="Bookman Old Style" w:cs="Arial"/>
                <w:sz w:val="22"/>
              </w:rPr>
              <w:t>25317</w:t>
            </w:r>
          </w:p>
        </w:tc>
        <w:tc>
          <w:tcPr>
            <w:tcW w:w="2126" w:type="dxa"/>
            <w:vMerge w:val="restart"/>
            <w:shd w:val="clear" w:color="auto" w:fill="auto"/>
            <w:vAlign w:val="center"/>
          </w:tcPr>
          <w:p w:rsidR="00D7455F" w:rsidRPr="00E35625" w:rsidRDefault="00D7455F" w:rsidP="009C34EF">
            <w:pPr>
              <w:ind w:left="-98" w:right="-1"/>
              <w:jc w:val="center"/>
              <w:rPr>
                <w:rFonts w:ascii="Bookman Old Style" w:hAnsi="Bookman Old Style" w:cs="Arial"/>
                <w:sz w:val="22"/>
              </w:rPr>
            </w:pPr>
            <w:proofErr w:type="spellStart"/>
            <w:r>
              <w:rPr>
                <w:rFonts w:ascii="Bookman Old Style" w:hAnsi="Bookman Old Style" w:cs="Arial"/>
                <w:sz w:val="22"/>
              </w:rPr>
              <w:t>Guachetá</w:t>
            </w:r>
            <w:proofErr w:type="spellEnd"/>
          </w:p>
        </w:tc>
        <w:tc>
          <w:tcPr>
            <w:tcW w:w="1905" w:type="dxa"/>
            <w:vMerge/>
            <w:shd w:val="clear" w:color="auto" w:fill="auto"/>
          </w:tcPr>
          <w:p w:rsidR="00D7455F" w:rsidRPr="00E35625" w:rsidRDefault="00D7455F" w:rsidP="009C34EF">
            <w:pPr>
              <w:ind w:left="-98" w:right="-1"/>
              <w:jc w:val="center"/>
              <w:rPr>
                <w:rFonts w:ascii="Bookman Old Style" w:hAnsi="Bookman Old Style" w:cs="Arial"/>
                <w:sz w:val="22"/>
              </w:rPr>
            </w:pPr>
          </w:p>
        </w:tc>
      </w:tr>
      <w:tr w:rsidR="00D7455F" w:rsidRPr="00C52112" w:rsidTr="009C34EF">
        <w:trPr>
          <w:jc w:val="center"/>
        </w:trPr>
        <w:tc>
          <w:tcPr>
            <w:tcW w:w="2722" w:type="dxa"/>
          </w:tcPr>
          <w:p w:rsidR="00D7455F" w:rsidRDefault="00D7455F" w:rsidP="009C34EF">
            <w:pPr>
              <w:ind w:left="33" w:right="-1"/>
              <w:rPr>
                <w:rFonts w:ascii="Bookman Old Style" w:hAnsi="Bookman Old Style" w:cs="Arial"/>
                <w:sz w:val="22"/>
              </w:rPr>
            </w:pPr>
            <w:proofErr w:type="spellStart"/>
            <w:r>
              <w:rPr>
                <w:rFonts w:ascii="Bookman Old Style" w:hAnsi="Bookman Old Style" w:cs="Arial"/>
                <w:sz w:val="22"/>
              </w:rPr>
              <w:t>Nengua</w:t>
            </w:r>
            <w:proofErr w:type="spellEnd"/>
          </w:p>
        </w:tc>
        <w:tc>
          <w:tcPr>
            <w:tcW w:w="2235" w:type="dxa"/>
            <w:vMerge/>
            <w:shd w:val="clear" w:color="auto" w:fill="auto"/>
          </w:tcPr>
          <w:p w:rsidR="00D7455F" w:rsidRPr="00E35625" w:rsidRDefault="00D7455F" w:rsidP="009C34EF">
            <w:pPr>
              <w:ind w:left="-98" w:right="-1"/>
              <w:jc w:val="center"/>
              <w:rPr>
                <w:rFonts w:ascii="Bookman Old Style" w:hAnsi="Bookman Old Style" w:cs="Arial"/>
                <w:sz w:val="22"/>
              </w:rPr>
            </w:pPr>
          </w:p>
        </w:tc>
        <w:tc>
          <w:tcPr>
            <w:tcW w:w="2126" w:type="dxa"/>
            <w:vMerge/>
            <w:shd w:val="clear" w:color="auto" w:fill="auto"/>
          </w:tcPr>
          <w:p w:rsidR="00D7455F" w:rsidRPr="00E35625" w:rsidRDefault="00D7455F" w:rsidP="009C34EF">
            <w:pPr>
              <w:ind w:left="-98" w:right="-1"/>
              <w:jc w:val="center"/>
              <w:rPr>
                <w:rFonts w:ascii="Bookman Old Style" w:hAnsi="Bookman Old Style" w:cs="Arial"/>
                <w:sz w:val="22"/>
              </w:rPr>
            </w:pPr>
          </w:p>
        </w:tc>
        <w:tc>
          <w:tcPr>
            <w:tcW w:w="1905" w:type="dxa"/>
            <w:vMerge/>
            <w:shd w:val="clear" w:color="auto" w:fill="auto"/>
          </w:tcPr>
          <w:p w:rsidR="00D7455F" w:rsidRPr="00E35625" w:rsidRDefault="00D7455F" w:rsidP="009C34EF">
            <w:pPr>
              <w:ind w:left="-98" w:right="-1"/>
              <w:jc w:val="center"/>
              <w:rPr>
                <w:rFonts w:ascii="Bookman Old Style" w:hAnsi="Bookman Old Style" w:cs="Arial"/>
                <w:sz w:val="22"/>
              </w:rPr>
            </w:pPr>
          </w:p>
        </w:tc>
      </w:tr>
      <w:tr w:rsidR="00D7455F" w:rsidRPr="00C52112" w:rsidTr="009C34EF">
        <w:trPr>
          <w:jc w:val="center"/>
        </w:trPr>
        <w:tc>
          <w:tcPr>
            <w:tcW w:w="2722" w:type="dxa"/>
          </w:tcPr>
          <w:p w:rsidR="00D7455F" w:rsidRDefault="00D7455F" w:rsidP="009C34EF">
            <w:pPr>
              <w:ind w:left="33" w:right="-1"/>
              <w:rPr>
                <w:rFonts w:ascii="Bookman Old Style" w:hAnsi="Bookman Old Style" w:cs="Arial"/>
                <w:sz w:val="22"/>
              </w:rPr>
            </w:pPr>
            <w:proofErr w:type="spellStart"/>
            <w:r>
              <w:rPr>
                <w:rFonts w:ascii="Bookman Old Style" w:hAnsi="Bookman Old Style" w:cs="Arial"/>
                <w:sz w:val="22"/>
              </w:rPr>
              <w:t>Miña</w:t>
            </w:r>
            <w:proofErr w:type="spellEnd"/>
          </w:p>
        </w:tc>
        <w:tc>
          <w:tcPr>
            <w:tcW w:w="2235" w:type="dxa"/>
            <w:vMerge/>
            <w:shd w:val="clear" w:color="auto" w:fill="auto"/>
          </w:tcPr>
          <w:p w:rsidR="00D7455F" w:rsidRPr="00E35625" w:rsidRDefault="00D7455F" w:rsidP="009C34EF">
            <w:pPr>
              <w:ind w:left="-98" w:right="-1"/>
              <w:jc w:val="center"/>
              <w:rPr>
                <w:rFonts w:ascii="Bookman Old Style" w:hAnsi="Bookman Old Style" w:cs="Arial"/>
                <w:sz w:val="22"/>
              </w:rPr>
            </w:pPr>
          </w:p>
        </w:tc>
        <w:tc>
          <w:tcPr>
            <w:tcW w:w="2126" w:type="dxa"/>
            <w:vMerge/>
            <w:shd w:val="clear" w:color="auto" w:fill="auto"/>
          </w:tcPr>
          <w:p w:rsidR="00D7455F" w:rsidRPr="00E35625" w:rsidRDefault="00D7455F" w:rsidP="009C34EF">
            <w:pPr>
              <w:ind w:left="-98" w:right="-1"/>
              <w:jc w:val="center"/>
              <w:rPr>
                <w:rFonts w:ascii="Bookman Old Style" w:hAnsi="Bookman Old Style" w:cs="Arial"/>
                <w:sz w:val="22"/>
              </w:rPr>
            </w:pPr>
          </w:p>
        </w:tc>
        <w:tc>
          <w:tcPr>
            <w:tcW w:w="1905" w:type="dxa"/>
            <w:vMerge/>
            <w:shd w:val="clear" w:color="auto" w:fill="auto"/>
          </w:tcPr>
          <w:p w:rsidR="00D7455F" w:rsidRPr="00E35625" w:rsidRDefault="00D7455F" w:rsidP="009C34EF">
            <w:pPr>
              <w:ind w:left="-98" w:right="-1"/>
              <w:jc w:val="center"/>
              <w:rPr>
                <w:rFonts w:ascii="Bookman Old Style" w:hAnsi="Bookman Old Style" w:cs="Arial"/>
                <w:sz w:val="22"/>
              </w:rPr>
            </w:pPr>
          </w:p>
        </w:tc>
      </w:tr>
    </w:tbl>
    <w:p w:rsidR="002C6C8D" w:rsidRDefault="002C6C8D" w:rsidP="006D039F">
      <w:pPr>
        <w:widowControl w:val="0"/>
        <w:adjustRightInd w:val="0"/>
        <w:ind w:left="0" w:right="20"/>
        <w:jc w:val="both"/>
        <w:rPr>
          <w:rFonts w:ascii="Bookman Old Style" w:hAnsi="Bookman Old Style" w:cs="Arial"/>
        </w:rPr>
      </w:pPr>
    </w:p>
    <w:p w:rsidR="00B44E6A" w:rsidRDefault="00E420D7" w:rsidP="00B44E6A">
      <w:pPr>
        <w:widowControl w:val="0"/>
        <w:adjustRightInd w:val="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auto proferido el día </w:t>
      </w:r>
      <w:r w:rsidR="00CA3CB9" w:rsidRPr="00BF4A40">
        <w:rPr>
          <w:rFonts w:ascii="Bookman Old Style" w:hAnsi="Bookman Old Style" w:cs="Arial"/>
        </w:rPr>
        <w:t>25</w:t>
      </w:r>
      <w:r w:rsidR="00D73282" w:rsidRPr="00BF4A40">
        <w:rPr>
          <w:rFonts w:ascii="Bookman Old Style" w:hAnsi="Bookman Old Style" w:cs="Arial"/>
        </w:rPr>
        <w:t xml:space="preserve"> de </w:t>
      </w:r>
      <w:r w:rsidR="00E667D9" w:rsidRPr="00BF4A40">
        <w:rPr>
          <w:rFonts w:ascii="Bookman Old Style" w:hAnsi="Bookman Old Style" w:cs="Arial"/>
        </w:rPr>
        <w:t>abril</w:t>
      </w:r>
      <w:r w:rsidR="00D73282" w:rsidRPr="00BF4A40">
        <w:rPr>
          <w:rFonts w:ascii="Bookman Old Style" w:hAnsi="Bookman Old Style" w:cs="Arial"/>
        </w:rPr>
        <w:t xml:space="preserve"> de 2018</w:t>
      </w:r>
      <w:r w:rsidRPr="00BF4A40">
        <w:rPr>
          <w:rFonts w:ascii="Bookman Old Style" w:hAnsi="Bookman Old Style" w:cs="Arial"/>
        </w:rPr>
        <w:t xml:space="preserve">, la Comisión de Regulación de Energía y Gas –CREG- dispuso iniciar la respectiva actuación administrativa con fundamento en la solicitud presentada por la empresa </w:t>
      </w:r>
      <w:r w:rsidR="00EA294C" w:rsidRPr="00BF4A40">
        <w:rPr>
          <w:rFonts w:ascii="Bookman Old Style" w:hAnsi="Bookman Old Style" w:cs="Arial"/>
        </w:rPr>
        <w:t>INGENIERIA Y SERVICIOS S.A. E.S.P.</w:t>
      </w:r>
      <w:r w:rsidRPr="00BF4A40">
        <w:rPr>
          <w:rFonts w:ascii="Bookman Old Style" w:hAnsi="Bookman Old Style" w:cs="Arial"/>
        </w:rPr>
        <w:t xml:space="preserve"> para la aprobación del cargo de </w:t>
      </w:r>
      <w:r w:rsidR="00736628" w:rsidRPr="00BF4A40">
        <w:rPr>
          <w:rFonts w:ascii="Bookman Old Style" w:hAnsi="Bookman Old Style" w:cs="Arial"/>
          <w:szCs w:val="22"/>
        </w:rPr>
        <w:t>comercialización</w:t>
      </w:r>
      <w:r w:rsidRPr="00BF4A40">
        <w:rPr>
          <w:rFonts w:ascii="Bookman Old Style" w:hAnsi="Bookman Old Style" w:cs="Arial"/>
          <w:szCs w:val="22"/>
        </w:rPr>
        <w:t xml:space="preserve"> </w:t>
      </w:r>
      <w:r w:rsidR="006D039F" w:rsidRPr="00BF4A40">
        <w:rPr>
          <w:rFonts w:ascii="Bookman Old Style" w:hAnsi="Bookman Old Style" w:cs="Arial"/>
          <w:szCs w:val="22"/>
        </w:rPr>
        <w:t xml:space="preserve">de </w:t>
      </w:r>
      <w:r w:rsidR="00D73282" w:rsidRPr="00BF4A40">
        <w:rPr>
          <w:rFonts w:ascii="Bookman Old Style" w:hAnsi="Bookman Old Style" w:cs="Arial"/>
          <w:szCs w:val="22"/>
        </w:rPr>
        <w:t>G</w:t>
      </w:r>
      <w:r w:rsidR="00F16445" w:rsidRPr="00BF4A40">
        <w:rPr>
          <w:rFonts w:ascii="Bookman Old Style" w:hAnsi="Bookman Old Style" w:cs="Arial"/>
          <w:szCs w:val="22"/>
        </w:rPr>
        <w:t>N</w:t>
      </w:r>
      <w:r w:rsidR="006D039F" w:rsidRPr="00BF4A40">
        <w:rPr>
          <w:rFonts w:ascii="Bookman Old Style" w:hAnsi="Bookman Old Style" w:cs="Arial"/>
          <w:szCs w:val="22"/>
        </w:rPr>
        <w:t xml:space="preserve"> por redes de tubería para el </w:t>
      </w:r>
      <w:r w:rsidR="006D039F" w:rsidRPr="00BF4A40">
        <w:rPr>
          <w:rFonts w:ascii="Bookman Old Style" w:hAnsi="Bookman Old Style" w:cs="Arial"/>
        </w:rPr>
        <w:t xml:space="preserve">mercado relevante </w:t>
      </w:r>
      <w:r w:rsidR="006D039F" w:rsidRPr="00BF4A40">
        <w:rPr>
          <w:rFonts w:ascii="Bookman Old Style" w:hAnsi="Bookman Old Style" w:cs="Arial"/>
          <w:szCs w:val="22"/>
        </w:rPr>
        <w:t>conformado</w:t>
      </w:r>
      <w:r w:rsidR="00D73282" w:rsidRPr="00BF4A40">
        <w:rPr>
          <w:rFonts w:ascii="Bookman Old Style" w:hAnsi="Bookman Old Style" w:cs="Arial"/>
          <w:szCs w:val="22"/>
        </w:rPr>
        <w:t xml:space="preserve"> por los</w:t>
      </w:r>
      <w:r w:rsidR="006D039F" w:rsidRPr="00BF4A40">
        <w:rPr>
          <w:rFonts w:ascii="Bookman Old Style" w:hAnsi="Bookman Old Style" w:cs="Arial"/>
          <w:szCs w:val="22"/>
        </w:rPr>
        <w:t xml:space="preserve"> </w:t>
      </w:r>
      <w:r w:rsidR="00CC0B2F" w:rsidRPr="00BF4A40">
        <w:rPr>
          <w:rFonts w:ascii="Bookman Old Style" w:hAnsi="Bookman Old Style" w:cs="Arial"/>
          <w:szCs w:val="22"/>
        </w:rPr>
        <w:t xml:space="preserve">centros poblados de </w:t>
      </w:r>
      <w:r w:rsidR="00140927" w:rsidRPr="00BF4A40">
        <w:rPr>
          <w:rFonts w:ascii="Bookman Old Style" w:hAnsi="Bookman Old Style" w:cs="Arial"/>
          <w:szCs w:val="22"/>
        </w:rPr>
        <w:t xml:space="preserve">Taravita en el municipio de </w:t>
      </w:r>
      <w:proofErr w:type="spellStart"/>
      <w:r w:rsidR="00140927" w:rsidRPr="00BF4A40">
        <w:rPr>
          <w:rFonts w:ascii="Bookman Old Style" w:hAnsi="Bookman Old Style" w:cs="Arial"/>
          <w:szCs w:val="22"/>
        </w:rPr>
        <w:t>Fúquene</w:t>
      </w:r>
      <w:proofErr w:type="spellEnd"/>
      <w:r w:rsidR="00140927" w:rsidRPr="00BF4A40">
        <w:rPr>
          <w:rFonts w:ascii="Bookman Old Style" w:hAnsi="Bookman Old Style" w:cs="Arial"/>
          <w:szCs w:val="22"/>
        </w:rPr>
        <w:t xml:space="preserve">, </w:t>
      </w:r>
      <w:proofErr w:type="spellStart"/>
      <w:r w:rsidR="00140927" w:rsidRPr="00BF4A40">
        <w:rPr>
          <w:rFonts w:ascii="Bookman Old Style" w:hAnsi="Bookman Old Style" w:cs="Arial"/>
          <w:szCs w:val="22"/>
        </w:rPr>
        <w:t>Ticha</w:t>
      </w:r>
      <w:proofErr w:type="spellEnd"/>
      <w:r w:rsidR="00140927" w:rsidRPr="00BF4A40">
        <w:rPr>
          <w:rFonts w:ascii="Bookman Old Style" w:hAnsi="Bookman Old Style" w:cs="Arial"/>
          <w:szCs w:val="22"/>
        </w:rPr>
        <w:t xml:space="preserve">, </w:t>
      </w:r>
      <w:proofErr w:type="spellStart"/>
      <w:r w:rsidR="00140927" w:rsidRPr="00BF4A40">
        <w:rPr>
          <w:rFonts w:ascii="Bookman Old Style" w:hAnsi="Bookman Old Style" w:cs="Arial"/>
          <w:szCs w:val="22"/>
        </w:rPr>
        <w:t>Nengua</w:t>
      </w:r>
      <w:proofErr w:type="spellEnd"/>
      <w:r w:rsidR="00140927" w:rsidRPr="00BF4A40">
        <w:rPr>
          <w:rFonts w:ascii="Bookman Old Style" w:hAnsi="Bookman Old Style" w:cs="Arial"/>
          <w:szCs w:val="22"/>
        </w:rPr>
        <w:t xml:space="preserve"> y </w:t>
      </w:r>
      <w:proofErr w:type="spellStart"/>
      <w:r w:rsidR="00140927" w:rsidRPr="00BF4A40">
        <w:rPr>
          <w:rFonts w:ascii="Bookman Old Style" w:hAnsi="Bookman Old Style" w:cs="Arial"/>
          <w:szCs w:val="22"/>
        </w:rPr>
        <w:t>Miña</w:t>
      </w:r>
      <w:proofErr w:type="spellEnd"/>
      <w:r w:rsidR="00140927" w:rsidRPr="00BF4A40">
        <w:rPr>
          <w:rFonts w:ascii="Bookman Old Style" w:hAnsi="Bookman Old Style" w:cs="Arial"/>
          <w:szCs w:val="22"/>
        </w:rPr>
        <w:t xml:space="preserve"> en el municipio de </w:t>
      </w:r>
      <w:proofErr w:type="spellStart"/>
      <w:r w:rsidR="00140927" w:rsidRPr="00BF4A40">
        <w:rPr>
          <w:rFonts w:ascii="Bookman Old Style" w:hAnsi="Bookman Old Style" w:cs="Arial"/>
          <w:szCs w:val="22"/>
        </w:rPr>
        <w:t>Guachetá</w:t>
      </w:r>
      <w:proofErr w:type="spellEnd"/>
      <w:r w:rsidR="004A4244" w:rsidRPr="00BF4A40">
        <w:rPr>
          <w:rFonts w:ascii="Bookman Old Style" w:hAnsi="Bookman Old Style" w:cs="Arial"/>
          <w:szCs w:val="22"/>
        </w:rPr>
        <w:t xml:space="preserve">, departamento de </w:t>
      </w:r>
      <w:r w:rsidR="002E6488" w:rsidRPr="00BF4A40">
        <w:rPr>
          <w:rFonts w:ascii="Bookman Old Style" w:hAnsi="Bookman Old Style" w:cs="Arial"/>
          <w:szCs w:val="22"/>
        </w:rPr>
        <w:t>Cundinamarca</w:t>
      </w:r>
      <w:r w:rsidR="00D73282" w:rsidRPr="00BF4A40">
        <w:rPr>
          <w:rFonts w:ascii="Bookman Old Style" w:hAnsi="Bookman Old Style" w:cs="Arial"/>
          <w:szCs w:val="22"/>
        </w:rPr>
        <w:t>.</w:t>
      </w:r>
    </w:p>
    <w:p w:rsidR="00D73282" w:rsidRPr="00A15501" w:rsidRDefault="00D73282" w:rsidP="00B44E6A">
      <w:pPr>
        <w:widowControl w:val="0"/>
        <w:adjustRightInd w:val="0"/>
        <w:ind w:left="0" w:right="20"/>
        <w:jc w:val="both"/>
        <w:rPr>
          <w:rFonts w:ascii="Bookman Old Style" w:hAnsi="Bookman Old Style" w:cs="Arial"/>
        </w:rPr>
      </w:pPr>
    </w:p>
    <w:p w:rsidR="00B44E6A" w:rsidRPr="003C24AD" w:rsidRDefault="00B44E6A" w:rsidP="00B44E6A">
      <w:pPr>
        <w:widowControl w:val="0"/>
        <w:adjustRightInd w:val="0"/>
        <w:ind w:left="0" w:right="20"/>
        <w:jc w:val="both"/>
        <w:rPr>
          <w:rFonts w:ascii="Bookman Old Style" w:hAnsi="Bookman Old Style" w:cs="Arial"/>
          <w:szCs w:val="22"/>
        </w:rPr>
      </w:pPr>
      <w:r>
        <w:rPr>
          <w:rFonts w:ascii="Bookman Old Style" w:hAnsi="Bookman Old Style" w:cs="Arial"/>
          <w:szCs w:val="22"/>
        </w:rPr>
        <w:t xml:space="preserve">Conforme lo dispuesto en el </w:t>
      </w:r>
      <w:r w:rsidRPr="0069757F">
        <w:rPr>
          <w:rFonts w:ascii="Bookman Old Style" w:hAnsi="Bookman Old Style" w:cs="Arial"/>
          <w:szCs w:val="22"/>
        </w:rPr>
        <w:t xml:space="preserve">artículo 37 del Código de Procedimiento Administrativo y de lo Contencioso Administrativo </w:t>
      </w:r>
      <w:r>
        <w:rPr>
          <w:rFonts w:ascii="Bookman Old Style" w:hAnsi="Bookman Old Style" w:cs="Arial"/>
          <w:szCs w:val="22"/>
        </w:rPr>
        <w:t xml:space="preserve">la CREG </w:t>
      </w:r>
      <w:r w:rsidRPr="0069757F">
        <w:rPr>
          <w:rFonts w:ascii="Bookman Old Style" w:hAnsi="Bookman Old Style" w:cs="Arial"/>
          <w:szCs w:val="22"/>
        </w:rPr>
        <w:t xml:space="preserve">publicó en </w:t>
      </w:r>
      <w:r>
        <w:rPr>
          <w:rFonts w:ascii="Bookman Old Style" w:hAnsi="Bookman Old Style" w:cs="Arial"/>
          <w:szCs w:val="22"/>
        </w:rPr>
        <w:t>su</w:t>
      </w:r>
      <w:r w:rsidRPr="0069757F">
        <w:rPr>
          <w:rFonts w:ascii="Bookman Old Style" w:hAnsi="Bookman Old Style" w:cs="Arial"/>
          <w:szCs w:val="22"/>
        </w:rPr>
        <w:t xml:space="preserve"> página Web y en </w:t>
      </w:r>
      <w:r w:rsidRPr="00BF4A40">
        <w:rPr>
          <w:rFonts w:ascii="Bookman Old Style" w:hAnsi="Bookman Old Style" w:cs="Arial"/>
          <w:szCs w:val="22"/>
        </w:rPr>
        <w:t xml:space="preserve">el Diario Oficial No. </w:t>
      </w:r>
      <w:r w:rsidR="00344454" w:rsidRPr="00BF4A40">
        <w:rPr>
          <w:rFonts w:ascii="Bookman Old Style" w:hAnsi="Bookman Old Style" w:cs="Arial"/>
          <w:szCs w:val="22"/>
        </w:rPr>
        <w:t>50.</w:t>
      </w:r>
      <w:r w:rsidR="00E1364E" w:rsidRPr="00BF4A40">
        <w:rPr>
          <w:rFonts w:ascii="Bookman Old Style" w:hAnsi="Bookman Old Style" w:cs="Arial"/>
          <w:szCs w:val="22"/>
        </w:rPr>
        <w:t>578</w:t>
      </w:r>
      <w:r w:rsidR="00E2236D" w:rsidRPr="00BF4A40">
        <w:rPr>
          <w:rFonts w:ascii="Bookman Old Style" w:hAnsi="Bookman Old Style" w:cs="Arial"/>
          <w:szCs w:val="22"/>
        </w:rPr>
        <w:t xml:space="preserve"> del </w:t>
      </w:r>
      <w:r w:rsidR="00E1364E" w:rsidRPr="00BF4A40">
        <w:rPr>
          <w:rFonts w:ascii="Bookman Old Style" w:hAnsi="Bookman Old Style" w:cs="Arial"/>
          <w:szCs w:val="22"/>
        </w:rPr>
        <w:t>28</w:t>
      </w:r>
      <w:r w:rsidR="00E2236D" w:rsidRPr="00BF4A40">
        <w:rPr>
          <w:rFonts w:ascii="Bookman Old Style" w:hAnsi="Bookman Old Style" w:cs="Arial"/>
          <w:szCs w:val="22"/>
        </w:rPr>
        <w:t xml:space="preserve"> de </w:t>
      </w:r>
      <w:r w:rsidR="00E667D9" w:rsidRPr="00BF4A40">
        <w:rPr>
          <w:rFonts w:ascii="Bookman Old Style" w:hAnsi="Bookman Old Style" w:cs="Arial"/>
          <w:szCs w:val="22"/>
        </w:rPr>
        <w:t>abril</w:t>
      </w:r>
      <w:r w:rsidR="00E2236D" w:rsidRPr="00BF4A40">
        <w:rPr>
          <w:rFonts w:ascii="Bookman Old Style" w:hAnsi="Bookman Old Style" w:cs="Arial"/>
          <w:szCs w:val="22"/>
        </w:rPr>
        <w:t xml:space="preserve"> de 201</w:t>
      </w:r>
      <w:r w:rsidR="00681877" w:rsidRPr="00BF4A40">
        <w:rPr>
          <w:rFonts w:ascii="Bookman Old Style" w:hAnsi="Bookman Old Style" w:cs="Arial"/>
          <w:szCs w:val="22"/>
        </w:rPr>
        <w:t>8</w:t>
      </w:r>
      <w:r w:rsidRPr="00BF4A40">
        <w:rPr>
          <w:rFonts w:ascii="Bookman Old Style" w:hAnsi="Bookman Old Style" w:cs="Arial"/>
          <w:szCs w:val="22"/>
        </w:rPr>
        <w:t xml:space="preserve">, el Aviso No. </w:t>
      </w:r>
      <w:r w:rsidR="00E667D9" w:rsidRPr="00BF4A40">
        <w:rPr>
          <w:rFonts w:ascii="Bookman Old Style" w:hAnsi="Bookman Old Style" w:cs="Arial"/>
          <w:szCs w:val="22"/>
        </w:rPr>
        <w:t>0</w:t>
      </w:r>
      <w:r w:rsidR="00E1364E" w:rsidRPr="00BF4A40">
        <w:rPr>
          <w:rFonts w:ascii="Bookman Old Style" w:hAnsi="Bookman Old Style" w:cs="Arial"/>
          <w:szCs w:val="22"/>
        </w:rPr>
        <w:t>43</w:t>
      </w:r>
      <w:r w:rsidRPr="00BF4A40">
        <w:rPr>
          <w:rFonts w:ascii="Bookman Old Style" w:hAnsi="Bookman Old Style" w:cs="Arial"/>
          <w:szCs w:val="22"/>
        </w:rPr>
        <w:t xml:space="preserve"> </w:t>
      </w:r>
      <w:r w:rsidR="005A3F3A" w:rsidRPr="00BF4A40">
        <w:rPr>
          <w:rFonts w:ascii="Bookman Old Style" w:hAnsi="Bookman Old Style" w:cs="Arial"/>
          <w:szCs w:val="22"/>
        </w:rPr>
        <w:t>de 201</w:t>
      </w:r>
      <w:r w:rsidR="00681877" w:rsidRPr="00BF4A40">
        <w:rPr>
          <w:rFonts w:ascii="Bookman Old Style" w:hAnsi="Bookman Old Style" w:cs="Arial"/>
          <w:szCs w:val="22"/>
        </w:rPr>
        <w:t>8</w:t>
      </w:r>
      <w:r w:rsidR="005A3F3A" w:rsidRPr="00BF4A40">
        <w:rPr>
          <w:rFonts w:ascii="Bookman Old Style" w:hAnsi="Bookman Old Style" w:cs="Arial"/>
          <w:szCs w:val="22"/>
        </w:rPr>
        <w:t xml:space="preserve"> </w:t>
      </w:r>
      <w:r w:rsidRPr="00BF4A40">
        <w:rPr>
          <w:rFonts w:ascii="Bookman Old Style" w:hAnsi="Bookman Old Style" w:cs="Arial"/>
          <w:szCs w:val="22"/>
        </w:rPr>
        <w:t xml:space="preserve">en el cual hace saber de la solicitud presentada por </w:t>
      </w:r>
      <w:r w:rsidR="00EA294C" w:rsidRPr="00BF4A40">
        <w:rPr>
          <w:rFonts w:ascii="Bookman Old Style" w:hAnsi="Bookman Old Style" w:cs="Arial"/>
        </w:rPr>
        <w:t>INGENIERIA Y SERVICIOS S.A. E.S.P.</w:t>
      </w:r>
      <w:r w:rsidR="00E420D7" w:rsidRPr="00BF4A40">
        <w:rPr>
          <w:rFonts w:ascii="Bookman Old Style" w:hAnsi="Bookman Old Style" w:cs="Arial"/>
        </w:rPr>
        <w:t xml:space="preserve"> </w:t>
      </w:r>
      <w:r w:rsidRPr="00BF4A40">
        <w:rPr>
          <w:rFonts w:ascii="Bookman Old Style" w:hAnsi="Bookman Old Style" w:cs="Arial"/>
        </w:rPr>
        <w:t xml:space="preserve">para la aprobación del cargo de </w:t>
      </w:r>
      <w:r w:rsidRPr="00BF4A40">
        <w:rPr>
          <w:rFonts w:ascii="Bookman Old Style" w:hAnsi="Bookman Old Style" w:cs="Arial"/>
          <w:szCs w:val="22"/>
        </w:rPr>
        <w:t xml:space="preserve">comercialización de </w:t>
      </w:r>
      <w:r w:rsidR="00AC51B1" w:rsidRPr="00BF4A40">
        <w:rPr>
          <w:rFonts w:ascii="Bookman Old Style" w:hAnsi="Bookman Old Style" w:cs="Arial"/>
          <w:szCs w:val="22"/>
        </w:rPr>
        <w:t>G</w:t>
      </w:r>
      <w:r w:rsidR="00F16445" w:rsidRPr="00BF4A40">
        <w:rPr>
          <w:rFonts w:ascii="Bookman Old Style" w:hAnsi="Bookman Old Style" w:cs="Arial"/>
          <w:szCs w:val="22"/>
        </w:rPr>
        <w:t>N</w:t>
      </w:r>
      <w:r w:rsidRPr="00BF4A40">
        <w:rPr>
          <w:rFonts w:ascii="Bookman Old Style" w:hAnsi="Bookman Old Style" w:cs="Arial"/>
          <w:szCs w:val="22"/>
        </w:rPr>
        <w:t xml:space="preserve"> por redes de tubería para </w:t>
      </w:r>
      <w:r w:rsidRPr="00BF4A40">
        <w:rPr>
          <w:rFonts w:ascii="Bookman Old Style" w:hAnsi="Bookman Old Style" w:cs="Arial"/>
        </w:rPr>
        <w:t xml:space="preserve">mercado relevante </w:t>
      </w:r>
      <w:r w:rsidR="005A3F3A" w:rsidRPr="00BF4A40">
        <w:rPr>
          <w:rFonts w:ascii="Bookman Old Style" w:hAnsi="Bookman Old Style" w:cs="Arial"/>
        </w:rPr>
        <w:t xml:space="preserve">conformado </w:t>
      </w:r>
      <w:r w:rsidR="006D039F" w:rsidRPr="00BF4A40">
        <w:rPr>
          <w:rFonts w:ascii="Bookman Old Style" w:hAnsi="Bookman Old Style" w:cs="Arial"/>
          <w:szCs w:val="22"/>
        </w:rPr>
        <w:t xml:space="preserve">por </w:t>
      </w:r>
      <w:r w:rsidR="00CC0B2F" w:rsidRPr="00BF4A40">
        <w:rPr>
          <w:rFonts w:ascii="Bookman Old Style" w:hAnsi="Bookman Old Style" w:cs="Arial"/>
          <w:szCs w:val="22"/>
        </w:rPr>
        <w:t xml:space="preserve">centros poblados de </w:t>
      </w:r>
      <w:r w:rsidR="00140927" w:rsidRPr="00BF4A40">
        <w:rPr>
          <w:rFonts w:ascii="Bookman Old Style" w:hAnsi="Bookman Old Style" w:cs="Arial"/>
          <w:szCs w:val="22"/>
        </w:rPr>
        <w:t xml:space="preserve">Taravita en el municipio de </w:t>
      </w:r>
      <w:proofErr w:type="spellStart"/>
      <w:r w:rsidR="00140927" w:rsidRPr="00BF4A40">
        <w:rPr>
          <w:rFonts w:ascii="Bookman Old Style" w:hAnsi="Bookman Old Style" w:cs="Arial"/>
          <w:szCs w:val="22"/>
        </w:rPr>
        <w:t>Fúquene</w:t>
      </w:r>
      <w:proofErr w:type="spellEnd"/>
      <w:r w:rsidR="00140927" w:rsidRPr="00BF4A40">
        <w:rPr>
          <w:rFonts w:ascii="Bookman Old Style" w:hAnsi="Bookman Old Style" w:cs="Arial"/>
          <w:szCs w:val="22"/>
        </w:rPr>
        <w:t xml:space="preserve">, </w:t>
      </w:r>
      <w:proofErr w:type="spellStart"/>
      <w:r w:rsidR="00140927" w:rsidRPr="00BF4A40">
        <w:rPr>
          <w:rFonts w:ascii="Bookman Old Style" w:hAnsi="Bookman Old Style" w:cs="Arial"/>
          <w:szCs w:val="22"/>
        </w:rPr>
        <w:t>Ticha</w:t>
      </w:r>
      <w:proofErr w:type="spellEnd"/>
      <w:r w:rsidR="00140927" w:rsidRPr="00BF4A40">
        <w:rPr>
          <w:rFonts w:ascii="Bookman Old Style" w:hAnsi="Bookman Old Style" w:cs="Arial"/>
          <w:szCs w:val="22"/>
        </w:rPr>
        <w:t xml:space="preserve">, </w:t>
      </w:r>
      <w:proofErr w:type="spellStart"/>
      <w:r w:rsidR="00140927" w:rsidRPr="00BF4A40">
        <w:rPr>
          <w:rFonts w:ascii="Bookman Old Style" w:hAnsi="Bookman Old Style" w:cs="Arial"/>
          <w:szCs w:val="22"/>
        </w:rPr>
        <w:t>Nengua</w:t>
      </w:r>
      <w:proofErr w:type="spellEnd"/>
      <w:r w:rsidR="00140927" w:rsidRPr="00BF4A40">
        <w:rPr>
          <w:rFonts w:ascii="Bookman Old Style" w:hAnsi="Bookman Old Style" w:cs="Arial"/>
          <w:szCs w:val="22"/>
        </w:rPr>
        <w:t xml:space="preserve"> y </w:t>
      </w:r>
      <w:proofErr w:type="spellStart"/>
      <w:r w:rsidR="00140927" w:rsidRPr="00BF4A40">
        <w:rPr>
          <w:rFonts w:ascii="Bookman Old Style" w:hAnsi="Bookman Old Style" w:cs="Arial"/>
          <w:szCs w:val="22"/>
        </w:rPr>
        <w:t>Miña</w:t>
      </w:r>
      <w:proofErr w:type="spellEnd"/>
      <w:r w:rsidR="00140927" w:rsidRPr="00BF4A40">
        <w:rPr>
          <w:rFonts w:ascii="Bookman Old Style" w:hAnsi="Bookman Old Style" w:cs="Arial"/>
          <w:szCs w:val="22"/>
        </w:rPr>
        <w:t xml:space="preserve"> en el municipio </w:t>
      </w:r>
      <w:r w:rsidR="00140927" w:rsidRPr="00BF4A40">
        <w:rPr>
          <w:rFonts w:ascii="Bookman Old Style" w:hAnsi="Bookman Old Style" w:cs="Arial"/>
          <w:szCs w:val="22"/>
        </w:rPr>
        <w:lastRenderedPageBreak/>
        <w:t xml:space="preserve">de </w:t>
      </w:r>
      <w:proofErr w:type="spellStart"/>
      <w:r w:rsidR="00140927" w:rsidRPr="00BF4A40">
        <w:rPr>
          <w:rFonts w:ascii="Bookman Old Style" w:hAnsi="Bookman Old Style" w:cs="Arial"/>
          <w:szCs w:val="22"/>
        </w:rPr>
        <w:t>Guachetá</w:t>
      </w:r>
      <w:proofErr w:type="spellEnd"/>
      <w:r w:rsidR="004A4244" w:rsidRPr="00BF4A40">
        <w:rPr>
          <w:rFonts w:ascii="Bookman Old Style" w:hAnsi="Bookman Old Style" w:cs="Arial"/>
          <w:szCs w:val="22"/>
        </w:rPr>
        <w:t xml:space="preserve">, departamento de </w:t>
      </w:r>
      <w:r w:rsidR="002E6488" w:rsidRPr="00BF4A40">
        <w:rPr>
          <w:rFonts w:ascii="Bookman Old Style" w:hAnsi="Bookman Old Style" w:cs="Arial"/>
          <w:szCs w:val="22"/>
        </w:rPr>
        <w:t>Cundinamarca</w:t>
      </w:r>
      <w:r w:rsidR="00AC51B1" w:rsidRPr="00BF4A40">
        <w:rPr>
          <w:rFonts w:ascii="Bookman Old Style" w:hAnsi="Bookman Old Style" w:cs="Arial"/>
          <w:szCs w:val="22"/>
        </w:rPr>
        <w:t>,</w:t>
      </w:r>
      <w:r w:rsidRPr="00BF4A40">
        <w:rPr>
          <w:rFonts w:ascii="Bookman Old Style" w:hAnsi="Bookman Old Style" w:cs="Arial"/>
          <w:szCs w:val="22"/>
        </w:rPr>
        <w:t xml:space="preserve"> a fin de que los terceros interesados puedan hacerse parte en la respectiva actuación.</w:t>
      </w:r>
      <w:r w:rsidRPr="003C24AD">
        <w:rPr>
          <w:rFonts w:ascii="Bookman Old Style" w:hAnsi="Bookman Old Style" w:cs="Arial"/>
          <w:szCs w:val="22"/>
        </w:rPr>
        <w:t xml:space="preserve"> </w:t>
      </w:r>
    </w:p>
    <w:p w:rsidR="0015626D" w:rsidRDefault="0015626D" w:rsidP="0015626D">
      <w:pPr>
        <w:widowControl w:val="0"/>
        <w:adjustRightInd w:val="0"/>
        <w:ind w:left="0" w:right="20"/>
        <w:jc w:val="both"/>
        <w:rPr>
          <w:rFonts w:ascii="Bookman Old Style" w:hAnsi="Bookman Old Style" w:cs="Arial"/>
          <w:szCs w:val="22"/>
        </w:rPr>
      </w:pPr>
    </w:p>
    <w:p w:rsidR="007237B6" w:rsidRDefault="007237B6" w:rsidP="007237B6">
      <w:pPr>
        <w:widowControl w:val="0"/>
        <w:tabs>
          <w:tab w:val="center" w:pos="4512"/>
          <w:tab w:val="left" w:pos="7088"/>
        </w:tabs>
        <w:suppressAutoHyphens/>
        <w:adjustRightInd w:val="0"/>
        <w:ind w:left="0" w:right="51"/>
        <w:jc w:val="both"/>
        <w:textAlignment w:val="baseline"/>
        <w:rPr>
          <w:rFonts w:ascii="Bookman Old Style" w:hAnsi="Bookman Old Style" w:cs="Arial"/>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rsidR="007237B6" w:rsidRDefault="007237B6" w:rsidP="007237B6">
      <w:pPr>
        <w:widowControl w:val="0"/>
        <w:tabs>
          <w:tab w:val="center" w:pos="4512"/>
          <w:tab w:val="left" w:pos="7088"/>
        </w:tabs>
        <w:suppressAutoHyphens/>
        <w:adjustRightInd w:val="0"/>
        <w:ind w:left="0" w:right="51"/>
        <w:jc w:val="both"/>
        <w:textAlignment w:val="baseline"/>
        <w:rPr>
          <w:rFonts w:ascii="Bookman Old Style" w:hAnsi="Bookman Old Style" w:cs="Arial"/>
        </w:rPr>
      </w:pPr>
    </w:p>
    <w:p w:rsidR="007237B6" w:rsidRPr="00A45DD2" w:rsidRDefault="007237B6" w:rsidP="007237B6">
      <w:pPr>
        <w:widowControl w:val="0"/>
        <w:tabs>
          <w:tab w:val="center" w:pos="4512"/>
          <w:tab w:val="left" w:pos="7088"/>
        </w:tabs>
        <w:suppressAutoHyphens/>
        <w:adjustRightInd w:val="0"/>
        <w:ind w:left="0" w:right="51"/>
        <w:jc w:val="both"/>
        <w:textAlignment w:val="baseline"/>
        <w:rPr>
          <w:rFonts w:ascii="Bookman Old Style" w:hAnsi="Bookman Old Style" w:cs="Arial"/>
          <w:lang w:val="es-ES_tradnl"/>
        </w:rPr>
      </w:pPr>
      <w:r>
        <w:rPr>
          <w:rFonts w:ascii="Bookman Old Style" w:hAnsi="Bookman Old Style" w:cs="Arial"/>
        </w:rPr>
        <w:t>La aplicación de la fórmula tarifaria general inició a partir del 1 de enero de 2014 por un per</w:t>
      </w:r>
      <w:r w:rsidR="00F849B2">
        <w:rPr>
          <w:rFonts w:ascii="Bookman Old Style" w:hAnsi="Bookman Old Style" w:cs="Arial"/>
        </w:rPr>
        <w:t>í</w:t>
      </w:r>
      <w:r>
        <w:rPr>
          <w:rFonts w:ascii="Bookman Old Style" w:hAnsi="Bookman Old Style" w:cs="Arial"/>
        </w:rPr>
        <w:t>odo de cinco años.</w:t>
      </w:r>
      <w:r w:rsidRPr="00CC77C6">
        <w:rPr>
          <w:rFonts w:ascii="Bookman Old Style" w:hAnsi="Bookman Old Style" w:cs="Arial"/>
          <w:lang w:val="es-ES_tradnl"/>
        </w:rPr>
        <w:t xml:space="preserve"> </w:t>
      </w:r>
    </w:p>
    <w:p w:rsidR="00273C2C" w:rsidRDefault="00273C2C" w:rsidP="00273C2C">
      <w:pPr>
        <w:widowControl w:val="0"/>
        <w:adjustRightInd w:val="0"/>
        <w:ind w:left="0" w:right="20"/>
        <w:jc w:val="both"/>
        <w:rPr>
          <w:rFonts w:ascii="Bookman Old Style" w:hAnsi="Bookman Old Style" w:cs="Arial"/>
          <w:lang w:val="es-ES_tradnl"/>
        </w:rPr>
      </w:pPr>
    </w:p>
    <w:p w:rsidR="00273C2C" w:rsidRPr="00D03E47" w:rsidRDefault="007237B6" w:rsidP="00273C2C">
      <w:pPr>
        <w:widowControl w:val="0"/>
        <w:adjustRightInd w:val="0"/>
        <w:ind w:left="0" w:right="20"/>
        <w:jc w:val="both"/>
        <w:rPr>
          <w:rFonts w:ascii="Bookman Old Style" w:hAnsi="Bookman Old Style" w:cs="Arial"/>
        </w:rPr>
      </w:pPr>
      <w:r>
        <w:rPr>
          <w:rFonts w:ascii="Bookman Old Style" w:hAnsi="Bookman Old Style" w:cs="Arial"/>
        </w:rPr>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EA294C" w:rsidRPr="00BF4A40">
        <w:rPr>
          <w:rFonts w:ascii="Bookman Old Style" w:hAnsi="Bookman Old Style" w:cs="Arial"/>
        </w:rPr>
        <w:t>INGENIERIA Y SERVICIOS S.A. E.S.P.</w:t>
      </w:r>
      <w:r w:rsidR="001B4BDE" w:rsidRPr="00BF4A40">
        <w:rPr>
          <w:rFonts w:ascii="Bookman Old Style" w:hAnsi="Bookman Old Style" w:cs="Arial"/>
        </w:rPr>
        <w:t xml:space="preserve">, mediante radicado CREG </w:t>
      </w:r>
      <w:r w:rsidR="00FA02BA" w:rsidRPr="00BF4A40">
        <w:rPr>
          <w:rFonts w:ascii="Bookman Old Style" w:hAnsi="Bookman Old Style" w:cs="Arial"/>
        </w:rPr>
        <w:t>E-2017-0</w:t>
      </w:r>
      <w:r w:rsidR="00E1364E" w:rsidRPr="00BF4A40">
        <w:rPr>
          <w:rFonts w:ascii="Bookman Old Style" w:hAnsi="Bookman Old Style" w:cs="Arial"/>
        </w:rPr>
        <w:t>11721</w:t>
      </w:r>
      <w:r w:rsidR="00273C2C" w:rsidRPr="00BF4A40">
        <w:rPr>
          <w:rFonts w:ascii="Bookman Old Style" w:hAnsi="Bookman Old Style" w:cs="Arial"/>
        </w:rPr>
        <w:t>, s</w:t>
      </w:r>
      <w:r w:rsidR="00273C2C" w:rsidRPr="00D03E47">
        <w:rPr>
          <w:rFonts w:ascii="Bookman Old Style" w:hAnsi="Bookman Old Style" w:cs="Arial"/>
        </w:rPr>
        <w:t>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Pr>
          <w:rFonts w:ascii="Bookman Old Style" w:hAnsi="Bookman Old Style" w:cs="Arial"/>
        </w:rPr>
        <w:t>a</w:t>
      </w:r>
      <w:r w:rsidR="00273C2C" w:rsidRPr="00D03E47">
        <w:rPr>
          <w:rFonts w:ascii="Bookman Old Style" w:hAnsi="Bookman Old Style" w:cs="Arial"/>
        </w:rPr>
        <w:t>rtículo 23 de la Resolución 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rsidR="00273C2C" w:rsidRPr="00A15501" w:rsidRDefault="00273C2C" w:rsidP="00273C2C">
      <w:pPr>
        <w:widowControl w:val="0"/>
        <w:adjustRightInd w:val="0"/>
        <w:ind w:left="0" w:right="20"/>
        <w:jc w:val="both"/>
        <w:rPr>
          <w:rFonts w:ascii="Bookman Old Style" w:hAnsi="Bookman Old Style" w:cs="Arial"/>
        </w:rPr>
      </w:pPr>
    </w:p>
    <w:p w:rsidR="00E14D38" w:rsidRPr="00C47153" w:rsidRDefault="00E14D38" w:rsidP="00E14D38">
      <w:pPr>
        <w:widowControl w:val="0"/>
        <w:adjustRightInd w:val="0"/>
        <w:ind w:left="0" w:right="20"/>
        <w:jc w:val="both"/>
        <w:rPr>
          <w:rFonts w:ascii="Bookman Old Style" w:hAnsi="Bookman Old Style" w:cs="Arial"/>
        </w:rPr>
      </w:pPr>
      <w:r w:rsidRPr="00C47153">
        <w:rPr>
          <w:rFonts w:ascii="Bookman Old Style" w:hAnsi="Bookman Old Style" w:cs="Arial"/>
        </w:rPr>
        <w:t xml:space="preserve">Teniendo en cuenta que el mercado </w:t>
      </w:r>
      <w:r w:rsidR="00E420D7">
        <w:rPr>
          <w:rFonts w:ascii="Bookman Old Style" w:hAnsi="Bookman Old Style" w:cs="Arial"/>
        </w:rPr>
        <w:t xml:space="preserve">conformado </w:t>
      </w:r>
      <w:r w:rsidR="001B4BDE">
        <w:rPr>
          <w:rFonts w:ascii="Bookman Old Style" w:hAnsi="Bookman Old Style" w:cs="Arial"/>
          <w:szCs w:val="22"/>
        </w:rPr>
        <w:t xml:space="preserve">por los </w:t>
      </w:r>
      <w:r w:rsidR="00CC0B2F" w:rsidRPr="00BF4A40">
        <w:rPr>
          <w:rFonts w:ascii="Bookman Old Style" w:hAnsi="Bookman Old Style" w:cs="Arial"/>
          <w:lang w:val="es-ES_tradnl"/>
        </w:rPr>
        <w:t xml:space="preserve">centros poblados de </w:t>
      </w:r>
      <w:proofErr w:type="spellStart"/>
      <w:r w:rsidR="00140927" w:rsidRPr="00BF4A40">
        <w:rPr>
          <w:rFonts w:ascii="Bookman Old Style" w:hAnsi="Bookman Old Style" w:cs="Arial"/>
          <w:lang w:val="es-ES_tradnl"/>
        </w:rPr>
        <w:t>Taravita</w:t>
      </w:r>
      <w:proofErr w:type="spellEnd"/>
      <w:r w:rsidR="00140927" w:rsidRPr="00BF4A40">
        <w:rPr>
          <w:rFonts w:ascii="Bookman Old Style" w:hAnsi="Bookman Old Style" w:cs="Arial"/>
          <w:lang w:val="es-ES_tradnl"/>
        </w:rPr>
        <w:t xml:space="preserve"> en el municipio de </w:t>
      </w:r>
      <w:proofErr w:type="spellStart"/>
      <w:r w:rsidR="00140927" w:rsidRPr="00BF4A40">
        <w:rPr>
          <w:rFonts w:ascii="Bookman Old Style" w:hAnsi="Bookman Old Style" w:cs="Arial"/>
          <w:lang w:val="es-ES_tradnl"/>
        </w:rPr>
        <w:t>Fúquene</w:t>
      </w:r>
      <w:proofErr w:type="spellEnd"/>
      <w:r w:rsidR="00140927" w:rsidRPr="00BF4A40">
        <w:rPr>
          <w:rFonts w:ascii="Bookman Old Style" w:hAnsi="Bookman Old Style" w:cs="Arial"/>
          <w:lang w:val="es-ES_tradnl"/>
        </w:rPr>
        <w:t xml:space="preserve">, </w:t>
      </w:r>
      <w:proofErr w:type="spellStart"/>
      <w:r w:rsidR="00140927" w:rsidRPr="00BF4A40">
        <w:rPr>
          <w:rFonts w:ascii="Bookman Old Style" w:hAnsi="Bookman Old Style" w:cs="Arial"/>
          <w:lang w:val="es-ES_tradnl"/>
        </w:rPr>
        <w:t>Ticha</w:t>
      </w:r>
      <w:proofErr w:type="spellEnd"/>
      <w:r w:rsidR="00140927" w:rsidRPr="00BF4A40">
        <w:rPr>
          <w:rFonts w:ascii="Bookman Old Style" w:hAnsi="Bookman Old Style" w:cs="Arial"/>
          <w:lang w:val="es-ES_tradnl"/>
        </w:rPr>
        <w:t xml:space="preserve">, </w:t>
      </w:r>
      <w:proofErr w:type="spellStart"/>
      <w:r w:rsidR="00140927" w:rsidRPr="00BF4A40">
        <w:rPr>
          <w:rFonts w:ascii="Bookman Old Style" w:hAnsi="Bookman Old Style" w:cs="Arial"/>
          <w:lang w:val="es-ES_tradnl"/>
        </w:rPr>
        <w:t>Nengua</w:t>
      </w:r>
      <w:proofErr w:type="spellEnd"/>
      <w:r w:rsidR="00140927" w:rsidRPr="00BF4A40">
        <w:rPr>
          <w:rFonts w:ascii="Bookman Old Style" w:hAnsi="Bookman Old Style" w:cs="Arial"/>
          <w:lang w:val="es-ES_tradnl"/>
        </w:rPr>
        <w:t xml:space="preserve"> y </w:t>
      </w:r>
      <w:proofErr w:type="spellStart"/>
      <w:r w:rsidR="00140927" w:rsidRPr="00BF4A40">
        <w:rPr>
          <w:rFonts w:ascii="Bookman Old Style" w:hAnsi="Bookman Old Style" w:cs="Arial"/>
          <w:lang w:val="es-ES_tradnl"/>
        </w:rPr>
        <w:t>Miña</w:t>
      </w:r>
      <w:proofErr w:type="spellEnd"/>
      <w:r w:rsidR="00140927" w:rsidRPr="00BF4A40">
        <w:rPr>
          <w:rFonts w:ascii="Bookman Old Style" w:hAnsi="Bookman Old Style" w:cs="Arial"/>
          <w:lang w:val="es-ES_tradnl"/>
        </w:rPr>
        <w:t xml:space="preserve"> en el municipio de </w:t>
      </w:r>
      <w:proofErr w:type="spellStart"/>
      <w:r w:rsidR="00140927" w:rsidRPr="00BF4A40">
        <w:rPr>
          <w:rFonts w:ascii="Bookman Old Style" w:hAnsi="Bookman Old Style" w:cs="Arial"/>
          <w:lang w:val="es-ES_tradnl"/>
        </w:rPr>
        <w:t>Guachetá</w:t>
      </w:r>
      <w:proofErr w:type="spellEnd"/>
      <w:r w:rsidR="004A4244" w:rsidRPr="00BF4A40">
        <w:rPr>
          <w:rFonts w:ascii="Bookman Old Style" w:hAnsi="Bookman Old Style" w:cs="Arial"/>
          <w:lang w:val="es-ES_tradnl"/>
        </w:rPr>
        <w:t xml:space="preserve">, departamento de </w:t>
      </w:r>
      <w:r w:rsidR="002E6488" w:rsidRPr="00BF4A40">
        <w:rPr>
          <w:rFonts w:ascii="Bookman Old Style" w:hAnsi="Bookman Old Style" w:cs="Arial"/>
          <w:lang w:val="es-ES_tradnl"/>
        </w:rPr>
        <w:t>Cundinamarca</w:t>
      </w:r>
      <w:r w:rsidR="00FA02BA" w:rsidRPr="00BF4A40">
        <w:rPr>
          <w:rFonts w:ascii="Bookman Old Style" w:hAnsi="Bookman Old Style" w:cs="Arial"/>
          <w:lang w:val="es-ES_tradnl"/>
        </w:rPr>
        <w:t xml:space="preserve">, </w:t>
      </w:r>
      <w:r w:rsidRPr="00BF4A40">
        <w:rPr>
          <w:rFonts w:ascii="Bookman Old Style" w:hAnsi="Bookman Old Style" w:cs="Arial"/>
        </w:rPr>
        <w:t xml:space="preserve">es un mercado </w:t>
      </w:r>
      <w:r w:rsidR="00F16445" w:rsidRPr="00BF4A40">
        <w:rPr>
          <w:rFonts w:ascii="Bookman Old Style" w:hAnsi="Bookman Old Style" w:cs="Arial"/>
        </w:rPr>
        <w:t>especial</w:t>
      </w:r>
      <w:r w:rsidRPr="00C47153">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parágrafo 1 del Artículo 23 de la Resolución CREG 11 de 2003. </w:t>
      </w:r>
    </w:p>
    <w:p w:rsidR="00E14D38" w:rsidRDefault="00E14D38" w:rsidP="00273C2C">
      <w:pPr>
        <w:widowControl w:val="0"/>
        <w:adjustRightInd w:val="0"/>
        <w:ind w:left="0" w:right="20"/>
        <w:jc w:val="both"/>
        <w:rPr>
          <w:rFonts w:ascii="Bookman Old Style" w:hAnsi="Bookman Old Style" w:cs="Arial"/>
        </w:rPr>
      </w:pPr>
    </w:p>
    <w:p w:rsidR="00E14D38" w:rsidRPr="00D03E47" w:rsidRDefault="00E14D38" w:rsidP="00E14D38">
      <w:pPr>
        <w:widowControl w:val="0"/>
        <w:adjustRightInd w:val="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3C219D">
        <w:rPr>
          <w:rFonts w:ascii="Bookman Old Style" w:hAnsi="Bookman Old Style" w:cs="Arial"/>
        </w:rPr>
        <w:t>081</w:t>
      </w:r>
      <w:r w:rsidRPr="00D036CD">
        <w:rPr>
          <w:rFonts w:ascii="Bookman Old Style" w:hAnsi="Bookman Old Style" w:cs="Arial"/>
        </w:rPr>
        <w:t xml:space="preserve"> de 201</w:t>
      </w:r>
      <w:r w:rsidR="00B0787C">
        <w:rPr>
          <w:rFonts w:ascii="Bookman Old Style" w:hAnsi="Bookman Old Style" w:cs="Arial"/>
        </w:rPr>
        <w:t>8</w:t>
      </w:r>
      <w:r w:rsidRPr="006C2F36">
        <w:rPr>
          <w:rFonts w:ascii="Bookman Old Style" w:hAnsi="Bookman Old Style" w:cs="Arial"/>
        </w:rPr>
        <w:t>.</w:t>
      </w:r>
    </w:p>
    <w:p w:rsidR="00273C2C" w:rsidRPr="00D03E47" w:rsidRDefault="00273C2C" w:rsidP="00273C2C">
      <w:pPr>
        <w:widowControl w:val="0"/>
        <w:adjustRightInd w:val="0"/>
        <w:ind w:left="0" w:right="20"/>
        <w:jc w:val="both"/>
        <w:rPr>
          <w:rFonts w:ascii="Bookman Old Style" w:hAnsi="Bookman Old Style" w:cs="Arial"/>
        </w:rPr>
      </w:pPr>
    </w:p>
    <w:p w:rsidR="00273C2C" w:rsidRPr="00D03E47" w:rsidRDefault="00273C2C" w:rsidP="00273C2C">
      <w:pPr>
        <w:widowControl w:val="0"/>
        <w:adjustRightInd w:val="0"/>
        <w:ind w:left="0" w:right="20"/>
        <w:jc w:val="both"/>
        <w:rPr>
          <w:rFonts w:ascii="Bookman Old Style" w:hAnsi="Bookman Old Style" w:cs="Arial"/>
        </w:rPr>
      </w:pPr>
      <w:r w:rsidRPr="00D03E47">
        <w:rPr>
          <w:rFonts w:ascii="Bookman Old Style" w:hAnsi="Bookman Old Style" w:cs="Arial"/>
        </w:rPr>
        <w:t>Conforme al Decreto 2897 de 2010 expedido por el Ministerio de Comercio, Industria y Turismo y la Resolución 44649 de 2010</w:t>
      </w:r>
      <w:r>
        <w:rPr>
          <w:rFonts w:ascii="Bookman Old Style" w:hAnsi="Bookman Old Style" w:cs="Arial"/>
        </w:rPr>
        <w:t xml:space="preserve"> expedida por la Superintendencia de Industria y Comercio</w:t>
      </w:r>
      <w:r w:rsidRPr="00D03E47">
        <w:rPr>
          <w:rFonts w:ascii="Bookman Old Style" w:hAnsi="Bookman Old Style" w:cs="Arial"/>
        </w:rPr>
        <w:t xml:space="preserve">, la Comisión de Regulación de Energía y Gas dio respuesta al cuestionario adoptado por esta última entidad para la evaluación de la incidencia sobre la libre competencia del presente acto administrativo, el cual se encuentra en el Documento </w:t>
      </w:r>
      <w:r w:rsidRPr="00D036CD">
        <w:rPr>
          <w:rFonts w:ascii="Bookman Old Style" w:hAnsi="Bookman Old Style" w:cs="Arial"/>
        </w:rPr>
        <w:t>CREG-</w:t>
      </w:r>
      <w:r w:rsidR="003C219D">
        <w:rPr>
          <w:rFonts w:ascii="Bookman Old Style" w:hAnsi="Bookman Old Style" w:cs="Arial"/>
        </w:rPr>
        <w:t>081</w:t>
      </w:r>
      <w:r w:rsidRPr="00D036CD">
        <w:rPr>
          <w:rFonts w:ascii="Bookman Old Style" w:hAnsi="Bookman Old Style" w:cs="Arial"/>
        </w:rPr>
        <w:t>de 201</w:t>
      </w:r>
      <w:r w:rsidR="00B0787C">
        <w:rPr>
          <w:rFonts w:ascii="Bookman Old Style" w:hAnsi="Bookman Old Style" w:cs="Arial"/>
        </w:rPr>
        <w:t>8</w:t>
      </w:r>
      <w:r w:rsidRPr="006C2F36">
        <w:rPr>
          <w:rFonts w:ascii="Bookman Old Style" w:hAnsi="Bookman Old Style" w:cs="Arial"/>
        </w:rPr>
        <w:t>.</w:t>
      </w:r>
    </w:p>
    <w:p w:rsidR="00273C2C" w:rsidRPr="00D03E47" w:rsidRDefault="00273C2C" w:rsidP="00273C2C">
      <w:pPr>
        <w:widowControl w:val="0"/>
        <w:adjustRightInd w:val="0"/>
        <w:ind w:left="0" w:right="20"/>
        <w:jc w:val="both"/>
        <w:rPr>
          <w:rFonts w:ascii="Bookman Old Style" w:hAnsi="Bookman Old Style" w:cs="Arial"/>
        </w:rPr>
      </w:pPr>
    </w:p>
    <w:p w:rsidR="00E14D38" w:rsidRPr="00D03E47" w:rsidRDefault="00E14D38" w:rsidP="00E14D38">
      <w:pPr>
        <w:widowControl w:val="0"/>
        <w:adjustRightInd w:val="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contiene un desarrollo y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rsidR="00273C2C" w:rsidRPr="00D03E47" w:rsidRDefault="00273C2C" w:rsidP="00273C2C">
      <w:pPr>
        <w:widowControl w:val="0"/>
        <w:adjustRightInd w:val="0"/>
        <w:ind w:left="0" w:right="20"/>
        <w:jc w:val="both"/>
        <w:rPr>
          <w:rFonts w:ascii="Bookman Old Style" w:hAnsi="Bookman Old Style" w:cs="Arial"/>
        </w:rPr>
      </w:pPr>
    </w:p>
    <w:p w:rsidR="003C219D" w:rsidRDefault="003C219D" w:rsidP="00631439">
      <w:pPr>
        <w:ind w:left="0"/>
        <w:jc w:val="both"/>
        <w:rPr>
          <w:rFonts w:ascii="Bookman Old Style" w:hAnsi="Bookman Old Style" w:cs="Arial"/>
          <w:color w:val="000000"/>
        </w:rPr>
      </w:pPr>
    </w:p>
    <w:p w:rsidR="003C219D" w:rsidRDefault="003C219D" w:rsidP="00631439">
      <w:pPr>
        <w:ind w:left="0"/>
        <w:jc w:val="both"/>
        <w:rPr>
          <w:rFonts w:ascii="Bookman Old Style" w:hAnsi="Bookman Old Style" w:cs="Arial"/>
          <w:color w:val="000000"/>
        </w:rPr>
      </w:pPr>
    </w:p>
    <w:p w:rsidR="00631439" w:rsidRDefault="00631439" w:rsidP="00631439">
      <w:pPr>
        <w:ind w:left="0"/>
        <w:jc w:val="both"/>
        <w:rPr>
          <w:rFonts w:ascii="Bookman Old Style" w:hAnsi="Bookman Old Style" w:cs="Arial"/>
          <w:color w:val="000000"/>
        </w:rPr>
      </w:pPr>
      <w:r>
        <w:rPr>
          <w:rFonts w:ascii="Bookman Old Style" w:hAnsi="Bookman Old Style" w:cs="Arial"/>
          <w:color w:val="000000"/>
        </w:rPr>
        <w:t xml:space="preserve">La Comisión de Regulación de Energía y Gas aprobó el presente acto administrativo en la sesión No. </w:t>
      </w:r>
      <w:r w:rsidR="003C219D">
        <w:rPr>
          <w:rFonts w:ascii="Bookman Old Style" w:hAnsi="Bookman Old Style" w:cs="Arial"/>
          <w:color w:val="000000"/>
        </w:rPr>
        <w:t>870</w:t>
      </w:r>
      <w:r>
        <w:rPr>
          <w:rFonts w:ascii="Bookman Old Style" w:hAnsi="Bookman Old Style" w:cs="Arial"/>
          <w:color w:val="000000"/>
        </w:rPr>
        <w:t xml:space="preserve"> del </w:t>
      </w:r>
      <w:r w:rsidR="003C219D">
        <w:rPr>
          <w:rFonts w:ascii="Bookman Old Style" w:hAnsi="Bookman Old Style" w:cs="Arial"/>
          <w:color w:val="000000"/>
        </w:rPr>
        <w:t>31</w:t>
      </w:r>
      <w:r>
        <w:rPr>
          <w:rFonts w:ascii="Bookman Old Style" w:hAnsi="Bookman Old Style" w:cs="Arial"/>
          <w:color w:val="000000"/>
        </w:rPr>
        <w:t xml:space="preserve"> de </w:t>
      </w:r>
      <w:r w:rsidR="003C219D">
        <w:rPr>
          <w:rFonts w:ascii="Bookman Old Style" w:hAnsi="Bookman Old Style" w:cs="Arial"/>
          <w:color w:val="000000"/>
        </w:rPr>
        <w:t>julio</w:t>
      </w:r>
      <w:r>
        <w:rPr>
          <w:rFonts w:ascii="Bookman Old Style" w:hAnsi="Bookman Old Style" w:cs="Arial"/>
          <w:color w:val="000000"/>
        </w:rPr>
        <w:t xml:space="preserve"> de 201</w:t>
      </w:r>
      <w:r w:rsidR="00B0787C">
        <w:rPr>
          <w:rFonts w:ascii="Bookman Old Style" w:hAnsi="Bookman Old Style" w:cs="Arial"/>
          <w:color w:val="000000"/>
        </w:rPr>
        <w:t>8</w:t>
      </w:r>
      <w:r>
        <w:rPr>
          <w:rFonts w:ascii="Bookman Old Style" w:hAnsi="Bookman Old Style" w:cs="Arial"/>
          <w:color w:val="000000"/>
        </w:rPr>
        <w:t>.</w:t>
      </w:r>
    </w:p>
    <w:p w:rsidR="00273C2C" w:rsidRDefault="00273C2C" w:rsidP="00273C2C">
      <w:pPr>
        <w:ind w:left="0"/>
        <w:jc w:val="center"/>
        <w:rPr>
          <w:rFonts w:ascii="Bookman Old Style" w:hAnsi="Bookman Old Style" w:cs="Arial"/>
          <w:b/>
          <w:spacing w:val="80"/>
          <w:lang w:val="es-ES_tradnl"/>
        </w:rPr>
      </w:pPr>
    </w:p>
    <w:p w:rsidR="00DA2099" w:rsidRPr="0044048C" w:rsidRDefault="00DA2099" w:rsidP="00273C2C">
      <w:pPr>
        <w:ind w:left="0"/>
        <w:jc w:val="center"/>
        <w:rPr>
          <w:rFonts w:ascii="Bookman Old Style" w:hAnsi="Bookman Old Style" w:cs="Arial"/>
          <w:b/>
          <w:spacing w:val="80"/>
          <w:lang w:val="es-ES_tradnl"/>
        </w:rPr>
      </w:pPr>
    </w:p>
    <w:p w:rsidR="00273C2C" w:rsidRPr="00945A3C" w:rsidRDefault="00273C2C" w:rsidP="00273C2C">
      <w:pPr>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273C2C" w:rsidRDefault="00273C2C" w:rsidP="00273C2C">
      <w:pPr>
        <w:ind w:left="0"/>
        <w:jc w:val="both"/>
        <w:rPr>
          <w:rFonts w:ascii="Bookman Old Style" w:hAnsi="Bookman Old Style" w:cs="Arial"/>
          <w:b/>
          <w:spacing w:val="-3"/>
        </w:rPr>
      </w:pPr>
    </w:p>
    <w:p w:rsidR="008554C7" w:rsidRDefault="008554C7" w:rsidP="008554C7">
      <w:pPr>
        <w:ind w:left="0"/>
        <w:jc w:val="center"/>
        <w:rPr>
          <w:rFonts w:ascii="Bookman Old Style" w:hAnsi="Bookman Old Style" w:cs="Arial"/>
          <w:b/>
          <w:spacing w:val="80"/>
        </w:rPr>
      </w:pPr>
    </w:p>
    <w:p w:rsidR="00035D47" w:rsidRDefault="008554C7" w:rsidP="008554C7">
      <w:pPr>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rsidR="00035D47" w:rsidRDefault="00035D47" w:rsidP="00035D47">
      <w:pPr>
        <w:ind w:left="0"/>
        <w:jc w:val="center"/>
        <w:rPr>
          <w:rFonts w:ascii="Bookman Old Style" w:hAnsi="Bookman Old Style" w:cs="Arial"/>
          <w:b/>
          <w:spacing w:val="80"/>
        </w:rPr>
      </w:pPr>
    </w:p>
    <w:p w:rsidR="00035D47" w:rsidRPr="008554C7" w:rsidRDefault="00035D47" w:rsidP="00035D47">
      <w:pPr>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rsidR="00093F01" w:rsidRDefault="00093F01" w:rsidP="00035D47">
      <w:pPr>
        <w:widowControl w:val="0"/>
        <w:adjustRightInd w:val="0"/>
        <w:ind w:left="0" w:right="20"/>
        <w:jc w:val="both"/>
        <w:rPr>
          <w:rFonts w:ascii="Bookman Old Style" w:hAnsi="Bookman Old Style" w:cs="Arial"/>
          <w:b/>
        </w:rPr>
      </w:pPr>
    </w:p>
    <w:p w:rsidR="00746862" w:rsidRDefault="00C06B4B" w:rsidP="00746862">
      <w:pPr>
        <w:widowControl w:val="0"/>
        <w:tabs>
          <w:tab w:val="left" w:pos="0"/>
        </w:tabs>
        <w:adjustRightInd w:val="0"/>
        <w:ind w:left="0" w:right="20"/>
        <w:jc w:val="both"/>
        <w:rPr>
          <w:rFonts w:ascii="Bookman Old Style" w:hAnsi="Bookman Old Style"/>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sidR="00942618">
        <w:rPr>
          <w:rFonts w:ascii="Bookman Old Style" w:hAnsi="Bookman Old Style" w:cs="Arial"/>
        </w:rPr>
        <w:t>Comercialización</w:t>
      </w:r>
      <w:r w:rsidRPr="00704312">
        <w:rPr>
          <w:rFonts w:ascii="Bookman Old Style" w:hAnsi="Bookman Old Style" w:cs="Arial"/>
        </w:rPr>
        <w:t xml:space="preserve"> el cual estará conformado </w:t>
      </w:r>
      <w:r w:rsidR="001B4018" w:rsidRPr="002F6C3A">
        <w:rPr>
          <w:rFonts w:ascii="Bookman Old Style" w:hAnsi="Bookman Old Style"/>
        </w:rPr>
        <w:t>por</w:t>
      </w:r>
      <w:r w:rsidR="00B53DDD">
        <w:rPr>
          <w:rFonts w:ascii="Bookman Old Style" w:hAnsi="Bookman Old Style"/>
        </w:rPr>
        <w:t xml:space="preserve"> </w:t>
      </w:r>
      <w:r w:rsidR="001B4BDE">
        <w:rPr>
          <w:rFonts w:ascii="Bookman Old Style" w:hAnsi="Bookman Old Style"/>
        </w:rPr>
        <w:t>los</w:t>
      </w:r>
      <w:r w:rsidR="00B53DDD">
        <w:rPr>
          <w:rFonts w:ascii="Bookman Old Style" w:hAnsi="Bookman Old Style"/>
        </w:rPr>
        <w:t xml:space="preserve"> </w:t>
      </w:r>
      <w:r w:rsidR="00942618">
        <w:rPr>
          <w:rFonts w:ascii="Bookman Old Style" w:hAnsi="Bookman Old Style"/>
        </w:rPr>
        <w:t>siguiente</w:t>
      </w:r>
      <w:r w:rsidR="001B4BDE">
        <w:rPr>
          <w:rFonts w:ascii="Bookman Old Style" w:hAnsi="Bookman Old Style"/>
        </w:rPr>
        <w:t>s</w:t>
      </w:r>
      <w:r w:rsidR="00942618">
        <w:rPr>
          <w:rFonts w:ascii="Bookman Old Style" w:hAnsi="Bookman Old Style"/>
        </w:rPr>
        <w:t xml:space="preserve"> </w:t>
      </w:r>
      <w:r w:rsidR="00CA3CB9">
        <w:rPr>
          <w:rFonts w:ascii="Bookman Old Style" w:hAnsi="Bookman Old Style"/>
        </w:rPr>
        <w:t>centros poblados</w:t>
      </w:r>
      <w:r w:rsidR="008A1A89">
        <w:rPr>
          <w:rFonts w:ascii="Bookman Old Style" w:hAnsi="Bookman Old Style"/>
        </w:rPr>
        <w:t>:</w:t>
      </w:r>
    </w:p>
    <w:p w:rsidR="00A8164B" w:rsidRDefault="00A8164B" w:rsidP="00746862">
      <w:pPr>
        <w:widowControl w:val="0"/>
        <w:tabs>
          <w:tab w:val="left" w:pos="0"/>
        </w:tabs>
        <w:adjustRightInd w:val="0"/>
        <w:ind w:left="0" w:right="20"/>
        <w:jc w:val="both"/>
        <w:rPr>
          <w:rFonts w:ascii="Bookman Old Style" w:hAnsi="Bookman Old Sty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2"/>
        <w:gridCol w:w="2235"/>
        <w:gridCol w:w="2126"/>
        <w:gridCol w:w="1905"/>
      </w:tblGrid>
      <w:tr w:rsidR="00322AA1" w:rsidRPr="00C52112" w:rsidTr="00BA04EF">
        <w:trPr>
          <w:jc w:val="center"/>
        </w:trPr>
        <w:tc>
          <w:tcPr>
            <w:tcW w:w="2722" w:type="dxa"/>
            <w:shd w:val="clear" w:color="auto" w:fill="D9D9D9"/>
          </w:tcPr>
          <w:p w:rsidR="00322AA1" w:rsidRPr="00E35625" w:rsidRDefault="00322AA1" w:rsidP="00BA04EF">
            <w:pPr>
              <w:keepNext/>
              <w:ind w:left="-98"/>
              <w:jc w:val="center"/>
              <w:rPr>
                <w:rFonts w:ascii="Bookman Old Style" w:hAnsi="Bookman Old Style" w:cs="Arial"/>
                <w:b/>
                <w:sz w:val="22"/>
              </w:rPr>
            </w:pPr>
            <w:r>
              <w:rPr>
                <w:rFonts w:ascii="Bookman Old Style" w:hAnsi="Bookman Old Style" w:cs="Arial"/>
                <w:b/>
                <w:sz w:val="22"/>
              </w:rPr>
              <w:t>Nombre de los centros poblados</w:t>
            </w:r>
          </w:p>
        </w:tc>
        <w:tc>
          <w:tcPr>
            <w:tcW w:w="2235" w:type="dxa"/>
            <w:shd w:val="clear" w:color="auto" w:fill="D9D9D9"/>
            <w:vAlign w:val="center"/>
          </w:tcPr>
          <w:p w:rsidR="00322AA1" w:rsidRPr="00E35625" w:rsidRDefault="00322AA1" w:rsidP="00BA04EF">
            <w:pPr>
              <w:keepNext/>
              <w:ind w:left="-98"/>
              <w:jc w:val="center"/>
              <w:rPr>
                <w:rFonts w:ascii="Bookman Old Style" w:hAnsi="Bookman Old Style" w:cs="Arial"/>
                <w:b/>
                <w:sz w:val="22"/>
              </w:rPr>
            </w:pPr>
            <w:r w:rsidRPr="00E35625">
              <w:rPr>
                <w:rFonts w:ascii="Bookman Old Style" w:hAnsi="Bookman Old Style" w:cs="Arial"/>
                <w:b/>
                <w:sz w:val="22"/>
              </w:rPr>
              <w:t>C</w:t>
            </w:r>
            <w:r>
              <w:rPr>
                <w:rFonts w:ascii="Bookman Old Style" w:hAnsi="Bookman Old Style" w:cs="Arial"/>
                <w:b/>
                <w:sz w:val="22"/>
              </w:rPr>
              <w:t>ódigo DANE del municipio</w:t>
            </w:r>
          </w:p>
        </w:tc>
        <w:tc>
          <w:tcPr>
            <w:tcW w:w="2126" w:type="dxa"/>
            <w:shd w:val="clear" w:color="auto" w:fill="D9D9D9"/>
            <w:vAlign w:val="center"/>
          </w:tcPr>
          <w:p w:rsidR="00322AA1" w:rsidRPr="00E35625" w:rsidRDefault="00322AA1" w:rsidP="00BA04EF">
            <w:pPr>
              <w:keepNext/>
              <w:ind w:left="-98"/>
              <w:jc w:val="center"/>
              <w:rPr>
                <w:rFonts w:ascii="Bookman Old Style" w:hAnsi="Bookman Old Style" w:cs="Arial"/>
                <w:b/>
                <w:sz w:val="22"/>
              </w:rPr>
            </w:pPr>
            <w:r w:rsidRPr="00E35625">
              <w:rPr>
                <w:rFonts w:ascii="Bookman Old Style" w:hAnsi="Bookman Old Style" w:cs="Arial"/>
                <w:b/>
                <w:sz w:val="22"/>
              </w:rPr>
              <w:t>M</w:t>
            </w:r>
            <w:r>
              <w:rPr>
                <w:rFonts w:ascii="Bookman Old Style" w:hAnsi="Bookman Old Style" w:cs="Arial"/>
                <w:b/>
                <w:sz w:val="22"/>
              </w:rPr>
              <w:t>unicipio</w:t>
            </w:r>
          </w:p>
        </w:tc>
        <w:tc>
          <w:tcPr>
            <w:tcW w:w="1905" w:type="dxa"/>
            <w:shd w:val="clear" w:color="auto" w:fill="D9D9D9"/>
            <w:vAlign w:val="center"/>
          </w:tcPr>
          <w:p w:rsidR="00322AA1" w:rsidRPr="00E35625" w:rsidRDefault="00322AA1" w:rsidP="00BA04EF">
            <w:pPr>
              <w:keepNext/>
              <w:ind w:left="-98"/>
              <w:jc w:val="center"/>
              <w:rPr>
                <w:rFonts w:ascii="Bookman Old Style" w:hAnsi="Bookman Old Style" w:cs="Arial"/>
                <w:b/>
                <w:sz w:val="22"/>
              </w:rPr>
            </w:pPr>
            <w:r w:rsidRPr="00E35625">
              <w:rPr>
                <w:rFonts w:ascii="Bookman Old Style" w:hAnsi="Bookman Old Style" w:cs="Arial"/>
                <w:b/>
                <w:sz w:val="22"/>
              </w:rPr>
              <w:t>D</w:t>
            </w:r>
            <w:r>
              <w:rPr>
                <w:rFonts w:ascii="Bookman Old Style" w:hAnsi="Bookman Old Style" w:cs="Arial"/>
                <w:b/>
                <w:sz w:val="22"/>
              </w:rPr>
              <w:t>epartamento</w:t>
            </w:r>
          </w:p>
        </w:tc>
      </w:tr>
      <w:tr w:rsidR="00322AA1" w:rsidRPr="00C52112" w:rsidTr="00BA04EF">
        <w:trPr>
          <w:jc w:val="center"/>
        </w:trPr>
        <w:tc>
          <w:tcPr>
            <w:tcW w:w="2722" w:type="dxa"/>
          </w:tcPr>
          <w:p w:rsidR="00322AA1" w:rsidRPr="00E35625" w:rsidRDefault="00322AA1" w:rsidP="00BA04EF">
            <w:pPr>
              <w:ind w:left="33" w:right="-1"/>
              <w:rPr>
                <w:rFonts w:ascii="Bookman Old Style" w:hAnsi="Bookman Old Style" w:cs="Arial"/>
                <w:sz w:val="22"/>
              </w:rPr>
            </w:pPr>
            <w:r>
              <w:rPr>
                <w:rFonts w:ascii="Bookman Old Style" w:hAnsi="Bookman Old Style" w:cs="Arial"/>
                <w:sz w:val="22"/>
              </w:rPr>
              <w:t>Taravita</w:t>
            </w:r>
          </w:p>
        </w:tc>
        <w:tc>
          <w:tcPr>
            <w:tcW w:w="2235" w:type="dxa"/>
            <w:shd w:val="clear" w:color="auto" w:fill="auto"/>
            <w:vAlign w:val="center"/>
          </w:tcPr>
          <w:p w:rsidR="00322AA1" w:rsidRPr="00E35625" w:rsidRDefault="00322AA1" w:rsidP="00BA04EF">
            <w:pPr>
              <w:ind w:left="-98" w:right="-1"/>
              <w:jc w:val="center"/>
              <w:rPr>
                <w:rFonts w:ascii="Bookman Old Style" w:hAnsi="Bookman Old Style" w:cs="Arial"/>
                <w:sz w:val="22"/>
              </w:rPr>
            </w:pPr>
            <w:r>
              <w:rPr>
                <w:rFonts w:ascii="Bookman Old Style" w:hAnsi="Bookman Old Style" w:cs="Arial"/>
                <w:sz w:val="22"/>
              </w:rPr>
              <w:t>25288</w:t>
            </w:r>
          </w:p>
        </w:tc>
        <w:tc>
          <w:tcPr>
            <w:tcW w:w="2126" w:type="dxa"/>
            <w:shd w:val="clear" w:color="auto" w:fill="auto"/>
            <w:vAlign w:val="center"/>
          </w:tcPr>
          <w:p w:rsidR="00322AA1" w:rsidRPr="00E35625" w:rsidRDefault="00322AA1" w:rsidP="00BA04EF">
            <w:pPr>
              <w:ind w:left="-98" w:right="-1"/>
              <w:jc w:val="center"/>
              <w:rPr>
                <w:rFonts w:ascii="Bookman Old Style" w:hAnsi="Bookman Old Style" w:cs="Arial"/>
                <w:sz w:val="22"/>
              </w:rPr>
            </w:pPr>
            <w:proofErr w:type="spellStart"/>
            <w:r>
              <w:rPr>
                <w:rFonts w:ascii="Bookman Old Style" w:hAnsi="Bookman Old Style" w:cs="Arial"/>
                <w:sz w:val="22"/>
              </w:rPr>
              <w:t>Fúquene</w:t>
            </w:r>
            <w:proofErr w:type="spellEnd"/>
          </w:p>
        </w:tc>
        <w:tc>
          <w:tcPr>
            <w:tcW w:w="1905" w:type="dxa"/>
            <w:vMerge w:val="restart"/>
            <w:shd w:val="clear" w:color="auto" w:fill="auto"/>
            <w:vAlign w:val="center"/>
          </w:tcPr>
          <w:p w:rsidR="00322AA1" w:rsidRPr="00E35625" w:rsidRDefault="00322AA1" w:rsidP="00BA04EF">
            <w:pPr>
              <w:ind w:left="-98" w:right="-1"/>
              <w:jc w:val="center"/>
              <w:rPr>
                <w:rFonts w:ascii="Bookman Old Style" w:hAnsi="Bookman Old Style" w:cs="Arial"/>
                <w:sz w:val="22"/>
              </w:rPr>
            </w:pPr>
            <w:r>
              <w:rPr>
                <w:rFonts w:ascii="Bookman Old Style" w:hAnsi="Bookman Old Style" w:cs="Arial"/>
                <w:sz w:val="22"/>
              </w:rPr>
              <w:t>Cundinamarca</w:t>
            </w:r>
          </w:p>
        </w:tc>
      </w:tr>
      <w:tr w:rsidR="00322AA1" w:rsidRPr="00C52112" w:rsidTr="00BA04EF">
        <w:trPr>
          <w:jc w:val="center"/>
        </w:trPr>
        <w:tc>
          <w:tcPr>
            <w:tcW w:w="2722" w:type="dxa"/>
          </w:tcPr>
          <w:p w:rsidR="00322AA1" w:rsidRPr="00E35625" w:rsidRDefault="00322AA1" w:rsidP="00BA04EF">
            <w:pPr>
              <w:ind w:left="33" w:right="-1"/>
              <w:rPr>
                <w:rFonts w:ascii="Bookman Old Style" w:hAnsi="Bookman Old Style" w:cs="Arial"/>
                <w:sz w:val="22"/>
              </w:rPr>
            </w:pPr>
            <w:proofErr w:type="spellStart"/>
            <w:r>
              <w:rPr>
                <w:rFonts w:ascii="Bookman Old Style" w:hAnsi="Bookman Old Style" w:cs="Arial"/>
                <w:sz w:val="22"/>
              </w:rPr>
              <w:t>Ticha</w:t>
            </w:r>
            <w:proofErr w:type="spellEnd"/>
          </w:p>
        </w:tc>
        <w:tc>
          <w:tcPr>
            <w:tcW w:w="2235" w:type="dxa"/>
            <w:vMerge w:val="restart"/>
            <w:shd w:val="clear" w:color="auto" w:fill="auto"/>
            <w:vAlign w:val="center"/>
          </w:tcPr>
          <w:p w:rsidR="00322AA1" w:rsidRPr="00E35625" w:rsidRDefault="00322AA1" w:rsidP="00BA04EF">
            <w:pPr>
              <w:ind w:left="-98" w:right="-1"/>
              <w:jc w:val="center"/>
              <w:rPr>
                <w:rFonts w:ascii="Bookman Old Style" w:hAnsi="Bookman Old Style" w:cs="Arial"/>
                <w:sz w:val="22"/>
              </w:rPr>
            </w:pPr>
            <w:r>
              <w:rPr>
                <w:rFonts w:ascii="Bookman Old Style" w:hAnsi="Bookman Old Style" w:cs="Arial"/>
                <w:sz w:val="22"/>
              </w:rPr>
              <w:t>25317</w:t>
            </w:r>
          </w:p>
        </w:tc>
        <w:tc>
          <w:tcPr>
            <w:tcW w:w="2126" w:type="dxa"/>
            <w:vMerge w:val="restart"/>
            <w:shd w:val="clear" w:color="auto" w:fill="auto"/>
            <w:vAlign w:val="center"/>
          </w:tcPr>
          <w:p w:rsidR="00322AA1" w:rsidRPr="00E35625" w:rsidRDefault="00322AA1" w:rsidP="00BA04EF">
            <w:pPr>
              <w:ind w:left="-98" w:right="-1"/>
              <w:jc w:val="center"/>
              <w:rPr>
                <w:rFonts w:ascii="Bookman Old Style" w:hAnsi="Bookman Old Style" w:cs="Arial"/>
                <w:sz w:val="22"/>
              </w:rPr>
            </w:pPr>
            <w:proofErr w:type="spellStart"/>
            <w:r>
              <w:rPr>
                <w:rFonts w:ascii="Bookman Old Style" w:hAnsi="Bookman Old Style" w:cs="Arial"/>
                <w:sz w:val="22"/>
              </w:rPr>
              <w:t>Guachetá</w:t>
            </w:r>
            <w:proofErr w:type="spellEnd"/>
          </w:p>
        </w:tc>
        <w:tc>
          <w:tcPr>
            <w:tcW w:w="1905" w:type="dxa"/>
            <w:vMerge/>
            <w:shd w:val="clear" w:color="auto" w:fill="auto"/>
          </w:tcPr>
          <w:p w:rsidR="00322AA1" w:rsidRPr="00E35625" w:rsidRDefault="00322AA1" w:rsidP="00BA04EF">
            <w:pPr>
              <w:ind w:left="-98" w:right="-1"/>
              <w:jc w:val="center"/>
              <w:rPr>
                <w:rFonts w:ascii="Bookman Old Style" w:hAnsi="Bookman Old Style" w:cs="Arial"/>
                <w:sz w:val="22"/>
              </w:rPr>
            </w:pPr>
          </w:p>
        </w:tc>
      </w:tr>
      <w:tr w:rsidR="00322AA1" w:rsidRPr="00C52112" w:rsidTr="00BA04EF">
        <w:trPr>
          <w:jc w:val="center"/>
        </w:trPr>
        <w:tc>
          <w:tcPr>
            <w:tcW w:w="2722" w:type="dxa"/>
          </w:tcPr>
          <w:p w:rsidR="00322AA1" w:rsidRDefault="00322AA1" w:rsidP="00BA04EF">
            <w:pPr>
              <w:ind w:left="33" w:right="-1"/>
              <w:rPr>
                <w:rFonts w:ascii="Bookman Old Style" w:hAnsi="Bookman Old Style" w:cs="Arial"/>
                <w:sz w:val="22"/>
              </w:rPr>
            </w:pPr>
            <w:proofErr w:type="spellStart"/>
            <w:r>
              <w:rPr>
                <w:rFonts w:ascii="Bookman Old Style" w:hAnsi="Bookman Old Style" w:cs="Arial"/>
                <w:sz w:val="22"/>
              </w:rPr>
              <w:t>Nengua</w:t>
            </w:r>
            <w:proofErr w:type="spellEnd"/>
          </w:p>
        </w:tc>
        <w:tc>
          <w:tcPr>
            <w:tcW w:w="2235" w:type="dxa"/>
            <w:vMerge/>
            <w:shd w:val="clear" w:color="auto" w:fill="auto"/>
          </w:tcPr>
          <w:p w:rsidR="00322AA1" w:rsidRPr="00E35625" w:rsidRDefault="00322AA1" w:rsidP="00BA04EF">
            <w:pPr>
              <w:ind w:left="-98" w:right="-1"/>
              <w:jc w:val="center"/>
              <w:rPr>
                <w:rFonts w:ascii="Bookman Old Style" w:hAnsi="Bookman Old Style" w:cs="Arial"/>
                <w:sz w:val="22"/>
              </w:rPr>
            </w:pPr>
          </w:p>
        </w:tc>
        <w:tc>
          <w:tcPr>
            <w:tcW w:w="2126" w:type="dxa"/>
            <w:vMerge/>
            <w:shd w:val="clear" w:color="auto" w:fill="auto"/>
          </w:tcPr>
          <w:p w:rsidR="00322AA1" w:rsidRPr="00E35625" w:rsidRDefault="00322AA1" w:rsidP="00BA04EF">
            <w:pPr>
              <w:ind w:left="-98" w:right="-1"/>
              <w:jc w:val="center"/>
              <w:rPr>
                <w:rFonts w:ascii="Bookman Old Style" w:hAnsi="Bookman Old Style" w:cs="Arial"/>
                <w:sz w:val="22"/>
              </w:rPr>
            </w:pPr>
          </w:p>
        </w:tc>
        <w:tc>
          <w:tcPr>
            <w:tcW w:w="1905" w:type="dxa"/>
            <w:vMerge/>
            <w:shd w:val="clear" w:color="auto" w:fill="auto"/>
          </w:tcPr>
          <w:p w:rsidR="00322AA1" w:rsidRPr="00E35625" w:rsidRDefault="00322AA1" w:rsidP="00BA04EF">
            <w:pPr>
              <w:ind w:left="-98" w:right="-1"/>
              <w:jc w:val="center"/>
              <w:rPr>
                <w:rFonts w:ascii="Bookman Old Style" w:hAnsi="Bookman Old Style" w:cs="Arial"/>
                <w:sz w:val="22"/>
              </w:rPr>
            </w:pPr>
          </w:p>
        </w:tc>
      </w:tr>
      <w:tr w:rsidR="00322AA1" w:rsidRPr="00C52112" w:rsidTr="00BA04EF">
        <w:trPr>
          <w:jc w:val="center"/>
        </w:trPr>
        <w:tc>
          <w:tcPr>
            <w:tcW w:w="2722" w:type="dxa"/>
          </w:tcPr>
          <w:p w:rsidR="00322AA1" w:rsidRDefault="00322AA1" w:rsidP="00BA04EF">
            <w:pPr>
              <w:ind w:left="33" w:right="-1"/>
              <w:rPr>
                <w:rFonts w:ascii="Bookman Old Style" w:hAnsi="Bookman Old Style" w:cs="Arial"/>
                <w:sz w:val="22"/>
              </w:rPr>
            </w:pPr>
            <w:proofErr w:type="spellStart"/>
            <w:r>
              <w:rPr>
                <w:rFonts w:ascii="Bookman Old Style" w:hAnsi="Bookman Old Style" w:cs="Arial"/>
                <w:sz w:val="22"/>
              </w:rPr>
              <w:t>Miña</w:t>
            </w:r>
            <w:proofErr w:type="spellEnd"/>
          </w:p>
        </w:tc>
        <w:tc>
          <w:tcPr>
            <w:tcW w:w="2235" w:type="dxa"/>
            <w:vMerge/>
            <w:shd w:val="clear" w:color="auto" w:fill="auto"/>
          </w:tcPr>
          <w:p w:rsidR="00322AA1" w:rsidRPr="00E35625" w:rsidRDefault="00322AA1" w:rsidP="00BA04EF">
            <w:pPr>
              <w:ind w:left="-98" w:right="-1"/>
              <w:jc w:val="center"/>
              <w:rPr>
                <w:rFonts w:ascii="Bookman Old Style" w:hAnsi="Bookman Old Style" w:cs="Arial"/>
                <w:sz w:val="22"/>
              </w:rPr>
            </w:pPr>
          </w:p>
        </w:tc>
        <w:tc>
          <w:tcPr>
            <w:tcW w:w="2126" w:type="dxa"/>
            <w:vMerge/>
            <w:shd w:val="clear" w:color="auto" w:fill="auto"/>
          </w:tcPr>
          <w:p w:rsidR="00322AA1" w:rsidRPr="00E35625" w:rsidRDefault="00322AA1" w:rsidP="00BA04EF">
            <w:pPr>
              <w:ind w:left="-98" w:right="-1"/>
              <w:jc w:val="center"/>
              <w:rPr>
                <w:rFonts w:ascii="Bookman Old Style" w:hAnsi="Bookman Old Style" w:cs="Arial"/>
                <w:sz w:val="22"/>
              </w:rPr>
            </w:pPr>
          </w:p>
        </w:tc>
        <w:tc>
          <w:tcPr>
            <w:tcW w:w="1905" w:type="dxa"/>
            <w:vMerge/>
            <w:shd w:val="clear" w:color="auto" w:fill="auto"/>
          </w:tcPr>
          <w:p w:rsidR="00322AA1" w:rsidRPr="00E35625" w:rsidRDefault="00322AA1" w:rsidP="00BA04EF">
            <w:pPr>
              <w:ind w:left="-98" w:right="-1"/>
              <w:jc w:val="center"/>
              <w:rPr>
                <w:rFonts w:ascii="Bookman Old Style" w:hAnsi="Bookman Old Style" w:cs="Arial"/>
                <w:sz w:val="22"/>
              </w:rPr>
            </w:pPr>
          </w:p>
        </w:tc>
      </w:tr>
    </w:tbl>
    <w:p w:rsidR="005A3F3A" w:rsidRPr="008A0DBE" w:rsidRDefault="005A3F3A" w:rsidP="008321F1">
      <w:pPr>
        <w:jc w:val="both"/>
        <w:rPr>
          <w:rFonts w:ascii="Arial" w:hAnsi="Arial" w:cs="Arial"/>
        </w:rPr>
      </w:pPr>
    </w:p>
    <w:p w:rsidR="00273C2C" w:rsidRPr="00772807" w:rsidRDefault="00273C2C" w:rsidP="00273C2C">
      <w:pPr>
        <w:widowControl w:val="0"/>
        <w:adjustRightInd w:val="0"/>
        <w:ind w:left="0" w:right="20"/>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092171">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p w:rsidR="00273C2C" w:rsidRPr="0012200E" w:rsidRDefault="00273C2C" w:rsidP="00273C2C">
      <w:pPr>
        <w:widowControl w:val="0"/>
        <w:adjustRightInd w:val="0"/>
        <w:spacing w:before="120"/>
        <w:ind w:left="0" w:right="20"/>
        <w:jc w:val="both"/>
        <w:rPr>
          <w:rFonts w:ascii="Bookman Old Style" w:hAnsi="Bookman Old Style" w:cs="Arial"/>
          <w:sz w:val="18"/>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3"/>
        <w:gridCol w:w="1615"/>
      </w:tblGrid>
      <w:tr w:rsidR="00273C2C" w:rsidRPr="00772807" w:rsidTr="003E0840">
        <w:trPr>
          <w:trHeight w:val="531"/>
          <w:jc w:val="center"/>
        </w:trPr>
        <w:tc>
          <w:tcPr>
            <w:tcW w:w="3333" w:type="dxa"/>
            <w:tcBorders>
              <w:top w:val="single" w:sz="4" w:space="0" w:color="auto"/>
              <w:left w:val="single" w:sz="4" w:space="0" w:color="auto"/>
              <w:bottom w:val="single" w:sz="4" w:space="0" w:color="auto"/>
              <w:right w:val="single" w:sz="4" w:space="0" w:color="auto"/>
            </w:tcBorders>
            <w:shd w:val="clear" w:color="auto" w:fill="D9D9D9"/>
            <w:vAlign w:val="center"/>
          </w:tcPr>
          <w:p w:rsidR="00273C2C" w:rsidRPr="007F1EA3" w:rsidRDefault="00273C2C" w:rsidP="003E0840">
            <w:pPr>
              <w:keepNext/>
              <w:widowControl w:val="0"/>
              <w:shd w:val="clear" w:color="auto" w:fill="F2F2F2"/>
              <w:tabs>
                <w:tab w:val="left" w:pos="708"/>
              </w:tabs>
              <w:adjustRightInd w:val="0"/>
              <w:spacing w:before="360"/>
              <w:ind w:left="0"/>
              <w:jc w:val="center"/>
              <w:outlineLvl w:val="3"/>
              <w:rPr>
                <w:rFonts w:ascii="Bookman Old Style" w:hAnsi="Bookman Old Style" w:cs="Arial"/>
                <w:b/>
                <w:sz w:val="22"/>
                <w:szCs w:val="22"/>
              </w:rPr>
            </w:pPr>
            <w:r w:rsidRPr="007F1EA3">
              <w:rPr>
                <w:rFonts w:ascii="Bookman Old Style" w:hAnsi="Bookman Old Style" w:cs="Arial"/>
                <w:b/>
                <w:sz w:val="22"/>
                <w:szCs w:val="22"/>
              </w:rPr>
              <w:t>Cargo de Comercialización ($/ factura)</w:t>
            </w:r>
          </w:p>
          <w:p w:rsidR="00273C2C" w:rsidRPr="00772807"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rsidR="00273C2C" w:rsidRPr="008048A4" w:rsidRDefault="00273C2C" w:rsidP="000E2424">
            <w:pPr>
              <w:ind w:left="0" w:right="20"/>
              <w:jc w:val="center"/>
              <w:rPr>
                <w:rFonts w:ascii="Bookman Old Style" w:hAnsi="Bookman Old Style" w:cs="Arial"/>
                <w:sz w:val="22"/>
                <w:szCs w:val="22"/>
                <w:lang w:val="es-CO"/>
              </w:rPr>
            </w:pPr>
            <w:r w:rsidRPr="008048A4">
              <w:rPr>
                <w:rFonts w:ascii="Bookman Old Style" w:hAnsi="Bookman Old Style" w:cs="Arial"/>
                <w:sz w:val="22"/>
                <w:szCs w:val="22"/>
                <w:lang w:val="es-CO"/>
              </w:rPr>
              <w:t>$</w:t>
            </w:r>
            <w:r w:rsidR="00322AA1" w:rsidRPr="00322AA1">
              <w:rPr>
                <w:rFonts w:ascii="Bookman Old Style" w:hAnsi="Bookman Old Style" w:cs="Arial"/>
                <w:sz w:val="22"/>
                <w:szCs w:val="22"/>
                <w:lang w:val="es-ES_tradnl"/>
              </w:rPr>
              <w:t>4.852,51</w:t>
            </w:r>
          </w:p>
        </w:tc>
      </w:tr>
    </w:tbl>
    <w:p w:rsidR="00273C2C" w:rsidRPr="00D0649A" w:rsidRDefault="00273C2C" w:rsidP="007F1EA3">
      <w:pPr>
        <w:widowControl w:val="0"/>
        <w:adjustRightInd w:val="0"/>
        <w:spacing w:before="120"/>
        <w:ind w:left="1983" w:right="20" w:firstLine="141"/>
        <w:jc w:val="both"/>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5A3F3A" w:rsidRPr="003E0840">
        <w:rPr>
          <w:rFonts w:ascii="Bookman Old Style" w:hAnsi="Bookman Old Style" w:cs="Arial"/>
          <w:sz w:val="16"/>
          <w:lang w:val="es-CO" w:eastAsia="x-none"/>
        </w:rPr>
        <w:t>6</w:t>
      </w:r>
    </w:p>
    <w:p w:rsidR="00273C2C" w:rsidRPr="003841F0" w:rsidRDefault="00273C2C" w:rsidP="00273C2C">
      <w:pPr>
        <w:widowControl w:val="0"/>
        <w:adjustRightInd w:val="0"/>
        <w:ind w:left="0" w:right="20"/>
        <w:jc w:val="both"/>
        <w:rPr>
          <w:rFonts w:ascii="Bookman Old Style" w:hAnsi="Bookman Old Style" w:cs="Arial"/>
          <w:b/>
          <w:bCs/>
        </w:rPr>
      </w:pPr>
    </w:p>
    <w:p w:rsidR="00273C2C" w:rsidRPr="00772807" w:rsidRDefault="00273C2C" w:rsidP="00273C2C">
      <w:pPr>
        <w:widowControl w:val="0"/>
        <w:adjustRightInd w:val="0"/>
        <w:ind w:left="0" w:right="20"/>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se actualizará de conformidad con lo establecido en el </w:t>
      </w:r>
      <w:r w:rsidR="00092171">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rsidR="00273C2C" w:rsidRPr="00DA15C0" w:rsidRDefault="00273C2C" w:rsidP="00273C2C">
      <w:pPr>
        <w:widowControl w:val="0"/>
        <w:adjustRightInd w:val="0"/>
        <w:ind w:left="0" w:right="20"/>
        <w:jc w:val="both"/>
        <w:rPr>
          <w:rFonts w:ascii="Bookman Old Style" w:hAnsi="Bookman Old Style" w:cs="Arial"/>
        </w:rPr>
      </w:pPr>
    </w:p>
    <w:p w:rsidR="00C06B4B" w:rsidRDefault="00C06B4B" w:rsidP="00273C2C">
      <w:pPr>
        <w:widowControl w:val="0"/>
        <w:adjustRightInd w:val="0"/>
        <w:ind w:left="0" w:right="20"/>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establecen en esta Resolución, regirá a partir de la fecha en que la presente Resolución quede en firme y durante el término de vigencia de la Resolución CREG-011 de 2003. Vencido este período continuarán rigiendo mientras la Comisión no fije las nuevas, tal como está previsto en el artículo 126 de la Ley 142 de 1994.</w:t>
      </w:r>
    </w:p>
    <w:p w:rsidR="00C06B4B" w:rsidRDefault="00C06B4B" w:rsidP="00273C2C">
      <w:pPr>
        <w:widowControl w:val="0"/>
        <w:adjustRightInd w:val="0"/>
        <w:ind w:left="0" w:right="20"/>
        <w:jc w:val="both"/>
        <w:rPr>
          <w:rFonts w:ascii="Bookman Old Style" w:hAnsi="Bookman Old Style" w:cs="Arial"/>
          <w:b/>
        </w:rPr>
      </w:pPr>
    </w:p>
    <w:p w:rsidR="009B0E87" w:rsidRDefault="009B0E87" w:rsidP="00273C2C">
      <w:pPr>
        <w:widowControl w:val="0"/>
        <w:adjustRightInd w:val="0"/>
        <w:ind w:left="0" w:right="20"/>
        <w:jc w:val="both"/>
        <w:rPr>
          <w:rFonts w:ascii="Bookman Old Style" w:hAnsi="Bookman Old Style" w:cs="Arial"/>
          <w:b/>
        </w:rPr>
      </w:pPr>
    </w:p>
    <w:p w:rsidR="00327FC7" w:rsidRDefault="00327FC7" w:rsidP="00327FC7">
      <w:pPr>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r w:rsidRPr="008554C7">
        <w:rPr>
          <w:rFonts w:ascii="Bookman Old Style" w:hAnsi="Bookman Old Style" w:cs="Arial"/>
          <w:b/>
          <w:spacing w:val="80"/>
        </w:rPr>
        <w:t>.</w:t>
      </w:r>
    </w:p>
    <w:p w:rsidR="00327FC7" w:rsidRDefault="00327FC7" w:rsidP="00327FC7">
      <w:pPr>
        <w:ind w:left="0"/>
        <w:jc w:val="center"/>
        <w:rPr>
          <w:rFonts w:ascii="Bookman Old Style" w:hAnsi="Bookman Old Style" w:cs="Arial"/>
          <w:b/>
          <w:spacing w:val="80"/>
        </w:rPr>
      </w:pPr>
    </w:p>
    <w:p w:rsidR="00327FC7" w:rsidRPr="008554C7" w:rsidRDefault="00327FC7" w:rsidP="00327FC7">
      <w:pPr>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rsidR="00327FC7" w:rsidRDefault="00327FC7" w:rsidP="00273C2C">
      <w:pPr>
        <w:widowControl w:val="0"/>
        <w:adjustRightInd w:val="0"/>
        <w:ind w:left="0" w:right="20"/>
        <w:jc w:val="both"/>
        <w:rPr>
          <w:rFonts w:ascii="Bookman Old Style" w:hAnsi="Bookman Old Style" w:cs="Arial"/>
          <w:b/>
        </w:rPr>
      </w:pPr>
    </w:p>
    <w:p w:rsidR="00327FC7" w:rsidRDefault="00327FC7" w:rsidP="00273C2C">
      <w:pPr>
        <w:widowControl w:val="0"/>
        <w:adjustRightInd w:val="0"/>
        <w:ind w:left="0" w:right="20"/>
        <w:jc w:val="both"/>
        <w:rPr>
          <w:rFonts w:ascii="Bookman Old Style" w:hAnsi="Bookman Old Style" w:cs="Arial"/>
          <w:b/>
        </w:rPr>
      </w:pPr>
    </w:p>
    <w:p w:rsidR="00273C2C" w:rsidRPr="00956A84" w:rsidRDefault="00273C2C" w:rsidP="00273C2C">
      <w:pPr>
        <w:widowControl w:val="0"/>
        <w:adjustRightInd w:val="0"/>
        <w:ind w:left="0" w:right="20"/>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956A84">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artículo 4 </w:t>
      </w:r>
      <w:r w:rsidRPr="0092593B">
        <w:rPr>
          <w:rFonts w:ascii="Bookman Old Style" w:hAnsi="Bookman Old Style" w:cs="Arial"/>
        </w:rPr>
        <w:t>de la Resolución CREG 137 de 2013.</w:t>
      </w:r>
    </w:p>
    <w:p w:rsidR="00273C2C" w:rsidRPr="003D3597" w:rsidRDefault="00273C2C" w:rsidP="00273C2C">
      <w:pPr>
        <w:widowControl w:val="0"/>
        <w:adjustRightInd w:val="0"/>
        <w:ind w:left="0" w:right="20"/>
        <w:jc w:val="both"/>
        <w:rPr>
          <w:rFonts w:ascii="Bookman Old Style" w:hAnsi="Bookman Old Style" w:cs="Arial"/>
          <w:b/>
        </w:rPr>
      </w:pPr>
    </w:p>
    <w:p w:rsidR="00327FC7" w:rsidRPr="00772807" w:rsidRDefault="00327FC7" w:rsidP="00327FC7">
      <w:pPr>
        <w:widowControl w:val="0"/>
        <w:adjustRightInd w:val="0"/>
        <w:ind w:left="0" w:right="20"/>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las nuevas, tal como está previsto en el Artículo 126 de la Ley 142 de 1994.</w:t>
      </w:r>
    </w:p>
    <w:p w:rsidR="00327FC7" w:rsidRDefault="00327FC7" w:rsidP="00273C2C">
      <w:pPr>
        <w:widowControl w:val="0"/>
        <w:adjustRightInd w:val="0"/>
        <w:ind w:left="0" w:right="20"/>
        <w:jc w:val="both"/>
        <w:rPr>
          <w:rFonts w:ascii="Bookman Old Style" w:hAnsi="Bookman Old Style" w:cs="Arial"/>
          <w:b/>
        </w:rPr>
      </w:pPr>
    </w:p>
    <w:p w:rsidR="00327FC7" w:rsidRDefault="00327FC7" w:rsidP="00273C2C">
      <w:pPr>
        <w:widowControl w:val="0"/>
        <w:adjustRightInd w:val="0"/>
        <w:ind w:left="0" w:right="20"/>
        <w:jc w:val="both"/>
        <w:rPr>
          <w:rFonts w:ascii="Bookman Old Style" w:hAnsi="Bookman Old Style" w:cs="Arial"/>
          <w:b/>
        </w:rPr>
      </w:pPr>
    </w:p>
    <w:p w:rsidR="00327FC7" w:rsidRDefault="00327FC7" w:rsidP="00327FC7">
      <w:pPr>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rsidR="00327FC7" w:rsidRDefault="00327FC7" w:rsidP="00327FC7">
      <w:pPr>
        <w:ind w:left="0"/>
        <w:jc w:val="center"/>
        <w:rPr>
          <w:rFonts w:ascii="Bookman Old Style" w:hAnsi="Bookman Old Style" w:cs="Arial"/>
          <w:b/>
          <w:spacing w:val="80"/>
        </w:rPr>
      </w:pPr>
    </w:p>
    <w:p w:rsidR="00327FC7" w:rsidRPr="008554C7" w:rsidRDefault="00327FC7" w:rsidP="00327FC7">
      <w:pPr>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rsidR="00327FC7" w:rsidRDefault="00327FC7" w:rsidP="00273C2C">
      <w:pPr>
        <w:widowControl w:val="0"/>
        <w:adjustRightInd w:val="0"/>
        <w:ind w:left="0" w:right="20"/>
        <w:jc w:val="both"/>
        <w:rPr>
          <w:rFonts w:ascii="Bookman Old Style" w:hAnsi="Bookman Old Style" w:cs="Arial"/>
          <w:b/>
        </w:rPr>
      </w:pPr>
    </w:p>
    <w:p w:rsidR="00273C2C" w:rsidRPr="00772807" w:rsidRDefault="00273C2C" w:rsidP="00273C2C">
      <w:pPr>
        <w:widowControl w:val="0"/>
        <w:adjustRightInd w:val="0"/>
        <w:ind w:left="0" w:right="20"/>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w:t>
      </w:r>
      <w:r w:rsidRPr="00772807">
        <w:rPr>
          <w:rFonts w:ascii="Bookman Old Style" w:hAnsi="Bookman Old Style" w:cs="Arial"/>
          <w:spacing w:val="-4"/>
        </w:rPr>
        <w:t xml:space="preserve">  </w:t>
      </w:r>
      <w:r w:rsidR="00956A84">
        <w:rPr>
          <w:rFonts w:ascii="Bookman Old Style" w:hAnsi="Bookman Old Style" w:cs="Arial"/>
          <w:spacing w:val="-4"/>
        </w:rPr>
        <w:t xml:space="preserve">la </w:t>
      </w:r>
      <w:r w:rsidR="00956A84" w:rsidRPr="00BF4A40">
        <w:rPr>
          <w:rFonts w:ascii="Bookman Old Style" w:hAnsi="Bookman Old Style" w:cs="Arial"/>
          <w:spacing w:val="-4"/>
        </w:rPr>
        <w:t xml:space="preserve">empresa </w:t>
      </w:r>
      <w:r w:rsidR="00EA294C" w:rsidRPr="00BF4A40">
        <w:rPr>
          <w:rFonts w:ascii="Bookman Old Style" w:hAnsi="Bookman Old Style" w:cs="Arial"/>
          <w:spacing w:val="-4"/>
        </w:rPr>
        <w:t>INGENIERIA Y SERVICIOS S.A. E.S.P.</w:t>
      </w:r>
      <w:r w:rsidRPr="00BF4A40">
        <w:rPr>
          <w:rFonts w:ascii="Bookman Old Style" w:hAnsi="Bookman Old Style" w:cs="Arial"/>
          <w:spacing w:val="-4"/>
        </w:rPr>
        <w:t xml:space="preserve"> y publicarse en el </w:t>
      </w:r>
      <w:r w:rsidRPr="00BF4A40">
        <w:rPr>
          <w:rFonts w:ascii="Bookman Old Style" w:hAnsi="Bookman Old Style" w:cs="Arial"/>
          <w:i/>
          <w:spacing w:val="-4"/>
        </w:rPr>
        <w:t>Diario Oficial</w:t>
      </w:r>
      <w:r w:rsidRPr="00BF4A40">
        <w:rPr>
          <w:rFonts w:ascii="Bookman Old Style" w:hAnsi="Bookman Old Style" w:cs="Arial"/>
          <w:spacing w:val="-4"/>
        </w:rPr>
        <w:t>. Contra las disposiciones contenidas en esta Resolución procede</w:t>
      </w:r>
      <w:r w:rsidRPr="00772807">
        <w:rPr>
          <w:rFonts w:ascii="Bookman Old Style" w:hAnsi="Bookman Old Style" w:cs="Arial"/>
          <w:spacing w:val="-4"/>
        </w:rPr>
        <w:t xml:space="preserve"> el Recurso de Reposición, el cual podrá interponerse ante la Dirección Ejecutiva de la CREG dentro de los cinco (5) días hábiles siguientes a la fecha de su notificación. </w:t>
      </w:r>
    </w:p>
    <w:p w:rsidR="00273C2C" w:rsidRDefault="00273C2C" w:rsidP="00273C2C">
      <w:pPr>
        <w:widowControl w:val="0"/>
        <w:adjustRightInd w:val="0"/>
        <w:ind w:left="0" w:right="20"/>
        <w:jc w:val="center"/>
        <w:rPr>
          <w:rFonts w:ascii="Bookman Old Style" w:hAnsi="Bookman Old Style" w:cs="Arial"/>
          <w:b/>
        </w:rPr>
      </w:pPr>
    </w:p>
    <w:p w:rsidR="000B6D03" w:rsidRPr="00772807" w:rsidRDefault="000B6D03" w:rsidP="00273C2C">
      <w:pPr>
        <w:widowControl w:val="0"/>
        <w:adjustRightInd w:val="0"/>
        <w:ind w:left="0" w:right="20"/>
        <w:jc w:val="center"/>
        <w:rPr>
          <w:rFonts w:ascii="Bookman Old Style" w:hAnsi="Bookman Old Style" w:cs="Arial"/>
          <w:b/>
        </w:rPr>
      </w:pPr>
    </w:p>
    <w:p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rsidR="00273C2C" w:rsidRDefault="00273C2C" w:rsidP="00273C2C">
      <w:pPr>
        <w:widowControl w:val="0"/>
        <w:adjustRightInd w:val="0"/>
        <w:ind w:left="0" w:right="20"/>
        <w:jc w:val="both"/>
        <w:rPr>
          <w:rFonts w:ascii="Bookman Old Style" w:hAnsi="Bookman Old Style" w:cs="Arial"/>
        </w:rPr>
      </w:pPr>
    </w:p>
    <w:p w:rsidR="00273C2C" w:rsidRDefault="003C219D" w:rsidP="00273C2C">
      <w:pPr>
        <w:widowControl w:val="0"/>
        <w:adjustRightInd w:val="0"/>
        <w:ind w:left="0" w:right="20"/>
        <w:jc w:val="both"/>
        <w:rPr>
          <w:rFonts w:ascii="Bookman Old Style" w:hAnsi="Bookman Old Style" w:cs="Arial"/>
        </w:rPr>
      </w:pPr>
      <w:r>
        <w:rPr>
          <w:rFonts w:ascii="Bookman Old Style" w:hAnsi="Bookman Old Style" w:cs="Arial"/>
        </w:rPr>
        <w:t>Dada en Bogotá, D.C., a</w:t>
      </w:r>
      <w:r w:rsidR="00273C2C" w:rsidRPr="00772807">
        <w:rPr>
          <w:rFonts w:ascii="Bookman Old Style" w:hAnsi="Bookman Old Style" w:cs="Arial"/>
        </w:rPr>
        <w:t xml:space="preserve"> </w:t>
      </w:r>
    </w:p>
    <w:p w:rsidR="00666168" w:rsidRDefault="00666168" w:rsidP="00273C2C">
      <w:pPr>
        <w:widowControl w:val="0"/>
        <w:adjustRightInd w:val="0"/>
        <w:ind w:left="0" w:right="20"/>
        <w:jc w:val="both"/>
        <w:rPr>
          <w:rFonts w:ascii="Bookman Old Style" w:hAnsi="Bookman Old Style" w:cs="Arial"/>
        </w:rPr>
      </w:pPr>
    </w:p>
    <w:p w:rsidR="00666168" w:rsidRDefault="00666168" w:rsidP="00273C2C">
      <w:pPr>
        <w:widowControl w:val="0"/>
        <w:adjustRightInd w:val="0"/>
        <w:ind w:left="0" w:right="20"/>
        <w:jc w:val="both"/>
        <w:rPr>
          <w:rFonts w:ascii="Bookman Old Style" w:hAnsi="Bookman Old Style" w:cs="Arial"/>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3C219D" w:rsidTr="003C219D">
        <w:trPr>
          <w:tblCellSpacing w:w="0" w:type="dxa"/>
          <w:jc w:val="center"/>
        </w:trPr>
        <w:tc>
          <w:tcPr>
            <w:tcW w:w="5033" w:type="dxa"/>
          </w:tcPr>
          <w:p w:rsidR="003C219D" w:rsidRDefault="003C219D">
            <w:pPr>
              <w:jc w:val="both"/>
              <w:rPr>
                <w:rFonts w:ascii="Bookman Old Style" w:hAnsi="Bookman Old Style" w:cs="Arial"/>
                <w:b/>
                <w:spacing w:val="-3"/>
              </w:rPr>
            </w:pPr>
          </w:p>
          <w:p w:rsidR="003C219D" w:rsidRDefault="003C219D">
            <w:pPr>
              <w:jc w:val="both"/>
              <w:rPr>
                <w:rFonts w:ascii="Bookman Old Style" w:hAnsi="Bookman Old Style" w:cs="Arial"/>
                <w:b/>
                <w:spacing w:val="-3"/>
              </w:rPr>
            </w:pPr>
          </w:p>
          <w:p w:rsidR="003C219D" w:rsidRDefault="003C219D">
            <w:pPr>
              <w:ind w:left="66"/>
              <w:jc w:val="center"/>
              <w:rPr>
                <w:rFonts w:ascii="Bookman Old Style" w:hAnsi="Bookman Old Style" w:cs="Arial"/>
                <w:b/>
                <w:spacing w:val="-3"/>
              </w:rPr>
            </w:pPr>
          </w:p>
          <w:p w:rsidR="003C219D" w:rsidRDefault="003C219D">
            <w:pPr>
              <w:ind w:left="66"/>
              <w:jc w:val="center"/>
              <w:rPr>
                <w:rFonts w:ascii="Bookman Old Style" w:hAnsi="Bookman Old Style" w:cs="Arial"/>
                <w:b/>
                <w:spacing w:val="-3"/>
              </w:rPr>
            </w:pPr>
            <w:r>
              <w:rPr>
                <w:rFonts w:ascii="Bookman Old Style" w:hAnsi="Bookman Old Style" w:cs="Arial"/>
                <w:b/>
                <w:szCs w:val="23"/>
              </w:rPr>
              <w:t>ALONSO MAYELO CARDONA DELGADO</w:t>
            </w:r>
          </w:p>
        </w:tc>
        <w:tc>
          <w:tcPr>
            <w:tcW w:w="4465" w:type="dxa"/>
          </w:tcPr>
          <w:p w:rsidR="003C219D" w:rsidRDefault="003C219D">
            <w:pPr>
              <w:ind w:left="0"/>
              <w:jc w:val="both"/>
              <w:rPr>
                <w:rFonts w:ascii="Bookman Old Style" w:hAnsi="Bookman Old Style" w:cs="Arial"/>
                <w:b/>
                <w:spacing w:val="-3"/>
              </w:rPr>
            </w:pPr>
          </w:p>
          <w:p w:rsidR="003C219D" w:rsidRDefault="003C219D">
            <w:pPr>
              <w:ind w:left="89"/>
              <w:jc w:val="center"/>
              <w:rPr>
                <w:rFonts w:ascii="Bookman Old Style" w:hAnsi="Bookman Old Style" w:cs="Arial"/>
                <w:b/>
                <w:spacing w:val="-3"/>
              </w:rPr>
            </w:pPr>
          </w:p>
          <w:p w:rsidR="003C219D" w:rsidRDefault="003C219D">
            <w:pPr>
              <w:ind w:left="89"/>
              <w:jc w:val="center"/>
              <w:rPr>
                <w:rFonts w:ascii="Bookman Old Style" w:hAnsi="Bookman Old Style" w:cs="Arial"/>
                <w:b/>
                <w:spacing w:val="-3"/>
              </w:rPr>
            </w:pPr>
          </w:p>
          <w:p w:rsidR="003C219D" w:rsidRDefault="003C219D">
            <w:pPr>
              <w:ind w:left="89"/>
              <w:jc w:val="center"/>
              <w:rPr>
                <w:rFonts w:ascii="Bookman Old Style" w:hAnsi="Bookman Old Style" w:cs="Arial"/>
                <w:b/>
                <w:spacing w:val="-3"/>
              </w:rPr>
            </w:pPr>
            <w:r>
              <w:rPr>
                <w:rFonts w:ascii="Bookman Old Style" w:hAnsi="Bookman Old Style" w:cs="Arial"/>
                <w:b/>
                <w:spacing w:val="-3"/>
              </w:rPr>
              <w:t>CHRISTIAN JARAMILLO HERRERA</w:t>
            </w:r>
          </w:p>
        </w:tc>
      </w:tr>
      <w:tr w:rsidR="003C219D" w:rsidTr="003C219D">
        <w:trPr>
          <w:tblCellSpacing w:w="0" w:type="dxa"/>
          <w:jc w:val="center"/>
        </w:trPr>
        <w:tc>
          <w:tcPr>
            <w:tcW w:w="5033" w:type="dxa"/>
            <w:hideMark/>
          </w:tcPr>
          <w:p w:rsidR="003C219D" w:rsidRDefault="003C219D">
            <w:pPr>
              <w:ind w:left="66"/>
              <w:jc w:val="center"/>
              <w:rPr>
                <w:rFonts w:ascii="Bookman Old Style" w:hAnsi="Bookman Old Style" w:cs="Arial"/>
                <w:spacing w:val="-3"/>
              </w:rPr>
            </w:pPr>
            <w:r>
              <w:rPr>
                <w:rFonts w:ascii="Bookman Old Style" w:hAnsi="Bookman Old Style" w:cs="Arial"/>
                <w:spacing w:val="-3"/>
              </w:rPr>
              <w:t xml:space="preserve">Viceministro de Energía </w:t>
            </w:r>
          </w:p>
          <w:p w:rsidR="003C219D" w:rsidRDefault="003C219D">
            <w:pPr>
              <w:ind w:left="66"/>
              <w:jc w:val="center"/>
              <w:rPr>
                <w:rFonts w:ascii="Bookman Old Style" w:eastAsia="Arial Unicode MS" w:hAnsi="Bookman Old Style" w:cs="Arial"/>
                <w:color w:val="000000"/>
              </w:rPr>
            </w:pPr>
            <w:r>
              <w:rPr>
                <w:rFonts w:ascii="Bookman Old Style" w:hAnsi="Bookman Old Style" w:cs="Arial"/>
                <w:spacing w:val="-3"/>
              </w:rPr>
              <w:t>Delegado del Ministro de Minas y Energía</w:t>
            </w:r>
          </w:p>
        </w:tc>
        <w:tc>
          <w:tcPr>
            <w:tcW w:w="4465" w:type="dxa"/>
            <w:hideMark/>
          </w:tcPr>
          <w:p w:rsidR="003C219D" w:rsidRDefault="003C219D">
            <w:pPr>
              <w:jc w:val="center"/>
              <w:rPr>
                <w:rFonts w:ascii="Bookman Old Style" w:eastAsia="Arial Unicode MS" w:hAnsi="Bookman Old Style" w:cs="Arial"/>
                <w:color w:val="000000"/>
              </w:rPr>
            </w:pPr>
            <w:r>
              <w:rPr>
                <w:rFonts w:ascii="Bookman Old Style" w:hAnsi="Bookman Old Style" w:cs="Arial"/>
                <w:spacing w:val="-3"/>
              </w:rPr>
              <w:t xml:space="preserve">Director Ejecutivo </w:t>
            </w:r>
          </w:p>
        </w:tc>
      </w:tr>
      <w:tr w:rsidR="003C219D" w:rsidTr="003C219D">
        <w:trPr>
          <w:tblCellSpacing w:w="0" w:type="dxa"/>
          <w:jc w:val="center"/>
        </w:trPr>
        <w:tc>
          <w:tcPr>
            <w:tcW w:w="5033" w:type="dxa"/>
            <w:hideMark/>
          </w:tcPr>
          <w:p w:rsidR="003C219D" w:rsidRDefault="003C219D">
            <w:pPr>
              <w:ind w:left="66"/>
              <w:jc w:val="center"/>
              <w:rPr>
                <w:rFonts w:ascii="Bookman Old Style" w:eastAsia="Arial Unicode MS" w:hAnsi="Bookman Old Style" w:cs="Arial"/>
                <w:color w:val="000000"/>
              </w:rPr>
            </w:pPr>
            <w:r>
              <w:rPr>
                <w:rFonts w:ascii="Bookman Old Style" w:hAnsi="Bookman Old Style" w:cs="Arial"/>
                <w:spacing w:val="-3"/>
              </w:rPr>
              <w:t>Presidente</w:t>
            </w:r>
          </w:p>
        </w:tc>
        <w:tc>
          <w:tcPr>
            <w:tcW w:w="4465" w:type="dxa"/>
          </w:tcPr>
          <w:p w:rsidR="003C219D" w:rsidRDefault="003C219D">
            <w:pPr>
              <w:ind w:left="0"/>
              <w:jc w:val="both"/>
              <w:rPr>
                <w:rFonts w:ascii="Bookman Old Style" w:eastAsia="Arial Unicode MS" w:hAnsi="Bookman Old Style" w:cs="Arial"/>
                <w:color w:val="000000"/>
              </w:rPr>
            </w:pPr>
          </w:p>
        </w:tc>
      </w:tr>
    </w:tbl>
    <w:p w:rsidR="00666168" w:rsidRDefault="00666168" w:rsidP="00273C2C">
      <w:pPr>
        <w:widowControl w:val="0"/>
        <w:adjustRightInd w:val="0"/>
        <w:ind w:left="0" w:right="20"/>
        <w:jc w:val="both"/>
        <w:rPr>
          <w:rFonts w:ascii="Bookman Old Style" w:hAnsi="Bookman Old Style" w:cs="Arial"/>
        </w:rPr>
      </w:pPr>
    </w:p>
    <w:p w:rsidR="009D1616" w:rsidRDefault="009D1616" w:rsidP="00273C2C">
      <w:pPr>
        <w:widowControl w:val="0"/>
        <w:adjustRightInd w:val="0"/>
        <w:ind w:left="0" w:right="20"/>
        <w:jc w:val="both"/>
        <w:rPr>
          <w:rFonts w:ascii="Bookman Old Style" w:hAnsi="Bookman Old Style" w:cs="Arial"/>
        </w:rPr>
      </w:pPr>
    </w:p>
    <w:p w:rsidR="00666168" w:rsidRDefault="00666168" w:rsidP="00C4031F">
      <w:pPr>
        <w:widowControl w:val="0"/>
        <w:adjustRightInd w:val="0"/>
        <w:ind w:left="0"/>
        <w:jc w:val="center"/>
        <w:rPr>
          <w:rFonts w:ascii="Bookman Old Style" w:hAnsi="Bookman Old Style"/>
          <w:bCs/>
          <w:lang w:val="es-CO"/>
        </w:rPr>
      </w:pPr>
    </w:p>
    <w:p w:rsidR="00055B77" w:rsidRPr="00772807" w:rsidRDefault="00055B77" w:rsidP="00772807">
      <w:pPr>
        <w:widowControl w:val="0"/>
        <w:adjustRightInd w:val="0"/>
        <w:ind w:left="0"/>
        <w:jc w:val="center"/>
        <w:rPr>
          <w:rFonts w:ascii="Bookman Old Style" w:hAnsi="Bookman Old Style" w:cs="Arial"/>
          <w:b/>
        </w:rPr>
      </w:pPr>
    </w:p>
    <w:sectPr w:rsidR="00055B77" w:rsidRPr="00772807"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E15" w:rsidRDefault="00BA4E15">
      <w:r>
        <w:separator/>
      </w:r>
    </w:p>
  </w:endnote>
  <w:endnote w:type="continuationSeparator" w:id="0">
    <w:p w:rsidR="00BA4E15" w:rsidRDefault="00BA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E15" w:rsidRDefault="00BA4E15">
      <w:r>
        <w:separator/>
      </w:r>
    </w:p>
  </w:footnote>
  <w:footnote w:type="continuationSeparator" w:id="0">
    <w:p w:rsidR="00BA4E15" w:rsidRDefault="00BA4E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78" w:rsidRDefault="00B72378" w:rsidP="00951F79">
    <w:pPr>
      <w:pStyle w:val="Ttulo1"/>
      <w:ind w:right="6"/>
      <w:jc w:val="left"/>
      <w:rPr>
        <w:rFonts w:ascii="Bookman Old Style" w:hAnsi="Bookman Old Style" w:cs="Arial"/>
        <w:b w:val="0"/>
        <w:sz w:val="22"/>
        <w:szCs w:val="22"/>
      </w:rPr>
    </w:pPr>
  </w:p>
  <w:p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B3B9F">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AB3B9F">
      <w:fldChar w:fldCharType="begin"/>
    </w:r>
    <w:r w:rsidR="00AB3B9F">
      <w:instrText xml:space="preserve"> NUMPAGES  \* MERGEFORMAT </w:instrText>
    </w:r>
    <w:r w:rsidR="00AB3B9F">
      <w:fldChar w:fldCharType="separate"/>
    </w:r>
    <w:r w:rsidR="00AB3B9F" w:rsidRPr="00AB3B9F">
      <w:rPr>
        <w:rFonts w:ascii="Bookman Old Style" w:hAnsi="Bookman Old Style" w:cs="Arial"/>
        <w:b w:val="0"/>
        <w:noProof/>
        <w:sz w:val="22"/>
        <w:szCs w:val="22"/>
      </w:rPr>
      <w:t>5</w:t>
    </w:r>
    <w:r w:rsidR="00AB3B9F">
      <w:rPr>
        <w:rFonts w:ascii="Bookman Old Style" w:hAnsi="Bookman Old Style" w:cs="Arial"/>
        <w:b w:val="0"/>
        <w:noProof/>
        <w:sz w:val="22"/>
        <w:szCs w:val="22"/>
      </w:rPr>
      <w:fldChar w:fldCharType="end"/>
    </w:r>
  </w:p>
  <w:p w:rsidR="00B72378" w:rsidRDefault="009E6990"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D011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944325" w:rsidRPr="00944325" w:rsidRDefault="00944325" w:rsidP="00944325">
    <w:pPr>
      <w:widowControl w:val="0"/>
      <w:adjustRightInd w:val="0"/>
      <w:ind w:left="0" w:right="20"/>
      <w:jc w:val="both"/>
      <w:rPr>
        <w:rFonts w:ascii="Bookman Old Style" w:hAnsi="Bookman Old Style" w:cs="Arial"/>
        <w:sz w:val="20"/>
        <w:szCs w:val="20"/>
        <w:lang w:val="es-ES_tradnl"/>
      </w:rPr>
    </w:pPr>
    <w:r w:rsidRPr="00944325">
      <w:rPr>
        <w:rFonts w:ascii="Bookman Old Style" w:hAnsi="Bookman Old Style" w:cs="Arial"/>
        <w:sz w:val="20"/>
        <w:szCs w:val="20"/>
        <w:lang w:val="es-ES_tradnl"/>
      </w:rPr>
      <w:t xml:space="preserve">Por la cual se aprueba el cargo máximo base de comercialización de gas combustible por redes de tubería, para el mercado relevante conformado por los </w:t>
    </w:r>
    <w:r w:rsidRPr="00BF4A40">
      <w:rPr>
        <w:rFonts w:ascii="Bookman Old Style" w:hAnsi="Bookman Old Style" w:cs="Arial"/>
        <w:sz w:val="20"/>
        <w:szCs w:val="20"/>
        <w:lang w:val="es-ES_tradnl"/>
      </w:rPr>
      <w:t xml:space="preserve">centros poblados de </w:t>
    </w:r>
    <w:proofErr w:type="spellStart"/>
    <w:r w:rsidRPr="00BF4A40">
      <w:rPr>
        <w:rFonts w:ascii="Bookman Old Style" w:hAnsi="Bookman Old Style" w:cs="Arial"/>
        <w:sz w:val="20"/>
        <w:szCs w:val="20"/>
        <w:lang w:val="es-ES_tradnl"/>
      </w:rPr>
      <w:t>Taravita</w:t>
    </w:r>
    <w:proofErr w:type="spellEnd"/>
    <w:r w:rsidRPr="00BF4A40">
      <w:rPr>
        <w:rFonts w:ascii="Bookman Old Style" w:hAnsi="Bookman Old Style" w:cs="Arial"/>
        <w:sz w:val="20"/>
        <w:szCs w:val="20"/>
        <w:lang w:val="es-ES_tradnl"/>
      </w:rPr>
      <w:t xml:space="preserve"> en el municipio de </w:t>
    </w:r>
    <w:proofErr w:type="spellStart"/>
    <w:r w:rsidRPr="00BF4A40">
      <w:rPr>
        <w:rFonts w:ascii="Bookman Old Style" w:hAnsi="Bookman Old Style" w:cs="Arial"/>
        <w:sz w:val="20"/>
        <w:szCs w:val="20"/>
        <w:lang w:val="es-ES_tradnl"/>
      </w:rPr>
      <w:t>Fúquene</w:t>
    </w:r>
    <w:proofErr w:type="spellEnd"/>
    <w:r w:rsidRPr="00BF4A40">
      <w:rPr>
        <w:rFonts w:ascii="Bookman Old Style" w:hAnsi="Bookman Old Style" w:cs="Arial"/>
        <w:sz w:val="20"/>
        <w:szCs w:val="20"/>
        <w:lang w:val="es-ES_tradnl"/>
      </w:rPr>
      <w:t xml:space="preserve">, </w:t>
    </w:r>
    <w:proofErr w:type="spellStart"/>
    <w:r w:rsidRPr="00BF4A40">
      <w:rPr>
        <w:rFonts w:ascii="Bookman Old Style" w:hAnsi="Bookman Old Style" w:cs="Arial"/>
        <w:sz w:val="20"/>
        <w:szCs w:val="20"/>
        <w:lang w:val="es-ES_tradnl"/>
      </w:rPr>
      <w:t>Ticha</w:t>
    </w:r>
    <w:proofErr w:type="spellEnd"/>
    <w:r w:rsidRPr="00BF4A40">
      <w:rPr>
        <w:rFonts w:ascii="Bookman Old Style" w:hAnsi="Bookman Old Style" w:cs="Arial"/>
        <w:sz w:val="20"/>
        <w:szCs w:val="20"/>
        <w:lang w:val="es-ES_tradnl"/>
      </w:rPr>
      <w:t xml:space="preserve">, </w:t>
    </w:r>
    <w:proofErr w:type="spellStart"/>
    <w:r w:rsidRPr="00BF4A40">
      <w:rPr>
        <w:rFonts w:ascii="Bookman Old Style" w:hAnsi="Bookman Old Style" w:cs="Arial"/>
        <w:sz w:val="20"/>
        <w:szCs w:val="20"/>
        <w:lang w:val="es-ES_tradnl"/>
      </w:rPr>
      <w:t>Nengua</w:t>
    </w:r>
    <w:proofErr w:type="spellEnd"/>
    <w:r w:rsidRPr="00BF4A40">
      <w:rPr>
        <w:rFonts w:ascii="Bookman Old Style" w:hAnsi="Bookman Old Style" w:cs="Arial"/>
        <w:sz w:val="20"/>
        <w:szCs w:val="20"/>
        <w:lang w:val="es-ES_tradnl"/>
      </w:rPr>
      <w:t xml:space="preserve"> y </w:t>
    </w:r>
    <w:proofErr w:type="spellStart"/>
    <w:r w:rsidRPr="00BF4A40">
      <w:rPr>
        <w:rFonts w:ascii="Bookman Old Style" w:hAnsi="Bookman Old Style" w:cs="Arial"/>
        <w:sz w:val="20"/>
        <w:szCs w:val="20"/>
        <w:lang w:val="es-ES_tradnl"/>
      </w:rPr>
      <w:t>Miña</w:t>
    </w:r>
    <w:proofErr w:type="spellEnd"/>
    <w:r w:rsidRPr="00BF4A40">
      <w:rPr>
        <w:rFonts w:ascii="Bookman Old Style" w:hAnsi="Bookman Old Style" w:cs="Arial"/>
        <w:sz w:val="20"/>
        <w:szCs w:val="20"/>
        <w:lang w:val="es-ES_tradnl"/>
      </w:rPr>
      <w:t xml:space="preserve"> en el municipio de </w:t>
    </w:r>
    <w:proofErr w:type="spellStart"/>
    <w:r w:rsidRPr="00BF4A40">
      <w:rPr>
        <w:rFonts w:ascii="Bookman Old Style" w:hAnsi="Bookman Old Style" w:cs="Arial"/>
        <w:sz w:val="20"/>
        <w:szCs w:val="20"/>
        <w:lang w:val="es-ES_tradnl"/>
      </w:rPr>
      <w:t>Guachetá</w:t>
    </w:r>
    <w:proofErr w:type="spellEnd"/>
    <w:r w:rsidRPr="00BF4A40">
      <w:rPr>
        <w:rFonts w:ascii="Bookman Old Style" w:hAnsi="Bookman Old Style" w:cs="Arial"/>
        <w:sz w:val="20"/>
        <w:szCs w:val="20"/>
        <w:lang w:val="es-ES_tradnl"/>
      </w:rPr>
      <w:t xml:space="preserve">, departamento de </w:t>
    </w:r>
    <w:r w:rsidR="002E6488" w:rsidRPr="00BF4A40">
      <w:rPr>
        <w:rFonts w:ascii="Bookman Old Style" w:hAnsi="Bookman Old Style" w:cs="Arial"/>
        <w:sz w:val="20"/>
        <w:szCs w:val="20"/>
        <w:lang w:val="es-ES_tradnl"/>
      </w:rPr>
      <w:t>Cundinamarca</w:t>
    </w:r>
    <w:r w:rsidRPr="00BF4A40">
      <w:rPr>
        <w:rFonts w:ascii="Bookman Old Style" w:hAnsi="Bookman Old Style" w:cs="Arial"/>
        <w:sz w:val="20"/>
        <w:szCs w:val="20"/>
        <w:lang w:val="es-ES_tradnl"/>
      </w:rPr>
      <w:t>, según solicitud tarifaria presentada por la empresa INGENIERIA Y SERVICIOS S.A. E.S.P.</w:t>
    </w:r>
  </w:p>
  <w:p w:rsidR="00B72378" w:rsidRPr="00D036CD" w:rsidRDefault="00B72378" w:rsidP="00C66F68">
    <w:pPr>
      <w:pBdr>
        <w:bottom w:val="single" w:sz="4" w:space="1" w:color="auto"/>
      </w:pBdr>
      <w:ind w:left="0" w:right="148"/>
      <w:rPr>
        <w:b/>
        <w:sz w:val="2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78" w:rsidRDefault="00B72378"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B72378" w:rsidRDefault="00B72378">
    <w:pPr>
      <w:pStyle w:val="Encabezado"/>
      <w:jc w:val="center"/>
      <w:rPr>
        <w:rFonts w:ascii="Arial" w:hAnsi="Arial" w:cs="Arial"/>
        <w:spacing w:val="20"/>
        <w:sz w:val="20"/>
      </w:rPr>
    </w:pPr>
  </w:p>
  <w:p w:rsidR="00B72378" w:rsidRDefault="009E6990"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5FCE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175DD"/>
    <w:rsid w:val="00025383"/>
    <w:rsid w:val="000275B9"/>
    <w:rsid w:val="0003128C"/>
    <w:rsid w:val="00034816"/>
    <w:rsid w:val="00035D47"/>
    <w:rsid w:val="00036F15"/>
    <w:rsid w:val="0004127A"/>
    <w:rsid w:val="0004655A"/>
    <w:rsid w:val="000537E8"/>
    <w:rsid w:val="00055B77"/>
    <w:rsid w:val="00060D57"/>
    <w:rsid w:val="00063657"/>
    <w:rsid w:val="0007607C"/>
    <w:rsid w:val="00076680"/>
    <w:rsid w:val="00076A1D"/>
    <w:rsid w:val="0008073E"/>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3AF7"/>
    <w:rsid w:val="000F410B"/>
    <w:rsid w:val="000F5A28"/>
    <w:rsid w:val="000F7019"/>
    <w:rsid w:val="0010707E"/>
    <w:rsid w:val="00113128"/>
    <w:rsid w:val="0011341F"/>
    <w:rsid w:val="0012200E"/>
    <w:rsid w:val="00122CFB"/>
    <w:rsid w:val="00131585"/>
    <w:rsid w:val="0014017F"/>
    <w:rsid w:val="001405C6"/>
    <w:rsid w:val="00140927"/>
    <w:rsid w:val="00141013"/>
    <w:rsid w:val="00154D61"/>
    <w:rsid w:val="0015626D"/>
    <w:rsid w:val="001748A3"/>
    <w:rsid w:val="00176C85"/>
    <w:rsid w:val="0018547A"/>
    <w:rsid w:val="00192CBF"/>
    <w:rsid w:val="00192FF1"/>
    <w:rsid w:val="001931A8"/>
    <w:rsid w:val="001946B2"/>
    <w:rsid w:val="0019480C"/>
    <w:rsid w:val="00194AD4"/>
    <w:rsid w:val="00195E5B"/>
    <w:rsid w:val="001A563C"/>
    <w:rsid w:val="001A5F1B"/>
    <w:rsid w:val="001B0D07"/>
    <w:rsid w:val="001B1B20"/>
    <w:rsid w:val="001B1C22"/>
    <w:rsid w:val="001B34C6"/>
    <w:rsid w:val="001B4018"/>
    <w:rsid w:val="001B4BDE"/>
    <w:rsid w:val="001B6003"/>
    <w:rsid w:val="001B61EB"/>
    <w:rsid w:val="001C1345"/>
    <w:rsid w:val="001C4977"/>
    <w:rsid w:val="001C7B61"/>
    <w:rsid w:val="001D033A"/>
    <w:rsid w:val="001D0EAF"/>
    <w:rsid w:val="001D7832"/>
    <w:rsid w:val="001F3765"/>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52D35"/>
    <w:rsid w:val="00260569"/>
    <w:rsid w:val="002606F0"/>
    <w:rsid w:val="00266CD6"/>
    <w:rsid w:val="00273C2C"/>
    <w:rsid w:val="00275DAB"/>
    <w:rsid w:val="002817D6"/>
    <w:rsid w:val="00281C19"/>
    <w:rsid w:val="002849F9"/>
    <w:rsid w:val="00285B1C"/>
    <w:rsid w:val="00285D62"/>
    <w:rsid w:val="002861B3"/>
    <w:rsid w:val="0028652B"/>
    <w:rsid w:val="00297A92"/>
    <w:rsid w:val="002A12EA"/>
    <w:rsid w:val="002A782A"/>
    <w:rsid w:val="002B11E2"/>
    <w:rsid w:val="002B1B36"/>
    <w:rsid w:val="002B24B8"/>
    <w:rsid w:val="002B27AA"/>
    <w:rsid w:val="002C301C"/>
    <w:rsid w:val="002C6C8D"/>
    <w:rsid w:val="002C6D05"/>
    <w:rsid w:val="002D0016"/>
    <w:rsid w:val="002D1901"/>
    <w:rsid w:val="002D3AE9"/>
    <w:rsid w:val="002D4510"/>
    <w:rsid w:val="002D6B88"/>
    <w:rsid w:val="002D747B"/>
    <w:rsid w:val="002E4959"/>
    <w:rsid w:val="002E6488"/>
    <w:rsid w:val="002E6989"/>
    <w:rsid w:val="002F0734"/>
    <w:rsid w:val="002F0CC9"/>
    <w:rsid w:val="002F46E7"/>
    <w:rsid w:val="00303C3C"/>
    <w:rsid w:val="003101DA"/>
    <w:rsid w:val="003106A1"/>
    <w:rsid w:val="00314757"/>
    <w:rsid w:val="003211CE"/>
    <w:rsid w:val="00321766"/>
    <w:rsid w:val="00321BD5"/>
    <w:rsid w:val="00322AA1"/>
    <w:rsid w:val="00324B77"/>
    <w:rsid w:val="0032669A"/>
    <w:rsid w:val="00327FC7"/>
    <w:rsid w:val="0033191F"/>
    <w:rsid w:val="0033690A"/>
    <w:rsid w:val="00344454"/>
    <w:rsid w:val="00346E50"/>
    <w:rsid w:val="003518A4"/>
    <w:rsid w:val="0035403A"/>
    <w:rsid w:val="0036394B"/>
    <w:rsid w:val="00364C46"/>
    <w:rsid w:val="0036751E"/>
    <w:rsid w:val="003700B5"/>
    <w:rsid w:val="003709B5"/>
    <w:rsid w:val="003759C2"/>
    <w:rsid w:val="003846C6"/>
    <w:rsid w:val="003943C4"/>
    <w:rsid w:val="00397365"/>
    <w:rsid w:val="003A0D0C"/>
    <w:rsid w:val="003A0D48"/>
    <w:rsid w:val="003A31F6"/>
    <w:rsid w:val="003B10B9"/>
    <w:rsid w:val="003B5F93"/>
    <w:rsid w:val="003B6A60"/>
    <w:rsid w:val="003B769B"/>
    <w:rsid w:val="003C219D"/>
    <w:rsid w:val="003C24AD"/>
    <w:rsid w:val="003C3447"/>
    <w:rsid w:val="003D076C"/>
    <w:rsid w:val="003D21D5"/>
    <w:rsid w:val="003D3597"/>
    <w:rsid w:val="003D5E91"/>
    <w:rsid w:val="003D777C"/>
    <w:rsid w:val="003E0840"/>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7111B"/>
    <w:rsid w:val="0047122B"/>
    <w:rsid w:val="00473772"/>
    <w:rsid w:val="00473B7A"/>
    <w:rsid w:val="004756EF"/>
    <w:rsid w:val="00481CD4"/>
    <w:rsid w:val="00495A52"/>
    <w:rsid w:val="004960E9"/>
    <w:rsid w:val="004A2E88"/>
    <w:rsid w:val="004A4244"/>
    <w:rsid w:val="004A5305"/>
    <w:rsid w:val="004A6280"/>
    <w:rsid w:val="004C01BA"/>
    <w:rsid w:val="004C3AAC"/>
    <w:rsid w:val="004C4E22"/>
    <w:rsid w:val="004D19FA"/>
    <w:rsid w:val="004D2FD2"/>
    <w:rsid w:val="004D7634"/>
    <w:rsid w:val="004D77B5"/>
    <w:rsid w:val="004E1E32"/>
    <w:rsid w:val="004E2802"/>
    <w:rsid w:val="004E45FB"/>
    <w:rsid w:val="004F2DA9"/>
    <w:rsid w:val="0050015E"/>
    <w:rsid w:val="00505125"/>
    <w:rsid w:val="00505B33"/>
    <w:rsid w:val="0051075C"/>
    <w:rsid w:val="00513722"/>
    <w:rsid w:val="00515932"/>
    <w:rsid w:val="0052141A"/>
    <w:rsid w:val="00527C4C"/>
    <w:rsid w:val="005300D3"/>
    <w:rsid w:val="00535B16"/>
    <w:rsid w:val="00536323"/>
    <w:rsid w:val="00536D82"/>
    <w:rsid w:val="00542B81"/>
    <w:rsid w:val="00544F82"/>
    <w:rsid w:val="00553E0E"/>
    <w:rsid w:val="00554468"/>
    <w:rsid w:val="005544E8"/>
    <w:rsid w:val="00554FFF"/>
    <w:rsid w:val="00562E64"/>
    <w:rsid w:val="005713EE"/>
    <w:rsid w:val="005734E1"/>
    <w:rsid w:val="00574CA5"/>
    <w:rsid w:val="00585773"/>
    <w:rsid w:val="00592E8C"/>
    <w:rsid w:val="00593C4F"/>
    <w:rsid w:val="005946A8"/>
    <w:rsid w:val="0059774E"/>
    <w:rsid w:val="005A3F3A"/>
    <w:rsid w:val="005A4407"/>
    <w:rsid w:val="005A59EF"/>
    <w:rsid w:val="005A60DF"/>
    <w:rsid w:val="005A7D14"/>
    <w:rsid w:val="005B1832"/>
    <w:rsid w:val="005C0CFA"/>
    <w:rsid w:val="005C41AF"/>
    <w:rsid w:val="005C6868"/>
    <w:rsid w:val="005D7696"/>
    <w:rsid w:val="005D77A0"/>
    <w:rsid w:val="005E035F"/>
    <w:rsid w:val="005E260A"/>
    <w:rsid w:val="005E44A9"/>
    <w:rsid w:val="005F5F07"/>
    <w:rsid w:val="005F6F41"/>
    <w:rsid w:val="00600248"/>
    <w:rsid w:val="006005E4"/>
    <w:rsid w:val="00612218"/>
    <w:rsid w:val="0061682D"/>
    <w:rsid w:val="0061761C"/>
    <w:rsid w:val="00621590"/>
    <w:rsid w:val="00622B8D"/>
    <w:rsid w:val="00625DC6"/>
    <w:rsid w:val="00625DDC"/>
    <w:rsid w:val="00631439"/>
    <w:rsid w:val="00631E8F"/>
    <w:rsid w:val="00632E9F"/>
    <w:rsid w:val="00635417"/>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B47"/>
    <w:rsid w:val="0067530D"/>
    <w:rsid w:val="0067736F"/>
    <w:rsid w:val="0068126C"/>
    <w:rsid w:val="00681877"/>
    <w:rsid w:val="00681AD8"/>
    <w:rsid w:val="00682CAB"/>
    <w:rsid w:val="00684C67"/>
    <w:rsid w:val="00684D9B"/>
    <w:rsid w:val="00686885"/>
    <w:rsid w:val="00697556"/>
    <w:rsid w:val="0069757F"/>
    <w:rsid w:val="006A01FE"/>
    <w:rsid w:val="006B1C64"/>
    <w:rsid w:val="006B4647"/>
    <w:rsid w:val="006B4C2B"/>
    <w:rsid w:val="006B6D47"/>
    <w:rsid w:val="006C2F36"/>
    <w:rsid w:val="006C4A97"/>
    <w:rsid w:val="006C5AFE"/>
    <w:rsid w:val="006C709E"/>
    <w:rsid w:val="006D039F"/>
    <w:rsid w:val="006D0AE7"/>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60A"/>
    <w:rsid w:val="00795BFB"/>
    <w:rsid w:val="00797093"/>
    <w:rsid w:val="007B2760"/>
    <w:rsid w:val="007B3764"/>
    <w:rsid w:val="007B478C"/>
    <w:rsid w:val="007C14A5"/>
    <w:rsid w:val="007C6336"/>
    <w:rsid w:val="007D1EE9"/>
    <w:rsid w:val="007D2326"/>
    <w:rsid w:val="007E1F80"/>
    <w:rsid w:val="007F1A26"/>
    <w:rsid w:val="007F1EA3"/>
    <w:rsid w:val="0080021C"/>
    <w:rsid w:val="008048A4"/>
    <w:rsid w:val="00805F76"/>
    <w:rsid w:val="00806C01"/>
    <w:rsid w:val="008112E8"/>
    <w:rsid w:val="0081130B"/>
    <w:rsid w:val="0081331D"/>
    <w:rsid w:val="008148CC"/>
    <w:rsid w:val="008211A4"/>
    <w:rsid w:val="00823A07"/>
    <w:rsid w:val="00824917"/>
    <w:rsid w:val="00827924"/>
    <w:rsid w:val="008321F1"/>
    <w:rsid w:val="008348CB"/>
    <w:rsid w:val="00837B9A"/>
    <w:rsid w:val="00844D9E"/>
    <w:rsid w:val="00853587"/>
    <w:rsid w:val="008540A0"/>
    <w:rsid w:val="00854C37"/>
    <w:rsid w:val="008554C7"/>
    <w:rsid w:val="0085706C"/>
    <w:rsid w:val="008611E7"/>
    <w:rsid w:val="00864029"/>
    <w:rsid w:val="008712A7"/>
    <w:rsid w:val="0087140E"/>
    <w:rsid w:val="00872D82"/>
    <w:rsid w:val="00873150"/>
    <w:rsid w:val="0087444C"/>
    <w:rsid w:val="0087657D"/>
    <w:rsid w:val="008807D5"/>
    <w:rsid w:val="00880832"/>
    <w:rsid w:val="008821E6"/>
    <w:rsid w:val="00882263"/>
    <w:rsid w:val="00883586"/>
    <w:rsid w:val="00886EE1"/>
    <w:rsid w:val="0088727D"/>
    <w:rsid w:val="00890729"/>
    <w:rsid w:val="00894315"/>
    <w:rsid w:val="00897C75"/>
    <w:rsid w:val="00897DD2"/>
    <w:rsid w:val="008A1A89"/>
    <w:rsid w:val="008A39AC"/>
    <w:rsid w:val="008B1DFE"/>
    <w:rsid w:val="008B2887"/>
    <w:rsid w:val="008B3D54"/>
    <w:rsid w:val="008C1130"/>
    <w:rsid w:val="008C2EDE"/>
    <w:rsid w:val="008C3D2D"/>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13D26"/>
    <w:rsid w:val="00920416"/>
    <w:rsid w:val="00920C3D"/>
    <w:rsid w:val="00921B3A"/>
    <w:rsid w:val="0092279E"/>
    <w:rsid w:val="0092593B"/>
    <w:rsid w:val="00926A64"/>
    <w:rsid w:val="00934FA6"/>
    <w:rsid w:val="00937565"/>
    <w:rsid w:val="00942618"/>
    <w:rsid w:val="009429E7"/>
    <w:rsid w:val="00944325"/>
    <w:rsid w:val="00945A3C"/>
    <w:rsid w:val="00946FDA"/>
    <w:rsid w:val="00951F79"/>
    <w:rsid w:val="00952A84"/>
    <w:rsid w:val="0095363B"/>
    <w:rsid w:val="00956A84"/>
    <w:rsid w:val="009637C0"/>
    <w:rsid w:val="00967121"/>
    <w:rsid w:val="00967DCA"/>
    <w:rsid w:val="009714A1"/>
    <w:rsid w:val="00974AB5"/>
    <w:rsid w:val="009814D9"/>
    <w:rsid w:val="0098706D"/>
    <w:rsid w:val="009935FB"/>
    <w:rsid w:val="0099486C"/>
    <w:rsid w:val="00994981"/>
    <w:rsid w:val="009956CE"/>
    <w:rsid w:val="009B0E87"/>
    <w:rsid w:val="009B2CA8"/>
    <w:rsid w:val="009B7F09"/>
    <w:rsid w:val="009C20BA"/>
    <w:rsid w:val="009C2EEC"/>
    <w:rsid w:val="009C6488"/>
    <w:rsid w:val="009D138E"/>
    <w:rsid w:val="009D1616"/>
    <w:rsid w:val="009D58E6"/>
    <w:rsid w:val="009E11C8"/>
    <w:rsid w:val="009E1365"/>
    <w:rsid w:val="009E2F5E"/>
    <w:rsid w:val="009E6990"/>
    <w:rsid w:val="009E6C87"/>
    <w:rsid w:val="009F471E"/>
    <w:rsid w:val="009F4A54"/>
    <w:rsid w:val="009F4BEC"/>
    <w:rsid w:val="00A007C0"/>
    <w:rsid w:val="00A0161E"/>
    <w:rsid w:val="00A0795F"/>
    <w:rsid w:val="00A11391"/>
    <w:rsid w:val="00A21332"/>
    <w:rsid w:val="00A21A33"/>
    <w:rsid w:val="00A23A1B"/>
    <w:rsid w:val="00A25FD7"/>
    <w:rsid w:val="00A31776"/>
    <w:rsid w:val="00A3618A"/>
    <w:rsid w:val="00A43AFF"/>
    <w:rsid w:val="00A44502"/>
    <w:rsid w:val="00A53402"/>
    <w:rsid w:val="00A63909"/>
    <w:rsid w:val="00A71CC8"/>
    <w:rsid w:val="00A72AE2"/>
    <w:rsid w:val="00A759BA"/>
    <w:rsid w:val="00A76D31"/>
    <w:rsid w:val="00A7793A"/>
    <w:rsid w:val="00A8164B"/>
    <w:rsid w:val="00A972B1"/>
    <w:rsid w:val="00AA0DF5"/>
    <w:rsid w:val="00AA44A7"/>
    <w:rsid w:val="00AA4CC7"/>
    <w:rsid w:val="00AA5380"/>
    <w:rsid w:val="00AA5E8E"/>
    <w:rsid w:val="00AA7075"/>
    <w:rsid w:val="00AB1F86"/>
    <w:rsid w:val="00AB3B9F"/>
    <w:rsid w:val="00AB6CA7"/>
    <w:rsid w:val="00AC51B1"/>
    <w:rsid w:val="00AD01E4"/>
    <w:rsid w:val="00AD0858"/>
    <w:rsid w:val="00AD552E"/>
    <w:rsid w:val="00AE174A"/>
    <w:rsid w:val="00AE556C"/>
    <w:rsid w:val="00AE5B7B"/>
    <w:rsid w:val="00AE5C1B"/>
    <w:rsid w:val="00AE7206"/>
    <w:rsid w:val="00AE7340"/>
    <w:rsid w:val="00AF1BBD"/>
    <w:rsid w:val="00AF76F9"/>
    <w:rsid w:val="00B003BA"/>
    <w:rsid w:val="00B0787C"/>
    <w:rsid w:val="00B101D3"/>
    <w:rsid w:val="00B10207"/>
    <w:rsid w:val="00B141E7"/>
    <w:rsid w:val="00B204E6"/>
    <w:rsid w:val="00B33934"/>
    <w:rsid w:val="00B351B4"/>
    <w:rsid w:val="00B44E6A"/>
    <w:rsid w:val="00B46BCA"/>
    <w:rsid w:val="00B526A3"/>
    <w:rsid w:val="00B53DDD"/>
    <w:rsid w:val="00B540E0"/>
    <w:rsid w:val="00B56FFD"/>
    <w:rsid w:val="00B60C8C"/>
    <w:rsid w:val="00B62919"/>
    <w:rsid w:val="00B639AD"/>
    <w:rsid w:val="00B72378"/>
    <w:rsid w:val="00B7288A"/>
    <w:rsid w:val="00B74F1F"/>
    <w:rsid w:val="00B75ED9"/>
    <w:rsid w:val="00B87806"/>
    <w:rsid w:val="00B87EC9"/>
    <w:rsid w:val="00B90217"/>
    <w:rsid w:val="00B91123"/>
    <w:rsid w:val="00B92BC9"/>
    <w:rsid w:val="00B92EAC"/>
    <w:rsid w:val="00BA1BD2"/>
    <w:rsid w:val="00BA3B2F"/>
    <w:rsid w:val="00BA3D38"/>
    <w:rsid w:val="00BA4E15"/>
    <w:rsid w:val="00BA72FD"/>
    <w:rsid w:val="00BC012F"/>
    <w:rsid w:val="00BC38FD"/>
    <w:rsid w:val="00BD283C"/>
    <w:rsid w:val="00BD3267"/>
    <w:rsid w:val="00BD3E8F"/>
    <w:rsid w:val="00BD7F14"/>
    <w:rsid w:val="00BF2120"/>
    <w:rsid w:val="00BF35DB"/>
    <w:rsid w:val="00BF4008"/>
    <w:rsid w:val="00BF4099"/>
    <w:rsid w:val="00BF4A40"/>
    <w:rsid w:val="00C029D2"/>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4BA"/>
    <w:rsid w:val="00C435C3"/>
    <w:rsid w:val="00C45BB1"/>
    <w:rsid w:val="00C507D0"/>
    <w:rsid w:val="00C6234B"/>
    <w:rsid w:val="00C63EAE"/>
    <w:rsid w:val="00C663AF"/>
    <w:rsid w:val="00C66E28"/>
    <w:rsid w:val="00C66F68"/>
    <w:rsid w:val="00C66FB9"/>
    <w:rsid w:val="00C67E09"/>
    <w:rsid w:val="00C73667"/>
    <w:rsid w:val="00C74708"/>
    <w:rsid w:val="00C74BD1"/>
    <w:rsid w:val="00C7629F"/>
    <w:rsid w:val="00C8372E"/>
    <w:rsid w:val="00C8661B"/>
    <w:rsid w:val="00C86F73"/>
    <w:rsid w:val="00CA0205"/>
    <w:rsid w:val="00CA139A"/>
    <w:rsid w:val="00CA2899"/>
    <w:rsid w:val="00CA3563"/>
    <w:rsid w:val="00CA3A3D"/>
    <w:rsid w:val="00CA3CB9"/>
    <w:rsid w:val="00CA77FB"/>
    <w:rsid w:val="00CB379B"/>
    <w:rsid w:val="00CB4ACB"/>
    <w:rsid w:val="00CB5DD0"/>
    <w:rsid w:val="00CC0B0B"/>
    <w:rsid w:val="00CC0B2F"/>
    <w:rsid w:val="00CC3604"/>
    <w:rsid w:val="00CC3F0D"/>
    <w:rsid w:val="00CC51D4"/>
    <w:rsid w:val="00CC65DA"/>
    <w:rsid w:val="00CC6F6C"/>
    <w:rsid w:val="00CD1833"/>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58BF"/>
    <w:rsid w:val="00D26139"/>
    <w:rsid w:val="00D27114"/>
    <w:rsid w:val="00D313EC"/>
    <w:rsid w:val="00D342A6"/>
    <w:rsid w:val="00D359F1"/>
    <w:rsid w:val="00D36398"/>
    <w:rsid w:val="00D45BB8"/>
    <w:rsid w:val="00D464BF"/>
    <w:rsid w:val="00D516AA"/>
    <w:rsid w:val="00D538D5"/>
    <w:rsid w:val="00D53E26"/>
    <w:rsid w:val="00D55370"/>
    <w:rsid w:val="00D56663"/>
    <w:rsid w:val="00D607B1"/>
    <w:rsid w:val="00D60AC7"/>
    <w:rsid w:val="00D70019"/>
    <w:rsid w:val="00D73282"/>
    <w:rsid w:val="00D7455F"/>
    <w:rsid w:val="00D81AFD"/>
    <w:rsid w:val="00D828B9"/>
    <w:rsid w:val="00D849EA"/>
    <w:rsid w:val="00D918F3"/>
    <w:rsid w:val="00D91DED"/>
    <w:rsid w:val="00DA2099"/>
    <w:rsid w:val="00DB313D"/>
    <w:rsid w:val="00DD0D40"/>
    <w:rsid w:val="00DD238F"/>
    <w:rsid w:val="00DD3CE8"/>
    <w:rsid w:val="00DD4011"/>
    <w:rsid w:val="00DD4F0E"/>
    <w:rsid w:val="00DE4017"/>
    <w:rsid w:val="00DF05A3"/>
    <w:rsid w:val="00DF070D"/>
    <w:rsid w:val="00DF0BF0"/>
    <w:rsid w:val="00E0158D"/>
    <w:rsid w:val="00E05E0A"/>
    <w:rsid w:val="00E12D46"/>
    <w:rsid w:val="00E1364E"/>
    <w:rsid w:val="00E14D38"/>
    <w:rsid w:val="00E14F33"/>
    <w:rsid w:val="00E21BC1"/>
    <w:rsid w:val="00E2236D"/>
    <w:rsid w:val="00E233B4"/>
    <w:rsid w:val="00E32710"/>
    <w:rsid w:val="00E330DE"/>
    <w:rsid w:val="00E333F7"/>
    <w:rsid w:val="00E41DFD"/>
    <w:rsid w:val="00E420D7"/>
    <w:rsid w:val="00E436A8"/>
    <w:rsid w:val="00E43C80"/>
    <w:rsid w:val="00E47203"/>
    <w:rsid w:val="00E523CE"/>
    <w:rsid w:val="00E534CF"/>
    <w:rsid w:val="00E54215"/>
    <w:rsid w:val="00E56BFE"/>
    <w:rsid w:val="00E667D9"/>
    <w:rsid w:val="00E72C5E"/>
    <w:rsid w:val="00E77820"/>
    <w:rsid w:val="00E81CB4"/>
    <w:rsid w:val="00E8585B"/>
    <w:rsid w:val="00E944DF"/>
    <w:rsid w:val="00EA294C"/>
    <w:rsid w:val="00EA3452"/>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05BC"/>
    <w:rsid w:val="00F03154"/>
    <w:rsid w:val="00F0499E"/>
    <w:rsid w:val="00F04FA6"/>
    <w:rsid w:val="00F057E5"/>
    <w:rsid w:val="00F06BB2"/>
    <w:rsid w:val="00F0759E"/>
    <w:rsid w:val="00F16347"/>
    <w:rsid w:val="00F16445"/>
    <w:rsid w:val="00F22F1E"/>
    <w:rsid w:val="00F35523"/>
    <w:rsid w:val="00F4350B"/>
    <w:rsid w:val="00F45E2A"/>
    <w:rsid w:val="00F5143E"/>
    <w:rsid w:val="00F724F8"/>
    <w:rsid w:val="00F76E11"/>
    <w:rsid w:val="00F821A3"/>
    <w:rsid w:val="00F849B2"/>
    <w:rsid w:val="00F9314A"/>
    <w:rsid w:val="00F9623D"/>
    <w:rsid w:val="00F969FC"/>
    <w:rsid w:val="00FA02BA"/>
    <w:rsid w:val="00FB4372"/>
    <w:rsid w:val="00FC58EF"/>
    <w:rsid w:val="00FD33DF"/>
    <w:rsid w:val="00FD3E8B"/>
    <w:rsid w:val="00FD6206"/>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040603F-F64A-4F6C-9388-4F55D296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basedOn w:val="Normal"/>
    <w:link w:val="TextonotapieCar"/>
    <w:uiPriority w:val="99"/>
    <w:semiHidden/>
    <w:unhideWhenUsed/>
    <w:rsid w:val="007D1EE9"/>
    <w:pPr>
      <w:ind w:left="0"/>
    </w:pPr>
    <w:rPr>
      <w:rFonts w:ascii="Calibri" w:eastAsia="Calibri" w:hAnsi="Calibri"/>
      <w:sz w:val="20"/>
      <w:szCs w:val="20"/>
      <w:lang w:val="es-CO" w:eastAsia="en-US"/>
    </w:rPr>
  </w:style>
  <w:style w:type="character" w:customStyle="1" w:styleId="TextonotapieCar">
    <w:name w:val="Texto nota pie Car"/>
    <w:link w:val="Textonotapie"/>
    <w:uiPriority w:val="99"/>
    <w:semiHidden/>
    <w:rsid w:val="007D1EE9"/>
    <w:rPr>
      <w:rFonts w:ascii="Calibri" w:eastAsia="Calibri" w:hAnsi="Calibri"/>
      <w:lang w:eastAsia="en-US"/>
    </w:rPr>
  </w:style>
  <w:style w:type="character" w:styleId="Refdenotaalpie">
    <w:name w:val="footnote reference"/>
    <w:uiPriority w:val="99"/>
    <w:semiHidden/>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96645242">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E36CD-1CD9-4835-A36A-E996F110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Pages>
  <Words>1622</Words>
  <Characters>8674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2014-06-04T21:28:00Z</cp:lastPrinted>
  <dcterms:created xsi:type="dcterms:W3CDTF">2018-08-22T14:18:00Z</dcterms:created>
  <dcterms:modified xsi:type="dcterms:W3CDTF">2018-08-22T14:18:00Z</dcterms:modified>
</cp:coreProperties>
</file>