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8B5611" w:rsidP="00EC2ABD">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9436078"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24A51">
        <w:rPr>
          <w:rFonts w:ascii="Bookman Old Style" w:hAnsi="Bookman Old Style" w:cs="Arial"/>
          <w:color w:val="000000"/>
          <w:lang w:eastAsia="es-CO"/>
        </w:rPr>
        <w:t xml:space="preserve">resuelven los recursos de reposición interpuestos por </w:t>
      </w:r>
      <w:r w:rsidR="00F53B94">
        <w:rPr>
          <w:rFonts w:ascii="Bookman Old Style" w:hAnsi="Bookman Old Style" w:cs="Arial"/>
        </w:rPr>
        <w:t>C</w:t>
      </w:r>
      <w:r w:rsidR="0069371E">
        <w:rPr>
          <w:rFonts w:ascii="Bookman Old Style" w:hAnsi="Bookman Old Style" w:cs="Arial"/>
        </w:rPr>
        <w:t xml:space="preserve">entrales Eléctricas de Nariño </w:t>
      </w:r>
      <w:r w:rsidR="00246C9C">
        <w:rPr>
          <w:rFonts w:ascii="Bookman Old Style" w:hAnsi="Bookman Old Style" w:cs="Arial"/>
        </w:rPr>
        <w:t>S.A. E.S.P.</w:t>
      </w:r>
      <w:r w:rsidR="00224A51">
        <w:rPr>
          <w:rFonts w:ascii="Bookman Old Style" w:hAnsi="Bookman Old Style" w:cs="Arial"/>
        </w:rPr>
        <w:t xml:space="preserve">, </w:t>
      </w:r>
      <w:proofErr w:type="spellStart"/>
      <w:r w:rsidR="00224A51">
        <w:rPr>
          <w:rFonts w:ascii="Bookman Old Style" w:hAnsi="Bookman Old Style" w:cs="Arial"/>
        </w:rPr>
        <w:t>Cedenar</w:t>
      </w:r>
      <w:proofErr w:type="spellEnd"/>
      <w:r w:rsidR="00224A51">
        <w:rPr>
          <w:rFonts w:ascii="Bookman Old Style" w:hAnsi="Bookman Old Style" w:cs="Arial"/>
        </w:rPr>
        <w:t xml:space="preserve">, y ENERTOTAL S.A. E.S.P. contra la Resolución CREG 122 de 2015. </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bookmarkStart w:id="0" w:name="_GoBack"/>
      <w:bookmarkEnd w:id="0"/>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Default="00EF4769" w:rsidP="000074D5">
      <w:pPr>
        <w:ind w:left="0"/>
        <w:jc w:val="both"/>
        <w:rPr>
          <w:rFonts w:ascii="Bookman Old Style" w:hAnsi="Bookman Old Style" w:cs="Arial"/>
          <w:lang w:val="es-CO"/>
        </w:rPr>
      </w:pPr>
    </w:p>
    <w:p w:rsidR="00BC40E0" w:rsidRPr="00F671CE" w:rsidRDefault="00BC40E0" w:rsidP="000074D5">
      <w:pPr>
        <w:ind w:left="0"/>
        <w:jc w:val="both"/>
        <w:rPr>
          <w:rFonts w:ascii="Bookman Old Style" w:hAnsi="Bookman Old Style" w:cs="Arial"/>
          <w:lang w:val="es-CO"/>
        </w:rPr>
      </w:pPr>
    </w:p>
    <w:p w:rsidR="00224A51" w:rsidRPr="00224A51" w:rsidRDefault="00224A51" w:rsidP="00224A51">
      <w:pPr>
        <w:pStyle w:val="Prrafodelista"/>
        <w:numPr>
          <w:ilvl w:val="0"/>
          <w:numId w:val="15"/>
        </w:numPr>
        <w:spacing w:before="240" w:after="240"/>
        <w:jc w:val="both"/>
        <w:rPr>
          <w:rFonts w:ascii="Bookman Old Style" w:hAnsi="Bookman Old Style"/>
          <w:b/>
          <w:spacing w:val="-3"/>
        </w:rPr>
      </w:pPr>
      <w:r w:rsidRPr="00224A51">
        <w:rPr>
          <w:rFonts w:ascii="Bookman Old Style" w:hAnsi="Bookman Old Style"/>
          <w:b/>
          <w:spacing w:val="-3"/>
          <w:sz w:val="24"/>
          <w:szCs w:val="24"/>
          <w:lang w:val="es-ES"/>
        </w:rPr>
        <w:t xml:space="preserve">ANTECEDENTES </w:t>
      </w:r>
    </w:p>
    <w:p w:rsidR="002A01B2" w:rsidRPr="002A01B2" w:rsidRDefault="002A01B2" w:rsidP="002A01B2">
      <w:pPr>
        <w:tabs>
          <w:tab w:val="left" w:pos="-720"/>
        </w:tabs>
        <w:suppressAutoHyphens/>
        <w:spacing w:before="240" w:after="240"/>
        <w:ind w:left="0"/>
        <w:jc w:val="both"/>
        <w:rPr>
          <w:rFonts w:ascii="Bookman Old Style" w:hAnsi="Bookman Old Style"/>
          <w:spacing w:val="-3"/>
          <w:lang w:val="es-CO"/>
        </w:rPr>
      </w:pPr>
      <w:r w:rsidRPr="002A01B2">
        <w:rPr>
          <w:rFonts w:ascii="Bookman Old Style" w:hAnsi="Bookman Old Style"/>
          <w:spacing w:val="-3"/>
          <w:lang w:val="es-CO"/>
        </w:rPr>
        <w:t>Mediante Resolución CREG 180 de 23 de diciembre de 2014, se establecieron los criterios generales para determinar la remuneración de la actividad de comercialización de energía eléctrica a usuarios regulados en el Sistema Interconectado Nacional.</w:t>
      </w:r>
    </w:p>
    <w:p w:rsidR="00D12403" w:rsidRPr="00D12403" w:rsidRDefault="00D12403" w:rsidP="00D12403">
      <w:pPr>
        <w:tabs>
          <w:tab w:val="left" w:pos="-720"/>
        </w:tabs>
        <w:suppressAutoHyphens/>
        <w:spacing w:before="240" w:after="240"/>
        <w:ind w:left="0"/>
        <w:jc w:val="both"/>
        <w:rPr>
          <w:rFonts w:ascii="Bookman Old Style" w:hAnsi="Bookman Old Style"/>
          <w:i/>
          <w:spacing w:val="-3"/>
          <w:lang w:val="es-CO"/>
        </w:rPr>
      </w:pPr>
      <w:r w:rsidRPr="00D12403">
        <w:rPr>
          <w:rFonts w:ascii="Bookman Old Style" w:hAnsi="Bookman Old Style"/>
          <w:spacing w:val="-3"/>
          <w:lang w:val="es-CO"/>
        </w:rPr>
        <w:t>El día 26 de agosto de 2015 la Comisión de Regulación de Energía y Gas, CREG</w:t>
      </w:r>
      <w:r w:rsidR="00B24811">
        <w:rPr>
          <w:rFonts w:ascii="Bookman Old Style" w:hAnsi="Bookman Old Style"/>
          <w:spacing w:val="-3"/>
          <w:lang w:val="es-CO"/>
        </w:rPr>
        <w:t>,</w:t>
      </w:r>
      <w:r w:rsidRPr="00D12403">
        <w:rPr>
          <w:rFonts w:ascii="Bookman Old Style" w:hAnsi="Bookman Old Style"/>
          <w:spacing w:val="-3"/>
          <w:lang w:val="es-CO"/>
        </w:rPr>
        <w:t xml:space="preserve"> expidió la Resolución CREG 12</w:t>
      </w:r>
      <w:r>
        <w:rPr>
          <w:rFonts w:ascii="Bookman Old Style" w:hAnsi="Bookman Old Style"/>
          <w:spacing w:val="-3"/>
          <w:lang w:val="es-CO"/>
        </w:rPr>
        <w:t>2</w:t>
      </w:r>
      <w:r w:rsidRPr="00D12403">
        <w:rPr>
          <w:rFonts w:ascii="Bookman Old Style" w:hAnsi="Bookman Old Style"/>
          <w:spacing w:val="-3"/>
          <w:lang w:val="es-CO"/>
        </w:rPr>
        <w:t xml:space="preserve"> de 2015, </w:t>
      </w:r>
      <w:r w:rsidRPr="00D12403">
        <w:rPr>
          <w:rFonts w:ascii="Bookman Old Style" w:hAnsi="Bookman Old Style"/>
          <w:i/>
          <w:spacing w:val="-3"/>
          <w:lang w:val="es-CO"/>
        </w:rPr>
        <w:t xml:space="preserve">Por la cual se aprueba el costo base de comercialización, el riesgo de cartera para usuarios tradicionales y para usuarios en áreas especiales del mercado de comercialización atendido por Centrales Eléctricas de Nariño S.A. E.S.P., </w:t>
      </w:r>
      <w:proofErr w:type="spellStart"/>
      <w:r w:rsidRPr="00D12403">
        <w:rPr>
          <w:rFonts w:ascii="Bookman Old Style" w:hAnsi="Bookman Old Style"/>
          <w:i/>
          <w:spacing w:val="-3"/>
          <w:lang w:val="es-CO"/>
        </w:rPr>
        <w:t>Cedenar</w:t>
      </w:r>
      <w:proofErr w:type="spellEnd"/>
      <w:r w:rsidRPr="00D12403">
        <w:rPr>
          <w:rFonts w:ascii="Bookman Old Style" w:hAnsi="Bookman Old Style"/>
          <w:i/>
          <w:spacing w:val="-3"/>
          <w:lang w:val="es-CO"/>
        </w:rPr>
        <w:t>.</w:t>
      </w:r>
    </w:p>
    <w:p w:rsidR="001F171C" w:rsidRPr="001F171C" w:rsidRDefault="009819AC" w:rsidP="001F171C">
      <w:pPr>
        <w:pStyle w:val="Prrafodelista"/>
        <w:numPr>
          <w:ilvl w:val="0"/>
          <w:numId w:val="16"/>
        </w:numPr>
        <w:tabs>
          <w:tab w:val="left" w:pos="-720"/>
        </w:tabs>
        <w:suppressAutoHyphens/>
        <w:spacing w:before="240" w:after="24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Sobre la petición de Centrales </w:t>
      </w:r>
      <w:r w:rsidR="001F171C" w:rsidRPr="001F171C">
        <w:rPr>
          <w:rFonts w:ascii="Bookman Old Style" w:hAnsi="Bookman Old Style"/>
          <w:b/>
          <w:spacing w:val="-3"/>
          <w:sz w:val="24"/>
          <w:szCs w:val="24"/>
          <w:lang w:val="es-ES"/>
        </w:rPr>
        <w:t>Eléctricas de Nariño S.A. E.S.P.</w:t>
      </w:r>
    </w:p>
    <w:p w:rsidR="00224A51" w:rsidRPr="00224A51" w:rsidRDefault="00B24811" w:rsidP="00224A51">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224A51" w:rsidRPr="00224A51">
        <w:rPr>
          <w:rFonts w:ascii="Bookman Old Style" w:hAnsi="Bookman Old Style"/>
          <w:spacing w:val="-3"/>
        </w:rPr>
        <w:t xml:space="preserve">ediante escrito con radicado </w:t>
      </w:r>
      <w:r w:rsidR="00224A51">
        <w:rPr>
          <w:rFonts w:ascii="Bookman Old Style" w:hAnsi="Bookman Old Style"/>
          <w:spacing w:val="-3"/>
        </w:rPr>
        <w:t xml:space="preserve">CREG </w:t>
      </w:r>
      <w:r w:rsidR="00224A51" w:rsidRPr="00224A51">
        <w:rPr>
          <w:rFonts w:ascii="Bookman Old Style" w:hAnsi="Bookman Old Style"/>
          <w:spacing w:val="-3"/>
        </w:rPr>
        <w:t>E-20</w:t>
      </w:r>
      <w:r w:rsidR="00224A51">
        <w:rPr>
          <w:rFonts w:ascii="Bookman Old Style" w:hAnsi="Bookman Old Style"/>
          <w:spacing w:val="-3"/>
        </w:rPr>
        <w:t>15</w:t>
      </w:r>
      <w:r w:rsidR="00224A51" w:rsidRPr="00224A51">
        <w:rPr>
          <w:rFonts w:ascii="Bookman Old Style" w:hAnsi="Bookman Old Style"/>
          <w:spacing w:val="-3"/>
        </w:rPr>
        <w:t>-0</w:t>
      </w:r>
      <w:r w:rsidR="00224A51">
        <w:rPr>
          <w:rFonts w:ascii="Bookman Old Style" w:hAnsi="Bookman Old Style"/>
          <w:spacing w:val="-3"/>
        </w:rPr>
        <w:t>09318</w:t>
      </w:r>
      <w:r w:rsidR="00224A51" w:rsidRPr="00224A51">
        <w:rPr>
          <w:rFonts w:ascii="Bookman Old Style" w:hAnsi="Bookman Old Style"/>
          <w:spacing w:val="-3"/>
        </w:rPr>
        <w:t xml:space="preserve"> del </w:t>
      </w:r>
      <w:r w:rsidR="00224A51">
        <w:rPr>
          <w:rFonts w:ascii="Bookman Old Style" w:hAnsi="Bookman Old Style"/>
          <w:spacing w:val="-3"/>
        </w:rPr>
        <w:t>14</w:t>
      </w:r>
      <w:r w:rsidR="00224A51" w:rsidRPr="00224A51">
        <w:rPr>
          <w:rFonts w:ascii="Bookman Old Style" w:hAnsi="Bookman Old Style"/>
          <w:spacing w:val="-3"/>
        </w:rPr>
        <w:t xml:space="preserve"> de </w:t>
      </w:r>
      <w:r w:rsidR="00224A51">
        <w:rPr>
          <w:rFonts w:ascii="Bookman Old Style" w:hAnsi="Bookman Old Style"/>
          <w:spacing w:val="-3"/>
        </w:rPr>
        <w:t xml:space="preserve">septiembre </w:t>
      </w:r>
      <w:r w:rsidR="00224A51" w:rsidRPr="00224A51">
        <w:rPr>
          <w:rFonts w:ascii="Bookman Old Style" w:hAnsi="Bookman Old Style"/>
          <w:spacing w:val="-3"/>
        </w:rPr>
        <w:t>de 20</w:t>
      </w:r>
      <w:r w:rsidR="00224A51">
        <w:rPr>
          <w:rFonts w:ascii="Bookman Old Style" w:hAnsi="Bookman Old Style"/>
          <w:spacing w:val="-3"/>
        </w:rPr>
        <w:t>15</w:t>
      </w:r>
      <w:r w:rsidR="00224A51" w:rsidRPr="00224A51">
        <w:rPr>
          <w:rFonts w:ascii="Bookman Old Style" w:hAnsi="Bookman Old Style"/>
          <w:spacing w:val="-3"/>
        </w:rPr>
        <w:t xml:space="preserve">, el Gerente de </w:t>
      </w:r>
      <w:r w:rsidR="00224A51">
        <w:rPr>
          <w:rFonts w:ascii="Bookman Old Style" w:hAnsi="Bookman Old Style"/>
          <w:spacing w:val="-3"/>
        </w:rPr>
        <w:t xml:space="preserve">Centrales Eléctricas de Nariño </w:t>
      </w:r>
      <w:r w:rsidR="00224A51" w:rsidRPr="00224A51">
        <w:rPr>
          <w:rFonts w:ascii="Bookman Old Style" w:hAnsi="Bookman Old Style"/>
          <w:spacing w:val="-3"/>
        </w:rPr>
        <w:t xml:space="preserve">S.A. E.S.P., en adelante </w:t>
      </w:r>
      <w:r w:rsidR="00224A51">
        <w:rPr>
          <w:rFonts w:ascii="Bookman Old Style" w:hAnsi="Bookman Old Style"/>
          <w:spacing w:val="-3"/>
        </w:rPr>
        <w:t>CEDENAR</w:t>
      </w:r>
      <w:r w:rsidR="00224A51" w:rsidRPr="00224A51">
        <w:rPr>
          <w:rFonts w:ascii="Bookman Old Style" w:hAnsi="Bookman Old Style"/>
          <w:spacing w:val="-3"/>
        </w:rPr>
        <w:t xml:space="preserve">, interpuso </w:t>
      </w:r>
      <w:r w:rsidR="009A4238">
        <w:rPr>
          <w:rFonts w:ascii="Bookman Old Style" w:hAnsi="Bookman Old Style"/>
          <w:spacing w:val="-3"/>
        </w:rPr>
        <w:t xml:space="preserve">oportunamente el </w:t>
      </w:r>
      <w:r w:rsidR="00224A51" w:rsidRPr="00224A51">
        <w:rPr>
          <w:rFonts w:ascii="Bookman Old Style" w:hAnsi="Bookman Old Style"/>
          <w:spacing w:val="-3"/>
        </w:rPr>
        <w:t>recurso de reposición contra la Resolución CREG 1</w:t>
      </w:r>
      <w:r w:rsidR="00224A51">
        <w:rPr>
          <w:rFonts w:ascii="Bookman Old Style" w:hAnsi="Bookman Old Style"/>
          <w:spacing w:val="-3"/>
        </w:rPr>
        <w:t>22</w:t>
      </w:r>
      <w:r w:rsidR="00224A51" w:rsidRPr="00224A51">
        <w:rPr>
          <w:rFonts w:ascii="Bookman Old Style" w:hAnsi="Bookman Old Style"/>
          <w:spacing w:val="-3"/>
        </w:rPr>
        <w:t xml:space="preserve"> del </w:t>
      </w:r>
      <w:r w:rsidR="00224A51">
        <w:rPr>
          <w:rFonts w:ascii="Bookman Old Style" w:hAnsi="Bookman Old Style"/>
          <w:spacing w:val="-3"/>
        </w:rPr>
        <w:t>26</w:t>
      </w:r>
      <w:r w:rsidR="00224A51" w:rsidRPr="00224A51">
        <w:rPr>
          <w:rFonts w:ascii="Bookman Old Style" w:hAnsi="Bookman Old Style"/>
          <w:spacing w:val="-3"/>
        </w:rPr>
        <w:t xml:space="preserve"> de </w:t>
      </w:r>
      <w:r w:rsidR="00224A51">
        <w:rPr>
          <w:rFonts w:ascii="Bookman Old Style" w:hAnsi="Bookman Old Style"/>
          <w:spacing w:val="-3"/>
        </w:rPr>
        <w:t xml:space="preserve">agosto </w:t>
      </w:r>
      <w:r w:rsidR="00224A51" w:rsidRPr="00224A51">
        <w:rPr>
          <w:rFonts w:ascii="Bookman Old Style" w:hAnsi="Bookman Old Style"/>
          <w:spacing w:val="-3"/>
        </w:rPr>
        <w:t>de 20</w:t>
      </w:r>
      <w:r w:rsidR="00224A51">
        <w:rPr>
          <w:rFonts w:ascii="Bookman Old Style" w:hAnsi="Bookman Old Style"/>
          <w:spacing w:val="-3"/>
        </w:rPr>
        <w:t>15.</w:t>
      </w:r>
      <w:r w:rsidR="00224A51" w:rsidRPr="00224A51">
        <w:rPr>
          <w:rFonts w:ascii="Bookman Old Style" w:hAnsi="Bookman Old Style"/>
          <w:spacing w:val="-3"/>
        </w:rPr>
        <w:t xml:space="preserve"> </w:t>
      </w:r>
    </w:p>
    <w:p w:rsidR="00224A51" w:rsidRDefault="00224A51" w:rsidP="00224A51">
      <w:pPr>
        <w:tabs>
          <w:tab w:val="left" w:pos="-720"/>
        </w:tabs>
        <w:suppressAutoHyphens/>
        <w:spacing w:before="240" w:after="240"/>
        <w:ind w:left="0"/>
        <w:jc w:val="both"/>
        <w:rPr>
          <w:rFonts w:ascii="Bookman Old Style" w:hAnsi="Bookman Old Style"/>
          <w:spacing w:val="-3"/>
        </w:rPr>
      </w:pPr>
      <w:r w:rsidRPr="00224A51">
        <w:rPr>
          <w:rFonts w:ascii="Bookman Old Style" w:hAnsi="Bookman Old Style"/>
          <w:spacing w:val="-3"/>
        </w:rPr>
        <w:t>En el recurso de reposición, el recurrente solicita:</w:t>
      </w:r>
    </w:p>
    <w:p w:rsidR="00224A51" w:rsidRPr="002A523D" w:rsidRDefault="00224A51" w:rsidP="00224A51">
      <w:pPr>
        <w:tabs>
          <w:tab w:val="left" w:pos="-720"/>
        </w:tabs>
        <w:suppressAutoHyphens/>
        <w:spacing w:before="240" w:after="240"/>
        <w:ind w:left="708"/>
        <w:jc w:val="both"/>
        <w:rPr>
          <w:rFonts w:ascii="Bookman Old Style" w:hAnsi="Bookman Old Style"/>
          <w:i/>
          <w:spacing w:val="-3"/>
          <w:sz w:val="22"/>
        </w:rPr>
      </w:pPr>
      <w:r w:rsidRPr="002A523D">
        <w:rPr>
          <w:rFonts w:ascii="Bookman Old Style" w:hAnsi="Bookman Old Style"/>
          <w:i/>
          <w:spacing w:val="-3"/>
          <w:sz w:val="20"/>
        </w:rPr>
        <w:lastRenderedPageBreak/>
        <w:t xml:space="preserve">PRIMERO. Se sirva MODIFICAR la información consignada en el Formato No 3 otros costos y gastos, fila 5 comercialización de energía a usuarios no regulados y se tenga en cuenta el formato No 3 corregido que se anexa para recalcular el costo base de comercialización </w:t>
      </w:r>
      <w:proofErr w:type="spellStart"/>
      <w:r w:rsidRPr="002A523D">
        <w:rPr>
          <w:rFonts w:ascii="Bookman Old Style" w:hAnsi="Bookman Old Style"/>
          <w:i/>
          <w:spacing w:val="-3"/>
          <w:sz w:val="20"/>
        </w:rPr>
        <w:t>Cfj</w:t>
      </w:r>
      <w:proofErr w:type="spellEnd"/>
      <w:r w:rsidRPr="002A523D">
        <w:rPr>
          <w:rFonts w:ascii="Bookman Old Style" w:hAnsi="Bookman Old Style"/>
          <w:i/>
          <w:spacing w:val="-3"/>
          <w:sz w:val="20"/>
        </w:rPr>
        <w:t>.</w:t>
      </w:r>
    </w:p>
    <w:p w:rsidR="00224A51" w:rsidRPr="002A523D" w:rsidRDefault="00224A51" w:rsidP="00224A51">
      <w:pPr>
        <w:tabs>
          <w:tab w:val="left" w:pos="-720"/>
        </w:tabs>
        <w:suppressAutoHyphens/>
        <w:spacing w:before="240" w:after="240"/>
        <w:ind w:left="708"/>
        <w:jc w:val="both"/>
        <w:rPr>
          <w:rFonts w:ascii="Bookman Old Style" w:hAnsi="Bookman Old Style"/>
          <w:i/>
          <w:spacing w:val="-3"/>
          <w:sz w:val="22"/>
        </w:rPr>
      </w:pPr>
      <w:r w:rsidRPr="002A523D">
        <w:rPr>
          <w:rFonts w:ascii="Bookman Old Style" w:hAnsi="Bookman Old Style"/>
          <w:i/>
          <w:spacing w:val="-3"/>
          <w:sz w:val="20"/>
        </w:rPr>
        <w:t>SEGUNDO.- Se sirva MODIFICAR el Artículo 1- de la resolución CREG No. 122 de 2015 expedida por su Despacho el 26 de agosto de 2015, en el sentido de recalcular el Costo Base de Comercialización para el Mercado de Comercialización atendido por Centrales Eléctricas de Nariño S.A. E.S.P por las razones expuestas en este petitorio.</w:t>
      </w:r>
    </w:p>
    <w:p w:rsidR="00224A51" w:rsidRDefault="00B2481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224A51" w:rsidRPr="00224A51">
        <w:rPr>
          <w:rFonts w:ascii="Bookman Old Style" w:hAnsi="Bookman Old Style"/>
          <w:spacing w:val="-3"/>
        </w:rPr>
        <w:t>l recurrente fundamenta su petición, con los siguientes argumentos:</w:t>
      </w:r>
    </w:p>
    <w:p w:rsidR="00224A51" w:rsidRPr="002A523D" w:rsidRDefault="00224A51" w:rsidP="00224A51">
      <w:pPr>
        <w:tabs>
          <w:tab w:val="left" w:pos="-720"/>
        </w:tabs>
        <w:suppressAutoHyphens/>
        <w:spacing w:before="240" w:after="240"/>
        <w:ind w:left="708"/>
        <w:jc w:val="both"/>
        <w:rPr>
          <w:rFonts w:ascii="Bookman Old Style" w:hAnsi="Bookman Old Style"/>
          <w:i/>
          <w:spacing w:val="-3"/>
          <w:sz w:val="20"/>
        </w:rPr>
      </w:pPr>
      <w:r w:rsidRPr="002A523D">
        <w:rPr>
          <w:rFonts w:ascii="Bookman Old Style" w:hAnsi="Bookman Old Style"/>
          <w:i/>
          <w:spacing w:val="-3"/>
          <w:sz w:val="20"/>
        </w:rPr>
        <w:t>TERCERO.- El costo base de comercialización (</w:t>
      </w:r>
      <w:proofErr w:type="spellStart"/>
      <w:r w:rsidRPr="002A523D">
        <w:rPr>
          <w:rFonts w:ascii="Bookman Old Style" w:hAnsi="Bookman Old Style"/>
          <w:i/>
          <w:spacing w:val="-3"/>
          <w:sz w:val="20"/>
        </w:rPr>
        <w:t>cf</w:t>
      </w:r>
      <w:proofErr w:type="spellEnd"/>
      <w:r w:rsidRPr="002A523D">
        <w:rPr>
          <w:rFonts w:ascii="Bookman Old Style" w:hAnsi="Bookman Old Style"/>
          <w:i/>
          <w:spacing w:val="-3"/>
          <w:sz w:val="20"/>
        </w:rPr>
        <w:t>) calculado por la CREG para el año 2015 es de $ 6.557,02/factura, cálculo que se consolidó en la Tabla No 7 teniendo en cuenta la información reportada por CEDENAR en el formato No 2 y No 3, de la circular No 07 de 2015.</w:t>
      </w:r>
    </w:p>
    <w:p w:rsidR="00224A51" w:rsidRPr="002A523D" w:rsidRDefault="00224A51" w:rsidP="00224A51">
      <w:pPr>
        <w:tabs>
          <w:tab w:val="left" w:pos="-720"/>
        </w:tabs>
        <w:suppressAutoHyphens/>
        <w:spacing w:before="240" w:after="240"/>
        <w:ind w:left="708"/>
        <w:jc w:val="both"/>
        <w:rPr>
          <w:rFonts w:ascii="Bookman Old Style" w:hAnsi="Bookman Old Style"/>
          <w:i/>
          <w:spacing w:val="-3"/>
          <w:sz w:val="20"/>
        </w:rPr>
      </w:pPr>
      <w:r w:rsidRPr="002A523D">
        <w:rPr>
          <w:rFonts w:ascii="Bookman Old Style" w:hAnsi="Bookman Old Style"/>
          <w:i/>
          <w:spacing w:val="-3"/>
          <w:sz w:val="20"/>
        </w:rPr>
        <w:t xml:space="preserve">En el formato No 2, fila 21, código 7530 se reportó para el año 2013 la suma de $ 107.704.705.636,oo correspondientes a la energía comercializada con destino al mercado regulado por valor de $ 101.273.595.925,41 y energía comercializada para el mercado no regulado por valor de $ 6.431.109.710.59. En la información del formato No 3 correspondiente a otros costos y gastos en la fila 5 "comercialización de energía a usuarios no regulados" por un error de interpretación se repite nuevamente el valor de la energía comercializada para el usuario no regulado ya reportada en el formato No 2, por valor de $ 6.431.109.710,59, insertando una nota al pie de este formato No 3 </w:t>
      </w:r>
      <w:r w:rsidRPr="002A523D">
        <w:rPr>
          <w:rFonts w:ascii="Bookman Old Style" w:hAnsi="Bookman Old Style"/>
          <w:b/>
          <w:i/>
          <w:spacing w:val="-3"/>
          <w:sz w:val="20"/>
        </w:rPr>
        <w:t>“El valor de comercialización de energía a usuarios no regulados está incluida en la cuenta 7530-formato 2".</w:t>
      </w:r>
      <w:r w:rsidRPr="002A523D">
        <w:rPr>
          <w:rFonts w:ascii="Bookman Old Style" w:hAnsi="Bookman Old Style"/>
          <w:i/>
          <w:spacing w:val="-3"/>
          <w:sz w:val="20"/>
        </w:rPr>
        <w:t xml:space="preserve"> Se anexa en su orden: tabla No 7, formatos 2 y No 3 y cuenta-código 7530.</w:t>
      </w:r>
    </w:p>
    <w:p w:rsidR="001F171C" w:rsidRPr="002A523D" w:rsidRDefault="001F171C" w:rsidP="001F171C">
      <w:pPr>
        <w:tabs>
          <w:tab w:val="left" w:pos="-720"/>
        </w:tabs>
        <w:suppressAutoHyphens/>
        <w:spacing w:before="240" w:after="240"/>
        <w:ind w:left="708"/>
        <w:jc w:val="both"/>
        <w:rPr>
          <w:rFonts w:ascii="Bookman Old Style" w:hAnsi="Bookman Old Style"/>
          <w:i/>
          <w:spacing w:val="-3"/>
          <w:sz w:val="20"/>
        </w:rPr>
      </w:pPr>
      <w:r w:rsidRPr="002A523D">
        <w:rPr>
          <w:rFonts w:ascii="Bookman Old Style" w:hAnsi="Bookman Old Style"/>
          <w:i/>
          <w:spacing w:val="-3"/>
          <w:sz w:val="20"/>
        </w:rPr>
        <w:t>CUARTO.- Al respecto CEDENAR S.A. E.S.P mediante oficio E-2015006610 del 18 de junio de 2015 copia del cual se adjunta al presente, aclaró sobre la información del formato 3 de la circular CREG 007 de 2015, cuando señaló:</w:t>
      </w:r>
    </w:p>
    <w:p w:rsidR="001F171C" w:rsidRPr="002A523D" w:rsidRDefault="001F171C" w:rsidP="001F171C">
      <w:pPr>
        <w:tabs>
          <w:tab w:val="left" w:pos="-720"/>
        </w:tabs>
        <w:suppressAutoHyphens/>
        <w:spacing w:before="240" w:after="240"/>
        <w:ind w:left="1416"/>
        <w:jc w:val="both"/>
        <w:rPr>
          <w:rFonts w:ascii="Bookman Old Style" w:hAnsi="Bookman Old Style"/>
          <w:i/>
          <w:spacing w:val="-3"/>
          <w:sz w:val="20"/>
        </w:rPr>
      </w:pPr>
      <w:r w:rsidRPr="002A523D">
        <w:rPr>
          <w:rFonts w:ascii="Bookman Old Style" w:hAnsi="Bookman Old Style"/>
          <w:i/>
          <w:spacing w:val="-3"/>
          <w:sz w:val="20"/>
        </w:rPr>
        <w:t>"CEDENAR procedió a diligenciar y posterior envió de los formatos establecidos por la CREG. En el formato 3 queremos dar claridad que al fin a l de la información se detalló una nota donde se aclara que el valor de 6.431.109.710,59 que corresponde a la comercialización de energía eléctrica a usuarios no regulados está incluido en la cuenta 7530 del formato 2. Tal como lo solicita el numeral 12b de la circular 022 de 2015. Por lo cual este valor no debe ser incluido dentro del cálculo del costo base, pues estaría afectando doblemente la variable Gastos en la actividad de comercialización (</w:t>
      </w:r>
      <w:proofErr w:type="spellStart"/>
      <w:r w:rsidRPr="002A523D">
        <w:rPr>
          <w:rFonts w:ascii="Bookman Old Style" w:hAnsi="Bookman Old Style"/>
          <w:i/>
          <w:spacing w:val="-3"/>
          <w:sz w:val="20"/>
        </w:rPr>
        <w:t>GCj</w:t>
      </w:r>
      <w:proofErr w:type="spellEnd"/>
      <w:r w:rsidRPr="002A523D">
        <w:rPr>
          <w:rFonts w:ascii="Bookman Old Style" w:hAnsi="Bookman Old Style"/>
          <w:i/>
          <w:spacing w:val="-3"/>
          <w:sz w:val="20"/>
        </w:rPr>
        <w:t>).</w:t>
      </w:r>
    </w:p>
    <w:p w:rsidR="001F171C" w:rsidRPr="002A523D" w:rsidRDefault="001F171C" w:rsidP="001F171C">
      <w:pPr>
        <w:tabs>
          <w:tab w:val="left" w:pos="-720"/>
        </w:tabs>
        <w:suppressAutoHyphens/>
        <w:spacing w:before="240" w:after="240"/>
        <w:jc w:val="both"/>
        <w:rPr>
          <w:rFonts w:ascii="Bookman Old Style" w:hAnsi="Bookman Old Style"/>
          <w:i/>
          <w:spacing w:val="-3"/>
          <w:sz w:val="20"/>
        </w:rPr>
      </w:pPr>
      <w:r w:rsidRPr="002A523D">
        <w:rPr>
          <w:rFonts w:ascii="Bookman Old Style" w:hAnsi="Bookman Old Style"/>
          <w:i/>
          <w:spacing w:val="-3"/>
          <w:sz w:val="20"/>
        </w:rPr>
        <w:t>QUINTA.- En consecuencia en el Documento CREG 082 del 26 de agosto de 2015, página 156 la CREG evidencia la anterior aclaración hecha por CEDENAR S.A.E.S.P.</w:t>
      </w:r>
    </w:p>
    <w:p w:rsidR="001F171C" w:rsidRPr="002A523D" w:rsidRDefault="001F171C" w:rsidP="001F171C">
      <w:pPr>
        <w:tabs>
          <w:tab w:val="left" w:pos="-720"/>
        </w:tabs>
        <w:suppressAutoHyphens/>
        <w:spacing w:before="240" w:after="240"/>
        <w:jc w:val="both"/>
        <w:rPr>
          <w:rFonts w:ascii="Bookman Old Style" w:hAnsi="Bookman Old Style"/>
          <w:i/>
          <w:spacing w:val="-3"/>
          <w:sz w:val="20"/>
        </w:rPr>
      </w:pPr>
      <w:r w:rsidRPr="002A523D">
        <w:rPr>
          <w:rFonts w:ascii="Bookman Old Style" w:hAnsi="Bookman Old Style"/>
          <w:i/>
          <w:spacing w:val="-3"/>
          <w:sz w:val="20"/>
        </w:rPr>
        <w:t>SEXTA-. Por este error involuntario del formato No 3, fila 5, CEDENAR S.A.E.S.P duplica el costo de la energía para usuario no regulados y omite el valor de la comercialización de energía a usuarios no regulados, el cual asciende a la suma de $ $259.425.081,07.</w:t>
      </w:r>
    </w:p>
    <w:p w:rsidR="001F171C" w:rsidRPr="002A523D" w:rsidRDefault="001F171C" w:rsidP="001F171C">
      <w:pPr>
        <w:tabs>
          <w:tab w:val="left" w:pos="-720"/>
        </w:tabs>
        <w:suppressAutoHyphens/>
        <w:spacing w:before="240" w:after="240"/>
        <w:jc w:val="both"/>
        <w:rPr>
          <w:rFonts w:ascii="Bookman Old Style" w:hAnsi="Bookman Old Style"/>
          <w:i/>
          <w:spacing w:val="-3"/>
          <w:sz w:val="22"/>
        </w:rPr>
      </w:pPr>
      <w:r w:rsidRPr="002A523D">
        <w:rPr>
          <w:rFonts w:ascii="Bookman Old Style" w:hAnsi="Bookman Old Style"/>
          <w:i/>
          <w:spacing w:val="-3"/>
          <w:sz w:val="20"/>
        </w:rPr>
        <w:t>SEPTIMA-. CEDENAR S.A.E.S.P, previo análisis y validación de Revisoría Fiscal se presenta el Cuadro No 3 con la corrección en la fila 5, comercialización de energía a usuarios no regulados por $259.425.081.07.</w:t>
      </w:r>
    </w:p>
    <w:p w:rsidR="001F171C" w:rsidRPr="001F171C" w:rsidRDefault="002A01B2" w:rsidP="001F171C">
      <w:pPr>
        <w:pStyle w:val="Prrafodelista"/>
        <w:numPr>
          <w:ilvl w:val="0"/>
          <w:numId w:val="16"/>
        </w:numPr>
        <w:tabs>
          <w:tab w:val="left" w:pos="-720"/>
        </w:tabs>
        <w:suppressAutoHyphens/>
        <w:spacing w:before="240" w:after="24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Sobre </w:t>
      </w:r>
      <w:r w:rsidR="009819AC">
        <w:rPr>
          <w:rFonts w:ascii="Bookman Old Style" w:hAnsi="Bookman Old Style"/>
          <w:b/>
          <w:spacing w:val="-3"/>
          <w:sz w:val="24"/>
          <w:szCs w:val="24"/>
          <w:lang w:val="es-ES"/>
        </w:rPr>
        <w:t xml:space="preserve">la petición de </w:t>
      </w:r>
      <w:proofErr w:type="spellStart"/>
      <w:r w:rsidR="001F171C" w:rsidRPr="001F171C">
        <w:rPr>
          <w:rFonts w:ascii="Bookman Old Style" w:hAnsi="Bookman Old Style"/>
          <w:b/>
          <w:spacing w:val="-3"/>
          <w:sz w:val="24"/>
          <w:szCs w:val="24"/>
          <w:lang w:val="es-ES"/>
        </w:rPr>
        <w:t>Enertotal</w:t>
      </w:r>
      <w:proofErr w:type="spellEnd"/>
      <w:r w:rsidR="001F171C" w:rsidRPr="001F171C">
        <w:rPr>
          <w:rFonts w:ascii="Bookman Old Style" w:hAnsi="Bookman Old Style"/>
          <w:b/>
          <w:spacing w:val="-3"/>
          <w:sz w:val="24"/>
          <w:szCs w:val="24"/>
          <w:lang w:val="es-ES"/>
        </w:rPr>
        <w:t xml:space="preserve"> S</w:t>
      </w:r>
      <w:r w:rsidR="001F171C">
        <w:rPr>
          <w:rFonts w:ascii="Bookman Old Style" w:hAnsi="Bookman Old Style"/>
          <w:b/>
          <w:spacing w:val="-3"/>
          <w:sz w:val="24"/>
          <w:szCs w:val="24"/>
          <w:lang w:val="es-ES"/>
        </w:rPr>
        <w:t>.</w:t>
      </w:r>
      <w:r w:rsidR="001F171C" w:rsidRPr="001F171C">
        <w:rPr>
          <w:rFonts w:ascii="Bookman Old Style" w:hAnsi="Bookman Old Style"/>
          <w:b/>
          <w:spacing w:val="-3"/>
          <w:sz w:val="24"/>
          <w:szCs w:val="24"/>
          <w:lang w:val="es-ES"/>
        </w:rPr>
        <w:t>A</w:t>
      </w:r>
      <w:r w:rsidR="001F171C">
        <w:rPr>
          <w:rFonts w:ascii="Bookman Old Style" w:hAnsi="Bookman Old Style"/>
          <w:b/>
          <w:spacing w:val="-3"/>
          <w:sz w:val="24"/>
          <w:szCs w:val="24"/>
          <w:lang w:val="es-ES"/>
        </w:rPr>
        <w:t>.</w:t>
      </w:r>
      <w:r w:rsidR="001F171C" w:rsidRPr="001F171C">
        <w:rPr>
          <w:rFonts w:ascii="Bookman Old Style" w:hAnsi="Bookman Old Style"/>
          <w:b/>
          <w:spacing w:val="-3"/>
          <w:sz w:val="24"/>
          <w:szCs w:val="24"/>
          <w:lang w:val="es-ES"/>
        </w:rPr>
        <w:t xml:space="preserve"> E</w:t>
      </w:r>
      <w:r w:rsidR="001F171C">
        <w:rPr>
          <w:rFonts w:ascii="Bookman Old Style" w:hAnsi="Bookman Old Style"/>
          <w:b/>
          <w:spacing w:val="-3"/>
          <w:sz w:val="24"/>
          <w:szCs w:val="24"/>
          <w:lang w:val="es-ES"/>
        </w:rPr>
        <w:t>.</w:t>
      </w:r>
      <w:r w:rsidR="001F171C" w:rsidRPr="001F171C">
        <w:rPr>
          <w:rFonts w:ascii="Bookman Old Style" w:hAnsi="Bookman Old Style"/>
          <w:b/>
          <w:spacing w:val="-3"/>
          <w:sz w:val="24"/>
          <w:szCs w:val="24"/>
          <w:lang w:val="es-ES"/>
        </w:rPr>
        <w:t>S</w:t>
      </w:r>
      <w:r w:rsidR="001F171C">
        <w:rPr>
          <w:rFonts w:ascii="Bookman Old Style" w:hAnsi="Bookman Old Style"/>
          <w:b/>
          <w:spacing w:val="-3"/>
          <w:sz w:val="24"/>
          <w:szCs w:val="24"/>
          <w:lang w:val="es-ES"/>
        </w:rPr>
        <w:t>.</w:t>
      </w:r>
      <w:r w:rsidR="001F171C" w:rsidRPr="001F171C">
        <w:rPr>
          <w:rFonts w:ascii="Bookman Old Style" w:hAnsi="Bookman Old Style"/>
          <w:b/>
          <w:spacing w:val="-3"/>
          <w:sz w:val="24"/>
          <w:szCs w:val="24"/>
          <w:lang w:val="es-ES"/>
        </w:rPr>
        <w:t>P</w:t>
      </w:r>
      <w:r w:rsidR="001F171C">
        <w:rPr>
          <w:rFonts w:ascii="Bookman Old Style" w:hAnsi="Bookman Old Style"/>
          <w:b/>
          <w:spacing w:val="-3"/>
          <w:sz w:val="24"/>
          <w:szCs w:val="24"/>
          <w:lang w:val="es-ES"/>
        </w:rPr>
        <w:t>.</w:t>
      </w:r>
    </w:p>
    <w:p w:rsidR="001F171C" w:rsidRDefault="001F171C"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En comunicación con radicado CREG E-2015-005633 del 26 de mayo de 2015, ENERTOTAL S.A. E.S.P., adelante ENERTOTAL, solicitó el reconocimiento como tercero inte</w:t>
      </w:r>
      <w:r w:rsidR="001E6F87">
        <w:rPr>
          <w:rFonts w:ascii="Bookman Old Style" w:hAnsi="Bookman Old Style"/>
          <w:spacing w:val="-3"/>
        </w:rPr>
        <w:t>res</w:t>
      </w:r>
      <w:r>
        <w:rPr>
          <w:rFonts w:ascii="Bookman Old Style" w:hAnsi="Bookman Old Style"/>
          <w:spacing w:val="-3"/>
        </w:rPr>
        <w:t>ado en la actu</w:t>
      </w:r>
      <w:r w:rsidR="001E6F87">
        <w:rPr>
          <w:rFonts w:ascii="Bookman Old Style" w:hAnsi="Bookman Old Style"/>
          <w:spacing w:val="-3"/>
        </w:rPr>
        <w:t>ació</w:t>
      </w:r>
      <w:r>
        <w:rPr>
          <w:rFonts w:ascii="Bookman Old Style" w:hAnsi="Bookman Old Style"/>
          <w:spacing w:val="-3"/>
        </w:rPr>
        <w:t xml:space="preserve">n administrativa </w:t>
      </w:r>
      <w:r w:rsidR="009849B0">
        <w:rPr>
          <w:rFonts w:ascii="Bookman Old Style" w:hAnsi="Bookman Old Style"/>
          <w:spacing w:val="-3"/>
        </w:rPr>
        <w:t>por la cual se analizó el</w:t>
      </w:r>
      <w:r w:rsidRPr="001F171C">
        <w:rPr>
          <w:rFonts w:ascii="Bookman Old Style" w:hAnsi="Bookman Old Style"/>
          <w:spacing w:val="-3"/>
        </w:rPr>
        <w:t xml:space="preserve"> reconocimiento del costo base de comercialización, el riesgo de cartera de usuarios tradicionales y el de usuarios de áreas especiales para el mercado de</w:t>
      </w:r>
      <w:r>
        <w:rPr>
          <w:rFonts w:ascii="Bookman Old Style" w:hAnsi="Bookman Old Style"/>
          <w:spacing w:val="-3"/>
        </w:rPr>
        <w:t xml:space="preserve"> comercialización atendido por CEDENAR.</w:t>
      </w:r>
    </w:p>
    <w:p w:rsidR="001F171C" w:rsidRDefault="001F171C"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lastRenderedPageBreak/>
        <w:t xml:space="preserve">Mediante auto del 4 de junio de 2015 con radicado CREG I-2015-002644, la Comisión declaró a ENERTOTAL como tercero interesado en la actuación administrativa que reposa en el expediente 2015-0042 mediante la cual se decidirá </w:t>
      </w:r>
      <w:r w:rsidR="001E6F87">
        <w:rPr>
          <w:rFonts w:ascii="Bookman Old Style" w:hAnsi="Bookman Old Style"/>
          <w:spacing w:val="-3"/>
        </w:rPr>
        <w:t xml:space="preserve">el </w:t>
      </w:r>
      <w:r w:rsidR="001E6F87" w:rsidRPr="001E6F87">
        <w:rPr>
          <w:rFonts w:ascii="Bookman Old Style" w:hAnsi="Bookman Old Style"/>
          <w:spacing w:val="-3"/>
        </w:rPr>
        <w:t>reconocimiento del costo base de comercialización, el riesgo de cartera de usuarios tradicionales y el de usuarios de áreas especiales para el mercado de comercialización atendido por CEDENAR</w:t>
      </w:r>
      <w:r w:rsidR="001E6F87">
        <w:rPr>
          <w:rFonts w:ascii="Bookman Old Style" w:hAnsi="Bookman Old Style"/>
          <w:spacing w:val="-3"/>
        </w:rPr>
        <w:t>.</w:t>
      </w:r>
    </w:p>
    <w:p w:rsidR="00005DAE" w:rsidRPr="00224A51" w:rsidRDefault="00B24811" w:rsidP="00005DAE">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Por medio de la comunicación </w:t>
      </w:r>
      <w:r w:rsidR="00005DAE" w:rsidRPr="00224A51">
        <w:rPr>
          <w:rFonts w:ascii="Bookman Old Style" w:hAnsi="Bookman Old Style"/>
          <w:spacing w:val="-3"/>
        </w:rPr>
        <w:t xml:space="preserve">con radicado </w:t>
      </w:r>
      <w:r w:rsidR="00005DAE">
        <w:rPr>
          <w:rFonts w:ascii="Bookman Old Style" w:hAnsi="Bookman Old Style"/>
          <w:spacing w:val="-3"/>
        </w:rPr>
        <w:t xml:space="preserve">CREG </w:t>
      </w:r>
      <w:r w:rsidR="00005DAE" w:rsidRPr="00224A51">
        <w:rPr>
          <w:rFonts w:ascii="Bookman Old Style" w:hAnsi="Bookman Old Style"/>
          <w:spacing w:val="-3"/>
        </w:rPr>
        <w:t>E-20</w:t>
      </w:r>
      <w:r w:rsidR="00005DAE">
        <w:rPr>
          <w:rFonts w:ascii="Bookman Old Style" w:hAnsi="Bookman Old Style"/>
          <w:spacing w:val="-3"/>
        </w:rPr>
        <w:t>15</w:t>
      </w:r>
      <w:r w:rsidR="00005DAE" w:rsidRPr="00224A51">
        <w:rPr>
          <w:rFonts w:ascii="Bookman Old Style" w:hAnsi="Bookman Old Style"/>
          <w:spacing w:val="-3"/>
        </w:rPr>
        <w:t>-0</w:t>
      </w:r>
      <w:r w:rsidR="00005DAE">
        <w:rPr>
          <w:rFonts w:ascii="Bookman Old Style" w:hAnsi="Bookman Old Style"/>
          <w:spacing w:val="-3"/>
        </w:rPr>
        <w:t>098</w:t>
      </w:r>
      <w:r>
        <w:rPr>
          <w:rFonts w:ascii="Bookman Old Style" w:hAnsi="Bookman Old Style"/>
          <w:spacing w:val="-3"/>
        </w:rPr>
        <w:t>21</w:t>
      </w:r>
      <w:r w:rsidR="00005DAE" w:rsidRPr="00224A51">
        <w:rPr>
          <w:rFonts w:ascii="Bookman Old Style" w:hAnsi="Bookman Old Style"/>
          <w:spacing w:val="-3"/>
        </w:rPr>
        <w:t xml:space="preserve"> del </w:t>
      </w:r>
      <w:r>
        <w:rPr>
          <w:rFonts w:ascii="Bookman Old Style" w:hAnsi="Bookman Old Style"/>
          <w:spacing w:val="-3"/>
        </w:rPr>
        <w:t>28</w:t>
      </w:r>
      <w:r w:rsidR="00005DAE" w:rsidRPr="00224A51">
        <w:rPr>
          <w:rFonts w:ascii="Bookman Old Style" w:hAnsi="Bookman Old Style"/>
          <w:spacing w:val="-3"/>
        </w:rPr>
        <w:t xml:space="preserve"> de </w:t>
      </w:r>
      <w:r w:rsidR="00005DAE">
        <w:rPr>
          <w:rFonts w:ascii="Bookman Old Style" w:hAnsi="Bookman Old Style"/>
          <w:spacing w:val="-3"/>
        </w:rPr>
        <w:t xml:space="preserve">septiembre </w:t>
      </w:r>
      <w:r w:rsidR="00005DAE" w:rsidRPr="00224A51">
        <w:rPr>
          <w:rFonts w:ascii="Bookman Old Style" w:hAnsi="Bookman Old Style"/>
          <w:spacing w:val="-3"/>
        </w:rPr>
        <w:t>de 20</w:t>
      </w:r>
      <w:r w:rsidR="00005DAE">
        <w:rPr>
          <w:rFonts w:ascii="Bookman Old Style" w:hAnsi="Bookman Old Style"/>
          <w:spacing w:val="-3"/>
        </w:rPr>
        <w:t>15</w:t>
      </w:r>
      <w:r w:rsidR="00005DAE" w:rsidRPr="00224A51">
        <w:rPr>
          <w:rFonts w:ascii="Bookman Old Style" w:hAnsi="Bookman Old Style"/>
          <w:spacing w:val="-3"/>
        </w:rPr>
        <w:t xml:space="preserve">, el </w:t>
      </w:r>
      <w:r>
        <w:rPr>
          <w:rFonts w:ascii="Bookman Old Style" w:hAnsi="Bookman Old Style"/>
          <w:spacing w:val="-3"/>
        </w:rPr>
        <w:t>Representante Legal de ENERTOTAL S.A. E.S</w:t>
      </w:r>
      <w:r w:rsidR="00005DAE" w:rsidRPr="00224A51">
        <w:rPr>
          <w:rFonts w:ascii="Bookman Old Style" w:hAnsi="Bookman Old Style"/>
          <w:spacing w:val="-3"/>
        </w:rPr>
        <w:t xml:space="preserve">.P., en adelante </w:t>
      </w:r>
      <w:r>
        <w:rPr>
          <w:rFonts w:ascii="Bookman Old Style" w:hAnsi="Bookman Old Style"/>
          <w:spacing w:val="-3"/>
        </w:rPr>
        <w:t>ENERTOTAL</w:t>
      </w:r>
      <w:r w:rsidR="00005DAE" w:rsidRPr="00224A51">
        <w:rPr>
          <w:rFonts w:ascii="Bookman Old Style" w:hAnsi="Bookman Old Style"/>
          <w:spacing w:val="-3"/>
        </w:rPr>
        <w:t>, interpuso recurso de reposición contra la Resolución CREG 1</w:t>
      </w:r>
      <w:r w:rsidR="00005DAE">
        <w:rPr>
          <w:rFonts w:ascii="Bookman Old Style" w:hAnsi="Bookman Old Style"/>
          <w:spacing w:val="-3"/>
        </w:rPr>
        <w:t>22</w:t>
      </w:r>
      <w:r w:rsidR="00005DAE" w:rsidRPr="00224A51">
        <w:rPr>
          <w:rFonts w:ascii="Bookman Old Style" w:hAnsi="Bookman Old Style"/>
          <w:spacing w:val="-3"/>
        </w:rPr>
        <w:t xml:space="preserve"> del </w:t>
      </w:r>
      <w:r w:rsidR="00005DAE">
        <w:rPr>
          <w:rFonts w:ascii="Bookman Old Style" w:hAnsi="Bookman Old Style"/>
          <w:spacing w:val="-3"/>
        </w:rPr>
        <w:t>26</w:t>
      </w:r>
      <w:r w:rsidR="00005DAE" w:rsidRPr="00224A51">
        <w:rPr>
          <w:rFonts w:ascii="Bookman Old Style" w:hAnsi="Bookman Old Style"/>
          <w:spacing w:val="-3"/>
        </w:rPr>
        <w:t xml:space="preserve"> de </w:t>
      </w:r>
      <w:r w:rsidR="00005DAE">
        <w:rPr>
          <w:rFonts w:ascii="Bookman Old Style" w:hAnsi="Bookman Old Style"/>
          <w:spacing w:val="-3"/>
        </w:rPr>
        <w:t xml:space="preserve">agosto </w:t>
      </w:r>
      <w:r w:rsidR="00005DAE" w:rsidRPr="00224A51">
        <w:rPr>
          <w:rFonts w:ascii="Bookman Old Style" w:hAnsi="Bookman Old Style"/>
          <w:spacing w:val="-3"/>
        </w:rPr>
        <w:t>de 20</w:t>
      </w:r>
      <w:r w:rsidR="00005DAE">
        <w:rPr>
          <w:rFonts w:ascii="Bookman Old Style" w:hAnsi="Bookman Old Style"/>
          <w:spacing w:val="-3"/>
        </w:rPr>
        <w:t>15.</w:t>
      </w:r>
      <w:r w:rsidR="00005DAE" w:rsidRPr="00224A51">
        <w:rPr>
          <w:rFonts w:ascii="Bookman Old Style" w:hAnsi="Bookman Old Style"/>
          <w:spacing w:val="-3"/>
        </w:rPr>
        <w:t xml:space="preserve"> </w:t>
      </w:r>
    </w:p>
    <w:p w:rsidR="00005DAE" w:rsidRDefault="00005DAE" w:rsidP="00005DAE">
      <w:pPr>
        <w:tabs>
          <w:tab w:val="left" w:pos="-720"/>
        </w:tabs>
        <w:suppressAutoHyphens/>
        <w:spacing w:before="240" w:after="240"/>
        <w:ind w:left="0"/>
        <w:jc w:val="both"/>
        <w:rPr>
          <w:rFonts w:ascii="Bookman Old Style" w:hAnsi="Bookman Old Style"/>
          <w:spacing w:val="-3"/>
        </w:rPr>
      </w:pPr>
      <w:r w:rsidRPr="00224A51">
        <w:rPr>
          <w:rFonts w:ascii="Bookman Old Style" w:hAnsi="Bookman Old Style"/>
          <w:spacing w:val="-3"/>
        </w:rPr>
        <w:t>En el recurso de reposición, el recurrente solicita:</w:t>
      </w:r>
    </w:p>
    <w:p w:rsidR="00005DAE" w:rsidRPr="00BC40E0" w:rsidRDefault="00C26BFF" w:rsidP="00506E15">
      <w:pPr>
        <w:tabs>
          <w:tab w:val="left" w:pos="-720"/>
        </w:tabs>
        <w:suppressAutoHyphens/>
        <w:spacing w:before="240" w:after="240"/>
        <w:ind w:left="708"/>
        <w:jc w:val="both"/>
        <w:rPr>
          <w:rFonts w:ascii="Bookman Old Style" w:hAnsi="Bookman Old Style"/>
          <w:i/>
          <w:spacing w:val="-3"/>
          <w:sz w:val="20"/>
        </w:rPr>
      </w:pPr>
      <w:r w:rsidRPr="00822895">
        <w:rPr>
          <w:rFonts w:ascii="Bookman Old Style" w:hAnsi="Bookman Old Style"/>
          <w:i/>
          <w:spacing w:val="-3"/>
          <w:sz w:val="20"/>
        </w:rPr>
        <w:t>PRIMERO: Dado el reporte realizado por CENTRALES ELECTRICAS DE NARIÑO S.A.E.S.P, del costo de Gestión de Perdidas, se solicita reconocer dicho valor en el costo base de comercialización y no considerarlo como un valor que resta del reconocimiento del gasto en la actividad de comercialización, puesto que para un comercializador entrante no existe otra manera de reconocer el gasto de gestión de perdidas dentro de sus ingresos aprobados, de tal manera que el costo de comercialización reconocido pase de un valor de $6.557 a un valor de $6.875.</w:t>
      </w:r>
    </w:p>
    <w:p w:rsidR="00005DAE" w:rsidRDefault="00B2481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822895" w:rsidRPr="00822895">
        <w:rPr>
          <w:rFonts w:ascii="Bookman Old Style" w:hAnsi="Bookman Old Style"/>
          <w:spacing w:val="-3"/>
        </w:rPr>
        <w:t>l recurrente fundamenta su petición, con los siguientes argumentos:</w:t>
      </w:r>
    </w:p>
    <w:p w:rsidR="00822895" w:rsidRPr="0046468B" w:rsidRDefault="00822895" w:rsidP="0046468B">
      <w:pPr>
        <w:tabs>
          <w:tab w:val="left" w:pos="-720"/>
        </w:tabs>
        <w:suppressAutoHyphens/>
        <w:spacing w:before="240" w:after="240"/>
        <w:ind w:left="708"/>
        <w:jc w:val="both"/>
        <w:rPr>
          <w:rFonts w:ascii="Bookman Old Style" w:hAnsi="Bookman Old Style"/>
          <w:i/>
          <w:spacing w:val="-3"/>
          <w:sz w:val="20"/>
        </w:rPr>
      </w:pPr>
      <w:r w:rsidRPr="0046468B">
        <w:rPr>
          <w:rFonts w:ascii="Bookman Old Style" w:hAnsi="Bookman Old Style"/>
          <w:i/>
          <w:spacing w:val="-3"/>
          <w:sz w:val="20"/>
        </w:rPr>
        <w:t>QUINTO: ENERTOTAL S.A. E.S.P se hizo parte como tercero interesado dentro de la actuación Administrativa 2015-0042 considerando que la información requerida para el cálculo del costo base de comercialización en el mercado de CENTRALES ELECTRICAS DE NARIÑO S.A. E.S.P, depende de información suministrada por un tercero y que afecta directamente los ingresos de la empresa. Una vez recibida la notificación de la resolución en asunto y revisando al detalle los datos en ella contenidos al hacer efectiva la participación de ENERTOTAL en el proceso, se logra determinar que ENERTOTAL se ve afectado como comercializador entrante en la zona dado que hubo cambios considerandos desde la resolución CREG 044 del año 2012 y contenidos también en la resolución CREG 180 de 2014 en cuanto al reconocimiento de los costos de gestión de pérdidas.</w:t>
      </w:r>
    </w:p>
    <w:p w:rsidR="00822895" w:rsidRPr="0046468B" w:rsidRDefault="00822895" w:rsidP="0046468B">
      <w:pPr>
        <w:tabs>
          <w:tab w:val="left" w:pos="-720"/>
        </w:tabs>
        <w:suppressAutoHyphens/>
        <w:spacing w:before="240" w:after="240"/>
        <w:ind w:left="708"/>
        <w:jc w:val="both"/>
        <w:rPr>
          <w:rFonts w:ascii="Bookman Old Style" w:hAnsi="Bookman Old Style"/>
          <w:i/>
          <w:spacing w:val="-3"/>
          <w:sz w:val="20"/>
        </w:rPr>
      </w:pPr>
      <w:r w:rsidRPr="0046468B">
        <w:rPr>
          <w:rFonts w:ascii="Bookman Old Style" w:hAnsi="Bookman Old Style"/>
          <w:i/>
          <w:spacing w:val="-3"/>
          <w:sz w:val="20"/>
        </w:rPr>
        <w:t>Para el cálculo del costo base, la resolución CREG 180 de 2014 determina l</w:t>
      </w:r>
      <w:r w:rsidR="0046468B" w:rsidRPr="0046468B">
        <w:rPr>
          <w:rFonts w:ascii="Bookman Old Style" w:hAnsi="Bookman Old Style"/>
          <w:i/>
          <w:spacing w:val="-3"/>
          <w:sz w:val="20"/>
        </w:rPr>
        <w:t>o</w:t>
      </w:r>
      <w:r w:rsidRPr="0046468B">
        <w:rPr>
          <w:rFonts w:ascii="Bookman Old Style" w:hAnsi="Bookman Old Style"/>
          <w:i/>
          <w:spacing w:val="-3"/>
          <w:sz w:val="20"/>
        </w:rPr>
        <w:t>s gastos en la actividad de comercialización en el mercado de CENTRALES ELECTRICAS DE NARIÑO S.A. E.S.P, considerando la cuenta 444 del sistema de</w:t>
      </w:r>
      <w:r w:rsidR="0046468B" w:rsidRPr="0046468B">
        <w:rPr>
          <w:rFonts w:ascii="Bookman Old Style" w:hAnsi="Bookman Old Style"/>
          <w:i/>
          <w:spacing w:val="-3"/>
          <w:sz w:val="20"/>
        </w:rPr>
        <w:t xml:space="preserve"> </w:t>
      </w:r>
      <w:r w:rsidRPr="0046468B">
        <w:rPr>
          <w:rFonts w:ascii="Bookman Old Style" w:hAnsi="Bookman Old Style"/>
          <w:i/>
          <w:spacing w:val="-3"/>
          <w:sz w:val="20"/>
        </w:rPr>
        <w:t>costeo por actividades reportado en el Sistema Único de In</w:t>
      </w:r>
      <w:r w:rsidR="0046468B" w:rsidRPr="0046468B">
        <w:rPr>
          <w:rFonts w:ascii="Bookman Old Style" w:hAnsi="Bookman Old Style"/>
          <w:i/>
          <w:spacing w:val="-3"/>
          <w:sz w:val="20"/>
        </w:rPr>
        <w:t>f</w:t>
      </w:r>
      <w:r w:rsidRPr="0046468B">
        <w:rPr>
          <w:rFonts w:ascii="Bookman Old Style" w:hAnsi="Bookman Old Style"/>
          <w:i/>
          <w:spacing w:val="-3"/>
          <w:sz w:val="20"/>
        </w:rPr>
        <w:t>orma</w:t>
      </w:r>
      <w:r w:rsidR="0046468B" w:rsidRPr="0046468B">
        <w:rPr>
          <w:rFonts w:ascii="Bookman Old Style" w:hAnsi="Bookman Old Style"/>
          <w:i/>
          <w:spacing w:val="-3"/>
          <w:sz w:val="20"/>
        </w:rPr>
        <w:t>ci</w:t>
      </w:r>
      <w:r w:rsidRPr="0046468B">
        <w:rPr>
          <w:rFonts w:ascii="Bookman Old Style" w:hAnsi="Bookman Old Style"/>
          <w:i/>
          <w:spacing w:val="-3"/>
          <w:sz w:val="20"/>
        </w:rPr>
        <w:t>ón</w:t>
      </w:r>
      <w:r w:rsidR="0046468B" w:rsidRPr="0046468B">
        <w:rPr>
          <w:rFonts w:ascii="Bookman Old Style" w:hAnsi="Bookman Old Style"/>
          <w:i/>
          <w:spacing w:val="-3"/>
          <w:sz w:val="20"/>
        </w:rPr>
        <w:t xml:space="preserve"> </w:t>
      </w:r>
      <w:r w:rsidRPr="0046468B">
        <w:rPr>
          <w:rFonts w:ascii="Bookman Old Style" w:hAnsi="Bookman Old Style"/>
          <w:i/>
          <w:spacing w:val="-3"/>
          <w:sz w:val="20"/>
        </w:rPr>
        <w:t>y</w:t>
      </w:r>
      <w:r w:rsidR="0046468B" w:rsidRPr="0046468B">
        <w:rPr>
          <w:rFonts w:ascii="Bookman Old Style" w:hAnsi="Bookman Old Style"/>
          <w:i/>
          <w:spacing w:val="-3"/>
          <w:sz w:val="20"/>
        </w:rPr>
        <w:t xml:space="preserve"> </w:t>
      </w:r>
      <w:r w:rsidRPr="0046468B">
        <w:rPr>
          <w:rFonts w:ascii="Bookman Old Style" w:hAnsi="Bookman Old Style"/>
          <w:i/>
          <w:spacing w:val="-3"/>
          <w:sz w:val="20"/>
        </w:rPr>
        <w:t>restando</w:t>
      </w:r>
      <w:r w:rsidR="0046468B" w:rsidRPr="0046468B">
        <w:rPr>
          <w:rFonts w:ascii="Bookman Old Style" w:hAnsi="Bookman Old Style"/>
          <w:i/>
          <w:spacing w:val="-3"/>
          <w:sz w:val="20"/>
        </w:rPr>
        <w:t xml:space="preserve"> </w:t>
      </w:r>
      <w:r w:rsidRPr="0046468B">
        <w:rPr>
          <w:rFonts w:ascii="Bookman Old Style" w:hAnsi="Bookman Old Style"/>
          <w:i/>
          <w:spacing w:val="-3"/>
          <w:sz w:val="20"/>
        </w:rPr>
        <w:t>otros conceptos que no son tenidos en cuenta en dicho c</w:t>
      </w:r>
      <w:r w:rsidR="0046468B">
        <w:rPr>
          <w:rFonts w:ascii="Bookman Old Style" w:hAnsi="Bookman Old Style"/>
          <w:i/>
          <w:spacing w:val="-3"/>
          <w:sz w:val="20"/>
        </w:rPr>
        <w:t>á</w:t>
      </w:r>
      <w:r w:rsidRPr="0046468B">
        <w:rPr>
          <w:rFonts w:ascii="Bookman Old Style" w:hAnsi="Bookman Old Style"/>
          <w:i/>
          <w:spacing w:val="-3"/>
          <w:sz w:val="20"/>
        </w:rPr>
        <w:t>lculo.</w:t>
      </w:r>
      <w:r w:rsidR="0046468B" w:rsidRPr="0046468B">
        <w:rPr>
          <w:rFonts w:ascii="Bookman Old Style" w:hAnsi="Bookman Old Style"/>
          <w:i/>
          <w:spacing w:val="-3"/>
          <w:sz w:val="20"/>
        </w:rPr>
        <w:t xml:space="preserve"> </w:t>
      </w:r>
    </w:p>
    <w:p w:rsidR="00822895" w:rsidRPr="0097421F" w:rsidRDefault="0046468B" w:rsidP="0097421F">
      <w:pPr>
        <w:tabs>
          <w:tab w:val="left" w:pos="-720"/>
        </w:tabs>
        <w:suppressAutoHyphens/>
        <w:spacing w:before="240" w:after="240"/>
        <w:ind w:left="708"/>
        <w:jc w:val="both"/>
        <w:rPr>
          <w:rFonts w:ascii="Bookman Old Style" w:hAnsi="Bookman Old Style"/>
          <w:i/>
          <w:spacing w:val="-3"/>
          <w:sz w:val="20"/>
        </w:rPr>
      </w:pPr>
      <w:r w:rsidRPr="0097421F">
        <w:rPr>
          <w:rFonts w:ascii="Bookman Old Style" w:hAnsi="Bookman Old Style"/>
          <w:i/>
          <w:spacing w:val="-3"/>
          <w:sz w:val="20"/>
        </w:rPr>
        <w:t xml:space="preserve">CENTRALES ELECTRICAS DE NARIÑO S.A. E.S.P en la solicitud de los cargos, reportó un valor de gestión de pérdidas de $ </w:t>
      </w:r>
      <w:r w:rsidR="00650082">
        <w:rPr>
          <w:rFonts w:ascii="Bookman Old Style" w:hAnsi="Bookman Old Style"/>
          <w:i/>
          <w:spacing w:val="-3"/>
          <w:sz w:val="20"/>
        </w:rPr>
        <w:t>1</w:t>
      </w:r>
      <w:r w:rsidRPr="0097421F">
        <w:rPr>
          <w:rFonts w:ascii="Bookman Old Style" w:hAnsi="Bookman Old Style"/>
          <w:i/>
          <w:spacing w:val="-3"/>
          <w:sz w:val="20"/>
        </w:rPr>
        <w:t>.415.834.838 que resta al valor del ingreso considerado en los gastos de la actividad de comercialización. Este reporte afecta directamente a los comercializadores entrantes dado que los gastos propios de la gestión de pérdidas que realiza un comercializador entrante en el mercado, no están siendo reconocidos en su ingreso. Estos datos solo pudieron ser evaluados una vez se tenía la información resultante de la declaración de ENERTOTAL como tercero interesado del acto administrativo, cuyo cálculo hubiese sido diferente si el comercializador integrado al OR reportara un valor en ceros no habiendo de esta manera afectación para el comercializador entrante en la zona. Es a través del reconocimiento del costo base de comercialización, que el comercializador entrante puede realizar la gestión de pérdidas dado que no tiene ningún otro mecanismo para reconocimiento del gasto en sus ingresos aprobados.</w:t>
      </w:r>
    </w:p>
    <w:p w:rsidR="0097421F" w:rsidRPr="0097421F" w:rsidRDefault="0097421F" w:rsidP="0097421F">
      <w:pPr>
        <w:tabs>
          <w:tab w:val="left" w:pos="-720"/>
        </w:tabs>
        <w:suppressAutoHyphens/>
        <w:spacing w:before="240" w:after="240"/>
        <w:ind w:left="708"/>
        <w:jc w:val="both"/>
        <w:rPr>
          <w:rFonts w:ascii="Bookman Old Style" w:hAnsi="Bookman Old Style"/>
          <w:i/>
          <w:spacing w:val="-3"/>
          <w:sz w:val="20"/>
        </w:rPr>
      </w:pPr>
      <w:r w:rsidRPr="0097421F">
        <w:rPr>
          <w:rFonts w:ascii="Bookman Old Style" w:hAnsi="Bookman Old Style"/>
          <w:i/>
          <w:spacing w:val="-3"/>
          <w:sz w:val="20"/>
        </w:rPr>
        <w:t xml:space="preserve">SEXTO: La resolución CREG 044 de 2012, base para la expedición de la resolución CREG 180 de 2014, estableció que las características principales del costo base de comercialización son un cargo fijo independiente del consumo, es decir remunera actividades que no dependen del consumo sino únicamente del número de usuarios atendidos. Al ser un </w:t>
      </w:r>
      <w:r w:rsidRPr="0097421F">
        <w:rPr>
          <w:rFonts w:ascii="Bookman Old Style" w:hAnsi="Bookman Old Style"/>
          <w:i/>
          <w:spacing w:val="-3"/>
          <w:sz w:val="20"/>
        </w:rPr>
        <w:lastRenderedPageBreak/>
        <w:t>valor pagado por todos los usuarios regulados de energía eléctrica no incluye costos como la prestación de servicios diferentes al suministro de energía eléctrica o los costos asociados a la gestión de pérdidas.</w:t>
      </w:r>
    </w:p>
    <w:p w:rsidR="0097421F" w:rsidRPr="0097421F" w:rsidRDefault="0097421F" w:rsidP="0097421F">
      <w:pPr>
        <w:tabs>
          <w:tab w:val="left" w:pos="-720"/>
        </w:tabs>
        <w:suppressAutoHyphens/>
        <w:spacing w:before="240" w:after="240"/>
        <w:ind w:left="708"/>
        <w:jc w:val="both"/>
        <w:rPr>
          <w:rFonts w:ascii="Bookman Old Style" w:hAnsi="Bookman Old Style"/>
          <w:i/>
          <w:spacing w:val="-3"/>
          <w:sz w:val="20"/>
        </w:rPr>
      </w:pPr>
      <w:r w:rsidRPr="0097421F">
        <w:rPr>
          <w:rFonts w:ascii="Bookman Old Style" w:hAnsi="Bookman Old Style"/>
          <w:i/>
          <w:spacing w:val="-3"/>
          <w:sz w:val="20"/>
        </w:rPr>
        <w:t>Si bien es cierto, la resolución CREG 044 de 2012 establece la definición del costo base de comercialización como un valor fijo, la resolución CREG 191 de 2014 establece un componente variable que remunera los costos asociados a la atención de usuarios regulados por parte del comercializador minorista y cuyo cálculo depende del costo base. De esta forma el costo base inicialmente considerado como fijo se vuelve variable en la medida que hace parte del cálculo del componente variable. El componente variable debe reconocer los costos asociados a la gestión de pérdidas que realiza el comercializador entrante en la zona, sin embargo al ser retirado, dado el reporte de CENTRALES ELECTRICAS DE NARIÑO S.A.E.S.P, a la Comisión de Regulación, este gasto no está siendo considerado en la remuneración del comercializador e imposibilitando su recuperación</w:t>
      </w:r>
      <w:r w:rsidR="00B24811">
        <w:rPr>
          <w:rFonts w:ascii="Bookman Old Style" w:hAnsi="Bookman Old Style"/>
          <w:i/>
          <w:spacing w:val="-3"/>
          <w:sz w:val="20"/>
        </w:rPr>
        <w:t>.</w:t>
      </w:r>
    </w:p>
    <w:p w:rsidR="0097421F" w:rsidRPr="009819AC" w:rsidRDefault="009819AC" w:rsidP="009819AC">
      <w:pPr>
        <w:pStyle w:val="Prrafodelista"/>
        <w:numPr>
          <w:ilvl w:val="0"/>
          <w:numId w:val="15"/>
        </w:numPr>
        <w:spacing w:before="240" w:after="240"/>
        <w:jc w:val="both"/>
        <w:rPr>
          <w:rFonts w:ascii="Bookman Old Style" w:hAnsi="Bookman Old Style"/>
          <w:b/>
          <w:spacing w:val="-3"/>
          <w:sz w:val="24"/>
          <w:szCs w:val="24"/>
          <w:lang w:val="es-ES"/>
        </w:rPr>
      </w:pPr>
      <w:r w:rsidRPr="009819AC">
        <w:rPr>
          <w:rFonts w:ascii="Bookman Old Style" w:hAnsi="Bookman Old Style"/>
          <w:b/>
          <w:spacing w:val="-3"/>
          <w:sz w:val="24"/>
          <w:szCs w:val="24"/>
          <w:lang w:val="es-ES"/>
        </w:rPr>
        <w:t xml:space="preserve">ANÁLISIS DE LA COMISIÓN </w:t>
      </w:r>
    </w:p>
    <w:p w:rsidR="009819AC" w:rsidRDefault="009819AC" w:rsidP="009819AC">
      <w:pPr>
        <w:pStyle w:val="Prrafodelista"/>
        <w:numPr>
          <w:ilvl w:val="0"/>
          <w:numId w:val="20"/>
        </w:numPr>
        <w:tabs>
          <w:tab w:val="left" w:pos="-720"/>
        </w:tabs>
        <w:suppressAutoHyphens/>
        <w:spacing w:before="240" w:after="240"/>
        <w:jc w:val="both"/>
        <w:rPr>
          <w:rFonts w:ascii="Bookman Old Style" w:hAnsi="Bookman Old Style"/>
          <w:b/>
          <w:spacing w:val="-3"/>
          <w:sz w:val="24"/>
          <w:szCs w:val="24"/>
          <w:lang w:val="es-ES"/>
        </w:rPr>
      </w:pPr>
      <w:r w:rsidRPr="009819AC">
        <w:rPr>
          <w:rFonts w:ascii="Bookman Old Style" w:hAnsi="Bookman Old Style"/>
          <w:b/>
          <w:spacing w:val="-3"/>
          <w:sz w:val="24"/>
          <w:szCs w:val="24"/>
          <w:lang w:val="es-ES"/>
        </w:rPr>
        <w:t xml:space="preserve">Sobre la petición de </w:t>
      </w:r>
      <w:r>
        <w:rPr>
          <w:rFonts w:ascii="Bookman Old Style" w:hAnsi="Bookman Old Style"/>
          <w:b/>
          <w:spacing w:val="-3"/>
          <w:sz w:val="24"/>
          <w:szCs w:val="24"/>
          <w:lang w:val="es-ES"/>
        </w:rPr>
        <w:t>CEDENAR</w:t>
      </w:r>
    </w:p>
    <w:p w:rsidR="00B24811" w:rsidRDefault="00650082" w:rsidP="009819A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La Ci</w:t>
      </w:r>
      <w:r w:rsidR="00E4725B">
        <w:rPr>
          <w:rFonts w:ascii="Bookman Old Style" w:hAnsi="Bookman Old Style"/>
          <w:spacing w:val="-3"/>
        </w:rPr>
        <w:t>rcular CREG 007 de 2014 estableció los formatos que las empresas debían diligenciar en su solicitud, dentro de los cuales se tiene</w:t>
      </w:r>
      <w:r>
        <w:rPr>
          <w:rFonts w:ascii="Bookman Old Style" w:hAnsi="Bookman Old Style"/>
          <w:spacing w:val="-3"/>
        </w:rPr>
        <w:t>n</w:t>
      </w:r>
      <w:r w:rsidR="00E4725B">
        <w:rPr>
          <w:rFonts w:ascii="Bookman Old Style" w:hAnsi="Bookman Old Style"/>
          <w:spacing w:val="-3"/>
        </w:rPr>
        <w:t xml:space="preserve"> </w:t>
      </w:r>
      <w:r>
        <w:rPr>
          <w:rFonts w:ascii="Bookman Old Style" w:hAnsi="Bookman Old Style"/>
          <w:spacing w:val="-3"/>
        </w:rPr>
        <w:t xml:space="preserve">el </w:t>
      </w:r>
      <w:r w:rsidR="00E4725B">
        <w:rPr>
          <w:rFonts w:ascii="Bookman Old Style" w:hAnsi="Bookman Old Style"/>
          <w:spacing w:val="-3"/>
        </w:rPr>
        <w:t xml:space="preserve">formato 2 </w:t>
      </w:r>
      <w:r>
        <w:rPr>
          <w:rFonts w:ascii="Bookman Old Style" w:hAnsi="Bookman Old Style"/>
          <w:spacing w:val="-3"/>
        </w:rPr>
        <w:t xml:space="preserve"> </w:t>
      </w:r>
      <w:r w:rsidRPr="00650082">
        <w:rPr>
          <w:rFonts w:ascii="Bookman Old Style" w:hAnsi="Bookman Old Style"/>
          <w:i/>
          <w:spacing w:val="-3"/>
        </w:rPr>
        <w:t>Cuentas PUC</w:t>
      </w:r>
      <w:r>
        <w:rPr>
          <w:rFonts w:ascii="Bookman Old Style" w:hAnsi="Bookman Old Style"/>
          <w:spacing w:val="-3"/>
        </w:rPr>
        <w:t xml:space="preserve"> y el formato 3 </w:t>
      </w:r>
      <w:r w:rsidRPr="00650082">
        <w:rPr>
          <w:rFonts w:ascii="Bookman Old Style" w:hAnsi="Bookman Old Style"/>
          <w:i/>
          <w:spacing w:val="-3"/>
        </w:rPr>
        <w:t>Otros costos y gastos</w:t>
      </w:r>
      <w:r>
        <w:rPr>
          <w:rFonts w:ascii="Bookman Old Style" w:hAnsi="Bookman Old Style"/>
          <w:spacing w:val="-3"/>
        </w:rPr>
        <w:t xml:space="preserve">. </w:t>
      </w:r>
    </w:p>
    <w:p w:rsidR="00E4725B" w:rsidRDefault="00650082" w:rsidP="009819A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En el primer</w:t>
      </w:r>
      <w:r w:rsidR="00B24811">
        <w:rPr>
          <w:rFonts w:ascii="Bookman Old Style" w:hAnsi="Bookman Old Style"/>
          <w:spacing w:val="-3"/>
        </w:rPr>
        <w:t xml:space="preserve"> formato</w:t>
      </w:r>
      <w:r>
        <w:rPr>
          <w:rFonts w:ascii="Bookman Old Style" w:hAnsi="Bookman Old Style"/>
          <w:spacing w:val="-3"/>
        </w:rPr>
        <w:t xml:space="preserve"> s</w:t>
      </w:r>
      <w:r w:rsidR="00E4725B" w:rsidRPr="00E4725B">
        <w:rPr>
          <w:rFonts w:ascii="Bookman Old Style" w:hAnsi="Bookman Old Style"/>
          <w:spacing w:val="-3"/>
        </w:rPr>
        <w:t xml:space="preserve">e </w:t>
      </w:r>
      <w:r>
        <w:rPr>
          <w:rFonts w:ascii="Bookman Old Style" w:hAnsi="Bookman Old Style"/>
          <w:spacing w:val="-3"/>
        </w:rPr>
        <w:t>solicitó</w:t>
      </w:r>
      <w:r w:rsidR="00E4725B" w:rsidRPr="00E4725B">
        <w:rPr>
          <w:rFonts w:ascii="Bookman Old Style" w:hAnsi="Bookman Old Style"/>
          <w:spacing w:val="-3"/>
        </w:rPr>
        <w:t xml:space="preserve"> consignar el valor</w:t>
      </w:r>
      <w:r>
        <w:rPr>
          <w:rFonts w:ascii="Bookman Old Style" w:hAnsi="Bookman Old Style"/>
          <w:spacing w:val="-3"/>
        </w:rPr>
        <w:t xml:space="preserve"> </w:t>
      </w:r>
      <w:r w:rsidR="00E4725B" w:rsidRPr="00E4725B">
        <w:rPr>
          <w:rFonts w:ascii="Bookman Old Style" w:hAnsi="Bookman Old Style"/>
          <w:spacing w:val="-3"/>
        </w:rPr>
        <w:t>de los costos y gastos de administración, operación y mantenimiento que se encuentra</w:t>
      </w:r>
      <w:r w:rsidR="00B24811">
        <w:rPr>
          <w:rFonts w:ascii="Bookman Old Style" w:hAnsi="Bookman Old Style"/>
          <w:spacing w:val="-3"/>
        </w:rPr>
        <w:t>n incluidos</w:t>
      </w:r>
      <w:r w:rsidR="00E4725B" w:rsidRPr="00E4725B">
        <w:rPr>
          <w:rFonts w:ascii="Bookman Old Style" w:hAnsi="Bookman Old Style"/>
          <w:spacing w:val="-3"/>
        </w:rPr>
        <w:t xml:space="preserve"> en la información de </w:t>
      </w:r>
      <w:r w:rsidR="00B24811">
        <w:rPr>
          <w:rFonts w:ascii="Bookman Old Style" w:hAnsi="Bookman Old Style"/>
          <w:spacing w:val="-3"/>
        </w:rPr>
        <w:t>c</w:t>
      </w:r>
      <w:r w:rsidR="00E4725B" w:rsidRPr="00E4725B">
        <w:rPr>
          <w:rFonts w:ascii="Bookman Old Style" w:hAnsi="Bookman Old Style"/>
          <w:spacing w:val="-3"/>
        </w:rPr>
        <w:t xml:space="preserve">ostos y </w:t>
      </w:r>
      <w:r w:rsidR="00B24811">
        <w:rPr>
          <w:rFonts w:ascii="Bookman Old Style" w:hAnsi="Bookman Old Style"/>
          <w:spacing w:val="-3"/>
        </w:rPr>
        <w:t>g</w:t>
      </w:r>
      <w:r w:rsidR="00E4725B" w:rsidRPr="00E4725B">
        <w:rPr>
          <w:rFonts w:ascii="Bookman Old Style" w:hAnsi="Bookman Old Style"/>
          <w:spacing w:val="-3"/>
        </w:rPr>
        <w:t>astos correspondiente a la Unidad de Servicio de Comercialización de Energía del sistema de costeo por actividades ABC reportada al SUI en los rubros codificados de acuerdo con el Plan Único de Cuentas</w:t>
      </w:r>
      <w:r>
        <w:rPr>
          <w:rFonts w:ascii="Bookman Old Style" w:hAnsi="Bookman Old Style"/>
          <w:spacing w:val="-3"/>
        </w:rPr>
        <w:t>,</w:t>
      </w:r>
      <w:r w:rsidR="00E4725B" w:rsidRPr="00E4725B">
        <w:rPr>
          <w:rFonts w:ascii="Bookman Old Style" w:hAnsi="Bookman Old Style"/>
          <w:spacing w:val="-3"/>
        </w:rPr>
        <w:t xml:space="preserve"> </w:t>
      </w:r>
      <w:r>
        <w:rPr>
          <w:rFonts w:ascii="Bookman Old Style" w:hAnsi="Bookman Old Style"/>
          <w:spacing w:val="-3"/>
        </w:rPr>
        <w:t xml:space="preserve"> en particular la cuenta 7530 (fila 21)</w:t>
      </w:r>
      <w:r w:rsidR="00E4725B" w:rsidRPr="00E4725B">
        <w:rPr>
          <w:rFonts w:ascii="Bookman Old Style" w:hAnsi="Bookman Old Style"/>
          <w:spacing w:val="-3"/>
        </w:rPr>
        <w:t>.</w:t>
      </w:r>
    </w:p>
    <w:p w:rsidR="00E4725B" w:rsidRDefault="00650082" w:rsidP="009819A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 igual forma, el formato 3 solicitó los c</w:t>
      </w:r>
      <w:r w:rsidR="00E4725B" w:rsidRPr="00E4725B">
        <w:rPr>
          <w:rFonts w:ascii="Bookman Old Style" w:hAnsi="Bookman Old Style"/>
          <w:spacing w:val="-3"/>
        </w:rPr>
        <w:t>ostos y gastos que no corresponden directamente a la actividad de comercialización de energía eléctrica a usuarios regulados o que son remunerados con cargos adicionales al cargo base de comercialización, cuyos costos están incluidos en la información reportada al SUI para la Unidad de Servicio de Comercialización de Energía Eléctrica del sistema</w:t>
      </w:r>
      <w:r>
        <w:rPr>
          <w:rFonts w:ascii="Bookman Old Style" w:hAnsi="Bookman Old Style"/>
          <w:spacing w:val="-3"/>
        </w:rPr>
        <w:t xml:space="preserve"> de costeo por actividades ABC, en particular el concepto de c</w:t>
      </w:r>
      <w:r w:rsidR="00E4725B" w:rsidRPr="00E4725B">
        <w:rPr>
          <w:rFonts w:ascii="Bookman Old Style" w:hAnsi="Bookman Old Style"/>
          <w:spacing w:val="-3"/>
        </w:rPr>
        <w:t>omercialización de energía a usuarios no regulados</w:t>
      </w:r>
      <w:r>
        <w:rPr>
          <w:rFonts w:ascii="Bookman Old Style" w:hAnsi="Bookman Old Style"/>
          <w:spacing w:val="-3"/>
        </w:rPr>
        <w:t xml:space="preserve"> (fila 5).</w:t>
      </w:r>
    </w:p>
    <w:p w:rsidR="00E4725B" w:rsidRDefault="00624266" w:rsidP="009819A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 acuerdo con lo anterior, la Comisión dio aplicación a la Resolución CREG 180 de 2014 para la </w:t>
      </w:r>
      <w:r w:rsidR="00B24811">
        <w:rPr>
          <w:rFonts w:ascii="Bookman Old Style" w:hAnsi="Bookman Old Style"/>
          <w:spacing w:val="-3"/>
        </w:rPr>
        <w:t>determinación</w:t>
      </w:r>
      <w:r>
        <w:rPr>
          <w:rFonts w:ascii="Bookman Old Style" w:hAnsi="Bookman Old Style"/>
          <w:spacing w:val="-3"/>
        </w:rPr>
        <w:t xml:space="preserve"> </w:t>
      </w:r>
      <w:r w:rsidRPr="00624266">
        <w:rPr>
          <w:rFonts w:ascii="Bookman Old Style" w:hAnsi="Bookman Old Style"/>
          <w:spacing w:val="-3"/>
        </w:rPr>
        <w:t>de</w:t>
      </w:r>
      <w:r>
        <w:rPr>
          <w:rFonts w:ascii="Bookman Old Style" w:hAnsi="Bookman Old Style"/>
          <w:spacing w:val="-3"/>
        </w:rPr>
        <w:t>l</w:t>
      </w:r>
      <w:r w:rsidRPr="00624266">
        <w:rPr>
          <w:rFonts w:ascii="Bookman Old Style" w:hAnsi="Bookman Old Style"/>
          <w:spacing w:val="-3"/>
        </w:rPr>
        <w:t xml:space="preserve"> reconocimiento del costo base de comercialización, el riesgo de cartera de usuarios tradicionales y el de usuarios de áreas especiales para el mercado de comercialización atendido por CEDENAR</w:t>
      </w:r>
      <w:r>
        <w:rPr>
          <w:rFonts w:ascii="Bookman Old Style" w:hAnsi="Bookman Old Style"/>
          <w:spacing w:val="-3"/>
        </w:rPr>
        <w:t>, sin que se cometiera un error en el cálculo con la información que disponía para tomar la decisión.</w:t>
      </w:r>
    </w:p>
    <w:p w:rsidR="00624266" w:rsidRDefault="00624266" w:rsidP="009819A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Tal como se señala en su comunicación, CEDENAR</w:t>
      </w:r>
      <w:r w:rsidR="00506E15">
        <w:rPr>
          <w:rFonts w:ascii="Bookman Old Style" w:hAnsi="Bookman Old Style"/>
          <w:spacing w:val="-3"/>
        </w:rPr>
        <w:t xml:space="preserve"> reconoce que</w:t>
      </w:r>
      <w:r>
        <w:rPr>
          <w:rFonts w:ascii="Bookman Old Style" w:hAnsi="Bookman Old Style"/>
          <w:spacing w:val="-3"/>
        </w:rPr>
        <w:t xml:space="preserve"> cometió un error involuntario envia</w:t>
      </w:r>
      <w:r w:rsidR="009323DB">
        <w:rPr>
          <w:rFonts w:ascii="Bookman Old Style" w:hAnsi="Bookman Old Style"/>
          <w:spacing w:val="-3"/>
        </w:rPr>
        <w:t>n</w:t>
      </w:r>
      <w:r>
        <w:rPr>
          <w:rFonts w:ascii="Bookman Old Style" w:hAnsi="Bookman Old Style"/>
          <w:spacing w:val="-3"/>
        </w:rPr>
        <w:t>do a la Comisión información equivocada sobre el valor de la energía destinada a la atención de usuarios no regulados y a los costos de la atención de este tipo de usuarios.</w:t>
      </w:r>
    </w:p>
    <w:p w:rsidR="00624266" w:rsidRDefault="00506E15" w:rsidP="009819A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No obstante lo anterior,</w:t>
      </w:r>
      <w:r w:rsidR="00624266">
        <w:rPr>
          <w:rFonts w:ascii="Bookman Old Style" w:hAnsi="Bookman Old Style"/>
          <w:spacing w:val="-3"/>
        </w:rPr>
        <w:t xml:space="preserve"> en aplicación </w:t>
      </w:r>
      <w:r w:rsidR="0063685E">
        <w:rPr>
          <w:rFonts w:ascii="Bookman Old Style" w:hAnsi="Bookman Old Style"/>
          <w:spacing w:val="-3"/>
        </w:rPr>
        <w:t>de los principios</w:t>
      </w:r>
      <w:r>
        <w:rPr>
          <w:rFonts w:ascii="Bookman Old Style" w:hAnsi="Bookman Old Style"/>
          <w:spacing w:val="-3"/>
        </w:rPr>
        <w:t xml:space="preserve"> de la función administrativa</w:t>
      </w:r>
      <w:r w:rsidR="0063685E">
        <w:rPr>
          <w:rFonts w:ascii="Bookman Old Style" w:hAnsi="Bookman Old Style"/>
          <w:spacing w:val="-3"/>
        </w:rPr>
        <w:t xml:space="preserve"> de </w:t>
      </w:r>
      <w:r w:rsidRPr="00BC40E0">
        <w:rPr>
          <w:rFonts w:ascii="Bookman Old Style" w:hAnsi="Bookman Old Style"/>
          <w:spacing w:val="-3"/>
        </w:rPr>
        <w:t>eficiencia</w:t>
      </w:r>
      <w:r w:rsidR="009872D0" w:rsidRPr="00BC40E0">
        <w:rPr>
          <w:rFonts w:ascii="Bookman Old Style" w:hAnsi="Bookman Old Style"/>
          <w:spacing w:val="-3"/>
        </w:rPr>
        <w:t>,</w:t>
      </w:r>
      <w:r w:rsidR="009872D0">
        <w:rPr>
          <w:rFonts w:ascii="Bookman Old Style" w:hAnsi="Bookman Old Style"/>
          <w:spacing w:val="-3"/>
        </w:rPr>
        <w:t xml:space="preserve"> eficacia y economía,</w:t>
      </w:r>
      <w:r w:rsidR="0063685E">
        <w:rPr>
          <w:rFonts w:ascii="Bookman Old Style" w:hAnsi="Bookman Old Style"/>
          <w:spacing w:val="-3"/>
        </w:rPr>
        <w:t xml:space="preserve"> la </w:t>
      </w:r>
      <w:r w:rsidR="009872D0">
        <w:rPr>
          <w:rFonts w:ascii="Bookman Old Style" w:hAnsi="Bookman Old Style"/>
          <w:spacing w:val="-3"/>
        </w:rPr>
        <w:t>C</w:t>
      </w:r>
      <w:r w:rsidR="0063685E">
        <w:rPr>
          <w:rFonts w:ascii="Bookman Old Style" w:hAnsi="Bookman Old Style"/>
          <w:spacing w:val="-3"/>
        </w:rPr>
        <w:t>omisión considera procedente realizar los ajustes a la información empleada en el cálculo del costo base de comercialización</w:t>
      </w:r>
      <w:r w:rsidR="009323DB">
        <w:rPr>
          <w:rFonts w:ascii="Bookman Old Style" w:hAnsi="Bookman Old Style"/>
          <w:spacing w:val="-3"/>
        </w:rPr>
        <w:t xml:space="preserve"> para no descontar dos veces el valor de la energía a </w:t>
      </w:r>
      <w:r w:rsidR="009323DB">
        <w:rPr>
          <w:rFonts w:ascii="Bookman Old Style" w:hAnsi="Bookman Old Style"/>
          <w:spacing w:val="-3"/>
        </w:rPr>
        <w:lastRenderedPageBreak/>
        <w:t>usuarios no regulados</w:t>
      </w:r>
      <w:r w:rsidR="00B24811">
        <w:rPr>
          <w:rFonts w:ascii="Bookman Old Style" w:hAnsi="Bookman Old Style"/>
          <w:spacing w:val="-3"/>
        </w:rPr>
        <w:t xml:space="preserve"> y corregir los costos de la atención a estos usuarios</w:t>
      </w:r>
      <w:r w:rsidR="009323DB">
        <w:rPr>
          <w:rFonts w:ascii="Bookman Old Style" w:hAnsi="Bookman Old Style"/>
          <w:spacing w:val="-3"/>
        </w:rPr>
        <w:t xml:space="preserve">. Al realizar los ajustes se </w:t>
      </w:r>
      <w:r w:rsidR="009C613C">
        <w:rPr>
          <w:rFonts w:ascii="Bookman Old Style" w:hAnsi="Bookman Old Style"/>
          <w:spacing w:val="-3"/>
        </w:rPr>
        <w:t>obt</w:t>
      </w:r>
      <w:r w:rsidR="009323DB">
        <w:rPr>
          <w:rFonts w:ascii="Bookman Old Style" w:hAnsi="Bookman Old Style"/>
          <w:spacing w:val="-3"/>
        </w:rPr>
        <w:t>ienen</w:t>
      </w:r>
      <w:r w:rsidR="009C613C">
        <w:rPr>
          <w:rFonts w:ascii="Bookman Old Style" w:hAnsi="Bookman Old Style"/>
          <w:spacing w:val="-3"/>
        </w:rPr>
        <w:t xml:space="preserve"> los siguientes resultados:</w:t>
      </w:r>
    </w:p>
    <w:p w:rsidR="009C613C" w:rsidRPr="009C613C" w:rsidRDefault="009C613C" w:rsidP="006B36C3">
      <w:pPr>
        <w:tabs>
          <w:tab w:val="left" w:pos="-720"/>
        </w:tabs>
        <w:suppressAutoHyphens/>
        <w:spacing w:before="240" w:after="240"/>
        <w:ind w:left="0"/>
        <w:jc w:val="center"/>
        <w:rPr>
          <w:rFonts w:ascii="Bookman Old Style" w:hAnsi="Bookman Old Style"/>
          <w:b/>
          <w:spacing w:val="-3"/>
        </w:rPr>
      </w:pPr>
      <w:r w:rsidRPr="009C613C">
        <w:rPr>
          <w:rFonts w:ascii="Bookman Old Style" w:hAnsi="Bookman Old Style"/>
          <w:b/>
          <w:spacing w:val="-3"/>
        </w:rPr>
        <w:t>Tabla 1. Gastos en la actividad de comercialización para los años 2009 a 2013</w:t>
      </w:r>
    </w:p>
    <w:tbl>
      <w:tblPr>
        <w:tblW w:w="9533"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8"/>
        <w:gridCol w:w="1531"/>
        <w:gridCol w:w="1531"/>
        <w:gridCol w:w="1531"/>
        <w:gridCol w:w="1531"/>
        <w:gridCol w:w="1531"/>
      </w:tblGrid>
      <w:tr w:rsidR="009C613C" w:rsidRPr="009C613C" w:rsidTr="00AA6BBD">
        <w:trPr>
          <w:trHeight w:val="362"/>
          <w:jc w:val="center"/>
        </w:trPr>
        <w:tc>
          <w:tcPr>
            <w:tcW w:w="1878" w:type="dxa"/>
            <w:shd w:val="clear" w:color="auto" w:fill="auto"/>
            <w:noWrap/>
            <w:vAlign w:val="center"/>
            <w:hideMark/>
          </w:tcPr>
          <w:p w:rsidR="009C613C" w:rsidRPr="009C613C" w:rsidRDefault="009C613C" w:rsidP="00CD3BC1">
            <w:pPr>
              <w:jc w:val="center"/>
              <w:rPr>
                <w:rFonts w:ascii="Bookman Old Style" w:hAnsi="Bookman Old Style"/>
                <w:b/>
                <w:color w:val="000000"/>
                <w:sz w:val="15"/>
                <w:szCs w:val="15"/>
                <w:lang w:eastAsia="es-CO"/>
              </w:rPr>
            </w:pPr>
            <w:r w:rsidRPr="009C613C">
              <w:rPr>
                <w:rFonts w:ascii="Bookman Old Style" w:hAnsi="Bookman Old Style"/>
                <w:b/>
                <w:color w:val="000000"/>
                <w:sz w:val="15"/>
                <w:szCs w:val="15"/>
                <w:lang w:eastAsia="es-CO"/>
              </w:rPr>
              <w:t>Concepto</w:t>
            </w:r>
          </w:p>
        </w:tc>
        <w:tc>
          <w:tcPr>
            <w:tcW w:w="1531" w:type="dxa"/>
            <w:vAlign w:val="center"/>
          </w:tcPr>
          <w:p w:rsidR="009C613C" w:rsidRPr="009C613C" w:rsidRDefault="009C613C" w:rsidP="009C613C">
            <w:pPr>
              <w:ind w:left="0"/>
              <w:jc w:val="center"/>
              <w:rPr>
                <w:rFonts w:ascii="Bookman Old Style" w:hAnsi="Bookman Old Style"/>
                <w:b/>
                <w:bCs/>
                <w:color w:val="000000"/>
                <w:sz w:val="15"/>
                <w:szCs w:val="15"/>
              </w:rPr>
            </w:pPr>
            <w:r w:rsidRPr="009C613C">
              <w:rPr>
                <w:rFonts w:ascii="Bookman Old Style" w:hAnsi="Bookman Old Style"/>
                <w:b/>
                <w:color w:val="000000"/>
                <w:sz w:val="15"/>
                <w:szCs w:val="15"/>
              </w:rPr>
              <w:t>2009</w:t>
            </w:r>
          </w:p>
        </w:tc>
        <w:tc>
          <w:tcPr>
            <w:tcW w:w="1531" w:type="dxa"/>
            <w:vAlign w:val="center"/>
          </w:tcPr>
          <w:p w:rsidR="009C613C" w:rsidRPr="009C613C" w:rsidRDefault="009C613C" w:rsidP="009C613C">
            <w:pPr>
              <w:ind w:left="0"/>
              <w:jc w:val="center"/>
              <w:rPr>
                <w:rFonts w:ascii="Bookman Old Style" w:hAnsi="Bookman Old Style"/>
                <w:b/>
                <w:bCs/>
                <w:color w:val="000000"/>
                <w:sz w:val="15"/>
                <w:szCs w:val="15"/>
              </w:rPr>
            </w:pPr>
            <w:r w:rsidRPr="009C613C">
              <w:rPr>
                <w:rFonts w:ascii="Bookman Old Style" w:hAnsi="Bookman Old Style"/>
                <w:b/>
                <w:color w:val="000000"/>
                <w:sz w:val="15"/>
                <w:szCs w:val="15"/>
              </w:rPr>
              <w:t>2010</w:t>
            </w:r>
          </w:p>
        </w:tc>
        <w:tc>
          <w:tcPr>
            <w:tcW w:w="1531" w:type="dxa"/>
            <w:vAlign w:val="center"/>
          </w:tcPr>
          <w:p w:rsidR="009C613C" w:rsidRPr="009C613C" w:rsidRDefault="009C613C" w:rsidP="009C613C">
            <w:pPr>
              <w:ind w:left="0"/>
              <w:jc w:val="center"/>
              <w:rPr>
                <w:rFonts w:ascii="Bookman Old Style" w:hAnsi="Bookman Old Style"/>
                <w:b/>
                <w:color w:val="000000"/>
                <w:sz w:val="15"/>
                <w:szCs w:val="15"/>
              </w:rPr>
            </w:pPr>
            <w:r w:rsidRPr="009C613C">
              <w:rPr>
                <w:rFonts w:ascii="Bookman Old Style" w:hAnsi="Bookman Old Style"/>
                <w:b/>
                <w:color w:val="000000"/>
                <w:sz w:val="15"/>
                <w:szCs w:val="15"/>
              </w:rPr>
              <w:t>2011</w:t>
            </w:r>
          </w:p>
        </w:tc>
        <w:tc>
          <w:tcPr>
            <w:tcW w:w="1531" w:type="dxa"/>
            <w:vAlign w:val="center"/>
          </w:tcPr>
          <w:p w:rsidR="009C613C" w:rsidRPr="009C613C" w:rsidRDefault="009C613C" w:rsidP="009C613C">
            <w:pPr>
              <w:ind w:left="0"/>
              <w:jc w:val="center"/>
              <w:rPr>
                <w:rFonts w:ascii="Bookman Old Style" w:hAnsi="Bookman Old Style"/>
                <w:b/>
                <w:color w:val="000000"/>
                <w:sz w:val="15"/>
                <w:szCs w:val="15"/>
              </w:rPr>
            </w:pPr>
            <w:r w:rsidRPr="009C613C">
              <w:rPr>
                <w:rFonts w:ascii="Bookman Old Style" w:hAnsi="Bookman Old Style"/>
                <w:b/>
                <w:color w:val="000000"/>
                <w:sz w:val="15"/>
                <w:szCs w:val="15"/>
              </w:rPr>
              <w:t>2012</w:t>
            </w:r>
          </w:p>
        </w:tc>
        <w:tc>
          <w:tcPr>
            <w:tcW w:w="1531" w:type="dxa"/>
            <w:vAlign w:val="center"/>
          </w:tcPr>
          <w:p w:rsidR="009C613C" w:rsidRPr="009C613C" w:rsidRDefault="009C613C" w:rsidP="009C613C">
            <w:pPr>
              <w:ind w:left="0"/>
              <w:jc w:val="center"/>
              <w:rPr>
                <w:rFonts w:ascii="Bookman Old Style" w:hAnsi="Bookman Old Style"/>
                <w:b/>
                <w:color w:val="000000"/>
                <w:sz w:val="15"/>
                <w:szCs w:val="15"/>
              </w:rPr>
            </w:pPr>
            <w:r w:rsidRPr="009C613C">
              <w:rPr>
                <w:rFonts w:ascii="Bookman Old Style" w:hAnsi="Bookman Old Style"/>
                <w:b/>
                <w:color w:val="000000"/>
                <w:sz w:val="15"/>
                <w:szCs w:val="15"/>
              </w:rPr>
              <w:t>2013</w:t>
            </w:r>
          </w:p>
        </w:tc>
      </w:tr>
      <w:tr w:rsidR="00BB291E" w:rsidRPr="009C613C" w:rsidTr="00AA6BBD">
        <w:trPr>
          <w:trHeight w:val="397"/>
          <w:jc w:val="center"/>
        </w:trPr>
        <w:tc>
          <w:tcPr>
            <w:tcW w:w="1878" w:type="dxa"/>
            <w:shd w:val="clear" w:color="auto" w:fill="auto"/>
            <w:noWrap/>
            <w:vAlign w:val="center"/>
            <w:hideMark/>
          </w:tcPr>
          <w:p w:rsidR="00BB291E" w:rsidRPr="009C613C" w:rsidRDefault="00BB291E" w:rsidP="009C613C">
            <w:pPr>
              <w:ind w:left="0"/>
              <w:rPr>
                <w:rFonts w:ascii="Bookman Old Style" w:hAnsi="Bookman Old Style"/>
                <w:color w:val="000000"/>
                <w:sz w:val="15"/>
                <w:szCs w:val="15"/>
                <w:lang w:eastAsia="es-CO"/>
              </w:rPr>
            </w:pPr>
            <w:r w:rsidRPr="009C613C">
              <w:rPr>
                <w:rFonts w:ascii="Bookman Old Style" w:hAnsi="Bookman Old Style"/>
                <w:color w:val="000000"/>
                <w:sz w:val="15"/>
                <w:szCs w:val="15"/>
                <w:lang w:eastAsia="es-CO"/>
              </w:rPr>
              <w:t>Valor de la cuenta 444</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148</w:t>
            </w:r>
            <w:r w:rsidR="00C60E4F">
              <w:rPr>
                <w:rFonts w:ascii="Bookman Old Style" w:hAnsi="Bookman Old Style"/>
                <w:color w:val="000000"/>
                <w:sz w:val="15"/>
                <w:szCs w:val="15"/>
              </w:rPr>
              <w:t>.</w:t>
            </w:r>
            <w:r w:rsidRPr="00BB291E">
              <w:rPr>
                <w:rFonts w:ascii="Bookman Old Style" w:hAnsi="Bookman Old Style"/>
                <w:color w:val="000000"/>
                <w:sz w:val="15"/>
                <w:szCs w:val="15"/>
              </w:rPr>
              <w:t>202</w:t>
            </w:r>
            <w:r w:rsidR="00C60E4F">
              <w:rPr>
                <w:rFonts w:ascii="Bookman Old Style" w:hAnsi="Bookman Old Style"/>
                <w:color w:val="000000"/>
                <w:sz w:val="15"/>
                <w:szCs w:val="15"/>
              </w:rPr>
              <w:t>.</w:t>
            </w:r>
            <w:r w:rsidRPr="00BB291E">
              <w:rPr>
                <w:rFonts w:ascii="Bookman Old Style" w:hAnsi="Bookman Old Style"/>
                <w:color w:val="000000"/>
                <w:sz w:val="15"/>
                <w:szCs w:val="15"/>
              </w:rPr>
              <w:t>852</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656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164</w:t>
            </w:r>
            <w:r w:rsidR="00C60E4F">
              <w:rPr>
                <w:rFonts w:ascii="Bookman Old Style" w:hAnsi="Bookman Old Style"/>
                <w:color w:val="000000"/>
                <w:sz w:val="15"/>
                <w:szCs w:val="15"/>
              </w:rPr>
              <w:t>.</w:t>
            </w:r>
            <w:r w:rsidRPr="00BB291E">
              <w:rPr>
                <w:rFonts w:ascii="Bookman Old Style" w:hAnsi="Bookman Old Style"/>
                <w:color w:val="000000"/>
                <w:sz w:val="15"/>
                <w:szCs w:val="15"/>
              </w:rPr>
              <w:t>341</w:t>
            </w:r>
            <w:r w:rsidR="00C60E4F">
              <w:rPr>
                <w:rFonts w:ascii="Bookman Old Style" w:hAnsi="Bookman Old Style"/>
                <w:color w:val="000000"/>
                <w:sz w:val="15"/>
                <w:szCs w:val="15"/>
              </w:rPr>
              <w:t>.</w:t>
            </w:r>
            <w:r w:rsidRPr="00BB291E">
              <w:rPr>
                <w:rFonts w:ascii="Bookman Old Style" w:hAnsi="Bookman Old Style"/>
                <w:color w:val="000000"/>
                <w:sz w:val="15"/>
                <w:szCs w:val="15"/>
              </w:rPr>
              <w:t>100</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999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173</w:t>
            </w:r>
            <w:r w:rsidR="00C60E4F">
              <w:rPr>
                <w:rFonts w:ascii="Bookman Old Style" w:hAnsi="Bookman Old Style"/>
                <w:color w:val="000000"/>
                <w:sz w:val="15"/>
                <w:szCs w:val="15"/>
              </w:rPr>
              <w:t>.</w:t>
            </w:r>
            <w:r w:rsidRPr="00BB291E">
              <w:rPr>
                <w:rFonts w:ascii="Bookman Old Style" w:hAnsi="Bookman Old Style"/>
                <w:color w:val="000000"/>
                <w:sz w:val="15"/>
                <w:szCs w:val="15"/>
              </w:rPr>
              <w:t>174</w:t>
            </w:r>
            <w:r w:rsidR="00C60E4F">
              <w:rPr>
                <w:rFonts w:ascii="Bookman Old Style" w:hAnsi="Bookman Old Style"/>
                <w:color w:val="000000"/>
                <w:sz w:val="15"/>
                <w:szCs w:val="15"/>
              </w:rPr>
              <w:t>.</w:t>
            </w:r>
            <w:r w:rsidRPr="00BB291E">
              <w:rPr>
                <w:rFonts w:ascii="Bookman Old Style" w:hAnsi="Bookman Old Style"/>
                <w:color w:val="000000"/>
                <w:sz w:val="15"/>
                <w:szCs w:val="15"/>
              </w:rPr>
              <w:t>622</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802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180</w:t>
            </w:r>
            <w:r w:rsidR="00C60E4F">
              <w:rPr>
                <w:rFonts w:ascii="Bookman Old Style" w:hAnsi="Bookman Old Style"/>
                <w:color w:val="000000"/>
                <w:sz w:val="15"/>
                <w:szCs w:val="15"/>
              </w:rPr>
              <w:t>.</w:t>
            </w:r>
            <w:r w:rsidRPr="00BB291E">
              <w:rPr>
                <w:rFonts w:ascii="Bookman Old Style" w:hAnsi="Bookman Old Style"/>
                <w:color w:val="000000"/>
                <w:sz w:val="15"/>
                <w:szCs w:val="15"/>
              </w:rPr>
              <w:t>710</w:t>
            </w:r>
            <w:r w:rsidR="00C60E4F">
              <w:rPr>
                <w:rFonts w:ascii="Bookman Old Style" w:hAnsi="Bookman Old Style"/>
                <w:color w:val="000000"/>
                <w:sz w:val="15"/>
                <w:szCs w:val="15"/>
              </w:rPr>
              <w:t>.</w:t>
            </w:r>
            <w:r w:rsidRPr="00BB291E">
              <w:rPr>
                <w:rFonts w:ascii="Bookman Old Style" w:hAnsi="Bookman Old Style"/>
                <w:color w:val="000000"/>
                <w:sz w:val="15"/>
                <w:szCs w:val="15"/>
              </w:rPr>
              <w:t>055</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074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175</w:t>
            </w:r>
            <w:r w:rsidR="00C60E4F">
              <w:rPr>
                <w:rFonts w:ascii="Bookman Old Style" w:hAnsi="Bookman Old Style"/>
                <w:color w:val="000000"/>
                <w:sz w:val="15"/>
                <w:szCs w:val="15"/>
              </w:rPr>
              <w:t>.</w:t>
            </w:r>
            <w:r w:rsidRPr="00BB291E">
              <w:rPr>
                <w:rFonts w:ascii="Bookman Old Style" w:hAnsi="Bookman Old Style"/>
                <w:color w:val="000000"/>
                <w:sz w:val="15"/>
                <w:szCs w:val="15"/>
              </w:rPr>
              <w:t>221</w:t>
            </w:r>
            <w:r w:rsidR="00C60E4F">
              <w:rPr>
                <w:rFonts w:ascii="Bookman Old Style" w:hAnsi="Bookman Old Style"/>
                <w:color w:val="000000"/>
                <w:sz w:val="15"/>
                <w:szCs w:val="15"/>
              </w:rPr>
              <w:t>.</w:t>
            </w:r>
            <w:r w:rsidRPr="00BB291E">
              <w:rPr>
                <w:rFonts w:ascii="Bookman Old Style" w:hAnsi="Bookman Old Style"/>
                <w:color w:val="000000"/>
                <w:sz w:val="15"/>
                <w:szCs w:val="15"/>
              </w:rPr>
              <w:t>035</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411 </w:t>
            </w:r>
          </w:p>
        </w:tc>
      </w:tr>
      <w:tr w:rsidR="00BB291E" w:rsidRPr="009C613C" w:rsidTr="006B36C3">
        <w:trPr>
          <w:trHeight w:val="875"/>
          <w:jc w:val="center"/>
        </w:trPr>
        <w:tc>
          <w:tcPr>
            <w:tcW w:w="1878" w:type="dxa"/>
            <w:shd w:val="clear" w:color="auto" w:fill="auto"/>
            <w:noWrap/>
            <w:vAlign w:val="center"/>
            <w:hideMark/>
          </w:tcPr>
          <w:p w:rsidR="00BB291E" w:rsidRPr="009C613C" w:rsidRDefault="00BB291E" w:rsidP="009C613C">
            <w:pPr>
              <w:ind w:left="0"/>
              <w:rPr>
                <w:rFonts w:ascii="Bookman Old Style" w:hAnsi="Bookman Old Style"/>
                <w:color w:val="000000"/>
                <w:sz w:val="15"/>
                <w:szCs w:val="15"/>
                <w:lang w:eastAsia="es-CO"/>
              </w:rPr>
            </w:pPr>
            <w:r w:rsidRPr="009C613C">
              <w:rPr>
                <w:rFonts w:ascii="Bookman Old Style" w:hAnsi="Bookman Old Style"/>
                <w:color w:val="000000"/>
                <w:sz w:val="15"/>
                <w:szCs w:val="15"/>
                <w:lang w:eastAsia="es-CO"/>
              </w:rPr>
              <w:t>Valor energía comercializada con destino al mercado regulado y no regulado</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99</w:t>
            </w:r>
            <w:r w:rsidR="00C60E4F">
              <w:rPr>
                <w:rFonts w:ascii="Bookman Old Style" w:hAnsi="Bookman Old Style"/>
                <w:color w:val="000000"/>
                <w:sz w:val="15"/>
                <w:szCs w:val="15"/>
              </w:rPr>
              <w:t>.</w:t>
            </w:r>
            <w:r w:rsidRPr="00BB291E">
              <w:rPr>
                <w:rFonts w:ascii="Bookman Old Style" w:hAnsi="Bookman Old Style"/>
                <w:color w:val="000000"/>
                <w:sz w:val="15"/>
                <w:szCs w:val="15"/>
              </w:rPr>
              <w:t>156</w:t>
            </w:r>
            <w:r w:rsidR="00C60E4F">
              <w:rPr>
                <w:rFonts w:ascii="Bookman Old Style" w:hAnsi="Bookman Old Style"/>
                <w:color w:val="000000"/>
                <w:sz w:val="15"/>
                <w:szCs w:val="15"/>
              </w:rPr>
              <w:t>.</w:t>
            </w:r>
            <w:r w:rsidRPr="00BB291E">
              <w:rPr>
                <w:rFonts w:ascii="Bookman Old Style" w:hAnsi="Bookman Old Style"/>
                <w:color w:val="000000"/>
                <w:sz w:val="15"/>
                <w:szCs w:val="15"/>
              </w:rPr>
              <w:t>399</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635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118</w:t>
            </w:r>
            <w:r w:rsidR="00C60E4F">
              <w:rPr>
                <w:rFonts w:ascii="Bookman Old Style" w:hAnsi="Bookman Old Style"/>
                <w:color w:val="000000"/>
                <w:sz w:val="15"/>
                <w:szCs w:val="15"/>
              </w:rPr>
              <w:t>.</w:t>
            </w:r>
            <w:r w:rsidRPr="00BB291E">
              <w:rPr>
                <w:rFonts w:ascii="Bookman Old Style" w:hAnsi="Bookman Old Style"/>
                <w:color w:val="000000"/>
                <w:sz w:val="15"/>
                <w:szCs w:val="15"/>
              </w:rPr>
              <w:t>487</w:t>
            </w:r>
            <w:r w:rsidR="00C60E4F">
              <w:rPr>
                <w:rFonts w:ascii="Bookman Old Style" w:hAnsi="Bookman Old Style"/>
                <w:color w:val="000000"/>
                <w:sz w:val="15"/>
                <w:szCs w:val="15"/>
              </w:rPr>
              <w:t>.</w:t>
            </w:r>
            <w:r w:rsidRPr="00BB291E">
              <w:rPr>
                <w:rFonts w:ascii="Bookman Old Style" w:hAnsi="Bookman Old Style"/>
                <w:color w:val="000000"/>
                <w:sz w:val="15"/>
                <w:szCs w:val="15"/>
              </w:rPr>
              <w:t>335</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576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113</w:t>
            </w:r>
            <w:r w:rsidR="00C60E4F">
              <w:rPr>
                <w:rFonts w:ascii="Bookman Old Style" w:hAnsi="Bookman Old Style"/>
                <w:color w:val="000000"/>
                <w:sz w:val="15"/>
                <w:szCs w:val="15"/>
              </w:rPr>
              <w:t>.</w:t>
            </w:r>
            <w:r w:rsidRPr="00BB291E">
              <w:rPr>
                <w:rFonts w:ascii="Bookman Old Style" w:hAnsi="Bookman Old Style"/>
                <w:color w:val="000000"/>
                <w:sz w:val="15"/>
                <w:szCs w:val="15"/>
              </w:rPr>
              <w:t>702</w:t>
            </w:r>
            <w:r w:rsidR="00C60E4F">
              <w:rPr>
                <w:rFonts w:ascii="Bookman Old Style" w:hAnsi="Bookman Old Style"/>
                <w:color w:val="000000"/>
                <w:sz w:val="15"/>
                <w:szCs w:val="15"/>
              </w:rPr>
              <w:t>.</w:t>
            </w:r>
            <w:r w:rsidRPr="00BB291E">
              <w:rPr>
                <w:rFonts w:ascii="Bookman Old Style" w:hAnsi="Bookman Old Style"/>
                <w:color w:val="000000"/>
                <w:sz w:val="15"/>
                <w:szCs w:val="15"/>
              </w:rPr>
              <w:t>900</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419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111</w:t>
            </w:r>
            <w:r w:rsidR="00C60E4F">
              <w:rPr>
                <w:rFonts w:ascii="Bookman Old Style" w:hAnsi="Bookman Old Style"/>
                <w:color w:val="000000"/>
                <w:sz w:val="15"/>
                <w:szCs w:val="15"/>
              </w:rPr>
              <w:t>.</w:t>
            </w:r>
            <w:r w:rsidRPr="00BB291E">
              <w:rPr>
                <w:rFonts w:ascii="Bookman Old Style" w:hAnsi="Bookman Old Style"/>
                <w:color w:val="000000"/>
                <w:sz w:val="15"/>
                <w:szCs w:val="15"/>
              </w:rPr>
              <w:t>848</w:t>
            </w:r>
            <w:r w:rsidR="00C60E4F">
              <w:rPr>
                <w:rFonts w:ascii="Bookman Old Style" w:hAnsi="Bookman Old Style"/>
                <w:color w:val="000000"/>
                <w:sz w:val="15"/>
                <w:szCs w:val="15"/>
              </w:rPr>
              <w:t>.</w:t>
            </w:r>
            <w:r w:rsidRPr="00BB291E">
              <w:rPr>
                <w:rFonts w:ascii="Bookman Old Style" w:hAnsi="Bookman Old Style"/>
                <w:color w:val="000000"/>
                <w:sz w:val="15"/>
                <w:szCs w:val="15"/>
              </w:rPr>
              <w:t>389</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416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107</w:t>
            </w:r>
            <w:r w:rsidR="00C60E4F">
              <w:rPr>
                <w:rFonts w:ascii="Bookman Old Style" w:hAnsi="Bookman Old Style"/>
                <w:color w:val="000000"/>
                <w:sz w:val="15"/>
                <w:szCs w:val="15"/>
              </w:rPr>
              <w:t>.</w:t>
            </w:r>
            <w:r w:rsidRPr="00BB291E">
              <w:rPr>
                <w:rFonts w:ascii="Bookman Old Style" w:hAnsi="Bookman Old Style"/>
                <w:color w:val="000000"/>
                <w:sz w:val="15"/>
                <w:szCs w:val="15"/>
              </w:rPr>
              <w:t>704</w:t>
            </w:r>
            <w:r w:rsidR="00C60E4F">
              <w:rPr>
                <w:rFonts w:ascii="Bookman Old Style" w:hAnsi="Bookman Old Style"/>
                <w:color w:val="000000"/>
                <w:sz w:val="15"/>
                <w:szCs w:val="15"/>
              </w:rPr>
              <w:t>.</w:t>
            </w:r>
            <w:r w:rsidRPr="00BB291E">
              <w:rPr>
                <w:rFonts w:ascii="Bookman Old Style" w:hAnsi="Bookman Old Style"/>
                <w:color w:val="000000"/>
                <w:sz w:val="15"/>
                <w:szCs w:val="15"/>
              </w:rPr>
              <w:t>705</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636 </w:t>
            </w:r>
          </w:p>
        </w:tc>
      </w:tr>
      <w:tr w:rsidR="00BB291E" w:rsidRPr="009C613C" w:rsidTr="00AA6BBD">
        <w:trPr>
          <w:trHeight w:val="397"/>
          <w:jc w:val="center"/>
        </w:trPr>
        <w:tc>
          <w:tcPr>
            <w:tcW w:w="1878" w:type="dxa"/>
            <w:shd w:val="clear" w:color="auto" w:fill="auto"/>
            <w:noWrap/>
            <w:vAlign w:val="center"/>
            <w:hideMark/>
          </w:tcPr>
          <w:p w:rsidR="00BB291E" w:rsidRPr="009C613C" w:rsidRDefault="00BB291E" w:rsidP="009C613C">
            <w:pPr>
              <w:ind w:left="0"/>
              <w:rPr>
                <w:rFonts w:ascii="Bookman Old Style" w:hAnsi="Bookman Old Style"/>
                <w:color w:val="000000"/>
                <w:sz w:val="15"/>
                <w:szCs w:val="15"/>
                <w:lang w:eastAsia="es-CO"/>
              </w:rPr>
            </w:pPr>
            <w:r w:rsidRPr="009C613C">
              <w:rPr>
                <w:rFonts w:ascii="Bookman Old Style" w:hAnsi="Bookman Old Style"/>
                <w:color w:val="000000"/>
                <w:sz w:val="15"/>
                <w:szCs w:val="15"/>
                <w:lang w:eastAsia="es-CO"/>
              </w:rPr>
              <w:t>Valores no incluidos en la actividad</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17</w:t>
            </w:r>
            <w:r w:rsidR="00C60E4F">
              <w:rPr>
                <w:rFonts w:ascii="Bookman Old Style" w:hAnsi="Bookman Old Style"/>
                <w:color w:val="000000"/>
                <w:sz w:val="15"/>
                <w:szCs w:val="15"/>
              </w:rPr>
              <w:t>.</w:t>
            </w:r>
            <w:r w:rsidRPr="00BB291E">
              <w:rPr>
                <w:rFonts w:ascii="Bookman Old Style" w:hAnsi="Bookman Old Style"/>
                <w:color w:val="000000"/>
                <w:sz w:val="15"/>
                <w:szCs w:val="15"/>
              </w:rPr>
              <w:t>207</w:t>
            </w:r>
            <w:r w:rsidR="00C60E4F">
              <w:rPr>
                <w:rFonts w:ascii="Bookman Old Style" w:hAnsi="Bookman Old Style"/>
                <w:color w:val="000000"/>
                <w:sz w:val="15"/>
                <w:szCs w:val="15"/>
              </w:rPr>
              <w:t>.</w:t>
            </w:r>
            <w:r w:rsidRPr="00BB291E">
              <w:rPr>
                <w:rFonts w:ascii="Bookman Old Style" w:hAnsi="Bookman Old Style"/>
                <w:color w:val="000000"/>
                <w:sz w:val="15"/>
                <w:szCs w:val="15"/>
              </w:rPr>
              <w:t>552</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129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14</w:t>
            </w:r>
            <w:r w:rsidR="00C60E4F">
              <w:rPr>
                <w:rFonts w:ascii="Bookman Old Style" w:hAnsi="Bookman Old Style"/>
                <w:color w:val="000000"/>
                <w:sz w:val="15"/>
                <w:szCs w:val="15"/>
              </w:rPr>
              <w:t>.</w:t>
            </w:r>
            <w:r w:rsidRPr="00BB291E">
              <w:rPr>
                <w:rFonts w:ascii="Bookman Old Style" w:hAnsi="Bookman Old Style"/>
                <w:color w:val="000000"/>
                <w:sz w:val="15"/>
                <w:szCs w:val="15"/>
              </w:rPr>
              <w:t>841</w:t>
            </w:r>
            <w:r w:rsidR="00C60E4F">
              <w:rPr>
                <w:rFonts w:ascii="Bookman Old Style" w:hAnsi="Bookman Old Style"/>
                <w:color w:val="000000"/>
                <w:sz w:val="15"/>
                <w:szCs w:val="15"/>
              </w:rPr>
              <w:t>.</w:t>
            </w:r>
            <w:r w:rsidRPr="00BB291E">
              <w:rPr>
                <w:rFonts w:ascii="Bookman Old Style" w:hAnsi="Bookman Old Style"/>
                <w:color w:val="000000"/>
                <w:sz w:val="15"/>
                <w:szCs w:val="15"/>
              </w:rPr>
              <w:t>768</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745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25</w:t>
            </w:r>
            <w:r w:rsidR="00C60E4F">
              <w:rPr>
                <w:rFonts w:ascii="Bookman Old Style" w:hAnsi="Bookman Old Style"/>
                <w:color w:val="000000"/>
                <w:sz w:val="15"/>
                <w:szCs w:val="15"/>
              </w:rPr>
              <w:t>.</w:t>
            </w:r>
            <w:r w:rsidRPr="00BB291E">
              <w:rPr>
                <w:rFonts w:ascii="Bookman Old Style" w:hAnsi="Bookman Old Style"/>
                <w:color w:val="000000"/>
                <w:sz w:val="15"/>
                <w:szCs w:val="15"/>
              </w:rPr>
              <w:t>574</w:t>
            </w:r>
            <w:r w:rsidR="00C60E4F">
              <w:rPr>
                <w:rFonts w:ascii="Bookman Old Style" w:hAnsi="Bookman Old Style"/>
                <w:color w:val="000000"/>
                <w:sz w:val="15"/>
                <w:szCs w:val="15"/>
              </w:rPr>
              <w:t>.</w:t>
            </w:r>
            <w:r w:rsidRPr="00BB291E">
              <w:rPr>
                <w:rFonts w:ascii="Bookman Old Style" w:hAnsi="Bookman Old Style"/>
                <w:color w:val="000000"/>
                <w:sz w:val="15"/>
                <w:szCs w:val="15"/>
              </w:rPr>
              <w:t>158</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013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32</w:t>
            </w:r>
            <w:r w:rsidR="00C60E4F">
              <w:rPr>
                <w:rFonts w:ascii="Bookman Old Style" w:hAnsi="Bookman Old Style"/>
                <w:color w:val="000000"/>
                <w:sz w:val="15"/>
                <w:szCs w:val="15"/>
              </w:rPr>
              <w:t>.</w:t>
            </w:r>
            <w:r w:rsidRPr="00BB291E">
              <w:rPr>
                <w:rFonts w:ascii="Bookman Old Style" w:hAnsi="Bookman Old Style"/>
                <w:color w:val="000000"/>
                <w:sz w:val="15"/>
                <w:szCs w:val="15"/>
              </w:rPr>
              <w:t>239</w:t>
            </w:r>
            <w:r w:rsidR="00C60E4F">
              <w:rPr>
                <w:rFonts w:ascii="Bookman Old Style" w:hAnsi="Bookman Old Style"/>
                <w:color w:val="000000"/>
                <w:sz w:val="15"/>
                <w:szCs w:val="15"/>
              </w:rPr>
              <w:t>.</w:t>
            </w:r>
            <w:r w:rsidRPr="00BB291E">
              <w:rPr>
                <w:rFonts w:ascii="Bookman Old Style" w:hAnsi="Bookman Old Style"/>
                <w:color w:val="000000"/>
                <w:sz w:val="15"/>
                <w:szCs w:val="15"/>
              </w:rPr>
              <w:t>715</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076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26</w:t>
            </w:r>
            <w:r w:rsidR="00C60E4F">
              <w:rPr>
                <w:rFonts w:ascii="Bookman Old Style" w:hAnsi="Bookman Old Style"/>
                <w:color w:val="000000"/>
                <w:sz w:val="15"/>
                <w:szCs w:val="15"/>
              </w:rPr>
              <w:t>.</w:t>
            </w:r>
            <w:r w:rsidRPr="00BB291E">
              <w:rPr>
                <w:rFonts w:ascii="Bookman Old Style" w:hAnsi="Bookman Old Style"/>
                <w:color w:val="000000"/>
                <w:sz w:val="15"/>
                <w:szCs w:val="15"/>
              </w:rPr>
              <w:t>613</w:t>
            </w:r>
            <w:r w:rsidR="00C60E4F">
              <w:rPr>
                <w:rFonts w:ascii="Bookman Old Style" w:hAnsi="Bookman Old Style"/>
                <w:color w:val="000000"/>
                <w:sz w:val="15"/>
                <w:szCs w:val="15"/>
              </w:rPr>
              <w:t>.</w:t>
            </w:r>
            <w:r w:rsidRPr="00BB291E">
              <w:rPr>
                <w:rFonts w:ascii="Bookman Old Style" w:hAnsi="Bookman Old Style"/>
                <w:color w:val="000000"/>
                <w:sz w:val="15"/>
                <w:szCs w:val="15"/>
              </w:rPr>
              <w:t>380</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945 </w:t>
            </w:r>
          </w:p>
        </w:tc>
      </w:tr>
      <w:tr w:rsidR="00BB291E" w:rsidRPr="009C613C" w:rsidTr="00AA6BBD">
        <w:trPr>
          <w:trHeight w:val="397"/>
          <w:jc w:val="center"/>
        </w:trPr>
        <w:tc>
          <w:tcPr>
            <w:tcW w:w="1878" w:type="dxa"/>
            <w:shd w:val="clear" w:color="auto" w:fill="auto"/>
            <w:noWrap/>
            <w:vAlign w:val="center"/>
            <w:hideMark/>
          </w:tcPr>
          <w:p w:rsidR="00BB291E" w:rsidRPr="009C613C" w:rsidRDefault="00BB291E" w:rsidP="009C613C">
            <w:pPr>
              <w:ind w:left="0"/>
              <w:rPr>
                <w:rFonts w:ascii="Bookman Old Style" w:hAnsi="Bookman Old Style"/>
                <w:color w:val="000000"/>
                <w:sz w:val="15"/>
                <w:szCs w:val="15"/>
                <w:lang w:eastAsia="es-CO"/>
              </w:rPr>
            </w:pPr>
            <w:r w:rsidRPr="009C613C">
              <w:rPr>
                <w:rFonts w:ascii="Bookman Old Style" w:hAnsi="Bookman Old Style"/>
                <w:color w:val="000000"/>
                <w:sz w:val="15"/>
                <w:szCs w:val="15"/>
                <w:lang w:eastAsia="es-CO"/>
              </w:rPr>
              <w:t>Gastos en la gestión de pérdidas</w:t>
            </w:r>
          </w:p>
        </w:tc>
        <w:tc>
          <w:tcPr>
            <w:tcW w:w="1531" w:type="dxa"/>
            <w:vAlign w:val="center"/>
          </w:tcPr>
          <w:p w:rsidR="00BB291E" w:rsidRPr="009C613C" w:rsidRDefault="00BB291E" w:rsidP="00BB291E">
            <w:pPr>
              <w:ind w:left="0"/>
              <w:jc w:val="right"/>
              <w:rPr>
                <w:rFonts w:ascii="Bookman Old Style" w:hAnsi="Bookman Old Style"/>
                <w:color w:val="000000"/>
                <w:sz w:val="15"/>
                <w:szCs w:val="15"/>
              </w:rPr>
            </w:pPr>
            <w:r w:rsidRPr="009C613C">
              <w:rPr>
                <w:rFonts w:ascii="Bookman Old Style" w:hAnsi="Bookman Old Style"/>
                <w:color w:val="000000"/>
                <w:sz w:val="15"/>
                <w:szCs w:val="15"/>
              </w:rPr>
              <w:t>294.256.946</w:t>
            </w:r>
          </w:p>
        </w:tc>
        <w:tc>
          <w:tcPr>
            <w:tcW w:w="1531" w:type="dxa"/>
            <w:vAlign w:val="center"/>
          </w:tcPr>
          <w:p w:rsidR="00BB291E" w:rsidRPr="009C613C" w:rsidRDefault="00BB291E" w:rsidP="00BB291E">
            <w:pPr>
              <w:ind w:left="0"/>
              <w:jc w:val="right"/>
              <w:rPr>
                <w:rFonts w:ascii="Bookman Old Style" w:hAnsi="Bookman Old Style"/>
                <w:color w:val="000000"/>
                <w:sz w:val="15"/>
                <w:szCs w:val="15"/>
              </w:rPr>
            </w:pPr>
            <w:r w:rsidRPr="009C613C">
              <w:rPr>
                <w:rFonts w:ascii="Bookman Old Style" w:hAnsi="Bookman Old Style"/>
                <w:color w:val="000000"/>
                <w:sz w:val="15"/>
                <w:szCs w:val="15"/>
              </w:rPr>
              <w:t>623.028.677</w:t>
            </w:r>
          </w:p>
        </w:tc>
        <w:tc>
          <w:tcPr>
            <w:tcW w:w="1531" w:type="dxa"/>
            <w:vAlign w:val="center"/>
          </w:tcPr>
          <w:p w:rsidR="00BB291E" w:rsidRPr="009C613C" w:rsidRDefault="00BB291E" w:rsidP="00BB291E">
            <w:pPr>
              <w:ind w:left="0"/>
              <w:jc w:val="right"/>
              <w:rPr>
                <w:rFonts w:ascii="Bookman Old Style" w:hAnsi="Bookman Old Style"/>
                <w:sz w:val="15"/>
                <w:szCs w:val="15"/>
              </w:rPr>
            </w:pPr>
            <w:r w:rsidRPr="009C613C">
              <w:rPr>
                <w:rFonts w:ascii="Bookman Old Style" w:hAnsi="Bookman Old Style"/>
                <w:color w:val="000000"/>
                <w:sz w:val="15"/>
                <w:szCs w:val="15"/>
              </w:rPr>
              <w:t>1.210.902.907</w:t>
            </w:r>
          </w:p>
        </w:tc>
        <w:tc>
          <w:tcPr>
            <w:tcW w:w="1531" w:type="dxa"/>
            <w:vAlign w:val="center"/>
          </w:tcPr>
          <w:p w:rsidR="00BB291E" w:rsidRPr="009C613C" w:rsidRDefault="00BB291E" w:rsidP="00BB291E">
            <w:pPr>
              <w:ind w:left="0"/>
              <w:jc w:val="right"/>
              <w:rPr>
                <w:rFonts w:ascii="Bookman Old Style" w:hAnsi="Bookman Old Style"/>
                <w:sz w:val="15"/>
                <w:szCs w:val="15"/>
              </w:rPr>
            </w:pPr>
            <w:r w:rsidRPr="009C613C">
              <w:rPr>
                <w:rFonts w:ascii="Bookman Old Style" w:hAnsi="Bookman Old Style"/>
                <w:color w:val="000000"/>
                <w:sz w:val="15"/>
                <w:szCs w:val="15"/>
              </w:rPr>
              <w:t>1.188.301.156</w:t>
            </w:r>
          </w:p>
        </w:tc>
        <w:tc>
          <w:tcPr>
            <w:tcW w:w="1531" w:type="dxa"/>
            <w:vAlign w:val="center"/>
          </w:tcPr>
          <w:p w:rsidR="00BB291E" w:rsidRPr="009C613C" w:rsidRDefault="00BB291E" w:rsidP="00BB291E">
            <w:pPr>
              <w:ind w:left="0"/>
              <w:jc w:val="right"/>
              <w:rPr>
                <w:rFonts w:ascii="Bookman Old Style" w:hAnsi="Bookman Old Style"/>
                <w:sz w:val="15"/>
                <w:szCs w:val="15"/>
              </w:rPr>
            </w:pPr>
            <w:r w:rsidRPr="009C613C">
              <w:rPr>
                <w:rFonts w:ascii="Bookman Old Style" w:hAnsi="Bookman Old Style"/>
                <w:color w:val="000000"/>
                <w:sz w:val="15"/>
                <w:szCs w:val="15"/>
              </w:rPr>
              <w:t>1.415.834.838</w:t>
            </w:r>
          </w:p>
        </w:tc>
      </w:tr>
      <w:tr w:rsidR="00BB291E" w:rsidRPr="009C613C" w:rsidTr="00AA6BBD">
        <w:trPr>
          <w:trHeight w:val="397"/>
          <w:jc w:val="center"/>
        </w:trPr>
        <w:tc>
          <w:tcPr>
            <w:tcW w:w="1878" w:type="dxa"/>
            <w:shd w:val="clear" w:color="auto" w:fill="auto"/>
            <w:noWrap/>
            <w:vAlign w:val="center"/>
            <w:hideMark/>
          </w:tcPr>
          <w:p w:rsidR="00BB291E" w:rsidRPr="009C613C" w:rsidRDefault="00BB291E" w:rsidP="009C613C">
            <w:pPr>
              <w:ind w:left="0"/>
              <w:rPr>
                <w:rFonts w:ascii="Bookman Old Style" w:hAnsi="Bookman Old Style"/>
                <w:color w:val="000000"/>
                <w:sz w:val="15"/>
                <w:szCs w:val="15"/>
                <w:lang w:eastAsia="es-CO"/>
              </w:rPr>
            </w:pPr>
            <w:r w:rsidRPr="009C613C">
              <w:rPr>
                <w:rFonts w:ascii="Bookman Old Style" w:hAnsi="Bookman Old Style"/>
                <w:color w:val="000000"/>
                <w:sz w:val="15"/>
                <w:szCs w:val="15"/>
                <w:lang w:eastAsia="es-CO"/>
              </w:rPr>
              <w:t>Costos contribuciones CREG y SSPD</w:t>
            </w:r>
          </w:p>
        </w:tc>
        <w:tc>
          <w:tcPr>
            <w:tcW w:w="1531" w:type="dxa"/>
            <w:vAlign w:val="center"/>
          </w:tcPr>
          <w:p w:rsidR="00BB291E" w:rsidRPr="009C613C" w:rsidRDefault="00BB291E" w:rsidP="00BB291E">
            <w:pPr>
              <w:ind w:left="0"/>
              <w:jc w:val="right"/>
              <w:rPr>
                <w:rFonts w:ascii="Bookman Old Style" w:hAnsi="Bookman Old Style"/>
                <w:color w:val="000000"/>
                <w:sz w:val="15"/>
                <w:szCs w:val="15"/>
              </w:rPr>
            </w:pPr>
            <w:r w:rsidRPr="009C613C">
              <w:rPr>
                <w:rFonts w:ascii="Bookman Old Style" w:hAnsi="Bookman Old Style"/>
                <w:color w:val="000000"/>
                <w:sz w:val="15"/>
                <w:szCs w:val="15"/>
              </w:rPr>
              <w:t>404.916.000</w:t>
            </w:r>
          </w:p>
        </w:tc>
        <w:tc>
          <w:tcPr>
            <w:tcW w:w="1531" w:type="dxa"/>
            <w:vAlign w:val="center"/>
          </w:tcPr>
          <w:p w:rsidR="00BB291E" w:rsidRPr="009C613C" w:rsidRDefault="00BB291E" w:rsidP="00BB291E">
            <w:pPr>
              <w:ind w:left="0"/>
              <w:jc w:val="right"/>
              <w:rPr>
                <w:rFonts w:ascii="Bookman Old Style" w:hAnsi="Bookman Old Style"/>
                <w:color w:val="000000"/>
                <w:sz w:val="15"/>
                <w:szCs w:val="15"/>
              </w:rPr>
            </w:pPr>
            <w:r w:rsidRPr="009C613C">
              <w:rPr>
                <w:rFonts w:ascii="Bookman Old Style" w:hAnsi="Bookman Old Style"/>
                <w:color w:val="000000"/>
                <w:sz w:val="15"/>
                <w:szCs w:val="15"/>
              </w:rPr>
              <w:t>504.206.072</w:t>
            </w:r>
          </w:p>
        </w:tc>
        <w:tc>
          <w:tcPr>
            <w:tcW w:w="1531" w:type="dxa"/>
            <w:vAlign w:val="center"/>
          </w:tcPr>
          <w:p w:rsidR="00BB291E" w:rsidRPr="009C613C" w:rsidRDefault="00BB291E" w:rsidP="00BB291E">
            <w:pPr>
              <w:ind w:left="0"/>
              <w:jc w:val="right"/>
              <w:rPr>
                <w:rFonts w:ascii="Bookman Old Style" w:hAnsi="Bookman Old Style"/>
                <w:sz w:val="15"/>
                <w:szCs w:val="15"/>
              </w:rPr>
            </w:pPr>
            <w:r w:rsidRPr="009C613C">
              <w:rPr>
                <w:rFonts w:ascii="Bookman Old Style" w:hAnsi="Bookman Old Style"/>
                <w:color w:val="000000"/>
                <w:sz w:val="15"/>
                <w:szCs w:val="15"/>
              </w:rPr>
              <w:t>769.483.700</w:t>
            </w:r>
          </w:p>
        </w:tc>
        <w:tc>
          <w:tcPr>
            <w:tcW w:w="1531" w:type="dxa"/>
            <w:vAlign w:val="center"/>
          </w:tcPr>
          <w:p w:rsidR="00BB291E" w:rsidRPr="009C613C" w:rsidRDefault="00BB291E" w:rsidP="00BB291E">
            <w:pPr>
              <w:ind w:left="0"/>
              <w:jc w:val="right"/>
              <w:rPr>
                <w:rFonts w:ascii="Bookman Old Style" w:hAnsi="Bookman Old Style"/>
                <w:sz w:val="15"/>
                <w:szCs w:val="15"/>
              </w:rPr>
            </w:pPr>
            <w:r w:rsidRPr="009C613C">
              <w:rPr>
                <w:rFonts w:ascii="Bookman Old Style" w:hAnsi="Bookman Old Style"/>
                <w:color w:val="000000"/>
                <w:sz w:val="15"/>
                <w:szCs w:val="15"/>
              </w:rPr>
              <w:t>897.710.136</w:t>
            </w:r>
          </w:p>
        </w:tc>
        <w:tc>
          <w:tcPr>
            <w:tcW w:w="1531" w:type="dxa"/>
            <w:vAlign w:val="center"/>
          </w:tcPr>
          <w:p w:rsidR="00BB291E" w:rsidRPr="009C613C" w:rsidRDefault="00BB291E" w:rsidP="00BB291E">
            <w:pPr>
              <w:ind w:left="0"/>
              <w:jc w:val="right"/>
              <w:rPr>
                <w:rFonts w:ascii="Bookman Old Style" w:hAnsi="Bookman Old Style"/>
                <w:sz w:val="15"/>
                <w:szCs w:val="15"/>
              </w:rPr>
            </w:pPr>
            <w:r w:rsidRPr="009C613C">
              <w:rPr>
                <w:rFonts w:ascii="Bookman Old Style" w:hAnsi="Bookman Old Style"/>
                <w:color w:val="000000"/>
                <w:sz w:val="15"/>
                <w:szCs w:val="15"/>
              </w:rPr>
              <w:t>869.438.176</w:t>
            </w:r>
          </w:p>
        </w:tc>
      </w:tr>
      <w:tr w:rsidR="00BB291E" w:rsidRPr="009C613C" w:rsidTr="00AA6BBD">
        <w:trPr>
          <w:trHeight w:val="397"/>
          <w:jc w:val="center"/>
        </w:trPr>
        <w:tc>
          <w:tcPr>
            <w:tcW w:w="1878" w:type="dxa"/>
            <w:shd w:val="clear" w:color="auto" w:fill="auto"/>
            <w:noWrap/>
            <w:vAlign w:val="center"/>
            <w:hideMark/>
          </w:tcPr>
          <w:p w:rsidR="00BB291E" w:rsidRPr="009C613C" w:rsidRDefault="00BB291E" w:rsidP="009C613C">
            <w:pPr>
              <w:ind w:left="0"/>
              <w:rPr>
                <w:rFonts w:ascii="Bookman Old Style" w:hAnsi="Bookman Old Style"/>
                <w:color w:val="000000"/>
                <w:sz w:val="15"/>
                <w:szCs w:val="15"/>
                <w:lang w:eastAsia="es-CO"/>
              </w:rPr>
            </w:pPr>
            <w:r w:rsidRPr="009C613C">
              <w:rPr>
                <w:rFonts w:ascii="Bookman Old Style" w:hAnsi="Bookman Old Style"/>
                <w:color w:val="000000"/>
                <w:sz w:val="15"/>
                <w:szCs w:val="15"/>
                <w:lang w:eastAsia="es-CO"/>
              </w:rPr>
              <w:t>Otros costos y gastos</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2</w:t>
            </w:r>
            <w:r w:rsidR="00C60E4F">
              <w:rPr>
                <w:rFonts w:ascii="Bookman Old Style" w:hAnsi="Bookman Old Style"/>
                <w:color w:val="000000"/>
                <w:sz w:val="15"/>
                <w:szCs w:val="15"/>
              </w:rPr>
              <w:t>.</w:t>
            </w:r>
            <w:r w:rsidRPr="00BB291E">
              <w:rPr>
                <w:rFonts w:ascii="Bookman Old Style" w:hAnsi="Bookman Old Style"/>
                <w:color w:val="000000"/>
                <w:sz w:val="15"/>
                <w:szCs w:val="15"/>
              </w:rPr>
              <w:t>480</w:t>
            </w:r>
            <w:r w:rsidR="00C60E4F">
              <w:rPr>
                <w:rFonts w:ascii="Bookman Old Style" w:hAnsi="Bookman Old Style"/>
                <w:color w:val="000000"/>
                <w:sz w:val="15"/>
                <w:szCs w:val="15"/>
              </w:rPr>
              <w:t>.</w:t>
            </w:r>
            <w:r w:rsidRPr="00BB291E">
              <w:rPr>
                <w:rFonts w:ascii="Bookman Old Style" w:hAnsi="Bookman Old Style"/>
                <w:color w:val="000000"/>
                <w:sz w:val="15"/>
                <w:szCs w:val="15"/>
              </w:rPr>
              <w:t>792</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023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2</w:t>
            </w:r>
            <w:r w:rsidR="00C60E4F">
              <w:rPr>
                <w:rFonts w:ascii="Bookman Old Style" w:hAnsi="Bookman Old Style"/>
                <w:color w:val="000000"/>
                <w:sz w:val="15"/>
                <w:szCs w:val="15"/>
              </w:rPr>
              <w:t>.</w:t>
            </w:r>
            <w:r w:rsidRPr="00BB291E">
              <w:rPr>
                <w:rFonts w:ascii="Bookman Old Style" w:hAnsi="Bookman Old Style"/>
                <w:color w:val="000000"/>
                <w:sz w:val="15"/>
                <w:szCs w:val="15"/>
              </w:rPr>
              <w:t>064</w:t>
            </w:r>
            <w:r w:rsidR="00C60E4F">
              <w:rPr>
                <w:rFonts w:ascii="Bookman Old Style" w:hAnsi="Bookman Old Style"/>
                <w:color w:val="000000"/>
                <w:sz w:val="15"/>
                <w:szCs w:val="15"/>
              </w:rPr>
              <w:t>.</w:t>
            </w:r>
            <w:r w:rsidRPr="00BB291E">
              <w:rPr>
                <w:rFonts w:ascii="Bookman Old Style" w:hAnsi="Bookman Old Style"/>
                <w:color w:val="000000"/>
                <w:sz w:val="15"/>
                <w:szCs w:val="15"/>
              </w:rPr>
              <w:t>932</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452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2</w:t>
            </w:r>
            <w:r w:rsidR="00C60E4F">
              <w:rPr>
                <w:rFonts w:ascii="Bookman Old Style" w:hAnsi="Bookman Old Style"/>
                <w:color w:val="000000"/>
                <w:sz w:val="15"/>
                <w:szCs w:val="15"/>
              </w:rPr>
              <w:t>.</w:t>
            </w:r>
            <w:r w:rsidRPr="00BB291E">
              <w:rPr>
                <w:rFonts w:ascii="Bookman Old Style" w:hAnsi="Bookman Old Style"/>
                <w:color w:val="000000"/>
                <w:sz w:val="15"/>
                <w:szCs w:val="15"/>
              </w:rPr>
              <w:t>904</w:t>
            </w:r>
            <w:r w:rsidR="00C60E4F">
              <w:rPr>
                <w:rFonts w:ascii="Bookman Old Style" w:hAnsi="Bookman Old Style"/>
                <w:color w:val="000000"/>
                <w:sz w:val="15"/>
                <w:szCs w:val="15"/>
              </w:rPr>
              <w:t>.</w:t>
            </w:r>
            <w:r w:rsidRPr="00BB291E">
              <w:rPr>
                <w:rFonts w:ascii="Bookman Old Style" w:hAnsi="Bookman Old Style"/>
                <w:color w:val="000000"/>
                <w:sz w:val="15"/>
                <w:szCs w:val="15"/>
              </w:rPr>
              <w:t>322</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288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3</w:t>
            </w:r>
            <w:r w:rsidR="00C60E4F">
              <w:rPr>
                <w:rFonts w:ascii="Bookman Old Style" w:hAnsi="Bookman Old Style"/>
                <w:color w:val="000000"/>
                <w:sz w:val="15"/>
                <w:szCs w:val="15"/>
              </w:rPr>
              <w:t>.</w:t>
            </w:r>
            <w:r w:rsidRPr="00BB291E">
              <w:rPr>
                <w:rFonts w:ascii="Bookman Old Style" w:hAnsi="Bookman Old Style"/>
                <w:color w:val="000000"/>
                <w:sz w:val="15"/>
                <w:szCs w:val="15"/>
              </w:rPr>
              <w:t>080</w:t>
            </w:r>
            <w:r w:rsidR="00C60E4F">
              <w:rPr>
                <w:rFonts w:ascii="Bookman Old Style" w:hAnsi="Bookman Old Style"/>
                <w:color w:val="000000"/>
                <w:sz w:val="15"/>
                <w:szCs w:val="15"/>
              </w:rPr>
              <w:t>.</w:t>
            </w:r>
            <w:r w:rsidRPr="00BB291E">
              <w:rPr>
                <w:rFonts w:ascii="Bookman Old Style" w:hAnsi="Bookman Old Style"/>
                <w:color w:val="000000"/>
                <w:sz w:val="15"/>
                <w:szCs w:val="15"/>
              </w:rPr>
              <w:t>189</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210 </w:t>
            </w:r>
          </w:p>
        </w:tc>
        <w:tc>
          <w:tcPr>
            <w:tcW w:w="1531" w:type="dxa"/>
            <w:vAlign w:val="center"/>
          </w:tcPr>
          <w:p w:rsidR="00BB291E" w:rsidRPr="00BB291E" w:rsidRDefault="00BB291E" w:rsidP="00BB291E">
            <w:pPr>
              <w:ind w:left="0"/>
              <w:jc w:val="right"/>
              <w:rPr>
                <w:rFonts w:ascii="Bookman Old Style" w:hAnsi="Bookman Old Style"/>
                <w:color w:val="000000"/>
                <w:sz w:val="15"/>
                <w:szCs w:val="15"/>
              </w:rPr>
            </w:pPr>
            <w:r w:rsidRPr="00BB291E">
              <w:rPr>
                <w:rFonts w:ascii="Bookman Old Style" w:hAnsi="Bookman Old Style"/>
                <w:color w:val="000000"/>
                <w:sz w:val="15"/>
                <w:szCs w:val="15"/>
              </w:rPr>
              <w:t xml:space="preserve"> 3</w:t>
            </w:r>
            <w:r w:rsidR="00C60E4F">
              <w:rPr>
                <w:rFonts w:ascii="Bookman Old Style" w:hAnsi="Bookman Old Style"/>
                <w:color w:val="000000"/>
                <w:sz w:val="15"/>
                <w:szCs w:val="15"/>
              </w:rPr>
              <w:t>.</w:t>
            </w:r>
            <w:r w:rsidRPr="00BB291E">
              <w:rPr>
                <w:rFonts w:ascii="Bookman Old Style" w:hAnsi="Bookman Old Style"/>
                <w:color w:val="000000"/>
                <w:sz w:val="15"/>
                <w:szCs w:val="15"/>
              </w:rPr>
              <w:t>285</w:t>
            </w:r>
            <w:r w:rsidR="00C60E4F">
              <w:rPr>
                <w:rFonts w:ascii="Bookman Old Style" w:hAnsi="Bookman Old Style"/>
                <w:color w:val="000000"/>
                <w:sz w:val="15"/>
                <w:szCs w:val="15"/>
              </w:rPr>
              <w:t>.</w:t>
            </w:r>
            <w:r w:rsidRPr="00BB291E">
              <w:rPr>
                <w:rFonts w:ascii="Bookman Old Style" w:hAnsi="Bookman Old Style"/>
                <w:color w:val="000000"/>
                <w:sz w:val="15"/>
                <w:szCs w:val="15"/>
              </w:rPr>
              <w:t>582</w:t>
            </w:r>
            <w:r w:rsidR="00C60E4F">
              <w:rPr>
                <w:rFonts w:ascii="Bookman Old Style" w:hAnsi="Bookman Old Style"/>
                <w:color w:val="000000"/>
                <w:sz w:val="15"/>
                <w:szCs w:val="15"/>
              </w:rPr>
              <w:t>.</w:t>
            </w:r>
            <w:r w:rsidRPr="00BB291E">
              <w:rPr>
                <w:rFonts w:ascii="Bookman Old Style" w:hAnsi="Bookman Old Style"/>
                <w:color w:val="000000"/>
                <w:sz w:val="15"/>
                <w:szCs w:val="15"/>
              </w:rPr>
              <w:t xml:space="preserve">473 </w:t>
            </w:r>
          </w:p>
        </w:tc>
      </w:tr>
      <w:tr w:rsidR="00BB291E" w:rsidRPr="009C613C" w:rsidTr="00AA6BBD">
        <w:trPr>
          <w:trHeight w:val="164"/>
          <w:jc w:val="center"/>
        </w:trPr>
        <w:tc>
          <w:tcPr>
            <w:tcW w:w="1878" w:type="dxa"/>
            <w:shd w:val="clear" w:color="auto" w:fill="auto"/>
            <w:noWrap/>
            <w:vAlign w:val="center"/>
            <w:hideMark/>
          </w:tcPr>
          <w:p w:rsidR="00BB291E" w:rsidRPr="009C613C" w:rsidRDefault="00BB291E" w:rsidP="00CD3BC1">
            <w:pPr>
              <w:rPr>
                <w:rFonts w:ascii="Bookman Old Style" w:hAnsi="Bookman Old Style"/>
                <w:color w:val="000000"/>
                <w:sz w:val="15"/>
                <w:szCs w:val="15"/>
                <w:lang w:eastAsia="es-CO"/>
              </w:rPr>
            </w:pPr>
          </w:p>
        </w:tc>
        <w:tc>
          <w:tcPr>
            <w:tcW w:w="1531" w:type="dxa"/>
            <w:vAlign w:val="center"/>
          </w:tcPr>
          <w:p w:rsidR="00BB291E" w:rsidRPr="009C613C" w:rsidRDefault="00BB291E" w:rsidP="00BB291E">
            <w:pPr>
              <w:jc w:val="right"/>
              <w:rPr>
                <w:rFonts w:ascii="Bookman Old Style" w:hAnsi="Bookman Old Style"/>
                <w:color w:val="000000"/>
                <w:sz w:val="15"/>
                <w:szCs w:val="15"/>
                <w:lang w:eastAsia="es-CO"/>
              </w:rPr>
            </w:pPr>
          </w:p>
        </w:tc>
        <w:tc>
          <w:tcPr>
            <w:tcW w:w="1531" w:type="dxa"/>
            <w:vAlign w:val="center"/>
          </w:tcPr>
          <w:p w:rsidR="00BB291E" w:rsidRPr="009C613C" w:rsidRDefault="00BB291E" w:rsidP="00BB291E">
            <w:pPr>
              <w:jc w:val="right"/>
              <w:rPr>
                <w:rFonts w:ascii="Bookman Old Style" w:hAnsi="Bookman Old Style"/>
                <w:color w:val="000000"/>
                <w:sz w:val="15"/>
                <w:szCs w:val="15"/>
                <w:lang w:eastAsia="es-CO"/>
              </w:rPr>
            </w:pPr>
          </w:p>
        </w:tc>
        <w:tc>
          <w:tcPr>
            <w:tcW w:w="1531" w:type="dxa"/>
            <w:vAlign w:val="center"/>
          </w:tcPr>
          <w:p w:rsidR="00BB291E" w:rsidRPr="009C613C" w:rsidRDefault="00BB291E" w:rsidP="00BB291E">
            <w:pPr>
              <w:jc w:val="right"/>
              <w:rPr>
                <w:rFonts w:ascii="Bookman Old Style" w:hAnsi="Bookman Old Style"/>
                <w:color w:val="000000"/>
                <w:sz w:val="15"/>
                <w:szCs w:val="15"/>
                <w:lang w:eastAsia="es-CO"/>
              </w:rPr>
            </w:pPr>
          </w:p>
        </w:tc>
        <w:tc>
          <w:tcPr>
            <w:tcW w:w="1531" w:type="dxa"/>
            <w:vAlign w:val="center"/>
          </w:tcPr>
          <w:p w:rsidR="00BB291E" w:rsidRPr="009C613C" w:rsidRDefault="00BB291E" w:rsidP="00BB291E">
            <w:pPr>
              <w:jc w:val="right"/>
              <w:rPr>
                <w:rFonts w:ascii="Bookman Old Style" w:hAnsi="Bookman Old Style"/>
                <w:color w:val="000000"/>
                <w:sz w:val="15"/>
                <w:szCs w:val="15"/>
                <w:lang w:eastAsia="es-CO"/>
              </w:rPr>
            </w:pPr>
          </w:p>
        </w:tc>
        <w:tc>
          <w:tcPr>
            <w:tcW w:w="1531" w:type="dxa"/>
            <w:vAlign w:val="center"/>
          </w:tcPr>
          <w:p w:rsidR="00BB291E" w:rsidRPr="009C613C" w:rsidRDefault="00BB291E" w:rsidP="00BB291E">
            <w:pPr>
              <w:jc w:val="right"/>
              <w:rPr>
                <w:rFonts w:ascii="Bookman Old Style" w:hAnsi="Bookman Old Style"/>
                <w:color w:val="000000"/>
                <w:sz w:val="15"/>
                <w:szCs w:val="15"/>
                <w:lang w:eastAsia="es-CO"/>
              </w:rPr>
            </w:pPr>
          </w:p>
        </w:tc>
      </w:tr>
      <w:tr w:rsidR="00BB291E" w:rsidRPr="009C613C" w:rsidTr="006B36C3">
        <w:trPr>
          <w:trHeight w:val="741"/>
          <w:jc w:val="center"/>
        </w:trPr>
        <w:tc>
          <w:tcPr>
            <w:tcW w:w="1878" w:type="dxa"/>
            <w:shd w:val="clear" w:color="auto" w:fill="auto"/>
            <w:noWrap/>
            <w:vAlign w:val="center"/>
            <w:hideMark/>
          </w:tcPr>
          <w:p w:rsidR="00BB291E" w:rsidRPr="009C613C" w:rsidRDefault="00BB291E" w:rsidP="009C613C">
            <w:pPr>
              <w:ind w:left="0"/>
              <w:rPr>
                <w:rFonts w:ascii="Bookman Old Style" w:hAnsi="Bookman Old Style"/>
                <w:b/>
                <w:color w:val="000000"/>
                <w:sz w:val="15"/>
                <w:szCs w:val="15"/>
                <w:lang w:eastAsia="es-CO"/>
              </w:rPr>
            </w:pPr>
            <w:r w:rsidRPr="009C613C">
              <w:rPr>
                <w:rFonts w:ascii="Bookman Old Style" w:hAnsi="Bookman Old Style"/>
                <w:b/>
                <w:color w:val="000000"/>
                <w:sz w:val="15"/>
                <w:szCs w:val="15"/>
                <w:lang w:eastAsia="es-CO"/>
              </w:rPr>
              <w:t xml:space="preserve">Gastos en la actividad de comercialización, </w:t>
            </w:r>
            <w:proofErr w:type="spellStart"/>
            <w:r w:rsidRPr="009C613C">
              <w:rPr>
                <w:rFonts w:ascii="Bookman Old Style" w:hAnsi="Bookman Old Style"/>
                <w:b/>
                <w:color w:val="000000"/>
                <w:sz w:val="15"/>
                <w:szCs w:val="15"/>
                <w:lang w:eastAsia="es-CO"/>
              </w:rPr>
              <w:t>GC</w:t>
            </w:r>
            <w:r w:rsidRPr="009C613C">
              <w:rPr>
                <w:rFonts w:ascii="Bookman Old Style" w:hAnsi="Bookman Old Style"/>
                <w:b/>
                <w:color w:val="000000"/>
                <w:sz w:val="15"/>
                <w:szCs w:val="15"/>
                <w:vertAlign w:val="subscript"/>
                <w:lang w:eastAsia="es-CO"/>
              </w:rPr>
              <w:t>j</w:t>
            </w:r>
            <w:proofErr w:type="spellEnd"/>
            <w:r w:rsidRPr="009C613C">
              <w:rPr>
                <w:rFonts w:ascii="Bookman Old Style" w:hAnsi="Bookman Old Style"/>
                <w:b/>
                <w:color w:val="000000"/>
                <w:sz w:val="15"/>
                <w:szCs w:val="15"/>
                <w:lang w:eastAsia="es-CO"/>
              </w:rPr>
              <w:t xml:space="preserve"> </w:t>
            </w:r>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28</w:t>
            </w:r>
            <w:r w:rsidR="00C60E4F">
              <w:rPr>
                <w:rFonts w:ascii="Bookman Old Style" w:hAnsi="Bookman Old Style"/>
                <w:b/>
                <w:color w:val="000000"/>
                <w:sz w:val="15"/>
                <w:szCs w:val="15"/>
              </w:rPr>
              <w:t>.</w:t>
            </w:r>
            <w:r w:rsidRPr="00BB291E">
              <w:rPr>
                <w:rFonts w:ascii="Bookman Old Style" w:hAnsi="Bookman Old Style"/>
                <w:b/>
                <w:color w:val="000000"/>
                <w:sz w:val="15"/>
                <w:szCs w:val="15"/>
              </w:rPr>
              <w:t>658</w:t>
            </w:r>
            <w:r w:rsidR="00C60E4F">
              <w:rPr>
                <w:rFonts w:ascii="Bookman Old Style" w:hAnsi="Bookman Old Style"/>
                <w:b/>
                <w:color w:val="000000"/>
                <w:sz w:val="15"/>
                <w:szCs w:val="15"/>
              </w:rPr>
              <w:t>.</w:t>
            </w:r>
            <w:r w:rsidRPr="00BB291E">
              <w:rPr>
                <w:rFonts w:ascii="Bookman Old Style" w:hAnsi="Bookman Old Style"/>
                <w:b/>
                <w:color w:val="000000"/>
                <w:sz w:val="15"/>
                <w:szCs w:val="15"/>
              </w:rPr>
              <w:t>935</w:t>
            </w:r>
            <w:r w:rsidR="00C60E4F">
              <w:rPr>
                <w:rFonts w:ascii="Bookman Old Style" w:hAnsi="Bookman Old Style"/>
                <w:b/>
                <w:color w:val="000000"/>
                <w:sz w:val="15"/>
                <w:szCs w:val="15"/>
              </w:rPr>
              <w:t>.</w:t>
            </w:r>
            <w:r w:rsidRPr="00BB291E">
              <w:rPr>
                <w:rFonts w:ascii="Bookman Old Style" w:hAnsi="Bookman Old Style"/>
                <w:b/>
                <w:color w:val="000000"/>
                <w:sz w:val="15"/>
                <w:szCs w:val="15"/>
              </w:rPr>
              <w:t>923</w:t>
            </w:r>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27</w:t>
            </w:r>
            <w:r w:rsidR="00C60E4F">
              <w:rPr>
                <w:rFonts w:ascii="Bookman Old Style" w:hAnsi="Bookman Old Style"/>
                <w:b/>
                <w:color w:val="000000"/>
                <w:sz w:val="15"/>
                <w:szCs w:val="15"/>
              </w:rPr>
              <w:t>.</w:t>
            </w:r>
            <w:r w:rsidRPr="00BB291E">
              <w:rPr>
                <w:rFonts w:ascii="Bookman Old Style" w:hAnsi="Bookman Old Style"/>
                <w:b/>
                <w:color w:val="000000"/>
                <w:sz w:val="15"/>
                <w:szCs w:val="15"/>
              </w:rPr>
              <w:t>819</w:t>
            </w:r>
            <w:r w:rsidR="00C60E4F">
              <w:rPr>
                <w:rFonts w:ascii="Bookman Old Style" w:hAnsi="Bookman Old Style"/>
                <w:b/>
                <w:color w:val="000000"/>
                <w:sz w:val="15"/>
                <w:szCs w:val="15"/>
              </w:rPr>
              <w:t>.</w:t>
            </w:r>
            <w:r w:rsidRPr="00BB291E">
              <w:rPr>
                <w:rFonts w:ascii="Bookman Old Style" w:hAnsi="Bookman Old Style"/>
                <w:b/>
                <w:color w:val="000000"/>
                <w:sz w:val="15"/>
                <w:szCs w:val="15"/>
              </w:rPr>
              <w:t>829</w:t>
            </w:r>
            <w:r w:rsidR="00C60E4F">
              <w:rPr>
                <w:rFonts w:ascii="Bookman Old Style" w:hAnsi="Bookman Old Style"/>
                <w:b/>
                <w:color w:val="000000"/>
                <w:sz w:val="15"/>
                <w:szCs w:val="15"/>
              </w:rPr>
              <w:t>.</w:t>
            </w:r>
            <w:r w:rsidRPr="00BB291E">
              <w:rPr>
                <w:rFonts w:ascii="Bookman Old Style" w:hAnsi="Bookman Old Style"/>
                <w:b/>
                <w:color w:val="000000"/>
                <w:sz w:val="15"/>
                <w:szCs w:val="15"/>
              </w:rPr>
              <w:t>477</w:t>
            </w:r>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29</w:t>
            </w:r>
            <w:r w:rsidR="00C60E4F">
              <w:rPr>
                <w:rFonts w:ascii="Bookman Old Style" w:hAnsi="Bookman Old Style"/>
                <w:b/>
                <w:color w:val="000000"/>
                <w:sz w:val="15"/>
                <w:szCs w:val="15"/>
              </w:rPr>
              <w:t>.</w:t>
            </w:r>
            <w:r w:rsidRPr="00BB291E">
              <w:rPr>
                <w:rFonts w:ascii="Bookman Old Style" w:hAnsi="Bookman Old Style"/>
                <w:b/>
                <w:color w:val="000000"/>
                <w:sz w:val="15"/>
                <w:szCs w:val="15"/>
              </w:rPr>
              <w:t>012</w:t>
            </w:r>
            <w:r w:rsidR="00C60E4F">
              <w:rPr>
                <w:rFonts w:ascii="Bookman Old Style" w:hAnsi="Bookman Old Style"/>
                <w:b/>
                <w:color w:val="000000"/>
                <w:sz w:val="15"/>
                <w:szCs w:val="15"/>
              </w:rPr>
              <w:t>.</w:t>
            </w:r>
            <w:r w:rsidRPr="00BB291E">
              <w:rPr>
                <w:rFonts w:ascii="Bookman Old Style" w:hAnsi="Bookman Old Style"/>
                <w:b/>
                <w:color w:val="000000"/>
                <w:sz w:val="15"/>
                <w:szCs w:val="15"/>
              </w:rPr>
              <w:t>855</w:t>
            </w:r>
            <w:r w:rsidR="00C60E4F">
              <w:rPr>
                <w:rFonts w:ascii="Bookman Old Style" w:hAnsi="Bookman Old Style"/>
                <w:b/>
                <w:color w:val="000000"/>
                <w:sz w:val="15"/>
                <w:szCs w:val="15"/>
              </w:rPr>
              <w:t>.</w:t>
            </w:r>
            <w:r w:rsidRPr="00BB291E">
              <w:rPr>
                <w:rFonts w:ascii="Bookman Old Style" w:hAnsi="Bookman Old Style"/>
                <w:b/>
                <w:color w:val="000000"/>
                <w:sz w:val="15"/>
                <w:szCs w:val="15"/>
              </w:rPr>
              <w:t>475</w:t>
            </w:r>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31</w:t>
            </w:r>
            <w:r w:rsidR="00C60E4F">
              <w:rPr>
                <w:rFonts w:ascii="Bookman Old Style" w:hAnsi="Bookman Old Style"/>
                <w:b/>
                <w:color w:val="000000"/>
                <w:sz w:val="15"/>
                <w:szCs w:val="15"/>
              </w:rPr>
              <w:t>.</w:t>
            </w:r>
            <w:r w:rsidRPr="00BB291E">
              <w:rPr>
                <w:rFonts w:ascii="Bookman Old Style" w:hAnsi="Bookman Old Style"/>
                <w:b/>
                <w:color w:val="000000"/>
                <w:sz w:val="15"/>
                <w:szCs w:val="15"/>
              </w:rPr>
              <w:t>455</w:t>
            </w:r>
            <w:r w:rsidR="00C60E4F">
              <w:rPr>
                <w:rFonts w:ascii="Bookman Old Style" w:hAnsi="Bookman Old Style"/>
                <w:b/>
                <w:color w:val="000000"/>
                <w:sz w:val="15"/>
                <w:szCs w:val="15"/>
              </w:rPr>
              <w:t>.</w:t>
            </w:r>
            <w:r w:rsidRPr="00BB291E">
              <w:rPr>
                <w:rFonts w:ascii="Bookman Old Style" w:hAnsi="Bookman Old Style"/>
                <w:b/>
                <w:color w:val="000000"/>
                <w:sz w:val="15"/>
                <w:szCs w:val="15"/>
              </w:rPr>
              <w:t>750</w:t>
            </w:r>
            <w:r w:rsidR="00C60E4F">
              <w:rPr>
                <w:rFonts w:ascii="Bookman Old Style" w:hAnsi="Bookman Old Style"/>
                <w:b/>
                <w:color w:val="000000"/>
                <w:sz w:val="15"/>
                <w:szCs w:val="15"/>
              </w:rPr>
              <w:t>.</w:t>
            </w:r>
            <w:r w:rsidRPr="00BB291E">
              <w:rPr>
                <w:rFonts w:ascii="Bookman Old Style" w:hAnsi="Bookman Old Style"/>
                <w:b/>
                <w:color w:val="000000"/>
                <w:sz w:val="15"/>
                <w:szCs w:val="15"/>
              </w:rPr>
              <w:t>081</w:t>
            </w:r>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35</w:t>
            </w:r>
            <w:r w:rsidR="00C60E4F">
              <w:rPr>
                <w:rFonts w:ascii="Bookman Old Style" w:hAnsi="Bookman Old Style"/>
                <w:b/>
                <w:color w:val="000000"/>
                <w:sz w:val="15"/>
                <w:szCs w:val="15"/>
              </w:rPr>
              <w:t>.</w:t>
            </w:r>
            <w:r w:rsidRPr="00BB291E">
              <w:rPr>
                <w:rFonts w:ascii="Bookman Old Style" w:hAnsi="Bookman Old Style"/>
                <w:b/>
                <w:color w:val="000000"/>
                <w:sz w:val="15"/>
                <w:szCs w:val="15"/>
              </w:rPr>
              <w:t>332</w:t>
            </w:r>
            <w:r w:rsidR="00C60E4F">
              <w:rPr>
                <w:rFonts w:ascii="Bookman Old Style" w:hAnsi="Bookman Old Style"/>
                <w:b/>
                <w:color w:val="000000"/>
                <w:sz w:val="15"/>
                <w:szCs w:val="15"/>
              </w:rPr>
              <w:t>.</w:t>
            </w:r>
            <w:r w:rsidRPr="00BB291E">
              <w:rPr>
                <w:rFonts w:ascii="Bookman Old Style" w:hAnsi="Bookman Old Style"/>
                <w:b/>
                <w:color w:val="000000"/>
                <w:sz w:val="15"/>
                <w:szCs w:val="15"/>
              </w:rPr>
              <w:t>093</w:t>
            </w:r>
            <w:r w:rsidR="00C60E4F">
              <w:rPr>
                <w:rFonts w:ascii="Bookman Old Style" w:hAnsi="Bookman Old Style"/>
                <w:b/>
                <w:color w:val="000000"/>
                <w:sz w:val="15"/>
                <w:szCs w:val="15"/>
              </w:rPr>
              <w:t>.</w:t>
            </w:r>
            <w:r w:rsidRPr="00BB291E">
              <w:rPr>
                <w:rFonts w:ascii="Bookman Old Style" w:hAnsi="Bookman Old Style"/>
                <w:b/>
                <w:color w:val="000000"/>
                <w:sz w:val="15"/>
                <w:szCs w:val="15"/>
              </w:rPr>
              <w:t>343</w:t>
            </w:r>
          </w:p>
        </w:tc>
      </w:tr>
      <w:tr w:rsidR="00BB291E" w:rsidRPr="009C613C" w:rsidTr="00AA6BBD">
        <w:trPr>
          <w:trHeight w:val="118"/>
          <w:jc w:val="center"/>
        </w:trPr>
        <w:tc>
          <w:tcPr>
            <w:tcW w:w="1878" w:type="dxa"/>
            <w:shd w:val="clear" w:color="auto" w:fill="auto"/>
            <w:noWrap/>
            <w:vAlign w:val="center"/>
          </w:tcPr>
          <w:p w:rsidR="00BB291E" w:rsidRPr="009C613C" w:rsidRDefault="00BB291E" w:rsidP="00CD3BC1">
            <w:pPr>
              <w:rPr>
                <w:rFonts w:ascii="Bookman Old Style" w:hAnsi="Bookman Old Style"/>
                <w:b/>
                <w:color w:val="000000"/>
                <w:sz w:val="15"/>
                <w:szCs w:val="15"/>
                <w:lang w:eastAsia="es-CO"/>
              </w:rPr>
            </w:pPr>
          </w:p>
        </w:tc>
        <w:tc>
          <w:tcPr>
            <w:tcW w:w="1531" w:type="dxa"/>
            <w:vAlign w:val="center"/>
          </w:tcPr>
          <w:p w:rsidR="00BB291E" w:rsidRPr="009C613C" w:rsidRDefault="00BB291E" w:rsidP="00BB291E">
            <w:pPr>
              <w:jc w:val="right"/>
              <w:rPr>
                <w:rFonts w:ascii="Bookman Old Style" w:hAnsi="Bookman Old Style"/>
                <w:sz w:val="15"/>
                <w:szCs w:val="15"/>
              </w:rPr>
            </w:pPr>
          </w:p>
        </w:tc>
        <w:tc>
          <w:tcPr>
            <w:tcW w:w="1531" w:type="dxa"/>
            <w:vAlign w:val="center"/>
          </w:tcPr>
          <w:p w:rsidR="00BB291E" w:rsidRPr="009C613C" w:rsidRDefault="00BB291E" w:rsidP="00BB291E">
            <w:pPr>
              <w:jc w:val="right"/>
              <w:rPr>
                <w:rFonts w:ascii="Bookman Old Style" w:hAnsi="Bookman Old Style"/>
                <w:sz w:val="15"/>
                <w:szCs w:val="15"/>
              </w:rPr>
            </w:pPr>
          </w:p>
        </w:tc>
        <w:tc>
          <w:tcPr>
            <w:tcW w:w="1531" w:type="dxa"/>
            <w:vAlign w:val="center"/>
          </w:tcPr>
          <w:p w:rsidR="00BB291E" w:rsidRPr="009C613C" w:rsidRDefault="00BB291E" w:rsidP="00BB291E">
            <w:pPr>
              <w:jc w:val="right"/>
              <w:rPr>
                <w:rFonts w:ascii="Bookman Old Style" w:hAnsi="Bookman Old Style"/>
                <w:sz w:val="15"/>
                <w:szCs w:val="15"/>
              </w:rPr>
            </w:pPr>
          </w:p>
        </w:tc>
        <w:tc>
          <w:tcPr>
            <w:tcW w:w="1531" w:type="dxa"/>
            <w:vAlign w:val="center"/>
          </w:tcPr>
          <w:p w:rsidR="00BB291E" w:rsidRPr="009C613C" w:rsidRDefault="00BB291E" w:rsidP="00BB291E">
            <w:pPr>
              <w:jc w:val="right"/>
              <w:rPr>
                <w:rFonts w:ascii="Bookman Old Style" w:hAnsi="Bookman Old Style"/>
                <w:sz w:val="15"/>
                <w:szCs w:val="15"/>
              </w:rPr>
            </w:pPr>
          </w:p>
        </w:tc>
        <w:tc>
          <w:tcPr>
            <w:tcW w:w="1531" w:type="dxa"/>
            <w:vAlign w:val="center"/>
          </w:tcPr>
          <w:p w:rsidR="00BB291E" w:rsidRPr="009C613C" w:rsidRDefault="00BB291E" w:rsidP="00BB291E">
            <w:pPr>
              <w:jc w:val="right"/>
              <w:rPr>
                <w:rFonts w:ascii="Bookman Old Style" w:hAnsi="Bookman Old Style"/>
                <w:sz w:val="15"/>
                <w:szCs w:val="15"/>
              </w:rPr>
            </w:pPr>
          </w:p>
        </w:tc>
      </w:tr>
      <w:tr w:rsidR="00BB291E" w:rsidRPr="009C613C" w:rsidTr="006B36C3">
        <w:trPr>
          <w:trHeight w:val="642"/>
          <w:jc w:val="center"/>
        </w:trPr>
        <w:tc>
          <w:tcPr>
            <w:tcW w:w="1878" w:type="dxa"/>
            <w:shd w:val="clear" w:color="auto" w:fill="auto"/>
            <w:noWrap/>
            <w:vAlign w:val="center"/>
          </w:tcPr>
          <w:p w:rsidR="00BB291E" w:rsidRPr="009C613C" w:rsidRDefault="00BB291E" w:rsidP="009C613C">
            <w:pPr>
              <w:ind w:left="0"/>
              <w:rPr>
                <w:rFonts w:ascii="Bookman Old Style" w:hAnsi="Bookman Old Style"/>
                <w:b/>
                <w:color w:val="000000"/>
                <w:sz w:val="15"/>
                <w:szCs w:val="15"/>
                <w:lang w:eastAsia="es-CO"/>
              </w:rPr>
            </w:pPr>
            <w:r w:rsidRPr="009C613C">
              <w:rPr>
                <w:rFonts w:ascii="Bookman Old Style" w:hAnsi="Bookman Old Style"/>
                <w:b/>
                <w:color w:val="000000"/>
                <w:sz w:val="15"/>
                <w:szCs w:val="15"/>
                <w:lang w:eastAsia="es-CO"/>
              </w:rPr>
              <w:t xml:space="preserve">Gastos en la actividad de comercialización, </w:t>
            </w:r>
            <w:proofErr w:type="spellStart"/>
            <w:r w:rsidRPr="009C613C">
              <w:rPr>
                <w:rFonts w:ascii="Bookman Old Style" w:hAnsi="Bookman Old Style"/>
                <w:b/>
                <w:color w:val="000000"/>
                <w:sz w:val="15"/>
                <w:szCs w:val="15"/>
                <w:lang w:eastAsia="es-CO"/>
              </w:rPr>
              <w:t>GCj</w:t>
            </w:r>
            <w:proofErr w:type="spellEnd"/>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32</w:t>
            </w:r>
            <w:r w:rsidR="00C60E4F">
              <w:rPr>
                <w:rFonts w:ascii="Bookman Old Style" w:hAnsi="Bookman Old Style"/>
                <w:b/>
                <w:color w:val="000000"/>
                <w:sz w:val="15"/>
                <w:szCs w:val="15"/>
              </w:rPr>
              <w:t>.</w:t>
            </w:r>
            <w:r w:rsidRPr="00BB291E">
              <w:rPr>
                <w:rFonts w:ascii="Bookman Old Style" w:hAnsi="Bookman Old Style"/>
                <w:b/>
                <w:color w:val="000000"/>
                <w:sz w:val="15"/>
                <w:szCs w:val="15"/>
              </w:rPr>
              <w:t>024</w:t>
            </w:r>
            <w:r w:rsidR="00C60E4F">
              <w:rPr>
                <w:rFonts w:ascii="Bookman Old Style" w:hAnsi="Bookman Old Style"/>
                <w:b/>
                <w:color w:val="000000"/>
                <w:sz w:val="15"/>
                <w:szCs w:val="15"/>
              </w:rPr>
              <w:t>.</w:t>
            </w:r>
            <w:r w:rsidRPr="00BB291E">
              <w:rPr>
                <w:rFonts w:ascii="Bookman Old Style" w:hAnsi="Bookman Old Style"/>
                <w:b/>
                <w:color w:val="000000"/>
                <w:sz w:val="15"/>
                <w:szCs w:val="15"/>
              </w:rPr>
              <w:t>956</w:t>
            </w:r>
            <w:r w:rsidR="00C60E4F">
              <w:rPr>
                <w:rFonts w:ascii="Bookman Old Style" w:hAnsi="Bookman Old Style"/>
                <w:b/>
                <w:color w:val="000000"/>
                <w:sz w:val="15"/>
                <w:szCs w:val="15"/>
              </w:rPr>
              <w:t>.</w:t>
            </w:r>
            <w:r w:rsidRPr="00BB291E">
              <w:rPr>
                <w:rFonts w:ascii="Bookman Old Style" w:hAnsi="Bookman Old Style"/>
                <w:b/>
                <w:color w:val="000000"/>
                <w:sz w:val="15"/>
                <w:szCs w:val="15"/>
              </w:rPr>
              <w:t>044</w:t>
            </w:r>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30</w:t>
            </w:r>
            <w:r w:rsidR="00C60E4F">
              <w:rPr>
                <w:rFonts w:ascii="Bookman Old Style" w:hAnsi="Bookman Old Style"/>
                <w:b/>
                <w:color w:val="000000"/>
                <w:sz w:val="15"/>
                <w:szCs w:val="15"/>
              </w:rPr>
              <w:t>.</w:t>
            </w:r>
            <w:r w:rsidRPr="00BB291E">
              <w:rPr>
                <w:rFonts w:ascii="Bookman Old Style" w:hAnsi="Bookman Old Style"/>
                <w:b/>
                <w:color w:val="000000"/>
                <w:sz w:val="15"/>
                <w:szCs w:val="15"/>
              </w:rPr>
              <w:t>130</w:t>
            </w:r>
            <w:r w:rsidR="00C60E4F">
              <w:rPr>
                <w:rFonts w:ascii="Bookman Old Style" w:hAnsi="Bookman Old Style"/>
                <w:b/>
                <w:color w:val="000000"/>
                <w:sz w:val="15"/>
                <w:szCs w:val="15"/>
              </w:rPr>
              <w:t>.</w:t>
            </w:r>
            <w:r w:rsidRPr="00BB291E">
              <w:rPr>
                <w:rFonts w:ascii="Bookman Old Style" w:hAnsi="Bookman Old Style"/>
                <w:b/>
                <w:color w:val="000000"/>
                <w:sz w:val="15"/>
                <w:szCs w:val="15"/>
              </w:rPr>
              <w:t>218</w:t>
            </w:r>
            <w:r w:rsidR="00C60E4F">
              <w:rPr>
                <w:rFonts w:ascii="Bookman Old Style" w:hAnsi="Bookman Old Style"/>
                <w:b/>
                <w:color w:val="000000"/>
                <w:sz w:val="15"/>
                <w:szCs w:val="15"/>
              </w:rPr>
              <w:t>.</w:t>
            </w:r>
            <w:r w:rsidRPr="00BB291E">
              <w:rPr>
                <w:rFonts w:ascii="Bookman Old Style" w:hAnsi="Bookman Old Style"/>
                <w:b/>
                <w:color w:val="000000"/>
                <w:sz w:val="15"/>
                <w:szCs w:val="15"/>
              </w:rPr>
              <w:t>204</w:t>
            </w:r>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30</w:t>
            </w:r>
            <w:r w:rsidR="00C60E4F">
              <w:rPr>
                <w:rFonts w:ascii="Bookman Old Style" w:hAnsi="Bookman Old Style"/>
                <w:b/>
                <w:color w:val="000000"/>
                <w:sz w:val="15"/>
                <w:szCs w:val="15"/>
              </w:rPr>
              <w:t>.</w:t>
            </w:r>
            <w:r w:rsidRPr="00BB291E">
              <w:rPr>
                <w:rFonts w:ascii="Bookman Old Style" w:hAnsi="Bookman Old Style"/>
                <w:b/>
                <w:color w:val="000000"/>
                <w:sz w:val="15"/>
                <w:szCs w:val="15"/>
              </w:rPr>
              <w:t>293</w:t>
            </w:r>
            <w:r w:rsidR="00C60E4F">
              <w:rPr>
                <w:rFonts w:ascii="Bookman Old Style" w:hAnsi="Bookman Old Style"/>
                <w:b/>
                <w:color w:val="000000"/>
                <w:sz w:val="15"/>
                <w:szCs w:val="15"/>
              </w:rPr>
              <w:t>.</w:t>
            </w:r>
            <w:r w:rsidRPr="00BB291E">
              <w:rPr>
                <w:rFonts w:ascii="Bookman Old Style" w:hAnsi="Bookman Old Style"/>
                <w:b/>
                <w:color w:val="000000"/>
                <w:sz w:val="15"/>
                <w:szCs w:val="15"/>
              </w:rPr>
              <w:t>928</w:t>
            </w:r>
            <w:r w:rsidR="00C60E4F">
              <w:rPr>
                <w:rFonts w:ascii="Bookman Old Style" w:hAnsi="Bookman Old Style"/>
                <w:b/>
                <w:color w:val="000000"/>
                <w:sz w:val="15"/>
                <w:szCs w:val="15"/>
              </w:rPr>
              <w:t>.</w:t>
            </w:r>
            <w:r w:rsidRPr="00BB291E">
              <w:rPr>
                <w:rFonts w:ascii="Bookman Old Style" w:hAnsi="Bookman Old Style"/>
                <w:b/>
                <w:color w:val="000000"/>
                <w:sz w:val="15"/>
                <w:szCs w:val="15"/>
              </w:rPr>
              <w:t>793</w:t>
            </w:r>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32</w:t>
            </w:r>
            <w:r w:rsidR="00C60E4F">
              <w:rPr>
                <w:rFonts w:ascii="Bookman Old Style" w:hAnsi="Bookman Old Style"/>
                <w:b/>
                <w:color w:val="000000"/>
                <w:sz w:val="15"/>
                <w:szCs w:val="15"/>
              </w:rPr>
              <w:t>.</w:t>
            </w:r>
            <w:r w:rsidRPr="00BB291E">
              <w:rPr>
                <w:rFonts w:ascii="Bookman Old Style" w:hAnsi="Bookman Old Style"/>
                <w:b/>
                <w:color w:val="000000"/>
                <w:sz w:val="15"/>
                <w:szCs w:val="15"/>
              </w:rPr>
              <w:t>063</w:t>
            </w:r>
            <w:r w:rsidR="00C60E4F">
              <w:rPr>
                <w:rFonts w:ascii="Bookman Old Style" w:hAnsi="Bookman Old Style"/>
                <w:b/>
                <w:color w:val="000000"/>
                <w:sz w:val="15"/>
                <w:szCs w:val="15"/>
              </w:rPr>
              <w:t>.</w:t>
            </w:r>
            <w:r w:rsidRPr="00BB291E">
              <w:rPr>
                <w:rFonts w:ascii="Bookman Old Style" w:hAnsi="Bookman Old Style"/>
                <w:b/>
                <w:color w:val="000000"/>
                <w:sz w:val="15"/>
                <w:szCs w:val="15"/>
              </w:rPr>
              <w:t>373</w:t>
            </w:r>
            <w:r w:rsidR="00C60E4F">
              <w:rPr>
                <w:rFonts w:ascii="Bookman Old Style" w:hAnsi="Bookman Old Style"/>
                <w:b/>
                <w:color w:val="000000"/>
                <w:sz w:val="15"/>
                <w:szCs w:val="15"/>
              </w:rPr>
              <w:t>.</w:t>
            </w:r>
            <w:r w:rsidRPr="00BB291E">
              <w:rPr>
                <w:rFonts w:ascii="Bookman Old Style" w:hAnsi="Bookman Old Style"/>
                <w:b/>
                <w:color w:val="000000"/>
                <w:sz w:val="15"/>
                <w:szCs w:val="15"/>
              </w:rPr>
              <w:t>227</w:t>
            </w:r>
          </w:p>
        </w:tc>
        <w:tc>
          <w:tcPr>
            <w:tcW w:w="1531" w:type="dxa"/>
            <w:vAlign w:val="center"/>
          </w:tcPr>
          <w:p w:rsidR="00BB291E" w:rsidRPr="00BB291E" w:rsidRDefault="00BB291E" w:rsidP="00BB291E">
            <w:pPr>
              <w:ind w:left="0"/>
              <w:jc w:val="right"/>
              <w:rPr>
                <w:rFonts w:ascii="Bookman Old Style" w:hAnsi="Bookman Old Style"/>
                <w:b/>
                <w:color w:val="000000"/>
                <w:sz w:val="15"/>
                <w:szCs w:val="15"/>
              </w:rPr>
            </w:pPr>
            <w:r w:rsidRPr="00BB291E">
              <w:rPr>
                <w:rFonts w:ascii="Bookman Old Style" w:hAnsi="Bookman Old Style"/>
                <w:b/>
                <w:color w:val="000000"/>
                <w:sz w:val="15"/>
                <w:szCs w:val="15"/>
              </w:rPr>
              <w:t>35</w:t>
            </w:r>
            <w:r w:rsidR="00C60E4F">
              <w:rPr>
                <w:rFonts w:ascii="Bookman Old Style" w:hAnsi="Bookman Old Style"/>
                <w:b/>
                <w:color w:val="000000"/>
                <w:sz w:val="15"/>
                <w:szCs w:val="15"/>
              </w:rPr>
              <w:t>.</w:t>
            </w:r>
            <w:r w:rsidRPr="00BB291E">
              <w:rPr>
                <w:rFonts w:ascii="Bookman Old Style" w:hAnsi="Bookman Old Style"/>
                <w:b/>
                <w:color w:val="000000"/>
                <w:sz w:val="15"/>
                <w:szCs w:val="15"/>
              </w:rPr>
              <w:t>332</w:t>
            </w:r>
            <w:r w:rsidR="00C60E4F">
              <w:rPr>
                <w:rFonts w:ascii="Bookman Old Style" w:hAnsi="Bookman Old Style"/>
                <w:b/>
                <w:color w:val="000000"/>
                <w:sz w:val="15"/>
                <w:szCs w:val="15"/>
              </w:rPr>
              <w:t>.</w:t>
            </w:r>
            <w:r w:rsidRPr="00BB291E">
              <w:rPr>
                <w:rFonts w:ascii="Bookman Old Style" w:hAnsi="Bookman Old Style"/>
                <w:b/>
                <w:color w:val="000000"/>
                <w:sz w:val="15"/>
                <w:szCs w:val="15"/>
              </w:rPr>
              <w:t>093</w:t>
            </w:r>
            <w:r w:rsidR="00C60E4F">
              <w:rPr>
                <w:rFonts w:ascii="Bookman Old Style" w:hAnsi="Bookman Old Style"/>
                <w:b/>
                <w:color w:val="000000"/>
                <w:sz w:val="15"/>
                <w:szCs w:val="15"/>
              </w:rPr>
              <w:t>.</w:t>
            </w:r>
            <w:r w:rsidRPr="00BB291E">
              <w:rPr>
                <w:rFonts w:ascii="Bookman Old Style" w:hAnsi="Bookman Old Style"/>
                <w:b/>
                <w:color w:val="000000"/>
                <w:sz w:val="15"/>
                <w:szCs w:val="15"/>
              </w:rPr>
              <w:t>343</w:t>
            </w:r>
          </w:p>
        </w:tc>
      </w:tr>
    </w:tbl>
    <w:p w:rsidR="009C613C" w:rsidRDefault="00F902C6" w:rsidP="009819AC">
      <w:pPr>
        <w:tabs>
          <w:tab w:val="left" w:pos="-720"/>
        </w:tabs>
        <w:suppressAutoHyphens/>
        <w:spacing w:before="240" w:after="240"/>
        <w:ind w:left="0"/>
        <w:jc w:val="both"/>
        <w:rPr>
          <w:rFonts w:ascii="Bookman Old Style" w:hAnsi="Bookman Old Style"/>
          <w:spacing w:val="-3"/>
        </w:rPr>
      </w:pPr>
      <w:r w:rsidRPr="00F902C6">
        <w:rPr>
          <w:rFonts w:ascii="Bookman Old Style" w:hAnsi="Bookman Old Style"/>
          <w:spacing w:val="-3"/>
        </w:rPr>
        <w:t>Los valores presentados en cada una de las celdas se encuentran en pesos corrientes, salvo la información de la última fila, la cual se encuentra en pesos constantes de diciembre de 2013.</w:t>
      </w:r>
    </w:p>
    <w:p w:rsidR="008777CA" w:rsidRPr="008777CA" w:rsidRDefault="008777CA" w:rsidP="008777CA">
      <w:pPr>
        <w:tabs>
          <w:tab w:val="left" w:pos="-720"/>
        </w:tabs>
        <w:suppressAutoHyphens/>
        <w:spacing w:before="240" w:after="240"/>
        <w:ind w:left="0"/>
        <w:jc w:val="both"/>
        <w:rPr>
          <w:rFonts w:ascii="Bookman Old Style" w:hAnsi="Bookman Old Style"/>
          <w:spacing w:val="-3"/>
        </w:rPr>
      </w:pPr>
      <w:r w:rsidRPr="008777CA">
        <w:rPr>
          <w:rFonts w:ascii="Bookman Old Style" w:hAnsi="Bookman Old Style"/>
          <w:spacing w:val="-3"/>
        </w:rPr>
        <w:t xml:space="preserve">A partir de la </w:t>
      </w:r>
      <w:r>
        <w:rPr>
          <w:rFonts w:ascii="Bookman Old Style" w:hAnsi="Bookman Old Style"/>
          <w:spacing w:val="-3"/>
        </w:rPr>
        <w:t xml:space="preserve">nueva </w:t>
      </w:r>
      <w:r w:rsidRPr="008777CA">
        <w:rPr>
          <w:rFonts w:ascii="Bookman Old Style" w:hAnsi="Bookman Old Style"/>
          <w:spacing w:val="-3"/>
        </w:rPr>
        <w:t xml:space="preserve">información </w:t>
      </w:r>
      <w:r>
        <w:rPr>
          <w:rFonts w:ascii="Bookman Old Style" w:hAnsi="Bookman Old Style"/>
          <w:spacing w:val="-3"/>
        </w:rPr>
        <w:t xml:space="preserve">de gastos de comercialización y </w:t>
      </w:r>
      <w:r w:rsidRPr="008777CA">
        <w:rPr>
          <w:rFonts w:ascii="Bookman Old Style" w:hAnsi="Bookman Old Style"/>
          <w:spacing w:val="-3"/>
        </w:rPr>
        <w:t>aplicando el modelo de frontera estocástica establecido en anexo 1 de la Resolución CREG 180 de 2014, se tiene que la eficiencia estimada para el mercado de comercialización es la siguiente:</w:t>
      </w:r>
    </w:p>
    <w:p w:rsidR="008777CA" w:rsidRPr="008777CA" w:rsidRDefault="008777CA" w:rsidP="006E1A85">
      <w:pPr>
        <w:tabs>
          <w:tab w:val="left" w:pos="-720"/>
        </w:tabs>
        <w:suppressAutoHyphens/>
        <w:spacing w:before="240" w:after="240"/>
        <w:ind w:left="708"/>
        <w:jc w:val="both"/>
        <w:rPr>
          <w:rFonts w:ascii="Bookman Old Style" w:hAnsi="Bookman Old Style"/>
          <w:spacing w:val="-3"/>
        </w:rPr>
      </w:pPr>
      <w:r w:rsidRPr="008777CA">
        <w:rPr>
          <w:rFonts w:ascii="Bookman Old Style" w:hAnsi="Bookman Old Style"/>
          <w:spacing w:val="-3"/>
        </w:rPr>
        <w:t>Eficiencia</w:t>
      </w:r>
      <w:r w:rsidRPr="008777CA">
        <w:rPr>
          <w:rFonts w:ascii="Bookman Old Style" w:hAnsi="Bookman Old Style"/>
          <w:spacing w:val="-3"/>
        </w:rPr>
        <w:tab/>
      </w:r>
      <w:r w:rsidRPr="008777CA">
        <w:rPr>
          <w:rFonts w:ascii="Bookman Old Style" w:hAnsi="Bookman Old Style"/>
          <w:spacing w:val="-3"/>
        </w:rPr>
        <w:tab/>
      </w:r>
      <w:r w:rsidRPr="008777CA">
        <w:rPr>
          <w:rFonts w:ascii="Bookman Old Style" w:hAnsi="Bookman Old Style"/>
          <w:spacing w:val="-3"/>
        </w:rPr>
        <w:tab/>
      </w:r>
      <w:r w:rsidR="006E1A85">
        <w:rPr>
          <w:rFonts w:ascii="Bookman Old Style" w:hAnsi="Bookman Old Style"/>
          <w:spacing w:val="-3"/>
        </w:rPr>
        <w:tab/>
      </w:r>
      <w:r w:rsidRPr="008777CA">
        <w:rPr>
          <w:rFonts w:ascii="Bookman Old Style" w:hAnsi="Bookman Old Style"/>
          <w:spacing w:val="-3"/>
        </w:rPr>
        <w:t>0,</w:t>
      </w:r>
      <w:r w:rsidR="006E1A85">
        <w:rPr>
          <w:rFonts w:ascii="Bookman Old Style" w:hAnsi="Bookman Old Style"/>
          <w:spacing w:val="-3"/>
        </w:rPr>
        <w:t>7111</w:t>
      </w:r>
    </w:p>
    <w:p w:rsidR="008777CA" w:rsidRPr="008777CA" w:rsidRDefault="008777CA" w:rsidP="006E1A85">
      <w:pPr>
        <w:tabs>
          <w:tab w:val="left" w:pos="-720"/>
        </w:tabs>
        <w:suppressAutoHyphens/>
        <w:spacing w:before="240" w:after="240"/>
        <w:ind w:left="708"/>
        <w:jc w:val="both"/>
        <w:rPr>
          <w:rFonts w:ascii="Bookman Old Style" w:hAnsi="Bookman Old Style"/>
          <w:spacing w:val="-3"/>
        </w:rPr>
      </w:pPr>
      <w:r w:rsidRPr="008777CA">
        <w:rPr>
          <w:rFonts w:ascii="Bookman Old Style" w:hAnsi="Bookman Old Style"/>
          <w:spacing w:val="-3"/>
        </w:rPr>
        <w:t>Límite inferior al 90 %</w:t>
      </w:r>
      <w:r w:rsidRPr="008777CA">
        <w:rPr>
          <w:rFonts w:ascii="Bookman Old Style" w:hAnsi="Bookman Old Style"/>
          <w:spacing w:val="-3"/>
        </w:rPr>
        <w:tab/>
      </w:r>
      <w:r w:rsidR="006E1A85">
        <w:rPr>
          <w:rFonts w:ascii="Bookman Old Style" w:hAnsi="Bookman Old Style"/>
          <w:spacing w:val="-3"/>
        </w:rPr>
        <w:tab/>
      </w:r>
      <w:r w:rsidRPr="008777CA">
        <w:rPr>
          <w:rFonts w:ascii="Bookman Old Style" w:hAnsi="Bookman Old Style"/>
          <w:spacing w:val="-3"/>
        </w:rPr>
        <w:t>0,</w:t>
      </w:r>
      <w:r w:rsidR="006E1A85">
        <w:rPr>
          <w:rFonts w:ascii="Bookman Old Style" w:hAnsi="Bookman Old Style"/>
          <w:spacing w:val="-3"/>
        </w:rPr>
        <w:t>6227</w:t>
      </w:r>
    </w:p>
    <w:p w:rsidR="008777CA" w:rsidRPr="008777CA" w:rsidRDefault="008777CA" w:rsidP="006E1A85">
      <w:pPr>
        <w:tabs>
          <w:tab w:val="left" w:pos="-720"/>
        </w:tabs>
        <w:suppressAutoHyphens/>
        <w:spacing w:before="240" w:after="240"/>
        <w:ind w:left="708"/>
        <w:jc w:val="both"/>
        <w:rPr>
          <w:rFonts w:ascii="Bookman Old Style" w:hAnsi="Bookman Old Style"/>
          <w:spacing w:val="-3"/>
        </w:rPr>
      </w:pPr>
      <w:r w:rsidRPr="008777CA">
        <w:rPr>
          <w:rFonts w:ascii="Bookman Old Style" w:hAnsi="Bookman Old Style"/>
          <w:spacing w:val="-3"/>
        </w:rPr>
        <w:t xml:space="preserve">Límite superior al 90 % </w:t>
      </w:r>
      <w:r w:rsidRPr="008777CA">
        <w:rPr>
          <w:rFonts w:ascii="Bookman Old Style" w:hAnsi="Bookman Old Style"/>
          <w:spacing w:val="-3"/>
        </w:rPr>
        <w:tab/>
      </w:r>
      <w:r w:rsidR="006E1A85">
        <w:rPr>
          <w:rFonts w:ascii="Bookman Old Style" w:hAnsi="Bookman Old Style"/>
          <w:spacing w:val="-3"/>
        </w:rPr>
        <w:tab/>
        <w:t>0,8071</w:t>
      </w:r>
    </w:p>
    <w:p w:rsidR="008777CA" w:rsidRDefault="008777CA" w:rsidP="008777CA">
      <w:pPr>
        <w:tabs>
          <w:tab w:val="left" w:pos="-720"/>
        </w:tabs>
        <w:suppressAutoHyphens/>
        <w:spacing w:before="240" w:after="240"/>
        <w:ind w:left="0"/>
        <w:jc w:val="both"/>
        <w:rPr>
          <w:rFonts w:ascii="Bookman Old Style" w:hAnsi="Bookman Old Style"/>
          <w:spacing w:val="-3"/>
        </w:rPr>
      </w:pPr>
      <w:r w:rsidRPr="008777CA">
        <w:rPr>
          <w:rFonts w:ascii="Bookman Old Style" w:hAnsi="Bookman Old Style"/>
          <w:spacing w:val="-3"/>
        </w:rPr>
        <w:t>Considerando que la eficiencia del mercado corresponde a 0,</w:t>
      </w:r>
      <w:r w:rsidR="006E1A85">
        <w:rPr>
          <w:rFonts w:ascii="Bookman Old Style" w:hAnsi="Bookman Old Style"/>
          <w:spacing w:val="-3"/>
        </w:rPr>
        <w:t>8071</w:t>
      </w:r>
      <w:r w:rsidRPr="008777CA">
        <w:rPr>
          <w:rFonts w:ascii="Bookman Old Style" w:hAnsi="Bookman Old Style"/>
          <w:spacing w:val="-3"/>
        </w:rPr>
        <w:t xml:space="preserve"> se debe dar aplicación a lo señalado en el parágrafo </w:t>
      </w:r>
      <w:r w:rsidR="006E1A85">
        <w:rPr>
          <w:rFonts w:ascii="Bookman Old Style" w:hAnsi="Bookman Old Style"/>
          <w:spacing w:val="-3"/>
        </w:rPr>
        <w:t>del</w:t>
      </w:r>
      <w:r w:rsidRPr="008777CA">
        <w:rPr>
          <w:rFonts w:ascii="Bookman Old Style" w:hAnsi="Bookman Old Style"/>
          <w:spacing w:val="-3"/>
        </w:rPr>
        <w:t xml:space="preserve"> artículo 6 de la Resolución CREG 180 de 2014.</w:t>
      </w:r>
    </w:p>
    <w:p w:rsidR="006E1A85" w:rsidRDefault="006E1A85" w:rsidP="006E1A85">
      <w:pPr>
        <w:tabs>
          <w:tab w:val="left" w:pos="-720"/>
        </w:tabs>
        <w:suppressAutoHyphens/>
        <w:spacing w:before="240" w:after="240"/>
        <w:ind w:left="0"/>
        <w:jc w:val="both"/>
        <w:rPr>
          <w:rFonts w:ascii="Bookman Old Style" w:hAnsi="Bookman Old Style"/>
          <w:spacing w:val="-3"/>
        </w:rPr>
      </w:pPr>
      <w:r w:rsidRPr="006E1A85">
        <w:rPr>
          <w:rFonts w:ascii="Bookman Old Style" w:hAnsi="Bookman Old Style"/>
          <w:spacing w:val="-3"/>
        </w:rPr>
        <w:t>De acuerdo con l</w:t>
      </w:r>
      <w:r w:rsidR="008E0C47">
        <w:rPr>
          <w:rFonts w:ascii="Bookman Old Style" w:hAnsi="Bookman Old Style"/>
          <w:spacing w:val="-3"/>
        </w:rPr>
        <w:t>a fórmula del artículo 6 de la R</w:t>
      </w:r>
      <w:r w:rsidRPr="006E1A85">
        <w:rPr>
          <w:rFonts w:ascii="Bookman Old Style" w:hAnsi="Bookman Old Style"/>
          <w:spacing w:val="-3"/>
        </w:rPr>
        <w:t>esolución CREG 180 de 2014, el costo base de comercialización para el primer año corresponde a:</w:t>
      </w:r>
    </w:p>
    <w:p w:rsidR="006E1A85" w:rsidRPr="006E1A85" w:rsidRDefault="008B5611" w:rsidP="006E1A85">
      <w:pPr>
        <w:tabs>
          <w:tab w:val="left" w:pos="-720"/>
        </w:tabs>
        <w:suppressAutoHyphens/>
        <w:spacing w:before="240" w:after="240"/>
        <w:ind w:left="0"/>
        <w:jc w:val="both"/>
        <w:rPr>
          <w:rFonts w:ascii="Bookman Old Style" w:hAnsi="Bookman Old Style"/>
          <w:spacing w:val="-3"/>
        </w:rPr>
      </w:pPr>
      <m:oMathPara>
        <m:oMath>
          <m:sSub>
            <m:sSubPr>
              <m:ctrlPr>
                <w:rPr>
                  <w:rFonts w:ascii="Cambria Math" w:hAnsi="Cambria Math"/>
                  <w:i/>
                  <w:lang w:val="es-ES_tradnl"/>
                </w:rPr>
              </m:ctrlPr>
            </m:sSubPr>
            <m:e>
              <m:r>
                <w:rPr>
                  <w:rFonts w:ascii="Cambria Math" w:hAnsi="Cambria Math"/>
                  <w:lang w:val="es-ES_tradnl"/>
                </w:rPr>
                <m:t>Cf</m:t>
              </m:r>
            </m:e>
            <m:sub>
              <m:r>
                <w:rPr>
                  <w:rFonts w:ascii="Cambria Math" w:hAnsi="Cambria Math"/>
                  <w:lang w:val="es-ES_tradnl"/>
                </w:rPr>
                <m:t>j 2015</m:t>
              </m:r>
            </m:sub>
          </m:sSub>
          <m:r>
            <w:rPr>
              <w:rFonts w:ascii="Cambria Math" w:hAnsi="Cambria Math"/>
              <w:lang w:val="es-ES_tradnl"/>
            </w:rPr>
            <m:t>=</m:t>
          </m:r>
          <m:f>
            <m:fPr>
              <m:ctrlPr>
                <w:rPr>
                  <w:rFonts w:ascii="Cambria Math" w:hAnsi="Cambria Math"/>
                  <w:i/>
                  <w:lang w:val="es-ES_tradnl"/>
                </w:rPr>
              </m:ctrlPr>
            </m:fPr>
            <m:num>
              <m:r>
                <w:rPr>
                  <w:rFonts w:ascii="Cambria Math" w:hAnsi="Cambria Math"/>
                  <w:lang w:val="es-ES_tradnl"/>
                </w:rPr>
                <m:t>35.332.093.343*0,94</m:t>
              </m:r>
            </m:num>
            <m:den>
              <m:r>
                <w:rPr>
                  <w:rFonts w:ascii="Cambria Math" w:hAnsi="Cambria Math"/>
                  <w:lang w:val="es-ES_tradnl"/>
                </w:rPr>
                <m:t>4.180.374</m:t>
              </m:r>
            </m:den>
          </m:f>
          <m:r>
            <w:rPr>
              <w:rFonts w:ascii="Cambria Math" w:hAnsi="Cambria Math"/>
              <w:lang w:val="es-ES_tradnl"/>
            </w:rPr>
            <m:t>=7.944,78 $ dic-2013/factura</m:t>
          </m:r>
        </m:oMath>
      </m:oMathPara>
    </w:p>
    <w:p w:rsidR="006E1A85" w:rsidRDefault="006E1A85" w:rsidP="006E1A85">
      <w:pPr>
        <w:tabs>
          <w:tab w:val="left" w:pos="-720"/>
        </w:tabs>
        <w:suppressAutoHyphens/>
        <w:spacing w:before="240" w:after="240"/>
        <w:ind w:left="0"/>
        <w:jc w:val="both"/>
        <w:rPr>
          <w:rFonts w:ascii="Bookman Old Style" w:hAnsi="Bookman Old Style"/>
          <w:spacing w:val="-3"/>
        </w:rPr>
      </w:pPr>
      <w:r w:rsidRPr="006E1A85">
        <w:rPr>
          <w:rFonts w:ascii="Bookman Old Style" w:hAnsi="Bookman Old Style"/>
          <w:spacing w:val="-3"/>
        </w:rPr>
        <w:t xml:space="preserve">Para los demás años, el valor del costo base se reduce en </w:t>
      </w:r>
      <w:r w:rsidR="00EA4D58">
        <w:rPr>
          <w:rFonts w:ascii="Bookman Old Style" w:hAnsi="Bookman Old Style"/>
          <w:spacing w:val="-3"/>
        </w:rPr>
        <w:t>263,</w:t>
      </w:r>
      <w:r w:rsidR="00C60E4F">
        <w:rPr>
          <w:rFonts w:ascii="Bookman Old Style" w:hAnsi="Bookman Old Style"/>
          <w:spacing w:val="-3"/>
        </w:rPr>
        <w:t>97</w:t>
      </w:r>
      <w:r w:rsidRPr="006E1A85">
        <w:rPr>
          <w:rFonts w:ascii="Bookman Old Style" w:hAnsi="Bookman Old Style"/>
          <w:spacing w:val="-3"/>
        </w:rPr>
        <w:t xml:space="preserve"> $/factura con lo que se tiene que:</w:t>
      </w:r>
    </w:p>
    <w:p w:rsidR="006B36C3" w:rsidRPr="009C613C" w:rsidRDefault="006B36C3" w:rsidP="006B36C3">
      <w:pPr>
        <w:keepNext/>
        <w:tabs>
          <w:tab w:val="left" w:pos="-720"/>
        </w:tabs>
        <w:suppressAutoHyphens/>
        <w:spacing w:before="240" w:after="240"/>
        <w:ind w:left="0"/>
        <w:jc w:val="center"/>
        <w:rPr>
          <w:rFonts w:ascii="Bookman Old Style" w:hAnsi="Bookman Old Style"/>
          <w:b/>
          <w:spacing w:val="-3"/>
        </w:rPr>
      </w:pPr>
      <w:r w:rsidRPr="009C613C">
        <w:rPr>
          <w:rFonts w:ascii="Bookman Old Style" w:hAnsi="Bookman Old Style"/>
          <w:b/>
          <w:spacing w:val="-3"/>
        </w:rPr>
        <w:lastRenderedPageBreak/>
        <w:t xml:space="preserve">Tabla </w:t>
      </w:r>
      <w:r>
        <w:rPr>
          <w:rFonts w:ascii="Bookman Old Style" w:hAnsi="Bookman Old Style"/>
          <w:b/>
          <w:spacing w:val="-3"/>
        </w:rPr>
        <w:t>2</w:t>
      </w:r>
      <w:r w:rsidRPr="009C613C">
        <w:rPr>
          <w:rFonts w:ascii="Bookman Old Style" w:hAnsi="Bookman Old Style"/>
          <w:b/>
          <w:spacing w:val="-3"/>
        </w:rPr>
        <w:t xml:space="preserve">. </w:t>
      </w:r>
      <w:r>
        <w:rPr>
          <w:rFonts w:ascii="Bookman Old Style" w:hAnsi="Bookman Old Style"/>
          <w:b/>
          <w:spacing w:val="-3"/>
        </w:rPr>
        <w:t xml:space="preserve">Costo base de comercialización para </w:t>
      </w:r>
      <w:r w:rsidRPr="009C613C">
        <w:rPr>
          <w:rFonts w:ascii="Bookman Old Style" w:hAnsi="Bookman Old Style"/>
          <w:b/>
          <w:spacing w:val="-3"/>
        </w:rPr>
        <w:t>los años 2009 a 2013</w:t>
      </w:r>
    </w:p>
    <w:tbl>
      <w:tblPr>
        <w:tblStyle w:val="Tablaconcuadrcula"/>
        <w:tblW w:w="9727" w:type="dxa"/>
        <w:jc w:val="center"/>
        <w:tblInd w:w="176" w:type="dxa"/>
        <w:tblLook w:val="04A0" w:firstRow="1" w:lastRow="0" w:firstColumn="1" w:lastColumn="0" w:noHBand="0" w:noVBand="1"/>
      </w:tblPr>
      <w:tblGrid>
        <w:gridCol w:w="3067"/>
        <w:gridCol w:w="1332"/>
        <w:gridCol w:w="1332"/>
        <w:gridCol w:w="1332"/>
        <w:gridCol w:w="1332"/>
        <w:gridCol w:w="1332"/>
      </w:tblGrid>
      <w:tr w:rsidR="00C60E4F" w:rsidTr="00CD3BC1">
        <w:trPr>
          <w:trHeight w:val="447"/>
          <w:jc w:val="center"/>
        </w:trPr>
        <w:tc>
          <w:tcPr>
            <w:tcW w:w="3067" w:type="dxa"/>
            <w:vAlign w:val="center"/>
          </w:tcPr>
          <w:p w:rsidR="00C60E4F" w:rsidRPr="002322D9" w:rsidRDefault="00C60E4F" w:rsidP="00CD3BC1">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32" w:type="dxa"/>
            <w:vAlign w:val="center"/>
          </w:tcPr>
          <w:p w:rsidR="00C60E4F" w:rsidRPr="00FC78FA" w:rsidRDefault="00C60E4F" w:rsidP="00CD3BC1">
            <w:pPr>
              <w:ind w:left="0"/>
              <w:jc w:val="center"/>
              <w:rPr>
                <w:rFonts w:ascii="Bookman Old Style" w:hAnsi="Bookman Old Style"/>
                <w:b/>
              </w:rPr>
            </w:pPr>
            <w:r w:rsidRPr="00FC78FA">
              <w:rPr>
                <w:rFonts w:ascii="Bookman Old Style" w:hAnsi="Bookman Old Style"/>
                <w:b/>
              </w:rPr>
              <w:t>2015</w:t>
            </w:r>
          </w:p>
        </w:tc>
        <w:tc>
          <w:tcPr>
            <w:tcW w:w="1332" w:type="dxa"/>
            <w:vAlign w:val="center"/>
          </w:tcPr>
          <w:p w:rsidR="00C60E4F" w:rsidRPr="00FC78FA" w:rsidRDefault="00C60E4F" w:rsidP="00CD3BC1">
            <w:pPr>
              <w:ind w:left="0"/>
              <w:jc w:val="center"/>
              <w:rPr>
                <w:rFonts w:ascii="Bookman Old Style" w:hAnsi="Bookman Old Style"/>
                <w:b/>
              </w:rPr>
            </w:pPr>
            <w:r w:rsidRPr="00FC78FA">
              <w:rPr>
                <w:rFonts w:ascii="Bookman Old Style" w:hAnsi="Bookman Old Style"/>
                <w:b/>
              </w:rPr>
              <w:t>2016</w:t>
            </w:r>
          </w:p>
        </w:tc>
        <w:tc>
          <w:tcPr>
            <w:tcW w:w="1332" w:type="dxa"/>
            <w:vAlign w:val="center"/>
          </w:tcPr>
          <w:p w:rsidR="00C60E4F" w:rsidRPr="00FC78FA" w:rsidRDefault="00C60E4F" w:rsidP="00CD3BC1">
            <w:pPr>
              <w:ind w:left="0"/>
              <w:jc w:val="center"/>
              <w:rPr>
                <w:rFonts w:ascii="Bookman Old Style" w:hAnsi="Bookman Old Style"/>
                <w:b/>
              </w:rPr>
            </w:pPr>
            <w:r w:rsidRPr="00FC78FA">
              <w:rPr>
                <w:rFonts w:ascii="Bookman Old Style" w:hAnsi="Bookman Old Style"/>
                <w:b/>
              </w:rPr>
              <w:t>2017</w:t>
            </w:r>
          </w:p>
        </w:tc>
        <w:tc>
          <w:tcPr>
            <w:tcW w:w="1332" w:type="dxa"/>
            <w:vAlign w:val="center"/>
          </w:tcPr>
          <w:p w:rsidR="00C60E4F" w:rsidRPr="00FC78FA" w:rsidRDefault="00C60E4F" w:rsidP="00CD3BC1">
            <w:pPr>
              <w:ind w:left="0"/>
              <w:jc w:val="center"/>
              <w:rPr>
                <w:rFonts w:ascii="Bookman Old Style" w:hAnsi="Bookman Old Style"/>
                <w:b/>
              </w:rPr>
            </w:pPr>
            <w:r w:rsidRPr="00FC78FA">
              <w:rPr>
                <w:rFonts w:ascii="Bookman Old Style" w:hAnsi="Bookman Old Style"/>
                <w:b/>
              </w:rPr>
              <w:t>2018</w:t>
            </w:r>
          </w:p>
        </w:tc>
        <w:tc>
          <w:tcPr>
            <w:tcW w:w="1332" w:type="dxa"/>
            <w:vAlign w:val="center"/>
          </w:tcPr>
          <w:p w:rsidR="00C60E4F" w:rsidRPr="00FC78FA" w:rsidRDefault="00C60E4F" w:rsidP="00CD3BC1">
            <w:pPr>
              <w:ind w:left="0"/>
              <w:jc w:val="center"/>
              <w:rPr>
                <w:rFonts w:ascii="Bookman Old Style" w:hAnsi="Bookman Old Style"/>
                <w:b/>
              </w:rPr>
            </w:pPr>
            <w:r w:rsidRPr="00FC78FA">
              <w:rPr>
                <w:rFonts w:ascii="Bookman Old Style" w:hAnsi="Bookman Old Style"/>
                <w:b/>
              </w:rPr>
              <w:t>2019</w:t>
            </w:r>
          </w:p>
        </w:tc>
      </w:tr>
      <w:tr w:rsidR="00C60E4F" w:rsidTr="00CD3BC1">
        <w:trPr>
          <w:trHeight w:val="423"/>
          <w:jc w:val="center"/>
        </w:trPr>
        <w:tc>
          <w:tcPr>
            <w:tcW w:w="3067" w:type="dxa"/>
            <w:vAlign w:val="center"/>
          </w:tcPr>
          <w:p w:rsidR="00C60E4F" w:rsidRPr="002322D9" w:rsidRDefault="00C60E4F" w:rsidP="00CD3BC1">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Pr>
                <w:rFonts w:ascii="Bookman Old Style" w:hAnsi="Bookman Old Style"/>
                <w:b/>
                <w:i/>
                <w:spacing w:val="-3"/>
                <w:sz w:val="28"/>
                <w:vertAlign w:val="subscript"/>
              </w:rPr>
              <w:t xml:space="preserve"> </w:t>
            </w:r>
            <w:r w:rsidRPr="00FC78FA">
              <w:rPr>
                <w:rFonts w:ascii="Bookman Old Style" w:hAnsi="Bookman Old Style"/>
                <w:b/>
                <w:spacing w:val="-3"/>
                <w:sz w:val="20"/>
              </w:rPr>
              <w:t>[$ dic-2013 / factura]</w:t>
            </w:r>
          </w:p>
        </w:tc>
        <w:tc>
          <w:tcPr>
            <w:tcW w:w="1332" w:type="dxa"/>
            <w:vAlign w:val="center"/>
          </w:tcPr>
          <w:p w:rsidR="00C60E4F" w:rsidRPr="00FC78FA" w:rsidRDefault="00C60E4F" w:rsidP="00CD3BC1">
            <w:pPr>
              <w:ind w:left="0"/>
              <w:jc w:val="center"/>
              <w:rPr>
                <w:rFonts w:ascii="Bookman Old Style" w:hAnsi="Bookman Old Style"/>
                <w:b/>
              </w:rPr>
            </w:pPr>
            <w:r>
              <w:rPr>
                <w:rFonts w:ascii="Bookman Old Style" w:hAnsi="Bookman Old Style"/>
                <w:b/>
              </w:rPr>
              <w:t>7.944,78</w:t>
            </w:r>
          </w:p>
        </w:tc>
        <w:tc>
          <w:tcPr>
            <w:tcW w:w="1332" w:type="dxa"/>
            <w:vAlign w:val="center"/>
          </w:tcPr>
          <w:p w:rsidR="00C60E4F" w:rsidRPr="00FC78FA" w:rsidRDefault="00C60E4F" w:rsidP="00C60E4F">
            <w:pPr>
              <w:ind w:left="0"/>
              <w:jc w:val="center"/>
              <w:rPr>
                <w:rFonts w:ascii="Bookman Old Style" w:hAnsi="Bookman Old Style"/>
                <w:b/>
              </w:rPr>
            </w:pPr>
            <w:r>
              <w:rPr>
                <w:rFonts w:ascii="Bookman Old Style" w:hAnsi="Bookman Old Style"/>
                <w:b/>
              </w:rPr>
              <w:t>7.680,81</w:t>
            </w:r>
          </w:p>
        </w:tc>
        <w:tc>
          <w:tcPr>
            <w:tcW w:w="1332" w:type="dxa"/>
            <w:vAlign w:val="center"/>
          </w:tcPr>
          <w:p w:rsidR="00C60E4F" w:rsidRPr="00FC78FA" w:rsidRDefault="00C60E4F" w:rsidP="00CD3BC1">
            <w:pPr>
              <w:ind w:left="0"/>
              <w:jc w:val="center"/>
              <w:rPr>
                <w:rFonts w:ascii="Bookman Old Style" w:hAnsi="Bookman Old Style"/>
                <w:b/>
              </w:rPr>
            </w:pPr>
            <w:r>
              <w:rPr>
                <w:rFonts w:ascii="Bookman Old Style" w:hAnsi="Bookman Old Style"/>
                <w:b/>
              </w:rPr>
              <w:t>7.416,84</w:t>
            </w:r>
          </w:p>
        </w:tc>
        <w:tc>
          <w:tcPr>
            <w:tcW w:w="1332" w:type="dxa"/>
            <w:vAlign w:val="center"/>
          </w:tcPr>
          <w:p w:rsidR="00C60E4F" w:rsidRPr="00FC78FA" w:rsidRDefault="00C60E4F" w:rsidP="00C60E4F">
            <w:pPr>
              <w:ind w:left="0"/>
              <w:jc w:val="center"/>
              <w:rPr>
                <w:rFonts w:ascii="Bookman Old Style" w:hAnsi="Bookman Old Style"/>
                <w:b/>
              </w:rPr>
            </w:pPr>
            <w:r>
              <w:rPr>
                <w:rFonts w:ascii="Bookman Old Style" w:hAnsi="Bookman Old Style"/>
                <w:b/>
              </w:rPr>
              <w:t>7.152,87</w:t>
            </w:r>
          </w:p>
        </w:tc>
        <w:tc>
          <w:tcPr>
            <w:tcW w:w="1332" w:type="dxa"/>
            <w:vAlign w:val="center"/>
          </w:tcPr>
          <w:p w:rsidR="00C60E4F" w:rsidRPr="00FC78FA" w:rsidRDefault="00C60E4F" w:rsidP="00CD3BC1">
            <w:pPr>
              <w:ind w:left="0"/>
              <w:jc w:val="center"/>
              <w:rPr>
                <w:rFonts w:ascii="Bookman Old Style" w:hAnsi="Bookman Old Style"/>
                <w:b/>
              </w:rPr>
            </w:pPr>
            <w:r>
              <w:rPr>
                <w:rFonts w:ascii="Bookman Old Style" w:hAnsi="Bookman Old Style"/>
                <w:b/>
              </w:rPr>
              <w:t>6.888,90</w:t>
            </w:r>
          </w:p>
        </w:tc>
      </w:tr>
    </w:tbl>
    <w:p w:rsidR="009819AC" w:rsidRPr="009819AC" w:rsidRDefault="009819AC" w:rsidP="009819AC">
      <w:pPr>
        <w:pStyle w:val="Prrafodelista"/>
        <w:numPr>
          <w:ilvl w:val="0"/>
          <w:numId w:val="20"/>
        </w:numPr>
        <w:tabs>
          <w:tab w:val="left" w:pos="-720"/>
        </w:tabs>
        <w:suppressAutoHyphens/>
        <w:spacing w:before="240" w:after="240"/>
        <w:jc w:val="both"/>
        <w:rPr>
          <w:rFonts w:ascii="Bookman Old Style" w:hAnsi="Bookman Old Style"/>
          <w:b/>
          <w:spacing w:val="-3"/>
          <w:sz w:val="24"/>
          <w:szCs w:val="24"/>
          <w:lang w:val="es-ES"/>
        </w:rPr>
      </w:pPr>
      <w:r>
        <w:rPr>
          <w:rFonts w:ascii="Bookman Old Style" w:hAnsi="Bookman Old Style"/>
          <w:b/>
          <w:spacing w:val="-3"/>
          <w:sz w:val="24"/>
          <w:szCs w:val="24"/>
          <w:lang w:val="es-ES"/>
        </w:rPr>
        <w:t>Sobre la petición de ENERTOTAL</w:t>
      </w:r>
    </w:p>
    <w:p w:rsidR="00AE4527" w:rsidRPr="00AE4527" w:rsidRDefault="00AE4527" w:rsidP="00AE4527">
      <w:pPr>
        <w:tabs>
          <w:tab w:val="left" w:pos="-720"/>
        </w:tabs>
        <w:suppressAutoHyphens/>
        <w:spacing w:before="240" w:after="240"/>
        <w:ind w:left="0"/>
        <w:jc w:val="both"/>
        <w:rPr>
          <w:rFonts w:ascii="Bookman Old Style" w:hAnsi="Bookman Old Style"/>
          <w:spacing w:val="-3"/>
        </w:rPr>
      </w:pPr>
      <w:r w:rsidRPr="00AE4527">
        <w:rPr>
          <w:rFonts w:ascii="Bookman Old Style" w:hAnsi="Bookman Old Style"/>
          <w:spacing w:val="-3"/>
        </w:rPr>
        <w:t xml:space="preserve">Sobre la pretensión de </w:t>
      </w:r>
      <w:r>
        <w:rPr>
          <w:rFonts w:ascii="Bookman Old Style" w:hAnsi="Bookman Old Style"/>
          <w:spacing w:val="-3"/>
        </w:rPr>
        <w:t xml:space="preserve">ENERTOTAL </w:t>
      </w:r>
      <w:r w:rsidRPr="00AE4527">
        <w:rPr>
          <w:rFonts w:ascii="Bookman Old Style" w:hAnsi="Bookman Old Style"/>
          <w:spacing w:val="-3"/>
        </w:rPr>
        <w:t xml:space="preserve">de </w:t>
      </w:r>
      <w:r>
        <w:rPr>
          <w:rFonts w:ascii="Bookman Old Style" w:hAnsi="Bookman Old Style"/>
          <w:spacing w:val="-3"/>
        </w:rPr>
        <w:t>modificar la Resolución CREG 122</w:t>
      </w:r>
      <w:r w:rsidRPr="00AE4527">
        <w:rPr>
          <w:rFonts w:ascii="Bookman Old Style" w:hAnsi="Bookman Old Style"/>
          <w:spacing w:val="-3"/>
        </w:rPr>
        <w:t xml:space="preserve"> de 2015 para </w:t>
      </w:r>
      <w:r>
        <w:rPr>
          <w:rFonts w:ascii="Bookman Old Style" w:hAnsi="Bookman Old Style"/>
          <w:spacing w:val="-3"/>
        </w:rPr>
        <w:t>que se reconozca</w:t>
      </w:r>
      <w:r w:rsidR="009C7F3E">
        <w:rPr>
          <w:rFonts w:ascii="Bookman Old Style" w:hAnsi="Bookman Old Style"/>
          <w:spacing w:val="-3"/>
        </w:rPr>
        <w:t>n</w:t>
      </w:r>
      <w:r>
        <w:rPr>
          <w:rFonts w:ascii="Bookman Old Style" w:hAnsi="Bookman Old Style"/>
          <w:spacing w:val="-3"/>
        </w:rPr>
        <w:t xml:space="preserve"> dentro del costo base de comercialización los gastos de gestión de </w:t>
      </w:r>
      <w:r w:rsidRPr="00AE4527">
        <w:rPr>
          <w:rFonts w:ascii="Bookman Old Style" w:hAnsi="Bookman Old Style"/>
          <w:spacing w:val="-3"/>
        </w:rPr>
        <w:t>pérdidas</w:t>
      </w:r>
      <w:r w:rsidR="009C7F3E">
        <w:rPr>
          <w:rFonts w:ascii="Bookman Old Style" w:hAnsi="Bookman Old Style"/>
          <w:spacing w:val="-3"/>
        </w:rPr>
        <w:t xml:space="preserve"> de energía,</w:t>
      </w:r>
      <w:r>
        <w:rPr>
          <w:rFonts w:ascii="Bookman Old Style" w:hAnsi="Bookman Old Style"/>
          <w:spacing w:val="-3"/>
        </w:rPr>
        <w:t xml:space="preserve"> es preciso anotar</w:t>
      </w:r>
      <w:r w:rsidRPr="00AE4527">
        <w:rPr>
          <w:rFonts w:ascii="Bookman Old Style" w:hAnsi="Bookman Old Style"/>
          <w:spacing w:val="-3"/>
        </w:rPr>
        <w:t>:</w:t>
      </w:r>
    </w:p>
    <w:p w:rsidR="00AE4527" w:rsidRPr="00AE4527" w:rsidRDefault="00AE4527" w:rsidP="00AE4527">
      <w:pPr>
        <w:pStyle w:val="Prrafodelista"/>
        <w:numPr>
          <w:ilvl w:val="0"/>
          <w:numId w:val="25"/>
        </w:numPr>
        <w:tabs>
          <w:tab w:val="left" w:pos="-720"/>
        </w:tabs>
        <w:suppressAutoHyphens/>
        <w:spacing w:before="240" w:after="240"/>
        <w:jc w:val="both"/>
        <w:rPr>
          <w:rFonts w:ascii="Bookman Old Style" w:hAnsi="Bookman Old Style"/>
          <w:spacing w:val="-3"/>
          <w:sz w:val="24"/>
        </w:rPr>
      </w:pPr>
      <w:r w:rsidRPr="00AE4527">
        <w:rPr>
          <w:rFonts w:ascii="Bookman Old Style" w:hAnsi="Bookman Old Style"/>
          <w:spacing w:val="-3"/>
          <w:sz w:val="24"/>
        </w:rPr>
        <w:t>En el</w:t>
      </w:r>
      <w:r w:rsidR="00332FB6">
        <w:rPr>
          <w:rFonts w:ascii="Bookman Old Style" w:hAnsi="Bookman Old Style"/>
          <w:spacing w:val="-3"/>
          <w:sz w:val="24"/>
        </w:rPr>
        <w:t xml:space="preserve"> literal d) del artículo 3 del Decreto 387 de 2007 </w:t>
      </w:r>
      <w:r w:rsidRPr="00AE4527">
        <w:rPr>
          <w:rFonts w:ascii="Bookman Old Style" w:hAnsi="Bookman Old Style"/>
          <w:spacing w:val="-3"/>
          <w:sz w:val="24"/>
        </w:rPr>
        <w:t xml:space="preserve">se </w:t>
      </w:r>
      <w:r w:rsidR="00705D90">
        <w:rPr>
          <w:rFonts w:ascii="Bookman Old Style" w:hAnsi="Bookman Old Style"/>
          <w:spacing w:val="-3"/>
          <w:sz w:val="24"/>
        </w:rPr>
        <w:t xml:space="preserve">asignó </w:t>
      </w:r>
      <w:r w:rsidRPr="00AE4527">
        <w:rPr>
          <w:rFonts w:ascii="Bookman Old Style" w:hAnsi="Bookman Old Style"/>
          <w:spacing w:val="-3"/>
          <w:sz w:val="24"/>
        </w:rPr>
        <w:t>la responsabilidad de la</w:t>
      </w:r>
      <w:r w:rsidR="00705D90">
        <w:rPr>
          <w:rFonts w:ascii="Bookman Old Style" w:hAnsi="Bookman Old Style"/>
          <w:spacing w:val="-3"/>
          <w:sz w:val="24"/>
        </w:rPr>
        <w:t xml:space="preserve"> gestión</w:t>
      </w:r>
      <w:r w:rsidRPr="00AE4527">
        <w:rPr>
          <w:rFonts w:ascii="Bookman Old Style" w:hAnsi="Bookman Old Style"/>
          <w:spacing w:val="-3"/>
          <w:sz w:val="24"/>
        </w:rPr>
        <w:t xml:space="preserve"> pérdidas </w:t>
      </w:r>
      <w:r w:rsidR="00332FB6">
        <w:rPr>
          <w:rFonts w:ascii="Bookman Old Style" w:hAnsi="Bookman Old Style"/>
          <w:spacing w:val="-3"/>
          <w:sz w:val="24"/>
        </w:rPr>
        <w:t>a</w:t>
      </w:r>
      <w:r w:rsidRPr="00AE4527">
        <w:rPr>
          <w:rFonts w:ascii="Bookman Old Style" w:hAnsi="Bookman Old Style"/>
          <w:spacing w:val="-3"/>
          <w:sz w:val="24"/>
        </w:rPr>
        <w:t>l operador de red</w:t>
      </w:r>
      <w:r w:rsidR="009C7F3E">
        <w:rPr>
          <w:rFonts w:ascii="Bookman Old Style" w:hAnsi="Bookman Old Style"/>
          <w:spacing w:val="-3"/>
          <w:sz w:val="24"/>
        </w:rPr>
        <w:t>,</w:t>
      </w:r>
      <w:r w:rsidR="009C7F3E" w:rsidRPr="00AE4527">
        <w:rPr>
          <w:rFonts w:ascii="Bookman Old Style" w:hAnsi="Bookman Old Style"/>
          <w:spacing w:val="-3"/>
          <w:sz w:val="24"/>
        </w:rPr>
        <w:t xml:space="preserve"> </w:t>
      </w:r>
      <w:r w:rsidRPr="00AE4527">
        <w:rPr>
          <w:rFonts w:ascii="Bookman Old Style" w:hAnsi="Bookman Old Style"/>
          <w:spacing w:val="-3"/>
          <w:sz w:val="24"/>
        </w:rPr>
        <w:t>así:</w:t>
      </w:r>
    </w:p>
    <w:p w:rsidR="00AE4527" w:rsidRPr="003A38D6" w:rsidRDefault="00AE4527" w:rsidP="009C7F3E">
      <w:pPr>
        <w:pStyle w:val="Cita"/>
        <w:tabs>
          <w:tab w:val="left" w:pos="851"/>
        </w:tabs>
        <w:ind w:left="1416" w:hanging="284"/>
        <w:rPr>
          <w:lang w:val="es-CO"/>
        </w:rPr>
      </w:pPr>
      <w:r>
        <w:rPr>
          <w:lang w:val="es-CO"/>
        </w:rPr>
        <w:t>d)</w:t>
      </w:r>
      <w:r>
        <w:rPr>
          <w:lang w:val="es-CO"/>
        </w:rPr>
        <w:tab/>
        <w:t>El Operador de Red será el responsable por la gestión integral de las pérdidas de energía en el mercado de comercialización asociado a sus redes</w:t>
      </w:r>
    </w:p>
    <w:p w:rsidR="00AE4527" w:rsidRPr="009C7F3E" w:rsidRDefault="00EC7CE6" w:rsidP="009C7F3E">
      <w:pPr>
        <w:pStyle w:val="Prrafodelista"/>
        <w:numPr>
          <w:ilvl w:val="0"/>
          <w:numId w:val="25"/>
        </w:numPr>
        <w:tabs>
          <w:tab w:val="left" w:pos="-720"/>
        </w:tabs>
        <w:suppressAutoHyphens/>
        <w:spacing w:before="240" w:after="240"/>
        <w:jc w:val="both"/>
        <w:rPr>
          <w:rFonts w:ascii="Bookman Old Style" w:hAnsi="Bookman Old Style"/>
          <w:spacing w:val="-3"/>
          <w:sz w:val="24"/>
        </w:rPr>
      </w:pPr>
      <w:r>
        <w:rPr>
          <w:rFonts w:ascii="Bookman Old Style" w:hAnsi="Bookman Old Style"/>
          <w:spacing w:val="-3"/>
          <w:sz w:val="24"/>
        </w:rPr>
        <w:t>En respuesta a ASOCODIS sobre la remuneración de la gestión de pérdidas de energía en la página 101 del</w:t>
      </w:r>
      <w:r w:rsidR="00AE4527" w:rsidRPr="009C7F3E">
        <w:rPr>
          <w:rFonts w:ascii="Bookman Old Style" w:hAnsi="Bookman Old Style"/>
          <w:spacing w:val="-3"/>
          <w:sz w:val="24"/>
        </w:rPr>
        <w:t xml:space="preserve"> </w:t>
      </w:r>
      <w:r>
        <w:rPr>
          <w:rFonts w:ascii="Bookman Old Style" w:hAnsi="Bookman Old Style"/>
          <w:spacing w:val="-3"/>
          <w:sz w:val="24"/>
        </w:rPr>
        <w:t>D</w:t>
      </w:r>
      <w:r w:rsidR="00AE4527" w:rsidRPr="009C7F3E">
        <w:rPr>
          <w:rFonts w:ascii="Bookman Old Style" w:hAnsi="Bookman Old Style"/>
          <w:spacing w:val="-3"/>
          <w:sz w:val="24"/>
        </w:rPr>
        <w:t>ocumento CREG 100 de 2014</w:t>
      </w:r>
      <w:r w:rsidR="008E0C47">
        <w:rPr>
          <w:rFonts w:ascii="Bookman Old Style" w:hAnsi="Bookman Old Style"/>
          <w:spacing w:val="-3"/>
          <w:sz w:val="24"/>
        </w:rPr>
        <w:t>,</w:t>
      </w:r>
      <w:r w:rsidR="00AE4527" w:rsidRPr="009C7F3E">
        <w:rPr>
          <w:rFonts w:ascii="Bookman Old Style" w:hAnsi="Bookman Old Style"/>
          <w:spacing w:val="-3"/>
          <w:sz w:val="24"/>
        </w:rPr>
        <w:t xml:space="preserve"> que soporta la Resolución CREG 180 de 2014</w:t>
      </w:r>
      <w:r w:rsidR="008E0C47">
        <w:rPr>
          <w:rFonts w:ascii="Bookman Old Style" w:hAnsi="Bookman Old Style"/>
          <w:spacing w:val="-3"/>
          <w:sz w:val="24"/>
        </w:rPr>
        <w:t>,</w:t>
      </w:r>
      <w:r w:rsidR="00AE4527" w:rsidRPr="009C7F3E">
        <w:rPr>
          <w:rFonts w:ascii="Bookman Old Style" w:hAnsi="Bookman Old Style"/>
          <w:spacing w:val="-3"/>
          <w:sz w:val="24"/>
        </w:rPr>
        <w:t xml:space="preserve"> </w:t>
      </w:r>
      <w:r>
        <w:rPr>
          <w:rFonts w:ascii="Bookman Old Style" w:hAnsi="Bookman Old Style"/>
          <w:spacing w:val="-3"/>
          <w:sz w:val="24"/>
        </w:rPr>
        <w:t>se señala</w:t>
      </w:r>
      <w:r w:rsidR="00AE4527" w:rsidRPr="009C7F3E">
        <w:rPr>
          <w:rFonts w:ascii="Bookman Old Style" w:hAnsi="Bookman Old Style"/>
          <w:spacing w:val="-3"/>
          <w:sz w:val="24"/>
        </w:rPr>
        <w:t>:</w:t>
      </w:r>
    </w:p>
    <w:p w:rsidR="00AE4527" w:rsidRDefault="00AE4527" w:rsidP="00EC7CE6">
      <w:pPr>
        <w:pStyle w:val="Cita"/>
        <w:ind w:left="1080"/>
      </w:pPr>
      <w:r>
        <w:t xml:space="preserve">(…) </w:t>
      </w:r>
      <w:r w:rsidRPr="006172C2">
        <w:t>sobre la remuneración de las pérdidas de energía, la Comisión debe dar aplicación a lo establecido en el Decreto 1937 de 2013, por lo que deben ser reconocidas en la actividad de distribución de acuerdo con los lineamientos fijados en el decreto</w:t>
      </w:r>
      <w:r>
        <w:t>.</w:t>
      </w:r>
    </w:p>
    <w:p w:rsidR="00AE4527" w:rsidRPr="00EC7CE6" w:rsidRDefault="00AE4527" w:rsidP="00EC7CE6">
      <w:pPr>
        <w:pStyle w:val="Prrafodelista"/>
        <w:numPr>
          <w:ilvl w:val="0"/>
          <w:numId w:val="25"/>
        </w:numPr>
        <w:tabs>
          <w:tab w:val="left" w:pos="-720"/>
        </w:tabs>
        <w:suppressAutoHyphens/>
        <w:spacing w:before="240" w:after="240"/>
        <w:jc w:val="both"/>
        <w:rPr>
          <w:rFonts w:ascii="Bookman Old Style" w:hAnsi="Bookman Old Style"/>
          <w:spacing w:val="-3"/>
          <w:sz w:val="24"/>
        </w:rPr>
      </w:pPr>
      <w:r w:rsidRPr="00EC7CE6">
        <w:rPr>
          <w:rFonts w:ascii="Bookman Old Style" w:hAnsi="Bookman Old Style"/>
          <w:spacing w:val="-3"/>
          <w:sz w:val="24"/>
        </w:rPr>
        <w:t>En el mismo documento, en la página 118 la Comisión expresó:</w:t>
      </w:r>
    </w:p>
    <w:p w:rsidR="00AE4527" w:rsidRDefault="00AE4527" w:rsidP="00EC7CE6">
      <w:pPr>
        <w:pStyle w:val="Cita"/>
        <w:ind w:left="1080"/>
      </w:pPr>
      <w:r w:rsidRPr="00DE2227">
        <w:t xml:space="preserve">De acuerdo con las políticas establecidas en los Decretos 387 </w:t>
      </w:r>
      <w:r>
        <w:t>de 2007</w:t>
      </w:r>
      <w:r w:rsidRPr="00DE2227">
        <w:t>, 4977 de 2007 y 1937 de 2013 es el operador de red el responsable por la gestión integral de las pérdidas de energía en el mercado de comercialización asociado a sus redes, por lo que estos costos no son reconocidos en la actividad de comercialización de energía.</w:t>
      </w:r>
    </w:p>
    <w:p w:rsidR="00AE4527" w:rsidRPr="00EC7CE6" w:rsidRDefault="00AE4527" w:rsidP="00EC7CE6">
      <w:pPr>
        <w:pStyle w:val="Prrafodelista"/>
        <w:numPr>
          <w:ilvl w:val="0"/>
          <w:numId w:val="25"/>
        </w:numPr>
        <w:tabs>
          <w:tab w:val="left" w:pos="-720"/>
        </w:tabs>
        <w:suppressAutoHyphens/>
        <w:spacing w:before="240" w:after="240"/>
        <w:jc w:val="both"/>
        <w:rPr>
          <w:rFonts w:ascii="Bookman Old Style" w:hAnsi="Bookman Old Style"/>
          <w:spacing w:val="-3"/>
          <w:sz w:val="24"/>
        </w:rPr>
      </w:pPr>
      <w:r w:rsidRPr="00EC7CE6">
        <w:rPr>
          <w:rFonts w:ascii="Bookman Old Style" w:hAnsi="Bookman Old Style"/>
          <w:spacing w:val="-3"/>
          <w:sz w:val="24"/>
        </w:rPr>
        <w:t>La metodología establecida en la Resolución CREG 180 de 2014 solicitaba la información de gastos de la gestión pérdidas, para ser restados conforme a lo estipulado en el artículo 7 de la citada resolución.</w:t>
      </w:r>
    </w:p>
    <w:p w:rsidR="00AE4527" w:rsidRPr="00EC7CE6" w:rsidRDefault="00EC7CE6" w:rsidP="00EC7CE6">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La Comisión para el cálculo del c</w:t>
      </w:r>
      <w:r w:rsidR="00AE4527" w:rsidRPr="00EC7CE6">
        <w:rPr>
          <w:rFonts w:ascii="Bookman Old Style" w:hAnsi="Bookman Old Style"/>
          <w:spacing w:val="-3"/>
        </w:rPr>
        <w:t xml:space="preserve">osto base de comercialización </w:t>
      </w:r>
      <w:proofErr w:type="spellStart"/>
      <w:r w:rsidR="00AE4527" w:rsidRPr="00EC7CE6">
        <w:rPr>
          <w:rFonts w:ascii="Bookman Old Style" w:hAnsi="Bookman Old Style"/>
          <w:b/>
          <w:i/>
          <w:spacing w:val="-3"/>
        </w:rPr>
        <w:t>Cf</w:t>
      </w:r>
      <w:r w:rsidR="00AE4527" w:rsidRPr="00EC7CE6">
        <w:rPr>
          <w:rFonts w:ascii="Bookman Old Style" w:hAnsi="Bookman Old Style"/>
          <w:b/>
          <w:i/>
          <w:spacing w:val="-3"/>
          <w:vertAlign w:val="subscript"/>
        </w:rPr>
        <w:t>j</w:t>
      </w:r>
      <w:proofErr w:type="spellEnd"/>
      <w:r w:rsidR="00AE4527" w:rsidRPr="00EC7CE6">
        <w:rPr>
          <w:rFonts w:ascii="Bookman Old Style" w:hAnsi="Bookman Old Style"/>
          <w:spacing w:val="-3"/>
        </w:rPr>
        <w:t>, que a</w:t>
      </w:r>
      <w:r>
        <w:rPr>
          <w:rFonts w:ascii="Bookman Old Style" w:hAnsi="Bookman Old Style"/>
          <w:spacing w:val="-3"/>
        </w:rPr>
        <w:t>parece en la Resolución CREG 122</w:t>
      </w:r>
      <w:r w:rsidR="00AE4527" w:rsidRPr="00EC7CE6">
        <w:rPr>
          <w:rFonts w:ascii="Bookman Old Style" w:hAnsi="Bookman Old Style"/>
          <w:spacing w:val="-3"/>
        </w:rPr>
        <w:t xml:space="preserve"> de 2015, dio cabal cumplimiento a lo establecido en la metodología de la Resolución CREG 180 de 2014</w:t>
      </w:r>
      <w:r>
        <w:rPr>
          <w:rFonts w:ascii="Bookman Old Style" w:hAnsi="Bookman Old Style"/>
          <w:spacing w:val="-3"/>
        </w:rPr>
        <w:t>,</w:t>
      </w:r>
      <w:r w:rsidR="00AE4527" w:rsidRPr="00EC7CE6">
        <w:rPr>
          <w:rFonts w:ascii="Bookman Old Style" w:hAnsi="Bookman Old Style"/>
          <w:spacing w:val="-3"/>
        </w:rPr>
        <w:t xml:space="preserve"> </w:t>
      </w:r>
      <w:r>
        <w:rPr>
          <w:rFonts w:ascii="Bookman Old Style" w:hAnsi="Bookman Old Style"/>
          <w:spacing w:val="-3"/>
        </w:rPr>
        <w:t xml:space="preserve">por lo que </w:t>
      </w:r>
      <w:r w:rsidR="00AE4527" w:rsidRPr="00EC7CE6">
        <w:rPr>
          <w:rFonts w:ascii="Bookman Old Style" w:hAnsi="Bookman Old Style"/>
          <w:spacing w:val="-3"/>
        </w:rPr>
        <w:t xml:space="preserve">no es procedente acceder a las pretensiones </w:t>
      </w:r>
      <w:r>
        <w:rPr>
          <w:rFonts w:ascii="Bookman Old Style" w:hAnsi="Bookman Old Style"/>
          <w:spacing w:val="-3"/>
        </w:rPr>
        <w:t>de ENERTOTAL</w:t>
      </w:r>
      <w:r w:rsidR="00AE4527" w:rsidRPr="00EC7CE6">
        <w:rPr>
          <w:rFonts w:ascii="Bookman Old Style" w:hAnsi="Bookman Old Style"/>
          <w:spacing w:val="-3"/>
        </w:rPr>
        <w:t xml:space="preserve">. </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BC40E0">
        <w:rPr>
          <w:rFonts w:ascii="Bookman Old Style" w:hAnsi="Bookman Old Style"/>
          <w:spacing w:val="-3"/>
        </w:rPr>
        <w:t>684</w:t>
      </w:r>
      <w:r w:rsidR="00DA2AED">
        <w:rPr>
          <w:rFonts w:ascii="Bookman Old Style" w:hAnsi="Bookman Old Style"/>
          <w:spacing w:val="-3"/>
        </w:rPr>
        <w:t xml:space="preserve"> </w:t>
      </w:r>
      <w:r w:rsidR="00A62468">
        <w:rPr>
          <w:rFonts w:ascii="Bookman Old Style" w:hAnsi="Bookman Old Style"/>
          <w:spacing w:val="-3"/>
        </w:rPr>
        <w:t xml:space="preserve">del </w:t>
      </w:r>
      <w:r w:rsidR="00BC40E0">
        <w:rPr>
          <w:rFonts w:ascii="Bookman Old Style" w:hAnsi="Bookman Old Style"/>
          <w:spacing w:val="-3"/>
        </w:rPr>
        <w:t>30</w:t>
      </w:r>
      <w:r w:rsidR="00A62468">
        <w:rPr>
          <w:rFonts w:ascii="Bookman Old Style" w:hAnsi="Bookman Old Style"/>
          <w:spacing w:val="-3"/>
        </w:rPr>
        <w:t xml:space="preserve"> de</w:t>
      </w:r>
      <w:r w:rsidR="00260796">
        <w:rPr>
          <w:rFonts w:ascii="Bookman Old Style" w:hAnsi="Bookman Old Style"/>
          <w:spacing w:val="-3"/>
        </w:rPr>
        <w:t xml:space="preserve"> </w:t>
      </w:r>
      <w:r w:rsidR="00DA2AED" w:rsidRPr="00BC40E0">
        <w:rPr>
          <w:rFonts w:ascii="Bookman Old Style" w:hAnsi="Bookman Old Style"/>
          <w:spacing w:val="-3"/>
        </w:rPr>
        <w:t>octubre</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lastRenderedPageBreak/>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9C7F3E" w:rsidRDefault="00673490" w:rsidP="009C7F3E">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spacing w:val="-3"/>
        </w:rPr>
        <w:t xml:space="preserve">Conceder el recurso de reposición </w:t>
      </w:r>
      <w:r w:rsidR="009C7F3E">
        <w:rPr>
          <w:rFonts w:ascii="Bookman Old Style" w:hAnsi="Bookman Old Style"/>
          <w:spacing w:val="-3"/>
        </w:rPr>
        <w:t xml:space="preserve"> </w:t>
      </w:r>
      <w:r w:rsidR="00547C0B">
        <w:rPr>
          <w:rFonts w:ascii="Bookman Old Style" w:hAnsi="Bookman Old Style"/>
          <w:spacing w:val="-3"/>
        </w:rPr>
        <w:t>con relación</w:t>
      </w:r>
      <w:r>
        <w:rPr>
          <w:rFonts w:ascii="Bookman Old Style" w:hAnsi="Bookman Old Style"/>
          <w:spacing w:val="-3"/>
        </w:rPr>
        <w:t xml:space="preserve"> al</w:t>
      </w:r>
      <w:r w:rsidR="009C7F3E">
        <w:rPr>
          <w:rFonts w:ascii="Bookman Old Style" w:hAnsi="Bookman Old Style"/>
          <w:spacing w:val="-3"/>
        </w:rPr>
        <w:t xml:space="preserve"> artículo 1 de la Resolución CREG 122 de 2015.</w:t>
      </w:r>
    </w:p>
    <w:p w:rsidR="009C7F3E" w:rsidRPr="009C7F3E" w:rsidRDefault="009C7F3E" w:rsidP="009C7F3E">
      <w:pPr>
        <w:tabs>
          <w:tab w:val="left" w:pos="1418"/>
        </w:tabs>
        <w:suppressAutoHyphens/>
        <w:ind w:left="0"/>
        <w:jc w:val="both"/>
        <w:rPr>
          <w:rFonts w:ascii="Bookman Old Style" w:hAnsi="Bookman Old Style"/>
          <w:spacing w:val="-3"/>
        </w:rPr>
      </w:pPr>
    </w:p>
    <w:p w:rsidR="00CD3BC1" w:rsidRPr="009C7F3E" w:rsidRDefault="009C7F3E" w:rsidP="009C7F3E">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spacing w:val="-3"/>
        </w:rPr>
        <w:t xml:space="preserve">Modificar </w:t>
      </w:r>
      <w:r w:rsidR="00CD3BC1" w:rsidRPr="009C7F3E">
        <w:rPr>
          <w:rFonts w:ascii="Bookman Old Style" w:hAnsi="Bookman Old Style"/>
          <w:spacing w:val="-3"/>
        </w:rPr>
        <w:t>el artículo 1 de la Resolución CREG 122 de 2015, el cual quedará así:</w:t>
      </w:r>
    </w:p>
    <w:p w:rsidR="00CD3BC1" w:rsidRDefault="00CD3BC1" w:rsidP="00CD3BC1">
      <w:pPr>
        <w:tabs>
          <w:tab w:val="left" w:pos="1418"/>
        </w:tabs>
        <w:suppressAutoHyphens/>
        <w:ind w:left="0"/>
        <w:jc w:val="both"/>
        <w:rPr>
          <w:rFonts w:ascii="Bookman Old Style" w:hAnsi="Bookman Old Style"/>
          <w:spacing w:val="-3"/>
        </w:rPr>
      </w:pPr>
    </w:p>
    <w:p w:rsidR="002322D9" w:rsidRDefault="00CD3BC1" w:rsidP="00CD3BC1">
      <w:pPr>
        <w:tabs>
          <w:tab w:val="left" w:pos="1418"/>
        </w:tabs>
        <w:suppressAutoHyphens/>
        <w:ind w:left="708"/>
        <w:jc w:val="both"/>
        <w:rPr>
          <w:rFonts w:ascii="Bookman Old Style" w:hAnsi="Bookman Old Style"/>
          <w:spacing w:val="-3"/>
        </w:rPr>
      </w:pPr>
      <w:r>
        <w:rPr>
          <w:rFonts w:ascii="Bookman Old Style" w:hAnsi="Bookman Old Style"/>
          <w:b/>
          <w:spacing w:val="-3"/>
        </w:rPr>
        <w:t>“</w:t>
      </w:r>
      <w:r w:rsidRPr="00CD3BC1">
        <w:rPr>
          <w:rFonts w:ascii="Bookman Old Style" w:hAnsi="Bookman Old Style"/>
          <w:b/>
          <w:spacing w:val="-3"/>
        </w:rPr>
        <w:t xml:space="preserve">Artículo 1. </w:t>
      </w:r>
      <w:r w:rsidR="0016052E">
        <w:rPr>
          <w:rFonts w:ascii="Bookman Old Style" w:hAnsi="Bookman Old Style"/>
          <w:b/>
          <w:spacing w:val="-3"/>
        </w:rPr>
        <w:t xml:space="preserve">Costo base de comercialización. </w:t>
      </w:r>
      <w:r w:rsidR="0016052E">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895037">
        <w:rPr>
          <w:rFonts w:ascii="Bookman Old Style" w:hAnsi="Bookman Old Style"/>
          <w:spacing w:val="-3"/>
        </w:rPr>
        <w:t>C</w:t>
      </w:r>
      <w:r w:rsidR="006330A6">
        <w:rPr>
          <w:rFonts w:ascii="Bookman Old Style" w:hAnsi="Bookman Old Style"/>
          <w:spacing w:val="-3"/>
        </w:rPr>
        <w:t>entrales Eléctricas de Nariño</w:t>
      </w:r>
      <w:r w:rsidR="004663AD">
        <w:rPr>
          <w:rFonts w:ascii="Bookman Old Style" w:hAnsi="Bookman Old Style"/>
          <w:spacing w:val="-3"/>
        </w:rPr>
        <w:t xml:space="preserve"> S.A. E.SP., </w:t>
      </w:r>
      <w:proofErr w:type="spellStart"/>
      <w:r w:rsidR="006330A6">
        <w:rPr>
          <w:rFonts w:ascii="Bookman Old Style" w:hAnsi="Bookman Old Style"/>
          <w:spacing w:val="-3"/>
        </w:rPr>
        <w:t>Cedenar</w:t>
      </w:r>
      <w:proofErr w:type="spellEnd"/>
      <w:r w:rsidR="006330A6">
        <w:rPr>
          <w:rFonts w:ascii="Bookman Old Style" w:hAnsi="Bookman Old Style"/>
          <w:spacing w:val="-3"/>
        </w:rPr>
        <w:t xml:space="preserve">, </w:t>
      </w:r>
      <w:r w:rsidR="004663AD">
        <w:rPr>
          <w:rFonts w:ascii="Bookman Old Style" w:hAnsi="Bookman Old Style"/>
          <w:spacing w:val="-3"/>
        </w:rPr>
        <w:t>conforme a lo establecido en el artículo 6 de la Resolución CREG 180 de 2014 es:</w:t>
      </w:r>
    </w:p>
    <w:p w:rsidR="00260796" w:rsidRDefault="00260796" w:rsidP="00CD3BC1">
      <w:pPr>
        <w:tabs>
          <w:tab w:val="left" w:pos="1418"/>
        </w:tabs>
        <w:suppressAutoHyphens/>
        <w:ind w:left="708"/>
        <w:jc w:val="both"/>
        <w:rPr>
          <w:rFonts w:ascii="Bookman Old Style" w:hAnsi="Bookman Old Style"/>
          <w:spacing w:val="-3"/>
        </w:rPr>
      </w:pPr>
    </w:p>
    <w:tbl>
      <w:tblPr>
        <w:tblStyle w:val="Tablaconcuadrcula"/>
        <w:tblW w:w="8480" w:type="dxa"/>
        <w:jc w:val="right"/>
        <w:tblInd w:w="2131" w:type="dxa"/>
        <w:tblLook w:val="04A0" w:firstRow="1" w:lastRow="0" w:firstColumn="1" w:lastColumn="0" w:noHBand="0" w:noVBand="1"/>
      </w:tblPr>
      <w:tblGrid>
        <w:gridCol w:w="1999"/>
        <w:gridCol w:w="1237"/>
        <w:gridCol w:w="1311"/>
        <w:gridCol w:w="1311"/>
        <w:gridCol w:w="1311"/>
        <w:gridCol w:w="1311"/>
      </w:tblGrid>
      <w:tr w:rsidR="00FC78FA" w:rsidRPr="00CD3BC1" w:rsidTr="00CD3BC1">
        <w:trPr>
          <w:trHeight w:val="447"/>
          <w:jc w:val="right"/>
        </w:trPr>
        <w:tc>
          <w:tcPr>
            <w:tcW w:w="1999" w:type="dxa"/>
            <w:vAlign w:val="center"/>
          </w:tcPr>
          <w:p w:rsidR="00FC78FA" w:rsidRPr="00CD3BC1" w:rsidRDefault="00FC78FA" w:rsidP="002322D9">
            <w:pPr>
              <w:tabs>
                <w:tab w:val="left" w:pos="1418"/>
              </w:tabs>
              <w:suppressAutoHyphens/>
              <w:ind w:left="0"/>
              <w:jc w:val="center"/>
              <w:rPr>
                <w:rFonts w:ascii="Bookman Old Style" w:hAnsi="Bookman Old Style"/>
                <w:b/>
                <w:spacing w:val="-3"/>
                <w:sz w:val="22"/>
              </w:rPr>
            </w:pPr>
            <w:r w:rsidRPr="00CD3BC1">
              <w:rPr>
                <w:rFonts w:ascii="Bookman Old Style" w:hAnsi="Bookman Old Style"/>
                <w:b/>
                <w:spacing w:val="-3"/>
                <w:sz w:val="22"/>
              </w:rPr>
              <w:t>Año</w:t>
            </w:r>
          </w:p>
        </w:tc>
        <w:tc>
          <w:tcPr>
            <w:tcW w:w="1237" w:type="dxa"/>
            <w:vAlign w:val="center"/>
          </w:tcPr>
          <w:p w:rsidR="00FC78FA" w:rsidRPr="00CD3BC1" w:rsidRDefault="00FC78FA" w:rsidP="00FC78FA">
            <w:pPr>
              <w:ind w:left="0"/>
              <w:jc w:val="center"/>
              <w:rPr>
                <w:rFonts w:ascii="Bookman Old Style" w:hAnsi="Bookman Old Style"/>
                <w:b/>
                <w:sz w:val="22"/>
              </w:rPr>
            </w:pPr>
            <w:r w:rsidRPr="00CD3BC1">
              <w:rPr>
                <w:rFonts w:ascii="Bookman Old Style" w:hAnsi="Bookman Old Style"/>
                <w:b/>
                <w:sz w:val="22"/>
              </w:rPr>
              <w:t>2015</w:t>
            </w:r>
          </w:p>
        </w:tc>
        <w:tc>
          <w:tcPr>
            <w:tcW w:w="1311" w:type="dxa"/>
            <w:vAlign w:val="center"/>
          </w:tcPr>
          <w:p w:rsidR="00FC78FA" w:rsidRPr="00CD3BC1" w:rsidRDefault="00FC78FA" w:rsidP="00FC78FA">
            <w:pPr>
              <w:ind w:left="0"/>
              <w:jc w:val="center"/>
              <w:rPr>
                <w:rFonts w:ascii="Bookman Old Style" w:hAnsi="Bookman Old Style"/>
                <w:b/>
                <w:sz w:val="22"/>
              </w:rPr>
            </w:pPr>
            <w:r w:rsidRPr="00CD3BC1">
              <w:rPr>
                <w:rFonts w:ascii="Bookman Old Style" w:hAnsi="Bookman Old Style"/>
                <w:b/>
                <w:sz w:val="22"/>
              </w:rPr>
              <w:t>2016</w:t>
            </w:r>
          </w:p>
        </w:tc>
        <w:tc>
          <w:tcPr>
            <w:tcW w:w="1311" w:type="dxa"/>
            <w:vAlign w:val="center"/>
          </w:tcPr>
          <w:p w:rsidR="00FC78FA" w:rsidRPr="00CD3BC1" w:rsidRDefault="00FC78FA" w:rsidP="00FC78FA">
            <w:pPr>
              <w:ind w:left="0"/>
              <w:jc w:val="center"/>
              <w:rPr>
                <w:rFonts w:ascii="Bookman Old Style" w:hAnsi="Bookman Old Style"/>
                <w:b/>
                <w:sz w:val="22"/>
              </w:rPr>
            </w:pPr>
            <w:r w:rsidRPr="00CD3BC1">
              <w:rPr>
                <w:rFonts w:ascii="Bookman Old Style" w:hAnsi="Bookman Old Style"/>
                <w:b/>
                <w:sz w:val="22"/>
              </w:rPr>
              <w:t>2017</w:t>
            </w:r>
          </w:p>
        </w:tc>
        <w:tc>
          <w:tcPr>
            <w:tcW w:w="1311" w:type="dxa"/>
            <w:vAlign w:val="center"/>
          </w:tcPr>
          <w:p w:rsidR="00FC78FA" w:rsidRPr="00CD3BC1" w:rsidRDefault="00FC78FA" w:rsidP="00FC78FA">
            <w:pPr>
              <w:ind w:left="0"/>
              <w:jc w:val="center"/>
              <w:rPr>
                <w:rFonts w:ascii="Bookman Old Style" w:hAnsi="Bookman Old Style"/>
                <w:b/>
                <w:sz w:val="22"/>
              </w:rPr>
            </w:pPr>
            <w:r w:rsidRPr="00CD3BC1">
              <w:rPr>
                <w:rFonts w:ascii="Bookman Old Style" w:hAnsi="Bookman Old Style"/>
                <w:b/>
                <w:sz w:val="22"/>
              </w:rPr>
              <w:t>2018</w:t>
            </w:r>
          </w:p>
        </w:tc>
        <w:tc>
          <w:tcPr>
            <w:tcW w:w="1311" w:type="dxa"/>
            <w:vAlign w:val="center"/>
          </w:tcPr>
          <w:p w:rsidR="00FC78FA" w:rsidRPr="00CD3BC1" w:rsidRDefault="00FC78FA" w:rsidP="00FC78FA">
            <w:pPr>
              <w:ind w:left="0"/>
              <w:jc w:val="center"/>
              <w:rPr>
                <w:rFonts w:ascii="Bookman Old Style" w:hAnsi="Bookman Old Style"/>
                <w:b/>
                <w:sz w:val="22"/>
              </w:rPr>
            </w:pPr>
            <w:r w:rsidRPr="00CD3BC1">
              <w:rPr>
                <w:rFonts w:ascii="Bookman Old Style" w:hAnsi="Bookman Old Style"/>
                <w:b/>
                <w:sz w:val="22"/>
              </w:rPr>
              <w:t>2019</w:t>
            </w:r>
          </w:p>
        </w:tc>
      </w:tr>
      <w:tr w:rsidR="001D0A7B" w:rsidRPr="00CD3BC1" w:rsidTr="00CD3BC1">
        <w:trPr>
          <w:trHeight w:val="423"/>
          <w:jc w:val="right"/>
        </w:trPr>
        <w:tc>
          <w:tcPr>
            <w:tcW w:w="1999" w:type="dxa"/>
            <w:vAlign w:val="center"/>
          </w:tcPr>
          <w:p w:rsidR="001D0A7B" w:rsidRPr="00CD3BC1" w:rsidRDefault="001D0A7B" w:rsidP="002322D9">
            <w:pPr>
              <w:tabs>
                <w:tab w:val="left" w:pos="-720"/>
              </w:tabs>
              <w:suppressAutoHyphens/>
              <w:ind w:left="0"/>
              <w:rPr>
                <w:rFonts w:ascii="Bookman Old Style" w:hAnsi="Bookman Old Style"/>
                <w:b/>
                <w:spacing w:val="-3"/>
                <w:sz w:val="22"/>
              </w:rPr>
            </w:pPr>
            <w:proofErr w:type="spellStart"/>
            <w:r w:rsidRPr="00CD3BC1">
              <w:rPr>
                <w:rFonts w:ascii="Bookman Old Style" w:hAnsi="Bookman Old Style"/>
                <w:b/>
                <w:i/>
                <w:spacing w:val="-3"/>
                <w:sz w:val="22"/>
              </w:rPr>
              <w:t>Cf</w:t>
            </w:r>
            <w:r w:rsidRPr="00CD3BC1">
              <w:rPr>
                <w:rFonts w:ascii="Bookman Old Style" w:hAnsi="Bookman Old Style"/>
                <w:b/>
                <w:i/>
                <w:spacing w:val="-3"/>
                <w:sz w:val="22"/>
                <w:vertAlign w:val="subscript"/>
              </w:rPr>
              <w:t>j</w:t>
            </w:r>
            <w:proofErr w:type="spellEnd"/>
            <w:r w:rsidRPr="00CD3BC1">
              <w:rPr>
                <w:rFonts w:ascii="Bookman Old Style" w:hAnsi="Bookman Old Style"/>
                <w:b/>
                <w:i/>
                <w:spacing w:val="-3"/>
                <w:sz w:val="22"/>
                <w:vertAlign w:val="subscript"/>
              </w:rPr>
              <w:t xml:space="preserve">  </w:t>
            </w:r>
            <w:r w:rsidRPr="00CD3BC1">
              <w:rPr>
                <w:rFonts w:ascii="Bookman Old Style" w:hAnsi="Bookman Old Style"/>
                <w:b/>
                <w:spacing w:val="-3"/>
                <w:sz w:val="22"/>
              </w:rPr>
              <w:t>[$ dic-2013 / factura]</w:t>
            </w:r>
          </w:p>
        </w:tc>
        <w:tc>
          <w:tcPr>
            <w:tcW w:w="1237" w:type="dxa"/>
            <w:vAlign w:val="center"/>
          </w:tcPr>
          <w:p w:rsidR="001D0A7B" w:rsidRPr="001D0A7B" w:rsidRDefault="001D0A7B" w:rsidP="00506E15">
            <w:pPr>
              <w:ind w:left="0"/>
              <w:jc w:val="center"/>
              <w:rPr>
                <w:rFonts w:ascii="Bookman Old Style" w:hAnsi="Bookman Old Style"/>
                <w:b/>
                <w:sz w:val="22"/>
              </w:rPr>
            </w:pPr>
            <w:r w:rsidRPr="001D0A7B">
              <w:rPr>
                <w:rFonts w:ascii="Bookman Old Style" w:hAnsi="Bookman Old Style"/>
                <w:b/>
                <w:sz w:val="22"/>
              </w:rPr>
              <w:t>7.944,78</w:t>
            </w:r>
          </w:p>
        </w:tc>
        <w:tc>
          <w:tcPr>
            <w:tcW w:w="1311" w:type="dxa"/>
            <w:vAlign w:val="center"/>
          </w:tcPr>
          <w:p w:rsidR="001D0A7B" w:rsidRPr="001D0A7B" w:rsidRDefault="001D0A7B" w:rsidP="00506E15">
            <w:pPr>
              <w:ind w:left="0"/>
              <w:jc w:val="center"/>
              <w:rPr>
                <w:rFonts w:ascii="Bookman Old Style" w:hAnsi="Bookman Old Style"/>
                <w:b/>
                <w:sz w:val="22"/>
              </w:rPr>
            </w:pPr>
            <w:r w:rsidRPr="001D0A7B">
              <w:rPr>
                <w:rFonts w:ascii="Bookman Old Style" w:hAnsi="Bookman Old Style"/>
                <w:b/>
                <w:sz w:val="22"/>
              </w:rPr>
              <w:t>7.680,81</w:t>
            </w:r>
          </w:p>
        </w:tc>
        <w:tc>
          <w:tcPr>
            <w:tcW w:w="1311" w:type="dxa"/>
            <w:vAlign w:val="center"/>
          </w:tcPr>
          <w:p w:rsidR="001D0A7B" w:rsidRPr="001D0A7B" w:rsidRDefault="001D0A7B" w:rsidP="00506E15">
            <w:pPr>
              <w:ind w:left="0"/>
              <w:jc w:val="center"/>
              <w:rPr>
                <w:rFonts w:ascii="Bookman Old Style" w:hAnsi="Bookman Old Style"/>
                <w:b/>
                <w:sz w:val="22"/>
              </w:rPr>
            </w:pPr>
            <w:r w:rsidRPr="001D0A7B">
              <w:rPr>
                <w:rFonts w:ascii="Bookman Old Style" w:hAnsi="Bookman Old Style"/>
                <w:b/>
                <w:sz w:val="22"/>
              </w:rPr>
              <w:t>7.416,84</w:t>
            </w:r>
          </w:p>
        </w:tc>
        <w:tc>
          <w:tcPr>
            <w:tcW w:w="1311" w:type="dxa"/>
            <w:vAlign w:val="center"/>
          </w:tcPr>
          <w:p w:rsidR="001D0A7B" w:rsidRPr="001D0A7B" w:rsidRDefault="001D0A7B" w:rsidP="00506E15">
            <w:pPr>
              <w:ind w:left="0"/>
              <w:jc w:val="center"/>
              <w:rPr>
                <w:rFonts w:ascii="Bookman Old Style" w:hAnsi="Bookman Old Style"/>
                <w:b/>
                <w:sz w:val="22"/>
              </w:rPr>
            </w:pPr>
            <w:r w:rsidRPr="001D0A7B">
              <w:rPr>
                <w:rFonts w:ascii="Bookman Old Style" w:hAnsi="Bookman Old Style"/>
                <w:b/>
                <w:sz w:val="22"/>
              </w:rPr>
              <w:t>7.152,87</w:t>
            </w:r>
          </w:p>
        </w:tc>
        <w:tc>
          <w:tcPr>
            <w:tcW w:w="1311" w:type="dxa"/>
            <w:vAlign w:val="center"/>
          </w:tcPr>
          <w:p w:rsidR="001D0A7B" w:rsidRPr="001D0A7B" w:rsidRDefault="001D0A7B" w:rsidP="00506E15">
            <w:pPr>
              <w:ind w:left="0"/>
              <w:jc w:val="center"/>
              <w:rPr>
                <w:rFonts w:ascii="Bookman Old Style" w:hAnsi="Bookman Old Style"/>
                <w:b/>
                <w:sz w:val="22"/>
              </w:rPr>
            </w:pPr>
            <w:r w:rsidRPr="001D0A7B">
              <w:rPr>
                <w:rFonts w:ascii="Bookman Old Style" w:hAnsi="Bookman Old Style"/>
                <w:b/>
                <w:sz w:val="22"/>
              </w:rPr>
              <w:t>6.888,90</w:t>
            </w:r>
          </w:p>
        </w:tc>
      </w:tr>
    </w:tbl>
    <w:p w:rsidR="00260796" w:rsidRDefault="00CD3BC1" w:rsidP="00CD3BC1">
      <w:pPr>
        <w:pStyle w:val="Prrafodelista"/>
        <w:suppressAutoHyphens/>
        <w:jc w:val="both"/>
        <w:rPr>
          <w:rFonts w:ascii="Bookman Old Style" w:hAnsi="Bookman Old Style"/>
          <w:b/>
          <w:spacing w:val="-3"/>
          <w:sz w:val="24"/>
          <w:szCs w:val="24"/>
          <w:lang w:val="es-ES"/>
        </w:rPr>
      </w:pPr>
      <w:r>
        <w:rPr>
          <w:rFonts w:ascii="Bookman Old Style" w:hAnsi="Bookman Old Style"/>
          <w:b/>
          <w:spacing w:val="-3"/>
          <w:sz w:val="24"/>
          <w:szCs w:val="24"/>
          <w:lang w:val="es-ES"/>
        </w:rPr>
        <w:t>”</w:t>
      </w:r>
    </w:p>
    <w:p w:rsidR="009A220A" w:rsidRPr="009A220A" w:rsidRDefault="009A220A" w:rsidP="009A220A">
      <w:pPr>
        <w:numPr>
          <w:ilvl w:val="0"/>
          <w:numId w:val="13"/>
        </w:numPr>
        <w:tabs>
          <w:tab w:val="left" w:pos="1418"/>
        </w:tabs>
        <w:suppressAutoHyphens/>
        <w:ind w:left="0" w:firstLine="0"/>
        <w:jc w:val="both"/>
        <w:rPr>
          <w:rFonts w:ascii="Bookman Old Style" w:hAnsi="Bookman Old Style"/>
          <w:spacing w:val="-3"/>
        </w:rPr>
      </w:pPr>
      <w:r w:rsidRPr="009A220A">
        <w:rPr>
          <w:rFonts w:ascii="Bookman Old Style" w:hAnsi="Bookman Old Style"/>
          <w:spacing w:val="-3"/>
        </w:rPr>
        <w:t>No acceder a las demás pretensiones de</w:t>
      </w:r>
      <w:r w:rsidR="00DA2AED">
        <w:rPr>
          <w:rFonts w:ascii="Bookman Old Style" w:hAnsi="Bookman Old Style"/>
          <w:spacing w:val="-3"/>
        </w:rPr>
        <w:t xml:space="preserve"> </w:t>
      </w:r>
      <w:r w:rsidRPr="009A220A">
        <w:rPr>
          <w:rFonts w:ascii="Bookman Old Style" w:hAnsi="Bookman Old Style"/>
          <w:spacing w:val="-3"/>
        </w:rPr>
        <w:t>l</w:t>
      </w:r>
      <w:r w:rsidR="00DA2AED">
        <w:rPr>
          <w:rFonts w:ascii="Bookman Old Style" w:hAnsi="Bookman Old Style"/>
          <w:spacing w:val="-3"/>
        </w:rPr>
        <w:t>os</w:t>
      </w:r>
      <w:r w:rsidRPr="009A220A">
        <w:rPr>
          <w:rFonts w:ascii="Bookman Old Style" w:hAnsi="Bookman Old Style"/>
          <w:spacing w:val="-3"/>
        </w:rPr>
        <w:t xml:space="preserve"> recurso</w:t>
      </w:r>
      <w:r w:rsidR="00DA2AED">
        <w:rPr>
          <w:rFonts w:ascii="Bookman Old Style" w:hAnsi="Bookman Old Style"/>
          <w:spacing w:val="-3"/>
        </w:rPr>
        <w:t>s</w:t>
      </w:r>
      <w:r w:rsidRPr="009A220A">
        <w:rPr>
          <w:rFonts w:ascii="Bookman Old Style" w:hAnsi="Bookman Old Style"/>
          <w:spacing w:val="-3"/>
        </w:rPr>
        <w:t>.</w:t>
      </w:r>
    </w:p>
    <w:p w:rsidR="009A220A" w:rsidRPr="009A220A" w:rsidRDefault="009A220A" w:rsidP="009A220A">
      <w:pPr>
        <w:tabs>
          <w:tab w:val="left" w:pos="1418"/>
        </w:tabs>
        <w:suppressAutoHyphens/>
        <w:ind w:left="0"/>
        <w:jc w:val="both"/>
        <w:rPr>
          <w:rFonts w:ascii="Bookman Old Style" w:hAnsi="Bookman Old Style"/>
          <w:spacing w:val="-3"/>
        </w:rPr>
      </w:pPr>
    </w:p>
    <w:p w:rsidR="009A220A" w:rsidRPr="009A220A" w:rsidRDefault="009A220A" w:rsidP="009A220A">
      <w:pPr>
        <w:numPr>
          <w:ilvl w:val="0"/>
          <w:numId w:val="13"/>
        </w:numPr>
        <w:tabs>
          <w:tab w:val="left" w:pos="1418"/>
        </w:tabs>
        <w:suppressAutoHyphens/>
        <w:ind w:left="0" w:firstLine="0"/>
        <w:jc w:val="both"/>
        <w:rPr>
          <w:rFonts w:ascii="Bookman Old Style" w:hAnsi="Bookman Old Style"/>
          <w:spacing w:val="-3"/>
        </w:rPr>
      </w:pPr>
      <w:r w:rsidRPr="009A220A">
        <w:rPr>
          <w:rFonts w:ascii="Bookman Old Style" w:hAnsi="Bookman Old Style"/>
          <w:spacing w:val="-3"/>
        </w:rPr>
        <w:t xml:space="preserve">La presente </w:t>
      </w:r>
      <w:r w:rsidR="00EA4D58">
        <w:rPr>
          <w:rFonts w:ascii="Bookman Old Style" w:hAnsi="Bookman Old Style"/>
          <w:spacing w:val="-3"/>
        </w:rPr>
        <w:t>r</w:t>
      </w:r>
      <w:r w:rsidRPr="009A220A">
        <w:rPr>
          <w:rFonts w:ascii="Bookman Old Style" w:hAnsi="Bookman Old Style"/>
          <w:spacing w:val="-3"/>
        </w:rPr>
        <w:t>esolución deberá notificarse personalmente a Centrales Eléctricas de Nariño S.A. E.S.P.</w:t>
      </w:r>
      <w:r>
        <w:rPr>
          <w:rFonts w:ascii="Bookman Old Style" w:hAnsi="Bookman Old Style"/>
          <w:spacing w:val="-3"/>
        </w:rPr>
        <w:t xml:space="preserve">, </w:t>
      </w:r>
      <w:proofErr w:type="spellStart"/>
      <w:r>
        <w:rPr>
          <w:rFonts w:ascii="Bookman Old Style" w:hAnsi="Bookman Old Style"/>
          <w:spacing w:val="-3"/>
        </w:rPr>
        <w:t>Enertotal</w:t>
      </w:r>
      <w:proofErr w:type="spellEnd"/>
      <w:r>
        <w:rPr>
          <w:rFonts w:ascii="Bookman Old Style" w:hAnsi="Bookman Old Style"/>
          <w:spacing w:val="-3"/>
        </w:rPr>
        <w:t xml:space="preserve"> S.A. E.S.P. y </w:t>
      </w:r>
      <w:proofErr w:type="spellStart"/>
      <w:r>
        <w:rPr>
          <w:rFonts w:ascii="Bookman Old Style" w:hAnsi="Bookman Old Style"/>
          <w:spacing w:val="-3"/>
        </w:rPr>
        <w:t>Dicel</w:t>
      </w:r>
      <w:proofErr w:type="spellEnd"/>
      <w:r>
        <w:rPr>
          <w:rFonts w:ascii="Bookman Old Style" w:hAnsi="Bookman Old Style"/>
          <w:spacing w:val="-3"/>
        </w:rPr>
        <w:t xml:space="preserve"> S.A. E.S.P. </w:t>
      </w:r>
      <w:r w:rsidRPr="009A220A">
        <w:rPr>
          <w:rFonts w:ascii="Bookman Old Style" w:hAnsi="Bookman Old Style"/>
          <w:spacing w:val="-3"/>
        </w:rPr>
        <w:t>reconocidos como terceros interesados en la actuación administrativa. Contra lo dispuesto en esta resolución no procede recurso alguno.</w:t>
      </w:r>
    </w:p>
    <w:p w:rsidR="00C01C41" w:rsidRDefault="00C01C41" w:rsidP="009A220A">
      <w:pPr>
        <w:pStyle w:val="Estilo2"/>
        <w:numPr>
          <w:ilvl w:val="0"/>
          <w:numId w:val="0"/>
        </w:numPr>
        <w:spacing w:before="0" w:after="0"/>
        <w:rPr>
          <w:b w:val="0"/>
        </w:rPr>
      </w:pPr>
    </w:p>
    <w:p w:rsidR="001B6A46" w:rsidRPr="001B6A46" w:rsidRDefault="00A3448E" w:rsidP="00935DD0">
      <w:pPr>
        <w:tabs>
          <w:tab w:val="left" w:pos="-720"/>
          <w:tab w:val="left" w:pos="1418"/>
        </w:tabs>
        <w:suppressAutoHyphens/>
        <w:spacing w:after="240"/>
        <w:ind w:left="0"/>
        <w:jc w:val="center"/>
        <w:rPr>
          <w:rFonts w:ascii="Bookman Old Style" w:hAnsi="Bookman Old Style"/>
          <w:b/>
          <w:spacing w:val="-3"/>
          <w:lang w:val="es-CO"/>
        </w:rPr>
      </w:pPr>
      <w:r>
        <w:rPr>
          <w:rFonts w:ascii="Bookman Old Style" w:hAnsi="Bookman Old Style"/>
          <w:b/>
          <w:spacing w:val="-3"/>
          <w:lang w:val="es-CO"/>
        </w:rPr>
        <w:t>PUBLÍQUESE</w:t>
      </w:r>
      <w:r w:rsidR="00EA4D58">
        <w:rPr>
          <w:rFonts w:ascii="Bookman Old Style" w:hAnsi="Bookman Old Style"/>
          <w:b/>
          <w:spacing w:val="-3"/>
          <w:lang w:val="es-CO"/>
        </w:rPr>
        <w:t>,</w:t>
      </w:r>
      <w:r>
        <w:rPr>
          <w:rFonts w:ascii="Bookman Old Style" w:hAnsi="Bookman Old Style"/>
          <w:b/>
          <w:spacing w:val="-3"/>
          <w:lang w:val="es-CO"/>
        </w:rPr>
        <w:t xml:space="preserve"> </w:t>
      </w:r>
      <w:r w:rsidR="00260796">
        <w:rPr>
          <w:rFonts w:ascii="Bookman Old Style" w:hAnsi="Bookman Old Style"/>
          <w:b/>
          <w:spacing w:val="-3"/>
          <w:lang w:val="es-CO"/>
        </w:rPr>
        <w:t>NOTIFÍQUESE Y CÚMPLASE</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Default="000074D5" w:rsidP="000074D5">
      <w:pPr>
        <w:ind w:left="0"/>
        <w:rPr>
          <w:rFonts w:ascii="Bookman Old Style" w:hAnsi="Bookman Old Style" w:cs="Arial"/>
        </w:rPr>
      </w:pPr>
    </w:p>
    <w:p w:rsidR="00623A33" w:rsidRPr="000074D5" w:rsidRDefault="00623A33" w:rsidP="000074D5">
      <w:pPr>
        <w:ind w:left="0"/>
        <w:rPr>
          <w:rFonts w:ascii="Bookman Old Style" w:hAnsi="Bookman Old Style" w:cs="Arial"/>
        </w:rPr>
      </w:pPr>
    </w:p>
    <w:p w:rsidR="000074D5" w:rsidRDefault="000074D5" w:rsidP="000074D5">
      <w:pPr>
        <w:ind w:left="0"/>
        <w:rPr>
          <w:rFonts w:ascii="Bookman Old Style" w:hAnsi="Bookman Old Style" w:cs="Arial"/>
        </w:rPr>
      </w:pPr>
    </w:p>
    <w:p w:rsidR="00BC40E0" w:rsidRPr="000074D5" w:rsidRDefault="00BC40E0"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6430D4" w:rsidP="00D20000">
            <w:pPr>
              <w:ind w:left="0"/>
              <w:jc w:val="center"/>
              <w:rPr>
                <w:rFonts w:ascii="Bookman Old Style" w:hAnsi="Bookman Old Style" w:cs="Arial"/>
                <w:lang w:val="es-ES_tradnl"/>
              </w:rPr>
            </w:pPr>
            <w:r>
              <w:rPr>
                <w:rFonts w:ascii="Bookman Old Style" w:hAnsi="Bookman Old Style" w:cs="Arial"/>
                <w:b/>
                <w:spacing w:val="-3"/>
                <w:lang w:eastAsia="en-US"/>
              </w:rPr>
              <w:t>TOMÁS GONZÁLEZ ESTRADA</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15" w:rsidRDefault="00506E15" w:rsidP="00445D79">
      <w:r>
        <w:separator/>
      </w:r>
    </w:p>
  </w:endnote>
  <w:endnote w:type="continuationSeparator" w:id="0">
    <w:p w:rsidR="00506E15" w:rsidRDefault="00506E15"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15" w:rsidRDefault="00506E15" w:rsidP="00445D79">
      <w:r>
        <w:separator/>
      </w:r>
    </w:p>
  </w:footnote>
  <w:footnote w:type="continuationSeparator" w:id="0">
    <w:p w:rsidR="00506E15" w:rsidRDefault="00506E15"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15" w:rsidRDefault="00506E15" w:rsidP="00EC2ABD">
    <w:pPr>
      <w:pStyle w:val="Ttulo1"/>
      <w:ind w:right="6"/>
      <w:jc w:val="left"/>
      <w:rPr>
        <w:rFonts w:ascii="Bookman Old Style" w:hAnsi="Bookman Old Style" w:cs="Arial"/>
        <w:b w:val="0"/>
        <w:sz w:val="22"/>
        <w:szCs w:val="22"/>
      </w:rPr>
    </w:pPr>
  </w:p>
  <w:p w:rsidR="00506E15" w:rsidRPr="00951F79" w:rsidRDefault="00506E15"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B5611">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8B5611" w:rsidRPr="008B5611">
        <w:rPr>
          <w:rFonts w:ascii="Bookman Old Style" w:hAnsi="Bookman Old Style" w:cs="Arial"/>
          <w:b w:val="0"/>
          <w:noProof/>
          <w:sz w:val="22"/>
          <w:szCs w:val="22"/>
        </w:rPr>
        <w:t>7</w:t>
      </w:r>
    </w:fldSimple>
  </w:p>
  <w:p w:rsidR="00506E15" w:rsidRDefault="00506E15"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8E2BB87" wp14:editId="0D410CE0">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506E15" w:rsidRDefault="00506E15" w:rsidP="001A2438">
    <w:pPr>
      <w:ind w:left="0"/>
      <w:jc w:val="both"/>
      <w:rPr>
        <w:rFonts w:ascii="Bookman Old Style" w:hAnsi="Bookman Old Style" w:cs="Arial"/>
        <w:color w:val="000000"/>
        <w:sz w:val="22"/>
        <w:lang w:eastAsia="es-CO"/>
      </w:rPr>
    </w:pPr>
    <w:r w:rsidRPr="001E6F87">
      <w:rPr>
        <w:rFonts w:ascii="Bookman Old Style" w:hAnsi="Bookman Old Style" w:cs="Arial"/>
        <w:color w:val="000000"/>
        <w:sz w:val="22"/>
        <w:lang w:eastAsia="es-CO"/>
      </w:rPr>
      <w:t xml:space="preserve">Por la cual se resuelven los recursos de reposición interpuestos por Centrales Eléctricas de Nariño S.A. E.S.P., </w:t>
    </w:r>
    <w:proofErr w:type="spellStart"/>
    <w:r w:rsidRPr="001E6F87">
      <w:rPr>
        <w:rFonts w:ascii="Bookman Old Style" w:hAnsi="Bookman Old Style" w:cs="Arial"/>
        <w:color w:val="000000"/>
        <w:sz w:val="22"/>
        <w:lang w:eastAsia="es-CO"/>
      </w:rPr>
      <w:t>Cedenar</w:t>
    </w:r>
    <w:proofErr w:type="spellEnd"/>
    <w:r w:rsidRPr="001E6F87">
      <w:rPr>
        <w:rFonts w:ascii="Bookman Old Style" w:hAnsi="Bookman Old Style" w:cs="Arial"/>
        <w:color w:val="000000"/>
        <w:sz w:val="22"/>
        <w:lang w:eastAsia="es-CO"/>
      </w:rPr>
      <w:t>, y ENERTOTAL S.A. E.S.P. contra la Resolución CREG 122 de 2015.</w:t>
    </w:r>
  </w:p>
  <w:p w:rsidR="00506E15" w:rsidRPr="00CB5DD0" w:rsidRDefault="00506E15" w:rsidP="001A2438">
    <w:pPr>
      <w:ind w:left="0"/>
      <w:jc w:val="both"/>
      <w:rPr>
        <w:b/>
      </w:rPr>
    </w:pPr>
    <w:r>
      <w:rPr>
        <w:rFonts w:ascii="Bookman Old Style" w:hAnsi="Bookman Old Style" w:cs="Arial"/>
        <w:lang w:eastAsia="es-CO"/>
      </w:rPr>
      <w:t>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15" w:rsidRDefault="00506E15"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506E15" w:rsidRDefault="00506E15">
    <w:pPr>
      <w:pStyle w:val="Encabezado"/>
      <w:jc w:val="center"/>
      <w:rPr>
        <w:rFonts w:ascii="Arial" w:hAnsi="Arial" w:cs="Arial"/>
        <w:spacing w:val="20"/>
        <w:sz w:val="20"/>
      </w:rPr>
    </w:pPr>
  </w:p>
  <w:p w:rsidR="00506E15" w:rsidRDefault="00506E15"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59264AD"/>
    <w:multiLevelType w:val="hybridMultilevel"/>
    <w:tmpl w:val="C996298E"/>
    <w:lvl w:ilvl="0" w:tplc="73F272F6">
      <w:start w:val="1"/>
      <w:numFmt w:val="lowerRoman"/>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0F166D8"/>
    <w:multiLevelType w:val="hybridMultilevel"/>
    <w:tmpl w:val="931C3C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7D25EF"/>
    <w:multiLevelType w:val="hybridMultilevel"/>
    <w:tmpl w:val="A276047A"/>
    <w:lvl w:ilvl="0" w:tplc="A6D2399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88B1D8E"/>
    <w:multiLevelType w:val="hybridMultilevel"/>
    <w:tmpl w:val="146CDE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9A25A22"/>
    <w:multiLevelType w:val="hybridMultilevel"/>
    <w:tmpl w:val="19B21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5F1D87"/>
    <w:multiLevelType w:val="hybridMultilevel"/>
    <w:tmpl w:val="76D2D692"/>
    <w:lvl w:ilvl="0" w:tplc="5422369C">
      <w:start w:val="1"/>
      <w:numFmt w:val="upperRoman"/>
      <w:lvlText w:val="%1."/>
      <w:lvlJc w:val="left"/>
      <w:pPr>
        <w:ind w:left="720" w:hanging="720"/>
      </w:pPr>
      <w:rPr>
        <w:rFonts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4">
    <w:nsid w:val="31DE51CF"/>
    <w:multiLevelType w:val="hybridMultilevel"/>
    <w:tmpl w:val="76BA2D48"/>
    <w:lvl w:ilvl="0" w:tplc="240A0017">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C5C1A32"/>
    <w:multiLevelType w:val="hybridMultilevel"/>
    <w:tmpl w:val="9DAC4A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29F5592"/>
    <w:multiLevelType w:val="hybridMultilevel"/>
    <w:tmpl w:val="FD72975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nsid w:val="73443CBF"/>
    <w:multiLevelType w:val="hybridMultilevel"/>
    <w:tmpl w:val="0EE855A2"/>
    <w:lvl w:ilvl="0" w:tplc="DE3E9E2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B0B28F7"/>
    <w:multiLevelType w:val="hybridMultilevel"/>
    <w:tmpl w:val="FD72975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3"/>
  </w:num>
  <w:num w:numId="13">
    <w:abstractNumId w:val="18"/>
  </w:num>
  <w:num w:numId="14">
    <w:abstractNumId w:val="0"/>
  </w:num>
  <w:num w:numId="15">
    <w:abstractNumId w:val="12"/>
  </w:num>
  <w:num w:numId="16">
    <w:abstractNumId w:val="22"/>
  </w:num>
  <w:num w:numId="17">
    <w:abstractNumId w:val="9"/>
  </w:num>
  <w:num w:numId="18">
    <w:abstractNumId w:val="16"/>
  </w:num>
  <w:num w:numId="19">
    <w:abstractNumId w:val="5"/>
  </w:num>
  <w:num w:numId="20">
    <w:abstractNumId w:val="17"/>
  </w:num>
  <w:num w:numId="21">
    <w:abstractNumId w:val="1"/>
  </w:num>
  <w:num w:numId="22">
    <w:abstractNumId w:val="11"/>
  </w:num>
  <w:num w:numId="23">
    <w:abstractNumId w:val="10"/>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5DAE"/>
    <w:rsid w:val="000074D5"/>
    <w:rsid w:val="00012FAD"/>
    <w:rsid w:val="0001714A"/>
    <w:rsid w:val="00031746"/>
    <w:rsid w:val="00046C73"/>
    <w:rsid w:val="00047082"/>
    <w:rsid w:val="00050A5A"/>
    <w:rsid w:val="00071BDE"/>
    <w:rsid w:val="0008160D"/>
    <w:rsid w:val="000855C4"/>
    <w:rsid w:val="000929C4"/>
    <w:rsid w:val="000A0E37"/>
    <w:rsid w:val="000B7122"/>
    <w:rsid w:val="000C1597"/>
    <w:rsid w:val="000C3118"/>
    <w:rsid w:val="000C3D3C"/>
    <w:rsid w:val="000D1567"/>
    <w:rsid w:val="000E68DE"/>
    <w:rsid w:val="000F5DED"/>
    <w:rsid w:val="000F71AA"/>
    <w:rsid w:val="001348FC"/>
    <w:rsid w:val="00135C52"/>
    <w:rsid w:val="00144366"/>
    <w:rsid w:val="00154EA0"/>
    <w:rsid w:val="001562BB"/>
    <w:rsid w:val="0016052E"/>
    <w:rsid w:val="001676AB"/>
    <w:rsid w:val="001A2438"/>
    <w:rsid w:val="001A315F"/>
    <w:rsid w:val="001A4892"/>
    <w:rsid w:val="001B6A46"/>
    <w:rsid w:val="001C6528"/>
    <w:rsid w:val="001D0A7B"/>
    <w:rsid w:val="001E522D"/>
    <w:rsid w:val="001E6F87"/>
    <w:rsid w:val="001F171C"/>
    <w:rsid w:val="001F4D4A"/>
    <w:rsid w:val="001F66DF"/>
    <w:rsid w:val="002006A0"/>
    <w:rsid w:val="0020077C"/>
    <w:rsid w:val="00204FDE"/>
    <w:rsid w:val="002069C6"/>
    <w:rsid w:val="002116DE"/>
    <w:rsid w:val="00224A51"/>
    <w:rsid w:val="00227580"/>
    <w:rsid w:val="00230F74"/>
    <w:rsid w:val="002322D9"/>
    <w:rsid w:val="002365D2"/>
    <w:rsid w:val="00240209"/>
    <w:rsid w:val="00246C9C"/>
    <w:rsid w:val="00260796"/>
    <w:rsid w:val="002730C5"/>
    <w:rsid w:val="00277E32"/>
    <w:rsid w:val="00285D68"/>
    <w:rsid w:val="002951A4"/>
    <w:rsid w:val="002A01B2"/>
    <w:rsid w:val="002A01C4"/>
    <w:rsid w:val="002A523D"/>
    <w:rsid w:val="002E46D6"/>
    <w:rsid w:val="002E55F6"/>
    <w:rsid w:val="002E5F61"/>
    <w:rsid w:val="002E7968"/>
    <w:rsid w:val="00303D7E"/>
    <w:rsid w:val="00307EA5"/>
    <w:rsid w:val="00313690"/>
    <w:rsid w:val="00317298"/>
    <w:rsid w:val="003179DE"/>
    <w:rsid w:val="00332FB6"/>
    <w:rsid w:val="00342D5A"/>
    <w:rsid w:val="003614CE"/>
    <w:rsid w:val="003660FA"/>
    <w:rsid w:val="0037444D"/>
    <w:rsid w:val="00376AE1"/>
    <w:rsid w:val="00397431"/>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45D79"/>
    <w:rsid w:val="004460D9"/>
    <w:rsid w:val="00460B3E"/>
    <w:rsid w:val="00462965"/>
    <w:rsid w:val="0046468B"/>
    <w:rsid w:val="004663AD"/>
    <w:rsid w:val="00466427"/>
    <w:rsid w:val="00480500"/>
    <w:rsid w:val="0049143B"/>
    <w:rsid w:val="0049328A"/>
    <w:rsid w:val="004A5065"/>
    <w:rsid w:val="004B5B17"/>
    <w:rsid w:val="004B6F90"/>
    <w:rsid w:val="004B7260"/>
    <w:rsid w:val="004C5DB7"/>
    <w:rsid w:val="004D1231"/>
    <w:rsid w:val="004D32A2"/>
    <w:rsid w:val="004D6D12"/>
    <w:rsid w:val="004E0EAC"/>
    <w:rsid w:val="004E1821"/>
    <w:rsid w:val="004E2BB6"/>
    <w:rsid w:val="005045E1"/>
    <w:rsid w:val="0050656C"/>
    <w:rsid w:val="00506E15"/>
    <w:rsid w:val="00514544"/>
    <w:rsid w:val="00514DDB"/>
    <w:rsid w:val="00517AE1"/>
    <w:rsid w:val="0053225A"/>
    <w:rsid w:val="00540A3A"/>
    <w:rsid w:val="005438B9"/>
    <w:rsid w:val="00547C0B"/>
    <w:rsid w:val="00553075"/>
    <w:rsid w:val="00564B3A"/>
    <w:rsid w:val="00565063"/>
    <w:rsid w:val="00576DD9"/>
    <w:rsid w:val="005A031D"/>
    <w:rsid w:val="005A71A9"/>
    <w:rsid w:val="005B069B"/>
    <w:rsid w:val="005F348A"/>
    <w:rsid w:val="00605D34"/>
    <w:rsid w:val="00610B84"/>
    <w:rsid w:val="00610EB5"/>
    <w:rsid w:val="00623A33"/>
    <w:rsid w:val="00624266"/>
    <w:rsid w:val="006330A6"/>
    <w:rsid w:val="00633688"/>
    <w:rsid w:val="0063685E"/>
    <w:rsid w:val="00637F59"/>
    <w:rsid w:val="006430D4"/>
    <w:rsid w:val="00650082"/>
    <w:rsid w:val="00667777"/>
    <w:rsid w:val="00673490"/>
    <w:rsid w:val="00673D24"/>
    <w:rsid w:val="00680362"/>
    <w:rsid w:val="00681E7E"/>
    <w:rsid w:val="0069371E"/>
    <w:rsid w:val="0069550D"/>
    <w:rsid w:val="006A48C6"/>
    <w:rsid w:val="006B36C3"/>
    <w:rsid w:val="006D54A0"/>
    <w:rsid w:val="006E0B66"/>
    <w:rsid w:val="006E1A85"/>
    <w:rsid w:val="00704DB3"/>
    <w:rsid w:val="00705D90"/>
    <w:rsid w:val="00711678"/>
    <w:rsid w:val="007144A2"/>
    <w:rsid w:val="00714616"/>
    <w:rsid w:val="00733B81"/>
    <w:rsid w:val="00747235"/>
    <w:rsid w:val="00760042"/>
    <w:rsid w:val="00763A35"/>
    <w:rsid w:val="0076414B"/>
    <w:rsid w:val="00780A4C"/>
    <w:rsid w:val="00784EC1"/>
    <w:rsid w:val="00786C89"/>
    <w:rsid w:val="00791115"/>
    <w:rsid w:val="00792503"/>
    <w:rsid w:val="00797632"/>
    <w:rsid w:val="007A45A4"/>
    <w:rsid w:val="007C3C49"/>
    <w:rsid w:val="007D63EF"/>
    <w:rsid w:val="007F3293"/>
    <w:rsid w:val="00814975"/>
    <w:rsid w:val="0082091D"/>
    <w:rsid w:val="00822895"/>
    <w:rsid w:val="0083667B"/>
    <w:rsid w:val="00841886"/>
    <w:rsid w:val="00846FDA"/>
    <w:rsid w:val="008541D0"/>
    <w:rsid w:val="00864454"/>
    <w:rsid w:val="00866F13"/>
    <w:rsid w:val="008777CA"/>
    <w:rsid w:val="008813D6"/>
    <w:rsid w:val="00890220"/>
    <w:rsid w:val="00895037"/>
    <w:rsid w:val="008B1E8B"/>
    <w:rsid w:val="008B3A8B"/>
    <w:rsid w:val="008B5611"/>
    <w:rsid w:val="008C7C68"/>
    <w:rsid w:val="008E09DB"/>
    <w:rsid w:val="008E0C47"/>
    <w:rsid w:val="008F2991"/>
    <w:rsid w:val="008F47EC"/>
    <w:rsid w:val="009039B4"/>
    <w:rsid w:val="00913A9E"/>
    <w:rsid w:val="009323DB"/>
    <w:rsid w:val="00935DD0"/>
    <w:rsid w:val="0095428D"/>
    <w:rsid w:val="00956FB3"/>
    <w:rsid w:val="00963690"/>
    <w:rsid w:val="00966E45"/>
    <w:rsid w:val="00972D76"/>
    <w:rsid w:val="0097421F"/>
    <w:rsid w:val="009819AC"/>
    <w:rsid w:val="009849B0"/>
    <w:rsid w:val="009872D0"/>
    <w:rsid w:val="0099156E"/>
    <w:rsid w:val="009A220A"/>
    <w:rsid w:val="009A34F8"/>
    <w:rsid w:val="009A4238"/>
    <w:rsid w:val="009A5AEA"/>
    <w:rsid w:val="009B756B"/>
    <w:rsid w:val="009C4FE5"/>
    <w:rsid w:val="009C613C"/>
    <w:rsid w:val="009C7F3E"/>
    <w:rsid w:val="00A038BC"/>
    <w:rsid w:val="00A124A1"/>
    <w:rsid w:val="00A3448E"/>
    <w:rsid w:val="00A416C9"/>
    <w:rsid w:val="00A421E1"/>
    <w:rsid w:val="00A567A6"/>
    <w:rsid w:val="00A62468"/>
    <w:rsid w:val="00A63FAC"/>
    <w:rsid w:val="00A64C42"/>
    <w:rsid w:val="00A65A9B"/>
    <w:rsid w:val="00A74C90"/>
    <w:rsid w:val="00A814AF"/>
    <w:rsid w:val="00AA11D5"/>
    <w:rsid w:val="00AA3922"/>
    <w:rsid w:val="00AA6BBD"/>
    <w:rsid w:val="00AD02AF"/>
    <w:rsid w:val="00AD28BB"/>
    <w:rsid w:val="00AD36F2"/>
    <w:rsid w:val="00AD49A2"/>
    <w:rsid w:val="00AD6B18"/>
    <w:rsid w:val="00AE4527"/>
    <w:rsid w:val="00AF11BA"/>
    <w:rsid w:val="00B13FE8"/>
    <w:rsid w:val="00B24811"/>
    <w:rsid w:val="00B27DF4"/>
    <w:rsid w:val="00B447E3"/>
    <w:rsid w:val="00B54CF1"/>
    <w:rsid w:val="00B771EA"/>
    <w:rsid w:val="00B87C46"/>
    <w:rsid w:val="00B92ED7"/>
    <w:rsid w:val="00B97B0C"/>
    <w:rsid w:val="00BA0401"/>
    <w:rsid w:val="00BA7A27"/>
    <w:rsid w:val="00BB0054"/>
    <w:rsid w:val="00BB1214"/>
    <w:rsid w:val="00BB291E"/>
    <w:rsid w:val="00BC40E0"/>
    <w:rsid w:val="00BC6453"/>
    <w:rsid w:val="00BC79A5"/>
    <w:rsid w:val="00BD2A30"/>
    <w:rsid w:val="00BE6457"/>
    <w:rsid w:val="00BF767E"/>
    <w:rsid w:val="00C01C41"/>
    <w:rsid w:val="00C14D23"/>
    <w:rsid w:val="00C15FBC"/>
    <w:rsid w:val="00C165C9"/>
    <w:rsid w:val="00C26BFF"/>
    <w:rsid w:val="00C30104"/>
    <w:rsid w:val="00C349D8"/>
    <w:rsid w:val="00C36023"/>
    <w:rsid w:val="00C50021"/>
    <w:rsid w:val="00C54F6F"/>
    <w:rsid w:val="00C57F4C"/>
    <w:rsid w:val="00C60E4F"/>
    <w:rsid w:val="00C7490C"/>
    <w:rsid w:val="00C84563"/>
    <w:rsid w:val="00C91E97"/>
    <w:rsid w:val="00C939EE"/>
    <w:rsid w:val="00CA03CD"/>
    <w:rsid w:val="00CA06CC"/>
    <w:rsid w:val="00CB1679"/>
    <w:rsid w:val="00CB5D45"/>
    <w:rsid w:val="00CB6610"/>
    <w:rsid w:val="00CC0023"/>
    <w:rsid w:val="00CC1AD3"/>
    <w:rsid w:val="00CD3BC1"/>
    <w:rsid w:val="00CD7350"/>
    <w:rsid w:val="00CE3723"/>
    <w:rsid w:val="00CF5AE8"/>
    <w:rsid w:val="00D071CD"/>
    <w:rsid w:val="00D12403"/>
    <w:rsid w:val="00D20000"/>
    <w:rsid w:val="00D37C3C"/>
    <w:rsid w:val="00D46D5A"/>
    <w:rsid w:val="00D6009B"/>
    <w:rsid w:val="00D602F3"/>
    <w:rsid w:val="00D63A87"/>
    <w:rsid w:val="00D7745D"/>
    <w:rsid w:val="00D82D30"/>
    <w:rsid w:val="00D96B22"/>
    <w:rsid w:val="00DA2AED"/>
    <w:rsid w:val="00DB6E71"/>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25B"/>
    <w:rsid w:val="00E47E35"/>
    <w:rsid w:val="00E5537F"/>
    <w:rsid w:val="00E62540"/>
    <w:rsid w:val="00E71925"/>
    <w:rsid w:val="00E73C3F"/>
    <w:rsid w:val="00E81B07"/>
    <w:rsid w:val="00E82F66"/>
    <w:rsid w:val="00E8494F"/>
    <w:rsid w:val="00E940AB"/>
    <w:rsid w:val="00EA1FD3"/>
    <w:rsid w:val="00EA2C04"/>
    <w:rsid w:val="00EA4D58"/>
    <w:rsid w:val="00EA5DF7"/>
    <w:rsid w:val="00EB6DF2"/>
    <w:rsid w:val="00EC2ABD"/>
    <w:rsid w:val="00EC30E1"/>
    <w:rsid w:val="00EC7CE6"/>
    <w:rsid w:val="00ED6E27"/>
    <w:rsid w:val="00EF4769"/>
    <w:rsid w:val="00F0009F"/>
    <w:rsid w:val="00F00102"/>
    <w:rsid w:val="00F02A72"/>
    <w:rsid w:val="00F033A4"/>
    <w:rsid w:val="00F27E74"/>
    <w:rsid w:val="00F4334A"/>
    <w:rsid w:val="00F50447"/>
    <w:rsid w:val="00F53B94"/>
    <w:rsid w:val="00F64926"/>
    <w:rsid w:val="00F66CBF"/>
    <w:rsid w:val="00F671CE"/>
    <w:rsid w:val="00F902C6"/>
    <w:rsid w:val="00F91322"/>
    <w:rsid w:val="00FA0018"/>
    <w:rsid w:val="00FA45B5"/>
    <w:rsid w:val="00FC78FA"/>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Cita">
    <w:name w:val="Quote"/>
    <w:basedOn w:val="Normal"/>
    <w:next w:val="Normal"/>
    <w:link w:val="CitaCar"/>
    <w:uiPriority w:val="29"/>
    <w:qFormat/>
    <w:rsid w:val="00AE4527"/>
    <w:pPr>
      <w:spacing w:before="120" w:after="120"/>
      <w:ind w:right="567"/>
      <w:jc w:val="both"/>
    </w:pPr>
    <w:rPr>
      <w:rFonts w:ascii="Bookman Old Style" w:hAnsi="Bookman Old Style"/>
      <w:i/>
      <w:iCs/>
      <w:color w:val="000000" w:themeColor="text1"/>
      <w:sz w:val="20"/>
    </w:rPr>
  </w:style>
  <w:style w:type="character" w:customStyle="1" w:styleId="CitaCar">
    <w:name w:val="Cita Car"/>
    <w:basedOn w:val="Fuentedeprrafopredeter"/>
    <w:link w:val="Cita"/>
    <w:uiPriority w:val="29"/>
    <w:rsid w:val="00AE4527"/>
    <w:rPr>
      <w:rFonts w:ascii="Bookman Old Style" w:eastAsia="Times New Roman" w:hAnsi="Bookman Old Style"/>
      <w:i/>
      <w:iCs/>
      <w:color w:val="000000" w:themeColor="text1"/>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Cita">
    <w:name w:val="Quote"/>
    <w:basedOn w:val="Normal"/>
    <w:next w:val="Normal"/>
    <w:link w:val="CitaCar"/>
    <w:uiPriority w:val="29"/>
    <w:qFormat/>
    <w:rsid w:val="00AE4527"/>
    <w:pPr>
      <w:spacing w:before="120" w:after="120"/>
      <w:ind w:right="567"/>
      <w:jc w:val="both"/>
    </w:pPr>
    <w:rPr>
      <w:rFonts w:ascii="Bookman Old Style" w:hAnsi="Bookman Old Style"/>
      <w:i/>
      <w:iCs/>
      <w:color w:val="000000" w:themeColor="text1"/>
      <w:sz w:val="20"/>
    </w:rPr>
  </w:style>
  <w:style w:type="character" w:customStyle="1" w:styleId="CitaCar">
    <w:name w:val="Cita Car"/>
    <w:basedOn w:val="Fuentedeprrafopredeter"/>
    <w:link w:val="Cita"/>
    <w:uiPriority w:val="29"/>
    <w:rsid w:val="00AE4527"/>
    <w:rPr>
      <w:rFonts w:ascii="Bookman Old Style" w:eastAsia="Times New Roman" w:hAnsi="Bookman Old Style"/>
      <w:i/>
      <w:iCs/>
      <w:color w:val="000000" w:themeColor="text1"/>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BC3B12-FCF1-4565-BDFD-5D8DC2C3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2791</Words>
  <Characters>15351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2015-11-03T20:54:00Z</cp:lastPrinted>
  <dcterms:created xsi:type="dcterms:W3CDTF">2015-11-19T16:02:00Z</dcterms:created>
  <dcterms:modified xsi:type="dcterms:W3CDTF">2015-11-19T16:02:00Z</dcterms:modified>
</cp:coreProperties>
</file>