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B8" w:rsidRPr="009B6973" w:rsidRDefault="00EE3009" w:rsidP="002240B8">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7" o:title=""/>
          </v:shape>
          <o:OLEObject Type="Embed" ProgID="PBrush" ShapeID="_x0000_s1026" DrawAspect="Content" ObjectID="_1544278386" r:id="rId8"/>
        </w:object>
      </w:r>
    </w:p>
    <w:p w:rsidR="002240B8" w:rsidRPr="009B6973" w:rsidRDefault="002240B8" w:rsidP="002240B8">
      <w:pPr>
        <w:pStyle w:val="Ttulo4"/>
        <w:tabs>
          <w:tab w:val="left" w:pos="0"/>
          <w:tab w:val="right" w:pos="9356"/>
        </w:tabs>
        <w:ind w:left="0"/>
        <w:rPr>
          <w:rFonts w:ascii="Bookman Old Style" w:hAnsi="Bookman Old Style"/>
          <w:b w:val="0"/>
          <w:bCs/>
          <w:sz w:val="24"/>
          <w:szCs w:val="24"/>
        </w:rPr>
      </w:pPr>
    </w:p>
    <w:p w:rsidR="002240B8" w:rsidRPr="009B6973" w:rsidRDefault="002240B8" w:rsidP="002240B8">
      <w:pPr>
        <w:pStyle w:val="Ttulo4"/>
        <w:tabs>
          <w:tab w:val="left" w:pos="0"/>
          <w:tab w:val="right" w:pos="9356"/>
        </w:tabs>
        <w:ind w:left="0"/>
        <w:rPr>
          <w:rFonts w:ascii="Bookman Old Style" w:hAnsi="Bookman Old Style"/>
          <w:b w:val="0"/>
          <w:bCs/>
          <w:noProof/>
          <w:sz w:val="24"/>
          <w:szCs w:val="24"/>
          <w:lang w:val="es-ES"/>
        </w:rPr>
      </w:pPr>
      <w:r w:rsidRPr="009B6973">
        <w:rPr>
          <w:rFonts w:ascii="Bookman Old Style" w:hAnsi="Bookman Old Style"/>
          <w:b w:val="0"/>
          <w:bCs/>
          <w:sz w:val="24"/>
          <w:szCs w:val="24"/>
        </w:rPr>
        <w:t>Ministerio de Minas y Energía</w:t>
      </w:r>
    </w:p>
    <w:p w:rsidR="002240B8" w:rsidRPr="009B6973" w:rsidRDefault="002240B8" w:rsidP="002240B8">
      <w:pPr>
        <w:pStyle w:val="Ttulo4"/>
        <w:tabs>
          <w:tab w:val="left" w:pos="0"/>
          <w:tab w:val="right" w:pos="9356"/>
        </w:tabs>
        <w:ind w:left="0"/>
        <w:rPr>
          <w:rFonts w:ascii="Bookman Old Style" w:hAnsi="Bookman Old Style"/>
          <w:b w:val="0"/>
          <w:bCs/>
          <w:sz w:val="24"/>
          <w:szCs w:val="24"/>
        </w:rPr>
      </w:pPr>
    </w:p>
    <w:p w:rsidR="002240B8" w:rsidRPr="009B6973" w:rsidRDefault="002240B8" w:rsidP="002240B8">
      <w:pPr>
        <w:pStyle w:val="Ttulo3"/>
        <w:tabs>
          <w:tab w:val="left" w:pos="0"/>
          <w:tab w:val="right" w:pos="9356"/>
        </w:tabs>
        <w:ind w:left="0"/>
        <w:rPr>
          <w:rFonts w:ascii="Bookman Old Style" w:hAnsi="Bookman Old Style" w:cs="Arial"/>
          <w:spacing w:val="20"/>
          <w:szCs w:val="24"/>
        </w:rPr>
      </w:pPr>
      <w:r w:rsidRPr="009B6973">
        <w:rPr>
          <w:rFonts w:ascii="Bookman Old Style" w:hAnsi="Bookman Old Style" w:cs="Arial"/>
          <w:spacing w:val="20"/>
          <w:szCs w:val="24"/>
        </w:rPr>
        <w:t>COMISIÓN DE REGULACIÓN DE ENERGÍA Y GAS -CREG-</w:t>
      </w:r>
    </w:p>
    <w:p w:rsidR="002240B8" w:rsidRPr="009B6973" w:rsidRDefault="002240B8" w:rsidP="002240B8">
      <w:pPr>
        <w:pStyle w:val="Ttulo5"/>
        <w:tabs>
          <w:tab w:val="left" w:pos="0"/>
          <w:tab w:val="right" w:pos="9356"/>
        </w:tabs>
        <w:ind w:left="0"/>
        <w:rPr>
          <w:rFonts w:ascii="Bookman Old Style" w:hAnsi="Bookman Old Style"/>
          <w:sz w:val="24"/>
          <w:szCs w:val="24"/>
        </w:rPr>
      </w:pPr>
    </w:p>
    <w:p w:rsidR="002240B8" w:rsidRPr="009B6973" w:rsidRDefault="002240B8" w:rsidP="002240B8">
      <w:pPr>
        <w:pStyle w:val="Ttulo5"/>
        <w:tabs>
          <w:tab w:val="left" w:pos="0"/>
          <w:tab w:val="right" w:pos="9356"/>
        </w:tabs>
        <w:ind w:left="0"/>
        <w:rPr>
          <w:rFonts w:ascii="Bookman Old Style" w:hAnsi="Bookman Old Style"/>
          <w:sz w:val="24"/>
          <w:szCs w:val="24"/>
        </w:rPr>
      </w:pPr>
      <w:r w:rsidRPr="009B6973">
        <w:rPr>
          <w:rFonts w:ascii="Bookman Old Style" w:hAnsi="Bookman Old Style"/>
          <w:sz w:val="24"/>
          <w:szCs w:val="24"/>
        </w:rPr>
        <w:t xml:space="preserve">RESOLUCIÓN No.   </w:t>
      </w:r>
      <w:r w:rsidR="00B93647">
        <w:rPr>
          <w:rFonts w:ascii="Bookman Old Style" w:hAnsi="Bookman Old Style"/>
          <w:sz w:val="24"/>
          <w:szCs w:val="24"/>
        </w:rPr>
        <w:t xml:space="preserve">     </w:t>
      </w:r>
      <w:r w:rsidRPr="009B6973">
        <w:rPr>
          <w:rFonts w:ascii="Bookman Old Style" w:hAnsi="Bookman Old Style"/>
          <w:sz w:val="24"/>
          <w:szCs w:val="24"/>
        </w:rPr>
        <w:t xml:space="preserve">       DE 201</w:t>
      </w:r>
      <w:r>
        <w:rPr>
          <w:rFonts w:ascii="Bookman Old Style" w:hAnsi="Bookman Old Style"/>
          <w:sz w:val="24"/>
          <w:szCs w:val="24"/>
        </w:rPr>
        <w:t>6</w:t>
      </w:r>
    </w:p>
    <w:p w:rsidR="002240B8" w:rsidRPr="009B6973" w:rsidRDefault="002240B8" w:rsidP="002240B8">
      <w:pPr>
        <w:tabs>
          <w:tab w:val="left" w:pos="0"/>
          <w:tab w:val="right" w:pos="9356"/>
        </w:tabs>
        <w:ind w:left="0"/>
        <w:jc w:val="center"/>
        <w:rPr>
          <w:rFonts w:ascii="Bookman Old Style" w:hAnsi="Bookman Old Style" w:cs="Arial"/>
          <w:b/>
          <w:snapToGrid w:val="0"/>
          <w:color w:val="000000"/>
          <w:lang w:val="es-ES_tradnl"/>
        </w:rPr>
      </w:pPr>
    </w:p>
    <w:p w:rsidR="002240B8" w:rsidRPr="009B6973" w:rsidRDefault="002240B8" w:rsidP="002240B8">
      <w:pPr>
        <w:pStyle w:val="Ttulo3"/>
        <w:tabs>
          <w:tab w:val="left" w:pos="0"/>
          <w:tab w:val="right" w:pos="9356"/>
        </w:tabs>
        <w:ind w:left="0"/>
        <w:rPr>
          <w:rFonts w:ascii="Bookman Old Style" w:hAnsi="Bookman Old Style"/>
          <w:b w:val="0"/>
          <w:szCs w:val="24"/>
        </w:rPr>
      </w:pPr>
      <w:r w:rsidRPr="009B6973">
        <w:rPr>
          <w:rFonts w:ascii="Bookman Old Style" w:hAnsi="Bookman Old Style"/>
          <w:b w:val="0"/>
          <w:szCs w:val="24"/>
        </w:rPr>
        <w:t xml:space="preserve">(        </w:t>
      </w:r>
      <w:r w:rsidR="00B93647">
        <w:rPr>
          <w:rFonts w:ascii="Bookman Old Style" w:hAnsi="Bookman Old Style"/>
          <w:b w:val="0"/>
          <w:szCs w:val="24"/>
        </w:rPr>
        <w:t xml:space="preserve">       </w:t>
      </w:r>
      <w:r w:rsidR="0014412A">
        <w:rPr>
          <w:rFonts w:ascii="Bookman Old Style" w:hAnsi="Bookman Old Style"/>
          <w:b w:val="0"/>
          <w:szCs w:val="24"/>
        </w:rPr>
        <w:t xml:space="preserve"> </w:t>
      </w:r>
      <w:r w:rsidR="00B93647">
        <w:rPr>
          <w:rFonts w:ascii="Bookman Old Style" w:hAnsi="Bookman Old Style"/>
          <w:b w:val="0"/>
          <w:szCs w:val="24"/>
        </w:rPr>
        <w:t xml:space="preserve">        </w:t>
      </w:r>
      <w:r w:rsidRPr="009B6973">
        <w:rPr>
          <w:rFonts w:ascii="Bookman Old Style" w:hAnsi="Bookman Old Style"/>
          <w:b w:val="0"/>
          <w:szCs w:val="24"/>
        </w:rPr>
        <w:t xml:space="preserve">         )</w:t>
      </w:r>
    </w:p>
    <w:p w:rsidR="002240B8" w:rsidRPr="009B6973" w:rsidRDefault="002240B8" w:rsidP="002240B8">
      <w:pPr>
        <w:tabs>
          <w:tab w:val="left" w:pos="0"/>
          <w:tab w:val="right" w:pos="9356"/>
        </w:tabs>
        <w:ind w:left="0"/>
        <w:jc w:val="center"/>
        <w:rPr>
          <w:rFonts w:ascii="Bookman Old Style" w:hAnsi="Bookman Old Style"/>
          <w:lang w:val="es-ES_tradnl"/>
        </w:rPr>
      </w:pPr>
    </w:p>
    <w:p w:rsidR="002240B8" w:rsidRPr="009B6973" w:rsidRDefault="002240B8" w:rsidP="002240B8">
      <w:pPr>
        <w:ind w:left="0"/>
        <w:rPr>
          <w:rFonts w:ascii="Bookman Old Style" w:hAnsi="Bookman Old Style"/>
          <w:bCs/>
          <w:lang w:val="es-ES_tradnl"/>
        </w:rPr>
      </w:pPr>
    </w:p>
    <w:p w:rsidR="002240B8" w:rsidRDefault="002240B8" w:rsidP="0014412A">
      <w:pPr>
        <w:ind w:left="0"/>
        <w:jc w:val="center"/>
        <w:rPr>
          <w:rFonts w:ascii="Bookman Old Style" w:hAnsi="Bookman Old Style"/>
        </w:rPr>
      </w:pPr>
      <w:r w:rsidRPr="009B6973">
        <w:rPr>
          <w:rFonts w:ascii="Bookman Old Style" w:hAnsi="Bookman Old Style"/>
        </w:rPr>
        <w:t>Por medio de la cual se resuelve un recurso de reposición en contra de</w:t>
      </w:r>
      <w:r>
        <w:rPr>
          <w:rFonts w:ascii="Bookman Old Style" w:hAnsi="Bookman Old Style"/>
        </w:rPr>
        <w:t xml:space="preserve"> la Resolución CREG 188</w:t>
      </w:r>
      <w:r w:rsidRPr="009B6973">
        <w:rPr>
          <w:rFonts w:ascii="Bookman Old Style" w:hAnsi="Bookman Old Style"/>
        </w:rPr>
        <w:t xml:space="preserve"> de 201</w:t>
      </w:r>
      <w:r>
        <w:rPr>
          <w:rFonts w:ascii="Bookman Old Style" w:hAnsi="Bookman Old Style"/>
        </w:rPr>
        <w:t>6</w:t>
      </w:r>
      <w:r w:rsidR="0014412A">
        <w:rPr>
          <w:rFonts w:ascii="Bookman Old Style" w:hAnsi="Bookman Old Style"/>
        </w:rPr>
        <w:t xml:space="preserve">, interpuesto por </w:t>
      </w:r>
      <w:r w:rsidR="0014412A">
        <w:rPr>
          <w:rFonts w:ascii="Bookman Old Style" w:hAnsi="Bookman Old Style" w:cs="Arial"/>
        </w:rPr>
        <w:t>XM COMPAÑIA DE EXPERTOS EN MERCADOS S.A. E.S.P</w:t>
      </w:r>
    </w:p>
    <w:p w:rsidR="00B93647" w:rsidRPr="009B6973" w:rsidRDefault="00B93647" w:rsidP="0014412A">
      <w:pPr>
        <w:ind w:left="0"/>
        <w:jc w:val="center"/>
        <w:rPr>
          <w:rFonts w:ascii="Bookman Old Style" w:hAnsi="Bookman Old Style"/>
        </w:rPr>
      </w:pPr>
    </w:p>
    <w:p w:rsidR="002240B8" w:rsidRPr="009B6973" w:rsidRDefault="002240B8" w:rsidP="002240B8">
      <w:pPr>
        <w:ind w:left="170" w:right="-454"/>
        <w:jc w:val="both"/>
        <w:rPr>
          <w:rFonts w:ascii="Bookman Old Style" w:hAnsi="Bookman Old Style"/>
        </w:rPr>
      </w:pPr>
    </w:p>
    <w:p w:rsidR="002240B8" w:rsidRPr="009B6973" w:rsidRDefault="002240B8" w:rsidP="002240B8">
      <w:pPr>
        <w:ind w:left="170" w:right="-454"/>
        <w:jc w:val="center"/>
        <w:rPr>
          <w:rFonts w:ascii="Bookman Old Style" w:hAnsi="Bookman Old Style"/>
          <w:b/>
        </w:rPr>
      </w:pPr>
      <w:r w:rsidRPr="009B6973">
        <w:rPr>
          <w:rFonts w:ascii="Bookman Old Style" w:hAnsi="Bookman Old Style"/>
          <w:b/>
        </w:rPr>
        <w:t>LA COMISIÓN DE REGULACIÓN DE ENERGÍA Y GAS -CREG-</w:t>
      </w:r>
    </w:p>
    <w:p w:rsidR="002240B8" w:rsidRPr="009B6973" w:rsidRDefault="002240B8" w:rsidP="002240B8">
      <w:pPr>
        <w:ind w:left="170" w:right="-454"/>
        <w:jc w:val="both"/>
        <w:rPr>
          <w:rFonts w:ascii="Bookman Old Style" w:hAnsi="Bookman Old Style"/>
        </w:rPr>
      </w:pPr>
    </w:p>
    <w:p w:rsidR="002240B8" w:rsidRPr="009B6973" w:rsidRDefault="002240B8" w:rsidP="002240B8">
      <w:pPr>
        <w:ind w:left="170"/>
        <w:jc w:val="both"/>
        <w:rPr>
          <w:rFonts w:ascii="Bookman Old Style" w:hAnsi="Bookman Old Style"/>
        </w:rPr>
      </w:pPr>
      <w:r w:rsidRPr="009B6973">
        <w:rPr>
          <w:rFonts w:ascii="Bookman Old Style" w:hAnsi="Bookman Old Style"/>
        </w:rPr>
        <w:t xml:space="preserve">En uso de sus facultades legales, en especial las conferidas por las Leyes 142 de 1994 y 143 de 1994, y en desarrollo de los decretos 1524 y 2253 de 1994, </w:t>
      </w:r>
    </w:p>
    <w:p w:rsidR="002240B8" w:rsidRPr="009B6973" w:rsidRDefault="002240B8" w:rsidP="002240B8">
      <w:pPr>
        <w:ind w:left="0" w:right="-454"/>
        <w:jc w:val="both"/>
        <w:rPr>
          <w:rFonts w:ascii="Bookman Old Style" w:hAnsi="Bookman Old Style"/>
        </w:rPr>
      </w:pPr>
    </w:p>
    <w:p w:rsidR="002240B8" w:rsidRPr="009B6973" w:rsidRDefault="002240B8" w:rsidP="002240B8">
      <w:pPr>
        <w:tabs>
          <w:tab w:val="center" w:pos="4512"/>
        </w:tabs>
        <w:suppressAutoHyphens/>
        <w:ind w:left="170" w:right="-454"/>
        <w:jc w:val="center"/>
        <w:rPr>
          <w:rFonts w:ascii="Bookman Old Style" w:hAnsi="Bookman Old Style"/>
          <w:b/>
          <w:spacing w:val="-3"/>
        </w:rPr>
      </w:pPr>
      <w:r w:rsidRPr="009B6973">
        <w:rPr>
          <w:rFonts w:ascii="Bookman Old Style" w:hAnsi="Bookman Old Style"/>
          <w:b/>
          <w:spacing w:val="-3"/>
        </w:rPr>
        <w:t>C O N S I D E R A N D O:</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2240B8" w:rsidRPr="009B6973" w:rsidRDefault="002240B8" w:rsidP="002240B8">
      <w:pPr>
        <w:ind w:left="0"/>
        <w:jc w:val="both"/>
        <w:rPr>
          <w:rFonts w:ascii="Bookman Old Style" w:hAnsi="Bookman Old Style" w:cs="Arial"/>
        </w:rPr>
      </w:pP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2240B8" w:rsidRPr="009B6973" w:rsidRDefault="002240B8" w:rsidP="002240B8">
      <w:pPr>
        <w:pStyle w:val="Prrafodelista"/>
        <w:ind w:left="720"/>
        <w:jc w:val="both"/>
        <w:rPr>
          <w:rFonts w:ascii="Bookman Old Style" w:hAnsi="Bookman Old Style" w:cs="Arial"/>
          <w:sz w:val="24"/>
          <w:szCs w:val="24"/>
        </w:rPr>
      </w:pP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Que mediante resolución CREG-1</w:t>
      </w:r>
      <w:r>
        <w:rPr>
          <w:rFonts w:ascii="Bookman Old Style" w:hAnsi="Bookman Old Style" w:cs="Arial"/>
        </w:rPr>
        <w:t>88</w:t>
      </w:r>
      <w:r w:rsidRPr="009B6973">
        <w:rPr>
          <w:rFonts w:ascii="Bookman Old Style" w:hAnsi="Bookman Old Style" w:cs="Arial"/>
        </w:rPr>
        <w:t xml:space="preserve"> DE 201</w:t>
      </w:r>
      <w:r>
        <w:rPr>
          <w:rFonts w:ascii="Bookman Old Style" w:hAnsi="Bookman Old Style" w:cs="Arial"/>
        </w:rPr>
        <w:t>6</w:t>
      </w:r>
      <w:r w:rsidRPr="009B6973">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6</w:t>
      </w:r>
      <w:r w:rsidRPr="009B6973">
        <w:rPr>
          <w:rFonts w:ascii="Bookman Old Style" w:hAnsi="Bookman Old Style" w:cs="Arial"/>
        </w:rPr>
        <w:t>.</w:t>
      </w: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 xml:space="preserve"> </w:t>
      </w: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 xml:space="preserve">Que la </w:t>
      </w:r>
      <w:r>
        <w:rPr>
          <w:rFonts w:ascii="Bookman Old Style" w:hAnsi="Bookman Old Style" w:cs="Arial"/>
        </w:rPr>
        <w:t>empresa XM COMPAÑIA DE E</w:t>
      </w:r>
      <w:r w:rsidR="00C17F78">
        <w:rPr>
          <w:rFonts w:ascii="Bookman Old Style" w:hAnsi="Bookman Old Style" w:cs="Arial"/>
        </w:rPr>
        <w:t>XPERTOS EN MERCADOS S.A. E.S.P.</w:t>
      </w:r>
      <w:r>
        <w:rPr>
          <w:rFonts w:ascii="Bookman Old Style" w:hAnsi="Bookman Old Style" w:cs="Arial"/>
        </w:rPr>
        <w:t xml:space="preserve"> </w:t>
      </w:r>
      <w:r w:rsidRPr="009B6973">
        <w:rPr>
          <w:rFonts w:ascii="Bookman Old Style" w:hAnsi="Bookman Old Style" w:cs="Arial"/>
        </w:rPr>
        <w:t xml:space="preserve">fue notificada </w:t>
      </w:r>
      <w:r>
        <w:rPr>
          <w:rFonts w:ascii="Bookman Old Style" w:hAnsi="Bookman Old Style" w:cs="Arial"/>
        </w:rPr>
        <w:t>de manera oportuna del contenido de la resolución CREG-18</w:t>
      </w:r>
      <w:r w:rsidRPr="009B6973">
        <w:rPr>
          <w:rFonts w:ascii="Bookman Old Style" w:hAnsi="Bookman Old Style" w:cs="Arial"/>
        </w:rPr>
        <w:t>8 de 201</w:t>
      </w:r>
      <w:r>
        <w:rPr>
          <w:rFonts w:ascii="Bookman Old Style" w:hAnsi="Bookman Old Style" w:cs="Arial"/>
        </w:rPr>
        <w:t>6</w:t>
      </w:r>
      <w:r w:rsidRPr="009B6973">
        <w:rPr>
          <w:rFonts w:ascii="Bookman Old Style" w:hAnsi="Bookman Old Style" w:cs="Arial"/>
        </w:rPr>
        <w:t xml:space="preserve">. </w:t>
      </w:r>
    </w:p>
    <w:p w:rsidR="002240B8" w:rsidRPr="009B6973" w:rsidRDefault="002240B8" w:rsidP="002240B8">
      <w:pPr>
        <w:pStyle w:val="Prrafodelista"/>
        <w:rPr>
          <w:rFonts w:ascii="Bookman Old Style" w:hAnsi="Bookman Old Style" w:cs="Arial"/>
          <w:sz w:val="24"/>
          <w:szCs w:val="24"/>
        </w:rPr>
      </w:pP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 xml:space="preserve">Que encontrándose dentro del término legal, mediante escrito presentado en la Comisión de Regulación </w:t>
      </w:r>
      <w:r w:rsidRPr="00CA02B0">
        <w:rPr>
          <w:rFonts w:ascii="Bookman Old Style" w:hAnsi="Bookman Old Style" w:cs="Arial"/>
        </w:rPr>
        <w:t>de Energía y Gas -CREG- bajo radicado número E-2016-013758 del catorce (14) de diciembre de 2016., el Gerente General de la empresa XM COMPAÑIA DE E</w:t>
      </w:r>
      <w:r w:rsidR="00C17F78" w:rsidRPr="00CA02B0">
        <w:rPr>
          <w:rFonts w:ascii="Bookman Old Style" w:hAnsi="Bookman Old Style" w:cs="Arial"/>
        </w:rPr>
        <w:t>XPERTOS EN MERCADOS</w:t>
      </w:r>
      <w:r w:rsidR="00C17F78">
        <w:rPr>
          <w:rFonts w:ascii="Bookman Old Style" w:hAnsi="Bookman Old Style" w:cs="Arial"/>
        </w:rPr>
        <w:t xml:space="preserve"> S.A. E.S.P., p</w:t>
      </w:r>
      <w:r w:rsidR="00C17F78" w:rsidRPr="009B6973">
        <w:rPr>
          <w:rFonts w:ascii="Bookman Old Style" w:hAnsi="Bookman Old Style" w:cs="Arial"/>
        </w:rPr>
        <w:t>resentó</w:t>
      </w:r>
      <w:r w:rsidRPr="009B6973">
        <w:rPr>
          <w:rFonts w:ascii="Bookman Old Style" w:hAnsi="Bookman Old Style" w:cs="Arial"/>
        </w:rPr>
        <w:t xml:space="preserve"> recurso de reposición contra la resolución CREG-</w:t>
      </w:r>
      <w:r>
        <w:rPr>
          <w:rFonts w:ascii="Bookman Old Style" w:hAnsi="Bookman Old Style" w:cs="Arial"/>
        </w:rPr>
        <w:t>188 de 2016</w:t>
      </w:r>
      <w:r w:rsidR="00C17F78">
        <w:rPr>
          <w:rFonts w:ascii="Bookman Old Style" w:hAnsi="Bookman Old Style" w:cs="Arial"/>
        </w:rPr>
        <w:t>.</w:t>
      </w:r>
    </w:p>
    <w:p w:rsidR="002240B8" w:rsidRPr="009B6973" w:rsidRDefault="002240B8" w:rsidP="002240B8">
      <w:pPr>
        <w:ind w:left="0"/>
        <w:jc w:val="both"/>
        <w:rPr>
          <w:rFonts w:ascii="Bookman Old Style" w:hAnsi="Bookman Old Style" w:cs="Arial"/>
        </w:rPr>
      </w:pP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 xml:space="preserve">Que mediante la presente resolución, </w:t>
      </w:r>
      <w:r>
        <w:rPr>
          <w:rFonts w:ascii="Bookman Old Style" w:hAnsi="Bookman Old Style" w:cs="Arial"/>
        </w:rPr>
        <w:t xml:space="preserve">se </w:t>
      </w:r>
      <w:r w:rsidRPr="009B6973">
        <w:rPr>
          <w:rFonts w:ascii="Bookman Old Style" w:hAnsi="Bookman Old Style" w:cs="Arial"/>
        </w:rPr>
        <w:t xml:space="preserve">procede a resolver este recurso en contra de la Resolución CREG </w:t>
      </w:r>
      <w:r>
        <w:rPr>
          <w:rFonts w:ascii="Bookman Old Style" w:hAnsi="Bookman Old Style" w:cs="Arial"/>
        </w:rPr>
        <w:t>188 de 2016</w:t>
      </w:r>
      <w:r w:rsidRPr="009B6973">
        <w:rPr>
          <w:rFonts w:ascii="Bookman Old Style" w:hAnsi="Bookman Old Style" w:cs="Arial"/>
        </w:rPr>
        <w:t>, con base en las siguientes consideraciones</w:t>
      </w:r>
      <w:r w:rsidR="00C17F78">
        <w:rPr>
          <w:rFonts w:ascii="Bookman Old Style" w:hAnsi="Bookman Old Style" w:cs="Arial"/>
        </w:rPr>
        <w:t>:</w:t>
      </w:r>
    </w:p>
    <w:p w:rsidR="002240B8" w:rsidRPr="009B6973" w:rsidRDefault="002240B8" w:rsidP="002240B8">
      <w:pPr>
        <w:ind w:left="0"/>
        <w:jc w:val="both"/>
        <w:rPr>
          <w:rFonts w:ascii="Bookman Old Style" w:hAnsi="Bookman Old Style" w:cs="Arial"/>
        </w:rPr>
      </w:pPr>
    </w:p>
    <w:p w:rsidR="002240B8" w:rsidRPr="009B6973" w:rsidRDefault="002240B8" w:rsidP="002240B8">
      <w:pPr>
        <w:pStyle w:val="Prrafodelista"/>
        <w:numPr>
          <w:ilvl w:val="0"/>
          <w:numId w:val="2"/>
        </w:numPr>
        <w:jc w:val="both"/>
        <w:rPr>
          <w:rFonts w:ascii="Bookman Old Style" w:hAnsi="Bookman Old Style" w:cs="Arial"/>
          <w:b/>
          <w:sz w:val="24"/>
          <w:szCs w:val="24"/>
        </w:rPr>
      </w:pPr>
      <w:r w:rsidRPr="009B6973">
        <w:rPr>
          <w:rFonts w:ascii="Bookman Old Style" w:hAnsi="Bookman Old Style" w:cs="Arial"/>
          <w:b/>
          <w:sz w:val="24"/>
          <w:szCs w:val="24"/>
        </w:rPr>
        <w:t>EL RECURSO DE REPOSICIÓN</w:t>
      </w:r>
    </w:p>
    <w:p w:rsidR="002240B8" w:rsidRPr="009B6973" w:rsidRDefault="002240B8" w:rsidP="002240B8">
      <w:pPr>
        <w:ind w:left="0"/>
        <w:jc w:val="both"/>
        <w:rPr>
          <w:rFonts w:ascii="Bookman Old Style" w:hAnsi="Bookman Old Style" w:cs="Arial"/>
        </w:rPr>
      </w:pPr>
    </w:p>
    <w:p w:rsidR="002240B8" w:rsidRPr="009B6973" w:rsidRDefault="002240B8" w:rsidP="002240B8">
      <w:pPr>
        <w:pStyle w:val="Prrafodelista"/>
        <w:numPr>
          <w:ilvl w:val="0"/>
          <w:numId w:val="1"/>
        </w:numPr>
        <w:rPr>
          <w:rFonts w:ascii="Bookman Old Style" w:hAnsi="Bookman Old Style" w:cs="Arial"/>
          <w:b/>
          <w:sz w:val="24"/>
          <w:szCs w:val="24"/>
        </w:rPr>
      </w:pPr>
      <w:r w:rsidRPr="009B6973">
        <w:rPr>
          <w:rFonts w:ascii="Bookman Old Style" w:hAnsi="Bookman Old Style" w:cs="Arial"/>
          <w:b/>
          <w:sz w:val="24"/>
          <w:szCs w:val="24"/>
        </w:rPr>
        <w:t>PROCEDENCIA DEL RECURSO</w:t>
      </w:r>
    </w:p>
    <w:p w:rsidR="002240B8" w:rsidRPr="009B6973" w:rsidRDefault="002240B8" w:rsidP="002240B8">
      <w:pPr>
        <w:pStyle w:val="Prrafodelista"/>
        <w:ind w:left="720"/>
        <w:rPr>
          <w:rFonts w:ascii="Bookman Old Style" w:hAnsi="Bookman Old Style" w:cs="Arial"/>
          <w:b/>
          <w:sz w:val="24"/>
          <w:szCs w:val="24"/>
        </w:rPr>
      </w:pPr>
    </w:p>
    <w:p w:rsidR="002240B8" w:rsidRPr="009B6973" w:rsidRDefault="002240B8" w:rsidP="002240B8">
      <w:pPr>
        <w:ind w:left="0"/>
        <w:jc w:val="both"/>
        <w:rPr>
          <w:rFonts w:ascii="Bookman Old Style" w:hAnsi="Bookman Old Style" w:cs="Arial"/>
        </w:rPr>
      </w:pPr>
      <w:r w:rsidRPr="009B6973">
        <w:rPr>
          <w:rFonts w:ascii="Bookman Old Style" w:hAnsi="Bookman Old Style" w:cs="Arial"/>
        </w:rPr>
        <w:t>El recurrente presentó el recurso de reposición contra el artículo 1 de la resolución CREG-</w:t>
      </w:r>
      <w:r>
        <w:rPr>
          <w:rFonts w:ascii="Bookman Old Style" w:hAnsi="Bookman Old Style" w:cs="Arial"/>
        </w:rPr>
        <w:t>188 de  2016</w:t>
      </w:r>
      <w:r w:rsidRPr="009B6973">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entidades reguladas por el año 201</w:t>
      </w:r>
      <w:r>
        <w:rPr>
          <w:rFonts w:ascii="Bookman Old Style" w:hAnsi="Bookman Old Style" w:cs="Arial"/>
        </w:rPr>
        <w:t>6</w:t>
      </w:r>
      <w:r w:rsidRPr="009B6973">
        <w:rPr>
          <w:rFonts w:ascii="Bookman Old Style" w:hAnsi="Bookman Old Style" w:cs="Arial"/>
        </w:rPr>
        <w:t>.</w:t>
      </w:r>
    </w:p>
    <w:p w:rsidR="002240B8" w:rsidRPr="009B6973" w:rsidRDefault="002240B8" w:rsidP="002240B8">
      <w:pPr>
        <w:pStyle w:val="Prrafodelista"/>
        <w:ind w:left="0"/>
        <w:jc w:val="both"/>
        <w:rPr>
          <w:rFonts w:ascii="Bookman Old Style" w:hAnsi="Bookman Old Style" w:cs="Arial"/>
          <w:sz w:val="24"/>
          <w:szCs w:val="24"/>
        </w:rPr>
      </w:pPr>
    </w:p>
    <w:p w:rsidR="002240B8" w:rsidRPr="009B6973" w:rsidRDefault="002240B8" w:rsidP="002240B8">
      <w:pPr>
        <w:pStyle w:val="Prrafodelista"/>
        <w:ind w:left="0"/>
        <w:jc w:val="both"/>
        <w:rPr>
          <w:rFonts w:ascii="Bookman Old Style" w:hAnsi="Bookman Old Style" w:cs="Arial"/>
          <w:sz w:val="24"/>
          <w:szCs w:val="24"/>
        </w:rPr>
      </w:pPr>
      <w:r w:rsidRPr="009B6973">
        <w:rPr>
          <w:rFonts w:ascii="Bookman Old Style" w:hAnsi="Bookman Old Style" w:cs="Arial"/>
          <w:sz w:val="24"/>
          <w:szCs w:val="24"/>
        </w:rPr>
        <w:t xml:space="preserve">El recurso fue interpuesto dentro del término legal, esto es, dentro de los </w:t>
      </w:r>
      <w:r>
        <w:rPr>
          <w:rFonts w:ascii="Bookman Old Style" w:hAnsi="Bookman Old Style" w:cs="Arial"/>
          <w:sz w:val="24"/>
          <w:szCs w:val="24"/>
        </w:rPr>
        <w:t xml:space="preserve">diez </w:t>
      </w:r>
      <w:r w:rsidRPr="009B6973">
        <w:rPr>
          <w:rFonts w:ascii="Bookman Old Style" w:hAnsi="Bookman Old Style" w:cs="Arial"/>
          <w:sz w:val="24"/>
          <w:szCs w:val="24"/>
        </w:rPr>
        <w:t xml:space="preserve"> (10) días hábiles siguientes a la notificación, de acuerdo con el plazo establecido en el artículo 76 del Código de Procedimiento Administrativo y de lo </w:t>
      </w:r>
      <w:r>
        <w:rPr>
          <w:rFonts w:ascii="Bookman Old Style" w:hAnsi="Bookman Old Style" w:cs="Arial"/>
          <w:sz w:val="24"/>
          <w:szCs w:val="24"/>
        </w:rPr>
        <w:t>Contencioso Administrativo</w:t>
      </w:r>
      <w:r w:rsidRPr="009B6973">
        <w:rPr>
          <w:rFonts w:ascii="Bookman Old Style" w:hAnsi="Bookman Old Style" w:cs="Arial"/>
          <w:sz w:val="24"/>
          <w:szCs w:val="24"/>
        </w:rPr>
        <w:t>.</w:t>
      </w:r>
    </w:p>
    <w:p w:rsidR="002240B8" w:rsidRPr="009B6973" w:rsidRDefault="002240B8" w:rsidP="002240B8">
      <w:pPr>
        <w:pStyle w:val="Prrafodelista"/>
        <w:ind w:left="0"/>
        <w:jc w:val="both"/>
        <w:rPr>
          <w:rFonts w:ascii="Bookman Old Style" w:hAnsi="Bookman Old Style" w:cs="Arial"/>
          <w:sz w:val="24"/>
          <w:szCs w:val="24"/>
        </w:rPr>
      </w:pPr>
    </w:p>
    <w:p w:rsidR="002240B8" w:rsidRPr="009B6973" w:rsidRDefault="002240B8" w:rsidP="002240B8">
      <w:pPr>
        <w:pStyle w:val="Prrafodelista"/>
        <w:ind w:left="0"/>
        <w:jc w:val="both"/>
        <w:rPr>
          <w:rFonts w:ascii="Bookman Old Style" w:hAnsi="Bookman Old Style" w:cs="Arial"/>
          <w:sz w:val="24"/>
          <w:szCs w:val="24"/>
        </w:rPr>
      </w:pPr>
      <w:r w:rsidRPr="009B6973">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2240B8" w:rsidRPr="009B6973" w:rsidRDefault="002240B8" w:rsidP="002240B8">
      <w:pPr>
        <w:pStyle w:val="Prrafodelista"/>
        <w:ind w:left="0"/>
        <w:jc w:val="both"/>
        <w:rPr>
          <w:rFonts w:ascii="Bookman Old Style" w:hAnsi="Bookman Old Style" w:cs="Arial"/>
          <w:sz w:val="24"/>
          <w:szCs w:val="24"/>
        </w:rPr>
      </w:pPr>
    </w:p>
    <w:p w:rsidR="002240B8" w:rsidRPr="009B6973" w:rsidRDefault="002240B8" w:rsidP="002240B8">
      <w:pPr>
        <w:pStyle w:val="Prrafodelista"/>
        <w:numPr>
          <w:ilvl w:val="0"/>
          <w:numId w:val="1"/>
        </w:numPr>
        <w:rPr>
          <w:rFonts w:ascii="Bookman Old Style" w:hAnsi="Bookman Old Style" w:cs="Arial"/>
          <w:b/>
          <w:sz w:val="24"/>
          <w:szCs w:val="24"/>
        </w:rPr>
      </w:pPr>
      <w:r w:rsidRPr="009B6973">
        <w:rPr>
          <w:rFonts w:ascii="Bookman Old Style" w:hAnsi="Bookman Old Style" w:cs="Arial"/>
          <w:b/>
          <w:sz w:val="24"/>
          <w:szCs w:val="24"/>
        </w:rPr>
        <w:t>RAZONES Y FUNDAMENTOS DEL RECURSO DE REPOSICIÓN</w:t>
      </w:r>
    </w:p>
    <w:p w:rsidR="002240B8" w:rsidRDefault="002240B8" w:rsidP="002240B8">
      <w:pPr>
        <w:ind w:left="0"/>
        <w:jc w:val="both"/>
        <w:rPr>
          <w:rFonts w:ascii="Bookman Old Style" w:hAnsi="Bookman Old Style"/>
        </w:rPr>
      </w:pPr>
    </w:p>
    <w:p w:rsidR="002240B8" w:rsidRPr="006D6A3A" w:rsidRDefault="002240B8" w:rsidP="002240B8">
      <w:pPr>
        <w:ind w:left="0"/>
        <w:jc w:val="both"/>
        <w:rPr>
          <w:rFonts w:ascii="Bookman Old Style" w:hAnsi="Bookman Old Style" w:cs="Arial"/>
          <w:i/>
          <w:lang w:val="es-CO"/>
        </w:rPr>
      </w:pPr>
      <w:r w:rsidRPr="006D6A3A">
        <w:rPr>
          <w:rFonts w:ascii="Bookman Old Style" w:hAnsi="Bookman Old Style" w:cs="Arial"/>
          <w:i/>
          <w:lang w:val="es-CO"/>
        </w:rPr>
        <w:t>Los fundamentos del recurrente se exponen a continuación:</w:t>
      </w:r>
    </w:p>
    <w:p w:rsidR="002240B8" w:rsidRPr="006D6A3A" w:rsidRDefault="002240B8" w:rsidP="002240B8">
      <w:pPr>
        <w:ind w:left="170"/>
        <w:jc w:val="both"/>
        <w:rPr>
          <w:rFonts w:ascii="Bookman Old Style" w:hAnsi="Bookman Old Style" w:cs="Arial"/>
          <w:i/>
          <w:lang w:val="es-CO"/>
        </w:rPr>
      </w:pPr>
    </w:p>
    <w:p w:rsidR="002240B8" w:rsidRPr="006D6A3A" w:rsidRDefault="002240B8" w:rsidP="002240B8">
      <w:pPr>
        <w:ind w:left="170"/>
        <w:jc w:val="both"/>
        <w:rPr>
          <w:rFonts w:ascii="Bookman Old Style" w:hAnsi="Bookman Old Style" w:cs="Arial"/>
          <w:i/>
          <w:lang w:val="es-CO"/>
        </w:rPr>
      </w:pPr>
      <w:r w:rsidRPr="006D6A3A">
        <w:rPr>
          <w:rFonts w:ascii="Bookman Old Style" w:hAnsi="Bookman Old Style" w:cs="Arial"/>
          <w:i/>
          <w:lang w:val="es-CO"/>
        </w:rPr>
        <w:t>Argumenta el recurrente que:</w:t>
      </w:r>
    </w:p>
    <w:p w:rsidR="002240B8" w:rsidRPr="006D6A3A" w:rsidRDefault="002240B8" w:rsidP="002240B8">
      <w:pPr>
        <w:ind w:left="0"/>
        <w:jc w:val="both"/>
        <w:rPr>
          <w:rFonts w:ascii="Bookman Old Style" w:hAnsi="Bookman Old Style" w:cs="Arial"/>
          <w:i/>
          <w:lang w:val="es-CO"/>
        </w:rPr>
      </w:pPr>
    </w:p>
    <w:p w:rsidR="006D6A3A" w:rsidRDefault="002240B8" w:rsidP="006D6A3A">
      <w:pPr>
        <w:pStyle w:val="Style11"/>
        <w:shd w:val="clear" w:color="auto" w:fill="auto"/>
        <w:spacing w:after="180"/>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w:t>
      </w:r>
      <w:r w:rsidR="00C17F78" w:rsidRPr="006D6A3A">
        <w:rPr>
          <w:rFonts w:ascii="Bookman Old Style" w:eastAsia="Times New Roman" w:hAnsi="Bookman Old Style"/>
          <w:i/>
          <w:sz w:val="24"/>
          <w:szCs w:val="24"/>
          <w:lang w:eastAsia="es-ES"/>
        </w:rPr>
        <w:t xml:space="preserve">En consecuencia, al realizar la revisión de la contribución que debe pagar XM y que fue liquidada por la CREG, encontramos que en la base gravable que se tomó para liquidar la </w:t>
      </w:r>
      <w:r w:rsidR="00C17F78" w:rsidRPr="006D6A3A">
        <w:rPr>
          <w:rFonts w:ascii="Bookman Old Style" w:eastAsia="Times New Roman" w:hAnsi="Bookman Old Style"/>
          <w:b/>
          <w:bCs/>
          <w:i/>
          <w:sz w:val="24"/>
          <w:szCs w:val="24"/>
          <w:lang w:eastAsia="es-ES"/>
        </w:rPr>
        <w:t xml:space="preserve">contribución, </w:t>
      </w:r>
      <w:r w:rsidR="00C17F78" w:rsidRPr="006D6A3A">
        <w:rPr>
          <w:rFonts w:ascii="Bookman Old Style" w:eastAsia="Times New Roman" w:hAnsi="Bookman Old Style"/>
          <w:i/>
          <w:sz w:val="24"/>
          <w:szCs w:val="24"/>
          <w:lang w:eastAsia="es-ES"/>
        </w:rPr>
        <w:t xml:space="preserve">están incluidos los conceptos de: </w:t>
      </w:r>
      <w:r w:rsidR="00C17F78" w:rsidRPr="006D6A3A">
        <w:rPr>
          <w:rFonts w:ascii="Bookman Old Style" w:eastAsia="Times New Roman" w:hAnsi="Bookman Old Style"/>
          <w:i/>
          <w:iCs/>
          <w:sz w:val="24"/>
          <w:szCs w:val="24"/>
          <w:lang w:eastAsia="es-ES"/>
        </w:rPr>
        <w:t>“5304 Provisión para Deudores”, “5330 Depreciación de Propiedades, Planta y Equipo” y “5345 Amortización de Intangibles”,</w:t>
      </w:r>
      <w:r w:rsidR="00C17F78" w:rsidRPr="006D6A3A">
        <w:rPr>
          <w:rFonts w:ascii="Bookman Old Style" w:eastAsia="Times New Roman" w:hAnsi="Bookman Old Style"/>
          <w:b/>
          <w:bCs/>
          <w:i/>
          <w:sz w:val="24"/>
          <w:szCs w:val="24"/>
          <w:lang w:eastAsia="es-ES"/>
        </w:rPr>
        <w:t xml:space="preserve"> </w:t>
      </w:r>
      <w:r w:rsidR="00C17F78" w:rsidRPr="006D6A3A">
        <w:rPr>
          <w:rFonts w:ascii="Bookman Old Style" w:eastAsia="Times New Roman" w:hAnsi="Bookman Old Style"/>
          <w:i/>
          <w:sz w:val="24"/>
          <w:szCs w:val="24"/>
          <w:lang w:eastAsia="es-ES"/>
        </w:rPr>
        <w:t xml:space="preserve">los cuales no hacen parte de la base gravable para </w:t>
      </w:r>
      <w:r w:rsidR="00C17F78" w:rsidRPr="006D6A3A">
        <w:rPr>
          <w:rFonts w:ascii="Bookman Old Style" w:eastAsia="Times New Roman" w:hAnsi="Bookman Old Style"/>
          <w:bCs/>
          <w:i/>
          <w:sz w:val="24"/>
          <w:szCs w:val="24"/>
          <w:lang w:eastAsia="es-ES"/>
        </w:rPr>
        <w:t>liquidar</w:t>
      </w:r>
      <w:r w:rsidR="00C17F78" w:rsidRPr="006D6A3A">
        <w:rPr>
          <w:rFonts w:ascii="Bookman Old Style" w:eastAsia="Times New Roman" w:hAnsi="Bookman Old Style"/>
          <w:b/>
          <w:bCs/>
          <w:i/>
          <w:sz w:val="24"/>
          <w:szCs w:val="24"/>
          <w:lang w:eastAsia="es-ES"/>
        </w:rPr>
        <w:t xml:space="preserve"> </w:t>
      </w:r>
      <w:r w:rsidR="00C17F78" w:rsidRPr="006D6A3A">
        <w:rPr>
          <w:rFonts w:ascii="Bookman Old Style" w:eastAsia="Times New Roman" w:hAnsi="Bookman Old Style"/>
          <w:i/>
          <w:sz w:val="24"/>
          <w:szCs w:val="24"/>
          <w:lang w:eastAsia="es-ES"/>
        </w:rPr>
        <w:t>la contribución a cargo de las entidades del sector eléctrico sujetas a regulación.</w:t>
      </w:r>
    </w:p>
    <w:p w:rsidR="00C17F78" w:rsidRPr="006D6A3A" w:rsidRDefault="00C17F78" w:rsidP="006D6A3A">
      <w:pPr>
        <w:pStyle w:val="Style11"/>
        <w:shd w:val="clear" w:color="auto" w:fill="auto"/>
        <w:spacing w:after="180"/>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 xml:space="preserve">En ese orden de ideas, solicitaremos revocar la liquidación de la contribución que debe pagar XM para el año 2016, por cuanto en el renglón </w:t>
      </w:r>
      <w:r w:rsidRPr="006D6A3A">
        <w:rPr>
          <w:rFonts w:ascii="Bookman Old Style" w:eastAsia="Times New Roman" w:hAnsi="Bookman Old Style"/>
          <w:i/>
          <w:iCs/>
          <w:sz w:val="24"/>
          <w:szCs w:val="24"/>
          <w:lang w:eastAsia="es-ES"/>
        </w:rPr>
        <w:t>“Gastos de administración sin impuestos, tasas, contribuciones e impuesto de renta”,</w:t>
      </w:r>
      <w:r w:rsidRPr="006D6A3A">
        <w:rPr>
          <w:rFonts w:ascii="Bookman Old Style" w:eastAsia="Times New Roman" w:hAnsi="Bookman Old Style"/>
          <w:b/>
          <w:bCs/>
          <w:i/>
          <w:sz w:val="24"/>
          <w:szCs w:val="24"/>
          <w:lang w:eastAsia="es-ES"/>
        </w:rPr>
        <w:t xml:space="preserve"> </w:t>
      </w:r>
      <w:r w:rsidRPr="006D6A3A">
        <w:rPr>
          <w:rFonts w:ascii="Bookman Old Style" w:eastAsia="Times New Roman" w:hAnsi="Bookman Old Style"/>
          <w:i/>
          <w:sz w:val="24"/>
          <w:szCs w:val="24"/>
          <w:lang w:eastAsia="es-ES"/>
        </w:rPr>
        <w:t xml:space="preserve">que fue reportado en el Formato Complementario FC 01 por valor de $31.603.509.000, se incluyó un valor de $2.655.799.972, correspondiente a los conceptos de </w:t>
      </w:r>
      <w:r w:rsidRPr="006D6A3A">
        <w:rPr>
          <w:rFonts w:ascii="Bookman Old Style" w:eastAsia="Times New Roman" w:hAnsi="Bookman Old Style"/>
          <w:i/>
          <w:iCs/>
          <w:sz w:val="24"/>
          <w:szCs w:val="24"/>
          <w:lang w:eastAsia="es-ES"/>
        </w:rPr>
        <w:t>“5304 Provisión para Deudores", “5330 Depreciación de Propiedades, Planta y Equipo” y “5345 Amortización de Intangibles”,</w:t>
      </w:r>
      <w:r w:rsidRPr="006D6A3A">
        <w:rPr>
          <w:rFonts w:ascii="Bookman Old Style" w:eastAsia="Times New Roman" w:hAnsi="Bookman Old Style"/>
          <w:b/>
          <w:bCs/>
          <w:i/>
          <w:sz w:val="24"/>
          <w:szCs w:val="24"/>
          <w:lang w:eastAsia="es-ES"/>
        </w:rPr>
        <w:t xml:space="preserve"> </w:t>
      </w:r>
      <w:r w:rsidRPr="006D6A3A">
        <w:rPr>
          <w:rFonts w:ascii="Bookman Old Style" w:eastAsia="Times New Roman" w:hAnsi="Bookman Old Style"/>
          <w:i/>
          <w:sz w:val="24"/>
          <w:szCs w:val="24"/>
          <w:lang w:eastAsia="es-ES"/>
        </w:rPr>
        <w:t>valor que debe ser excluido del concepto de gastos, lo cual genera una disminución de la base gravable para determinar el valor de la contribución a cargo de XM; tal como se ilustra así:</w:t>
      </w:r>
    </w:p>
    <w:tbl>
      <w:tblPr>
        <w:tblW w:w="0" w:type="auto"/>
        <w:jc w:val="center"/>
        <w:tblLayout w:type="fixed"/>
        <w:tblCellMar>
          <w:left w:w="0" w:type="dxa"/>
          <w:right w:w="0" w:type="dxa"/>
        </w:tblCellMar>
        <w:tblLook w:val="0000" w:firstRow="0" w:lastRow="0" w:firstColumn="0" w:lastColumn="0" w:noHBand="0" w:noVBand="0"/>
      </w:tblPr>
      <w:tblGrid>
        <w:gridCol w:w="4934"/>
        <w:gridCol w:w="3019"/>
      </w:tblGrid>
      <w:tr w:rsidR="00C17F78" w:rsidRPr="006D6A3A" w:rsidTr="006D6A3A">
        <w:trPr>
          <w:trHeight w:hRule="exact" w:val="719"/>
          <w:jc w:val="center"/>
        </w:trPr>
        <w:tc>
          <w:tcPr>
            <w:tcW w:w="4934" w:type="dxa"/>
            <w:tcBorders>
              <w:top w:val="single" w:sz="4" w:space="0" w:color="auto"/>
              <w:left w:val="single" w:sz="4" w:space="0" w:color="auto"/>
              <w:bottom w:val="nil"/>
              <w:right w:val="nil"/>
            </w:tcBorders>
            <w:shd w:val="clear" w:color="auto" w:fill="FFFFFF"/>
            <w:vAlign w:val="bottom"/>
          </w:tcPr>
          <w:p w:rsidR="00C17F78" w:rsidRPr="006D6A3A" w:rsidRDefault="00C17F78" w:rsidP="005F7293">
            <w:pPr>
              <w:pStyle w:val="Style11"/>
              <w:framePr w:w="7954" w:wrap="notBeside" w:vAnchor="text" w:hAnchor="text" w:xAlign="center" w:y="1"/>
              <w:shd w:val="clear" w:color="auto" w:fill="auto"/>
              <w:spacing w:line="240" w:lineRule="exact"/>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Gastos de Administración sin impuestos, tasas, contribuciones e impuesto de renta</w:t>
            </w:r>
          </w:p>
        </w:tc>
        <w:tc>
          <w:tcPr>
            <w:tcW w:w="3019" w:type="dxa"/>
            <w:tcBorders>
              <w:top w:val="single" w:sz="4" w:space="0" w:color="auto"/>
              <w:left w:val="single" w:sz="4" w:space="0" w:color="auto"/>
              <w:bottom w:val="nil"/>
              <w:right w:val="single" w:sz="4" w:space="0" w:color="auto"/>
            </w:tcBorders>
            <w:shd w:val="clear" w:color="auto" w:fill="FFFFFF"/>
          </w:tcPr>
          <w:p w:rsidR="00C17F78" w:rsidRPr="006D6A3A" w:rsidRDefault="00C17F78" w:rsidP="005F7293">
            <w:pPr>
              <w:pStyle w:val="Style11"/>
              <w:framePr w:w="7954" w:wrap="notBeside" w:vAnchor="text" w:hAnchor="text" w:xAlign="center" w:y="1"/>
              <w:shd w:val="clear" w:color="auto" w:fill="auto"/>
              <w:spacing w:line="190" w:lineRule="exact"/>
              <w:ind w:firstLine="0"/>
              <w:jc w:val="center"/>
              <w:rPr>
                <w:rFonts w:ascii="Bookman Old Style" w:eastAsia="Times New Roman" w:hAnsi="Bookman Old Style"/>
                <w:i/>
                <w:sz w:val="24"/>
                <w:szCs w:val="24"/>
                <w:lang w:eastAsia="es-ES"/>
              </w:rPr>
            </w:pPr>
            <w:r w:rsidRPr="006D6A3A">
              <w:rPr>
                <w:rFonts w:ascii="Bookman Old Style" w:eastAsia="Times New Roman" w:hAnsi="Bookman Old Style"/>
                <w:b/>
                <w:bCs/>
                <w:i/>
                <w:sz w:val="24"/>
                <w:szCs w:val="24"/>
                <w:lang w:eastAsia="es-ES"/>
              </w:rPr>
              <w:t>$31.603.509.000</w:t>
            </w:r>
          </w:p>
        </w:tc>
      </w:tr>
      <w:tr w:rsidR="00C17F78" w:rsidRPr="006D6A3A" w:rsidTr="006D6A3A">
        <w:trPr>
          <w:trHeight w:hRule="exact" w:val="2140"/>
          <w:jc w:val="center"/>
        </w:trPr>
        <w:tc>
          <w:tcPr>
            <w:tcW w:w="4934" w:type="dxa"/>
            <w:tcBorders>
              <w:top w:val="single" w:sz="4" w:space="0" w:color="auto"/>
              <w:left w:val="single" w:sz="4" w:space="0" w:color="auto"/>
              <w:bottom w:val="nil"/>
              <w:right w:val="nil"/>
            </w:tcBorders>
            <w:shd w:val="clear" w:color="auto" w:fill="FFFFFF"/>
            <w:vAlign w:val="center"/>
          </w:tcPr>
          <w:p w:rsidR="00C17F78" w:rsidRPr="006D6A3A" w:rsidRDefault="00C17F78" w:rsidP="005F7293">
            <w:pPr>
              <w:pStyle w:val="Style11"/>
              <w:framePr w:w="7954" w:wrap="notBeside" w:vAnchor="text" w:hAnchor="text" w:xAlign="center" w:y="1"/>
              <w:shd w:val="clear" w:color="auto" w:fill="auto"/>
              <w:spacing w:after="120" w:line="190" w:lineRule="exact"/>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Menos:</w:t>
            </w:r>
          </w:p>
          <w:p w:rsidR="00C17F78" w:rsidRPr="006D6A3A" w:rsidRDefault="00C17F78" w:rsidP="005F7293">
            <w:pPr>
              <w:pStyle w:val="Style11"/>
              <w:framePr w:w="7954" w:wrap="notBeside" w:vAnchor="text" w:hAnchor="text" w:xAlign="center" w:y="1"/>
              <w:shd w:val="clear" w:color="auto" w:fill="auto"/>
              <w:spacing w:before="120" w:after="120" w:line="190" w:lineRule="exact"/>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5304 Provisión para Deudores</w:t>
            </w:r>
          </w:p>
          <w:p w:rsidR="00C17F78" w:rsidRPr="006D6A3A" w:rsidRDefault="00C17F78" w:rsidP="005F7293">
            <w:pPr>
              <w:pStyle w:val="Style11"/>
              <w:framePr w:w="7954" w:wrap="notBeside" w:vAnchor="text" w:hAnchor="text" w:xAlign="center" w:y="1"/>
              <w:shd w:val="clear" w:color="auto" w:fill="auto"/>
              <w:spacing w:before="120" w:after="120" w:line="240" w:lineRule="exact"/>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b/>
                <w:bCs/>
                <w:i/>
                <w:sz w:val="24"/>
                <w:szCs w:val="24"/>
                <w:lang w:eastAsia="es-ES"/>
              </w:rPr>
              <w:t xml:space="preserve">5330 </w:t>
            </w:r>
            <w:r w:rsidRPr="006D6A3A">
              <w:rPr>
                <w:rFonts w:ascii="Bookman Old Style" w:eastAsia="Times New Roman" w:hAnsi="Bookman Old Style"/>
                <w:i/>
                <w:sz w:val="24"/>
                <w:szCs w:val="24"/>
                <w:lang w:eastAsia="es-ES"/>
              </w:rPr>
              <w:t>Depreciación de Propiedades, Planta y Equipo</w:t>
            </w:r>
          </w:p>
          <w:p w:rsidR="00C17F78" w:rsidRPr="006D6A3A" w:rsidRDefault="00C17F78" w:rsidP="005F7293">
            <w:pPr>
              <w:pStyle w:val="Style11"/>
              <w:framePr w:w="7954" w:wrap="notBeside" w:vAnchor="text" w:hAnchor="text" w:xAlign="center" w:y="1"/>
              <w:shd w:val="clear" w:color="auto" w:fill="auto"/>
              <w:spacing w:before="120" w:line="190" w:lineRule="exact"/>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5345 Amortización de Intangibles</w:t>
            </w:r>
          </w:p>
        </w:tc>
        <w:tc>
          <w:tcPr>
            <w:tcW w:w="3019" w:type="dxa"/>
            <w:tcBorders>
              <w:top w:val="single" w:sz="4" w:space="0" w:color="auto"/>
              <w:left w:val="single" w:sz="4" w:space="0" w:color="auto"/>
              <w:bottom w:val="nil"/>
              <w:right w:val="single" w:sz="4" w:space="0" w:color="auto"/>
            </w:tcBorders>
            <w:shd w:val="clear" w:color="auto" w:fill="FFFFFF"/>
            <w:vAlign w:val="center"/>
          </w:tcPr>
          <w:p w:rsidR="00C17F78" w:rsidRPr="006D6A3A" w:rsidRDefault="00C17F78" w:rsidP="005F7293">
            <w:pPr>
              <w:pStyle w:val="Style11"/>
              <w:framePr w:w="7954" w:wrap="notBeside" w:vAnchor="text" w:hAnchor="text" w:xAlign="center" w:y="1"/>
              <w:shd w:val="clear" w:color="auto" w:fill="auto"/>
              <w:spacing w:line="190" w:lineRule="exact"/>
              <w:ind w:firstLine="0"/>
              <w:jc w:val="center"/>
              <w:rPr>
                <w:rFonts w:ascii="Bookman Old Style" w:eastAsia="Times New Roman" w:hAnsi="Bookman Old Style"/>
                <w:i/>
                <w:sz w:val="24"/>
                <w:szCs w:val="24"/>
                <w:lang w:eastAsia="es-ES"/>
              </w:rPr>
            </w:pPr>
            <w:r w:rsidRPr="006D6A3A">
              <w:rPr>
                <w:rFonts w:ascii="Bookman Old Style" w:eastAsia="Times New Roman" w:hAnsi="Bookman Old Style"/>
                <w:b/>
                <w:bCs/>
                <w:i/>
                <w:sz w:val="24"/>
                <w:szCs w:val="24"/>
                <w:lang w:eastAsia="es-ES"/>
              </w:rPr>
              <w:t>($2.655.799.972)</w:t>
            </w:r>
          </w:p>
        </w:tc>
      </w:tr>
      <w:tr w:rsidR="00C17F78" w:rsidRPr="006D6A3A" w:rsidTr="005F7293">
        <w:trPr>
          <w:trHeight w:hRule="exact" w:val="490"/>
          <w:jc w:val="center"/>
        </w:trPr>
        <w:tc>
          <w:tcPr>
            <w:tcW w:w="4934" w:type="dxa"/>
            <w:tcBorders>
              <w:top w:val="single" w:sz="4" w:space="0" w:color="auto"/>
              <w:left w:val="single" w:sz="4" w:space="0" w:color="auto"/>
              <w:bottom w:val="single" w:sz="4" w:space="0" w:color="auto"/>
              <w:right w:val="nil"/>
            </w:tcBorders>
            <w:shd w:val="clear" w:color="auto" w:fill="FFFFFF"/>
            <w:vAlign w:val="center"/>
          </w:tcPr>
          <w:p w:rsidR="00C17F78" w:rsidRPr="006D6A3A" w:rsidRDefault="00C17F78" w:rsidP="005F7293">
            <w:pPr>
              <w:pStyle w:val="Style11"/>
              <w:framePr w:w="7954" w:wrap="notBeside" w:vAnchor="text" w:hAnchor="text" w:xAlign="center" w:y="1"/>
              <w:shd w:val="clear" w:color="auto" w:fill="auto"/>
              <w:spacing w:line="190" w:lineRule="exact"/>
              <w:ind w:firstLine="0"/>
              <w:jc w:val="both"/>
              <w:rPr>
                <w:rFonts w:ascii="Bookman Old Style" w:eastAsia="Times New Roman" w:hAnsi="Bookman Old Style"/>
                <w:i/>
                <w:sz w:val="24"/>
                <w:szCs w:val="24"/>
                <w:lang w:eastAsia="es-ES"/>
              </w:rPr>
            </w:pPr>
            <w:r w:rsidRPr="006D6A3A">
              <w:rPr>
                <w:rFonts w:ascii="Bookman Old Style" w:eastAsia="Times New Roman" w:hAnsi="Bookman Old Style"/>
                <w:b/>
                <w:bCs/>
                <w:i/>
                <w:sz w:val="24"/>
                <w:szCs w:val="24"/>
                <w:lang w:eastAsia="es-ES"/>
              </w:rPr>
              <w:t>Valor nueva base gravable</w:t>
            </w:r>
          </w:p>
        </w:tc>
        <w:tc>
          <w:tcPr>
            <w:tcW w:w="3019" w:type="dxa"/>
            <w:tcBorders>
              <w:top w:val="single" w:sz="4" w:space="0" w:color="auto"/>
              <w:left w:val="single" w:sz="4" w:space="0" w:color="auto"/>
              <w:bottom w:val="single" w:sz="4" w:space="0" w:color="auto"/>
              <w:right w:val="single" w:sz="4" w:space="0" w:color="auto"/>
            </w:tcBorders>
            <w:shd w:val="clear" w:color="auto" w:fill="FFFFFF"/>
            <w:vAlign w:val="center"/>
          </w:tcPr>
          <w:p w:rsidR="00C17F78" w:rsidRPr="006D6A3A" w:rsidRDefault="00C17F78" w:rsidP="005F7293">
            <w:pPr>
              <w:pStyle w:val="Style11"/>
              <w:framePr w:w="7954" w:wrap="notBeside" w:vAnchor="text" w:hAnchor="text" w:xAlign="center" w:y="1"/>
              <w:shd w:val="clear" w:color="auto" w:fill="auto"/>
              <w:spacing w:line="190" w:lineRule="exact"/>
              <w:ind w:firstLine="0"/>
              <w:jc w:val="center"/>
              <w:rPr>
                <w:rFonts w:ascii="Bookman Old Style" w:eastAsia="Times New Roman" w:hAnsi="Bookman Old Style"/>
                <w:i/>
                <w:sz w:val="24"/>
                <w:szCs w:val="24"/>
                <w:lang w:eastAsia="es-ES"/>
              </w:rPr>
            </w:pPr>
            <w:r w:rsidRPr="006D6A3A">
              <w:rPr>
                <w:rFonts w:ascii="Bookman Old Style" w:eastAsia="Times New Roman" w:hAnsi="Bookman Old Style"/>
                <w:b/>
                <w:bCs/>
                <w:i/>
                <w:sz w:val="24"/>
                <w:szCs w:val="24"/>
                <w:lang w:eastAsia="es-ES"/>
              </w:rPr>
              <w:t>$28,947,709,028</w:t>
            </w:r>
          </w:p>
        </w:tc>
      </w:tr>
    </w:tbl>
    <w:p w:rsidR="00C17F78" w:rsidRPr="006D6A3A" w:rsidRDefault="00C17F78" w:rsidP="00C17F78">
      <w:pPr>
        <w:rPr>
          <w:rFonts w:ascii="Bookman Old Style" w:hAnsi="Bookman Old Style" w:cs="Arial"/>
          <w:i/>
          <w:lang w:val="es-CO"/>
        </w:rPr>
      </w:pPr>
    </w:p>
    <w:p w:rsidR="00C17F78" w:rsidRPr="006D6A3A" w:rsidRDefault="00C17F78" w:rsidP="00C17F78">
      <w:pPr>
        <w:pStyle w:val="Style11"/>
        <w:shd w:val="clear" w:color="auto" w:fill="auto"/>
        <w:spacing w:before="147" w:after="188" w:line="245" w:lineRule="exact"/>
        <w:ind w:left="40" w:right="40"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Al realizar el ajuste indicado a la base gravable, en consecuencia, se disminuye el valor de la contribución a cargo de XM para el año 2016.</w:t>
      </w:r>
    </w:p>
    <w:p w:rsidR="00C17F78" w:rsidRPr="006D6A3A" w:rsidRDefault="00C17F78" w:rsidP="00C17F78">
      <w:pPr>
        <w:pStyle w:val="Style11"/>
        <w:shd w:val="clear" w:color="auto" w:fill="auto"/>
        <w:spacing w:after="180"/>
        <w:ind w:left="40" w:right="40"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 xml:space="preserve">XM una vez la Superintendencia de Servicios Públicos Domiciliarios - SSPD - le liquidó la contribución especial del año 2016, encontró que en la información reportada en el formato FC-01 Costos y Gastos de Servicios Públicos, disponible en el SUI, se incluyeron los conceptos </w:t>
      </w:r>
      <w:r w:rsidRPr="006D6A3A">
        <w:rPr>
          <w:rFonts w:ascii="Bookman Old Style" w:eastAsia="Times New Roman" w:hAnsi="Bookman Old Style"/>
          <w:i/>
          <w:iCs/>
          <w:sz w:val="24"/>
          <w:szCs w:val="24"/>
          <w:lang w:eastAsia="es-ES"/>
        </w:rPr>
        <w:t xml:space="preserve">"5304 Provisión para Deudores”, “5330 Depreciación de Propiedades, Planta y Equipo” y “5345 Amortización de Intangibles”, </w:t>
      </w:r>
      <w:r w:rsidRPr="006D6A3A">
        <w:rPr>
          <w:rFonts w:ascii="Bookman Old Style" w:eastAsia="Times New Roman" w:hAnsi="Bookman Old Style"/>
          <w:i/>
          <w:sz w:val="24"/>
          <w:szCs w:val="24"/>
          <w:lang w:eastAsia="es-ES"/>
        </w:rPr>
        <w:t>y el día 16 de septiembre de 2016 mediante Recurso de Reposición solicitó a la SSPD, revocar la liquidación oficial del año 2016 a cargo de XM y la modificación de la información reportada para el cálculo de la base, con el fin de que se excluyeran los valores indicados y en consecuencia disminuir la base para la liquidación de la contribución.</w:t>
      </w:r>
    </w:p>
    <w:p w:rsidR="00C17F78" w:rsidRPr="006D6A3A" w:rsidRDefault="00C17F78" w:rsidP="00C17F78">
      <w:pPr>
        <w:pStyle w:val="Style11"/>
        <w:shd w:val="clear" w:color="auto" w:fill="auto"/>
        <w:spacing w:after="180"/>
        <w:ind w:left="40" w:right="40"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 xml:space="preserve">La SSPD accedió a la petición y resolvió en forma favorable a XM, el recurso de reposición y el de apelación, disminuyendo de la base gravable de la liquidación oficial del año 2016 los conceptos </w:t>
      </w:r>
      <w:r w:rsidRPr="006D6A3A">
        <w:rPr>
          <w:rFonts w:ascii="Bookman Old Style" w:eastAsia="Times New Roman" w:hAnsi="Bookman Old Style"/>
          <w:i/>
          <w:iCs/>
          <w:sz w:val="24"/>
          <w:szCs w:val="24"/>
          <w:lang w:eastAsia="es-ES"/>
        </w:rPr>
        <w:t>“5304 Provisión para Deudores", “5330 Depreciación de Propiedades, Planta</w:t>
      </w:r>
      <w:r w:rsidRPr="006D6A3A">
        <w:rPr>
          <w:rFonts w:ascii="Bookman Old Style" w:eastAsia="Times New Roman" w:hAnsi="Bookman Old Style"/>
          <w:b/>
          <w:bCs/>
          <w:i/>
          <w:sz w:val="24"/>
          <w:szCs w:val="24"/>
          <w:lang w:eastAsia="es-ES"/>
        </w:rPr>
        <w:t xml:space="preserve"> </w:t>
      </w:r>
      <w:r w:rsidRPr="006D6A3A">
        <w:rPr>
          <w:rFonts w:ascii="Bookman Old Style" w:eastAsia="Times New Roman" w:hAnsi="Bookman Old Style"/>
          <w:i/>
          <w:sz w:val="24"/>
          <w:szCs w:val="24"/>
          <w:lang w:eastAsia="es-ES"/>
        </w:rPr>
        <w:t xml:space="preserve">y </w:t>
      </w:r>
      <w:r w:rsidRPr="006D6A3A">
        <w:rPr>
          <w:rFonts w:ascii="Bookman Old Style" w:eastAsia="Times New Roman" w:hAnsi="Bookman Old Style"/>
          <w:i/>
          <w:iCs/>
          <w:sz w:val="24"/>
          <w:szCs w:val="24"/>
          <w:lang w:eastAsia="es-ES"/>
        </w:rPr>
        <w:t>Equipo" y “5345 Amortización de Intangibles”,</w:t>
      </w:r>
      <w:r w:rsidRPr="006D6A3A">
        <w:rPr>
          <w:rFonts w:ascii="Bookman Old Style" w:eastAsia="Times New Roman" w:hAnsi="Bookman Old Style"/>
          <w:b/>
          <w:bCs/>
          <w:i/>
          <w:sz w:val="24"/>
          <w:szCs w:val="24"/>
          <w:lang w:eastAsia="es-ES"/>
        </w:rPr>
        <w:t xml:space="preserve"> </w:t>
      </w:r>
      <w:r w:rsidRPr="006D6A3A">
        <w:rPr>
          <w:rFonts w:ascii="Bookman Old Style" w:eastAsia="Times New Roman" w:hAnsi="Bookman Old Style"/>
          <w:i/>
          <w:sz w:val="24"/>
          <w:szCs w:val="24"/>
          <w:lang w:eastAsia="es-ES"/>
        </w:rPr>
        <w:t xml:space="preserve">y en consecuencia disminuyó el valor de la contribución para el 2016. Lo anterior mediante </w:t>
      </w:r>
      <w:r w:rsidRPr="00360C47">
        <w:rPr>
          <w:rFonts w:ascii="Bookman Old Style" w:eastAsia="Times New Roman" w:hAnsi="Bookman Old Style"/>
          <w:bCs/>
          <w:i/>
          <w:sz w:val="24"/>
          <w:szCs w:val="24"/>
          <w:lang w:eastAsia="es-ES"/>
        </w:rPr>
        <w:t>las Resoluciones N° SSPD -20165300058645 del 3 de octubre de 2016 y SSPD</w:t>
      </w:r>
      <w:r w:rsidRPr="006D6A3A">
        <w:rPr>
          <w:rFonts w:ascii="Bookman Old Style" w:eastAsia="Times New Roman" w:hAnsi="Bookman Old Style"/>
          <w:b/>
          <w:bCs/>
          <w:i/>
          <w:sz w:val="24"/>
          <w:szCs w:val="24"/>
          <w:lang w:eastAsia="es-ES"/>
        </w:rPr>
        <w:t xml:space="preserve"> - </w:t>
      </w:r>
      <w:r w:rsidRPr="006D6A3A">
        <w:rPr>
          <w:rFonts w:ascii="Bookman Old Style" w:eastAsia="Times New Roman" w:hAnsi="Bookman Old Style"/>
          <w:i/>
          <w:sz w:val="24"/>
          <w:szCs w:val="24"/>
          <w:lang w:eastAsia="es-ES"/>
        </w:rPr>
        <w:t>20165000061035 del 28 de octubre de 2016, las cuales se anexan</w:t>
      </w:r>
      <w:r w:rsidR="006D6A3A" w:rsidRPr="006D6A3A">
        <w:rPr>
          <w:rFonts w:ascii="Bookman Old Style" w:eastAsia="Times New Roman" w:hAnsi="Bookman Old Style"/>
          <w:i/>
          <w:sz w:val="24"/>
          <w:szCs w:val="24"/>
          <w:lang w:eastAsia="es-ES"/>
        </w:rPr>
        <w:t>.</w:t>
      </w:r>
    </w:p>
    <w:p w:rsidR="006D6A3A" w:rsidRDefault="006D6A3A" w:rsidP="006D6A3A">
      <w:pPr>
        <w:ind w:left="0"/>
        <w:jc w:val="both"/>
        <w:rPr>
          <w:rFonts w:ascii="Bookman Old Style" w:hAnsi="Bookman Old Style"/>
          <w:lang w:val="es-CO"/>
        </w:rPr>
      </w:pPr>
      <w:r>
        <w:rPr>
          <w:rFonts w:ascii="Bookman Old Style" w:hAnsi="Bookman Old Style"/>
          <w:lang w:val="es-CO"/>
        </w:rPr>
        <w:t>Igualmente manifestó el recurrente que:</w:t>
      </w:r>
    </w:p>
    <w:p w:rsidR="006D6A3A" w:rsidRDefault="006D6A3A" w:rsidP="006D6A3A">
      <w:pPr>
        <w:ind w:left="0"/>
        <w:jc w:val="both"/>
        <w:rPr>
          <w:rFonts w:ascii="Bookman Old Style" w:hAnsi="Bookman Old Style"/>
          <w:lang w:val="es-CO"/>
        </w:rPr>
      </w:pPr>
    </w:p>
    <w:p w:rsidR="006D6A3A" w:rsidRDefault="006D6A3A" w:rsidP="006D6A3A">
      <w:pPr>
        <w:ind w:left="0"/>
        <w:jc w:val="both"/>
        <w:rPr>
          <w:rFonts w:ascii="Bookman Old Style" w:hAnsi="Bookman Old Style"/>
          <w:i/>
          <w:iCs/>
        </w:rPr>
      </w:pPr>
      <w:r w:rsidRPr="006D6A3A">
        <w:rPr>
          <w:rFonts w:ascii="Bookman Old Style" w:hAnsi="Bookman Old Style"/>
          <w:i/>
        </w:rPr>
        <w:t xml:space="preserve">“….El valor liquidado por la CREG, para la contribución de XM S.A. E.S.P. fue de $262.103.702 el cual es un valor superior a la liquidación realizada de acuerdo con los criterios para establecerla, de tal forma que se solicita que se revise nuevamente la base de la liquidación y se excluyan los valores correspondientes a </w:t>
      </w:r>
      <w:r w:rsidRPr="006D6A3A">
        <w:rPr>
          <w:rFonts w:ascii="Bookman Old Style" w:hAnsi="Bookman Old Style"/>
          <w:i/>
          <w:iCs/>
        </w:rPr>
        <w:t>“5304 Provisión para Deudores", "5330 Depreciación de Propiedades, Planta y Equipo” y “5345 Amortización de intangibles”.</w:t>
      </w:r>
    </w:p>
    <w:p w:rsidR="006D6A3A" w:rsidRPr="006D6A3A" w:rsidRDefault="006D6A3A" w:rsidP="006D6A3A">
      <w:pPr>
        <w:ind w:left="0"/>
        <w:jc w:val="both"/>
        <w:rPr>
          <w:rFonts w:ascii="Bookman Old Style" w:hAnsi="Bookman Old Style"/>
          <w:i/>
        </w:rPr>
      </w:pPr>
    </w:p>
    <w:p w:rsidR="006D6A3A" w:rsidRPr="006D6A3A" w:rsidRDefault="006D6A3A" w:rsidP="006D6A3A">
      <w:pPr>
        <w:pStyle w:val="Style11"/>
        <w:shd w:val="clear" w:color="auto" w:fill="auto"/>
        <w:spacing w:after="216"/>
        <w:ind w:left="80" w:right="40" w:firstLine="0"/>
        <w:jc w:val="both"/>
        <w:rPr>
          <w:rFonts w:ascii="Bookman Old Style" w:eastAsia="Times New Roman" w:hAnsi="Bookman Old Style"/>
          <w:i/>
          <w:sz w:val="24"/>
          <w:szCs w:val="24"/>
          <w:lang w:eastAsia="es-ES"/>
        </w:rPr>
      </w:pPr>
      <w:r w:rsidRPr="006D6A3A">
        <w:rPr>
          <w:rFonts w:ascii="Bookman Old Style" w:eastAsia="Times New Roman" w:hAnsi="Bookman Old Style"/>
          <w:i/>
          <w:sz w:val="24"/>
          <w:szCs w:val="24"/>
          <w:lang w:eastAsia="es-ES"/>
        </w:rPr>
        <w:t xml:space="preserve">El objetivo de la norma contenida en el numeral 85.2. Del Artículo 85 de la Ley 142 de 1994, fue establecer como único parámetro de base gravable para calcular las contribuciones especiales de los entes sujetos a ella, los </w:t>
      </w:r>
      <w:r w:rsidRPr="006D6A3A">
        <w:rPr>
          <w:rFonts w:ascii="Bookman Old Style" w:eastAsia="Times New Roman" w:hAnsi="Bookman Old Style"/>
          <w:i/>
          <w:iCs/>
          <w:sz w:val="24"/>
          <w:szCs w:val="24"/>
          <w:lang w:eastAsia="es-ES"/>
        </w:rPr>
        <w:t xml:space="preserve">gastos de funcionamiento, </w:t>
      </w:r>
      <w:r w:rsidRPr="006D6A3A">
        <w:rPr>
          <w:rFonts w:ascii="Bookman Old Style" w:eastAsia="Times New Roman" w:hAnsi="Bookman Old Style"/>
          <w:i/>
          <w:sz w:val="24"/>
          <w:szCs w:val="24"/>
          <w:lang w:eastAsia="es-ES"/>
        </w:rPr>
        <w:t>por tal razón, incluir otros conceptos para la liquidación excede lo contenido en la norma y por lo tanto se estarían desbordando las facultades que la ley le otorgó para liquidar la contribución, en detrimento del patrimonio de las entidades del sector eléctrico sujetas a regulación.”</w:t>
      </w:r>
    </w:p>
    <w:p w:rsidR="002240B8" w:rsidRPr="009B6973" w:rsidRDefault="002240B8" w:rsidP="002240B8">
      <w:pPr>
        <w:ind w:left="0"/>
        <w:jc w:val="both"/>
        <w:rPr>
          <w:rFonts w:ascii="Bookman Old Style" w:hAnsi="Bookman Old Style"/>
        </w:rPr>
      </w:pPr>
    </w:p>
    <w:p w:rsidR="002240B8" w:rsidRPr="009B6973" w:rsidRDefault="002240B8" w:rsidP="002240B8">
      <w:pPr>
        <w:pStyle w:val="Prrafodelista"/>
        <w:numPr>
          <w:ilvl w:val="0"/>
          <w:numId w:val="2"/>
        </w:numPr>
        <w:jc w:val="both"/>
        <w:rPr>
          <w:rFonts w:ascii="Bookman Old Style" w:hAnsi="Bookman Old Style"/>
          <w:b/>
          <w:sz w:val="24"/>
          <w:szCs w:val="24"/>
        </w:rPr>
      </w:pPr>
      <w:r w:rsidRPr="009B6973">
        <w:rPr>
          <w:rFonts w:ascii="Bookman Old Style" w:hAnsi="Bookman Old Style"/>
          <w:b/>
          <w:sz w:val="24"/>
          <w:szCs w:val="24"/>
        </w:rPr>
        <w:t>CONSIDERACIONES DE LA CREG</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rPr>
      </w:pPr>
      <w:r w:rsidRPr="009B6973">
        <w:rPr>
          <w:rFonts w:ascii="Bookman Old Style" w:hAnsi="Bookman Old Style"/>
        </w:rPr>
        <w:t>De acuerdo con los argumentos del recurrente, estos se circunscriben a un aspecto fundamental:</w:t>
      </w:r>
    </w:p>
    <w:p w:rsidR="002240B8" w:rsidRPr="009B6973" w:rsidRDefault="002240B8" w:rsidP="002240B8">
      <w:pPr>
        <w:ind w:left="0"/>
        <w:jc w:val="both"/>
        <w:rPr>
          <w:rFonts w:ascii="Bookman Old Style" w:hAnsi="Bookman Old Style"/>
        </w:rPr>
      </w:pPr>
    </w:p>
    <w:p w:rsidR="002240B8" w:rsidRDefault="006D6A3A" w:rsidP="002240B8">
      <w:pPr>
        <w:ind w:left="0"/>
        <w:jc w:val="both"/>
        <w:rPr>
          <w:rFonts w:ascii="Bookman Old Style" w:hAnsi="Bookman Old Style"/>
          <w:i/>
        </w:rPr>
      </w:pPr>
      <w:r w:rsidRPr="006D6A3A">
        <w:rPr>
          <w:rFonts w:ascii="Bookman Old Style" w:hAnsi="Bookman Old Style"/>
          <w:i/>
        </w:rPr>
        <w:t>Se revoque parcialmente la Resolución CREG 188 del 15 de noviembre de 2016, notificada a XM Compañía dé Expertos en Mercados S.A. E.S.P. NIT N° 900.042.857-1, el día 30 de noviembre de 2016 y retirar de la base para el cálculo de la contribución para el año 2016 los valores de los rubros correspondientes a “5304 Provisión para Deudores”, “5330 Depreciación de Propiedades, Planta y</w:t>
      </w:r>
      <w:r>
        <w:rPr>
          <w:rFonts w:ascii="Bookman Old Style" w:hAnsi="Bookman Old Style"/>
          <w:i/>
        </w:rPr>
        <w:t xml:space="preserve"> </w:t>
      </w:r>
      <w:r w:rsidRPr="006D6A3A">
        <w:rPr>
          <w:rFonts w:ascii="Bookman Old Style" w:hAnsi="Bookman Old Style"/>
          <w:i/>
        </w:rPr>
        <w:t>Equipo"</w:t>
      </w:r>
      <w:r>
        <w:rPr>
          <w:rFonts w:ascii="Bookman Old Style" w:hAnsi="Bookman Old Style"/>
          <w:i/>
        </w:rPr>
        <w:t xml:space="preserve"> </w:t>
      </w:r>
      <w:r w:rsidRPr="006D6A3A">
        <w:rPr>
          <w:rFonts w:ascii="Bookman Old Style" w:hAnsi="Bookman Old Style"/>
          <w:i/>
        </w:rPr>
        <w:t>y “5345 Amortización de Intangibles”, por valor de $2.655.799.972 y tomar como base para liquidarla el valor de $28.947.709.028</w:t>
      </w:r>
      <w:r>
        <w:rPr>
          <w:rFonts w:ascii="Bookman Old Style" w:hAnsi="Bookman Old Style"/>
          <w:i/>
        </w:rPr>
        <w:t>.</w:t>
      </w:r>
    </w:p>
    <w:p w:rsidR="006D6A3A" w:rsidRPr="009B6973" w:rsidRDefault="006D6A3A"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rPr>
      </w:pPr>
      <w:r w:rsidRPr="009B6973">
        <w:rPr>
          <w:rFonts w:ascii="Bookman Old Style" w:hAnsi="Bookman Old Style"/>
        </w:rPr>
        <w:t>Para dilucidar el planteamiento del recurso de reposición, la Comisión de Regulación de Energía y Gas –CREG efectuará un análisis acerca de los requisitos de la contribución.</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rPr>
      </w:pPr>
      <w:r w:rsidRPr="009B6973">
        <w:rPr>
          <w:rFonts w:ascii="Bookman Old Style" w:hAnsi="Bookman Old Style"/>
        </w:rPr>
        <w:t>La contribución que se liquidó en el acto administrativo recurrido, fue establecida por la Ley 142 de 1992 “</w:t>
      </w:r>
      <w:r w:rsidRPr="00B072B2">
        <w:rPr>
          <w:rFonts w:ascii="Bookman Old Style" w:hAnsi="Bookman Old Style"/>
          <w:i/>
        </w:rPr>
        <w:t>Ley de servicios públicos domiciliarios</w:t>
      </w:r>
      <w:r w:rsidRPr="009B6973">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rPr>
      </w:pPr>
      <w:r>
        <w:rPr>
          <w:rFonts w:ascii="Bookman Old Style" w:hAnsi="Bookman Old Style"/>
        </w:rPr>
        <w:t>La c</w:t>
      </w:r>
      <w:r w:rsidRPr="009B6973">
        <w:rPr>
          <w:rFonts w:ascii="Bookman Old Style" w:hAnsi="Bookman Old Style"/>
        </w:rPr>
        <w:t>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rPr>
      </w:pPr>
      <w:r w:rsidRPr="009B6973">
        <w:rPr>
          <w:rFonts w:ascii="Bookman Old Style" w:hAnsi="Bookman Old Style"/>
        </w:rPr>
        <w:t>En este orden de ideas son sujetos pasivos de la contribución a favor de la CREG las entidades sometidas a su regulación control y vigilancia</w:t>
      </w:r>
      <w:r w:rsidRPr="009B6973">
        <w:rPr>
          <w:rStyle w:val="Refdenotaalpie"/>
          <w:rFonts w:ascii="Bookman Old Style" w:hAnsi="Bookman Old Style"/>
        </w:rPr>
        <w:footnoteReference w:id="1"/>
      </w:r>
      <w:r w:rsidRPr="009B6973">
        <w:rPr>
          <w:rFonts w:ascii="Bookman Old Style" w:hAnsi="Bookman Old Style"/>
        </w:rPr>
        <w:t xml:space="preserve">, </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cs="Arial"/>
          <w:bCs/>
        </w:rPr>
      </w:pPr>
      <w:r w:rsidRPr="009B6973">
        <w:rPr>
          <w:rFonts w:ascii="Bookman Old Style" w:hAnsi="Bookman Old Style" w:cs="Arial"/>
          <w:bCs/>
        </w:rPr>
        <w:t>La Comisión de Regulación de Energía y Gas- CREG-, para llevar a cabo la contribución especial se fundamentó en la información del Registro Único de Prestadores de Servicios Públicos –RUPS, encontrando que la</w:t>
      </w:r>
      <w:r>
        <w:rPr>
          <w:rFonts w:ascii="Bookman Old Style" w:hAnsi="Bookman Old Style" w:cs="Arial"/>
          <w:bCs/>
        </w:rPr>
        <w:t xml:space="preserve"> empresa</w:t>
      </w:r>
      <w:r w:rsidRPr="009B6973">
        <w:rPr>
          <w:rFonts w:ascii="Bookman Old Style" w:hAnsi="Bookman Old Style" w:cs="Arial"/>
          <w:bCs/>
        </w:rPr>
        <w:t xml:space="preserve"> </w:t>
      </w:r>
      <w:r>
        <w:rPr>
          <w:rFonts w:ascii="Bookman Old Style" w:hAnsi="Bookman Old Style"/>
          <w:bCs/>
        </w:rPr>
        <w:t>XM COMPAÑIA DE EXPERTOS EN MERCADOS S.A. E.S.P.</w:t>
      </w:r>
      <w:r w:rsidR="006D6A3A">
        <w:rPr>
          <w:rFonts w:ascii="Bookman Old Style" w:hAnsi="Bookman Old Style"/>
          <w:bCs/>
        </w:rPr>
        <w:t>,</w:t>
      </w:r>
      <w:r w:rsidRPr="009B6973">
        <w:rPr>
          <w:rFonts w:ascii="Bookman Old Style" w:hAnsi="Bookman Old Style"/>
          <w:bCs/>
        </w:rPr>
        <w:t xml:space="preserve"> desarrolla actividades objeto de regulación.</w:t>
      </w:r>
    </w:p>
    <w:p w:rsidR="002240B8" w:rsidRPr="009B6973" w:rsidRDefault="002240B8" w:rsidP="002240B8">
      <w:pPr>
        <w:pStyle w:val="NormalWeb"/>
        <w:spacing w:before="0" w:beforeAutospacing="0" w:after="0" w:afterAutospacing="0"/>
        <w:jc w:val="both"/>
        <w:rPr>
          <w:rFonts w:ascii="Bookman Old Style" w:hAnsi="Bookman Old Style" w:cs="Arial"/>
          <w:bCs/>
          <w:lang w:val="es-MX"/>
        </w:rPr>
      </w:pP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Igualmente es importante señalar lo siguiente:</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2240B8" w:rsidRPr="009B6973" w:rsidRDefault="002240B8" w:rsidP="002240B8">
      <w:pPr>
        <w:pStyle w:val="NormalWeb"/>
        <w:jc w:val="both"/>
        <w:rPr>
          <w:rFonts w:ascii="Bookman Old Style" w:hAnsi="Bookman Old Style" w:cs="Arial"/>
          <w:iCs/>
        </w:rPr>
      </w:pPr>
      <w:r w:rsidRPr="009B6973">
        <w:rPr>
          <w:rFonts w:ascii="Bookman Old Style" w:hAnsi="Bookman Old Style"/>
        </w:rPr>
        <w:t>IMPUESTOS: R</w:t>
      </w:r>
      <w:r w:rsidRPr="009B6973">
        <w:rPr>
          <w:rFonts w:ascii="Bookman Old Style" w:hAnsi="Bookman Old Style" w:cs="Arial"/>
          <w:iCs/>
        </w:rPr>
        <w:t>epresentan la obligación para el contribuyente de hacer un pago, sin que exista una retribución particular por parte del Estado.</w:t>
      </w: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 xml:space="preserve">TASAS: </w:t>
      </w:r>
      <w:r w:rsidRPr="009B6973">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ind w:left="0"/>
        <w:jc w:val="both"/>
        <w:rPr>
          <w:rFonts w:ascii="Bookman Old Style" w:hAnsi="Bookman Old Style" w:cs="Arial"/>
          <w:iCs/>
          <w:sz w:val="24"/>
          <w:szCs w:val="24"/>
        </w:rPr>
      </w:pPr>
      <w:r w:rsidRPr="009B6973">
        <w:rPr>
          <w:rFonts w:ascii="Bookman Old Style" w:hAnsi="Bookman Old Style"/>
          <w:sz w:val="24"/>
          <w:szCs w:val="24"/>
        </w:rPr>
        <w:t>CONTRIBUCIONES:</w:t>
      </w:r>
      <w:r w:rsidRPr="009B6973">
        <w:rPr>
          <w:rFonts w:ascii="Bookman Old Style" w:hAnsi="Bookman Old Style" w:cs="Arial"/>
          <w:iCs/>
          <w:sz w:val="24"/>
          <w:szCs w:val="24"/>
        </w:rPr>
        <w:t xml:space="preserve"> Todas las cargas fiscales al patrimonio particular, sustentadas en la potestad tributaria del Estado.</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 xml:space="preserve">CONTRIBUCIONES ESPECIALES: </w:t>
      </w:r>
      <w:r w:rsidRPr="009B6973">
        <w:rPr>
          <w:rFonts w:ascii="Bookman Old Style" w:hAnsi="Bookman Old Style" w:cs="Arial"/>
          <w:iCs/>
          <w:sz w:val="24"/>
          <w:szCs w:val="24"/>
        </w:rPr>
        <w:t>Es un pago por una inversión que beneficia a un grupo de personas.</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ind w:left="0"/>
        <w:jc w:val="both"/>
        <w:rPr>
          <w:rFonts w:ascii="Bookman Old Style" w:hAnsi="Bookman Old Style" w:cs="Arial"/>
          <w:lang w:eastAsia="es-CO"/>
        </w:rPr>
      </w:pPr>
      <w:r w:rsidRPr="009B6973">
        <w:rPr>
          <w:rFonts w:ascii="Bookman Old Style" w:hAnsi="Bookman Old Style" w:cs="Arial"/>
          <w:bCs/>
          <w:lang w:val="es-CO" w:eastAsia="es-CO"/>
        </w:rPr>
        <w:t>De acuerdo con la Teoría General del</w:t>
      </w:r>
      <w:r w:rsidRPr="009B6973">
        <w:rPr>
          <w:rFonts w:ascii="Bookman Old Style" w:hAnsi="Bookman Old Style" w:cs="Arial"/>
          <w:bCs/>
          <w:lang w:eastAsia="es-CO"/>
        </w:rPr>
        <w:t xml:space="preserve"> Acto Administrativo, e</w:t>
      </w:r>
      <w:r w:rsidRPr="009B6973">
        <w:rPr>
          <w:rFonts w:ascii="Bookman Old Style" w:hAnsi="Bookman Old Style" w:cs="Arial"/>
          <w:lang w:eastAsia="es-CO"/>
        </w:rPr>
        <w:t>ste es la declaración de voluntad de una autoridad administrativa, proferida en la forma determinada por la ley o el reglamento, que estatuya sobre relaciones de derecho público, en consideración a determinados motivos, con el fin de producir efectos jurídicos para la satisfacción de un interés administrativo y que contenga por objeto crear, modificar o extinguir una situación jurídica subjetiva.</w:t>
      </w:r>
    </w:p>
    <w:p w:rsidR="002240B8" w:rsidRPr="009B6973" w:rsidRDefault="002240B8" w:rsidP="002240B8">
      <w:pPr>
        <w:ind w:left="0"/>
        <w:jc w:val="both"/>
        <w:rPr>
          <w:rFonts w:ascii="Bookman Old Style" w:hAnsi="Bookman Old Style" w:cs="Arial"/>
          <w:lang w:eastAsia="es-CO"/>
        </w:rPr>
      </w:pPr>
    </w:p>
    <w:p w:rsidR="002240B8" w:rsidRPr="009B6973" w:rsidRDefault="002240B8" w:rsidP="002240B8">
      <w:pPr>
        <w:ind w:left="0"/>
        <w:jc w:val="both"/>
        <w:rPr>
          <w:rFonts w:ascii="Bookman Old Style" w:hAnsi="Bookman Old Style" w:cs="Arial"/>
          <w:lang w:eastAsia="es-CO"/>
        </w:rPr>
      </w:pPr>
      <w:r w:rsidRPr="009B6973">
        <w:rPr>
          <w:rFonts w:ascii="Bookman Old Style" w:hAnsi="Bookman Old Style" w:cs="Arial"/>
          <w:lang w:eastAsia="es-CO"/>
        </w:rPr>
        <w:t>Dentro de la clasificación de los actos administrativos pueden ser de carácter general o de carácter particular y concreto así:</w:t>
      </w:r>
    </w:p>
    <w:p w:rsidR="002240B8" w:rsidRPr="009B6973" w:rsidRDefault="002240B8" w:rsidP="002240B8">
      <w:pPr>
        <w:spacing w:before="120" w:after="120"/>
        <w:ind w:left="0"/>
        <w:jc w:val="both"/>
        <w:rPr>
          <w:rFonts w:ascii="Bookman Old Style" w:hAnsi="Bookman Old Style" w:cs="Arial"/>
          <w:lang w:eastAsia="es-CO"/>
        </w:rPr>
      </w:pPr>
      <w:r w:rsidRPr="009B6973">
        <w:rPr>
          <w:rFonts w:ascii="Bookman Old Style" w:hAnsi="Bookman Old Style" w:cs="Arial"/>
          <w:iCs/>
          <w:lang w:eastAsia="es-CO"/>
        </w:rPr>
        <w:t>Son actos administrativos de carácter general</w:t>
      </w:r>
      <w:r w:rsidRPr="009B6973">
        <w:rPr>
          <w:rFonts w:ascii="Bookman Old Style" w:hAnsi="Bookman Old Style" w:cs="Arial"/>
          <w:lang w:eastAsia="es-CO"/>
        </w:rPr>
        <w:t xml:space="preserve"> los que recaen sobre un grupo general o indeterminado de personas, o cuando el texto del Acto Administrativo no especifica a quien va dirigido. </w:t>
      </w: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cs="Arial"/>
          <w:bCs/>
          <w:sz w:val="24"/>
          <w:szCs w:val="24"/>
          <w:lang w:eastAsia="es-CO"/>
        </w:rPr>
        <w:t>Son Actos Administrativos de carácter particular y concreto los que recaen sobre un sujeto</w:t>
      </w:r>
      <w:r w:rsidRPr="009B6973">
        <w:rPr>
          <w:rFonts w:ascii="Bookman Old Style" w:hAnsi="Bookman Old Style" w:cs="Arial"/>
          <w:b/>
          <w:bCs/>
          <w:sz w:val="24"/>
          <w:szCs w:val="24"/>
          <w:lang w:eastAsia="es-CO"/>
        </w:rPr>
        <w:t xml:space="preserve"> </w:t>
      </w:r>
      <w:r w:rsidRPr="009B6973">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o más personas y conservar las características de un acto administrativo particular, </w:t>
      </w:r>
      <w:r w:rsidRPr="009B6973">
        <w:rPr>
          <w:rFonts w:ascii="Bookman Old Style" w:hAnsi="Bookman Old Style" w:cs="Arial"/>
          <w:bCs/>
          <w:sz w:val="24"/>
          <w:szCs w:val="24"/>
          <w:lang w:eastAsia="es-CO"/>
        </w:rPr>
        <w:t>por citar un ejemplo, esto puede suceder c</w:t>
      </w:r>
      <w:r w:rsidRPr="009B6973">
        <w:rPr>
          <w:rFonts w:ascii="Bookman Old Style" w:hAnsi="Bookman Old Style" w:cs="Arial"/>
          <w:sz w:val="24"/>
          <w:szCs w:val="24"/>
          <w:lang w:eastAsia="es-CO"/>
        </w:rPr>
        <w:t>uando se otorga una pensión a una persona, o cuando se les da a más de una persona.</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Por lo tanto, siempre que los afectados por el acto estén nominalmente identificados, individualizados, el acto es particular independientemente del número de personas afectadas. Sobre éste punto el Honorable Consejo de Estado ha expuesto:</w:t>
      </w:r>
    </w:p>
    <w:p w:rsidR="002240B8" w:rsidRPr="009B6973" w:rsidRDefault="002240B8" w:rsidP="002240B8">
      <w:pPr>
        <w:pStyle w:val="Prrafodelista"/>
        <w:ind w:left="0"/>
        <w:jc w:val="both"/>
        <w:rPr>
          <w:rFonts w:ascii="Bookman Old Style" w:hAnsi="Bookman Old Style"/>
          <w:sz w:val="24"/>
          <w:szCs w:val="24"/>
        </w:rPr>
      </w:pPr>
    </w:p>
    <w:p w:rsidR="002240B8" w:rsidRPr="009B6973" w:rsidRDefault="002240B8" w:rsidP="002240B8">
      <w:pPr>
        <w:pStyle w:val="Prrafodelista"/>
        <w:jc w:val="both"/>
        <w:rPr>
          <w:rFonts w:ascii="Bookman Old Style" w:hAnsi="Bookman Old Style"/>
          <w:i/>
          <w:sz w:val="24"/>
          <w:szCs w:val="24"/>
        </w:rPr>
      </w:pPr>
      <w:r w:rsidRPr="009B6973">
        <w:rPr>
          <w:rFonts w:ascii="Bookman Old Style" w:hAnsi="Bookman Old Style"/>
          <w:i/>
          <w:sz w:val="24"/>
          <w:szCs w:val="24"/>
        </w:rPr>
        <w:t>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administrativo se entiende, entre otras perspectivas, como una decisión adoptada o expedida en función administrativa a través de la cual la autoridad crea, 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personas a quienes se les crea, modifica o extingue una situación jurídica, dependiendo de las conductas o roles que ellas mismas asuman’.</w:t>
      </w:r>
      <w:r w:rsidRPr="009B6973">
        <w:rPr>
          <w:rStyle w:val="Refdenotaalpie"/>
          <w:rFonts w:ascii="Bookman Old Style" w:hAnsi="Bookman Old Style"/>
          <w:i/>
          <w:sz w:val="24"/>
          <w:szCs w:val="24"/>
        </w:rPr>
        <w:footnoteReference w:id="2"/>
      </w:r>
    </w:p>
    <w:p w:rsidR="002240B8" w:rsidRPr="009B6973" w:rsidRDefault="002240B8" w:rsidP="002240B8">
      <w:pPr>
        <w:pStyle w:val="Prrafodelista"/>
        <w:ind w:left="0"/>
        <w:jc w:val="both"/>
        <w:rPr>
          <w:rFonts w:ascii="Bookman Old Style" w:hAnsi="Bookman Old Style"/>
          <w:sz w:val="24"/>
          <w:szCs w:val="24"/>
        </w:rPr>
      </w:pPr>
    </w:p>
    <w:p w:rsidR="002240B8" w:rsidRDefault="002240B8" w:rsidP="002240B8">
      <w:pPr>
        <w:pStyle w:val="Prrafodelista"/>
        <w:ind w:left="0"/>
        <w:jc w:val="both"/>
        <w:rPr>
          <w:rFonts w:ascii="Bookman Old Style" w:hAnsi="Bookman Old Style"/>
          <w:sz w:val="24"/>
          <w:szCs w:val="24"/>
        </w:rPr>
      </w:pPr>
      <w:r w:rsidRPr="009B6973">
        <w:rPr>
          <w:rFonts w:ascii="Bookman Old Style" w:hAnsi="Bookman Old Style"/>
          <w:sz w:val="24"/>
          <w:szCs w:val="24"/>
        </w:rPr>
        <w:t>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encausa en la falsa motivación, ya que como se ha hecho referencia, no realiza un análisis de la realidad fáctica y jurídica del acto, con miras a establecer su veracidad, sino que se plantea un problema de valoración del cuerpo del acto, como de las formalidades para su expedición.</w:t>
      </w:r>
    </w:p>
    <w:p w:rsidR="002240B8" w:rsidRDefault="002240B8" w:rsidP="002240B8">
      <w:pPr>
        <w:pStyle w:val="Prrafodelista"/>
        <w:ind w:left="0"/>
        <w:jc w:val="both"/>
        <w:rPr>
          <w:rFonts w:ascii="Bookman Old Style" w:hAnsi="Bookman Old Style"/>
          <w:sz w:val="24"/>
          <w:szCs w:val="24"/>
        </w:rPr>
      </w:pPr>
    </w:p>
    <w:p w:rsidR="002240B8" w:rsidRPr="00F8092D" w:rsidRDefault="002240B8" w:rsidP="002240B8">
      <w:pPr>
        <w:pStyle w:val="Prrafodelista"/>
        <w:ind w:left="0"/>
        <w:jc w:val="both"/>
        <w:rPr>
          <w:rFonts w:ascii="Bookman Old Style" w:hAnsi="Bookman Old Style"/>
          <w:i/>
          <w:sz w:val="24"/>
          <w:szCs w:val="24"/>
        </w:rPr>
      </w:pPr>
      <w:r w:rsidRPr="00F8092D">
        <w:rPr>
          <w:rFonts w:ascii="Bookman Old Style" w:hAnsi="Bookman Old Style"/>
          <w:i/>
          <w:sz w:val="24"/>
          <w:szCs w:val="24"/>
        </w:rPr>
        <w:t>Por lo anterior, la CREG procedió a efectuar la liquidación de las contribuciones, teniendo en cuenta los siguientes fallos proferidos por el Consejo de Estado, que al respecto señalan:</w:t>
      </w:r>
    </w:p>
    <w:p w:rsidR="002240B8" w:rsidRPr="00F8092D" w:rsidRDefault="002240B8" w:rsidP="002240B8">
      <w:pPr>
        <w:pStyle w:val="Prrafodelista"/>
        <w:ind w:left="0"/>
        <w:jc w:val="both"/>
        <w:rPr>
          <w:rFonts w:ascii="Bookman Old Style" w:hAnsi="Bookman Old Style"/>
          <w:i/>
          <w:sz w:val="24"/>
          <w:szCs w:val="24"/>
        </w:rPr>
      </w:pPr>
    </w:p>
    <w:p w:rsidR="002240B8" w:rsidRPr="00F8092D" w:rsidRDefault="002240B8" w:rsidP="002240B8">
      <w:pPr>
        <w:pStyle w:val="Prrafodelista"/>
        <w:ind w:left="0"/>
        <w:jc w:val="both"/>
        <w:rPr>
          <w:rFonts w:ascii="Bookman Old Style" w:hAnsi="Bookman Old Style"/>
          <w:i/>
          <w:sz w:val="24"/>
          <w:szCs w:val="24"/>
        </w:rPr>
      </w:pPr>
      <w:r w:rsidRPr="00F8092D">
        <w:rPr>
          <w:rFonts w:ascii="Bookman Old Style" w:hAnsi="Bookman Old Style"/>
          <w:i/>
          <w:sz w:val="24"/>
          <w:szCs w:val="24"/>
        </w:rPr>
        <w:t>•</w:t>
      </w:r>
      <w:r w:rsidRPr="00F8092D">
        <w:rPr>
          <w:rFonts w:ascii="Bookman Old Style" w:hAnsi="Bookman Old Style"/>
          <w:i/>
          <w:sz w:val="24"/>
          <w:szCs w:val="24"/>
        </w:rPr>
        <w:tab/>
        <w:t xml:space="preserve"> 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p>
    <w:p w:rsidR="002240B8" w:rsidRPr="00F8092D" w:rsidRDefault="002240B8" w:rsidP="002240B8">
      <w:pPr>
        <w:pStyle w:val="Prrafodelista"/>
        <w:ind w:left="0"/>
        <w:jc w:val="both"/>
        <w:rPr>
          <w:rFonts w:ascii="Bookman Old Style" w:hAnsi="Bookman Old Style"/>
          <w:i/>
          <w:sz w:val="24"/>
          <w:szCs w:val="24"/>
        </w:rPr>
      </w:pPr>
    </w:p>
    <w:p w:rsidR="002240B8" w:rsidRPr="00762CAB" w:rsidRDefault="002240B8" w:rsidP="002240B8">
      <w:pPr>
        <w:pStyle w:val="Prrafodelista"/>
        <w:ind w:left="0"/>
        <w:jc w:val="both"/>
        <w:rPr>
          <w:rFonts w:ascii="Bookman Old Style" w:hAnsi="Bookman Old Style"/>
          <w:i/>
          <w:sz w:val="24"/>
          <w:szCs w:val="24"/>
          <w:highlight w:val="yellow"/>
        </w:rPr>
      </w:pPr>
      <w:r w:rsidRPr="00F8092D">
        <w:rPr>
          <w:rFonts w:ascii="Bookman Old Style" w:hAnsi="Bookman Old Style"/>
          <w:i/>
          <w:sz w:val="24"/>
          <w:szCs w:val="24"/>
        </w:rPr>
        <w:t xml:space="preserve">• 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 contraria al artículo 85 [85.2j de la Ley 142 de 1994, dado que amplía la base gravable del tributo con erogaciones que (no) hacen parte de los gastos de funcionamiento de las entidades </w:t>
      </w:r>
      <w:r w:rsidRPr="006D6A3A">
        <w:rPr>
          <w:rFonts w:ascii="Bookman Old Style" w:hAnsi="Bookman Old Style"/>
          <w:i/>
          <w:sz w:val="24"/>
          <w:szCs w:val="24"/>
        </w:rPr>
        <w:t>vigiladas".</w:t>
      </w:r>
    </w:p>
    <w:p w:rsidR="002240B8" w:rsidRPr="00762CAB" w:rsidRDefault="002240B8" w:rsidP="002240B8">
      <w:pPr>
        <w:pStyle w:val="Prrafodelista"/>
        <w:ind w:left="0"/>
        <w:jc w:val="both"/>
        <w:rPr>
          <w:rFonts w:ascii="Bookman Old Style" w:hAnsi="Bookman Old Style"/>
          <w:i/>
          <w:sz w:val="24"/>
          <w:szCs w:val="24"/>
          <w:highlight w:val="yellow"/>
        </w:rPr>
      </w:pPr>
    </w:p>
    <w:p w:rsidR="002240B8" w:rsidRPr="00B072B2" w:rsidRDefault="002240B8" w:rsidP="002240B8">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B072B2">
        <w:rPr>
          <w:rFonts w:ascii="Bookman Old Style" w:eastAsia="Times New Roman" w:hAnsi="Bookman Old Style" w:cs="Times New Roman"/>
          <w:sz w:val="24"/>
          <w:szCs w:val="24"/>
          <w:lang w:eastAsia="es-ES"/>
        </w:rPr>
        <w:t>Igualmente la Ley 142 de 1994 en su artículo 85 establece que para efectos de la contribución especial se tomarán los estados financieros, con corte a 31 de diciembre del año anterior,</w:t>
      </w:r>
      <w:r w:rsidR="00360C47">
        <w:rPr>
          <w:rFonts w:ascii="Bookman Old Style" w:eastAsia="Times New Roman" w:hAnsi="Bookman Old Style" w:cs="Times New Roman"/>
          <w:sz w:val="24"/>
          <w:szCs w:val="24"/>
          <w:lang w:eastAsia="es-ES"/>
        </w:rPr>
        <w:t xml:space="preserve"> reportados en oportunidad al SUI</w:t>
      </w:r>
      <w:r w:rsidRPr="00B072B2">
        <w:rPr>
          <w:rFonts w:ascii="Bookman Old Style" w:eastAsia="Times New Roman" w:hAnsi="Bookman Old Style" w:cs="Times New Roman"/>
          <w:sz w:val="24"/>
          <w:szCs w:val="24"/>
          <w:lang w:eastAsia="es-ES"/>
        </w:rPr>
        <w:t>.</w:t>
      </w:r>
    </w:p>
    <w:p w:rsidR="002240B8" w:rsidRPr="00B072B2" w:rsidRDefault="002240B8" w:rsidP="002240B8">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B072B2">
        <w:rPr>
          <w:rFonts w:ascii="Bookman Old Style" w:eastAsia="Times New Roman" w:hAnsi="Bookman Old Style" w:cs="Times New Roman"/>
          <w:sz w:val="24"/>
          <w:szCs w:val="24"/>
          <w:lang w:eastAsia="es-ES"/>
        </w:rPr>
        <w:t xml:space="preserve">La Ley 1314 de 2009, establece el proceso de convergencia a normas internacionales de información financiera, que fue reglamentado para el Grupo 1 mediante el Decreto 2784 de 2012, estableciendo los requisitos para pertenecer a este grupo, así como el cronograma de aplicación de marco normativo internacional (NIIF PLENAS), el cual estableció como período de aplicación el año 2015, por lo tanto, los primeros estados financieros de la empresas clasificados en este grupo son con corte a 31 de diciembre de 2015, como es el caso de </w:t>
      </w:r>
      <w:r>
        <w:rPr>
          <w:rFonts w:ascii="Bookman Old Style" w:eastAsia="Times New Roman" w:hAnsi="Bookman Old Style" w:cs="Times New Roman"/>
          <w:sz w:val="24"/>
          <w:szCs w:val="24"/>
          <w:lang w:eastAsia="es-ES"/>
        </w:rPr>
        <w:t xml:space="preserve">la empresa </w:t>
      </w:r>
      <w:r w:rsidRPr="002240B8">
        <w:rPr>
          <w:rFonts w:ascii="Bookman Old Style" w:eastAsia="Times New Roman" w:hAnsi="Bookman Old Style" w:cs="Times New Roman"/>
          <w:sz w:val="24"/>
          <w:szCs w:val="24"/>
          <w:lang w:eastAsia="es-ES"/>
        </w:rPr>
        <w:t>XM COMPAÑIA DE EXPERTOS EN MERCADOS S.A. E.S.P.</w:t>
      </w:r>
      <w:r>
        <w:rPr>
          <w:rFonts w:ascii="Bookman Old Style" w:eastAsia="Times New Roman" w:hAnsi="Bookman Old Style" w:cs="Times New Roman"/>
          <w:sz w:val="24"/>
          <w:szCs w:val="24"/>
          <w:lang w:eastAsia="es-ES"/>
        </w:rPr>
        <w:t xml:space="preserve"> </w:t>
      </w:r>
    </w:p>
    <w:p w:rsidR="00360C47" w:rsidRDefault="002240B8" w:rsidP="002240B8">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B072B2">
        <w:rPr>
          <w:rFonts w:ascii="Bookman Old Style" w:eastAsia="Times New Roman" w:hAnsi="Bookman Old Style" w:cs="Times New Roman"/>
          <w:sz w:val="24"/>
          <w:szCs w:val="24"/>
          <w:lang w:eastAsia="es-ES"/>
        </w:rPr>
        <w:t>El Decreto 2784 de 2012 y 3024 de 2014, para el caso de Grupo 1 quedaron compilados en el Decreto 2420 de 2015. Por lo tanto, el carácter normativo y legal para calcular la contribución bajo el marco normativo internacional, lo establece la normativa anteriormente mencionada para estos fines</w:t>
      </w:r>
      <w:r w:rsidR="00360C47">
        <w:rPr>
          <w:rFonts w:ascii="Bookman Old Style" w:eastAsia="Times New Roman" w:hAnsi="Bookman Old Style" w:cs="Times New Roman"/>
          <w:sz w:val="24"/>
          <w:szCs w:val="24"/>
          <w:lang w:eastAsia="es-ES"/>
        </w:rPr>
        <w:t>.</w:t>
      </w:r>
    </w:p>
    <w:p w:rsidR="002240B8" w:rsidRPr="00B072B2" w:rsidRDefault="002240B8" w:rsidP="002240B8">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B072B2">
        <w:rPr>
          <w:rFonts w:ascii="Bookman Old Style" w:eastAsia="Times New Roman" w:hAnsi="Bookman Old Style" w:cs="Times New Roman"/>
          <w:sz w:val="24"/>
          <w:szCs w:val="24"/>
          <w:lang w:eastAsia="es-ES"/>
        </w:rPr>
        <w:t>Adicionalmente, es importante aclarar que la Ley 142 de 1994, no establece que la contribución especial este sujeto a un régimen financiero o contable, sino a los estados financieros vigentes.</w:t>
      </w:r>
    </w:p>
    <w:p w:rsidR="002240B8" w:rsidRPr="00B072B2" w:rsidRDefault="002240B8" w:rsidP="002240B8">
      <w:pPr>
        <w:pStyle w:val="Style24"/>
        <w:shd w:val="clear" w:color="auto" w:fill="auto"/>
        <w:spacing w:before="0"/>
        <w:ind w:left="60" w:right="40" w:firstLine="0"/>
        <w:jc w:val="both"/>
        <w:rPr>
          <w:rFonts w:ascii="Bookman Old Style" w:eastAsia="Times New Roman" w:hAnsi="Bookman Old Style" w:cs="Times New Roman"/>
          <w:sz w:val="24"/>
          <w:szCs w:val="24"/>
          <w:lang w:eastAsia="es-ES"/>
        </w:rPr>
      </w:pPr>
      <w:r w:rsidRPr="00B072B2">
        <w:rPr>
          <w:rFonts w:ascii="Bookman Old Style" w:eastAsia="Times New Roman" w:hAnsi="Bookman Old Style" w:cs="Times New Roman"/>
          <w:sz w:val="24"/>
          <w:szCs w:val="24"/>
          <w:lang w:eastAsia="es-ES"/>
        </w:rPr>
        <w:t xml:space="preserve">Sin embargo y en atención a lo señalado por el recurrente en el que manifiesta que se encargó de que cada uno de los renglones solicitados </w:t>
      </w:r>
      <w:r w:rsidR="006D6A3A">
        <w:rPr>
          <w:rFonts w:ascii="Bookman Old Style" w:eastAsia="Times New Roman" w:hAnsi="Bookman Old Style" w:cs="Times New Roman"/>
          <w:sz w:val="24"/>
          <w:szCs w:val="24"/>
          <w:lang w:eastAsia="es-ES"/>
        </w:rPr>
        <w:t xml:space="preserve">y reportados </w:t>
      </w:r>
      <w:r w:rsidRPr="00B072B2">
        <w:rPr>
          <w:rFonts w:ascii="Bookman Old Style" w:eastAsia="Times New Roman" w:hAnsi="Bookman Old Style" w:cs="Times New Roman"/>
          <w:sz w:val="24"/>
          <w:szCs w:val="24"/>
          <w:lang w:eastAsia="es-ES"/>
        </w:rPr>
        <w:t>correspondiera con los estados financieros NIIF y que por esto se gestaron diferencias sustanciales en la base de la contribución de 2016, frente a los años precedentes, puesto q</w:t>
      </w:r>
      <w:r w:rsidR="00D848C8">
        <w:rPr>
          <w:rFonts w:ascii="Bookman Old Style" w:eastAsia="Times New Roman" w:hAnsi="Bookman Old Style" w:cs="Times New Roman"/>
          <w:sz w:val="24"/>
          <w:szCs w:val="24"/>
          <w:lang w:eastAsia="es-ES"/>
        </w:rPr>
        <w:t xml:space="preserve">ue cuando en años anteriores se </w:t>
      </w:r>
      <w:r w:rsidRPr="00B072B2">
        <w:rPr>
          <w:rFonts w:ascii="Bookman Old Style" w:eastAsia="Times New Roman" w:hAnsi="Bookman Old Style" w:cs="Times New Roman"/>
          <w:sz w:val="24"/>
          <w:szCs w:val="24"/>
          <w:lang w:eastAsia="es-ES"/>
        </w:rPr>
        <w:t xml:space="preserve">tomaba como base para liquidar la contribución los gastos de administración, acudía únicamente a las cuentas del Grupo 51, pero en este período, en dichas cuentas se agruparon de un lado las cuentas del Grupo 53 (Provisiones, amortizaciones y depreciaciones) y de otro, la cuenta activos sociales (511167) </w:t>
      </w:r>
      <w:r w:rsidR="006D6A3A">
        <w:rPr>
          <w:rFonts w:ascii="Bookman Old Style" w:eastAsia="Times New Roman" w:hAnsi="Bookman Old Style" w:cs="Times New Roman"/>
          <w:sz w:val="24"/>
          <w:szCs w:val="24"/>
          <w:lang w:eastAsia="es-ES"/>
        </w:rPr>
        <w:t xml:space="preserve">se </w:t>
      </w:r>
      <w:r w:rsidRPr="00B072B2">
        <w:rPr>
          <w:rFonts w:ascii="Bookman Old Style" w:eastAsia="Times New Roman" w:hAnsi="Bookman Old Style" w:cs="Times New Roman"/>
          <w:sz w:val="24"/>
          <w:szCs w:val="24"/>
          <w:lang w:eastAsia="es-ES"/>
        </w:rPr>
        <w:t xml:space="preserve">procedió a verificar las notas de los estados financieros del prestador, encontrando que efectivamente </w:t>
      </w:r>
      <w:r w:rsidR="006D6A3A">
        <w:rPr>
          <w:rFonts w:ascii="Bookman Old Style" w:eastAsia="Times New Roman" w:hAnsi="Bookman Old Style" w:cs="Times New Roman"/>
          <w:sz w:val="24"/>
          <w:szCs w:val="24"/>
          <w:lang w:eastAsia="es-ES"/>
        </w:rPr>
        <w:t>se</w:t>
      </w:r>
      <w:r w:rsidRPr="00B072B2">
        <w:rPr>
          <w:rFonts w:ascii="Bookman Old Style" w:eastAsia="Times New Roman" w:hAnsi="Bookman Old Style" w:cs="Times New Roman"/>
          <w:sz w:val="24"/>
          <w:szCs w:val="24"/>
          <w:lang w:eastAsia="es-ES"/>
        </w:rPr>
        <w:t xml:space="preserve"> </w:t>
      </w:r>
      <w:r w:rsidR="006D6A3A" w:rsidRPr="00B072B2">
        <w:rPr>
          <w:rFonts w:ascii="Bookman Old Style" w:eastAsia="Times New Roman" w:hAnsi="Bookman Old Style" w:cs="Times New Roman"/>
          <w:sz w:val="24"/>
          <w:szCs w:val="24"/>
          <w:lang w:eastAsia="es-ES"/>
        </w:rPr>
        <w:t>reportó</w:t>
      </w:r>
      <w:r w:rsidRPr="00B072B2">
        <w:rPr>
          <w:rFonts w:ascii="Bookman Old Style" w:eastAsia="Times New Roman" w:hAnsi="Bookman Old Style" w:cs="Times New Roman"/>
          <w:sz w:val="24"/>
          <w:szCs w:val="24"/>
          <w:lang w:eastAsia="es-ES"/>
        </w:rPr>
        <w:t xml:space="preserve"> en el rubro "GASTOS DE ADMINISTRACIÓN" el concepto "PROVISIONES, AMORTIZACIONES Y DEPRECIACIONES”.</w:t>
      </w:r>
    </w:p>
    <w:p w:rsidR="002240B8" w:rsidRDefault="002240B8" w:rsidP="002240B8">
      <w:pPr>
        <w:pStyle w:val="Style24"/>
        <w:shd w:val="clear" w:color="auto" w:fill="auto"/>
        <w:spacing w:before="0" w:after="175"/>
        <w:ind w:left="60" w:right="40" w:firstLine="0"/>
        <w:jc w:val="both"/>
        <w:rPr>
          <w:rFonts w:ascii="Bookman Old Style" w:eastAsia="Times New Roman" w:hAnsi="Bookman Old Style" w:cs="Times New Roman"/>
          <w:sz w:val="24"/>
          <w:szCs w:val="24"/>
          <w:lang w:eastAsia="es-ES"/>
        </w:rPr>
      </w:pPr>
      <w:r w:rsidRPr="00B072B2">
        <w:rPr>
          <w:rFonts w:ascii="Bookman Old Style" w:eastAsia="Times New Roman" w:hAnsi="Bookman Old Style" w:cs="Times New Roman"/>
          <w:sz w:val="24"/>
          <w:szCs w:val="24"/>
          <w:lang w:eastAsia="es-ES"/>
        </w:rPr>
        <w:t>En este sentido, en atención a que el Consejo de Estado en la sentencia 16874 del 23 de septiembre del año 2010, señaló que “</w:t>
      </w:r>
      <w:r w:rsidRPr="00307B21">
        <w:rPr>
          <w:rFonts w:ascii="Bookman Old Style" w:eastAsia="Times New Roman" w:hAnsi="Bookman Old Style" w:cs="Times New Roman"/>
          <w:i/>
          <w:sz w:val="24"/>
          <w:szCs w:val="24"/>
          <w:lang w:eastAsia="es-ES"/>
        </w:rPr>
        <w:t>Para la Sala es evidente que no corresponden a la definición que la jurisprudencia de esta Sección ha desarrollado de gastos de funcionamiento, las erogaciones incluidas en el Grupo 53 referidas a provisiones, agotamiento, depreciaciones y amortizaciones, porque no representan salidas de recursos para lograr el funcionamiento de la entidad</w:t>
      </w:r>
      <w:r w:rsidRPr="00307B21">
        <w:rPr>
          <w:rFonts w:ascii="Bookman Old Style" w:eastAsia="Times New Roman" w:hAnsi="Bookman Old Style" w:cs="Times New Roman"/>
          <w:sz w:val="24"/>
          <w:szCs w:val="24"/>
          <w:lang w:eastAsia="es-ES"/>
        </w:rPr>
        <w:t>”</w:t>
      </w:r>
      <w:r w:rsidRPr="00B072B2">
        <w:rPr>
          <w:rFonts w:ascii="Bookman Old Style" w:eastAsia="Times New Roman" w:hAnsi="Bookman Old Style" w:cs="Times New Roman"/>
          <w:sz w:val="24"/>
          <w:szCs w:val="24"/>
          <w:lang w:eastAsia="es-ES"/>
        </w:rPr>
        <w:t xml:space="preserve">, procederá </w:t>
      </w:r>
      <w:r>
        <w:rPr>
          <w:rFonts w:ascii="Bookman Old Style" w:eastAsia="Times New Roman" w:hAnsi="Bookman Old Style" w:cs="Times New Roman"/>
          <w:sz w:val="24"/>
          <w:szCs w:val="24"/>
          <w:lang w:eastAsia="es-ES"/>
        </w:rPr>
        <w:t xml:space="preserve">la CREG </w:t>
      </w:r>
      <w:r w:rsidRPr="00B072B2">
        <w:rPr>
          <w:rFonts w:ascii="Bookman Old Style" w:eastAsia="Times New Roman" w:hAnsi="Bookman Old Style" w:cs="Times New Roman"/>
          <w:sz w:val="24"/>
          <w:szCs w:val="24"/>
          <w:lang w:eastAsia="es-ES"/>
        </w:rPr>
        <w:t xml:space="preserve">a </w:t>
      </w:r>
      <w:r>
        <w:rPr>
          <w:rFonts w:ascii="Bookman Old Style" w:eastAsia="Times New Roman" w:hAnsi="Bookman Old Style" w:cs="Times New Roman"/>
          <w:sz w:val="24"/>
          <w:szCs w:val="24"/>
          <w:lang w:eastAsia="es-ES"/>
        </w:rPr>
        <w:t xml:space="preserve">excluir </w:t>
      </w:r>
      <w:r w:rsidR="006D6A3A">
        <w:rPr>
          <w:rFonts w:ascii="Bookman Old Style" w:eastAsia="Times New Roman" w:hAnsi="Bookman Old Style" w:cs="Times New Roman"/>
          <w:sz w:val="24"/>
          <w:szCs w:val="24"/>
          <w:lang w:eastAsia="es-ES"/>
        </w:rPr>
        <w:t xml:space="preserve">estos conceptos </w:t>
      </w:r>
      <w:r>
        <w:rPr>
          <w:rFonts w:ascii="Bookman Old Style" w:eastAsia="Times New Roman" w:hAnsi="Bookman Old Style" w:cs="Times New Roman"/>
          <w:sz w:val="24"/>
          <w:szCs w:val="24"/>
          <w:lang w:eastAsia="es-ES"/>
        </w:rPr>
        <w:t>de la base gravable establecida en la Resolución 188 de 2016</w:t>
      </w:r>
      <w:r w:rsidRPr="00B072B2">
        <w:rPr>
          <w:rFonts w:ascii="Bookman Old Style" w:eastAsia="Times New Roman" w:hAnsi="Bookman Old Style" w:cs="Times New Roman"/>
          <w:sz w:val="24"/>
          <w:szCs w:val="24"/>
          <w:lang w:eastAsia="es-ES"/>
        </w:rPr>
        <w:t xml:space="preserve">, correspondiente a la contribución especial año 2016, a cargo de </w:t>
      </w:r>
      <w:r w:rsidR="00360C47" w:rsidRPr="00360C47">
        <w:rPr>
          <w:rFonts w:ascii="Bookman Old Style" w:eastAsia="Times New Roman" w:hAnsi="Bookman Old Style" w:cs="Times New Roman"/>
          <w:sz w:val="24"/>
          <w:szCs w:val="24"/>
          <w:lang w:eastAsia="es-ES"/>
        </w:rPr>
        <w:t>la empresa XM COMPAÑIA DE EXPERTOS EN MERCADOS S.A. E.S.P.</w:t>
      </w:r>
      <w:r w:rsidR="00F60CC4">
        <w:rPr>
          <w:rFonts w:ascii="Bookman Old Style" w:eastAsia="Times New Roman" w:hAnsi="Bookman Old Style" w:cs="Times New Roman"/>
          <w:sz w:val="24"/>
          <w:szCs w:val="24"/>
          <w:lang w:eastAsia="es-ES"/>
        </w:rPr>
        <w:t xml:space="preserve">, </w:t>
      </w:r>
      <w:r w:rsidRPr="00B072B2">
        <w:rPr>
          <w:rFonts w:ascii="Bookman Old Style" w:eastAsia="Times New Roman" w:hAnsi="Bookman Old Style" w:cs="Times New Roman"/>
          <w:sz w:val="24"/>
          <w:szCs w:val="24"/>
          <w:lang w:eastAsia="es-ES"/>
        </w:rPr>
        <w:t xml:space="preserve">por el servicio público de </w:t>
      </w:r>
      <w:r>
        <w:rPr>
          <w:rFonts w:ascii="Bookman Old Style" w:eastAsia="Times New Roman" w:hAnsi="Bookman Old Style" w:cs="Times New Roman"/>
          <w:sz w:val="24"/>
          <w:szCs w:val="24"/>
          <w:lang w:eastAsia="es-ES"/>
        </w:rPr>
        <w:t>energía</w:t>
      </w:r>
      <w:r w:rsidRPr="00B072B2">
        <w:rPr>
          <w:rFonts w:ascii="Bookman Old Style" w:eastAsia="Times New Roman" w:hAnsi="Bookman Old Style" w:cs="Times New Roman"/>
          <w:sz w:val="24"/>
          <w:szCs w:val="24"/>
          <w:lang w:eastAsia="es-ES"/>
        </w:rPr>
        <w:t>, el valor correspondiente a “PROVISIONES, AMORTIZACIONES Y DEPRECIACIONES".</w:t>
      </w:r>
    </w:p>
    <w:p w:rsidR="002240B8" w:rsidRDefault="002240B8" w:rsidP="002240B8">
      <w:pPr>
        <w:pStyle w:val="Style24"/>
        <w:shd w:val="clear" w:color="auto" w:fill="auto"/>
        <w:spacing w:before="0" w:after="175"/>
        <w:ind w:left="60" w:right="40" w:firstLine="0"/>
        <w:jc w:val="both"/>
        <w:rPr>
          <w:rFonts w:ascii="Bookman Old Style" w:eastAsia="Times New Roman" w:hAnsi="Bookman Old Style" w:cs="Times New Roman"/>
          <w:sz w:val="24"/>
          <w:szCs w:val="24"/>
          <w:lang w:eastAsia="es-ES"/>
        </w:rPr>
      </w:pPr>
    </w:p>
    <w:p w:rsidR="002B27EB" w:rsidRPr="00CA02B0" w:rsidRDefault="002240B8" w:rsidP="002B27EB">
      <w:pPr>
        <w:ind w:left="0"/>
        <w:jc w:val="both"/>
        <w:rPr>
          <w:rFonts w:ascii="Bookman Old Style" w:hAnsi="Bookman Old Style"/>
        </w:rPr>
      </w:pPr>
      <w:r>
        <w:rPr>
          <w:rFonts w:ascii="Bookman Old Style" w:hAnsi="Bookman Old Style"/>
        </w:rPr>
        <w:t xml:space="preserve">En este orden de ideas, una vez efectuada la exclusión solicitada la base gravable de contribución para </w:t>
      </w:r>
      <w:r w:rsidR="00360C47" w:rsidRPr="00360C47">
        <w:rPr>
          <w:rFonts w:ascii="Bookman Old Style" w:hAnsi="Bookman Old Style"/>
        </w:rPr>
        <w:t>la empresa XM COMPAÑIA DE EXPERTOS EN MERCADOS S.A. E.S.P.</w:t>
      </w:r>
      <w:r w:rsidRPr="00C24A4F">
        <w:rPr>
          <w:rFonts w:ascii="Bookman Old Style" w:hAnsi="Bookman Old Style"/>
        </w:rPr>
        <w:t>,</w:t>
      </w:r>
      <w:r>
        <w:rPr>
          <w:rFonts w:ascii="Bookman Old Style" w:hAnsi="Bookman Old Style"/>
        </w:rPr>
        <w:t xml:space="preserve"> corresponde al valor de </w:t>
      </w:r>
      <w:r w:rsidR="00E70005" w:rsidRPr="00CA02B0">
        <w:rPr>
          <w:rFonts w:ascii="Bookman Old Style" w:hAnsi="Bookman Old Style"/>
        </w:rPr>
        <w:t xml:space="preserve">VEINTIOCHO </w:t>
      </w:r>
      <w:r w:rsidRPr="00CA02B0">
        <w:rPr>
          <w:rFonts w:ascii="Bookman Old Style" w:hAnsi="Bookman Old Style"/>
        </w:rPr>
        <w:t xml:space="preserve">MIL </w:t>
      </w:r>
      <w:r w:rsidR="00E70005" w:rsidRPr="00CA02B0">
        <w:rPr>
          <w:rFonts w:ascii="Bookman Old Style" w:hAnsi="Bookman Old Style"/>
        </w:rPr>
        <w:t>NOVEC</w:t>
      </w:r>
      <w:r w:rsidRPr="00CA02B0">
        <w:rPr>
          <w:rFonts w:ascii="Bookman Old Style" w:hAnsi="Bookman Old Style"/>
        </w:rPr>
        <w:t xml:space="preserve">IENTOS </w:t>
      </w:r>
      <w:r w:rsidR="00E70005" w:rsidRPr="00CA02B0">
        <w:rPr>
          <w:rFonts w:ascii="Bookman Old Style" w:hAnsi="Bookman Old Style"/>
        </w:rPr>
        <w:t>CUAREN</w:t>
      </w:r>
      <w:r w:rsidRPr="00CA02B0">
        <w:rPr>
          <w:rFonts w:ascii="Bookman Old Style" w:hAnsi="Bookman Old Style"/>
        </w:rPr>
        <w:t xml:space="preserve">TA Y </w:t>
      </w:r>
      <w:r w:rsidR="00E70005" w:rsidRPr="00CA02B0">
        <w:rPr>
          <w:rFonts w:ascii="Bookman Old Style" w:hAnsi="Bookman Old Style"/>
        </w:rPr>
        <w:t>SIETE</w:t>
      </w:r>
      <w:r w:rsidRPr="00CA02B0">
        <w:rPr>
          <w:rFonts w:ascii="Bookman Old Style" w:hAnsi="Bookman Old Style"/>
        </w:rPr>
        <w:t xml:space="preserve"> MILLONES </w:t>
      </w:r>
      <w:r w:rsidR="00E70005" w:rsidRPr="00CA02B0">
        <w:rPr>
          <w:rFonts w:ascii="Bookman Old Style" w:hAnsi="Bookman Old Style"/>
        </w:rPr>
        <w:t>SETE</w:t>
      </w:r>
      <w:r w:rsidRPr="00CA02B0">
        <w:rPr>
          <w:rFonts w:ascii="Bookman Old Style" w:hAnsi="Bookman Old Style"/>
        </w:rPr>
        <w:t xml:space="preserve">CIENTOS </w:t>
      </w:r>
      <w:r w:rsidR="00F60CC4">
        <w:rPr>
          <w:rFonts w:ascii="Bookman Old Style" w:hAnsi="Bookman Old Style"/>
        </w:rPr>
        <w:t>OCHO</w:t>
      </w:r>
      <w:r w:rsidRPr="00CA02B0">
        <w:rPr>
          <w:rFonts w:ascii="Bookman Old Style" w:hAnsi="Bookman Old Style"/>
        </w:rPr>
        <w:t xml:space="preserve"> MIL </w:t>
      </w:r>
      <w:r w:rsidR="00F60CC4">
        <w:rPr>
          <w:rFonts w:ascii="Bookman Old Style" w:hAnsi="Bookman Old Style"/>
        </w:rPr>
        <w:t>NOVECIENTOS DIECINUEVE</w:t>
      </w:r>
      <w:r w:rsidRPr="00CA02B0">
        <w:rPr>
          <w:rFonts w:ascii="Bookman Old Style" w:hAnsi="Bookman Old Style"/>
        </w:rPr>
        <w:t xml:space="preserve"> PESOS ($</w:t>
      </w:r>
      <w:r w:rsidR="00E70005" w:rsidRPr="00CA02B0">
        <w:rPr>
          <w:rFonts w:ascii="Bookman Old Style" w:hAnsi="Bookman Old Style"/>
        </w:rPr>
        <w:t>28</w:t>
      </w:r>
      <w:r w:rsidRPr="00CA02B0">
        <w:rPr>
          <w:rFonts w:ascii="Bookman Old Style" w:hAnsi="Bookman Old Style"/>
        </w:rPr>
        <w:t>.</w:t>
      </w:r>
      <w:r w:rsidR="00E70005" w:rsidRPr="00CA02B0">
        <w:rPr>
          <w:rFonts w:ascii="Bookman Old Style" w:hAnsi="Bookman Old Style"/>
        </w:rPr>
        <w:t>947</w:t>
      </w:r>
      <w:r w:rsidRPr="00CA02B0">
        <w:rPr>
          <w:rFonts w:ascii="Bookman Old Style" w:hAnsi="Bookman Old Style"/>
        </w:rPr>
        <w:t>.</w:t>
      </w:r>
      <w:r w:rsidR="00F60CC4">
        <w:rPr>
          <w:rFonts w:ascii="Bookman Old Style" w:hAnsi="Bookman Old Style"/>
        </w:rPr>
        <w:t>708</w:t>
      </w:r>
      <w:r w:rsidRPr="00CA02B0">
        <w:rPr>
          <w:rFonts w:ascii="Bookman Old Style" w:hAnsi="Bookman Old Style"/>
        </w:rPr>
        <w:t>.</w:t>
      </w:r>
      <w:r w:rsidR="00F60CC4">
        <w:rPr>
          <w:rFonts w:ascii="Bookman Old Style" w:hAnsi="Bookman Old Style"/>
        </w:rPr>
        <w:t>919</w:t>
      </w:r>
      <w:r w:rsidRPr="00CA02B0">
        <w:rPr>
          <w:rFonts w:ascii="Bookman Old Style" w:hAnsi="Bookman Old Style"/>
        </w:rPr>
        <w:t>.oo)</w:t>
      </w:r>
      <w:r w:rsidR="002B27EB" w:rsidRPr="00CA02B0">
        <w:rPr>
          <w:rFonts w:ascii="Bookman Old Style" w:hAnsi="Bookman Old Style"/>
        </w:rPr>
        <w:t xml:space="preserve"> M/cte.</w:t>
      </w:r>
      <w:r w:rsidRPr="00CA02B0">
        <w:rPr>
          <w:rFonts w:ascii="Bookman Old Style" w:hAnsi="Bookman Old Style"/>
        </w:rPr>
        <w:t xml:space="preserve"> y el valor correspondiente a pagar por concepto de contribución asciende a la suma de </w:t>
      </w:r>
      <w:r w:rsidR="002B27EB" w:rsidRPr="00CA02B0">
        <w:rPr>
          <w:rFonts w:ascii="Bookman Old Style" w:hAnsi="Bookman Old Style"/>
        </w:rPr>
        <w:t>DOS</w:t>
      </w:r>
      <w:r w:rsidR="00E70005" w:rsidRPr="00CA02B0">
        <w:rPr>
          <w:rFonts w:ascii="Bookman Old Style" w:hAnsi="Bookman Old Style"/>
        </w:rPr>
        <w:t>CIENTOS CUARENTA</w:t>
      </w:r>
      <w:r w:rsidR="002B27EB" w:rsidRPr="00CA02B0">
        <w:rPr>
          <w:rFonts w:ascii="Bookman Old Style" w:hAnsi="Bookman Old Style"/>
        </w:rPr>
        <w:t xml:space="preserve"> MILLONES SESENTA Y </w:t>
      </w:r>
      <w:r w:rsidR="00E70005" w:rsidRPr="00CA02B0">
        <w:rPr>
          <w:rFonts w:ascii="Bookman Old Style" w:hAnsi="Bookman Old Style"/>
        </w:rPr>
        <w:t>SIETE</w:t>
      </w:r>
      <w:r w:rsidR="002B27EB" w:rsidRPr="00CA02B0">
        <w:rPr>
          <w:rFonts w:ascii="Bookman Old Style" w:hAnsi="Bookman Old Style"/>
        </w:rPr>
        <w:t xml:space="preserve"> MIL OCHOCIENTOS </w:t>
      </w:r>
      <w:r w:rsidR="00E70005" w:rsidRPr="00CA02B0">
        <w:rPr>
          <w:rFonts w:ascii="Bookman Old Style" w:hAnsi="Bookman Old Style"/>
        </w:rPr>
        <w:t>VEINTICUATRO</w:t>
      </w:r>
      <w:r w:rsidR="002B27EB" w:rsidRPr="00CA02B0">
        <w:rPr>
          <w:rFonts w:ascii="Bookman Old Style" w:hAnsi="Bookman Old Style"/>
        </w:rPr>
        <w:t xml:space="preserve"> PESOS ($</w:t>
      </w:r>
      <w:r w:rsidR="00E70005" w:rsidRPr="00CA02B0">
        <w:rPr>
          <w:rFonts w:ascii="Bookman Old Style" w:hAnsi="Bookman Old Style"/>
        </w:rPr>
        <w:t>240.077.824</w:t>
      </w:r>
      <w:r w:rsidR="002B27EB" w:rsidRPr="00CA02B0">
        <w:rPr>
          <w:rFonts w:ascii="Bookman Old Style" w:hAnsi="Bookman Old Style"/>
        </w:rPr>
        <w:t>.oo) M/cte.</w:t>
      </w:r>
    </w:p>
    <w:p w:rsidR="002240B8" w:rsidRPr="00CA02B0" w:rsidRDefault="002240B8" w:rsidP="002240B8">
      <w:pPr>
        <w:pStyle w:val="Style24"/>
        <w:shd w:val="clear" w:color="auto" w:fill="auto"/>
        <w:spacing w:before="0" w:after="175"/>
        <w:ind w:left="60" w:right="40" w:firstLine="0"/>
        <w:jc w:val="both"/>
        <w:rPr>
          <w:rFonts w:ascii="Bookman Old Style" w:eastAsia="Times New Roman" w:hAnsi="Bookman Old Style" w:cs="Times New Roman"/>
          <w:sz w:val="24"/>
          <w:szCs w:val="24"/>
          <w:lang w:val="es-ES" w:eastAsia="es-ES"/>
        </w:rPr>
      </w:pPr>
    </w:p>
    <w:p w:rsidR="002240B8" w:rsidRDefault="0014412A" w:rsidP="002240B8">
      <w:pPr>
        <w:ind w:left="0"/>
        <w:jc w:val="both"/>
        <w:rPr>
          <w:rFonts w:ascii="Bookman Old Style" w:hAnsi="Bookman Old Style"/>
        </w:rPr>
      </w:pPr>
      <w:r w:rsidRPr="00B40F3E">
        <w:rPr>
          <w:rFonts w:ascii="Bookman Old Style" w:hAnsi="Bookman Old Style" w:cs="Arial"/>
          <w:spacing w:val="-3"/>
        </w:rPr>
        <w:t xml:space="preserve">La Comisión de Regulación de Energía y Gas, en su sesión </w:t>
      </w:r>
      <w:r w:rsidRPr="00EB00FC">
        <w:rPr>
          <w:rFonts w:ascii="Bookman Old Style" w:hAnsi="Bookman Old Style" w:cs="Arial"/>
          <w:spacing w:val="-3"/>
        </w:rPr>
        <w:t>7</w:t>
      </w:r>
      <w:r>
        <w:rPr>
          <w:rFonts w:ascii="Bookman Old Style" w:hAnsi="Bookman Old Style" w:cs="Arial"/>
          <w:spacing w:val="-3"/>
        </w:rPr>
        <w:t>54</w:t>
      </w:r>
      <w:r w:rsidRPr="00EB00FC">
        <w:rPr>
          <w:rFonts w:ascii="Bookman Old Style" w:hAnsi="Bookman Old Style" w:cs="Arial"/>
          <w:spacing w:val="-3"/>
        </w:rPr>
        <w:t xml:space="preserve"> del </w:t>
      </w:r>
      <w:r>
        <w:rPr>
          <w:rFonts w:ascii="Bookman Old Style" w:hAnsi="Bookman Old Style" w:cs="Arial"/>
          <w:spacing w:val="-3"/>
        </w:rPr>
        <w:t>26</w:t>
      </w:r>
      <w:r w:rsidRPr="00EB00FC">
        <w:rPr>
          <w:rFonts w:ascii="Bookman Old Style" w:hAnsi="Bookman Old Style" w:cs="Arial"/>
          <w:spacing w:val="-3"/>
        </w:rPr>
        <w:t xml:space="preserve"> de</w:t>
      </w:r>
      <w:r w:rsidRPr="00B84711">
        <w:rPr>
          <w:rFonts w:ascii="Bookman Old Style" w:hAnsi="Bookman Old Style" w:cs="Arial"/>
          <w:spacing w:val="-3"/>
        </w:rPr>
        <w:t xml:space="preserve"> </w:t>
      </w:r>
      <w:r>
        <w:rPr>
          <w:rFonts w:ascii="Bookman Old Style" w:hAnsi="Bookman Old Style" w:cs="Arial"/>
          <w:spacing w:val="-3"/>
        </w:rPr>
        <w:t>diciembre</w:t>
      </w:r>
      <w:r w:rsidRPr="00B84711">
        <w:rPr>
          <w:rFonts w:ascii="Bookman Old Style" w:hAnsi="Bookman Old Style" w:cs="Arial"/>
          <w:spacing w:val="-3"/>
        </w:rPr>
        <w:t xml:space="preserve"> de 201</w:t>
      </w:r>
      <w:r>
        <w:rPr>
          <w:rFonts w:ascii="Bookman Old Style" w:hAnsi="Bookman Old Style" w:cs="Arial"/>
          <w:spacing w:val="-3"/>
        </w:rPr>
        <w:t>6</w:t>
      </w:r>
      <w:r w:rsidRPr="00B84711">
        <w:rPr>
          <w:rFonts w:ascii="Bookman Old Style" w:hAnsi="Bookman Old Style" w:cs="Arial"/>
          <w:spacing w:val="-3"/>
        </w:rPr>
        <w:t xml:space="preserve">, aprobó </w:t>
      </w:r>
      <w:r>
        <w:rPr>
          <w:rFonts w:ascii="Bookman Old Style" w:hAnsi="Bookman Old Style"/>
        </w:rPr>
        <w:t>expedir la presente resolución.</w:t>
      </w:r>
    </w:p>
    <w:p w:rsidR="002240B8" w:rsidRPr="00762CAB" w:rsidRDefault="002240B8" w:rsidP="002240B8">
      <w:pPr>
        <w:ind w:left="0"/>
        <w:rPr>
          <w:rFonts w:ascii="Bookman Old Style" w:hAnsi="Bookman Old Style"/>
          <w:i/>
          <w:lang w:val="es-CO"/>
        </w:rPr>
      </w:pPr>
    </w:p>
    <w:p w:rsidR="002240B8" w:rsidRPr="009B6973" w:rsidRDefault="002240B8" w:rsidP="002240B8">
      <w:pPr>
        <w:tabs>
          <w:tab w:val="center" w:pos="4512"/>
        </w:tabs>
        <w:suppressAutoHyphens/>
        <w:ind w:left="170"/>
        <w:jc w:val="center"/>
        <w:rPr>
          <w:rFonts w:ascii="Bookman Old Style" w:hAnsi="Bookman Old Style"/>
          <w:b/>
          <w:spacing w:val="-3"/>
        </w:rPr>
      </w:pPr>
      <w:r w:rsidRPr="009B6973">
        <w:rPr>
          <w:rFonts w:ascii="Bookman Old Style" w:hAnsi="Bookman Old Style"/>
          <w:b/>
          <w:spacing w:val="-3"/>
        </w:rPr>
        <w:t>R E S U E L V E:</w:t>
      </w:r>
    </w:p>
    <w:p w:rsidR="002240B8" w:rsidRPr="009B6973" w:rsidRDefault="002240B8" w:rsidP="002240B8">
      <w:pPr>
        <w:ind w:left="0"/>
        <w:jc w:val="both"/>
        <w:rPr>
          <w:rFonts w:ascii="Bookman Old Style" w:hAnsi="Bookman Old Style"/>
          <w:b/>
        </w:rPr>
      </w:pPr>
    </w:p>
    <w:p w:rsidR="002240B8" w:rsidRPr="009B6973" w:rsidRDefault="002240B8" w:rsidP="002240B8">
      <w:pPr>
        <w:ind w:left="0"/>
        <w:jc w:val="both"/>
        <w:rPr>
          <w:rFonts w:ascii="Bookman Old Style" w:hAnsi="Bookman Old Style"/>
        </w:rPr>
      </w:pPr>
      <w:r w:rsidRPr="009B6973">
        <w:rPr>
          <w:rFonts w:ascii="Bookman Old Style" w:hAnsi="Bookman Old Style"/>
          <w:b/>
        </w:rPr>
        <w:t>ARTÍCULO 1.</w:t>
      </w:r>
      <w:r w:rsidRPr="009B6973">
        <w:rPr>
          <w:rFonts w:ascii="Bookman Old Style" w:hAnsi="Bookman Old Style"/>
        </w:rPr>
        <w:t xml:space="preserve"> </w:t>
      </w:r>
      <w:r>
        <w:rPr>
          <w:rFonts w:ascii="Bookman Old Style" w:hAnsi="Bookman Old Style"/>
          <w:b/>
        </w:rPr>
        <w:t>MODIFICAR</w:t>
      </w:r>
      <w:r w:rsidRPr="009B6973">
        <w:rPr>
          <w:rFonts w:ascii="Bookman Old Style" w:hAnsi="Bookman Old Style"/>
          <w:b/>
        </w:rPr>
        <w:t>,</w:t>
      </w:r>
      <w:r>
        <w:rPr>
          <w:rFonts w:ascii="Bookman Old Style" w:hAnsi="Bookman Old Style"/>
          <w:b/>
        </w:rPr>
        <w:t xml:space="preserve"> </w:t>
      </w:r>
      <w:r>
        <w:rPr>
          <w:rFonts w:ascii="Bookman Old Style" w:hAnsi="Bookman Old Style"/>
        </w:rPr>
        <w:t>El artículo primero de la resolución</w:t>
      </w:r>
      <w:r w:rsidRPr="009B6973">
        <w:rPr>
          <w:rFonts w:ascii="Bookman Old Style" w:hAnsi="Bookman Old Style"/>
        </w:rPr>
        <w:t xml:space="preserve"> CREG-</w:t>
      </w:r>
      <w:r>
        <w:rPr>
          <w:rFonts w:ascii="Bookman Old Style" w:hAnsi="Bookman Old Style"/>
        </w:rPr>
        <w:t>188 de 2016</w:t>
      </w:r>
      <w:r w:rsidRPr="009B6973">
        <w:rPr>
          <w:rFonts w:ascii="Bookman Old Style" w:hAnsi="Bookman Old Style"/>
        </w:rPr>
        <w:t xml:space="preserve">, </w:t>
      </w:r>
      <w:r>
        <w:rPr>
          <w:rFonts w:ascii="Bookman Old Style" w:hAnsi="Bookman Old Style"/>
        </w:rPr>
        <w:t xml:space="preserve">en la cual se señala la base gravable y el valor a pagar por la empresa </w:t>
      </w:r>
      <w:r>
        <w:rPr>
          <w:rFonts w:ascii="Bookman Old Style" w:hAnsi="Bookman Old Style"/>
          <w:bCs/>
        </w:rPr>
        <w:t>XM COMPAÑIA DE EXPERTOS EN MERCADOS S.A. E.S.P.</w:t>
      </w:r>
      <w:r w:rsidR="00360C47">
        <w:rPr>
          <w:rFonts w:ascii="Bookman Old Style" w:hAnsi="Bookman Old Style"/>
          <w:bCs/>
        </w:rPr>
        <w:t>,</w:t>
      </w:r>
      <w:r>
        <w:rPr>
          <w:rFonts w:ascii="Bookman Old Style" w:hAnsi="Bookman Old Style"/>
          <w:bCs/>
        </w:rPr>
        <w:t xml:space="preserve"> </w:t>
      </w:r>
      <w:r w:rsidRPr="009B6973">
        <w:rPr>
          <w:rFonts w:ascii="Bookman Old Style" w:hAnsi="Bookman Old Style"/>
        </w:rPr>
        <w:t>con fundamento en las razones expuestas en la parte motiva de este proveído.</w:t>
      </w:r>
    </w:p>
    <w:p w:rsidR="002240B8" w:rsidRPr="00C24A4F" w:rsidRDefault="002240B8" w:rsidP="002240B8">
      <w:pPr>
        <w:ind w:left="0"/>
        <w:jc w:val="both"/>
        <w:rPr>
          <w:rFonts w:ascii="Bookman Old Style" w:hAnsi="Bookman Old Style"/>
          <w:b/>
        </w:rPr>
      </w:pPr>
    </w:p>
    <w:p w:rsidR="002240B8" w:rsidRDefault="002240B8" w:rsidP="002240B8">
      <w:pPr>
        <w:ind w:left="0"/>
        <w:jc w:val="both"/>
        <w:rPr>
          <w:rFonts w:ascii="Bookman Old Style" w:hAnsi="Bookman Old Style"/>
        </w:rPr>
      </w:pPr>
      <w:r w:rsidRPr="00C24A4F">
        <w:rPr>
          <w:rFonts w:ascii="Bookman Old Style" w:hAnsi="Bookman Old Style"/>
          <w:b/>
        </w:rPr>
        <w:t>Parágrafo:</w:t>
      </w:r>
      <w:r>
        <w:rPr>
          <w:rFonts w:ascii="Bookman Old Style" w:hAnsi="Bookman Old Style"/>
        </w:rPr>
        <w:t xml:space="preserve"> En consecuencia de lo anterior, el valor a pagar por parte de la empresa </w:t>
      </w:r>
      <w:r>
        <w:rPr>
          <w:rFonts w:ascii="Bookman Old Style" w:hAnsi="Bookman Old Style"/>
          <w:bCs/>
        </w:rPr>
        <w:t>XM COMPAÑIA DE EXPERTOS EN MERCADOS S.A. E.S.P.</w:t>
      </w:r>
      <w:r w:rsidR="00360C47">
        <w:rPr>
          <w:rFonts w:ascii="Bookman Old Style" w:hAnsi="Bookman Old Style"/>
          <w:bCs/>
        </w:rPr>
        <w:t>,</w:t>
      </w:r>
      <w:r>
        <w:rPr>
          <w:rFonts w:ascii="Bookman Old Style" w:hAnsi="Bookman Old Style"/>
          <w:bCs/>
        </w:rPr>
        <w:t xml:space="preserve"> corresponde a la suma de</w:t>
      </w:r>
      <w:r w:rsidR="00A14BA1" w:rsidRPr="00A14BA1">
        <w:rPr>
          <w:rFonts w:ascii="Bookman Old Style" w:hAnsi="Bookman Old Style"/>
        </w:rPr>
        <w:t xml:space="preserve"> </w:t>
      </w:r>
      <w:r w:rsidR="001E037C">
        <w:rPr>
          <w:rFonts w:ascii="Bookman Old Style" w:hAnsi="Bookman Old Style"/>
        </w:rPr>
        <w:t>DOSCIENTOS CUARENTA MILLONES SESENTA Y SIETE MIL OCHOCIENTOS VEINTICUATRO PESOS ($240.077.824.oo) M/cte.</w:t>
      </w:r>
    </w:p>
    <w:p w:rsidR="002240B8" w:rsidRPr="009B6973" w:rsidRDefault="002240B8" w:rsidP="002240B8">
      <w:pPr>
        <w:ind w:left="0"/>
        <w:jc w:val="both"/>
        <w:rPr>
          <w:rFonts w:ascii="Bookman Old Style" w:hAnsi="Bookman Old Style"/>
        </w:rPr>
      </w:pPr>
    </w:p>
    <w:p w:rsidR="002240B8" w:rsidRPr="009B6973" w:rsidRDefault="002240B8" w:rsidP="002240B8">
      <w:pPr>
        <w:ind w:left="0"/>
        <w:jc w:val="both"/>
        <w:rPr>
          <w:rFonts w:ascii="Bookman Old Style" w:hAnsi="Bookman Old Style"/>
        </w:rPr>
      </w:pPr>
      <w:r w:rsidRPr="009B6973">
        <w:rPr>
          <w:rFonts w:ascii="Bookman Old Style" w:hAnsi="Bookman Old Style"/>
          <w:b/>
        </w:rPr>
        <w:t>ARTÍCULO 2.</w:t>
      </w:r>
      <w:r w:rsidRPr="009B6973">
        <w:rPr>
          <w:rFonts w:ascii="Bookman Old Style" w:hAnsi="Bookman Old Style"/>
        </w:rPr>
        <w:t xml:space="preserve"> </w:t>
      </w:r>
      <w:r w:rsidRPr="009B6973">
        <w:rPr>
          <w:rFonts w:ascii="Bookman Old Style" w:hAnsi="Bookman Old Style"/>
        </w:rPr>
        <w:tab/>
      </w:r>
      <w:r>
        <w:rPr>
          <w:rFonts w:ascii="Bookman Old Style" w:hAnsi="Bookman Old Style"/>
          <w:b/>
        </w:rPr>
        <w:t xml:space="preserve">INFORMAR, </w:t>
      </w:r>
      <w:r>
        <w:rPr>
          <w:rFonts w:ascii="Bookman Old Style" w:hAnsi="Bookman Old Style"/>
        </w:rPr>
        <w:t>a quien corresponda el contenido de la presente resolución para que efectué los ajustes contables necesarios y se emita el respectivo paz y salvo de la resolución 188 de 2016 con destino al recurrente</w:t>
      </w:r>
      <w:r w:rsidRPr="009B6973">
        <w:rPr>
          <w:rFonts w:ascii="Bookman Old Style" w:hAnsi="Bookman Old Style"/>
        </w:rPr>
        <w:t>.</w:t>
      </w:r>
    </w:p>
    <w:p w:rsidR="002240B8" w:rsidRPr="009B6973" w:rsidRDefault="002240B8" w:rsidP="002240B8">
      <w:pPr>
        <w:ind w:left="0"/>
        <w:jc w:val="both"/>
        <w:rPr>
          <w:rFonts w:ascii="Bookman Old Style" w:hAnsi="Bookman Old Style" w:cs="Arial"/>
          <w:color w:val="000000"/>
        </w:rPr>
      </w:pPr>
    </w:p>
    <w:p w:rsidR="002240B8" w:rsidRPr="009B6973" w:rsidRDefault="002240B8" w:rsidP="002240B8">
      <w:pPr>
        <w:ind w:left="0"/>
        <w:jc w:val="both"/>
        <w:rPr>
          <w:rFonts w:ascii="Bookman Old Style" w:hAnsi="Bookman Old Style" w:cs="Arial"/>
        </w:rPr>
      </w:pPr>
      <w:r w:rsidRPr="009B6973">
        <w:rPr>
          <w:rFonts w:ascii="Bookman Old Style" w:hAnsi="Bookman Old Style"/>
          <w:b/>
        </w:rPr>
        <w:t xml:space="preserve">ARTÍCULO 3. NOTIFICAR </w:t>
      </w:r>
      <w:r w:rsidRPr="009B6973">
        <w:rPr>
          <w:rFonts w:ascii="Bookman Old Style" w:hAnsi="Bookman Old Style"/>
        </w:rPr>
        <w:t xml:space="preserve">al representante legal de la </w:t>
      </w:r>
      <w:r>
        <w:rPr>
          <w:rFonts w:ascii="Bookman Old Style" w:hAnsi="Bookman Old Style"/>
        </w:rPr>
        <w:t xml:space="preserve">empresa </w:t>
      </w:r>
      <w:r>
        <w:rPr>
          <w:rFonts w:ascii="Bookman Old Style" w:hAnsi="Bookman Old Style" w:cs="Arial"/>
        </w:rPr>
        <w:t>XM COMPAÑIA DE EXPERTOS EN MERCADOS S.A. E.S.P.</w:t>
      </w:r>
      <w:r w:rsidRPr="009B6973">
        <w:rPr>
          <w:rFonts w:ascii="Bookman Old Style" w:hAnsi="Bookman Old Style"/>
          <w:bCs/>
        </w:rPr>
        <w:t xml:space="preserve">, </w:t>
      </w:r>
      <w:r w:rsidRPr="009B6973">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2240B8" w:rsidRPr="009B6973" w:rsidRDefault="002240B8" w:rsidP="002240B8">
      <w:pPr>
        <w:ind w:left="170"/>
        <w:jc w:val="both"/>
        <w:rPr>
          <w:rFonts w:ascii="Bookman Old Style" w:hAnsi="Bookman Old Style" w:cs="Arial"/>
        </w:rPr>
      </w:pPr>
    </w:p>
    <w:p w:rsidR="002240B8" w:rsidRPr="009B6973" w:rsidRDefault="002240B8" w:rsidP="002240B8">
      <w:pPr>
        <w:ind w:left="0"/>
        <w:jc w:val="both"/>
        <w:rPr>
          <w:rFonts w:ascii="Bookman Old Style" w:hAnsi="Bookman Old Style"/>
        </w:rPr>
      </w:pPr>
      <w:r w:rsidRPr="009B6973">
        <w:rPr>
          <w:rFonts w:ascii="Bookman Old Style" w:hAnsi="Bookman Old Style"/>
          <w:b/>
        </w:rPr>
        <w:t xml:space="preserve">ARTÍCULO 4. </w:t>
      </w:r>
      <w:r w:rsidRPr="009B6973">
        <w:rPr>
          <w:rFonts w:ascii="Bookman Old Style" w:hAnsi="Bookman Old Style"/>
        </w:rPr>
        <w:t>Contra la presente resolución no procede recurso alguno, quedando por lo tanto agotada la vía gubernativa.</w:t>
      </w:r>
    </w:p>
    <w:p w:rsidR="002240B8" w:rsidRPr="009B6973" w:rsidRDefault="002240B8" w:rsidP="002240B8">
      <w:pPr>
        <w:ind w:left="0"/>
        <w:jc w:val="both"/>
        <w:rPr>
          <w:rFonts w:ascii="Bookman Old Style" w:hAnsi="Bookman Old Style" w:cs="Arial"/>
        </w:rPr>
      </w:pPr>
    </w:p>
    <w:p w:rsidR="002240B8" w:rsidRPr="009B6973" w:rsidRDefault="002240B8" w:rsidP="002240B8">
      <w:pPr>
        <w:ind w:left="0"/>
        <w:jc w:val="both"/>
        <w:rPr>
          <w:rFonts w:ascii="Bookman Old Style" w:hAnsi="Bookman Old Style" w:cs="Arial"/>
        </w:rPr>
      </w:pPr>
    </w:p>
    <w:p w:rsidR="002240B8" w:rsidRPr="009B6973" w:rsidRDefault="002240B8" w:rsidP="002240B8">
      <w:pPr>
        <w:ind w:left="0"/>
        <w:jc w:val="center"/>
        <w:rPr>
          <w:rFonts w:ascii="Bookman Old Style" w:hAnsi="Bookman Old Style" w:cs="Arial"/>
          <w:b/>
        </w:rPr>
      </w:pPr>
      <w:r w:rsidRPr="009B6973">
        <w:rPr>
          <w:rFonts w:ascii="Bookman Old Style" w:hAnsi="Bookman Old Style" w:cs="Arial"/>
          <w:b/>
        </w:rPr>
        <w:t>NOTIFÍQUESE Y CÚMPLASE</w:t>
      </w:r>
    </w:p>
    <w:p w:rsidR="002240B8" w:rsidRPr="009B6973" w:rsidRDefault="002240B8" w:rsidP="002240B8">
      <w:pPr>
        <w:ind w:left="0"/>
        <w:jc w:val="center"/>
        <w:rPr>
          <w:rFonts w:ascii="Bookman Old Style" w:hAnsi="Bookman Old Style" w:cs="Arial"/>
          <w:b/>
        </w:rPr>
      </w:pPr>
    </w:p>
    <w:p w:rsidR="002240B8" w:rsidRPr="009B6973" w:rsidRDefault="002240B8" w:rsidP="002240B8">
      <w:pPr>
        <w:ind w:left="0"/>
        <w:rPr>
          <w:rFonts w:ascii="Bookman Old Style" w:hAnsi="Bookman Old Style" w:cs="Arial"/>
        </w:rPr>
      </w:pPr>
    </w:p>
    <w:p w:rsidR="002240B8" w:rsidRPr="009B6973" w:rsidRDefault="002240B8" w:rsidP="002240B8">
      <w:pPr>
        <w:ind w:left="0"/>
        <w:rPr>
          <w:rFonts w:ascii="Bookman Old Style" w:hAnsi="Bookman Old Style" w:cs="Arial"/>
        </w:rPr>
      </w:pPr>
      <w:r w:rsidRPr="009B6973">
        <w:rPr>
          <w:rFonts w:ascii="Bookman Old Style" w:hAnsi="Bookman Old Style" w:cs="Arial"/>
        </w:rPr>
        <w:t xml:space="preserve">Dada en Bogotá D.C, a </w:t>
      </w:r>
    </w:p>
    <w:p w:rsidR="002240B8" w:rsidRDefault="002240B8" w:rsidP="002240B8">
      <w:pPr>
        <w:ind w:left="0"/>
        <w:jc w:val="both"/>
        <w:rPr>
          <w:rFonts w:ascii="Bookman Old Style" w:hAnsi="Bookman Old Style" w:cs="Arial"/>
          <w:b/>
        </w:rPr>
      </w:pPr>
    </w:p>
    <w:p w:rsidR="0014412A" w:rsidRDefault="0014412A" w:rsidP="002240B8">
      <w:pPr>
        <w:ind w:left="0"/>
        <w:jc w:val="both"/>
        <w:rPr>
          <w:rFonts w:ascii="Bookman Old Style" w:hAnsi="Bookman Old Style" w:cs="Arial"/>
          <w:b/>
        </w:rPr>
      </w:pPr>
    </w:p>
    <w:p w:rsidR="0014412A" w:rsidRDefault="0014412A" w:rsidP="002240B8">
      <w:pPr>
        <w:ind w:left="0"/>
        <w:jc w:val="both"/>
        <w:rPr>
          <w:rFonts w:ascii="Bookman Old Style" w:hAnsi="Bookman Old Style" w:cs="Arial"/>
          <w:b/>
        </w:rPr>
      </w:pPr>
    </w:p>
    <w:p w:rsidR="0014412A" w:rsidRDefault="0014412A" w:rsidP="002240B8">
      <w:pPr>
        <w:ind w:left="0"/>
        <w:jc w:val="both"/>
        <w:rPr>
          <w:rFonts w:ascii="Bookman Old Style" w:hAnsi="Bookman Old Style" w:cs="Arial"/>
          <w:b/>
        </w:rPr>
      </w:pPr>
    </w:p>
    <w:p w:rsidR="0014412A" w:rsidRDefault="0014412A" w:rsidP="002240B8">
      <w:pPr>
        <w:ind w:left="0"/>
        <w:jc w:val="both"/>
        <w:rPr>
          <w:rFonts w:ascii="Bookman Old Style" w:hAnsi="Bookman Old Style" w:cs="Arial"/>
          <w:b/>
        </w:rPr>
      </w:pPr>
    </w:p>
    <w:p w:rsidR="0014412A" w:rsidRPr="009B6973" w:rsidRDefault="0014412A" w:rsidP="002240B8">
      <w:pPr>
        <w:ind w:left="0"/>
        <w:jc w:val="both"/>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14412A" w:rsidTr="009E4C33">
        <w:trPr>
          <w:tblCellSpacing w:w="0" w:type="dxa"/>
          <w:jc w:val="center"/>
        </w:trPr>
        <w:tc>
          <w:tcPr>
            <w:tcW w:w="5529" w:type="dxa"/>
            <w:hideMark/>
          </w:tcPr>
          <w:p w:rsidR="0014412A" w:rsidRDefault="0014412A" w:rsidP="009E4C33">
            <w:pPr>
              <w:ind w:left="66"/>
              <w:jc w:val="center"/>
              <w:rPr>
                <w:rFonts w:ascii="Bookman Old Style" w:hAnsi="Bookman Old Style" w:cs="Arial"/>
                <w:b/>
                <w:spacing w:val="-3"/>
              </w:rPr>
            </w:pPr>
            <w:r>
              <w:rPr>
                <w:rFonts w:ascii="Bookman Old Style" w:hAnsi="Bookman Old Style" w:cs="Arial"/>
                <w:b/>
                <w:spacing w:val="-3"/>
              </w:rPr>
              <w:t>RUTTY PAOLA ORTIZ JARA</w:t>
            </w:r>
          </w:p>
          <w:p w:rsidR="0014412A" w:rsidRDefault="0014412A" w:rsidP="009E4C33">
            <w:pPr>
              <w:ind w:left="66"/>
              <w:jc w:val="center"/>
              <w:rPr>
                <w:rFonts w:ascii="Bookman Old Style" w:hAnsi="Bookman Old Style" w:cs="Arial"/>
                <w:b/>
                <w:spacing w:val="-3"/>
              </w:rPr>
            </w:pPr>
            <w:r>
              <w:rPr>
                <w:rFonts w:ascii="Bookman Old Style" w:hAnsi="Bookman Old Style" w:cs="Arial"/>
                <w:spacing w:val="-3"/>
              </w:rPr>
              <w:t>Viceministra de Energía</w:t>
            </w:r>
          </w:p>
        </w:tc>
        <w:tc>
          <w:tcPr>
            <w:tcW w:w="3969" w:type="dxa"/>
            <w:hideMark/>
          </w:tcPr>
          <w:p w:rsidR="0014412A" w:rsidRDefault="0014412A" w:rsidP="009E4C33">
            <w:pPr>
              <w:ind w:left="89"/>
              <w:jc w:val="center"/>
              <w:rPr>
                <w:rFonts w:ascii="Bookman Old Style" w:hAnsi="Bookman Old Style" w:cs="Arial"/>
                <w:b/>
                <w:spacing w:val="-3"/>
              </w:rPr>
            </w:pPr>
            <w:r>
              <w:rPr>
                <w:rFonts w:ascii="Bookman Old Style" w:hAnsi="Bookman Old Style" w:cs="Arial"/>
                <w:b/>
                <w:spacing w:val="-3"/>
              </w:rPr>
              <w:t>GERMÁN CASTRO FERREIRA</w:t>
            </w:r>
          </w:p>
        </w:tc>
      </w:tr>
      <w:tr w:rsidR="0014412A" w:rsidTr="009E4C33">
        <w:trPr>
          <w:tblCellSpacing w:w="0" w:type="dxa"/>
          <w:jc w:val="center"/>
        </w:trPr>
        <w:tc>
          <w:tcPr>
            <w:tcW w:w="5529" w:type="dxa"/>
            <w:hideMark/>
          </w:tcPr>
          <w:p w:rsidR="0014412A" w:rsidRDefault="0014412A" w:rsidP="00A13413">
            <w:pPr>
              <w:ind w:left="66"/>
              <w:jc w:val="center"/>
              <w:rPr>
                <w:rFonts w:ascii="Bookman Old Style" w:eastAsia="Arial Unicode MS" w:hAnsi="Bookman Old Style" w:cs="Arial"/>
                <w:color w:val="000000"/>
              </w:rPr>
            </w:pPr>
            <w:r>
              <w:rPr>
                <w:rFonts w:ascii="Bookman Old Style" w:hAnsi="Bookman Old Style" w:cs="Arial"/>
                <w:spacing w:val="-3"/>
              </w:rPr>
              <w:t>Delegada del Ministro de Minas y Energía Presidente</w:t>
            </w:r>
          </w:p>
        </w:tc>
        <w:tc>
          <w:tcPr>
            <w:tcW w:w="3969" w:type="dxa"/>
            <w:hideMark/>
          </w:tcPr>
          <w:p w:rsidR="0014412A" w:rsidRDefault="0014412A" w:rsidP="009E4C33">
            <w:pPr>
              <w:jc w:val="center"/>
              <w:rPr>
                <w:rFonts w:ascii="Bookman Old Style" w:eastAsia="Arial Unicode MS" w:hAnsi="Bookman Old Style" w:cs="Arial"/>
                <w:color w:val="000000"/>
              </w:rPr>
            </w:pPr>
            <w:r>
              <w:rPr>
                <w:rFonts w:ascii="Bookman Old Style" w:hAnsi="Bookman Old Style" w:cs="Arial"/>
                <w:spacing w:val="-3"/>
              </w:rPr>
              <w:t>Director Ejecutivo</w:t>
            </w:r>
          </w:p>
        </w:tc>
      </w:tr>
    </w:tbl>
    <w:p w:rsidR="002240B8" w:rsidRDefault="002240B8" w:rsidP="002240B8">
      <w:pPr>
        <w:rPr>
          <w:rFonts w:ascii="Bookman Old Style" w:hAnsi="Bookman Old Style" w:cs="Arial"/>
          <w:szCs w:val="20"/>
        </w:rPr>
      </w:pPr>
    </w:p>
    <w:p w:rsidR="002240B8" w:rsidRDefault="002240B8" w:rsidP="002240B8">
      <w:pPr>
        <w:rPr>
          <w:rFonts w:ascii="Bookman Old Style" w:hAnsi="Bookman Old Style" w:cs="Arial"/>
          <w:b/>
          <w:spacing w:val="-3"/>
        </w:rPr>
      </w:pPr>
    </w:p>
    <w:p w:rsidR="0014412A" w:rsidRDefault="0014412A" w:rsidP="002240B8"/>
    <w:p w:rsidR="002240B8" w:rsidRDefault="002240B8" w:rsidP="002240B8"/>
    <w:p w:rsidR="002240B8" w:rsidRPr="00E01A94" w:rsidRDefault="002240B8" w:rsidP="002240B8"/>
    <w:p w:rsidR="003C6F78" w:rsidRDefault="003C6F78"/>
    <w:sectPr w:rsidR="003C6F78" w:rsidSect="00337231">
      <w:headerReference w:type="default" r:id="rId9"/>
      <w:headerReference w:type="first" r:id="rId10"/>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238" w:rsidRDefault="002D6238" w:rsidP="002240B8">
      <w:r>
        <w:separator/>
      </w:r>
    </w:p>
  </w:endnote>
  <w:endnote w:type="continuationSeparator" w:id="0">
    <w:p w:rsidR="002D6238" w:rsidRDefault="002D6238" w:rsidP="0022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238" w:rsidRDefault="002D6238" w:rsidP="002240B8">
      <w:r>
        <w:separator/>
      </w:r>
    </w:p>
  </w:footnote>
  <w:footnote w:type="continuationSeparator" w:id="0">
    <w:p w:rsidR="002D6238" w:rsidRDefault="002D6238" w:rsidP="002240B8">
      <w:r>
        <w:continuationSeparator/>
      </w:r>
    </w:p>
  </w:footnote>
  <w:footnote w:id="1">
    <w:p w:rsidR="002240B8" w:rsidRPr="000C6060" w:rsidRDefault="002240B8" w:rsidP="002240B8">
      <w:pPr>
        <w:pStyle w:val="Textonotapie"/>
      </w:pPr>
      <w:r>
        <w:rPr>
          <w:rStyle w:val="Refdenotaalpie"/>
        </w:rPr>
        <w:footnoteRef/>
      </w:r>
      <w:r>
        <w:t xml:space="preserve"> Artículo 85 Ley 142 de 1994</w:t>
      </w:r>
    </w:p>
  </w:footnote>
  <w:footnote w:id="2">
    <w:p w:rsidR="002240B8" w:rsidRPr="003D5A97" w:rsidRDefault="002240B8" w:rsidP="002240B8">
      <w:pPr>
        <w:pStyle w:val="Textonotapie"/>
        <w:rPr>
          <w:b/>
        </w:rPr>
      </w:pPr>
      <w:r>
        <w:rPr>
          <w:rStyle w:val="Refdenotaalpie"/>
        </w:rPr>
        <w:footnoteRef/>
      </w:r>
      <w:r>
        <w:t xml:space="preserve"> </w:t>
      </w:r>
    </w:p>
    <w:p w:rsidR="002240B8" w:rsidRPr="003D5A97" w:rsidRDefault="002240B8" w:rsidP="002240B8">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EE3009" w:rsidP="00951F79">
    <w:pPr>
      <w:pStyle w:val="Ttulo1"/>
      <w:ind w:right="6"/>
      <w:jc w:val="left"/>
      <w:rPr>
        <w:rFonts w:ascii="Bookman Old Style" w:hAnsi="Bookman Old Style" w:cs="Arial"/>
        <w:b w:val="0"/>
        <w:sz w:val="22"/>
        <w:szCs w:val="22"/>
      </w:rPr>
    </w:pPr>
  </w:p>
  <w:p w:rsidR="00227116" w:rsidRPr="00951F79" w:rsidRDefault="00621FD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E3009">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E3009">
      <w:fldChar w:fldCharType="begin"/>
    </w:r>
    <w:r w:rsidR="00EE3009">
      <w:instrText xml:space="preserve"> NUMPAGES  \* MERGEFORMAT </w:instrText>
    </w:r>
    <w:r w:rsidR="00EE3009">
      <w:fldChar w:fldCharType="separate"/>
    </w:r>
    <w:r w:rsidR="00EE3009" w:rsidRPr="00EE3009">
      <w:rPr>
        <w:rFonts w:ascii="Bookman Old Style" w:hAnsi="Bookman Old Style" w:cs="Arial"/>
        <w:b w:val="0"/>
        <w:noProof/>
        <w:sz w:val="22"/>
        <w:szCs w:val="22"/>
      </w:rPr>
      <w:t>8</w:t>
    </w:r>
    <w:r w:rsidR="00EE3009">
      <w:rPr>
        <w:rFonts w:ascii="Bookman Old Style" w:hAnsi="Bookman Old Style" w:cs="Arial"/>
        <w:b w:val="0"/>
        <w:noProof/>
        <w:sz w:val="22"/>
        <w:szCs w:val="22"/>
      </w:rPr>
      <w:fldChar w:fldCharType="end"/>
    </w:r>
  </w:p>
  <w:p w:rsidR="00227116" w:rsidRDefault="00621FD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BB844E2" wp14:editId="07374030">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7D756"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14412A" w:rsidRDefault="0014412A" w:rsidP="00AD01E4">
    <w:pPr>
      <w:pBdr>
        <w:bottom w:val="single" w:sz="4" w:space="1" w:color="auto"/>
      </w:pBdr>
      <w:ind w:left="142" w:right="148"/>
      <w:rPr>
        <w:b/>
        <w:sz w:val="22"/>
        <w:szCs w:val="22"/>
      </w:rPr>
    </w:pPr>
    <w:r w:rsidRPr="0014412A">
      <w:rPr>
        <w:rFonts w:ascii="Bookman Old Style" w:hAnsi="Bookman Old Style"/>
        <w:sz w:val="22"/>
        <w:szCs w:val="22"/>
      </w:rPr>
      <w:t xml:space="preserve">Por medio de la cual se resuelve un recurso de reposición en contra de la Resolución CREG 188 de 2016, interpuesto por </w:t>
    </w:r>
    <w:r w:rsidRPr="0014412A">
      <w:rPr>
        <w:rFonts w:ascii="Bookman Old Style" w:hAnsi="Bookman Old Style" w:cs="Arial"/>
        <w:sz w:val="22"/>
        <w:szCs w:val="22"/>
      </w:rPr>
      <w:t>XM COMPAÑIA DE EXPERTOS EN MERCADOS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16" w:rsidRDefault="00621FD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EE3009">
    <w:pPr>
      <w:pStyle w:val="Encabezado"/>
      <w:jc w:val="center"/>
      <w:rPr>
        <w:rFonts w:ascii="Arial" w:hAnsi="Arial" w:cs="Arial"/>
        <w:spacing w:val="20"/>
        <w:sz w:val="20"/>
      </w:rPr>
    </w:pPr>
  </w:p>
  <w:p w:rsidR="00227116" w:rsidRDefault="00621FD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6DA619BF" wp14:editId="1836A9F4">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97E22"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B8"/>
    <w:rsid w:val="0001566D"/>
    <w:rsid w:val="0014412A"/>
    <w:rsid w:val="001B7B4F"/>
    <w:rsid w:val="001E037C"/>
    <w:rsid w:val="002240B8"/>
    <w:rsid w:val="002B27EB"/>
    <w:rsid w:val="002D6238"/>
    <w:rsid w:val="00311ED2"/>
    <w:rsid w:val="00360C47"/>
    <w:rsid w:val="003C6F78"/>
    <w:rsid w:val="003D076C"/>
    <w:rsid w:val="004A327F"/>
    <w:rsid w:val="004A47AB"/>
    <w:rsid w:val="00621FD7"/>
    <w:rsid w:val="006372DF"/>
    <w:rsid w:val="0064428C"/>
    <w:rsid w:val="006D6A3A"/>
    <w:rsid w:val="00885483"/>
    <w:rsid w:val="00A13413"/>
    <w:rsid w:val="00A14BA1"/>
    <w:rsid w:val="00B86C54"/>
    <w:rsid w:val="00B93647"/>
    <w:rsid w:val="00C17F78"/>
    <w:rsid w:val="00CA02B0"/>
    <w:rsid w:val="00D64441"/>
    <w:rsid w:val="00D848C8"/>
    <w:rsid w:val="00E21331"/>
    <w:rsid w:val="00E44A58"/>
    <w:rsid w:val="00E70005"/>
    <w:rsid w:val="00EE3009"/>
    <w:rsid w:val="00F60CC4"/>
    <w:rsid w:val="00F639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1316558-CD6E-4B2E-8978-668878D8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B8"/>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240B8"/>
    <w:pPr>
      <w:keepNext/>
      <w:jc w:val="center"/>
      <w:outlineLvl w:val="0"/>
    </w:pPr>
    <w:rPr>
      <w:rFonts w:ascii="CG Times" w:hAnsi="CG Times"/>
      <w:b/>
      <w:szCs w:val="20"/>
      <w:lang w:val="es-CO"/>
    </w:rPr>
  </w:style>
  <w:style w:type="paragraph" w:styleId="Ttulo3">
    <w:name w:val="heading 3"/>
    <w:basedOn w:val="Normal"/>
    <w:next w:val="Normal"/>
    <w:link w:val="Ttulo3Car"/>
    <w:qFormat/>
    <w:rsid w:val="002240B8"/>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2240B8"/>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240B8"/>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40B8"/>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2240B8"/>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2240B8"/>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2240B8"/>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2240B8"/>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2240B8"/>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2240B8"/>
    <w:pPr>
      <w:ind w:left="708"/>
    </w:pPr>
    <w:rPr>
      <w:sz w:val="20"/>
      <w:szCs w:val="20"/>
      <w:lang w:val="es-CO"/>
    </w:rPr>
  </w:style>
  <w:style w:type="character" w:customStyle="1" w:styleId="PrrafodelistaCar">
    <w:name w:val="Párrafo de lista Car"/>
    <w:basedOn w:val="Fuentedeprrafopredeter"/>
    <w:link w:val="Prrafodelista"/>
    <w:uiPriority w:val="34"/>
    <w:rsid w:val="002240B8"/>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2240B8"/>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2240B8"/>
    <w:rPr>
      <w:sz w:val="20"/>
      <w:szCs w:val="20"/>
    </w:rPr>
  </w:style>
  <w:style w:type="character" w:customStyle="1" w:styleId="TextonotapieCar">
    <w:name w:val="Texto nota pie Car"/>
    <w:basedOn w:val="Fuentedeprrafopredeter"/>
    <w:link w:val="Textonotapie"/>
    <w:uiPriority w:val="99"/>
    <w:semiHidden/>
    <w:rsid w:val="002240B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240B8"/>
    <w:rPr>
      <w:vertAlign w:val="superscript"/>
    </w:rPr>
  </w:style>
  <w:style w:type="character" w:customStyle="1" w:styleId="CharStyle25">
    <w:name w:val="Char Style 25"/>
    <w:basedOn w:val="Fuentedeprrafopredeter"/>
    <w:link w:val="Style24"/>
    <w:uiPriority w:val="99"/>
    <w:rsid w:val="002240B8"/>
    <w:rPr>
      <w:rFonts w:ascii="Arial" w:hAnsi="Arial" w:cs="Arial"/>
      <w:sz w:val="17"/>
      <w:szCs w:val="17"/>
      <w:shd w:val="clear" w:color="auto" w:fill="FFFFFF"/>
    </w:rPr>
  </w:style>
  <w:style w:type="paragraph" w:customStyle="1" w:styleId="Style24">
    <w:name w:val="Style 24"/>
    <w:basedOn w:val="Normal"/>
    <w:link w:val="CharStyle25"/>
    <w:uiPriority w:val="99"/>
    <w:rsid w:val="002240B8"/>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0">
    <w:name w:val="Char Style 10"/>
    <w:basedOn w:val="Fuentedeprrafopredeter"/>
    <w:link w:val="Style9"/>
    <w:uiPriority w:val="99"/>
    <w:rsid w:val="002240B8"/>
    <w:rPr>
      <w:rFonts w:ascii="Arial" w:hAnsi="Arial" w:cs="Arial"/>
      <w:sz w:val="19"/>
      <w:szCs w:val="19"/>
      <w:shd w:val="clear" w:color="auto" w:fill="FFFFFF"/>
    </w:rPr>
  </w:style>
  <w:style w:type="paragraph" w:customStyle="1" w:styleId="Style9">
    <w:name w:val="Style 9"/>
    <w:basedOn w:val="Normal"/>
    <w:link w:val="CharStyle10"/>
    <w:uiPriority w:val="99"/>
    <w:rsid w:val="002240B8"/>
    <w:pPr>
      <w:widowControl w:val="0"/>
      <w:shd w:val="clear" w:color="auto" w:fill="FFFFFF"/>
      <w:spacing w:before="720" w:line="240" w:lineRule="atLeast"/>
      <w:ind w:left="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2240B8"/>
    <w:rPr>
      <w:rFonts w:ascii="Arial" w:hAnsi="Arial" w:cs="Arial"/>
      <w:sz w:val="16"/>
      <w:szCs w:val="16"/>
      <w:shd w:val="clear" w:color="auto" w:fill="FFFFFF"/>
    </w:rPr>
  </w:style>
  <w:style w:type="character" w:customStyle="1" w:styleId="CharStyle21">
    <w:name w:val="Char Style 21"/>
    <w:basedOn w:val="CharStyle9"/>
    <w:uiPriority w:val="99"/>
    <w:rsid w:val="002240B8"/>
    <w:rPr>
      <w:rFonts w:ascii="Arial" w:hAnsi="Arial" w:cs="Arial"/>
      <w:b/>
      <w:bCs/>
      <w:sz w:val="11"/>
      <w:szCs w:val="11"/>
      <w:shd w:val="clear" w:color="auto" w:fill="FFFFFF"/>
    </w:rPr>
  </w:style>
  <w:style w:type="paragraph" w:customStyle="1" w:styleId="Style8">
    <w:name w:val="Style 8"/>
    <w:basedOn w:val="Normal"/>
    <w:link w:val="CharStyle9"/>
    <w:uiPriority w:val="99"/>
    <w:rsid w:val="002240B8"/>
    <w:pPr>
      <w:widowControl w:val="0"/>
      <w:shd w:val="clear" w:color="auto" w:fill="FFFFFF"/>
      <w:spacing w:before="180" w:line="240" w:lineRule="atLeast"/>
      <w:ind w:left="0" w:hanging="260"/>
      <w:jc w:val="both"/>
    </w:pPr>
    <w:rPr>
      <w:rFonts w:ascii="Arial" w:eastAsiaTheme="minorHAnsi" w:hAnsi="Arial" w:cs="Arial"/>
      <w:sz w:val="16"/>
      <w:szCs w:val="16"/>
      <w:lang w:val="es-CO" w:eastAsia="en-US"/>
    </w:rPr>
  </w:style>
  <w:style w:type="character" w:customStyle="1" w:styleId="CharStyle12">
    <w:name w:val="Char Style 12"/>
    <w:basedOn w:val="Fuentedeprrafopredeter"/>
    <w:link w:val="Style11"/>
    <w:uiPriority w:val="99"/>
    <w:rsid w:val="00C17F78"/>
    <w:rPr>
      <w:rFonts w:ascii="Arial" w:hAnsi="Arial" w:cs="Arial"/>
      <w:sz w:val="19"/>
      <w:szCs w:val="19"/>
      <w:shd w:val="clear" w:color="auto" w:fill="FFFFFF"/>
    </w:rPr>
  </w:style>
  <w:style w:type="character" w:customStyle="1" w:styleId="CharStyle13">
    <w:name w:val="Char Style 13"/>
    <w:basedOn w:val="CharStyle12"/>
    <w:uiPriority w:val="99"/>
    <w:rsid w:val="00C17F78"/>
    <w:rPr>
      <w:rFonts w:ascii="Arial" w:hAnsi="Arial" w:cs="Arial"/>
      <w:b/>
      <w:bCs/>
      <w:sz w:val="19"/>
      <w:szCs w:val="19"/>
      <w:shd w:val="clear" w:color="auto" w:fill="FFFFFF"/>
    </w:rPr>
  </w:style>
  <w:style w:type="character" w:customStyle="1" w:styleId="CharStyle51">
    <w:name w:val="Char Style 51"/>
    <w:basedOn w:val="CharStyle12"/>
    <w:uiPriority w:val="99"/>
    <w:rsid w:val="00C17F78"/>
    <w:rPr>
      <w:rFonts w:ascii="Arial" w:hAnsi="Arial" w:cs="Arial"/>
      <w:i/>
      <w:iCs/>
      <w:sz w:val="19"/>
      <w:szCs w:val="19"/>
      <w:shd w:val="clear" w:color="auto" w:fill="FFFFFF"/>
    </w:rPr>
  </w:style>
  <w:style w:type="paragraph" w:customStyle="1" w:styleId="Style11">
    <w:name w:val="Style 11"/>
    <w:basedOn w:val="Normal"/>
    <w:link w:val="CharStyle12"/>
    <w:uiPriority w:val="99"/>
    <w:rsid w:val="00C17F78"/>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53">
    <w:name w:val="Char Style 53"/>
    <w:basedOn w:val="CharStyle12"/>
    <w:uiPriority w:val="99"/>
    <w:rsid w:val="00C17F78"/>
    <w:rPr>
      <w:rFonts w:ascii="Arial" w:hAnsi="Arial" w:cs="Arial"/>
      <w:sz w:val="19"/>
      <w:szCs w:val="19"/>
      <w:u w:val="none"/>
      <w:shd w:val="clear" w:color="auto" w:fill="FFFFFF"/>
    </w:rPr>
  </w:style>
  <w:style w:type="character" w:customStyle="1" w:styleId="CharStyle54">
    <w:name w:val="Char Style 54"/>
    <w:basedOn w:val="CharStyle12"/>
    <w:uiPriority w:val="99"/>
    <w:rsid w:val="00C17F78"/>
    <w:rPr>
      <w:rFonts w:ascii="Arial" w:hAnsi="Arial" w:cs="Arial"/>
      <w:b/>
      <w:bCs/>
      <w:sz w:val="19"/>
      <w:szCs w:val="19"/>
      <w:u w:val="none"/>
      <w:shd w:val="clear" w:color="auto" w:fill="FFFFFF"/>
    </w:rPr>
  </w:style>
  <w:style w:type="character" w:customStyle="1" w:styleId="CharStyle14">
    <w:name w:val="Char Style 14"/>
    <w:basedOn w:val="CharStyle12"/>
    <w:uiPriority w:val="99"/>
    <w:rsid w:val="006D6A3A"/>
    <w:rPr>
      <w:rFonts w:ascii="Arial" w:hAnsi="Arial" w:cs="Arial"/>
      <w:i/>
      <w:iCs/>
      <w:sz w:val="19"/>
      <w:szCs w:val="19"/>
      <w:u w:val="none"/>
      <w:shd w:val="clear" w:color="auto" w:fill="FFFFFF"/>
    </w:rPr>
  </w:style>
  <w:style w:type="paragraph" w:styleId="Textodeglobo">
    <w:name w:val="Balloon Text"/>
    <w:basedOn w:val="Normal"/>
    <w:link w:val="TextodegloboCar"/>
    <w:uiPriority w:val="99"/>
    <w:semiHidden/>
    <w:unhideWhenUsed/>
    <w:rsid w:val="00F60C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0CC4"/>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64428C"/>
    <w:pPr>
      <w:tabs>
        <w:tab w:val="center" w:pos="4419"/>
        <w:tab w:val="right" w:pos="8838"/>
      </w:tabs>
    </w:pPr>
  </w:style>
  <w:style w:type="character" w:customStyle="1" w:styleId="PiedepginaCar">
    <w:name w:val="Pie de página Car"/>
    <w:basedOn w:val="Fuentedeprrafopredeter"/>
    <w:link w:val="Piedepgina"/>
    <w:uiPriority w:val="99"/>
    <w:rsid w:val="0064428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366608">
      <w:bodyDiv w:val="1"/>
      <w:marLeft w:val="0"/>
      <w:marRight w:val="0"/>
      <w:marTop w:val="0"/>
      <w:marBottom w:val="0"/>
      <w:divBdr>
        <w:top w:val="none" w:sz="0" w:space="0" w:color="auto"/>
        <w:left w:val="none" w:sz="0" w:space="0" w:color="auto"/>
        <w:bottom w:val="none" w:sz="0" w:space="0" w:color="auto"/>
        <w:right w:val="none" w:sz="0" w:space="0" w:color="auto"/>
      </w:divBdr>
    </w:div>
    <w:div w:id="21269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3289</Words>
  <Characters>18095</Characters>
  <Application>Microsoft Office Word</Application>
  <DocSecurity>0</DocSecurity>
  <Lines>150</Lines>
  <Paragraphs>42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COMISIÓN DE REGULACIÓN DE ENERGÍA Y GAS -CREG-</vt:lpstr>
      <vt:lpstr>        (                                 )</vt:lpstr>
    </vt:vector>
  </TitlesOfParts>
  <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2016-12-26T20:21:00Z</cp:lastPrinted>
  <dcterms:created xsi:type="dcterms:W3CDTF">2016-12-26T22:27:00Z</dcterms:created>
  <dcterms:modified xsi:type="dcterms:W3CDTF">2016-12-26T22:27:00Z</dcterms:modified>
</cp:coreProperties>
</file>