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99681" w14:textId="77777777" w:rsidR="00E03BD2" w:rsidRDefault="00D04080" w:rsidP="00CD665F">
      <w:pPr>
        <w:pStyle w:val="Encabezado"/>
        <w:tabs>
          <w:tab w:val="clear" w:pos="8504"/>
          <w:tab w:val="left" w:pos="0"/>
          <w:tab w:val="right" w:pos="9356"/>
        </w:tabs>
        <w:spacing w:before="120" w:after="120"/>
        <w:rPr>
          <w:rFonts w:ascii="Bookman Old Style" w:hAnsi="Bookman Old Style"/>
          <w:szCs w:val="24"/>
        </w:rPr>
      </w:pPr>
      <w:bookmarkStart w:id="0" w:name="_GoBack"/>
      <w:bookmarkEnd w:id="0"/>
      <w:r>
        <w:object w:dxaOrig="1440" w:dyaOrig="1440" w14:anchorId="65704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95pt;margin-top:-55.15pt;width:52.5pt;height:48.75pt;z-index:251662848" fillcolor="#0c9">
            <v:imagedata r:id="rId8" o:title=""/>
          </v:shape>
          <o:OLEObject Type="Embed" ProgID="PBrush" ShapeID="_x0000_s1027" DrawAspect="Content" ObjectID="_1556716408" r:id="rId9"/>
        </w:object>
      </w:r>
    </w:p>
    <w:p w14:paraId="320FBE50" w14:textId="77777777" w:rsidR="00E03BD2" w:rsidRDefault="00E03BD2" w:rsidP="00E03BD2">
      <w:pPr>
        <w:pStyle w:val="Ttulo4"/>
        <w:tabs>
          <w:tab w:val="left" w:pos="0"/>
          <w:tab w:val="right" w:pos="9356"/>
        </w:tabs>
        <w:rPr>
          <w:rFonts w:ascii="Bookman Old Style" w:hAnsi="Bookman Old Style"/>
          <w:b w:val="0"/>
          <w:bCs/>
          <w:sz w:val="24"/>
          <w:szCs w:val="24"/>
        </w:rPr>
      </w:pPr>
      <w:r>
        <w:rPr>
          <w:rFonts w:ascii="Bookman Old Style" w:hAnsi="Bookman Old Style"/>
          <w:b w:val="0"/>
          <w:bCs/>
          <w:sz w:val="24"/>
          <w:szCs w:val="24"/>
        </w:rPr>
        <w:t>Ministerio de Minas y Energía</w:t>
      </w:r>
    </w:p>
    <w:p w14:paraId="2104C8D3" w14:textId="77777777" w:rsidR="00E03BD2" w:rsidRDefault="00E03BD2" w:rsidP="00E03BD2">
      <w:pPr>
        <w:pStyle w:val="Ttulo3"/>
        <w:tabs>
          <w:tab w:val="left" w:pos="0"/>
          <w:tab w:val="right" w:pos="9356"/>
        </w:tabs>
        <w:rPr>
          <w:rFonts w:ascii="Bookman Old Style" w:hAnsi="Bookman Old Style" w:cs="Arial"/>
          <w:spacing w:val="20"/>
          <w:szCs w:val="24"/>
        </w:rPr>
      </w:pPr>
      <w:r>
        <w:rPr>
          <w:rFonts w:ascii="Bookman Old Style" w:hAnsi="Bookman Old Style" w:cs="Arial"/>
          <w:spacing w:val="20"/>
          <w:szCs w:val="24"/>
        </w:rPr>
        <w:t>COMISIÓN DE REGULACIÓN DE ENERGÍA Y GAS</w:t>
      </w:r>
    </w:p>
    <w:p w14:paraId="4F98FE40" w14:textId="77777777" w:rsidR="00E03BD2" w:rsidRDefault="00E03BD2" w:rsidP="007842D3">
      <w:pPr>
        <w:pStyle w:val="Ttulo5"/>
        <w:tabs>
          <w:tab w:val="left" w:pos="0"/>
          <w:tab w:val="right" w:pos="9356"/>
        </w:tabs>
        <w:spacing w:before="600"/>
        <w:rPr>
          <w:rFonts w:ascii="Bookman Old Style" w:hAnsi="Bookman Old Style"/>
          <w:sz w:val="24"/>
          <w:szCs w:val="24"/>
        </w:rPr>
      </w:pPr>
      <w:r>
        <w:rPr>
          <w:rFonts w:ascii="Bookman Old Style" w:hAnsi="Bookman Old Style"/>
          <w:sz w:val="24"/>
          <w:szCs w:val="24"/>
        </w:rPr>
        <w:t>RESOLUCIÓN No.                   DE 201</w:t>
      </w:r>
      <w:r w:rsidR="00BA5B91">
        <w:rPr>
          <w:rFonts w:ascii="Bookman Old Style" w:hAnsi="Bookman Old Style"/>
          <w:sz w:val="24"/>
          <w:szCs w:val="24"/>
        </w:rPr>
        <w:t>7</w:t>
      </w:r>
    </w:p>
    <w:p w14:paraId="3B5EAE8C" w14:textId="77777777" w:rsidR="00E03BD2" w:rsidRDefault="00E03BD2" w:rsidP="00E03BD2">
      <w:pPr>
        <w:pStyle w:val="Ttulo3"/>
        <w:tabs>
          <w:tab w:val="left" w:pos="0"/>
          <w:tab w:val="right" w:pos="9356"/>
        </w:tabs>
        <w:rPr>
          <w:rFonts w:ascii="Bookman Old Style" w:hAnsi="Bookman Old Style"/>
          <w:b w:val="0"/>
          <w:szCs w:val="24"/>
        </w:rPr>
      </w:pPr>
      <w:r>
        <w:rPr>
          <w:rFonts w:ascii="Bookman Old Style" w:hAnsi="Bookman Old Style"/>
          <w:b w:val="0"/>
          <w:szCs w:val="24"/>
        </w:rPr>
        <w:t>(                                  )</w:t>
      </w:r>
    </w:p>
    <w:p w14:paraId="3A5B0DC5" w14:textId="77777777" w:rsidR="00E03BD2" w:rsidRDefault="00CF0B66" w:rsidP="007842D3">
      <w:pPr>
        <w:pStyle w:val="Textonotapie"/>
        <w:spacing w:before="480"/>
        <w:jc w:val="center"/>
        <w:rPr>
          <w:rFonts w:ascii="Bookman Old Style" w:hAnsi="Bookman Old Style" w:cs="Arial"/>
        </w:rPr>
      </w:pPr>
      <w:r w:rsidRPr="00ED56A2">
        <w:rPr>
          <w:rFonts w:ascii="Bookman Old Style" w:hAnsi="Bookman Old Style" w:cs="Arial"/>
          <w:sz w:val="24"/>
          <w:szCs w:val="24"/>
        </w:rPr>
        <w:t xml:space="preserve">Por la cual se actualiza </w:t>
      </w:r>
      <w:r>
        <w:rPr>
          <w:rFonts w:ascii="Bookman Old Style" w:hAnsi="Bookman Old Style" w:cs="Arial"/>
          <w:sz w:val="24"/>
          <w:szCs w:val="24"/>
        </w:rPr>
        <w:t xml:space="preserve">el </w:t>
      </w:r>
      <w:r w:rsidRPr="00DF08CA">
        <w:rPr>
          <w:rFonts w:ascii="Bookman Old Style" w:hAnsi="Bookman Old Style" w:cs="Arial"/>
          <w:sz w:val="24"/>
          <w:szCs w:val="24"/>
        </w:rPr>
        <w:t xml:space="preserve">Costo Anual por el uso de los Activos del Nivel de </w:t>
      </w:r>
      <w:r w:rsidRPr="00196076">
        <w:rPr>
          <w:rFonts w:ascii="Bookman Old Style" w:hAnsi="Bookman Old Style" w:cs="Arial"/>
          <w:sz w:val="24"/>
          <w:szCs w:val="24"/>
        </w:rPr>
        <w:t xml:space="preserve">Tensión 4 </w:t>
      </w:r>
      <w:r w:rsidRPr="00DF08CA">
        <w:rPr>
          <w:rFonts w:ascii="Bookman Old Style" w:hAnsi="Bookman Old Style" w:cs="Arial"/>
          <w:sz w:val="24"/>
          <w:szCs w:val="24"/>
        </w:rPr>
        <w:t xml:space="preserve">operados por </w:t>
      </w:r>
      <w:r>
        <w:rPr>
          <w:rFonts w:ascii="Bookman Old Style" w:hAnsi="Bookman Old Style" w:cs="Arial"/>
          <w:sz w:val="24"/>
          <w:szCs w:val="24"/>
        </w:rPr>
        <w:t xml:space="preserve">Empresas Públicas de Medellín </w:t>
      </w:r>
      <w:r w:rsidRPr="00DF08CA">
        <w:rPr>
          <w:rFonts w:ascii="Bookman Old Style" w:hAnsi="Bookman Old Style" w:cs="Arial"/>
          <w:sz w:val="24"/>
          <w:szCs w:val="24"/>
        </w:rPr>
        <w:t>E.S.P. en el Sistema de Transmisión Regional</w:t>
      </w:r>
      <w:r w:rsidR="00FF3C2F">
        <w:rPr>
          <w:rFonts w:ascii="Bookman Old Style" w:hAnsi="Bookman Old Style" w:cs="Arial"/>
          <w:sz w:val="24"/>
          <w:szCs w:val="24"/>
        </w:rPr>
        <w:t>,</w:t>
      </w:r>
      <w:r w:rsidRPr="00DF08CA">
        <w:rPr>
          <w:rFonts w:ascii="Bookman Old Style" w:hAnsi="Bookman Old Style" w:cs="Arial"/>
          <w:sz w:val="24"/>
          <w:szCs w:val="24"/>
        </w:rPr>
        <w:t xml:space="preserve"> STR.</w:t>
      </w:r>
    </w:p>
    <w:p w14:paraId="522C2165" w14:textId="77777777" w:rsidR="00E03BD2" w:rsidRDefault="00E03BD2" w:rsidP="007842D3">
      <w:pPr>
        <w:spacing w:before="600" w:after="600"/>
        <w:jc w:val="center"/>
        <w:rPr>
          <w:b/>
        </w:rPr>
      </w:pPr>
      <w:r>
        <w:rPr>
          <w:b/>
        </w:rPr>
        <w:t>LA COMISIÓN DE REGULACIÓN DE ENERGÍA Y GAS</w:t>
      </w:r>
    </w:p>
    <w:p w14:paraId="020A0FF0" w14:textId="77777777" w:rsidR="00E03BD2" w:rsidRDefault="00D41584" w:rsidP="003F5923">
      <w:pPr>
        <w:spacing w:before="0" w:after="0"/>
        <w:rPr>
          <w:rFonts w:cs="Arial"/>
        </w:rPr>
      </w:pPr>
      <w:r>
        <w:rPr>
          <w:rFonts w:cs="Arial"/>
        </w:rPr>
        <w:t>E</w:t>
      </w:r>
      <w:r w:rsidR="00E03BD2">
        <w:rPr>
          <w:rFonts w:cs="Arial"/>
        </w:rPr>
        <w:t xml:space="preserve">n ejercicio de las atribuciones legales, en especial las conferidas por las </w:t>
      </w:r>
      <w:r w:rsidR="003F5923">
        <w:rPr>
          <w:rFonts w:cs="Arial"/>
        </w:rPr>
        <w:t>l</w:t>
      </w:r>
      <w:r w:rsidR="00E03BD2">
        <w:rPr>
          <w:rFonts w:cs="Arial"/>
        </w:rPr>
        <w:t>eyes 142 y 143 de 1994, y los decretos 1524 y 2253 de 1994</w:t>
      </w:r>
      <w:r w:rsidR="007960C7">
        <w:rPr>
          <w:rFonts w:cs="Arial"/>
        </w:rPr>
        <w:t xml:space="preserve"> y 1260 de 2013</w:t>
      </w:r>
      <w:r w:rsidR="00E03BD2">
        <w:rPr>
          <w:rFonts w:cs="Arial"/>
        </w:rPr>
        <w:t>.</w:t>
      </w:r>
    </w:p>
    <w:p w14:paraId="57122169" w14:textId="77777777" w:rsidR="00E03BD2" w:rsidRDefault="00E03BD2" w:rsidP="007842D3">
      <w:pPr>
        <w:spacing w:before="480" w:after="480"/>
        <w:jc w:val="center"/>
        <w:rPr>
          <w:rFonts w:cs="Arial"/>
          <w:b/>
        </w:rPr>
      </w:pPr>
      <w:r>
        <w:rPr>
          <w:b/>
        </w:rPr>
        <w:t>C O N S I D E R A N D O</w:t>
      </w:r>
      <w:r w:rsidR="003F5923">
        <w:rPr>
          <w:b/>
        </w:rPr>
        <w:t xml:space="preserve"> </w:t>
      </w:r>
      <w:r w:rsidR="006B5E80">
        <w:rPr>
          <w:b/>
        </w:rPr>
        <w:t xml:space="preserve"> Q</w:t>
      </w:r>
      <w:r w:rsidR="003F5923">
        <w:rPr>
          <w:b/>
        </w:rPr>
        <w:t xml:space="preserve"> </w:t>
      </w:r>
      <w:r w:rsidR="006B5E80">
        <w:rPr>
          <w:b/>
        </w:rPr>
        <w:t>U</w:t>
      </w:r>
      <w:r w:rsidR="003F5923">
        <w:rPr>
          <w:b/>
        </w:rPr>
        <w:t xml:space="preserve"> </w:t>
      </w:r>
      <w:r w:rsidR="006B5E80">
        <w:rPr>
          <w:b/>
        </w:rPr>
        <w:t>E</w:t>
      </w:r>
      <w:r>
        <w:rPr>
          <w:rFonts w:cs="Arial"/>
          <w:b/>
        </w:rPr>
        <w:t>:</w:t>
      </w:r>
    </w:p>
    <w:p w14:paraId="6D988DF7" w14:textId="77777777" w:rsidR="00CF0B66" w:rsidRPr="00CF0B66" w:rsidRDefault="006B5E80" w:rsidP="005023B0">
      <w:pPr>
        <w:spacing w:before="260" w:after="260"/>
      </w:pPr>
      <w:r>
        <w:t>D</w:t>
      </w:r>
      <w:r w:rsidR="00CF0B66" w:rsidRPr="00CF0B66">
        <w:t xml:space="preserve">e acuerdo con lo previsto en el </w:t>
      </w:r>
      <w:r w:rsidR="007960C7">
        <w:t xml:space="preserve">literal d) del </w:t>
      </w:r>
      <w:r w:rsidR="005023B0">
        <w:t>a</w:t>
      </w:r>
      <w:r w:rsidR="00CF0B66" w:rsidRPr="00CF0B66">
        <w:t xml:space="preserve">rtículo 23 y </w:t>
      </w:r>
      <w:r w:rsidR="007960C7">
        <w:t xml:space="preserve">el artículo </w:t>
      </w:r>
      <w:r w:rsidR="00CF0B66" w:rsidRPr="00CF0B66">
        <w:t xml:space="preserve">41 </w:t>
      </w:r>
      <w:r w:rsidR="007960C7">
        <w:t xml:space="preserve">ambos </w:t>
      </w:r>
      <w:r w:rsidR="00CF0B66" w:rsidRPr="00CF0B66">
        <w:t>de la Ley 143 de 1994, es función de la Comisión de Regulación de Energía y Gas fijar las tarifas por el acceso y uso de las redes eléctricas</w:t>
      </w:r>
      <w:r w:rsidR="00DA0D4A">
        <w:t>.</w:t>
      </w:r>
    </w:p>
    <w:p w14:paraId="108B1EE4" w14:textId="77777777" w:rsidR="00CF0B66" w:rsidRPr="00CF0B66" w:rsidRDefault="006B5E80" w:rsidP="005023B0">
      <w:pPr>
        <w:spacing w:before="260" w:after="260"/>
      </w:pPr>
      <w:r>
        <w:t>M</w:t>
      </w:r>
      <w:r w:rsidR="00CF0B66" w:rsidRPr="00CF0B66">
        <w:t xml:space="preserve">ediante la Resolución CREG </w:t>
      </w:r>
      <w:r w:rsidR="005023B0">
        <w:t>097 de 2008 modificada por las r</w:t>
      </w:r>
      <w:r w:rsidR="00CF0B66" w:rsidRPr="00CF0B66">
        <w:t>esoluciones CREG 133, 135 y 166 de 2008, la Comisión aprobó los principios generales y la metodología para el establecimiento de los Cargos por Uso de los Sistemas de Transmisión Regional</w:t>
      </w:r>
      <w:r w:rsidR="00FF3C2F">
        <w:t>,</w:t>
      </w:r>
      <w:r w:rsidR="00CF0B66" w:rsidRPr="00CF0B66">
        <w:t xml:space="preserve"> STR</w:t>
      </w:r>
      <w:r w:rsidR="00FF3C2F">
        <w:t>,</w:t>
      </w:r>
      <w:r w:rsidR="00CF0B66" w:rsidRPr="00CF0B66">
        <w:t xml:space="preserve"> y de Distribución Local</w:t>
      </w:r>
      <w:r w:rsidR="00FF3C2F">
        <w:t xml:space="preserve">, </w:t>
      </w:r>
      <w:r w:rsidR="00CF0B66" w:rsidRPr="00CF0B66">
        <w:t>SDL</w:t>
      </w:r>
      <w:r w:rsidR="00DA0D4A">
        <w:t>.</w:t>
      </w:r>
    </w:p>
    <w:p w14:paraId="442CC281" w14:textId="77777777" w:rsidR="00CF0B66" w:rsidRPr="00CF0B66" w:rsidRDefault="006B5E80" w:rsidP="005023B0">
      <w:pPr>
        <w:spacing w:before="260" w:after="260"/>
      </w:pPr>
      <w:r>
        <w:t>L</w:t>
      </w:r>
      <w:r w:rsidR="00CF0B66" w:rsidRPr="00CF0B66">
        <w:t xml:space="preserve">a Comisión de Regulación de Energía y Gas, expidió la Resolución CREG 105 de 2009, </w:t>
      </w:r>
      <w:r w:rsidR="00FF3C2F">
        <w:t>p</w:t>
      </w:r>
      <w:r w:rsidR="00CF0B66" w:rsidRPr="00CF0B66">
        <w:t>or la cual se fijan y aprueban el Costo Anual por el uso de los</w:t>
      </w:r>
      <w:r w:rsidR="005023B0">
        <w:t xml:space="preserve"> Activos del Nivel de Tensión 4 y</w:t>
      </w:r>
      <w:r w:rsidR="00CF0B66" w:rsidRPr="00CF0B66">
        <w:t xml:space="preserve"> los cargos unificados de distribución y comercialización, aplicables a los usuarios del nuevo Sistema de Transmisión Regional y/o Distribución Local, resultante</w:t>
      </w:r>
      <w:r w:rsidR="005023B0">
        <w:t>s</w:t>
      </w:r>
      <w:r w:rsidR="00CF0B66" w:rsidRPr="00CF0B66">
        <w:t xml:space="preserve"> de la integración de los mercados de comercialización y distribución de energía eléctrica operados por Empresas Públicas de Medellín E.S.P. y el Municipio de Campamento y de la aplicación de la metodología tarifaria adoptada </w:t>
      </w:r>
      <w:r w:rsidR="009E1157">
        <w:t xml:space="preserve">en </w:t>
      </w:r>
      <w:r w:rsidR="00CF0B66" w:rsidRPr="00CF0B66">
        <w:t>la Resolución CREG 097 de 2008</w:t>
      </w:r>
      <w:r w:rsidR="00DA0D4A">
        <w:t>.</w:t>
      </w:r>
    </w:p>
    <w:p w14:paraId="042EB91E" w14:textId="36F66A44" w:rsidR="009E1157" w:rsidRDefault="006B5E80" w:rsidP="005023B0">
      <w:pPr>
        <w:spacing w:before="260" w:after="260"/>
      </w:pPr>
      <w:r>
        <w:t>L</w:t>
      </w:r>
      <w:r w:rsidR="00397B9A">
        <w:t xml:space="preserve">a </w:t>
      </w:r>
      <w:r w:rsidR="00683629">
        <w:t>Comisión de Regulación de Energía y Gas</w:t>
      </w:r>
      <w:r w:rsidR="007D5750">
        <w:t>,</w:t>
      </w:r>
      <w:r w:rsidR="00683629">
        <w:t xml:space="preserve"> </w:t>
      </w:r>
      <w:r w:rsidR="007D5750">
        <w:t>m</w:t>
      </w:r>
      <w:r w:rsidR="00683629">
        <w:t>e</w:t>
      </w:r>
      <w:r w:rsidR="007D5750">
        <w:t xml:space="preserve">diante las resoluciones </w:t>
      </w:r>
      <w:r w:rsidR="00397B9A">
        <w:t xml:space="preserve">CREG </w:t>
      </w:r>
      <w:r w:rsidR="007D5750">
        <w:t xml:space="preserve">026 de 2010, </w:t>
      </w:r>
      <w:r w:rsidR="00397B9A">
        <w:t>180 de 2011</w:t>
      </w:r>
      <w:r w:rsidR="00E43925">
        <w:t>,</w:t>
      </w:r>
      <w:r w:rsidR="00397B9A">
        <w:t xml:space="preserve"> </w:t>
      </w:r>
      <w:r w:rsidR="007D5750">
        <w:t>014 de 2012, 069 de 2012, 051 de 2013</w:t>
      </w:r>
      <w:r w:rsidR="00104859">
        <w:t>,</w:t>
      </w:r>
      <w:r w:rsidR="007D5750">
        <w:t xml:space="preserve"> 003</w:t>
      </w:r>
      <w:r w:rsidR="00104859">
        <w:t>, 131 y 190</w:t>
      </w:r>
      <w:r w:rsidR="007D5750">
        <w:t xml:space="preserve"> de 2014</w:t>
      </w:r>
      <w:r w:rsidR="003D36FE">
        <w:t>, 102</w:t>
      </w:r>
      <w:r w:rsidR="007D5750">
        <w:t xml:space="preserve"> </w:t>
      </w:r>
      <w:r w:rsidR="003D36FE">
        <w:t>de 2015</w:t>
      </w:r>
      <w:r w:rsidR="00E251E2">
        <w:t>,</w:t>
      </w:r>
      <w:r w:rsidR="003D36FE">
        <w:t xml:space="preserve"> </w:t>
      </w:r>
      <w:r w:rsidR="00E251E2">
        <w:t>0</w:t>
      </w:r>
      <w:r w:rsidR="00F62ED6">
        <w:t>59</w:t>
      </w:r>
      <w:r w:rsidR="00BA5B91">
        <w:t xml:space="preserve">, </w:t>
      </w:r>
      <w:r w:rsidR="00E251E2">
        <w:t xml:space="preserve">072 </w:t>
      </w:r>
      <w:r w:rsidR="00BA5B91">
        <w:t xml:space="preserve">y 186 </w:t>
      </w:r>
      <w:r w:rsidR="00E251E2">
        <w:t>de</w:t>
      </w:r>
      <w:r w:rsidR="003D36FE">
        <w:t xml:space="preserve"> 2016</w:t>
      </w:r>
      <w:r w:rsidR="00BA5B91">
        <w:t xml:space="preserve"> </w:t>
      </w:r>
      <w:r w:rsidR="00397B9A" w:rsidRPr="00397B9A">
        <w:t>actualiz</w:t>
      </w:r>
      <w:r w:rsidR="00397B9A">
        <w:t>ó</w:t>
      </w:r>
      <w:r w:rsidR="00397B9A" w:rsidRPr="00397B9A">
        <w:t xml:space="preserve"> el Costo Anual por el uso de los Activos del Nivel de Tensión 4 operados por Empresas Públicas de Medellín E.S.P. en el Sistema de Transmisión Regional</w:t>
      </w:r>
      <w:r w:rsidR="00DA0D4A">
        <w:t>.</w:t>
      </w:r>
    </w:p>
    <w:p w14:paraId="0F8056BE" w14:textId="77777777" w:rsidR="00E251E2" w:rsidRDefault="00E251E2" w:rsidP="005023B0">
      <w:pPr>
        <w:spacing w:before="260" w:after="260"/>
      </w:pPr>
      <w:r w:rsidRPr="00E251E2">
        <w:t>Empresas Públicas de Medellín E.S.P. mediante las comunicaciones radicadas en la CREG bajo los números</w:t>
      </w:r>
      <w:r w:rsidR="00BA5B91">
        <w:t xml:space="preserve"> </w:t>
      </w:r>
      <w:r w:rsidRPr="00E251E2">
        <w:t>E</w:t>
      </w:r>
      <w:r>
        <w:noBreakHyphen/>
      </w:r>
      <w:r w:rsidRPr="00E251E2">
        <w:t>201</w:t>
      </w:r>
      <w:r w:rsidR="0009187D">
        <w:t>6</w:t>
      </w:r>
      <w:r>
        <w:noBreakHyphen/>
      </w:r>
      <w:r w:rsidRPr="00E251E2">
        <w:t>0</w:t>
      </w:r>
      <w:r w:rsidR="0009187D">
        <w:t>12129</w:t>
      </w:r>
      <w:r w:rsidR="00CB5417">
        <w:t xml:space="preserve"> y </w:t>
      </w:r>
      <w:r w:rsidRPr="00E251E2">
        <w:t>E</w:t>
      </w:r>
      <w:r>
        <w:noBreakHyphen/>
      </w:r>
      <w:r w:rsidRPr="00E251E2">
        <w:t>2016</w:t>
      </w:r>
      <w:r>
        <w:noBreakHyphen/>
      </w:r>
      <w:r w:rsidRPr="00E251E2">
        <w:t>0</w:t>
      </w:r>
      <w:r w:rsidR="0009187D">
        <w:t>12224</w:t>
      </w:r>
      <w:r w:rsidRPr="00E251E2">
        <w:t>, con base en lo establecido en el artículo 9 de la Resolución CREG 097 de 2008, solicit</w:t>
      </w:r>
      <w:r>
        <w:t>ó</w:t>
      </w:r>
      <w:r w:rsidRPr="00E251E2">
        <w:t xml:space="preserve"> a la </w:t>
      </w:r>
      <w:r w:rsidRPr="00E251E2">
        <w:lastRenderedPageBreak/>
        <w:t xml:space="preserve">Comisión la actualización del costo anual por uso de los activos de nivel de tensión 4 por la entrada en operación de los nuevos activos en la Subestación </w:t>
      </w:r>
      <w:r w:rsidR="0009187D">
        <w:t>Caucasia</w:t>
      </w:r>
      <w:r>
        <w:t>.</w:t>
      </w:r>
    </w:p>
    <w:p w14:paraId="498C7C42" w14:textId="38E0D0ED" w:rsidR="003D36FE" w:rsidRDefault="00C86243" w:rsidP="005023B0">
      <w:pPr>
        <w:spacing w:before="260" w:after="260"/>
      </w:pPr>
      <w:r>
        <w:t xml:space="preserve">En la comunicación con radicado CREG </w:t>
      </w:r>
      <w:r w:rsidRPr="00E251E2">
        <w:t>E</w:t>
      </w:r>
      <w:r>
        <w:noBreakHyphen/>
      </w:r>
      <w:r w:rsidRPr="00E251E2">
        <w:t>201</w:t>
      </w:r>
      <w:r>
        <w:t>6</w:t>
      </w:r>
      <w:r>
        <w:noBreakHyphen/>
      </w:r>
      <w:r w:rsidRPr="00E251E2">
        <w:t>0</w:t>
      </w:r>
      <w:r>
        <w:t xml:space="preserve">12129 </w:t>
      </w:r>
      <w:r w:rsidR="003D36FE" w:rsidRPr="00392A0B">
        <w:t xml:space="preserve">Empresas Públicas de Medellín E.S.P. </w:t>
      </w:r>
      <w:r>
        <w:t>solicitó incluir en el inventario las siguientes UC</w:t>
      </w:r>
      <w:r w:rsidR="003D36FE">
        <w:t xml:space="preserve">: </w:t>
      </w:r>
    </w:p>
    <w:p w14:paraId="2D87C386" w14:textId="77777777" w:rsidR="00C86243" w:rsidRDefault="00C86243" w:rsidP="00E21776">
      <w:pPr>
        <w:pStyle w:val="Prrafodelista"/>
        <w:ind w:left="357" w:firstLine="352"/>
        <w:rPr>
          <w:i/>
        </w:rPr>
      </w:pPr>
      <w:r>
        <w:rPr>
          <w:i/>
        </w:rPr>
        <w:t xml:space="preserve">Unidades constructivas de subestaciones de nivel 4 </w:t>
      </w:r>
    </w:p>
    <w:tbl>
      <w:tblPr>
        <w:tblW w:w="0" w:type="auto"/>
        <w:jc w:val="center"/>
        <w:tblCellMar>
          <w:left w:w="70" w:type="dxa"/>
          <w:right w:w="70" w:type="dxa"/>
        </w:tblCellMar>
        <w:tblLook w:val="04A0" w:firstRow="1" w:lastRow="0" w:firstColumn="1" w:lastColumn="0" w:noHBand="0" w:noVBand="1"/>
      </w:tblPr>
      <w:tblGrid>
        <w:gridCol w:w="1661"/>
        <w:gridCol w:w="1828"/>
        <w:gridCol w:w="1256"/>
        <w:gridCol w:w="1585"/>
        <w:gridCol w:w="992"/>
        <w:gridCol w:w="1134"/>
      </w:tblGrid>
      <w:tr w:rsidR="002E7953" w:rsidRPr="006F227A" w14:paraId="3DBC3CC0" w14:textId="77777777" w:rsidTr="002E7953">
        <w:trPr>
          <w:trHeight w:val="510"/>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B376"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4E459028"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Unidad constructiva</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DB823A6"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Cantidad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7C3C7E54"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Porcentaje uso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C7535A"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RPP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D580D4"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 xml:space="preserve">Área </w:t>
            </w:r>
            <w:r>
              <w:rPr>
                <w:rFonts w:cs="Arial"/>
                <w:b/>
                <w:sz w:val="20"/>
                <w:szCs w:val="20"/>
                <w:lang w:val="es-CO" w:eastAsia="es-CO"/>
              </w:rPr>
              <w:t>UC</w:t>
            </w:r>
          </w:p>
        </w:tc>
      </w:tr>
      <w:tr w:rsidR="00C86243" w:rsidRPr="006F227A" w14:paraId="793DFDBC"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97375C7"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5D7A3FF0"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N4S7</w:t>
            </w:r>
          </w:p>
        </w:tc>
        <w:tc>
          <w:tcPr>
            <w:tcW w:w="1256" w:type="dxa"/>
            <w:tcBorders>
              <w:top w:val="nil"/>
              <w:left w:val="nil"/>
              <w:bottom w:val="single" w:sz="4" w:space="0" w:color="auto"/>
              <w:right w:val="single" w:sz="4" w:space="0" w:color="auto"/>
            </w:tcBorders>
            <w:shd w:val="clear" w:color="auto" w:fill="auto"/>
            <w:noWrap/>
            <w:vAlign w:val="bottom"/>
            <w:hideMark/>
          </w:tcPr>
          <w:p w14:paraId="35F3C2B7"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bottom"/>
            <w:hideMark/>
          </w:tcPr>
          <w:p w14:paraId="6381A8DD"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03823F2"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04C79F7C"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405</w:t>
            </w:r>
          </w:p>
        </w:tc>
      </w:tr>
      <w:tr w:rsidR="00C86243" w:rsidRPr="006F227A" w14:paraId="27E62918"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A3C0B85"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4C92C881"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N4S17</w:t>
            </w:r>
          </w:p>
        </w:tc>
        <w:tc>
          <w:tcPr>
            <w:tcW w:w="1256" w:type="dxa"/>
            <w:tcBorders>
              <w:top w:val="nil"/>
              <w:left w:val="nil"/>
              <w:bottom w:val="single" w:sz="4" w:space="0" w:color="auto"/>
              <w:right w:val="single" w:sz="4" w:space="0" w:color="auto"/>
            </w:tcBorders>
            <w:shd w:val="clear" w:color="auto" w:fill="auto"/>
            <w:noWrap/>
            <w:vAlign w:val="bottom"/>
            <w:hideMark/>
          </w:tcPr>
          <w:p w14:paraId="3622D8E0"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bottom"/>
            <w:hideMark/>
          </w:tcPr>
          <w:p w14:paraId="71E6E54F"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1F80308"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62992325"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405</w:t>
            </w:r>
          </w:p>
        </w:tc>
      </w:tr>
      <w:tr w:rsidR="00C86243" w:rsidRPr="006F227A" w14:paraId="72033929"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3C351B7"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3722A4B6"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N4S19</w:t>
            </w:r>
          </w:p>
        </w:tc>
        <w:tc>
          <w:tcPr>
            <w:tcW w:w="1256" w:type="dxa"/>
            <w:tcBorders>
              <w:top w:val="nil"/>
              <w:left w:val="nil"/>
              <w:bottom w:val="single" w:sz="4" w:space="0" w:color="auto"/>
              <w:right w:val="single" w:sz="4" w:space="0" w:color="auto"/>
            </w:tcBorders>
            <w:shd w:val="clear" w:color="auto" w:fill="auto"/>
            <w:noWrap/>
            <w:vAlign w:val="bottom"/>
            <w:hideMark/>
          </w:tcPr>
          <w:p w14:paraId="47159BAE"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bottom"/>
            <w:hideMark/>
          </w:tcPr>
          <w:p w14:paraId="23023994"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767B4AA"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1134" w:type="dxa"/>
            <w:tcBorders>
              <w:top w:val="nil"/>
              <w:left w:val="nil"/>
              <w:bottom w:val="single" w:sz="4" w:space="0" w:color="auto"/>
              <w:right w:val="single" w:sz="4" w:space="0" w:color="auto"/>
            </w:tcBorders>
            <w:shd w:val="clear" w:color="auto" w:fill="auto"/>
            <w:noWrap/>
            <w:vAlign w:val="bottom"/>
          </w:tcPr>
          <w:p w14:paraId="508AA5B0" w14:textId="77777777" w:rsidR="00C86243" w:rsidRPr="006F227A" w:rsidRDefault="00C86243" w:rsidP="00C86243">
            <w:pPr>
              <w:spacing w:before="0" w:after="0"/>
              <w:jc w:val="right"/>
              <w:rPr>
                <w:rFonts w:cs="Arial"/>
                <w:sz w:val="20"/>
                <w:szCs w:val="20"/>
                <w:lang w:val="es-CO" w:eastAsia="es-CO"/>
              </w:rPr>
            </w:pPr>
          </w:p>
        </w:tc>
      </w:tr>
      <w:tr w:rsidR="00C86243" w:rsidRPr="006F227A" w14:paraId="07B666E8"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0B4CD23"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332E7947"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N4S33</w:t>
            </w:r>
          </w:p>
        </w:tc>
        <w:tc>
          <w:tcPr>
            <w:tcW w:w="1256" w:type="dxa"/>
            <w:tcBorders>
              <w:top w:val="nil"/>
              <w:left w:val="nil"/>
              <w:bottom w:val="single" w:sz="4" w:space="0" w:color="auto"/>
              <w:right w:val="single" w:sz="4" w:space="0" w:color="auto"/>
            </w:tcBorders>
            <w:shd w:val="clear" w:color="auto" w:fill="auto"/>
            <w:noWrap/>
            <w:vAlign w:val="bottom"/>
            <w:hideMark/>
          </w:tcPr>
          <w:p w14:paraId="18EF702A"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bottom"/>
            <w:hideMark/>
          </w:tcPr>
          <w:p w14:paraId="34AEB24B"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CFABDD4"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1134" w:type="dxa"/>
            <w:tcBorders>
              <w:top w:val="nil"/>
              <w:left w:val="nil"/>
              <w:bottom w:val="single" w:sz="4" w:space="0" w:color="auto"/>
              <w:right w:val="single" w:sz="4" w:space="0" w:color="auto"/>
            </w:tcBorders>
            <w:shd w:val="clear" w:color="auto" w:fill="auto"/>
            <w:noWrap/>
            <w:vAlign w:val="bottom"/>
          </w:tcPr>
          <w:p w14:paraId="2A51304B" w14:textId="77777777" w:rsidR="00C86243" w:rsidRPr="006F227A" w:rsidRDefault="00C86243" w:rsidP="00C86243">
            <w:pPr>
              <w:spacing w:before="0" w:after="0"/>
              <w:jc w:val="right"/>
              <w:rPr>
                <w:rFonts w:cs="Arial"/>
                <w:sz w:val="20"/>
                <w:szCs w:val="20"/>
                <w:lang w:val="es-CO" w:eastAsia="es-CO"/>
              </w:rPr>
            </w:pPr>
          </w:p>
        </w:tc>
      </w:tr>
      <w:tr w:rsidR="00C86243" w:rsidRPr="006F227A" w14:paraId="351CD96C"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B969035"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5A27331B"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N4S44</w:t>
            </w:r>
          </w:p>
        </w:tc>
        <w:tc>
          <w:tcPr>
            <w:tcW w:w="1256" w:type="dxa"/>
            <w:tcBorders>
              <w:top w:val="nil"/>
              <w:left w:val="nil"/>
              <w:bottom w:val="single" w:sz="4" w:space="0" w:color="auto"/>
              <w:right w:val="single" w:sz="4" w:space="0" w:color="auto"/>
            </w:tcBorders>
            <w:shd w:val="clear" w:color="auto" w:fill="auto"/>
            <w:noWrap/>
            <w:vAlign w:val="bottom"/>
            <w:hideMark/>
          </w:tcPr>
          <w:p w14:paraId="2CE07FFB"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bottom"/>
            <w:hideMark/>
          </w:tcPr>
          <w:p w14:paraId="3B9A8C9C"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3112101"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1134" w:type="dxa"/>
            <w:tcBorders>
              <w:top w:val="nil"/>
              <w:left w:val="nil"/>
              <w:bottom w:val="single" w:sz="4" w:space="0" w:color="auto"/>
              <w:right w:val="single" w:sz="4" w:space="0" w:color="auto"/>
            </w:tcBorders>
            <w:shd w:val="clear" w:color="auto" w:fill="auto"/>
            <w:noWrap/>
            <w:vAlign w:val="bottom"/>
            <w:hideMark/>
          </w:tcPr>
          <w:p w14:paraId="332BDF28"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5260</w:t>
            </w:r>
          </w:p>
        </w:tc>
      </w:tr>
      <w:tr w:rsidR="00C86243" w:rsidRPr="006F227A" w14:paraId="63E8ED32"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ECDE08C"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2B2C2C4F"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N4S48</w:t>
            </w:r>
          </w:p>
        </w:tc>
        <w:tc>
          <w:tcPr>
            <w:tcW w:w="1256" w:type="dxa"/>
            <w:tcBorders>
              <w:top w:val="nil"/>
              <w:left w:val="nil"/>
              <w:bottom w:val="single" w:sz="4" w:space="0" w:color="auto"/>
              <w:right w:val="single" w:sz="4" w:space="0" w:color="auto"/>
            </w:tcBorders>
            <w:shd w:val="clear" w:color="auto" w:fill="auto"/>
            <w:noWrap/>
            <w:vAlign w:val="bottom"/>
            <w:hideMark/>
          </w:tcPr>
          <w:p w14:paraId="58AC972F"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57,5</w:t>
            </w:r>
          </w:p>
        </w:tc>
        <w:tc>
          <w:tcPr>
            <w:tcW w:w="1585" w:type="dxa"/>
            <w:tcBorders>
              <w:top w:val="nil"/>
              <w:left w:val="nil"/>
              <w:bottom w:val="single" w:sz="4" w:space="0" w:color="auto"/>
              <w:right w:val="single" w:sz="4" w:space="0" w:color="auto"/>
            </w:tcBorders>
            <w:shd w:val="clear" w:color="auto" w:fill="auto"/>
            <w:noWrap/>
            <w:vAlign w:val="bottom"/>
            <w:hideMark/>
          </w:tcPr>
          <w:p w14:paraId="7030C0A9"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95C0464"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1134" w:type="dxa"/>
            <w:tcBorders>
              <w:top w:val="nil"/>
              <w:left w:val="nil"/>
              <w:bottom w:val="single" w:sz="4" w:space="0" w:color="auto"/>
              <w:right w:val="single" w:sz="4" w:space="0" w:color="auto"/>
            </w:tcBorders>
            <w:shd w:val="clear" w:color="auto" w:fill="auto"/>
            <w:noWrap/>
            <w:vAlign w:val="bottom"/>
          </w:tcPr>
          <w:p w14:paraId="7A212081"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r>
      <w:tr w:rsidR="00C86243" w:rsidRPr="006F227A" w14:paraId="6B2CA8CA"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9E08C93"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367DD572"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N4EQ2</w:t>
            </w:r>
          </w:p>
        </w:tc>
        <w:tc>
          <w:tcPr>
            <w:tcW w:w="1256" w:type="dxa"/>
            <w:tcBorders>
              <w:top w:val="nil"/>
              <w:left w:val="nil"/>
              <w:bottom w:val="single" w:sz="4" w:space="0" w:color="auto"/>
              <w:right w:val="single" w:sz="4" w:space="0" w:color="auto"/>
            </w:tcBorders>
            <w:shd w:val="clear" w:color="auto" w:fill="auto"/>
            <w:noWrap/>
            <w:vAlign w:val="bottom"/>
            <w:hideMark/>
          </w:tcPr>
          <w:p w14:paraId="14723B93"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3</w:t>
            </w:r>
          </w:p>
        </w:tc>
        <w:tc>
          <w:tcPr>
            <w:tcW w:w="1585" w:type="dxa"/>
            <w:tcBorders>
              <w:top w:val="nil"/>
              <w:left w:val="nil"/>
              <w:bottom w:val="single" w:sz="4" w:space="0" w:color="auto"/>
              <w:right w:val="single" w:sz="4" w:space="0" w:color="auto"/>
            </w:tcBorders>
            <w:shd w:val="clear" w:color="auto" w:fill="auto"/>
            <w:noWrap/>
            <w:vAlign w:val="bottom"/>
            <w:hideMark/>
          </w:tcPr>
          <w:p w14:paraId="7D6442FA"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A6A6317"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1134" w:type="dxa"/>
            <w:tcBorders>
              <w:top w:val="nil"/>
              <w:left w:val="nil"/>
              <w:bottom w:val="single" w:sz="4" w:space="0" w:color="auto"/>
              <w:right w:val="single" w:sz="4" w:space="0" w:color="auto"/>
            </w:tcBorders>
            <w:shd w:val="clear" w:color="auto" w:fill="auto"/>
            <w:noWrap/>
            <w:vAlign w:val="bottom"/>
          </w:tcPr>
          <w:p w14:paraId="2E681CFC" w14:textId="77777777" w:rsidR="00C86243" w:rsidRPr="006F227A" w:rsidRDefault="00C86243" w:rsidP="00C86243">
            <w:pPr>
              <w:spacing w:before="0" w:after="0"/>
              <w:jc w:val="right"/>
              <w:rPr>
                <w:rFonts w:cs="Arial"/>
                <w:sz w:val="20"/>
                <w:szCs w:val="20"/>
                <w:lang w:val="es-CO" w:eastAsia="es-CO"/>
              </w:rPr>
            </w:pPr>
          </w:p>
        </w:tc>
      </w:tr>
    </w:tbl>
    <w:p w14:paraId="2B5444E5" w14:textId="14F2923C" w:rsidR="00C86243" w:rsidRDefault="00C86243" w:rsidP="00C86243">
      <w:r>
        <w:t xml:space="preserve">En la </w:t>
      </w:r>
      <w:r w:rsidR="00CB5417">
        <w:t xml:space="preserve">misma </w:t>
      </w:r>
      <w:r>
        <w:t xml:space="preserve">comunicación </w:t>
      </w:r>
      <w:r w:rsidRPr="00392A0B">
        <w:t xml:space="preserve">Empresas Públicas de Medellín E.S.P. </w:t>
      </w:r>
      <w:r>
        <w:t>solicitó retirar del inventario las siguientes UC:</w:t>
      </w:r>
    </w:p>
    <w:p w14:paraId="5AE3D43D" w14:textId="77777777" w:rsidR="0040025A" w:rsidRPr="0040025A" w:rsidRDefault="0040025A" w:rsidP="00E21776">
      <w:pPr>
        <w:ind w:firstLine="709"/>
        <w:rPr>
          <w:i/>
        </w:rPr>
      </w:pPr>
      <w:r w:rsidRPr="0040025A">
        <w:rPr>
          <w:i/>
        </w:rPr>
        <w:t>Unidades constructivas a retirar</w:t>
      </w:r>
    </w:p>
    <w:tbl>
      <w:tblPr>
        <w:tblW w:w="0" w:type="auto"/>
        <w:jc w:val="center"/>
        <w:tblCellMar>
          <w:left w:w="70" w:type="dxa"/>
          <w:right w:w="70" w:type="dxa"/>
        </w:tblCellMar>
        <w:tblLook w:val="04A0" w:firstRow="1" w:lastRow="0" w:firstColumn="1" w:lastColumn="0" w:noHBand="0" w:noVBand="1"/>
      </w:tblPr>
      <w:tblGrid>
        <w:gridCol w:w="1661"/>
        <w:gridCol w:w="1828"/>
        <w:gridCol w:w="1275"/>
        <w:gridCol w:w="1585"/>
        <w:gridCol w:w="1059"/>
        <w:gridCol w:w="992"/>
      </w:tblGrid>
      <w:tr w:rsidR="002E7953" w:rsidRPr="006F227A" w14:paraId="2BDA1D78" w14:textId="77777777" w:rsidTr="002E7953">
        <w:trPr>
          <w:trHeight w:val="510"/>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21A33"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75C401E6"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Unidad constructiva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89B9A1"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Cantidad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6DA35709"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Porcentaje uso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2E4EF6B9"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RPP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5BD3D3" w14:textId="77777777" w:rsidR="002E7953"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 xml:space="preserve">Área </w:t>
            </w:r>
            <w:r>
              <w:rPr>
                <w:rFonts w:cs="Arial"/>
                <w:b/>
                <w:sz w:val="20"/>
                <w:szCs w:val="20"/>
                <w:lang w:val="es-CO" w:eastAsia="es-CO"/>
              </w:rPr>
              <w:t>UC</w:t>
            </w:r>
          </w:p>
        </w:tc>
      </w:tr>
      <w:tr w:rsidR="008273B5" w:rsidRPr="006F227A" w14:paraId="44E847B0"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9A959EF"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20EC21C2"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N4S42</w:t>
            </w:r>
          </w:p>
        </w:tc>
        <w:tc>
          <w:tcPr>
            <w:tcW w:w="1275" w:type="dxa"/>
            <w:tcBorders>
              <w:top w:val="nil"/>
              <w:left w:val="nil"/>
              <w:bottom w:val="single" w:sz="4" w:space="0" w:color="auto"/>
              <w:right w:val="single" w:sz="4" w:space="0" w:color="auto"/>
            </w:tcBorders>
            <w:shd w:val="clear" w:color="auto" w:fill="auto"/>
            <w:noWrap/>
            <w:vAlign w:val="bottom"/>
            <w:hideMark/>
          </w:tcPr>
          <w:p w14:paraId="1DD7D397"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bottom"/>
            <w:hideMark/>
          </w:tcPr>
          <w:p w14:paraId="7BDCFF99"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1059" w:type="dxa"/>
            <w:tcBorders>
              <w:top w:val="nil"/>
              <w:left w:val="nil"/>
              <w:bottom w:val="single" w:sz="4" w:space="0" w:color="auto"/>
              <w:right w:val="single" w:sz="4" w:space="0" w:color="auto"/>
            </w:tcBorders>
            <w:shd w:val="clear" w:color="auto" w:fill="auto"/>
            <w:noWrap/>
            <w:vAlign w:val="bottom"/>
            <w:hideMark/>
          </w:tcPr>
          <w:p w14:paraId="6846962D"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76FC3774"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2100</w:t>
            </w:r>
          </w:p>
        </w:tc>
      </w:tr>
      <w:tr w:rsidR="00C86243" w:rsidRPr="006F227A" w14:paraId="3345529F" w14:textId="77777777" w:rsidTr="007842D3">
        <w:trPr>
          <w:trHeight w:val="317"/>
          <w:jc w:val="center"/>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1E13102B"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000000" w:fill="FFFFFF"/>
            <w:noWrap/>
            <w:vAlign w:val="bottom"/>
            <w:hideMark/>
          </w:tcPr>
          <w:p w14:paraId="5C60044E" w14:textId="77777777" w:rsidR="00C86243" w:rsidRPr="006F227A" w:rsidRDefault="00C86243" w:rsidP="00101128">
            <w:pPr>
              <w:spacing w:before="0" w:after="0"/>
              <w:jc w:val="center"/>
              <w:rPr>
                <w:rFonts w:cs="Arial"/>
                <w:sz w:val="20"/>
                <w:szCs w:val="20"/>
                <w:lang w:val="es-CO" w:eastAsia="es-CO"/>
              </w:rPr>
            </w:pPr>
            <w:r w:rsidRPr="006F227A">
              <w:rPr>
                <w:rFonts w:cs="Arial"/>
                <w:sz w:val="20"/>
                <w:szCs w:val="20"/>
                <w:lang w:val="es-CO" w:eastAsia="es-CO"/>
              </w:rPr>
              <w:t>N4EQ8</w:t>
            </w:r>
          </w:p>
        </w:tc>
        <w:tc>
          <w:tcPr>
            <w:tcW w:w="1275" w:type="dxa"/>
            <w:tcBorders>
              <w:top w:val="nil"/>
              <w:left w:val="nil"/>
              <w:bottom w:val="single" w:sz="4" w:space="0" w:color="auto"/>
              <w:right w:val="single" w:sz="4" w:space="0" w:color="auto"/>
            </w:tcBorders>
            <w:shd w:val="clear" w:color="000000" w:fill="FFFFFF"/>
            <w:noWrap/>
            <w:vAlign w:val="bottom"/>
            <w:hideMark/>
          </w:tcPr>
          <w:p w14:paraId="6A921780"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2</w:t>
            </w:r>
          </w:p>
        </w:tc>
        <w:tc>
          <w:tcPr>
            <w:tcW w:w="1585" w:type="dxa"/>
            <w:tcBorders>
              <w:top w:val="nil"/>
              <w:left w:val="nil"/>
              <w:bottom w:val="single" w:sz="4" w:space="0" w:color="auto"/>
              <w:right w:val="single" w:sz="4" w:space="0" w:color="auto"/>
            </w:tcBorders>
            <w:shd w:val="clear" w:color="auto" w:fill="auto"/>
            <w:noWrap/>
            <w:vAlign w:val="bottom"/>
            <w:hideMark/>
          </w:tcPr>
          <w:p w14:paraId="019C6A50" w14:textId="77777777" w:rsidR="00C86243" w:rsidRPr="006F227A" w:rsidRDefault="00C86243" w:rsidP="00C86243">
            <w:pPr>
              <w:spacing w:before="0" w:after="0"/>
              <w:jc w:val="right"/>
              <w:rPr>
                <w:rFonts w:cs="Arial"/>
                <w:sz w:val="20"/>
                <w:szCs w:val="20"/>
                <w:lang w:val="es-CO" w:eastAsia="es-CO"/>
              </w:rPr>
            </w:pPr>
            <w:r w:rsidRPr="006F227A">
              <w:rPr>
                <w:rFonts w:cs="Arial"/>
                <w:sz w:val="20"/>
                <w:szCs w:val="20"/>
                <w:lang w:val="es-CO" w:eastAsia="es-CO"/>
              </w:rPr>
              <w:t>100</w:t>
            </w:r>
          </w:p>
        </w:tc>
        <w:tc>
          <w:tcPr>
            <w:tcW w:w="1059" w:type="dxa"/>
            <w:tcBorders>
              <w:top w:val="nil"/>
              <w:left w:val="nil"/>
              <w:bottom w:val="single" w:sz="4" w:space="0" w:color="auto"/>
              <w:right w:val="single" w:sz="4" w:space="0" w:color="auto"/>
            </w:tcBorders>
            <w:shd w:val="clear" w:color="000000" w:fill="FFFFFF"/>
            <w:noWrap/>
            <w:vAlign w:val="bottom"/>
            <w:hideMark/>
          </w:tcPr>
          <w:p w14:paraId="68A7263F" w14:textId="77777777" w:rsidR="00C86243" w:rsidRPr="006F227A" w:rsidRDefault="00C86243" w:rsidP="00AC7E20">
            <w:pPr>
              <w:spacing w:before="0" w:after="0"/>
              <w:jc w:val="right"/>
              <w:rPr>
                <w:rFonts w:cs="Arial"/>
                <w:sz w:val="20"/>
                <w:szCs w:val="20"/>
                <w:lang w:val="es-CO" w:eastAsia="es-CO"/>
              </w:rPr>
            </w:pPr>
            <w:r w:rsidRPr="006F227A">
              <w:rPr>
                <w:rFonts w:cs="Arial"/>
                <w:sz w:val="20"/>
                <w:szCs w:val="20"/>
                <w:lang w:val="es-CO" w:eastAsia="es-CO"/>
              </w:rPr>
              <w:t>0</w:t>
            </w:r>
          </w:p>
        </w:tc>
        <w:tc>
          <w:tcPr>
            <w:tcW w:w="992" w:type="dxa"/>
            <w:tcBorders>
              <w:top w:val="nil"/>
              <w:left w:val="nil"/>
              <w:bottom w:val="single" w:sz="4" w:space="0" w:color="auto"/>
              <w:right w:val="single" w:sz="4" w:space="0" w:color="auto"/>
            </w:tcBorders>
            <w:shd w:val="clear" w:color="000000" w:fill="FFFFFF"/>
            <w:noWrap/>
            <w:vAlign w:val="bottom"/>
            <w:hideMark/>
          </w:tcPr>
          <w:p w14:paraId="6F733F03" w14:textId="77777777" w:rsidR="00C86243" w:rsidRPr="006F227A" w:rsidRDefault="00C86243" w:rsidP="00AC7E20">
            <w:pPr>
              <w:spacing w:before="0" w:after="0"/>
              <w:jc w:val="right"/>
              <w:rPr>
                <w:rFonts w:cs="Arial"/>
                <w:sz w:val="20"/>
                <w:szCs w:val="20"/>
                <w:lang w:val="es-CO" w:eastAsia="es-CO"/>
              </w:rPr>
            </w:pPr>
          </w:p>
        </w:tc>
      </w:tr>
    </w:tbl>
    <w:p w14:paraId="057F7369" w14:textId="2D5FDB42" w:rsidR="00065388" w:rsidRDefault="002E7953" w:rsidP="00065388">
      <w:r w:rsidRPr="00392A0B">
        <w:t>Empresas Públicas de Medellín E.S.P</w:t>
      </w:r>
      <w:r>
        <w:t xml:space="preserve"> remitió la </w:t>
      </w:r>
      <w:r w:rsidR="00065388">
        <w:t>siguiente</w:t>
      </w:r>
      <w:r>
        <w:t xml:space="preserve"> información</w:t>
      </w:r>
      <w:r w:rsidR="00502F33">
        <w:t xml:space="preserve"> como soporte de la solicitud</w:t>
      </w:r>
      <w:r w:rsidR="00065388">
        <w:t xml:space="preserve">: </w:t>
      </w:r>
    </w:p>
    <w:p w14:paraId="057B27DD" w14:textId="77777777" w:rsidR="00FB4D41" w:rsidRPr="00FB4D41" w:rsidRDefault="00EC0BA0" w:rsidP="006D6187">
      <w:pPr>
        <w:pStyle w:val="Prrafodelista"/>
        <w:numPr>
          <w:ilvl w:val="0"/>
          <w:numId w:val="8"/>
        </w:numPr>
        <w:spacing w:before="260" w:after="260"/>
        <w:rPr>
          <w:szCs w:val="24"/>
        </w:rPr>
      </w:pPr>
      <w:r w:rsidRPr="00C873DF">
        <w:t>Copia de</w:t>
      </w:r>
      <w:r w:rsidR="00C873DF" w:rsidRPr="00C873DF">
        <w:t xml:space="preserve"> </w:t>
      </w:r>
      <w:r w:rsidRPr="00C873DF">
        <w:t>l</w:t>
      </w:r>
      <w:r w:rsidR="00C873DF" w:rsidRPr="00C873DF">
        <w:t>os</w:t>
      </w:r>
      <w:r w:rsidRPr="00C873DF">
        <w:t xml:space="preserve"> concepto</w:t>
      </w:r>
      <w:r w:rsidR="00C873DF" w:rsidRPr="00C873DF">
        <w:t>s</w:t>
      </w:r>
      <w:r w:rsidRPr="00C873DF">
        <w:t xml:space="preserve"> sobre </w:t>
      </w:r>
      <w:r w:rsidR="00065388">
        <w:t xml:space="preserve">el </w:t>
      </w:r>
      <w:r w:rsidRPr="00C873DF">
        <w:t>proyecto emiti</w:t>
      </w:r>
      <w:r w:rsidR="00065388">
        <w:t xml:space="preserve">dos por </w:t>
      </w:r>
      <w:r w:rsidRPr="00C873DF">
        <w:t>la Unidad de Planeación Minero Energética con radicado</w:t>
      </w:r>
      <w:r w:rsidR="00C873DF" w:rsidRPr="00C873DF">
        <w:t>s</w:t>
      </w:r>
      <w:r w:rsidRPr="00C873DF">
        <w:t xml:space="preserve"> UPME </w:t>
      </w:r>
      <w:r w:rsidR="00687AE8">
        <w:t>201</w:t>
      </w:r>
      <w:r w:rsidR="00065388">
        <w:t>4</w:t>
      </w:r>
      <w:r w:rsidR="00687AE8">
        <w:t>15000</w:t>
      </w:r>
      <w:r w:rsidR="00065388">
        <w:t>67571</w:t>
      </w:r>
      <w:r w:rsidR="00687AE8">
        <w:t xml:space="preserve"> de </w:t>
      </w:r>
      <w:r w:rsidR="00065388">
        <w:t xml:space="preserve">agosto 13 de 2014 y </w:t>
      </w:r>
      <w:r w:rsidR="00C873DF" w:rsidRPr="00C873DF">
        <w:t>201</w:t>
      </w:r>
      <w:r w:rsidR="00065388">
        <w:t>6</w:t>
      </w:r>
      <w:r w:rsidR="004D56E6">
        <w:t>150005</w:t>
      </w:r>
      <w:r w:rsidR="00065388">
        <w:t>1781</w:t>
      </w:r>
      <w:r w:rsidR="004D56E6">
        <w:t xml:space="preserve"> d</w:t>
      </w:r>
      <w:r w:rsidR="00C873DF" w:rsidRPr="00C873DF">
        <w:t xml:space="preserve">e </w:t>
      </w:r>
      <w:r w:rsidR="00065388">
        <w:t>dici</w:t>
      </w:r>
      <w:r w:rsidR="004D56E6">
        <w:t>embre</w:t>
      </w:r>
      <w:r w:rsidR="00C873DF" w:rsidRPr="00C873DF">
        <w:t xml:space="preserve"> </w:t>
      </w:r>
      <w:r w:rsidR="004D56E6">
        <w:t>2</w:t>
      </w:r>
      <w:r w:rsidR="00065388">
        <w:t>0</w:t>
      </w:r>
      <w:r w:rsidR="00C873DF" w:rsidRPr="00C873DF">
        <w:t xml:space="preserve"> de 201</w:t>
      </w:r>
      <w:r w:rsidR="00065388">
        <w:t>6</w:t>
      </w:r>
      <w:r w:rsidRPr="00C873DF">
        <w:t>.</w:t>
      </w:r>
    </w:p>
    <w:p w14:paraId="60B4FCE9" w14:textId="77777777" w:rsidR="003D36FE" w:rsidRDefault="00EC0BA0" w:rsidP="006D6187">
      <w:pPr>
        <w:pStyle w:val="Prrafodelista"/>
        <w:numPr>
          <w:ilvl w:val="0"/>
          <w:numId w:val="8"/>
        </w:numPr>
        <w:spacing w:before="260" w:after="260"/>
        <w:rPr>
          <w:szCs w:val="24"/>
        </w:rPr>
      </w:pPr>
      <w:r w:rsidRPr="00FB4D41">
        <w:rPr>
          <w:szCs w:val="24"/>
        </w:rPr>
        <w:t>Copia del certificado expedido por XM sobre la entrada en operación comercial de los activos</w:t>
      </w:r>
      <w:r w:rsidR="00FB4D41">
        <w:rPr>
          <w:szCs w:val="24"/>
        </w:rPr>
        <w:t xml:space="preserve">, comunicación </w:t>
      </w:r>
      <w:r w:rsidR="004D56E6" w:rsidRPr="00FB4D41">
        <w:rPr>
          <w:szCs w:val="24"/>
        </w:rPr>
        <w:t xml:space="preserve">con radicado </w:t>
      </w:r>
      <w:r w:rsidR="00FB4D41">
        <w:rPr>
          <w:szCs w:val="24"/>
        </w:rPr>
        <w:t xml:space="preserve">de XM 022601-1 </w:t>
      </w:r>
      <w:r w:rsidR="004D56E6" w:rsidRPr="00FB4D41">
        <w:rPr>
          <w:szCs w:val="24"/>
        </w:rPr>
        <w:t>de</w:t>
      </w:r>
      <w:r w:rsidR="00A67ACA" w:rsidRPr="00FB4D41">
        <w:rPr>
          <w:szCs w:val="24"/>
        </w:rPr>
        <w:t>l</w:t>
      </w:r>
      <w:r w:rsidR="004D56E6" w:rsidRPr="00FB4D41">
        <w:rPr>
          <w:szCs w:val="24"/>
        </w:rPr>
        <w:t xml:space="preserve"> </w:t>
      </w:r>
      <w:r w:rsidR="00FB4D41">
        <w:rPr>
          <w:szCs w:val="24"/>
        </w:rPr>
        <w:t>1 de noviembre de 2016</w:t>
      </w:r>
      <w:r w:rsidR="00C873DF" w:rsidRPr="00FB4D41">
        <w:rPr>
          <w:szCs w:val="24"/>
        </w:rPr>
        <w:t>.</w:t>
      </w:r>
    </w:p>
    <w:p w14:paraId="1A575641" w14:textId="77777777" w:rsidR="002E7953" w:rsidRPr="00FB4D41" w:rsidRDefault="002E7953" w:rsidP="006D6187">
      <w:pPr>
        <w:pStyle w:val="Prrafodelista"/>
        <w:numPr>
          <w:ilvl w:val="0"/>
          <w:numId w:val="8"/>
        </w:numPr>
        <w:spacing w:before="260" w:after="260"/>
        <w:rPr>
          <w:szCs w:val="24"/>
        </w:rPr>
      </w:pPr>
      <w:r>
        <w:rPr>
          <w:szCs w:val="24"/>
        </w:rPr>
        <w:t>Diagrama unifilar de la subestación.</w:t>
      </w:r>
    </w:p>
    <w:p w14:paraId="2394CCC3" w14:textId="77777777" w:rsidR="00CF0B66" w:rsidRPr="00104859" w:rsidRDefault="00A40710" w:rsidP="005741C8">
      <w:pPr>
        <w:spacing w:before="260" w:after="260"/>
      </w:pPr>
      <w:r>
        <w:t>M</w:t>
      </w:r>
      <w:r w:rsidR="00CF0B66" w:rsidRPr="004222A7">
        <w:t>ediante Auto</w:t>
      </w:r>
      <w:r w:rsidR="00250C72" w:rsidRPr="004222A7">
        <w:t xml:space="preserve"> co</w:t>
      </w:r>
      <w:r w:rsidR="00250C72" w:rsidRPr="00104859">
        <w:t>n radicado CREG I-201</w:t>
      </w:r>
      <w:r w:rsidR="00C873DF">
        <w:t>6</w:t>
      </w:r>
      <w:r w:rsidR="00250C72" w:rsidRPr="00104859">
        <w:t>-</w:t>
      </w:r>
      <w:r w:rsidR="00104859" w:rsidRPr="00355270">
        <w:t>0</w:t>
      </w:r>
      <w:r w:rsidR="009A671F">
        <w:t>06818</w:t>
      </w:r>
      <w:r w:rsidR="00A53C7F" w:rsidRPr="00104859">
        <w:t>,</w:t>
      </w:r>
      <w:r w:rsidR="007D5750" w:rsidRPr="00104859">
        <w:t xml:space="preserve"> </w:t>
      </w:r>
      <w:r w:rsidR="00CF0B66" w:rsidRPr="00104859">
        <w:t xml:space="preserve">la CREG inició la </w:t>
      </w:r>
      <w:r w:rsidR="00B0723B" w:rsidRPr="00104859">
        <w:t>a</w:t>
      </w:r>
      <w:r w:rsidR="00CF0B66" w:rsidRPr="00104859">
        <w:t xml:space="preserve">ctuación </w:t>
      </w:r>
      <w:r w:rsidR="00B0723B" w:rsidRPr="00104859">
        <w:t>a</w:t>
      </w:r>
      <w:r w:rsidR="00CF0B66" w:rsidRPr="00104859">
        <w:t xml:space="preserve">dministrativa con el objeto de decidir la solicitud de modificación del Costo Anual por Uso de los Activos de Nivel de Tensión 4 </w:t>
      </w:r>
      <w:r w:rsidR="00CD665F" w:rsidRPr="00104859">
        <w:t xml:space="preserve">por la entrada en operación de </w:t>
      </w:r>
      <w:r w:rsidR="00F0284F">
        <w:t xml:space="preserve">nuevos </w:t>
      </w:r>
      <w:r w:rsidR="00CD665F" w:rsidRPr="00104859">
        <w:t xml:space="preserve">activos </w:t>
      </w:r>
      <w:r w:rsidR="00737E9A" w:rsidRPr="00E251E2">
        <w:t xml:space="preserve">en la Subestación </w:t>
      </w:r>
      <w:r w:rsidR="009A671F">
        <w:t xml:space="preserve">Caucasia </w:t>
      </w:r>
      <w:r w:rsidR="00C873DF" w:rsidRPr="00A8635E">
        <w:t xml:space="preserve">y ordenó la apertura del respectivo expediente que fue </w:t>
      </w:r>
      <w:r w:rsidR="007960C7">
        <w:t>identificado</w:t>
      </w:r>
      <w:r w:rsidR="00C873DF" w:rsidRPr="00A8635E">
        <w:t xml:space="preserve"> con el número 20</w:t>
      </w:r>
      <w:r w:rsidR="00C873DF">
        <w:t>1</w:t>
      </w:r>
      <w:r w:rsidR="008B25C5">
        <w:t>6</w:t>
      </w:r>
      <w:r w:rsidR="00C873DF">
        <w:t>-0</w:t>
      </w:r>
      <w:r w:rsidR="008B25C5">
        <w:t>2</w:t>
      </w:r>
      <w:r w:rsidR="009A671F">
        <w:t>60</w:t>
      </w:r>
      <w:r w:rsidR="00C873DF">
        <w:t>.</w:t>
      </w:r>
    </w:p>
    <w:p w14:paraId="1E8023D1" w14:textId="1883D18F" w:rsidR="00CF0B66" w:rsidRPr="00CF0B66" w:rsidRDefault="00B0723B" w:rsidP="005741C8">
      <w:pPr>
        <w:spacing w:before="260" w:after="260"/>
      </w:pPr>
      <w:r w:rsidRPr="00A77C42">
        <w:lastRenderedPageBreak/>
        <w:t xml:space="preserve">La Comisión publicó en su página web y en el </w:t>
      </w:r>
      <w:r w:rsidRPr="00A77C42">
        <w:rPr>
          <w:i/>
        </w:rPr>
        <w:t>Diario Oficial</w:t>
      </w:r>
      <w:r w:rsidRPr="00A77C42">
        <w:t xml:space="preserve"> No.</w:t>
      </w:r>
      <w:r w:rsidR="00C873DF" w:rsidRPr="00A77C42">
        <w:t xml:space="preserve"> </w:t>
      </w:r>
      <w:r w:rsidR="0007307B" w:rsidRPr="00A77C42">
        <w:t>50.096</w:t>
      </w:r>
      <w:r w:rsidRPr="00A77C42">
        <w:t xml:space="preserve"> del </w:t>
      </w:r>
      <w:r w:rsidR="0007307B" w:rsidRPr="00A77C42">
        <w:t xml:space="preserve">23 </w:t>
      </w:r>
      <w:r w:rsidRPr="00A77C42">
        <w:t xml:space="preserve">de </w:t>
      </w:r>
      <w:r w:rsidR="0007307B" w:rsidRPr="00A77C42">
        <w:t xml:space="preserve">diciembre </w:t>
      </w:r>
      <w:r w:rsidRPr="00A77C42">
        <w:t>de 201</w:t>
      </w:r>
      <w:r w:rsidR="00C873DF" w:rsidRPr="00A77C42">
        <w:t>6</w:t>
      </w:r>
      <w:r w:rsidRPr="00A77C42">
        <w:t xml:space="preserve"> un extracto informativo sobre la actuación administrativa</w:t>
      </w:r>
      <w:r w:rsidR="007960C7" w:rsidRPr="00A77C42">
        <w:t>, de conformidad con lo dispuesto por el Artículo 37 del Código de Procedimiento Administrativo y de lo</w:t>
      </w:r>
      <w:r w:rsidR="007960C7" w:rsidRPr="007960C7">
        <w:t xml:space="preserve"> Contencioso Administrativo.</w:t>
      </w:r>
    </w:p>
    <w:p w14:paraId="34EACDA3" w14:textId="140B1060" w:rsidR="00CD6DDF" w:rsidRDefault="00B0723B" w:rsidP="005741C8">
      <w:pPr>
        <w:spacing w:before="260" w:after="260"/>
      </w:pPr>
      <w:r>
        <w:t>M</w:t>
      </w:r>
      <w:r w:rsidRPr="00CF0B66">
        <w:t xml:space="preserve">ediante la comunicación </w:t>
      </w:r>
      <w:r w:rsidRPr="004B303D">
        <w:t>CREG S-201</w:t>
      </w:r>
      <w:r w:rsidR="008B25C5">
        <w:t>6</w:t>
      </w:r>
      <w:r w:rsidRPr="004B303D">
        <w:t>-0</w:t>
      </w:r>
      <w:r w:rsidR="00130E6E" w:rsidRPr="004B303D">
        <w:t>0</w:t>
      </w:r>
      <w:r w:rsidR="00D70D75">
        <w:t>79</w:t>
      </w:r>
      <w:r w:rsidR="0011331B">
        <w:t>94</w:t>
      </w:r>
      <w:r w:rsidRPr="00CF0B66">
        <w:t xml:space="preserve"> se </w:t>
      </w:r>
      <w:r>
        <w:t xml:space="preserve">informó </w:t>
      </w:r>
      <w:r w:rsidRPr="00CF0B66">
        <w:t xml:space="preserve">a Empresas Públicas de Medellín E.S.P. </w:t>
      </w:r>
      <w:r>
        <w:t>sobre la formación del expediente administrativo</w:t>
      </w:r>
      <w:r w:rsidR="00DA0D4A">
        <w:t>.</w:t>
      </w:r>
    </w:p>
    <w:p w14:paraId="2EDFAF59" w14:textId="4A8E3981" w:rsidR="00D70D75" w:rsidRDefault="00F95C50" w:rsidP="005741C8">
      <w:pPr>
        <w:spacing w:before="260" w:after="260"/>
      </w:pPr>
      <w:r>
        <w:t xml:space="preserve">El 30 de marzo de 2017 la Comisión realizó una visita de verificación de activos en la subestación Caucasia. En </w:t>
      </w:r>
      <w:r w:rsidR="00F16686">
        <w:t>la visita</w:t>
      </w:r>
      <w:r>
        <w:t xml:space="preserve"> se encontraron las UC solicitadas, así como las UC N4EQ9 y N4EQ10 las cuales se encuentran incluidas en el concepto UPME </w:t>
      </w:r>
      <w:r w:rsidRPr="00C873DF">
        <w:t>201</w:t>
      </w:r>
      <w:r>
        <w:t xml:space="preserve">61500051781 pero no hacían parte de la solicitud de la empresa. </w:t>
      </w:r>
    </w:p>
    <w:p w14:paraId="5656A799" w14:textId="17DFB41B" w:rsidR="00F95C50" w:rsidRDefault="00F95C50" w:rsidP="00F95C50">
      <w:r>
        <w:t xml:space="preserve">En la comunicación con radicado CREG </w:t>
      </w:r>
      <w:r w:rsidRPr="00E251E2">
        <w:t>E</w:t>
      </w:r>
      <w:r>
        <w:noBreakHyphen/>
      </w:r>
      <w:r w:rsidRPr="00E251E2">
        <w:t>201</w:t>
      </w:r>
      <w:r>
        <w:t>7</w:t>
      </w:r>
      <w:r>
        <w:noBreakHyphen/>
      </w:r>
      <w:r w:rsidRPr="00E251E2">
        <w:t>00</w:t>
      </w:r>
      <w:r>
        <w:t xml:space="preserve">3234, </w:t>
      </w:r>
      <w:r w:rsidRPr="00392A0B">
        <w:t>Empresas Públicas de Medellín E.S.P.</w:t>
      </w:r>
      <w:r>
        <w:t>,</w:t>
      </w:r>
      <w:r w:rsidRPr="00392A0B">
        <w:t xml:space="preserve"> </w:t>
      </w:r>
      <w:r>
        <w:t xml:space="preserve">dando alcance a la comunicación inicial, solicita que </w:t>
      </w:r>
      <w:r w:rsidR="00502F33">
        <w:t xml:space="preserve">de manera </w:t>
      </w:r>
      <w:r>
        <w:t>adicional se incluyan las siguientes UC:</w:t>
      </w:r>
      <w:r w:rsidRPr="00E251E2">
        <w:t xml:space="preserve"> </w:t>
      </w:r>
    </w:p>
    <w:p w14:paraId="5568703F" w14:textId="77777777" w:rsidR="00F95C50" w:rsidRPr="00CB5417" w:rsidRDefault="00F95C50" w:rsidP="00F95C50">
      <w:pPr>
        <w:ind w:firstLine="708"/>
      </w:pPr>
      <w:r>
        <w:rPr>
          <w:i/>
        </w:rPr>
        <w:t>Unidades constructivas de subestaciones de nivel 4</w:t>
      </w:r>
    </w:p>
    <w:tbl>
      <w:tblPr>
        <w:tblW w:w="0" w:type="auto"/>
        <w:tblInd w:w="562" w:type="dxa"/>
        <w:tblCellMar>
          <w:left w:w="70" w:type="dxa"/>
          <w:right w:w="70" w:type="dxa"/>
        </w:tblCellMar>
        <w:tblLook w:val="04A0" w:firstRow="1" w:lastRow="0" w:firstColumn="1" w:lastColumn="0" w:noHBand="0" w:noVBand="1"/>
      </w:tblPr>
      <w:tblGrid>
        <w:gridCol w:w="1661"/>
        <w:gridCol w:w="1828"/>
        <w:gridCol w:w="1256"/>
        <w:gridCol w:w="1585"/>
        <w:gridCol w:w="900"/>
        <w:gridCol w:w="1235"/>
      </w:tblGrid>
      <w:tr w:rsidR="006F227A" w:rsidRPr="006F227A" w14:paraId="1B569DB3" w14:textId="77777777" w:rsidTr="006F227A">
        <w:trPr>
          <w:trHeight w:val="510"/>
        </w:trPr>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70EA9" w14:textId="77777777" w:rsidR="00F95C50" w:rsidRPr="00D03F05" w:rsidRDefault="002E7953" w:rsidP="00DC4BD9">
            <w:pPr>
              <w:spacing w:before="0" w:after="0"/>
              <w:jc w:val="center"/>
              <w:rPr>
                <w:rFonts w:cs="Arial"/>
                <w:b/>
                <w:sz w:val="20"/>
                <w:szCs w:val="20"/>
                <w:lang w:val="es-CO" w:eastAsia="es-CO"/>
              </w:rPr>
            </w:pPr>
            <w:r w:rsidRPr="00D03F05">
              <w:rPr>
                <w:rFonts w:cs="Arial"/>
                <w:b/>
                <w:sz w:val="20"/>
                <w:szCs w:val="20"/>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000000" w:fill="FFFFFF"/>
            <w:vAlign w:val="center"/>
            <w:hideMark/>
          </w:tcPr>
          <w:p w14:paraId="7DEA20D7" w14:textId="77777777" w:rsidR="00F95C50" w:rsidRPr="00D03F05" w:rsidRDefault="002E7953" w:rsidP="00DC4BD9">
            <w:pPr>
              <w:spacing w:before="0" w:after="0"/>
              <w:jc w:val="center"/>
              <w:rPr>
                <w:rFonts w:cs="Arial"/>
                <w:b/>
                <w:sz w:val="20"/>
                <w:szCs w:val="20"/>
                <w:lang w:val="es-CO" w:eastAsia="es-CO"/>
              </w:rPr>
            </w:pPr>
            <w:r w:rsidRPr="00D03F05">
              <w:rPr>
                <w:rFonts w:cs="Arial"/>
                <w:b/>
                <w:sz w:val="20"/>
                <w:szCs w:val="20"/>
                <w:lang w:val="es-CO" w:eastAsia="es-CO"/>
              </w:rPr>
              <w:t>Unidad constructiva</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9FAC1D5" w14:textId="77777777" w:rsidR="00F95C50" w:rsidRPr="00D03F05" w:rsidRDefault="002E7953" w:rsidP="00DC4BD9">
            <w:pPr>
              <w:spacing w:before="0" w:after="0"/>
              <w:jc w:val="center"/>
              <w:rPr>
                <w:rFonts w:cs="Arial"/>
                <w:b/>
                <w:sz w:val="20"/>
                <w:szCs w:val="20"/>
                <w:lang w:val="es-CO" w:eastAsia="es-CO"/>
              </w:rPr>
            </w:pPr>
            <w:r w:rsidRPr="00D03F05">
              <w:rPr>
                <w:rFonts w:cs="Arial"/>
                <w:b/>
                <w:sz w:val="20"/>
                <w:szCs w:val="20"/>
                <w:lang w:val="es-CO" w:eastAsia="es-CO"/>
              </w:rPr>
              <w:t>Cantidad</w:t>
            </w:r>
          </w:p>
        </w:tc>
        <w:tc>
          <w:tcPr>
            <w:tcW w:w="1585" w:type="dxa"/>
            <w:tcBorders>
              <w:top w:val="single" w:sz="4" w:space="0" w:color="auto"/>
              <w:left w:val="nil"/>
              <w:bottom w:val="single" w:sz="4" w:space="0" w:color="auto"/>
              <w:right w:val="single" w:sz="4" w:space="0" w:color="auto"/>
            </w:tcBorders>
            <w:shd w:val="clear" w:color="000000" w:fill="FFFFFF"/>
            <w:vAlign w:val="center"/>
            <w:hideMark/>
          </w:tcPr>
          <w:p w14:paraId="43EAC73E" w14:textId="77777777" w:rsidR="00F95C50" w:rsidRPr="00D03F05" w:rsidRDefault="002E7953" w:rsidP="00DC4BD9">
            <w:pPr>
              <w:spacing w:before="0" w:after="0"/>
              <w:jc w:val="center"/>
              <w:rPr>
                <w:rFonts w:cs="Arial"/>
                <w:b/>
                <w:sz w:val="20"/>
                <w:szCs w:val="20"/>
                <w:lang w:val="es-CO" w:eastAsia="es-CO"/>
              </w:rPr>
            </w:pPr>
            <w:r w:rsidRPr="00D03F05">
              <w:rPr>
                <w:rFonts w:cs="Arial"/>
                <w:b/>
                <w:sz w:val="20"/>
                <w:szCs w:val="20"/>
                <w:lang w:val="es-CO" w:eastAsia="es-CO"/>
              </w:rPr>
              <w:t>Porcentaje uso</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20EA7E93" w14:textId="77777777" w:rsidR="00F95C50" w:rsidRPr="00D03F05" w:rsidRDefault="002E7953" w:rsidP="00DC4BD9">
            <w:pPr>
              <w:spacing w:before="0" w:after="0"/>
              <w:jc w:val="center"/>
              <w:rPr>
                <w:rFonts w:cs="Arial"/>
                <w:b/>
                <w:sz w:val="20"/>
                <w:szCs w:val="20"/>
                <w:lang w:val="es-CO" w:eastAsia="es-CO"/>
              </w:rPr>
            </w:pPr>
            <w:r w:rsidRPr="00D03F05">
              <w:rPr>
                <w:rFonts w:cs="Arial"/>
                <w:b/>
                <w:sz w:val="20"/>
                <w:szCs w:val="20"/>
                <w:lang w:val="es-CO" w:eastAsia="es-CO"/>
              </w:rPr>
              <w:t>RPP</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14:paraId="5F069A34" w14:textId="77777777" w:rsidR="00F95C50" w:rsidRPr="00D03F05" w:rsidRDefault="002E7953" w:rsidP="002E7953">
            <w:pPr>
              <w:spacing w:before="0" w:after="0"/>
              <w:jc w:val="center"/>
              <w:rPr>
                <w:rFonts w:cs="Arial"/>
                <w:b/>
                <w:sz w:val="20"/>
                <w:szCs w:val="20"/>
                <w:lang w:val="es-CO" w:eastAsia="es-CO"/>
              </w:rPr>
            </w:pPr>
            <w:r w:rsidRPr="00D03F05">
              <w:rPr>
                <w:rFonts w:cs="Arial"/>
                <w:b/>
                <w:sz w:val="20"/>
                <w:szCs w:val="20"/>
                <w:lang w:val="es-CO" w:eastAsia="es-CO"/>
              </w:rPr>
              <w:t xml:space="preserve">Área </w:t>
            </w:r>
            <w:r>
              <w:rPr>
                <w:rFonts w:cs="Arial"/>
                <w:b/>
                <w:sz w:val="20"/>
                <w:szCs w:val="20"/>
                <w:lang w:val="es-CO" w:eastAsia="es-CO"/>
              </w:rPr>
              <w:t>UC</w:t>
            </w:r>
          </w:p>
        </w:tc>
      </w:tr>
      <w:tr w:rsidR="006F227A" w:rsidRPr="006F227A" w14:paraId="65C2F18A" w14:textId="77777777" w:rsidTr="007842D3">
        <w:trPr>
          <w:trHeight w:val="317"/>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64ECA994" w14:textId="77777777" w:rsidR="00F95C50" w:rsidRPr="00D03F05" w:rsidRDefault="00F95C50" w:rsidP="00DC4BD9">
            <w:pPr>
              <w:spacing w:before="0" w:after="0"/>
              <w:jc w:val="left"/>
              <w:rPr>
                <w:rFonts w:cs="Arial"/>
                <w:sz w:val="20"/>
                <w:szCs w:val="20"/>
                <w:lang w:val="es-CO" w:eastAsia="es-CO"/>
              </w:rPr>
            </w:pPr>
            <w:r w:rsidRPr="00D03F05">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000000" w:fill="FFFFFF"/>
            <w:noWrap/>
            <w:vAlign w:val="bottom"/>
            <w:hideMark/>
          </w:tcPr>
          <w:p w14:paraId="66326C87" w14:textId="77777777" w:rsidR="00F95C50" w:rsidRPr="00D03F05" w:rsidRDefault="00F95C50" w:rsidP="00DC4BD9">
            <w:pPr>
              <w:spacing w:before="0" w:after="0"/>
              <w:jc w:val="left"/>
              <w:rPr>
                <w:rFonts w:cs="Arial"/>
                <w:sz w:val="20"/>
                <w:szCs w:val="20"/>
                <w:lang w:val="es-CO" w:eastAsia="es-CO"/>
              </w:rPr>
            </w:pPr>
            <w:r w:rsidRPr="00D03F05">
              <w:rPr>
                <w:rFonts w:cs="Arial"/>
                <w:sz w:val="20"/>
                <w:szCs w:val="20"/>
                <w:lang w:val="es-CO" w:eastAsia="es-CO"/>
              </w:rPr>
              <w:t>N4EQ10</w:t>
            </w:r>
          </w:p>
        </w:tc>
        <w:tc>
          <w:tcPr>
            <w:tcW w:w="1256" w:type="dxa"/>
            <w:tcBorders>
              <w:top w:val="nil"/>
              <w:left w:val="nil"/>
              <w:bottom w:val="single" w:sz="4" w:space="0" w:color="auto"/>
              <w:right w:val="single" w:sz="4" w:space="0" w:color="auto"/>
            </w:tcBorders>
            <w:shd w:val="clear" w:color="000000" w:fill="FFFFFF"/>
            <w:noWrap/>
            <w:vAlign w:val="bottom"/>
            <w:hideMark/>
          </w:tcPr>
          <w:p w14:paraId="377A681C" w14:textId="77777777" w:rsidR="00F95C50" w:rsidRPr="00D03F05" w:rsidRDefault="00F95C50" w:rsidP="00DC4BD9">
            <w:pPr>
              <w:spacing w:before="0" w:after="0"/>
              <w:jc w:val="right"/>
              <w:rPr>
                <w:rFonts w:cs="Arial"/>
                <w:sz w:val="20"/>
                <w:szCs w:val="20"/>
                <w:lang w:val="es-CO" w:eastAsia="es-CO"/>
              </w:rPr>
            </w:pPr>
            <w:r w:rsidRPr="00D03F05">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000000" w:fill="FFFFFF"/>
            <w:noWrap/>
            <w:vAlign w:val="bottom"/>
            <w:hideMark/>
          </w:tcPr>
          <w:p w14:paraId="6DF8D7AE" w14:textId="77777777" w:rsidR="00F95C50" w:rsidRPr="00D03F05" w:rsidRDefault="00F95C50" w:rsidP="00DC4BD9">
            <w:pPr>
              <w:spacing w:before="0" w:after="0"/>
              <w:jc w:val="right"/>
              <w:rPr>
                <w:rFonts w:cs="Arial"/>
                <w:sz w:val="20"/>
                <w:szCs w:val="20"/>
                <w:lang w:val="es-CO" w:eastAsia="es-CO"/>
              </w:rPr>
            </w:pPr>
            <w:r w:rsidRPr="00D03F05">
              <w:rPr>
                <w:rFonts w:cs="Arial"/>
                <w:sz w:val="20"/>
                <w:szCs w:val="20"/>
                <w:lang w:val="es-CO" w:eastAsia="es-CO"/>
              </w:rPr>
              <w:t>100</w:t>
            </w:r>
          </w:p>
        </w:tc>
        <w:tc>
          <w:tcPr>
            <w:tcW w:w="900" w:type="dxa"/>
            <w:tcBorders>
              <w:top w:val="nil"/>
              <w:left w:val="nil"/>
              <w:bottom w:val="single" w:sz="4" w:space="0" w:color="auto"/>
              <w:right w:val="single" w:sz="4" w:space="0" w:color="auto"/>
            </w:tcBorders>
            <w:shd w:val="clear" w:color="000000" w:fill="FFFFFF"/>
            <w:noWrap/>
            <w:vAlign w:val="bottom"/>
            <w:hideMark/>
          </w:tcPr>
          <w:p w14:paraId="7E77226C" w14:textId="77777777" w:rsidR="00F95C50" w:rsidRPr="00D03F05" w:rsidRDefault="00F95C50" w:rsidP="00DC4BD9">
            <w:pPr>
              <w:spacing w:before="0" w:after="0"/>
              <w:jc w:val="right"/>
              <w:rPr>
                <w:rFonts w:cs="Arial"/>
                <w:sz w:val="20"/>
                <w:szCs w:val="20"/>
                <w:lang w:val="es-CO" w:eastAsia="es-CO"/>
              </w:rPr>
            </w:pPr>
            <w:r w:rsidRPr="00D03F05">
              <w:rPr>
                <w:rFonts w:cs="Arial"/>
                <w:sz w:val="20"/>
                <w:szCs w:val="20"/>
                <w:lang w:val="es-CO" w:eastAsia="es-CO"/>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3B707EF3" w14:textId="77777777" w:rsidR="00F95C50" w:rsidRPr="00D03F05" w:rsidRDefault="00F95C50" w:rsidP="00DC4BD9">
            <w:pPr>
              <w:spacing w:before="0" w:after="0"/>
              <w:jc w:val="right"/>
              <w:rPr>
                <w:rFonts w:cs="Arial"/>
                <w:sz w:val="20"/>
                <w:szCs w:val="20"/>
                <w:lang w:val="es-CO" w:eastAsia="es-CO"/>
              </w:rPr>
            </w:pPr>
            <w:r w:rsidRPr="00D03F05">
              <w:rPr>
                <w:rFonts w:cs="Arial"/>
                <w:sz w:val="20"/>
                <w:szCs w:val="20"/>
                <w:lang w:val="es-CO" w:eastAsia="es-CO"/>
              </w:rPr>
              <w:t>0</w:t>
            </w:r>
          </w:p>
        </w:tc>
      </w:tr>
      <w:tr w:rsidR="006F227A" w:rsidRPr="006F227A" w14:paraId="087DE358" w14:textId="77777777" w:rsidTr="007842D3">
        <w:trPr>
          <w:trHeight w:val="317"/>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02B91CFE" w14:textId="77777777" w:rsidR="00F95C50" w:rsidRPr="00D03F05" w:rsidRDefault="00F95C50" w:rsidP="00DC4BD9">
            <w:pPr>
              <w:spacing w:before="0" w:after="0"/>
              <w:jc w:val="left"/>
              <w:rPr>
                <w:rFonts w:cs="Arial"/>
                <w:sz w:val="20"/>
                <w:szCs w:val="20"/>
                <w:lang w:val="es-CO" w:eastAsia="es-CO"/>
              </w:rPr>
            </w:pPr>
            <w:r w:rsidRPr="00D03F05">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000000" w:fill="FFFFFF"/>
            <w:noWrap/>
            <w:vAlign w:val="bottom"/>
            <w:hideMark/>
          </w:tcPr>
          <w:p w14:paraId="1299F84B" w14:textId="77777777" w:rsidR="00F95C50" w:rsidRPr="00D03F05" w:rsidRDefault="00F95C50" w:rsidP="00DC4BD9">
            <w:pPr>
              <w:spacing w:before="0" w:after="0"/>
              <w:jc w:val="left"/>
              <w:rPr>
                <w:rFonts w:cs="Arial"/>
                <w:sz w:val="20"/>
                <w:szCs w:val="20"/>
                <w:lang w:val="es-CO" w:eastAsia="es-CO"/>
              </w:rPr>
            </w:pPr>
            <w:r w:rsidRPr="00D03F05">
              <w:rPr>
                <w:rFonts w:cs="Arial"/>
                <w:sz w:val="20"/>
                <w:szCs w:val="20"/>
                <w:lang w:val="es-CO" w:eastAsia="es-CO"/>
              </w:rPr>
              <w:t>N4EQ9</w:t>
            </w:r>
          </w:p>
        </w:tc>
        <w:tc>
          <w:tcPr>
            <w:tcW w:w="1256" w:type="dxa"/>
            <w:tcBorders>
              <w:top w:val="nil"/>
              <w:left w:val="nil"/>
              <w:bottom w:val="single" w:sz="4" w:space="0" w:color="auto"/>
              <w:right w:val="single" w:sz="4" w:space="0" w:color="auto"/>
            </w:tcBorders>
            <w:shd w:val="clear" w:color="000000" w:fill="FFFFFF"/>
            <w:noWrap/>
            <w:vAlign w:val="bottom"/>
            <w:hideMark/>
          </w:tcPr>
          <w:p w14:paraId="37D71BAF" w14:textId="77777777" w:rsidR="00F95C50" w:rsidRPr="00D03F05" w:rsidRDefault="00F91D6A" w:rsidP="00DC4BD9">
            <w:pPr>
              <w:spacing w:before="0" w:after="0"/>
              <w:jc w:val="right"/>
              <w:rPr>
                <w:rFonts w:cs="Arial"/>
                <w:sz w:val="20"/>
                <w:szCs w:val="20"/>
                <w:lang w:val="es-CO" w:eastAsia="es-CO"/>
              </w:rPr>
            </w:pPr>
            <w:r>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000000" w:fill="FFFFFF"/>
            <w:noWrap/>
            <w:vAlign w:val="bottom"/>
            <w:hideMark/>
          </w:tcPr>
          <w:p w14:paraId="524DC929" w14:textId="77777777" w:rsidR="00F95C50" w:rsidRPr="00D03F05" w:rsidRDefault="00F95C50" w:rsidP="00DC4BD9">
            <w:pPr>
              <w:spacing w:before="0" w:after="0"/>
              <w:jc w:val="right"/>
              <w:rPr>
                <w:rFonts w:cs="Arial"/>
                <w:sz w:val="20"/>
                <w:szCs w:val="20"/>
                <w:lang w:val="es-CO" w:eastAsia="es-CO"/>
              </w:rPr>
            </w:pPr>
            <w:r w:rsidRPr="00D03F05">
              <w:rPr>
                <w:rFonts w:cs="Arial"/>
                <w:sz w:val="20"/>
                <w:szCs w:val="20"/>
                <w:lang w:val="es-CO" w:eastAsia="es-CO"/>
              </w:rPr>
              <w:t>100</w:t>
            </w:r>
          </w:p>
        </w:tc>
        <w:tc>
          <w:tcPr>
            <w:tcW w:w="900" w:type="dxa"/>
            <w:tcBorders>
              <w:top w:val="nil"/>
              <w:left w:val="nil"/>
              <w:bottom w:val="single" w:sz="4" w:space="0" w:color="auto"/>
              <w:right w:val="single" w:sz="4" w:space="0" w:color="auto"/>
            </w:tcBorders>
            <w:shd w:val="clear" w:color="000000" w:fill="FFFFFF"/>
            <w:noWrap/>
            <w:vAlign w:val="bottom"/>
            <w:hideMark/>
          </w:tcPr>
          <w:p w14:paraId="0D2B19C4" w14:textId="77777777" w:rsidR="00F95C50" w:rsidRPr="00D03F05" w:rsidRDefault="00F95C50" w:rsidP="00DC4BD9">
            <w:pPr>
              <w:spacing w:before="0" w:after="0"/>
              <w:jc w:val="right"/>
              <w:rPr>
                <w:rFonts w:cs="Arial"/>
                <w:sz w:val="20"/>
                <w:szCs w:val="20"/>
                <w:lang w:val="es-CO" w:eastAsia="es-CO"/>
              </w:rPr>
            </w:pPr>
            <w:r w:rsidRPr="00D03F05">
              <w:rPr>
                <w:rFonts w:cs="Arial"/>
                <w:sz w:val="20"/>
                <w:szCs w:val="20"/>
                <w:lang w:val="es-CO" w:eastAsia="es-CO"/>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49882EF2" w14:textId="77777777" w:rsidR="00F95C50" w:rsidRPr="00D03F05" w:rsidRDefault="00F95C50" w:rsidP="00DC4BD9">
            <w:pPr>
              <w:spacing w:before="0" w:after="0"/>
              <w:jc w:val="right"/>
              <w:rPr>
                <w:rFonts w:cs="Arial"/>
                <w:sz w:val="20"/>
                <w:szCs w:val="20"/>
                <w:lang w:val="es-CO" w:eastAsia="es-CO"/>
              </w:rPr>
            </w:pPr>
            <w:r w:rsidRPr="00D03F05">
              <w:rPr>
                <w:rFonts w:cs="Arial"/>
                <w:sz w:val="20"/>
                <w:szCs w:val="20"/>
                <w:lang w:val="es-CO" w:eastAsia="es-CO"/>
              </w:rPr>
              <w:t>0</w:t>
            </w:r>
          </w:p>
        </w:tc>
      </w:tr>
    </w:tbl>
    <w:p w14:paraId="608749E2" w14:textId="77777777" w:rsidR="002C2242" w:rsidRDefault="008B25C5" w:rsidP="005741C8">
      <w:pPr>
        <w:spacing w:before="260" w:after="260"/>
      </w:pPr>
      <w:r>
        <w:t xml:space="preserve">El numeral 4.1 del capítulo 4 de la </w:t>
      </w:r>
      <w:r w:rsidR="007960C7">
        <w:t>R</w:t>
      </w:r>
      <w:r>
        <w:t xml:space="preserve">esolución </w:t>
      </w:r>
      <w:r w:rsidR="007960C7">
        <w:t xml:space="preserve">CREG 097 de 2008 </w:t>
      </w:r>
      <w:r>
        <w:t xml:space="preserve">establece que la revisión del </w:t>
      </w:r>
      <w:r w:rsidR="002C2242" w:rsidRPr="00E11F8F">
        <w:t>Costo Anual por el uso de los activos del Nivel de Tensión 4</w:t>
      </w:r>
      <w:r w:rsidR="002C2242">
        <w:t xml:space="preserve"> procede cuando el OR acredite, entre otros requisitos, la a</w:t>
      </w:r>
      <w:r w:rsidR="002C2242" w:rsidRPr="002C2242">
        <w:t xml:space="preserve">probación de los proyectos del STR por la Unidad </w:t>
      </w:r>
      <w:r w:rsidR="002C2242">
        <w:t>de Planeación Minero Energética.</w:t>
      </w:r>
    </w:p>
    <w:p w14:paraId="412A55AB" w14:textId="77777777" w:rsidR="00F91D6A" w:rsidRDefault="008B25C5" w:rsidP="007C1E55">
      <w:pPr>
        <w:spacing w:before="260" w:after="260"/>
      </w:pPr>
      <w:r>
        <w:t>C</w:t>
      </w:r>
      <w:r w:rsidR="006E657F" w:rsidRPr="006E657F">
        <w:t xml:space="preserve">on base en los análisis efectuados </w:t>
      </w:r>
      <w:r w:rsidR="00EE1532">
        <w:t xml:space="preserve">por la Comisión, </w:t>
      </w:r>
      <w:r w:rsidR="00B0723B" w:rsidRPr="006E657F">
        <w:t xml:space="preserve">se </w:t>
      </w:r>
      <w:r w:rsidR="00B0723B">
        <w:t xml:space="preserve">considera pertinente </w:t>
      </w:r>
      <w:r w:rsidR="00876066">
        <w:t xml:space="preserve">realizar las siguientes modificaciones </w:t>
      </w:r>
      <w:r w:rsidR="00F91D6A">
        <w:t xml:space="preserve">en la base de activos </w:t>
      </w:r>
      <w:r w:rsidR="00EE1532">
        <w:t xml:space="preserve">de nivel de tensión 4 </w:t>
      </w:r>
      <w:r w:rsidR="00F91D6A">
        <w:t xml:space="preserve">de </w:t>
      </w:r>
      <w:r w:rsidR="00EE1532" w:rsidRPr="00392A0B">
        <w:t>Empresas Públicas de Medellín E.S.P.</w:t>
      </w:r>
    </w:p>
    <w:p w14:paraId="1025508C" w14:textId="77777777" w:rsidR="00F91D6A" w:rsidRDefault="00F91D6A" w:rsidP="00F91D6A">
      <w:pPr>
        <w:spacing w:before="260" w:after="260"/>
        <w:ind w:firstLine="708"/>
      </w:pPr>
      <w:r>
        <w:rPr>
          <w:i/>
        </w:rPr>
        <w:t xml:space="preserve">UC de nivel </w:t>
      </w:r>
      <w:r w:rsidR="00876066">
        <w:rPr>
          <w:i/>
        </w:rPr>
        <w:t xml:space="preserve">de tensión </w:t>
      </w:r>
      <w:r>
        <w:rPr>
          <w:i/>
        </w:rPr>
        <w:t>4 a incluir en la base de activos</w:t>
      </w:r>
    </w:p>
    <w:tbl>
      <w:tblPr>
        <w:tblW w:w="8322" w:type="dxa"/>
        <w:jc w:val="center"/>
        <w:tblCellMar>
          <w:left w:w="70" w:type="dxa"/>
          <w:right w:w="70" w:type="dxa"/>
        </w:tblCellMar>
        <w:tblLook w:val="04A0" w:firstRow="1" w:lastRow="0" w:firstColumn="1" w:lastColumn="0" w:noHBand="0" w:noVBand="1"/>
      </w:tblPr>
      <w:tblGrid>
        <w:gridCol w:w="1413"/>
        <w:gridCol w:w="1876"/>
        <w:gridCol w:w="1384"/>
        <w:gridCol w:w="1559"/>
        <w:gridCol w:w="993"/>
        <w:gridCol w:w="1097"/>
      </w:tblGrid>
      <w:tr w:rsidR="00F91D6A" w:rsidRPr="00F91D6A" w14:paraId="4813D786" w14:textId="77777777" w:rsidTr="00F91D6A">
        <w:trPr>
          <w:trHeight w:val="6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FD305" w14:textId="77777777" w:rsidR="00F91D6A" w:rsidRPr="00F91D6A" w:rsidRDefault="00F91D6A" w:rsidP="00F91D6A">
            <w:pPr>
              <w:spacing w:before="0" w:after="0"/>
              <w:jc w:val="center"/>
              <w:rPr>
                <w:b/>
                <w:color w:val="000000"/>
                <w:sz w:val="20"/>
                <w:szCs w:val="20"/>
                <w:lang w:val="es-CO" w:eastAsia="es-CO"/>
              </w:rPr>
            </w:pPr>
            <w:r w:rsidRPr="00F91D6A">
              <w:rPr>
                <w:b/>
                <w:color w:val="000000"/>
                <w:sz w:val="20"/>
                <w:szCs w:val="20"/>
                <w:lang w:val="es-CO" w:eastAsia="es-CO"/>
              </w:rPr>
              <w:t>Código subestación</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14:paraId="629F1738" w14:textId="77777777" w:rsidR="00F91D6A" w:rsidRPr="00F91D6A" w:rsidRDefault="00F91D6A" w:rsidP="00F91D6A">
            <w:pPr>
              <w:spacing w:before="0" w:after="0"/>
              <w:jc w:val="center"/>
              <w:rPr>
                <w:b/>
                <w:color w:val="000000"/>
                <w:sz w:val="20"/>
                <w:szCs w:val="20"/>
                <w:lang w:val="es-CO" w:eastAsia="es-CO"/>
              </w:rPr>
            </w:pPr>
            <w:r w:rsidRPr="00F91D6A">
              <w:rPr>
                <w:b/>
                <w:color w:val="000000"/>
                <w:sz w:val="20"/>
                <w:szCs w:val="20"/>
                <w:lang w:val="es-CO" w:eastAsia="es-CO"/>
              </w:rPr>
              <w:t>Unidad Constructiva</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0C4AA63A" w14:textId="77777777" w:rsidR="00F91D6A" w:rsidRPr="00F91D6A" w:rsidRDefault="00F91D6A" w:rsidP="00F91D6A">
            <w:pPr>
              <w:spacing w:before="0" w:after="0"/>
              <w:jc w:val="center"/>
              <w:rPr>
                <w:b/>
                <w:color w:val="000000"/>
                <w:sz w:val="20"/>
                <w:szCs w:val="20"/>
                <w:lang w:val="es-CO" w:eastAsia="es-CO"/>
              </w:rPr>
            </w:pPr>
            <w:r w:rsidRPr="00F91D6A">
              <w:rPr>
                <w:b/>
                <w:color w:val="000000"/>
                <w:sz w:val="20"/>
                <w:szCs w:val="20"/>
                <w:lang w:val="es-CO" w:eastAsia="es-CO"/>
              </w:rPr>
              <w:t>Cantidad</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D7B240" w14:textId="77777777" w:rsidR="00F91D6A" w:rsidRPr="00F91D6A" w:rsidRDefault="00F91D6A" w:rsidP="00F91D6A">
            <w:pPr>
              <w:spacing w:before="0" w:after="0"/>
              <w:jc w:val="center"/>
              <w:rPr>
                <w:b/>
                <w:color w:val="000000"/>
                <w:sz w:val="20"/>
                <w:szCs w:val="20"/>
                <w:lang w:val="es-CO" w:eastAsia="es-CO"/>
              </w:rPr>
            </w:pPr>
            <w:r w:rsidRPr="00F91D6A">
              <w:rPr>
                <w:b/>
                <w:color w:val="000000"/>
                <w:sz w:val="20"/>
                <w:szCs w:val="20"/>
                <w:lang w:val="es-CO" w:eastAsia="es-CO"/>
              </w:rPr>
              <w:t>Porcentaje uso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BDDF70D" w14:textId="77777777" w:rsidR="00F91D6A" w:rsidRPr="00F91D6A" w:rsidRDefault="00F91D6A" w:rsidP="00F91D6A">
            <w:pPr>
              <w:spacing w:before="0" w:after="0"/>
              <w:jc w:val="center"/>
              <w:rPr>
                <w:b/>
                <w:color w:val="000000"/>
                <w:sz w:val="20"/>
                <w:szCs w:val="20"/>
                <w:lang w:val="es-CO" w:eastAsia="es-CO"/>
              </w:rPr>
            </w:pPr>
            <w:r w:rsidRPr="00F91D6A">
              <w:rPr>
                <w:b/>
                <w:color w:val="000000"/>
                <w:sz w:val="20"/>
                <w:szCs w:val="20"/>
                <w:lang w:val="es-CO" w:eastAsia="es-CO"/>
              </w:rPr>
              <w:t>RPP</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4D5B713C" w14:textId="77777777" w:rsidR="00F91D6A" w:rsidRPr="00F91D6A" w:rsidRDefault="00F91D6A" w:rsidP="00F91D6A">
            <w:pPr>
              <w:spacing w:before="0" w:after="0"/>
              <w:jc w:val="center"/>
              <w:rPr>
                <w:b/>
                <w:color w:val="000000"/>
                <w:sz w:val="20"/>
                <w:szCs w:val="20"/>
                <w:lang w:val="es-CO" w:eastAsia="es-CO"/>
              </w:rPr>
            </w:pPr>
            <w:r w:rsidRPr="00F91D6A">
              <w:rPr>
                <w:b/>
                <w:color w:val="000000"/>
                <w:sz w:val="20"/>
                <w:szCs w:val="20"/>
                <w:lang w:val="es-CO" w:eastAsia="es-CO"/>
              </w:rPr>
              <w:t>Área UC</w:t>
            </w:r>
          </w:p>
        </w:tc>
      </w:tr>
      <w:tr w:rsidR="00F91D6A" w:rsidRPr="00F91D6A" w14:paraId="07355684"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400985"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7FBA04FC"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N4S7</w:t>
            </w:r>
          </w:p>
        </w:tc>
        <w:tc>
          <w:tcPr>
            <w:tcW w:w="1384" w:type="dxa"/>
            <w:tcBorders>
              <w:top w:val="nil"/>
              <w:left w:val="nil"/>
              <w:bottom w:val="single" w:sz="4" w:space="0" w:color="auto"/>
              <w:right w:val="single" w:sz="4" w:space="0" w:color="auto"/>
            </w:tcBorders>
            <w:shd w:val="clear" w:color="auto" w:fill="auto"/>
            <w:noWrap/>
            <w:vAlign w:val="bottom"/>
            <w:hideMark/>
          </w:tcPr>
          <w:p w14:paraId="1E5E374D"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14:paraId="1F7C534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7F93772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574EDB0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405</w:t>
            </w:r>
          </w:p>
        </w:tc>
      </w:tr>
      <w:tr w:rsidR="00F91D6A" w:rsidRPr="00F91D6A" w14:paraId="0651C035"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44B78F"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7B42A5DD"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N4S17</w:t>
            </w:r>
          </w:p>
        </w:tc>
        <w:tc>
          <w:tcPr>
            <w:tcW w:w="1384" w:type="dxa"/>
            <w:tcBorders>
              <w:top w:val="nil"/>
              <w:left w:val="nil"/>
              <w:bottom w:val="single" w:sz="4" w:space="0" w:color="auto"/>
              <w:right w:val="single" w:sz="4" w:space="0" w:color="auto"/>
            </w:tcBorders>
            <w:shd w:val="clear" w:color="auto" w:fill="auto"/>
            <w:noWrap/>
            <w:vAlign w:val="bottom"/>
            <w:hideMark/>
          </w:tcPr>
          <w:p w14:paraId="46E202F9"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14:paraId="6798F5AD"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7215EB4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4DEFDF2E"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405</w:t>
            </w:r>
          </w:p>
        </w:tc>
      </w:tr>
      <w:tr w:rsidR="00F91D6A" w:rsidRPr="00F91D6A" w14:paraId="2DC5685C"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47523A"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102A2B8D"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N4S19</w:t>
            </w:r>
          </w:p>
        </w:tc>
        <w:tc>
          <w:tcPr>
            <w:tcW w:w="1384" w:type="dxa"/>
            <w:tcBorders>
              <w:top w:val="nil"/>
              <w:left w:val="nil"/>
              <w:bottom w:val="single" w:sz="4" w:space="0" w:color="auto"/>
              <w:right w:val="single" w:sz="4" w:space="0" w:color="auto"/>
            </w:tcBorders>
            <w:shd w:val="clear" w:color="auto" w:fill="auto"/>
            <w:noWrap/>
            <w:vAlign w:val="bottom"/>
            <w:hideMark/>
          </w:tcPr>
          <w:p w14:paraId="3CD587B4"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14:paraId="66C3E92B"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04D4FC3A"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79DCFC3B"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r>
      <w:tr w:rsidR="00F91D6A" w:rsidRPr="00F91D6A" w14:paraId="6065B53D"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414DE5"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2955EDB6"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N4S33</w:t>
            </w:r>
          </w:p>
        </w:tc>
        <w:tc>
          <w:tcPr>
            <w:tcW w:w="1384" w:type="dxa"/>
            <w:tcBorders>
              <w:top w:val="nil"/>
              <w:left w:val="nil"/>
              <w:bottom w:val="single" w:sz="4" w:space="0" w:color="auto"/>
              <w:right w:val="single" w:sz="4" w:space="0" w:color="auto"/>
            </w:tcBorders>
            <w:shd w:val="clear" w:color="auto" w:fill="auto"/>
            <w:noWrap/>
            <w:vAlign w:val="bottom"/>
            <w:hideMark/>
          </w:tcPr>
          <w:p w14:paraId="608D165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14:paraId="1F9EDC6D"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2C7B0CC1"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07A502B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r>
      <w:tr w:rsidR="00F91D6A" w:rsidRPr="00F91D6A" w14:paraId="3C0CAD2F"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E6DD0C"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0BBAE0D1"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N4S44</w:t>
            </w:r>
          </w:p>
        </w:tc>
        <w:tc>
          <w:tcPr>
            <w:tcW w:w="1384" w:type="dxa"/>
            <w:tcBorders>
              <w:top w:val="nil"/>
              <w:left w:val="nil"/>
              <w:bottom w:val="single" w:sz="4" w:space="0" w:color="auto"/>
              <w:right w:val="single" w:sz="4" w:space="0" w:color="auto"/>
            </w:tcBorders>
            <w:shd w:val="clear" w:color="auto" w:fill="auto"/>
            <w:noWrap/>
            <w:vAlign w:val="bottom"/>
            <w:hideMark/>
          </w:tcPr>
          <w:p w14:paraId="1B4F6208"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14:paraId="4F7097E9"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2D8098AB"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396D957D" w14:textId="014318CB" w:rsidR="00F91D6A" w:rsidRPr="00F91D6A" w:rsidRDefault="00F91D6A" w:rsidP="009B4829">
            <w:pPr>
              <w:spacing w:before="0" w:after="0"/>
              <w:jc w:val="right"/>
              <w:rPr>
                <w:color w:val="000000"/>
                <w:sz w:val="20"/>
                <w:szCs w:val="20"/>
                <w:lang w:val="es-CO" w:eastAsia="es-CO"/>
              </w:rPr>
            </w:pPr>
            <w:r w:rsidRPr="00F91D6A">
              <w:rPr>
                <w:color w:val="000000"/>
                <w:sz w:val="20"/>
                <w:szCs w:val="20"/>
                <w:lang w:val="es-CO" w:eastAsia="es-CO"/>
              </w:rPr>
              <w:t>5260</w:t>
            </w:r>
          </w:p>
        </w:tc>
      </w:tr>
      <w:tr w:rsidR="00F91D6A" w:rsidRPr="00F91D6A" w14:paraId="1C1C752A"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5CB692"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78D4D85A"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N4S48</w:t>
            </w:r>
          </w:p>
        </w:tc>
        <w:tc>
          <w:tcPr>
            <w:tcW w:w="1384" w:type="dxa"/>
            <w:tcBorders>
              <w:top w:val="nil"/>
              <w:left w:val="nil"/>
              <w:bottom w:val="single" w:sz="4" w:space="0" w:color="auto"/>
              <w:right w:val="single" w:sz="4" w:space="0" w:color="auto"/>
            </w:tcBorders>
            <w:shd w:val="clear" w:color="auto" w:fill="auto"/>
            <w:noWrap/>
            <w:vAlign w:val="bottom"/>
            <w:hideMark/>
          </w:tcPr>
          <w:p w14:paraId="187CE251"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56,25</w:t>
            </w:r>
          </w:p>
        </w:tc>
        <w:tc>
          <w:tcPr>
            <w:tcW w:w="1559" w:type="dxa"/>
            <w:tcBorders>
              <w:top w:val="nil"/>
              <w:left w:val="nil"/>
              <w:bottom w:val="single" w:sz="4" w:space="0" w:color="auto"/>
              <w:right w:val="single" w:sz="4" w:space="0" w:color="auto"/>
            </w:tcBorders>
            <w:shd w:val="clear" w:color="auto" w:fill="auto"/>
            <w:noWrap/>
            <w:vAlign w:val="bottom"/>
            <w:hideMark/>
          </w:tcPr>
          <w:p w14:paraId="0A030D61"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3224EE72"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4DDC6BB2"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r>
      <w:tr w:rsidR="00F91D6A" w:rsidRPr="00F91D6A" w14:paraId="1CE65CCA"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C79C82"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26CBEF4F"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N4EQ2</w:t>
            </w:r>
          </w:p>
        </w:tc>
        <w:tc>
          <w:tcPr>
            <w:tcW w:w="1384" w:type="dxa"/>
            <w:tcBorders>
              <w:top w:val="nil"/>
              <w:left w:val="nil"/>
              <w:bottom w:val="single" w:sz="4" w:space="0" w:color="auto"/>
              <w:right w:val="single" w:sz="4" w:space="0" w:color="auto"/>
            </w:tcBorders>
            <w:shd w:val="clear" w:color="auto" w:fill="auto"/>
            <w:noWrap/>
            <w:vAlign w:val="bottom"/>
            <w:hideMark/>
          </w:tcPr>
          <w:p w14:paraId="78A8797F"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3</w:t>
            </w:r>
          </w:p>
        </w:tc>
        <w:tc>
          <w:tcPr>
            <w:tcW w:w="1559" w:type="dxa"/>
            <w:tcBorders>
              <w:top w:val="nil"/>
              <w:left w:val="nil"/>
              <w:bottom w:val="single" w:sz="4" w:space="0" w:color="auto"/>
              <w:right w:val="single" w:sz="4" w:space="0" w:color="auto"/>
            </w:tcBorders>
            <w:shd w:val="clear" w:color="auto" w:fill="auto"/>
            <w:noWrap/>
            <w:vAlign w:val="bottom"/>
            <w:hideMark/>
          </w:tcPr>
          <w:p w14:paraId="7249E822"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185B48E1"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0107A234"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r>
      <w:tr w:rsidR="00F91D6A" w:rsidRPr="00F91D6A" w14:paraId="3DB7FC09"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827831"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4449C7BB"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N4EQ10</w:t>
            </w:r>
          </w:p>
        </w:tc>
        <w:tc>
          <w:tcPr>
            <w:tcW w:w="1384" w:type="dxa"/>
            <w:tcBorders>
              <w:top w:val="nil"/>
              <w:left w:val="nil"/>
              <w:bottom w:val="single" w:sz="4" w:space="0" w:color="auto"/>
              <w:right w:val="single" w:sz="4" w:space="0" w:color="auto"/>
            </w:tcBorders>
            <w:shd w:val="clear" w:color="auto" w:fill="auto"/>
            <w:noWrap/>
            <w:vAlign w:val="bottom"/>
            <w:hideMark/>
          </w:tcPr>
          <w:p w14:paraId="5D801D82"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14:paraId="16F8F67F"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681519AF"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0C874D95"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r>
      <w:tr w:rsidR="00F91D6A" w:rsidRPr="00F91D6A" w14:paraId="6FFBDACF" w14:textId="77777777" w:rsidTr="00F91D6A">
        <w:trPr>
          <w:trHeight w:val="317"/>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4CB3DE"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R25</w:t>
            </w:r>
          </w:p>
        </w:tc>
        <w:tc>
          <w:tcPr>
            <w:tcW w:w="1876" w:type="dxa"/>
            <w:tcBorders>
              <w:top w:val="nil"/>
              <w:left w:val="nil"/>
              <w:bottom w:val="single" w:sz="4" w:space="0" w:color="auto"/>
              <w:right w:val="single" w:sz="4" w:space="0" w:color="auto"/>
            </w:tcBorders>
            <w:shd w:val="clear" w:color="auto" w:fill="auto"/>
            <w:noWrap/>
            <w:vAlign w:val="bottom"/>
            <w:hideMark/>
          </w:tcPr>
          <w:p w14:paraId="579D3A3E" w14:textId="77777777" w:rsidR="00F91D6A" w:rsidRPr="00F91D6A" w:rsidRDefault="00F91D6A" w:rsidP="00F91D6A">
            <w:pPr>
              <w:spacing w:before="0" w:after="0"/>
              <w:jc w:val="left"/>
              <w:rPr>
                <w:color w:val="000000"/>
                <w:sz w:val="20"/>
                <w:szCs w:val="20"/>
                <w:lang w:val="es-CO" w:eastAsia="es-CO"/>
              </w:rPr>
            </w:pPr>
            <w:r w:rsidRPr="00F91D6A">
              <w:rPr>
                <w:color w:val="000000"/>
                <w:sz w:val="20"/>
                <w:szCs w:val="20"/>
                <w:lang w:val="es-CO" w:eastAsia="es-CO"/>
              </w:rPr>
              <w:t>N4EQ9</w:t>
            </w:r>
          </w:p>
        </w:tc>
        <w:tc>
          <w:tcPr>
            <w:tcW w:w="1384" w:type="dxa"/>
            <w:tcBorders>
              <w:top w:val="nil"/>
              <w:left w:val="nil"/>
              <w:bottom w:val="single" w:sz="4" w:space="0" w:color="auto"/>
              <w:right w:val="single" w:sz="4" w:space="0" w:color="auto"/>
            </w:tcBorders>
            <w:shd w:val="clear" w:color="auto" w:fill="auto"/>
            <w:noWrap/>
            <w:vAlign w:val="bottom"/>
            <w:hideMark/>
          </w:tcPr>
          <w:p w14:paraId="45D03A42" w14:textId="014B2E3F" w:rsidR="00F91D6A" w:rsidRPr="00F91D6A" w:rsidRDefault="002B0970" w:rsidP="00F91D6A">
            <w:pPr>
              <w:spacing w:before="0" w:after="0"/>
              <w:jc w:val="right"/>
              <w:rPr>
                <w:color w:val="000000"/>
                <w:sz w:val="20"/>
                <w:szCs w:val="20"/>
                <w:lang w:val="es-CO" w:eastAsia="es-CO"/>
              </w:rPr>
            </w:pPr>
            <w:r>
              <w:rPr>
                <w:color w:val="000000"/>
                <w:sz w:val="20"/>
                <w:szCs w:val="2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14:paraId="6057D8BB"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1</w:t>
            </w:r>
          </w:p>
        </w:tc>
        <w:tc>
          <w:tcPr>
            <w:tcW w:w="993" w:type="dxa"/>
            <w:tcBorders>
              <w:top w:val="nil"/>
              <w:left w:val="nil"/>
              <w:bottom w:val="single" w:sz="4" w:space="0" w:color="auto"/>
              <w:right w:val="single" w:sz="4" w:space="0" w:color="auto"/>
            </w:tcBorders>
            <w:shd w:val="clear" w:color="auto" w:fill="auto"/>
            <w:noWrap/>
            <w:vAlign w:val="bottom"/>
            <w:hideMark/>
          </w:tcPr>
          <w:p w14:paraId="2522673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c>
          <w:tcPr>
            <w:tcW w:w="1097" w:type="dxa"/>
            <w:tcBorders>
              <w:top w:val="nil"/>
              <w:left w:val="nil"/>
              <w:bottom w:val="single" w:sz="4" w:space="0" w:color="auto"/>
              <w:right w:val="single" w:sz="4" w:space="0" w:color="auto"/>
            </w:tcBorders>
            <w:shd w:val="clear" w:color="auto" w:fill="auto"/>
            <w:noWrap/>
            <w:vAlign w:val="bottom"/>
            <w:hideMark/>
          </w:tcPr>
          <w:p w14:paraId="33DE3DF6" w14:textId="77777777" w:rsidR="00F91D6A" w:rsidRPr="00F91D6A" w:rsidRDefault="00F91D6A" w:rsidP="00F91D6A">
            <w:pPr>
              <w:spacing w:before="0" w:after="0"/>
              <w:jc w:val="right"/>
              <w:rPr>
                <w:color w:val="000000"/>
                <w:sz w:val="20"/>
                <w:szCs w:val="20"/>
                <w:lang w:val="es-CO" w:eastAsia="es-CO"/>
              </w:rPr>
            </w:pPr>
            <w:r w:rsidRPr="00F91D6A">
              <w:rPr>
                <w:color w:val="000000"/>
                <w:sz w:val="20"/>
                <w:szCs w:val="20"/>
                <w:lang w:val="es-CO" w:eastAsia="es-CO"/>
              </w:rPr>
              <w:t>0</w:t>
            </w:r>
          </w:p>
        </w:tc>
      </w:tr>
    </w:tbl>
    <w:p w14:paraId="2C062C3D" w14:textId="77777777" w:rsidR="00876066" w:rsidRPr="0040025A" w:rsidRDefault="00876066" w:rsidP="00876066">
      <w:pPr>
        <w:keepNext/>
        <w:ind w:firstLine="709"/>
        <w:rPr>
          <w:i/>
        </w:rPr>
      </w:pPr>
      <w:r>
        <w:rPr>
          <w:i/>
        </w:rPr>
        <w:lastRenderedPageBreak/>
        <w:t xml:space="preserve">UC de nivel de tensión 4 </w:t>
      </w:r>
      <w:r w:rsidRPr="0040025A">
        <w:rPr>
          <w:i/>
        </w:rPr>
        <w:t>a retirar</w:t>
      </w:r>
      <w:r>
        <w:rPr>
          <w:i/>
        </w:rPr>
        <w:t xml:space="preserve"> de la base de activos</w:t>
      </w:r>
    </w:p>
    <w:tbl>
      <w:tblPr>
        <w:tblW w:w="0" w:type="auto"/>
        <w:jc w:val="center"/>
        <w:tblCellMar>
          <w:left w:w="70" w:type="dxa"/>
          <w:right w:w="70" w:type="dxa"/>
        </w:tblCellMar>
        <w:tblLook w:val="04A0" w:firstRow="1" w:lastRow="0" w:firstColumn="1" w:lastColumn="0" w:noHBand="0" w:noVBand="1"/>
      </w:tblPr>
      <w:tblGrid>
        <w:gridCol w:w="1661"/>
        <w:gridCol w:w="1828"/>
        <w:gridCol w:w="1275"/>
        <w:gridCol w:w="1585"/>
        <w:gridCol w:w="1059"/>
        <w:gridCol w:w="992"/>
      </w:tblGrid>
      <w:tr w:rsidR="00876066" w:rsidRPr="006F227A" w14:paraId="5A155C9F" w14:textId="77777777" w:rsidTr="00DC4BD9">
        <w:trPr>
          <w:trHeight w:val="510"/>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BEF83" w14:textId="77777777" w:rsidR="00876066" w:rsidRPr="00D03F05" w:rsidRDefault="00876066" w:rsidP="00DC4BD9">
            <w:pPr>
              <w:spacing w:before="0" w:after="0"/>
              <w:jc w:val="center"/>
              <w:rPr>
                <w:rFonts w:cs="Arial"/>
                <w:b/>
                <w:sz w:val="20"/>
                <w:szCs w:val="20"/>
                <w:lang w:val="es-CO" w:eastAsia="es-CO"/>
              </w:rPr>
            </w:pPr>
            <w:r w:rsidRPr="00D03F05">
              <w:rPr>
                <w:rFonts w:cs="Arial"/>
                <w:b/>
                <w:sz w:val="20"/>
                <w:szCs w:val="20"/>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278035C7" w14:textId="77777777" w:rsidR="00876066" w:rsidRPr="00D03F05" w:rsidRDefault="00876066" w:rsidP="00DC4BD9">
            <w:pPr>
              <w:spacing w:before="0" w:after="0"/>
              <w:jc w:val="center"/>
              <w:rPr>
                <w:rFonts w:cs="Arial"/>
                <w:b/>
                <w:sz w:val="20"/>
                <w:szCs w:val="20"/>
                <w:lang w:val="es-CO" w:eastAsia="es-CO"/>
              </w:rPr>
            </w:pPr>
            <w:r w:rsidRPr="00D03F05">
              <w:rPr>
                <w:rFonts w:cs="Arial"/>
                <w:b/>
                <w:sz w:val="20"/>
                <w:szCs w:val="20"/>
                <w:lang w:val="es-CO" w:eastAsia="es-CO"/>
              </w:rPr>
              <w:t>Unidad constructiva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BEE2D" w14:textId="77777777" w:rsidR="00876066" w:rsidRPr="00D03F05" w:rsidRDefault="00876066" w:rsidP="00DC4BD9">
            <w:pPr>
              <w:spacing w:before="0" w:after="0"/>
              <w:jc w:val="center"/>
              <w:rPr>
                <w:rFonts w:cs="Arial"/>
                <w:b/>
                <w:sz w:val="20"/>
                <w:szCs w:val="20"/>
                <w:lang w:val="es-CO" w:eastAsia="es-CO"/>
              </w:rPr>
            </w:pPr>
            <w:r w:rsidRPr="00D03F05">
              <w:rPr>
                <w:rFonts w:cs="Arial"/>
                <w:b/>
                <w:sz w:val="20"/>
                <w:szCs w:val="20"/>
                <w:lang w:val="es-CO" w:eastAsia="es-CO"/>
              </w:rPr>
              <w:t>Cantidad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050D4137" w14:textId="77777777" w:rsidR="00876066" w:rsidRPr="00D03F05" w:rsidRDefault="00876066" w:rsidP="00DC4BD9">
            <w:pPr>
              <w:spacing w:before="0" w:after="0"/>
              <w:jc w:val="center"/>
              <w:rPr>
                <w:rFonts w:cs="Arial"/>
                <w:b/>
                <w:sz w:val="20"/>
                <w:szCs w:val="20"/>
                <w:lang w:val="es-CO" w:eastAsia="es-CO"/>
              </w:rPr>
            </w:pPr>
            <w:r w:rsidRPr="00D03F05">
              <w:rPr>
                <w:rFonts w:cs="Arial"/>
                <w:b/>
                <w:sz w:val="20"/>
                <w:szCs w:val="20"/>
                <w:lang w:val="es-CO" w:eastAsia="es-CO"/>
              </w:rPr>
              <w:t>Porcentaje uso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688BA109" w14:textId="77777777" w:rsidR="00876066" w:rsidRPr="00D03F05" w:rsidRDefault="00876066" w:rsidP="00DC4BD9">
            <w:pPr>
              <w:spacing w:before="0" w:after="0"/>
              <w:jc w:val="center"/>
              <w:rPr>
                <w:rFonts w:cs="Arial"/>
                <w:b/>
                <w:sz w:val="20"/>
                <w:szCs w:val="20"/>
                <w:lang w:val="es-CO" w:eastAsia="es-CO"/>
              </w:rPr>
            </w:pPr>
            <w:r w:rsidRPr="00D03F05">
              <w:rPr>
                <w:rFonts w:cs="Arial"/>
                <w:b/>
                <w:sz w:val="20"/>
                <w:szCs w:val="20"/>
                <w:lang w:val="es-CO" w:eastAsia="es-CO"/>
              </w:rPr>
              <w:t>RPP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ADD01A" w14:textId="77777777" w:rsidR="00876066" w:rsidRPr="00D03F05" w:rsidRDefault="00876066" w:rsidP="00DC4BD9">
            <w:pPr>
              <w:spacing w:before="0" w:after="0"/>
              <w:jc w:val="center"/>
              <w:rPr>
                <w:rFonts w:cs="Arial"/>
                <w:b/>
                <w:sz w:val="20"/>
                <w:szCs w:val="20"/>
                <w:lang w:val="es-CO" w:eastAsia="es-CO"/>
              </w:rPr>
            </w:pPr>
            <w:r w:rsidRPr="00D03F05">
              <w:rPr>
                <w:rFonts w:cs="Arial"/>
                <w:b/>
                <w:sz w:val="20"/>
                <w:szCs w:val="20"/>
                <w:lang w:val="es-CO" w:eastAsia="es-CO"/>
              </w:rPr>
              <w:t xml:space="preserve">Área </w:t>
            </w:r>
            <w:r>
              <w:rPr>
                <w:rFonts w:cs="Arial"/>
                <w:b/>
                <w:sz w:val="20"/>
                <w:szCs w:val="20"/>
                <w:lang w:val="es-CO" w:eastAsia="es-CO"/>
              </w:rPr>
              <w:t>UC</w:t>
            </w:r>
          </w:p>
        </w:tc>
      </w:tr>
      <w:tr w:rsidR="00876066" w:rsidRPr="006F227A" w14:paraId="48F2BDC7" w14:textId="77777777" w:rsidTr="00DC4BD9">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08F1E2D" w14:textId="77777777" w:rsidR="00876066" w:rsidRPr="006F227A" w:rsidRDefault="00876066" w:rsidP="00DC4BD9">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auto" w:fill="auto"/>
            <w:noWrap/>
            <w:vAlign w:val="bottom"/>
            <w:hideMark/>
          </w:tcPr>
          <w:p w14:paraId="0D8552BB" w14:textId="77777777" w:rsidR="00876066" w:rsidRPr="006F227A" w:rsidRDefault="00876066" w:rsidP="00DC4BD9">
            <w:pPr>
              <w:spacing w:before="0" w:after="0"/>
              <w:jc w:val="center"/>
              <w:rPr>
                <w:rFonts w:cs="Arial"/>
                <w:sz w:val="20"/>
                <w:szCs w:val="20"/>
                <w:lang w:val="es-CO" w:eastAsia="es-CO"/>
              </w:rPr>
            </w:pPr>
            <w:r w:rsidRPr="006F227A">
              <w:rPr>
                <w:rFonts w:cs="Arial"/>
                <w:sz w:val="20"/>
                <w:szCs w:val="20"/>
                <w:lang w:val="es-CO" w:eastAsia="es-CO"/>
              </w:rPr>
              <w:t>N4S42</w:t>
            </w:r>
          </w:p>
        </w:tc>
        <w:tc>
          <w:tcPr>
            <w:tcW w:w="1275" w:type="dxa"/>
            <w:tcBorders>
              <w:top w:val="nil"/>
              <w:left w:val="nil"/>
              <w:bottom w:val="single" w:sz="4" w:space="0" w:color="auto"/>
              <w:right w:val="single" w:sz="4" w:space="0" w:color="auto"/>
            </w:tcBorders>
            <w:shd w:val="clear" w:color="auto" w:fill="auto"/>
            <w:noWrap/>
            <w:vAlign w:val="bottom"/>
            <w:hideMark/>
          </w:tcPr>
          <w:p w14:paraId="4EC3941E" w14:textId="77777777" w:rsidR="00876066" w:rsidRPr="006F227A" w:rsidRDefault="00876066" w:rsidP="00DC4BD9">
            <w:pPr>
              <w:spacing w:before="0" w:after="0"/>
              <w:jc w:val="right"/>
              <w:rPr>
                <w:rFonts w:cs="Arial"/>
                <w:sz w:val="20"/>
                <w:szCs w:val="20"/>
                <w:lang w:val="es-CO" w:eastAsia="es-CO"/>
              </w:rPr>
            </w:pPr>
            <w:r w:rsidRPr="006F227A">
              <w:rPr>
                <w:rFonts w:cs="Arial"/>
                <w:sz w:val="20"/>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bottom"/>
            <w:hideMark/>
          </w:tcPr>
          <w:p w14:paraId="4016337B" w14:textId="77777777" w:rsidR="00876066" w:rsidRPr="006F227A" w:rsidRDefault="00876066" w:rsidP="00DC4BD9">
            <w:pPr>
              <w:spacing w:before="0" w:after="0"/>
              <w:jc w:val="right"/>
              <w:rPr>
                <w:rFonts w:cs="Arial"/>
                <w:sz w:val="20"/>
                <w:szCs w:val="20"/>
                <w:lang w:val="es-CO" w:eastAsia="es-CO"/>
              </w:rPr>
            </w:pPr>
            <w:r w:rsidRPr="006F227A">
              <w:rPr>
                <w:rFonts w:cs="Arial"/>
                <w:sz w:val="20"/>
                <w:szCs w:val="20"/>
                <w:lang w:val="es-CO" w:eastAsia="es-CO"/>
              </w:rPr>
              <w:t>100</w:t>
            </w:r>
          </w:p>
        </w:tc>
        <w:tc>
          <w:tcPr>
            <w:tcW w:w="1059" w:type="dxa"/>
            <w:tcBorders>
              <w:top w:val="nil"/>
              <w:left w:val="nil"/>
              <w:bottom w:val="single" w:sz="4" w:space="0" w:color="auto"/>
              <w:right w:val="single" w:sz="4" w:space="0" w:color="auto"/>
            </w:tcBorders>
            <w:shd w:val="clear" w:color="auto" w:fill="auto"/>
            <w:noWrap/>
            <w:vAlign w:val="bottom"/>
            <w:hideMark/>
          </w:tcPr>
          <w:p w14:paraId="2EC1B91F" w14:textId="77777777" w:rsidR="00876066" w:rsidRPr="006F227A" w:rsidRDefault="00876066" w:rsidP="00DC4BD9">
            <w:pPr>
              <w:spacing w:before="0" w:after="0"/>
              <w:jc w:val="right"/>
              <w:rPr>
                <w:rFonts w:cs="Arial"/>
                <w:sz w:val="20"/>
                <w:szCs w:val="20"/>
                <w:lang w:val="es-CO" w:eastAsia="es-CO"/>
              </w:rPr>
            </w:pPr>
            <w:r w:rsidRPr="006F227A">
              <w:rPr>
                <w:rFonts w:cs="Arial"/>
                <w:sz w:val="20"/>
                <w:szCs w:val="20"/>
                <w:lang w:val="es-CO"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58E7A005" w14:textId="77777777" w:rsidR="00876066" w:rsidRPr="006F227A" w:rsidRDefault="00876066" w:rsidP="00DC4BD9">
            <w:pPr>
              <w:spacing w:before="0" w:after="0"/>
              <w:jc w:val="right"/>
              <w:rPr>
                <w:rFonts w:cs="Arial"/>
                <w:sz w:val="20"/>
                <w:szCs w:val="20"/>
                <w:lang w:val="es-CO" w:eastAsia="es-CO"/>
              </w:rPr>
            </w:pPr>
            <w:r w:rsidRPr="006F227A">
              <w:rPr>
                <w:rFonts w:cs="Arial"/>
                <w:sz w:val="20"/>
                <w:szCs w:val="20"/>
                <w:lang w:val="es-CO" w:eastAsia="es-CO"/>
              </w:rPr>
              <w:t>2100</w:t>
            </w:r>
          </w:p>
        </w:tc>
      </w:tr>
      <w:tr w:rsidR="00876066" w:rsidRPr="006F227A" w14:paraId="760F3ABC" w14:textId="77777777" w:rsidTr="00DC4BD9">
        <w:trPr>
          <w:trHeight w:val="317"/>
          <w:jc w:val="center"/>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23674C98" w14:textId="77777777" w:rsidR="00876066" w:rsidRPr="006F227A" w:rsidRDefault="00876066" w:rsidP="00DC4BD9">
            <w:pPr>
              <w:spacing w:before="0" w:after="0"/>
              <w:jc w:val="center"/>
              <w:rPr>
                <w:rFonts w:cs="Arial"/>
                <w:sz w:val="20"/>
                <w:szCs w:val="20"/>
                <w:lang w:val="es-CO" w:eastAsia="es-CO"/>
              </w:rPr>
            </w:pPr>
            <w:r w:rsidRPr="006F227A">
              <w:rPr>
                <w:rFonts w:cs="Arial"/>
                <w:sz w:val="20"/>
                <w:szCs w:val="20"/>
                <w:lang w:val="es-CO" w:eastAsia="es-CO"/>
              </w:rPr>
              <w:t>R25</w:t>
            </w:r>
          </w:p>
        </w:tc>
        <w:tc>
          <w:tcPr>
            <w:tcW w:w="1828" w:type="dxa"/>
            <w:tcBorders>
              <w:top w:val="nil"/>
              <w:left w:val="nil"/>
              <w:bottom w:val="single" w:sz="4" w:space="0" w:color="auto"/>
              <w:right w:val="single" w:sz="4" w:space="0" w:color="auto"/>
            </w:tcBorders>
            <w:shd w:val="clear" w:color="000000" w:fill="FFFFFF"/>
            <w:noWrap/>
            <w:vAlign w:val="bottom"/>
            <w:hideMark/>
          </w:tcPr>
          <w:p w14:paraId="4CF219C4" w14:textId="77777777" w:rsidR="00876066" w:rsidRPr="006F227A" w:rsidRDefault="00876066" w:rsidP="00DC4BD9">
            <w:pPr>
              <w:spacing w:before="0" w:after="0"/>
              <w:jc w:val="center"/>
              <w:rPr>
                <w:rFonts w:cs="Arial"/>
                <w:sz w:val="20"/>
                <w:szCs w:val="20"/>
                <w:lang w:val="es-CO" w:eastAsia="es-CO"/>
              </w:rPr>
            </w:pPr>
            <w:r w:rsidRPr="006F227A">
              <w:rPr>
                <w:rFonts w:cs="Arial"/>
                <w:sz w:val="20"/>
                <w:szCs w:val="20"/>
                <w:lang w:val="es-CO" w:eastAsia="es-CO"/>
              </w:rPr>
              <w:t>N4EQ8</w:t>
            </w:r>
          </w:p>
        </w:tc>
        <w:tc>
          <w:tcPr>
            <w:tcW w:w="1275" w:type="dxa"/>
            <w:tcBorders>
              <w:top w:val="nil"/>
              <w:left w:val="nil"/>
              <w:bottom w:val="single" w:sz="4" w:space="0" w:color="auto"/>
              <w:right w:val="single" w:sz="4" w:space="0" w:color="auto"/>
            </w:tcBorders>
            <w:shd w:val="clear" w:color="000000" w:fill="FFFFFF"/>
            <w:noWrap/>
            <w:vAlign w:val="bottom"/>
            <w:hideMark/>
          </w:tcPr>
          <w:p w14:paraId="7ED35708" w14:textId="77777777" w:rsidR="00876066" w:rsidRPr="006F227A" w:rsidRDefault="00876066" w:rsidP="00DC4BD9">
            <w:pPr>
              <w:spacing w:before="0" w:after="0"/>
              <w:jc w:val="right"/>
              <w:rPr>
                <w:rFonts w:cs="Arial"/>
                <w:sz w:val="20"/>
                <w:szCs w:val="20"/>
                <w:lang w:val="es-CO" w:eastAsia="es-CO"/>
              </w:rPr>
            </w:pPr>
            <w:r w:rsidRPr="006F227A">
              <w:rPr>
                <w:rFonts w:cs="Arial"/>
                <w:sz w:val="20"/>
                <w:szCs w:val="20"/>
                <w:lang w:val="es-CO" w:eastAsia="es-CO"/>
              </w:rPr>
              <w:t>2</w:t>
            </w:r>
          </w:p>
        </w:tc>
        <w:tc>
          <w:tcPr>
            <w:tcW w:w="1585" w:type="dxa"/>
            <w:tcBorders>
              <w:top w:val="nil"/>
              <w:left w:val="nil"/>
              <w:bottom w:val="single" w:sz="4" w:space="0" w:color="auto"/>
              <w:right w:val="single" w:sz="4" w:space="0" w:color="auto"/>
            </w:tcBorders>
            <w:shd w:val="clear" w:color="auto" w:fill="auto"/>
            <w:noWrap/>
            <w:vAlign w:val="bottom"/>
            <w:hideMark/>
          </w:tcPr>
          <w:p w14:paraId="0CBEBE27" w14:textId="77777777" w:rsidR="00876066" w:rsidRPr="006F227A" w:rsidRDefault="00876066" w:rsidP="00DC4BD9">
            <w:pPr>
              <w:spacing w:before="0" w:after="0"/>
              <w:jc w:val="right"/>
              <w:rPr>
                <w:rFonts w:cs="Arial"/>
                <w:sz w:val="20"/>
                <w:szCs w:val="20"/>
                <w:lang w:val="es-CO" w:eastAsia="es-CO"/>
              </w:rPr>
            </w:pPr>
            <w:r w:rsidRPr="006F227A">
              <w:rPr>
                <w:rFonts w:cs="Arial"/>
                <w:sz w:val="20"/>
                <w:szCs w:val="20"/>
                <w:lang w:val="es-CO" w:eastAsia="es-CO"/>
              </w:rPr>
              <w:t>100</w:t>
            </w:r>
          </w:p>
        </w:tc>
        <w:tc>
          <w:tcPr>
            <w:tcW w:w="1059" w:type="dxa"/>
            <w:tcBorders>
              <w:top w:val="nil"/>
              <w:left w:val="nil"/>
              <w:bottom w:val="single" w:sz="4" w:space="0" w:color="auto"/>
              <w:right w:val="single" w:sz="4" w:space="0" w:color="auto"/>
            </w:tcBorders>
            <w:shd w:val="clear" w:color="000000" w:fill="FFFFFF"/>
            <w:noWrap/>
            <w:vAlign w:val="bottom"/>
            <w:hideMark/>
          </w:tcPr>
          <w:p w14:paraId="0C91958B" w14:textId="77777777" w:rsidR="00876066" w:rsidRPr="006F227A" w:rsidRDefault="00876066" w:rsidP="00DC4BD9">
            <w:pPr>
              <w:spacing w:before="0" w:after="0"/>
              <w:jc w:val="right"/>
              <w:rPr>
                <w:rFonts w:cs="Arial"/>
                <w:sz w:val="20"/>
                <w:szCs w:val="20"/>
                <w:lang w:val="es-CO" w:eastAsia="es-CO"/>
              </w:rPr>
            </w:pPr>
            <w:r w:rsidRPr="006F227A">
              <w:rPr>
                <w:rFonts w:cs="Arial"/>
                <w:sz w:val="20"/>
                <w:szCs w:val="20"/>
                <w:lang w:val="es-CO" w:eastAsia="es-CO"/>
              </w:rPr>
              <w:t>0</w:t>
            </w:r>
          </w:p>
        </w:tc>
        <w:tc>
          <w:tcPr>
            <w:tcW w:w="992" w:type="dxa"/>
            <w:tcBorders>
              <w:top w:val="nil"/>
              <w:left w:val="nil"/>
              <w:bottom w:val="single" w:sz="4" w:space="0" w:color="auto"/>
              <w:right w:val="single" w:sz="4" w:space="0" w:color="auto"/>
            </w:tcBorders>
            <w:shd w:val="clear" w:color="000000" w:fill="FFFFFF"/>
            <w:noWrap/>
            <w:vAlign w:val="bottom"/>
            <w:hideMark/>
          </w:tcPr>
          <w:p w14:paraId="4822B1E3" w14:textId="77777777" w:rsidR="00876066" w:rsidRPr="006F227A" w:rsidRDefault="00876066" w:rsidP="00876066">
            <w:pPr>
              <w:spacing w:before="0" w:after="0"/>
              <w:jc w:val="right"/>
              <w:rPr>
                <w:rFonts w:cs="Arial"/>
                <w:sz w:val="20"/>
                <w:szCs w:val="20"/>
                <w:lang w:val="es-CO" w:eastAsia="es-CO"/>
              </w:rPr>
            </w:pPr>
            <w:r w:rsidRPr="006F227A">
              <w:rPr>
                <w:rFonts w:cs="Arial"/>
                <w:sz w:val="20"/>
                <w:szCs w:val="20"/>
                <w:lang w:val="es-CO" w:eastAsia="es-CO"/>
              </w:rPr>
              <w:t> </w:t>
            </w:r>
            <w:r>
              <w:rPr>
                <w:rFonts w:cs="Arial"/>
                <w:sz w:val="20"/>
                <w:szCs w:val="20"/>
                <w:lang w:val="es-CO" w:eastAsia="es-CO"/>
              </w:rPr>
              <w:t>0</w:t>
            </w:r>
          </w:p>
        </w:tc>
      </w:tr>
    </w:tbl>
    <w:p w14:paraId="414D465E" w14:textId="4F717441" w:rsidR="002C2242" w:rsidRDefault="002C2242" w:rsidP="005741C8">
      <w:pPr>
        <w:spacing w:before="260" w:after="260"/>
      </w:pPr>
      <w:r>
        <w:t xml:space="preserve">Por la modificación </w:t>
      </w:r>
      <w:r w:rsidR="0023068F">
        <w:t>d</w:t>
      </w:r>
      <w:r>
        <w:t xml:space="preserve">el inventario de activos de </w:t>
      </w:r>
      <w:r w:rsidR="00502F33">
        <w:t>n</w:t>
      </w:r>
      <w:r>
        <w:t xml:space="preserve">ivel de </w:t>
      </w:r>
      <w:r w:rsidR="00502F33">
        <w:t>t</w:t>
      </w:r>
      <w:r>
        <w:t>ensión 4 de Empresas Públicas de Medellín E.S.P., se presentan l</w:t>
      </w:r>
      <w:r w:rsidR="0023068F">
        <w:t>o</w:t>
      </w:r>
      <w:r>
        <w:t xml:space="preserve">s siguientes </w:t>
      </w:r>
      <w:r w:rsidR="0023068F">
        <w:t xml:space="preserve">cambios </w:t>
      </w:r>
      <w:r>
        <w:t xml:space="preserve">en las variables que sirven para el cálculo </w:t>
      </w:r>
      <w:r w:rsidR="001D2A92">
        <w:t xml:space="preserve">del </w:t>
      </w:r>
      <w:r>
        <w:t>C</w:t>
      </w:r>
      <w:r w:rsidRPr="00CF0B66">
        <w:t xml:space="preserve">osto </w:t>
      </w:r>
      <w:r>
        <w:t>A</w:t>
      </w:r>
      <w:r w:rsidRPr="00CF0B66">
        <w:t xml:space="preserve">nual por </w:t>
      </w:r>
      <w:r>
        <w:t>U</w:t>
      </w:r>
      <w:r w:rsidRPr="00CF0B66">
        <w:t xml:space="preserve">so de los </w:t>
      </w:r>
      <w:r>
        <w:t>A</w:t>
      </w:r>
      <w:r w:rsidRPr="00CF0B66">
        <w:t>ctivos de Nivel de Tensión 4</w:t>
      </w:r>
      <w:r>
        <w:t>, CA</w:t>
      </w:r>
      <w:r w:rsidRPr="002C2242">
        <w:rPr>
          <w:vertAlign w:val="subscript"/>
        </w:rPr>
        <w:t>j,4</w:t>
      </w:r>
      <w:r>
        <w:t>:</w:t>
      </w:r>
    </w:p>
    <w:tbl>
      <w:tblPr>
        <w:tblW w:w="0" w:type="auto"/>
        <w:jc w:val="center"/>
        <w:tblCellMar>
          <w:left w:w="70" w:type="dxa"/>
          <w:right w:w="70" w:type="dxa"/>
        </w:tblCellMar>
        <w:tblLook w:val="04A0" w:firstRow="1" w:lastRow="0" w:firstColumn="1" w:lastColumn="0" w:noHBand="0" w:noVBand="1"/>
      </w:tblPr>
      <w:tblGrid>
        <w:gridCol w:w="6439"/>
        <w:gridCol w:w="1701"/>
      </w:tblGrid>
      <w:tr w:rsidR="00BA5B0B" w:rsidRPr="00BA5B0B" w14:paraId="4C822B04" w14:textId="77777777" w:rsidTr="00BA5B0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15898" w14:textId="77777777" w:rsidR="00BA5B0B" w:rsidRPr="00BA5B0B" w:rsidRDefault="00BA5B0B" w:rsidP="00BA5B0B">
            <w:pPr>
              <w:spacing w:before="0" w:after="0"/>
              <w:jc w:val="center"/>
              <w:rPr>
                <w:b/>
                <w:bCs/>
                <w:color w:val="000000"/>
                <w:sz w:val="20"/>
                <w:szCs w:val="20"/>
                <w:lang w:val="es-CO" w:eastAsia="es-CO"/>
              </w:rPr>
            </w:pPr>
            <w:r w:rsidRPr="00BA5B0B">
              <w:rPr>
                <w:b/>
                <w:bCs/>
                <w:color w:val="000000"/>
                <w:sz w:val="20"/>
                <w:szCs w:val="20"/>
                <w:lang w:val="es-CO" w:eastAsia="es-CO"/>
              </w:rPr>
              <w:t>Variable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008DE4" w14:textId="77777777" w:rsidR="00BA5B0B" w:rsidRDefault="00BA5B0B" w:rsidP="00BA5B0B">
            <w:pPr>
              <w:spacing w:before="0" w:after="0"/>
              <w:jc w:val="center"/>
              <w:rPr>
                <w:b/>
                <w:bCs/>
                <w:color w:val="000000"/>
                <w:sz w:val="20"/>
                <w:szCs w:val="20"/>
                <w:lang w:val="es-CO" w:eastAsia="es-CO"/>
              </w:rPr>
            </w:pPr>
            <w:r w:rsidRPr="00BA5B0B">
              <w:rPr>
                <w:b/>
                <w:bCs/>
                <w:color w:val="000000"/>
                <w:sz w:val="20"/>
                <w:szCs w:val="20"/>
                <w:lang w:val="es-CO" w:eastAsia="es-CO"/>
              </w:rPr>
              <w:t xml:space="preserve">Valor adicional </w:t>
            </w:r>
          </w:p>
          <w:p w14:paraId="53505964" w14:textId="77777777" w:rsidR="00BA5B0B" w:rsidRPr="00BA5B0B" w:rsidRDefault="00BA5B0B" w:rsidP="00BA5B0B">
            <w:pPr>
              <w:spacing w:before="0" w:after="0"/>
              <w:jc w:val="center"/>
              <w:rPr>
                <w:b/>
                <w:bCs/>
                <w:color w:val="000000"/>
                <w:sz w:val="20"/>
                <w:szCs w:val="20"/>
                <w:lang w:val="es-CO" w:eastAsia="es-CO"/>
              </w:rPr>
            </w:pPr>
            <w:r w:rsidRPr="00BA5B0B">
              <w:rPr>
                <w:b/>
                <w:bCs/>
                <w:color w:val="000000"/>
                <w:sz w:val="20"/>
                <w:szCs w:val="20"/>
                <w:lang w:val="es-CO" w:eastAsia="es-CO"/>
              </w:rPr>
              <w:t>($ dic-2007)</w:t>
            </w:r>
          </w:p>
        </w:tc>
      </w:tr>
      <w:tr w:rsidR="00BA5B0B" w:rsidRPr="00BA5B0B" w14:paraId="184A0B0A" w14:textId="77777777" w:rsidTr="00BA5B0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B9228D"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Costo anual para remunerar la inversión, CAI</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hideMark/>
          </w:tcPr>
          <w:p w14:paraId="316F5CDB" w14:textId="77777777" w:rsidR="00BA5B0B" w:rsidRPr="00BA5B0B" w:rsidRDefault="00BA5B0B" w:rsidP="00BA5B0B">
            <w:pPr>
              <w:spacing w:before="0" w:after="0"/>
              <w:jc w:val="right"/>
              <w:rPr>
                <w:color w:val="000000"/>
                <w:sz w:val="20"/>
                <w:szCs w:val="20"/>
                <w:lang w:val="es-CO" w:eastAsia="es-CO"/>
              </w:rPr>
            </w:pPr>
            <w:r w:rsidRPr="00BA5B0B">
              <w:rPr>
                <w:color w:val="000000"/>
                <w:sz w:val="20"/>
                <w:szCs w:val="20"/>
                <w:lang w:val="es-CO" w:eastAsia="es-CO"/>
              </w:rPr>
              <w:t>48.126.047</w:t>
            </w:r>
          </w:p>
        </w:tc>
      </w:tr>
      <w:tr w:rsidR="00BA5B0B" w:rsidRPr="00BA5B0B" w14:paraId="22C9AF23" w14:textId="77777777" w:rsidTr="00BA5B0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62B10"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Costo anual equivalente de activos no eléctricos, CAANE</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hideMark/>
          </w:tcPr>
          <w:p w14:paraId="7AFEF9FF" w14:textId="77777777" w:rsidR="00BA5B0B" w:rsidRPr="00BA5B0B" w:rsidRDefault="00BA5B0B" w:rsidP="00BA5B0B">
            <w:pPr>
              <w:spacing w:before="0" w:after="0"/>
              <w:jc w:val="right"/>
              <w:rPr>
                <w:color w:val="000000"/>
                <w:sz w:val="20"/>
                <w:szCs w:val="20"/>
                <w:lang w:val="es-CO" w:eastAsia="es-CO"/>
              </w:rPr>
            </w:pPr>
            <w:r w:rsidRPr="00BA5B0B">
              <w:rPr>
                <w:color w:val="000000"/>
                <w:sz w:val="20"/>
                <w:szCs w:val="20"/>
                <w:lang w:val="es-CO" w:eastAsia="es-CO"/>
              </w:rPr>
              <w:t>15.224.476</w:t>
            </w:r>
          </w:p>
        </w:tc>
      </w:tr>
      <w:tr w:rsidR="00BA5B0B" w:rsidRPr="00BA5B0B" w14:paraId="47F6C19D" w14:textId="77777777" w:rsidTr="00BA5B0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50A32A"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Gastos anuales de AOM, AOM</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hideMark/>
          </w:tcPr>
          <w:p w14:paraId="669046BE" w14:textId="77777777" w:rsidR="00BA5B0B" w:rsidRPr="00BA5B0B" w:rsidRDefault="00BA5B0B" w:rsidP="00BA5B0B">
            <w:pPr>
              <w:spacing w:before="0" w:after="0"/>
              <w:jc w:val="right"/>
              <w:rPr>
                <w:color w:val="000000"/>
                <w:sz w:val="20"/>
                <w:szCs w:val="20"/>
                <w:lang w:val="es-CO" w:eastAsia="es-CO"/>
              </w:rPr>
            </w:pPr>
            <w:r w:rsidRPr="00BA5B0B">
              <w:rPr>
                <w:color w:val="000000"/>
                <w:sz w:val="20"/>
                <w:szCs w:val="20"/>
                <w:lang w:val="es-CO" w:eastAsia="es-CO"/>
              </w:rPr>
              <w:t>82.497.723</w:t>
            </w:r>
          </w:p>
        </w:tc>
      </w:tr>
      <w:tr w:rsidR="00BA5B0B" w:rsidRPr="00BA5B0B" w14:paraId="77CDC9F1" w14:textId="77777777" w:rsidTr="00BA5B0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E6EA9"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Costo anual de terrenos, CAT</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hideMark/>
          </w:tcPr>
          <w:p w14:paraId="0798464E" w14:textId="77777777" w:rsidR="00BA5B0B" w:rsidRPr="00BA5B0B" w:rsidRDefault="00BA5B0B" w:rsidP="00BA5B0B">
            <w:pPr>
              <w:spacing w:before="0" w:after="0"/>
              <w:jc w:val="right"/>
              <w:rPr>
                <w:color w:val="000000"/>
                <w:sz w:val="20"/>
                <w:szCs w:val="20"/>
                <w:lang w:val="es-CO" w:eastAsia="es-CO"/>
              </w:rPr>
            </w:pPr>
            <w:r w:rsidRPr="00BA5B0B">
              <w:rPr>
                <w:color w:val="000000"/>
                <w:sz w:val="20"/>
                <w:szCs w:val="20"/>
                <w:lang w:val="es-CO" w:eastAsia="es-CO"/>
              </w:rPr>
              <w:t>2.881.188</w:t>
            </w:r>
          </w:p>
        </w:tc>
      </w:tr>
      <w:tr w:rsidR="00BA5B0B" w:rsidRPr="00BA5B0B" w14:paraId="4D42CF3E" w14:textId="77777777" w:rsidTr="00BA5B0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C917D1" w14:textId="77777777" w:rsidR="00BA5B0B" w:rsidRPr="00BA5B0B" w:rsidRDefault="00BA5B0B" w:rsidP="00BA5B0B">
            <w:pPr>
              <w:spacing w:before="0" w:after="0"/>
              <w:jc w:val="left"/>
              <w:rPr>
                <w:b/>
                <w:bCs/>
                <w:color w:val="000000"/>
                <w:sz w:val="20"/>
                <w:szCs w:val="20"/>
                <w:lang w:val="es-CO" w:eastAsia="es-CO"/>
              </w:rPr>
            </w:pPr>
            <w:r w:rsidRPr="00BA5B0B">
              <w:rPr>
                <w:b/>
                <w:bCs/>
                <w:color w:val="000000"/>
                <w:sz w:val="20"/>
                <w:szCs w:val="20"/>
                <w:lang w:val="es-CO" w:eastAsia="es-CO"/>
              </w:rPr>
              <w:t>Costo anual por el uso de activos de nivel de tensión 4, CA</w:t>
            </w:r>
            <w:r w:rsidRPr="00BA5B0B">
              <w:rPr>
                <w:b/>
                <w:bCs/>
                <w:color w:val="000000"/>
                <w:sz w:val="20"/>
                <w:szCs w:val="20"/>
                <w:vertAlign w:val="subscript"/>
                <w:lang w:val="es-CO" w:eastAsia="es-CO"/>
              </w:rPr>
              <w:t>j,4</w:t>
            </w:r>
            <w:r w:rsidRPr="00BA5B0B">
              <w:rPr>
                <w:b/>
                <w:bCs/>
                <w:color w:val="000000"/>
                <w:sz w:val="20"/>
                <w:szCs w:val="20"/>
                <w:lang w:val="es-CO" w:eastAsia="es-CO"/>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9A36ABE" w14:textId="77777777" w:rsidR="00BA5B0B" w:rsidRPr="00BA5B0B" w:rsidRDefault="00BA5B0B" w:rsidP="00BA5B0B">
            <w:pPr>
              <w:spacing w:before="0" w:after="0"/>
              <w:jc w:val="right"/>
              <w:rPr>
                <w:b/>
                <w:bCs/>
                <w:color w:val="000000"/>
                <w:sz w:val="20"/>
                <w:szCs w:val="20"/>
                <w:lang w:val="es-CO" w:eastAsia="es-CO"/>
              </w:rPr>
            </w:pPr>
            <w:r w:rsidRPr="00BA5B0B">
              <w:rPr>
                <w:b/>
                <w:bCs/>
                <w:color w:val="000000"/>
                <w:sz w:val="20"/>
                <w:szCs w:val="20"/>
                <w:lang w:val="es-CO" w:eastAsia="es-CO"/>
              </w:rPr>
              <w:t>148.729.433</w:t>
            </w:r>
          </w:p>
        </w:tc>
      </w:tr>
    </w:tbl>
    <w:p w14:paraId="17155DA9" w14:textId="381C2E0F" w:rsidR="00CE3BC6" w:rsidRDefault="00CE3BC6" w:rsidP="000820BA">
      <w:r>
        <w:t>Los cambios en cada una de las variables anteriores se muestran en la siguiente tabla</w:t>
      </w:r>
      <w:r w:rsidR="007019AD">
        <w:t>,</w:t>
      </w:r>
      <w:r>
        <w:t xml:space="preserve"> separando el efecto por la entrada y salida de activos. </w:t>
      </w:r>
    </w:p>
    <w:tbl>
      <w:tblPr>
        <w:tblW w:w="0" w:type="auto"/>
        <w:jc w:val="center"/>
        <w:tblCellMar>
          <w:left w:w="70" w:type="dxa"/>
          <w:right w:w="70" w:type="dxa"/>
        </w:tblCellMar>
        <w:tblLook w:val="04A0" w:firstRow="1" w:lastRow="0" w:firstColumn="1" w:lastColumn="0" w:noHBand="0" w:noVBand="1"/>
      </w:tblPr>
      <w:tblGrid>
        <w:gridCol w:w="1969"/>
        <w:gridCol w:w="1385"/>
        <w:gridCol w:w="1453"/>
        <w:gridCol w:w="1385"/>
        <w:gridCol w:w="1385"/>
      </w:tblGrid>
      <w:tr w:rsidR="004D4E42" w:rsidRPr="004D4E42" w14:paraId="4D629B7F" w14:textId="77777777" w:rsidTr="004D4E42">
        <w:trPr>
          <w:cantSplit/>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6D198" w14:textId="77777777" w:rsidR="004D4E42" w:rsidRPr="004D4E42" w:rsidRDefault="004D4E42" w:rsidP="004D4E42">
            <w:pPr>
              <w:spacing w:before="0" w:after="0"/>
              <w:jc w:val="left"/>
              <w:rPr>
                <w:b/>
                <w:bCs/>
                <w:i/>
                <w:iCs/>
                <w:color w:val="000000"/>
                <w:sz w:val="20"/>
                <w:szCs w:val="20"/>
                <w:lang w:val="es-CO" w:eastAsia="es-CO"/>
              </w:rPr>
            </w:pPr>
            <w:r w:rsidRPr="004D4E42">
              <w:rPr>
                <w:b/>
                <w:bCs/>
                <w:i/>
                <w:iCs/>
                <w:color w:val="000000"/>
                <w:sz w:val="20"/>
                <w:szCs w:val="20"/>
                <w:lang w:val="es-CO"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938CB5"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CAI</w:t>
            </w:r>
            <w:r w:rsidRPr="004D4E42">
              <w:rPr>
                <w:b/>
                <w:bCs/>
                <w:color w:val="000000"/>
                <w:sz w:val="20"/>
                <w:szCs w:val="20"/>
                <w:vertAlign w:val="subscript"/>
                <w:lang w:val="es-CO" w:eastAsia="es-CO"/>
              </w:rPr>
              <w:t>j,4</w:t>
            </w:r>
            <w:r w:rsidRPr="004D4E42">
              <w:rPr>
                <w:b/>
                <w:bCs/>
                <w:color w:val="000000"/>
                <w:sz w:val="20"/>
                <w:szCs w:val="20"/>
                <w:lang w:val="es-CO" w:eastAsia="es-CO"/>
              </w:rPr>
              <w:t xml:space="preserve"> </w:t>
            </w:r>
          </w:p>
          <w:p w14:paraId="6889E972"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DB79F"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CAANE</w:t>
            </w:r>
          </w:p>
          <w:p w14:paraId="280A163F"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xml:space="preserve"> ($ dic-2007)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042D4E"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AOM</w:t>
            </w:r>
            <w:r w:rsidRPr="004D4E42">
              <w:rPr>
                <w:b/>
                <w:bCs/>
                <w:color w:val="000000"/>
                <w:sz w:val="20"/>
                <w:szCs w:val="20"/>
                <w:vertAlign w:val="subscript"/>
                <w:lang w:val="es-CO" w:eastAsia="es-CO"/>
              </w:rPr>
              <w:t>j,4</w:t>
            </w:r>
            <w:r w:rsidRPr="004D4E42">
              <w:rPr>
                <w:b/>
                <w:bCs/>
                <w:color w:val="000000"/>
                <w:sz w:val="20"/>
                <w:szCs w:val="20"/>
                <w:lang w:val="es-CO" w:eastAsia="es-CO"/>
              </w:rPr>
              <w:t xml:space="preserve"> </w:t>
            </w:r>
          </w:p>
          <w:p w14:paraId="094AC894"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FD94EF" w14:textId="77777777" w:rsidR="004D4E42" w:rsidRDefault="004D4E42" w:rsidP="004D4E42">
            <w:pPr>
              <w:spacing w:before="0" w:after="0"/>
              <w:jc w:val="center"/>
              <w:rPr>
                <w:b/>
                <w:bCs/>
                <w:color w:val="000000"/>
                <w:sz w:val="20"/>
                <w:szCs w:val="20"/>
                <w:vertAlign w:val="subscript"/>
                <w:lang w:val="es-CO" w:eastAsia="es-CO"/>
              </w:rPr>
            </w:pPr>
            <w:r w:rsidRPr="004D4E42">
              <w:rPr>
                <w:b/>
                <w:bCs/>
                <w:color w:val="000000"/>
                <w:sz w:val="20"/>
                <w:szCs w:val="20"/>
                <w:lang w:val="es-CO" w:eastAsia="es-CO"/>
              </w:rPr>
              <w:t>CAT</w:t>
            </w:r>
            <w:r w:rsidRPr="004D4E42">
              <w:rPr>
                <w:b/>
                <w:bCs/>
                <w:color w:val="000000"/>
                <w:sz w:val="20"/>
                <w:szCs w:val="20"/>
                <w:vertAlign w:val="subscript"/>
                <w:lang w:val="es-CO" w:eastAsia="es-CO"/>
              </w:rPr>
              <w:t xml:space="preserve">j,4 </w:t>
            </w:r>
          </w:p>
          <w:p w14:paraId="5F474D05"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r>
      <w:tr w:rsidR="004D4E42" w:rsidRPr="004D4E42" w14:paraId="1E746CE1" w14:textId="77777777" w:rsidTr="004D4E42">
        <w:trPr>
          <w:cantSplit/>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F43971"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nuevos</w:t>
            </w:r>
          </w:p>
        </w:tc>
        <w:tc>
          <w:tcPr>
            <w:tcW w:w="0" w:type="auto"/>
            <w:tcBorders>
              <w:top w:val="nil"/>
              <w:left w:val="nil"/>
              <w:bottom w:val="single" w:sz="4" w:space="0" w:color="auto"/>
              <w:right w:val="single" w:sz="4" w:space="0" w:color="auto"/>
            </w:tcBorders>
            <w:shd w:val="clear" w:color="auto" w:fill="auto"/>
            <w:noWrap/>
            <w:vAlign w:val="center"/>
            <w:hideMark/>
          </w:tcPr>
          <w:p w14:paraId="664C89E0"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524.192.068</w:t>
            </w:r>
          </w:p>
        </w:tc>
        <w:tc>
          <w:tcPr>
            <w:tcW w:w="0" w:type="auto"/>
            <w:tcBorders>
              <w:top w:val="nil"/>
              <w:left w:val="nil"/>
              <w:bottom w:val="single" w:sz="4" w:space="0" w:color="auto"/>
              <w:right w:val="single" w:sz="4" w:space="0" w:color="auto"/>
            </w:tcBorders>
            <w:shd w:val="clear" w:color="auto" w:fill="auto"/>
            <w:vAlign w:val="center"/>
            <w:hideMark/>
          </w:tcPr>
          <w:p w14:paraId="215250CF"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21.491.875</w:t>
            </w:r>
          </w:p>
        </w:tc>
        <w:tc>
          <w:tcPr>
            <w:tcW w:w="0" w:type="auto"/>
            <w:tcBorders>
              <w:top w:val="nil"/>
              <w:left w:val="nil"/>
              <w:bottom w:val="single" w:sz="4" w:space="0" w:color="auto"/>
              <w:right w:val="single" w:sz="4" w:space="0" w:color="auto"/>
            </w:tcBorders>
            <w:shd w:val="clear" w:color="auto" w:fill="auto"/>
            <w:vAlign w:val="center"/>
            <w:hideMark/>
          </w:tcPr>
          <w:p w14:paraId="6DF2E765"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116.041.285</w:t>
            </w:r>
          </w:p>
        </w:tc>
        <w:tc>
          <w:tcPr>
            <w:tcW w:w="0" w:type="auto"/>
            <w:tcBorders>
              <w:top w:val="nil"/>
              <w:left w:val="nil"/>
              <w:bottom w:val="single" w:sz="4" w:space="0" w:color="auto"/>
              <w:right w:val="single" w:sz="4" w:space="0" w:color="auto"/>
            </w:tcBorders>
            <w:shd w:val="clear" w:color="auto" w:fill="auto"/>
            <w:vAlign w:val="center"/>
            <w:hideMark/>
          </w:tcPr>
          <w:p w14:paraId="1AA3F180"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4.405.241</w:t>
            </w:r>
          </w:p>
        </w:tc>
      </w:tr>
      <w:tr w:rsidR="004D4E42" w:rsidRPr="004D4E42" w14:paraId="2C464A8A" w14:textId="77777777" w:rsidTr="004D4E42">
        <w:trPr>
          <w:cantSplit/>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1C21C"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retirados</w:t>
            </w:r>
          </w:p>
        </w:tc>
        <w:tc>
          <w:tcPr>
            <w:tcW w:w="0" w:type="auto"/>
            <w:tcBorders>
              <w:top w:val="nil"/>
              <w:left w:val="nil"/>
              <w:bottom w:val="single" w:sz="4" w:space="0" w:color="auto"/>
              <w:right w:val="single" w:sz="4" w:space="0" w:color="auto"/>
            </w:tcBorders>
            <w:shd w:val="clear" w:color="auto" w:fill="auto"/>
            <w:noWrap/>
            <w:vAlign w:val="center"/>
            <w:hideMark/>
          </w:tcPr>
          <w:p w14:paraId="5400AC39"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476.066.022</w:t>
            </w:r>
          </w:p>
        </w:tc>
        <w:tc>
          <w:tcPr>
            <w:tcW w:w="0" w:type="auto"/>
            <w:tcBorders>
              <w:top w:val="nil"/>
              <w:left w:val="nil"/>
              <w:bottom w:val="single" w:sz="4" w:space="0" w:color="auto"/>
              <w:right w:val="single" w:sz="4" w:space="0" w:color="auto"/>
            </w:tcBorders>
            <w:shd w:val="clear" w:color="auto" w:fill="auto"/>
            <w:vAlign w:val="center"/>
            <w:hideMark/>
          </w:tcPr>
          <w:p w14:paraId="38DBF0E2"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6.267.399</w:t>
            </w:r>
          </w:p>
        </w:tc>
        <w:tc>
          <w:tcPr>
            <w:tcW w:w="0" w:type="auto"/>
            <w:tcBorders>
              <w:top w:val="nil"/>
              <w:left w:val="nil"/>
              <w:bottom w:val="single" w:sz="4" w:space="0" w:color="auto"/>
              <w:right w:val="single" w:sz="4" w:space="0" w:color="auto"/>
            </w:tcBorders>
            <w:shd w:val="clear" w:color="auto" w:fill="auto"/>
            <w:vAlign w:val="center"/>
            <w:hideMark/>
          </w:tcPr>
          <w:p w14:paraId="68B4D056"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33.543.562</w:t>
            </w:r>
          </w:p>
        </w:tc>
        <w:tc>
          <w:tcPr>
            <w:tcW w:w="0" w:type="auto"/>
            <w:tcBorders>
              <w:top w:val="nil"/>
              <w:left w:val="nil"/>
              <w:bottom w:val="single" w:sz="4" w:space="0" w:color="auto"/>
              <w:right w:val="single" w:sz="4" w:space="0" w:color="auto"/>
            </w:tcBorders>
            <w:shd w:val="clear" w:color="auto" w:fill="auto"/>
            <w:vAlign w:val="center"/>
            <w:hideMark/>
          </w:tcPr>
          <w:p w14:paraId="7BA962F5"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1.524.054</w:t>
            </w:r>
          </w:p>
        </w:tc>
      </w:tr>
      <w:tr w:rsidR="004D4E42" w:rsidRPr="004D4E42" w14:paraId="53CABE7D" w14:textId="77777777" w:rsidTr="004D4E4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65B97" w14:textId="77777777" w:rsidR="004D4E42" w:rsidRPr="004D4E42" w:rsidRDefault="004D4E42" w:rsidP="004D4E42">
            <w:pPr>
              <w:spacing w:before="0" w:after="0"/>
              <w:jc w:val="left"/>
              <w:rPr>
                <w:b/>
                <w:bCs/>
                <w:color w:val="000000"/>
                <w:sz w:val="20"/>
                <w:szCs w:val="20"/>
                <w:lang w:val="es-CO" w:eastAsia="es-CO"/>
              </w:rPr>
            </w:pPr>
            <w:r w:rsidRPr="004D4E42">
              <w:rPr>
                <w:b/>
                <w:bCs/>
                <w:color w:val="000000"/>
                <w:sz w:val="20"/>
                <w:szCs w:val="20"/>
                <w:lang w:val="es-CO" w:eastAsia="es-CO"/>
              </w:rPr>
              <w:t>Valor a reconocer</w:t>
            </w:r>
          </w:p>
        </w:tc>
        <w:tc>
          <w:tcPr>
            <w:tcW w:w="0" w:type="auto"/>
            <w:tcBorders>
              <w:top w:val="nil"/>
              <w:left w:val="nil"/>
              <w:bottom w:val="single" w:sz="4" w:space="0" w:color="auto"/>
              <w:right w:val="single" w:sz="4" w:space="0" w:color="auto"/>
            </w:tcBorders>
            <w:shd w:val="clear" w:color="auto" w:fill="auto"/>
            <w:noWrap/>
            <w:vAlign w:val="center"/>
            <w:hideMark/>
          </w:tcPr>
          <w:p w14:paraId="4C145FF6" w14:textId="77777777" w:rsidR="004D4E42" w:rsidRPr="004D4E42" w:rsidRDefault="004D4E42" w:rsidP="004D4E42">
            <w:pPr>
              <w:spacing w:before="0" w:after="0"/>
              <w:jc w:val="right"/>
              <w:rPr>
                <w:b/>
                <w:bCs/>
                <w:color w:val="000000"/>
                <w:sz w:val="20"/>
                <w:szCs w:val="20"/>
                <w:lang w:val="es-CO" w:eastAsia="es-CO"/>
              </w:rPr>
            </w:pPr>
            <w:r w:rsidRPr="004D4E42">
              <w:rPr>
                <w:b/>
                <w:bCs/>
                <w:color w:val="000000"/>
                <w:sz w:val="20"/>
                <w:szCs w:val="20"/>
                <w:lang w:val="es-CO" w:eastAsia="es-CO"/>
              </w:rPr>
              <w:t>48.126.047</w:t>
            </w:r>
          </w:p>
        </w:tc>
        <w:tc>
          <w:tcPr>
            <w:tcW w:w="0" w:type="auto"/>
            <w:tcBorders>
              <w:top w:val="nil"/>
              <w:left w:val="nil"/>
              <w:bottom w:val="single" w:sz="4" w:space="0" w:color="auto"/>
              <w:right w:val="single" w:sz="4" w:space="0" w:color="auto"/>
            </w:tcBorders>
            <w:shd w:val="clear" w:color="auto" w:fill="auto"/>
            <w:vAlign w:val="center"/>
            <w:hideMark/>
          </w:tcPr>
          <w:p w14:paraId="44B22B5F" w14:textId="77777777" w:rsidR="004D4E42" w:rsidRPr="004D4E42" w:rsidRDefault="004D4E42" w:rsidP="004D4E42">
            <w:pPr>
              <w:spacing w:before="0" w:after="0"/>
              <w:jc w:val="right"/>
              <w:rPr>
                <w:b/>
                <w:bCs/>
                <w:color w:val="000000"/>
                <w:sz w:val="20"/>
                <w:szCs w:val="20"/>
                <w:lang w:val="es-CO" w:eastAsia="es-CO"/>
              </w:rPr>
            </w:pPr>
            <w:r w:rsidRPr="004D4E42">
              <w:rPr>
                <w:b/>
                <w:bCs/>
                <w:color w:val="000000"/>
                <w:sz w:val="20"/>
                <w:szCs w:val="20"/>
                <w:lang w:val="es-CO" w:eastAsia="es-CO"/>
              </w:rPr>
              <w:t>15.224.476</w:t>
            </w:r>
          </w:p>
        </w:tc>
        <w:tc>
          <w:tcPr>
            <w:tcW w:w="0" w:type="auto"/>
            <w:tcBorders>
              <w:top w:val="nil"/>
              <w:left w:val="nil"/>
              <w:bottom w:val="single" w:sz="4" w:space="0" w:color="auto"/>
              <w:right w:val="single" w:sz="4" w:space="0" w:color="auto"/>
            </w:tcBorders>
            <w:shd w:val="clear" w:color="auto" w:fill="auto"/>
            <w:vAlign w:val="center"/>
            <w:hideMark/>
          </w:tcPr>
          <w:p w14:paraId="0236AE89" w14:textId="77777777" w:rsidR="004D4E42" w:rsidRPr="004D4E42" w:rsidRDefault="004D4E42" w:rsidP="004D4E42">
            <w:pPr>
              <w:spacing w:before="0" w:after="0"/>
              <w:jc w:val="right"/>
              <w:rPr>
                <w:b/>
                <w:bCs/>
                <w:color w:val="000000"/>
                <w:sz w:val="20"/>
                <w:szCs w:val="20"/>
                <w:lang w:val="es-CO" w:eastAsia="es-CO"/>
              </w:rPr>
            </w:pPr>
            <w:r w:rsidRPr="004D4E42">
              <w:rPr>
                <w:b/>
                <w:bCs/>
                <w:color w:val="000000"/>
                <w:sz w:val="20"/>
                <w:szCs w:val="20"/>
                <w:lang w:val="es-CO" w:eastAsia="es-CO"/>
              </w:rPr>
              <w:t>82.497.723</w:t>
            </w:r>
          </w:p>
        </w:tc>
        <w:tc>
          <w:tcPr>
            <w:tcW w:w="0" w:type="auto"/>
            <w:tcBorders>
              <w:top w:val="nil"/>
              <w:left w:val="nil"/>
              <w:bottom w:val="single" w:sz="4" w:space="0" w:color="auto"/>
              <w:right w:val="single" w:sz="4" w:space="0" w:color="auto"/>
            </w:tcBorders>
            <w:shd w:val="clear" w:color="auto" w:fill="auto"/>
            <w:vAlign w:val="center"/>
            <w:hideMark/>
          </w:tcPr>
          <w:p w14:paraId="06D27B24" w14:textId="77777777" w:rsidR="004D4E42" w:rsidRPr="004D4E42" w:rsidRDefault="004D4E42" w:rsidP="004D4E42">
            <w:pPr>
              <w:spacing w:before="0" w:after="0"/>
              <w:jc w:val="right"/>
              <w:rPr>
                <w:b/>
                <w:bCs/>
                <w:color w:val="000000"/>
                <w:sz w:val="20"/>
                <w:szCs w:val="20"/>
                <w:lang w:val="es-CO" w:eastAsia="es-CO"/>
              </w:rPr>
            </w:pPr>
            <w:r w:rsidRPr="004D4E42">
              <w:rPr>
                <w:b/>
                <w:bCs/>
                <w:color w:val="000000"/>
                <w:sz w:val="20"/>
                <w:szCs w:val="20"/>
                <w:lang w:val="es-CO" w:eastAsia="es-CO"/>
              </w:rPr>
              <w:t>2.881.188</w:t>
            </w:r>
          </w:p>
        </w:tc>
      </w:tr>
    </w:tbl>
    <w:p w14:paraId="23FAAAE7" w14:textId="77777777" w:rsidR="00CE3BC6" w:rsidRDefault="007C1E55" w:rsidP="00671F6B">
      <w:pPr>
        <w:spacing w:before="360"/>
      </w:pPr>
      <w:r>
        <w:t>F</w:t>
      </w:r>
      <w:r w:rsidR="00CE3BC6" w:rsidRPr="00DC35F9">
        <w:t>rente al costo reposición de la inversión CRI</w:t>
      </w:r>
      <w:r w:rsidR="00CE3BC6" w:rsidRPr="00A71935">
        <w:rPr>
          <w:vertAlign w:val="subscript"/>
        </w:rPr>
        <w:t>j,4</w:t>
      </w:r>
      <w:r w:rsidR="00CE3BC6">
        <w:t xml:space="preserve"> las variaciones se presentan en la siguiente tabla:</w:t>
      </w:r>
    </w:p>
    <w:tbl>
      <w:tblPr>
        <w:tblW w:w="4107" w:type="dxa"/>
        <w:jc w:val="center"/>
        <w:tblCellMar>
          <w:left w:w="70" w:type="dxa"/>
          <w:right w:w="70" w:type="dxa"/>
        </w:tblCellMar>
        <w:tblLook w:val="04A0" w:firstRow="1" w:lastRow="0" w:firstColumn="1" w:lastColumn="0" w:noHBand="0" w:noVBand="1"/>
      </w:tblPr>
      <w:tblGrid>
        <w:gridCol w:w="2087"/>
        <w:gridCol w:w="2020"/>
      </w:tblGrid>
      <w:tr w:rsidR="004D4E42" w:rsidRPr="004D4E42" w14:paraId="73A2E911" w14:textId="77777777" w:rsidTr="004D4E42">
        <w:trPr>
          <w:cantSplit/>
          <w:trHeight w:val="300"/>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B20E1" w14:textId="77777777" w:rsidR="004D4E42" w:rsidRPr="004D4E42" w:rsidRDefault="004D4E42" w:rsidP="004D4E42">
            <w:pPr>
              <w:spacing w:before="0" w:after="0"/>
              <w:jc w:val="left"/>
              <w:rPr>
                <w:b/>
                <w:bCs/>
                <w:i/>
                <w:iCs/>
                <w:color w:val="000000"/>
                <w:sz w:val="20"/>
                <w:szCs w:val="20"/>
                <w:lang w:val="es-CO" w:eastAsia="es-CO"/>
              </w:rPr>
            </w:pPr>
            <w:r w:rsidRPr="004D4E42">
              <w:rPr>
                <w:b/>
                <w:bCs/>
                <w:i/>
                <w:iCs/>
                <w:color w:val="000000"/>
                <w:sz w:val="20"/>
                <w:szCs w:val="20"/>
                <w:lang w:val="es-CO" w:eastAsia="es-CO"/>
              </w:rPr>
              <w:t>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8A94416"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CRI</w:t>
            </w:r>
            <w:r w:rsidRPr="004D4E42">
              <w:rPr>
                <w:b/>
                <w:bCs/>
                <w:color w:val="000000"/>
                <w:sz w:val="20"/>
                <w:szCs w:val="20"/>
                <w:vertAlign w:val="subscript"/>
                <w:lang w:val="es-CO" w:eastAsia="es-CO"/>
              </w:rPr>
              <w:t>j,4</w:t>
            </w:r>
            <w:r w:rsidRPr="004D4E42">
              <w:rPr>
                <w:b/>
                <w:bCs/>
                <w:color w:val="000000"/>
                <w:sz w:val="20"/>
                <w:szCs w:val="20"/>
                <w:lang w:val="es-CO" w:eastAsia="es-CO"/>
              </w:rPr>
              <w:t xml:space="preserve"> </w:t>
            </w:r>
          </w:p>
          <w:p w14:paraId="00A5CC80"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r>
      <w:tr w:rsidR="004D4E42" w:rsidRPr="004D4E42" w14:paraId="6567A4DD" w14:textId="77777777" w:rsidTr="004D4E42">
        <w:trPr>
          <w:cantSplit/>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14:paraId="4BD43593"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nuevos</w:t>
            </w:r>
          </w:p>
        </w:tc>
        <w:tc>
          <w:tcPr>
            <w:tcW w:w="2020" w:type="dxa"/>
            <w:tcBorders>
              <w:top w:val="nil"/>
              <w:left w:val="nil"/>
              <w:bottom w:val="single" w:sz="4" w:space="0" w:color="auto"/>
              <w:right w:val="single" w:sz="4" w:space="0" w:color="auto"/>
            </w:tcBorders>
            <w:shd w:val="clear" w:color="auto" w:fill="auto"/>
            <w:noWrap/>
            <w:vAlign w:val="center"/>
            <w:hideMark/>
          </w:tcPr>
          <w:p w14:paraId="27182C49"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3.888.783.000</w:t>
            </w:r>
          </w:p>
        </w:tc>
      </w:tr>
      <w:tr w:rsidR="004D4E42" w:rsidRPr="004D4E42" w14:paraId="6FBFF0C2" w14:textId="77777777" w:rsidTr="004D4E42">
        <w:trPr>
          <w:cantSplit/>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14:paraId="542CA2E7"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retirados</w:t>
            </w:r>
          </w:p>
        </w:tc>
        <w:tc>
          <w:tcPr>
            <w:tcW w:w="2020" w:type="dxa"/>
            <w:tcBorders>
              <w:top w:val="nil"/>
              <w:left w:val="nil"/>
              <w:bottom w:val="single" w:sz="4" w:space="0" w:color="auto"/>
              <w:right w:val="single" w:sz="4" w:space="0" w:color="auto"/>
            </w:tcBorders>
            <w:shd w:val="clear" w:color="auto" w:fill="auto"/>
            <w:noWrap/>
            <w:vAlign w:val="center"/>
            <w:hideMark/>
          </w:tcPr>
          <w:p w14:paraId="4F7251FB" w14:textId="77777777" w:rsidR="004D4E42" w:rsidRPr="004D4E42" w:rsidRDefault="004D4E42" w:rsidP="004D4E42">
            <w:pPr>
              <w:spacing w:before="0" w:after="0"/>
              <w:jc w:val="right"/>
              <w:rPr>
                <w:color w:val="000000"/>
                <w:sz w:val="20"/>
                <w:szCs w:val="20"/>
                <w:lang w:val="es-CO" w:eastAsia="es-CO"/>
              </w:rPr>
            </w:pPr>
            <w:r w:rsidRPr="004D4E42">
              <w:rPr>
                <w:color w:val="000000"/>
                <w:sz w:val="20"/>
                <w:szCs w:val="20"/>
                <w:lang w:val="es-CO" w:eastAsia="es-CO"/>
              </w:rPr>
              <w:t>1.124.114.000</w:t>
            </w:r>
          </w:p>
        </w:tc>
      </w:tr>
      <w:tr w:rsidR="004D4E42" w:rsidRPr="004D4E42" w14:paraId="58B0A230" w14:textId="77777777" w:rsidTr="004D4E42">
        <w:trPr>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14:paraId="318435DE" w14:textId="77777777" w:rsidR="004D4E42" w:rsidRPr="004D4E42" w:rsidRDefault="004D4E42" w:rsidP="004D4E42">
            <w:pPr>
              <w:spacing w:before="0" w:after="0"/>
              <w:jc w:val="left"/>
              <w:rPr>
                <w:b/>
                <w:bCs/>
                <w:color w:val="000000"/>
                <w:sz w:val="20"/>
                <w:szCs w:val="20"/>
                <w:lang w:val="es-CO" w:eastAsia="es-CO"/>
              </w:rPr>
            </w:pPr>
            <w:r w:rsidRPr="004D4E42">
              <w:rPr>
                <w:b/>
                <w:bCs/>
                <w:color w:val="000000"/>
                <w:sz w:val="20"/>
                <w:szCs w:val="20"/>
                <w:lang w:val="es-CO" w:eastAsia="es-CO"/>
              </w:rPr>
              <w:t>Valor a reconocer</w:t>
            </w:r>
          </w:p>
        </w:tc>
        <w:tc>
          <w:tcPr>
            <w:tcW w:w="2020" w:type="dxa"/>
            <w:tcBorders>
              <w:top w:val="nil"/>
              <w:left w:val="nil"/>
              <w:bottom w:val="single" w:sz="4" w:space="0" w:color="auto"/>
              <w:right w:val="single" w:sz="4" w:space="0" w:color="auto"/>
            </w:tcBorders>
            <w:shd w:val="clear" w:color="auto" w:fill="auto"/>
            <w:noWrap/>
            <w:vAlign w:val="center"/>
            <w:hideMark/>
          </w:tcPr>
          <w:p w14:paraId="38135500" w14:textId="77777777" w:rsidR="004D4E42" w:rsidRPr="004D4E42" w:rsidRDefault="004D4E42" w:rsidP="004D4E42">
            <w:pPr>
              <w:spacing w:before="0" w:after="0"/>
              <w:jc w:val="right"/>
              <w:rPr>
                <w:b/>
                <w:bCs/>
                <w:color w:val="000000"/>
                <w:sz w:val="20"/>
                <w:szCs w:val="20"/>
                <w:lang w:val="es-CO" w:eastAsia="es-CO"/>
              </w:rPr>
            </w:pPr>
            <w:r w:rsidRPr="004D4E42">
              <w:rPr>
                <w:b/>
                <w:bCs/>
                <w:color w:val="000000"/>
                <w:sz w:val="20"/>
                <w:szCs w:val="20"/>
                <w:lang w:val="es-CO" w:eastAsia="es-CO"/>
              </w:rPr>
              <w:t>2.764.669.000</w:t>
            </w:r>
          </w:p>
        </w:tc>
      </w:tr>
    </w:tbl>
    <w:p w14:paraId="0B4AE654" w14:textId="144C8BDD" w:rsidR="00E03BD2" w:rsidRDefault="00A13B1D" w:rsidP="004C4E2E">
      <w:pPr>
        <w:spacing w:before="260" w:after="260"/>
      </w:pPr>
      <w:r>
        <w:t>L</w:t>
      </w:r>
      <w:r w:rsidR="00E03BD2">
        <w:t xml:space="preserve">a Comisión de Regulación de Energía y Gas, en su </w:t>
      </w:r>
      <w:r w:rsidR="00E03BD2" w:rsidRPr="00F62ED6">
        <w:t>sesión</w:t>
      </w:r>
      <w:r w:rsidR="007960C7">
        <w:t xml:space="preserve"> </w:t>
      </w:r>
      <w:r w:rsidR="00C850D9" w:rsidRPr="00F62ED6">
        <w:t>No.</w:t>
      </w:r>
      <w:r w:rsidR="005A200A" w:rsidRPr="00F62ED6">
        <w:t xml:space="preserve"> </w:t>
      </w:r>
      <w:r w:rsidR="007019AD">
        <w:t>775</w:t>
      </w:r>
      <w:r w:rsidR="00276809">
        <w:t xml:space="preserve"> </w:t>
      </w:r>
      <w:r w:rsidR="00E03BD2" w:rsidRPr="00F62ED6">
        <w:t>de</w:t>
      </w:r>
      <w:r w:rsidR="00C850D9" w:rsidRPr="00F62ED6">
        <w:t>l</w:t>
      </w:r>
      <w:r w:rsidR="00C850D9">
        <w:t xml:space="preserve"> </w:t>
      </w:r>
      <w:r w:rsidR="007019AD">
        <w:t>5</w:t>
      </w:r>
      <w:r w:rsidR="00C850D9">
        <w:t xml:space="preserve"> de </w:t>
      </w:r>
      <w:r w:rsidR="00815FAA">
        <w:t>mayo</w:t>
      </w:r>
      <w:r w:rsidR="007C1E55">
        <w:t xml:space="preserve"> </w:t>
      </w:r>
      <w:r w:rsidR="00E03BD2">
        <w:t>de 201</w:t>
      </w:r>
      <w:r w:rsidR="007C1E55">
        <w:t>7</w:t>
      </w:r>
      <w:r w:rsidR="00E03BD2">
        <w:t>, acordó expedir la presente resolución</w:t>
      </w:r>
      <w:r w:rsidR="003F5923">
        <w:t>.</w:t>
      </w:r>
    </w:p>
    <w:p w14:paraId="5372E4A7" w14:textId="77777777" w:rsidR="00E03BD2" w:rsidRDefault="00E03BD2" w:rsidP="009E1157">
      <w:pPr>
        <w:keepNext/>
        <w:spacing w:before="360" w:after="360"/>
        <w:jc w:val="center"/>
        <w:rPr>
          <w:b/>
          <w:spacing w:val="40"/>
        </w:rPr>
      </w:pPr>
      <w:r>
        <w:rPr>
          <w:b/>
        </w:rPr>
        <w:t xml:space="preserve">R E S U E L V </w:t>
      </w:r>
      <w:r>
        <w:rPr>
          <w:b/>
          <w:spacing w:val="40"/>
        </w:rPr>
        <w:t>E:</w:t>
      </w:r>
    </w:p>
    <w:p w14:paraId="79BAC716" w14:textId="77777777" w:rsidR="008E6072" w:rsidRPr="00CF0B66" w:rsidRDefault="00DB043F" w:rsidP="003023AC">
      <w:pPr>
        <w:pStyle w:val="Artculo"/>
      </w:pPr>
      <w:bookmarkStart w:id="1" w:name="_Toc259626851"/>
      <w:r w:rsidRPr="00DB043F">
        <w:rPr>
          <w:b/>
        </w:rPr>
        <w:t>Artículo 1</w:t>
      </w:r>
      <w:r>
        <w:t xml:space="preserve">. </w:t>
      </w:r>
      <w:r w:rsidR="005741C8">
        <w:t>Modificar el a</w:t>
      </w:r>
      <w:r w:rsidR="00CF0B66" w:rsidRPr="004549AD">
        <w:t>rtículo 1 de la Resolución CREG 10</w:t>
      </w:r>
      <w:r w:rsidR="00CF0B66">
        <w:t>5</w:t>
      </w:r>
      <w:r w:rsidR="00CF0B66" w:rsidRPr="004549AD">
        <w:t xml:space="preserve"> de 2009, el cual queda así:</w:t>
      </w:r>
    </w:p>
    <w:p w14:paraId="0D7490D4" w14:textId="77777777" w:rsidR="00CF0B66" w:rsidRDefault="00CF0B66" w:rsidP="006140E4">
      <w:pPr>
        <w:ind w:left="284" w:right="193"/>
      </w:pPr>
      <w:r w:rsidRPr="003F5923">
        <w:rPr>
          <w:b/>
          <w:spacing w:val="-3"/>
        </w:rPr>
        <w:t>Artículo 1.</w:t>
      </w:r>
      <w:r w:rsidR="007C1E55">
        <w:rPr>
          <w:b/>
          <w:spacing w:val="-3"/>
        </w:rPr>
        <w:t xml:space="preserve"> </w:t>
      </w:r>
      <w:r w:rsidRPr="003F5923">
        <w:rPr>
          <w:b/>
        </w:rPr>
        <w:t>Costo Anual por el uso de los activos del Nivel de Tensión 4.</w:t>
      </w:r>
      <w:r w:rsidRPr="003F5923">
        <w:t xml:space="preserve"> El Costo Anual por el Uso de los Activos del Nivel de Tensión 4 operados por </w:t>
      </w:r>
      <w:r w:rsidRPr="003F5923">
        <w:lastRenderedPageBreak/>
        <w:t>Empresas Públicas de Medellín E.S.P., del sistema resultante de la integración de los Sistemas de Transmisión Regional y/o Sistemas de Distribución Local anteriormente operados por EEPPM y la alcaldía de Campamento, calculado en la forma establecida en la Resolución CREG 097 de 2008, es el siguiente:</w:t>
      </w:r>
    </w:p>
    <w:tbl>
      <w:tblPr>
        <w:tblW w:w="0" w:type="auto"/>
        <w:jc w:val="center"/>
        <w:tblCellMar>
          <w:left w:w="70" w:type="dxa"/>
          <w:right w:w="70" w:type="dxa"/>
        </w:tblCellMar>
        <w:tblLook w:val="04A0" w:firstRow="1" w:lastRow="0" w:firstColumn="1" w:lastColumn="0" w:noHBand="0" w:noVBand="1"/>
      </w:tblPr>
      <w:tblGrid>
        <w:gridCol w:w="4435"/>
        <w:gridCol w:w="3357"/>
      </w:tblGrid>
      <w:tr w:rsidR="007C1E55" w:rsidRPr="007C1E55" w14:paraId="69FF721F" w14:textId="77777777" w:rsidTr="007C1E55">
        <w:trPr>
          <w:trHeight w:val="58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BE4D5FA" w14:textId="77777777" w:rsidR="007C1E55" w:rsidRPr="007C1E55" w:rsidRDefault="007C1E55" w:rsidP="007C1E55">
            <w:pPr>
              <w:spacing w:before="0" w:after="0"/>
              <w:jc w:val="center"/>
              <w:rPr>
                <w:b/>
                <w:bCs/>
                <w:i/>
                <w:iCs/>
                <w:color w:val="000000"/>
                <w:sz w:val="22"/>
                <w:szCs w:val="22"/>
                <w:lang w:val="es-CO" w:eastAsia="es-CO"/>
              </w:rPr>
            </w:pPr>
            <w:r w:rsidRPr="007C1E55">
              <w:rPr>
                <w:b/>
                <w:bCs/>
                <w:i/>
                <w:iCs/>
                <w:color w:val="000000"/>
                <w:sz w:val="22"/>
                <w:szCs w:val="22"/>
                <w:lang w:val="es-CO" w:eastAsia="es-CO"/>
              </w:rPr>
              <w:t xml:space="preserve">Costo Anual por el Uso de los Activos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F1C42B" w14:textId="77777777" w:rsidR="007C1E55" w:rsidRPr="007C1E55" w:rsidRDefault="007C1E55" w:rsidP="007C1E55">
            <w:pPr>
              <w:spacing w:before="0" w:after="0"/>
              <w:jc w:val="center"/>
              <w:rPr>
                <w:b/>
                <w:bCs/>
                <w:i/>
                <w:iCs/>
                <w:color w:val="000000"/>
                <w:sz w:val="22"/>
                <w:szCs w:val="22"/>
                <w:lang w:val="es-CO" w:eastAsia="es-CO"/>
              </w:rPr>
            </w:pPr>
            <w:r w:rsidRPr="007C1E55">
              <w:rPr>
                <w:b/>
                <w:bCs/>
                <w:i/>
                <w:iCs/>
                <w:color w:val="000000"/>
                <w:sz w:val="22"/>
                <w:szCs w:val="22"/>
                <w:lang w:val="es-CO" w:eastAsia="es-CO"/>
              </w:rPr>
              <w:t>Pesos de diciembre de 2007</w:t>
            </w:r>
          </w:p>
        </w:tc>
      </w:tr>
      <w:tr w:rsidR="007C1E55" w:rsidRPr="007C1E55" w14:paraId="4EF124D0" w14:textId="77777777" w:rsidTr="007C1E55">
        <w:trPr>
          <w:trHeight w:val="317"/>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C9FA90" w14:textId="77777777" w:rsidR="007C1E55" w:rsidRPr="007C1E55" w:rsidRDefault="007C1E55" w:rsidP="007C1E55">
            <w:pPr>
              <w:spacing w:before="0" w:after="0"/>
              <w:rPr>
                <w:i/>
                <w:iCs/>
                <w:color w:val="000000"/>
                <w:sz w:val="22"/>
                <w:szCs w:val="22"/>
                <w:lang w:val="es-CO" w:eastAsia="es-CO"/>
              </w:rPr>
            </w:pPr>
            <w:r w:rsidRPr="007C1E55">
              <w:rPr>
                <w:i/>
                <w:iCs/>
                <w:color w:val="000000"/>
                <w:sz w:val="22"/>
                <w:szCs w:val="22"/>
                <w:lang w:val="es-CO" w:eastAsia="es-CO"/>
              </w:rPr>
              <w:t>Nivel de Tensión 4</w:t>
            </w:r>
            <w:r w:rsidRPr="007C1E55">
              <w:rPr>
                <w:b/>
                <w:bCs/>
                <w:i/>
                <w:iCs/>
                <w:color w:val="000000"/>
                <w:sz w:val="22"/>
                <w:szCs w:val="22"/>
                <w:lang w:val="es-CO" w:eastAsia="es-CO"/>
              </w:rPr>
              <w:t xml:space="preserve"> (CA</w:t>
            </w:r>
            <w:r w:rsidRPr="007C1E55">
              <w:rPr>
                <w:b/>
                <w:bCs/>
                <w:i/>
                <w:iCs/>
                <w:color w:val="000000"/>
                <w:sz w:val="22"/>
                <w:szCs w:val="22"/>
                <w:vertAlign w:val="subscript"/>
                <w:lang w:val="es-CO" w:eastAsia="es-CO"/>
              </w:rPr>
              <w:t>j,4</w:t>
            </w:r>
            <w:r w:rsidRPr="007C1E55">
              <w:rPr>
                <w:b/>
                <w:bCs/>
                <w:i/>
                <w:iCs/>
                <w:color w:val="000000"/>
                <w:sz w:val="22"/>
                <w:szCs w:val="22"/>
                <w:lang w:val="es-CO" w:eastAsia="es-CO"/>
              </w:rPr>
              <w:t>)</w:t>
            </w:r>
          </w:p>
        </w:tc>
        <w:tc>
          <w:tcPr>
            <w:tcW w:w="0" w:type="auto"/>
            <w:tcBorders>
              <w:top w:val="nil"/>
              <w:left w:val="nil"/>
              <w:bottom w:val="single" w:sz="8" w:space="0" w:color="auto"/>
              <w:right w:val="single" w:sz="8" w:space="0" w:color="auto"/>
            </w:tcBorders>
            <w:shd w:val="clear" w:color="auto" w:fill="auto"/>
            <w:vAlign w:val="center"/>
            <w:hideMark/>
          </w:tcPr>
          <w:p w14:paraId="6A9E1DFB" w14:textId="24DA8761" w:rsidR="007C1E55" w:rsidRPr="007C1E55" w:rsidRDefault="00502F33" w:rsidP="00502F33">
            <w:pPr>
              <w:spacing w:before="0" w:after="0"/>
              <w:jc w:val="center"/>
              <w:rPr>
                <w:i/>
                <w:iCs/>
                <w:color w:val="000000"/>
                <w:sz w:val="22"/>
                <w:szCs w:val="22"/>
                <w:lang w:val="es-CO" w:eastAsia="es-CO"/>
              </w:rPr>
            </w:pPr>
            <w:r>
              <w:rPr>
                <w:i/>
                <w:iCs/>
                <w:color w:val="000000"/>
                <w:sz w:val="22"/>
                <w:szCs w:val="22"/>
              </w:rPr>
              <w:t>136.748.065.568</w:t>
            </w:r>
          </w:p>
        </w:tc>
      </w:tr>
    </w:tbl>
    <w:bookmarkEnd w:id="1"/>
    <w:p w14:paraId="141E185B" w14:textId="77777777" w:rsidR="00743283" w:rsidRDefault="00DB043F" w:rsidP="003023AC">
      <w:pPr>
        <w:pStyle w:val="Artculo"/>
      </w:pPr>
      <w:r w:rsidRPr="00DB043F">
        <w:rPr>
          <w:b/>
        </w:rPr>
        <w:t>Artículo 2.</w:t>
      </w:r>
      <w:r>
        <w:t xml:space="preserve"> </w:t>
      </w:r>
      <w:r w:rsidR="005741C8">
        <w:t>Modificar el a</w:t>
      </w:r>
      <w:r w:rsidR="00CF0B66" w:rsidRPr="00CF0B66">
        <w:t>rtículo 5 de la Resolución CREG 105 de 2009, el cual queda así:</w:t>
      </w:r>
    </w:p>
    <w:p w14:paraId="619917E6" w14:textId="77777777" w:rsidR="00CF0B66" w:rsidRPr="003F5923" w:rsidRDefault="00CF0B66" w:rsidP="006140E4">
      <w:pPr>
        <w:ind w:left="284" w:right="193"/>
      </w:pPr>
      <w:r w:rsidRPr="003F5923">
        <w:rPr>
          <w:b/>
        </w:rPr>
        <w:t xml:space="preserve">Artículo 5. Costos de reposición de la inversión. </w:t>
      </w:r>
      <w:r w:rsidRPr="003F5923">
        <w:t>Los costos de reposición de la inversión del OR Empresas Públicas de Medellín E.S.P. para cada nivel de tensión, calculados en la forma establecida en la Resolución CREG 097 de 2008, son los siguientes:</w:t>
      </w:r>
    </w:p>
    <w:tbl>
      <w:tblPr>
        <w:tblW w:w="7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460"/>
        <w:gridCol w:w="3007"/>
      </w:tblGrid>
      <w:tr w:rsidR="00CF0B66" w:rsidRPr="009A2F9C" w14:paraId="54B3B59F" w14:textId="77777777" w:rsidTr="002C2242">
        <w:trPr>
          <w:cantSplit/>
          <w:trHeight w:val="548"/>
          <w:jc w:val="center"/>
        </w:trPr>
        <w:tc>
          <w:tcPr>
            <w:tcW w:w="4460" w:type="dxa"/>
            <w:shd w:val="clear" w:color="auto" w:fill="auto"/>
            <w:vAlign w:val="center"/>
            <w:hideMark/>
          </w:tcPr>
          <w:p w14:paraId="4936BF47" w14:textId="77777777"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t>Costo de Reposición de Inversión</w:t>
            </w:r>
          </w:p>
        </w:tc>
        <w:tc>
          <w:tcPr>
            <w:tcW w:w="3007" w:type="dxa"/>
            <w:shd w:val="clear" w:color="auto" w:fill="auto"/>
            <w:vAlign w:val="center"/>
            <w:hideMark/>
          </w:tcPr>
          <w:p w14:paraId="5454CFC6" w14:textId="77777777"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t>Pesos de diciembre de 2007</w:t>
            </w:r>
          </w:p>
        </w:tc>
      </w:tr>
      <w:tr w:rsidR="009A2F9C" w:rsidRPr="009A2F9C" w14:paraId="61E396EE" w14:textId="77777777" w:rsidTr="002C2242">
        <w:trPr>
          <w:cantSplit/>
          <w:trHeight w:val="379"/>
          <w:jc w:val="center"/>
        </w:trPr>
        <w:tc>
          <w:tcPr>
            <w:tcW w:w="4460" w:type="dxa"/>
            <w:shd w:val="clear" w:color="auto" w:fill="FFFFFF" w:themeFill="background1"/>
            <w:vAlign w:val="center"/>
            <w:hideMark/>
          </w:tcPr>
          <w:p w14:paraId="0D4B74AC" w14:textId="77777777" w:rsidR="009A2F9C" w:rsidRPr="009A2F9C" w:rsidRDefault="009A2F9C"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4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j,4</w:t>
            </w:r>
            <w:r w:rsidRPr="009A2F9C">
              <w:rPr>
                <w:rFonts w:cs="Calibri"/>
                <w:b/>
                <w:bCs/>
                <w:i/>
                <w:iCs/>
                <w:color w:val="000000"/>
                <w:sz w:val="22"/>
                <w:szCs w:val="22"/>
                <w:lang w:val="es-CO" w:eastAsia="es-CO"/>
              </w:rPr>
              <w:t>)</w:t>
            </w:r>
          </w:p>
        </w:tc>
        <w:tc>
          <w:tcPr>
            <w:tcW w:w="3007" w:type="dxa"/>
            <w:shd w:val="clear" w:color="auto" w:fill="auto"/>
            <w:vAlign w:val="center"/>
          </w:tcPr>
          <w:p w14:paraId="22C7B125" w14:textId="77777777" w:rsidR="00091012" w:rsidRPr="00B0723B" w:rsidRDefault="00BA5B0B" w:rsidP="00FB69E5">
            <w:pPr>
              <w:keepNext/>
              <w:spacing w:before="0" w:after="0"/>
              <w:jc w:val="right"/>
              <w:rPr>
                <w:rFonts w:cs="Calibri"/>
                <w:i/>
                <w:color w:val="000000"/>
                <w:sz w:val="22"/>
                <w:szCs w:val="22"/>
                <w:lang w:val="es-CO" w:eastAsia="es-CO"/>
              </w:rPr>
            </w:pPr>
            <w:r w:rsidRPr="00BA5B0B">
              <w:rPr>
                <w:rFonts w:cs="Calibri"/>
                <w:i/>
                <w:color w:val="000000"/>
                <w:sz w:val="22"/>
                <w:szCs w:val="22"/>
                <w:lang w:val="es-CO" w:eastAsia="es-CO"/>
              </w:rPr>
              <w:t>722.642.047.287</w:t>
            </w:r>
          </w:p>
        </w:tc>
      </w:tr>
      <w:tr w:rsidR="00CF0B66" w:rsidRPr="009A2F9C" w14:paraId="40719CFF" w14:textId="77777777" w:rsidTr="002C2242">
        <w:trPr>
          <w:cantSplit/>
          <w:trHeight w:val="379"/>
          <w:jc w:val="center"/>
        </w:trPr>
        <w:tc>
          <w:tcPr>
            <w:tcW w:w="4460" w:type="dxa"/>
            <w:shd w:val="clear" w:color="auto" w:fill="FFFFFF" w:themeFill="background1"/>
            <w:vAlign w:val="center"/>
            <w:hideMark/>
          </w:tcPr>
          <w:p w14:paraId="73221507" w14:textId="77777777" w:rsidR="00CF0B66" w:rsidRPr="009A2F9C" w:rsidRDefault="00CF0B66"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3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j,3</w:t>
            </w:r>
            <w:r w:rsidRPr="009A2F9C">
              <w:rPr>
                <w:rFonts w:cs="Calibri"/>
                <w:b/>
                <w:bCs/>
                <w:i/>
                <w:iCs/>
                <w:color w:val="000000"/>
                <w:sz w:val="22"/>
                <w:szCs w:val="22"/>
                <w:lang w:val="es-CO" w:eastAsia="es-CO"/>
              </w:rPr>
              <w:t>)</w:t>
            </w:r>
          </w:p>
        </w:tc>
        <w:tc>
          <w:tcPr>
            <w:tcW w:w="3007" w:type="dxa"/>
            <w:shd w:val="clear" w:color="auto" w:fill="FFFFFF" w:themeFill="background1"/>
            <w:vAlign w:val="center"/>
            <w:hideMark/>
          </w:tcPr>
          <w:p w14:paraId="7D8DB54F" w14:textId="77777777" w:rsidR="00CF0B66" w:rsidRPr="009A2F9C" w:rsidRDefault="00CF0B66" w:rsidP="00DB043F">
            <w:pPr>
              <w:keepNext/>
              <w:spacing w:before="0" w:after="0"/>
              <w:jc w:val="right"/>
              <w:rPr>
                <w:rFonts w:cs="Calibri"/>
                <w:i/>
                <w:color w:val="000000"/>
                <w:sz w:val="22"/>
                <w:szCs w:val="22"/>
                <w:lang w:val="es-CO" w:eastAsia="es-CO"/>
              </w:rPr>
            </w:pPr>
            <w:r w:rsidRPr="009A2F9C">
              <w:rPr>
                <w:rFonts w:cs="Calibri"/>
                <w:i/>
                <w:color w:val="000000"/>
                <w:sz w:val="22"/>
                <w:szCs w:val="22"/>
                <w:lang w:val="es-CO" w:eastAsia="es-CO"/>
              </w:rPr>
              <w:t>305.242.148.497</w:t>
            </w:r>
          </w:p>
        </w:tc>
      </w:tr>
      <w:tr w:rsidR="00CF0B66" w:rsidRPr="009A2F9C" w14:paraId="2D0262CB" w14:textId="77777777" w:rsidTr="002C2242">
        <w:trPr>
          <w:cantSplit/>
          <w:trHeight w:val="379"/>
          <w:jc w:val="center"/>
        </w:trPr>
        <w:tc>
          <w:tcPr>
            <w:tcW w:w="4460" w:type="dxa"/>
            <w:shd w:val="clear" w:color="auto" w:fill="FFFFFF" w:themeFill="background1"/>
            <w:vAlign w:val="center"/>
            <w:hideMark/>
          </w:tcPr>
          <w:p w14:paraId="61A0C1DE" w14:textId="77777777" w:rsidR="00CF0B66" w:rsidRPr="009A2F9C" w:rsidRDefault="00CF0B66"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2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j,2</w:t>
            </w:r>
            <w:r w:rsidRPr="009A2F9C">
              <w:rPr>
                <w:rFonts w:cs="Calibri"/>
                <w:b/>
                <w:bCs/>
                <w:i/>
                <w:iCs/>
                <w:color w:val="000000"/>
                <w:sz w:val="22"/>
                <w:szCs w:val="22"/>
                <w:lang w:val="es-CO" w:eastAsia="es-CO"/>
              </w:rPr>
              <w:t>)</w:t>
            </w:r>
          </w:p>
        </w:tc>
        <w:tc>
          <w:tcPr>
            <w:tcW w:w="3007" w:type="dxa"/>
            <w:shd w:val="clear" w:color="auto" w:fill="FFFFFF" w:themeFill="background1"/>
            <w:vAlign w:val="center"/>
            <w:hideMark/>
          </w:tcPr>
          <w:p w14:paraId="6F3A5CAE" w14:textId="77777777" w:rsidR="00CF0B66" w:rsidRPr="009A2F9C" w:rsidRDefault="00CF0B66" w:rsidP="00DB043F">
            <w:pPr>
              <w:keepNext/>
              <w:spacing w:before="0" w:after="0"/>
              <w:jc w:val="right"/>
              <w:rPr>
                <w:rFonts w:cs="Calibri"/>
                <w:i/>
                <w:color w:val="000000"/>
                <w:sz w:val="22"/>
                <w:szCs w:val="22"/>
                <w:lang w:val="es-CO" w:eastAsia="es-CO"/>
              </w:rPr>
            </w:pPr>
            <w:r w:rsidRPr="009A2F9C">
              <w:rPr>
                <w:rFonts w:cs="Calibri"/>
                <w:i/>
                <w:color w:val="000000"/>
                <w:sz w:val="22"/>
                <w:szCs w:val="22"/>
                <w:lang w:val="es-CO" w:eastAsia="es-CO"/>
              </w:rPr>
              <w:t>1.619.953.549.605</w:t>
            </w:r>
          </w:p>
        </w:tc>
      </w:tr>
      <w:tr w:rsidR="00CF0B66" w:rsidRPr="00C40B42" w14:paraId="2989451B" w14:textId="77777777" w:rsidTr="002C2242">
        <w:trPr>
          <w:cantSplit/>
          <w:trHeight w:val="379"/>
          <w:jc w:val="center"/>
        </w:trPr>
        <w:tc>
          <w:tcPr>
            <w:tcW w:w="4460" w:type="dxa"/>
            <w:shd w:val="clear" w:color="auto" w:fill="FFFFFF" w:themeFill="background1"/>
            <w:vAlign w:val="center"/>
            <w:hideMark/>
          </w:tcPr>
          <w:p w14:paraId="4F94C8A8" w14:textId="77777777" w:rsidR="00CF0B66" w:rsidRPr="009A2F9C" w:rsidRDefault="00CF0B66" w:rsidP="00DB043F">
            <w:pPr>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1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j,1</w:t>
            </w:r>
            <w:r w:rsidRPr="009A2F9C">
              <w:rPr>
                <w:rFonts w:cs="Calibri"/>
                <w:b/>
                <w:bCs/>
                <w:i/>
                <w:iCs/>
                <w:color w:val="000000"/>
                <w:sz w:val="22"/>
                <w:szCs w:val="22"/>
                <w:lang w:val="es-CO" w:eastAsia="es-CO"/>
              </w:rPr>
              <w:t>)</w:t>
            </w:r>
          </w:p>
        </w:tc>
        <w:tc>
          <w:tcPr>
            <w:tcW w:w="3007" w:type="dxa"/>
            <w:shd w:val="clear" w:color="auto" w:fill="FFFFFF" w:themeFill="background1"/>
            <w:vAlign w:val="center"/>
            <w:hideMark/>
          </w:tcPr>
          <w:p w14:paraId="19E2B6BE" w14:textId="77777777" w:rsidR="00CF0B66" w:rsidRPr="009A2F9C" w:rsidRDefault="00CF0B66" w:rsidP="00DB043F">
            <w:pPr>
              <w:spacing w:before="0" w:after="0"/>
              <w:jc w:val="right"/>
              <w:rPr>
                <w:rFonts w:cs="Calibri"/>
                <w:i/>
                <w:color w:val="000000"/>
                <w:sz w:val="22"/>
                <w:szCs w:val="22"/>
                <w:lang w:val="es-CO" w:eastAsia="es-CO"/>
              </w:rPr>
            </w:pPr>
            <w:r w:rsidRPr="009A2F9C">
              <w:rPr>
                <w:rFonts w:cs="Calibri"/>
                <w:i/>
                <w:color w:val="000000"/>
                <w:sz w:val="22"/>
                <w:szCs w:val="22"/>
                <w:lang w:val="es-CO" w:eastAsia="es-CO"/>
              </w:rPr>
              <w:t>1.206.839.477.175</w:t>
            </w:r>
          </w:p>
        </w:tc>
      </w:tr>
    </w:tbl>
    <w:p w14:paraId="122CEB7D" w14:textId="77777777" w:rsidR="00F373C5" w:rsidRPr="00CF0B66" w:rsidRDefault="00DA0D4A" w:rsidP="003023AC">
      <w:pPr>
        <w:pStyle w:val="Artculo"/>
        <w:rPr>
          <w:sz w:val="22"/>
        </w:rPr>
      </w:pPr>
      <w:r>
        <w:rPr>
          <w:b/>
        </w:rPr>
        <w:t>Artículo 3</w:t>
      </w:r>
      <w:r w:rsidR="00CF0B66" w:rsidRPr="00140AA7">
        <w:rPr>
          <w:b/>
        </w:rPr>
        <w:t>.</w:t>
      </w:r>
      <w:r w:rsidR="00CF0B66" w:rsidRPr="00140AA7">
        <w:t xml:space="preserve"> </w:t>
      </w:r>
      <w:r w:rsidR="005741C8">
        <w:t>La presente r</w:t>
      </w:r>
      <w:r w:rsidR="00CF0B66" w:rsidRPr="000D33E7">
        <w:t xml:space="preserve">esolución deberá notificarse a </w:t>
      </w:r>
      <w:r w:rsidR="00CF0B66">
        <w:t xml:space="preserve">Empresas Públicas de Medellín </w:t>
      </w:r>
      <w:r w:rsidR="00CF0B66" w:rsidRPr="004549AD">
        <w:t>E.S.P.</w:t>
      </w:r>
      <w:r w:rsidR="00CF0B66" w:rsidRPr="000D33E7">
        <w:t xml:space="preserve"> Contra lo dispuesto en este acto procede el recurso de reposición, el cual se podrá interponer ante la Dirección Ejecutiva de la CREG dentro de los cinco (5) días hábiles siguientes a la fecha de su notificación.</w:t>
      </w:r>
    </w:p>
    <w:p w14:paraId="6052C33F" w14:textId="77777777" w:rsidR="00374D7F" w:rsidRDefault="00374D7F" w:rsidP="00EF6D78">
      <w:pPr>
        <w:jc w:val="center"/>
        <w:rPr>
          <w:b/>
        </w:rPr>
      </w:pPr>
    </w:p>
    <w:p w14:paraId="62192180" w14:textId="77777777" w:rsidR="00EF6D78" w:rsidRPr="005F46C2" w:rsidRDefault="00374D7F" w:rsidP="00EF6D78">
      <w:pPr>
        <w:jc w:val="center"/>
        <w:rPr>
          <w:b/>
        </w:rPr>
      </w:pPr>
      <w:r>
        <w:rPr>
          <w:b/>
        </w:rPr>
        <w:t xml:space="preserve">NOTIFÍQUESE, </w:t>
      </w:r>
      <w:r w:rsidR="00EF6D78" w:rsidRPr="005F46C2">
        <w:rPr>
          <w:b/>
        </w:rPr>
        <w:t>PUBLÍQUESE Y CÚMPLASE</w:t>
      </w:r>
    </w:p>
    <w:p w14:paraId="79270EA1" w14:textId="77777777" w:rsidR="00EF6D78" w:rsidRPr="005F46C2" w:rsidRDefault="00EF6D78" w:rsidP="00EF6D78"/>
    <w:p w14:paraId="6A691C3D" w14:textId="77777777" w:rsidR="00EF6D78" w:rsidRPr="005F46C2" w:rsidRDefault="00EF6D78" w:rsidP="00C850D9">
      <w:r w:rsidRPr="005F46C2">
        <w:t>Dado en Bogotá, D. C.</w:t>
      </w:r>
    </w:p>
    <w:p w14:paraId="5D6D43C6" w14:textId="77777777" w:rsidR="00EF6D78" w:rsidRDefault="00EF6D78" w:rsidP="00EF6D78"/>
    <w:p w14:paraId="43CDE72F" w14:textId="77777777" w:rsidR="00671F6B" w:rsidRDefault="00671F6B" w:rsidP="00EF6D78"/>
    <w:tbl>
      <w:tblPr>
        <w:tblW w:w="9640" w:type="dxa"/>
        <w:tblInd w:w="-142" w:type="dxa"/>
        <w:tblLayout w:type="fixed"/>
        <w:tblCellMar>
          <w:left w:w="0" w:type="dxa"/>
          <w:right w:w="0" w:type="dxa"/>
        </w:tblCellMar>
        <w:tblLook w:val="04A0" w:firstRow="1" w:lastRow="0" w:firstColumn="1" w:lastColumn="0" w:noHBand="0" w:noVBand="1"/>
      </w:tblPr>
      <w:tblGrid>
        <w:gridCol w:w="4962"/>
        <w:gridCol w:w="4678"/>
      </w:tblGrid>
      <w:tr w:rsidR="003F5923" w:rsidRPr="00554289" w14:paraId="7A7AFFA1" w14:textId="77777777" w:rsidTr="007960C7">
        <w:tc>
          <w:tcPr>
            <w:tcW w:w="4962" w:type="dxa"/>
            <w:hideMark/>
          </w:tcPr>
          <w:p w14:paraId="4D2AD143" w14:textId="77777777" w:rsidR="003F5923" w:rsidRPr="00554289" w:rsidRDefault="00671F6B" w:rsidP="00FB69E5">
            <w:pPr>
              <w:snapToGrid w:val="0"/>
              <w:spacing w:before="0" w:after="0"/>
              <w:jc w:val="center"/>
              <w:rPr>
                <w:rFonts w:cs="Arial"/>
                <w:b/>
                <w:bCs/>
              </w:rPr>
            </w:pPr>
            <w:r>
              <w:rPr>
                <w:rFonts w:cs="Arial"/>
                <w:b/>
                <w:bCs/>
              </w:rPr>
              <w:t>RUTTY PAOLA ORTIZ JARA</w:t>
            </w:r>
          </w:p>
        </w:tc>
        <w:tc>
          <w:tcPr>
            <w:tcW w:w="4678" w:type="dxa"/>
            <w:hideMark/>
          </w:tcPr>
          <w:p w14:paraId="7EAAD359" w14:textId="77777777" w:rsidR="003F5923" w:rsidRPr="00554289" w:rsidRDefault="0031089B" w:rsidP="003F5923">
            <w:pPr>
              <w:snapToGrid w:val="0"/>
              <w:spacing w:before="0" w:after="0"/>
              <w:jc w:val="center"/>
              <w:rPr>
                <w:rFonts w:cs="Arial"/>
                <w:b/>
                <w:bCs/>
              </w:rPr>
            </w:pPr>
            <w:r>
              <w:rPr>
                <w:rFonts w:cs="Arial"/>
                <w:b/>
                <w:bCs/>
              </w:rPr>
              <w:t>GERMÁN CASTRO FERREIRA</w:t>
            </w:r>
          </w:p>
        </w:tc>
      </w:tr>
      <w:tr w:rsidR="003F5923" w:rsidRPr="00554289" w14:paraId="1389B2F9" w14:textId="77777777" w:rsidTr="007960C7">
        <w:tc>
          <w:tcPr>
            <w:tcW w:w="4962" w:type="dxa"/>
            <w:hideMark/>
          </w:tcPr>
          <w:p w14:paraId="5BADBEE5" w14:textId="77777777" w:rsidR="003F5923" w:rsidRDefault="00671F6B" w:rsidP="00671F6B">
            <w:pPr>
              <w:snapToGrid w:val="0"/>
              <w:spacing w:before="0" w:after="0"/>
              <w:jc w:val="center"/>
              <w:rPr>
                <w:rFonts w:cs="Arial"/>
              </w:rPr>
            </w:pPr>
            <w:r>
              <w:rPr>
                <w:rFonts w:cs="Arial"/>
              </w:rPr>
              <w:t>Vicem</w:t>
            </w:r>
            <w:r w:rsidR="007960C7" w:rsidRPr="007960C7">
              <w:rPr>
                <w:rFonts w:cs="Arial"/>
              </w:rPr>
              <w:t>inistr</w:t>
            </w:r>
            <w:r>
              <w:rPr>
                <w:rFonts w:cs="Arial"/>
              </w:rPr>
              <w:t>a</w:t>
            </w:r>
            <w:r w:rsidR="007960C7" w:rsidRPr="007960C7">
              <w:rPr>
                <w:rFonts w:cs="Arial"/>
              </w:rPr>
              <w:t xml:space="preserve"> de Energía</w:t>
            </w:r>
            <w:r w:rsidR="00F62ED6" w:rsidRPr="00554289">
              <w:rPr>
                <w:rFonts w:cs="Arial"/>
              </w:rPr>
              <w:t xml:space="preserve"> </w:t>
            </w:r>
          </w:p>
          <w:p w14:paraId="33813753" w14:textId="77777777" w:rsidR="00671F6B" w:rsidRPr="00554289" w:rsidRDefault="00671F6B" w:rsidP="00671F6B">
            <w:pPr>
              <w:snapToGrid w:val="0"/>
              <w:spacing w:before="0" w:after="0"/>
              <w:jc w:val="center"/>
              <w:rPr>
                <w:rFonts w:cs="Arial"/>
              </w:rPr>
            </w:pPr>
            <w:r>
              <w:rPr>
                <w:rFonts w:cs="Arial"/>
              </w:rPr>
              <w:t>Delegada del Ministro de Minas y Energía</w:t>
            </w:r>
          </w:p>
        </w:tc>
        <w:tc>
          <w:tcPr>
            <w:tcW w:w="4678" w:type="dxa"/>
            <w:hideMark/>
          </w:tcPr>
          <w:p w14:paraId="7F3446B6" w14:textId="77777777" w:rsidR="003F5923" w:rsidRPr="00554289" w:rsidRDefault="003F5923" w:rsidP="003F5923">
            <w:pPr>
              <w:snapToGrid w:val="0"/>
              <w:spacing w:before="0" w:after="0"/>
              <w:jc w:val="center"/>
              <w:rPr>
                <w:rFonts w:cs="Arial"/>
              </w:rPr>
            </w:pPr>
            <w:r w:rsidRPr="00554289">
              <w:rPr>
                <w:rFonts w:cs="Arial"/>
              </w:rPr>
              <w:t>Director Ejecutivo</w:t>
            </w:r>
          </w:p>
        </w:tc>
      </w:tr>
      <w:tr w:rsidR="003F5923" w:rsidRPr="00554289" w14:paraId="773C9771" w14:textId="77777777" w:rsidTr="007960C7">
        <w:tc>
          <w:tcPr>
            <w:tcW w:w="4962" w:type="dxa"/>
            <w:hideMark/>
          </w:tcPr>
          <w:p w14:paraId="24A3C1DE" w14:textId="77777777" w:rsidR="003F5923" w:rsidRPr="00554289" w:rsidRDefault="003F5923" w:rsidP="003F5923">
            <w:pPr>
              <w:snapToGrid w:val="0"/>
              <w:spacing w:before="0" w:after="0"/>
              <w:jc w:val="center"/>
              <w:rPr>
                <w:rFonts w:cs="Arial"/>
              </w:rPr>
            </w:pPr>
            <w:r w:rsidRPr="00554289">
              <w:rPr>
                <w:rFonts w:cs="Arial"/>
              </w:rPr>
              <w:t>Presidente</w:t>
            </w:r>
          </w:p>
        </w:tc>
        <w:tc>
          <w:tcPr>
            <w:tcW w:w="4678" w:type="dxa"/>
          </w:tcPr>
          <w:p w14:paraId="39511919" w14:textId="77777777" w:rsidR="003F5923" w:rsidRPr="00554289" w:rsidRDefault="003F5923" w:rsidP="003F5923">
            <w:pPr>
              <w:snapToGrid w:val="0"/>
              <w:spacing w:before="0" w:after="0"/>
              <w:rPr>
                <w:rFonts w:cs="Arial"/>
              </w:rPr>
            </w:pPr>
          </w:p>
        </w:tc>
      </w:tr>
    </w:tbl>
    <w:p w14:paraId="6A8AAF34" w14:textId="77777777" w:rsidR="00350D9E" w:rsidRDefault="00350D9E" w:rsidP="00276809"/>
    <w:sectPr w:rsidR="00350D9E" w:rsidSect="00CD665F">
      <w:headerReference w:type="default" r:id="rId10"/>
      <w:headerReference w:type="first" r:id="rId11"/>
      <w:type w:val="continuous"/>
      <w:pgSz w:w="12242" w:h="18722" w:code="123"/>
      <w:pgMar w:top="2364" w:right="1185" w:bottom="1276"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97FB7" w14:textId="77777777" w:rsidR="00405A9C" w:rsidRDefault="00405A9C">
      <w:r>
        <w:separator/>
      </w:r>
    </w:p>
  </w:endnote>
  <w:endnote w:type="continuationSeparator" w:id="0">
    <w:p w14:paraId="15F5EF98" w14:textId="77777777" w:rsidR="00405A9C" w:rsidRDefault="0040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9DABD" w14:textId="77777777" w:rsidR="00405A9C" w:rsidRDefault="00405A9C">
      <w:r>
        <w:separator/>
      </w:r>
    </w:p>
  </w:footnote>
  <w:footnote w:type="continuationSeparator" w:id="0">
    <w:p w14:paraId="7F480A3C" w14:textId="77777777" w:rsidR="00405A9C" w:rsidRDefault="0040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91891" w14:textId="77777777" w:rsidR="00DE3E08" w:rsidRDefault="00DE3E08" w:rsidP="00951F79">
    <w:pPr>
      <w:pStyle w:val="Ttulo1"/>
      <w:ind w:right="6"/>
      <w:jc w:val="left"/>
      <w:rPr>
        <w:rFonts w:ascii="Bookman Old Style" w:hAnsi="Bookman Old Style" w:cs="Arial"/>
        <w:b w:val="0"/>
        <w:sz w:val="22"/>
        <w:szCs w:val="22"/>
      </w:rPr>
    </w:pPr>
  </w:p>
  <w:p w14:paraId="7E605E7E" w14:textId="77777777" w:rsidR="00DE3E08" w:rsidRPr="00951F79" w:rsidRDefault="00DE3E08"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04080">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04080">
      <w:fldChar w:fldCharType="begin"/>
    </w:r>
    <w:r w:rsidR="00D04080">
      <w:instrText xml:space="preserve"> NUMPAGES  \* MERGEFORMAT </w:instrText>
    </w:r>
    <w:r w:rsidR="00D04080">
      <w:fldChar w:fldCharType="separate"/>
    </w:r>
    <w:r w:rsidR="00D04080" w:rsidRPr="00D04080">
      <w:rPr>
        <w:rFonts w:ascii="Bookman Old Style" w:hAnsi="Bookman Old Style" w:cs="Arial"/>
        <w:b w:val="0"/>
        <w:noProof/>
        <w:sz w:val="22"/>
        <w:szCs w:val="22"/>
      </w:rPr>
      <w:t>5</w:t>
    </w:r>
    <w:r w:rsidR="00D04080">
      <w:rPr>
        <w:rFonts w:ascii="Bookman Old Style" w:hAnsi="Bookman Old Style" w:cs="Arial"/>
        <w:b w:val="0"/>
        <w:noProof/>
        <w:sz w:val="22"/>
        <w:szCs w:val="22"/>
      </w:rPr>
      <w:fldChar w:fldCharType="end"/>
    </w:r>
  </w:p>
  <w:p w14:paraId="521616A9" w14:textId="77777777" w:rsidR="00DE3E08" w:rsidRDefault="00DE3E08"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6182FC98" wp14:editId="792139F1">
              <wp:simplePos x="0" y="0"/>
              <wp:positionH relativeFrom="column">
                <wp:posOffset>-175260</wp:posOffset>
              </wp:positionH>
              <wp:positionV relativeFrom="paragraph">
                <wp:posOffset>109220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88D7B" id="Rectangle 1" o:spid="_x0000_s1026" style="position:absolute;margin-left:-13.8pt;margin-top:8.6pt;width:493.5pt;height:7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" filled="f" strokeweight="1.5pt"/>
          </w:pict>
        </mc:Fallback>
      </mc:AlternateContent>
    </w:r>
  </w:p>
  <w:p w14:paraId="34703A38" w14:textId="77777777" w:rsidR="00671F6B" w:rsidRDefault="00671F6B" w:rsidP="00671F6B">
    <w:pPr>
      <w:pStyle w:val="Textonotapie"/>
      <w:rPr>
        <w:rFonts w:ascii="Bookman Old Style" w:hAnsi="Bookman Old Style" w:cs="Arial"/>
      </w:rPr>
    </w:pPr>
    <w:r w:rsidRPr="00671F6B">
      <w:rPr>
        <w:rFonts w:ascii="Bookman Old Style" w:hAnsi="Bookman Old Style" w:cs="Arial"/>
        <w:szCs w:val="22"/>
      </w:rPr>
      <w:t>Por la cual se actualiza el Costo Anual por el uso de los Activos del Nivel de Tensión 4 operados por Empresas Públicas de Medellín E.S.P. en el Sistema de Transmisión Regional, STR</w:t>
    </w:r>
    <w:r w:rsidRPr="00DF08CA">
      <w:rPr>
        <w:rFonts w:ascii="Bookman Old Style" w:hAnsi="Bookman Old Style" w:cs="Arial"/>
        <w:sz w:val="24"/>
        <w:szCs w:val="24"/>
      </w:rPr>
      <w:t>.</w:t>
    </w:r>
  </w:p>
  <w:p w14:paraId="5076549A" w14:textId="77777777" w:rsidR="00DE3E08" w:rsidRPr="00DA0D4A" w:rsidRDefault="00DE3E08" w:rsidP="00DA0D4A">
    <w:pPr>
      <w:pStyle w:val="Textonotapie"/>
      <w:rPr>
        <w:rFonts w:cs="Arial"/>
        <w:sz w:val="20"/>
        <w:szCs w:val="22"/>
      </w:rPr>
    </w:pPr>
    <w:r>
      <w:rPr>
        <w:rFonts w:ascii="Bookman Old Style" w:hAnsi="Bookman Old Style" w:cs="Arial"/>
        <w:szCs w:val="22"/>
      </w:rPr>
      <w:t>_____________________________________________________________________</w:t>
    </w:r>
    <w:r w:rsidR="005023B0">
      <w:rPr>
        <w:rFonts w:ascii="Bookman Old Style" w:hAnsi="Bookman Old Style" w:cs="Arial"/>
        <w:szCs w:val="22"/>
      </w:rPr>
      <w:t>_________</w:t>
    </w:r>
    <w:r>
      <w:rPr>
        <w:rFonts w:ascii="Bookman Old Style" w:hAnsi="Bookman Old Style" w:cs="Arial"/>
        <w:szCs w:val="22"/>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9C54" w14:textId="77777777" w:rsidR="00DE3E08" w:rsidRDefault="00DE3E08" w:rsidP="00025383">
    <w:pPr>
      <w:pStyle w:val="Encabezado"/>
      <w:rPr>
        <w:rFonts w:ascii="Arial" w:hAnsi="Arial" w:cs="Arial"/>
        <w:spacing w:val="20"/>
        <w:sz w:val="20"/>
      </w:rPr>
    </w:pPr>
    <w:r>
      <w:rPr>
        <w:rFonts w:ascii="Arial" w:hAnsi="Arial" w:cs="Arial"/>
        <w:spacing w:val="20"/>
        <w:sz w:val="20"/>
      </w:rPr>
      <w:t xml:space="preserve">                                           República de Colombia</w:t>
    </w:r>
  </w:p>
  <w:p w14:paraId="6475007B" w14:textId="77777777" w:rsidR="00DE3E08" w:rsidRDefault="00DE3E08">
    <w:pPr>
      <w:pStyle w:val="Encabezado"/>
      <w:jc w:val="center"/>
      <w:rPr>
        <w:rFonts w:ascii="Arial" w:hAnsi="Arial" w:cs="Arial"/>
        <w:spacing w:val="20"/>
        <w:sz w:val="20"/>
      </w:rPr>
    </w:pPr>
  </w:p>
  <w:p w14:paraId="77A050D6" w14:textId="77777777" w:rsidR="00DE3E08" w:rsidRDefault="00DE3E0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AB8D3E1" wp14:editId="6FA525FE">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B4BC1"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131116C6"/>
    <w:multiLevelType w:val="hybridMultilevel"/>
    <w:tmpl w:val="0C3A5DB0"/>
    <w:lvl w:ilvl="0" w:tplc="2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 w15:restartNumberingAfterBreak="0">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15:restartNumberingAfterBreak="0">
    <w:nsid w:val="3F0017DF"/>
    <w:multiLevelType w:val="hybridMultilevel"/>
    <w:tmpl w:val="D3B45D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9" w15:restartNumberingAfterBreak="0">
    <w:nsid w:val="4C4528AB"/>
    <w:multiLevelType w:val="hybridMultilevel"/>
    <w:tmpl w:val="A920A9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EF74C9"/>
    <w:multiLevelType w:val="hybridMultilevel"/>
    <w:tmpl w:val="DE6C62E8"/>
    <w:lvl w:ilvl="0" w:tplc="DD2A2DA8">
      <w:start w:val="1"/>
      <w:numFmt w:val="decimal"/>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B85189C"/>
    <w:multiLevelType w:val="hybridMultilevel"/>
    <w:tmpl w:val="D2DCE5AE"/>
    <w:lvl w:ilvl="0" w:tplc="CB3E9D5E">
      <w:start w:val="1"/>
      <w:numFmt w:val="lowerLetter"/>
      <w:lvlText w:val="%1)"/>
      <w:lvlJc w:val="left"/>
      <w:pPr>
        <w:ind w:left="360" w:hanging="360"/>
      </w:pPr>
      <w:rPr>
        <w:rFonts w:hint="default"/>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11"/>
  </w:num>
  <w:num w:numId="3">
    <w:abstractNumId w:val="4"/>
  </w:num>
  <w:num w:numId="4">
    <w:abstractNumId w:val="12"/>
  </w:num>
  <w:num w:numId="5">
    <w:abstractNumId w:val="5"/>
  </w:num>
  <w:num w:numId="6">
    <w:abstractNumId w:val="6"/>
  </w:num>
  <w:num w:numId="7">
    <w:abstractNumId w:val="10"/>
  </w:num>
  <w:num w:numId="8">
    <w:abstractNumId w:val="13"/>
  </w:num>
  <w:num w:numId="9">
    <w:abstractNumId w:val="2"/>
  </w:num>
  <w:num w:numId="10">
    <w:abstractNumId w:val="9"/>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5B9"/>
    <w:rsid w:val="000076A1"/>
    <w:rsid w:val="00010373"/>
    <w:rsid w:val="000110F0"/>
    <w:rsid w:val="00011A72"/>
    <w:rsid w:val="00012259"/>
    <w:rsid w:val="00025383"/>
    <w:rsid w:val="00025F3B"/>
    <w:rsid w:val="00027791"/>
    <w:rsid w:val="00036985"/>
    <w:rsid w:val="000418D1"/>
    <w:rsid w:val="00041B54"/>
    <w:rsid w:val="000424BE"/>
    <w:rsid w:val="000452B0"/>
    <w:rsid w:val="00045D3D"/>
    <w:rsid w:val="00046396"/>
    <w:rsid w:val="000525F6"/>
    <w:rsid w:val="00055691"/>
    <w:rsid w:val="000577E1"/>
    <w:rsid w:val="0006350C"/>
    <w:rsid w:val="00063657"/>
    <w:rsid w:val="00065388"/>
    <w:rsid w:val="000654A1"/>
    <w:rsid w:val="0006600D"/>
    <w:rsid w:val="00066500"/>
    <w:rsid w:val="00066E71"/>
    <w:rsid w:val="00072020"/>
    <w:rsid w:val="0007307B"/>
    <w:rsid w:val="00073EAB"/>
    <w:rsid w:val="00074C28"/>
    <w:rsid w:val="00076680"/>
    <w:rsid w:val="00076A1D"/>
    <w:rsid w:val="00077527"/>
    <w:rsid w:val="0008073E"/>
    <w:rsid w:val="00081416"/>
    <w:rsid w:val="000820BA"/>
    <w:rsid w:val="00086BC3"/>
    <w:rsid w:val="000909B5"/>
    <w:rsid w:val="00091012"/>
    <w:rsid w:val="0009187D"/>
    <w:rsid w:val="00091CDB"/>
    <w:rsid w:val="00092426"/>
    <w:rsid w:val="00094219"/>
    <w:rsid w:val="00094FC1"/>
    <w:rsid w:val="000A1503"/>
    <w:rsid w:val="000A19AC"/>
    <w:rsid w:val="000A2414"/>
    <w:rsid w:val="000A4B57"/>
    <w:rsid w:val="000B1944"/>
    <w:rsid w:val="000B2EC9"/>
    <w:rsid w:val="000B4E51"/>
    <w:rsid w:val="000B6433"/>
    <w:rsid w:val="000C1B79"/>
    <w:rsid w:val="000C7B41"/>
    <w:rsid w:val="000D17BD"/>
    <w:rsid w:val="000D2239"/>
    <w:rsid w:val="000D26F8"/>
    <w:rsid w:val="000D39CF"/>
    <w:rsid w:val="000D588B"/>
    <w:rsid w:val="000E26E9"/>
    <w:rsid w:val="000F038B"/>
    <w:rsid w:val="000F39A1"/>
    <w:rsid w:val="001006BB"/>
    <w:rsid w:val="00100739"/>
    <w:rsid w:val="00101128"/>
    <w:rsid w:val="0010293A"/>
    <w:rsid w:val="001030B1"/>
    <w:rsid w:val="00104859"/>
    <w:rsid w:val="0010689B"/>
    <w:rsid w:val="0011331B"/>
    <w:rsid w:val="00114D4A"/>
    <w:rsid w:val="001159F3"/>
    <w:rsid w:val="00126A60"/>
    <w:rsid w:val="00127CE6"/>
    <w:rsid w:val="00130E6E"/>
    <w:rsid w:val="0013442B"/>
    <w:rsid w:val="0013526C"/>
    <w:rsid w:val="00136FDF"/>
    <w:rsid w:val="001405C6"/>
    <w:rsid w:val="00141013"/>
    <w:rsid w:val="00141CBF"/>
    <w:rsid w:val="00142A34"/>
    <w:rsid w:val="00150339"/>
    <w:rsid w:val="00156DB2"/>
    <w:rsid w:val="00157FD9"/>
    <w:rsid w:val="0017291B"/>
    <w:rsid w:val="00183ECF"/>
    <w:rsid w:val="001921CF"/>
    <w:rsid w:val="00192CBF"/>
    <w:rsid w:val="00192FF1"/>
    <w:rsid w:val="001A5F1B"/>
    <w:rsid w:val="001B1418"/>
    <w:rsid w:val="001B1C22"/>
    <w:rsid w:val="001B34C6"/>
    <w:rsid w:val="001B4FC7"/>
    <w:rsid w:val="001D2A92"/>
    <w:rsid w:val="001D7832"/>
    <w:rsid w:val="001D7EFA"/>
    <w:rsid w:val="001E392A"/>
    <w:rsid w:val="001E5E65"/>
    <w:rsid w:val="001F6E1B"/>
    <w:rsid w:val="0020105F"/>
    <w:rsid w:val="00204D40"/>
    <w:rsid w:val="002066BA"/>
    <w:rsid w:val="002067EF"/>
    <w:rsid w:val="00210DC1"/>
    <w:rsid w:val="00211D34"/>
    <w:rsid w:val="00214F04"/>
    <w:rsid w:val="00217942"/>
    <w:rsid w:val="00222F95"/>
    <w:rsid w:val="0023068F"/>
    <w:rsid w:val="00250C72"/>
    <w:rsid w:val="002558EC"/>
    <w:rsid w:val="0026111F"/>
    <w:rsid w:val="0026368E"/>
    <w:rsid w:val="002646F1"/>
    <w:rsid w:val="00266CD6"/>
    <w:rsid w:val="00275DAB"/>
    <w:rsid w:val="00276809"/>
    <w:rsid w:val="00292249"/>
    <w:rsid w:val="0029253B"/>
    <w:rsid w:val="002A74B1"/>
    <w:rsid w:val="002A782A"/>
    <w:rsid w:val="002B0970"/>
    <w:rsid w:val="002B0C17"/>
    <w:rsid w:val="002B11E2"/>
    <w:rsid w:val="002B24B8"/>
    <w:rsid w:val="002B3288"/>
    <w:rsid w:val="002C2242"/>
    <w:rsid w:val="002D3AE9"/>
    <w:rsid w:val="002D4510"/>
    <w:rsid w:val="002E7953"/>
    <w:rsid w:val="002F0734"/>
    <w:rsid w:val="002F1F62"/>
    <w:rsid w:val="002F2BDE"/>
    <w:rsid w:val="002F46E7"/>
    <w:rsid w:val="00301B84"/>
    <w:rsid w:val="003023AC"/>
    <w:rsid w:val="00305842"/>
    <w:rsid w:val="003101DA"/>
    <w:rsid w:val="0031089B"/>
    <w:rsid w:val="003111CA"/>
    <w:rsid w:val="00313EDE"/>
    <w:rsid w:val="00314715"/>
    <w:rsid w:val="00314757"/>
    <w:rsid w:val="003163BC"/>
    <w:rsid w:val="003211CE"/>
    <w:rsid w:val="003248F9"/>
    <w:rsid w:val="00325E06"/>
    <w:rsid w:val="003271B2"/>
    <w:rsid w:val="0033228A"/>
    <w:rsid w:val="00333A36"/>
    <w:rsid w:val="00334221"/>
    <w:rsid w:val="00346E17"/>
    <w:rsid w:val="00350D9E"/>
    <w:rsid w:val="00353F0A"/>
    <w:rsid w:val="0035403A"/>
    <w:rsid w:val="00355270"/>
    <w:rsid w:val="0035627D"/>
    <w:rsid w:val="00360FA9"/>
    <w:rsid w:val="003635CB"/>
    <w:rsid w:val="0036394B"/>
    <w:rsid w:val="00366DB6"/>
    <w:rsid w:val="003709B5"/>
    <w:rsid w:val="00374D7F"/>
    <w:rsid w:val="003759C2"/>
    <w:rsid w:val="003764CC"/>
    <w:rsid w:val="00380888"/>
    <w:rsid w:val="00380962"/>
    <w:rsid w:val="003857DE"/>
    <w:rsid w:val="003867C2"/>
    <w:rsid w:val="00392A0B"/>
    <w:rsid w:val="00397365"/>
    <w:rsid w:val="00397B9A"/>
    <w:rsid w:val="003A31F6"/>
    <w:rsid w:val="003A3455"/>
    <w:rsid w:val="003A40A8"/>
    <w:rsid w:val="003A496E"/>
    <w:rsid w:val="003B54EA"/>
    <w:rsid w:val="003C0750"/>
    <w:rsid w:val="003C2B93"/>
    <w:rsid w:val="003C3447"/>
    <w:rsid w:val="003C52BD"/>
    <w:rsid w:val="003D076C"/>
    <w:rsid w:val="003D36FE"/>
    <w:rsid w:val="003E2CE0"/>
    <w:rsid w:val="003E78B5"/>
    <w:rsid w:val="003F0DF9"/>
    <w:rsid w:val="003F24DF"/>
    <w:rsid w:val="003F2829"/>
    <w:rsid w:val="003F5923"/>
    <w:rsid w:val="003F5A6C"/>
    <w:rsid w:val="0040025A"/>
    <w:rsid w:val="00405A9C"/>
    <w:rsid w:val="00407706"/>
    <w:rsid w:val="00414C52"/>
    <w:rsid w:val="0041585A"/>
    <w:rsid w:val="00415BAB"/>
    <w:rsid w:val="00415ED2"/>
    <w:rsid w:val="004165DF"/>
    <w:rsid w:val="0041768E"/>
    <w:rsid w:val="0042068C"/>
    <w:rsid w:val="004219A9"/>
    <w:rsid w:val="004222A7"/>
    <w:rsid w:val="004228CD"/>
    <w:rsid w:val="00422D86"/>
    <w:rsid w:val="004232E6"/>
    <w:rsid w:val="00427810"/>
    <w:rsid w:val="00436AAD"/>
    <w:rsid w:val="00436F01"/>
    <w:rsid w:val="0044318E"/>
    <w:rsid w:val="00443B35"/>
    <w:rsid w:val="00451859"/>
    <w:rsid w:val="0045414E"/>
    <w:rsid w:val="00455259"/>
    <w:rsid w:val="00462AB7"/>
    <w:rsid w:val="00466740"/>
    <w:rsid w:val="004706E5"/>
    <w:rsid w:val="0047122B"/>
    <w:rsid w:val="0047244E"/>
    <w:rsid w:val="00472E1D"/>
    <w:rsid w:val="00473B7A"/>
    <w:rsid w:val="00475447"/>
    <w:rsid w:val="004762CE"/>
    <w:rsid w:val="00482E08"/>
    <w:rsid w:val="004861AB"/>
    <w:rsid w:val="00491BAF"/>
    <w:rsid w:val="004960E9"/>
    <w:rsid w:val="00496F84"/>
    <w:rsid w:val="004A2E88"/>
    <w:rsid w:val="004A2F7E"/>
    <w:rsid w:val="004A372F"/>
    <w:rsid w:val="004A3D15"/>
    <w:rsid w:val="004A40CF"/>
    <w:rsid w:val="004A4FF1"/>
    <w:rsid w:val="004A5305"/>
    <w:rsid w:val="004B303D"/>
    <w:rsid w:val="004B7AB9"/>
    <w:rsid w:val="004C0F9C"/>
    <w:rsid w:val="004C4E2E"/>
    <w:rsid w:val="004D0991"/>
    <w:rsid w:val="004D4E42"/>
    <w:rsid w:val="004D56E6"/>
    <w:rsid w:val="004D5EAB"/>
    <w:rsid w:val="004D6A05"/>
    <w:rsid w:val="004D6D88"/>
    <w:rsid w:val="004D7634"/>
    <w:rsid w:val="004E3F58"/>
    <w:rsid w:val="004E611A"/>
    <w:rsid w:val="005003EF"/>
    <w:rsid w:val="00501843"/>
    <w:rsid w:val="005023B0"/>
    <w:rsid w:val="00502F33"/>
    <w:rsid w:val="00504C02"/>
    <w:rsid w:val="0052323C"/>
    <w:rsid w:val="00525E8D"/>
    <w:rsid w:val="0052779D"/>
    <w:rsid w:val="005300D3"/>
    <w:rsid w:val="00530D22"/>
    <w:rsid w:val="005331DF"/>
    <w:rsid w:val="00541E5B"/>
    <w:rsid w:val="00542821"/>
    <w:rsid w:val="00544F82"/>
    <w:rsid w:val="00545E52"/>
    <w:rsid w:val="00546F21"/>
    <w:rsid w:val="00547E7A"/>
    <w:rsid w:val="005509D2"/>
    <w:rsid w:val="005519A7"/>
    <w:rsid w:val="005562EC"/>
    <w:rsid w:val="0056519A"/>
    <w:rsid w:val="0057076D"/>
    <w:rsid w:val="005734BF"/>
    <w:rsid w:val="005741C8"/>
    <w:rsid w:val="00576305"/>
    <w:rsid w:val="0057636B"/>
    <w:rsid w:val="00581E18"/>
    <w:rsid w:val="00582237"/>
    <w:rsid w:val="005908FE"/>
    <w:rsid w:val="00593076"/>
    <w:rsid w:val="00593C4F"/>
    <w:rsid w:val="005946A8"/>
    <w:rsid w:val="00594DF0"/>
    <w:rsid w:val="005A200A"/>
    <w:rsid w:val="005A4407"/>
    <w:rsid w:val="005A59EF"/>
    <w:rsid w:val="005A5BFB"/>
    <w:rsid w:val="005B1231"/>
    <w:rsid w:val="005B1C7E"/>
    <w:rsid w:val="005B4088"/>
    <w:rsid w:val="005C284B"/>
    <w:rsid w:val="005C6976"/>
    <w:rsid w:val="005E2F54"/>
    <w:rsid w:val="005F3414"/>
    <w:rsid w:val="005F3A01"/>
    <w:rsid w:val="005F46C2"/>
    <w:rsid w:val="005F60BD"/>
    <w:rsid w:val="005F6F41"/>
    <w:rsid w:val="00604C10"/>
    <w:rsid w:val="00613841"/>
    <w:rsid w:val="006140E4"/>
    <w:rsid w:val="00615D9C"/>
    <w:rsid w:val="00616A05"/>
    <w:rsid w:val="0062019F"/>
    <w:rsid w:val="0062037A"/>
    <w:rsid w:val="00620861"/>
    <w:rsid w:val="00621968"/>
    <w:rsid w:val="0062370D"/>
    <w:rsid w:val="006238DF"/>
    <w:rsid w:val="00625DC6"/>
    <w:rsid w:val="00626C8A"/>
    <w:rsid w:val="006325C5"/>
    <w:rsid w:val="0063658B"/>
    <w:rsid w:val="00640DA9"/>
    <w:rsid w:val="0064391D"/>
    <w:rsid w:val="006456F9"/>
    <w:rsid w:val="00651821"/>
    <w:rsid w:val="00652988"/>
    <w:rsid w:val="006535AD"/>
    <w:rsid w:val="00654384"/>
    <w:rsid w:val="0065562B"/>
    <w:rsid w:val="00660180"/>
    <w:rsid w:val="00660FC6"/>
    <w:rsid w:val="006651B4"/>
    <w:rsid w:val="00666233"/>
    <w:rsid w:val="006675CD"/>
    <w:rsid w:val="006708E8"/>
    <w:rsid w:val="00670B37"/>
    <w:rsid w:val="006712CA"/>
    <w:rsid w:val="00671F6B"/>
    <w:rsid w:val="00673ED5"/>
    <w:rsid w:val="00676C0B"/>
    <w:rsid w:val="00683629"/>
    <w:rsid w:val="00684D9B"/>
    <w:rsid w:val="00687AE8"/>
    <w:rsid w:val="00697556"/>
    <w:rsid w:val="006A10C8"/>
    <w:rsid w:val="006A597A"/>
    <w:rsid w:val="006B0313"/>
    <w:rsid w:val="006B4647"/>
    <w:rsid w:val="006B4C2B"/>
    <w:rsid w:val="006B5E80"/>
    <w:rsid w:val="006B6194"/>
    <w:rsid w:val="006B6D47"/>
    <w:rsid w:val="006C5473"/>
    <w:rsid w:val="006C5AFE"/>
    <w:rsid w:val="006D0604"/>
    <w:rsid w:val="006D067E"/>
    <w:rsid w:val="006D0EB2"/>
    <w:rsid w:val="006D1138"/>
    <w:rsid w:val="006D3CA0"/>
    <w:rsid w:val="006E3A5B"/>
    <w:rsid w:val="006E403F"/>
    <w:rsid w:val="006E50BB"/>
    <w:rsid w:val="006E657F"/>
    <w:rsid w:val="006E792E"/>
    <w:rsid w:val="006F227A"/>
    <w:rsid w:val="006F6D95"/>
    <w:rsid w:val="006F7DCF"/>
    <w:rsid w:val="007019AD"/>
    <w:rsid w:val="00706F13"/>
    <w:rsid w:val="007072E8"/>
    <w:rsid w:val="00707FD8"/>
    <w:rsid w:val="00710A3E"/>
    <w:rsid w:val="00714C78"/>
    <w:rsid w:val="00715994"/>
    <w:rsid w:val="0071618D"/>
    <w:rsid w:val="00725FA4"/>
    <w:rsid w:val="00732476"/>
    <w:rsid w:val="00733627"/>
    <w:rsid w:val="00737E9A"/>
    <w:rsid w:val="00740446"/>
    <w:rsid w:val="00743283"/>
    <w:rsid w:val="007438A9"/>
    <w:rsid w:val="0074491E"/>
    <w:rsid w:val="00757718"/>
    <w:rsid w:val="00761E79"/>
    <w:rsid w:val="0076247A"/>
    <w:rsid w:val="00772A51"/>
    <w:rsid w:val="00775964"/>
    <w:rsid w:val="007765FE"/>
    <w:rsid w:val="00777738"/>
    <w:rsid w:val="00783859"/>
    <w:rsid w:val="007842D3"/>
    <w:rsid w:val="007843AE"/>
    <w:rsid w:val="00785932"/>
    <w:rsid w:val="00785998"/>
    <w:rsid w:val="00794E2E"/>
    <w:rsid w:val="00795BFB"/>
    <w:rsid w:val="00795E23"/>
    <w:rsid w:val="007960C7"/>
    <w:rsid w:val="0079743F"/>
    <w:rsid w:val="007B00CA"/>
    <w:rsid w:val="007B2760"/>
    <w:rsid w:val="007C1E55"/>
    <w:rsid w:val="007C6236"/>
    <w:rsid w:val="007D04E4"/>
    <w:rsid w:val="007D230E"/>
    <w:rsid w:val="007D5750"/>
    <w:rsid w:val="007E412B"/>
    <w:rsid w:val="007E5FAC"/>
    <w:rsid w:val="007E6A60"/>
    <w:rsid w:val="0080213C"/>
    <w:rsid w:val="00805A34"/>
    <w:rsid w:val="00806C01"/>
    <w:rsid w:val="008148CC"/>
    <w:rsid w:val="00815FAA"/>
    <w:rsid w:val="008170DF"/>
    <w:rsid w:val="0081776D"/>
    <w:rsid w:val="008211A4"/>
    <w:rsid w:val="0082246B"/>
    <w:rsid w:val="008273B5"/>
    <w:rsid w:val="00837924"/>
    <w:rsid w:val="00841FDE"/>
    <w:rsid w:val="00843E1F"/>
    <w:rsid w:val="00845CEC"/>
    <w:rsid w:val="0085623D"/>
    <w:rsid w:val="00857A4A"/>
    <w:rsid w:val="00864C08"/>
    <w:rsid w:val="00865FCA"/>
    <w:rsid w:val="00866F33"/>
    <w:rsid w:val="00873150"/>
    <w:rsid w:val="00876066"/>
    <w:rsid w:val="0087657D"/>
    <w:rsid w:val="008807D5"/>
    <w:rsid w:val="00880832"/>
    <w:rsid w:val="00883A44"/>
    <w:rsid w:val="00886EE1"/>
    <w:rsid w:val="0088727D"/>
    <w:rsid w:val="00887827"/>
    <w:rsid w:val="00892346"/>
    <w:rsid w:val="008942B5"/>
    <w:rsid w:val="0089470C"/>
    <w:rsid w:val="00895C5A"/>
    <w:rsid w:val="00897C75"/>
    <w:rsid w:val="008B25C5"/>
    <w:rsid w:val="008B2FC5"/>
    <w:rsid w:val="008B5C74"/>
    <w:rsid w:val="008B6CE9"/>
    <w:rsid w:val="008C00BA"/>
    <w:rsid w:val="008C1130"/>
    <w:rsid w:val="008C283D"/>
    <w:rsid w:val="008D18E6"/>
    <w:rsid w:val="008D1B73"/>
    <w:rsid w:val="008D7A9B"/>
    <w:rsid w:val="008E0060"/>
    <w:rsid w:val="008E2AC4"/>
    <w:rsid w:val="008E38FD"/>
    <w:rsid w:val="008E5B78"/>
    <w:rsid w:val="008E6072"/>
    <w:rsid w:val="008E76AC"/>
    <w:rsid w:val="008F1A26"/>
    <w:rsid w:val="008F1FB2"/>
    <w:rsid w:val="008F21F6"/>
    <w:rsid w:val="008F7B6F"/>
    <w:rsid w:val="009129A4"/>
    <w:rsid w:val="009130CE"/>
    <w:rsid w:val="00914768"/>
    <w:rsid w:val="00914C5D"/>
    <w:rsid w:val="009227DC"/>
    <w:rsid w:val="00923E7A"/>
    <w:rsid w:val="009322B8"/>
    <w:rsid w:val="00932BB4"/>
    <w:rsid w:val="00943D96"/>
    <w:rsid w:val="00951F79"/>
    <w:rsid w:val="00955950"/>
    <w:rsid w:val="00961C3E"/>
    <w:rsid w:val="00962DD6"/>
    <w:rsid w:val="009642C6"/>
    <w:rsid w:val="0097339E"/>
    <w:rsid w:val="00974AB5"/>
    <w:rsid w:val="00980634"/>
    <w:rsid w:val="00983822"/>
    <w:rsid w:val="0098574C"/>
    <w:rsid w:val="0098706D"/>
    <w:rsid w:val="009935FB"/>
    <w:rsid w:val="009A2F9C"/>
    <w:rsid w:val="009A46F7"/>
    <w:rsid w:val="009A671F"/>
    <w:rsid w:val="009B4829"/>
    <w:rsid w:val="009C1741"/>
    <w:rsid w:val="009C3EE0"/>
    <w:rsid w:val="009D31AA"/>
    <w:rsid w:val="009D7190"/>
    <w:rsid w:val="009E1157"/>
    <w:rsid w:val="009E1566"/>
    <w:rsid w:val="009F4A54"/>
    <w:rsid w:val="009F4B93"/>
    <w:rsid w:val="009F4BEC"/>
    <w:rsid w:val="009F5874"/>
    <w:rsid w:val="00A001BA"/>
    <w:rsid w:val="00A04E7D"/>
    <w:rsid w:val="00A0559F"/>
    <w:rsid w:val="00A078C5"/>
    <w:rsid w:val="00A13B1D"/>
    <w:rsid w:val="00A17A74"/>
    <w:rsid w:val="00A208B5"/>
    <w:rsid w:val="00A25FD7"/>
    <w:rsid w:val="00A37A12"/>
    <w:rsid w:val="00A40710"/>
    <w:rsid w:val="00A4186D"/>
    <w:rsid w:val="00A43AFF"/>
    <w:rsid w:val="00A43B35"/>
    <w:rsid w:val="00A458E7"/>
    <w:rsid w:val="00A53C7F"/>
    <w:rsid w:val="00A54BB3"/>
    <w:rsid w:val="00A61512"/>
    <w:rsid w:val="00A63FD2"/>
    <w:rsid w:val="00A67ACA"/>
    <w:rsid w:val="00A761B3"/>
    <w:rsid w:val="00A7793A"/>
    <w:rsid w:val="00A77C42"/>
    <w:rsid w:val="00A82C40"/>
    <w:rsid w:val="00A97286"/>
    <w:rsid w:val="00AA2DA0"/>
    <w:rsid w:val="00AA4CC7"/>
    <w:rsid w:val="00AA5E8E"/>
    <w:rsid w:val="00AB4706"/>
    <w:rsid w:val="00AB5E46"/>
    <w:rsid w:val="00AB6CA7"/>
    <w:rsid w:val="00AC7E20"/>
    <w:rsid w:val="00AD01E4"/>
    <w:rsid w:val="00AD0858"/>
    <w:rsid w:val="00AD413B"/>
    <w:rsid w:val="00AE3E71"/>
    <w:rsid w:val="00AE7340"/>
    <w:rsid w:val="00AF181B"/>
    <w:rsid w:val="00AF1BBD"/>
    <w:rsid w:val="00AF6024"/>
    <w:rsid w:val="00B0723B"/>
    <w:rsid w:val="00B10207"/>
    <w:rsid w:val="00B11B0E"/>
    <w:rsid w:val="00B141E7"/>
    <w:rsid w:val="00B16E46"/>
    <w:rsid w:val="00B17290"/>
    <w:rsid w:val="00B216EB"/>
    <w:rsid w:val="00B27560"/>
    <w:rsid w:val="00B3027F"/>
    <w:rsid w:val="00B3289B"/>
    <w:rsid w:val="00B33E05"/>
    <w:rsid w:val="00B351B4"/>
    <w:rsid w:val="00B405DE"/>
    <w:rsid w:val="00B425EB"/>
    <w:rsid w:val="00B46BCA"/>
    <w:rsid w:val="00B478AA"/>
    <w:rsid w:val="00B55041"/>
    <w:rsid w:val="00B554C3"/>
    <w:rsid w:val="00B62480"/>
    <w:rsid w:val="00B64BF4"/>
    <w:rsid w:val="00B76198"/>
    <w:rsid w:val="00B769CB"/>
    <w:rsid w:val="00B87806"/>
    <w:rsid w:val="00B87EC9"/>
    <w:rsid w:val="00B93259"/>
    <w:rsid w:val="00B95880"/>
    <w:rsid w:val="00BA39C6"/>
    <w:rsid w:val="00BA5B0B"/>
    <w:rsid w:val="00BA5B91"/>
    <w:rsid w:val="00BB0386"/>
    <w:rsid w:val="00BB05B0"/>
    <w:rsid w:val="00BB28E9"/>
    <w:rsid w:val="00BB4CC8"/>
    <w:rsid w:val="00BB7629"/>
    <w:rsid w:val="00BC0169"/>
    <w:rsid w:val="00BC0D21"/>
    <w:rsid w:val="00BC21BE"/>
    <w:rsid w:val="00BC38FD"/>
    <w:rsid w:val="00BD0059"/>
    <w:rsid w:val="00BD1DBA"/>
    <w:rsid w:val="00BF0265"/>
    <w:rsid w:val="00BF0795"/>
    <w:rsid w:val="00BF2841"/>
    <w:rsid w:val="00BF52BE"/>
    <w:rsid w:val="00BF63E2"/>
    <w:rsid w:val="00BF7B83"/>
    <w:rsid w:val="00C034CB"/>
    <w:rsid w:val="00C051A8"/>
    <w:rsid w:val="00C054BC"/>
    <w:rsid w:val="00C10CD7"/>
    <w:rsid w:val="00C14D77"/>
    <w:rsid w:val="00C161DB"/>
    <w:rsid w:val="00C17897"/>
    <w:rsid w:val="00C27BE2"/>
    <w:rsid w:val="00C342E7"/>
    <w:rsid w:val="00C36AC4"/>
    <w:rsid w:val="00C409D5"/>
    <w:rsid w:val="00C435C3"/>
    <w:rsid w:val="00C46398"/>
    <w:rsid w:val="00C467B7"/>
    <w:rsid w:val="00C53260"/>
    <w:rsid w:val="00C532AD"/>
    <w:rsid w:val="00C53340"/>
    <w:rsid w:val="00C56108"/>
    <w:rsid w:val="00C6234B"/>
    <w:rsid w:val="00C63637"/>
    <w:rsid w:val="00C63EAE"/>
    <w:rsid w:val="00C642D6"/>
    <w:rsid w:val="00C666F5"/>
    <w:rsid w:val="00C71CEF"/>
    <w:rsid w:val="00C74A6A"/>
    <w:rsid w:val="00C7629F"/>
    <w:rsid w:val="00C766A3"/>
    <w:rsid w:val="00C804B4"/>
    <w:rsid w:val="00C815FD"/>
    <w:rsid w:val="00C850D9"/>
    <w:rsid w:val="00C86243"/>
    <w:rsid w:val="00C8661B"/>
    <w:rsid w:val="00C873DF"/>
    <w:rsid w:val="00C87989"/>
    <w:rsid w:val="00C9033F"/>
    <w:rsid w:val="00CA139A"/>
    <w:rsid w:val="00CA2899"/>
    <w:rsid w:val="00CA3A3D"/>
    <w:rsid w:val="00CA466E"/>
    <w:rsid w:val="00CA72AC"/>
    <w:rsid w:val="00CA77FB"/>
    <w:rsid w:val="00CB379B"/>
    <w:rsid w:val="00CB5417"/>
    <w:rsid w:val="00CB5DD0"/>
    <w:rsid w:val="00CB6627"/>
    <w:rsid w:val="00CC14C1"/>
    <w:rsid w:val="00CC4242"/>
    <w:rsid w:val="00CC51D4"/>
    <w:rsid w:val="00CC65DA"/>
    <w:rsid w:val="00CD665F"/>
    <w:rsid w:val="00CD6DDF"/>
    <w:rsid w:val="00CE1039"/>
    <w:rsid w:val="00CE1EC2"/>
    <w:rsid w:val="00CE3BC6"/>
    <w:rsid w:val="00CE51FF"/>
    <w:rsid w:val="00CF0B66"/>
    <w:rsid w:val="00CF21B9"/>
    <w:rsid w:val="00CF4245"/>
    <w:rsid w:val="00CF6032"/>
    <w:rsid w:val="00CF6BF9"/>
    <w:rsid w:val="00D00F22"/>
    <w:rsid w:val="00D00F64"/>
    <w:rsid w:val="00D03800"/>
    <w:rsid w:val="00D03F05"/>
    <w:rsid w:val="00D04080"/>
    <w:rsid w:val="00D065D3"/>
    <w:rsid w:val="00D0704A"/>
    <w:rsid w:val="00D10A3C"/>
    <w:rsid w:val="00D14C94"/>
    <w:rsid w:val="00D150D2"/>
    <w:rsid w:val="00D16D33"/>
    <w:rsid w:val="00D17140"/>
    <w:rsid w:val="00D31AC4"/>
    <w:rsid w:val="00D324C4"/>
    <w:rsid w:val="00D3307A"/>
    <w:rsid w:val="00D331AD"/>
    <w:rsid w:val="00D342A6"/>
    <w:rsid w:val="00D4084B"/>
    <w:rsid w:val="00D41584"/>
    <w:rsid w:val="00D45CA6"/>
    <w:rsid w:val="00D4638F"/>
    <w:rsid w:val="00D464BF"/>
    <w:rsid w:val="00D51AC0"/>
    <w:rsid w:val="00D53E26"/>
    <w:rsid w:val="00D61DFB"/>
    <w:rsid w:val="00D6445E"/>
    <w:rsid w:val="00D649F8"/>
    <w:rsid w:val="00D700EB"/>
    <w:rsid w:val="00D70D75"/>
    <w:rsid w:val="00D71510"/>
    <w:rsid w:val="00D7289B"/>
    <w:rsid w:val="00D74A6F"/>
    <w:rsid w:val="00D76880"/>
    <w:rsid w:val="00D82636"/>
    <w:rsid w:val="00D83129"/>
    <w:rsid w:val="00D8316B"/>
    <w:rsid w:val="00D9413E"/>
    <w:rsid w:val="00D96BEF"/>
    <w:rsid w:val="00DA0D4A"/>
    <w:rsid w:val="00DA1B43"/>
    <w:rsid w:val="00DA2F0A"/>
    <w:rsid w:val="00DA51E6"/>
    <w:rsid w:val="00DA69D9"/>
    <w:rsid w:val="00DB02CF"/>
    <w:rsid w:val="00DB043F"/>
    <w:rsid w:val="00DB12A1"/>
    <w:rsid w:val="00DB463C"/>
    <w:rsid w:val="00DC0BC0"/>
    <w:rsid w:val="00DC43C4"/>
    <w:rsid w:val="00DC5B01"/>
    <w:rsid w:val="00DC6E7D"/>
    <w:rsid w:val="00DD3D0E"/>
    <w:rsid w:val="00DD419C"/>
    <w:rsid w:val="00DD4730"/>
    <w:rsid w:val="00DD4F0E"/>
    <w:rsid w:val="00DE387F"/>
    <w:rsid w:val="00DE3E08"/>
    <w:rsid w:val="00DF0364"/>
    <w:rsid w:val="00DF0BF0"/>
    <w:rsid w:val="00DF0F6F"/>
    <w:rsid w:val="00DF3CA2"/>
    <w:rsid w:val="00E01463"/>
    <w:rsid w:val="00E03BD2"/>
    <w:rsid w:val="00E05E0A"/>
    <w:rsid w:val="00E060BE"/>
    <w:rsid w:val="00E0722F"/>
    <w:rsid w:val="00E108FB"/>
    <w:rsid w:val="00E12B49"/>
    <w:rsid w:val="00E1369E"/>
    <w:rsid w:val="00E13D5D"/>
    <w:rsid w:val="00E14CC4"/>
    <w:rsid w:val="00E15920"/>
    <w:rsid w:val="00E16FA5"/>
    <w:rsid w:val="00E21776"/>
    <w:rsid w:val="00E219E5"/>
    <w:rsid w:val="00E22C7B"/>
    <w:rsid w:val="00E251E2"/>
    <w:rsid w:val="00E30607"/>
    <w:rsid w:val="00E31CFC"/>
    <w:rsid w:val="00E40DAC"/>
    <w:rsid w:val="00E413EC"/>
    <w:rsid w:val="00E43925"/>
    <w:rsid w:val="00E534CF"/>
    <w:rsid w:val="00E55B4A"/>
    <w:rsid w:val="00E55F88"/>
    <w:rsid w:val="00E57869"/>
    <w:rsid w:val="00E60C09"/>
    <w:rsid w:val="00E673F6"/>
    <w:rsid w:val="00E72DCD"/>
    <w:rsid w:val="00E74DBA"/>
    <w:rsid w:val="00E74E77"/>
    <w:rsid w:val="00E75ECC"/>
    <w:rsid w:val="00E770DF"/>
    <w:rsid w:val="00E81CB4"/>
    <w:rsid w:val="00E8240B"/>
    <w:rsid w:val="00E83E4B"/>
    <w:rsid w:val="00E8585B"/>
    <w:rsid w:val="00E860E7"/>
    <w:rsid w:val="00E96EE1"/>
    <w:rsid w:val="00EA3F15"/>
    <w:rsid w:val="00EA7847"/>
    <w:rsid w:val="00EB263B"/>
    <w:rsid w:val="00EB2746"/>
    <w:rsid w:val="00EB4C2F"/>
    <w:rsid w:val="00EB4C3D"/>
    <w:rsid w:val="00EB5D29"/>
    <w:rsid w:val="00EB6DF0"/>
    <w:rsid w:val="00EB74D3"/>
    <w:rsid w:val="00EC0BA0"/>
    <w:rsid w:val="00EC5024"/>
    <w:rsid w:val="00EC527D"/>
    <w:rsid w:val="00ED590E"/>
    <w:rsid w:val="00EE1532"/>
    <w:rsid w:val="00EE1F2B"/>
    <w:rsid w:val="00EE2E6E"/>
    <w:rsid w:val="00EF16CA"/>
    <w:rsid w:val="00EF47F2"/>
    <w:rsid w:val="00EF59BA"/>
    <w:rsid w:val="00EF6D78"/>
    <w:rsid w:val="00F004AF"/>
    <w:rsid w:val="00F0284F"/>
    <w:rsid w:val="00F0759E"/>
    <w:rsid w:val="00F1583A"/>
    <w:rsid w:val="00F16686"/>
    <w:rsid w:val="00F16A43"/>
    <w:rsid w:val="00F32F56"/>
    <w:rsid w:val="00F373C5"/>
    <w:rsid w:val="00F44E5C"/>
    <w:rsid w:val="00F46780"/>
    <w:rsid w:val="00F50148"/>
    <w:rsid w:val="00F545EA"/>
    <w:rsid w:val="00F55370"/>
    <w:rsid w:val="00F62818"/>
    <w:rsid w:val="00F62ED6"/>
    <w:rsid w:val="00F66D96"/>
    <w:rsid w:val="00F67C83"/>
    <w:rsid w:val="00F72990"/>
    <w:rsid w:val="00F72A24"/>
    <w:rsid w:val="00F756BA"/>
    <w:rsid w:val="00F76B34"/>
    <w:rsid w:val="00F821A3"/>
    <w:rsid w:val="00F845FE"/>
    <w:rsid w:val="00F91D6A"/>
    <w:rsid w:val="00F92335"/>
    <w:rsid w:val="00F9314A"/>
    <w:rsid w:val="00F940B2"/>
    <w:rsid w:val="00F94F14"/>
    <w:rsid w:val="00F95C50"/>
    <w:rsid w:val="00F9652E"/>
    <w:rsid w:val="00FA20C4"/>
    <w:rsid w:val="00FA21AF"/>
    <w:rsid w:val="00FB257C"/>
    <w:rsid w:val="00FB4D41"/>
    <w:rsid w:val="00FB69E5"/>
    <w:rsid w:val="00FC3523"/>
    <w:rsid w:val="00FC58EF"/>
    <w:rsid w:val="00FD0A42"/>
    <w:rsid w:val="00FD33DF"/>
    <w:rsid w:val="00FD35D1"/>
    <w:rsid w:val="00FD4EE8"/>
    <w:rsid w:val="00FE39D7"/>
    <w:rsid w:val="00FE6AFD"/>
    <w:rsid w:val="00FF0997"/>
    <w:rsid w:val="00FF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FC3713"/>
  <w15:docId w15:val="{089F2F7D-2061-4A01-B133-C96B6877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FB4D41"/>
    <w:pPr>
      <w:ind w:left="708"/>
    </w:pPr>
    <w:rPr>
      <w:szCs w:val="20"/>
      <w:lang w:val="es-CO"/>
    </w:rPr>
  </w:style>
  <w:style w:type="character" w:customStyle="1" w:styleId="PrrafodelistaCar">
    <w:name w:val="Párrafo de lista Car"/>
    <w:link w:val="Prrafodelista"/>
    <w:uiPriority w:val="34"/>
    <w:rsid w:val="00FB4D41"/>
    <w:rPr>
      <w:rFonts w:ascii="Bookman Old Style" w:hAnsi="Bookman Old Style"/>
      <w:sz w:val="24"/>
      <w:lang w:eastAsia="es-ES"/>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Descripcin">
    <w:name w:val="caption"/>
    <w:basedOn w:val="Normal"/>
    <w:next w:val="Normal"/>
    <w:link w:val="Descripcin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DescripcinCar">
    <w:name w:val="Descripción Car"/>
    <w:link w:val="Descripcin"/>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481">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52152374">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591009510">
      <w:bodyDiv w:val="1"/>
      <w:marLeft w:val="0"/>
      <w:marRight w:val="0"/>
      <w:marTop w:val="0"/>
      <w:marBottom w:val="0"/>
      <w:divBdr>
        <w:top w:val="none" w:sz="0" w:space="0" w:color="auto"/>
        <w:left w:val="none" w:sz="0" w:space="0" w:color="auto"/>
        <w:bottom w:val="none" w:sz="0" w:space="0" w:color="auto"/>
        <w:right w:val="none" w:sz="0" w:space="0" w:color="auto"/>
      </w:divBdr>
    </w:div>
    <w:div w:id="633563264">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51519913">
      <w:bodyDiv w:val="1"/>
      <w:marLeft w:val="0"/>
      <w:marRight w:val="0"/>
      <w:marTop w:val="0"/>
      <w:marBottom w:val="0"/>
      <w:divBdr>
        <w:top w:val="none" w:sz="0" w:space="0" w:color="auto"/>
        <w:left w:val="none" w:sz="0" w:space="0" w:color="auto"/>
        <w:bottom w:val="none" w:sz="0" w:space="0" w:color="auto"/>
        <w:right w:val="none" w:sz="0" w:space="0" w:color="auto"/>
      </w:divBdr>
    </w:div>
    <w:div w:id="968248664">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24621330">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456176784">
      <w:bodyDiv w:val="1"/>
      <w:marLeft w:val="0"/>
      <w:marRight w:val="0"/>
      <w:marTop w:val="0"/>
      <w:marBottom w:val="0"/>
      <w:divBdr>
        <w:top w:val="none" w:sz="0" w:space="0" w:color="auto"/>
        <w:left w:val="none" w:sz="0" w:space="0" w:color="auto"/>
        <w:bottom w:val="none" w:sz="0" w:space="0" w:color="auto"/>
        <w:right w:val="none" w:sz="0" w:space="0" w:color="auto"/>
      </w:divBdr>
    </w:div>
    <w:div w:id="1525944656">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44506542">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801799222">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27891078">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921013999">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B1E3-FAA0-457C-8B92-78BD60B7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1565</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9224</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2016-05-20T00:02:00Z</cp:lastPrinted>
  <dcterms:created xsi:type="dcterms:W3CDTF">2017-05-19T21:27:00Z</dcterms:created>
  <dcterms:modified xsi:type="dcterms:W3CDTF">2017-05-19T21:27:00Z</dcterms:modified>
</cp:coreProperties>
</file>