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0B4E51" w:rsidRDefault="00EC5E38" w:rsidP="000B4E51">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4656" fillcolor="#0c9">
            <v:imagedata r:id="rId9" o:title=""/>
          </v:shape>
          <o:OLEObject Type="Embed" ProgID="PBrush" ShapeID="_x0000_s1026" DrawAspect="Content" ObjectID="_1404711631" r:id="rId10"/>
        </w:pict>
      </w:r>
    </w:p>
    <w:p w:rsidR="00625DC6" w:rsidRPr="000B4E51" w:rsidRDefault="00625DC6" w:rsidP="000B4E51">
      <w:pPr>
        <w:pStyle w:val="Encabezado"/>
        <w:tabs>
          <w:tab w:val="clear" w:pos="8504"/>
          <w:tab w:val="left" w:pos="0"/>
          <w:tab w:val="right" w:pos="9356"/>
        </w:tabs>
        <w:ind w:left="0"/>
        <w:jc w:val="both"/>
        <w:rPr>
          <w:rFonts w:ascii="Bookman Old Style" w:hAnsi="Bookman Old Style"/>
          <w:szCs w:val="24"/>
        </w:rPr>
      </w:pPr>
    </w:p>
    <w:p w:rsidR="00CA77FB" w:rsidRPr="005C3BB2" w:rsidRDefault="00CA77FB" w:rsidP="000B4E51">
      <w:pPr>
        <w:pStyle w:val="Ttulo4"/>
        <w:tabs>
          <w:tab w:val="left" w:pos="0"/>
          <w:tab w:val="right" w:pos="9356"/>
        </w:tabs>
        <w:ind w:left="0"/>
        <w:rPr>
          <w:rFonts w:ascii="Bookman Old Style" w:hAnsi="Bookman Old Style"/>
          <w:b w:val="0"/>
          <w:bCs/>
          <w:noProof/>
          <w:sz w:val="24"/>
          <w:szCs w:val="24"/>
          <w:lang w:val="es-ES"/>
        </w:rPr>
      </w:pPr>
      <w:r w:rsidRPr="005C3BB2">
        <w:rPr>
          <w:rFonts w:ascii="Bookman Old Style" w:hAnsi="Bookman Old Style"/>
          <w:b w:val="0"/>
          <w:bCs/>
          <w:sz w:val="24"/>
          <w:szCs w:val="24"/>
        </w:rPr>
        <w:t>Ministerio de Minas y Energía</w:t>
      </w:r>
    </w:p>
    <w:p w:rsidR="00CA77FB" w:rsidRPr="005C3BB2" w:rsidRDefault="00CA77FB" w:rsidP="000B4E51">
      <w:pPr>
        <w:pStyle w:val="Ttulo4"/>
        <w:tabs>
          <w:tab w:val="left" w:pos="0"/>
          <w:tab w:val="right" w:pos="9356"/>
        </w:tabs>
        <w:ind w:left="0"/>
        <w:rPr>
          <w:rFonts w:ascii="Bookman Old Style" w:hAnsi="Bookman Old Style"/>
          <w:b w:val="0"/>
          <w:bCs/>
          <w:sz w:val="24"/>
          <w:szCs w:val="24"/>
        </w:rPr>
      </w:pPr>
    </w:p>
    <w:p w:rsidR="00CA77FB" w:rsidRPr="005C3BB2" w:rsidRDefault="00CA77FB" w:rsidP="000B4E51">
      <w:pPr>
        <w:pStyle w:val="Ttulo3"/>
        <w:tabs>
          <w:tab w:val="left" w:pos="0"/>
          <w:tab w:val="right" w:pos="9356"/>
        </w:tabs>
        <w:ind w:left="0"/>
        <w:rPr>
          <w:rFonts w:ascii="Bookman Old Style" w:hAnsi="Bookman Old Style" w:cs="Arial"/>
          <w:spacing w:val="20"/>
          <w:szCs w:val="24"/>
        </w:rPr>
      </w:pPr>
      <w:bookmarkStart w:id="1" w:name="_Toc309837936"/>
      <w:bookmarkStart w:id="2" w:name="_Toc310577358"/>
      <w:r w:rsidRPr="005C3BB2">
        <w:rPr>
          <w:rFonts w:ascii="Bookman Old Style" w:hAnsi="Bookman Old Style" w:cs="Arial"/>
          <w:spacing w:val="20"/>
          <w:szCs w:val="24"/>
        </w:rPr>
        <w:t>COMISIÓN DE REGULACIÓN DE ENERGÍA Y GAS</w:t>
      </w:r>
      <w:bookmarkEnd w:id="1"/>
      <w:bookmarkEnd w:id="2"/>
    </w:p>
    <w:p w:rsidR="00CA77FB" w:rsidRPr="005C3BB2" w:rsidRDefault="00CA77FB" w:rsidP="000B4E51">
      <w:pPr>
        <w:pStyle w:val="Ttulo5"/>
        <w:tabs>
          <w:tab w:val="left" w:pos="0"/>
          <w:tab w:val="right" w:pos="9356"/>
        </w:tabs>
        <w:ind w:left="0"/>
        <w:rPr>
          <w:rFonts w:ascii="Bookman Old Style" w:hAnsi="Bookman Old Style"/>
          <w:sz w:val="24"/>
          <w:szCs w:val="24"/>
        </w:rPr>
      </w:pPr>
    </w:p>
    <w:p w:rsidR="00CA77FB" w:rsidRPr="005C3BB2" w:rsidRDefault="00CA77FB" w:rsidP="000B4E51">
      <w:pPr>
        <w:pStyle w:val="Ttulo5"/>
        <w:tabs>
          <w:tab w:val="left" w:pos="0"/>
          <w:tab w:val="right" w:pos="9356"/>
        </w:tabs>
        <w:ind w:left="0"/>
        <w:rPr>
          <w:rFonts w:ascii="Bookman Old Style" w:hAnsi="Bookman Old Style"/>
          <w:sz w:val="24"/>
          <w:szCs w:val="24"/>
        </w:rPr>
      </w:pPr>
    </w:p>
    <w:p w:rsidR="00CA77FB" w:rsidRPr="005C3BB2" w:rsidRDefault="00CA77FB" w:rsidP="000B4E51">
      <w:pPr>
        <w:pStyle w:val="Ttulo5"/>
        <w:tabs>
          <w:tab w:val="left" w:pos="0"/>
          <w:tab w:val="right" w:pos="9356"/>
        </w:tabs>
        <w:ind w:left="0"/>
        <w:rPr>
          <w:rFonts w:ascii="Bookman Old Style" w:hAnsi="Bookman Old Style"/>
          <w:sz w:val="24"/>
          <w:szCs w:val="24"/>
        </w:rPr>
      </w:pPr>
      <w:r w:rsidRPr="005C3BB2">
        <w:rPr>
          <w:rFonts w:ascii="Bookman Old Style" w:hAnsi="Bookman Old Style"/>
          <w:sz w:val="24"/>
          <w:szCs w:val="24"/>
        </w:rPr>
        <w:t xml:space="preserve">RESOLUCIÓN No. </w:t>
      </w:r>
      <w:r w:rsidR="00795BFB" w:rsidRPr="005C3BB2">
        <w:rPr>
          <w:rFonts w:ascii="Bookman Old Style" w:hAnsi="Bookman Old Style"/>
          <w:sz w:val="24"/>
          <w:szCs w:val="24"/>
        </w:rPr>
        <w:t xml:space="preserve">                  </w:t>
      </w:r>
      <w:r w:rsidRPr="005C3BB2">
        <w:rPr>
          <w:rFonts w:ascii="Bookman Old Style" w:hAnsi="Bookman Old Style"/>
          <w:sz w:val="24"/>
          <w:szCs w:val="24"/>
        </w:rPr>
        <w:t>DE 20</w:t>
      </w:r>
      <w:r w:rsidR="00795BFB" w:rsidRPr="005C3BB2">
        <w:rPr>
          <w:rFonts w:ascii="Bookman Old Style" w:hAnsi="Bookman Old Style"/>
          <w:sz w:val="24"/>
          <w:szCs w:val="24"/>
        </w:rPr>
        <w:t>1</w:t>
      </w:r>
      <w:r w:rsidR="00CF2809" w:rsidRPr="005C3BB2">
        <w:rPr>
          <w:rFonts w:ascii="Bookman Old Style" w:hAnsi="Bookman Old Style"/>
          <w:sz w:val="24"/>
          <w:szCs w:val="24"/>
        </w:rPr>
        <w:t>2</w:t>
      </w:r>
    </w:p>
    <w:p w:rsidR="00CA77FB" w:rsidRPr="005C3BB2" w:rsidRDefault="00CA77FB" w:rsidP="000B4E51">
      <w:pPr>
        <w:tabs>
          <w:tab w:val="left" w:pos="0"/>
          <w:tab w:val="right" w:pos="9356"/>
        </w:tabs>
        <w:ind w:left="0"/>
        <w:jc w:val="center"/>
        <w:rPr>
          <w:rFonts w:ascii="Bookman Old Style" w:hAnsi="Bookman Old Style" w:cs="Arial"/>
          <w:b/>
          <w:snapToGrid w:val="0"/>
          <w:color w:val="000000"/>
          <w:lang w:val="es-ES_tradnl"/>
        </w:rPr>
      </w:pPr>
    </w:p>
    <w:p w:rsidR="00CA77FB" w:rsidRPr="005C3BB2" w:rsidRDefault="00CA77FB" w:rsidP="000B4E51">
      <w:pPr>
        <w:pStyle w:val="Ttulo3"/>
        <w:tabs>
          <w:tab w:val="left" w:pos="0"/>
          <w:tab w:val="right" w:pos="9356"/>
        </w:tabs>
        <w:ind w:left="0"/>
        <w:rPr>
          <w:rFonts w:ascii="Bookman Old Style" w:hAnsi="Bookman Old Style"/>
          <w:b w:val="0"/>
          <w:szCs w:val="24"/>
        </w:rPr>
      </w:pPr>
      <w:bookmarkStart w:id="3" w:name="_Toc309837937"/>
      <w:bookmarkStart w:id="4" w:name="_Toc310577359"/>
      <w:r w:rsidRPr="005C3BB2">
        <w:rPr>
          <w:rFonts w:ascii="Bookman Old Style" w:hAnsi="Bookman Old Style"/>
          <w:b w:val="0"/>
          <w:szCs w:val="24"/>
        </w:rPr>
        <w:t>(                                  )</w:t>
      </w:r>
      <w:bookmarkEnd w:id="3"/>
      <w:bookmarkEnd w:id="4"/>
    </w:p>
    <w:p w:rsidR="00CA77FB" w:rsidRDefault="00CA77FB" w:rsidP="000B4E51">
      <w:pPr>
        <w:tabs>
          <w:tab w:val="left" w:pos="0"/>
          <w:tab w:val="right" w:pos="9356"/>
        </w:tabs>
        <w:ind w:left="0"/>
        <w:jc w:val="both"/>
        <w:rPr>
          <w:rFonts w:ascii="Bookman Old Style" w:hAnsi="Bookman Old Style"/>
          <w:lang w:val="es-ES_tradnl"/>
        </w:rPr>
      </w:pPr>
    </w:p>
    <w:p w:rsidR="00DF0F6F" w:rsidRDefault="00DF0F6F" w:rsidP="000B4E51">
      <w:pPr>
        <w:tabs>
          <w:tab w:val="left" w:pos="0"/>
          <w:tab w:val="right" w:pos="9356"/>
        </w:tabs>
        <w:ind w:left="0"/>
        <w:jc w:val="both"/>
        <w:rPr>
          <w:rFonts w:ascii="Bookman Old Style" w:hAnsi="Bookman Old Style"/>
          <w:lang w:val="es-ES_tradnl"/>
        </w:rPr>
      </w:pPr>
    </w:p>
    <w:p w:rsidR="00DF0F6F" w:rsidRPr="000B4E51" w:rsidRDefault="00DF0F6F" w:rsidP="000B4E51">
      <w:pPr>
        <w:tabs>
          <w:tab w:val="left" w:pos="0"/>
          <w:tab w:val="right" w:pos="9356"/>
        </w:tabs>
        <w:ind w:left="0"/>
        <w:jc w:val="both"/>
        <w:rPr>
          <w:rFonts w:ascii="Bookman Old Style" w:hAnsi="Bookman Old Style"/>
          <w:lang w:val="es-ES_tradnl"/>
        </w:rPr>
      </w:pPr>
    </w:p>
    <w:p w:rsidR="000B4E51" w:rsidRPr="000B4E51" w:rsidRDefault="00D301E5" w:rsidP="00AD02E6">
      <w:pPr>
        <w:ind w:left="0"/>
        <w:jc w:val="center"/>
        <w:rPr>
          <w:rFonts w:ascii="Bookman Old Style" w:hAnsi="Bookman Old Style" w:cs="Arial"/>
        </w:rPr>
      </w:pPr>
      <w:r>
        <w:rPr>
          <w:rFonts w:ascii="Bookman Old Style" w:hAnsi="Bookman Old Style" w:cs="Arial"/>
        </w:rPr>
        <w:t>Por la cual se aprueba el Í</w:t>
      </w:r>
      <w:r w:rsidR="00AD02E6" w:rsidRPr="00AD02E6">
        <w:rPr>
          <w:rFonts w:ascii="Bookman Old Style" w:hAnsi="Bookman Old Style" w:cs="Arial"/>
        </w:rPr>
        <w:t xml:space="preserve">ndice de </w:t>
      </w:r>
      <w:r>
        <w:rPr>
          <w:rFonts w:ascii="Bookman Old Style" w:hAnsi="Bookman Old Style" w:cs="Arial"/>
        </w:rPr>
        <w:t>Pérdidas d</w:t>
      </w:r>
      <w:r w:rsidRPr="00AD02E6">
        <w:rPr>
          <w:rFonts w:ascii="Bookman Old Style" w:hAnsi="Bookman Old Style" w:cs="Arial"/>
        </w:rPr>
        <w:t xml:space="preserve">e </w:t>
      </w:r>
      <w:r>
        <w:rPr>
          <w:rFonts w:ascii="Bookman Old Style" w:hAnsi="Bookman Old Style" w:cs="Arial"/>
        </w:rPr>
        <w:t>Nivel d</w:t>
      </w:r>
      <w:r w:rsidRPr="00AD02E6">
        <w:rPr>
          <w:rFonts w:ascii="Bookman Old Style" w:hAnsi="Bookman Old Style" w:cs="Arial"/>
        </w:rPr>
        <w:t xml:space="preserve">e </w:t>
      </w:r>
      <w:r>
        <w:rPr>
          <w:rFonts w:ascii="Bookman Old Style" w:hAnsi="Bookman Old Style" w:cs="Arial"/>
        </w:rPr>
        <w:t>T</w:t>
      </w:r>
      <w:r w:rsidRPr="00AD02E6">
        <w:rPr>
          <w:rFonts w:ascii="Bookman Old Style" w:hAnsi="Bookman Old Style" w:cs="Arial"/>
        </w:rPr>
        <w:t xml:space="preserve">ensión </w:t>
      </w:r>
      <w:r w:rsidR="00AD02E6" w:rsidRPr="00AD02E6">
        <w:rPr>
          <w:rFonts w:ascii="Bookman Old Style" w:hAnsi="Bookman Old Style" w:cs="Arial"/>
        </w:rPr>
        <w:t>1 a</w:t>
      </w:r>
      <w:r w:rsidR="00915F2A">
        <w:rPr>
          <w:rFonts w:ascii="Bookman Old Style" w:hAnsi="Bookman Old Style" w:cs="Arial"/>
        </w:rPr>
        <w:t xml:space="preserve"> la Empresa de Energía del Quindío </w:t>
      </w:r>
      <w:r w:rsidR="00AD02E6" w:rsidRPr="00AD02E6">
        <w:rPr>
          <w:rFonts w:ascii="Bookman Old Style" w:hAnsi="Bookman Old Style" w:cs="Arial"/>
        </w:rPr>
        <w:t>S.A. E.S.P</w:t>
      </w:r>
      <w:r w:rsidR="000B4E51" w:rsidRPr="000B4E51">
        <w:rPr>
          <w:rFonts w:ascii="Bookman Old Style" w:hAnsi="Bookman Old Style" w:cs="Arial"/>
        </w:rPr>
        <w:t>.</w:t>
      </w:r>
      <w:r w:rsidR="002C6C11">
        <w:rPr>
          <w:rFonts w:ascii="Bookman Old Style" w:hAnsi="Bookman Old Style" w:cs="Arial"/>
        </w:rPr>
        <w:t xml:space="preserve"> y se modifica la Resolución  CREG 106 de 2009 </w:t>
      </w:r>
    </w:p>
    <w:p w:rsidR="000B4E51" w:rsidRPr="000B4E51" w:rsidRDefault="000B4E51" w:rsidP="000B4E51">
      <w:pPr>
        <w:ind w:left="0"/>
        <w:jc w:val="both"/>
        <w:rPr>
          <w:rFonts w:ascii="Bookman Old Style" w:hAnsi="Bookman Old Style" w:cs="Arial"/>
        </w:rPr>
      </w:pPr>
    </w:p>
    <w:p w:rsidR="000B4E51" w:rsidRPr="000B4E51" w:rsidRDefault="000B4E51" w:rsidP="000B4E51">
      <w:pPr>
        <w:ind w:left="0"/>
        <w:jc w:val="both"/>
        <w:rPr>
          <w:rFonts w:ascii="Bookman Old Style" w:hAnsi="Bookman Old Style"/>
          <w:b/>
        </w:rPr>
      </w:pPr>
      <w:bookmarkStart w:id="5" w:name="_Toc259626849"/>
    </w:p>
    <w:p w:rsidR="000B4E51" w:rsidRPr="000B4E51" w:rsidRDefault="000B4E51" w:rsidP="00857A4A">
      <w:pPr>
        <w:ind w:left="0"/>
        <w:jc w:val="center"/>
        <w:rPr>
          <w:rFonts w:ascii="Bookman Old Style" w:hAnsi="Bookman Old Style"/>
          <w:b/>
        </w:rPr>
      </w:pPr>
      <w:r w:rsidRPr="000B4E51">
        <w:rPr>
          <w:rFonts w:ascii="Bookman Old Style" w:hAnsi="Bookman Old Style"/>
          <w:b/>
        </w:rPr>
        <w:t>LA COMISIÓN DE REGULACIÓN DE ENERGÍA Y GAS</w:t>
      </w:r>
      <w:bookmarkEnd w:id="5"/>
    </w:p>
    <w:p w:rsidR="000B4E51" w:rsidRPr="000B4E51" w:rsidRDefault="000B4E51" w:rsidP="000B4E51">
      <w:pPr>
        <w:ind w:left="0"/>
        <w:jc w:val="both"/>
        <w:rPr>
          <w:rFonts w:ascii="Bookman Old Style" w:hAnsi="Bookman Old Style" w:cs="Arial"/>
        </w:rPr>
      </w:pPr>
    </w:p>
    <w:p w:rsidR="000B4E51" w:rsidRPr="000B4E51" w:rsidRDefault="000B4E51" w:rsidP="000B4E51">
      <w:pPr>
        <w:ind w:left="0"/>
        <w:jc w:val="both"/>
        <w:rPr>
          <w:rFonts w:ascii="Bookman Old Style" w:hAnsi="Bookman Old Style" w:cs="Arial"/>
        </w:rPr>
      </w:pPr>
    </w:p>
    <w:p w:rsidR="000B4E51" w:rsidRPr="000B4E51" w:rsidRDefault="000B4E51" w:rsidP="00053DB3">
      <w:pPr>
        <w:ind w:left="0"/>
        <w:jc w:val="center"/>
        <w:rPr>
          <w:rFonts w:ascii="Bookman Old Style" w:hAnsi="Bookman Old Style" w:cs="Arial"/>
        </w:rPr>
      </w:pPr>
      <w:r w:rsidRPr="000B4E51">
        <w:rPr>
          <w:rFonts w:ascii="Bookman Old Style" w:hAnsi="Bookman Old Style" w:cs="Arial"/>
        </w:rPr>
        <w:t>En ejercicio de las atribuciones legales, en especial las conferidas por las Leyes 142 y 143 de 1994, y los decretos 1524 y 2253 de 1994.</w:t>
      </w:r>
    </w:p>
    <w:p w:rsidR="000B4E51" w:rsidRPr="000B4E51" w:rsidRDefault="000B4E51" w:rsidP="000B4E51">
      <w:pPr>
        <w:ind w:left="0"/>
        <w:jc w:val="both"/>
        <w:rPr>
          <w:rFonts w:ascii="Bookman Old Style" w:hAnsi="Bookman Old Style" w:cs="Arial"/>
        </w:rPr>
      </w:pPr>
    </w:p>
    <w:p w:rsidR="000B4E51" w:rsidRPr="000B4E51" w:rsidRDefault="000B4E51" w:rsidP="000B4E51">
      <w:pPr>
        <w:ind w:left="0"/>
        <w:jc w:val="both"/>
        <w:rPr>
          <w:rFonts w:ascii="Bookman Old Style" w:hAnsi="Bookman Old Style" w:cs="Arial"/>
        </w:rPr>
      </w:pPr>
    </w:p>
    <w:p w:rsidR="000B4E51" w:rsidRPr="000B4E51" w:rsidRDefault="000B4E51" w:rsidP="00857A4A">
      <w:pPr>
        <w:ind w:left="0"/>
        <w:jc w:val="center"/>
        <w:rPr>
          <w:rFonts w:ascii="Bookman Old Style" w:hAnsi="Bookman Old Style" w:cs="Arial"/>
          <w:b/>
        </w:rPr>
      </w:pPr>
      <w:bookmarkStart w:id="6" w:name="_Toc259626850"/>
      <w:r w:rsidRPr="000B4E51">
        <w:rPr>
          <w:rFonts w:ascii="Bookman Old Style" w:hAnsi="Bookman Old Style"/>
          <w:b/>
        </w:rPr>
        <w:t>C O N S I D E R A N D O</w:t>
      </w:r>
      <w:r w:rsidRPr="000B4E51">
        <w:rPr>
          <w:rFonts w:ascii="Bookman Old Style" w:hAnsi="Bookman Old Style" w:cs="Arial"/>
          <w:b/>
        </w:rPr>
        <w:t>:</w:t>
      </w:r>
      <w:bookmarkEnd w:id="6"/>
    </w:p>
    <w:p w:rsidR="000B4E51" w:rsidRPr="000B4E51" w:rsidRDefault="000B4E51" w:rsidP="000B4E51">
      <w:pPr>
        <w:ind w:left="0"/>
        <w:jc w:val="both"/>
        <w:rPr>
          <w:rFonts w:ascii="Bookman Old Style" w:hAnsi="Bookman Old Style" w:cs="Arial"/>
          <w:b/>
        </w:rPr>
      </w:pPr>
    </w:p>
    <w:p w:rsidR="000B4E51" w:rsidRPr="003276E7" w:rsidRDefault="000B4E51" w:rsidP="000B4E51">
      <w:pPr>
        <w:ind w:left="0"/>
        <w:jc w:val="both"/>
        <w:rPr>
          <w:rFonts w:ascii="Bookman Old Style" w:hAnsi="Bookman Old Style" w:cs="Arial"/>
          <w:b/>
          <w:sz w:val="16"/>
        </w:rPr>
      </w:pPr>
    </w:p>
    <w:p w:rsidR="00AD02E6" w:rsidRDefault="00AD02E6" w:rsidP="00AD02E6">
      <w:pPr>
        <w:ind w:left="0"/>
        <w:jc w:val="both"/>
        <w:rPr>
          <w:rFonts w:ascii="Bookman Old Style" w:hAnsi="Bookman Old Style"/>
        </w:rPr>
      </w:pPr>
      <w:r w:rsidRPr="00AD02E6">
        <w:rPr>
          <w:rFonts w:ascii="Bookman Old Style" w:hAnsi="Bookman Old Style"/>
        </w:rPr>
        <w:t xml:space="preserve">Que de acuerdo con lo previsto en los artículos 23, literales c) y d), y 41 de la Ley 143 de 1994, es función de la Comisión de Regulación de Energía y Gas definir la metodología para el cálculo y fijar las tarifas por el acceso y uso de </w:t>
      </w:r>
      <w:proofErr w:type="gramStart"/>
      <w:r w:rsidRPr="00AD02E6">
        <w:rPr>
          <w:rFonts w:ascii="Bookman Old Style" w:hAnsi="Bookman Old Style"/>
        </w:rPr>
        <w:t>las</w:t>
      </w:r>
      <w:proofErr w:type="gramEnd"/>
      <w:r w:rsidRPr="00AD02E6">
        <w:rPr>
          <w:rFonts w:ascii="Bookman Old Style" w:hAnsi="Bookman Old Style"/>
        </w:rPr>
        <w:t xml:space="preserve"> redes eléctricas, así como el procedimiento para hacer efectivo su pago;</w:t>
      </w:r>
    </w:p>
    <w:p w:rsidR="00AD02E6" w:rsidRDefault="00AD02E6" w:rsidP="00AD02E6">
      <w:pPr>
        <w:ind w:left="0"/>
        <w:jc w:val="both"/>
        <w:rPr>
          <w:rFonts w:ascii="Bookman Old Style" w:hAnsi="Bookman Old Style"/>
        </w:rPr>
      </w:pPr>
    </w:p>
    <w:p w:rsidR="00AD02E6" w:rsidRPr="003010CB" w:rsidRDefault="00AD02E6" w:rsidP="00AD02E6">
      <w:pPr>
        <w:ind w:left="0"/>
        <w:jc w:val="both"/>
        <w:rPr>
          <w:rFonts w:ascii="Bookman Old Style" w:hAnsi="Bookman Old Style"/>
        </w:rPr>
      </w:pPr>
      <w:r w:rsidRPr="00AD02E6">
        <w:rPr>
          <w:rFonts w:ascii="Bookman Old Style" w:hAnsi="Bookman Old Style"/>
        </w:rPr>
        <w:t>Que mediante el Decreto 387 de 20</w:t>
      </w:r>
      <w:r w:rsidR="00915F2A">
        <w:rPr>
          <w:rFonts w:ascii="Bookman Old Style" w:hAnsi="Bookman Old Style"/>
        </w:rPr>
        <w:t>07</w:t>
      </w:r>
      <w:r w:rsidRPr="00AD02E6">
        <w:rPr>
          <w:rFonts w:ascii="Bookman Old Style" w:hAnsi="Bookman Old Style"/>
        </w:rPr>
        <w:t>, modificado por el Decreto 4977 de 2007, el Gobierno Nacional estableció las políticas generales en relación con la actividad de comercialización del servicio de energ</w:t>
      </w:r>
      <w:r w:rsidRPr="003010CB">
        <w:rPr>
          <w:rFonts w:ascii="Bookman Old Style" w:hAnsi="Bookman Old Style"/>
        </w:rPr>
        <w:t>ía eléctrica;</w:t>
      </w:r>
    </w:p>
    <w:p w:rsidR="00AD02E6" w:rsidRPr="00AD02E6" w:rsidRDefault="00AD02E6" w:rsidP="00AD02E6">
      <w:pPr>
        <w:ind w:left="0"/>
        <w:jc w:val="both"/>
        <w:rPr>
          <w:rFonts w:ascii="Bookman Old Style" w:hAnsi="Bookman Old Style"/>
        </w:rPr>
      </w:pPr>
    </w:p>
    <w:p w:rsidR="00AD02E6" w:rsidRDefault="00AD02E6" w:rsidP="00AD02E6">
      <w:pPr>
        <w:ind w:left="0"/>
        <w:jc w:val="both"/>
        <w:rPr>
          <w:rFonts w:ascii="Bookman Old Style" w:hAnsi="Bookman Old Style"/>
        </w:rPr>
      </w:pPr>
      <w:r w:rsidRPr="000B4E51">
        <w:rPr>
          <w:rFonts w:ascii="Bookman Old Style" w:hAnsi="Bookman Old Style"/>
        </w:rPr>
        <w:t>Que la Comisión de Regulación de Energía y Gas, mediante la Resolución CREG 097 de 2008, aprobó los principios generales y la metodología para el establecimiento de los cargos por uso de los Sistemas de Transmisión Regional y Distribución Local. Dicha Resolución incluye disposiciones correspondientes al tratamiento de las pérdidas reconocidas en los sistemas de transmisión regional y distribución local;</w:t>
      </w:r>
    </w:p>
    <w:p w:rsidR="00AD02E6" w:rsidRDefault="00AD02E6" w:rsidP="00AD02E6">
      <w:pPr>
        <w:ind w:left="0"/>
        <w:jc w:val="both"/>
        <w:rPr>
          <w:rFonts w:ascii="Bookman Old Style" w:hAnsi="Bookman Old Style"/>
        </w:rPr>
      </w:pPr>
    </w:p>
    <w:p w:rsidR="00915F2A" w:rsidRDefault="00915F2A" w:rsidP="00915F2A">
      <w:pPr>
        <w:ind w:left="0"/>
        <w:jc w:val="both"/>
        <w:rPr>
          <w:rFonts w:ascii="Bookman Old Style" w:hAnsi="Bookman Old Style"/>
        </w:rPr>
      </w:pPr>
      <w:r w:rsidRPr="00AD02E6">
        <w:rPr>
          <w:rFonts w:ascii="Bookman Old Style" w:hAnsi="Bookman Old Style"/>
        </w:rPr>
        <w:t>Que a través de la Resolución CREG 10</w:t>
      </w:r>
      <w:r>
        <w:rPr>
          <w:rFonts w:ascii="Bookman Old Style" w:hAnsi="Bookman Old Style"/>
        </w:rPr>
        <w:t>6</w:t>
      </w:r>
      <w:r w:rsidRPr="00AD02E6">
        <w:rPr>
          <w:rFonts w:ascii="Bookman Old Style" w:hAnsi="Bookman Old Style"/>
        </w:rPr>
        <w:t xml:space="preserve"> de 2009, la Comisión aprobó el Costo Anual por el uso de los Activos del Nivel de Tensión 4 y los Cargos Máximos de los Niveles de Tensión 3, 2 y 1 de los activos operados por </w:t>
      </w:r>
      <w:r w:rsidR="00D301E5">
        <w:rPr>
          <w:rFonts w:ascii="Bookman Old Style" w:hAnsi="Bookman Old Style"/>
        </w:rPr>
        <w:t xml:space="preserve">la Empresa de Energía del Quindío </w:t>
      </w:r>
      <w:r w:rsidRPr="00AD02E6">
        <w:rPr>
          <w:rFonts w:ascii="Bookman Old Style" w:hAnsi="Bookman Old Style"/>
        </w:rPr>
        <w:t>S.A. E.S.P. en el Sistema de Transmisión Regional (STR) y en el Sist</w:t>
      </w:r>
      <w:r>
        <w:rPr>
          <w:rFonts w:ascii="Bookman Old Style" w:hAnsi="Bookman Old Style"/>
        </w:rPr>
        <w:t>ema de Distribución Local (SDL);</w:t>
      </w:r>
    </w:p>
    <w:p w:rsidR="003276E7" w:rsidRDefault="003276E7" w:rsidP="00915F2A">
      <w:pPr>
        <w:ind w:left="0"/>
        <w:jc w:val="both"/>
        <w:rPr>
          <w:rFonts w:ascii="Bookman Old Style" w:hAnsi="Bookman Old Style"/>
        </w:rPr>
      </w:pPr>
    </w:p>
    <w:p w:rsidR="00915F2A" w:rsidRDefault="00915F2A" w:rsidP="00915F2A">
      <w:pPr>
        <w:ind w:left="0"/>
        <w:jc w:val="both"/>
        <w:rPr>
          <w:rFonts w:ascii="Bookman Old Style" w:hAnsi="Bookman Old Style"/>
        </w:rPr>
      </w:pPr>
      <w:r>
        <w:rPr>
          <w:rFonts w:ascii="Bookman Old Style" w:hAnsi="Bookman Old Style"/>
        </w:rPr>
        <w:t xml:space="preserve">Que los índices de pérdidas reconocidos para cada nivel de tensión del sistema operado por </w:t>
      </w:r>
      <w:r w:rsidR="00053DB3">
        <w:rPr>
          <w:rFonts w:ascii="Bookman Old Style" w:hAnsi="Bookman Old Style"/>
        </w:rPr>
        <w:t>l</w:t>
      </w:r>
      <w:r w:rsidR="005E147F">
        <w:rPr>
          <w:rFonts w:ascii="Bookman Old Style" w:hAnsi="Bookman Old Style"/>
        </w:rPr>
        <w:t xml:space="preserve">a Empresa de Energía del Quindío </w:t>
      </w:r>
      <w:r w:rsidR="00D301E5">
        <w:rPr>
          <w:rFonts w:ascii="Bookman Old Style" w:hAnsi="Bookman Old Style"/>
        </w:rPr>
        <w:t>S.A. E.S.P</w:t>
      </w:r>
      <w:r w:rsidR="005E147F">
        <w:rPr>
          <w:rFonts w:ascii="Bookman Old Style" w:hAnsi="Bookman Old Style"/>
        </w:rPr>
        <w:t>, en adelante EDEQ,</w:t>
      </w:r>
      <w:r w:rsidR="00D301E5">
        <w:rPr>
          <w:rFonts w:ascii="Bookman Old Style" w:hAnsi="Bookman Old Style"/>
        </w:rPr>
        <w:t xml:space="preserve"> fueron establecido</w:t>
      </w:r>
      <w:r>
        <w:rPr>
          <w:rFonts w:ascii="Bookman Old Style" w:hAnsi="Bookman Old Style"/>
        </w:rPr>
        <w:t>s en el artículo 6 de la Resolución CREG 106 de 2009;</w:t>
      </w:r>
    </w:p>
    <w:p w:rsidR="00915F2A" w:rsidRDefault="00915F2A" w:rsidP="00915F2A">
      <w:pPr>
        <w:ind w:left="0"/>
        <w:jc w:val="both"/>
        <w:rPr>
          <w:rFonts w:ascii="Bookman Old Style" w:hAnsi="Bookman Old Style"/>
        </w:rPr>
      </w:pPr>
    </w:p>
    <w:p w:rsidR="00AD02E6" w:rsidRDefault="00AD02E6" w:rsidP="00AD02E6">
      <w:pPr>
        <w:ind w:left="0"/>
        <w:jc w:val="both"/>
        <w:rPr>
          <w:rFonts w:ascii="Bookman Old Style" w:hAnsi="Bookman Old Style"/>
        </w:rPr>
      </w:pPr>
      <w:r w:rsidRPr="00864DA9">
        <w:rPr>
          <w:rFonts w:ascii="Bookman Old Style" w:hAnsi="Bookman Old Style"/>
        </w:rPr>
        <w:t xml:space="preserve">Que la Comisión de Regulación de Energía y Gas, mediante la Resolución CREG </w:t>
      </w:r>
      <w:r>
        <w:rPr>
          <w:rFonts w:ascii="Bookman Old Style" w:hAnsi="Bookman Old Style"/>
        </w:rPr>
        <w:t>172</w:t>
      </w:r>
      <w:r w:rsidRPr="00864DA9">
        <w:rPr>
          <w:rFonts w:ascii="Bookman Old Style" w:hAnsi="Bookman Old Style"/>
        </w:rPr>
        <w:t xml:space="preserve"> de 20</w:t>
      </w:r>
      <w:r>
        <w:rPr>
          <w:rFonts w:ascii="Bookman Old Style" w:hAnsi="Bookman Old Style"/>
        </w:rPr>
        <w:t>11</w:t>
      </w:r>
      <w:r w:rsidRPr="00864DA9">
        <w:rPr>
          <w:rFonts w:ascii="Bookman Old Style" w:hAnsi="Bookman Old Style"/>
        </w:rPr>
        <w:t>, aprobó la metodología</w:t>
      </w:r>
      <w:r w:rsidR="00915F2A">
        <w:rPr>
          <w:rFonts w:ascii="Bookman Old Style" w:hAnsi="Bookman Old Style"/>
        </w:rPr>
        <w:t xml:space="preserve"> para la implementación de los p</w:t>
      </w:r>
      <w:r w:rsidRPr="00864DA9">
        <w:rPr>
          <w:rFonts w:ascii="Bookman Old Style" w:hAnsi="Bookman Old Style"/>
        </w:rPr>
        <w:t xml:space="preserve">lanes de reducción de pérdidas no técnicas en los Sistemas de Distribución Local, </w:t>
      </w:r>
      <w:r>
        <w:rPr>
          <w:rFonts w:ascii="Bookman Old Style" w:hAnsi="Bookman Old Style"/>
        </w:rPr>
        <w:t>incluyendo la meto</w:t>
      </w:r>
      <w:r w:rsidR="00D301E5">
        <w:rPr>
          <w:rFonts w:ascii="Bookman Old Style" w:hAnsi="Bookman Old Style"/>
        </w:rPr>
        <w:t>dología para la aprobación del Índice de Pérdidas de Nivel de T</w:t>
      </w:r>
      <w:r>
        <w:rPr>
          <w:rFonts w:ascii="Bookman Old Style" w:hAnsi="Bookman Old Style"/>
        </w:rPr>
        <w:t xml:space="preserve">ensión 1 </w:t>
      </w:r>
      <w:r w:rsidR="00D600E9">
        <w:rPr>
          <w:rFonts w:ascii="Bookman Old Style" w:hAnsi="Bookman Old Style"/>
        </w:rPr>
        <w:t>en todos los mercados de comercialización</w:t>
      </w:r>
      <w:r>
        <w:rPr>
          <w:rFonts w:ascii="Bookman Old Style" w:hAnsi="Bookman Old Style"/>
        </w:rPr>
        <w:t>;</w:t>
      </w:r>
    </w:p>
    <w:p w:rsidR="00AD02E6" w:rsidRPr="00AD02E6" w:rsidRDefault="00AD02E6" w:rsidP="00AD02E6">
      <w:pPr>
        <w:ind w:left="0"/>
        <w:jc w:val="both"/>
        <w:rPr>
          <w:rFonts w:ascii="Bookman Old Style" w:hAnsi="Bookman Old Style"/>
        </w:rPr>
      </w:pPr>
    </w:p>
    <w:p w:rsidR="00AD02E6" w:rsidRPr="00AD02E6" w:rsidRDefault="00AD02E6" w:rsidP="00AD02E6">
      <w:pPr>
        <w:ind w:left="0"/>
        <w:jc w:val="both"/>
        <w:rPr>
          <w:rFonts w:ascii="Bookman Old Style" w:hAnsi="Bookman Old Style"/>
        </w:rPr>
      </w:pPr>
      <w:r w:rsidRPr="00AD02E6">
        <w:rPr>
          <w:rFonts w:ascii="Bookman Old Style" w:hAnsi="Bookman Old Style"/>
        </w:rPr>
        <w:t xml:space="preserve">Que </w:t>
      </w:r>
      <w:r w:rsidR="00EE10C1">
        <w:rPr>
          <w:rFonts w:ascii="Bookman Old Style" w:hAnsi="Bookman Old Style"/>
        </w:rPr>
        <w:t xml:space="preserve">EDEQ </w:t>
      </w:r>
      <w:r w:rsidRPr="00AD02E6">
        <w:rPr>
          <w:rFonts w:ascii="Bookman Old Style" w:hAnsi="Bookman Old Style"/>
        </w:rPr>
        <w:t>mediante comunicación radicada en la CREG bajo el No.</w:t>
      </w:r>
      <w:r w:rsidR="0068577B">
        <w:rPr>
          <w:rFonts w:ascii="Bookman Old Style" w:hAnsi="Bookman Old Style"/>
        </w:rPr>
        <w:t> </w:t>
      </w:r>
      <w:r w:rsidRPr="00AD02E6">
        <w:rPr>
          <w:rFonts w:ascii="Bookman Old Style" w:hAnsi="Bookman Old Style"/>
        </w:rPr>
        <w:t>E</w:t>
      </w:r>
      <w:r w:rsidR="005E147F">
        <w:rPr>
          <w:rFonts w:ascii="Bookman Old Style" w:hAnsi="Bookman Old Style"/>
        </w:rPr>
        <w:noBreakHyphen/>
      </w:r>
      <w:r w:rsidRPr="00AD02E6">
        <w:rPr>
          <w:rFonts w:ascii="Bookman Old Style" w:hAnsi="Bookman Old Style"/>
        </w:rPr>
        <w:t>2012</w:t>
      </w:r>
      <w:r w:rsidR="005E147F">
        <w:rPr>
          <w:rFonts w:ascii="Bookman Old Style" w:hAnsi="Bookman Old Style"/>
        </w:rPr>
        <w:noBreakHyphen/>
      </w:r>
      <w:r w:rsidRPr="00AD02E6">
        <w:rPr>
          <w:rFonts w:ascii="Bookman Old Style" w:hAnsi="Bookman Old Style"/>
        </w:rPr>
        <w:t>0005</w:t>
      </w:r>
      <w:r w:rsidR="00EE10C1">
        <w:rPr>
          <w:rFonts w:ascii="Bookman Old Style" w:hAnsi="Bookman Old Style"/>
        </w:rPr>
        <w:t>8</w:t>
      </w:r>
      <w:r w:rsidRPr="00AD02E6">
        <w:rPr>
          <w:rFonts w:ascii="Bookman Old Style" w:hAnsi="Bookman Old Style"/>
        </w:rPr>
        <w:t>9 recibida el día 26 de enero de 2012, sometió a aprobación de la Com</w:t>
      </w:r>
      <w:r w:rsidR="00D301E5">
        <w:rPr>
          <w:rFonts w:ascii="Bookman Old Style" w:hAnsi="Bookman Old Style"/>
        </w:rPr>
        <w:t>isión el Índice de Pérdidas de n</w:t>
      </w:r>
      <w:r w:rsidRPr="00AD02E6">
        <w:rPr>
          <w:rFonts w:ascii="Bookman Old Style" w:hAnsi="Bookman Old Style"/>
        </w:rPr>
        <w:t xml:space="preserve">ivel de Tensión 1, de conformidad con lo establecido en el artículo 6 de la </w:t>
      </w:r>
      <w:r w:rsidR="005E147F">
        <w:rPr>
          <w:rFonts w:ascii="Bookman Old Style" w:hAnsi="Bookman Old Style"/>
        </w:rPr>
        <w:t>R</w:t>
      </w:r>
      <w:r w:rsidRPr="00AD02E6">
        <w:rPr>
          <w:rFonts w:ascii="Bookman Old Style" w:hAnsi="Bookman Old Style"/>
        </w:rPr>
        <w:t>esolución CREG 172 de 2011;</w:t>
      </w:r>
    </w:p>
    <w:p w:rsidR="00AD02E6" w:rsidRPr="00AD02E6" w:rsidRDefault="00AD02E6" w:rsidP="00AD02E6">
      <w:pPr>
        <w:ind w:left="0"/>
        <w:jc w:val="both"/>
        <w:rPr>
          <w:rFonts w:ascii="Bookman Old Style" w:hAnsi="Bookman Old Style"/>
        </w:rPr>
      </w:pPr>
    </w:p>
    <w:p w:rsidR="00AD02E6" w:rsidRPr="00AD02E6" w:rsidRDefault="00E63D26" w:rsidP="00AD02E6">
      <w:pPr>
        <w:ind w:left="0"/>
        <w:jc w:val="both"/>
        <w:rPr>
          <w:rFonts w:ascii="Bookman Old Style" w:hAnsi="Bookman Old Style"/>
        </w:rPr>
      </w:pPr>
      <w:r>
        <w:rPr>
          <w:rFonts w:ascii="Bookman Old Style" w:hAnsi="Bookman Old Style"/>
        </w:rPr>
        <w:t xml:space="preserve">Que </w:t>
      </w:r>
      <w:r w:rsidR="005E147F">
        <w:rPr>
          <w:rFonts w:ascii="Bookman Old Style" w:hAnsi="Bookman Old Style"/>
        </w:rPr>
        <w:t xml:space="preserve">mediante el </w:t>
      </w:r>
      <w:r>
        <w:rPr>
          <w:rFonts w:ascii="Bookman Old Style" w:hAnsi="Bookman Old Style"/>
        </w:rPr>
        <w:t xml:space="preserve">auto </w:t>
      </w:r>
      <w:r w:rsidR="005E147F">
        <w:rPr>
          <w:rFonts w:ascii="Bookman Old Style" w:hAnsi="Bookman Old Style"/>
        </w:rPr>
        <w:t xml:space="preserve">radicado en la CREG con el No. </w:t>
      </w:r>
      <w:r>
        <w:rPr>
          <w:rFonts w:ascii="Bookman Old Style" w:hAnsi="Bookman Old Style"/>
        </w:rPr>
        <w:t>I-2012-000476</w:t>
      </w:r>
      <w:r w:rsidR="00AD02E6" w:rsidRPr="00AD02E6">
        <w:rPr>
          <w:rFonts w:ascii="Bookman Old Style" w:hAnsi="Bookman Old Style"/>
        </w:rPr>
        <w:t xml:space="preserve"> de</w:t>
      </w:r>
      <w:r w:rsidR="00890680">
        <w:rPr>
          <w:rFonts w:ascii="Bookman Old Style" w:hAnsi="Bookman Old Style"/>
        </w:rPr>
        <w:t>l</w:t>
      </w:r>
      <w:r>
        <w:rPr>
          <w:rFonts w:ascii="Bookman Old Style" w:hAnsi="Bookman Old Style"/>
        </w:rPr>
        <w:t xml:space="preserve"> 10 de</w:t>
      </w:r>
      <w:r w:rsidR="00AD02E6" w:rsidRPr="00AD02E6">
        <w:rPr>
          <w:rFonts w:ascii="Bookman Old Style" w:hAnsi="Bookman Old Style"/>
        </w:rPr>
        <w:t xml:space="preserve"> febrero de 2012 se dio inicio a la actuación administrativa con el objeto de decidir la solicit</w:t>
      </w:r>
      <w:r w:rsidR="005E147F">
        <w:rPr>
          <w:rFonts w:ascii="Bookman Old Style" w:hAnsi="Bookman Old Style"/>
        </w:rPr>
        <w:t>ud de aprobación del Índice de P</w:t>
      </w:r>
      <w:r w:rsidR="00AD02E6" w:rsidRPr="00AD02E6">
        <w:rPr>
          <w:rFonts w:ascii="Bookman Old Style" w:hAnsi="Bookman Old Style"/>
        </w:rPr>
        <w:t xml:space="preserve">érdidas de </w:t>
      </w:r>
      <w:r w:rsidR="00F64BDF">
        <w:rPr>
          <w:rFonts w:ascii="Bookman Old Style" w:hAnsi="Bookman Old Style"/>
        </w:rPr>
        <w:t>N</w:t>
      </w:r>
      <w:r w:rsidR="00AD02E6" w:rsidRPr="00AD02E6">
        <w:rPr>
          <w:rFonts w:ascii="Bookman Old Style" w:hAnsi="Bookman Old Style"/>
        </w:rPr>
        <w:t xml:space="preserve">ivel de </w:t>
      </w:r>
      <w:r w:rsidR="00F64BDF">
        <w:rPr>
          <w:rFonts w:ascii="Bookman Old Style" w:hAnsi="Bookman Old Style"/>
        </w:rPr>
        <w:t>T</w:t>
      </w:r>
      <w:r w:rsidR="00AD02E6" w:rsidRPr="00AD02E6">
        <w:rPr>
          <w:rFonts w:ascii="Bookman Old Style" w:hAnsi="Bookman Old Style"/>
        </w:rPr>
        <w:t xml:space="preserve">ensión 1 </w:t>
      </w:r>
      <w:r w:rsidR="00890680">
        <w:rPr>
          <w:rFonts w:ascii="Bookman Old Style" w:hAnsi="Bookman Old Style"/>
        </w:rPr>
        <w:t xml:space="preserve">para </w:t>
      </w:r>
      <w:r>
        <w:rPr>
          <w:rFonts w:ascii="Bookman Old Style" w:hAnsi="Bookman Old Style"/>
        </w:rPr>
        <w:t>EDEQ</w:t>
      </w:r>
      <w:r w:rsidR="00AD02E6" w:rsidRPr="00AD02E6">
        <w:rPr>
          <w:rFonts w:ascii="Bookman Old Style" w:hAnsi="Bookman Old Style"/>
        </w:rPr>
        <w:t xml:space="preserve"> y se ordenó la formación del expediente;</w:t>
      </w:r>
    </w:p>
    <w:p w:rsidR="00AD02E6" w:rsidRPr="00AD02E6" w:rsidRDefault="00AD02E6" w:rsidP="00AD02E6">
      <w:pPr>
        <w:ind w:left="0"/>
        <w:jc w:val="both"/>
        <w:rPr>
          <w:rFonts w:ascii="Bookman Old Style" w:hAnsi="Bookman Old Style"/>
        </w:rPr>
      </w:pPr>
    </w:p>
    <w:p w:rsidR="00AD02E6" w:rsidRPr="00AD02E6" w:rsidRDefault="00AD02E6" w:rsidP="00AD02E6">
      <w:pPr>
        <w:ind w:left="0"/>
        <w:jc w:val="both"/>
        <w:rPr>
          <w:rFonts w:ascii="Bookman Old Style" w:hAnsi="Bookman Old Style"/>
        </w:rPr>
      </w:pPr>
      <w:r w:rsidRPr="00AD02E6">
        <w:rPr>
          <w:rFonts w:ascii="Bookman Old Style" w:hAnsi="Bookman Old Style"/>
        </w:rPr>
        <w:t>Que en cumplimiento de lo dispuesto por los artículos 15 y 16 del Código Contencioso Administrativo, a través de la comunicación con radicado CREG S-2012-000</w:t>
      </w:r>
      <w:r w:rsidR="00E63D26">
        <w:rPr>
          <w:rFonts w:ascii="Bookman Old Style" w:hAnsi="Bookman Old Style"/>
        </w:rPr>
        <w:t>429</w:t>
      </w:r>
      <w:r w:rsidRPr="00AD02E6">
        <w:rPr>
          <w:rFonts w:ascii="Bookman Old Style" w:hAnsi="Bookman Old Style"/>
        </w:rPr>
        <w:t xml:space="preserve">, se solicitó a </w:t>
      </w:r>
      <w:r w:rsidR="00E63D26">
        <w:rPr>
          <w:rFonts w:ascii="Bookman Old Style" w:hAnsi="Bookman Old Style"/>
        </w:rPr>
        <w:t>EDEQ</w:t>
      </w:r>
      <w:r w:rsidRPr="00AD02E6">
        <w:rPr>
          <w:rFonts w:ascii="Bookman Old Style" w:hAnsi="Bookman Old Style"/>
        </w:rPr>
        <w:t xml:space="preserve"> publicar el resumen de la solicitud de aprobación del </w:t>
      </w:r>
      <w:r w:rsidR="00890680">
        <w:rPr>
          <w:rFonts w:ascii="Bookman Old Style" w:hAnsi="Bookman Old Style"/>
        </w:rPr>
        <w:t>Índice de P</w:t>
      </w:r>
      <w:r w:rsidRPr="00AD02E6">
        <w:rPr>
          <w:rFonts w:ascii="Bookman Old Style" w:hAnsi="Bookman Old Style"/>
        </w:rPr>
        <w:t xml:space="preserve">érdidas de </w:t>
      </w:r>
      <w:r w:rsidR="00F64BDF">
        <w:rPr>
          <w:rFonts w:ascii="Bookman Old Style" w:hAnsi="Bookman Old Style"/>
        </w:rPr>
        <w:t>N</w:t>
      </w:r>
      <w:r w:rsidRPr="00AD02E6">
        <w:rPr>
          <w:rFonts w:ascii="Bookman Old Style" w:hAnsi="Bookman Old Style"/>
        </w:rPr>
        <w:t xml:space="preserve">ivel de </w:t>
      </w:r>
      <w:r w:rsidR="00F64BDF">
        <w:rPr>
          <w:rFonts w:ascii="Bookman Old Style" w:hAnsi="Bookman Old Style"/>
        </w:rPr>
        <w:t>T</w:t>
      </w:r>
      <w:r w:rsidRPr="00AD02E6">
        <w:rPr>
          <w:rFonts w:ascii="Bookman Old Style" w:hAnsi="Bookman Old Style"/>
        </w:rPr>
        <w:t>ensión 1 en un periódico de amplia circulación en la zona donde presta el servicio, o en uno de circulación nacional;</w:t>
      </w:r>
    </w:p>
    <w:p w:rsidR="00AD02E6" w:rsidRPr="00AD02E6" w:rsidRDefault="00AD02E6" w:rsidP="00AD02E6">
      <w:pPr>
        <w:ind w:left="0"/>
        <w:jc w:val="both"/>
        <w:rPr>
          <w:rFonts w:ascii="Bookman Old Style" w:hAnsi="Bookman Old Style"/>
        </w:rPr>
      </w:pPr>
    </w:p>
    <w:p w:rsidR="00890680" w:rsidRDefault="00890680" w:rsidP="00915F2A">
      <w:pPr>
        <w:ind w:left="0"/>
        <w:jc w:val="both"/>
        <w:rPr>
          <w:rFonts w:ascii="Bookman Old Style" w:hAnsi="Bookman Old Style"/>
        </w:rPr>
      </w:pPr>
      <w:r w:rsidRPr="00AD02E6">
        <w:rPr>
          <w:rFonts w:ascii="Bookman Old Style" w:hAnsi="Bookman Old Style"/>
        </w:rPr>
        <w:t xml:space="preserve">Que </w:t>
      </w:r>
      <w:r>
        <w:rPr>
          <w:rFonts w:ascii="Bookman Old Style" w:hAnsi="Bookman Old Style"/>
        </w:rPr>
        <w:t>EDEQ</w:t>
      </w:r>
      <w:r w:rsidRPr="00AD02E6">
        <w:rPr>
          <w:rFonts w:ascii="Bookman Old Style" w:hAnsi="Bookman Old Style"/>
        </w:rPr>
        <w:t xml:space="preserve"> envió copia de la publicación efectuada en el diario </w:t>
      </w:r>
      <w:r>
        <w:rPr>
          <w:rFonts w:ascii="Bookman Old Style" w:hAnsi="Bookman Old Style"/>
        </w:rPr>
        <w:t>El</w:t>
      </w:r>
      <w:r w:rsidRPr="00AD02E6">
        <w:rPr>
          <w:rFonts w:ascii="Bookman Old Style" w:hAnsi="Bookman Old Style"/>
        </w:rPr>
        <w:t xml:space="preserve"> </w:t>
      </w:r>
      <w:r>
        <w:rPr>
          <w:rFonts w:ascii="Bookman Old Style" w:hAnsi="Bookman Old Style"/>
        </w:rPr>
        <w:t xml:space="preserve">Espectador </w:t>
      </w:r>
      <w:r w:rsidRPr="00AD02E6">
        <w:rPr>
          <w:rFonts w:ascii="Bookman Old Style" w:hAnsi="Bookman Old Style"/>
        </w:rPr>
        <w:t xml:space="preserve">el día </w:t>
      </w:r>
      <w:r>
        <w:rPr>
          <w:rFonts w:ascii="Bookman Old Style" w:hAnsi="Bookman Old Style"/>
        </w:rPr>
        <w:t>17</w:t>
      </w:r>
      <w:r w:rsidR="0068577B">
        <w:rPr>
          <w:rFonts w:ascii="Bookman Old Style" w:hAnsi="Bookman Old Style"/>
        </w:rPr>
        <w:t xml:space="preserve"> de febrero de 2012 </w:t>
      </w:r>
      <w:r w:rsidR="0068577B" w:rsidRPr="00BA1C07">
        <w:rPr>
          <w:rFonts w:ascii="Bookman Old Style" w:hAnsi="Bookman Old Style"/>
        </w:rPr>
        <w:t>y, a través de la comunicación radicada bajo el código E</w:t>
      </w:r>
      <w:r w:rsidR="0068577B">
        <w:rPr>
          <w:rFonts w:ascii="Bookman Old Style" w:hAnsi="Bookman Old Style"/>
        </w:rPr>
        <w:noBreakHyphen/>
      </w:r>
      <w:r w:rsidR="0068577B" w:rsidRPr="00BA1C07">
        <w:rPr>
          <w:rFonts w:ascii="Bookman Old Style" w:hAnsi="Bookman Old Style"/>
        </w:rPr>
        <w:t>2012</w:t>
      </w:r>
      <w:r w:rsidR="0068577B">
        <w:rPr>
          <w:rFonts w:ascii="Bookman Old Style" w:hAnsi="Bookman Old Style"/>
        </w:rPr>
        <w:noBreakHyphen/>
      </w:r>
      <w:r w:rsidR="0068577B" w:rsidRPr="00BA1C07">
        <w:rPr>
          <w:rFonts w:ascii="Bookman Old Style" w:hAnsi="Bookman Old Style"/>
        </w:rPr>
        <w:t>0014</w:t>
      </w:r>
      <w:r w:rsidR="0068577B">
        <w:rPr>
          <w:rFonts w:ascii="Bookman Old Style" w:hAnsi="Bookman Old Style"/>
        </w:rPr>
        <w:t>40</w:t>
      </w:r>
      <w:r w:rsidR="0068577B" w:rsidRPr="00BA1C07">
        <w:rPr>
          <w:rFonts w:ascii="Bookman Old Style" w:hAnsi="Bookman Old Style"/>
        </w:rPr>
        <w:t>, envió a la Comisión copia de dicha publicación</w:t>
      </w:r>
      <w:r w:rsidR="0068577B">
        <w:rPr>
          <w:rFonts w:ascii="Bookman Old Style" w:hAnsi="Bookman Old Style"/>
        </w:rPr>
        <w:t>;</w:t>
      </w:r>
    </w:p>
    <w:p w:rsidR="00890680" w:rsidRDefault="00890680" w:rsidP="00915F2A">
      <w:pPr>
        <w:ind w:left="0"/>
        <w:jc w:val="both"/>
        <w:rPr>
          <w:rFonts w:ascii="Bookman Old Style" w:hAnsi="Bookman Old Style"/>
        </w:rPr>
      </w:pPr>
    </w:p>
    <w:p w:rsidR="00915F2A" w:rsidRDefault="00915F2A" w:rsidP="00915F2A">
      <w:pPr>
        <w:ind w:left="0"/>
        <w:jc w:val="both"/>
        <w:rPr>
          <w:rFonts w:ascii="Bookman Old Style" w:hAnsi="Bookman Old Style"/>
        </w:rPr>
      </w:pPr>
      <w:r w:rsidRPr="00AD02E6">
        <w:rPr>
          <w:rFonts w:ascii="Bookman Old Style" w:hAnsi="Bookman Old Style"/>
        </w:rPr>
        <w:t>Que XM Compañía de Expertos en Mercados S.A. E.S.P., a través de las comunicaciones con radicados CREG E-2011-005770, E-2011-005771, E</w:t>
      </w:r>
      <w:r>
        <w:rPr>
          <w:rFonts w:ascii="Bookman Old Style" w:hAnsi="Bookman Old Style"/>
        </w:rPr>
        <w:noBreakHyphen/>
      </w:r>
      <w:r w:rsidRPr="00AD02E6">
        <w:rPr>
          <w:rFonts w:ascii="Bookman Old Style" w:hAnsi="Bookman Old Style"/>
        </w:rPr>
        <w:t xml:space="preserve">2011-005772 y E-2011-005773, envió a la Comisión la información de la demanda comercial y lecturas crudas registradas en las fronteras comerciales </w:t>
      </w:r>
      <w:r>
        <w:rPr>
          <w:rFonts w:ascii="Bookman Old Style" w:hAnsi="Bookman Old Style"/>
        </w:rPr>
        <w:t>de</w:t>
      </w:r>
      <w:r w:rsidRPr="007B53E9">
        <w:rPr>
          <w:rFonts w:ascii="Bookman Old Style" w:hAnsi="Bookman Old Style"/>
        </w:rPr>
        <w:t xml:space="preserve"> </w:t>
      </w:r>
      <w:r w:rsidRPr="00AD02E6">
        <w:rPr>
          <w:rFonts w:ascii="Bookman Old Style" w:hAnsi="Bookman Old Style"/>
        </w:rPr>
        <w:t>todos los agentes del mercado para el año 2010;</w:t>
      </w:r>
    </w:p>
    <w:p w:rsidR="00915F2A" w:rsidRPr="00AD02E6" w:rsidRDefault="00915F2A" w:rsidP="00915F2A">
      <w:pPr>
        <w:ind w:left="0"/>
        <w:jc w:val="both"/>
        <w:rPr>
          <w:rFonts w:ascii="Bookman Old Style" w:hAnsi="Bookman Old Style"/>
        </w:rPr>
      </w:pPr>
    </w:p>
    <w:p w:rsidR="00915F2A" w:rsidRPr="00AD02E6" w:rsidRDefault="00915F2A" w:rsidP="00915F2A">
      <w:pPr>
        <w:ind w:left="0"/>
        <w:jc w:val="both"/>
        <w:rPr>
          <w:rFonts w:ascii="Bookman Old Style" w:hAnsi="Bookman Old Style"/>
        </w:rPr>
      </w:pPr>
      <w:r w:rsidRPr="00AD02E6">
        <w:rPr>
          <w:rFonts w:ascii="Bookman Old Style" w:hAnsi="Bookman Old Style"/>
        </w:rPr>
        <w:t xml:space="preserve">Que </w:t>
      </w:r>
      <w:r w:rsidR="002C6C11">
        <w:rPr>
          <w:rFonts w:ascii="Bookman Old Style" w:hAnsi="Bookman Old Style"/>
        </w:rPr>
        <w:t xml:space="preserve">de la misma forma, </w:t>
      </w:r>
      <w:r w:rsidRPr="00AD02E6">
        <w:rPr>
          <w:rFonts w:ascii="Bookman Old Style" w:hAnsi="Bookman Old Style"/>
        </w:rPr>
        <w:t xml:space="preserve">XM Compañía de Expertos en Mercados S.A. E.S.P., a través de </w:t>
      </w:r>
      <w:r w:rsidR="002C6C11">
        <w:rPr>
          <w:rFonts w:ascii="Bookman Old Style" w:hAnsi="Bookman Old Style"/>
        </w:rPr>
        <w:t xml:space="preserve">la </w:t>
      </w:r>
      <w:r w:rsidRPr="00AD02E6">
        <w:rPr>
          <w:rFonts w:ascii="Bookman Old Style" w:hAnsi="Bookman Old Style"/>
        </w:rPr>
        <w:t>comunicación con radicado CREG E-2012-000159, envió a la Comisión la información de la demanda comercial y lecturas crudas registradas en las fronteras comerciales</w:t>
      </w:r>
      <w:r>
        <w:rPr>
          <w:rFonts w:ascii="Bookman Old Style" w:hAnsi="Bookman Old Style"/>
        </w:rPr>
        <w:t xml:space="preserve"> de </w:t>
      </w:r>
      <w:r w:rsidRPr="00AD02E6">
        <w:rPr>
          <w:rFonts w:ascii="Bookman Old Style" w:hAnsi="Bookman Old Style"/>
        </w:rPr>
        <w:t>todos los agentes del mercado para el año 2011;</w:t>
      </w:r>
    </w:p>
    <w:p w:rsidR="00915F2A" w:rsidRPr="00AD02E6" w:rsidRDefault="00915F2A" w:rsidP="00915F2A">
      <w:pPr>
        <w:ind w:left="0"/>
        <w:jc w:val="both"/>
        <w:rPr>
          <w:rFonts w:ascii="Bookman Old Style" w:hAnsi="Bookman Old Style"/>
        </w:rPr>
      </w:pPr>
    </w:p>
    <w:p w:rsidR="00915F2A" w:rsidRPr="00AD02E6" w:rsidRDefault="00915F2A" w:rsidP="00915F2A">
      <w:pPr>
        <w:ind w:left="0"/>
        <w:jc w:val="both"/>
        <w:rPr>
          <w:rFonts w:ascii="Bookman Old Style" w:hAnsi="Bookman Old Style"/>
        </w:rPr>
      </w:pPr>
      <w:r w:rsidRPr="00AD02E6">
        <w:rPr>
          <w:rFonts w:ascii="Bookman Old Style" w:hAnsi="Bookman Old Style"/>
        </w:rPr>
        <w:t xml:space="preserve">Que el día </w:t>
      </w:r>
      <w:r>
        <w:rPr>
          <w:rFonts w:ascii="Bookman Old Style" w:hAnsi="Bookman Old Style"/>
        </w:rPr>
        <w:t>1</w:t>
      </w:r>
      <w:r w:rsidRPr="00AD02E6">
        <w:rPr>
          <w:rFonts w:ascii="Bookman Old Style" w:hAnsi="Bookman Old Style"/>
        </w:rPr>
        <w:t xml:space="preserve">6 de </w:t>
      </w:r>
      <w:r w:rsidR="00053DB3">
        <w:rPr>
          <w:rFonts w:ascii="Bookman Old Style" w:hAnsi="Bookman Old Style"/>
        </w:rPr>
        <w:t>mayo</w:t>
      </w:r>
      <w:r w:rsidRPr="00AD02E6">
        <w:rPr>
          <w:rFonts w:ascii="Bookman Old Style" w:hAnsi="Bookman Old Style"/>
        </w:rPr>
        <w:t xml:space="preserve"> de 2012 se consultó la información comercial del Sistema Único de Información administrado por la Superintendencia de Servicios Públicos Domiciliarios y se obtuvieron los datos correspondientes de </w:t>
      </w:r>
      <w:r>
        <w:rPr>
          <w:rFonts w:ascii="Bookman Old Style" w:hAnsi="Bookman Old Style"/>
        </w:rPr>
        <w:t>EDEQ</w:t>
      </w:r>
      <w:r w:rsidRPr="00AD02E6">
        <w:rPr>
          <w:rFonts w:ascii="Bookman Old Style" w:hAnsi="Bookman Old Style"/>
        </w:rPr>
        <w:t xml:space="preserve"> para los años 2010 y 2011;</w:t>
      </w:r>
    </w:p>
    <w:p w:rsidR="00915F2A" w:rsidRDefault="00915F2A" w:rsidP="00AD02E6">
      <w:pPr>
        <w:ind w:left="0"/>
        <w:jc w:val="both"/>
        <w:rPr>
          <w:rFonts w:ascii="Bookman Old Style" w:hAnsi="Bookman Old Style"/>
        </w:rPr>
      </w:pPr>
    </w:p>
    <w:p w:rsidR="00B629D8" w:rsidRDefault="00B629D8" w:rsidP="00AD02E6">
      <w:pPr>
        <w:ind w:left="0"/>
        <w:jc w:val="both"/>
        <w:rPr>
          <w:rFonts w:ascii="Bookman Old Style" w:hAnsi="Bookman Old Style"/>
        </w:rPr>
      </w:pPr>
      <w:r w:rsidRPr="00AD02E6">
        <w:rPr>
          <w:rFonts w:ascii="Bookman Old Style" w:hAnsi="Bookman Old Style"/>
        </w:rPr>
        <w:t xml:space="preserve">Que </w:t>
      </w:r>
      <w:r>
        <w:rPr>
          <w:rFonts w:ascii="Bookman Old Style" w:hAnsi="Bookman Old Style"/>
        </w:rPr>
        <w:t>el análisis de la información aportada por EDEQ</w:t>
      </w:r>
      <w:r w:rsidRPr="00AD02E6">
        <w:rPr>
          <w:rFonts w:ascii="Bookman Old Style" w:hAnsi="Bookman Old Style"/>
        </w:rPr>
        <w:t xml:space="preserve"> </w:t>
      </w:r>
      <w:r>
        <w:rPr>
          <w:rFonts w:ascii="Bookman Old Style" w:hAnsi="Bookman Old Style"/>
        </w:rPr>
        <w:t xml:space="preserve">se resume en el Documento </w:t>
      </w:r>
      <w:r w:rsidRPr="003276E7">
        <w:rPr>
          <w:rFonts w:ascii="Bookman Old Style" w:hAnsi="Bookman Old Style"/>
        </w:rPr>
        <w:t xml:space="preserve">CREG </w:t>
      </w:r>
      <w:r w:rsidR="003276E7">
        <w:rPr>
          <w:rFonts w:ascii="Bookman Old Style" w:hAnsi="Bookman Old Style"/>
        </w:rPr>
        <w:t>029</w:t>
      </w:r>
      <w:r w:rsidRPr="003276E7">
        <w:rPr>
          <w:rFonts w:ascii="Bookman Old Style" w:hAnsi="Bookman Old Style"/>
        </w:rPr>
        <w:t xml:space="preserve"> de</w:t>
      </w:r>
      <w:r>
        <w:rPr>
          <w:rFonts w:ascii="Bookman Old Style" w:hAnsi="Bookman Old Style"/>
        </w:rPr>
        <w:t xml:space="preserve"> 2012; </w:t>
      </w:r>
    </w:p>
    <w:p w:rsidR="00B629D8" w:rsidRPr="003276E7" w:rsidRDefault="00B629D8" w:rsidP="00AD02E6">
      <w:pPr>
        <w:ind w:left="0"/>
        <w:jc w:val="both"/>
        <w:rPr>
          <w:rFonts w:ascii="Bookman Old Style" w:hAnsi="Bookman Old Style"/>
          <w:sz w:val="20"/>
        </w:rPr>
      </w:pPr>
    </w:p>
    <w:p w:rsidR="00EF529D" w:rsidRDefault="00C9308D" w:rsidP="00AD02E6">
      <w:pPr>
        <w:ind w:left="0"/>
        <w:jc w:val="both"/>
        <w:rPr>
          <w:rFonts w:ascii="Bookman Old Style" w:hAnsi="Bookman Old Style"/>
        </w:rPr>
      </w:pPr>
      <w:r>
        <w:rPr>
          <w:rFonts w:ascii="Bookman Old Style" w:hAnsi="Bookman Old Style"/>
        </w:rPr>
        <w:t>Que de conformidad con el procedimiento establecido en el anexo 5 de la Resolución CREG 172 de 2011 se calculó el Índice de Pérdidas de Nivel de Tensión 1 para el sistema operado por EDEQ,</w:t>
      </w:r>
      <w:r w:rsidR="008D1AD2">
        <w:rPr>
          <w:rFonts w:ascii="Bookman Old Style" w:hAnsi="Bookman Old Style"/>
        </w:rPr>
        <w:t xml:space="preserve"> tal como se detalla en el documento soporte de la presenta resolución</w:t>
      </w:r>
      <w:r w:rsidR="00EF529D">
        <w:rPr>
          <w:rFonts w:ascii="Bookman Old Style" w:hAnsi="Bookman Old Style"/>
        </w:rPr>
        <w:t xml:space="preserve">; </w:t>
      </w:r>
    </w:p>
    <w:p w:rsidR="00B629D8" w:rsidRDefault="00B629D8" w:rsidP="00AD02E6">
      <w:pPr>
        <w:ind w:left="0"/>
        <w:jc w:val="both"/>
        <w:rPr>
          <w:rFonts w:ascii="Bookman Old Style" w:hAnsi="Bookman Old Style"/>
        </w:rPr>
      </w:pPr>
    </w:p>
    <w:p w:rsidR="003276E7" w:rsidRDefault="003276E7" w:rsidP="00AD02E6">
      <w:pPr>
        <w:ind w:left="0"/>
        <w:jc w:val="both"/>
        <w:rPr>
          <w:rFonts w:ascii="Bookman Old Style" w:hAnsi="Bookman Old Style"/>
        </w:rPr>
      </w:pPr>
    </w:p>
    <w:p w:rsidR="00AD02E6" w:rsidRDefault="00F64BDF" w:rsidP="00AD02E6">
      <w:pPr>
        <w:ind w:left="0"/>
        <w:jc w:val="both"/>
        <w:rPr>
          <w:rFonts w:ascii="Bookman Old Style" w:hAnsi="Bookman Old Style"/>
        </w:rPr>
      </w:pPr>
      <w:r>
        <w:rPr>
          <w:rFonts w:ascii="Bookman Old Style" w:hAnsi="Bookman Old Style"/>
        </w:rPr>
        <w:t xml:space="preserve">Que </w:t>
      </w:r>
      <w:r w:rsidR="00AD02E6" w:rsidRPr="00AD02E6">
        <w:rPr>
          <w:rFonts w:ascii="Bookman Old Style" w:hAnsi="Bookman Old Style"/>
        </w:rPr>
        <w:t>la Comisión de Regu</w:t>
      </w:r>
      <w:r w:rsidR="00890680">
        <w:rPr>
          <w:rFonts w:ascii="Bookman Old Style" w:hAnsi="Bookman Old Style"/>
        </w:rPr>
        <w:t>lación de Energía y Gas, en su S</w:t>
      </w:r>
      <w:r w:rsidR="00AD02E6" w:rsidRPr="00AD02E6">
        <w:rPr>
          <w:rFonts w:ascii="Bookman Old Style" w:hAnsi="Bookman Old Style"/>
        </w:rPr>
        <w:t xml:space="preserve">esión </w:t>
      </w:r>
      <w:r w:rsidR="00890680">
        <w:rPr>
          <w:rFonts w:ascii="Bookman Old Style" w:hAnsi="Bookman Old Style"/>
        </w:rPr>
        <w:t>No</w:t>
      </w:r>
      <w:r w:rsidR="00890680" w:rsidRPr="003276E7">
        <w:rPr>
          <w:rFonts w:ascii="Bookman Old Style" w:hAnsi="Bookman Old Style"/>
        </w:rPr>
        <w:t xml:space="preserve">. </w:t>
      </w:r>
      <w:r w:rsidR="003276E7">
        <w:rPr>
          <w:rFonts w:ascii="Bookman Old Style" w:hAnsi="Bookman Old Style"/>
        </w:rPr>
        <w:t xml:space="preserve">523 </w:t>
      </w:r>
      <w:r w:rsidR="00AD02E6" w:rsidRPr="003276E7">
        <w:rPr>
          <w:rFonts w:ascii="Bookman Old Style" w:hAnsi="Bookman Old Style"/>
        </w:rPr>
        <w:t xml:space="preserve">del </w:t>
      </w:r>
      <w:r w:rsidR="003276E7">
        <w:rPr>
          <w:rFonts w:ascii="Bookman Old Style" w:hAnsi="Bookman Old Style"/>
        </w:rPr>
        <w:t>25</w:t>
      </w:r>
      <w:r w:rsidR="007E11E2" w:rsidRPr="007E11E2">
        <w:rPr>
          <w:rFonts w:ascii="Bookman Old Style" w:hAnsi="Bookman Old Style"/>
        </w:rPr>
        <w:t xml:space="preserve"> </w:t>
      </w:r>
      <w:r w:rsidR="00AD02E6" w:rsidRPr="007E11E2">
        <w:rPr>
          <w:rFonts w:ascii="Bookman Old Style" w:hAnsi="Bookman Old Style"/>
        </w:rPr>
        <w:t xml:space="preserve">de </w:t>
      </w:r>
      <w:r w:rsidR="003276E7">
        <w:rPr>
          <w:rFonts w:ascii="Bookman Old Style" w:hAnsi="Bookman Old Style"/>
        </w:rPr>
        <w:t>junio</w:t>
      </w:r>
      <w:r w:rsidR="007E11E2" w:rsidRPr="007E11E2">
        <w:rPr>
          <w:rFonts w:ascii="Bookman Old Style" w:hAnsi="Bookman Old Style"/>
        </w:rPr>
        <w:t xml:space="preserve"> </w:t>
      </w:r>
      <w:r w:rsidR="00AD02E6" w:rsidRPr="007E11E2">
        <w:rPr>
          <w:rFonts w:ascii="Bookman Old Style" w:hAnsi="Bookman Old Style"/>
        </w:rPr>
        <w:t>de 201</w:t>
      </w:r>
      <w:r w:rsidR="007E11E2" w:rsidRPr="007E11E2">
        <w:rPr>
          <w:rFonts w:ascii="Bookman Old Style" w:hAnsi="Bookman Old Style"/>
        </w:rPr>
        <w:t>2</w:t>
      </w:r>
      <w:r w:rsidR="00AD02E6" w:rsidRPr="007E11E2">
        <w:rPr>
          <w:rFonts w:ascii="Bookman Old Style" w:hAnsi="Bookman Old Style"/>
        </w:rPr>
        <w:t>, acordó expedir la presente resolución;</w:t>
      </w:r>
    </w:p>
    <w:p w:rsidR="000B4E51" w:rsidRPr="000B4E51" w:rsidRDefault="000B4E51" w:rsidP="000B4E51">
      <w:pPr>
        <w:ind w:left="0"/>
        <w:jc w:val="both"/>
        <w:rPr>
          <w:rFonts w:ascii="Bookman Old Style" w:hAnsi="Bookman Old Style"/>
        </w:rPr>
      </w:pPr>
    </w:p>
    <w:p w:rsidR="000B4E51" w:rsidRPr="000B4E51" w:rsidRDefault="000B4E51" w:rsidP="000B4E51">
      <w:pPr>
        <w:ind w:left="0"/>
        <w:jc w:val="both"/>
        <w:rPr>
          <w:rFonts w:ascii="Bookman Old Style" w:hAnsi="Bookman Old Style"/>
          <w:b/>
        </w:rPr>
      </w:pPr>
      <w:bookmarkStart w:id="7" w:name="_Toc259626851"/>
    </w:p>
    <w:p w:rsidR="000B4E51" w:rsidRPr="000B4E51" w:rsidRDefault="000B4E51" w:rsidP="00857A4A">
      <w:pPr>
        <w:ind w:left="0"/>
        <w:jc w:val="center"/>
        <w:rPr>
          <w:rFonts w:ascii="Bookman Old Style" w:hAnsi="Bookman Old Style"/>
          <w:b/>
          <w:spacing w:val="40"/>
        </w:rPr>
      </w:pPr>
      <w:r w:rsidRPr="000B4E51">
        <w:rPr>
          <w:rFonts w:ascii="Bookman Old Style" w:hAnsi="Bookman Old Style"/>
          <w:b/>
        </w:rPr>
        <w:t xml:space="preserve">R E S U E L V </w:t>
      </w:r>
      <w:r w:rsidRPr="000B4E51">
        <w:rPr>
          <w:rFonts w:ascii="Bookman Old Style" w:hAnsi="Bookman Old Style"/>
          <w:b/>
          <w:spacing w:val="40"/>
        </w:rPr>
        <w:t>E:</w:t>
      </w:r>
      <w:bookmarkEnd w:id="7"/>
    </w:p>
    <w:p w:rsidR="000B4E51" w:rsidRDefault="000B4E51" w:rsidP="000B4E51">
      <w:pPr>
        <w:ind w:left="0"/>
        <w:jc w:val="both"/>
        <w:rPr>
          <w:rFonts w:ascii="Bookman Old Style" w:hAnsi="Bookman Old Style"/>
          <w:b/>
          <w:spacing w:val="40"/>
        </w:rPr>
      </w:pPr>
    </w:p>
    <w:p w:rsidR="00857A4A" w:rsidRPr="000B4E51" w:rsidRDefault="00857A4A" w:rsidP="000B4E51">
      <w:pPr>
        <w:ind w:left="0"/>
        <w:jc w:val="both"/>
        <w:rPr>
          <w:rFonts w:ascii="Bookman Old Style" w:hAnsi="Bookman Old Style"/>
          <w:b/>
          <w:spacing w:val="40"/>
        </w:rPr>
      </w:pPr>
    </w:p>
    <w:p w:rsidR="003010CB" w:rsidRDefault="003010CB" w:rsidP="003010CB">
      <w:pPr>
        <w:pStyle w:val="Artculo"/>
      </w:pPr>
      <w:r w:rsidRPr="000F5446">
        <w:rPr>
          <w:b/>
        </w:rPr>
        <w:t>Índice de Pérdidas de Nivel de Tensión 1</w:t>
      </w:r>
      <w:r w:rsidR="000B4E51" w:rsidRPr="005003EF">
        <w:rPr>
          <w:b/>
        </w:rPr>
        <w:t>.</w:t>
      </w:r>
      <w:r w:rsidR="000B4E51" w:rsidRPr="000B4E51">
        <w:t xml:space="preserve"> </w:t>
      </w:r>
      <w:r w:rsidRPr="003010CB">
        <w:t xml:space="preserve">El Índice de Pérdidas </w:t>
      </w:r>
      <w:r w:rsidR="002518BE">
        <w:t>d</w:t>
      </w:r>
      <w:r w:rsidRPr="003010CB">
        <w:t xml:space="preserve">e Nivel de Tensión 1 </w:t>
      </w:r>
      <w:r w:rsidR="002518BE">
        <w:t>reconocido</w:t>
      </w:r>
      <w:r w:rsidR="002518BE" w:rsidRPr="003010CB">
        <w:t xml:space="preserve"> </w:t>
      </w:r>
      <w:r w:rsidR="002518BE">
        <w:t xml:space="preserve">para </w:t>
      </w:r>
      <w:r w:rsidRPr="003010CB">
        <w:t xml:space="preserve">el sistema operado por </w:t>
      </w:r>
      <w:r w:rsidR="00E12DE2">
        <w:t xml:space="preserve">el OR </w:t>
      </w:r>
      <w:r w:rsidR="002518BE">
        <w:t xml:space="preserve">Empresa de Energía del Quindío </w:t>
      </w:r>
      <w:r w:rsidRPr="003010CB">
        <w:t>S.A</w:t>
      </w:r>
      <w:r w:rsidR="002518BE">
        <w:t>.</w:t>
      </w:r>
      <w:r w:rsidRPr="003010CB">
        <w:t xml:space="preserve"> E.S.P., calculado en la forma establecida en la Resolución CREG</w:t>
      </w:r>
      <w:r w:rsidR="002518BE">
        <w:t xml:space="preserve"> </w:t>
      </w:r>
      <w:r w:rsidRPr="003010CB">
        <w:t>172 de 2011, es:</w:t>
      </w:r>
    </w:p>
    <w:p w:rsidR="003010CB" w:rsidRDefault="003010CB" w:rsidP="003010CB">
      <w:pPr>
        <w:ind w:left="0"/>
        <w:rPr>
          <w:rFonts w:ascii="Bookman Old Style" w:hAnsi="Bookman Old Style"/>
        </w:rPr>
      </w:pPr>
    </w:p>
    <w:p w:rsidR="003276E7" w:rsidRDefault="003276E7" w:rsidP="003010CB">
      <w:pPr>
        <w:ind w:left="0"/>
        <w:rPr>
          <w:rFonts w:ascii="Bookman Old Style" w:hAnsi="Bookman Old Style"/>
        </w:rPr>
      </w:pPr>
    </w:p>
    <w:p w:rsidR="003010CB" w:rsidRPr="0068577B" w:rsidRDefault="00EC5E38" w:rsidP="003010CB">
      <w:pPr>
        <w:ind w:left="0"/>
        <w:rPr>
          <w:rFonts w:ascii="Bookman Old Style" w:hAnsi="Bookman Old Style"/>
          <w:b/>
          <w:i/>
          <w:sz w:val="26"/>
          <w:szCs w:val="26"/>
        </w:rPr>
      </w:pPr>
      <m:oMathPara>
        <m:oMath>
          <m:sSub>
            <m:sSubPr>
              <m:ctrlPr>
                <w:rPr>
                  <w:rFonts w:ascii="Cambria Math" w:hAnsi="Cambria Math"/>
                  <w:b/>
                  <w:i/>
                  <w:sz w:val="26"/>
                  <w:szCs w:val="26"/>
                </w:rPr>
              </m:ctrlPr>
            </m:sSubPr>
            <m:e>
              <m:r>
                <m:rPr>
                  <m:sty m:val="bi"/>
                </m:rPr>
                <w:rPr>
                  <w:rFonts w:ascii="Cambria Math" w:hAnsi="Cambria Math"/>
                  <w:sz w:val="26"/>
                  <w:szCs w:val="26"/>
                </w:rPr>
                <m:t>P</m:t>
              </m:r>
            </m:e>
            <m:sub>
              <m:r>
                <m:rPr>
                  <m:sty m:val="bi"/>
                </m:rPr>
                <w:rPr>
                  <w:rFonts w:ascii="Cambria Math" w:hAnsi="Cambria Math"/>
                  <w:sz w:val="26"/>
                  <w:szCs w:val="26"/>
                </w:rPr>
                <m:t>j,1,0</m:t>
              </m:r>
            </m:sub>
          </m:sSub>
          <m:r>
            <m:rPr>
              <m:sty m:val="bi"/>
            </m:rPr>
            <w:rPr>
              <w:rFonts w:ascii="Cambria Math" w:hAnsi="Cambria Math"/>
              <w:sz w:val="26"/>
              <w:szCs w:val="26"/>
            </w:rPr>
            <m:t>=8,06 %</m:t>
          </m:r>
        </m:oMath>
      </m:oMathPara>
    </w:p>
    <w:p w:rsidR="000B4E51" w:rsidRDefault="000B4E51" w:rsidP="003010CB">
      <w:pPr>
        <w:ind w:left="0"/>
        <w:rPr>
          <w:rFonts w:ascii="Bookman Old Style" w:hAnsi="Bookman Old Style"/>
          <w:b/>
        </w:rPr>
      </w:pPr>
    </w:p>
    <w:p w:rsidR="003276E7" w:rsidRDefault="003276E7" w:rsidP="003010CB">
      <w:pPr>
        <w:ind w:left="0"/>
        <w:rPr>
          <w:rFonts w:ascii="Bookman Old Style" w:hAnsi="Bookman Old Style"/>
          <w:b/>
        </w:rPr>
      </w:pPr>
    </w:p>
    <w:p w:rsidR="007A4FB7" w:rsidRPr="0068577B" w:rsidRDefault="007A4FB7" w:rsidP="009E773C">
      <w:pPr>
        <w:ind w:left="0"/>
        <w:jc w:val="both"/>
        <w:rPr>
          <w:rFonts w:ascii="Bookman Old Style" w:hAnsi="Bookman Old Style"/>
        </w:rPr>
      </w:pPr>
      <w:r>
        <w:rPr>
          <w:rFonts w:ascii="Bookman Old Style" w:hAnsi="Bookman Old Style"/>
          <w:b/>
        </w:rPr>
        <w:t>Parágrafo:</w:t>
      </w:r>
      <w:r>
        <w:rPr>
          <w:rFonts w:ascii="Bookman Old Style" w:hAnsi="Bookman Old Style"/>
        </w:rPr>
        <w:t xml:space="preserve"> </w:t>
      </w:r>
      <w:r w:rsidR="008D1AD2">
        <w:rPr>
          <w:rFonts w:ascii="Bookman Old Style" w:hAnsi="Bookman Old Style"/>
        </w:rPr>
        <w:t>De conformidad con el numeral 5.1 del Anexo 5 de la Resolución CREG 172 de 2011</w:t>
      </w:r>
      <w:r w:rsidR="0068577B">
        <w:rPr>
          <w:rFonts w:ascii="Bookman Old Style" w:hAnsi="Bookman Old Style"/>
        </w:rPr>
        <w:t>,</w:t>
      </w:r>
      <w:r w:rsidR="008D1AD2">
        <w:rPr>
          <w:rFonts w:ascii="Bookman Old Style" w:hAnsi="Bookman Old Style"/>
        </w:rPr>
        <w:t xml:space="preserve"> a</w:t>
      </w:r>
      <w:r>
        <w:rPr>
          <w:rFonts w:ascii="Bookman Old Style" w:hAnsi="Bookman Old Style"/>
        </w:rPr>
        <w:t xml:space="preserve"> partir de aprobación de la presente resolución </w:t>
      </w:r>
      <w:r w:rsidR="0068577B">
        <w:rPr>
          <w:rFonts w:ascii="Bookman Old Style" w:hAnsi="Bookman Old Style"/>
        </w:rPr>
        <w:t xml:space="preserve">y </w:t>
      </w:r>
      <w:r>
        <w:rPr>
          <w:rFonts w:ascii="Bookman Old Style" w:hAnsi="Bookman Old Style"/>
        </w:rPr>
        <w:t>hasta el 3</w:t>
      </w:r>
      <w:r w:rsidR="0068577B">
        <w:rPr>
          <w:rFonts w:ascii="Bookman Old Style" w:hAnsi="Bookman Old Style"/>
        </w:rPr>
        <w:t>1</w:t>
      </w:r>
      <w:r>
        <w:rPr>
          <w:rFonts w:ascii="Bookman Old Style" w:hAnsi="Bookman Old Style"/>
        </w:rPr>
        <w:t xml:space="preserve"> de </w:t>
      </w:r>
      <w:r w:rsidR="0068577B">
        <w:rPr>
          <w:rFonts w:ascii="Bookman Old Style" w:hAnsi="Bookman Old Style"/>
        </w:rPr>
        <w:t xml:space="preserve">diciembre </w:t>
      </w:r>
      <w:r>
        <w:rPr>
          <w:rFonts w:ascii="Bookman Old Style" w:hAnsi="Bookman Old Style"/>
        </w:rPr>
        <w:t>del año 2013</w:t>
      </w:r>
      <w:r w:rsidR="00451B93">
        <w:rPr>
          <w:rFonts w:ascii="Bookman Old Style" w:hAnsi="Bookman Old Style"/>
        </w:rPr>
        <w:t>,</w:t>
      </w:r>
      <w:r>
        <w:rPr>
          <w:rFonts w:ascii="Bookman Old Style" w:hAnsi="Bookman Old Style"/>
        </w:rPr>
        <w:t xml:space="preserve"> el </w:t>
      </w:r>
      <w:r w:rsidR="007E11E2">
        <w:rPr>
          <w:rFonts w:ascii="Bookman Old Style" w:hAnsi="Bookman Old Style"/>
        </w:rPr>
        <w:t xml:space="preserve">valor de </w:t>
      </w:r>
      <w:r w:rsidR="007E11E2" w:rsidRPr="00451B93">
        <w:rPr>
          <w:rFonts w:ascii="Bookman Old Style" w:hAnsi="Bookman Old Style"/>
          <w:i/>
        </w:rPr>
        <w:t>P</w:t>
      </w:r>
      <w:r w:rsidR="007E11E2" w:rsidRPr="00451B93">
        <w:rPr>
          <w:rFonts w:ascii="Bookman Old Style" w:hAnsi="Bookman Old Style"/>
          <w:i/>
          <w:vertAlign w:val="subscript"/>
        </w:rPr>
        <w:t>j</w:t>
      </w:r>
      <w:proofErr w:type="gramStart"/>
      <w:r w:rsidR="007E11E2" w:rsidRPr="00451B93">
        <w:rPr>
          <w:rFonts w:ascii="Bookman Old Style" w:hAnsi="Bookman Old Style"/>
          <w:i/>
          <w:vertAlign w:val="subscript"/>
        </w:rPr>
        <w:t>,1</w:t>
      </w:r>
      <w:proofErr w:type="gramEnd"/>
      <w:r w:rsidR="007E11E2">
        <w:rPr>
          <w:rFonts w:ascii="Bookman Old Style" w:hAnsi="Bookman Old Style"/>
        </w:rPr>
        <w:t xml:space="preserve"> </w:t>
      </w:r>
      <w:r w:rsidR="009E773C">
        <w:rPr>
          <w:rFonts w:ascii="Bookman Old Style" w:hAnsi="Bookman Old Style"/>
        </w:rPr>
        <w:t xml:space="preserve">será igual </w:t>
      </w:r>
      <w:r w:rsidR="009E773C" w:rsidRPr="001777E8">
        <w:rPr>
          <w:rFonts w:ascii="Bookman Old Style" w:hAnsi="Bookman Old Style"/>
        </w:rPr>
        <w:t xml:space="preserve">a </w:t>
      </w:r>
      <w:r w:rsidR="00BC070A">
        <w:rPr>
          <w:rFonts w:ascii="Bookman Old Style" w:hAnsi="Bookman Old Style"/>
        </w:rPr>
        <w:t>9</w:t>
      </w:r>
      <w:r w:rsidR="009E773C" w:rsidRPr="001777E8">
        <w:rPr>
          <w:rFonts w:ascii="Bookman Old Style" w:hAnsi="Bookman Old Style"/>
        </w:rPr>
        <w:t>,</w:t>
      </w:r>
      <w:r w:rsidR="00BC070A">
        <w:rPr>
          <w:rFonts w:ascii="Bookman Old Style" w:hAnsi="Bookman Old Style"/>
        </w:rPr>
        <w:t>16</w:t>
      </w:r>
      <w:r w:rsidR="00E12DE2">
        <w:rPr>
          <w:rFonts w:ascii="Bookman Old Style" w:hAnsi="Bookman Old Style"/>
        </w:rPr>
        <w:t> </w:t>
      </w:r>
      <w:r w:rsidR="009E773C" w:rsidRPr="001777E8">
        <w:rPr>
          <w:rFonts w:ascii="Bookman Old Style" w:hAnsi="Bookman Old Style"/>
        </w:rPr>
        <w:t>%</w:t>
      </w:r>
      <w:r w:rsidR="001777E8" w:rsidRPr="001777E8">
        <w:rPr>
          <w:rFonts w:ascii="Bookman Old Style" w:hAnsi="Bookman Old Style"/>
        </w:rPr>
        <w:t>. P</w:t>
      </w:r>
      <w:r w:rsidR="00443A6B">
        <w:rPr>
          <w:rFonts w:ascii="Bookman Old Style" w:hAnsi="Bookman Old Style"/>
        </w:rPr>
        <w:t>ara el perí</w:t>
      </w:r>
      <w:r w:rsidR="009E773C" w:rsidRPr="001777E8">
        <w:rPr>
          <w:rFonts w:ascii="Bookman Old Style" w:hAnsi="Bookman Old Style"/>
        </w:rPr>
        <w:t xml:space="preserve">odo comprendido entre el 1 de </w:t>
      </w:r>
      <w:r w:rsidR="0068577B">
        <w:rPr>
          <w:rFonts w:ascii="Bookman Old Style" w:hAnsi="Bookman Old Style"/>
        </w:rPr>
        <w:t xml:space="preserve">enero </w:t>
      </w:r>
      <w:r w:rsidR="009E773C" w:rsidRPr="001777E8">
        <w:rPr>
          <w:rFonts w:ascii="Bookman Old Style" w:hAnsi="Bookman Old Style"/>
        </w:rPr>
        <w:t>de 201</w:t>
      </w:r>
      <w:r w:rsidR="0068577B">
        <w:rPr>
          <w:rFonts w:ascii="Bookman Old Style" w:hAnsi="Bookman Old Style"/>
        </w:rPr>
        <w:t>4</w:t>
      </w:r>
      <w:r w:rsidR="009E773C" w:rsidRPr="001777E8">
        <w:rPr>
          <w:rFonts w:ascii="Bookman Old Style" w:hAnsi="Bookman Old Style"/>
        </w:rPr>
        <w:t xml:space="preserve"> al </w:t>
      </w:r>
      <w:r w:rsidR="0068577B">
        <w:rPr>
          <w:rFonts w:ascii="Bookman Old Style" w:hAnsi="Bookman Old Style"/>
        </w:rPr>
        <w:t>31</w:t>
      </w:r>
      <w:r w:rsidR="009E773C" w:rsidRPr="001777E8">
        <w:rPr>
          <w:rFonts w:ascii="Bookman Old Style" w:hAnsi="Bookman Old Style"/>
        </w:rPr>
        <w:t xml:space="preserve"> de </w:t>
      </w:r>
      <w:r w:rsidR="0068577B">
        <w:rPr>
          <w:rFonts w:ascii="Bookman Old Style" w:hAnsi="Bookman Old Style"/>
        </w:rPr>
        <w:t>diciembre</w:t>
      </w:r>
      <w:r w:rsidR="009E773C" w:rsidRPr="001777E8">
        <w:rPr>
          <w:rFonts w:ascii="Bookman Old Style" w:hAnsi="Bookman Old Style"/>
        </w:rPr>
        <w:t xml:space="preserve"> de 2014 el </w:t>
      </w:r>
      <w:r w:rsidR="001777E8" w:rsidRPr="001777E8">
        <w:rPr>
          <w:rFonts w:ascii="Bookman Old Style" w:hAnsi="Bookman Old Style"/>
        </w:rPr>
        <w:t xml:space="preserve">valor de </w:t>
      </w:r>
      <w:r w:rsidR="001777E8" w:rsidRPr="00451B93">
        <w:rPr>
          <w:rFonts w:ascii="Bookman Old Style" w:hAnsi="Bookman Old Style"/>
          <w:i/>
        </w:rPr>
        <w:t>P</w:t>
      </w:r>
      <w:r w:rsidR="001777E8" w:rsidRPr="00451B93">
        <w:rPr>
          <w:rFonts w:ascii="Bookman Old Style" w:hAnsi="Bookman Old Style"/>
          <w:i/>
          <w:vertAlign w:val="subscript"/>
        </w:rPr>
        <w:t>j</w:t>
      </w:r>
      <w:proofErr w:type="gramStart"/>
      <w:r w:rsidR="001777E8" w:rsidRPr="00451B93">
        <w:rPr>
          <w:rFonts w:ascii="Bookman Old Style" w:hAnsi="Bookman Old Style"/>
          <w:i/>
          <w:vertAlign w:val="subscript"/>
        </w:rPr>
        <w:t>,1</w:t>
      </w:r>
      <w:proofErr w:type="gramEnd"/>
      <w:r w:rsidR="009E773C" w:rsidRPr="001777E8">
        <w:rPr>
          <w:rFonts w:ascii="Bookman Old Style" w:hAnsi="Bookman Old Style"/>
        </w:rPr>
        <w:t xml:space="preserve"> será igual a </w:t>
      </w:r>
      <w:r w:rsidR="00BC070A">
        <w:rPr>
          <w:rFonts w:ascii="Bookman Old Style" w:hAnsi="Bookman Old Style"/>
        </w:rPr>
        <w:t>8</w:t>
      </w:r>
      <w:r w:rsidR="009E773C" w:rsidRPr="001777E8">
        <w:rPr>
          <w:rFonts w:ascii="Bookman Old Style" w:hAnsi="Bookman Old Style"/>
        </w:rPr>
        <w:t>.</w:t>
      </w:r>
      <w:r w:rsidR="00053DB3">
        <w:rPr>
          <w:rFonts w:ascii="Bookman Old Style" w:hAnsi="Bookman Old Style"/>
        </w:rPr>
        <w:t>61</w:t>
      </w:r>
      <w:r w:rsidR="00E12DE2">
        <w:rPr>
          <w:rFonts w:ascii="Bookman Old Style" w:hAnsi="Bookman Old Style"/>
        </w:rPr>
        <w:t> </w:t>
      </w:r>
      <w:r w:rsidR="009E773C" w:rsidRPr="001777E8">
        <w:rPr>
          <w:rFonts w:ascii="Bookman Old Style" w:hAnsi="Bookman Old Style"/>
        </w:rPr>
        <w:t xml:space="preserve">% y a partir del 1 de </w:t>
      </w:r>
      <w:r w:rsidR="0068577B">
        <w:rPr>
          <w:rFonts w:ascii="Bookman Old Style" w:hAnsi="Bookman Old Style"/>
        </w:rPr>
        <w:t>enero</w:t>
      </w:r>
      <w:r w:rsidR="009E773C" w:rsidRPr="001777E8">
        <w:rPr>
          <w:rFonts w:ascii="Bookman Old Style" w:hAnsi="Bookman Old Style"/>
        </w:rPr>
        <w:t xml:space="preserve"> de 20</w:t>
      </w:r>
      <w:r w:rsidR="009E773C">
        <w:rPr>
          <w:rFonts w:ascii="Bookman Old Style" w:hAnsi="Bookman Old Style"/>
        </w:rPr>
        <w:t>1</w:t>
      </w:r>
      <w:r w:rsidR="0068577B">
        <w:rPr>
          <w:rFonts w:ascii="Bookman Old Style" w:hAnsi="Bookman Old Style"/>
        </w:rPr>
        <w:t>5</w:t>
      </w:r>
      <w:r w:rsidR="009E773C">
        <w:rPr>
          <w:rFonts w:ascii="Bookman Old Style" w:hAnsi="Bookman Old Style"/>
        </w:rPr>
        <w:t xml:space="preserve"> corresponderá al valor señalado en este artículo</w:t>
      </w:r>
      <w:r w:rsidR="00E12DE2">
        <w:rPr>
          <w:rFonts w:ascii="Bookman Old Style" w:hAnsi="Bookman Old Style"/>
        </w:rPr>
        <w:t xml:space="preserve"> para </w:t>
      </w:r>
      <w:r w:rsidR="00E12DE2" w:rsidRPr="00451B93">
        <w:rPr>
          <w:rFonts w:ascii="Bookman Old Style" w:hAnsi="Bookman Old Style"/>
          <w:i/>
        </w:rPr>
        <w:t>P</w:t>
      </w:r>
      <w:r w:rsidR="00E12DE2" w:rsidRPr="00451B93">
        <w:rPr>
          <w:rFonts w:ascii="Bookman Old Style" w:hAnsi="Bookman Old Style"/>
          <w:i/>
          <w:vertAlign w:val="subscript"/>
        </w:rPr>
        <w:t>j,1,0</w:t>
      </w:r>
      <w:r w:rsidR="009E773C">
        <w:rPr>
          <w:rFonts w:ascii="Bookman Old Style" w:hAnsi="Bookman Old Style"/>
        </w:rPr>
        <w:t xml:space="preserve">. </w:t>
      </w:r>
    </w:p>
    <w:p w:rsidR="003010CB" w:rsidRPr="003276E7" w:rsidRDefault="003010CB" w:rsidP="003010CB">
      <w:pPr>
        <w:ind w:left="0"/>
        <w:rPr>
          <w:rFonts w:ascii="Bookman Old Style" w:hAnsi="Bookman Old Style"/>
          <w:b/>
          <w:sz w:val="32"/>
        </w:rPr>
      </w:pPr>
    </w:p>
    <w:p w:rsidR="000B4E51" w:rsidRPr="000B4E51" w:rsidRDefault="003010CB" w:rsidP="003010CB">
      <w:pPr>
        <w:pStyle w:val="Artculo"/>
      </w:pPr>
      <w:bookmarkStart w:id="8" w:name="_Ref207937090"/>
      <w:r w:rsidRPr="003010CB">
        <w:rPr>
          <w:b/>
        </w:rPr>
        <w:t>Modificación del a</w:t>
      </w:r>
      <w:r w:rsidR="00E12DE2">
        <w:rPr>
          <w:b/>
        </w:rPr>
        <w:t xml:space="preserve">rtículo 6 de la Resolución CREG </w:t>
      </w:r>
      <w:r w:rsidRPr="003010CB">
        <w:rPr>
          <w:b/>
        </w:rPr>
        <w:t>10</w:t>
      </w:r>
      <w:r w:rsidR="00BC070A">
        <w:rPr>
          <w:b/>
        </w:rPr>
        <w:t>6</w:t>
      </w:r>
      <w:r w:rsidRPr="003010CB">
        <w:rPr>
          <w:b/>
        </w:rPr>
        <w:t xml:space="preserve"> de 2009</w:t>
      </w:r>
      <w:r w:rsidR="000B4E51" w:rsidRPr="00962DD6">
        <w:rPr>
          <w:b/>
        </w:rPr>
        <w:t>.</w:t>
      </w:r>
      <w:r w:rsidR="000B4E51" w:rsidRPr="000B4E51">
        <w:t xml:space="preserve"> </w:t>
      </w:r>
      <w:r w:rsidRPr="003010CB">
        <w:t>El artículo 6 de la resolución CREG 10</w:t>
      </w:r>
      <w:r w:rsidR="00BC070A">
        <w:t>6</w:t>
      </w:r>
      <w:r w:rsidRPr="003010CB">
        <w:t xml:space="preserve"> de 2009 queda así</w:t>
      </w:r>
      <w:r w:rsidR="000B4E51" w:rsidRPr="000B4E51">
        <w:t>:</w:t>
      </w:r>
      <w:bookmarkEnd w:id="8"/>
    </w:p>
    <w:p w:rsidR="000B4E51" w:rsidRDefault="000B4E51" w:rsidP="000B4E51">
      <w:pPr>
        <w:ind w:left="0"/>
        <w:jc w:val="both"/>
        <w:rPr>
          <w:rFonts w:ascii="Bookman Old Style" w:hAnsi="Bookman Old Style"/>
        </w:rPr>
      </w:pPr>
    </w:p>
    <w:p w:rsidR="003010CB" w:rsidRDefault="003010CB" w:rsidP="003010CB">
      <w:pPr>
        <w:pStyle w:val="Artculo"/>
        <w:numPr>
          <w:ilvl w:val="0"/>
          <w:numId w:val="0"/>
        </w:numPr>
        <w:ind w:left="567" w:right="425"/>
        <w:rPr>
          <w:i/>
        </w:rPr>
      </w:pPr>
      <w:r>
        <w:rPr>
          <w:b/>
        </w:rPr>
        <w:t>“</w:t>
      </w:r>
      <w:r w:rsidRPr="00722187">
        <w:rPr>
          <w:b/>
          <w:i/>
        </w:rPr>
        <w:t>Artículo 6. Pérdidas reconocidas.</w:t>
      </w:r>
      <w:r w:rsidRPr="00722187">
        <w:rPr>
          <w:i/>
        </w:rPr>
        <w:t xml:space="preserve"> Las pérdidas reconocidas para cada nivel de tensión del sistema operado por el OR </w:t>
      </w:r>
      <w:r w:rsidR="00EF529D" w:rsidRPr="00722187">
        <w:rPr>
          <w:i/>
        </w:rPr>
        <w:t xml:space="preserve">Empresa de Energía del Quindío </w:t>
      </w:r>
      <w:r w:rsidRPr="00722187">
        <w:rPr>
          <w:i/>
        </w:rPr>
        <w:t>S.A</w:t>
      </w:r>
      <w:r w:rsidR="00EF529D" w:rsidRPr="00722187">
        <w:rPr>
          <w:i/>
        </w:rPr>
        <w:t>.</w:t>
      </w:r>
      <w:r w:rsidRPr="00722187">
        <w:rPr>
          <w:i/>
        </w:rPr>
        <w:t xml:space="preserve"> E.S.P., calculadas en la forma es</w:t>
      </w:r>
      <w:r w:rsidR="00E12DE2" w:rsidRPr="00722187">
        <w:rPr>
          <w:i/>
        </w:rPr>
        <w:t xml:space="preserve">tablecida en la Resolución CREG </w:t>
      </w:r>
      <w:r w:rsidRPr="00722187">
        <w:rPr>
          <w:i/>
        </w:rPr>
        <w:t>097 de 2008 y 172 de 2011, son:</w:t>
      </w:r>
    </w:p>
    <w:p w:rsidR="003276E7" w:rsidRPr="00722187" w:rsidRDefault="003276E7" w:rsidP="003010CB">
      <w:pPr>
        <w:pStyle w:val="Artculo"/>
        <w:numPr>
          <w:ilvl w:val="0"/>
          <w:numId w:val="0"/>
        </w:numPr>
        <w:ind w:left="567" w:right="425"/>
        <w:rPr>
          <w:i/>
        </w:rPr>
      </w:pPr>
    </w:p>
    <w:p w:rsidR="003010CB" w:rsidRDefault="003010CB" w:rsidP="003010CB">
      <w:pPr>
        <w:pStyle w:val="Artculo"/>
        <w:numPr>
          <w:ilvl w:val="0"/>
          <w:numId w:val="0"/>
        </w:numPr>
        <w:ind w:left="567" w:right="425"/>
      </w:pPr>
    </w:p>
    <w:tbl>
      <w:tblPr>
        <w:tblStyle w:val="Tablaconcuadrcula"/>
        <w:tblW w:w="0" w:type="auto"/>
        <w:jc w:val="center"/>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42"/>
        <w:gridCol w:w="1662"/>
      </w:tblGrid>
      <w:tr w:rsidR="003010CB" w:rsidTr="009E773C">
        <w:trPr>
          <w:trHeight w:val="406"/>
          <w:jc w:val="center"/>
        </w:trPr>
        <w:tc>
          <w:tcPr>
            <w:tcW w:w="4542" w:type="dxa"/>
            <w:tcBorders>
              <w:top w:val="single" w:sz="12" w:space="0" w:color="auto"/>
              <w:bottom w:val="single" w:sz="12" w:space="0" w:color="auto"/>
            </w:tcBorders>
            <w:vAlign w:val="center"/>
          </w:tcPr>
          <w:p w:rsidR="003010CB" w:rsidRPr="00B36196" w:rsidRDefault="003010CB" w:rsidP="00B36196">
            <w:pPr>
              <w:ind w:left="17"/>
              <w:jc w:val="center"/>
              <w:rPr>
                <w:rFonts w:ascii="Bookman Old Style" w:hAnsi="Bookman Old Style"/>
                <w:b/>
              </w:rPr>
            </w:pPr>
            <w:r w:rsidRPr="00B36196">
              <w:rPr>
                <w:rFonts w:ascii="Bookman Old Style" w:hAnsi="Bookman Old Style"/>
                <w:b/>
              </w:rPr>
              <w:t>Índice de pérdidas reconocidas</w:t>
            </w:r>
          </w:p>
        </w:tc>
        <w:tc>
          <w:tcPr>
            <w:tcW w:w="1662" w:type="dxa"/>
            <w:tcBorders>
              <w:top w:val="single" w:sz="12" w:space="0" w:color="auto"/>
              <w:bottom w:val="single" w:sz="12" w:space="0" w:color="auto"/>
            </w:tcBorders>
            <w:vAlign w:val="center"/>
          </w:tcPr>
          <w:p w:rsidR="003010CB" w:rsidRPr="00B36196" w:rsidRDefault="003010CB" w:rsidP="00B36196">
            <w:pPr>
              <w:ind w:left="11"/>
              <w:jc w:val="center"/>
              <w:rPr>
                <w:rFonts w:ascii="Bookman Old Style" w:hAnsi="Bookman Old Style"/>
                <w:b/>
              </w:rPr>
            </w:pPr>
            <w:r w:rsidRPr="00B36196">
              <w:rPr>
                <w:rFonts w:ascii="Bookman Old Style" w:hAnsi="Bookman Old Style"/>
                <w:b/>
              </w:rPr>
              <w:t>(%)</w:t>
            </w:r>
          </w:p>
        </w:tc>
      </w:tr>
      <w:tr w:rsidR="003010CB" w:rsidTr="00B36196">
        <w:trPr>
          <w:trHeight w:val="404"/>
          <w:jc w:val="center"/>
        </w:trPr>
        <w:tc>
          <w:tcPr>
            <w:tcW w:w="4542" w:type="dxa"/>
            <w:tcBorders>
              <w:top w:val="single" w:sz="12" w:space="0" w:color="auto"/>
            </w:tcBorders>
            <w:vAlign w:val="center"/>
          </w:tcPr>
          <w:p w:rsidR="003010CB" w:rsidRPr="00B36196" w:rsidRDefault="003010CB" w:rsidP="00B36196">
            <w:pPr>
              <w:ind w:left="17"/>
              <w:rPr>
                <w:rFonts w:ascii="Bookman Old Style" w:hAnsi="Bookman Old Style"/>
              </w:rPr>
            </w:pPr>
            <w:r w:rsidRPr="00B36196">
              <w:rPr>
                <w:rFonts w:ascii="Bookman Old Style" w:hAnsi="Bookman Old Style"/>
              </w:rPr>
              <w:t>Nivel de Tensión 4 (</w:t>
            </w:r>
            <w:r w:rsidRPr="00B36196">
              <w:rPr>
                <w:rFonts w:ascii="Bookman Old Style" w:hAnsi="Bookman Old Style"/>
                <w:b/>
                <w:i/>
              </w:rPr>
              <w:t>P</w:t>
            </w:r>
            <w:r w:rsidRPr="00B36196">
              <w:rPr>
                <w:rFonts w:ascii="Bookman Old Style" w:hAnsi="Bookman Old Style"/>
                <w:b/>
                <w:i/>
                <w:vertAlign w:val="subscript"/>
              </w:rPr>
              <w:t>j,4</w:t>
            </w:r>
            <w:r w:rsidRPr="00B36196">
              <w:rPr>
                <w:rFonts w:ascii="Bookman Old Style" w:hAnsi="Bookman Old Style"/>
              </w:rPr>
              <w:t>)</w:t>
            </w:r>
          </w:p>
        </w:tc>
        <w:tc>
          <w:tcPr>
            <w:tcW w:w="1662" w:type="dxa"/>
            <w:tcBorders>
              <w:top w:val="single" w:sz="12" w:space="0" w:color="auto"/>
            </w:tcBorders>
            <w:vAlign w:val="center"/>
          </w:tcPr>
          <w:p w:rsidR="003010CB" w:rsidRPr="00B36196" w:rsidRDefault="00B36196" w:rsidP="00B36196">
            <w:pPr>
              <w:ind w:left="11"/>
              <w:jc w:val="center"/>
              <w:rPr>
                <w:rFonts w:ascii="Bookman Old Style" w:hAnsi="Bookman Old Style"/>
              </w:rPr>
            </w:pPr>
            <w:r w:rsidRPr="00B36196">
              <w:rPr>
                <w:rFonts w:ascii="Bookman Old Style" w:hAnsi="Bookman Old Style"/>
              </w:rPr>
              <w:t>0,91</w:t>
            </w:r>
          </w:p>
        </w:tc>
      </w:tr>
      <w:tr w:rsidR="00B36196" w:rsidTr="00B36196">
        <w:trPr>
          <w:trHeight w:val="404"/>
          <w:jc w:val="center"/>
        </w:trPr>
        <w:tc>
          <w:tcPr>
            <w:tcW w:w="4542" w:type="dxa"/>
            <w:vAlign w:val="center"/>
          </w:tcPr>
          <w:p w:rsidR="00B36196" w:rsidRPr="00B36196" w:rsidRDefault="00B36196" w:rsidP="009E773C">
            <w:pPr>
              <w:ind w:left="17"/>
              <w:rPr>
                <w:rFonts w:ascii="Bookman Old Style" w:hAnsi="Bookman Old Style"/>
              </w:rPr>
            </w:pPr>
            <w:r w:rsidRPr="00B36196">
              <w:rPr>
                <w:rFonts w:ascii="Bookman Old Style" w:hAnsi="Bookman Old Style"/>
              </w:rPr>
              <w:t xml:space="preserve">Nivel de Tensión </w:t>
            </w:r>
            <w:r>
              <w:rPr>
                <w:rFonts w:ascii="Bookman Old Style" w:hAnsi="Bookman Old Style"/>
              </w:rPr>
              <w:t>3</w:t>
            </w:r>
            <w:r w:rsidRPr="00B36196">
              <w:rPr>
                <w:rFonts w:ascii="Bookman Old Style" w:hAnsi="Bookman Old Style"/>
              </w:rPr>
              <w:t xml:space="preserve"> (</w:t>
            </w:r>
            <w:r w:rsidRPr="00B36196">
              <w:rPr>
                <w:rFonts w:ascii="Bookman Old Style" w:hAnsi="Bookman Old Style"/>
                <w:b/>
                <w:i/>
              </w:rPr>
              <w:t>P</w:t>
            </w:r>
            <w:r w:rsidRPr="00B36196">
              <w:rPr>
                <w:rFonts w:ascii="Bookman Old Style" w:hAnsi="Bookman Old Style"/>
                <w:b/>
                <w:i/>
                <w:vertAlign w:val="subscript"/>
              </w:rPr>
              <w:t>j,</w:t>
            </w:r>
            <w:r w:rsidR="009E773C">
              <w:rPr>
                <w:rFonts w:ascii="Bookman Old Style" w:hAnsi="Bookman Old Style"/>
                <w:b/>
                <w:i/>
                <w:vertAlign w:val="subscript"/>
              </w:rPr>
              <w:t>3</w:t>
            </w:r>
            <w:r w:rsidRPr="00B36196">
              <w:rPr>
                <w:rFonts w:ascii="Bookman Old Style" w:hAnsi="Bookman Old Style"/>
              </w:rPr>
              <w:t>)</w:t>
            </w:r>
          </w:p>
        </w:tc>
        <w:tc>
          <w:tcPr>
            <w:tcW w:w="1662" w:type="dxa"/>
            <w:vAlign w:val="center"/>
          </w:tcPr>
          <w:p w:rsidR="00B36196" w:rsidRPr="00B36196" w:rsidRDefault="00E12DE2" w:rsidP="00B36196">
            <w:pPr>
              <w:ind w:left="11"/>
              <w:jc w:val="center"/>
              <w:rPr>
                <w:rFonts w:ascii="Bookman Old Style" w:hAnsi="Bookman Old Style"/>
              </w:rPr>
            </w:pPr>
            <w:r>
              <w:rPr>
                <w:rFonts w:ascii="Bookman Old Style" w:hAnsi="Bookman Old Style"/>
              </w:rPr>
              <w:t>1,55</w:t>
            </w:r>
          </w:p>
        </w:tc>
      </w:tr>
      <w:tr w:rsidR="00B36196" w:rsidTr="00B36196">
        <w:trPr>
          <w:trHeight w:val="404"/>
          <w:jc w:val="center"/>
        </w:trPr>
        <w:tc>
          <w:tcPr>
            <w:tcW w:w="4542" w:type="dxa"/>
            <w:vAlign w:val="center"/>
          </w:tcPr>
          <w:p w:rsidR="00B36196" w:rsidRPr="00B36196" w:rsidRDefault="00B36196" w:rsidP="009E773C">
            <w:pPr>
              <w:ind w:left="17"/>
              <w:rPr>
                <w:rFonts w:ascii="Bookman Old Style" w:hAnsi="Bookman Old Style"/>
              </w:rPr>
            </w:pPr>
            <w:r w:rsidRPr="00B36196">
              <w:rPr>
                <w:rFonts w:ascii="Bookman Old Style" w:hAnsi="Bookman Old Style"/>
              </w:rPr>
              <w:t xml:space="preserve">Nivel de Tensión </w:t>
            </w:r>
            <w:r>
              <w:rPr>
                <w:rFonts w:ascii="Bookman Old Style" w:hAnsi="Bookman Old Style"/>
              </w:rPr>
              <w:t>2</w:t>
            </w:r>
            <w:r w:rsidRPr="00B36196">
              <w:rPr>
                <w:rFonts w:ascii="Bookman Old Style" w:hAnsi="Bookman Old Style"/>
              </w:rPr>
              <w:t xml:space="preserve"> (</w:t>
            </w:r>
            <w:r w:rsidRPr="00B36196">
              <w:rPr>
                <w:rFonts w:ascii="Bookman Old Style" w:hAnsi="Bookman Old Style"/>
                <w:b/>
                <w:i/>
              </w:rPr>
              <w:t>P</w:t>
            </w:r>
            <w:r w:rsidRPr="00B36196">
              <w:rPr>
                <w:rFonts w:ascii="Bookman Old Style" w:hAnsi="Bookman Old Style"/>
                <w:b/>
                <w:i/>
                <w:vertAlign w:val="subscript"/>
              </w:rPr>
              <w:t>j,</w:t>
            </w:r>
            <w:r w:rsidR="009E773C">
              <w:rPr>
                <w:rFonts w:ascii="Bookman Old Style" w:hAnsi="Bookman Old Style"/>
                <w:b/>
                <w:i/>
                <w:vertAlign w:val="subscript"/>
              </w:rPr>
              <w:t>2</w:t>
            </w:r>
            <w:r w:rsidRPr="00B36196">
              <w:rPr>
                <w:rFonts w:ascii="Bookman Old Style" w:hAnsi="Bookman Old Style"/>
              </w:rPr>
              <w:t>)</w:t>
            </w:r>
          </w:p>
        </w:tc>
        <w:tc>
          <w:tcPr>
            <w:tcW w:w="1662" w:type="dxa"/>
            <w:vAlign w:val="center"/>
          </w:tcPr>
          <w:p w:rsidR="00B36196" w:rsidRPr="00B36196" w:rsidRDefault="00E12DE2" w:rsidP="00B36196">
            <w:pPr>
              <w:ind w:left="11"/>
              <w:jc w:val="center"/>
              <w:rPr>
                <w:rFonts w:ascii="Bookman Old Style" w:hAnsi="Bookman Old Style"/>
              </w:rPr>
            </w:pPr>
            <w:r>
              <w:rPr>
                <w:rFonts w:ascii="Bookman Old Style" w:hAnsi="Bookman Old Style"/>
              </w:rPr>
              <w:t>1,54</w:t>
            </w:r>
          </w:p>
        </w:tc>
      </w:tr>
      <w:tr w:rsidR="00B36196" w:rsidTr="00B36196">
        <w:trPr>
          <w:trHeight w:val="404"/>
          <w:jc w:val="center"/>
        </w:trPr>
        <w:tc>
          <w:tcPr>
            <w:tcW w:w="4542" w:type="dxa"/>
            <w:vAlign w:val="center"/>
          </w:tcPr>
          <w:p w:rsidR="00B36196" w:rsidRPr="00B36196" w:rsidRDefault="00B36196" w:rsidP="009E773C">
            <w:pPr>
              <w:ind w:left="17"/>
              <w:rPr>
                <w:rFonts w:ascii="Bookman Old Style" w:hAnsi="Bookman Old Style"/>
              </w:rPr>
            </w:pPr>
            <w:r w:rsidRPr="00B36196">
              <w:rPr>
                <w:rFonts w:ascii="Bookman Old Style" w:hAnsi="Bookman Old Style"/>
              </w:rPr>
              <w:t xml:space="preserve">Nivel de Tensión </w:t>
            </w:r>
            <w:r>
              <w:rPr>
                <w:rFonts w:ascii="Bookman Old Style" w:hAnsi="Bookman Old Style"/>
              </w:rPr>
              <w:t>1</w:t>
            </w:r>
            <w:r w:rsidRPr="00B36196">
              <w:rPr>
                <w:rFonts w:ascii="Bookman Old Style" w:hAnsi="Bookman Old Style"/>
              </w:rPr>
              <w:t xml:space="preserve"> (</w:t>
            </w:r>
            <w:r w:rsidRPr="00B36196">
              <w:rPr>
                <w:rFonts w:ascii="Bookman Old Style" w:hAnsi="Bookman Old Style"/>
                <w:b/>
                <w:i/>
              </w:rPr>
              <w:t>P</w:t>
            </w:r>
            <w:r w:rsidRPr="00B36196">
              <w:rPr>
                <w:rFonts w:ascii="Bookman Old Style" w:hAnsi="Bookman Old Style"/>
                <w:b/>
                <w:i/>
                <w:vertAlign w:val="subscript"/>
              </w:rPr>
              <w:t>j,</w:t>
            </w:r>
            <w:r w:rsidR="009E773C">
              <w:rPr>
                <w:rFonts w:ascii="Bookman Old Style" w:hAnsi="Bookman Old Style"/>
                <w:b/>
                <w:i/>
                <w:vertAlign w:val="subscript"/>
              </w:rPr>
              <w:t>1</w:t>
            </w:r>
            <w:r w:rsidRPr="00B36196">
              <w:rPr>
                <w:rFonts w:ascii="Bookman Old Style" w:hAnsi="Bookman Old Style"/>
              </w:rPr>
              <w:t>)</w:t>
            </w:r>
          </w:p>
        </w:tc>
        <w:tc>
          <w:tcPr>
            <w:tcW w:w="1662" w:type="dxa"/>
            <w:vAlign w:val="center"/>
          </w:tcPr>
          <w:p w:rsidR="00B36196" w:rsidRPr="00B36196" w:rsidRDefault="00053DB3" w:rsidP="00053DB3">
            <w:pPr>
              <w:ind w:left="11"/>
              <w:jc w:val="center"/>
              <w:rPr>
                <w:rFonts w:ascii="Bookman Old Style" w:hAnsi="Bookman Old Style"/>
              </w:rPr>
            </w:pPr>
            <w:r>
              <w:rPr>
                <w:rFonts w:ascii="Bookman Old Style" w:hAnsi="Bookman Old Style"/>
              </w:rPr>
              <w:t>8</w:t>
            </w:r>
            <w:r w:rsidR="00E12DE2">
              <w:rPr>
                <w:rFonts w:ascii="Bookman Old Style" w:hAnsi="Bookman Old Style"/>
              </w:rPr>
              <w:t>,</w:t>
            </w:r>
            <w:r>
              <w:rPr>
                <w:rFonts w:ascii="Bookman Old Style" w:hAnsi="Bookman Old Style"/>
              </w:rPr>
              <w:t>06</w:t>
            </w:r>
          </w:p>
        </w:tc>
      </w:tr>
    </w:tbl>
    <w:p w:rsidR="003276E7" w:rsidRDefault="003276E7" w:rsidP="003010CB">
      <w:pPr>
        <w:pStyle w:val="Artculo"/>
        <w:numPr>
          <w:ilvl w:val="0"/>
          <w:numId w:val="0"/>
        </w:numPr>
        <w:ind w:left="567" w:right="425"/>
      </w:pPr>
    </w:p>
    <w:p w:rsidR="003010CB" w:rsidRPr="00722187" w:rsidRDefault="00B36196" w:rsidP="00B36196">
      <w:pPr>
        <w:pStyle w:val="Artculo"/>
        <w:numPr>
          <w:ilvl w:val="0"/>
          <w:numId w:val="0"/>
        </w:numPr>
        <w:ind w:left="567" w:right="425"/>
        <w:rPr>
          <w:i/>
        </w:rPr>
      </w:pPr>
      <w:r w:rsidRPr="00722187">
        <w:rPr>
          <w:b/>
          <w:i/>
          <w:noProof/>
          <w:lang w:val="es-CO" w:eastAsia="es-CO"/>
        </w:rPr>
        <w:t>Parágrafo:</w:t>
      </w:r>
      <w:r w:rsidRPr="00722187">
        <w:rPr>
          <w:i/>
          <w:noProof/>
          <w:lang w:val="es-CO" w:eastAsia="es-CO"/>
        </w:rPr>
        <w:t xml:space="preserve"> </w:t>
      </w:r>
      <w:r w:rsidR="001777E8" w:rsidRPr="00722187">
        <w:rPr>
          <w:i/>
        </w:rPr>
        <w:t xml:space="preserve">A partir de la aprobación de la resolución </w:t>
      </w:r>
      <w:r w:rsidR="00451B93" w:rsidRPr="00722187">
        <w:rPr>
          <w:i/>
        </w:rPr>
        <w:t xml:space="preserve">que defina el Índice de Pérdidas de Nivel de Tensión 1 reconocido para el sistema operado por EDEQ </w:t>
      </w:r>
      <w:r w:rsidR="001777E8" w:rsidRPr="00722187">
        <w:rPr>
          <w:i/>
        </w:rPr>
        <w:t>y hasta el 3</w:t>
      </w:r>
      <w:r w:rsidR="0068577B">
        <w:rPr>
          <w:i/>
        </w:rPr>
        <w:t>1</w:t>
      </w:r>
      <w:r w:rsidR="001777E8" w:rsidRPr="00722187">
        <w:rPr>
          <w:i/>
        </w:rPr>
        <w:t xml:space="preserve"> de </w:t>
      </w:r>
      <w:r w:rsidR="0068577B">
        <w:rPr>
          <w:i/>
        </w:rPr>
        <w:t>diciembre</w:t>
      </w:r>
      <w:r w:rsidR="001777E8" w:rsidRPr="00722187">
        <w:rPr>
          <w:i/>
        </w:rPr>
        <w:t xml:space="preserve"> del año 201</w:t>
      </w:r>
      <w:r w:rsidR="0068577B">
        <w:rPr>
          <w:i/>
        </w:rPr>
        <w:t>3</w:t>
      </w:r>
      <w:r w:rsidR="001777E8" w:rsidRPr="00722187">
        <w:rPr>
          <w:i/>
        </w:rPr>
        <w:t xml:space="preserve"> el valor de P</w:t>
      </w:r>
      <w:r w:rsidR="001777E8" w:rsidRPr="00722187">
        <w:rPr>
          <w:i/>
          <w:vertAlign w:val="subscript"/>
        </w:rPr>
        <w:t>j</w:t>
      </w:r>
      <w:proofErr w:type="gramStart"/>
      <w:r w:rsidR="001777E8" w:rsidRPr="00722187">
        <w:rPr>
          <w:i/>
          <w:vertAlign w:val="subscript"/>
        </w:rPr>
        <w:t>,1</w:t>
      </w:r>
      <w:proofErr w:type="gramEnd"/>
      <w:r w:rsidR="001777E8" w:rsidRPr="00722187">
        <w:rPr>
          <w:i/>
        </w:rPr>
        <w:t xml:space="preserve"> será igual a </w:t>
      </w:r>
      <w:r w:rsidR="00EF529D" w:rsidRPr="00722187">
        <w:rPr>
          <w:i/>
        </w:rPr>
        <w:t>9</w:t>
      </w:r>
      <w:r w:rsidR="001777E8" w:rsidRPr="00722187">
        <w:rPr>
          <w:i/>
        </w:rPr>
        <w:t>,</w:t>
      </w:r>
      <w:r w:rsidR="00EF529D" w:rsidRPr="00722187">
        <w:rPr>
          <w:i/>
        </w:rPr>
        <w:t>16</w:t>
      </w:r>
      <w:r w:rsidR="00443A6B" w:rsidRPr="00722187">
        <w:rPr>
          <w:i/>
        </w:rPr>
        <w:t xml:space="preserve"> %. Para el perí</w:t>
      </w:r>
      <w:r w:rsidR="001777E8" w:rsidRPr="00722187">
        <w:rPr>
          <w:i/>
        </w:rPr>
        <w:t xml:space="preserve">odo comprendido entre el 1 de </w:t>
      </w:r>
      <w:r w:rsidR="0068577B">
        <w:rPr>
          <w:i/>
        </w:rPr>
        <w:t>enero</w:t>
      </w:r>
      <w:r w:rsidR="001777E8" w:rsidRPr="00722187">
        <w:rPr>
          <w:i/>
        </w:rPr>
        <w:t xml:space="preserve"> de 201</w:t>
      </w:r>
      <w:r w:rsidR="0068577B">
        <w:rPr>
          <w:i/>
        </w:rPr>
        <w:t>4</w:t>
      </w:r>
      <w:r w:rsidR="001777E8" w:rsidRPr="00722187">
        <w:rPr>
          <w:i/>
        </w:rPr>
        <w:t xml:space="preserve"> al 3</w:t>
      </w:r>
      <w:r w:rsidR="0068577B">
        <w:rPr>
          <w:i/>
        </w:rPr>
        <w:t>1</w:t>
      </w:r>
      <w:r w:rsidR="001777E8" w:rsidRPr="00722187">
        <w:rPr>
          <w:i/>
        </w:rPr>
        <w:t xml:space="preserve"> de </w:t>
      </w:r>
      <w:r w:rsidR="0068577B">
        <w:rPr>
          <w:i/>
        </w:rPr>
        <w:t>diciembre</w:t>
      </w:r>
      <w:r w:rsidR="001777E8" w:rsidRPr="00722187">
        <w:rPr>
          <w:i/>
        </w:rPr>
        <w:t xml:space="preserve"> de 2014 el valor de P</w:t>
      </w:r>
      <w:r w:rsidR="001777E8" w:rsidRPr="00722187">
        <w:rPr>
          <w:i/>
          <w:vertAlign w:val="subscript"/>
        </w:rPr>
        <w:t>j</w:t>
      </w:r>
      <w:proofErr w:type="gramStart"/>
      <w:r w:rsidR="001777E8" w:rsidRPr="00722187">
        <w:rPr>
          <w:i/>
          <w:vertAlign w:val="subscript"/>
        </w:rPr>
        <w:t>,1</w:t>
      </w:r>
      <w:proofErr w:type="gramEnd"/>
      <w:r w:rsidR="001777E8" w:rsidRPr="00722187">
        <w:rPr>
          <w:i/>
        </w:rPr>
        <w:t xml:space="preserve"> será igual a </w:t>
      </w:r>
      <w:r w:rsidR="00EF529D" w:rsidRPr="00722187">
        <w:rPr>
          <w:i/>
        </w:rPr>
        <w:t>8</w:t>
      </w:r>
      <w:r w:rsidR="001777E8" w:rsidRPr="00722187">
        <w:rPr>
          <w:i/>
        </w:rPr>
        <w:t>.</w:t>
      </w:r>
      <w:r w:rsidR="00053DB3">
        <w:rPr>
          <w:i/>
        </w:rPr>
        <w:t>61</w:t>
      </w:r>
      <w:r w:rsidR="001777E8" w:rsidRPr="00722187">
        <w:rPr>
          <w:i/>
        </w:rPr>
        <w:t xml:space="preserve"> % y a partir del 1 de </w:t>
      </w:r>
      <w:r w:rsidR="00863BC3">
        <w:rPr>
          <w:i/>
        </w:rPr>
        <w:t>enero</w:t>
      </w:r>
      <w:r w:rsidR="001777E8" w:rsidRPr="00722187">
        <w:rPr>
          <w:i/>
        </w:rPr>
        <w:t xml:space="preserve"> de 201</w:t>
      </w:r>
      <w:r w:rsidR="00863BC3">
        <w:rPr>
          <w:i/>
        </w:rPr>
        <w:t>5</w:t>
      </w:r>
      <w:r w:rsidR="001777E8" w:rsidRPr="00722187">
        <w:rPr>
          <w:i/>
        </w:rPr>
        <w:t xml:space="preserve"> corresponderá al valor señalado en este artículo.</w:t>
      </w:r>
      <w:r w:rsidR="00E12DE2" w:rsidRPr="00722187">
        <w:rPr>
          <w:i/>
        </w:rPr>
        <w:t>”</w:t>
      </w:r>
    </w:p>
    <w:p w:rsidR="003010CB" w:rsidRDefault="003010CB" w:rsidP="000B4E51">
      <w:pPr>
        <w:ind w:left="0"/>
        <w:jc w:val="both"/>
        <w:rPr>
          <w:rFonts w:ascii="Bookman Old Style" w:hAnsi="Bookman Old Style"/>
        </w:rPr>
      </w:pPr>
    </w:p>
    <w:p w:rsidR="003276E7" w:rsidRDefault="003276E7" w:rsidP="000B4E51">
      <w:pPr>
        <w:ind w:left="0"/>
        <w:jc w:val="both"/>
        <w:rPr>
          <w:rFonts w:ascii="Bookman Old Style" w:hAnsi="Bookman Old Style"/>
        </w:rPr>
      </w:pPr>
    </w:p>
    <w:p w:rsidR="005C3BB2" w:rsidRDefault="005C3BB2" w:rsidP="000B4E51">
      <w:pPr>
        <w:ind w:left="0"/>
        <w:jc w:val="both"/>
        <w:rPr>
          <w:rFonts w:ascii="Bookman Old Style" w:hAnsi="Bookman Old Style"/>
        </w:rPr>
      </w:pPr>
    </w:p>
    <w:p w:rsidR="003276E7" w:rsidRPr="000B4E51" w:rsidRDefault="003276E7" w:rsidP="000B4E51">
      <w:pPr>
        <w:ind w:left="0"/>
        <w:jc w:val="both"/>
        <w:rPr>
          <w:rFonts w:ascii="Bookman Old Style" w:hAnsi="Bookman Old Style"/>
        </w:rPr>
      </w:pPr>
    </w:p>
    <w:p w:rsidR="000B4E51" w:rsidRDefault="000B4E51" w:rsidP="00F66D96">
      <w:pPr>
        <w:pStyle w:val="Artculo"/>
      </w:pPr>
      <w:r w:rsidRPr="003010CB">
        <w:rPr>
          <w:b/>
        </w:rPr>
        <w:t xml:space="preserve">Vigencia. </w:t>
      </w:r>
      <w:r w:rsidR="00B36196">
        <w:t xml:space="preserve">De conformidad con lo previsto </w:t>
      </w:r>
      <w:r w:rsidR="00451B93">
        <w:t>en</w:t>
      </w:r>
      <w:r w:rsidR="00B36196">
        <w:t xml:space="preserve"> el artículo 18 de la </w:t>
      </w:r>
      <w:r w:rsidR="00451B93">
        <w:t>R</w:t>
      </w:r>
      <w:r w:rsidR="00B36196">
        <w:t>esolución CREG 172 de 2</w:t>
      </w:r>
      <w:r w:rsidR="00443A6B">
        <w:t>011, el valor aprobado en esta r</w:t>
      </w:r>
      <w:r w:rsidR="00B36196">
        <w:t>esolución estará vigente desde la fecha en que quede en firme</w:t>
      </w:r>
      <w:r w:rsidR="00863BC3">
        <w:t xml:space="preserve"> y </w:t>
      </w:r>
      <w:r w:rsidR="00863BC3" w:rsidRPr="00B53E42">
        <w:t>continuará rigiendo hasta que la Comisión apruebe uno nuevo.</w:t>
      </w:r>
    </w:p>
    <w:p w:rsidR="00B36196" w:rsidRPr="003276E7" w:rsidRDefault="00B36196" w:rsidP="00B36196">
      <w:pPr>
        <w:ind w:left="0"/>
        <w:jc w:val="both"/>
        <w:rPr>
          <w:rFonts w:ascii="Bookman Old Style" w:hAnsi="Bookman Old Style"/>
          <w:sz w:val="32"/>
        </w:rPr>
      </w:pPr>
    </w:p>
    <w:p w:rsidR="00B36196" w:rsidRPr="000B4E51" w:rsidRDefault="00B36196" w:rsidP="00F66D96">
      <w:pPr>
        <w:pStyle w:val="Artculo"/>
      </w:pPr>
      <w:r w:rsidRPr="00B36196">
        <w:rPr>
          <w:b/>
        </w:rPr>
        <w:t>Recursos.</w:t>
      </w:r>
      <w:r w:rsidRPr="00B36196">
        <w:t xml:space="preserve"> </w:t>
      </w:r>
      <w:r w:rsidR="00443A6B">
        <w:t>La presente r</w:t>
      </w:r>
      <w:r>
        <w:t>esolución deberá notificarse a</w:t>
      </w:r>
      <w:r w:rsidR="00443A6B">
        <w:t>l</w:t>
      </w:r>
      <w:r w:rsidR="00863BC3">
        <w:t xml:space="preserve"> representante legal</w:t>
      </w:r>
      <w:r w:rsidR="00443A6B">
        <w:t xml:space="preserve"> </w:t>
      </w:r>
      <w:r w:rsidR="00863BC3">
        <w:t xml:space="preserve">de la </w:t>
      </w:r>
      <w:r w:rsidR="00443A6B">
        <w:t xml:space="preserve">Empresa de Energía del Quindío </w:t>
      </w:r>
      <w:r>
        <w:t>S.A. E.S.P.</w:t>
      </w:r>
      <w:r w:rsidR="00863BC3">
        <w:t>, c</w:t>
      </w:r>
      <w:r>
        <w:t xml:space="preserve">ontra lo dispuesto en este acto procede el recurso de reposición, el cual se podrá interponer ante la Dirección Ejecutiva de la CREG dentro de los cinco (5) días hábiles siguientes a la fecha de su notificación. </w:t>
      </w:r>
    </w:p>
    <w:p w:rsidR="000B4E51" w:rsidRPr="000B4E51" w:rsidRDefault="000B4E51" w:rsidP="000B4E51">
      <w:pPr>
        <w:jc w:val="both"/>
        <w:rPr>
          <w:rFonts w:ascii="Bookman Old Style" w:hAnsi="Bookman Old Style"/>
        </w:rPr>
      </w:pPr>
    </w:p>
    <w:p w:rsidR="000B4E51" w:rsidRDefault="000B4E51" w:rsidP="000B4E51">
      <w:pPr>
        <w:jc w:val="both"/>
        <w:rPr>
          <w:rFonts w:ascii="Bookman Old Style" w:hAnsi="Bookman Old Style" w:cs="Arial"/>
          <w:spacing w:val="-3"/>
        </w:rPr>
      </w:pPr>
    </w:p>
    <w:p w:rsidR="000B1944" w:rsidRPr="000058F4" w:rsidRDefault="00B36196" w:rsidP="000B1944">
      <w:pPr>
        <w:ind w:left="0"/>
        <w:jc w:val="center"/>
        <w:rPr>
          <w:rFonts w:ascii="Bookman Old Style" w:hAnsi="Bookman Old Style"/>
          <w:b/>
        </w:rPr>
      </w:pPr>
      <w:r>
        <w:rPr>
          <w:rFonts w:ascii="Bookman Old Style" w:hAnsi="Bookman Old Style"/>
          <w:b/>
        </w:rPr>
        <w:t xml:space="preserve">NOTIFÍQUESE, </w:t>
      </w:r>
      <w:r w:rsidR="000B1944">
        <w:rPr>
          <w:rFonts w:ascii="Bookman Old Style" w:hAnsi="Bookman Old Style"/>
          <w:b/>
        </w:rPr>
        <w:t>PUBLÍQUESE</w:t>
      </w:r>
      <w:r w:rsidR="000B1944" w:rsidRPr="000058F4">
        <w:rPr>
          <w:rFonts w:ascii="Bookman Old Style" w:hAnsi="Bookman Old Style"/>
          <w:b/>
        </w:rPr>
        <w:t xml:space="preserve"> Y CÚMPLASE</w:t>
      </w:r>
    </w:p>
    <w:p w:rsidR="000B4E51" w:rsidRDefault="000B4E51" w:rsidP="000B4E51">
      <w:pPr>
        <w:jc w:val="both"/>
        <w:rPr>
          <w:rFonts w:ascii="Bookman Old Style" w:hAnsi="Bookman Old Style" w:cs="Arial"/>
          <w:spacing w:val="-3"/>
        </w:rPr>
      </w:pPr>
    </w:p>
    <w:p w:rsidR="000B1944" w:rsidRDefault="000B1944" w:rsidP="000B4E51">
      <w:pPr>
        <w:jc w:val="both"/>
        <w:rPr>
          <w:rFonts w:ascii="Bookman Old Style" w:hAnsi="Bookman Old Style" w:cs="Arial"/>
          <w:spacing w:val="-3"/>
        </w:rPr>
      </w:pPr>
    </w:p>
    <w:p w:rsidR="000B4E51" w:rsidRDefault="000B1944" w:rsidP="000B1944">
      <w:pPr>
        <w:ind w:left="0"/>
        <w:jc w:val="both"/>
        <w:rPr>
          <w:rFonts w:ascii="Bookman Old Style" w:hAnsi="Bookman Old Style" w:cs="Arial"/>
          <w:spacing w:val="-3"/>
        </w:rPr>
      </w:pPr>
      <w:r>
        <w:rPr>
          <w:rFonts w:ascii="Bookman Old Style" w:hAnsi="Bookman Old Style" w:cs="Arial"/>
          <w:spacing w:val="-3"/>
        </w:rPr>
        <w:t xml:space="preserve">Dada en Bogotá, D.C., a los </w:t>
      </w:r>
    </w:p>
    <w:p w:rsidR="000B4E51" w:rsidRDefault="000B4E51" w:rsidP="000B4E51">
      <w:pPr>
        <w:jc w:val="both"/>
        <w:rPr>
          <w:rFonts w:ascii="Bookman Old Style" w:hAnsi="Bookman Old Style" w:cs="Arial"/>
          <w:spacing w:val="-3"/>
        </w:rPr>
      </w:pPr>
    </w:p>
    <w:p w:rsidR="00443A6B" w:rsidRDefault="00443A6B" w:rsidP="000B4E51">
      <w:pPr>
        <w:jc w:val="both"/>
        <w:rPr>
          <w:rFonts w:ascii="Bookman Old Style" w:hAnsi="Bookman Old Style" w:cs="Arial"/>
          <w:spacing w:val="-3"/>
        </w:rPr>
      </w:pPr>
    </w:p>
    <w:p w:rsidR="00443A6B" w:rsidRDefault="00443A6B" w:rsidP="000B4E51">
      <w:pPr>
        <w:jc w:val="both"/>
        <w:rPr>
          <w:rFonts w:ascii="Bookman Old Style" w:hAnsi="Bookman Old Style" w:cs="Arial"/>
          <w:spacing w:val="-3"/>
        </w:rPr>
      </w:pPr>
    </w:p>
    <w:p w:rsidR="00443A6B" w:rsidRDefault="00443A6B" w:rsidP="000B4E51">
      <w:pPr>
        <w:jc w:val="both"/>
        <w:rPr>
          <w:rFonts w:ascii="Bookman Old Style" w:hAnsi="Bookman Old Style" w:cs="Arial"/>
          <w:spacing w:val="-3"/>
        </w:rPr>
      </w:pPr>
    </w:p>
    <w:p w:rsidR="000B4E51" w:rsidRPr="000B4E51" w:rsidRDefault="000B4E51" w:rsidP="000B4E51">
      <w:pPr>
        <w:jc w:val="both"/>
        <w:rPr>
          <w:rFonts w:ascii="Bookman Old Style" w:hAnsi="Bookman Old Style" w:cs="Arial"/>
          <w:spacing w:val="-3"/>
        </w:rPr>
      </w:pPr>
    </w:p>
    <w:p w:rsidR="000B4E51" w:rsidRPr="000B4E51" w:rsidRDefault="000B4E51" w:rsidP="000B4E51">
      <w:pPr>
        <w:jc w:val="both"/>
        <w:rPr>
          <w:rFonts w:ascii="Bookman Old Style" w:hAnsi="Bookman Old Style" w:cs="Arial"/>
          <w:spacing w:val="-3"/>
        </w:rPr>
      </w:pPr>
    </w:p>
    <w:tbl>
      <w:tblPr>
        <w:tblW w:w="0" w:type="auto"/>
        <w:jc w:val="center"/>
        <w:tblInd w:w="-679" w:type="dxa"/>
        <w:tblLayout w:type="fixed"/>
        <w:tblCellMar>
          <w:left w:w="70" w:type="dxa"/>
          <w:right w:w="70" w:type="dxa"/>
        </w:tblCellMar>
        <w:tblLook w:val="0000" w:firstRow="0" w:lastRow="0" w:firstColumn="0" w:lastColumn="0" w:noHBand="0" w:noVBand="0"/>
      </w:tblPr>
      <w:tblGrid>
        <w:gridCol w:w="4624"/>
        <w:gridCol w:w="4624"/>
      </w:tblGrid>
      <w:tr w:rsidR="000B4E51" w:rsidRPr="000B4E51" w:rsidTr="001921CF">
        <w:trPr>
          <w:trHeight w:val="391"/>
          <w:jc w:val="center"/>
        </w:trPr>
        <w:tc>
          <w:tcPr>
            <w:tcW w:w="4624" w:type="dxa"/>
            <w:vAlign w:val="center"/>
          </w:tcPr>
          <w:p w:rsidR="000B4E51" w:rsidRPr="000B4E51" w:rsidRDefault="000B4E51" w:rsidP="000B4E51">
            <w:pPr>
              <w:ind w:left="-3"/>
              <w:jc w:val="center"/>
              <w:rPr>
                <w:rFonts w:ascii="Bookman Old Style" w:hAnsi="Bookman Old Style" w:cs="Arial"/>
                <w:b/>
                <w:spacing w:val="-3"/>
              </w:rPr>
            </w:pPr>
            <w:r w:rsidRPr="000B4E51">
              <w:rPr>
                <w:rFonts w:ascii="Bookman Old Style" w:hAnsi="Bookman Old Style" w:cs="Arial"/>
                <w:b/>
                <w:spacing w:val="-3"/>
              </w:rPr>
              <w:t>TOMÁS GONZÁLEZ ESTRADA</w:t>
            </w:r>
          </w:p>
        </w:tc>
        <w:tc>
          <w:tcPr>
            <w:tcW w:w="4624" w:type="dxa"/>
            <w:vAlign w:val="center"/>
          </w:tcPr>
          <w:p w:rsidR="000B4E51" w:rsidRPr="000B4E51" w:rsidRDefault="00B36196" w:rsidP="00B36196">
            <w:pPr>
              <w:ind w:left="-70"/>
              <w:jc w:val="center"/>
              <w:rPr>
                <w:rFonts w:ascii="Bookman Old Style" w:hAnsi="Bookman Old Style" w:cs="Arial"/>
                <w:b/>
                <w:spacing w:val="-3"/>
              </w:rPr>
            </w:pPr>
            <w:r>
              <w:rPr>
                <w:rFonts w:ascii="Bookman Old Style" w:hAnsi="Bookman Old Style" w:cs="Arial"/>
                <w:b/>
                <w:spacing w:val="-3"/>
              </w:rPr>
              <w:t xml:space="preserve">GERMÁN CASTRO FERREIRA </w:t>
            </w:r>
          </w:p>
        </w:tc>
      </w:tr>
      <w:tr w:rsidR="000B4E51" w:rsidRPr="000B4E51" w:rsidTr="001921CF">
        <w:trPr>
          <w:jc w:val="center"/>
        </w:trPr>
        <w:tc>
          <w:tcPr>
            <w:tcW w:w="4624" w:type="dxa"/>
          </w:tcPr>
          <w:p w:rsidR="000B4E51" w:rsidRPr="000B4E51" w:rsidRDefault="000B4E51" w:rsidP="00EF529D">
            <w:pPr>
              <w:ind w:left="-3"/>
              <w:jc w:val="center"/>
              <w:rPr>
                <w:rFonts w:ascii="Bookman Old Style" w:hAnsi="Bookman Old Style"/>
              </w:rPr>
            </w:pPr>
            <w:r w:rsidRPr="000B4E51">
              <w:rPr>
                <w:rFonts w:ascii="Bookman Old Style" w:hAnsi="Bookman Old Style"/>
              </w:rPr>
              <w:t>Viceministro de Energía</w:t>
            </w:r>
          </w:p>
        </w:tc>
        <w:tc>
          <w:tcPr>
            <w:tcW w:w="4624" w:type="dxa"/>
          </w:tcPr>
          <w:p w:rsidR="000B4E51" w:rsidRPr="000B4E51" w:rsidRDefault="000B4E51" w:rsidP="000B4E51">
            <w:pPr>
              <w:ind w:left="-70"/>
              <w:jc w:val="center"/>
              <w:rPr>
                <w:rFonts w:ascii="Bookman Old Style" w:hAnsi="Bookman Old Style"/>
              </w:rPr>
            </w:pPr>
            <w:r w:rsidRPr="000B4E51">
              <w:rPr>
                <w:rFonts w:ascii="Bookman Old Style" w:hAnsi="Bookman Old Style"/>
              </w:rPr>
              <w:t>Director Ejecutivo</w:t>
            </w:r>
          </w:p>
        </w:tc>
      </w:tr>
      <w:tr w:rsidR="000B4E51" w:rsidRPr="000B4E51" w:rsidTr="001921CF">
        <w:trPr>
          <w:jc w:val="center"/>
        </w:trPr>
        <w:tc>
          <w:tcPr>
            <w:tcW w:w="4624" w:type="dxa"/>
          </w:tcPr>
          <w:p w:rsidR="000B4E51" w:rsidRPr="000B4E51" w:rsidRDefault="000B4E51" w:rsidP="000B4E51">
            <w:pPr>
              <w:ind w:left="-3"/>
              <w:jc w:val="center"/>
              <w:rPr>
                <w:rFonts w:ascii="Bookman Old Style" w:hAnsi="Bookman Old Style" w:cs="Arial"/>
                <w:spacing w:val="-3"/>
              </w:rPr>
            </w:pPr>
            <w:r w:rsidRPr="000B4E51">
              <w:rPr>
                <w:rFonts w:ascii="Bookman Old Style" w:hAnsi="Bookman Old Style" w:cs="Arial"/>
                <w:spacing w:val="-3"/>
              </w:rPr>
              <w:t>Delegado del Ministro de Minas y Energía</w:t>
            </w:r>
          </w:p>
        </w:tc>
        <w:tc>
          <w:tcPr>
            <w:tcW w:w="4624" w:type="dxa"/>
          </w:tcPr>
          <w:p w:rsidR="000B4E51" w:rsidRPr="000B4E51" w:rsidRDefault="000B4E51" w:rsidP="000B4E51">
            <w:pPr>
              <w:ind w:left="-70"/>
              <w:jc w:val="both"/>
              <w:rPr>
                <w:rFonts w:ascii="Bookman Old Style" w:hAnsi="Bookman Old Style"/>
              </w:rPr>
            </w:pPr>
          </w:p>
        </w:tc>
      </w:tr>
      <w:tr w:rsidR="000B4E51" w:rsidRPr="000B4E51" w:rsidTr="001921CF">
        <w:trPr>
          <w:jc w:val="center"/>
        </w:trPr>
        <w:tc>
          <w:tcPr>
            <w:tcW w:w="4624" w:type="dxa"/>
          </w:tcPr>
          <w:p w:rsidR="000B4E51" w:rsidRPr="000B4E51" w:rsidRDefault="000B4E51" w:rsidP="000B4E51">
            <w:pPr>
              <w:ind w:left="-3"/>
              <w:jc w:val="center"/>
              <w:rPr>
                <w:rFonts w:ascii="Bookman Old Style" w:hAnsi="Bookman Old Style" w:cs="Arial"/>
                <w:spacing w:val="-3"/>
              </w:rPr>
            </w:pPr>
            <w:r w:rsidRPr="000B4E51">
              <w:rPr>
                <w:rFonts w:ascii="Bookman Old Style" w:hAnsi="Bookman Old Style" w:cs="Arial"/>
                <w:spacing w:val="-3"/>
              </w:rPr>
              <w:t>Presidente</w:t>
            </w:r>
          </w:p>
        </w:tc>
        <w:tc>
          <w:tcPr>
            <w:tcW w:w="4624" w:type="dxa"/>
          </w:tcPr>
          <w:p w:rsidR="000B4E51" w:rsidRPr="000B4E51" w:rsidRDefault="000B4E51" w:rsidP="000B4E51">
            <w:pPr>
              <w:ind w:left="-70"/>
              <w:jc w:val="both"/>
              <w:rPr>
                <w:rFonts w:ascii="Bookman Old Style" w:hAnsi="Bookman Old Style"/>
              </w:rPr>
            </w:pPr>
          </w:p>
        </w:tc>
      </w:tr>
    </w:tbl>
    <w:p w:rsidR="000B4E51" w:rsidRPr="000B4E51" w:rsidRDefault="000B4E51" w:rsidP="000B4E51">
      <w:pPr>
        <w:jc w:val="both"/>
        <w:rPr>
          <w:rFonts w:ascii="Bookman Old Style" w:hAnsi="Bookman Old Style" w:cs="Arial"/>
        </w:rPr>
      </w:pPr>
    </w:p>
    <w:p w:rsidR="000B4E51" w:rsidRPr="00AD02E6" w:rsidRDefault="000B4E51" w:rsidP="00AD02E6">
      <w:pPr>
        <w:ind w:left="0"/>
        <w:jc w:val="both"/>
        <w:rPr>
          <w:rFonts w:ascii="Bookman Old Style" w:hAnsi="Bookman Old Style" w:cs="Arial"/>
        </w:rPr>
      </w:pPr>
    </w:p>
    <w:sectPr w:rsidR="000B4E51" w:rsidRPr="00AD02E6" w:rsidSect="003276E7">
      <w:headerReference w:type="default" r:id="rId11"/>
      <w:headerReference w:type="first" r:id="rId12"/>
      <w:type w:val="continuous"/>
      <w:pgSz w:w="12242" w:h="18722" w:code="123"/>
      <w:pgMar w:top="2341" w:right="118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77B" w:rsidRDefault="0068577B">
      <w:r>
        <w:separator/>
      </w:r>
    </w:p>
  </w:endnote>
  <w:endnote w:type="continuationSeparator" w:id="0">
    <w:p w:rsidR="0068577B" w:rsidRDefault="0068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77B" w:rsidRDefault="0068577B">
      <w:r>
        <w:separator/>
      </w:r>
    </w:p>
  </w:footnote>
  <w:footnote w:type="continuationSeparator" w:id="0">
    <w:p w:rsidR="0068577B" w:rsidRDefault="00685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77B" w:rsidRDefault="0068577B" w:rsidP="00951F79">
    <w:pPr>
      <w:pStyle w:val="Ttulo1"/>
      <w:ind w:right="6"/>
      <w:jc w:val="left"/>
      <w:rPr>
        <w:rFonts w:ascii="Bookman Old Style" w:hAnsi="Bookman Old Style" w:cs="Arial"/>
        <w:b w:val="0"/>
        <w:sz w:val="22"/>
        <w:szCs w:val="22"/>
      </w:rPr>
    </w:pPr>
  </w:p>
  <w:p w:rsidR="0068577B" w:rsidRPr="00951F79" w:rsidRDefault="0068577B"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EC5E38">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EC5E38" w:rsidRPr="00EC5E38">
        <w:rPr>
          <w:rFonts w:ascii="Bookman Old Style" w:hAnsi="Bookman Old Style" w:cs="Arial"/>
          <w:b w:val="0"/>
          <w:noProof/>
          <w:sz w:val="22"/>
          <w:szCs w:val="22"/>
        </w:rPr>
        <w:t>4</w:t>
      </w:r>
    </w:fldSimple>
  </w:p>
  <w:p w:rsidR="0068577B" w:rsidRDefault="0068577B"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6888294D" wp14:editId="4AA5509B">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68577B" w:rsidRPr="00857A4A" w:rsidRDefault="0068577B" w:rsidP="001777E8">
    <w:pPr>
      <w:ind w:left="142" w:right="148"/>
      <w:jc w:val="both"/>
      <w:rPr>
        <w:rFonts w:ascii="Bookman Old Style" w:hAnsi="Bookman Old Style" w:cs="Arial"/>
        <w:sz w:val="22"/>
        <w:szCs w:val="22"/>
      </w:rPr>
    </w:pPr>
    <w:r w:rsidRPr="00915F2A">
      <w:rPr>
        <w:rFonts w:ascii="Bookman Old Style" w:hAnsi="Bookman Old Style" w:cs="Arial"/>
        <w:sz w:val="22"/>
        <w:szCs w:val="22"/>
      </w:rPr>
      <w:t>Por la cual se aprueba el índice de pérdidas de Nivel de Tensión 1 a la Empresa de Energía del Quindío S.A. E.S.P.</w:t>
    </w:r>
    <w:r>
      <w:rPr>
        <w:rFonts w:ascii="Bookman Old Style" w:hAnsi="Bookman Old Style" w:cs="Arial"/>
        <w:sz w:val="22"/>
        <w:szCs w:val="22"/>
      </w:rPr>
      <w:t xml:space="preserve"> y se modifica la Resolución CREG 106 de 2009. </w:t>
    </w:r>
  </w:p>
  <w:p w:rsidR="0068577B" w:rsidRPr="00045D3D" w:rsidRDefault="0068577B" w:rsidP="00AD01E4">
    <w:pPr>
      <w:pBdr>
        <w:bottom w:val="single" w:sz="4" w:space="1" w:color="auto"/>
      </w:pBd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77B" w:rsidRDefault="0068577B"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8577B" w:rsidRDefault="0068577B">
    <w:pPr>
      <w:pStyle w:val="Encabezado"/>
      <w:jc w:val="center"/>
      <w:rPr>
        <w:rFonts w:ascii="Arial" w:hAnsi="Arial" w:cs="Arial"/>
        <w:spacing w:val="20"/>
        <w:sz w:val="20"/>
      </w:rPr>
    </w:pPr>
  </w:p>
  <w:p w:rsidR="0068577B" w:rsidRDefault="0068577B"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BBE6BC5" wp14:editId="533955C8">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7">
    <w:nsid w:val="16033740"/>
    <w:multiLevelType w:val="hybridMultilevel"/>
    <w:tmpl w:val="87B47EC4"/>
    <w:lvl w:ilvl="0" w:tplc="24E005AE">
      <w:start w:val="1"/>
      <w:numFmt w:val="bullet"/>
      <w:lvlText w:val=""/>
      <w:lvlJc w:val="left"/>
      <w:pPr>
        <w:ind w:left="720" w:hanging="360"/>
      </w:pPr>
      <w:rPr>
        <w:rFonts w:ascii="Symbol" w:hAnsi="Symbol" w:hint="default"/>
      </w:rPr>
    </w:lvl>
    <w:lvl w:ilvl="1" w:tplc="252A424C">
      <w:start w:val="1"/>
      <w:numFmt w:val="bullet"/>
      <w:lvlText w:val="o"/>
      <w:lvlJc w:val="left"/>
      <w:pPr>
        <w:ind w:left="1440" w:hanging="360"/>
      </w:pPr>
      <w:rPr>
        <w:rFonts w:ascii="Courier New" w:hAnsi="Courier New" w:cs="Courier New" w:hint="default"/>
      </w:rPr>
    </w:lvl>
    <w:lvl w:ilvl="2" w:tplc="BC861566" w:tentative="1">
      <w:start w:val="1"/>
      <w:numFmt w:val="bullet"/>
      <w:lvlText w:val=""/>
      <w:lvlJc w:val="left"/>
      <w:pPr>
        <w:ind w:left="2160" w:hanging="360"/>
      </w:pPr>
      <w:rPr>
        <w:rFonts w:ascii="Wingdings" w:hAnsi="Wingdings" w:hint="default"/>
      </w:rPr>
    </w:lvl>
    <w:lvl w:ilvl="3" w:tplc="532C128E" w:tentative="1">
      <w:start w:val="1"/>
      <w:numFmt w:val="bullet"/>
      <w:lvlText w:val=""/>
      <w:lvlJc w:val="left"/>
      <w:pPr>
        <w:ind w:left="2880" w:hanging="360"/>
      </w:pPr>
      <w:rPr>
        <w:rFonts w:ascii="Symbol" w:hAnsi="Symbol" w:hint="default"/>
      </w:rPr>
    </w:lvl>
    <w:lvl w:ilvl="4" w:tplc="2A4022FE" w:tentative="1">
      <w:start w:val="1"/>
      <w:numFmt w:val="bullet"/>
      <w:lvlText w:val="o"/>
      <w:lvlJc w:val="left"/>
      <w:pPr>
        <w:ind w:left="3600" w:hanging="360"/>
      </w:pPr>
      <w:rPr>
        <w:rFonts w:ascii="Courier New" w:hAnsi="Courier New" w:cs="Courier New" w:hint="default"/>
      </w:rPr>
    </w:lvl>
    <w:lvl w:ilvl="5" w:tplc="BC941F30" w:tentative="1">
      <w:start w:val="1"/>
      <w:numFmt w:val="bullet"/>
      <w:lvlText w:val=""/>
      <w:lvlJc w:val="left"/>
      <w:pPr>
        <w:ind w:left="4320" w:hanging="360"/>
      </w:pPr>
      <w:rPr>
        <w:rFonts w:ascii="Wingdings" w:hAnsi="Wingdings" w:hint="default"/>
      </w:rPr>
    </w:lvl>
    <w:lvl w:ilvl="6" w:tplc="F8708C06" w:tentative="1">
      <w:start w:val="1"/>
      <w:numFmt w:val="bullet"/>
      <w:lvlText w:val=""/>
      <w:lvlJc w:val="left"/>
      <w:pPr>
        <w:ind w:left="5040" w:hanging="360"/>
      </w:pPr>
      <w:rPr>
        <w:rFonts w:ascii="Symbol" w:hAnsi="Symbol" w:hint="default"/>
      </w:rPr>
    </w:lvl>
    <w:lvl w:ilvl="7" w:tplc="247E4F06" w:tentative="1">
      <w:start w:val="1"/>
      <w:numFmt w:val="bullet"/>
      <w:lvlText w:val="o"/>
      <w:lvlJc w:val="left"/>
      <w:pPr>
        <w:ind w:left="5760" w:hanging="360"/>
      </w:pPr>
      <w:rPr>
        <w:rFonts w:ascii="Courier New" w:hAnsi="Courier New" w:cs="Courier New" w:hint="default"/>
      </w:rPr>
    </w:lvl>
    <w:lvl w:ilvl="8" w:tplc="EF16B678" w:tentative="1">
      <w:start w:val="1"/>
      <w:numFmt w:val="bullet"/>
      <w:lvlText w:val=""/>
      <w:lvlJc w:val="left"/>
      <w:pPr>
        <w:ind w:left="6480" w:hanging="360"/>
      </w:pPr>
      <w:rPr>
        <w:rFonts w:ascii="Wingdings" w:hAnsi="Wingdings" w:hint="default"/>
      </w:rPr>
    </w:lvl>
  </w:abstractNum>
  <w:abstractNum w:abstractNumId="8">
    <w:nsid w:val="17526398"/>
    <w:multiLevelType w:val="multilevel"/>
    <w:tmpl w:val="9C6205C8"/>
    <w:lvl w:ilvl="0">
      <w:start w:val="1"/>
      <w:numFmt w:val="decimal"/>
      <w:lvlText w:val="ANEXO %1"/>
      <w:lvlJc w:val="left"/>
      <w:pPr>
        <w:ind w:left="360" w:hanging="360"/>
      </w:pPr>
      <w:rPr>
        <w:rFonts w:hint="default"/>
        <w:b/>
        <w:i w:val="0"/>
      </w:rPr>
    </w:lvl>
    <w:lvl w:ilvl="1">
      <w:start w:val="1"/>
      <w:numFmt w:val="decimal"/>
      <w:pStyle w:val="Ttulo2"/>
      <w:lvlText w:val="%1.%2"/>
      <w:lvlJc w:val="left"/>
      <w:pPr>
        <w:ind w:left="576" w:hanging="576"/>
      </w:pPr>
      <w:rPr>
        <w:vertAlign w:val="baseline"/>
      </w:r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1BF00E26"/>
    <w:multiLevelType w:val="hybridMultilevel"/>
    <w:tmpl w:val="94FE3786"/>
    <w:lvl w:ilvl="0" w:tplc="C7D84174">
      <w:start w:val="1"/>
      <w:numFmt w:val="bullet"/>
      <w:lvlText w:val=""/>
      <w:lvlJc w:val="left"/>
      <w:pPr>
        <w:ind w:left="1080" w:hanging="360"/>
      </w:pPr>
      <w:rPr>
        <w:rFonts w:ascii="Wingdings" w:eastAsia="Times New Roman" w:hAnsi="Wingdings"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nsid w:val="1CC97F5A"/>
    <w:multiLevelType w:val="hybridMultilevel"/>
    <w:tmpl w:val="00A2C710"/>
    <w:lvl w:ilvl="0" w:tplc="E77639D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6542951"/>
    <w:multiLevelType w:val="hybridMultilevel"/>
    <w:tmpl w:val="93CC77CC"/>
    <w:lvl w:ilvl="0" w:tplc="3D3EC566">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B3663F1"/>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nsid w:val="2CE51660"/>
    <w:multiLevelType w:val="hybridMultilevel"/>
    <w:tmpl w:val="4A18FE2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E9550E3"/>
    <w:multiLevelType w:val="hybridMultilevel"/>
    <w:tmpl w:val="FDAC7B44"/>
    <w:lvl w:ilvl="0" w:tplc="240A000B">
      <w:start w:val="1"/>
      <w:numFmt w:val="bullet"/>
      <w:lvlText w:val=""/>
      <w:lvlJc w:val="left"/>
      <w:pPr>
        <w:ind w:left="720" w:hanging="360"/>
      </w:pPr>
      <w:rPr>
        <w:rFonts w:ascii="Wingdings" w:eastAsia="Times New Roman"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E9207C"/>
    <w:multiLevelType w:val="hybridMultilevel"/>
    <w:tmpl w:val="A3161AD8"/>
    <w:lvl w:ilvl="0" w:tplc="BC1638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CE71D8A"/>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FF734CB"/>
    <w:multiLevelType w:val="hybridMultilevel"/>
    <w:tmpl w:val="F91A105E"/>
    <w:lvl w:ilvl="0" w:tplc="240A0001">
      <w:start w:val="1"/>
      <w:numFmt w:val="bullet"/>
      <w:lvlText w:val=""/>
      <w:lvlJc w:val="left"/>
      <w:pPr>
        <w:ind w:left="1232" w:hanging="360"/>
      </w:pPr>
      <w:rPr>
        <w:rFonts w:ascii="Symbol" w:hAnsi="Symbol" w:hint="default"/>
      </w:rPr>
    </w:lvl>
    <w:lvl w:ilvl="1" w:tplc="240A0003" w:tentative="1">
      <w:start w:val="1"/>
      <w:numFmt w:val="bullet"/>
      <w:lvlText w:val="o"/>
      <w:lvlJc w:val="left"/>
      <w:pPr>
        <w:ind w:left="1952" w:hanging="360"/>
      </w:pPr>
      <w:rPr>
        <w:rFonts w:ascii="Courier New" w:hAnsi="Courier New" w:cs="Courier New" w:hint="default"/>
      </w:rPr>
    </w:lvl>
    <w:lvl w:ilvl="2" w:tplc="240A0005" w:tentative="1">
      <w:start w:val="1"/>
      <w:numFmt w:val="bullet"/>
      <w:lvlText w:val=""/>
      <w:lvlJc w:val="left"/>
      <w:pPr>
        <w:ind w:left="2672" w:hanging="360"/>
      </w:pPr>
      <w:rPr>
        <w:rFonts w:ascii="Wingdings" w:hAnsi="Wingdings" w:hint="default"/>
      </w:rPr>
    </w:lvl>
    <w:lvl w:ilvl="3" w:tplc="240A0001" w:tentative="1">
      <w:start w:val="1"/>
      <w:numFmt w:val="bullet"/>
      <w:lvlText w:val=""/>
      <w:lvlJc w:val="left"/>
      <w:pPr>
        <w:ind w:left="3392" w:hanging="360"/>
      </w:pPr>
      <w:rPr>
        <w:rFonts w:ascii="Symbol" w:hAnsi="Symbol" w:hint="default"/>
      </w:rPr>
    </w:lvl>
    <w:lvl w:ilvl="4" w:tplc="240A0003" w:tentative="1">
      <w:start w:val="1"/>
      <w:numFmt w:val="bullet"/>
      <w:lvlText w:val="o"/>
      <w:lvlJc w:val="left"/>
      <w:pPr>
        <w:ind w:left="4112" w:hanging="360"/>
      </w:pPr>
      <w:rPr>
        <w:rFonts w:ascii="Courier New" w:hAnsi="Courier New" w:cs="Courier New" w:hint="default"/>
      </w:rPr>
    </w:lvl>
    <w:lvl w:ilvl="5" w:tplc="240A0005" w:tentative="1">
      <w:start w:val="1"/>
      <w:numFmt w:val="bullet"/>
      <w:lvlText w:val=""/>
      <w:lvlJc w:val="left"/>
      <w:pPr>
        <w:ind w:left="4832" w:hanging="360"/>
      </w:pPr>
      <w:rPr>
        <w:rFonts w:ascii="Wingdings" w:hAnsi="Wingdings" w:hint="default"/>
      </w:rPr>
    </w:lvl>
    <w:lvl w:ilvl="6" w:tplc="240A0001" w:tentative="1">
      <w:start w:val="1"/>
      <w:numFmt w:val="bullet"/>
      <w:lvlText w:val=""/>
      <w:lvlJc w:val="left"/>
      <w:pPr>
        <w:ind w:left="5552" w:hanging="360"/>
      </w:pPr>
      <w:rPr>
        <w:rFonts w:ascii="Symbol" w:hAnsi="Symbol" w:hint="default"/>
      </w:rPr>
    </w:lvl>
    <w:lvl w:ilvl="7" w:tplc="240A0003" w:tentative="1">
      <w:start w:val="1"/>
      <w:numFmt w:val="bullet"/>
      <w:lvlText w:val="o"/>
      <w:lvlJc w:val="left"/>
      <w:pPr>
        <w:ind w:left="6272" w:hanging="360"/>
      </w:pPr>
      <w:rPr>
        <w:rFonts w:ascii="Courier New" w:hAnsi="Courier New" w:cs="Courier New" w:hint="default"/>
      </w:rPr>
    </w:lvl>
    <w:lvl w:ilvl="8" w:tplc="240A0005" w:tentative="1">
      <w:start w:val="1"/>
      <w:numFmt w:val="bullet"/>
      <w:lvlText w:val=""/>
      <w:lvlJc w:val="left"/>
      <w:pPr>
        <w:ind w:left="6992" w:hanging="360"/>
      </w:pPr>
      <w:rPr>
        <w:rFonts w:ascii="Wingdings" w:hAnsi="Wingdings" w:hint="default"/>
      </w:rPr>
    </w:lvl>
  </w:abstractNum>
  <w:abstractNum w:abstractNumId="23">
    <w:nsid w:val="41B91CF1"/>
    <w:multiLevelType w:val="hybridMultilevel"/>
    <w:tmpl w:val="3D3A504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2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8">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9">
    <w:nsid w:val="52EF74C9"/>
    <w:multiLevelType w:val="hybridMultilevel"/>
    <w:tmpl w:val="E18656F6"/>
    <w:lvl w:ilvl="0" w:tplc="70DC267A">
      <w:start w:val="1"/>
      <w:numFmt w:val="decimal"/>
      <w:pStyle w:val="Artculo"/>
      <w:lvlText w:val="Artículo %1."/>
      <w:lvlJc w:val="left"/>
      <w:pPr>
        <w:ind w:left="2204"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547A1E3F"/>
    <w:multiLevelType w:val="hybridMultilevel"/>
    <w:tmpl w:val="13866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7620DE6"/>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58382328"/>
    <w:multiLevelType w:val="hybridMultilevel"/>
    <w:tmpl w:val="4C585FF0"/>
    <w:lvl w:ilvl="0" w:tplc="CBC85DEC">
      <w:start w:val="1"/>
      <w:numFmt w:val="bullet"/>
      <w:lvlText w:val=""/>
      <w:lvlJc w:val="left"/>
      <w:pPr>
        <w:ind w:left="720" w:hanging="360"/>
      </w:pPr>
      <w:rPr>
        <w:rFonts w:ascii="Symbol" w:hAnsi="Symbol" w:hint="default"/>
      </w:rPr>
    </w:lvl>
    <w:lvl w:ilvl="1" w:tplc="BFD4B60A" w:tentative="1">
      <w:start w:val="1"/>
      <w:numFmt w:val="bullet"/>
      <w:lvlText w:val="o"/>
      <w:lvlJc w:val="left"/>
      <w:pPr>
        <w:ind w:left="1440" w:hanging="360"/>
      </w:pPr>
      <w:rPr>
        <w:rFonts w:ascii="Courier New" w:hAnsi="Courier New" w:cs="Courier New" w:hint="default"/>
      </w:rPr>
    </w:lvl>
    <w:lvl w:ilvl="2" w:tplc="4A82F082" w:tentative="1">
      <w:start w:val="1"/>
      <w:numFmt w:val="bullet"/>
      <w:lvlText w:val=""/>
      <w:lvlJc w:val="left"/>
      <w:pPr>
        <w:ind w:left="2160" w:hanging="360"/>
      </w:pPr>
      <w:rPr>
        <w:rFonts w:ascii="Wingdings" w:hAnsi="Wingdings" w:hint="default"/>
      </w:rPr>
    </w:lvl>
    <w:lvl w:ilvl="3" w:tplc="2AF8BFBC" w:tentative="1">
      <w:start w:val="1"/>
      <w:numFmt w:val="bullet"/>
      <w:lvlText w:val=""/>
      <w:lvlJc w:val="left"/>
      <w:pPr>
        <w:ind w:left="2880" w:hanging="360"/>
      </w:pPr>
      <w:rPr>
        <w:rFonts w:ascii="Symbol" w:hAnsi="Symbol" w:hint="default"/>
      </w:rPr>
    </w:lvl>
    <w:lvl w:ilvl="4" w:tplc="22BE3160" w:tentative="1">
      <w:start w:val="1"/>
      <w:numFmt w:val="bullet"/>
      <w:lvlText w:val="o"/>
      <w:lvlJc w:val="left"/>
      <w:pPr>
        <w:ind w:left="3600" w:hanging="360"/>
      </w:pPr>
      <w:rPr>
        <w:rFonts w:ascii="Courier New" w:hAnsi="Courier New" w:cs="Courier New" w:hint="default"/>
      </w:rPr>
    </w:lvl>
    <w:lvl w:ilvl="5" w:tplc="BD74931A" w:tentative="1">
      <w:start w:val="1"/>
      <w:numFmt w:val="bullet"/>
      <w:lvlText w:val=""/>
      <w:lvlJc w:val="left"/>
      <w:pPr>
        <w:ind w:left="4320" w:hanging="360"/>
      </w:pPr>
      <w:rPr>
        <w:rFonts w:ascii="Wingdings" w:hAnsi="Wingdings" w:hint="default"/>
      </w:rPr>
    </w:lvl>
    <w:lvl w:ilvl="6" w:tplc="DCD2EF04" w:tentative="1">
      <w:start w:val="1"/>
      <w:numFmt w:val="bullet"/>
      <w:lvlText w:val=""/>
      <w:lvlJc w:val="left"/>
      <w:pPr>
        <w:ind w:left="5040" w:hanging="360"/>
      </w:pPr>
      <w:rPr>
        <w:rFonts w:ascii="Symbol" w:hAnsi="Symbol" w:hint="default"/>
      </w:rPr>
    </w:lvl>
    <w:lvl w:ilvl="7" w:tplc="EC10B622" w:tentative="1">
      <w:start w:val="1"/>
      <w:numFmt w:val="bullet"/>
      <w:lvlText w:val="o"/>
      <w:lvlJc w:val="left"/>
      <w:pPr>
        <w:ind w:left="5760" w:hanging="360"/>
      </w:pPr>
      <w:rPr>
        <w:rFonts w:ascii="Courier New" w:hAnsi="Courier New" w:cs="Courier New" w:hint="default"/>
      </w:rPr>
    </w:lvl>
    <w:lvl w:ilvl="8" w:tplc="D44CEC3A" w:tentative="1">
      <w:start w:val="1"/>
      <w:numFmt w:val="bullet"/>
      <w:lvlText w:val=""/>
      <w:lvlJc w:val="left"/>
      <w:pPr>
        <w:ind w:left="6480" w:hanging="360"/>
      </w:pPr>
      <w:rPr>
        <w:rFonts w:ascii="Wingdings" w:hAnsi="Wingdings" w:hint="default"/>
      </w:rPr>
    </w:lvl>
  </w:abstractNum>
  <w:abstractNum w:abstractNumId="33">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nsid w:val="5FC00230"/>
    <w:multiLevelType w:val="hybridMultilevel"/>
    <w:tmpl w:val="116E1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nsid w:val="66DB3F5A"/>
    <w:multiLevelType w:val="hybridMultilevel"/>
    <w:tmpl w:val="0E7E6E2E"/>
    <w:lvl w:ilvl="0" w:tplc="240A000B">
      <w:start w:val="1"/>
      <w:numFmt w:val="bullet"/>
      <w:lvlText w:val=""/>
      <w:lvlJc w:val="left"/>
      <w:pPr>
        <w:ind w:left="720" w:hanging="360"/>
      </w:pPr>
      <w:rPr>
        <w:rFonts w:ascii="Wingdings" w:eastAsia="Times New Roman"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9">
    <w:nsid w:val="6C6644F4"/>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6EE34111"/>
    <w:multiLevelType w:val="hybridMultilevel"/>
    <w:tmpl w:val="BA447440"/>
    <w:lvl w:ilvl="0" w:tplc="89808780">
      <w:start w:val="9"/>
      <w:numFmt w:val="lowerLetter"/>
      <w:lvlText w:val="%1)"/>
      <w:lvlJc w:val="left"/>
      <w:pPr>
        <w:tabs>
          <w:tab w:val="num" w:pos="2520"/>
        </w:tabs>
        <w:ind w:left="2520" w:hanging="360"/>
      </w:pPr>
      <w:rPr>
        <w:rFonts w:hint="default"/>
      </w:rPr>
    </w:lvl>
    <w:lvl w:ilvl="1" w:tplc="972C07A0">
      <w:start w:val="2"/>
      <w:numFmt w:val="lowerRoman"/>
      <w:lvlText w:val="%2)"/>
      <w:lvlJc w:val="left"/>
      <w:pPr>
        <w:tabs>
          <w:tab w:val="num" w:pos="3600"/>
        </w:tabs>
        <w:ind w:left="3600" w:hanging="720"/>
      </w:pPr>
      <w:rPr>
        <w:rFonts w:hint="default"/>
      </w:rPr>
    </w:lvl>
    <w:lvl w:ilvl="2" w:tplc="CE80B39C">
      <w:start w:val="1"/>
      <w:numFmt w:val="lowerLetter"/>
      <w:lvlText w:val="%3."/>
      <w:lvlJc w:val="left"/>
      <w:pPr>
        <w:ind w:left="4140" w:hanging="360"/>
      </w:pPr>
      <w:rPr>
        <w:rFonts w:hint="default"/>
      </w:rPr>
    </w:lvl>
    <w:lvl w:ilvl="3" w:tplc="364EA008">
      <w:start w:val="1"/>
      <w:numFmt w:val="decimal"/>
      <w:lvlText w:val="%4."/>
      <w:lvlJc w:val="left"/>
      <w:pPr>
        <w:ind w:left="4680" w:hanging="360"/>
      </w:pPr>
      <w:rPr>
        <w:rFonts w:hint="default"/>
      </w:r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41">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FB966F4"/>
    <w:multiLevelType w:val="hybridMultilevel"/>
    <w:tmpl w:val="FB1C1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4">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43"/>
  </w:num>
  <w:num w:numId="4">
    <w:abstractNumId w:val="11"/>
  </w:num>
  <w:num w:numId="5">
    <w:abstractNumId w:val="33"/>
  </w:num>
  <w:num w:numId="6">
    <w:abstractNumId w:val="4"/>
  </w:num>
  <w:num w:numId="7">
    <w:abstractNumId w:val="3"/>
  </w:num>
  <w:num w:numId="8">
    <w:abstractNumId w:val="36"/>
  </w:num>
  <w:num w:numId="9">
    <w:abstractNumId w:val="34"/>
  </w:num>
  <w:num w:numId="10">
    <w:abstractNumId w:val="26"/>
  </w:num>
  <w:num w:numId="11">
    <w:abstractNumId w:val="44"/>
  </w:num>
  <w:num w:numId="12">
    <w:abstractNumId w:val="41"/>
  </w:num>
  <w:num w:numId="13">
    <w:abstractNumId w:val="19"/>
  </w:num>
  <w:num w:numId="14">
    <w:abstractNumId w:val="2"/>
  </w:num>
  <w:num w:numId="15">
    <w:abstractNumId w:val="27"/>
  </w:num>
  <w:num w:numId="16">
    <w:abstractNumId w:val="1"/>
  </w:num>
  <w:num w:numId="17">
    <w:abstractNumId w:val="18"/>
  </w:num>
  <w:num w:numId="18">
    <w:abstractNumId w:val="0"/>
  </w:num>
  <w:num w:numId="19">
    <w:abstractNumId w:val="38"/>
  </w:num>
  <w:num w:numId="20">
    <w:abstractNumId w:val="28"/>
  </w:num>
  <w:num w:numId="21">
    <w:abstractNumId w:val="12"/>
  </w:num>
  <w:num w:numId="22">
    <w:abstractNumId w:val="15"/>
  </w:num>
  <w:num w:numId="23">
    <w:abstractNumId w:val="7"/>
  </w:num>
  <w:num w:numId="24">
    <w:abstractNumId w:val="29"/>
  </w:num>
  <w:num w:numId="25">
    <w:abstractNumId w:val="20"/>
  </w:num>
  <w:num w:numId="26">
    <w:abstractNumId w:val="24"/>
  </w:num>
  <w:num w:numId="27">
    <w:abstractNumId w:val="32"/>
  </w:num>
  <w:num w:numId="28">
    <w:abstractNumId w:val="22"/>
  </w:num>
  <w:num w:numId="29">
    <w:abstractNumId w:val="8"/>
  </w:num>
  <w:num w:numId="30">
    <w:abstractNumId w:val="39"/>
  </w:num>
  <w:num w:numId="31">
    <w:abstractNumId w:val="14"/>
  </w:num>
  <w:num w:numId="32">
    <w:abstractNumId w:val="21"/>
  </w:num>
  <w:num w:numId="33">
    <w:abstractNumId w:val="16"/>
  </w:num>
  <w:num w:numId="34">
    <w:abstractNumId w:val="17"/>
  </w:num>
  <w:num w:numId="35">
    <w:abstractNumId w:val="9"/>
  </w:num>
  <w:num w:numId="36">
    <w:abstractNumId w:val="37"/>
  </w:num>
  <w:num w:numId="37">
    <w:abstractNumId w:val="40"/>
  </w:num>
  <w:num w:numId="38">
    <w:abstractNumId w:val="6"/>
  </w:num>
  <w:num w:numId="39">
    <w:abstractNumId w:val="31"/>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42"/>
  </w:num>
  <w:num w:numId="44">
    <w:abstractNumId w:val="23"/>
  </w:num>
  <w:num w:numId="45">
    <w:abstractNumId w:val="10"/>
  </w:num>
  <w:num w:numId="46">
    <w:abstractNumId w:val="30"/>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5B9"/>
    <w:rsid w:val="000076A1"/>
    <w:rsid w:val="00011A72"/>
    <w:rsid w:val="00012259"/>
    <w:rsid w:val="00025383"/>
    <w:rsid w:val="00041B54"/>
    <w:rsid w:val="00045D3D"/>
    <w:rsid w:val="00053DB3"/>
    <w:rsid w:val="000577E1"/>
    <w:rsid w:val="00063657"/>
    <w:rsid w:val="0006600D"/>
    <w:rsid w:val="00076680"/>
    <w:rsid w:val="00076A1D"/>
    <w:rsid w:val="00077527"/>
    <w:rsid w:val="0008073E"/>
    <w:rsid w:val="00091CDB"/>
    <w:rsid w:val="00092426"/>
    <w:rsid w:val="000A1503"/>
    <w:rsid w:val="000A19AC"/>
    <w:rsid w:val="000B1944"/>
    <w:rsid w:val="000B2EC9"/>
    <w:rsid w:val="000B4E51"/>
    <w:rsid w:val="000D26F8"/>
    <w:rsid w:val="000E26E9"/>
    <w:rsid w:val="000E2F2D"/>
    <w:rsid w:val="00114D4A"/>
    <w:rsid w:val="001159F3"/>
    <w:rsid w:val="0013526C"/>
    <w:rsid w:val="001366F2"/>
    <w:rsid w:val="00136FDF"/>
    <w:rsid w:val="001405C6"/>
    <w:rsid w:val="00141013"/>
    <w:rsid w:val="00156DB2"/>
    <w:rsid w:val="00157FD9"/>
    <w:rsid w:val="001777E8"/>
    <w:rsid w:val="001921CF"/>
    <w:rsid w:val="00192CBF"/>
    <w:rsid w:val="00192FF1"/>
    <w:rsid w:val="001A5F1B"/>
    <w:rsid w:val="001B1C22"/>
    <w:rsid w:val="001B34C6"/>
    <w:rsid w:val="001D7832"/>
    <w:rsid w:val="001D7EFA"/>
    <w:rsid w:val="001F6E1B"/>
    <w:rsid w:val="0020105F"/>
    <w:rsid w:val="002066BA"/>
    <w:rsid w:val="002067EF"/>
    <w:rsid w:val="00210DC1"/>
    <w:rsid w:val="00211D34"/>
    <w:rsid w:val="00214F04"/>
    <w:rsid w:val="002518BE"/>
    <w:rsid w:val="00266CD6"/>
    <w:rsid w:val="00275DAB"/>
    <w:rsid w:val="0029253B"/>
    <w:rsid w:val="002A782A"/>
    <w:rsid w:val="002B11E2"/>
    <w:rsid w:val="002B24B8"/>
    <w:rsid w:val="002B3288"/>
    <w:rsid w:val="002C6C11"/>
    <w:rsid w:val="002D3AE9"/>
    <w:rsid w:val="002D4510"/>
    <w:rsid w:val="002F0734"/>
    <w:rsid w:val="002F1F62"/>
    <w:rsid w:val="002F46E7"/>
    <w:rsid w:val="003010CB"/>
    <w:rsid w:val="00301B84"/>
    <w:rsid w:val="003101DA"/>
    <w:rsid w:val="00314757"/>
    <w:rsid w:val="003163BC"/>
    <w:rsid w:val="003211CE"/>
    <w:rsid w:val="003271B2"/>
    <w:rsid w:val="003276E7"/>
    <w:rsid w:val="00333A36"/>
    <w:rsid w:val="0035403A"/>
    <w:rsid w:val="0035627D"/>
    <w:rsid w:val="0036394B"/>
    <w:rsid w:val="00366DB6"/>
    <w:rsid w:val="003709B5"/>
    <w:rsid w:val="003759C2"/>
    <w:rsid w:val="00380962"/>
    <w:rsid w:val="003867C2"/>
    <w:rsid w:val="00397365"/>
    <w:rsid w:val="003A31F6"/>
    <w:rsid w:val="003B54EA"/>
    <w:rsid w:val="003C3447"/>
    <w:rsid w:val="003D076C"/>
    <w:rsid w:val="003D0E37"/>
    <w:rsid w:val="003E2CE0"/>
    <w:rsid w:val="003E78B5"/>
    <w:rsid w:val="003F5A6C"/>
    <w:rsid w:val="00415BAB"/>
    <w:rsid w:val="00415ED2"/>
    <w:rsid w:val="0042068C"/>
    <w:rsid w:val="004228CD"/>
    <w:rsid w:val="004232E6"/>
    <w:rsid w:val="00436F01"/>
    <w:rsid w:val="0044318E"/>
    <w:rsid w:val="00443A6B"/>
    <w:rsid w:val="00443B35"/>
    <w:rsid w:val="00451B93"/>
    <w:rsid w:val="0046715C"/>
    <w:rsid w:val="0047122B"/>
    <w:rsid w:val="00472E1D"/>
    <w:rsid w:val="00473B7A"/>
    <w:rsid w:val="0047729D"/>
    <w:rsid w:val="004960E9"/>
    <w:rsid w:val="004A2E88"/>
    <w:rsid w:val="004A2F7E"/>
    <w:rsid w:val="004A3D15"/>
    <w:rsid w:val="004A40CF"/>
    <w:rsid w:val="004A5305"/>
    <w:rsid w:val="004B7AB9"/>
    <w:rsid w:val="004D0991"/>
    <w:rsid w:val="004D7634"/>
    <w:rsid w:val="004E611A"/>
    <w:rsid w:val="005003EF"/>
    <w:rsid w:val="00501843"/>
    <w:rsid w:val="00504C02"/>
    <w:rsid w:val="0051582C"/>
    <w:rsid w:val="0052323C"/>
    <w:rsid w:val="005300D3"/>
    <w:rsid w:val="00533EE8"/>
    <w:rsid w:val="00542821"/>
    <w:rsid w:val="00544F82"/>
    <w:rsid w:val="00547E7A"/>
    <w:rsid w:val="005509D2"/>
    <w:rsid w:val="005562EC"/>
    <w:rsid w:val="0056519A"/>
    <w:rsid w:val="0059184B"/>
    <w:rsid w:val="00593076"/>
    <w:rsid w:val="00593C4F"/>
    <w:rsid w:val="005946A8"/>
    <w:rsid w:val="005A4407"/>
    <w:rsid w:val="005A59EF"/>
    <w:rsid w:val="005A5BFB"/>
    <w:rsid w:val="005B1C7E"/>
    <w:rsid w:val="005B4088"/>
    <w:rsid w:val="005C284B"/>
    <w:rsid w:val="005C3BB2"/>
    <w:rsid w:val="005C6976"/>
    <w:rsid w:val="005D00F5"/>
    <w:rsid w:val="005E147F"/>
    <w:rsid w:val="005E2F54"/>
    <w:rsid w:val="005F60BD"/>
    <w:rsid w:val="005F6F41"/>
    <w:rsid w:val="00613841"/>
    <w:rsid w:val="006200FD"/>
    <w:rsid w:val="0062037A"/>
    <w:rsid w:val="00625DC6"/>
    <w:rsid w:val="0063658B"/>
    <w:rsid w:val="0064391D"/>
    <w:rsid w:val="00651821"/>
    <w:rsid w:val="00654384"/>
    <w:rsid w:val="006651B4"/>
    <w:rsid w:val="006675CD"/>
    <w:rsid w:val="00684D9B"/>
    <w:rsid w:val="0068577B"/>
    <w:rsid w:val="00697556"/>
    <w:rsid w:val="006B4647"/>
    <w:rsid w:val="006B4C2B"/>
    <w:rsid w:val="006B6194"/>
    <w:rsid w:val="006B6D47"/>
    <w:rsid w:val="006C5AFE"/>
    <w:rsid w:val="006D08DF"/>
    <w:rsid w:val="006E3A5B"/>
    <w:rsid w:val="006F6D95"/>
    <w:rsid w:val="00706F13"/>
    <w:rsid w:val="007072E8"/>
    <w:rsid w:val="00714C78"/>
    <w:rsid w:val="00715994"/>
    <w:rsid w:val="0071618D"/>
    <w:rsid w:val="00722187"/>
    <w:rsid w:val="00725FA4"/>
    <w:rsid w:val="00732476"/>
    <w:rsid w:val="00733627"/>
    <w:rsid w:val="00740446"/>
    <w:rsid w:val="0074373C"/>
    <w:rsid w:val="007438A9"/>
    <w:rsid w:val="0074491E"/>
    <w:rsid w:val="00761E79"/>
    <w:rsid w:val="0076247A"/>
    <w:rsid w:val="00775964"/>
    <w:rsid w:val="007765FE"/>
    <w:rsid w:val="00794E2E"/>
    <w:rsid w:val="00795BFB"/>
    <w:rsid w:val="00795E23"/>
    <w:rsid w:val="0079743F"/>
    <w:rsid w:val="007A4FB7"/>
    <w:rsid w:val="007B2760"/>
    <w:rsid w:val="007B53E9"/>
    <w:rsid w:val="007D230E"/>
    <w:rsid w:val="007E11E2"/>
    <w:rsid w:val="00805A37"/>
    <w:rsid w:val="00806C01"/>
    <w:rsid w:val="008148CC"/>
    <w:rsid w:val="008211A4"/>
    <w:rsid w:val="00823532"/>
    <w:rsid w:val="00857A4A"/>
    <w:rsid w:val="00863BC3"/>
    <w:rsid w:val="00873150"/>
    <w:rsid w:val="0087657D"/>
    <w:rsid w:val="008807D5"/>
    <w:rsid w:val="00880832"/>
    <w:rsid w:val="00886EE1"/>
    <w:rsid w:val="0088727D"/>
    <w:rsid w:val="00887827"/>
    <w:rsid w:val="00890680"/>
    <w:rsid w:val="0089470C"/>
    <w:rsid w:val="00897C75"/>
    <w:rsid w:val="008B6CE9"/>
    <w:rsid w:val="008C1130"/>
    <w:rsid w:val="008D18E6"/>
    <w:rsid w:val="008D1AD2"/>
    <w:rsid w:val="008D7A9B"/>
    <w:rsid w:val="008E0060"/>
    <w:rsid w:val="008E38FD"/>
    <w:rsid w:val="008E76AC"/>
    <w:rsid w:val="008F1A26"/>
    <w:rsid w:val="008F21F6"/>
    <w:rsid w:val="009129A4"/>
    <w:rsid w:val="00915F2A"/>
    <w:rsid w:val="00923E7A"/>
    <w:rsid w:val="009268B2"/>
    <w:rsid w:val="00932BB4"/>
    <w:rsid w:val="00951F79"/>
    <w:rsid w:val="00962DD6"/>
    <w:rsid w:val="009642C6"/>
    <w:rsid w:val="00974AB5"/>
    <w:rsid w:val="0098706D"/>
    <w:rsid w:val="009935FB"/>
    <w:rsid w:val="009B042C"/>
    <w:rsid w:val="009C3EE0"/>
    <w:rsid w:val="009D31AA"/>
    <w:rsid w:val="009E1F29"/>
    <w:rsid w:val="009E773C"/>
    <w:rsid w:val="009F4A54"/>
    <w:rsid w:val="009F4BEC"/>
    <w:rsid w:val="009F5874"/>
    <w:rsid w:val="00A205F3"/>
    <w:rsid w:val="00A25FD7"/>
    <w:rsid w:val="00A37A12"/>
    <w:rsid w:val="00A43AFF"/>
    <w:rsid w:val="00A61512"/>
    <w:rsid w:val="00A7793A"/>
    <w:rsid w:val="00AA4CC7"/>
    <w:rsid w:val="00AA5E8E"/>
    <w:rsid w:val="00AB4706"/>
    <w:rsid w:val="00AB6CA7"/>
    <w:rsid w:val="00AD01E4"/>
    <w:rsid w:val="00AD02E6"/>
    <w:rsid w:val="00AD0858"/>
    <w:rsid w:val="00AD413B"/>
    <w:rsid w:val="00AE7340"/>
    <w:rsid w:val="00AF1BBD"/>
    <w:rsid w:val="00AF6024"/>
    <w:rsid w:val="00B10207"/>
    <w:rsid w:val="00B11B0E"/>
    <w:rsid w:val="00B141E7"/>
    <w:rsid w:val="00B27560"/>
    <w:rsid w:val="00B3027F"/>
    <w:rsid w:val="00B33E05"/>
    <w:rsid w:val="00B351B4"/>
    <w:rsid w:val="00B36196"/>
    <w:rsid w:val="00B405DE"/>
    <w:rsid w:val="00B4249B"/>
    <w:rsid w:val="00B46BCA"/>
    <w:rsid w:val="00B478AA"/>
    <w:rsid w:val="00B629D8"/>
    <w:rsid w:val="00B76198"/>
    <w:rsid w:val="00B87806"/>
    <w:rsid w:val="00B87EC9"/>
    <w:rsid w:val="00B95880"/>
    <w:rsid w:val="00BC070A"/>
    <w:rsid w:val="00BC38FD"/>
    <w:rsid w:val="00BD0059"/>
    <w:rsid w:val="00C034CB"/>
    <w:rsid w:val="00C051A8"/>
    <w:rsid w:val="00C054BC"/>
    <w:rsid w:val="00C17897"/>
    <w:rsid w:val="00C25546"/>
    <w:rsid w:val="00C342E7"/>
    <w:rsid w:val="00C409D5"/>
    <w:rsid w:val="00C435C3"/>
    <w:rsid w:val="00C45826"/>
    <w:rsid w:val="00C53260"/>
    <w:rsid w:val="00C56108"/>
    <w:rsid w:val="00C6234B"/>
    <w:rsid w:val="00C63EAE"/>
    <w:rsid w:val="00C71CEF"/>
    <w:rsid w:val="00C7629F"/>
    <w:rsid w:val="00C766A3"/>
    <w:rsid w:val="00C804B4"/>
    <w:rsid w:val="00C8661B"/>
    <w:rsid w:val="00C9308D"/>
    <w:rsid w:val="00CA139A"/>
    <w:rsid w:val="00CA2899"/>
    <w:rsid w:val="00CA3A3D"/>
    <w:rsid w:val="00CA77FB"/>
    <w:rsid w:val="00CB379B"/>
    <w:rsid w:val="00CB5DD0"/>
    <w:rsid w:val="00CB6627"/>
    <w:rsid w:val="00CC14C1"/>
    <w:rsid w:val="00CC51D4"/>
    <w:rsid w:val="00CC65DA"/>
    <w:rsid w:val="00CE1039"/>
    <w:rsid w:val="00CE1EC2"/>
    <w:rsid w:val="00CF21B9"/>
    <w:rsid w:val="00CF2809"/>
    <w:rsid w:val="00CF6BF9"/>
    <w:rsid w:val="00D03800"/>
    <w:rsid w:val="00D065D3"/>
    <w:rsid w:val="00D14C94"/>
    <w:rsid w:val="00D16D33"/>
    <w:rsid w:val="00D24A23"/>
    <w:rsid w:val="00D301E5"/>
    <w:rsid w:val="00D3307A"/>
    <w:rsid w:val="00D342A6"/>
    <w:rsid w:val="00D44FD3"/>
    <w:rsid w:val="00D45CA6"/>
    <w:rsid w:val="00D4638F"/>
    <w:rsid w:val="00D464BF"/>
    <w:rsid w:val="00D53E26"/>
    <w:rsid w:val="00D600E9"/>
    <w:rsid w:val="00DA1B43"/>
    <w:rsid w:val="00DA69D9"/>
    <w:rsid w:val="00DB02CF"/>
    <w:rsid w:val="00DC0BC0"/>
    <w:rsid w:val="00DD4F0E"/>
    <w:rsid w:val="00DF0BF0"/>
    <w:rsid w:val="00DF0F6F"/>
    <w:rsid w:val="00DF3CA2"/>
    <w:rsid w:val="00E004F4"/>
    <w:rsid w:val="00E01463"/>
    <w:rsid w:val="00E05E0A"/>
    <w:rsid w:val="00E060BE"/>
    <w:rsid w:val="00E0722F"/>
    <w:rsid w:val="00E12DE2"/>
    <w:rsid w:val="00E14CC4"/>
    <w:rsid w:val="00E15920"/>
    <w:rsid w:val="00E31CFC"/>
    <w:rsid w:val="00E413EC"/>
    <w:rsid w:val="00E534CF"/>
    <w:rsid w:val="00E57869"/>
    <w:rsid w:val="00E63D26"/>
    <w:rsid w:val="00E74DBA"/>
    <w:rsid w:val="00E770DF"/>
    <w:rsid w:val="00E81CB4"/>
    <w:rsid w:val="00E8585B"/>
    <w:rsid w:val="00EA3F15"/>
    <w:rsid w:val="00EA7847"/>
    <w:rsid w:val="00EB2746"/>
    <w:rsid w:val="00EB4C2F"/>
    <w:rsid w:val="00EC5024"/>
    <w:rsid w:val="00EC5E38"/>
    <w:rsid w:val="00ED590E"/>
    <w:rsid w:val="00EE10C1"/>
    <w:rsid w:val="00EE2E6E"/>
    <w:rsid w:val="00EF529D"/>
    <w:rsid w:val="00F0759E"/>
    <w:rsid w:val="00F16A43"/>
    <w:rsid w:val="00F30D68"/>
    <w:rsid w:val="00F32F56"/>
    <w:rsid w:val="00F46780"/>
    <w:rsid w:val="00F50148"/>
    <w:rsid w:val="00F545EA"/>
    <w:rsid w:val="00F64BDF"/>
    <w:rsid w:val="00F66D96"/>
    <w:rsid w:val="00F67C83"/>
    <w:rsid w:val="00F72A24"/>
    <w:rsid w:val="00F821A3"/>
    <w:rsid w:val="00F9314A"/>
    <w:rsid w:val="00F940B2"/>
    <w:rsid w:val="00FA20C4"/>
    <w:rsid w:val="00FA21AF"/>
    <w:rsid w:val="00FC58EF"/>
    <w:rsid w:val="00FD33DF"/>
    <w:rsid w:val="00FD35D1"/>
    <w:rsid w:val="00FE39D7"/>
    <w:rsid w:val="00FE6A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29"/>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jc w:val="both"/>
    </w:pPr>
    <w:rPr>
      <w:rFonts w:ascii="Bookman Old Style" w:hAnsi="Bookman Old Style"/>
      <w:b/>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52323C"/>
    <w:pPr>
      <w:numPr>
        <w:numId w:val="24"/>
      </w:numPr>
      <w:ind w:left="0" w:firstLine="0"/>
      <w:jc w:val="both"/>
    </w:pPr>
    <w:rPr>
      <w:rFonts w:ascii="Bookman Old Style" w:hAnsi="Bookman Old Style" w:cs="Arial"/>
    </w:rPr>
  </w:style>
  <w:style w:type="character" w:customStyle="1" w:styleId="ArtculoCar">
    <w:name w:val="Artículo Car"/>
    <w:link w:val="Artculo"/>
    <w:rsid w:val="0052323C"/>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ind w:left="0"/>
      <w:jc w:val="both"/>
    </w:pPr>
    <w:rPr>
      <w:rFonts w:ascii="Arial" w:hAnsi="Arial"/>
      <w:sz w:val="22"/>
      <w:szCs w:val="20"/>
      <w:lang w:val="es-CO"/>
    </w:rPr>
  </w:style>
  <w:style w:type="character" w:customStyle="1" w:styleId="TextonotapieCar">
    <w:name w:val="Texto nota pie Car"/>
    <w:link w:val="Textonotapie"/>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jc w:val="both"/>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jc w:val="both"/>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jc w:val="both"/>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rFonts w:ascii="Bookman Old Style" w:hAnsi="Bookman Old Style"/>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jc w:val="both"/>
    </w:pPr>
    <w:rPr>
      <w:rFonts w:ascii="Bookman Old Style" w:hAnsi="Bookman Old Style"/>
      <w:noProof/>
      <w:szCs w:val="20"/>
      <w:lang w:val="es-CO"/>
    </w:rPr>
  </w:style>
  <w:style w:type="paragraph" w:styleId="TDC4">
    <w:name w:val="toc 4"/>
    <w:basedOn w:val="Normal"/>
    <w:next w:val="Normal"/>
    <w:autoRedefine/>
    <w:uiPriority w:val="39"/>
    <w:rsid w:val="000B4E51"/>
    <w:pPr>
      <w:ind w:left="480"/>
      <w:jc w:val="both"/>
    </w:pPr>
    <w:rPr>
      <w:rFonts w:ascii="Calibri" w:hAnsi="Calibri"/>
      <w:sz w:val="20"/>
      <w:szCs w:val="20"/>
      <w:lang w:val="es-CO"/>
    </w:rPr>
  </w:style>
  <w:style w:type="paragraph" w:styleId="TDC5">
    <w:name w:val="toc 5"/>
    <w:basedOn w:val="Normal"/>
    <w:next w:val="Normal"/>
    <w:autoRedefine/>
    <w:uiPriority w:val="39"/>
    <w:rsid w:val="000B4E51"/>
    <w:pPr>
      <w:ind w:left="720"/>
      <w:jc w:val="both"/>
    </w:pPr>
    <w:rPr>
      <w:rFonts w:ascii="Calibri" w:hAnsi="Calibri"/>
      <w:sz w:val="20"/>
      <w:szCs w:val="20"/>
      <w:lang w:val="es-CO"/>
    </w:rPr>
  </w:style>
  <w:style w:type="paragraph" w:styleId="TDC6">
    <w:name w:val="toc 6"/>
    <w:basedOn w:val="Normal"/>
    <w:next w:val="Normal"/>
    <w:autoRedefine/>
    <w:uiPriority w:val="39"/>
    <w:rsid w:val="000B4E51"/>
    <w:pPr>
      <w:ind w:left="960"/>
      <w:jc w:val="both"/>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spacing w:before="240"/>
      <w:ind w:left="0"/>
      <w:jc w:val="both"/>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ind w:left="0"/>
      <w:jc w:val="both"/>
    </w:pPr>
    <w:rPr>
      <w:rFonts w:ascii="Arial" w:hAnsi="Arial"/>
      <w:b/>
      <w:sz w:val="22"/>
      <w:szCs w:val="20"/>
      <w:lang w:val="es-CO"/>
    </w:rPr>
  </w:style>
  <w:style w:type="paragraph" w:styleId="TDC9">
    <w:name w:val="toc 9"/>
    <w:basedOn w:val="Normal"/>
    <w:next w:val="Normal"/>
    <w:autoRedefine/>
    <w:uiPriority w:val="39"/>
    <w:rsid w:val="000B4E51"/>
    <w:pPr>
      <w:ind w:left="1680"/>
      <w:jc w:val="both"/>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ind w:left="0"/>
      <w:jc w:val="both"/>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left="0" w:right="616"/>
      <w:jc w:val="both"/>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ind w:left="0"/>
      <w:jc w:val="both"/>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left="0"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ind w:left="0"/>
      <w:jc w:val="both"/>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jc w:val="both"/>
    </w:pPr>
    <w:rPr>
      <w:rFonts w:ascii="Bookman Old Style" w:hAnsi="Bookman Old Style"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ind w:left="0"/>
      <w:jc w:val="both"/>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ind w:left="0"/>
      <w:jc w:val="both"/>
      <w:textAlignment w:val="baseline"/>
    </w:pPr>
    <w:rPr>
      <w:rFonts w:ascii="Bookman Old Style" w:hAnsi="Bookman Old Style"/>
    </w:rPr>
  </w:style>
  <w:style w:type="paragraph" w:styleId="ndice1">
    <w:name w:val="index 1"/>
    <w:basedOn w:val="Normal"/>
    <w:next w:val="Normal"/>
    <w:autoRedefine/>
    <w:semiHidden/>
    <w:rsid w:val="000B4E51"/>
    <w:pPr>
      <w:widowControl w:val="0"/>
      <w:adjustRightInd w:val="0"/>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ind w:left="0"/>
      <w:jc w:val="both"/>
      <w:textAlignment w:val="baseline"/>
    </w:pPr>
    <w:rPr>
      <w:b w:val="0"/>
      <w:bCs w:val="0"/>
      <w:sz w:val="22"/>
    </w:rPr>
  </w:style>
  <w:style w:type="paragraph" w:customStyle="1" w:styleId="Citas">
    <w:name w:val="Citas"/>
    <w:basedOn w:val="Normal"/>
    <w:rsid w:val="000B4E51"/>
    <w:pPr>
      <w:ind w:left="708" w:right="618"/>
      <w:jc w:val="both"/>
    </w:pPr>
    <w:rPr>
      <w:rFonts w:ascii="Bookman Old Style" w:hAnsi="Bookman Old Style" w:cs="Arial"/>
      <w:i/>
      <w:iCs/>
      <w:szCs w:val="20"/>
    </w:rPr>
  </w:style>
  <w:style w:type="paragraph" w:customStyle="1" w:styleId="articulo">
    <w:name w:val="articulo"/>
    <w:basedOn w:val="Normal"/>
    <w:next w:val="Normal"/>
    <w:autoRedefine/>
    <w:rsid w:val="000B4E51"/>
    <w:pPr>
      <w:tabs>
        <w:tab w:val="left" w:pos="-720"/>
        <w:tab w:val="left" w:pos="1560"/>
      </w:tabs>
      <w:suppressAutoHyphens/>
      <w:spacing w:before="240"/>
      <w:ind w:left="1560" w:hanging="1560"/>
      <w:jc w:val="both"/>
    </w:pPr>
    <w:rPr>
      <w:rFonts w:ascii="Bookman Old Style" w:hAnsi="Bookman Old Style"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jc w:val="both"/>
    </w:pPr>
    <w:rPr>
      <w:rFonts w:ascii="Bookman Old Style" w:hAnsi="Bookman Old Style"/>
      <w:spacing w:val="4"/>
      <w:sz w:val="24"/>
      <w:lang w:val="es-ES"/>
    </w:rPr>
  </w:style>
  <w:style w:type="paragraph" w:customStyle="1" w:styleId="Vietas">
    <w:name w:val="Viñetas"/>
    <w:basedOn w:val="Prrafodelista"/>
    <w:rsid w:val="000B4E51"/>
    <w:pPr>
      <w:spacing w:before="120"/>
      <w:ind w:left="720" w:hanging="360"/>
      <w:jc w:val="both"/>
    </w:pPr>
    <w:rPr>
      <w:rFonts w:ascii="Bookman Old Style" w:hAnsi="Bookman Old Style"/>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jc w:val="both"/>
      <w:outlineLvl w:val="0"/>
    </w:pPr>
    <w:rPr>
      <w:rFonts w:ascii="Bookman Old Style" w:hAnsi="Bookman Old Style"/>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Estilo2">
    <w:name w:val="Estilo2"/>
    <w:basedOn w:val="Ttulo1"/>
    <w:rsid w:val="000B4E51"/>
    <w:pPr>
      <w:adjustRightInd w:val="0"/>
      <w:spacing w:before="240" w:after="360"/>
      <w:ind w:left="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jc w:val="both"/>
      <w:textAlignment w:val="baseline"/>
    </w:pPr>
    <w:rPr>
      <w:rFonts w:ascii="Bookman Old Style" w:hAnsi="Bookman Old Style"/>
    </w:r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before="240" w:after="120"/>
      <w:ind w:left="0"/>
      <w:jc w:val="both"/>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jc w:val="both"/>
    </w:pPr>
    <w:rPr>
      <w:rFonts w:ascii="Bookman Old Style" w:hAnsi="Bookman Old Style"/>
      <w:sz w:val="22"/>
      <w:szCs w:val="20"/>
      <w:lang w:val="es-CO" w:eastAsia="ar-SA"/>
    </w:rPr>
  </w:style>
  <w:style w:type="paragraph" w:customStyle="1" w:styleId="Index">
    <w:name w:val="Index"/>
    <w:basedOn w:val="Normal"/>
    <w:rsid w:val="000B4E51"/>
    <w:pPr>
      <w:suppressLineNumbers/>
      <w:suppressAutoHyphens/>
      <w:ind w:left="0"/>
      <w:jc w:val="both"/>
    </w:pPr>
    <w:rPr>
      <w:rFonts w:ascii="Bookman Old Style" w:hAnsi="Bookman Old Style"/>
      <w:sz w:val="22"/>
      <w:szCs w:val="20"/>
      <w:lang w:val="es-CO" w:eastAsia="ar-SA"/>
    </w:rPr>
  </w:style>
  <w:style w:type="paragraph" w:styleId="Ttulodendice">
    <w:name w:val="index heading"/>
    <w:basedOn w:val="Normal"/>
    <w:next w:val="ndice1"/>
    <w:rsid w:val="000B4E51"/>
    <w:pPr>
      <w:suppressAutoHyphens/>
      <w:spacing w:before="120" w:after="120"/>
      <w:ind w:left="0"/>
      <w:jc w:val="both"/>
    </w:pPr>
    <w:rPr>
      <w:b/>
      <w:i/>
      <w:sz w:val="20"/>
      <w:szCs w:val="20"/>
      <w:lang w:val="es-CO" w:eastAsia="ar-SA"/>
    </w:rPr>
  </w:style>
  <w:style w:type="paragraph" w:styleId="ndice2">
    <w:name w:val="index 2"/>
    <w:basedOn w:val="Normal"/>
    <w:next w:val="Normal"/>
    <w:rsid w:val="000B4E51"/>
    <w:pPr>
      <w:suppressAutoHyphens/>
      <w:ind w:left="480" w:hanging="240"/>
      <w:jc w:val="both"/>
    </w:pPr>
    <w:rPr>
      <w:sz w:val="20"/>
      <w:szCs w:val="20"/>
      <w:lang w:val="es-CO" w:eastAsia="ar-SA"/>
    </w:rPr>
  </w:style>
  <w:style w:type="paragraph" w:styleId="ndice3">
    <w:name w:val="index 3"/>
    <w:basedOn w:val="Normal"/>
    <w:next w:val="Normal"/>
    <w:rsid w:val="000B4E51"/>
    <w:pPr>
      <w:suppressAutoHyphens/>
      <w:ind w:left="720" w:hanging="240"/>
      <w:jc w:val="both"/>
    </w:pPr>
    <w:rPr>
      <w:sz w:val="20"/>
      <w:szCs w:val="20"/>
      <w:lang w:val="es-CO" w:eastAsia="ar-SA"/>
    </w:rPr>
  </w:style>
  <w:style w:type="paragraph" w:customStyle="1" w:styleId="Figuras">
    <w:name w:val="Figuras"/>
    <w:basedOn w:val="Textoindependiente"/>
    <w:rsid w:val="000B4E51"/>
    <w:pPr>
      <w:suppressAutoHyphens/>
      <w:ind w:left="0"/>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ind w:left="0"/>
      <w:jc w:val="both"/>
    </w:pPr>
    <w:rPr>
      <w:rFonts w:ascii="Bookman Old Style" w:hAnsi="Bookman Old Style"/>
      <w:i/>
      <w:iCs/>
      <w:lang w:val="es-CO" w:eastAsia="ar-SA"/>
    </w:rPr>
  </w:style>
  <w:style w:type="paragraph" w:styleId="Textoindependienteprimerasangra">
    <w:name w:val="Body Text First Indent"/>
    <w:basedOn w:val="Textoindependiente"/>
    <w:link w:val="TextoindependienteprimerasangraCar"/>
    <w:rsid w:val="000B4E51"/>
    <w:pPr>
      <w:suppressAutoHyphens/>
      <w:ind w:left="0"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ind w:left="0"/>
      <w:jc w:val="right"/>
    </w:pPr>
    <w:rPr>
      <w:rFonts w:ascii="Arial" w:hAnsi="Arial" w:cs="Arial"/>
      <w:szCs w:val="20"/>
    </w:rPr>
  </w:style>
  <w:style w:type="paragraph" w:customStyle="1" w:styleId="TituloDocumento">
    <w:name w:val="Titulo Documento"/>
    <w:basedOn w:val="Normal"/>
    <w:rsid w:val="000B4E51"/>
    <w:pPr>
      <w:ind w:left="0"/>
      <w:jc w:val="right"/>
    </w:pPr>
    <w:rPr>
      <w:rFonts w:ascii="Arial Black" w:hAnsi="Arial Black" w:cs="Arial"/>
      <w:sz w:val="48"/>
      <w:szCs w:val="20"/>
    </w:rPr>
  </w:style>
  <w:style w:type="paragraph" w:customStyle="1" w:styleId="SubtituloDocumento">
    <w:name w:val="Subtitulo Documento"/>
    <w:basedOn w:val="Normal"/>
    <w:rsid w:val="000B4E51"/>
    <w:pPr>
      <w:ind w:left="0"/>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ind w:left="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ind w:left="0"/>
      <w:jc w:val="both"/>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ind w:left="0"/>
      <w:jc w:val="both"/>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spacing w:before="240" w:after="240"/>
      <w:ind w:left="0"/>
      <w:jc w:val="both"/>
      <w:textAlignment w:val="baseline"/>
    </w:pPr>
    <w:rPr>
      <w:rFonts w:ascii="Bookman Old Style" w:hAnsi="Bookman Old Style"/>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29"/>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jc w:val="both"/>
    </w:pPr>
    <w:rPr>
      <w:rFonts w:ascii="Bookman Old Style" w:hAnsi="Bookman Old Style"/>
      <w:b/>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52323C"/>
    <w:pPr>
      <w:numPr>
        <w:numId w:val="24"/>
      </w:numPr>
      <w:ind w:left="0" w:firstLine="0"/>
      <w:jc w:val="both"/>
    </w:pPr>
    <w:rPr>
      <w:rFonts w:ascii="Bookman Old Style" w:hAnsi="Bookman Old Style" w:cs="Arial"/>
    </w:rPr>
  </w:style>
  <w:style w:type="character" w:customStyle="1" w:styleId="ArtculoCar">
    <w:name w:val="Artículo Car"/>
    <w:link w:val="Artculo"/>
    <w:rsid w:val="0052323C"/>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ind w:left="0"/>
      <w:jc w:val="both"/>
    </w:pPr>
    <w:rPr>
      <w:rFonts w:ascii="Arial" w:hAnsi="Arial"/>
      <w:sz w:val="22"/>
      <w:szCs w:val="20"/>
      <w:lang w:val="es-CO"/>
    </w:rPr>
  </w:style>
  <w:style w:type="character" w:customStyle="1" w:styleId="TextonotapieCar">
    <w:name w:val="Texto nota pie Car"/>
    <w:link w:val="Textonotapie"/>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jc w:val="both"/>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jc w:val="both"/>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jc w:val="both"/>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rFonts w:ascii="Bookman Old Style" w:hAnsi="Bookman Old Style"/>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jc w:val="both"/>
    </w:pPr>
    <w:rPr>
      <w:rFonts w:ascii="Bookman Old Style" w:hAnsi="Bookman Old Style"/>
      <w:noProof/>
      <w:szCs w:val="20"/>
      <w:lang w:val="es-CO"/>
    </w:rPr>
  </w:style>
  <w:style w:type="paragraph" w:styleId="TDC4">
    <w:name w:val="toc 4"/>
    <w:basedOn w:val="Normal"/>
    <w:next w:val="Normal"/>
    <w:autoRedefine/>
    <w:uiPriority w:val="39"/>
    <w:rsid w:val="000B4E51"/>
    <w:pPr>
      <w:ind w:left="480"/>
      <w:jc w:val="both"/>
    </w:pPr>
    <w:rPr>
      <w:rFonts w:ascii="Calibri" w:hAnsi="Calibri"/>
      <w:sz w:val="20"/>
      <w:szCs w:val="20"/>
      <w:lang w:val="es-CO"/>
    </w:rPr>
  </w:style>
  <w:style w:type="paragraph" w:styleId="TDC5">
    <w:name w:val="toc 5"/>
    <w:basedOn w:val="Normal"/>
    <w:next w:val="Normal"/>
    <w:autoRedefine/>
    <w:uiPriority w:val="39"/>
    <w:rsid w:val="000B4E51"/>
    <w:pPr>
      <w:ind w:left="720"/>
      <w:jc w:val="both"/>
    </w:pPr>
    <w:rPr>
      <w:rFonts w:ascii="Calibri" w:hAnsi="Calibri"/>
      <w:sz w:val="20"/>
      <w:szCs w:val="20"/>
      <w:lang w:val="es-CO"/>
    </w:rPr>
  </w:style>
  <w:style w:type="paragraph" w:styleId="TDC6">
    <w:name w:val="toc 6"/>
    <w:basedOn w:val="Normal"/>
    <w:next w:val="Normal"/>
    <w:autoRedefine/>
    <w:uiPriority w:val="39"/>
    <w:rsid w:val="000B4E51"/>
    <w:pPr>
      <w:ind w:left="960"/>
      <w:jc w:val="both"/>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spacing w:before="240"/>
      <w:ind w:left="0"/>
      <w:jc w:val="both"/>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ind w:left="0"/>
      <w:jc w:val="both"/>
    </w:pPr>
    <w:rPr>
      <w:rFonts w:ascii="Arial" w:hAnsi="Arial"/>
      <w:b/>
      <w:sz w:val="22"/>
      <w:szCs w:val="20"/>
      <w:lang w:val="es-CO"/>
    </w:rPr>
  </w:style>
  <w:style w:type="paragraph" w:styleId="TDC9">
    <w:name w:val="toc 9"/>
    <w:basedOn w:val="Normal"/>
    <w:next w:val="Normal"/>
    <w:autoRedefine/>
    <w:uiPriority w:val="39"/>
    <w:rsid w:val="000B4E51"/>
    <w:pPr>
      <w:ind w:left="1680"/>
      <w:jc w:val="both"/>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ind w:left="0"/>
      <w:jc w:val="both"/>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left="0" w:right="616"/>
      <w:jc w:val="both"/>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ind w:left="0"/>
      <w:jc w:val="both"/>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left="0"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ind w:left="0"/>
      <w:jc w:val="both"/>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jc w:val="both"/>
    </w:pPr>
    <w:rPr>
      <w:rFonts w:ascii="Bookman Old Style" w:hAnsi="Bookman Old Style"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ind w:left="0"/>
      <w:jc w:val="both"/>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ind w:left="0"/>
      <w:jc w:val="both"/>
      <w:textAlignment w:val="baseline"/>
    </w:pPr>
    <w:rPr>
      <w:rFonts w:ascii="Bookman Old Style" w:hAnsi="Bookman Old Style"/>
    </w:rPr>
  </w:style>
  <w:style w:type="paragraph" w:styleId="ndice1">
    <w:name w:val="index 1"/>
    <w:basedOn w:val="Normal"/>
    <w:next w:val="Normal"/>
    <w:autoRedefine/>
    <w:semiHidden/>
    <w:rsid w:val="000B4E51"/>
    <w:pPr>
      <w:widowControl w:val="0"/>
      <w:adjustRightInd w:val="0"/>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ind w:left="0"/>
      <w:jc w:val="both"/>
      <w:textAlignment w:val="baseline"/>
    </w:pPr>
    <w:rPr>
      <w:b w:val="0"/>
      <w:bCs w:val="0"/>
      <w:sz w:val="22"/>
    </w:rPr>
  </w:style>
  <w:style w:type="paragraph" w:customStyle="1" w:styleId="Citas">
    <w:name w:val="Citas"/>
    <w:basedOn w:val="Normal"/>
    <w:rsid w:val="000B4E51"/>
    <w:pPr>
      <w:ind w:left="708" w:right="618"/>
      <w:jc w:val="both"/>
    </w:pPr>
    <w:rPr>
      <w:rFonts w:ascii="Bookman Old Style" w:hAnsi="Bookman Old Style" w:cs="Arial"/>
      <w:i/>
      <w:iCs/>
      <w:szCs w:val="20"/>
    </w:rPr>
  </w:style>
  <w:style w:type="paragraph" w:customStyle="1" w:styleId="articulo">
    <w:name w:val="articulo"/>
    <w:basedOn w:val="Normal"/>
    <w:next w:val="Normal"/>
    <w:autoRedefine/>
    <w:rsid w:val="000B4E51"/>
    <w:pPr>
      <w:tabs>
        <w:tab w:val="left" w:pos="-720"/>
        <w:tab w:val="left" w:pos="1560"/>
      </w:tabs>
      <w:suppressAutoHyphens/>
      <w:spacing w:before="240"/>
      <w:ind w:left="1560" w:hanging="1560"/>
      <w:jc w:val="both"/>
    </w:pPr>
    <w:rPr>
      <w:rFonts w:ascii="Bookman Old Style" w:hAnsi="Bookman Old Style"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jc w:val="both"/>
    </w:pPr>
    <w:rPr>
      <w:rFonts w:ascii="Bookman Old Style" w:hAnsi="Bookman Old Style"/>
      <w:spacing w:val="4"/>
      <w:sz w:val="24"/>
      <w:lang w:val="es-ES"/>
    </w:rPr>
  </w:style>
  <w:style w:type="paragraph" w:customStyle="1" w:styleId="Vietas">
    <w:name w:val="Viñetas"/>
    <w:basedOn w:val="Prrafodelista"/>
    <w:rsid w:val="000B4E51"/>
    <w:pPr>
      <w:spacing w:before="120"/>
      <w:ind w:left="720" w:hanging="360"/>
      <w:jc w:val="both"/>
    </w:pPr>
    <w:rPr>
      <w:rFonts w:ascii="Bookman Old Style" w:hAnsi="Bookman Old Style"/>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jc w:val="both"/>
      <w:outlineLvl w:val="0"/>
    </w:pPr>
    <w:rPr>
      <w:rFonts w:ascii="Bookman Old Style" w:hAnsi="Bookman Old Style"/>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Estilo2">
    <w:name w:val="Estilo2"/>
    <w:basedOn w:val="Ttulo1"/>
    <w:rsid w:val="000B4E51"/>
    <w:pPr>
      <w:adjustRightInd w:val="0"/>
      <w:spacing w:before="240" w:after="360"/>
      <w:ind w:left="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jc w:val="both"/>
      <w:textAlignment w:val="baseline"/>
    </w:pPr>
    <w:rPr>
      <w:rFonts w:ascii="Bookman Old Style" w:hAnsi="Bookman Old Style"/>
    </w:r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before="240" w:after="120"/>
      <w:ind w:left="0"/>
      <w:jc w:val="both"/>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jc w:val="both"/>
    </w:pPr>
    <w:rPr>
      <w:rFonts w:ascii="Bookman Old Style" w:hAnsi="Bookman Old Style"/>
      <w:sz w:val="22"/>
      <w:szCs w:val="20"/>
      <w:lang w:val="es-CO" w:eastAsia="ar-SA"/>
    </w:rPr>
  </w:style>
  <w:style w:type="paragraph" w:customStyle="1" w:styleId="Index">
    <w:name w:val="Index"/>
    <w:basedOn w:val="Normal"/>
    <w:rsid w:val="000B4E51"/>
    <w:pPr>
      <w:suppressLineNumbers/>
      <w:suppressAutoHyphens/>
      <w:ind w:left="0"/>
      <w:jc w:val="both"/>
    </w:pPr>
    <w:rPr>
      <w:rFonts w:ascii="Bookman Old Style" w:hAnsi="Bookman Old Style"/>
      <w:sz w:val="22"/>
      <w:szCs w:val="20"/>
      <w:lang w:val="es-CO" w:eastAsia="ar-SA"/>
    </w:rPr>
  </w:style>
  <w:style w:type="paragraph" w:styleId="Ttulodendice">
    <w:name w:val="index heading"/>
    <w:basedOn w:val="Normal"/>
    <w:next w:val="ndice1"/>
    <w:rsid w:val="000B4E51"/>
    <w:pPr>
      <w:suppressAutoHyphens/>
      <w:spacing w:before="120" w:after="120"/>
      <w:ind w:left="0"/>
      <w:jc w:val="both"/>
    </w:pPr>
    <w:rPr>
      <w:b/>
      <w:i/>
      <w:sz w:val="20"/>
      <w:szCs w:val="20"/>
      <w:lang w:val="es-CO" w:eastAsia="ar-SA"/>
    </w:rPr>
  </w:style>
  <w:style w:type="paragraph" w:styleId="ndice2">
    <w:name w:val="index 2"/>
    <w:basedOn w:val="Normal"/>
    <w:next w:val="Normal"/>
    <w:rsid w:val="000B4E51"/>
    <w:pPr>
      <w:suppressAutoHyphens/>
      <w:ind w:left="480" w:hanging="240"/>
      <w:jc w:val="both"/>
    </w:pPr>
    <w:rPr>
      <w:sz w:val="20"/>
      <w:szCs w:val="20"/>
      <w:lang w:val="es-CO" w:eastAsia="ar-SA"/>
    </w:rPr>
  </w:style>
  <w:style w:type="paragraph" w:styleId="ndice3">
    <w:name w:val="index 3"/>
    <w:basedOn w:val="Normal"/>
    <w:next w:val="Normal"/>
    <w:rsid w:val="000B4E51"/>
    <w:pPr>
      <w:suppressAutoHyphens/>
      <w:ind w:left="720" w:hanging="240"/>
      <w:jc w:val="both"/>
    </w:pPr>
    <w:rPr>
      <w:sz w:val="20"/>
      <w:szCs w:val="20"/>
      <w:lang w:val="es-CO" w:eastAsia="ar-SA"/>
    </w:rPr>
  </w:style>
  <w:style w:type="paragraph" w:customStyle="1" w:styleId="Figuras">
    <w:name w:val="Figuras"/>
    <w:basedOn w:val="Textoindependiente"/>
    <w:rsid w:val="000B4E51"/>
    <w:pPr>
      <w:suppressAutoHyphens/>
      <w:ind w:left="0"/>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ind w:left="0"/>
      <w:jc w:val="both"/>
    </w:pPr>
    <w:rPr>
      <w:rFonts w:ascii="Bookman Old Style" w:hAnsi="Bookman Old Style"/>
      <w:i/>
      <w:iCs/>
      <w:lang w:val="es-CO" w:eastAsia="ar-SA"/>
    </w:rPr>
  </w:style>
  <w:style w:type="paragraph" w:styleId="Textoindependienteprimerasangra">
    <w:name w:val="Body Text First Indent"/>
    <w:basedOn w:val="Textoindependiente"/>
    <w:link w:val="TextoindependienteprimerasangraCar"/>
    <w:rsid w:val="000B4E51"/>
    <w:pPr>
      <w:suppressAutoHyphens/>
      <w:ind w:left="0"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ind w:left="0"/>
      <w:jc w:val="right"/>
    </w:pPr>
    <w:rPr>
      <w:rFonts w:ascii="Arial" w:hAnsi="Arial" w:cs="Arial"/>
      <w:szCs w:val="20"/>
    </w:rPr>
  </w:style>
  <w:style w:type="paragraph" w:customStyle="1" w:styleId="TituloDocumento">
    <w:name w:val="Titulo Documento"/>
    <w:basedOn w:val="Normal"/>
    <w:rsid w:val="000B4E51"/>
    <w:pPr>
      <w:ind w:left="0"/>
      <w:jc w:val="right"/>
    </w:pPr>
    <w:rPr>
      <w:rFonts w:ascii="Arial Black" w:hAnsi="Arial Black" w:cs="Arial"/>
      <w:sz w:val="48"/>
      <w:szCs w:val="20"/>
    </w:rPr>
  </w:style>
  <w:style w:type="paragraph" w:customStyle="1" w:styleId="SubtituloDocumento">
    <w:name w:val="Subtitulo Documento"/>
    <w:basedOn w:val="Normal"/>
    <w:rsid w:val="000B4E51"/>
    <w:pPr>
      <w:ind w:left="0"/>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ind w:left="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ind w:left="0"/>
      <w:jc w:val="both"/>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ind w:left="0"/>
      <w:jc w:val="both"/>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spacing w:before="240" w:after="240"/>
      <w:ind w:left="0"/>
      <w:jc w:val="both"/>
      <w:textAlignment w:val="baseline"/>
    </w:pPr>
    <w:rPr>
      <w:rFonts w:ascii="Bookman Old Style" w:hAnsi="Bookman Old Style"/>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56224-90CF-4DAB-9F69-27B433FD3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4</Pages>
  <Words>1153</Words>
  <Characters>6345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7484</CharactersWithSpaces>
  <SharedDoc>false</SharedDoc>
  <HLinks>
    <vt:vector size="300" baseType="variant">
      <vt:variant>
        <vt:i4>1310768</vt:i4>
      </vt:variant>
      <vt:variant>
        <vt:i4>446</vt:i4>
      </vt:variant>
      <vt:variant>
        <vt:i4>0</vt:i4>
      </vt:variant>
      <vt:variant>
        <vt:i4>5</vt:i4>
      </vt:variant>
      <vt:variant>
        <vt:lpwstr/>
      </vt:variant>
      <vt:variant>
        <vt:lpwstr>_Toc310577409</vt:lpwstr>
      </vt:variant>
      <vt:variant>
        <vt:i4>1310768</vt:i4>
      </vt:variant>
      <vt:variant>
        <vt:i4>440</vt:i4>
      </vt:variant>
      <vt:variant>
        <vt:i4>0</vt:i4>
      </vt:variant>
      <vt:variant>
        <vt:i4>5</vt:i4>
      </vt:variant>
      <vt:variant>
        <vt:lpwstr/>
      </vt:variant>
      <vt:variant>
        <vt:lpwstr>_Toc310577408</vt:lpwstr>
      </vt:variant>
      <vt:variant>
        <vt:i4>1310768</vt:i4>
      </vt:variant>
      <vt:variant>
        <vt:i4>434</vt:i4>
      </vt:variant>
      <vt:variant>
        <vt:i4>0</vt:i4>
      </vt:variant>
      <vt:variant>
        <vt:i4>5</vt:i4>
      </vt:variant>
      <vt:variant>
        <vt:lpwstr/>
      </vt:variant>
      <vt:variant>
        <vt:lpwstr>_Toc310577407</vt:lpwstr>
      </vt:variant>
      <vt:variant>
        <vt:i4>1310768</vt:i4>
      </vt:variant>
      <vt:variant>
        <vt:i4>428</vt:i4>
      </vt:variant>
      <vt:variant>
        <vt:i4>0</vt:i4>
      </vt:variant>
      <vt:variant>
        <vt:i4>5</vt:i4>
      </vt:variant>
      <vt:variant>
        <vt:lpwstr/>
      </vt:variant>
      <vt:variant>
        <vt:lpwstr>_Toc310577406</vt:lpwstr>
      </vt:variant>
      <vt:variant>
        <vt:i4>1310768</vt:i4>
      </vt:variant>
      <vt:variant>
        <vt:i4>422</vt:i4>
      </vt:variant>
      <vt:variant>
        <vt:i4>0</vt:i4>
      </vt:variant>
      <vt:variant>
        <vt:i4>5</vt:i4>
      </vt:variant>
      <vt:variant>
        <vt:lpwstr/>
      </vt:variant>
      <vt:variant>
        <vt:lpwstr>_Toc310577405</vt:lpwstr>
      </vt:variant>
      <vt:variant>
        <vt:i4>1310768</vt:i4>
      </vt:variant>
      <vt:variant>
        <vt:i4>416</vt:i4>
      </vt:variant>
      <vt:variant>
        <vt:i4>0</vt:i4>
      </vt:variant>
      <vt:variant>
        <vt:i4>5</vt:i4>
      </vt:variant>
      <vt:variant>
        <vt:lpwstr/>
      </vt:variant>
      <vt:variant>
        <vt:lpwstr>_Toc310577404</vt:lpwstr>
      </vt:variant>
      <vt:variant>
        <vt:i4>1310768</vt:i4>
      </vt:variant>
      <vt:variant>
        <vt:i4>410</vt:i4>
      </vt:variant>
      <vt:variant>
        <vt:i4>0</vt:i4>
      </vt:variant>
      <vt:variant>
        <vt:i4>5</vt:i4>
      </vt:variant>
      <vt:variant>
        <vt:lpwstr/>
      </vt:variant>
      <vt:variant>
        <vt:lpwstr>_Toc310577403</vt:lpwstr>
      </vt:variant>
      <vt:variant>
        <vt:i4>1310768</vt:i4>
      </vt:variant>
      <vt:variant>
        <vt:i4>404</vt:i4>
      </vt:variant>
      <vt:variant>
        <vt:i4>0</vt:i4>
      </vt:variant>
      <vt:variant>
        <vt:i4>5</vt:i4>
      </vt:variant>
      <vt:variant>
        <vt:lpwstr/>
      </vt:variant>
      <vt:variant>
        <vt:lpwstr>_Toc310577402</vt:lpwstr>
      </vt:variant>
      <vt:variant>
        <vt:i4>1310768</vt:i4>
      </vt:variant>
      <vt:variant>
        <vt:i4>398</vt:i4>
      </vt:variant>
      <vt:variant>
        <vt:i4>0</vt:i4>
      </vt:variant>
      <vt:variant>
        <vt:i4>5</vt:i4>
      </vt:variant>
      <vt:variant>
        <vt:lpwstr/>
      </vt:variant>
      <vt:variant>
        <vt:lpwstr>_Toc310577401</vt:lpwstr>
      </vt:variant>
      <vt:variant>
        <vt:i4>1310768</vt:i4>
      </vt:variant>
      <vt:variant>
        <vt:i4>392</vt:i4>
      </vt:variant>
      <vt:variant>
        <vt:i4>0</vt:i4>
      </vt:variant>
      <vt:variant>
        <vt:i4>5</vt:i4>
      </vt:variant>
      <vt:variant>
        <vt:lpwstr/>
      </vt:variant>
      <vt:variant>
        <vt:lpwstr>_Toc310577400</vt:lpwstr>
      </vt:variant>
      <vt:variant>
        <vt:i4>1900599</vt:i4>
      </vt:variant>
      <vt:variant>
        <vt:i4>386</vt:i4>
      </vt:variant>
      <vt:variant>
        <vt:i4>0</vt:i4>
      </vt:variant>
      <vt:variant>
        <vt:i4>5</vt:i4>
      </vt:variant>
      <vt:variant>
        <vt:lpwstr/>
      </vt:variant>
      <vt:variant>
        <vt:lpwstr>_Toc310577399</vt:lpwstr>
      </vt:variant>
      <vt:variant>
        <vt:i4>1900599</vt:i4>
      </vt:variant>
      <vt:variant>
        <vt:i4>380</vt:i4>
      </vt:variant>
      <vt:variant>
        <vt:i4>0</vt:i4>
      </vt:variant>
      <vt:variant>
        <vt:i4>5</vt:i4>
      </vt:variant>
      <vt:variant>
        <vt:lpwstr/>
      </vt:variant>
      <vt:variant>
        <vt:lpwstr>_Toc310577398</vt:lpwstr>
      </vt:variant>
      <vt:variant>
        <vt:i4>1900599</vt:i4>
      </vt:variant>
      <vt:variant>
        <vt:i4>374</vt:i4>
      </vt:variant>
      <vt:variant>
        <vt:i4>0</vt:i4>
      </vt:variant>
      <vt:variant>
        <vt:i4>5</vt:i4>
      </vt:variant>
      <vt:variant>
        <vt:lpwstr/>
      </vt:variant>
      <vt:variant>
        <vt:lpwstr>_Toc310577397</vt:lpwstr>
      </vt:variant>
      <vt:variant>
        <vt:i4>1900599</vt:i4>
      </vt:variant>
      <vt:variant>
        <vt:i4>368</vt:i4>
      </vt:variant>
      <vt:variant>
        <vt:i4>0</vt:i4>
      </vt:variant>
      <vt:variant>
        <vt:i4>5</vt:i4>
      </vt:variant>
      <vt:variant>
        <vt:lpwstr/>
      </vt:variant>
      <vt:variant>
        <vt:lpwstr>_Toc310577396</vt:lpwstr>
      </vt:variant>
      <vt:variant>
        <vt:i4>1900599</vt:i4>
      </vt:variant>
      <vt:variant>
        <vt:i4>362</vt:i4>
      </vt:variant>
      <vt:variant>
        <vt:i4>0</vt:i4>
      </vt:variant>
      <vt:variant>
        <vt:i4>5</vt:i4>
      </vt:variant>
      <vt:variant>
        <vt:lpwstr/>
      </vt:variant>
      <vt:variant>
        <vt:lpwstr>_Toc310577395</vt:lpwstr>
      </vt:variant>
      <vt:variant>
        <vt:i4>1900599</vt:i4>
      </vt:variant>
      <vt:variant>
        <vt:i4>356</vt:i4>
      </vt:variant>
      <vt:variant>
        <vt:i4>0</vt:i4>
      </vt:variant>
      <vt:variant>
        <vt:i4>5</vt:i4>
      </vt:variant>
      <vt:variant>
        <vt:lpwstr/>
      </vt:variant>
      <vt:variant>
        <vt:lpwstr>_Toc310577394</vt:lpwstr>
      </vt:variant>
      <vt:variant>
        <vt:i4>1900599</vt:i4>
      </vt:variant>
      <vt:variant>
        <vt:i4>350</vt:i4>
      </vt:variant>
      <vt:variant>
        <vt:i4>0</vt:i4>
      </vt:variant>
      <vt:variant>
        <vt:i4>5</vt:i4>
      </vt:variant>
      <vt:variant>
        <vt:lpwstr/>
      </vt:variant>
      <vt:variant>
        <vt:lpwstr>_Toc310577393</vt:lpwstr>
      </vt:variant>
      <vt:variant>
        <vt:i4>1900599</vt:i4>
      </vt:variant>
      <vt:variant>
        <vt:i4>344</vt:i4>
      </vt:variant>
      <vt:variant>
        <vt:i4>0</vt:i4>
      </vt:variant>
      <vt:variant>
        <vt:i4>5</vt:i4>
      </vt:variant>
      <vt:variant>
        <vt:lpwstr/>
      </vt:variant>
      <vt:variant>
        <vt:lpwstr>_Toc310577392</vt:lpwstr>
      </vt:variant>
      <vt:variant>
        <vt:i4>1900599</vt:i4>
      </vt:variant>
      <vt:variant>
        <vt:i4>338</vt:i4>
      </vt:variant>
      <vt:variant>
        <vt:i4>0</vt:i4>
      </vt:variant>
      <vt:variant>
        <vt:i4>5</vt:i4>
      </vt:variant>
      <vt:variant>
        <vt:lpwstr/>
      </vt:variant>
      <vt:variant>
        <vt:lpwstr>_Toc310577391</vt:lpwstr>
      </vt:variant>
      <vt:variant>
        <vt:i4>1900599</vt:i4>
      </vt:variant>
      <vt:variant>
        <vt:i4>332</vt:i4>
      </vt:variant>
      <vt:variant>
        <vt:i4>0</vt:i4>
      </vt:variant>
      <vt:variant>
        <vt:i4>5</vt:i4>
      </vt:variant>
      <vt:variant>
        <vt:lpwstr/>
      </vt:variant>
      <vt:variant>
        <vt:lpwstr>_Toc310577390</vt:lpwstr>
      </vt:variant>
      <vt:variant>
        <vt:i4>1835063</vt:i4>
      </vt:variant>
      <vt:variant>
        <vt:i4>326</vt:i4>
      </vt:variant>
      <vt:variant>
        <vt:i4>0</vt:i4>
      </vt:variant>
      <vt:variant>
        <vt:i4>5</vt:i4>
      </vt:variant>
      <vt:variant>
        <vt:lpwstr/>
      </vt:variant>
      <vt:variant>
        <vt:lpwstr>_Toc310577389</vt:lpwstr>
      </vt:variant>
      <vt:variant>
        <vt:i4>1835063</vt:i4>
      </vt:variant>
      <vt:variant>
        <vt:i4>320</vt:i4>
      </vt:variant>
      <vt:variant>
        <vt:i4>0</vt:i4>
      </vt:variant>
      <vt:variant>
        <vt:i4>5</vt:i4>
      </vt:variant>
      <vt:variant>
        <vt:lpwstr/>
      </vt:variant>
      <vt:variant>
        <vt:lpwstr>_Toc310577388</vt:lpwstr>
      </vt:variant>
      <vt:variant>
        <vt:i4>1835063</vt:i4>
      </vt:variant>
      <vt:variant>
        <vt:i4>314</vt:i4>
      </vt:variant>
      <vt:variant>
        <vt:i4>0</vt:i4>
      </vt:variant>
      <vt:variant>
        <vt:i4>5</vt:i4>
      </vt:variant>
      <vt:variant>
        <vt:lpwstr/>
      </vt:variant>
      <vt:variant>
        <vt:lpwstr>_Toc310577387</vt:lpwstr>
      </vt:variant>
      <vt:variant>
        <vt:i4>1835063</vt:i4>
      </vt:variant>
      <vt:variant>
        <vt:i4>308</vt:i4>
      </vt:variant>
      <vt:variant>
        <vt:i4>0</vt:i4>
      </vt:variant>
      <vt:variant>
        <vt:i4>5</vt:i4>
      </vt:variant>
      <vt:variant>
        <vt:lpwstr/>
      </vt:variant>
      <vt:variant>
        <vt:lpwstr>_Toc310577386</vt:lpwstr>
      </vt:variant>
      <vt:variant>
        <vt:i4>1835063</vt:i4>
      </vt:variant>
      <vt:variant>
        <vt:i4>302</vt:i4>
      </vt:variant>
      <vt:variant>
        <vt:i4>0</vt:i4>
      </vt:variant>
      <vt:variant>
        <vt:i4>5</vt:i4>
      </vt:variant>
      <vt:variant>
        <vt:lpwstr/>
      </vt:variant>
      <vt:variant>
        <vt:lpwstr>_Toc310577385</vt:lpwstr>
      </vt:variant>
      <vt:variant>
        <vt:i4>1835063</vt:i4>
      </vt:variant>
      <vt:variant>
        <vt:i4>296</vt:i4>
      </vt:variant>
      <vt:variant>
        <vt:i4>0</vt:i4>
      </vt:variant>
      <vt:variant>
        <vt:i4>5</vt:i4>
      </vt:variant>
      <vt:variant>
        <vt:lpwstr/>
      </vt:variant>
      <vt:variant>
        <vt:lpwstr>_Toc310577384</vt:lpwstr>
      </vt:variant>
      <vt:variant>
        <vt:i4>1835063</vt:i4>
      </vt:variant>
      <vt:variant>
        <vt:i4>290</vt:i4>
      </vt:variant>
      <vt:variant>
        <vt:i4>0</vt:i4>
      </vt:variant>
      <vt:variant>
        <vt:i4>5</vt:i4>
      </vt:variant>
      <vt:variant>
        <vt:lpwstr/>
      </vt:variant>
      <vt:variant>
        <vt:lpwstr>_Toc310577383</vt:lpwstr>
      </vt:variant>
      <vt:variant>
        <vt:i4>1835063</vt:i4>
      </vt:variant>
      <vt:variant>
        <vt:i4>284</vt:i4>
      </vt:variant>
      <vt:variant>
        <vt:i4>0</vt:i4>
      </vt:variant>
      <vt:variant>
        <vt:i4>5</vt:i4>
      </vt:variant>
      <vt:variant>
        <vt:lpwstr/>
      </vt:variant>
      <vt:variant>
        <vt:lpwstr>_Toc310577382</vt:lpwstr>
      </vt:variant>
      <vt:variant>
        <vt:i4>1835063</vt:i4>
      </vt:variant>
      <vt:variant>
        <vt:i4>278</vt:i4>
      </vt:variant>
      <vt:variant>
        <vt:i4>0</vt:i4>
      </vt:variant>
      <vt:variant>
        <vt:i4>5</vt:i4>
      </vt:variant>
      <vt:variant>
        <vt:lpwstr/>
      </vt:variant>
      <vt:variant>
        <vt:lpwstr>_Toc310577381</vt:lpwstr>
      </vt:variant>
      <vt:variant>
        <vt:i4>1835063</vt:i4>
      </vt:variant>
      <vt:variant>
        <vt:i4>272</vt:i4>
      </vt:variant>
      <vt:variant>
        <vt:i4>0</vt:i4>
      </vt:variant>
      <vt:variant>
        <vt:i4>5</vt:i4>
      </vt:variant>
      <vt:variant>
        <vt:lpwstr/>
      </vt:variant>
      <vt:variant>
        <vt:lpwstr>_Toc310577380</vt:lpwstr>
      </vt:variant>
      <vt:variant>
        <vt:i4>1245239</vt:i4>
      </vt:variant>
      <vt:variant>
        <vt:i4>266</vt:i4>
      </vt:variant>
      <vt:variant>
        <vt:i4>0</vt:i4>
      </vt:variant>
      <vt:variant>
        <vt:i4>5</vt:i4>
      </vt:variant>
      <vt:variant>
        <vt:lpwstr/>
      </vt:variant>
      <vt:variant>
        <vt:lpwstr>_Toc310577379</vt:lpwstr>
      </vt:variant>
      <vt:variant>
        <vt:i4>1245239</vt:i4>
      </vt:variant>
      <vt:variant>
        <vt:i4>260</vt:i4>
      </vt:variant>
      <vt:variant>
        <vt:i4>0</vt:i4>
      </vt:variant>
      <vt:variant>
        <vt:i4>5</vt:i4>
      </vt:variant>
      <vt:variant>
        <vt:lpwstr/>
      </vt:variant>
      <vt:variant>
        <vt:lpwstr>_Toc310577378</vt:lpwstr>
      </vt:variant>
      <vt:variant>
        <vt:i4>1245239</vt:i4>
      </vt:variant>
      <vt:variant>
        <vt:i4>254</vt:i4>
      </vt:variant>
      <vt:variant>
        <vt:i4>0</vt:i4>
      </vt:variant>
      <vt:variant>
        <vt:i4>5</vt:i4>
      </vt:variant>
      <vt:variant>
        <vt:lpwstr/>
      </vt:variant>
      <vt:variant>
        <vt:lpwstr>_Toc310577377</vt:lpwstr>
      </vt:variant>
      <vt:variant>
        <vt:i4>1245239</vt:i4>
      </vt:variant>
      <vt:variant>
        <vt:i4>248</vt:i4>
      </vt:variant>
      <vt:variant>
        <vt:i4>0</vt:i4>
      </vt:variant>
      <vt:variant>
        <vt:i4>5</vt:i4>
      </vt:variant>
      <vt:variant>
        <vt:lpwstr/>
      </vt:variant>
      <vt:variant>
        <vt:lpwstr>_Toc310577376</vt:lpwstr>
      </vt:variant>
      <vt:variant>
        <vt:i4>1245239</vt:i4>
      </vt:variant>
      <vt:variant>
        <vt:i4>242</vt:i4>
      </vt:variant>
      <vt:variant>
        <vt:i4>0</vt:i4>
      </vt:variant>
      <vt:variant>
        <vt:i4>5</vt:i4>
      </vt:variant>
      <vt:variant>
        <vt:lpwstr/>
      </vt:variant>
      <vt:variant>
        <vt:lpwstr>_Toc310577375</vt:lpwstr>
      </vt:variant>
      <vt:variant>
        <vt:i4>1245239</vt:i4>
      </vt:variant>
      <vt:variant>
        <vt:i4>236</vt:i4>
      </vt:variant>
      <vt:variant>
        <vt:i4>0</vt:i4>
      </vt:variant>
      <vt:variant>
        <vt:i4>5</vt:i4>
      </vt:variant>
      <vt:variant>
        <vt:lpwstr/>
      </vt:variant>
      <vt:variant>
        <vt:lpwstr>_Toc310577374</vt:lpwstr>
      </vt:variant>
      <vt:variant>
        <vt:i4>1245239</vt:i4>
      </vt:variant>
      <vt:variant>
        <vt:i4>230</vt:i4>
      </vt:variant>
      <vt:variant>
        <vt:i4>0</vt:i4>
      </vt:variant>
      <vt:variant>
        <vt:i4>5</vt:i4>
      </vt:variant>
      <vt:variant>
        <vt:lpwstr/>
      </vt:variant>
      <vt:variant>
        <vt:lpwstr>_Toc310577373</vt:lpwstr>
      </vt:variant>
      <vt:variant>
        <vt:i4>1245239</vt:i4>
      </vt:variant>
      <vt:variant>
        <vt:i4>224</vt:i4>
      </vt:variant>
      <vt:variant>
        <vt:i4>0</vt:i4>
      </vt:variant>
      <vt:variant>
        <vt:i4>5</vt:i4>
      </vt:variant>
      <vt:variant>
        <vt:lpwstr/>
      </vt:variant>
      <vt:variant>
        <vt:lpwstr>_Toc310577372</vt:lpwstr>
      </vt:variant>
      <vt:variant>
        <vt:i4>1245239</vt:i4>
      </vt:variant>
      <vt:variant>
        <vt:i4>218</vt:i4>
      </vt:variant>
      <vt:variant>
        <vt:i4>0</vt:i4>
      </vt:variant>
      <vt:variant>
        <vt:i4>5</vt:i4>
      </vt:variant>
      <vt:variant>
        <vt:lpwstr/>
      </vt:variant>
      <vt:variant>
        <vt:lpwstr>_Toc310577371</vt:lpwstr>
      </vt:variant>
      <vt:variant>
        <vt:i4>1245239</vt:i4>
      </vt:variant>
      <vt:variant>
        <vt:i4>212</vt:i4>
      </vt:variant>
      <vt:variant>
        <vt:i4>0</vt:i4>
      </vt:variant>
      <vt:variant>
        <vt:i4>5</vt:i4>
      </vt:variant>
      <vt:variant>
        <vt:lpwstr/>
      </vt:variant>
      <vt:variant>
        <vt:lpwstr>_Toc310577370</vt:lpwstr>
      </vt:variant>
      <vt:variant>
        <vt:i4>1179703</vt:i4>
      </vt:variant>
      <vt:variant>
        <vt:i4>206</vt:i4>
      </vt:variant>
      <vt:variant>
        <vt:i4>0</vt:i4>
      </vt:variant>
      <vt:variant>
        <vt:i4>5</vt:i4>
      </vt:variant>
      <vt:variant>
        <vt:lpwstr/>
      </vt:variant>
      <vt:variant>
        <vt:lpwstr>_Toc310577369</vt:lpwstr>
      </vt:variant>
      <vt:variant>
        <vt:i4>1179703</vt:i4>
      </vt:variant>
      <vt:variant>
        <vt:i4>200</vt:i4>
      </vt:variant>
      <vt:variant>
        <vt:i4>0</vt:i4>
      </vt:variant>
      <vt:variant>
        <vt:i4>5</vt:i4>
      </vt:variant>
      <vt:variant>
        <vt:lpwstr/>
      </vt:variant>
      <vt:variant>
        <vt:lpwstr>_Toc310577368</vt:lpwstr>
      </vt:variant>
      <vt:variant>
        <vt:i4>1179703</vt:i4>
      </vt:variant>
      <vt:variant>
        <vt:i4>194</vt:i4>
      </vt:variant>
      <vt:variant>
        <vt:i4>0</vt:i4>
      </vt:variant>
      <vt:variant>
        <vt:i4>5</vt:i4>
      </vt:variant>
      <vt:variant>
        <vt:lpwstr/>
      </vt:variant>
      <vt:variant>
        <vt:lpwstr>_Toc310577367</vt:lpwstr>
      </vt:variant>
      <vt:variant>
        <vt:i4>1179703</vt:i4>
      </vt:variant>
      <vt:variant>
        <vt:i4>188</vt:i4>
      </vt:variant>
      <vt:variant>
        <vt:i4>0</vt:i4>
      </vt:variant>
      <vt:variant>
        <vt:i4>5</vt:i4>
      </vt:variant>
      <vt:variant>
        <vt:lpwstr/>
      </vt:variant>
      <vt:variant>
        <vt:lpwstr>_Toc310577366</vt:lpwstr>
      </vt:variant>
      <vt:variant>
        <vt:i4>1179703</vt:i4>
      </vt:variant>
      <vt:variant>
        <vt:i4>182</vt:i4>
      </vt:variant>
      <vt:variant>
        <vt:i4>0</vt:i4>
      </vt:variant>
      <vt:variant>
        <vt:i4>5</vt:i4>
      </vt:variant>
      <vt:variant>
        <vt:lpwstr/>
      </vt:variant>
      <vt:variant>
        <vt:lpwstr>_Toc310577365</vt:lpwstr>
      </vt:variant>
      <vt:variant>
        <vt:i4>1179703</vt:i4>
      </vt:variant>
      <vt:variant>
        <vt:i4>176</vt:i4>
      </vt:variant>
      <vt:variant>
        <vt:i4>0</vt:i4>
      </vt:variant>
      <vt:variant>
        <vt:i4>5</vt:i4>
      </vt:variant>
      <vt:variant>
        <vt:lpwstr/>
      </vt:variant>
      <vt:variant>
        <vt:lpwstr>_Toc310577364</vt:lpwstr>
      </vt:variant>
      <vt:variant>
        <vt:i4>1179703</vt:i4>
      </vt:variant>
      <vt:variant>
        <vt:i4>170</vt:i4>
      </vt:variant>
      <vt:variant>
        <vt:i4>0</vt:i4>
      </vt:variant>
      <vt:variant>
        <vt:i4>5</vt:i4>
      </vt:variant>
      <vt:variant>
        <vt:lpwstr/>
      </vt:variant>
      <vt:variant>
        <vt:lpwstr>_Toc310577363</vt:lpwstr>
      </vt:variant>
      <vt:variant>
        <vt:i4>1179703</vt:i4>
      </vt:variant>
      <vt:variant>
        <vt:i4>164</vt:i4>
      </vt:variant>
      <vt:variant>
        <vt:i4>0</vt:i4>
      </vt:variant>
      <vt:variant>
        <vt:i4>5</vt:i4>
      </vt:variant>
      <vt:variant>
        <vt:lpwstr/>
      </vt:variant>
      <vt:variant>
        <vt:lpwstr>_Toc310577362</vt:lpwstr>
      </vt:variant>
      <vt:variant>
        <vt:i4>1179703</vt:i4>
      </vt:variant>
      <vt:variant>
        <vt:i4>158</vt:i4>
      </vt:variant>
      <vt:variant>
        <vt:i4>0</vt:i4>
      </vt:variant>
      <vt:variant>
        <vt:i4>5</vt:i4>
      </vt:variant>
      <vt:variant>
        <vt:lpwstr/>
      </vt:variant>
      <vt:variant>
        <vt:lpwstr>_Toc310577361</vt:lpwstr>
      </vt:variant>
      <vt:variant>
        <vt:i4>1179703</vt:i4>
      </vt:variant>
      <vt:variant>
        <vt:i4>152</vt:i4>
      </vt:variant>
      <vt:variant>
        <vt:i4>0</vt:i4>
      </vt:variant>
      <vt:variant>
        <vt:i4>5</vt:i4>
      </vt:variant>
      <vt:variant>
        <vt:lpwstr/>
      </vt:variant>
      <vt:variant>
        <vt:lpwstr>_Toc310577360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2012-07-03T20:37:00Z</cp:lastPrinted>
  <dcterms:created xsi:type="dcterms:W3CDTF">2012-07-25T13:54:00Z</dcterms:created>
  <dcterms:modified xsi:type="dcterms:W3CDTF">2012-07-25T13:54:00Z</dcterms:modified>
</cp:coreProperties>
</file>