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C34" w:rsidRPr="00417E03" w:rsidRDefault="00056A66" w:rsidP="00C07899">
      <w:pPr>
        <w:pStyle w:val="Ttulo4"/>
        <w:tabs>
          <w:tab w:val="left" w:pos="0"/>
          <w:tab w:val="right" w:pos="9356"/>
        </w:tabs>
        <w:ind w:left="0"/>
        <w:contextualSpacing/>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lang w:val="es-CO" w:eastAsia="es-CO"/>
        </w:rPr>
        <w:object w:dxaOrig="1440" w:dyaOrig="1440" w14:anchorId="213CB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8" o:title=""/>
          </v:shape>
          <o:OLEObject Type="Embed" ProgID="PBrush" ShapeID="_x0000_s1026" DrawAspect="Content" ObjectID="_1536123605" r:id="rId9"/>
        </w:object>
      </w:r>
      <w:r w:rsidR="004C4C34" w:rsidRPr="00417E03">
        <w:rPr>
          <w:rFonts w:ascii="Bookman Old Style" w:hAnsi="Bookman Old Style"/>
          <w:b w:val="0"/>
          <w:bCs/>
          <w:sz w:val="24"/>
          <w:szCs w:val="24"/>
        </w:rPr>
        <w:t>Ministerio de Minas y Energía</w:t>
      </w:r>
    </w:p>
    <w:p w:rsidR="004C4C34" w:rsidRPr="00417E03" w:rsidRDefault="004C4C34" w:rsidP="00C07899">
      <w:pPr>
        <w:pStyle w:val="Ttulo4"/>
        <w:tabs>
          <w:tab w:val="left" w:pos="0"/>
          <w:tab w:val="right" w:pos="9356"/>
        </w:tabs>
        <w:ind w:left="0"/>
        <w:contextualSpacing/>
        <w:rPr>
          <w:rFonts w:ascii="Bookman Old Style" w:hAnsi="Bookman Old Style"/>
          <w:b w:val="0"/>
          <w:bCs/>
          <w:sz w:val="24"/>
          <w:szCs w:val="24"/>
        </w:rPr>
      </w:pPr>
    </w:p>
    <w:p w:rsidR="00C25448" w:rsidRPr="00417E03" w:rsidRDefault="00C25448" w:rsidP="00C25448">
      <w:pPr>
        <w:rPr>
          <w:lang w:val="es-ES_tradnl"/>
        </w:rPr>
      </w:pPr>
    </w:p>
    <w:p w:rsidR="004C4C34" w:rsidRPr="00417E03" w:rsidRDefault="004C4C34" w:rsidP="00C07899">
      <w:pPr>
        <w:pStyle w:val="Ttulo3"/>
        <w:tabs>
          <w:tab w:val="left" w:pos="0"/>
          <w:tab w:val="right" w:pos="9356"/>
        </w:tabs>
        <w:ind w:left="0"/>
        <w:contextualSpacing/>
        <w:rPr>
          <w:rFonts w:ascii="Bookman Old Style" w:hAnsi="Bookman Old Style" w:cs="Arial"/>
          <w:spacing w:val="20"/>
          <w:szCs w:val="24"/>
        </w:rPr>
      </w:pPr>
      <w:r w:rsidRPr="00417E03">
        <w:rPr>
          <w:rFonts w:ascii="Bookman Old Style" w:hAnsi="Bookman Old Style" w:cs="Arial"/>
          <w:spacing w:val="20"/>
          <w:szCs w:val="24"/>
        </w:rPr>
        <w:t>COMISIÓN DE REGULACIÓN DE ENERGÍA Y GAS</w:t>
      </w:r>
    </w:p>
    <w:p w:rsidR="004C4C34" w:rsidRPr="00417E03" w:rsidRDefault="004C4C34" w:rsidP="00C07899">
      <w:pPr>
        <w:pStyle w:val="Ttulo5"/>
        <w:tabs>
          <w:tab w:val="left" w:pos="0"/>
          <w:tab w:val="right" w:pos="9356"/>
        </w:tabs>
        <w:ind w:left="0"/>
        <w:contextualSpacing/>
        <w:rPr>
          <w:rFonts w:ascii="Bookman Old Style" w:hAnsi="Bookman Old Style"/>
          <w:sz w:val="24"/>
          <w:szCs w:val="24"/>
        </w:rPr>
      </w:pPr>
    </w:p>
    <w:p w:rsidR="004C4C34" w:rsidRPr="00417E03" w:rsidRDefault="004C4C34" w:rsidP="00C07899">
      <w:pPr>
        <w:pStyle w:val="Ttulo5"/>
        <w:tabs>
          <w:tab w:val="left" w:pos="0"/>
          <w:tab w:val="right" w:pos="9356"/>
        </w:tabs>
        <w:ind w:left="0"/>
        <w:contextualSpacing/>
        <w:rPr>
          <w:rFonts w:ascii="Bookman Old Style" w:hAnsi="Bookman Old Style"/>
          <w:sz w:val="24"/>
          <w:szCs w:val="24"/>
        </w:rPr>
      </w:pPr>
    </w:p>
    <w:p w:rsidR="004C4C34" w:rsidRPr="00417E03" w:rsidRDefault="004C4C34" w:rsidP="00C07899">
      <w:pPr>
        <w:pStyle w:val="Ttulo5"/>
        <w:tabs>
          <w:tab w:val="left" w:pos="0"/>
          <w:tab w:val="right" w:pos="9356"/>
        </w:tabs>
        <w:ind w:left="0"/>
        <w:contextualSpacing/>
        <w:rPr>
          <w:rFonts w:ascii="Bookman Old Style" w:hAnsi="Bookman Old Style"/>
          <w:sz w:val="24"/>
          <w:szCs w:val="24"/>
        </w:rPr>
      </w:pPr>
      <w:r w:rsidRPr="00417E03">
        <w:rPr>
          <w:rFonts w:ascii="Bookman Old Style" w:hAnsi="Bookman Old Style"/>
          <w:sz w:val="24"/>
          <w:szCs w:val="24"/>
        </w:rPr>
        <w:t>RESOLUCI</w:t>
      </w:r>
      <w:r w:rsidR="00323F4B" w:rsidRPr="00417E03">
        <w:rPr>
          <w:rFonts w:ascii="Bookman Old Style" w:hAnsi="Bookman Old Style"/>
          <w:sz w:val="24"/>
          <w:szCs w:val="24"/>
        </w:rPr>
        <w:t>ÓN No.                   DE 2016</w:t>
      </w:r>
    </w:p>
    <w:p w:rsidR="004C4C34" w:rsidRPr="00417E03" w:rsidRDefault="004C4C34" w:rsidP="00C07899">
      <w:pPr>
        <w:tabs>
          <w:tab w:val="left" w:pos="0"/>
          <w:tab w:val="right" w:pos="9356"/>
        </w:tabs>
        <w:ind w:left="0"/>
        <w:contextualSpacing/>
        <w:jc w:val="center"/>
        <w:rPr>
          <w:rFonts w:ascii="Bookman Old Style" w:hAnsi="Bookman Old Style" w:cs="Arial"/>
          <w:b/>
          <w:snapToGrid w:val="0"/>
          <w:color w:val="000000"/>
          <w:lang w:val="es-ES_tradnl"/>
        </w:rPr>
      </w:pPr>
    </w:p>
    <w:p w:rsidR="004C4C34" w:rsidRPr="00417E03" w:rsidRDefault="004C4C34" w:rsidP="00C07899">
      <w:pPr>
        <w:pStyle w:val="Ttulo3"/>
        <w:tabs>
          <w:tab w:val="left" w:pos="0"/>
          <w:tab w:val="right" w:pos="9356"/>
        </w:tabs>
        <w:ind w:left="0"/>
        <w:contextualSpacing/>
        <w:rPr>
          <w:rFonts w:ascii="Bookman Old Style" w:hAnsi="Bookman Old Style"/>
          <w:b w:val="0"/>
          <w:szCs w:val="24"/>
        </w:rPr>
      </w:pPr>
      <w:r w:rsidRPr="00417E03">
        <w:rPr>
          <w:rFonts w:ascii="Bookman Old Style" w:hAnsi="Bookman Old Style"/>
          <w:b w:val="0"/>
          <w:szCs w:val="24"/>
        </w:rPr>
        <w:t>(                                  )</w:t>
      </w:r>
    </w:p>
    <w:p w:rsidR="004C4C34" w:rsidRPr="00417E03" w:rsidRDefault="004C4C34" w:rsidP="00C07899">
      <w:pPr>
        <w:tabs>
          <w:tab w:val="left" w:pos="0"/>
          <w:tab w:val="right" w:pos="9356"/>
        </w:tabs>
        <w:ind w:left="0"/>
        <w:contextualSpacing/>
        <w:jc w:val="center"/>
        <w:rPr>
          <w:rFonts w:ascii="Bookman Old Style" w:hAnsi="Bookman Old Style"/>
          <w:lang w:val="es-ES_tradnl"/>
        </w:rPr>
      </w:pPr>
    </w:p>
    <w:p w:rsidR="00E10B3E" w:rsidRPr="00417E03" w:rsidRDefault="00E10B3E" w:rsidP="00C07899">
      <w:pPr>
        <w:tabs>
          <w:tab w:val="left" w:pos="0"/>
          <w:tab w:val="right" w:pos="9356"/>
        </w:tabs>
        <w:ind w:left="0"/>
        <w:contextualSpacing/>
        <w:jc w:val="center"/>
        <w:rPr>
          <w:rFonts w:ascii="Bookman Old Style" w:hAnsi="Bookman Old Style"/>
          <w:lang w:val="es-ES_tradnl"/>
        </w:rPr>
      </w:pPr>
    </w:p>
    <w:p w:rsidR="00E10B3E" w:rsidRPr="00417E03" w:rsidRDefault="00E10B3E" w:rsidP="00E10B3E">
      <w:pPr>
        <w:ind w:left="0"/>
        <w:jc w:val="center"/>
        <w:rPr>
          <w:rFonts w:ascii="Bookman Old Style" w:hAnsi="Bookman Old Style" w:cs="Arial"/>
          <w:color w:val="000000"/>
        </w:rPr>
      </w:pPr>
      <w:r w:rsidRPr="00417E03">
        <w:rPr>
          <w:rFonts w:ascii="Bookman Old Style" w:hAnsi="Bookman Old Style" w:cs="Arial"/>
        </w:rPr>
        <w:t xml:space="preserve"> “</w:t>
      </w:r>
      <w:r w:rsidR="003034FA" w:rsidRPr="00417E03">
        <w:rPr>
          <w:rFonts w:ascii="Bookman Old Style" w:hAnsi="Bookman Old Style" w:cs="Arial"/>
          <w:color w:val="000000"/>
        </w:rPr>
        <w:t>Por la cual se adoptan medidas transitorias en relación con el costo de oportunidad del GLP importado y se dictan otras disposiciones</w:t>
      </w:r>
      <w:r w:rsidR="0003344C" w:rsidRPr="00417E03">
        <w:rPr>
          <w:rFonts w:ascii="Bookman Old Style" w:hAnsi="Bookman Old Style" w:cs="Arial"/>
          <w:color w:val="000000"/>
        </w:rPr>
        <w:t xml:space="preserve"> especiales en materia</w:t>
      </w:r>
      <w:r w:rsidR="008B14A3" w:rsidRPr="00417E03">
        <w:rPr>
          <w:rFonts w:ascii="Bookman Old Style" w:hAnsi="Bookman Old Style" w:cs="Arial"/>
          <w:color w:val="000000"/>
        </w:rPr>
        <w:t xml:space="preserve"> de comercialización de GLP</w:t>
      </w:r>
      <w:r w:rsidRPr="00417E03">
        <w:rPr>
          <w:rFonts w:ascii="Bookman Old Style" w:hAnsi="Bookman Old Style" w:cs="Arial"/>
          <w:color w:val="000000"/>
        </w:rPr>
        <w:t>”</w:t>
      </w:r>
    </w:p>
    <w:p w:rsidR="00E10B3E" w:rsidRPr="00417E03" w:rsidRDefault="00E10B3E" w:rsidP="00E10B3E">
      <w:pPr>
        <w:widowControl w:val="0"/>
        <w:ind w:left="0"/>
        <w:jc w:val="center"/>
        <w:rPr>
          <w:rFonts w:ascii="Bookman Old Style" w:hAnsi="Bookman Old Style"/>
        </w:rPr>
      </w:pPr>
    </w:p>
    <w:p w:rsidR="00E10B3E" w:rsidRPr="00417E03" w:rsidRDefault="00E10B3E" w:rsidP="00E10B3E">
      <w:pPr>
        <w:widowControl w:val="0"/>
        <w:suppressAutoHyphens/>
        <w:ind w:left="0"/>
        <w:jc w:val="center"/>
        <w:rPr>
          <w:rFonts w:ascii="Bookman Old Style" w:hAnsi="Bookman Old Style" w:cs="Arial"/>
          <w:spacing w:val="-3"/>
        </w:rPr>
      </w:pPr>
    </w:p>
    <w:p w:rsidR="00E10B3E" w:rsidRPr="00417E03" w:rsidRDefault="00E10B3E" w:rsidP="00E10B3E">
      <w:pPr>
        <w:widowControl w:val="0"/>
        <w:ind w:left="0"/>
        <w:jc w:val="center"/>
        <w:rPr>
          <w:rFonts w:ascii="Bookman Old Style" w:hAnsi="Bookman Old Style"/>
          <w:b/>
        </w:rPr>
      </w:pPr>
      <w:r w:rsidRPr="00417E03">
        <w:rPr>
          <w:rFonts w:ascii="Bookman Old Style" w:hAnsi="Bookman Old Style"/>
          <w:b/>
        </w:rPr>
        <w:t>LA COMISIÓN DE REGULACIÓN DE  ENERGÍA Y GAS</w:t>
      </w:r>
    </w:p>
    <w:p w:rsidR="00E10B3E" w:rsidRPr="00417E03" w:rsidRDefault="00E10B3E" w:rsidP="00E10B3E">
      <w:pPr>
        <w:widowControl w:val="0"/>
        <w:ind w:left="0"/>
        <w:rPr>
          <w:rFonts w:ascii="Bookman Old Style" w:hAnsi="Bookman Old Style"/>
        </w:rPr>
      </w:pPr>
    </w:p>
    <w:p w:rsidR="00E10B3E" w:rsidRPr="00417E03" w:rsidRDefault="00E10B3E" w:rsidP="00E10B3E">
      <w:pPr>
        <w:widowControl w:val="0"/>
        <w:ind w:left="0"/>
        <w:rPr>
          <w:rFonts w:ascii="Bookman Old Style" w:hAnsi="Bookman Old Style"/>
        </w:rPr>
      </w:pPr>
    </w:p>
    <w:p w:rsidR="00E10B3E" w:rsidRPr="00417E03" w:rsidRDefault="00E10B3E" w:rsidP="00E10B3E">
      <w:pPr>
        <w:widowControl w:val="0"/>
        <w:ind w:left="0"/>
        <w:jc w:val="center"/>
        <w:rPr>
          <w:rFonts w:ascii="Bookman Old Style" w:hAnsi="Bookman Old Style" w:cs="Arial"/>
          <w:bCs/>
          <w:spacing w:val="-3"/>
          <w:lang w:val="es-CO"/>
        </w:rPr>
      </w:pPr>
      <w:r w:rsidRPr="00417E03">
        <w:rPr>
          <w:rFonts w:ascii="Bookman Old Style" w:hAnsi="Bookman Old Style" w:cs="Arial"/>
          <w:bCs/>
          <w:spacing w:val="-3"/>
        </w:rPr>
        <w:t xml:space="preserve">En ejercicio de sus atribuciones legales, en especial las conferidas por las </w:t>
      </w:r>
      <w:r w:rsidRPr="00417E03">
        <w:rPr>
          <w:rFonts w:ascii="Bookman Old Style" w:hAnsi="Bookman Old Style" w:cs="Arial"/>
          <w:bCs/>
          <w:spacing w:val="-3"/>
          <w:lang w:val="es-CO"/>
        </w:rPr>
        <w:t>l</w:t>
      </w:r>
      <w:proofErr w:type="spellStart"/>
      <w:r w:rsidRPr="00417E03">
        <w:rPr>
          <w:rFonts w:ascii="Bookman Old Style" w:hAnsi="Bookman Old Style" w:cs="Arial"/>
          <w:bCs/>
          <w:spacing w:val="-3"/>
        </w:rPr>
        <w:t>eyes</w:t>
      </w:r>
      <w:proofErr w:type="spellEnd"/>
      <w:r w:rsidRPr="00417E03">
        <w:rPr>
          <w:rFonts w:ascii="Bookman Old Style" w:hAnsi="Bookman Old Style" w:cs="Arial"/>
          <w:bCs/>
          <w:spacing w:val="-3"/>
        </w:rPr>
        <w:t xml:space="preserve"> 142, 143 de 1994, y en desarrollo de los Decretos 1524</w:t>
      </w:r>
      <w:r w:rsidRPr="00417E03">
        <w:rPr>
          <w:rFonts w:ascii="Bookman Old Style" w:hAnsi="Bookman Old Style" w:cs="Arial"/>
          <w:bCs/>
          <w:spacing w:val="-3"/>
          <w:lang w:val="es-CO"/>
        </w:rPr>
        <w:t>,</w:t>
      </w:r>
      <w:r w:rsidRPr="00417E03">
        <w:rPr>
          <w:rFonts w:ascii="Bookman Old Style" w:hAnsi="Bookman Old Style" w:cs="Arial"/>
          <w:bCs/>
          <w:spacing w:val="-3"/>
        </w:rPr>
        <w:t xml:space="preserve"> 2253 de 1994</w:t>
      </w:r>
      <w:r w:rsidRPr="00417E03">
        <w:rPr>
          <w:rFonts w:ascii="Bookman Old Style" w:hAnsi="Bookman Old Style" w:cs="Arial"/>
          <w:bCs/>
          <w:spacing w:val="-3"/>
          <w:lang w:val="es-CO"/>
        </w:rPr>
        <w:t>, 1260 de 2013 y 2251 de 2015</w:t>
      </w:r>
    </w:p>
    <w:p w:rsidR="00E10B3E" w:rsidRPr="00417E03" w:rsidRDefault="00E10B3E" w:rsidP="00E10B3E">
      <w:pPr>
        <w:widowControl w:val="0"/>
        <w:ind w:left="0"/>
        <w:rPr>
          <w:rFonts w:ascii="Bookman Old Style" w:hAnsi="Bookman Old Style"/>
        </w:rPr>
      </w:pPr>
    </w:p>
    <w:p w:rsidR="00E10B3E" w:rsidRPr="00417E03" w:rsidRDefault="00E10B3E" w:rsidP="00E10B3E">
      <w:pPr>
        <w:widowControl w:val="0"/>
        <w:ind w:left="0"/>
        <w:rPr>
          <w:rFonts w:ascii="Bookman Old Style" w:hAnsi="Bookman Old Style"/>
        </w:rPr>
      </w:pPr>
    </w:p>
    <w:p w:rsidR="00E10B3E" w:rsidRPr="00417E03" w:rsidRDefault="00E10B3E" w:rsidP="00E10B3E">
      <w:pPr>
        <w:widowControl w:val="0"/>
        <w:ind w:left="0"/>
        <w:jc w:val="center"/>
        <w:rPr>
          <w:rFonts w:ascii="Bookman Old Style" w:hAnsi="Bookman Old Style"/>
          <w:b/>
        </w:rPr>
      </w:pPr>
      <w:r w:rsidRPr="00417E03">
        <w:rPr>
          <w:rFonts w:ascii="Bookman Old Style" w:hAnsi="Bookman Old Style"/>
          <w:b/>
        </w:rPr>
        <w:t>C O N S I D E R A N D O  Q U E:</w:t>
      </w:r>
    </w:p>
    <w:p w:rsidR="00E10B3E" w:rsidRPr="00417E03" w:rsidRDefault="00E10B3E" w:rsidP="00E10B3E">
      <w:pPr>
        <w:widowControl w:val="0"/>
        <w:ind w:left="0"/>
        <w:jc w:val="center"/>
        <w:rPr>
          <w:rFonts w:ascii="Bookman Old Style" w:hAnsi="Bookman Old Style"/>
          <w:b/>
        </w:rPr>
      </w:pPr>
    </w:p>
    <w:p w:rsidR="00C25448" w:rsidRPr="00417E03" w:rsidRDefault="00C25448" w:rsidP="00C07899">
      <w:pPr>
        <w:ind w:left="0"/>
        <w:contextualSpacing/>
        <w:jc w:val="both"/>
        <w:rPr>
          <w:rFonts w:ascii="Bookman Old Style" w:hAnsi="Bookman Old Style"/>
          <w:b/>
        </w:rPr>
      </w:pPr>
    </w:p>
    <w:p w:rsidR="004C4C34" w:rsidRPr="00417E03" w:rsidRDefault="004C4C34" w:rsidP="00C07899">
      <w:pPr>
        <w:ind w:left="0"/>
        <w:contextualSpacing/>
        <w:jc w:val="both"/>
        <w:rPr>
          <w:rFonts w:ascii="Bookman Old Style" w:hAnsi="Bookman Old Style"/>
        </w:rPr>
      </w:pPr>
      <w:r w:rsidRPr="00417E03">
        <w:rPr>
          <w:rFonts w:ascii="Bookman Old Style" w:hAnsi="Bookman Old Style"/>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rsidR="004C4C34" w:rsidRPr="00417E03" w:rsidRDefault="004C4C34" w:rsidP="00C07899">
      <w:pPr>
        <w:ind w:left="0"/>
        <w:contextualSpacing/>
        <w:jc w:val="both"/>
        <w:rPr>
          <w:rFonts w:ascii="Bookman Old Style" w:hAnsi="Bookman Old Style"/>
        </w:rPr>
      </w:pPr>
    </w:p>
    <w:p w:rsidR="004C4C34" w:rsidRPr="00417E03" w:rsidRDefault="004C4C34" w:rsidP="00C07899">
      <w:pPr>
        <w:ind w:left="0"/>
        <w:contextualSpacing/>
        <w:jc w:val="both"/>
        <w:rPr>
          <w:rFonts w:ascii="Bookman Old Style" w:hAnsi="Bookman Old Style"/>
        </w:rPr>
      </w:pPr>
      <w:r w:rsidRPr="00417E03">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rsidR="004C4C34" w:rsidRPr="00417E03" w:rsidRDefault="004C4C34" w:rsidP="00C07899">
      <w:pPr>
        <w:ind w:left="0"/>
        <w:contextualSpacing/>
        <w:jc w:val="both"/>
        <w:rPr>
          <w:rFonts w:ascii="Bookman Old Style" w:hAnsi="Bookman Old Style"/>
        </w:rPr>
      </w:pPr>
    </w:p>
    <w:p w:rsidR="00E41B40" w:rsidRPr="00417E03" w:rsidRDefault="004C4C34" w:rsidP="00C07899">
      <w:pPr>
        <w:ind w:left="0"/>
        <w:contextualSpacing/>
        <w:jc w:val="both"/>
        <w:rPr>
          <w:rFonts w:ascii="Bookman Old Style" w:hAnsi="Bookman Old Style"/>
        </w:rPr>
      </w:pPr>
      <w:r w:rsidRPr="00417E03">
        <w:rPr>
          <w:rFonts w:ascii="Bookman Old Style" w:hAnsi="Bookman Old Style"/>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w:t>
      </w:r>
      <w:r w:rsidR="00E41B40" w:rsidRPr="00417E03">
        <w:rPr>
          <w:rFonts w:ascii="Bookman Old Style" w:hAnsi="Bookman Old Style"/>
        </w:rPr>
        <w:t>nua, ininterrumpida y eficiente.</w:t>
      </w:r>
    </w:p>
    <w:p w:rsidR="00E41B40" w:rsidRPr="00417E03" w:rsidRDefault="00E41B40" w:rsidP="00C07899">
      <w:pPr>
        <w:ind w:left="0"/>
        <w:contextualSpacing/>
        <w:jc w:val="both"/>
        <w:rPr>
          <w:rFonts w:ascii="Bookman Old Style" w:hAnsi="Bookman Old Style"/>
        </w:rPr>
      </w:pPr>
    </w:p>
    <w:p w:rsidR="004C4C34" w:rsidRPr="00417E03" w:rsidRDefault="004C4C34" w:rsidP="00C07899">
      <w:pPr>
        <w:ind w:left="0"/>
        <w:contextualSpacing/>
        <w:jc w:val="both"/>
        <w:rPr>
          <w:rFonts w:ascii="Bookman Old Style" w:hAnsi="Bookman Old Style"/>
        </w:rPr>
      </w:pPr>
      <w:r w:rsidRPr="00417E03">
        <w:rPr>
          <w:rFonts w:ascii="Bookman Old Style" w:hAnsi="Bookman Old Style"/>
        </w:rPr>
        <w:t>Mediante Resolución CREG 066 de 2007, modificada por las resoluciones CREG 059 de 2008, 002 de 2009, 123 de 2010 y 095 de 2</w:t>
      </w:r>
      <w:r w:rsidR="00B426AE" w:rsidRPr="00417E03">
        <w:rPr>
          <w:rFonts w:ascii="Bookman Old Style" w:hAnsi="Bookman Old Style"/>
        </w:rPr>
        <w:t xml:space="preserve">011, la Comisión estableció </w:t>
      </w:r>
      <w:r w:rsidRPr="00417E03">
        <w:rPr>
          <w:rFonts w:ascii="Bookman Old Style" w:hAnsi="Bookman Old Style"/>
        </w:rPr>
        <w:t xml:space="preserve">“la regulación de precios de suministro de GLP de comercializadores mayoristas a distribuidores”. La resolución en mención señala la metodología para calcular el precio máximo regulado de suministro de GLP producido en las fuentes </w:t>
      </w:r>
      <w:r w:rsidRPr="00417E03">
        <w:rPr>
          <w:rFonts w:ascii="Bookman Old Style" w:hAnsi="Bookman Old Style"/>
        </w:rPr>
        <w:lastRenderedPageBreak/>
        <w:t>reguladas</w:t>
      </w:r>
      <w:r w:rsidRPr="00417E03">
        <w:rPr>
          <w:rStyle w:val="Refdenotaalpie"/>
          <w:rFonts w:ascii="Bookman Old Style" w:hAnsi="Bookman Old Style"/>
        </w:rPr>
        <w:footnoteReference w:id="1"/>
      </w:r>
      <w:r w:rsidRPr="00417E03">
        <w:rPr>
          <w:rFonts w:ascii="Bookman Old Style" w:hAnsi="Bookman Old Style"/>
        </w:rPr>
        <w:t>, mencionando adicionalmente que las demás fuentes de producción de GLP pue</w:t>
      </w:r>
      <w:r w:rsidR="0058087F" w:rsidRPr="00417E03">
        <w:rPr>
          <w:rFonts w:ascii="Bookman Old Style" w:hAnsi="Bookman Old Style"/>
        </w:rPr>
        <w:t>den fijar libremente su tarifa.</w:t>
      </w:r>
    </w:p>
    <w:p w:rsidR="00F77A26" w:rsidRPr="00417E03" w:rsidRDefault="00F77A26" w:rsidP="00C07899">
      <w:pPr>
        <w:ind w:left="0"/>
        <w:contextualSpacing/>
        <w:jc w:val="both"/>
        <w:rPr>
          <w:rFonts w:ascii="Bookman Old Style" w:hAnsi="Bookman Old Style"/>
        </w:rPr>
      </w:pPr>
    </w:p>
    <w:p w:rsidR="004C4C34" w:rsidRPr="00417E03" w:rsidRDefault="004C4C34" w:rsidP="00C07899">
      <w:pPr>
        <w:ind w:left="0"/>
        <w:contextualSpacing/>
        <w:jc w:val="both"/>
        <w:rPr>
          <w:rFonts w:ascii="Bookman Old Style" w:hAnsi="Bookman Old Style"/>
        </w:rPr>
      </w:pPr>
      <w:r w:rsidRPr="00417E03">
        <w:rPr>
          <w:rFonts w:ascii="Bookman Old Style" w:hAnsi="Bookman Old Style"/>
        </w:rPr>
        <w:t>Las medidas adoptadas en la Resolución CREG 066 de 2007 se expidieron</w:t>
      </w:r>
      <w:r w:rsidR="002A511E" w:rsidRPr="00417E03">
        <w:rPr>
          <w:rFonts w:ascii="Bookman Old Style" w:hAnsi="Bookman Old Style"/>
        </w:rPr>
        <w:t>,</w:t>
      </w:r>
      <w:r w:rsidRPr="00417E03">
        <w:rPr>
          <w:rFonts w:ascii="Bookman Old Style" w:hAnsi="Bookman Old Style"/>
        </w:rPr>
        <w:t xml:space="preserve"> por parte de la CREG</w:t>
      </w:r>
      <w:r w:rsidR="002A511E" w:rsidRPr="00417E03">
        <w:rPr>
          <w:rFonts w:ascii="Bookman Old Style" w:hAnsi="Bookman Old Style"/>
        </w:rPr>
        <w:t>,</w:t>
      </w:r>
      <w:r w:rsidRPr="00417E03">
        <w:rPr>
          <w:rFonts w:ascii="Bookman Old Style" w:hAnsi="Bookman Old Style"/>
        </w:rPr>
        <w:t xml:space="preserve"> con el fin de brindar las señales necesarias para la promoción de la competencia en la comercialización mayorista, que permitieran que en un futuro se llegara a la desregulación del precio de suministro de GLP, así como a garantizar la oferta de producto dentro de la prestación del servicio público domiciliario, diferenciando la posición de cada agente comercializador mayorista en el mercado</w:t>
      </w:r>
      <w:r w:rsidRPr="00417E03">
        <w:rPr>
          <w:rStyle w:val="Refdenotaalpie"/>
          <w:rFonts w:ascii="Bookman Old Style" w:hAnsi="Bookman Old Style"/>
        </w:rPr>
        <w:footnoteReference w:id="2"/>
      </w:r>
      <w:r w:rsidRPr="00417E03">
        <w:rPr>
          <w:rFonts w:ascii="Bookman Old Style" w:hAnsi="Bookman Old Style"/>
        </w:rPr>
        <w:t>. Lo anterior, en concordancia con los fines previstos en la Ley 142 de 1994</w:t>
      </w:r>
      <w:r w:rsidRPr="00417E03">
        <w:rPr>
          <w:rStyle w:val="Refdenotaalpie"/>
          <w:rFonts w:ascii="Bookman Old Style" w:hAnsi="Bookman Old Style"/>
        </w:rPr>
        <w:footnoteReference w:id="3"/>
      </w:r>
      <w:r w:rsidRPr="00417E03">
        <w:rPr>
          <w:rFonts w:ascii="Bookman Old Style" w:hAnsi="Bookman Old Style"/>
        </w:rPr>
        <w:t>.</w:t>
      </w:r>
    </w:p>
    <w:p w:rsidR="004C4C34" w:rsidRPr="00417E03" w:rsidRDefault="004C4C34" w:rsidP="00C07899">
      <w:pPr>
        <w:ind w:left="0"/>
        <w:contextualSpacing/>
        <w:jc w:val="both"/>
        <w:rPr>
          <w:rFonts w:ascii="Bookman Old Style" w:hAnsi="Bookman Old Style"/>
        </w:rPr>
      </w:pPr>
    </w:p>
    <w:p w:rsidR="00421700" w:rsidRPr="00417E03" w:rsidRDefault="004C4C34" w:rsidP="00C07899">
      <w:pPr>
        <w:ind w:left="0"/>
        <w:contextualSpacing/>
        <w:jc w:val="both"/>
        <w:rPr>
          <w:rFonts w:ascii="Bookman Old Style" w:hAnsi="Bookman Old Style"/>
        </w:rPr>
      </w:pPr>
      <w:r w:rsidRPr="00417E03">
        <w:rPr>
          <w:rFonts w:ascii="Bookman Old Style" w:hAnsi="Bookman Old Style"/>
        </w:rPr>
        <w:t>De acuerdo con esto, desde el punto de vista tarifario, atendiendo las facultades regulatorias con las que cuenta la CREG en esta materia y como parte de la fijación de los precios y la remuneración que se debía dar al producto en la comercialización mayorista, la CREG consideró que a través de esta resolución: i) se debía</w:t>
      </w:r>
      <w:r w:rsidR="002A511E" w:rsidRPr="00417E03">
        <w:rPr>
          <w:rFonts w:ascii="Bookman Old Style" w:hAnsi="Bookman Old Style"/>
        </w:rPr>
        <w:t>n</w:t>
      </w:r>
      <w:r w:rsidRPr="00417E03">
        <w:rPr>
          <w:rFonts w:ascii="Bookman Old Style" w:hAnsi="Bookman Old Style"/>
        </w:rPr>
        <w:t xml:space="preserve"> proporcionar al mercado señales regulatorias de escasez (en el corto y mediano plazo a fin de incentivar la entrada de nuevos agentes) y remunerar el verdadero costo económico del bien (a fin de incentivar igualmente la competencia, como la búsqueda de nuevas fuentes de suministro que garanticen la prestación del servicio público); ii) dichas señales debían estar en consonancia con el cumplimiento de los criterios que en esta materia se encuentran previstos en el artículo 87 de la Ley 142 de 1994, principalmente en materia de eficiencia económica y suficiencia financiera; iii) las señales de precios debían orientar el interés privado (el cual incorpora, entre otros, generar utilidades acordes a dicha actividad), así como el beneficio para los usuarios en relación con las tarifas, en términos de eficiencia y una adecuada remuneración que permitiera contar con el producto para la prestación del servicio público domiciliario</w:t>
      </w:r>
      <w:r w:rsidR="003F6B65" w:rsidRPr="00417E03">
        <w:rPr>
          <w:rStyle w:val="Refdenotaalpie"/>
          <w:rFonts w:ascii="Bookman Old Style" w:hAnsi="Bookman Old Style"/>
        </w:rPr>
        <w:footnoteReference w:id="4"/>
      </w:r>
      <w:r w:rsidRPr="00417E03">
        <w:rPr>
          <w:rFonts w:ascii="Bookman Old Style" w:hAnsi="Bookman Old Style"/>
        </w:rPr>
        <w:t>.</w:t>
      </w:r>
    </w:p>
    <w:p w:rsidR="0003344C" w:rsidRPr="00417E03" w:rsidRDefault="0003344C" w:rsidP="00C07899">
      <w:pPr>
        <w:ind w:left="0"/>
        <w:contextualSpacing/>
        <w:jc w:val="both"/>
        <w:rPr>
          <w:rFonts w:ascii="Bookman Old Style" w:hAnsi="Bookman Old Style"/>
          <w:lang w:val="es-CO"/>
        </w:rPr>
      </w:pPr>
    </w:p>
    <w:p w:rsidR="0003344C" w:rsidRPr="00417E03" w:rsidRDefault="0003344C" w:rsidP="0003344C">
      <w:pPr>
        <w:ind w:left="0"/>
        <w:contextualSpacing/>
        <w:jc w:val="both"/>
        <w:rPr>
          <w:rFonts w:ascii="Bookman Old Style" w:hAnsi="Bookman Old Style"/>
          <w:lang w:val="es-CO"/>
        </w:rPr>
      </w:pPr>
      <w:r w:rsidRPr="00417E03">
        <w:rPr>
          <w:rFonts w:ascii="Bookman Old Style" w:hAnsi="Bookman Old Style"/>
          <w:lang w:val="es-CO"/>
        </w:rPr>
        <w:t>Ahora, en relación con el GLP importado de precio regulado</w:t>
      </w:r>
      <w:r w:rsidR="009C613D" w:rsidRPr="00417E03">
        <w:rPr>
          <w:rFonts w:ascii="Bookman Old Style" w:hAnsi="Bookman Old Style"/>
          <w:lang w:val="es-CO"/>
        </w:rPr>
        <w:t>,</w:t>
      </w:r>
      <w:r w:rsidRPr="00417E03">
        <w:rPr>
          <w:rFonts w:ascii="Bookman Old Style" w:hAnsi="Bookman Old Style"/>
          <w:lang w:val="es-CO"/>
        </w:rPr>
        <w:t xml:space="preserve"> el artículo 6 de la Resolución CREG 066 de 2007 establece que el precio máximo de venta o suministro del GLP importado por Ecopetrol con destino al servicio público </w:t>
      </w:r>
      <w:r w:rsidRPr="00417E03">
        <w:rPr>
          <w:rFonts w:ascii="Bookman Old Style" w:hAnsi="Bookman Old Style"/>
          <w:lang w:val="es-CO"/>
        </w:rPr>
        <w:lastRenderedPageBreak/>
        <w:t>domiciliario será aquel equivalente al costo de dicha transacción establecido en los respectivos registros de importación más un margen por concepto de comercialización igual al ocho</w:t>
      </w:r>
      <w:r w:rsidR="008B14A3" w:rsidRPr="00417E03">
        <w:rPr>
          <w:rFonts w:ascii="Bookman Old Style" w:hAnsi="Bookman Old Style"/>
          <w:lang w:val="es-CO"/>
        </w:rPr>
        <w:t xml:space="preserve"> por ciento (8%). De igual forma, se estableció</w:t>
      </w:r>
      <w:r w:rsidRPr="00417E03">
        <w:rPr>
          <w:rFonts w:ascii="Bookman Old Style" w:hAnsi="Bookman Old Style"/>
          <w:lang w:val="es-CO"/>
        </w:rPr>
        <w:t xml:space="preserve"> que dicho precio máximo de venta del GLP importado se aplicará para el gas que importe Ecopetrol con destino al servicio público domiciliario, siempre y cuando la importación no se haya realizado para cubrir una insuficiencia de suministro previamente contratada con precios a las fuentes con precio regulado.</w:t>
      </w:r>
    </w:p>
    <w:p w:rsidR="0003344C" w:rsidRPr="00417E03" w:rsidRDefault="0003344C" w:rsidP="00C07899">
      <w:pPr>
        <w:ind w:left="0"/>
        <w:contextualSpacing/>
        <w:jc w:val="both"/>
        <w:rPr>
          <w:rFonts w:ascii="Bookman Old Style" w:hAnsi="Bookman Old Style"/>
          <w:lang w:val="es-CO"/>
        </w:rPr>
      </w:pPr>
    </w:p>
    <w:p w:rsidR="0003344C" w:rsidRPr="00417E03" w:rsidRDefault="0003344C" w:rsidP="0003344C">
      <w:pPr>
        <w:ind w:left="0"/>
        <w:contextualSpacing/>
        <w:jc w:val="both"/>
        <w:rPr>
          <w:rFonts w:ascii="Bookman Old Style" w:hAnsi="Bookman Old Style"/>
          <w:lang w:val="es-CO"/>
        </w:rPr>
      </w:pPr>
      <w:r w:rsidRPr="00417E03">
        <w:rPr>
          <w:rFonts w:ascii="Bookman Old Style" w:hAnsi="Bookman Old Style"/>
          <w:lang w:val="es-CO"/>
        </w:rPr>
        <w:t>En concordancia con lo anterior, en la Resolución CREG 059 de 2008 se especifica la condición para la cual aplica dicho precio máximo de venta o suministro para el GLP importado por Ecopetrol:</w:t>
      </w:r>
    </w:p>
    <w:p w:rsidR="0003344C" w:rsidRPr="00417E03" w:rsidRDefault="0003344C" w:rsidP="0003344C">
      <w:pPr>
        <w:ind w:left="0"/>
        <w:contextualSpacing/>
        <w:jc w:val="both"/>
        <w:rPr>
          <w:rFonts w:ascii="Bookman Old Style" w:hAnsi="Bookman Old Style"/>
          <w:lang w:val="es-CO"/>
        </w:rPr>
      </w:pPr>
    </w:p>
    <w:p w:rsidR="0003344C" w:rsidRPr="000901A8" w:rsidRDefault="0003344C" w:rsidP="0003344C">
      <w:pPr>
        <w:ind w:left="284" w:right="284"/>
        <w:contextualSpacing/>
        <w:jc w:val="both"/>
        <w:rPr>
          <w:rFonts w:ascii="Bookman Old Style" w:hAnsi="Bookman Old Style"/>
          <w:i/>
          <w:sz w:val="22"/>
          <w:szCs w:val="22"/>
          <w:lang w:val="es-CO"/>
        </w:rPr>
      </w:pPr>
      <w:r w:rsidRPr="000901A8">
        <w:rPr>
          <w:rFonts w:ascii="Bookman Old Style" w:hAnsi="Bookman Old Style"/>
          <w:i/>
          <w:sz w:val="22"/>
          <w:szCs w:val="22"/>
          <w:lang w:val="es-CO"/>
        </w:rPr>
        <w:t>“(…) ARTÍCULO 4. PRECIO DEL GLP IMPORTADO POR ECOPETROL. El precio máximo para el GLP importado por Ecopetrol, a que se referencia el Artículo 6° de la Resolución CREG-066 de 2007, se entenderá para el GLP puesto en el puerto colombiano de importación. (…)”</w:t>
      </w:r>
    </w:p>
    <w:p w:rsidR="0003344C" w:rsidRPr="00417E03" w:rsidRDefault="0003344C" w:rsidP="00C07899">
      <w:pPr>
        <w:ind w:left="0"/>
        <w:contextualSpacing/>
        <w:jc w:val="both"/>
        <w:rPr>
          <w:rFonts w:ascii="Bookman Old Style" w:hAnsi="Bookman Old Style"/>
          <w:lang w:val="es-CO"/>
        </w:rPr>
      </w:pPr>
    </w:p>
    <w:p w:rsidR="0003344C" w:rsidRPr="00417E03" w:rsidRDefault="0003344C" w:rsidP="00C07899">
      <w:pPr>
        <w:ind w:left="0"/>
        <w:contextualSpacing/>
        <w:jc w:val="both"/>
        <w:rPr>
          <w:rFonts w:ascii="Bookman Old Style" w:hAnsi="Bookman Old Style"/>
          <w:lang w:val="es-CO"/>
        </w:rPr>
      </w:pPr>
      <w:r w:rsidRPr="00417E03">
        <w:rPr>
          <w:rFonts w:ascii="Bookman Old Style" w:hAnsi="Bookman Old Style"/>
          <w:lang w:val="es-CO"/>
        </w:rPr>
        <w:t xml:space="preserve">En este mismo sentido, el documento soporte de dicho acto administrativo </w:t>
      </w:r>
      <w:r w:rsidR="008B14A3" w:rsidRPr="00417E03">
        <w:rPr>
          <w:rFonts w:ascii="Bookman Old Style" w:hAnsi="Bookman Old Style"/>
          <w:lang w:val="es-CO"/>
        </w:rPr>
        <w:t>se manifestó</w:t>
      </w:r>
      <w:r w:rsidRPr="00417E03">
        <w:rPr>
          <w:rFonts w:ascii="Bookman Old Style" w:hAnsi="Bookman Old Style"/>
          <w:lang w:val="es-CO"/>
        </w:rPr>
        <w:t xml:space="preserve"> lo siguiente:</w:t>
      </w:r>
    </w:p>
    <w:p w:rsidR="0003344C" w:rsidRPr="00417E03" w:rsidRDefault="0003344C" w:rsidP="00C07899">
      <w:pPr>
        <w:ind w:left="0"/>
        <w:contextualSpacing/>
        <w:jc w:val="both"/>
        <w:rPr>
          <w:rFonts w:ascii="Bookman Old Style" w:hAnsi="Bookman Old Style"/>
          <w:lang w:val="es-CO"/>
        </w:rPr>
      </w:pP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i/>
          <w:spacing w:val="-5"/>
          <w:sz w:val="22"/>
          <w:szCs w:val="22"/>
          <w:lang w:val="es-CO" w:eastAsia="en-US"/>
        </w:rPr>
        <w:t>“(…) 3. En relación con el Artículo 30 del proyecto de Resolución, PRECIO DEL GLP IMPORTADO POR ECOPETROL, en el cual se aclara que el valor incorporado en la Resolución CREG-066 corresponde al GLP puesto en el puerto de importación, no se refleja una situación cierta del mercado, esto es que de acuerdo con los balances de oferta y demanda, el déficit a ser cubierto con producto importado es el del centro del país y no el del área de influencia del puerto de importación.</w:t>
      </w:r>
    </w:p>
    <w:p w:rsidR="0003344C" w:rsidRPr="000901A8" w:rsidRDefault="0003344C" w:rsidP="0003344C">
      <w:pPr>
        <w:tabs>
          <w:tab w:val="left" w:pos="2160"/>
        </w:tabs>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i/>
          <w:spacing w:val="-5"/>
          <w:sz w:val="22"/>
          <w:szCs w:val="22"/>
          <w:lang w:val="es-CO" w:eastAsia="en-US"/>
        </w:rPr>
        <w:tab/>
      </w: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i/>
          <w:spacing w:val="-5"/>
          <w:sz w:val="22"/>
          <w:szCs w:val="22"/>
          <w:lang w:val="es-CO" w:eastAsia="en-US"/>
        </w:rPr>
        <w:t>Así las cosas, nos permitimos sugerir a la CREG que se adicione en el mencionado artículo un párrafo que le permita a Ecopetrol recuperar el costo de traslado del GLP importado hasta al centro de consumo que lo requiera, de acuerdo con los registros de costo de dicho transporte.</w:t>
      </w: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i/>
          <w:spacing w:val="-5"/>
          <w:sz w:val="22"/>
          <w:szCs w:val="22"/>
          <w:lang w:val="es-CO" w:eastAsia="en-US"/>
        </w:rPr>
        <w:t>(Nota CREG fuera de texto; Este comentario es del radicado CREG-E-2008-003086. Se agrega para dar una respuesta completa)</w:t>
      </w: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i/>
          <w:spacing w:val="-5"/>
          <w:sz w:val="22"/>
          <w:szCs w:val="22"/>
          <w:lang w:val="es-CO" w:eastAsia="en-US"/>
        </w:rPr>
        <w:t>Insistimos en que la Resolución debe incorporar la forma a través de la cual se distribuya entre los usuarios del país los costos asociados a la importación y el transporte desde el puerto hasta los centros de consumo. Sugerimos considerar la posibilidad que al mes siguiente al que se realice la importación o cuando se disponga de los registros, Ecopetrol podrá calcular el precio máximo de suministro como el promedio ponderado entre los precios establecidos en los artículos 3 y 4 de la CREG-066 y los costos de importación y transporte. El promedio ponderado considerará como base el volumen de producto importado y el volumen de producto nacional vendido en el mismo mes en que se vendió el producto importado.</w:t>
      </w: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i/>
          <w:spacing w:val="-5"/>
          <w:sz w:val="22"/>
          <w:szCs w:val="22"/>
          <w:lang w:val="es-CO" w:eastAsia="en-US"/>
        </w:rPr>
        <w:t>Respuesta 3.</w:t>
      </w: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i/>
          <w:spacing w:val="-5"/>
          <w:sz w:val="22"/>
          <w:szCs w:val="22"/>
          <w:lang w:val="es-CO" w:eastAsia="en-US"/>
        </w:rPr>
        <w:t xml:space="preserve">La Resolución CREG 066 de 2007 establece el precio del suministro de GLP del Comercializador Mayorista al Distribuidor, en el punto de producción y/o de importación para dejar limpia la señal de precio del producto. Traslados del producto desde estos puntos serán realizados por el Transportador, quien podrá ser contratado por el Comercializador Mayorista o por el Distribuidor según el acuerdo contractual que se haga entre los dos últimos. Estos traslados también pueden ser asumidos directamente por el distribuidor, sin utilizar el Sistema de Transporte, y en este caso se convierten en </w:t>
      </w:r>
      <w:r w:rsidRPr="000901A8">
        <w:rPr>
          <w:rFonts w:ascii="Bookman Old Style" w:hAnsi="Bookman Old Style" w:cs="Arial"/>
          <w:i/>
          <w:spacing w:val="-5"/>
          <w:sz w:val="22"/>
          <w:szCs w:val="22"/>
          <w:lang w:val="es-CO" w:eastAsia="en-US"/>
        </w:rPr>
        <w:lastRenderedPageBreak/>
        <w:t xml:space="preserve">fletes que son parte de la actividad propia del Distribuidor. </w:t>
      </w:r>
      <w:r w:rsidRPr="000901A8">
        <w:rPr>
          <w:rFonts w:ascii="Bookman Old Style" w:hAnsi="Bookman Old Style" w:cs="Arial"/>
          <w:b/>
          <w:i/>
          <w:spacing w:val="-5"/>
          <w:sz w:val="22"/>
          <w:szCs w:val="22"/>
          <w:u w:val="single"/>
          <w:lang w:val="es-CO" w:eastAsia="en-US"/>
        </w:rPr>
        <w:t>Por esta razón las señales del precio del GLP no involucran señales de transporte, únicamente señales de procedencia (</w:t>
      </w:r>
      <w:proofErr w:type="gramStart"/>
      <w:r w:rsidRPr="000901A8">
        <w:rPr>
          <w:rFonts w:ascii="Bookman Old Style" w:hAnsi="Bookman Old Style" w:cs="Arial"/>
          <w:b/>
          <w:i/>
          <w:spacing w:val="-5"/>
          <w:sz w:val="22"/>
          <w:szCs w:val="22"/>
          <w:u w:val="single"/>
          <w:lang w:val="es-CO" w:eastAsia="en-US"/>
        </w:rPr>
        <w:t>importado</w:t>
      </w:r>
      <w:proofErr w:type="gramEnd"/>
      <w:r w:rsidRPr="000901A8">
        <w:rPr>
          <w:rFonts w:ascii="Bookman Old Style" w:hAnsi="Bookman Old Style" w:cs="Arial"/>
          <w:b/>
          <w:i/>
          <w:spacing w:val="-5"/>
          <w:sz w:val="22"/>
          <w:szCs w:val="22"/>
          <w:u w:val="single"/>
          <w:lang w:val="es-CO" w:eastAsia="en-US"/>
        </w:rPr>
        <w:t xml:space="preserve"> o nacional).</w:t>
      </w: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p>
    <w:p w:rsidR="0003344C" w:rsidRPr="000901A8" w:rsidRDefault="0003344C" w:rsidP="0003344C">
      <w:pPr>
        <w:ind w:left="284" w:right="284"/>
        <w:contextualSpacing/>
        <w:jc w:val="both"/>
        <w:rPr>
          <w:rFonts w:ascii="Bookman Old Style" w:hAnsi="Bookman Old Style" w:cs="Arial"/>
          <w:b/>
          <w:i/>
          <w:spacing w:val="-5"/>
          <w:sz w:val="22"/>
          <w:szCs w:val="22"/>
          <w:u w:val="single"/>
          <w:lang w:val="es-CO" w:eastAsia="en-US"/>
        </w:rPr>
      </w:pPr>
      <w:r w:rsidRPr="000901A8">
        <w:rPr>
          <w:rFonts w:ascii="Bookman Old Style" w:hAnsi="Bookman Old Style" w:cs="Arial"/>
          <w:b/>
          <w:i/>
          <w:spacing w:val="-5"/>
          <w:sz w:val="22"/>
          <w:szCs w:val="22"/>
          <w:u w:val="single"/>
          <w:lang w:val="es-CO" w:eastAsia="en-US"/>
        </w:rPr>
        <w:t>Si bien no se ha establecido, como se ha el esquema regulatorio hasta donde está diseñado prevé que a quien compra el producto para atender su demanda le correspondería trasladar las señales del costo incurrido para adquirir el GLP en los diferentes puntos de importación y/o producción y su transporte.</w:t>
      </w:r>
    </w:p>
    <w:p w:rsidR="0003344C" w:rsidRPr="000901A8" w:rsidRDefault="0003344C" w:rsidP="0003344C">
      <w:pPr>
        <w:ind w:left="284" w:right="284"/>
        <w:contextualSpacing/>
        <w:jc w:val="both"/>
        <w:rPr>
          <w:rFonts w:ascii="Bookman Old Style" w:hAnsi="Bookman Old Style" w:cs="Arial"/>
          <w:b/>
          <w:i/>
          <w:spacing w:val="-5"/>
          <w:sz w:val="22"/>
          <w:szCs w:val="22"/>
          <w:u w:val="single"/>
          <w:lang w:val="es-CO" w:eastAsia="en-US"/>
        </w:rPr>
      </w:pP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b/>
          <w:i/>
          <w:spacing w:val="-5"/>
          <w:sz w:val="22"/>
          <w:szCs w:val="22"/>
          <w:u w:val="single"/>
          <w:lang w:val="es-CO" w:eastAsia="en-US"/>
        </w:rPr>
        <w:t>Sin embargo, para que esto se pueda realizar, el Distribuidor debe saber cómo podrá trasladar estos costos a sus usuarios. Para el efecto es necesario establecer el Costo Unitario de Prestación del Servicio (CU) o sea la fórmula tarifaria para el usuario final.</w:t>
      </w:r>
      <w:r w:rsidRPr="000901A8">
        <w:rPr>
          <w:rFonts w:ascii="Bookman Old Style" w:hAnsi="Bookman Old Style" w:cs="Arial"/>
          <w:i/>
          <w:spacing w:val="-5"/>
          <w:sz w:val="22"/>
          <w:szCs w:val="22"/>
          <w:lang w:val="es-CO" w:eastAsia="en-US"/>
        </w:rPr>
        <w:t xml:space="preserve"> Dentro de la agenda regulatoria debe establecerse con la remuneración de la actividad de Distribución y Comercialización Minorista, para que de esta forma se complete el marco tarifario para la prestación del Servicio Público Domiciliario de GLP.</w:t>
      </w: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r w:rsidRPr="000901A8">
        <w:rPr>
          <w:rFonts w:ascii="Bookman Old Style" w:hAnsi="Bookman Old Style" w:cs="Arial"/>
          <w:i/>
          <w:spacing w:val="-5"/>
          <w:sz w:val="22"/>
          <w:szCs w:val="22"/>
          <w:lang w:val="es-CO" w:eastAsia="en-US"/>
        </w:rPr>
        <w:t>Por otra parte, se hace también necesaria la expedición del Reglamento de Comercialización Mayorista en el cual se establezcan las reglas para garantizar el suministro de producto en condiciones transparentes y equitativas para todos los agentes involucrados. Este tema está agendado para el segundo semestre de 2008.</w:t>
      </w:r>
    </w:p>
    <w:p w:rsidR="0003344C" w:rsidRPr="000901A8" w:rsidRDefault="0003344C" w:rsidP="0003344C">
      <w:pPr>
        <w:ind w:left="284" w:right="284"/>
        <w:contextualSpacing/>
        <w:jc w:val="both"/>
        <w:rPr>
          <w:rFonts w:ascii="Bookman Old Style" w:hAnsi="Bookman Old Style" w:cs="Arial"/>
          <w:i/>
          <w:spacing w:val="-5"/>
          <w:sz w:val="22"/>
          <w:szCs w:val="22"/>
          <w:lang w:val="es-CO" w:eastAsia="en-US"/>
        </w:rPr>
      </w:pPr>
    </w:p>
    <w:p w:rsidR="0003344C" w:rsidRPr="000901A8" w:rsidRDefault="0003344C" w:rsidP="0003344C">
      <w:pPr>
        <w:ind w:left="284" w:right="284"/>
        <w:contextualSpacing/>
        <w:jc w:val="both"/>
        <w:rPr>
          <w:rFonts w:ascii="Bookman Old Style" w:hAnsi="Bookman Old Style" w:cs="Arial"/>
          <w:spacing w:val="-5"/>
          <w:sz w:val="22"/>
          <w:szCs w:val="22"/>
          <w:lang w:val="es-CO" w:eastAsia="en-US"/>
        </w:rPr>
      </w:pPr>
      <w:r w:rsidRPr="000901A8">
        <w:rPr>
          <w:rFonts w:ascii="Bookman Old Style" w:hAnsi="Bookman Old Style" w:cs="Arial"/>
          <w:i/>
          <w:spacing w:val="-5"/>
          <w:sz w:val="22"/>
          <w:szCs w:val="22"/>
          <w:lang w:val="es-CO" w:eastAsia="en-US"/>
        </w:rPr>
        <w:t xml:space="preserve">Mientras se dan estas dos condiciones, de manera temporal se acepta la propuesta de ECOPETROL de permitir que éste agente forme un precio máximo de suministro de GLP que sea el resultado del promediar el precio máximo de GLP nacional y de GLP importado incluido su transporte al interior en caso de necesitarse, ponderándolo con base en los volúmenes realmente vendidos. (…)” </w:t>
      </w:r>
      <w:r w:rsidRPr="000901A8">
        <w:rPr>
          <w:rFonts w:ascii="Bookman Old Style" w:hAnsi="Bookman Old Style" w:cs="Arial"/>
          <w:spacing w:val="-5"/>
          <w:sz w:val="22"/>
          <w:szCs w:val="22"/>
          <w:lang w:val="es-CO" w:eastAsia="en-US"/>
        </w:rPr>
        <w:t>Subrayado y resaltado fuera de texto</w:t>
      </w:r>
    </w:p>
    <w:p w:rsidR="0003344C" w:rsidRPr="00417E03" w:rsidRDefault="0003344C" w:rsidP="0003344C">
      <w:pPr>
        <w:ind w:left="284" w:right="284"/>
        <w:contextualSpacing/>
        <w:jc w:val="both"/>
        <w:rPr>
          <w:rFonts w:ascii="Bookman Old Style" w:hAnsi="Bookman Old Style"/>
          <w:lang w:val="es-CO"/>
        </w:rPr>
      </w:pPr>
    </w:p>
    <w:p w:rsidR="007B03B8" w:rsidRPr="00417E03" w:rsidRDefault="0003344C" w:rsidP="007B03B8">
      <w:pPr>
        <w:ind w:left="0"/>
        <w:contextualSpacing/>
        <w:jc w:val="both"/>
        <w:rPr>
          <w:rFonts w:ascii="Bookman Old Style" w:hAnsi="Bookman Old Style"/>
          <w:lang w:val="es-CO"/>
        </w:rPr>
      </w:pPr>
      <w:r w:rsidRPr="00417E03">
        <w:rPr>
          <w:rFonts w:ascii="Bookman Old Style" w:hAnsi="Bookman Old Style"/>
          <w:lang w:val="es-CO"/>
        </w:rPr>
        <w:t xml:space="preserve">En relación con lo expuesto en este documento soporte </w:t>
      </w:r>
      <w:r w:rsidR="00432086" w:rsidRPr="00417E03">
        <w:rPr>
          <w:rFonts w:ascii="Bookman Old Style" w:hAnsi="Bookman Old Style"/>
          <w:lang w:val="es-CO"/>
        </w:rPr>
        <w:t>y las condiciones allí expuestas se debe tener en cuenta que l</w:t>
      </w:r>
      <w:r w:rsidR="007B03B8" w:rsidRPr="00417E03">
        <w:rPr>
          <w:rFonts w:ascii="Bookman Old Style" w:hAnsi="Bookman Old Style" w:cs="Arial"/>
          <w:spacing w:val="-5"/>
          <w:lang w:val="es-CO" w:eastAsia="en-US"/>
        </w:rPr>
        <w:t xml:space="preserve">as dos condiciones de las que </w:t>
      </w:r>
      <w:r w:rsidR="00432086" w:rsidRPr="00417E03">
        <w:rPr>
          <w:rFonts w:ascii="Bookman Old Style" w:hAnsi="Bookman Old Style" w:cs="Arial"/>
          <w:spacing w:val="-5"/>
          <w:lang w:val="es-CO" w:eastAsia="en-US"/>
        </w:rPr>
        <w:t xml:space="preserve">allí </w:t>
      </w:r>
      <w:r w:rsidR="007B03B8" w:rsidRPr="00417E03">
        <w:rPr>
          <w:rFonts w:ascii="Bookman Old Style" w:hAnsi="Bookman Old Style" w:cs="Arial"/>
          <w:spacing w:val="-5"/>
          <w:lang w:val="es-CO" w:eastAsia="en-US"/>
        </w:rPr>
        <w:t xml:space="preserve">se habla en la respuesta al cometario </w:t>
      </w:r>
      <w:r w:rsidR="008B14A3" w:rsidRPr="00417E03">
        <w:rPr>
          <w:rFonts w:ascii="Bookman Old Style" w:hAnsi="Bookman Old Style" w:cs="Arial"/>
          <w:spacing w:val="-5"/>
          <w:lang w:val="es-CO" w:eastAsia="en-US"/>
        </w:rPr>
        <w:t>ya han sido</w:t>
      </w:r>
      <w:r w:rsidR="007B03B8" w:rsidRPr="00417E03">
        <w:rPr>
          <w:rFonts w:ascii="Bookman Old Style" w:hAnsi="Bookman Old Style" w:cs="Arial"/>
          <w:spacing w:val="-5"/>
          <w:lang w:val="es-CO" w:eastAsia="en-US"/>
        </w:rPr>
        <w:t xml:space="preserve"> resueltas. Una, mediante </w:t>
      </w:r>
      <w:r w:rsidR="008B14A3" w:rsidRPr="00417E03">
        <w:rPr>
          <w:rFonts w:ascii="Bookman Old Style" w:hAnsi="Bookman Old Style" w:cs="Arial"/>
          <w:spacing w:val="-5"/>
          <w:lang w:val="es-CO" w:eastAsia="en-US"/>
        </w:rPr>
        <w:t xml:space="preserve">la expedición de la </w:t>
      </w:r>
      <w:r w:rsidR="007B03B8" w:rsidRPr="00417E03">
        <w:rPr>
          <w:rFonts w:ascii="Bookman Old Style" w:hAnsi="Bookman Old Style" w:cs="Arial"/>
          <w:spacing w:val="-5"/>
          <w:lang w:val="es-CO" w:eastAsia="en-US"/>
        </w:rPr>
        <w:t xml:space="preserve">Resolución CREG 180 de 2009, </w:t>
      </w:r>
      <w:r w:rsidR="007B03B8" w:rsidRPr="00417E03">
        <w:rPr>
          <w:rFonts w:ascii="Bookman Old Style" w:hAnsi="Bookman Old Style" w:cs="Arial"/>
          <w:i/>
          <w:spacing w:val="-5"/>
          <w:lang w:val="es-CO" w:eastAsia="en-US"/>
        </w:rPr>
        <w:t>“Por la cual se aprueba la fórmula tarifaria general que permite a los Distribuidores y Comercializadores Minoristas establecer los costos de prestación del servicio de Gas Licuado de Petróleo - GLP, a usuarios regulados”</w:t>
      </w:r>
      <w:r w:rsidR="007B03B8" w:rsidRPr="00417E03">
        <w:rPr>
          <w:rFonts w:ascii="Bookman Old Style" w:hAnsi="Bookman Old Style" w:cs="Arial"/>
          <w:spacing w:val="-5"/>
          <w:lang w:val="es-CO" w:eastAsia="en-US"/>
        </w:rPr>
        <w:t>, y otra con la expedición del Reglamento de Comercialización Mayorista de GLP, Resolución CREG 053 de 2011.</w:t>
      </w:r>
    </w:p>
    <w:p w:rsidR="007B03B8" w:rsidRPr="00417E03" w:rsidRDefault="007B03B8" w:rsidP="007B03B8">
      <w:pPr>
        <w:ind w:left="0"/>
        <w:contextualSpacing/>
        <w:jc w:val="both"/>
        <w:rPr>
          <w:rFonts w:ascii="Arial" w:hAnsi="Arial" w:cs="Arial"/>
          <w:spacing w:val="-5"/>
          <w:lang w:val="es-CO" w:eastAsia="en-US"/>
        </w:rPr>
      </w:pPr>
    </w:p>
    <w:p w:rsidR="0021028D" w:rsidRDefault="008B14A3" w:rsidP="007B03B8">
      <w:pPr>
        <w:ind w:left="0"/>
        <w:contextualSpacing/>
        <w:jc w:val="both"/>
        <w:rPr>
          <w:rFonts w:ascii="Bookman Old Style" w:hAnsi="Bookman Old Style" w:cs="Arial"/>
          <w:spacing w:val="-5"/>
          <w:lang w:val="es-CO" w:eastAsia="en-US"/>
        </w:rPr>
      </w:pPr>
      <w:r w:rsidRPr="00417E03">
        <w:rPr>
          <w:rFonts w:ascii="Bookman Old Style" w:hAnsi="Bookman Old Style" w:cs="Arial"/>
          <w:spacing w:val="-5"/>
          <w:lang w:val="es-CO" w:eastAsia="en-US"/>
        </w:rPr>
        <w:t xml:space="preserve">En relación con </w:t>
      </w:r>
      <w:r w:rsidR="00A44522" w:rsidRPr="00417E03">
        <w:rPr>
          <w:rFonts w:ascii="Bookman Old Style" w:hAnsi="Bookman Old Style" w:cs="Arial"/>
          <w:spacing w:val="-5"/>
          <w:lang w:val="es-CO" w:eastAsia="en-US"/>
        </w:rPr>
        <w:t>la primera de estas condiciones</w:t>
      </w:r>
      <w:r w:rsidR="007B03B8" w:rsidRPr="00417E03">
        <w:rPr>
          <w:rFonts w:ascii="Bookman Old Style" w:hAnsi="Bookman Old Style" w:cs="Arial"/>
          <w:spacing w:val="-5"/>
          <w:lang w:val="es-CO" w:eastAsia="en-US"/>
        </w:rPr>
        <w:t xml:space="preserve">, se </w:t>
      </w:r>
      <w:r w:rsidR="00432086" w:rsidRPr="00417E03">
        <w:rPr>
          <w:rFonts w:ascii="Bookman Old Style" w:hAnsi="Bookman Old Style" w:cs="Arial"/>
          <w:spacing w:val="-5"/>
          <w:lang w:val="es-CO" w:eastAsia="en-US"/>
        </w:rPr>
        <w:t xml:space="preserve">debe </w:t>
      </w:r>
      <w:r w:rsidRPr="00417E03">
        <w:rPr>
          <w:rFonts w:ascii="Bookman Old Style" w:hAnsi="Bookman Old Style" w:cs="Arial"/>
          <w:spacing w:val="-5"/>
          <w:lang w:val="es-CO" w:eastAsia="en-US"/>
        </w:rPr>
        <w:t>tener en cuenta</w:t>
      </w:r>
      <w:r w:rsidR="00432086" w:rsidRPr="00417E03">
        <w:rPr>
          <w:rFonts w:ascii="Bookman Old Style" w:hAnsi="Bookman Old Style" w:cs="Arial"/>
          <w:spacing w:val="-5"/>
          <w:lang w:val="es-CO" w:eastAsia="en-US"/>
        </w:rPr>
        <w:t xml:space="preserve"> que la regulación tiene previsto</w:t>
      </w:r>
      <w:r w:rsidR="007B03B8" w:rsidRPr="00417E03">
        <w:rPr>
          <w:rFonts w:ascii="Bookman Old Style" w:hAnsi="Bookman Old Style" w:cs="Arial"/>
          <w:spacing w:val="-5"/>
          <w:lang w:val="es-CO" w:eastAsia="en-US"/>
        </w:rPr>
        <w:t xml:space="preserve"> que la actividad de transporte del GLP o flete a partir de los puntos de entrega, hace parte de la actividad de distribución de GLP y, en ese orden de ideas, los costos asociados a dicha actividad deben hacer parte de los costos que se consideran para la determinación de los cargos que remuneran dicha actividad.</w:t>
      </w:r>
      <w:r w:rsidR="00A44522" w:rsidRPr="00417E03">
        <w:rPr>
          <w:rFonts w:ascii="Bookman Old Style" w:hAnsi="Bookman Old Style" w:cs="Arial"/>
          <w:spacing w:val="-5"/>
          <w:lang w:val="es-CO" w:eastAsia="en-US"/>
        </w:rPr>
        <w:t xml:space="preserve"> </w:t>
      </w:r>
    </w:p>
    <w:p w:rsidR="0021028D" w:rsidRDefault="0021028D" w:rsidP="007B03B8">
      <w:pPr>
        <w:ind w:left="0"/>
        <w:contextualSpacing/>
        <w:jc w:val="both"/>
        <w:rPr>
          <w:rFonts w:ascii="Bookman Old Style" w:hAnsi="Bookman Old Style" w:cs="Arial"/>
          <w:spacing w:val="-5"/>
          <w:lang w:val="es-CO" w:eastAsia="en-US"/>
        </w:rPr>
      </w:pPr>
    </w:p>
    <w:p w:rsidR="007B03B8" w:rsidRPr="00417E03" w:rsidRDefault="0021028D" w:rsidP="007B03B8">
      <w:pPr>
        <w:ind w:left="0"/>
        <w:contextualSpacing/>
        <w:jc w:val="both"/>
        <w:rPr>
          <w:rFonts w:ascii="Bookman Old Style" w:hAnsi="Bookman Old Style" w:cs="Arial"/>
          <w:spacing w:val="-5"/>
          <w:lang w:val="es-CO" w:eastAsia="en-US"/>
        </w:rPr>
      </w:pPr>
      <w:r>
        <w:rPr>
          <w:rFonts w:ascii="Bookman Old Style" w:hAnsi="Bookman Old Style" w:cs="Arial"/>
          <w:spacing w:val="-5"/>
          <w:lang w:val="es-CO" w:eastAsia="en-US"/>
        </w:rPr>
        <w:t>En este sentido</w:t>
      </w:r>
      <w:r w:rsidR="008B14A3" w:rsidRPr="00417E03">
        <w:rPr>
          <w:rFonts w:ascii="Bookman Old Style" w:hAnsi="Bookman Old Style" w:cs="Arial"/>
          <w:spacing w:val="-5"/>
          <w:lang w:val="es-CO" w:eastAsia="en-US"/>
        </w:rPr>
        <w:t>,</w:t>
      </w:r>
      <w:r w:rsidR="007B03B8" w:rsidRPr="00417E03">
        <w:rPr>
          <w:rFonts w:ascii="Bookman Old Style" w:hAnsi="Bookman Old Style" w:cs="Arial"/>
          <w:spacing w:val="-5"/>
          <w:lang w:val="es-CO" w:eastAsia="en-US"/>
        </w:rPr>
        <w:t xml:space="preserve"> la actividad de distribución de GLP es definida en los siguientes términos en la Resolución CREG 023 de 2008, </w:t>
      </w:r>
      <w:r w:rsidR="007B03B8" w:rsidRPr="00417E03">
        <w:rPr>
          <w:rFonts w:ascii="Bookman Old Style" w:hAnsi="Bookman Old Style" w:cs="Arial"/>
          <w:i/>
          <w:spacing w:val="-5"/>
          <w:lang w:val="es-CO" w:eastAsia="en-US"/>
        </w:rPr>
        <w:t>“Por la cual se establece el Reglamento de Distribución y Comercialización Minorista de Gas Licuado de Petróleo”</w:t>
      </w:r>
      <w:r w:rsidR="007B03B8" w:rsidRPr="00417E03">
        <w:rPr>
          <w:rFonts w:ascii="Bookman Old Style" w:hAnsi="Bookman Old Style" w:cs="Arial"/>
          <w:spacing w:val="-5"/>
          <w:lang w:val="es-CO" w:eastAsia="en-US"/>
        </w:rPr>
        <w:t>:</w:t>
      </w:r>
    </w:p>
    <w:p w:rsidR="007B03B8" w:rsidRPr="00417E03" w:rsidRDefault="007B03B8" w:rsidP="007B03B8">
      <w:pPr>
        <w:ind w:left="0"/>
        <w:contextualSpacing/>
        <w:jc w:val="both"/>
        <w:rPr>
          <w:rFonts w:ascii="Arial" w:hAnsi="Arial" w:cs="Arial"/>
          <w:spacing w:val="-5"/>
          <w:lang w:val="es-CO" w:eastAsia="en-US"/>
        </w:rPr>
      </w:pPr>
    </w:p>
    <w:p w:rsidR="007B03B8" w:rsidRPr="0021028D" w:rsidRDefault="007B03B8" w:rsidP="00A44522">
      <w:pPr>
        <w:ind w:left="284" w:right="284"/>
        <w:contextualSpacing/>
        <w:jc w:val="both"/>
        <w:rPr>
          <w:rFonts w:ascii="Bookman Old Style" w:hAnsi="Bookman Old Style" w:cs="Arial"/>
          <w:spacing w:val="-5"/>
          <w:sz w:val="22"/>
          <w:szCs w:val="22"/>
          <w:lang w:val="es-CO" w:eastAsia="en-US"/>
        </w:rPr>
      </w:pPr>
      <w:r w:rsidRPr="0021028D">
        <w:rPr>
          <w:rFonts w:ascii="Bookman Old Style" w:hAnsi="Bookman Old Style" w:cs="Arial"/>
          <w:i/>
          <w:spacing w:val="-5"/>
          <w:sz w:val="22"/>
          <w:szCs w:val="22"/>
          <w:lang w:val="es-CO" w:eastAsia="en-US"/>
        </w:rPr>
        <w:t xml:space="preserve">“(…) Distribución de GLP: Actividad que comprende las actividades de: i) Compra del GLP en el mercado mayorista con destino al usuario final, </w:t>
      </w:r>
      <w:r w:rsidRPr="0021028D">
        <w:rPr>
          <w:rFonts w:ascii="Bookman Old Style" w:hAnsi="Bookman Old Style" w:cs="Arial"/>
          <w:b/>
          <w:i/>
          <w:spacing w:val="-5"/>
          <w:sz w:val="22"/>
          <w:szCs w:val="22"/>
          <w:u w:val="single"/>
          <w:lang w:val="es-CO" w:eastAsia="en-US"/>
        </w:rPr>
        <w:t>ii) flete desde los puntos de entrega directa del producto o los puntos de salida del sistema de transporte hasta las plantas de envasado</w:t>
      </w:r>
      <w:r w:rsidRPr="0021028D">
        <w:rPr>
          <w:rFonts w:ascii="Bookman Old Style" w:hAnsi="Bookman Old Style" w:cs="Arial"/>
          <w:i/>
          <w:spacing w:val="-5"/>
          <w:sz w:val="22"/>
          <w:szCs w:val="22"/>
          <w:lang w:val="es-CO" w:eastAsia="en-US"/>
        </w:rPr>
        <w:t xml:space="preserve">, iii) envasado de cilindros marcados y iv) operación de la planta de envasado correspondiente.  Comprende además las actividades de flete y entrega de producto a granel a través de tanques estacionarios instalados en el </w:t>
      </w:r>
      <w:r w:rsidRPr="0021028D">
        <w:rPr>
          <w:rFonts w:ascii="Bookman Old Style" w:hAnsi="Bookman Old Style" w:cs="Arial"/>
          <w:i/>
          <w:spacing w:val="-5"/>
          <w:sz w:val="22"/>
          <w:szCs w:val="22"/>
          <w:lang w:val="es-CO" w:eastAsia="en-US"/>
        </w:rPr>
        <w:lastRenderedPageBreak/>
        <w:t>domicilio de los usuarios finales y de venta de cilindros a través de Puntos de Venta. (…)”</w:t>
      </w:r>
      <w:r w:rsidRPr="0021028D">
        <w:rPr>
          <w:rFonts w:ascii="Bookman Old Style" w:hAnsi="Bookman Old Style" w:cs="Arial"/>
          <w:spacing w:val="-5"/>
          <w:sz w:val="22"/>
          <w:szCs w:val="22"/>
          <w:lang w:val="es-CO" w:eastAsia="en-US"/>
        </w:rPr>
        <w:t xml:space="preserve"> Subrayado y resaltado fuera de texto</w:t>
      </w:r>
    </w:p>
    <w:p w:rsidR="007B03B8" w:rsidRPr="00417E03" w:rsidRDefault="007B03B8" w:rsidP="007B03B8">
      <w:pPr>
        <w:ind w:left="0"/>
        <w:contextualSpacing/>
        <w:jc w:val="both"/>
        <w:rPr>
          <w:rFonts w:ascii="Bookman Old Style" w:hAnsi="Bookman Old Style" w:cs="Arial"/>
          <w:spacing w:val="-5"/>
          <w:lang w:val="es-CO" w:eastAsia="en-US"/>
        </w:rPr>
      </w:pPr>
    </w:p>
    <w:p w:rsidR="007B03B8" w:rsidRPr="00417E03" w:rsidRDefault="007B03B8" w:rsidP="007B03B8">
      <w:pPr>
        <w:ind w:left="0"/>
        <w:contextualSpacing/>
        <w:jc w:val="both"/>
        <w:rPr>
          <w:rFonts w:ascii="Bookman Old Style" w:hAnsi="Bookman Old Style" w:cs="Arial"/>
          <w:spacing w:val="-5"/>
          <w:lang w:val="es-CO" w:eastAsia="en-US"/>
        </w:rPr>
      </w:pPr>
      <w:r w:rsidRPr="00417E03">
        <w:rPr>
          <w:rFonts w:ascii="Bookman Old Style" w:hAnsi="Bookman Old Style" w:cs="Arial"/>
          <w:spacing w:val="-5"/>
          <w:lang w:val="es-CO" w:eastAsia="en-US"/>
        </w:rPr>
        <w:t>Y se define el flete de la siguiente forma:</w:t>
      </w:r>
    </w:p>
    <w:p w:rsidR="007B03B8" w:rsidRPr="00417E03" w:rsidRDefault="007B03B8" w:rsidP="007B03B8">
      <w:pPr>
        <w:ind w:left="0"/>
        <w:contextualSpacing/>
        <w:jc w:val="both"/>
        <w:rPr>
          <w:rFonts w:ascii="Arial" w:hAnsi="Arial" w:cs="Arial"/>
          <w:spacing w:val="-5"/>
          <w:lang w:val="es-CO" w:eastAsia="en-US"/>
        </w:rPr>
      </w:pPr>
    </w:p>
    <w:p w:rsidR="007B03B8" w:rsidRPr="0021028D" w:rsidRDefault="007B03B8" w:rsidP="00A44522">
      <w:pPr>
        <w:ind w:left="284" w:right="284"/>
        <w:contextualSpacing/>
        <w:jc w:val="both"/>
        <w:rPr>
          <w:rFonts w:ascii="Bookman Old Style" w:hAnsi="Bookman Old Style" w:cs="Arial"/>
          <w:spacing w:val="-5"/>
          <w:sz w:val="22"/>
          <w:szCs w:val="22"/>
          <w:lang w:val="es-CO" w:eastAsia="en-US"/>
        </w:rPr>
      </w:pPr>
      <w:r w:rsidRPr="0021028D">
        <w:rPr>
          <w:rFonts w:ascii="Bookman Old Style" w:hAnsi="Bookman Old Style" w:cs="Arial"/>
          <w:i/>
          <w:spacing w:val="-5"/>
          <w:sz w:val="22"/>
          <w:szCs w:val="22"/>
          <w:lang w:val="es-CO" w:eastAsia="en-US"/>
        </w:rPr>
        <w:t xml:space="preserve">“(…) Flete: Actividad que consiste en el traslado de GLP a granel </w:t>
      </w:r>
      <w:r w:rsidRPr="0021028D">
        <w:rPr>
          <w:rFonts w:ascii="Bookman Old Style" w:hAnsi="Bookman Old Style" w:cs="Arial"/>
          <w:b/>
          <w:i/>
          <w:spacing w:val="-5"/>
          <w:sz w:val="22"/>
          <w:szCs w:val="22"/>
          <w:u w:val="single"/>
          <w:lang w:val="es-CO" w:eastAsia="en-US"/>
        </w:rPr>
        <w:t>entre puntos de entrega del producto o los puntos de salida del sistema de transporte y las plantas envasadoras</w:t>
      </w:r>
      <w:r w:rsidRPr="0021028D">
        <w:rPr>
          <w:rFonts w:ascii="Bookman Old Style" w:hAnsi="Bookman Old Style" w:cs="Arial"/>
          <w:i/>
          <w:spacing w:val="-5"/>
          <w:sz w:val="22"/>
          <w:szCs w:val="22"/>
          <w:lang w:val="es-CO" w:eastAsia="en-US"/>
        </w:rPr>
        <w:t>, y/o el traslado de GLP en cilindros o cisternas entre la planta envasadora y los municipios atendidos. (…)”</w:t>
      </w:r>
      <w:r w:rsidRPr="0021028D">
        <w:rPr>
          <w:rFonts w:ascii="Bookman Old Style" w:hAnsi="Bookman Old Style" w:cs="Arial"/>
          <w:spacing w:val="-5"/>
          <w:sz w:val="22"/>
          <w:szCs w:val="22"/>
          <w:lang w:val="es-CO" w:eastAsia="en-US"/>
        </w:rPr>
        <w:t>Subrayado y resaltado fuera de texto</w:t>
      </w:r>
    </w:p>
    <w:p w:rsidR="007B03B8" w:rsidRPr="00417E03" w:rsidRDefault="007B03B8" w:rsidP="007B03B8">
      <w:pPr>
        <w:ind w:left="0"/>
        <w:contextualSpacing/>
        <w:jc w:val="both"/>
        <w:rPr>
          <w:rFonts w:ascii="Arial" w:hAnsi="Arial" w:cs="Arial"/>
          <w:spacing w:val="-5"/>
          <w:lang w:val="es-CO" w:eastAsia="en-US"/>
        </w:rPr>
      </w:pPr>
    </w:p>
    <w:p w:rsidR="007B03B8" w:rsidRPr="00417E03" w:rsidRDefault="007B03B8" w:rsidP="00A44522">
      <w:pPr>
        <w:ind w:left="0"/>
        <w:contextualSpacing/>
        <w:jc w:val="both"/>
        <w:rPr>
          <w:rFonts w:ascii="Bookman Old Style" w:hAnsi="Bookman Old Style" w:cs="Arial"/>
          <w:spacing w:val="-5"/>
          <w:lang w:val="es-CO" w:eastAsia="en-US"/>
        </w:rPr>
      </w:pPr>
      <w:r w:rsidRPr="00417E03">
        <w:rPr>
          <w:rFonts w:ascii="Bookman Old Style" w:hAnsi="Bookman Old Style" w:cs="Arial"/>
          <w:spacing w:val="-5"/>
          <w:lang w:val="es-CO" w:eastAsia="en-US"/>
        </w:rPr>
        <w:t>En ese orden de ideas, se conciben como parte de la actividad de distribución</w:t>
      </w:r>
      <w:r w:rsidR="00573DB0" w:rsidRPr="00417E03">
        <w:rPr>
          <w:rFonts w:ascii="Bookman Old Style" w:hAnsi="Bookman Old Style" w:cs="Arial"/>
          <w:spacing w:val="-5"/>
          <w:lang w:val="es-CO" w:eastAsia="en-US"/>
        </w:rPr>
        <w:t xml:space="preserve"> únicamente</w:t>
      </w:r>
      <w:r w:rsidRPr="00417E03">
        <w:rPr>
          <w:rFonts w:ascii="Bookman Old Style" w:hAnsi="Bookman Old Style" w:cs="Arial"/>
          <w:spacing w:val="-5"/>
          <w:lang w:val="es-CO" w:eastAsia="en-US"/>
        </w:rPr>
        <w:t xml:space="preserve"> las siguientes tres posibilidades para el traslado del GLP</w:t>
      </w:r>
      <w:r w:rsidR="0021028D">
        <w:rPr>
          <w:rFonts w:ascii="Bookman Old Style" w:hAnsi="Bookman Old Style" w:cs="Arial"/>
          <w:spacing w:val="-5"/>
          <w:lang w:val="es-CO" w:eastAsia="en-US"/>
        </w:rPr>
        <w:t>,</w:t>
      </w:r>
      <w:r w:rsidRPr="00417E03">
        <w:rPr>
          <w:rFonts w:ascii="Bookman Old Style" w:hAnsi="Bookman Old Style" w:cs="Arial"/>
          <w:spacing w:val="-5"/>
          <w:lang w:val="es-CO" w:eastAsia="en-US"/>
        </w:rPr>
        <w:t xml:space="preserve"> una vez es recibido de un comercializador mayorista:</w:t>
      </w:r>
      <w:r w:rsidR="00A44522" w:rsidRPr="00417E03">
        <w:rPr>
          <w:rFonts w:ascii="Bookman Old Style" w:hAnsi="Bookman Old Style" w:cs="Arial"/>
          <w:spacing w:val="-5"/>
          <w:lang w:val="es-CO" w:eastAsia="en-US"/>
        </w:rPr>
        <w:t xml:space="preserve"> i) </w:t>
      </w:r>
      <w:r w:rsidR="008B14A3" w:rsidRPr="00417E03">
        <w:rPr>
          <w:rFonts w:ascii="Bookman Old Style" w:hAnsi="Bookman Old Style" w:cs="Arial"/>
          <w:spacing w:val="-5"/>
          <w:lang w:val="es-CO" w:eastAsia="en-US"/>
        </w:rPr>
        <w:t>d</w:t>
      </w:r>
      <w:r w:rsidRPr="00417E03">
        <w:rPr>
          <w:rFonts w:ascii="Bookman Old Style" w:hAnsi="Bookman Old Style" w:cs="Arial"/>
          <w:spacing w:val="-5"/>
          <w:lang w:val="es-CO" w:eastAsia="en-US"/>
        </w:rPr>
        <w:t>esde un punto de prod</w:t>
      </w:r>
      <w:r w:rsidR="00A44522" w:rsidRPr="00417E03">
        <w:rPr>
          <w:rFonts w:ascii="Bookman Old Style" w:hAnsi="Bookman Old Style" w:cs="Arial"/>
          <w:spacing w:val="-5"/>
          <w:lang w:val="es-CO" w:eastAsia="en-US"/>
        </w:rPr>
        <w:t xml:space="preserve">ucción a una planta de envasado; ii) </w:t>
      </w:r>
      <w:r w:rsidR="008B14A3" w:rsidRPr="00417E03">
        <w:rPr>
          <w:rFonts w:ascii="Bookman Old Style" w:hAnsi="Bookman Old Style" w:cs="Arial"/>
          <w:spacing w:val="-5"/>
          <w:lang w:val="es-CO" w:eastAsia="en-US"/>
        </w:rPr>
        <w:t>d</w:t>
      </w:r>
      <w:r w:rsidRPr="00417E03">
        <w:rPr>
          <w:rFonts w:ascii="Bookman Old Style" w:hAnsi="Bookman Old Style" w:cs="Arial"/>
          <w:spacing w:val="-5"/>
          <w:lang w:val="es-CO" w:eastAsia="en-US"/>
        </w:rPr>
        <w:t>esde un punto de impor</w:t>
      </w:r>
      <w:r w:rsidR="00A44522" w:rsidRPr="00417E03">
        <w:rPr>
          <w:rFonts w:ascii="Bookman Old Style" w:hAnsi="Bookman Old Style" w:cs="Arial"/>
          <w:spacing w:val="-5"/>
          <w:lang w:val="es-CO" w:eastAsia="en-US"/>
        </w:rPr>
        <w:t xml:space="preserve">tación a una planta de envasado; iii) </w:t>
      </w:r>
      <w:r w:rsidR="008B14A3" w:rsidRPr="00417E03">
        <w:rPr>
          <w:rFonts w:ascii="Bookman Old Style" w:hAnsi="Bookman Old Style" w:cs="Arial"/>
          <w:spacing w:val="-5"/>
          <w:lang w:val="es-CO" w:eastAsia="en-US"/>
        </w:rPr>
        <w:t>d</w:t>
      </w:r>
      <w:r w:rsidRPr="00417E03">
        <w:rPr>
          <w:rFonts w:ascii="Bookman Old Style" w:hAnsi="Bookman Old Style" w:cs="Arial"/>
          <w:spacing w:val="-5"/>
          <w:lang w:val="es-CO" w:eastAsia="en-US"/>
        </w:rPr>
        <w:t>esde un punto de salida del sistema de transporte a una planta de envasado.</w:t>
      </w:r>
      <w:r w:rsidR="00573DB0" w:rsidRPr="00417E03">
        <w:rPr>
          <w:rFonts w:ascii="Bookman Old Style" w:hAnsi="Bookman Old Style" w:cs="Arial"/>
          <w:spacing w:val="-5"/>
          <w:lang w:val="es-CO" w:eastAsia="en-US"/>
        </w:rPr>
        <w:t xml:space="preserve"> Lo anterior, atendiendo la naturaleza y alcance de la actividad distribución y la relación que esto tiene dentro del esquema de marca.</w:t>
      </w:r>
    </w:p>
    <w:p w:rsidR="006522CA" w:rsidRPr="00417E03" w:rsidRDefault="006522CA" w:rsidP="00C07899">
      <w:pPr>
        <w:ind w:left="0"/>
        <w:contextualSpacing/>
        <w:jc w:val="both"/>
        <w:rPr>
          <w:rFonts w:ascii="Bookman Old Style" w:hAnsi="Bookman Old Style"/>
          <w:lang w:val="es-CO"/>
        </w:rPr>
      </w:pPr>
    </w:p>
    <w:p w:rsidR="008B14A3" w:rsidRPr="00417E03" w:rsidRDefault="002255C7" w:rsidP="00C07899">
      <w:pPr>
        <w:ind w:left="0"/>
        <w:jc w:val="both"/>
        <w:rPr>
          <w:rFonts w:ascii="Bookman Old Style" w:hAnsi="Bookman Old Style"/>
          <w:lang w:val="es-CO"/>
        </w:rPr>
      </w:pPr>
      <w:r w:rsidRPr="00417E03">
        <w:rPr>
          <w:rFonts w:ascii="Bookman Old Style" w:hAnsi="Bookman Old Style"/>
          <w:lang w:val="es-CO"/>
        </w:rPr>
        <w:t>Ahora,</w:t>
      </w:r>
      <w:r w:rsidR="00A44522" w:rsidRPr="00417E03">
        <w:rPr>
          <w:rFonts w:ascii="Bookman Old Style" w:hAnsi="Bookman Old Style"/>
          <w:lang w:val="es-CO"/>
        </w:rPr>
        <w:t xml:space="preserve"> </w:t>
      </w:r>
      <w:r w:rsidRPr="00417E03">
        <w:rPr>
          <w:rFonts w:ascii="Bookman Old Style" w:hAnsi="Bookman Old Style"/>
          <w:lang w:val="es-CO"/>
        </w:rPr>
        <w:t>dentro de las medidas regulatorias expedidas</w:t>
      </w:r>
      <w:r w:rsidR="0017761A" w:rsidRPr="00417E03">
        <w:rPr>
          <w:rFonts w:ascii="Bookman Old Style" w:hAnsi="Bookman Old Style"/>
          <w:lang w:val="es-CO"/>
        </w:rPr>
        <w:t>,</w:t>
      </w:r>
      <w:r w:rsidR="00A44522" w:rsidRPr="00417E03">
        <w:rPr>
          <w:rFonts w:ascii="Bookman Old Style" w:hAnsi="Bookman Old Style"/>
          <w:lang w:val="es-CO"/>
        </w:rPr>
        <w:t xml:space="preserve"> </w:t>
      </w:r>
      <w:r w:rsidRPr="00417E03">
        <w:rPr>
          <w:rFonts w:ascii="Bookman Old Style" w:hAnsi="Bookman Old Style"/>
          <w:lang w:val="es-CO"/>
        </w:rPr>
        <w:t>relacionadas con los mecanismos para la asignación del producto y los parámetros de conducta de los agentes y su posición e</w:t>
      </w:r>
      <w:r w:rsidR="00A44522" w:rsidRPr="00417E03">
        <w:rPr>
          <w:rFonts w:ascii="Bookman Old Style" w:hAnsi="Bookman Old Style"/>
          <w:lang w:val="es-CO"/>
        </w:rPr>
        <w:t xml:space="preserve">n el mercado en esta actividad, </w:t>
      </w:r>
      <w:r w:rsidRPr="00417E03">
        <w:rPr>
          <w:rFonts w:ascii="Bookman Old Style" w:hAnsi="Bookman Old Style"/>
          <w:lang w:val="es-CO"/>
        </w:rPr>
        <w:t xml:space="preserve">la CREG expidió la Resolución CREG 053 de 2011, reglamento de comercialización mayorista de GLP, mediante el cual se definieron, entre otros: i) los requisitos de los  comercializadores mayoristas y de las obligaciones de vendedores y compradores; ii) obligaciones generales, en relación con la entrega, manejo, oferta, venta, continuidad </w:t>
      </w:r>
      <w:r w:rsidR="0017761A" w:rsidRPr="00417E03">
        <w:rPr>
          <w:rFonts w:ascii="Bookman Old Style" w:hAnsi="Bookman Old Style"/>
          <w:lang w:val="es-CO"/>
        </w:rPr>
        <w:t xml:space="preserve">en el suministro </w:t>
      </w:r>
      <w:r w:rsidRPr="00417E03">
        <w:rPr>
          <w:rFonts w:ascii="Bookman Old Style" w:hAnsi="Bookman Old Style"/>
          <w:lang w:val="es-CO"/>
        </w:rPr>
        <w:t>y manejo por parte de los comercializadores mayoristas y las obligaciones por parte de los compradores de GLP; iii) contratos de suministro en firme de GLP</w:t>
      </w:r>
      <w:r w:rsidR="0017761A" w:rsidRPr="00417E03">
        <w:rPr>
          <w:rFonts w:ascii="Bookman Old Style" w:hAnsi="Bookman Old Style"/>
          <w:lang w:val="es-CO"/>
        </w:rPr>
        <w:t>, eventos de incumplimiento</w:t>
      </w:r>
      <w:r w:rsidRPr="00417E03">
        <w:rPr>
          <w:rFonts w:ascii="Bookman Old Style" w:hAnsi="Bookman Old Style"/>
          <w:lang w:val="es-CO"/>
        </w:rPr>
        <w:t xml:space="preserve"> y eventos de compensación, y; iv) los mecanismos para la compra y venta del producto al por mayor y el acceso al producto por parte de los diferentes agentes de la cadena. </w:t>
      </w:r>
    </w:p>
    <w:p w:rsidR="008B14A3" w:rsidRPr="00417E03" w:rsidRDefault="008B14A3" w:rsidP="00C07899">
      <w:pPr>
        <w:ind w:left="0"/>
        <w:jc w:val="both"/>
        <w:rPr>
          <w:rFonts w:ascii="Bookman Old Style" w:hAnsi="Bookman Old Style"/>
          <w:lang w:val="es-CO"/>
        </w:rPr>
      </w:pPr>
    </w:p>
    <w:p w:rsidR="002255C7" w:rsidRPr="00417E03" w:rsidRDefault="002255C7" w:rsidP="00C07899">
      <w:pPr>
        <w:ind w:left="0"/>
        <w:jc w:val="both"/>
        <w:rPr>
          <w:rFonts w:ascii="Bookman Old Style" w:hAnsi="Bookman Old Style"/>
          <w:lang w:val="es-CO"/>
        </w:rPr>
      </w:pPr>
      <w:r w:rsidRPr="00417E03">
        <w:rPr>
          <w:rFonts w:ascii="Bookman Old Style" w:hAnsi="Bookman Old Style"/>
          <w:lang w:val="es-CO"/>
        </w:rPr>
        <w:t xml:space="preserve">En el mencionado reglamento se estableció que el acceso al producto que se encuentra con precio regulado se realizaría mediante ofertas públicas de cantidades, OPC, llevadas a cabo por el respectivo comercializador mayorista. </w:t>
      </w:r>
      <w:r w:rsidR="00F10044" w:rsidRPr="00417E03">
        <w:rPr>
          <w:rFonts w:ascii="Bookman Old Style" w:hAnsi="Bookman Old Style"/>
          <w:lang w:val="es-CO"/>
        </w:rPr>
        <w:t>D</w:t>
      </w:r>
      <w:r w:rsidRPr="00417E03">
        <w:rPr>
          <w:rFonts w:ascii="Bookman Old Style" w:hAnsi="Bookman Old Style"/>
          <w:lang w:val="es-CO"/>
        </w:rPr>
        <w:t xml:space="preserve">e acuerdo con la aplicación de </w:t>
      </w:r>
      <w:r w:rsidR="0058087F" w:rsidRPr="00417E03">
        <w:rPr>
          <w:rFonts w:ascii="Bookman Old Style" w:hAnsi="Bookman Old Style"/>
          <w:lang w:val="es-CO"/>
        </w:rPr>
        <w:t>e</w:t>
      </w:r>
      <w:r w:rsidRPr="00417E03">
        <w:rPr>
          <w:rFonts w:ascii="Bookman Old Style" w:hAnsi="Bookman Old Style"/>
          <w:lang w:val="es-CO"/>
        </w:rPr>
        <w:t>ste mecanismo</w:t>
      </w:r>
      <w:r w:rsidR="00F10044" w:rsidRPr="00417E03">
        <w:rPr>
          <w:rFonts w:ascii="Bookman Old Style" w:hAnsi="Bookman Old Style"/>
          <w:lang w:val="es-CO"/>
        </w:rPr>
        <w:t>,</w:t>
      </w:r>
      <w:r w:rsidRPr="00417E03">
        <w:rPr>
          <w:rFonts w:ascii="Bookman Old Style" w:hAnsi="Bookman Old Style"/>
          <w:lang w:val="es-CO"/>
        </w:rPr>
        <w:t xml:space="preserve"> se viene</w:t>
      </w:r>
      <w:r w:rsidR="00F10044" w:rsidRPr="00417E03">
        <w:rPr>
          <w:rFonts w:ascii="Bookman Old Style" w:hAnsi="Bookman Old Style"/>
          <w:lang w:val="es-CO"/>
        </w:rPr>
        <w:t>n</w:t>
      </w:r>
      <w:r w:rsidRPr="00417E03">
        <w:rPr>
          <w:rFonts w:ascii="Bookman Old Style" w:hAnsi="Bookman Old Style"/>
          <w:lang w:val="es-CO"/>
        </w:rPr>
        <w:t xml:space="preserve"> realizando </w:t>
      </w:r>
      <w:r w:rsidR="00F10044" w:rsidRPr="00417E03">
        <w:rPr>
          <w:rFonts w:ascii="Bookman Old Style" w:hAnsi="Bookman Old Style"/>
          <w:lang w:val="es-CO"/>
        </w:rPr>
        <w:t xml:space="preserve">OPC desde </w:t>
      </w:r>
      <w:r w:rsidRPr="00417E03">
        <w:rPr>
          <w:rFonts w:ascii="Bookman Old Style" w:hAnsi="Bookman Old Style"/>
          <w:lang w:val="es-CO"/>
        </w:rPr>
        <w:t>del 1º de octubre de 2011</w:t>
      </w:r>
      <w:r w:rsidR="00F10044" w:rsidRPr="00417E03">
        <w:rPr>
          <w:rFonts w:ascii="Bookman Old Style" w:hAnsi="Bookman Old Style"/>
          <w:lang w:val="es-CO"/>
        </w:rPr>
        <w:t>. L</w:t>
      </w:r>
      <w:r w:rsidR="003F6B65" w:rsidRPr="00417E03">
        <w:rPr>
          <w:rFonts w:ascii="Bookman Old Style" w:hAnsi="Bookman Old Style"/>
          <w:lang w:val="es-CO"/>
        </w:rPr>
        <w:t>a OPC vigente corresponde a la prevista para el período de 1º de julio de 201</w:t>
      </w:r>
      <w:r w:rsidR="00F8713E" w:rsidRPr="00417E03">
        <w:rPr>
          <w:rFonts w:ascii="Bookman Old Style" w:hAnsi="Bookman Old Style"/>
          <w:lang w:val="es-CO"/>
        </w:rPr>
        <w:t>6</w:t>
      </w:r>
      <w:r w:rsidR="003F6B65" w:rsidRPr="00417E03">
        <w:rPr>
          <w:rFonts w:ascii="Bookman Old Style" w:hAnsi="Bookman Old Style"/>
          <w:lang w:val="es-CO"/>
        </w:rPr>
        <w:t xml:space="preserve"> a 3</w:t>
      </w:r>
      <w:r w:rsidR="00F8713E" w:rsidRPr="00417E03">
        <w:rPr>
          <w:rFonts w:ascii="Bookman Old Style" w:hAnsi="Bookman Old Style"/>
          <w:lang w:val="es-CO"/>
        </w:rPr>
        <w:t>1</w:t>
      </w:r>
      <w:r w:rsidR="003F6B65" w:rsidRPr="00417E03">
        <w:rPr>
          <w:rFonts w:ascii="Bookman Old Style" w:hAnsi="Bookman Old Style"/>
          <w:lang w:val="es-CO"/>
        </w:rPr>
        <w:t xml:space="preserve"> de </w:t>
      </w:r>
      <w:r w:rsidR="00F8713E" w:rsidRPr="00417E03">
        <w:rPr>
          <w:rFonts w:ascii="Bookman Old Style" w:hAnsi="Bookman Old Style"/>
          <w:lang w:val="es-CO"/>
        </w:rPr>
        <w:t>diciembre</w:t>
      </w:r>
      <w:r w:rsidR="003F6B65" w:rsidRPr="00417E03">
        <w:rPr>
          <w:rFonts w:ascii="Bookman Old Style" w:hAnsi="Bookman Old Style"/>
          <w:lang w:val="es-CO"/>
        </w:rPr>
        <w:t xml:space="preserve"> de 2016</w:t>
      </w:r>
      <w:r w:rsidR="007B03B8" w:rsidRPr="00417E03">
        <w:rPr>
          <w:rStyle w:val="Refdenotaalpie"/>
          <w:rFonts w:ascii="Bookman Old Style" w:hAnsi="Bookman Old Style"/>
          <w:lang w:val="es-CO"/>
        </w:rPr>
        <w:footnoteReference w:id="5"/>
      </w:r>
      <w:r w:rsidR="00F10044" w:rsidRPr="00417E03">
        <w:rPr>
          <w:rFonts w:ascii="Bookman Old Style" w:hAnsi="Bookman Old Style"/>
          <w:lang w:val="es-CO"/>
        </w:rPr>
        <w:t>.</w:t>
      </w:r>
    </w:p>
    <w:p w:rsidR="006522CA" w:rsidRPr="00417E03" w:rsidRDefault="006522CA" w:rsidP="00C07899">
      <w:pPr>
        <w:ind w:left="0"/>
        <w:jc w:val="both"/>
        <w:rPr>
          <w:rFonts w:ascii="Bookman Old Style" w:hAnsi="Bookman Old Style"/>
          <w:lang w:val="es-CO"/>
        </w:rPr>
      </w:pPr>
    </w:p>
    <w:p w:rsidR="00421700" w:rsidRPr="00417E03" w:rsidRDefault="00117256" w:rsidP="00650F86">
      <w:pPr>
        <w:ind w:left="0"/>
        <w:jc w:val="both"/>
        <w:rPr>
          <w:rFonts w:ascii="Bookman Old Style" w:hAnsi="Bookman Old Style" w:cs="Arial"/>
          <w:spacing w:val="-5"/>
          <w:lang w:val="es-CO" w:eastAsia="en-US"/>
        </w:rPr>
      </w:pPr>
      <w:r w:rsidRPr="00417E03">
        <w:rPr>
          <w:rFonts w:ascii="Bookman Old Style" w:hAnsi="Bookman Old Style"/>
          <w:lang w:val="es-CO"/>
        </w:rPr>
        <w:t xml:space="preserve">A efectos de dar cumplimiento a estos fines y objetivos, en el marco de la Ley 142 de 1994, </w:t>
      </w:r>
      <w:r w:rsidR="00C878FA" w:rsidRPr="00417E03">
        <w:rPr>
          <w:rFonts w:ascii="Bookman Old Style" w:hAnsi="Bookman Old Style" w:cs="Arial"/>
          <w:spacing w:val="-5"/>
          <w:lang w:val="es-CO" w:eastAsia="en-US"/>
        </w:rPr>
        <w:t xml:space="preserve">dentro del mecanismo de asignación de producto mediante ofertas públicas de cantidad, OPC, se establecieron disposiciones particulares, entre otras, las relativas a las condiciones generales para la oferta pública de GLP con precio </w:t>
      </w:r>
      <w:r w:rsidR="00C878FA" w:rsidRPr="00417E03">
        <w:rPr>
          <w:rFonts w:ascii="Bookman Old Style" w:hAnsi="Bookman Old Style" w:cs="Arial"/>
          <w:spacing w:val="-5"/>
          <w:lang w:val="es-CO" w:eastAsia="en-US"/>
        </w:rPr>
        <w:lastRenderedPageBreak/>
        <w:t xml:space="preserve">regulado, </w:t>
      </w:r>
      <w:r w:rsidR="00B37316" w:rsidRPr="00417E03">
        <w:rPr>
          <w:rFonts w:ascii="Bookman Old Style" w:hAnsi="Bookman Old Style" w:cs="Arial"/>
          <w:spacing w:val="-5"/>
          <w:lang w:val="es-CO" w:eastAsia="en-US"/>
        </w:rPr>
        <w:t>así como las obligaciones de los comercializadores mayoristas para la comercialización de GLP</w:t>
      </w:r>
      <w:r w:rsidR="00650F86" w:rsidRPr="00417E03">
        <w:rPr>
          <w:rFonts w:ascii="Bookman Old Style" w:hAnsi="Bookman Old Style" w:cs="Arial"/>
          <w:spacing w:val="-5"/>
          <w:lang w:val="es-CO" w:eastAsia="en-US"/>
        </w:rPr>
        <w:t>.</w:t>
      </w:r>
    </w:p>
    <w:p w:rsidR="00650F86" w:rsidRPr="00417E03" w:rsidRDefault="00650F86" w:rsidP="00650F86">
      <w:pPr>
        <w:ind w:left="0"/>
        <w:jc w:val="both"/>
        <w:rPr>
          <w:rFonts w:ascii="Bookman Old Style" w:hAnsi="Bookman Old Style" w:cs="Arial"/>
          <w:spacing w:val="-5"/>
          <w:lang w:val="es-CO" w:eastAsia="en-US"/>
        </w:rPr>
      </w:pPr>
    </w:p>
    <w:p w:rsidR="00E57B10" w:rsidRPr="00417E03" w:rsidRDefault="00650F86" w:rsidP="00650F86">
      <w:pPr>
        <w:ind w:left="0"/>
        <w:jc w:val="both"/>
        <w:rPr>
          <w:rFonts w:ascii="Bookman Old Style" w:hAnsi="Bookman Old Style" w:cs="Arial"/>
          <w:spacing w:val="-5"/>
          <w:lang w:val="es-CO" w:eastAsia="en-US"/>
        </w:rPr>
      </w:pPr>
      <w:r w:rsidRPr="00417E03">
        <w:rPr>
          <w:rFonts w:ascii="Bookman Old Style" w:hAnsi="Bookman Old Style" w:cs="Arial"/>
          <w:spacing w:val="-5"/>
          <w:lang w:val="es-CO" w:eastAsia="en-US"/>
        </w:rPr>
        <w:t>Igualmente en materia de importación</w:t>
      </w:r>
      <w:r w:rsidR="00E57B10" w:rsidRPr="00417E03">
        <w:rPr>
          <w:rFonts w:ascii="Bookman Old Style" w:hAnsi="Bookman Old Style" w:cs="Arial"/>
          <w:spacing w:val="-5"/>
          <w:lang w:val="es-CO" w:eastAsia="en-US"/>
        </w:rPr>
        <w:t>,</w:t>
      </w:r>
      <w:r w:rsidRPr="00417E03">
        <w:rPr>
          <w:rFonts w:ascii="Bookman Old Style" w:hAnsi="Bookman Old Style" w:cs="Arial"/>
          <w:spacing w:val="-5"/>
          <w:lang w:val="es-CO" w:eastAsia="en-US"/>
        </w:rPr>
        <w:t xml:space="preserve"> el reglamento de comercialización mayorista establece que</w:t>
      </w:r>
      <w:r w:rsidR="00E57B10" w:rsidRPr="00417E03">
        <w:rPr>
          <w:rFonts w:ascii="Bookman Old Style" w:hAnsi="Bookman Old Style" w:cs="Arial"/>
          <w:spacing w:val="-5"/>
          <w:lang w:val="es-CO" w:eastAsia="en-US"/>
        </w:rPr>
        <w:t xml:space="preserve">: i) este aplica a una </w:t>
      </w:r>
      <w:r w:rsidRPr="00417E03">
        <w:rPr>
          <w:rFonts w:ascii="Bookman Old Style" w:hAnsi="Bookman Old Style" w:cs="Arial"/>
          <w:spacing w:val="-5"/>
          <w:lang w:val="es-CO" w:eastAsia="en-US"/>
        </w:rPr>
        <w:t>persona jurídic</w:t>
      </w:r>
      <w:r w:rsidR="008B14A3" w:rsidRPr="00417E03">
        <w:rPr>
          <w:rFonts w:ascii="Bookman Old Style" w:hAnsi="Bookman Old Style" w:cs="Arial"/>
          <w:spacing w:val="-5"/>
          <w:lang w:val="es-CO" w:eastAsia="en-US"/>
        </w:rPr>
        <w:t>a que vende GLP importado a un d</w:t>
      </w:r>
      <w:r w:rsidRPr="00417E03">
        <w:rPr>
          <w:rFonts w:ascii="Bookman Old Style" w:hAnsi="Bookman Old Style" w:cs="Arial"/>
          <w:spacing w:val="-5"/>
          <w:lang w:val="es-CO" w:eastAsia="en-US"/>
        </w:rPr>
        <w:t>istribu</w:t>
      </w:r>
      <w:r w:rsidR="008B14A3" w:rsidRPr="00417E03">
        <w:rPr>
          <w:rFonts w:ascii="Bookman Old Style" w:hAnsi="Bookman Old Style" w:cs="Arial"/>
          <w:spacing w:val="-5"/>
          <w:lang w:val="es-CO" w:eastAsia="en-US"/>
        </w:rPr>
        <w:t>idor o</w:t>
      </w:r>
      <w:r w:rsidR="0003344C" w:rsidRPr="00417E03">
        <w:rPr>
          <w:rFonts w:ascii="Bookman Old Style" w:hAnsi="Bookman Old Style" w:cs="Arial"/>
          <w:spacing w:val="-5"/>
          <w:lang w:val="es-CO" w:eastAsia="en-US"/>
        </w:rPr>
        <w:t xml:space="preserve"> a un </w:t>
      </w:r>
      <w:r w:rsidR="008B14A3" w:rsidRPr="00417E03">
        <w:rPr>
          <w:rFonts w:ascii="Bookman Old Style" w:hAnsi="Bookman Old Style" w:cs="Arial"/>
          <w:spacing w:val="-5"/>
          <w:lang w:val="es-CO" w:eastAsia="en-US"/>
        </w:rPr>
        <w:t>usuario no regulado</w:t>
      </w:r>
      <w:r w:rsidR="0003344C" w:rsidRPr="00417E03">
        <w:rPr>
          <w:rFonts w:ascii="Bookman Old Style" w:hAnsi="Bookman Old Style" w:cs="Arial"/>
          <w:spacing w:val="-5"/>
          <w:lang w:val="es-CO" w:eastAsia="en-US"/>
        </w:rPr>
        <w:t>; ii) q</w:t>
      </w:r>
      <w:r w:rsidR="00E57B10" w:rsidRPr="00417E03">
        <w:rPr>
          <w:rFonts w:ascii="Bookman Old Style" w:hAnsi="Bookman Old Style" w:cs="Arial"/>
          <w:spacing w:val="-5"/>
          <w:lang w:val="es-CO" w:eastAsia="en-US"/>
        </w:rPr>
        <w:t>ue dentro de las obligaciones de los comercializadores mayoristas para la compra y venta de GLP</w:t>
      </w:r>
      <w:r w:rsidR="00595368" w:rsidRPr="00417E03">
        <w:rPr>
          <w:rFonts w:ascii="Bookman Old Style" w:hAnsi="Bookman Old Style" w:cs="Arial"/>
          <w:spacing w:val="-5"/>
          <w:lang w:val="es-CO" w:eastAsia="en-US"/>
        </w:rPr>
        <w:t xml:space="preserve"> de precio regulado</w:t>
      </w:r>
      <w:r w:rsidR="00E57B10" w:rsidRPr="00417E03">
        <w:rPr>
          <w:rFonts w:ascii="Bookman Old Style" w:hAnsi="Bookman Old Style" w:cs="Arial"/>
          <w:spacing w:val="-5"/>
          <w:lang w:val="es-CO" w:eastAsia="en-US"/>
        </w:rPr>
        <w:t xml:space="preserve"> se establece que estos deben ofrecerlo a través de una OPC, de la cual trata el artículo 11 y ajustada a las condiciones establecidas en el capítulo 3 de dicho reglamento.</w:t>
      </w:r>
    </w:p>
    <w:p w:rsidR="00A44522" w:rsidRPr="00417E03" w:rsidRDefault="00A44522" w:rsidP="00650F86">
      <w:pPr>
        <w:ind w:left="0"/>
        <w:jc w:val="both"/>
        <w:rPr>
          <w:rFonts w:ascii="Bookman Old Style" w:hAnsi="Bookman Old Style" w:cs="Arial"/>
          <w:spacing w:val="-5"/>
          <w:lang w:val="es-CO" w:eastAsia="en-US"/>
        </w:rPr>
      </w:pPr>
    </w:p>
    <w:p w:rsidR="004700B3" w:rsidRPr="00417E03" w:rsidRDefault="008B14A3" w:rsidP="004700B3">
      <w:pPr>
        <w:ind w:left="0"/>
        <w:jc w:val="both"/>
        <w:rPr>
          <w:rFonts w:ascii="Bookman Old Style" w:hAnsi="Bookman Old Style" w:cs="Arial"/>
          <w:spacing w:val="-5"/>
          <w:lang w:val="es-CO" w:eastAsia="en-US"/>
        </w:rPr>
      </w:pPr>
      <w:r w:rsidRPr="00417E03">
        <w:rPr>
          <w:rFonts w:ascii="Bookman Old Style" w:hAnsi="Bookman Old Style" w:cs="Arial"/>
          <w:spacing w:val="-5"/>
          <w:lang w:val="es-CO" w:eastAsia="en-US"/>
        </w:rPr>
        <w:t>De igual forma</w:t>
      </w:r>
      <w:r w:rsidR="004700B3" w:rsidRPr="00417E03">
        <w:rPr>
          <w:rFonts w:ascii="Bookman Old Style" w:hAnsi="Bookman Old Style" w:cs="Arial"/>
          <w:spacing w:val="-5"/>
          <w:lang w:val="es-CO" w:eastAsia="en-US"/>
        </w:rPr>
        <w:t xml:space="preserve">, dentro de las obligaciones de los comercializadores mayoristas en la entrega, manejo y medición del GLP, establecidas en el reglamento de comercialización mayorista, </w:t>
      </w:r>
      <w:r w:rsidR="0021028D">
        <w:rPr>
          <w:rFonts w:ascii="Bookman Old Style" w:hAnsi="Bookman Old Style" w:cs="Arial"/>
          <w:spacing w:val="-5"/>
          <w:lang w:val="es-CO" w:eastAsia="en-US"/>
        </w:rPr>
        <w:t xml:space="preserve">el artículo 7 de la </w:t>
      </w:r>
      <w:r w:rsidR="004700B3" w:rsidRPr="00417E03">
        <w:rPr>
          <w:rFonts w:ascii="Bookman Old Style" w:hAnsi="Bookman Old Style" w:cs="Arial"/>
          <w:spacing w:val="-5"/>
          <w:lang w:val="es-CO" w:eastAsia="en-US"/>
        </w:rPr>
        <w:t>Resolución CREG 053 de 2011,</w:t>
      </w:r>
      <w:r w:rsidR="0021028D">
        <w:rPr>
          <w:rFonts w:ascii="Bookman Old Style" w:hAnsi="Bookman Old Style" w:cs="Arial"/>
          <w:spacing w:val="-5"/>
          <w:lang w:val="es-CO" w:eastAsia="en-US"/>
        </w:rPr>
        <w:t xml:space="preserve"> modificado por el artículo 3 de la Resolución CREG 154 de 2014, </w:t>
      </w:r>
      <w:r w:rsidRPr="00417E03">
        <w:rPr>
          <w:rFonts w:ascii="Bookman Old Style" w:hAnsi="Bookman Old Style" w:cs="Arial"/>
          <w:spacing w:val="-5"/>
          <w:lang w:val="es-CO" w:eastAsia="en-US"/>
        </w:rPr>
        <w:t>dispuso que</w:t>
      </w:r>
      <w:r w:rsidR="004700B3" w:rsidRPr="00417E03">
        <w:rPr>
          <w:rFonts w:ascii="Bookman Old Style" w:hAnsi="Bookman Old Style" w:cs="Arial"/>
          <w:spacing w:val="-5"/>
          <w:lang w:val="es-CO" w:eastAsia="en-US"/>
        </w:rPr>
        <w:t>:</w:t>
      </w:r>
    </w:p>
    <w:p w:rsidR="004700B3" w:rsidRPr="00417E03" w:rsidRDefault="004700B3" w:rsidP="004700B3">
      <w:pPr>
        <w:ind w:left="0"/>
        <w:contextualSpacing/>
        <w:jc w:val="both"/>
        <w:rPr>
          <w:rFonts w:ascii="Arial" w:hAnsi="Arial" w:cs="Arial"/>
          <w:spacing w:val="-5"/>
          <w:lang w:val="es-CO" w:eastAsia="en-US"/>
        </w:rPr>
      </w:pPr>
    </w:p>
    <w:p w:rsidR="004700B3" w:rsidRPr="0021028D" w:rsidRDefault="004700B3" w:rsidP="004700B3">
      <w:pPr>
        <w:spacing w:after="220"/>
        <w:ind w:left="284" w:right="284"/>
        <w:contextualSpacing/>
        <w:jc w:val="both"/>
        <w:rPr>
          <w:rFonts w:ascii="Bookman Old Style" w:hAnsi="Bookman Old Style" w:cs="Arial"/>
          <w:i/>
          <w:spacing w:val="-5"/>
          <w:sz w:val="22"/>
          <w:szCs w:val="22"/>
          <w:lang w:val="es-CO" w:eastAsia="en-US"/>
        </w:rPr>
      </w:pPr>
      <w:r w:rsidRPr="0021028D">
        <w:rPr>
          <w:rFonts w:ascii="Bookman Old Style" w:hAnsi="Bookman Old Style" w:cs="Arial"/>
          <w:i/>
          <w:spacing w:val="-5"/>
          <w:sz w:val="22"/>
          <w:szCs w:val="22"/>
          <w:lang w:val="es-CO" w:eastAsia="en-US"/>
        </w:rPr>
        <w:t xml:space="preserve">“(…) ARTÍCULO 7. OBLIGACIONES DE LOS COMERCIALIZADORES MAYORISTAS EN LA ENTREGA, MANEJO Y MEDICIÓN DEL GLP. </w:t>
      </w:r>
    </w:p>
    <w:p w:rsidR="004700B3" w:rsidRPr="0021028D" w:rsidRDefault="004700B3" w:rsidP="004700B3">
      <w:pPr>
        <w:spacing w:after="220"/>
        <w:ind w:left="284" w:right="284"/>
        <w:contextualSpacing/>
        <w:jc w:val="both"/>
        <w:rPr>
          <w:rFonts w:ascii="Bookman Old Style" w:hAnsi="Bookman Old Style" w:cs="Arial"/>
          <w:i/>
          <w:spacing w:val="-5"/>
          <w:sz w:val="22"/>
          <w:szCs w:val="22"/>
          <w:lang w:val="es-CO" w:eastAsia="en-US"/>
        </w:rPr>
      </w:pPr>
      <w:r w:rsidRPr="0021028D">
        <w:rPr>
          <w:rFonts w:ascii="Bookman Old Style" w:hAnsi="Bookman Old Style" w:cs="Arial"/>
          <w:i/>
          <w:spacing w:val="-5"/>
          <w:sz w:val="22"/>
          <w:szCs w:val="22"/>
          <w:lang w:val="es-CO" w:eastAsia="en-US"/>
        </w:rPr>
        <w:t>Es responsabilidad de los comercializadores mayoristas entregar el GLP de acuerdo con las condiciones pactadas en los contratos de suministro, sujeto a las siguientes obligaciones:</w:t>
      </w:r>
    </w:p>
    <w:p w:rsidR="004700B3" w:rsidRPr="0021028D" w:rsidRDefault="004700B3" w:rsidP="004700B3">
      <w:pPr>
        <w:spacing w:after="220"/>
        <w:ind w:left="284" w:right="284"/>
        <w:contextualSpacing/>
        <w:jc w:val="both"/>
        <w:rPr>
          <w:rFonts w:ascii="Bookman Old Style" w:hAnsi="Bookman Old Style" w:cs="Arial"/>
          <w:i/>
          <w:spacing w:val="-5"/>
          <w:sz w:val="22"/>
          <w:szCs w:val="22"/>
          <w:lang w:val="es-CO" w:eastAsia="en-US"/>
        </w:rPr>
      </w:pPr>
    </w:p>
    <w:p w:rsidR="004700B3" w:rsidRPr="0021028D" w:rsidRDefault="004700B3" w:rsidP="004700B3">
      <w:pPr>
        <w:spacing w:after="220"/>
        <w:ind w:left="284" w:right="284"/>
        <w:contextualSpacing/>
        <w:jc w:val="both"/>
        <w:rPr>
          <w:rFonts w:ascii="Bookman Old Style" w:hAnsi="Bookman Old Style" w:cs="Arial"/>
          <w:i/>
          <w:spacing w:val="-5"/>
          <w:sz w:val="22"/>
          <w:szCs w:val="22"/>
          <w:lang w:val="es-CO" w:eastAsia="en-US"/>
        </w:rPr>
      </w:pPr>
      <w:r w:rsidRPr="0021028D">
        <w:rPr>
          <w:rFonts w:ascii="Bookman Old Style" w:hAnsi="Bookman Old Style" w:cs="Arial"/>
          <w:i/>
          <w:spacing w:val="-5"/>
          <w:sz w:val="22"/>
          <w:szCs w:val="22"/>
          <w:lang w:val="es-CO" w:eastAsia="en-US"/>
        </w:rPr>
        <w:t>a.</w:t>
      </w:r>
      <w:r w:rsidRPr="0021028D">
        <w:rPr>
          <w:rFonts w:ascii="Bookman Old Style" w:hAnsi="Bookman Old Style" w:cs="Arial"/>
          <w:i/>
          <w:spacing w:val="-5"/>
          <w:sz w:val="22"/>
          <w:szCs w:val="22"/>
          <w:lang w:val="es-CO" w:eastAsia="en-US"/>
        </w:rPr>
        <w:tab/>
        <w:t>Entregar el producto a sus compradores en el punto de entrega establecido en el contrato de suministro, el cual corresponde a:</w:t>
      </w:r>
    </w:p>
    <w:p w:rsidR="004700B3" w:rsidRPr="0021028D" w:rsidRDefault="004700B3" w:rsidP="004700B3">
      <w:pPr>
        <w:spacing w:after="220"/>
        <w:ind w:left="284" w:right="284"/>
        <w:contextualSpacing/>
        <w:jc w:val="both"/>
        <w:rPr>
          <w:rFonts w:ascii="Bookman Old Style" w:hAnsi="Bookman Old Style" w:cs="Arial"/>
          <w:i/>
          <w:spacing w:val="-5"/>
          <w:sz w:val="22"/>
          <w:szCs w:val="22"/>
          <w:lang w:val="es-CO" w:eastAsia="en-US"/>
        </w:rPr>
      </w:pPr>
    </w:p>
    <w:p w:rsidR="004700B3" w:rsidRPr="0021028D" w:rsidRDefault="004700B3" w:rsidP="004700B3">
      <w:pPr>
        <w:spacing w:after="220"/>
        <w:ind w:left="284" w:right="284"/>
        <w:contextualSpacing/>
        <w:jc w:val="both"/>
        <w:rPr>
          <w:rFonts w:ascii="Bookman Old Style" w:hAnsi="Bookman Old Style" w:cs="Arial"/>
          <w:i/>
          <w:spacing w:val="-5"/>
          <w:sz w:val="22"/>
          <w:szCs w:val="22"/>
          <w:lang w:val="es-CO" w:eastAsia="en-US"/>
        </w:rPr>
      </w:pPr>
      <w:r w:rsidRPr="0021028D">
        <w:rPr>
          <w:rFonts w:ascii="Bookman Old Style" w:hAnsi="Bookman Old Style" w:cs="Arial"/>
          <w:i/>
          <w:spacing w:val="-5"/>
          <w:sz w:val="22"/>
          <w:szCs w:val="22"/>
          <w:lang w:val="es-CO" w:eastAsia="en-US"/>
        </w:rPr>
        <w:t>1.</w:t>
      </w:r>
      <w:r w:rsidRPr="0021028D">
        <w:rPr>
          <w:rFonts w:ascii="Bookman Old Style" w:hAnsi="Bookman Old Style" w:cs="Arial"/>
          <w:i/>
          <w:spacing w:val="-5"/>
          <w:sz w:val="22"/>
          <w:szCs w:val="22"/>
          <w:lang w:val="es-CO" w:eastAsia="en-US"/>
        </w:rPr>
        <w:tab/>
        <w:t>El punto de producción. Para el producto de producción nacional, el punto de producción se constituye en el punto de entrega, a menos que se haya pactado la opción de entrega prevista en el numeral 3 de este literal.</w:t>
      </w:r>
    </w:p>
    <w:p w:rsidR="004700B3" w:rsidRPr="0021028D" w:rsidRDefault="004700B3" w:rsidP="004700B3">
      <w:pPr>
        <w:spacing w:after="220"/>
        <w:ind w:left="284" w:right="284"/>
        <w:contextualSpacing/>
        <w:jc w:val="both"/>
        <w:rPr>
          <w:rFonts w:ascii="Bookman Old Style" w:hAnsi="Bookman Old Style" w:cs="Arial"/>
          <w:i/>
          <w:spacing w:val="-5"/>
          <w:sz w:val="22"/>
          <w:szCs w:val="22"/>
          <w:lang w:val="es-CO" w:eastAsia="en-US"/>
        </w:rPr>
      </w:pPr>
      <w:r w:rsidRPr="0021028D">
        <w:rPr>
          <w:rFonts w:ascii="Bookman Old Style" w:hAnsi="Bookman Old Style" w:cs="Arial"/>
          <w:i/>
          <w:spacing w:val="-5"/>
          <w:sz w:val="22"/>
          <w:szCs w:val="22"/>
          <w:lang w:val="es-CO" w:eastAsia="en-US"/>
        </w:rPr>
        <w:t>2.</w:t>
      </w:r>
      <w:r w:rsidRPr="0021028D">
        <w:rPr>
          <w:rFonts w:ascii="Bookman Old Style" w:hAnsi="Bookman Old Style" w:cs="Arial"/>
          <w:i/>
          <w:spacing w:val="-5"/>
          <w:sz w:val="22"/>
          <w:szCs w:val="22"/>
          <w:lang w:val="es-CO" w:eastAsia="en-US"/>
        </w:rPr>
        <w:tab/>
        <w:t>El punto de importación.</w:t>
      </w:r>
    </w:p>
    <w:p w:rsidR="004700B3" w:rsidRPr="0021028D" w:rsidRDefault="004700B3" w:rsidP="004700B3">
      <w:pPr>
        <w:spacing w:after="220"/>
        <w:ind w:left="284" w:right="284"/>
        <w:contextualSpacing/>
        <w:jc w:val="both"/>
        <w:rPr>
          <w:rFonts w:ascii="Bookman Old Style" w:hAnsi="Bookman Old Style" w:cs="Arial"/>
          <w:i/>
          <w:spacing w:val="-5"/>
          <w:sz w:val="22"/>
          <w:szCs w:val="22"/>
          <w:lang w:val="es-CO" w:eastAsia="en-US"/>
        </w:rPr>
      </w:pPr>
      <w:r w:rsidRPr="0021028D">
        <w:rPr>
          <w:rFonts w:ascii="Bookman Old Style" w:hAnsi="Bookman Old Style" w:cs="Arial"/>
          <w:i/>
          <w:spacing w:val="-5"/>
          <w:sz w:val="22"/>
          <w:szCs w:val="22"/>
          <w:lang w:val="es-CO" w:eastAsia="en-US"/>
        </w:rPr>
        <w:t>3.</w:t>
      </w:r>
      <w:r w:rsidRPr="0021028D">
        <w:rPr>
          <w:rFonts w:ascii="Bookman Old Style" w:hAnsi="Bookman Old Style" w:cs="Arial"/>
          <w:i/>
          <w:spacing w:val="-5"/>
          <w:sz w:val="22"/>
          <w:szCs w:val="22"/>
          <w:lang w:val="es-CO" w:eastAsia="en-US"/>
        </w:rPr>
        <w:tab/>
        <w:t xml:space="preserve">El punto de recibo del transportador, cuando así lo acuerden las partes en el contrato de suministro, para los casos en que el punto de entrega del comercializador mayorista, de los descritos en los numerales 1 y 2 anteriores, esté conectado al sistema de transporte y el comprador tenga un contrato de transporte con el transportador. </w:t>
      </w:r>
    </w:p>
    <w:p w:rsidR="004700B3" w:rsidRPr="0021028D" w:rsidRDefault="004700B3" w:rsidP="004700B3">
      <w:pPr>
        <w:ind w:left="284" w:right="284"/>
        <w:contextualSpacing/>
        <w:jc w:val="both"/>
        <w:rPr>
          <w:rFonts w:ascii="Bookman Old Style" w:hAnsi="Bookman Old Style" w:cs="Arial"/>
          <w:i/>
          <w:spacing w:val="-5"/>
          <w:sz w:val="22"/>
          <w:szCs w:val="22"/>
          <w:lang w:val="es-CO" w:eastAsia="en-US"/>
        </w:rPr>
      </w:pPr>
      <w:r w:rsidRPr="0021028D">
        <w:rPr>
          <w:rFonts w:ascii="Bookman Old Style" w:hAnsi="Bookman Old Style" w:cs="Arial"/>
          <w:i/>
          <w:spacing w:val="-5"/>
          <w:sz w:val="22"/>
          <w:szCs w:val="22"/>
          <w:lang w:val="es-CO" w:eastAsia="en-US"/>
        </w:rPr>
        <w:t>4.</w:t>
      </w:r>
      <w:r w:rsidRPr="0021028D">
        <w:rPr>
          <w:rFonts w:ascii="Bookman Old Style" w:hAnsi="Bookman Old Style" w:cs="Arial"/>
          <w:i/>
          <w:spacing w:val="-5"/>
          <w:sz w:val="22"/>
          <w:szCs w:val="22"/>
          <w:lang w:val="es-CO" w:eastAsia="en-US"/>
        </w:rPr>
        <w:tab/>
        <w:t>El punto de entrega en el cual el comercializador mayorista tenga disponible el producto, cuando se trate de transacciones de producto con precio libre o cuando se trate de la entrega del comercializador mayorista a sus representados en la OPC. (…)”.</w:t>
      </w:r>
    </w:p>
    <w:p w:rsidR="003F6398" w:rsidRPr="00417E03" w:rsidRDefault="003F6398" w:rsidP="004700B3">
      <w:pPr>
        <w:ind w:left="0"/>
        <w:jc w:val="both"/>
        <w:rPr>
          <w:rFonts w:ascii="Bookman Old Style" w:hAnsi="Bookman Old Style" w:cs="Arial"/>
          <w:spacing w:val="-5"/>
          <w:lang w:val="es-CO" w:eastAsia="en-US"/>
        </w:rPr>
      </w:pPr>
    </w:p>
    <w:p w:rsidR="004700B3" w:rsidRPr="00417E03" w:rsidRDefault="008B14A3" w:rsidP="004700B3">
      <w:pPr>
        <w:ind w:left="0"/>
        <w:jc w:val="both"/>
        <w:rPr>
          <w:rFonts w:ascii="Bookman Old Style" w:hAnsi="Bookman Old Style" w:cs="Arial"/>
          <w:spacing w:val="-5"/>
          <w:lang w:val="es-CO" w:eastAsia="en-US"/>
        </w:rPr>
      </w:pPr>
      <w:r w:rsidRPr="00417E03">
        <w:rPr>
          <w:rFonts w:ascii="Bookman Old Style" w:hAnsi="Bookman Old Style" w:cs="Arial"/>
          <w:spacing w:val="-5"/>
          <w:lang w:val="es-CO" w:eastAsia="en-US"/>
        </w:rPr>
        <w:t>Es por esto que, s</w:t>
      </w:r>
      <w:r w:rsidR="004700B3" w:rsidRPr="00417E03">
        <w:rPr>
          <w:rFonts w:ascii="Bookman Old Style" w:hAnsi="Bookman Old Style" w:cs="Arial"/>
          <w:spacing w:val="-5"/>
          <w:lang w:val="es-CO" w:eastAsia="en-US"/>
        </w:rPr>
        <w:t>egún lo establecido en el reglamento de comercialización mayorista, la entrega de GLP por parte de Ecopetrol puede darse en uno de los puntos de entrega listados en los numerales 1 a 3 del literal a, del anterior artículo, toda vez que el GLP comercializado por este agente corresponde a producto con precio regulado.</w:t>
      </w:r>
      <w:r w:rsidR="008D486B" w:rsidRPr="00417E03">
        <w:rPr>
          <w:rFonts w:ascii="Bookman Old Style" w:hAnsi="Bookman Old Style" w:cs="Arial"/>
          <w:spacing w:val="-5"/>
          <w:lang w:val="es-CO" w:eastAsia="en-US"/>
        </w:rPr>
        <w:t xml:space="preserve"> En ese mismo sentido es</w:t>
      </w:r>
      <w:r w:rsidR="004700B3" w:rsidRPr="00417E03">
        <w:rPr>
          <w:rFonts w:ascii="Bookman Old Style" w:hAnsi="Bookman Old Style" w:cs="Arial"/>
          <w:spacing w:val="-5"/>
          <w:lang w:val="es-CO" w:eastAsia="en-US"/>
        </w:rPr>
        <w:t xml:space="preserve"> obligación del comercializador mayorista efectuar la entrega del GLP en el punto de entra acordado en el contrato de suministro.</w:t>
      </w:r>
    </w:p>
    <w:p w:rsidR="00A44522" w:rsidRPr="00417E03" w:rsidRDefault="00A44522" w:rsidP="00650F86">
      <w:pPr>
        <w:ind w:left="0"/>
        <w:jc w:val="both"/>
        <w:rPr>
          <w:rFonts w:ascii="Bookman Old Style" w:hAnsi="Bookman Old Style" w:cs="Arial"/>
          <w:spacing w:val="-5"/>
          <w:lang w:val="es-CO" w:eastAsia="en-US"/>
        </w:rPr>
      </w:pPr>
    </w:p>
    <w:p w:rsidR="002A7E18" w:rsidRPr="00417E03" w:rsidRDefault="00D12CCC" w:rsidP="00C07899">
      <w:pPr>
        <w:ind w:left="0"/>
        <w:contextualSpacing/>
        <w:jc w:val="both"/>
        <w:rPr>
          <w:rFonts w:ascii="Bookman Old Style" w:hAnsi="Bookman Old Style"/>
          <w:lang w:val="es-CO"/>
        </w:rPr>
      </w:pPr>
      <w:r w:rsidRPr="00417E03">
        <w:rPr>
          <w:rFonts w:ascii="Bookman Old Style" w:hAnsi="Bookman Old Style" w:cs="Arial"/>
          <w:spacing w:val="-5"/>
          <w:lang w:val="es-CO" w:eastAsia="en-US"/>
        </w:rPr>
        <w:t>Ahora bien</w:t>
      </w:r>
      <w:r w:rsidR="00D519E1" w:rsidRPr="00417E03">
        <w:rPr>
          <w:rFonts w:ascii="Bookman Old Style" w:hAnsi="Bookman Old Style"/>
          <w:lang w:val="es-CO"/>
        </w:rPr>
        <w:t xml:space="preserve">, </w:t>
      </w:r>
      <w:r w:rsidR="008D3D83" w:rsidRPr="00417E03">
        <w:rPr>
          <w:rFonts w:ascii="Bookman Old Style" w:hAnsi="Bookman Old Style"/>
          <w:lang w:val="es-CO"/>
        </w:rPr>
        <w:t>m</w:t>
      </w:r>
      <w:r w:rsidR="00CF339C" w:rsidRPr="00417E03">
        <w:rPr>
          <w:rFonts w:ascii="Bookman Old Style" w:hAnsi="Bookman Old Style"/>
          <w:lang w:val="es-CO"/>
        </w:rPr>
        <w:t xml:space="preserve">ediante comunicación </w:t>
      </w:r>
      <w:r w:rsidR="00680B6E" w:rsidRPr="00417E03">
        <w:rPr>
          <w:rFonts w:ascii="Bookman Old Style" w:hAnsi="Bookman Old Style"/>
          <w:lang w:val="es-CO"/>
        </w:rPr>
        <w:t xml:space="preserve">2-2016-093-25162 y de radicado CREG No. E-2016-009305 </w:t>
      </w:r>
      <w:r w:rsidR="002A7E18" w:rsidRPr="00417E03">
        <w:rPr>
          <w:rFonts w:ascii="Bookman Old Style" w:hAnsi="Bookman Old Style"/>
          <w:lang w:val="es-CO"/>
        </w:rPr>
        <w:t xml:space="preserve">Ecopetrol </w:t>
      </w:r>
      <w:r w:rsidR="00784EF6" w:rsidRPr="00417E03">
        <w:rPr>
          <w:rFonts w:ascii="Bookman Old Style" w:hAnsi="Bookman Old Style"/>
          <w:lang w:val="es-CO"/>
        </w:rPr>
        <w:t xml:space="preserve">informó </w:t>
      </w:r>
      <w:r w:rsidR="002A7E18" w:rsidRPr="00417E03">
        <w:rPr>
          <w:rFonts w:ascii="Bookman Old Style" w:hAnsi="Bookman Old Style"/>
          <w:lang w:val="es-CO"/>
        </w:rPr>
        <w:t>a la Comisión la ocurrencia de los siguientes eventos:</w:t>
      </w:r>
    </w:p>
    <w:p w:rsidR="006525B3" w:rsidRPr="00417E03" w:rsidRDefault="006525B3" w:rsidP="00C07899">
      <w:pPr>
        <w:ind w:left="0"/>
        <w:contextualSpacing/>
        <w:jc w:val="both"/>
        <w:rPr>
          <w:rFonts w:ascii="Bookman Old Style" w:hAnsi="Bookman Old Style"/>
          <w:lang w:val="es-CO"/>
        </w:rPr>
      </w:pPr>
    </w:p>
    <w:p w:rsidR="00D12CCC" w:rsidRPr="0021028D" w:rsidRDefault="006525B3" w:rsidP="00D12CCC">
      <w:pPr>
        <w:ind w:left="284" w:right="284"/>
        <w:contextualSpacing/>
        <w:jc w:val="both"/>
        <w:rPr>
          <w:rFonts w:ascii="Bookman Old Style" w:hAnsi="Bookman Old Style"/>
          <w:i/>
          <w:sz w:val="22"/>
          <w:szCs w:val="22"/>
          <w:lang w:val="es-CO"/>
        </w:rPr>
      </w:pPr>
      <w:r w:rsidRPr="0021028D">
        <w:rPr>
          <w:rFonts w:ascii="Bookman Old Style" w:hAnsi="Bookman Old Style"/>
          <w:i/>
          <w:sz w:val="22"/>
          <w:szCs w:val="22"/>
          <w:lang w:val="es-CO"/>
        </w:rPr>
        <w:t>“</w:t>
      </w:r>
      <w:r w:rsidR="00D12CCC" w:rsidRPr="0021028D">
        <w:rPr>
          <w:rFonts w:ascii="Bookman Old Style" w:hAnsi="Bookman Old Style"/>
          <w:i/>
          <w:sz w:val="22"/>
          <w:szCs w:val="22"/>
          <w:lang w:val="es-CO"/>
        </w:rPr>
        <w:t>(…) Por las razones ampliamente conocidas por ustedes y por el MME, la Refinería de Cartagena no dispone en este momento del almacenamiento requerido para realizar una importación de GLP por el Muelle de la Refinería. Ecopetrol pensando en una alternativa de corto plazo, ha realizado varias consultas en el mercado en donde podría ser viable realizar la siguiente operación:</w:t>
      </w:r>
    </w:p>
    <w:p w:rsidR="00D12CCC" w:rsidRPr="0021028D" w:rsidRDefault="00D12CCC" w:rsidP="00D12CCC">
      <w:pPr>
        <w:ind w:left="284" w:right="284"/>
        <w:contextualSpacing/>
        <w:jc w:val="both"/>
        <w:rPr>
          <w:rFonts w:ascii="Bookman Old Style" w:hAnsi="Bookman Old Style"/>
          <w:i/>
          <w:sz w:val="22"/>
          <w:szCs w:val="22"/>
          <w:lang w:val="es-CO"/>
        </w:rPr>
      </w:pPr>
    </w:p>
    <w:p w:rsidR="00D12CCC" w:rsidRPr="0021028D" w:rsidRDefault="00D12CCC" w:rsidP="00D12CCC">
      <w:pPr>
        <w:ind w:left="284" w:right="284"/>
        <w:contextualSpacing/>
        <w:jc w:val="both"/>
        <w:rPr>
          <w:rFonts w:ascii="Bookman Old Style" w:hAnsi="Bookman Old Style"/>
          <w:i/>
          <w:sz w:val="22"/>
          <w:szCs w:val="22"/>
          <w:lang w:val="es-CO"/>
        </w:rPr>
      </w:pPr>
      <w:r w:rsidRPr="0021028D">
        <w:rPr>
          <w:rFonts w:ascii="Bookman Old Style" w:hAnsi="Bookman Old Style"/>
          <w:i/>
          <w:sz w:val="22"/>
          <w:szCs w:val="22"/>
          <w:lang w:val="es-CO"/>
        </w:rPr>
        <w:t>•</w:t>
      </w:r>
      <w:r w:rsidRPr="0021028D">
        <w:rPr>
          <w:rFonts w:ascii="Bookman Old Style" w:hAnsi="Bookman Old Style"/>
          <w:i/>
          <w:sz w:val="22"/>
          <w:szCs w:val="22"/>
          <w:lang w:val="es-CO"/>
        </w:rPr>
        <w:tab/>
        <w:t>Importación por Barranquilla o Cartagena, lugares en los que se cuenta con puntos de importación en Muelles habilitados, en instalaciones de terceros.</w:t>
      </w:r>
    </w:p>
    <w:p w:rsidR="00D12CCC" w:rsidRPr="0021028D" w:rsidRDefault="00D12CCC" w:rsidP="00D12CCC">
      <w:pPr>
        <w:ind w:left="284" w:right="284"/>
        <w:contextualSpacing/>
        <w:jc w:val="both"/>
        <w:rPr>
          <w:rFonts w:ascii="Bookman Old Style" w:hAnsi="Bookman Old Style"/>
          <w:i/>
          <w:sz w:val="22"/>
          <w:szCs w:val="22"/>
          <w:lang w:val="es-CO"/>
        </w:rPr>
      </w:pPr>
      <w:r w:rsidRPr="0021028D">
        <w:rPr>
          <w:rFonts w:ascii="Bookman Old Style" w:hAnsi="Bookman Old Style"/>
          <w:i/>
          <w:sz w:val="22"/>
          <w:szCs w:val="22"/>
          <w:lang w:val="es-CO"/>
        </w:rPr>
        <w:t>•</w:t>
      </w:r>
      <w:r w:rsidRPr="0021028D">
        <w:rPr>
          <w:rFonts w:ascii="Bookman Old Style" w:hAnsi="Bookman Old Style"/>
          <w:i/>
          <w:sz w:val="22"/>
          <w:szCs w:val="22"/>
          <w:lang w:val="es-CO"/>
        </w:rPr>
        <w:tab/>
        <w:t>Realizar un trasiego de manera directa de buque tanque a barcaza, esto teniendo en cuenta que no hay estructura de almacenamiento de GLP en ningún Puerto. Es de resaltar que de acuerdo con nuestras investigaciones solo existen habilitadas en el país tres barcazas cada una con una capacidad de 10.000 Barriles, por lo que el volumen máximo a importar sería del orden de 30.000 Barriles, teniendo en cuenta que en un principio se alcanzaría a realizar un sólo viaje en el mes.</w:t>
      </w:r>
    </w:p>
    <w:p w:rsidR="00D12CCC" w:rsidRPr="0021028D" w:rsidRDefault="00D12CCC" w:rsidP="00D12CCC">
      <w:pPr>
        <w:ind w:left="284" w:right="284"/>
        <w:contextualSpacing/>
        <w:jc w:val="both"/>
        <w:rPr>
          <w:rFonts w:ascii="Bookman Old Style" w:hAnsi="Bookman Old Style"/>
          <w:i/>
          <w:sz w:val="22"/>
          <w:szCs w:val="22"/>
          <w:lang w:val="es-CO"/>
        </w:rPr>
      </w:pPr>
      <w:r w:rsidRPr="0021028D">
        <w:rPr>
          <w:rFonts w:ascii="Bookman Old Style" w:hAnsi="Bookman Old Style"/>
          <w:i/>
          <w:sz w:val="22"/>
          <w:szCs w:val="22"/>
          <w:lang w:val="es-CO"/>
        </w:rPr>
        <w:t>•</w:t>
      </w:r>
      <w:r w:rsidRPr="0021028D">
        <w:rPr>
          <w:rFonts w:ascii="Bookman Old Style" w:hAnsi="Bookman Old Style"/>
          <w:i/>
          <w:sz w:val="22"/>
          <w:szCs w:val="22"/>
          <w:lang w:val="es-CO"/>
        </w:rPr>
        <w:tab/>
        <w:t>Transportar el GLP por barcaza fluvial a la refinería de Barrancabermeja (de 7 a 10 días de transporte por el Rio Magdalena).</w:t>
      </w:r>
    </w:p>
    <w:p w:rsidR="00D12CCC" w:rsidRPr="0021028D" w:rsidRDefault="00D12CCC" w:rsidP="00D12CCC">
      <w:pPr>
        <w:ind w:left="284" w:right="284"/>
        <w:contextualSpacing/>
        <w:jc w:val="both"/>
        <w:rPr>
          <w:rFonts w:ascii="Bookman Old Style" w:hAnsi="Bookman Old Style"/>
          <w:i/>
          <w:sz w:val="22"/>
          <w:szCs w:val="22"/>
          <w:lang w:val="es-CO"/>
        </w:rPr>
      </w:pPr>
      <w:r w:rsidRPr="0021028D">
        <w:rPr>
          <w:rFonts w:ascii="Bookman Old Style" w:hAnsi="Bookman Old Style"/>
          <w:i/>
          <w:sz w:val="22"/>
          <w:szCs w:val="22"/>
          <w:lang w:val="es-CO"/>
        </w:rPr>
        <w:t>•</w:t>
      </w:r>
      <w:r w:rsidRPr="0021028D">
        <w:rPr>
          <w:rFonts w:ascii="Bookman Old Style" w:hAnsi="Bookman Old Style"/>
          <w:i/>
          <w:sz w:val="22"/>
          <w:szCs w:val="22"/>
          <w:lang w:val="es-CO"/>
        </w:rPr>
        <w:tab/>
        <w:t>Descargar en muelle fluvial de Refinería de Barrancabermeja y almacenamiento en tanques que podría adaptar para recibir GLP importado. Al muelle se le tendrían que realizar unas adecuaciones de defensas para recibo de barcazas y calibración de sistemas de medición (3 semanas aproximadamente).</w:t>
      </w:r>
    </w:p>
    <w:p w:rsidR="00D12CCC" w:rsidRPr="0021028D" w:rsidRDefault="00D12CCC" w:rsidP="00D12CCC">
      <w:pPr>
        <w:ind w:left="284" w:right="284"/>
        <w:contextualSpacing/>
        <w:jc w:val="both"/>
        <w:rPr>
          <w:rFonts w:ascii="Bookman Old Style" w:hAnsi="Bookman Old Style"/>
          <w:i/>
          <w:sz w:val="22"/>
          <w:szCs w:val="22"/>
          <w:lang w:val="es-CO"/>
        </w:rPr>
      </w:pPr>
      <w:r w:rsidRPr="0021028D">
        <w:rPr>
          <w:rFonts w:ascii="Bookman Old Style" w:hAnsi="Bookman Old Style"/>
          <w:i/>
          <w:sz w:val="22"/>
          <w:szCs w:val="22"/>
          <w:lang w:val="es-CO"/>
        </w:rPr>
        <w:t>•</w:t>
      </w:r>
      <w:r w:rsidRPr="0021028D">
        <w:rPr>
          <w:rFonts w:ascii="Bookman Old Style" w:hAnsi="Bookman Old Style"/>
          <w:i/>
          <w:sz w:val="22"/>
          <w:szCs w:val="22"/>
          <w:lang w:val="es-CO"/>
        </w:rPr>
        <w:tab/>
        <w:t>Entregar en malla de refinería de Barrancabermeja a los Clientes conectados al Sistema Nacional de Poliductos (a través de Cenit).</w:t>
      </w:r>
    </w:p>
    <w:p w:rsidR="00D12CCC" w:rsidRPr="0021028D" w:rsidRDefault="00D12CCC" w:rsidP="00D12CCC">
      <w:pPr>
        <w:ind w:left="284" w:right="284"/>
        <w:contextualSpacing/>
        <w:jc w:val="both"/>
        <w:rPr>
          <w:rFonts w:ascii="Bookman Old Style" w:hAnsi="Bookman Old Style"/>
          <w:i/>
          <w:sz w:val="22"/>
          <w:szCs w:val="22"/>
          <w:lang w:val="es-CO"/>
        </w:rPr>
      </w:pPr>
    </w:p>
    <w:p w:rsidR="00F01B75" w:rsidRPr="0021028D" w:rsidRDefault="00D12CCC" w:rsidP="00D12CCC">
      <w:pPr>
        <w:ind w:left="284" w:right="284"/>
        <w:contextualSpacing/>
        <w:jc w:val="both"/>
        <w:rPr>
          <w:rFonts w:ascii="Bookman Old Style" w:hAnsi="Bookman Old Style"/>
          <w:i/>
          <w:sz w:val="22"/>
          <w:szCs w:val="22"/>
          <w:lang w:val="es-CO"/>
        </w:rPr>
      </w:pPr>
      <w:r w:rsidRPr="0021028D">
        <w:rPr>
          <w:rFonts w:ascii="Bookman Old Style" w:hAnsi="Bookman Old Style"/>
          <w:i/>
          <w:sz w:val="22"/>
          <w:szCs w:val="22"/>
          <w:lang w:val="es-CO"/>
        </w:rPr>
        <w:t>La operación descrita anteriormente sería con GLP importado comprado por Ecopetrol puesto en Barrancabermeja y se ofrecería al mercado como una fuente nueva a través de una OPC de producto importado.</w:t>
      </w:r>
      <w:r w:rsidR="00F01B75" w:rsidRPr="0021028D">
        <w:rPr>
          <w:rFonts w:ascii="Bookman Old Style" w:hAnsi="Bookman Old Style"/>
          <w:i/>
          <w:sz w:val="22"/>
          <w:szCs w:val="22"/>
          <w:lang w:val="es-CO"/>
        </w:rPr>
        <w:t>”</w:t>
      </w:r>
      <w:r w:rsidRPr="0021028D">
        <w:rPr>
          <w:rFonts w:ascii="Bookman Old Style" w:hAnsi="Bookman Old Style"/>
          <w:sz w:val="22"/>
          <w:szCs w:val="22"/>
          <w:lang w:val="es-CO"/>
        </w:rPr>
        <w:t xml:space="preserve"> </w:t>
      </w:r>
    </w:p>
    <w:p w:rsidR="00F01B75" w:rsidRPr="00417E03" w:rsidRDefault="00F01B75" w:rsidP="00C07899">
      <w:pPr>
        <w:ind w:left="0"/>
        <w:contextualSpacing/>
        <w:jc w:val="both"/>
        <w:rPr>
          <w:rFonts w:ascii="Bookman Old Style" w:hAnsi="Bookman Old Style"/>
          <w:lang w:val="es-CO"/>
        </w:rPr>
      </w:pPr>
    </w:p>
    <w:p w:rsidR="00AC1C3C" w:rsidRPr="00417E03" w:rsidRDefault="008D486B" w:rsidP="008D486B">
      <w:pPr>
        <w:ind w:left="0"/>
        <w:jc w:val="both"/>
        <w:rPr>
          <w:rFonts w:ascii="Bookman Old Style" w:hAnsi="Bookman Old Style" w:cs="Arial"/>
          <w:spacing w:val="-5"/>
          <w:lang w:val="es-CO" w:eastAsia="en-US"/>
        </w:rPr>
      </w:pPr>
      <w:r w:rsidRPr="00417E03">
        <w:rPr>
          <w:rFonts w:ascii="Bookman Old Style" w:hAnsi="Bookman Old Style" w:cs="Arial"/>
          <w:spacing w:val="-5"/>
          <w:lang w:val="es-CO" w:eastAsia="en-US"/>
        </w:rPr>
        <w:t>De lo anteriormente expuesto</w:t>
      </w:r>
      <w:r w:rsidR="007C3AF7" w:rsidRPr="00417E03">
        <w:rPr>
          <w:rFonts w:ascii="Bookman Old Style" w:hAnsi="Bookman Old Style" w:cs="Arial"/>
          <w:spacing w:val="-5"/>
          <w:lang w:val="es-CO" w:eastAsia="en-US"/>
        </w:rPr>
        <w:t>,</w:t>
      </w:r>
      <w:r w:rsidR="009F2E71" w:rsidRPr="00417E03">
        <w:rPr>
          <w:rFonts w:ascii="Bookman Old Style" w:hAnsi="Bookman Old Style" w:cs="Arial"/>
          <w:spacing w:val="-5"/>
          <w:lang w:val="es-CO" w:eastAsia="en-US"/>
        </w:rPr>
        <w:t xml:space="preserve"> en relación con lo dispuesto en la regulación, tanto a nivel de precio</w:t>
      </w:r>
      <w:r w:rsidR="002014FB" w:rsidRPr="00417E03">
        <w:rPr>
          <w:rFonts w:ascii="Bookman Old Style" w:hAnsi="Bookman Old Style" w:cs="Arial"/>
          <w:spacing w:val="-5"/>
          <w:lang w:val="es-CO" w:eastAsia="en-US"/>
        </w:rPr>
        <w:t xml:space="preserve"> regulado</w:t>
      </w:r>
      <w:r w:rsidR="009F2E71" w:rsidRPr="00417E03">
        <w:rPr>
          <w:rFonts w:ascii="Bookman Old Style" w:hAnsi="Bookman Old Style" w:cs="Arial"/>
          <w:spacing w:val="-5"/>
          <w:lang w:val="es-CO" w:eastAsia="en-US"/>
        </w:rPr>
        <w:t xml:space="preserve"> atendiendo la metodología de costo de oportunidad, </w:t>
      </w:r>
      <w:r w:rsidR="007C3AF7" w:rsidRPr="00417E03">
        <w:rPr>
          <w:rFonts w:ascii="Bookman Old Style" w:hAnsi="Bookman Old Style" w:cs="Arial"/>
          <w:spacing w:val="-5"/>
          <w:lang w:val="es-CO" w:eastAsia="en-US"/>
        </w:rPr>
        <w:t xml:space="preserve">como </w:t>
      </w:r>
      <w:r w:rsidR="002014FB" w:rsidRPr="00417E03">
        <w:rPr>
          <w:rFonts w:ascii="Bookman Old Style" w:hAnsi="Bookman Old Style" w:cs="Arial"/>
          <w:spacing w:val="-5"/>
          <w:lang w:val="es-CO" w:eastAsia="en-US"/>
        </w:rPr>
        <w:t xml:space="preserve">con respecto a </w:t>
      </w:r>
      <w:r w:rsidR="009F2E71" w:rsidRPr="00417E03">
        <w:rPr>
          <w:rFonts w:ascii="Bookman Old Style" w:hAnsi="Bookman Old Style" w:cs="Arial"/>
          <w:spacing w:val="-5"/>
          <w:lang w:val="es-CO" w:eastAsia="en-US"/>
        </w:rPr>
        <w:t>los parámetros de conducta</w:t>
      </w:r>
      <w:r w:rsidR="002014FB" w:rsidRPr="00417E03">
        <w:rPr>
          <w:rFonts w:ascii="Bookman Old Style" w:hAnsi="Bookman Old Style" w:cs="Arial"/>
          <w:spacing w:val="-5"/>
          <w:lang w:val="es-CO" w:eastAsia="en-US"/>
        </w:rPr>
        <w:t>, mecanismos de comercialización</w:t>
      </w:r>
      <w:r w:rsidR="009F2E71" w:rsidRPr="00417E03">
        <w:rPr>
          <w:rFonts w:ascii="Bookman Old Style" w:hAnsi="Bookman Old Style" w:cs="Arial"/>
          <w:spacing w:val="-5"/>
          <w:lang w:val="es-CO" w:eastAsia="en-US"/>
        </w:rPr>
        <w:t xml:space="preserve"> y</w:t>
      </w:r>
      <w:r w:rsidR="002014FB" w:rsidRPr="00417E03">
        <w:rPr>
          <w:rFonts w:ascii="Bookman Old Style" w:hAnsi="Bookman Old Style" w:cs="Arial"/>
          <w:spacing w:val="-5"/>
          <w:lang w:val="es-CO" w:eastAsia="en-US"/>
        </w:rPr>
        <w:t xml:space="preserve"> las definiciones establecidas dentro de</w:t>
      </w:r>
      <w:r w:rsidR="009F2E71" w:rsidRPr="00417E03">
        <w:rPr>
          <w:rFonts w:ascii="Bookman Old Style" w:hAnsi="Bookman Old Style" w:cs="Arial"/>
          <w:spacing w:val="-5"/>
          <w:lang w:val="es-CO" w:eastAsia="en-US"/>
        </w:rPr>
        <w:t xml:space="preserve"> las actividades de comercialización mayorista y distribución de GLP, así como de lo manifestado por Ecopetrol en su comunicación, se establece por parte de esta Comisión la existencia de un nuevo evento</w:t>
      </w:r>
      <w:r w:rsidR="007C3AF7" w:rsidRPr="00417E03">
        <w:rPr>
          <w:rFonts w:ascii="Bookman Old Style" w:hAnsi="Bookman Old Style" w:cs="Arial"/>
          <w:spacing w:val="-5"/>
          <w:lang w:val="es-CO" w:eastAsia="en-US"/>
        </w:rPr>
        <w:t>,</w:t>
      </w:r>
      <w:r w:rsidR="0021028D">
        <w:rPr>
          <w:rFonts w:ascii="Bookman Old Style" w:hAnsi="Bookman Old Style" w:cs="Arial"/>
          <w:spacing w:val="-5"/>
          <w:lang w:val="es-CO" w:eastAsia="en-US"/>
        </w:rPr>
        <w:t xml:space="preserve"> no previsto en la regulación,</w:t>
      </w:r>
      <w:r w:rsidR="007C3AF7" w:rsidRPr="00417E03">
        <w:rPr>
          <w:rFonts w:ascii="Bookman Old Style" w:hAnsi="Bookman Old Style" w:cs="Arial"/>
          <w:spacing w:val="-5"/>
          <w:lang w:val="es-CO" w:eastAsia="en-US"/>
        </w:rPr>
        <w:t xml:space="preserve"> </w:t>
      </w:r>
      <w:r w:rsidR="004B79CA" w:rsidRPr="00417E03">
        <w:rPr>
          <w:rFonts w:ascii="Bookman Old Style" w:hAnsi="Bookman Old Style" w:cs="Arial"/>
          <w:spacing w:val="-5"/>
          <w:lang w:val="es-CO" w:eastAsia="en-US"/>
        </w:rPr>
        <w:t xml:space="preserve">que </w:t>
      </w:r>
      <w:r w:rsidR="007C3AF7" w:rsidRPr="00417E03">
        <w:rPr>
          <w:rFonts w:ascii="Bookman Old Style" w:hAnsi="Bookman Old Style" w:cs="Arial"/>
          <w:spacing w:val="-5"/>
          <w:lang w:val="es-CO" w:eastAsia="en-US"/>
        </w:rPr>
        <w:t xml:space="preserve">tampoco </w:t>
      </w:r>
      <w:r w:rsidR="004B79CA" w:rsidRPr="00417E03">
        <w:rPr>
          <w:rFonts w:ascii="Bookman Old Style" w:hAnsi="Bookman Old Style" w:cs="Arial"/>
          <w:spacing w:val="-5"/>
          <w:lang w:val="es-CO" w:eastAsia="en-US"/>
        </w:rPr>
        <w:t>cuenta con antecedente</w:t>
      </w:r>
      <w:r w:rsidR="007C3AF7" w:rsidRPr="00417E03">
        <w:rPr>
          <w:rFonts w:ascii="Bookman Old Style" w:hAnsi="Bookman Old Style" w:cs="Arial"/>
          <w:spacing w:val="-5"/>
          <w:lang w:val="es-CO" w:eastAsia="en-US"/>
        </w:rPr>
        <w:t>s</w:t>
      </w:r>
      <w:r w:rsidR="004B79CA" w:rsidRPr="00417E03">
        <w:rPr>
          <w:rFonts w:ascii="Bookman Old Style" w:hAnsi="Bookman Old Style" w:cs="Arial"/>
          <w:spacing w:val="-5"/>
          <w:lang w:val="es-CO" w:eastAsia="en-US"/>
        </w:rPr>
        <w:t xml:space="preserve"> hasta este momento, </w:t>
      </w:r>
      <w:r w:rsidR="009F2E71" w:rsidRPr="00417E03">
        <w:rPr>
          <w:rFonts w:ascii="Bookman Old Style" w:hAnsi="Bookman Old Style" w:cs="Arial"/>
          <w:spacing w:val="-5"/>
          <w:lang w:val="es-CO" w:eastAsia="en-US"/>
        </w:rPr>
        <w:t>en relación con la definición de un costo de oportunidad para un GLP importado</w:t>
      </w:r>
      <w:r w:rsidR="007C3AF7" w:rsidRPr="00417E03">
        <w:rPr>
          <w:rFonts w:ascii="Bookman Old Style" w:hAnsi="Bookman Old Style" w:cs="Arial"/>
          <w:spacing w:val="-5"/>
          <w:lang w:val="es-CO" w:eastAsia="en-US"/>
        </w:rPr>
        <w:t>,</w:t>
      </w:r>
      <w:r w:rsidR="009F2E71" w:rsidRPr="00417E03">
        <w:rPr>
          <w:rFonts w:ascii="Bookman Old Style" w:hAnsi="Bookman Old Style" w:cs="Arial"/>
          <w:spacing w:val="-5"/>
          <w:lang w:val="es-CO" w:eastAsia="en-US"/>
        </w:rPr>
        <w:t xml:space="preserve"> comercializado por el comercializador mayorista </w:t>
      </w:r>
      <w:r w:rsidR="004B79CA" w:rsidRPr="00417E03">
        <w:rPr>
          <w:rFonts w:ascii="Bookman Old Style" w:hAnsi="Bookman Old Style" w:cs="Arial"/>
          <w:spacing w:val="-5"/>
          <w:lang w:val="es-CO" w:eastAsia="en-US"/>
        </w:rPr>
        <w:t>con</w:t>
      </w:r>
      <w:r w:rsidR="009F2E71" w:rsidRPr="00417E03">
        <w:rPr>
          <w:rFonts w:ascii="Bookman Old Style" w:hAnsi="Bookman Old Style" w:cs="Arial"/>
          <w:spacing w:val="-5"/>
          <w:lang w:val="es-CO" w:eastAsia="en-US"/>
        </w:rPr>
        <w:t xml:space="preserve"> precio regulado y entregado en un punto diferente al punto de importación.</w:t>
      </w:r>
      <w:r w:rsidRPr="00417E03">
        <w:rPr>
          <w:rFonts w:ascii="Bookman Old Style" w:hAnsi="Bookman Old Style" w:cs="Arial"/>
          <w:spacing w:val="-5"/>
          <w:lang w:val="es-CO" w:eastAsia="en-US"/>
        </w:rPr>
        <w:t xml:space="preserve"> </w:t>
      </w:r>
    </w:p>
    <w:p w:rsidR="009F2E71" w:rsidRPr="00417E03" w:rsidRDefault="009F2E71" w:rsidP="008D486B">
      <w:pPr>
        <w:ind w:left="0"/>
        <w:jc w:val="both"/>
        <w:rPr>
          <w:rFonts w:ascii="Bookman Old Style" w:hAnsi="Bookman Old Style" w:cs="Arial"/>
          <w:spacing w:val="-5"/>
          <w:lang w:val="es-CO" w:eastAsia="en-US"/>
        </w:rPr>
      </w:pPr>
    </w:p>
    <w:p w:rsidR="008D486B" w:rsidRPr="00417E03" w:rsidRDefault="009F2E71" w:rsidP="008D486B">
      <w:pPr>
        <w:ind w:left="0"/>
        <w:jc w:val="both"/>
        <w:rPr>
          <w:rFonts w:ascii="Bookman Old Style" w:hAnsi="Bookman Old Style" w:cs="Arial"/>
          <w:spacing w:val="-5"/>
          <w:lang w:val="es-CO" w:eastAsia="en-US"/>
        </w:rPr>
      </w:pPr>
      <w:r w:rsidRPr="00417E03">
        <w:rPr>
          <w:rFonts w:ascii="Bookman Old Style" w:hAnsi="Bookman Old Style" w:cs="Arial"/>
          <w:spacing w:val="-5"/>
          <w:lang w:val="es-CO" w:eastAsia="en-US"/>
        </w:rPr>
        <w:t xml:space="preserve">Lo anterior, </w:t>
      </w:r>
      <w:r w:rsidR="00D268D5" w:rsidRPr="00417E03">
        <w:rPr>
          <w:rFonts w:ascii="Bookman Old Style" w:hAnsi="Bookman Old Style" w:cs="Arial"/>
          <w:spacing w:val="-5"/>
          <w:lang w:val="es-CO" w:eastAsia="en-US"/>
        </w:rPr>
        <w:t xml:space="preserve">toda vez que el evento </w:t>
      </w:r>
      <w:r w:rsidR="002014FB" w:rsidRPr="00417E03">
        <w:rPr>
          <w:rFonts w:ascii="Bookman Old Style" w:hAnsi="Bookman Old Style" w:cs="Arial"/>
          <w:spacing w:val="-5"/>
          <w:lang w:val="es-CO" w:eastAsia="en-US"/>
        </w:rPr>
        <w:t xml:space="preserve">que se encuentra previsto en </w:t>
      </w:r>
      <w:r w:rsidR="00D268D5" w:rsidRPr="00417E03">
        <w:rPr>
          <w:rFonts w:ascii="Bookman Old Style" w:hAnsi="Bookman Old Style" w:cs="Arial"/>
          <w:spacing w:val="-5"/>
          <w:lang w:val="es-CO" w:eastAsia="en-US"/>
        </w:rPr>
        <w:t xml:space="preserve">la regulación </w:t>
      </w:r>
      <w:r w:rsidR="004B79CA" w:rsidRPr="00417E03">
        <w:rPr>
          <w:rFonts w:ascii="Bookman Old Style" w:hAnsi="Bookman Old Style" w:cs="Arial"/>
          <w:spacing w:val="-5"/>
          <w:lang w:val="es-CO" w:eastAsia="en-US"/>
        </w:rPr>
        <w:t xml:space="preserve">y que difiere de la situación actual, </w:t>
      </w:r>
      <w:r w:rsidR="002014FB" w:rsidRPr="00417E03">
        <w:rPr>
          <w:rFonts w:ascii="Bookman Old Style" w:hAnsi="Bookman Old Style" w:cs="Arial"/>
          <w:spacing w:val="-5"/>
          <w:lang w:val="es-CO" w:eastAsia="en-US"/>
        </w:rPr>
        <w:t>corresponde a</w:t>
      </w:r>
      <w:r w:rsidR="008D486B" w:rsidRPr="00417E03">
        <w:rPr>
          <w:rFonts w:ascii="Bookman Old Style" w:hAnsi="Bookman Old Style" w:cs="Arial"/>
          <w:spacing w:val="-5"/>
          <w:lang w:val="es-CO" w:eastAsia="en-US"/>
        </w:rPr>
        <w:t xml:space="preserve">l precio regulado que aplica al GLP importado por Ecopetrol cuando el punto de entrega del producto corresponde al puerto colombiano de importación. </w:t>
      </w:r>
      <w:r w:rsidR="002014FB" w:rsidRPr="00417E03">
        <w:rPr>
          <w:rFonts w:ascii="Bookman Old Style" w:hAnsi="Bookman Old Style" w:cs="Arial"/>
          <w:spacing w:val="-5"/>
          <w:lang w:val="es-CO" w:eastAsia="en-US"/>
        </w:rPr>
        <w:t>Esto</w:t>
      </w:r>
      <w:r w:rsidR="008D486B" w:rsidRPr="00417E03">
        <w:rPr>
          <w:rFonts w:ascii="Bookman Old Style" w:hAnsi="Bookman Old Style" w:cs="Arial"/>
          <w:spacing w:val="-5"/>
          <w:lang w:val="es-CO" w:eastAsia="en-US"/>
        </w:rPr>
        <w:t>,</w:t>
      </w:r>
      <w:r w:rsidR="002014FB" w:rsidRPr="00417E03">
        <w:rPr>
          <w:rFonts w:ascii="Bookman Old Style" w:hAnsi="Bookman Old Style" w:cs="Arial"/>
          <w:spacing w:val="-5"/>
          <w:lang w:val="es-CO" w:eastAsia="en-US"/>
        </w:rPr>
        <w:t xml:space="preserve"> bajo la consideración </w:t>
      </w:r>
      <w:r w:rsidR="008D486B" w:rsidRPr="00417E03">
        <w:rPr>
          <w:rFonts w:ascii="Bookman Old Style" w:hAnsi="Bookman Old Style" w:cs="Arial"/>
          <w:spacing w:val="-5"/>
          <w:lang w:val="es-CO" w:eastAsia="en-US"/>
        </w:rPr>
        <w:t>que la señal de precio para la actividad de suministro de GLP tiene como objeto remunerar exclusivamente el costo del producto en el punto en el cual ingresa a la cadena del servicio público domiciliario de GLP, esto es, en uno de los puntos definidos como punto de entrega del comercializador mayorista.</w:t>
      </w:r>
      <w:r w:rsidR="00AC1C3C" w:rsidRPr="00417E03">
        <w:rPr>
          <w:rFonts w:ascii="Bookman Old Style" w:hAnsi="Bookman Old Style" w:cs="Arial"/>
          <w:spacing w:val="-5"/>
          <w:lang w:val="es-CO" w:eastAsia="en-US"/>
        </w:rPr>
        <w:t xml:space="preserve"> Sin perjuicio de lo anterior, la regulación si establece que dicho GLP corresponde a un GLP sujeto a la regulación de precio máximo atendiendo la metodología de costo de oportunidad, al ser un GLP importado y comercializado por Ecopetrol, de la misma forma que su </w:t>
      </w:r>
      <w:r w:rsidR="002E7D09" w:rsidRPr="00417E03">
        <w:rPr>
          <w:rFonts w:ascii="Bookman Old Style" w:hAnsi="Bookman Old Style" w:cs="Arial"/>
          <w:spacing w:val="-5"/>
          <w:lang w:val="es-CO" w:eastAsia="en-US"/>
        </w:rPr>
        <w:t>comercialización</w:t>
      </w:r>
      <w:r w:rsidR="00AC1C3C" w:rsidRPr="00417E03">
        <w:rPr>
          <w:rFonts w:ascii="Bookman Old Style" w:hAnsi="Bookman Old Style" w:cs="Arial"/>
          <w:spacing w:val="-5"/>
          <w:lang w:val="es-CO" w:eastAsia="en-US"/>
        </w:rPr>
        <w:t xml:space="preserve"> se sujeta a las reglas </w:t>
      </w:r>
      <w:r w:rsidR="0021028D">
        <w:rPr>
          <w:rFonts w:ascii="Bookman Old Style" w:hAnsi="Bookman Old Style" w:cs="Arial"/>
          <w:spacing w:val="-5"/>
          <w:lang w:val="es-CO" w:eastAsia="en-US"/>
        </w:rPr>
        <w:t>y los mecanismos previsto</w:t>
      </w:r>
      <w:r w:rsidR="00AC1C3C" w:rsidRPr="00417E03">
        <w:rPr>
          <w:rFonts w:ascii="Bookman Old Style" w:hAnsi="Bookman Old Style" w:cs="Arial"/>
          <w:spacing w:val="-5"/>
          <w:lang w:val="es-CO" w:eastAsia="en-US"/>
        </w:rPr>
        <w:t xml:space="preserve">s en el reglamento de </w:t>
      </w:r>
      <w:r w:rsidR="002E7D09" w:rsidRPr="00417E03">
        <w:rPr>
          <w:rFonts w:ascii="Bookman Old Style" w:hAnsi="Bookman Old Style" w:cs="Arial"/>
          <w:spacing w:val="-5"/>
          <w:lang w:val="es-CO" w:eastAsia="en-US"/>
        </w:rPr>
        <w:t>comercialización</w:t>
      </w:r>
      <w:r w:rsidR="00AC1C3C" w:rsidRPr="00417E03">
        <w:rPr>
          <w:rFonts w:ascii="Bookman Old Style" w:hAnsi="Bookman Old Style" w:cs="Arial"/>
          <w:spacing w:val="-5"/>
          <w:lang w:val="es-CO" w:eastAsia="en-US"/>
        </w:rPr>
        <w:t xml:space="preserve"> mayorista.</w:t>
      </w:r>
    </w:p>
    <w:p w:rsidR="00AC1C3C" w:rsidRPr="00417E03" w:rsidRDefault="00AC1C3C" w:rsidP="008D486B">
      <w:pPr>
        <w:ind w:left="0"/>
        <w:jc w:val="both"/>
        <w:rPr>
          <w:rFonts w:ascii="Bookman Old Style" w:hAnsi="Bookman Old Style" w:cs="Arial"/>
          <w:spacing w:val="-5"/>
          <w:lang w:val="es-CO" w:eastAsia="en-US"/>
        </w:rPr>
      </w:pPr>
    </w:p>
    <w:p w:rsidR="00680B6E" w:rsidRPr="00417E03" w:rsidRDefault="0012180A" w:rsidP="00304AE0">
      <w:pPr>
        <w:ind w:left="0"/>
        <w:contextualSpacing/>
        <w:jc w:val="both"/>
        <w:rPr>
          <w:rFonts w:ascii="Bookman Old Style" w:hAnsi="Bookman Old Style"/>
          <w:lang w:val="es-CO"/>
        </w:rPr>
      </w:pPr>
      <w:r w:rsidRPr="00417E03">
        <w:rPr>
          <w:rFonts w:ascii="Bookman Old Style" w:hAnsi="Bookman Old Style"/>
          <w:lang w:val="es-CO"/>
        </w:rPr>
        <w:t>A</w:t>
      </w:r>
      <w:r w:rsidR="004B79CA" w:rsidRPr="00417E03">
        <w:rPr>
          <w:rFonts w:ascii="Bookman Old Style" w:hAnsi="Bookman Old Style"/>
          <w:lang w:val="es-CO"/>
        </w:rPr>
        <w:t>nte la existencia de este nuevo evento</w:t>
      </w:r>
      <w:r w:rsidR="002014FB" w:rsidRPr="00417E03">
        <w:rPr>
          <w:rFonts w:ascii="Bookman Old Style" w:hAnsi="Bookman Old Style"/>
          <w:lang w:val="es-CO"/>
        </w:rPr>
        <w:t>, atendiendo la</w:t>
      </w:r>
      <w:r w:rsidR="004B79CA" w:rsidRPr="00417E03">
        <w:rPr>
          <w:rFonts w:ascii="Bookman Old Style" w:hAnsi="Bookman Old Style"/>
          <w:lang w:val="es-CO"/>
        </w:rPr>
        <w:t xml:space="preserve"> forma en que se regula</w:t>
      </w:r>
      <w:r w:rsidR="002014FB" w:rsidRPr="00417E03">
        <w:rPr>
          <w:rFonts w:ascii="Bookman Old Style" w:hAnsi="Bookman Old Style"/>
          <w:lang w:val="es-CO"/>
        </w:rPr>
        <w:t xml:space="preserve"> actual</w:t>
      </w:r>
      <w:r w:rsidR="004B79CA" w:rsidRPr="00417E03">
        <w:rPr>
          <w:rFonts w:ascii="Bookman Old Style" w:hAnsi="Bookman Old Style"/>
          <w:lang w:val="es-CO"/>
        </w:rPr>
        <w:t>mente el precio del GLP</w:t>
      </w:r>
      <w:r w:rsidRPr="00417E03">
        <w:rPr>
          <w:rFonts w:ascii="Bookman Old Style" w:hAnsi="Bookman Old Style"/>
          <w:lang w:val="es-CO"/>
        </w:rPr>
        <w:t>,</w:t>
      </w:r>
      <w:r w:rsidR="004B79CA" w:rsidRPr="00417E03">
        <w:rPr>
          <w:rFonts w:ascii="Bookman Old Style" w:hAnsi="Bookman Old Style"/>
          <w:lang w:val="es-CO"/>
        </w:rPr>
        <w:t xml:space="preserve"> </w:t>
      </w:r>
      <w:r w:rsidRPr="00417E03">
        <w:rPr>
          <w:rFonts w:ascii="Bookman Old Style" w:hAnsi="Bookman Old Style"/>
          <w:lang w:val="es-CO"/>
        </w:rPr>
        <w:t>bajo un</w:t>
      </w:r>
      <w:r w:rsidR="00595368" w:rsidRPr="00417E03">
        <w:rPr>
          <w:rFonts w:ascii="Bookman Old Style" w:hAnsi="Bookman Old Style"/>
          <w:lang w:val="es-CO"/>
        </w:rPr>
        <w:t>a</w:t>
      </w:r>
      <w:r w:rsidRPr="00417E03">
        <w:rPr>
          <w:rFonts w:ascii="Bookman Old Style" w:hAnsi="Bookman Old Style"/>
          <w:lang w:val="es-CO"/>
        </w:rPr>
        <w:t xml:space="preserve"> </w:t>
      </w:r>
      <w:r w:rsidR="002014FB" w:rsidRPr="00417E03">
        <w:rPr>
          <w:rFonts w:ascii="Bookman Old Style" w:hAnsi="Bookman Old Style"/>
          <w:lang w:val="es-CO"/>
        </w:rPr>
        <w:t>metodología de costo de oportunidad</w:t>
      </w:r>
      <w:r w:rsidRPr="00417E03">
        <w:rPr>
          <w:rFonts w:ascii="Bookman Old Style" w:hAnsi="Bookman Old Style"/>
          <w:lang w:val="es-CO"/>
        </w:rPr>
        <w:t>,</w:t>
      </w:r>
      <w:r w:rsidR="0064318A" w:rsidRPr="00417E03">
        <w:rPr>
          <w:rFonts w:ascii="Bookman Old Style" w:hAnsi="Bookman Old Style"/>
          <w:lang w:val="es-CO"/>
        </w:rPr>
        <w:t xml:space="preserve"> </w:t>
      </w:r>
      <w:r w:rsidR="002014FB" w:rsidRPr="00417E03">
        <w:rPr>
          <w:rFonts w:ascii="Bookman Old Style" w:hAnsi="Bookman Old Style"/>
          <w:lang w:val="es-CO"/>
        </w:rPr>
        <w:t xml:space="preserve">y </w:t>
      </w:r>
      <w:r w:rsidRPr="00417E03">
        <w:rPr>
          <w:rFonts w:ascii="Bookman Old Style" w:hAnsi="Bookman Old Style"/>
          <w:lang w:val="es-CO"/>
        </w:rPr>
        <w:t xml:space="preserve">considerando </w:t>
      </w:r>
      <w:r w:rsidR="007766B2" w:rsidRPr="00417E03">
        <w:rPr>
          <w:rFonts w:ascii="Bookman Old Style" w:hAnsi="Bookman Old Style"/>
          <w:lang w:val="es-CO"/>
        </w:rPr>
        <w:t>que ha sido aprobada para consulta</w:t>
      </w:r>
      <w:r w:rsidR="00BD6AB5" w:rsidRPr="00417E03">
        <w:rPr>
          <w:rStyle w:val="Refdenotaalpie"/>
          <w:rFonts w:ascii="Bookman Old Style" w:hAnsi="Bookman Old Style"/>
          <w:lang w:val="es-CO"/>
        </w:rPr>
        <w:footnoteReference w:id="6"/>
      </w:r>
      <w:r w:rsidR="007766B2" w:rsidRPr="00417E03">
        <w:rPr>
          <w:rFonts w:ascii="Bookman Old Style" w:hAnsi="Bookman Old Style"/>
          <w:lang w:val="es-CO"/>
        </w:rPr>
        <w:t xml:space="preserve"> la nueva propuesta </w:t>
      </w:r>
      <w:r w:rsidR="007766B2" w:rsidRPr="00417E03">
        <w:rPr>
          <w:rFonts w:ascii="Bookman Old Style" w:hAnsi="Bookman Old Style"/>
          <w:lang w:val="es-CO"/>
        </w:rPr>
        <w:lastRenderedPageBreak/>
        <w:t xml:space="preserve">metodológica que reemplazará la regulación </w:t>
      </w:r>
      <w:r w:rsidR="004B79CA" w:rsidRPr="00417E03">
        <w:rPr>
          <w:rFonts w:ascii="Bookman Old Style" w:hAnsi="Bookman Old Style"/>
          <w:lang w:val="es-CO"/>
        </w:rPr>
        <w:t xml:space="preserve">de la comercialización mayorista </w:t>
      </w:r>
      <w:r w:rsidR="007766B2" w:rsidRPr="00417E03">
        <w:rPr>
          <w:rFonts w:ascii="Bookman Old Style" w:hAnsi="Bookman Old Style"/>
          <w:lang w:val="es-CO"/>
        </w:rPr>
        <w:t xml:space="preserve">prevista en las </w:t>
      </w:r>
      <w:r w:rsidR="004B79CA" w:rsidRPr="00417E03">
        <w:rPr>
          <w:rFonts w:ascii="Bookman Old Style" w:hAnsi="Bookman Old Style"/>
          <w:lang w:val="es-CO"/>
        </w:rPr>
        <w:t xml:space="preserve">resoluciones CREG 066 de 2007 y 053 de 2011, </w:t>
      </w:r>
      <w:r w:rsidRPr="00417E03">
        <w:rPr>
          <w:rFonts w:ascii="Bookman Old Style" w:hAnsi="Bookman Old Style"/>
          <w:lang w:val="es-CO"/>
        </w:rPr>
        <w:t xml:space="preserve">esta Comisión encuentra que </w:t>
      </w:r>
      <w:r w:rsidR="004B79CA" w:rsidRPr="00417E03">
        <w:rPr>
          <w:rFonts w:ascii="Bookman Old Style" w:hAnsi="Bookman Old Style"/>
          <w:lang w:val="es-CO"/>
        </w:rPr>
        <w:t>se deben expedir medidas de carácter transitorio</w:t>
      </w:r>
      <w:r w:rsidR="007766B2" w:rsidRPr="00417E03">
        <w:rPr>
          <w:rFonts w:ascii="Bookman Old Style" w:hAnsi="Bookman Old Style"/>
          <w:lang w:val="es-CO"/>
        </w:rPr>
        <w:t xml:space="preserve"> </w:t>
      </w:r>
      <w:r w:rsidR="00BD6AB5" w:rsidRPr="00417E03">
        <w:rPr>
          <w:rFonts w:ascii="Bookman Old Style" w:hAnsi="Bookman Old Style"/>
          <w:lang w:val="es-CO"/>
        </w:rPr>
        <w:t xml:space="preserve">en ejercicio de las funciones regulatorias previstas en los artículos 73 y 74.1 de la Ley 142 de 1994, </w:t>
      </w:r>
      <w:r w:rsidR="004B79CA" w:rsidRPr="00417E03">
        <w:rPr>
          <w:rFonts w:ascii="Bookman Old Style" w:hAnsi="Bookman Old Style"/>
          <w:lang w:val="es-CO"/>
        </w:rPr>
        <w:t>en relación con la definición de un costo de oportunidad del GLP importado</w:t>
      </w:r>
      <w:r w:rsidRPr="00417E03">
        <w:rPr>
          <w:rFonts w:ascii="Bookman Old Style" w:hAnsi="Bookman Old Style"/>
          <w:lang w:val="es-CO"/>
        </w:rPr>
        <w:t>,</w:t>
      </w:r>
      <w:r w:rsidR="004B79CA" w:rsidRPr="00417E03">
        <w:rPr>
          <w:rFonts w:ascii="Bookman Old Style" w:hAnsi="Bookman Old Style"/>
          <w:lang w:val="es-CO"/>
        </w:rPr>
        <w:t xml:space="preserve"> cuando el mismo </w:t>
      </w:r>
      <w:r w:rsidRPr="00417E03">
        <w:rPr>
          <w:rFonts w:ascii="Bookman Old Style" w:hAnsi="Bookman Old Style"/>
          <w:lang w:val="es-CO"/>
        </w:rPr>
        <w:t xml:space="preserve">está sujeto a un precio máximo regulado y es </w:t>
      </w:r>
      <w:r w:rsidR="004B79CA" w:rsidRPr="00417E03">
        <w:rPr>
          <w:rFonts w:ascii="Bookman Old Style" w:hAnsi="Bookman Old Style"/>
          <w:lang w:val="es-CO"/>
        </w:rPr>
        <w:t xml:space="preserve">entregado en un punto diferente al punto </w:t>
      </w:r>
      <w:r w:rsidR="00502358" w:rsidRPr="00417E03">
        <w:rPr>
          <w:rFonts w:ascii="Bookman Old Style" w:hAnsi="Bookman Old Style"/>
          <w:lang w:val="es-CO"/>
        </w:rPr>
        <w:t xml:space="preserve">de importación. </w:t>
      </w:r>
      <w:r w:rsidR="00BD6AB5" w:rsidRPr="00417E03">
        <w:rPr>
          <w:rFonts w:ascii="Bookman Old Style" w:hAnsi="Bookman Old Style"/>
          <w:lang w:val="es-CO"/>
        </w:rPr>
        <w:t>Dicha transitoriedad obedece a que este nuevo evento habrá de ser regulado de manera definitiva en la metodología que reemplace a las resoluciones CREG 066 de 2007 y 053 de 2011</w:t>
      </w:r>
      <w:r w:rsidR="00573DB0" w:rsidRPr="00417E03">
        <w:rPr>
          <w:rFonts w:ascii="Bookman Old Style" w:hAnsi="Bookman Old Style"/>
          <w:lang w:val="es-CO"/>
        </w:rPr>
        <w:t xml:space="preserve">; sin embargo, esta medida transitoria se debe expedir </w:t>
      </w:r>
      <w:r w:rsidR="00971A4C" w:rsidRPr="00417E03">
        <w:rPr>
          <w:rFonts w:ascii="Bookman Old Style" w:hAnsi="Bookman Old Style"/>
          <w:lang w:val="es-CO"/>
        </w:rPr>
        <w:t xml:space="preserve">atendiendo las facultades con las que cuenta esta Comisión en el marco de la Ley 142 de 1994 </w:t>
      </w:r>
      <w:r w:rsidR="00573DB0" w:rsidRPr="00417E03">
        <w:rPr>
          <w:rFonts w:ascii="Bookman Old Style" w:hAnsi="Bookman Old Style"/>
          <w:lang w:val="es-CO"/>
        </w:rPr>
        <w:t xml:space="preserve">dentro del marco </w:t>
      </w:r>
      <w:r w:rsidR="0064318A" w:rsidRPr="00417E03">
        <w:rPr>
          <w:rFonts w:ascii="Bookman Old Style" w:hAnsi="Bookman Old Style"/>
          <w:lang w:val="es-CO"/>
        </w:rPr>
        <w:t xml:space="preserve">y bajo los fines y objetivos previstos dentro </w:t>
      </w:r>
      <w:r w:rsidR="00573DB0" w:rsidRPr="00417E03">
        <w:rPr>
          <w:rFonts w:ascii="Bookman Old Style" w:hAnsi="Bookman Old Style"/>
          <w:lang w:val="es-CO"/>
        </w:rPr>
        <w:t>de la metodología actual de remuneración de precio máximo de GLP</w:t>
      </w:r>
      <w:r w:rsidR="00562E82" w:rsidRPr="00417E03">
        <w:rPr>
          <w:rFonts w:ascii="Bookman Old Style" w:hAnsi="Bookman Old Style"/>
          <w:lang w:val="es-CO"/>
        </w:rPr>
        <w:t>. Así mismo, la definici</w:t>
      </w:r>
      <w:r w:rsidR="004C4C98" w:rsidRPr="00417E03">
        <w:rPr>
          <w:rFonts w:ascii="Bookman Old Style" w:hAnsi="Bookman Old Style"/>
          <w:lang w:val="es-CO"/>
        </w:rPr>
        <w:t>ón de estos</w:t>
      </w:r>
      <w:r w:rsidR="00562E82" w:rsidRPr="00417E03">
        <w:rPr>
          <w:rFonts w:ascii="Bookman Old Style" w:hAnsi="Bookman Old Style"/>
          <w:lang w:val="es-CO"/>
        </w:rPr>
        <w:t xml:space="preserve"> costos debe atender parámetros competitivos como parte de la correcta aplicación de los criterios tarifarios previstos en el artículo 87 de la Ley 142 de 1994</w:t>
      </w:r>
      <w:r w:rsidR="004E692D" w:rsidRPr="00417E03">
        <w:rPr>
          <w:rFonts w:ascii="Bookman Old Style" w:hAnsi="Bookman Old Style"/>
          <w:lang w:val="es-CO"/>
        </w:rPr>
        <w:t>, ya sea que la importación se realice directamente o a través de un tercero</w:t>
      </w:r>
      <w:r w:rsidR="00562E82" w:rsidRPr="00417E03">
        <w:rPr>
          <w:rFonts w:ascii="Bookman Old Style" w:hAnsi="Bookman Old Style"/>
          <w:lang w:val="es-CO"/>
        </w:rPr>
        <w:t>.</w:t>
      </w:r>
    </w:p>
    <w:p w:rsidR="00680B6E" w:rsidRPr="00417E03" w:rsidRDefault="00680B6E" w:rsidP="00304AE0">
      <w:pPr>
        <w:ind w:left="0"/>
        <w:contextualSpacing/>
        <w:jc w:val="both"/>
        <w:rPr>
          <w:rFonts w:ascii="Bookman Old Style" w:hAnsi="Bookman Old Style"/>
          <w:lang w:val="es-CO"/>
        </w:rPr>
      </w:pPr>
    </w:p>
    <w:p w:rsidR="0064318A" w:rsidRPr="00417E03" w:rsidRDefault="00573DB0" w:rsidP="00304AE0">
      <w:pPr>
        <w:ind w:left="0"/>
        <w:contextualSpacing/>
        <w:jc w:val="both"/>
        <w:rPr>
          <w:rFonts w:ascii="Bookman Old Style" w:hAnsi="Bookman Old Style"/>
          <w:lang w:val="es-CO"/>
        </w:rPr>
      </w:pPr>
      <w:r w:rsidRPr="00417E03">
        <w:rPr>
          <w:rFonts w:ascii="Bookman Old Style" w:hAnsi="Bookman Old Style"/>
          <w:lang w:val="es-CO"/>
        </w:rPr>
        <w:t xml:space="preserve">Ahora bien, con respecto a </w:t>
      </w:r>
      <w:r w:rsidR="0026766F" w:rsidRPr="00417E03">
        <w:rPr>
          <w:rFonts w:ascii="Bookman Old Style" w:hAnsi="Bookman Old Style"/>
          <w:lang w:val="es-CO"/>
        </w:rPr>
        <w:t xml:space="preserve">la posibilidad de efectuar la </w:t>
      </w:r>
      <w:r w:rsidRPr="00417E03">
        <w:rPr>
          <w:rFonts w:ascii="Bookman Old Style" w:hAnsi="Bookman Old Style"/>
          <w:lang w:val="es-CO"/>
        </w:rPr>
        <w:t xml:space="preserve">importación </w:t>
      </w:r>
      <w:r w:rsidR="0026766F" w:rsidRPr="00417E03">
        <w:rPr>
          <w:rFonts w:ascii="Bookman Old Style" w:hAnsi="Bookman Old Style"/>
          <w:lang w:val="es-CO"/>
        </w:rPr>
        <w:t xml:space="preserve">de </w:t>
      </w:r>
      <w:r w:rsidRPr="00417E03">
        <w:rPr>
          <w:rFonts w:ascii="Bookman Old Style" w:hAnsi="Bookman Old Style"/>
          <w:lang w:val="es-CO"/>
        </w:rPr>
        <w:t>GLP</w:t>
      </w:r>
      <w:r w:rsidR="0026766F" w:rsidRPr="00417E03">
        <w:rPr>
          <w:rFonts w:ascii="Bookman Old Style" w:hAnsi="Bookman Old Style"/>
          <w:lang w:val="es-CO"/>
        </w:rPr>
        <w:t xml:space="preserve"> en los términos descritos por Ecopetrol en su comunicación 2-2016-093-25162</w:t>
      </w:r>
      <w:r w:rsidRPr="00417E03">
        <w:rPr>
          <w:rFonts w:ascii="Bookman Old Style" w:hAnsi="Bookman Old Style"/>
          <w:lang w:val="es-CO"/>
        </w:rPr>
        <w:t xml:space="preserve">, se debe tener en cuenta que </w:t>
      </w:r>
      <w:r w:rsidR="00595368" w:rsidRPr="00417E03">
        <w:rPr>
          <w:rFonts w:ascii="Bookman Old Style" w:hAnsi="Bookman Old Style"/>
          <w:lang w:val="es-CO"/>
        </w:rPr>
        <w:t xml:space="preserve">de acuerdo con el sondeo de mercado adelantado por esta empresa, existe </w:t>
      </w:r>
      <w:r w:rsidR="004F590D" w:rsidRPr="00417E03">
        <w:rPr>
          <w:rFonts w:ascii="Bookman Old Style" w:hAnsi="Bookman Old Style"/>
          <w:lang w:val="es-CO"/>
        </w:rPr>
        <w:t xml:space="preserve">disponibilidad </w:t>
      </w:r>
      <w:r w:rsidR="0026766F" w:rsidRPr="00417E03">
        <w:rPr>
          <w:rFonts w:ascii="Bookman Old Style" w:hAnsi="Bookman Old Style"/>
          <w:lang w:val="es-CO"/>
        </w:rPr>
        <w:t xml:space="preserve">de </w:t>
      </w:r>
      <w:r w:rsidR="00595368" w:rsidRPr="00417E03">
        <w:rPr>
          <w:rFonts w:ascii="Bookman Old Style" w:hAnsi="Bookman Old Style"/>
          <w:lang w:val="es-CO"/>
        </w:rPr>
        <w:t xml:space="preserve">parte de </w:t>
      </w:r>
      <w:r w:rsidR="004F590D" w:rsidRPr="00417E03">
        <w:rPr>
          <w:rFonts w:ascii="Bookman Old Style" w:hAnsi="Bookman Old Style"/>
          <w:lang w:val="es-CO"/>
        </w:rPr>
        <w:t xml:space="preserve">la demanda de </w:t>
      </w:r>
      <w:r w:rsidR="00595368" w:rsidRPr="00417E03">
        <w:rPr>
          <w:rFonts w:ascii="Bookman Old Style" w:hAnsi="Bookman Old Style"/>
          <w:lang w:val="es-CO"/>
        </w:rPr>
        <w:t xml:space="preserve">adquirir </w:t>
      </w:r>
      <w:r w:rsidR="0026766F" w:rsidRPr="00417E03">
        <w:rPr>
          <w:rFonts w:ascii="Bookman Old Style" w:hAnsi="Bookman Old Style"/>
          <w:lang w:val="es-CO"/>
        </w:rPr>
        <w:t xml:space="preserve">esta </w:t>
      </w:r>
      <w:r w:rsidR="004F590D" w:rsidRPr="00417E03">
        <w:rPr>
          <w:rFonts w:ascii="Bookman Old Style" w:hAnsi="Bookman Old Style"/>
          <w:lang w:val="es-CO"/>
        </w:rPr>
        <w:t>mayor oferta de producto, a fin de ser suministrado para el servicio público domiciliario</w:t>
      </w:r>
      <w:r w:rsidR="0064318A" w:rsidRPr="00417E03">
        <w:rPr>
          <w:rFonts w:ascii="Bookman Old Style" w:hAnsi="Bookman Old Style"/>
          <w:lang w:val="es-CO"/>
        </w:rPr>
        <w:t>, toda vez que existe una necesidad específica de la demanda en función de la coyuntura de suministro que se afronta actualmente el mercado de GLP</w:t>
      </w:r>
      <w:r w:rsidRPr="00417E03">
        <w:rPr>
          <w:rFonts w:ascii="Bookman Old Style" w:hAnsi="Bookman Old Style"/>
          <w:lang w:val="es-CO"/>
        </w:rPr>
        <w:t xml:space="preserve">. </w:t>
      </w:r>
    </w:p>
    <w:p w:rsidR="0064318A" w:rsidRPr="00417E03" w:rsidRDefault="0064318A" w:rsidP="00304AE0">
      <w:pPr>
        <w:ind w:left="0"/>
        <w:contextualSpacing/>
        <w:jc w:val="both"/>
        <w:rPr>
          <w:rFonts w:ascii="Bookman Old Style" w:hAnsi="Bookman Old Style"/>
          <w:lang w:val="es-CO"/>
        </w:rPr>
      </w:pPr>
    </w:p>
    <w:p w:rsidR="00D34271" w:rsidRPr="00417E03" w:rsidRDefault="00573DB0" w:rsidP="00304AE0">
      <w:pPr>
        <w:ind w:left="0"/>
        <w:contextualSpacing/>
        <w:jc w:val="both"/>
        <w:rPr>
          <w:rFonts w:ascii="Bookman Old Style" w:hAnsi="Bookman Old Style"/>
          <w:lang w:val="es-CO"/>
        </w:rPr>
      </w:pPr>
      <w:r w:rsidRPr="00417E03">
        <w:rPr>
          <w:rFonts w:ascii="Bookman Old Style" w:hAnsi="Bookman Old Style"/>
          <w:lang w:val="es-CO"/>
        </w:rPr>
        <w:t>En relación con lo anterior,</w:t>
      </w:r>
      <w:r w:rsidR="004F590D" w:rsidRPr="00417E03">
        <w:rPr>
          <w:rFonts w:ascii="Bookman Old Style" w:hAnsi="Bookman Old Style"/>
          <w:lang w:val="es-CO"/>
        </w:rPr>
        <w:t xml:space="preserve"> </w:t>
      </w:r>
      <w:r w:rsidR="00D34271" w:rsidRPr="00417E03">
        <w:rPr>
          <w:rFonts w:ascii="Bookman Old Style" w:hAnsi="Bookman Old Style"/>
          <w:lang w:val="es-CO"/>
        </w:rPr>
        <w:t xml:space="preserve">se advierte por parte de esta Comisión la pertinencia de establecer una serie de medidas regulatorias de carácter </w:t>
      </w:r>
      <w:r w:rsidR="00595368" w:rsidRPr="00417E03">
        <w:rPr>
          <w:rFonts w:ascii="Bookman Old Style" w:hAnsi="Bookman Old Style"/>
          <w:lang w:val="es-CO"/>
        </w:rPr>
        <w:t xml:space="preserve">excepcional </w:t>
      </w:r>
      <w:r w:rsidR="00D34271" w:rsidRPr="00417E03">
        <w:rPr>
          <w:rFonts w:ascii="Bookman Old Style" w:hAnsi="Bookman Old Style"/>
          <w:lang w:val="es-CO"/>
        </w:rPr>
        <w:t xml:space="preserve">y particular para la comercialización de </w:t>
      </w:r>
      <w:r w:rsidRPr="00417E03">
        <w:rPr>
          <w:rFonts w:ascii="Bookman Old Style" w:hAnsi="Bookman Old Style"/>
          <w:lang w:val="es-CO"/>
        </w:rPr>
        <w:t xml:space="preserve">estas </w:t>
      </w:r>
      <w:r w:rsidR="00D34271" w:rsidRPr="00417E03">
        <w:rPr>
          <w:rFonts w:ascii="Bookman Old Style" w:hAnsi="Bookman Old Style"/>
          <w:lang w:val="es-CO"/>
        </w:rPr>
        <w:t>cantidades de</w:t>
      </w:r>
      <w:r w:rsidR="004F590D" w:rsidRPr="00417E03">
        <w:rPr>
          <w:rFonts w:ascii="Bookman Old Style" w:hAnsi="Bookman Old Style"/>
          <w:lang w:val="es-CO"/>
        </w:rPr>
        <w:t>l</w:t>
      </w:r>
      <w:r w:rsidR="00D34271" w:rsidRPr="00417E03">
        <w:rPr>
          <w:rFonts w:ascii="Bookman Old Style" w:hAnsi="Bookman Old Style"/>
          <w:lang w:val="es-CO"/>
        </w:rPr>
        <w:t xml:space="preserve"> GLP </w:t>
      </w:r>
      <w:r w:rsidR="004F590D" w:rsidRPr="00417E03">
        <w:rPr>
          <w:rFonts w:ascii="Bookman Old Style" w:hAnsi="Bookman Old Style"/>
          <w:lang w:val="es-CO"/>
        </w:rPr>
        <w:t>importado</w:t>
      </w:r>
      <w:r w:rsidR="00D34271" w:rsidRPr="00417E03">
        <w:rPr>
          <w:rFonts w:ascii="Bookman Old Style" w:hAnsi="Bookman Old Style"/>
          <w:lang w:val="es-CO"/>
        </w:rPr>
        <w:t xml:space="preserve">, en relación con la </w:t>
      </w:r>
      <w:r w:rsidR="003A247C" w:rsidRPr="00417E03">
        <w:rPr>
          <w:rFonts w:ascii="Bookman Old Style" w:hAnsi="Bookman Old Style"/>
          <w:lang w:val="es-CO"/>
        </w:rPr>
        <w:t>vigencia de los contratos</w:t>
      </w:r>
      <w:r w:rsidR="0026766F" w:rsidRPr="00417E03">
        <w:rPr>
          <w:rFonts w:ascii="Bookman Old Style" w:hAnsi="Bookman Old Style"/>
          <w:lang w:val="es-CO"/>
        </w:rPr>
        <w:t xml:space="preserve"> de suministro que result</w:t>
      </w:r>
      <w:r w:rsidR="00595368" w:rsidRPr="00417E03">
        <w:rPr>
          <w:rFonts w:ascii="Bookman Old Style" w:hAnsi="Bookman Old Style"/>
          <w:lang w:val="es-CO"/>
        </w:rPr>
        <w:t>e</w:t>
      </w:r>
      <w:r w:rsidR="0026766F" w:rsidRPr="00417E03">
        <w:rPr>
          <w:rFonts w:ascii="Bookman Old Style" w:hAnsi="Bookman Old Style"/>
          <w:lang w:val="es-CO"/>
        </w:rPr>
        <w:t>n del mecanismo de OPC</w:t>
      </w:r>
      <w:r w:rsidR="003A247C" w:rsidRPr="00417E03">
        <w:rPr>
          <w:rFonts w:ascii="Bookman Old Style" w:hAnsi="Bookman Old Style"/>
          <w:lang w:val="es-CO"/>
        </w:rPr>
        <w:t>,</w:t>
      </w:r>
      <w:r w:rsidR="00D34271" w:rsidRPr="00417E03">
        <w:rPr>
          <w:rFonts w:ascii="Bookman Old Style" w:hAnsi="Bookman Old Style"/>
          <w:lang w:val="es-CO"/>
        </w:rPr>
        <w:t xml:space="preserve"> los plazos de publicación de las ofertas para la aplicación de</w:t>
      </w:r>
      <w:r w:rsidR="0026766F" w:rsidRPr="00417E03">
        <w:rPr>
          <w:rFonts w:ascii="Bookman Old Style" w:hAnsi="Bookman Old Style"/>
          <w:lang w:val="es-CO"/>
        </w:rPr>
        <w:t xml:space="preserve"> dicho</w:t>
      </w:r>
      <w:r w:rsidR="00D34271" w:rsidRPr="00417E03">
        <w:rPr>
          <w:rFonts w:ascii="Bookman Old Style" w:hAnsi="Bookman Old Style"/>
          <w:lang w:val="es-CO"/>
        </w:rPr>
        <w:t xml:space="preserve"> mecanismo</w:t>
      </w:r>
      <w:r w:rsidR="0026766F" w:rsidRPr="00417E03">
        <w:rPr>
          <w:rFonts w:ascii="Bookman Old Style" w:hAnsi="Bookman Old Style"/>
          <w:lang w:val="es-CO"/>
        </w:rPr>
        <w:t xml:space="preserve"> y la </w:t>
      </w:r>
      <w:r w:rsidR="003A247C" w:rsidRPr="00417E03">
        <w:rPr>
          <w:rFonts w:ascii="Bookman Old Style" w:hAnsi="Bookman Old Style"/>
          <w:lang w:val="es-CO"/>
        </w:rPr>
        <w:t xml:space="preserve">publicación de tarifas, </w:t>
      </w:r>
      <w:r w:rsidR="004F590D" w:rsidRPr="00417E03">
        <w:rPr>
          <w:rFonts w:ascii="Bookman Old Style" w:hAnsi="Bookman Old Style"/>
          <w:lang w:val="es-CO"/>
        </w:rPr>
        <w:t>aten</w:t>
      </w:r>
      <w:r w:rsidR="0026766F" w:rsidRPr="00417E03">
        <w:rPr>
          <w:rFonts w:ascii="Bookman Old Style" w:hAnsi="Bookman Old Style"/>
          <w:lang w:val="es-CO"/>
        </w:rPr>
        <w:t>d</w:t>
      </w:r>
      <w:r w:rsidR="004F590D" w:rsidRPr="00417E03">
        <w:rPr>
          <w:rFonts w:ascii="Bookman Old Style" w:hAnsi="Bookman Old Style"/>
          <w:lang w:val="es-CO"/>
        </w:rPr>
        <w:t xml:space="preserve">iendo las condiciones específicas en las que se ha de llevar a cabo dicha importación. </w:t>
      </w:r>
    </w:p>
    <w:p w:rsidR="0064318A" w:rsidRPr="00417E03" w:rsidRDefault="0064318A" w:rsidP="00304AE0">
      <w:pPr>
        <w:ind w:left="0"/>
        <w:contextualSpacing/>
        <w:jc w:val="both"/>
        <w:rPr>
          <w:rFonts w:ascii="Bookman Old Style" w:hAnsi="Bookman Old Style"/>
          <w:lang w:val="es-CO"/>
        </w:rPr>
      </w:pPr>
    </w:p>
    <w:p w:rsidR="0064318A" w:rsidRPr="00417E03" w:rsidRDefault="0064318A" w:rsidP="00304AE0">
      <w:pPr>
        <w:ind w:left="0"/>
        <w:contextualSpacing/>
        <w:jc w:val="both"/>
        <w:rPr>
          <w:rFonts w:ascii="Bookman Old Style" w:hAnsi="Bookman Old Style"/>
          <w:lang w:val="es-CO"/>
        </w:rPr>
      </w:pPr>
      <w:r w:rsidRPr="00417E03">
        <w:rPr>
          <w:rFonts w:ascii="Bookman Old Style" w:hAnsi="Bookman Old Style"/>
          <w:lang w:val="es-CO"/>
        </w:rPr>
        <w:t xml:space="preserve">Esto, toda vez que </w:t>
      </w:r>
      <w:r w:rsidR="00595368" w:rsidRPr="00417E03">
        <w:rPr>
          <w:rFonts w:ascii="Bookman Old Style" w:hAnsi="Bookman Old Style"/>
          <w:lang w:val="es-CO"/>
        </w:rPr>
        <w:t xml:space="preserve">las </w:t>
      </w:r>
      <w:r w:rsidRPr="00417E03">
        <w:rPr>
          <w:rFonts w:ascii="Bookman Old Style" w:hAnsi="Bookman Old Style"/>
          <w:lang w:val="es-CO"/>
        </w:rPr>
        <w:t xml:space="preserve">medidas </w:t>
      </w:r>
      <w:r w:rsidR="00595368" w:rsidRPr="00417E03">
        <w:rPr>
          <w:rFonts w:ascii="Bookman Old Style" w:hAnsi="Bookman Old Style"/>
          <w:lang w:val="es-CO"/>
        </w:rPr>
        <w:t xml:space="preserve">anteriormente mencionadas </w:t>
      </w:r>
      <w:r w:rsidRPr="00417E03">
        <w:rPr>
          <w:rFonts w:ascii="Bookman Old Style" w:hAnsi="Bookman Old Style"/>
          <w:lang w:val="es-CO"/>
        </w:rPr>
        <w:t>permiten dar cumplimiento a los fines y principios que rigen la prestación de los servicios públicos domiciliarios, de acuerdo con lo previsto en la Ley 142 de 1994, en relación con el acceso a los usuarios, así como la gestión y obtención de los recursos para asegurar la prestación de dichos servicios</w:t>
      </w:r>
      <w:r w:rsidRPr="00417E03">
        <w:rPr>
          <w:rStyle w:val="Refdenotaalpie"/>
          <w:rFonts w:ascii="Bookman Old Style" w:hAnsi="Bookman Old Style"/>
          <w:lang w:val="es-CO"/>
        </w:rPr>
        <w:footnoteReference w:id="7"/>
      </w:r>
      <w:r w:rsidRPr="00417E03">
        <w:rPr>
          <w:rFonts w:ascii="Bookman Old Style" w:hAnsi="Bookman Old Style"/>
          <w:lang w:val="es-CO"/>
        </w:rPr>
        <w:t xml:space="preserve">, </w:t>
      </w:r>
      <w:r w:rsidRPr="00417E03">
        <w:rPr>
          <w:rFonts w:ascii="Bookman Old Style" w:hAnsi="Bookman Old Style"/>
        </w:rPr>
        <w:t xml:space="preserve">sin que se llegue a </w:t>
      </w:r>
      <w:r w:rsidRPr="00417E03">
        <w:rPr>
          <w:rFonts w:ascii="Bookman Old Style" w:hAnsi="Bookman Old Style"/>
        </w:rPr>
        <w:lastRenderedPageBreak/>
        <w:t>afectar la adecuada estimación que se debe hacer del balance entre oferta y demanda.</w:t>
      </w:r>
    </w:p>
    <w:p w:rsidR="00D16746" w:rsidRPr="00417E03" w:rsidRDefault="00D16746" w:rsidP="00304AE0">
      <w:pPr>
        <w:ind w:left="0"/>
        <w:contextualSpacing/>
        <w:jc w:val="both"/>
        <w:rPr>
          <w:rFonts w:ascii="Bookman Old Style" w:hAnsi="Bookman Old Style"/>
          <w:lang w:val="es-CO"/>
        </w:rPr>
      </w:pPr>
    </w:p>
    <w:p w:rsidR="00DE4E89" w:rsidRPr="00417E03" w:rsidRDefault="004F590D" w:rsidP="00304AE0">
      <w:pPr>
        <w:ind w:left="0"/>
        <w:contextualSpacing/>
        <w:jc w:val="both"/>
        <w:rPr>
          <w:rFonts w:ascii="Bookman Old Style" w:hAnsi="Bookman Old Style"/>
          <w:lang w:val="es-CO"/>
        </w:rPr>
      </w:pPr>
      <w:r w:rsidRPr="00417E03">
        <w:rPr>
          <w:rFonts w:ascii="Bookman Old Style" w:hAnsi="Bookman Old Style"/>
          <w:lang w:val="es-CO"/>
        </w:rPr>
        <w:t>En este sentido</w:t>
      </w:r>
      <w:r w:rsidR="00D34271" w:rsidRPr="00417E03">
        <w:rPr>
          <w:rFonts w:ascii="Bookman Old Style" w:hAnsi="Bookman Old Style"/>
          <w:lang w:val="es-CO"/>
        </w:rPr>
        <w:t>,</w:t>
      </w:r>
      <w:r w:rsidR="00D16746" w:rsidRPr="00417E03">
        <w:rPr>
          <w:rFonts w:ascii="Bookman Old Style" w:hAnsi="Bookman Old Style"/>
          <w:lang w:val="es-CO"/>
        </w:rPr>
        <w:t xml:space="preserve"> se advierte que las medidas regulatorias que se </w:t>
      </w:r>
      <w:r w:rsidRPr="00417E03">
        <w:rPr>
          <w:rFonts w:ascii="Bookman Old Style" w:hAnsi="Bookman Old Style"/>
          <w:lang w:val="es-CO"/>
        </w:rPr>
        <w:t>adoptan</w:t>
      </w:r>
      <w:r w:rsidR="00D16746" w:rsidRPr="00417E03">
        <w:rPr>
          <w:rFonts w:ascii="Bookman Old Style" w:hAnsi="Bookman Old Style"/>
          <w:lang w:val="es-CO"/>
        </w:rPr>
        <w:t xml:space="preserve"> no afectan </w:t>
      </w:r>
      <w:r w:rsidR="00CD5428" w:rsidRPr="00417E03">
        <w:rPr>
          <w:rFonts w:ascii="Bookman Old Style" w:hAnsi="Bookman Old Style"/>
          <w:lang w:val="es-CO"/>
        </w:rPr>
        <w:t xml:space="preserve">los objetivos previstos </w:t>
      </w:r>
      <w:r w:rsidR="00C01069" w:rsidRPr="00417E03">
        <w:rPr>
          <w:rFonts w:ascii="Bookman Old Style" w:hAnsi="Bookman Old Style"/>
          <w:lang w:val="es-CO"/>
        </w:rPr>
        <w:t>en el reglamento de comercialización mayorista</w:t>
      </w:r>
      <w:r w:rsidR="00D16746" w:rsidRPr="00417E03">
        <w:rPr>
          <w:rFonts w:ascii="Bookman Old Style" w:hAnsi="Bookman Old Style"/>
          <w:lang w:val="es-CO"/>
        </w:rPr>
        <w:t xml:space="preserve"> y con respecto a la aplicación de la actual OPC</w:t>
      </w:r>
      <w:r w:rsidRPr="00417E03">
        <w:rPr>
          <w:rFonts w:ascii="Bookman Old Style" w:hAnsi="Bookman Old Style"/>
          <w:lang w:val="es-CO"/>
        </w:rPr>
        <w:t>,</w:t>
      </w:r>
      <w:r w:rsidR="00C01069" w:rsidRPr="00417E03">
        <w:rPr>
          <w:rFonts w:ascii="Bookman Old Style" w:hAnsi="Bookman Old Style"/>
          <w:lang w:val="es-CO"/>
        </w:rPr>
        <w:t xml:space="preserve"> </w:t>
      </w:r>
      <w:r w:rsidR="00D16746" w:rsidRPr="00417E03">
        <w:rPr>
          <w:rFonts w:ascii="Bookman Old Style" w:hAnsi="Bookman Old Style"/>
          <w:lang w:val="es-CO"/>
        </w:rPr>
        <w:t xml:space="preserve">permitiendo que </w:t>
      </w:r>
      <w:r w:rsidR="00DE576F" w:rsidRPr="00417E03">
        <w:rPr>
          <w:rFonts w:ascii="Bookman Old Style" w:hAnsi="Bookman Old Style"/>
          <w:lang w:val="es-CO"/>
        </w:rPr>
        <w:t>se lleve</w:t>
      </w:r>
      <w:r w:rsidR="00C01069" w:rsidRPr="00417E03">
        <w:rPr>
          <w:rFonts w:ascii="Bookman Old Style" w:hAnsi="Bookman Old Style"/>
          <w:lang w:val="es-CO"/>
        </w:rPr>
        <w:t xml:space="preserve"> a cabo la oferta y el suministro de GLP para el servicio público domiciliario de manera eficiente y neutral, desde el punto de vista de acceso al producto, garantizando un tratamiento justo, en igualdad de oportunidades para el acceso y compra por parte de todos los interesados,</w:t>
      </w:r>
      <w:r w:rsidR="00DE576F" w:rsidRPr="00417E03">
        <w:rPr>
          <w:rFonts w:ascii="Bookman Old Style" w:hAnsi="Bookman Old Style"/>
          <w:lang w:val="es-CO"/>
        </w:rPr>
        <w:t xml:space="preserve"> y</w:t>
      </w:r>
      <w:r w:rsidR="00C01069" w:rsidRPr="00417E03">
        <w:rPr>
          <w:rFonts w:ascii="Bookman Old Style" w:hAnsi="Bookman Old Style"/>
          <w:lang w:val="es-CO"/>
        </w:rPr>
        <w:t xml:space="preserve"> transparente, para hacer claros</w:t>
      </w:r>
      <w:r w:rsidR="00D16746" w:rsidRPr="00417E03">
        <w:rPr>
          <w:rFonts w:ascii="Bookman Old Style" w:hAnsi="Bookman Old Style"/>
          <w:lang w:val="es-CO"/>
        </w:rPr>
        <w:t xml:space="preserve"> los resultados de la asignació</w:t>
      </w:r>
      <w:r w:rsidR="00820159" w:rsidRPr="00417E03">
        <w:rPr>
          <w:rFonts w:ascii="Bookman Old Style" w:hAnsi="Bookman Old Style"/>
          <w:lang w:val="es-CO"/>
        </w:rPr>
        <w:t>n</w:t>
      </w:r>
      <w:r w:rsidR="00D34271" w:rsidRPr="00417E03">
        <w:rPr>
          <w:rFonts w:ascii="Bookman Old Style" w:hAnsi="Bookman Old Style"/>
          <w:lang w:val="es-CO"/>
        </w:rPr>
        <w:t xml:space="preserve">. </w:t>
      </w:r>
      <w:r w:rsidRPr="00417E03">
        <w:rPr>
          <w:rFonts w:ascii="Bookman Old Style" w:hAnsi="Bookman Old Style"/>
          <w:lang w:val="es-CO"/>
        </w:rPr>
        <w:t xml:space="preserve">Lo anterior, entre otros elementos, atendiendo que la asignación de este producto se debe realizar en las condiciones previstas en el reglamento </w:t>
      </w:r>
      <w:r w:rsidR="0026766F" w:rsidRPr="00417E03">
        <w:rPr>
          <w:rFonts w:ascii="Bookman Old Style" w:hAnsi="Bookman Old Style"/>
          <w:lang w:val="es-CO"/>
        </w:rPr>
        <w:t xml:space="preserve">de comercialización mayorista de GLP </w:t>
      </w:r>
      <w:r w:rsidRPr="00417E03">
        <w:rPr>
          <w:rFonts w:ascii="Bookman Old Style" w:hAnsi="Bookman Old Style"/>
          <w:lang w:val="es-CO"/>
        </w:rPr>
        <w:t>para las OPC.</w:t>
      </w:r>
    </w:p>
    <w:p w:rsidR="004F590D" w:rsidRPr="00417E03" w:rsidRDefault="004F590D" w:rsidP="00304AE0">
      <w:pPr>
        <w:ind w:left="0"/>
        <w:contextualSpacing/>
        <w:jc w:val="both"/>
        <w:rPr>
          <w:rFonts w:ascii="Bookman Old Style" w:hAnsi="Bookman Old Style"/>
          <w:lang w:val="es-CO"/>
        </w:rPr>
      </w:pPr>
    </w:p>
    <w:p w:rsidR="00514D38" w:rsidRPr="00417E03" w:rsidRDefault="00514D38" w:rsidP="00514D38">
      <w:pPr>
        <w:ind w:left="0"/>
        <w:jc w:val="both"/>
        <w:rPr>
          <w:rFonts w:ascii="Bookman Old Style" w:hAnsi="Bookman Old Style" w:cs="Arial"/>
          <w:lang w:val="es-ES_tradnl"/>
        </w:rPr>
      </w:pPr>
      <w:r w:rsidRPr="00417E03">
        <w:rPr>
          <w:rFonts w:ascii="Bookman Old Style" w:hAnsi="Bookman Old Style" w:cs="Arial"/>
          <w:lang w:val="es-ES_tradnl"/>
        </w:rPr>
        <w:t>De conformidad con lo establecido en el parágrafo del artículo 9 del Decreto 2696 de 2004</w:t>
      </w:r>
      <w:r w:rsidRPr="00417E03">
        <w:rPr>
          <w:rFonts w:ascii="Bookman Old Style" w:hAnsi="Bookman Old Style" w:cs="Arial"/>
          <w:vertAlign w:val="superscript"/>
          <w:lang w:val="es-ES_tradnl"/>
        </w:rPr>
        <w:footnoteReference w:id="8"/>
      </w:r>
      <w:r w:rsidRPr="00417E03">
        <w:rPr>
          <w:rFonts w:ascii="Bookman Old Style" w:hAnsi="Bookman Old Style" w:cs="Arial"/>
          <w:lang w:val="es-ES_tradnl"/>
        </w:rPr>
        <w:t xml:space="preserve"> y el numeral 4 del artículo 1 de la Resolución CREG 097 de 2004, la Comisión decidió por unanimidad no someter la presente resolución a las disposiciones sobre publicidad de proyectos de regulación previstas en el citado decreto, debido a la existencia de razones de orden económico, de conveniencia general y de oportunidad, teniendo en cuenta que para que las medidas regulatorias que se adoptan puedan implementarse y aplicarse dentro del mercado y la comercialización mayorista de GLP, atendiendo el procedimiento previsto para las OPC, así como las condiciones particulares y específicas en que se lleva a cabo dicha importación, </w:t>
      </w:r>
      <w:r w:rsidR="00283932" w:rsidRPr="00417E03">
        <w:rPr>
          <w:rFonts w:ascii="Bookman Old Style" w:hAnsi="Bookman Old Style" w:cs="Arial"/>
          <w:lang w:val="es-ES_tradnl"/>
        </w:rPr>
        <w:t xml:space="preserve">ante la necesidad específica de la demanda en función de la coyuntura de suministro que se afronta actualmente el mercado de GLP, </w:t>
      </w:r>
      <w:r w:rsidRPr="00417E03">
        <w:rPr>
          <w:rFonts w:ascii="Bookman Old Style" w:hAnsi="Bookman Old Style" w:cs="Arial"/>
          <w:lang w:val="es-ES_tradnl"/>
        </w:rPr>
        <w:t xml:space="preserve">estas deben estar vigentes en el mes de </w:t>
      </w:r>
      <w:r w:rsidR="00283932" w:rsidRPr="00417E03">
        <w:rPr>
          <w:rFonts w:ascii="Bookman Old Style" w:hAnsi="Bookman Old Style" w:cs="Arial"/>
          <w:lang w:val="es-ES_tradnl"/>
        </w:rPr>
        <w:t>septiembre</w:t>
      </w:r>
      <w:r w:rsidRPr="00417E03">
        <w:rPr>
          <w:rFonts w:ascii="Bookman Old Style" w:hAnsi="Bookman Old Style" w:cs="Arial"/>
          <w:lang w:val="es-ES_tradnl"/>
        </w:rPr>
        <w:t xml:space="preserve"> de 2016.</w:t>
      </w:r>
    </w:p>
    <w:p w:rsidR="00514D38" w:rsidRPr="00417E03" w:rsidRDefault="00514D38" w:rsidP="00C07899">
      <w:pPr>
        <w:ind w:left="0"/>
        <w:contextualSpacing/>
        <w:jc w:val="both"/>
        <w:rPr>
          <w:rFonts w:ascii="Bookman Old Style" w:hAnsi="Bookman Old Style"/>
          <w:lang w:val="es-ES_tradnl"/>
        </w:rPr>
      </w:pPr>
    </w:p>
    <w:p w:rsidR="00C25448" w:rsidRPr="00417E03" w:rsidRDefault="00C25448" w:rsidP="00C25448">
      <w:pPr>
        <w:ind w:left="0"/>
        <w:jc w:val="both"/>
        <w:rPr>
          <w:rFonts w:ascii="Bookman Old Style" w:hAnsi="Bookman Old Style"/>
          <w:lang w:val="es-ES_tradnl"/>
        </w:rPr>
      </w:pPr>
      <w:r w:rsidRPr="00417E03">
        <w:rPr>
          <w:rFonts w:ascii="Bookman Old Style" w:hAnsi="Bookman Old Style"/>
          <w:lang w:val="es-ES_tradnl"/>
        </w:rPr>
        <w:t>Con base en lo establecido en el artículo 4 del Decreto 2897 de 2010</w:t>
      </w:r>
      <w:r w:rsidRPr="00417E03">
        <w:rPr>
          <w:rFonts w:ascii="Bookman Old Style" w:hAnsi="Bookman Old Style"/>
          <w:vertAlign w:val="superscript"/>
          <w:lang w:val="es-ES_tradnl"/>
        </w:rPr>
        <w:footnoteReference w:id="9"/>
      </w:r>
      <w:r w:rsidRPr="00417E03">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En el Documento CREG </w:t>
      </w:r>
      <w:r w:rsidR="00417E03">
        <w:rPr>
          <w:rFonts w:ascii="Bookman Old Style" w:hAnsi="Bookman Old Style"/>
          <w:lang w:val="es-ES_tradnl"/>
        </w:rPr>
        <w:t xml:space="preserve">083 </w:t>
      </w:r>
      <w:r w:rsidRPr="00417E03">
        <w:rPr>
          <w:rFonts w:ascii="Bookman Old Style" w:hAnsi="Bookman Old Style"/>
          <w:lang w:val="es-ES_tradnl"/>
        </w:rPr>
        <w:t>de</w:t>
      </w:r>
      <w:r w:rsidR="00417E03">
        <w:rPr>
          <w:rFonts w:ascii="Bookman Old Style" w:hAnsi="Bookman Old Style"/>
          <w:lang w:val="es-ES_tradnl"/>
        </w:rPr>
        <w:t>l</w:t>
      </w:r>
      <w:r w:rsidRPr="00417E03">
        <w:rPr>
          <w:rFonts w:ascii="Bookman Old Style" w:hAnsi="Bookman Old Style"/>
          <w:lang w:val="es-ES_tradnl"/>
        </w:rPr>
        <w:t xml:space="preserve"> </w:t>
      </w:r>
      <w:r w:rsidR="00417E03">
        <w:rPr>
          <w:rFonts w:ascii="Bookman Old Style" w:hAnsi="Bookman Old Style"/>
          <w:lang w:val="es-ES_tradnl"/>
        </w:rPr>
        <w:t>13</w:t>
      </w:r>
      <w:r w:rsidRPr="00417E03">
        <w:rPr>
          <w:rFonts w:ascii="Bookman Old Style" w:hAnsi="Bookman Old Style"/>
          <w:lang w:val="es-ES_tradnl"/>
        </w:rPr>
        <w:t xml:space="preserve"> de </w:t>
      </w:r>
      <w:r w:rsidR="00283932" w:rsidRPr="00417E03">
        <w:rPr>
          <w:rFonts w:ascii="Bookman Old Style" w:hAnsi="Bookman Old Style"/>
          <w:lang w:val="es-ES_tradnl"/>
        </w:rPr>
        <w:t xml:space="preserve">septiembre de </w:t>
      </w:r>
      <w:r w:rsidRPr="00417E03">
        <w:rPr>
          <w:rFonts w:ascii="Bookman Old Style" w:hAnsi="Bookman Old Style"/>
          <w:lang w:val="es-ES_tradnl"/>
        </w:rPr>
        <w:t>2016</w:t>
      </w:r>
      <w:r w:rsidR="00417E03">
        <w:rPr>
          <w:rFonts w:ascii="Bookman Old Style" w:hAnsi="Bookman Old Style"/>
          <w:lang w:val="es-ES_tradnl"/>
        </w:rPr>
        <w:t>,</w:t>
      </w:r>
      <w:r w:rsidRPr="00417E03">
        <w:rPr>
          <w:rFonts w:ascii="Bookman Old Style" w:hAnsi="Bookman Old Style"/>
          <w:lang w:val="es-ES_tradnl"/>
        </w:rPr>
        <w:t xml:space="preserve"> se transcribe el cuestionario.</w:t>
      </w:r>
    </w:p>
    <w:p w:rsidR="00C25448" w:rsidRPr="00417E03" w:rsidRDefault="00C25448" w:rsidP="00C25448">
      <w:pPr>
        <w:ind w:left="0"/>
        <w:jc w:val="both"/>
        <w:rPr>
          <w:rFonts w:ascii="Bookman Old Style" w:hAnsi="Bookman Old Style" w:cs="Arial"/>
          <w:lang w:val="es-ES_tradnl"/>
        </w:rPr>
      </w:pPr>
    </w:p>
    <w:p w:rsidR="00F77A26" w:rsidRPr="00417E03" w:rsidRDefault="00C25448" w:rsidP="0089034A">
      <w:pPr>
        <w:ind w:left="0"/>
        <w:contextualSpacing/>
        <w:jc w:val="both"/>
        <w:rPr>
          <w:rFonts w:ascii="Bookman Old Style" w:hAnsi="Bookman Old Style"/>
          <w:lang w:val="es-ES_tradnl"/>
        </w:rPr>
      </w:pPr>
      <w:r w:rsidRPr="00417E03">
        <w:rPr>
          <w:rFonts w:ascii="Bookman Old Style" w:hAnsi="Bookman Old Style"/>
          <w:lang w:val="es-ES_tradnl"/>
        </w:rPr>
        <w:t xml:space="preserve">La Comisión de Regulación de Energía y Gas aprobó el presente acto administrativo en la sesión No. </w:t>
      </w:r>
      <w:r w:rsidR="00417E03">
        <w:rPr>
          <w:rFonts w:ascii="Bookman Old Style" w:hAnsi="Bookman Old Style"/>
          <w:lang w:val="es-ES_tradnl"/>
        </w:rPr>
        <w:t xml:space="preserve">730 </w:t>
      </w:r>
      <w:r w:rsidRPr="00417E03">
        <w:rPr>
          <w:rFonts w:ascii="Bookman Old Style" w:hAnsi="Bookman Old Style"/>
          <w:lang w:val="es-ES_tradnl"/>
        </w:rPr>
        <w:t>de</w:t>
      </w:r>
      <w:r w:rsidR="00954D55" w:rsidRPr="00417E03">
        <w:rPr>
          <w:rFonts w:ascii="Bookman Old Style" w:hAnsi="Bookman Old Style"/>
          <w:lang w:val="es-ES_tradnl"/>
        </w:rPr>
        <w:t>l</w:t>
      </w:r>
      <w:r w:rsidRPr="00417E03">
        <w:rPr>
          <w:rFonts w:ascii="Bookman Old Style" w:hAnsi="Bookman Old Style"/>
          <w:lang w:val="es-ES_tradnl"/>
        </w:rPr>
        <w:t xml:space="preserve"> </w:t>
      </w:r>
      <w:r w:rsidR="00417E03">
        <w:rPr>
          <w:rFonts w:ascii="Bookman Old Style" w:hAnsi="Bookman Old Style"/>
          <w:lang w:val="es-ES_tradnl"/>
        </w:rPr>
        <w:t xml:space="preserve">12 y 13 </w:t>
      </w:r>
      <w:r w:rsidRPr="00417E03">
        <w:rPr>
          <w:rFonts w:ascii="Bookman Old Style" w:hAnsi="Bookman Old Style"/>
          <w:lang w:val="es-ES_tradnl"/>
        </w:rPr>
        <w:t xml:space="preserve">de </w:t>
      </w:r>
      <w:r w:rsidR="00283932" w:rsidRPr="00417E03">
        <w:rPr>
          <w:rFonts w:ascii="Bookman Old Style" w:hAnsi="Bookman Old Style"/>
          <w:lang w:val="es-ES_tradnl"/>
        </w:rPr>
        <w:t>septiembre</w:t>
      </w:r>
      <w:r w:rsidRPr="00417E03">
        <w:rPr>
          <w:rFonts w:ascii="Bookman Old Style" w:hAnsi="Bookman Old Style"/>
          <w:lang w:val="es-ES_tradnl"/>
        </w:rPr>
        <w:t xml:space="preserve"> de 2016.</w:t>
      </w:r>
    </w:p>
    <w:p w:rsidR="00650F86" w:rsidRPr="00417E03" w:rsidRDefault="00650F86" w:rsidP="0089034A">
      <w:pPr>
        <w:ind w:left="0"/>
        <w:contextualSpacing/>
        <w:jc w:val="both"/>
        <w:rPr>
          <w:rFonts w:ascii="Bookman Old Style" w:hAnsi="Bookman Old Style"/>
          <w:lang w:val="es-ES_tradnl"/>
        </w:rPr>
      </w:pPr>
    </w:p>
    <w:p w:rsidR="0045622C" w:rsidRPr="00417E03" w:rsidRDefault="0045622C" w:rsidP="0089034A">
      <w:pPr>
        <w:ind w:left="0"/>
        <w:contextualSpacing/>
        <w:jc w:val="both"/>
        <w:rPr>
          <w:rFonts w:ascii="Bookman Old Style" w:hAnsi="Bookman Old Style"/>
          <w:lang w:val="es-ES_tradnl"/>
        </w:rPr>
      </w:pPr>
    </w:p>
    <w:p w:rsidR="004C4C34" w:rsidRPr="00417E03" w:rsidRDefault="004C4C34" w:rsidP="00C07899">
      <w:pPr>
        <w:ind w:left="0"/>
        <w:contextualSpacing/>
        <w:jc w:val="center"/>
        <w:rPr>
          <w:rFonts w:ascii="Bookman Old Style" w:hAnsi="Bookman Old Style"/>
          <w:b/>
        </w:rPr>
      </w:pPr>
      <w:r w:rsidRPr="00417E03">
        <w:rPr>
          <w:rFonts w:ascii="Bookman Old Style" w:hAnsi="Bookman Old Style"/>
          <w:b/>
        </w:rPr>
        <w:t>R E S U E L V E:</w:t>
      </w:r>
    </w:p>
    <w:p w:rsidR="00C00C5C" w:rsidRDefault="00C00C5C" w:rsidP="00C07899">
      <w:pPr>
        <w:ind w:left="0"/>
        <w:contextualSpacing/>
        <w:jc w:val="both"/>
        <w:rPr>
          <w:rFonts w:ascii="Bookman Old Style" w:hAnsi="Bookman Old Style"/>
        </w:rPr>
      </w:pPr>
    </w:p>
    <w:p w:rsidR="00F8713E" w:rsidRPr="00417E03" w:rsidRDefault="00901B09" w:rsidP="00531EB1">
      <w:pPr>
        <w:ind w:left="0"/>
        <w:contextualSpacing/>
        <w:jc w:val="both"/>
        <w:rPr>
          <w:rFonts w:ascii="Bookman Old Style" w:hAnsi="Bookman Old Style"/>
        </w:rPr>
      </w:pPr>
      <w:r w:rsidRPr="00417E03">
        <w:rPr>
          <w:rFonts w:ascii="Bookman Old Style" w:hAnsi="Bookman Old Style"/>
          <w:b/>
        </w:rPr>
        <w:t xml:space="preserve">Artículo </w:t>
      </w:r>
      <w:r w:rsidR="004C4C34" w:rsidRPr="00417E03">
        <w:rPr>
          <w:rFonts w:ascii="Bookman Old Style" w:hAnsi="Bookman Old Style"/>
          <w:b/>
        </w:rPr>
        <w:t>1</w:t>
      </w:r>
      <w:r w:rsidR="00403BC2" w:rsidRPr="00417E03">
        <w:rPr>
          <w:rFonts w:ascii="Bookman Old Style" w:hAnsi="Bookman Old Style"/>
          <w:b/>
        </w:rPr>
        <w:t>º</w:t>
      </w:r>
      <w:r w:rsidR="004C4C34" w:rsidRPr="00417E03">
        <w:rPr>
          <w:rFonts w:ascii="Bookman Old Style" w:hAnsi="Bookman Old Style"/>
          <w:b/>
        </w:rPr>
        <w:t>.</w:t>
      </w:r>
      <w:r w:rsidR="004C4C34" w:rsidRPr="00417E03">
        <w:rPr>
          <w:rFonts w:ascii="Bookman Old Style" w:hAnsi="Bookman Old Style"/>
        </w:rPr>
        <w:t xml:space="preserve"> </w:t>
      </w:r>
      <w:r w:rsidR="00146A97" w:rsidRPr="00417E03">
        <w:rPr>
          <w:rFonts w:ascii="Bookman Old Style" w:hAnsi="Bookman Old Style"/>
          <w:b/>
        </w:rPr>
        <w:t xml:space="preserve">Precio máximo </w:t>
      </w:r>
      <w:r w:rsidR="00C3410B" w:rsidRPr="00417E03">
        <w:rPr>
          <w:rFonts w:ascii="Bookman Old Style" w:hAnsi="Bookman Old Style"/>
          <w:b/>
        </w:rPr>
        <w:t xml:space="preserve">de venta o suministro </w:t>
      </w:r>
      <w:r w:rsidR="00562E82" w:rsidRPr="00417E03">
        <w:rPr>
          <w:rFonts w:ascii="Bookman Old Style" w:hAnsi="Bookman Old Style"/>
          <w:b/>
        </w:rPr>
        <w:t xml:space="preserve">para el GLP importado </w:t>
      </w:r>
      <w:r w:rsidR="004E692D" w:rsidRPr="00417E03">
        <w:rPr>
          <w:rFonts w:ascii="Bookman Old Style" w:hAnsi="Bookman Old Style"/>
          <w:b/>
        </w:rPr>
        <w:t xml:space="preserve">por Ecopetrol </w:t>
      </w:r>
      <w:r w:rsidR="00C3410B" w:rsidRPr="00417E03">
        <w:rPr>
          <w:rFonts w:ascii="Bookman Old Style" w:hAnsi="Bookman Old Style"/>
          <w:b/>
        </w:rPr>
        <w:t xml:space="preserve">cuyo </w:t>
      </w:r>
      <w:r w:rsidR="00977476" w:rsidRPr="00417E03">
        <w:rPr>
          <w:rFonts w:ascii="Bookman Old Style" w:hAnsi="Bookman Old Style"/>
          <w:b/>
        </w:rPr>
        <w:t xml:space="preserve">punto de entrega </w:t>
      </w:r>
      <w:r w:rsidR="00C3410B" w:rsidRPr="00417E03">
        <w:rPr>
          <w:rFonts w:ascii="Bookman Old Style" w:hAnsi="Bookman Old Style"/>
          <w:b/>
        </w:rPr>
        <w:t xml:space="preserve">sea </w:t>
      </w:r>
      <w:r w:rsidR="00977476" w:rsidRPr="00417E03">
        <w:rPr>
          <w:rFonts w:ascii="Bookman Old Style" w:hAnsi="Bookman Old Style"/>
          <w:b/>
        </w:rPr>
        <w:t>Barrancabermeja</w:t>
      </w:r>
      <w:r w:rsidR="00562E82" w:rsidRPr="00417E03">
        <w:rPr>
          <w:rFonts w:ascii="Bookman Old Style" w:hAnsi="Bookman Old Style"/>
          <w:b/>
        </w:rPr>
        <w:t xml:space="preserve">. </w:t>
      </w:r>
      <w:r w:rsidR="004C4C98" w:rsidRPr="00417E03">
        <w:rPr>
          <w:rFonts w:ascii="Bookman Old Style" w:hAnsi="Bookman Old Style"/>
        </w:rPr>
        <w:t xml:space="preserve">El precio máximo </w:t>
      </w:r>
      <w:r w:rsidR="00C3410B" w:rsidRPr="00417E03">
        <w:rPr>
          <w:rFonts w:ascii="Bookman Old Style" w:hAnsi="Bookman Old Style"/>
        </w:rPr>
        <w:t>de venta o suministro</w:t>
      </w:r>
      <w:r w:rsidR="007744CB" w:rsidRPr="00417E03">
        <w:rPr>
          <w:rFonts w:ascii="Bookman Old Style" w:hAnsi="Bookman Old Style"/>
        </w:rPr>
        <w:t xml:space="preserve">, en pesos por kilogramo, </w:t>
      </w:r>
      <w:r w:rsidR="007D3E7E" w:rsidRPr="00417E03">
        <w:rPr>
          <w:rFonts w:ascii="Bookman Old Style" w:hAnsi="Bookman Old Style"/>
        </w:rPr>
        <w:t xml:space="preserve">para el GLP </w:t>
      </w:r>
      <w:r w:rsidR="007D3E7E">
        <w:rPr>
          <w:rFonts w:ascii="Bookman Old Style" w:hAnsi="Bookman Old Style"/>
        </w:rPr>
        <w:t xml:space="preserve">importado, directamente por Ecopetrol o a través de un tercero, cuya comercialización y entrega se lleve a cabo por el primero en un punto diferente al de importación y </w:t>
      </w:r>
      <w:r w:rsidR="007D3E7E">
        <w:rPr>
          <w:rFonts w:ascii="Bookman Old Style" w:hAnsi="Bookman Old Style"/>
        </w:rPr>
        <w:lastRenderedPageBreak/>
        <w:t xml:space="preserve">este sea </w:t>
      </w:r>
      <w:r w:rsidR="007D3E7E" w:rsidRPr="00417E03">
        <w:rPr>
          <w:rFonts w:ascii="Bookman Old Style" w:hAnsi="Bookman Old Style"/>
        </w:rPr>
        <w:t>Barrancabermeja, será equivalente a la suma de</w:t>
      </w:r>
      <w:r w:rsidR="00F8713E" w:rsidRPr="00417E03">
        <w:rPr>
          <w:rFonts w:ascii="Bookman Old Style" w:hAnsi="Bookman Old Style"/>
        </w:rPr>
        <w:t>: i) el costo establecido en los respectivos registros de importación; ii) el margen por concepto de comercialización que corresponde al ocho por ciento (8%) del costo establecido en los respectivos registros de importación; y iii) el costo de traslado del GLP desde el punto de importación hasta Barrancabermeja.</w:t>
      </w:r>
    </w:p>
    <w:p w:rsidR="00F8713E" w:rsidRPr="00417E03" w:rsidRDefault="00F8713E" w:rsidP="00531EB1">
      <w:pPr>
        <w:ind w:left="0"/>
        <w:contextualSpacing/>
        <w:jc w:val="both"/>
        <w:rPr>
          <w:rFonts w:ascii="Bookman Old Style" w:hAnsi="Bookman Old Style"/>
        </w:rPr>
      </w:pPr>
    </w:p>
    <w:p w:rsidR="007744CB" w:rsidRPr="00417E03" w:rsidRDefault="007744CB" w:rsidP="00531EB1">
      <w:pPr>
        <w:ind w:left="0"/>
        <w:contextualSpacing/>
        <w:jc w:val="both"/>
        <w:rPr>
          <w:rFonts w:ascii="Bookman Old Style" w:hAnsi="Bookman Old Style"/>
        </w:rPr>
      </w:pPr>
      <w:r w:rsidRPr="00417E03">
        <w:rPr>
          <w:rFonts w:ascii="Bookman Old Style" w:hAnsi="Bookman Old Style"/>
          <w:b/>
        </w:rPr>
        <w:t>Parágrafo</w:t>
      </w:r>
      <w:r w:rsidR="00C3410B" w:rsidRPr="00417E03">
        <w:rPr>
          <w:rFonts w:ascii="Bookman Old Style" w:hAnsi="Bookman Old Style"/>
          <w:b/>
        </w:rPr>
        <w:t xml:space="preserve"> 1</w:t>
      </w:r>
      <w:r w:rsidRPr="00417E03">
        <w:rPr>
          <w:rFonts w:ascii="Bookman Old Style" w:hAnsi="Bookman Old Style"/>
          <w:b/>
        </w:rPr>
        <w:t xml:space="preserve">. </w:t>
      </w:r>
      <w:r w:rsidRPr="00417E03">
        <w:rPr>
          <w:rFonts w:ascii="Bookman Old Style" w:hAnsi="Bookman Old Style"/>
        </w:rPr>
        <w:t xml:space="preserve">El comercializador mayorista de precio regulado deberá </w:t>
      </w:r>
      <w:r w:rsidR="00EA10D1" w:rsidRPr="00417E03">
        <w:rPr>
          <w:rFonts w:ascii="Bookman Old Style" w:hAnsi="Bookman Old Style"/>
        </w:rPr>
        <w:t>establecer y divulgar</w:t>
      </w:r>
      <w:r w:rsidRPr="00417E03">
        <w:rPr>
          <w:rFonts w:ascii="Bookman Old Style" w:hAnsi="Bookman Old Style"/>
        </w:rPr>
        <w:t xml:space="preserve"> </w:t>
      </w:r>
      <w:r w:rsidR="00EA10D1" w:rsidRPr="00417E03">
        <w:rPr>
          <w:rFonts w:ascii="Bookman Old Style" w:hAnsi="Bookman Old Style"/>
        </w:rPr>
        <w:t xml:space="preserve">las condiciones </w:t>
      </w:r>
      <w:r w:rsidR="00394CCE" w:rsidRPr="00417E03">
        <w:rPr>
          <w:rFonts w:ascii="Bookman Old Style" w:hAnsi="Bookman Old Style"/>
        </w:rPr>
        <w:t xml:space="preserve">a través de las cuales, </w:t>
      </w:r>
      <w:r w:rsidR="00EA10D1" w:rsidRPr="00417E03">
        <w:rPr>
          <w:rFonts w:ascii="Bookman Old Style" w:hAnsi="Bookman Old Style"/>
        </w:rPr>
        <w:t>l</w:t>
      </w:r>
      <w:r w:rsidR="00394CCE" w:rsidRPr="00417E03">
        <w:rPr>
          <w:rFonts w:ascii="Bookman Old Style" w:hAnsi="Bookman Old Style"/>
        </w:rPr>
        <w:t xml:space="preserve">os valores que resulten </w:t>
      </w:r>
      <w:r w:rsidRPr="00417E03">
        <w:rPr>
          <w:rFonts w:ascii="Bookman Old Style" w:hAnsi="Bookman Old Style"/>
        </w:rPr>
        <w:t>de la aplicación de la fórmula definida en la presente resolución</w:t>
      </w:r>
      <w:r w:rsidR="00394CCE" w:rsidRPr="00417E03">
        <w:rPr>
          <w:rFonts w:ascii="Bookman Old Style" w:hAnsi="Bookman Old Style"/>
        </w:rPr>
        <w:t>,</w:t>
      </w:r>
      <w:r w:rsidRPr="00417E03">
        <w:rPr>
          <w:rFonts w:ascii="Bookman Old Style" w:hAnsi="Bookman Old Style"/>
        </w:rPr>
        <w:t xml:space="preserve"> </w:t>
      </w:r>
      <w:r w:rsidR="00394CCE" w:rsidRPr="00417E03">
        <w:rPr>
          <w:rFonts w:ascii="Bookman Old Style" w:hAnsi="Bookman Old Style"/>
        </w:rPr>
        <w:t>son resultado</w:t>
      </w:r>
      <w:r w:rsidR="00EA10D1" w:rsidRPr="00417E03">
        <w:rPr>
          <w:rFonts w:ascii="Bookman Old Style" w:hAnsi="Bookman Old Style"/>
        </w:rPr>
        <w:t xml:space="preserve"> de proceso</w:t>
      </w:r>
      <w:r w:rsidR="00DF2EFD" w:rsidRPr="00417E03">
        <w:rPr>
          <w:rFonts w:ascii="Bookman Old Style" w:hAnsi="Bookman Old Style"/>
        </w:rPr>
        <w:t>s</w:t>
      </w:r>
      <w:r w:rsidR="00EA10D1" w:rsidRPr="00417E03">
        <w:rPr>
          <w:rFonts w:ascii="Bookman Old Style" w:hAnsi="Bookman Old Style"/>
        </w:rPr>
        <w:t xml:space="preserve"> competitivo</w:t>
      </w:r>
      <w:r w:rsidR="00DF2EFD" w:rsidRPr="00417E03">
        <w:rPr>
          <w:rFonts w:ascii="Bookman Old Style" w:hAnsi="Bookman Old Style"/>
        </w:rPr>
        <w:t>s</w:t>
      </w:r>
      <w:r w:rsidRPr="00417E03">
        <w:rPr>
          <w:rFonts w:ascii="Bookman Old Style" w:hAnsi="Bookman Old Style"/>
        </w:rPr>
        <w:t>.</w:t>
      </w:r>
      <w:r w:rsidR="00346F77">
        <w:rPr>
          <w:rFonts w:ascii="Bookman Old Style" w:hAnsi="Bookman Old Style"/>
        </w:rPr>
        <w:t xml:space="preserve"> Así mismo, e</w:t>
      </w:r>
      <w:r w:rsidR="001D016D" w:rsidRPr="00417E03">
        <w:rPr>
          <w:rFonts w:ascii="Bookman Old Style" w:hAnsi="Bookman Old Style"/>
        </w:rPr>
        <w:t xml:space="preserve">n el evento que la importación de GLP se realice por parte de un tercero </w:t>
      </w:r>
      <w:r w:rsidR="004E692D" w:rsidRPr="00417E03">
        <w:rPr>
          <w:rFonts w:ascii="Bookman Old Style" w:hAnsi="Bookman Old Style"/>
        </w:rPr>
        <w:t xml:space="preserve">y </w:t>
      </w:r>
      <w:r w:rsidR="001D016D" w:rsidRPr="00417E03">
        <w:rPr>
          <w:rFonts w:ascii="Bookman Old Style" w:hAnsi="Bookman Old Style"/>
        </w:rPr>
        <w:t>l</w:t>
      </w:r>
      <w:r w:rsidR="004E692D" w:rsidRPr="00417E03">
        <w:rPr>
          <w:rFonts w:ascii="Bookman Old Style" w:hAnsi="Bookman Old Style"/>
        </w:rPr>
        <w:t>a</w:t>
      </w:r>
      <w:r w:rsidR="001D016D" w:rsidRPr="00417E03">
        <w:rPr>
          <w:rFonts w:ascii="Bookman Old Style" w:hAnsi="Bookman Old Style"/>
        </w:rPr>
        <w:t xml:space="preserve"> comercialización mayorista se realice por el comercializador mayorista de precio regulado, será responsabilidad de este último asegurarse que el precio del GLP provenga o resulte de procesos competitivos.</w:t>
      </w:r>
    </w:p>
    <w:p w:rsidR="00597EE7" w:rsidRPr="00417E03" w:rsidRDefault="00597EE7" w:rsidP="00531EB1">
      <w:pPr>
        <w:ind w:left="0"/>
        <w:contextualSpacing/>
        <w:jc w:val="both"/>
        <w:rPr>
          <w:rFonts w:ascii="Bookman Old Style" w:hAnsi="Bookman Old Style"/>
        </w:rPr>
      </w:pPr>
    </w:p>
    <w:p w:rsidR="00597EE7" w:rsidRPr="00417E03" w:rsidRDefault="00597EE7" w:rsidP="00597EE7">
      <w:pPr>
        <w:ind w:left="0"/>
        <w:contextualSpacing/>
        <w:jc w:val="both"/>
        <w:rPr>
          <w:rFonts w:ascii="Bookman Old Style" w:hAnsi="Bookman Old Style" w:cs="Arial"/>
          <w:bCs/>
        </w:rPr>
      </w:pPr>
      <w:r w:rsidRPr="00417E03">
        <w:rPr>
          <w:rFonts w:ascii="Bookman Old Style" w:hAnsi="Bookman Old Style"/>
          <w:b/>
        </w:rPr>
        <w:t xml:space="preserve">Parágrafo 2. </w:t>
      </w:r>
      <w:r w:rsidRPr="00417E03">
        <w:rPr>
          <w:rFonts w:ascii="Bookman Old Style" w:hAnsi="Bookman Old Style" w:cs="Arial"/>
          <w:bCs/>
        </w:rPr>
        <w:t>El costo de traslado de GLP, al que se hace referencia en el presente artículo, corresponde exclusivamente a la prestación de dicho servicio. Costos asociados a otras actividades requeridas para entregar el GLP en un punto diferente al punto de importación, tales como el trasiego, almacenamiento o parqueo de barcazas, se entienden remuneradas en el precio de suministro, toda vez que se establece dentro de las obligaciones de los comercializadores mayoristas en la entrega manejo y medición del GLP, artículo 7 de la Resolución CREG 053 de 2011, entre otras, la de garantizar la disponibilidad de todos los medios físicos y logísticos para transferir oportunamente la custodia del producto en cada uno de los puntos de entrega pactados, en los contratos de suministro.</w:t>
      </w:r>
    </w:p>
    <w:p w:rsidR="00971A4C" w:rsidRPr="00417E03" w:rsidRDefault="00971A4C" w:rsidP="00597EE7">
      <w:pPr>
        <w:ind w:left="0"/>
        <w:contextualSpacing/>
        <w:jc w:val="both"/>
        <w:rPr>
          <w:rFonts w:ascii="Bookman Old Style" w:hAnsi="Bookman Old Style"/>
        </w:rPr>
      </w:pPr>
    </w:p>
    <w:p w:rsidR="00C3410B" w:rsidRPr="00417E03" w:rsidRDefault="00C3410B" w:rsidP="00531EB1">
      <w:pPr>
        <w:ind w:left="0"/>
        <w:contextualSpacing/>
        <w:jc w:val="both"/>
        <w:rPr>
          <w:rFonts w:ascii="Bookman Old Style" w:hAnsi="Bookman Old Style"/>
        </w:rPr>
      </w:pPr>
      <w:r w:rsidRPr="00417E03">
        <w:rPr>
          <w:rFonts w:ascii="Bookman Old Style" w:hAnsi="Bookman Old Style"/>
          <w:b/>
        </w:rPr>
        <w:t xml:space="preserve">Parágrafo </w:t>
      </w:r>
      <w:r w:rsidR="00597EE7" w:rsidRPr="00417E03">
        <w:rPr>
          <w:rFonts w:ascii="Bookman Old Style" w:hAnsi="Bookman Old Style"/>
          <w:b/>
        </w:rPr>
        <w:t>3</w:t>
      </w:r>
      <w:r w:rsidRPr="00417E03">
        <w:rPr>
          <w:rFonts w:ascii="Bookman Old Style" w:hAnsi="Bookman Old Style"/>
          <w:b/>
        </w:rPr>
        <w:t xml:space="preserve">. </w:t>
      </w:r>
      <w:r w:rsidRPr="00417E03">
        <w:rPr>
          <w:rFonts w:ascii="Bookman Old Style" w:hAnsi="Bookman Old Style" w:cs="Arial"/>
          <w:bCs/>
        </w:rPr>
        <w:t xml:space="preserve">Este precio máximo de venta del GLP importado se aplicará para el gas que importe ECOPETROL con destino al servicio público domiciliario, </w:t>
      </w:r>
      <w:r w:rsidRPr="00417E03">
        <w:rPr>
          <w:rFonts w:ascii="Bookman Old Style" w:hAnsi="Bookman Old Style" w:cs="Arial"/>
          <w:lang w:val="es-ES_tradnl"/>
        </w:rPr>
        <w:t>siempre y cuando la importación no se haya realizado para cubrir una insuficiencia de suministro previamente contratada, caso en el cual aplicará el precio máximo que corresponda a dicha contratación</w:t>
      </w:r>
      <w:r w:rsidRPr="00417E03">
        <w:rPr>
          <w:rFonts w:ascii="Bookman Old Style" w:hAnsi="Bookman Old Style" w:cs="Arial"/>
          <w:bCs/>
        </w:rPr>
        <w:t>.</w:t>
      </w:r>
    </w:p>
    <w:p w:rsidR="00C3410B" w:rsidRPr="00417E03" w:rsidRDefault="00C3410B" w:rsidP="00531EB1">
      <w:pPr>
        <w:ind w:left="0"/>
        <w:contextualSpacing/>
        <w:jc w:val="both"/>
        <w:rPr>
          <w:rFonts w:ascii="Bookman Old Style" w:hAnsi="Bookman Old Style"/>
        </w:rPr>
      </w:pPr>
    </w:p>
    <w:p w:rsidR="00565BAF" w:rsidRPr="00417E03" w:rsidRDefault="00EA10D1" w:rsidP="00531EB1">
      <w:pPr>
        <w:ind w:left="0"/>
        <w:contextualSpacing/>
        <w:jc w:val="both"/>
        <w:rPr>
          <w:rFonts w:ascii="Bookman Old Style" w:hAnsi="Bookman Old Style"/>
        </w:rPr>
      </w:pPr>
      <w:r w:rsidRPr="00417E03">
        <w:rPr>
          <w:rFonts w:ascii="Bookman Old Style" w:hAnsi="Bookman Old Style"/>
          <w:b/>
        </w:rPr>
        <w:t>Artículo 2o.</w:t>
      </w:r>
      <w:r w:rsidRPr="00417E03">
        <w:rPr>
          <w:rFonts w:ascii="Bookman Old Style" w:hAnsi="Bookman Old Style"/>
        </w:rPr>
        <w:t xml:space="preserve"> </w:t>
      </w:r>
      <w:r w:rsidRPr="00417E03">
        <w:rPr>
          <w:rFonts w:ascii="Bookman Old Style" w:hAnsi="Bookman Old Style"/>
          <w:b/>
        </w:rPr>
        <w:t xml:space="preserve">Disposiciones especiales para la comercialización del GLP importado </w:t>
      </w:r>
      <w:r w:rsidR="00977476" w:rsidRPr="00417E03">
        <w:rPr>
          <w:rFonts w:ascii="Bookman Old Style" w:hAnsi="Bookman Old Style"/>
          <w:b/>
        </w:rPr>
        <w:t xml:space="preserve">y que sea comercializado </w:t>
      </w:r>
      <w:r w:rsidRPr="00417E03">
        <w:rPr>
          <w:rFonts w:ascii="Bookman Old Style" w:hAnsi="Bookman Old Style"/>
          <w:b/>
        </w:rPr>
        <w:t xml:space="preserve">por Ecopetrol con punto de entrega Barrancabermeja. </w:t>
      </w:r>
      <w:r w:rsidR="0045622C" w:rsidRPr="00417E03">
        <w:rPr>
          <w:rFonts w:ascii="Bookman Old Style" w:hAnsi="Bookman Old Style"/>
        </w:rPr>
        <w:t>De manera excepcional y únicamente para la OPC de GLP importado con precio regulado a que hace re</w:t>
      </w:r>
      <w:r w:rsidR="00565BAF" w:rsidRPr="00417E03">
        <w:rPr>
          <w:rFonts w:ascii="Bookman Old Style" w:hAnsi="Bookman Old Style"/>
        </w:rPr>
        <w:t xml:space="preserve">ferencia la </w:t>
      </w:r>
      <w:r w:rsidR="004E692D" w:rsidRPr="00417E03">
        <w:rPr>
          <w:rFonts w:ascii="Bookman Old Style" w:hAnsi="Bookman Old Style"/>
        </w:rPr>
        <w:t xml:space="preserve">parte motiva de la </w:t>
      </w:r>
      <w:r w:rsidR="00565BAF" w:rsidRPr="00417E03">
        <w:rPr>
          <w:rFonts w:ascii="Bookman Old Style" w:hAnsi="Bookman Old Style"/>
        </w:rPr>
        <w:t>presente resolución</w:t>
      </w:r>
      <w:r w:rsidR="00EB4F07" w:rsidRPr="00417E03">
        <w:rPr>
          <w:rFonts w:ascii="Bookman Old Style" w:hAnsi="Bookman Old Style"/>
        </w:rPr>
        <w:t>,</w:t>
      </w:r>
      <w:r w:rsidR="004E692D" w:rsidRPr="00417E03">
        <w:rPr>
          <w:rFonts w:ascii="Bookman Old Style" w:hAnsi="Bookman Old Style"/>
        </w:rPr>
        <w:t xml:space="preserve"> se deberá tener en cuenta las siguientes reglas</w:t>
      </w:r>
      <w:r w:rsidR="00565BAF" w:rsidRPr="00417E03">
        <w:rPr>
          <w:rFonts w:ascii="Bookman Old Style" w:hAnsi="Bookman Old Style"/>
        </w:rPr>
        <w:t>:</w:t>
      </w:r>
      <w:r w:rsidR="00387B29" w:rsidRPr="00417E03">
        <w:rPr>
          <w:rFonts w:ascii="Bookman Old Style" w:hAnsi="Bookman Old Style"/>
        </w:rPr>
        <w:t xml:space="preserve"> </w:t>
      </w:r>
    </w:p>
    <w:p w:rsidR="00565BAF" w:rsidRPr="00417E03" w:rsidRDefault="00565BAF" w:rsidP="00531EB1">
      <w:pPr>
        <w:ind w:left="0"/>
        <w:contextualSpacing/>
        <w:jc w:val="both"/>
        <w:rPr>
          <w:rFonts w:ascii="Bookman Old Style" w:hAnsi="Bookman Old Style"/>
        </w:rPr>
      </w:pPr>
    </w:p>
    <w:p w:rsidR="00565BAF" w:rsidRPr="00417E03" w:rsidRDefault="00565BAF" w:rsidP="00565BAF">
      <w:pPr>
        <w:pStyle w:val="Prrafodelista"/>
        <w:numPr>
          <w:ilvl w:val="0"/>
          <w:numId w:val="30"/>
        </w:numPr>
        <w:contextualSpacing/>
        <w:jc w:val="both"/>
        <w:rPr>
          <w:rFonts w:ascii="Bookman Old Style" w:hAnsi="Bookman Old Style"/>
          <w:sz w:val="24"/>
          <w:szCs w:val="24"/>
        </w:rPr>
      </w:pPr>
      <w:r w:rsidRPr="00417E03">
        <w:rPr>
          <w:rFonts w:ascii="Bookman Old Style" w:hAnsi="Bookman Old Style"/>
          <w:sz w:val="24"/>
          <w:szCs w:val="24"/>
          <w:lang w:val="es-ES"/>
        </w:rPr>
        <w:t>E</w:t>
      </w:r>
      <w:r w:rsidRPr="00417E03">
        <w:rPr>
          <w:rFonts w:ascii="Bookman Old Style" w:hAnsi="Bookman Old Style"/>
          <w:sz w:val="24"/>
          <w:szCs w:val="24"/>
        </w:rPr>
        <w:t xml:space="preserve">l producto se podrá </w:t>
      </w:r>
      <w:r w:rsidR="0045622C" w:rsidRPr="00417E03">
        <w:rPr>
          <w:rFonts w:ascii="Bookman Old Style" w:hAnsi="Bookman Old Style"/>
          <w:sz w:val="24"/>
          <w:szCs w:val="24"/>
        </w:rPr>
        <w:t xml:space="preserve">ofrecer por los menos </w:t>
      </w:r>
      <w:r w:rsidR="00EB4F07" w:rsidRPr="00417E03">
        <w:rPr>
          <w:rFonts w:ascii="Bookman Old Style" w:hAnsi="Bookman Old Style"/>
          <w:sz w:val="24"/>
          <w:szCs w:val="24"/>
        </w:rPr>
        <w:t xml:space="preserve">tres </w:t>
      </w:r>
      <w:r w:rsidR="0045622C" w:rsidRPr="00417E03">
        <w:rPr>
          <w:rFonts w:ascii="Bookman Old Style" w:hAnsi="Bookman Old Style"/>
          <w:sz w:val="24"/>
          <w:szCs w:val="24"/>
        </w:rPr>
        <w:t>(</w:t>
      </w:r>
      <w:r w:rsidR="00EB4F07" w:rsidRPr="00417E03">
        <w:rPr>
          <w:rFonts w:ascii="Bookman Old Style" w:hAnsi="Bookman Old Style"/>
          <w:sz w:val="24"/>
          <w:szCs w:val="24"/>
        </w:rPr>
        <w:t>3</w:t>
      </w:r>
      <w:r w:rsidR="0045622C" w:rsidRPr="00417E03">
        <w:rPr>
          <w:rFonts w:ascii="Bookman Old Style" w:hAnsi="Bookman Old Style"/>
          <w:sz w:val="24"/>
          <w:szCs w:val="24"/>
        </w:rPr>
        <w:t>) día</w:t>
      </w:r>
      <w:r w:rsidR="00EB4F07" w:rsidRPr="00417E03">
        <w:rPr>
          <w:rFonts w:ascii="Bookman Old Style" w:hAnsi="Bookman Old Style"/>
          <w:sz w:val="24"/>
          <w:szCs w:val="24"/>
        </w:rPr>
        <w:t>s</w:t>
      </w:r>
      <w:r w:rsidR="0045622C" w:rsidRPr="00417E03">
        <w:rPr>
          <w:rFonts w:ascii="Bookman Old Style" w:hAnsi="Bookman Old Style"/>
          <w:sz w:val="24"/>
          <w:szCs w:val="24"/>
        </w:rPr>
        <w:t xml:space="preserve"> calendario antes de ejecutarse los contratos de suministro resultantes. </w:t>
      </w:r>
    </w:p>
    <w:p w:rsidR="00565BAF" w:rsidRPr="00417E03" w:rsidRDefault="00565BAF" w:rsidP="00565BAF">
      <w:pPr>
        <w:pStyle w:val="Prrafodelista"/>
        <w:ind w:left="1080"/>
        <w:contextualSpacing/>
        <w:jc w:val="both"/>
        <w:rPr>
          <w:rFonts w:ascii="Bookman Old Style" w:hAnsi="Bookman Old Style"/>
          <w:sz w:val="24"/>
          <w:szCs w:val="24"/>
        </w:rPr>
      </w:pPr>
    </w:p>
    <w:p w:rsidR="00D73EA1" w:rsidRPr="00417E03" w:rsidRDefault="00387B29" w:rsidP="00565BAF">
      <w:pPr>
        <w:pStyle w:val="Prrafodelista"/>
        <w:numPr>
          <w:ilvl w:val="0"/>
          <w:numId w:val="30"/>
        </w:numPr>
        <w:contextualSpacing/>
        <w:jc w:val="both"/>
        <w:rPr>
          <w:rFonts w:ascii="Bookman Old Style" w:hAnsi="Bookman Old Style"/>
          <w:sz w:val="24"/>
          <w:szCs w:val="24"/>
        </w:rPr>
      </w:pPr>
      <w:r w:rsidRPr="00417E03">
        <w:rPr>
          <w:rFonts w:ascii="Bookman Old Style" w:hAnsi="Bookman Old Style"/>
          <w:sz w:val="24"/>
          <w:szCs w:val="24"/>
        </w:rPr>
        <w:t>La duración de los contratos resultantes de la OPC, para el suministro del GLP importado a que hace referencia la presente resolución</w:t>
      </w:r>
      <w:r w:rsidR="004E692D" w:rsidRPr="00417E03">
        <w:rPr>
          <w:rFonts w:ascii="Bookman Old Style" w:hAnsi="Bookman Old Style"/>
          <w:sz w:val="24"/>
          <w:szCs w:val="24"/>
        </w:rPr>
        <w:t>, tendrán como plazo mínimo un (1) mes</w:t>
      </w:r>
      <w:r w:rsidR="00F25A6E" w:rsidRPr="00417E03">
        <w:rPr>
          <w:rFonts w:ascii="Bookman Old Style" w:hAnsi="Bookman Old Style"/>
          <w:sz w:val="24"/>
          <w:szCs w:val="24"/>
        </w:rPr>
        <w:t xml:space="preserve"> y no serán superiores a</w:t>
      </w:r>
      <w:r w:rsidR="004E692D" w:rsidRPr="00417E03">
        <w:rPr>
          <w:rFonts w:ascii="Bookman Old Style" w:hAnsi="Bookman Old Style"/>
          <w:sz w:val="24"/>
          <w:szCs w:val="24"/>
        </w:rPr>
        <w:t xml:space="preserve">l </w:t>
      </w:r>
      <w:r w:rsidR="00EB4F07" w:rsidRPr="00417E03">
        <w:rPr>
          <w:rFonts w:ascii="Bookman Old Style" w:hAnsi="Bookman Old Style"/>
          <w:sz w:val="24"/>
          <w:szCs w:val="24"/>
        </w:rPr>
        <w:t>31 de</w:t>
      </w:r>
      <w:r w:rsidR="004E692D" w:rsidRPr="00417E03">
        <w:rPr>
          <w:rFonts w:ascii="Bookman Old Style" w:hAnsi="Bookman Old Style"/>
          <w:sz w:val="24"/>
          <w:szCs w:val="24"/>
        </w:rPr>
        <w:t xml:space="preserve"> diciembre de 2016</w:t>
      </w:r>
      <w:r w:rsidR="00EB4F07" w:rsidRPr="00417E03">
        <w:rPr>
          <w:rFonts w:ascii="Bookman Old Style" w:hAnsi="Bookman Old Style"/>
          <w:sz w:val="24"/>
          <w:szCs w:val="24"/>
        </w:rPr>
        <w:t>.</w:t>
      </w:r>
      <w:r w:rsidR="00D73EA1" w:rsidRPr="00417E03">
        <w:rPr>
          <w:rFonts w:ascii="Bookman Old Style" w:hAnsi="Bookman Old Style"/>
          <w:sz w:val="24"/>
          <w:szCs w:val="24"/>
        </w:rPr>
        <w:t xml:space="preserve"> </w:t>
      </w:r>
      <w:r w:rsidR="00971A4C" w:rsidRPr="00417E03">
        <w:rPr>
          <w:rFonts w:ascii="Bookman Old Style" w:hAnsi="Bookman Old Style"/>
          <w:sz w:val="24"/>
          <w:szCs w:val="24"/>
        </w:rPr>
        <w:t>Los contratos de suministro c</w:t>
      </w:r>
      <w:r w:rsidR="0085456C" w:rsidRPr="00417E03">
        <w:rPr>
          <w:rFonts w:ascii="Bookman Old Style" w:hAnsi="Bookman Old Style"/>
          <w:sz w:val="24"/>
          <w:szCs w:val="24"/>
        </w:rPr>
        <w:t>ontarán con las mismas</w:t>
      </w:r>
      <w:r w:rsidR="00D73EA1" w:rsidRPr="00417E03">
        <w:rPr>
          <w:rFonts w:ascii="Bookman Old Style" w:hAnsi="Bookman Old Style"/>
          <w:sz w:val="24"/>
          <w:szCs w:val="24"/>
        </w:rPr>
        <w:t xml:space="preserve"> características de firmeza en la entrega y de obligación de compra de las cantidades contratadas definidas para </w:t>
      </w:r>
      <w:r w:rsidR="0085456C" w:rsidRPr="00417E03">
        <w:rPr>
          <w:rFonts w:ascii="Bookman Old Style" w:hAnsi="Bookman Old Style"/>
          <w:sz w:val="24"/>
          <w:szCs w:val="24"/>
        </w:rPr>
        <w:t xml:space="preserve">los contratos resultantes de </w:t>
      </w:r>
      <w:r w:rsidR="00D73EA1" w:rsidRPr="00417E03">
        <w:rPr>
          <w:rFonts w:ascii="Bookman Old Style" w:hAnsi="Bookman Old Style"/>
          <w:sz w:val="24"/>
          <w:szCs w:val="24"/>
        </w:rPr>
        <w:t>la OPC de producción nacional.</w:t>
      </w:r>
    </w:p>
    <w:p w:rsidR="00565BAF" w:rsidRPr="00417E03" w:rsidRDefault="00565BAF" w:rsidP="00565BAF">
      <w:pPr>
        <w:pStyle w:val="Prrafodelista"/>
        <w:rPr>
          <w:rFonts w:ascii="Bookman Old Style" w:hAnsi="Bookman Old Style"/>
          <w:sz w:val="24"/>
          <w:szCs w:val="24"/>
        </w:rPr>
      </w:pPr>
    </w:p>
    <w:p w:rsidR="00565BAF" w:rsidRPr="00417E03" w:rsidRDefault="00565BAF" w:rsidP="00EB4F07">
      <w:pPr>
        <w:pStyle w:val="Prrafodelista"/>
        <w:numPr>
          <w:ilvl w:val="0"/>
          <w:numId w:val="30"/>
        </w:numPr>
        <w:contextualSpacing/>
        <w:jc w:val="both"/>
        <w:rPr>
          <w:rFonts w:ascii="Bookman Old Style" w:hAnsi="Bookman Old Style"/>
          <w:sz w:val="24"/>
          <w:szCs w:val="24"/>
        </w:rPr>
      </w:pPr>
      <w:r w:rsidRPr="00417E03">
        <w:rPr>
          <w:rFonts w:ascii="Bookman Old Style" w:hAnsi="Bookman Old Style"/>
          <w:sz w:val="24"/>
          <w:szCs w:val="24"/>
        </w:rPr>
        <w:lastRenderedPageBreak/>
        <w:t xml:space="preserve">El Comercializador Mayorista de GLP </w:t>
      </w:r>
      <w:r w:rsidR="00422349" w:rsidRPr="00417E03">
        <w:rPr>
          <w:rFonts w:ascii="Bookman Old Style" w:hAnsi="Bookman Old Style"/>
          <w:sz w:val="24"/>
          <w:szCs w:val="24"/>
        </w:rPr>
        <w:t xml:space="preserve">deberá hacer pública </w:t>
      </w:r>
      <w:r w:rsidRPr="00417E03">
        <w:rPr>
          <w:rFonts w:ascii="Bookman Old Style" w:hAnsi="Bookman Old Style"/>
          <w:sz w:val="24"/>
          <w:szCs w:val="24"/>
        </w:rPr>
        <w:t>la fórmula tarifaria para el cálculo de los precios de suministro del GLP y/o los precios que aplicarán</w:t>
      </w:r>
      <w:r w:rsidR="00422349" w:rsidRPr="00417E03">
        <w:rPr>
          <w:rFonts w:ascii="Bookman Old Style" w:hAnsi="Bookman Old Style"/>
          <w:sz w:val="24"/>
          <w:szCs w:val="24"/>
        </w:rPr>
        <w:t xml:space="preserve"> derivados de los contratos de suministro resultantes de la OPC de GLP importado</w:t>
      </w:r>
      <w:r w:rsidR="00EB4F07" w:rsidRPr="00417E03">
        <w:rPr>
          <w:rFonts w:ascii="Bookman Old Style" w:hAnsi="Bookman Old Style"/>
          <w:sz w:val="24"/>
          <w:szCs w:val="24"/>
        </w:rPr>
        <w:t>,</w:t>
      </w:r>
      <w:r w:rsidR="00422349" w:rsidRPr="00417E03">
        <w:rPr>
          <w:rFonts w:ascii="Bookman Old Style" w:hAnsi="Bookman Old Style"/>
          <w:sz w:val="24"/>
          <w:szCs w:val="24"/>
        </w:rPr>
        <w:t xml:space="preserve"> a que hace referencia la presente resolución</w:t>
      </w:r>
      <w:r w:rsidRPr="00417E03">
        <w:rPr>
          <w:rFonts w:ascii="Bookman Old Style" w:hAnsi="Bookman Old Style"/>
          <w:sz w:val="24"/>
          <w:szCs w:val="24"/>
        </w:rPr>
        <w:t xml:space="preserve">, </w:t>
      </w:r>
      <w:r w:rsidR="00EB4F07" w:rsidRPr="00417E03">
        <w:rPr>
          <w:rFonts w:ascii="Bookman Old Style" w:hAnsi="Bookman Old Style"/>
          <w:sz w:val="24"/>
          <w:szCs w:val="24"/>
        </w:rPr>
        <w:t xml:space="preserve">mediante publicación en un periódico de circulación nacional, </w:t>
      </w:r>
      <w:r w:rsidRPr="00417E03">
        <w:rPr>
          <w:rFonts w:ascii="Bookman Old Style" w:hAnsi="Bookman Old Style"/>
          <w:sz w:val="24"/>
          <w:szCs w:val="24"/>
        </w:rPr>
        <w:t xml:space="preserve">con una </w:t>
      </w:r>
      <w:r w:rsidR="00422349" w:rsidRPr="00417E03">
        <w:rPr>
          <w:rFonts w:ascii="Bookman Old Style" w:hAnsi="Bookman Old Style"/>
          <w:sz w:val="24"/>
          <w:szCs w:val="24"/>
        </w:rPr>
        <w:t>antelación de por lo menos tres</w:t>
      </w:r>
      <w:r w:rsidR="00EB4F07" w:rsidRPr="00417E03">
        <w:rPr>
          <w:rFonts w:ascii="Bookman Old Style" w:hAnsi="Bookman Old Style"/>
          <w:sz w:val="24"/>
          <w:szCs w:val="24"/>
        </w:rPr>
        <w:t xml:space="preserve"> (3)</w:t>
      </w:r>
      <w:r w:rsidRPr="00417E03">
        <w:rPr>
          <w:rFonts w:ascii="Bookman Old Style" w:hAnsi="Bookman Old Style"/>
          <w:sz w:val="24"/>
          <w:szCs w:val="24"/>
        </w:rPr>
        <w:t xml:space="preserve"> días a la aplicación de los precios.</w:t>
      </w:r>
    </w:p>
    <w:p w:rsidR="00531EB1" w:rsidRPr="00417E03" w:rsidRDefault="00531EB1" w:rsidP="00C07899">
      <w:pPr>
        <w:ind w:left="0"/>
        <w:contextualSpacing/>
        <w:jc w:val="both"/>
        <w:rPr>
          <w:rFonts w:ascii="Bookman Old Style" w:hAnsi="Bookman Old Style"/>
          <w:b/>
        </w:rPr>
      </w:pPr>
    </w:p>
    <w:p w:rsidR="00831945" w:rsidRPr="00417E03" w:rsidRDefault="00EA10D1" w:rsidP="00831945">
      <w:pPr>
        <w:ind w:left="0"/>
        <w:jc w:val="both"/>
        <w:rPr>
          <w:rFonts w:ascii="Bookman Old Style" w:hAnsi="Bookman Old Style"/>
          <w:i/>
        </w:rPr>
      </w:pPr>
      <w:r w:rsidRPr="00417E03">
        <w:rPr>
          <w:rFonts w:ascii="Bookman Old Style" w:hAnsi="Bookman Old Style"/>
          <w:b/>
        </w:rPr>
        <w:t>Artículo 3</w:t>
      </w:r>
      <w:r w:rsidR="00831945" w:rsidRPr="00417E03">
        <w:rPr>
          <w:rFonts w:ascii="Bookman Old Style" w:hAnsi="Bookman Old Style"/>
          <w:b/>
        </w:rPr>
        <w:t xml:space="preserve">. Vigencia. </w:t>
      </w:r>
      <w:r w:rsidR="00831945" w:rsidRPr="00417E03">
        <w:rPr>
          <w:rFonts w:ascii="Bookman Old Style" w:hAnsi="Bookman Old Style"/>
        </w:rPr>
        <w:t xml:space="preserve">Esta resolución rige a partir de su publicación en el </w:t>
      </w:r>
      <w:r w:rsidR="00831945" w:rsidRPr="00417E03">
        <w:rPr>
          <w:rFonts w:ascii="Bookman Old Style" w:hAnsi="Bookman Old Style"/>
          <w:i/>
        </w:rPr>
        <w:t>Diario Oficial</w:t>
      </w:r>
      <w:r w:rsidR="00831945" w:rsidRPr="00417E03">
        <w:rPr>
          <w:rFonts w:ascii="Bookman Old Style" w:hAnsi="Bookman Old Style"/>
        </w:rPr>
        <w:t xml:space="preserve"> y deroga las normas que le sean contrarias.</w:t>
      </w:r>
    </w:p>
    <w:p w:rsidR="00831945" w:rsidRDefault="00831945" w:rsidP="00831945">
      <w:pPr>
        <w:ind w:left="0"/>
        <w:rPr>
          <w:rFonts w:ascii="Bookman Old Style" w:hAnsi="Bookman Old Style"/>
        </w:rPr>
      </w:pPr>
    </w:p>
    <w:p w:rsidR="00C827D1" w:rsidRPr="00417E03" w:rsidRDefault="00C827D1" w:rsidP="00831945">
      <w:pPr>
        <w:ind w:left="0"/>
        <w:rPr>
          <w:rFonts w:ascii="Bookman Old Style" w:hAnsi="Bookman Old Style"/>
        </w:rPr>
      </w:pPr>
    </w:p>
    <w:p w:rsidR="00831945" w:rsidRPr="00417E03" w:rsidRDefault="00831945" w:rsidP="00831945">
      <w:pPr>
        <w:jc w:val="center"/>
        <w:rPr>
          <w:rFonts w:ascii="Bookman Old Style" w:hAnsi="Bookman Old Style"/>
          <w:b/>
        </w:rPr>
      </w:pPr>
      <w:r w:rsidRPr="00417E03">
        <w:rPr>
          <w:rFonts w:ascii="Bookman Old Style" w:hAnsi="Bookman Old Style"/>
          <w:b/>
        </w:rPr>
        <w:t>PUBLÍQUESE Y CÚMPLASE</w:t>
      </w:r>
    </w:p>
    <w:p w:rsidR="00831945" w:rsidRPr="00417E03" w:rsidRDefault="00831945" w:rsidP="00831945">
      <w:pPr>
        <w:rPr>
          <w:rFonts w:ascii="Bookman Old Style" w:hAnsi="Bookman Old Style"/>
        </w:rPr>
      </w:pPr>
    </w:p>
    <w:p w:rsidR="00831945" w:rsidRPr="00417E03" w:rsidRDefault="00831945" w:rsidP="00831945">
      <w:pPr>
        <w:ind w:left="0"/>
        <w:rPr>
          <w:rFonts w:ascii="Bookman Old Style" w:hAnsi="Bookman Old Style"/>
        </w:rPr>
      </w:pPr>
      <w:r w:rsidRPr="00417E03">
        <w:rPr>
          <w:rFonts w:ascii="Bookman Old Style" w:hAnsi="Bookman Old Style"/>
        </w:rPr>
        <w:t>Dada en Bogotá, D.C.</w:t>
      </w:r>
    </w:p>
    <w:p w:rsidR="00831945" w:rsidRPr="00417E03" w:rsidRDefault="00831945" w:rsidP="00831945">
      <w:pPr>
        <w:ind w:left="0"/>
        <w:rPr>
          <w:rFonts w:ascii="Bookman Old Style" w:hAnsi="Bookman Old Style"/>
        </w:rPr>
      </w:pPr>
    </w:p>
    <w:p w:rsidR="00831945" w:rsidRPr="00417E03" w:rsidRDefault="00831945" w:rsidP="00831945">
      <w:pPr>
        <w:ind w:left="0"/>
        <w:rPr>
          <w:rFonts w:ascii="Bookman Old Style" w:hAnsi="Bookman Old Style" w:cs="Arial"/>
        </w:rPr>
      </w:pPr>
    </w:p>
    <w:p w:rsidR="00831945" w:rsidRPr="00417E03" w:rsidRDefault="00831945" w:rsidP="00831945">
      <w:pPr>
        <w:ind w:left="0"/>
        <w:rPr>
          <w:rFonts w:ascii="Bookman Old Style" w:hAnsi="Bookman Old Style" w:cs="Arial"/>
        </w:rPr>
      </w:pPr>
    </w:p>
    <w:p w:rsidR="00831945" w:rsidRPr="00417E03" w:rsidRDefault="00831945" w:rsidP="00831945">
      <w:pPr>
        <w:ind w:left="0"/>
        <w:rPr>
          <w:rFonts w:ascii="Bookman Old Style" w:hAnsi="Bookman Old Style" w:cs="Arial"/>
        </w:rPr>
      </w:pPr>
    </w:p>
    <w:p w:rsidR="00831945" w:rsidRPr="00417E03" w:rsidRDefault="00831945" w:rsidP="00831945">
      <w:pPr>
        <w:widowControl w:val="0"/>
        <w:ind w:left="0"/>
        <w:rPr>
          <w:rFonts w:ascii="Bookman Old Style" w:hAnsi="Bookman Old Style"/>
        </w:rPr>
      </w:pPr>
    </w:p>
    <w:tbl>
      <w:tblPr>
        <w:tblW w:w="9672" w:type="dxa"/>
        <w:jc w:val="center"/>
        <w:tblLayout w:type="fixed"/>
        <w:tblLook w:val="04A0" w:firstRow="1" w:lastRow="0" w:firstColumn="1" w:lastColumn="0" w:noHBand="0" w:noVBand="1"/>
      </w:tblPr>
      <w:tblGrid>
        <w:gridCol w:w="4836"/>
        <w:gridCol w:w="4836"/>
      </w:tblGrid>
      <w:tr w:rsidR="00831945" w:rsidRPr="00417E03" w:rsidTr="00831945">
        <w:trPr>
          <w:jc w:val="center"/>
        </w:trPr>
        <w:tc>
          <w:tcPr>
            <w:tcW w:w="4838" w:type="dxa"/>
            <w:hideMark/>
          </w:tcPr>
          <w:p w:rsidR="00831945" w:rsidRPr="00417E03" w:rsidRDefault="00831945">
            <w:pPr>
              <w:ind w:left="0" w:right="-288"/>
              <w:jc w:val="center"/>
              <w:rPr>
                <w:rFonts w:ascii="Bookman Old Style" w:hAnsi="Bookman Old Style"/>
                <w:b/>
              </w:rPr>
            </w:pPr>
            <w:r w:rsidRPr="00417E03">
              <w:rPr>
                <w:rFonts w:ascii="Bookman Old Style" w:hAnsi="Bookman Old Style"/>
                <w:b/>
              </w:rPr>
              <w:t>GERMAN ARCE ZAPATA</w:t>
            </w:r>
          </w:p>
          <w:p w:rsidR="00831945" w:rsidRPr="00417E03" w:rsidRDefault="00831945">
            <w:pPr>
              <w:ind w:left="-90" w:right="-160"/>
              <w:jc w:val="center"/>
              <w:rPr>
                <w:rFonts w:ascii="Bookman Old Style" w:hAnsi="Bookman Old Style"/>
                <w:bCs/>
                <w:lang w:val="es-CO"/>
              </w:rPr>
            </w:pPr>
            <w:r w:rsidRPr="00417E03">
              <w:rPr>
                <w:rFonts w:ascii="Bookman Old Style" w:hAnsi="Bookman Old Style"/>
                <w:bCs/>
                <w:lang w:val="es-CO"/>
              </w:rPr>
              <w:t>Ministro de Minas y Energía</w:t>
            </w:r>
          </w:p>
          <w:p w:rsidR="00831945" w:rsidRPr="00417E03" w:rsidRDefault="00831945">
            <w:pPr>
              <w:ind w:left="142"/>
              <w:jc w:val="center"/>
              <w:rPr>
                <w:rFonts w:ascii="Bookman Old Style" w:hAnsi="Bookman Old Style"/>
                <w:bCs/>
                <w:lang w:val="es-CO"/>
              </w:rPr>
            </w:pPr>
            <w:r w:rsidRPr="00417E03">
              <w:rPr>
                <w:rFonts w:ascii="Bookman Old Style" w:hAnsi="Bookman Old Style"/>
                <w:bCs/>
                <w:lang w:val="es-CO"/>
              </w:rPr>
              <w:t>Presidente</w:t>
            </w:r>
          </w:p>
        </w:tc>
        <w:tc>
          <w:tcPr>
            <w:tcW w:w="4838" w:type="dxa"/>
            <w:hideMark/>
          </w:tcPr>
          <w:p w:rsidR="00831945" w:rsidRPr="00417E03" w:rsidRDefault="00831945">
            <w:pPr>
              <w:ind w:left="0"/>
              <w:jc w:val="center"/>
              <w:rPr>
                <w:rFonts w:ascii="Bookman Old Style" w:hAnsi="Bookman Old Style"/>
                <w:b/>
              </w:rPr>
            </w:pPr>
            <w:r w:rsidRPr="00417E03">
              <w:rPr>
                <w:rFonts w:ascii="Bookman Old Style" w:hAnsi="Bookman Old Style"/>
                <w:b/>
              </w:rPr>
              <w:t>JORGE PINTO NOLLA</w:t>
            </w:r>
          </w:p>
          <w:p w:rsidR="00831945" w:rsidRPr="00417E03" w:rsidRDefault="00831945">
            <w:pPr>
              <w:ind w:left="0"/>
              <w:jc w:val="center"/>
              <w:rPr>
                <w:rFonts w:ascii="Bookman Old Style" w:hAnsi="Bookman Old Style"/>
              </w:rPr>
            </w:pPr>
            <w:r w:rsidRPr="00417E03">
              <w:rPr>
                <w:rFonts w:ascii="Bookman Old Style" w:hAnsi="Bookman Old Style"/>
              </w:rPr>
              <w:t>Director Ejecutivo</w:t>
            </w:r>
          </w:p>
        </w:tc>
      </w:tr>
    </w:tbl>
    <w:p w:rsidR="00831945" w:rsidRPr="00417E03" w:rsidRDefault="00831945" w:rsidP="00831945">
      <w:pPr>
        <w:ind w:left="0"/>
        <w:rPr>
          <w:rFonts w:ascii="Bookman Old Style" w:hAnsi="Bookman Old Style" w:cs="Arial"/>
        </w:rPr>
      </w:pPr>
    </w:p>
    <w:p w:rsidR="00831945" w:rsidRPr="00417E03" w:rsidRDefault="00831945" w:rsidP="00831945"/>
    <w:p w:rsidR="0085456C" w:rsidRPr="00417E03" w:rsidRDefault="0085456C" w:rsidP="00C07899">
      <w:pPr>
        <w:ind w:left="0"/>
        <w:contextualSpacing/>
        <w:jc w:val="both"/>
        <w:rPr>
          <w:rFonts w:ascii="Bookman Old Style" w:hAnsi="Bookman Old Style"/>
          <w:b/>
        </w:rPr>
      </w:pPr>
    </w:p>
    <w:sectPr w:rsidR="0085456C" w:rsidRPr="00417E03"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39D" w:rsidRDefault="0067339D">
      <w:r>
        <w:separator/>
      </w:r>
    </w:p>
  </w:endnote>
  <w:endnote w:type="continuationSeparator" w:id="0">
    <w:p w:rsidR="0067339D" w:rsidRDefault="0067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39D" w:rsidRDefault="0067339D">
      <w:r>
        <w:separator/>
      </w:r>
    </w:p>
  </w:footnote>
  <w:footnote w:type="continuationSeparator" w:id="0">
    <w:p w:rsidR="0067339D" w:rsidRDefault="0067339D">
      <w:r>
        <w:continuationSeparator/>
      </w:r>
    </w:p>
  </w:footnote>
  <w:footnote w:id="1">
    <w:p w:rsidR="00EB4F07" w:rsidRPr="006428D2" w:rsidRDefault="00EB4F07" w:rsidP="007071BB">
      <w:pPr>
        <w:pStyle w:val="Textonotapie"/>
        <w:ind w:left="0"/>
        <w:jc w:val="both"/>
        <w:rPr>
          <w:rFonts w:ascii="Bookman Old Style" w:hAnsi="Bookman Old Style" w:cs="Arial"/>
          <w:sz w:val="16"/>
          <w:szCs w:val="16"/>
        </w:rPr>
      </w:pPr>
      <w:r w:rsidRPr="00A51EFB">
        <w:rPr>
          <w:rStyle w:val="Refdenotaalpie"/>
          <w:rFonts w:ascii="Bookman Old Style" w:hAnsi="Bookman Old Style" w:cs="Arial"/>
          <w:sz w:val="16"/>
          <w:szCs w:val="16"/>
          <w:vertAlign w:val="baseline"/>
        </w:rPr>
        <w:footnoteRef/>
      </w:r>
      <w:r w:rsidRPr="00A51EFB">
        <w:rPr>
          <w:rFonts w:ascii="Bookman Old Style" w:hAnsi="Bookman Old Style" w:cs="Arial"/>
          <w:sz w:val="16"/>
          <w:szCs w:val="16"/>
        </w:rPr>
        <w:t xml:space="preserve"> </w:t>
      </w:r>
      <w:r w:rsidRPr="00A51EFB">
        <w:rPr>
          <w:rFonts w:ascii="Bookman Old Style" w:eastAsia="Calibri" w:hAnsi="Bookman Old Style" w:cs="Arial"/>
          <w:sz w:val="16"/>
          <w:szCs w:val="16"/>
          <w:lang w:val="es-CO" w:eastAsia="en-US"/>
        </w:rPr>
        <w:t>En</w:t>
      </w:r>
      <w:r w:rsidRPr="00A51EFB">
        <w:rPr>
          <w:rFonts w:ascii="Bookman Old Style" w:hAnsi="Bookman Old Style" w:cs="Arial"/>
          <w:sz w:val="16"/>
          <w:szCs w:val="16"/>
        </w:rPr>
        <w:t xml:space="preserve"> el caso de Ecopetrol, agente con p</w:t>
      </w:r>
      <w:r>
        <w:rPr>
          <w:rFonts w:ascii="Bookman Old Style" w:hAnsi="Bookman Old Style" w:cs="Arial"/>
          <w:sz w:val="16"/>
          <w:szCs w:val="16"/>
        </w:rPr>
        <w:t>osición dominante en el mercado</w:t>
      </w:r>
      <w:r w:rsidRPr="00A51EFB">
        <w:rPr>
          <w:rFonts w:ascii="Bookman Old Style" w:hAnsi="Bookman Old Style" w:cs="Arial"/>
          <w:sz w:val="16"/>
          <w:szCs w:val="16"/>
        </w:rPr>
        <w:t xml:space="preserve">, la CREG estableció un precio regulado para el producto proveniente de las principales fuentes de producción nacional, es decir Barranca, </w:t>
      </w:r>
      <w:proofErr w:type="spellStart"/>
      <w:r w:rsidRPr="00A51EFB">
        <w:rPr>
          <w:rFonts w:ascii="Bookman Old Style" w:hAnsi="Bookman Old Style" w:cs="Arial"/>
          <w:sz w:val="16"/>
          <w:szCs w:val="16"/>
        </w:rPr>
        <w:t>Apiay</w:t>
      </w:r>
      <w:proofErr w:type="spellEnd"/>
      <w:r w:rsidRPr="00A51EFB">
        <w:rPr>
          <w:rFonts w:ascii="Bookman Old Style" w:hAnsi="Bookman Old Style" w:cs="Arial"/>
          <w:sz w:val="16"/>
          <w:szCs w:val="16"/>
        </w:rPr>
        <w:t xml:space="preserve"> y Cartagena equivalente a la paridad de exportación. Considerando la eventual necesidad de hacer  importaciones marginales, </w:t>
      </w:r>
      <w:r w:rsidRPr="006428D2">
        <w:rPr>
          <w:rFonts w:ascii="Bookman Old Style" w:hAnsi="Bookman Old Style" w:cs="Arial"/>
          <w:sz w:val="16"/>
          <w:szCs w:val="16"/>
        </w:rPr>
        <w:t>aquellas que sean realizadas por Ecopetrol también tienen un precio regulado equivalente al costo de importación más un 8% de margen de comercialización, siempre y cuando las mismas se hagan para atender incrementos de la demanda y no para cubrir desviaciones de producción previamente contratadas.</w:t>
      </w:r>
    </w:p>
    <w:p w:rsidR="00EB4F07" w:rsidRPr="00A51EFB" w:rsidRDefault="00EB4F07" w:rsidP="007071BB">
      <w:pPr>
        <w:pStyle w:val="Textonotapie"/>
        <w:ind w:left="0"/>
        <w:jc w:val="both"/>
        <w:rPr>
          <w:rFonts w:ascii="Bookman Old Style" w:hAnsi="Bookman Old Style" w:cs="Arial"/>
          <w:sz w:val="16"/>
          <w:szCs w:val="16"/>
        </w:rPr>
      </w:pPr>
      <w:r w:rsidRPr="006428D2">
        <w:rPr>
          <w:rFonts w:ascii="Bookman Old Style" w:hAnsi="Bookman Old Style" w:cs="Arial"/>
          <w:sz w:val="16"/>
          <w:szCs w:val="16"/>
        </w:rPr>
        <w:t xml:space="preserve">Así mismo, cuando se hizo el análisis por parte de la CREG para la expedición de la Resolución CREG 066 de 2007 se observó que el </w:t>
      </w:r>
      <w:r>
        <w:rPr>
          <w:rFonts w:ascii="Bookman Old Style" w:hAnsi="Bookman Old Style" w:cs="Arial"/>
          <w:sz w:val="16"/>
          <w:szCs w:val="16"/>
        </w:rPr>
        <w:t>c</w:t>
      </w:r>
      <w:r w:rsidRPr="006428D2">
        <w:rPr>
          <w:rFonts w:ascii="Bookman Old Style" w:hAnsi="Bookman Old Style" w:cs="Arial"/>
          <w:sz w:val="16"/>
          <w:szCs w:val="16"/>
        </w:rPr>
        <w:t xml:space="preserve">ampo de </w:t>
      </w:r>
      <w:proofErr w:type="spellStart"/>
      <w:r w:rsidRPr="006428D2">
        <w:rPr>
          <w:rFonts w:ascii="Bookman Old Style" w:hAnsi="Bookman Old Style" w:cs="Arial"/>
          <w:sz w:val="16"/>
          <w:szCs w:val="16"/>
        </w:rPr>
        <w:t>Cusiana</w:t>
      </w:r>
      <w:proofErr w:type="spellEnd"/>
      <w:r w:rsidRPr="006428D2">
        <w:rPr>
          <w:rFonts w:ascii="Bookman Old Style" w:hAnsi="Bookman Old Style" w:cs="Arial"/>
          <w:sz w:val="16"/>
          <w:szCs w:val="16"/>
        </w:rPr>
        <w:t xml:space="preserve"> era operado por un agente diferente al comercializador mayorista que en ese momento tenía posición dominante en el mercado y por lo tanto podría considerarse como un posible competidor.</w:t>
      </w:r>
    </w:p>
  </w:footnote>
  <w:footnote w:id="2">
    <w:p w:rsidR="00EB4F07" w:rsidRPr="00A51EFB" w:rsidRDefault="00EB4F07" w:rsidP="007071BB">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Con el propósito de introducir señales para incentivar la entrada de potenciales nuevos comercializadores mayoristas y para eliminar cualquier barrera o indefinición que pudiese presentarse ante una iniciativa privada en este sentido, y buscando además garantizar la seguridad de suministro de producto y crear competencia al inicio de la cadena, la CREG determinó que para el GLP proveniente de otras fuentes o importado por terceros distintos a Ecopetrol, el precio sería fijado libremente por el comercializador mayorista. Sin embargo, la CREG reconoció que inicialmente la entrada de nuevos agentes capaces de dinamizar la competencia no será significativa en la medida en que existen restricciones en la disponibilidad de infraestructura de importación y transporte por ductos para grandes cantidades. Por lo tanto, al menos en el corto plazo, la seguridad de suministro de GLP para atender la demanda nacional de gas combustible seguiría dependiendo casi en su totalidad de Ecopetrol.</w:t>
      </w:r>
    </w:p>
  </w:footnote>
  <w:footnote w:id="3">
    <w:p w:rsidR="00EB4F07" w:rsidRPr="00A51EFB" w:rsidRDefault="00EB4F07" w:rsidP="007071BB">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Ley 142 de 1994, Arts. 1 a 12.</w:t>
      </w:r>
    </w:p>
  </w:footnote>
  <w:footnote w:id="4">
    <w:p w:rsidR="00EB4F07" w:rsidRPr="003F6B65" w:rsidRDefault="00EB4F07" w:rsidP="007071BB">
      <w:pPr>
        <w:pStyle w:val="Textonotapie"/>
        <w:ind w:left="0"/>
        <w:jc w:val="both"/>
        <w:rPr>
          <w:rFonts w:ascii="Bookman Old Style" w:hAnsi="Bookman Old Style" w:cs="Arial"/>
          <w:sz w:val="16"/>
          <w:szCs w:val="16"/>
        </w:rPr>
      </w:pPr>
      <w:r w:rsidRPr="003F6B65">
        <w:rPr>
          <w:rFonts w:ascii="Bookman Old Style" w:hAnsi="Bookman Old Style" w:cs="Arial"/>
          <w:sz w:val="16"/>
          <w:szCs w:val="16"/>
        </w:rPr>
        <w:footnoteRef/>
      </w:r>
      <w:r w:rsidRPr="003F6B65">
        <w:rPr>
          <w:rFonts w:ascii="Bookman Old Style" w:hAnsi="Bookman Old Style" w:cs="Arial"/>
          <w:sz w:val="16"/>
          <w:szCs w:val="16"/>
        </w:rPr>
        <w:t xml:space="preserve"> Para estos efectos se tuvo en cuenta aspectos como: i) las condiciones de los agentes en el mercado, en especial, la posición dominante y las condiciones monopólicas que ostentaba el productor dentro de la comercialización mayorista del GLP; ii) la estructura del mercado, la cual incluía la posibilidad de hacer transable y competitivo el mercado del GLP, así como las perspectivas a mediano y largo plazo del mercado doméstico de GLP; iii) señales de precio para el abastecimiento del mercado nacional con el GLP producido en el país que permitiera la garantía de la prestación del servicio público domiciliario; iv) el fomento a la competencia para la entrada de nuevos agentes o nuevas fuentes de suministro.</w:t>
      </w:r>
    </w:p>
  </w:footnote>
  <w:footnote w:id="5">
    <w:p w:rsidR="00EB4F07" w:rsidRPr="007B03B8" w:rsidRDefault="00EB4F07" w:rsidP="007B03B8">
      <w:pPr>
        <w:pStyle w:val="Textonotapie"/>
        <w:ind w:left="0"/>
        <w:jc w:val="both"/>
      </w:pPr>
      <w:r w:rsidRPr="007B03B8">
        <w:rPr>
          <w:rFonts w:ascii="Bookman Old Style" w:hAnsi="Bookman Old Style" w:cs="Arial"/>
          <w:sz w:val="16"/>
          <w:szCs w:val="16"/>
        </w:rPr>
        <w:footnoteRef/>
      </w:r>
      <w:r w:rsidRPr="007B03B8">
        <w:rPr>
          <w:rFonts w:ascii="Bookman Old Style" w:hAnsi="Bookman Old Style" w:cs="Arial"/>
          <w:sz w:val="16"/>
          <w:szCs w:val="16"/>
        </w:rPr>
        <w:t xml:space="preserve"> Dentro de los fines y objetivos perseguidos por la regulación en materia de comercialización mayorista a través de dicho reglamento, se encuentran los previstos en el artículo 3 de la Resolución CREG 053 de 2011, cuando establece que el acceso al producto no se debe convertir en una barrera para la competencia en la distribución y comercialización minorista de GLP o en una ventaja para aumentar la posición dominante de algún agente. Se busca una asignación del producto: i) justa, en igualdad de oportunidades de compra para todos los interesados; ii) transparente, para hacer claros los resultados de la asignación; iii) eficiente, reflejando la disponibilidad a pagar por parte de la demanda.</w:t>
      </w:r>
      <w:r w:rsidRPr="00D12CCC">
        <w:t xml:space="preserve"> </w:t>
      </w:r>
      <w:r w:rsidRPr="00D12CCC">
        <w:rPr>
          <w:rFonts w:ascii="Bookman Old Style" w:hAnsi="Bookman Old Style" w:cs="Arial"/>
          <w:sz w:val="16"/>
          <w:szCs w:val="16"/>
        </w:rPr>
        <w:t>En este sentido, el diseño de este mecanismo para asignar el producto con precio regulado, mediante la aplicación del reglamento de comercialización mayorista de GLP, se hizo a fin de garantizar en dicha asignación condiciones transparentes y no discriminatorias, poder contar permanentemente con una adecuada estimación del balance entre oferta y demanda, así como dar la posibilidad a los compradores de contar con una imagen integrada de toda la oferta disponible para tener la posibilidad de hacer ofertas de compra con información completa.</w:t>
      </w:r>
    </w:p>
  </w:footnote>
  <w:footnote w:id="6">
    <w:p w:rsidR="00EB4F07" w:rsidRPr="00BD6AB5" w:rsidRDefault="00EB4F07" w:rsidP="00BD6AB5">
      <w:pPr>
        <w:pStyle w:val="Textonotapie"/>
        <w:ind w:left="0"/>
        <w:jc w:val="both"/>
      </w:pPr>
      <w:r w:rsidRPr="00BD6AB5">
        <w:rPr>
          <w:rFonts w:ascii="Bookman Old Style" w:hAnsi="Bookman Old Style" w:cs="Arial"/>
          <w:sz w:val="16"/>
          <w:szCs w:val="16"/>
        </w:rPr>
        <w:footnoteRef/>
      </w:r>
      <w:r w:rsidRPr="00BD6AB5">
        <w:rPr>
          <w:rFonts w:ascii="Bookman Old Style" w:hAnsi="Bookman Old Style" w:cs="Arial"/>
          <w:sz w:val="16"/>
          <w:szCs w:val="16"/>
        </w:rPr>
        <w:t xml:space="preserve"> Corresponde a la Resolución CREG 121 de 2016.</w:t>
      </w:r>
    </w:p>
  </w:footnote>
  <w:footnote w:id="7">
    <w:p w:rsidR="00EB4F07" w:rsidRPr="007009F8" w:rsidRDefault="00EB4F07" w:rsidP="0064318A">
      <w:pPr>
        <w:pStyle w:val="Textonotapie"/>
        <w:ind w:left="0"/>
        <w:jc w:val="both"/>
        <w:rPr>
          <w:rFonts w:ascii="Bookman Old Style" w:hAnsi="Bookman Old Style" w:cs="Arial"/>
          <w:sz w:val="16"/>
          <w:szCs w:val="16"/>
        </w:rPr>
      </w:pPr>
      <w:r w:rsidRPr="007009F8">
        <w:rPr>
          <w:rFonts w:ascii="Bookman Old Style" w:hAnsi="Bookman Old Style" w:cs="Arial"/>
          <w:sz w:val="16"/>
          <w:szCs w:val="16"/>
        </w:rPr>
        <w:footnoteRef/>
      </w:r>
      <w:r>
        <w:rPr>
          <w:rFonts w:ascii="Bookman Old Style" w:hAnsi="Bookman Old Style" w:cs="Arial"/>
          <w:sz w:val="16"/>
          <w:szCs w:val="16"/>
        </w:rPr>
        <w:t xml:space="preserve"> En relación con lo anterior</w:t>
      </w:r>
      <w:r w:rsidRPr="007009F8">
        <w:rPr>
          <w:rFonts w:ascii="Bookman Old Style" w:hAnsi="Bookman Old Style" w:cs="Arial"/>
          <w:sz w:val="16"/>
          <w:szCs w:val="16"/>
        </w:rPr>
        <w:t xml:space="preserve"> se debe tener en cuenta que la regulación es una actividad continua que comprende el seguimiento de la evolución del sector correspondiente y que implica la adopción de diversos tipos de decisiones y actos adecuados tanto a orientar la dinámica del sector hacia los fines que la justifican en cada caso, como 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p>
    <w:p w:rsidR="00EB4F07" w:rsidRPr="007009F8" w:rsidRDefault="00EB4F07" w:rsidP="0064318A">
      <w:pPr>
        <w:pStyle w:val="Textonotapie"/>
        <w:ind w:left="0"/>
        <w:jc w:val="both"/>
        <w:rPr>
          <w:rFonts w:ascii="Bookman Old Style" w:hAnsi="Bookman Old Style" w:cs="Arial"/>
          <w:sz w:val="16"/>
          <w:szCs w:val="16"/>
        </w:rPr>
      </w:pPr>
      <w:r>
        <w:rPr>
          <w:rFonts w:ascii="Bookman Old Style" w:hAnsi="Bookman Old Style" w:cs="Arial"/>
          <w:sz w:val="16"/>
          <w:szCs w:val="16"/>
        </w:rPr>
        <w:t>De acuerdo con lo anterior</w:t>
      </w:r>
      <w:r w:rsidRPr="007009F8">
        <w:rPr>
          <w:rFonts w:ascii="Bookman Old Style" w:hAnsi="Bookman Old Style" w:cs="Arial"/>
          <w:sz w:val="16"/>
          <w:szCs w:val="16"/>
        </w:rPr>
        <w:t xml:space="preserve">, las medidas regulatorias que se adopten </w:t>
      </w:r>
      <w:r>
        <w:rPr>
          <w:rFonts w:ascii="Bookman Old Style" w:hAnsi="Bookman Old Style" w:cs="Arial"/>
          <w:sz w:val="16"/>
          <w:szCs w:val="16"/>
        </w:rPr>
        <w:t>deben propender de acuerdo con lo expuesto por parte de la jurisprudencia constitucional</w:t>
      </w:r>
      <w:r w:rsidRPr="007009F8">
        <w:rPr>
          <w:rFonts w:ascii="Bookman Old Style" w:hAnsi="Bookman Old Style" w:cs="Arial"/>
          <w:sz w:val="16"/>
          <w:szCs w:val="16"/>
        </w:rPr>
        <w:t xml:space="preserve"> por la convergencia entre los intereses colectivos que persigue la prestación de los servicios públicos, como por aquellos intereses de las empresas en relación con la competencia, la iniciativa privada y la libertad de empresa, entendidas como la existencia de “relaciones jurídicas de equilibrio entre usuarios y las empresas prestadoras de servicios públicos domiciliarios”.</w:t>
      </w:r>
    </w:p>
    <w:p w:rsidR="00EB4F07" w:rsidRPr="007009F8" w:rsidRDefault="00EB4F07" w:rsidP="0064318A">
      <w:pPr>
        <w:pStyle w:val="Textonotapie"/>
        <w:ind w:left="0"/>
        <w:jc w:val="both"/>
        <w:rPr>
          <w:rFonts w:ascii="Bookman Old Style" w:hAnsi="Bookman Old Style" w:cs="Arial"/>
          <w:sz w:val="16"/>
          <w:szCs w:val="16"/>
        </w:rPr>
      </w:pPr>
      <w:r w:rsidRPr="007009F8">
        <w:rPr>
          <w:rFonts w:ascii="Bookman Old Style" w:hAnsi="Bookman Old Style" w:cs="Arial"/>
          <w:sz w:val="16"/>
          <w:szCs w:val="16"/>
        </w:rPr>
        <w:t>Dicha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p>
  </w:footnote>
  <w:footnote w:id="8">
    <w:p w:rsidR="00EB4F07" w:rsidRDefault="00EB4F07" w:rsidP="00514D38">
      <w:pPr>
        <w:pStyle w:val="Textonotapie"/>
        <w:ind w:left="0"/>
        <w:jc w:val="both"/>
      </w:pPr>
      <w:r w:rsidRPr="00A42C0D">
        <w:rPr>
          <w:rFonts w:ascii="Bookman Old Style" w:hAnsi="Bookman Old Style" w:cs="Arial"/>
          <w:sz w:val="16"/>
          <w:szCs w:val="16"/>
        </w:rPr>
        <w:footnoteRef/>
      </w:r>
      <w:r w:rsidRPr="00A42C0D">
        <w:rPr>
          <w:rFonts w:ascii="Bookman Old Style" w:hAnsi="Bookman Old Style" w:cs="Arial"/>
          <w:sz w:val="16"/>
          <w:szCs w:val="16"/>
        </w:rPr>
        <w:t xml:space="preserve"> Se debe precisar que estas disposiciones se encuentran recogidas actua</w:t>
      </w:r>
      <w:r>
        <w:rPr>
          <w:rFonts w:ascii="Bookman Old Style" w:hAnsi="Bookman Old Style" w:cs="Arial"/>
          <w:sz w:val="16"/>
          <w:szCs w:val="16"/>
        </w:rPr>
        <w:t>lmente en los numerales 2.2.13.1 y siguientes del Decreto 1078</w:t>
      </w:r>
      <w:r w:rsidRPr="00A42C0D">
        <w:rPr>
          <w:rFonts w:ascii="Bookman Old Style" w:hAnsi="Bookman Old Style" w:cs="Arial"/>
          <w:sz w:val="16"/>
          <w:szCs w:val="16"/>
        </w:rPr>
        <w:t xml:space="preserve"> de 2015.</w:t>
      </w:r>
    </w:p>
  </w:footnote>
  <w:footnote w:id="9">
    <w:p w:rsidR="00EB4F07" w:rsidRPr="00837ECA" w:rsidRDefault="00EB4F07" w:rsidP="00C25448">
      <w:pPr>
        <w:pStyle w:val="Textonotapie"/>
        <w:ind w:left="0"/>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F07" w:rsidRDefault="00EB4F07" w:rsidP="00951F79">
    <w:pPr>
      <w:pStyle w:val="Ttulo1"/>
      <w:ind w:right="6"/>
      <w:jc w:val="left"/>
      <w:rPr>
        <w:rFonts w:ascii="Bookman Old Style" w:hAnsi="Bookman Old Style" w:cs="Arial"/>
        <w:b w:val="0"/>
        <w:sz w:val="22"/>
        <w:szCs w:val="22"/>
      </w:rPr>
    </w:pPr>
  </w:p>
  <w:p w:rsidR="00EB4F07" w:rsidRPr="00951F79" w:rsidRDefault="00EB4F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56A66">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56A66">
      <w:fldChar w:fldCharType="begin"/>
    </w:r>
    <w:r w:rsidR="00056A66">
      <w:instrText xml:space="preserve"> NUMPAGES  \* MERGEFORMAT </w:instrText>
    </w:r>
    <w:r w:rsidR="00056A66">
      <w:fldChar w:fldCharType="separate"/>
    </w:r>
    <w:r w:rsidR="00056A66" w:rsidRPr="00056A66">
      <w:rPr>
        <w:rFonts w:ascii="Bookman Old Style" w:hAnsi="Bookman Old Style" w:cs="Arial"/>
        <w:b w:val="0"/>
        <w:noProof/>
        <w:sz w:val="22"/>
        <w:szCs w:val="22"/>
      </w:rPr>
      <w:t>11</w:t>
    </w:r>
    <w:r w:rsidR="00056A66">
      <w:rPr>
        <w:rFonts w:ascii="Bookman Old Style" w:hAnsi="Bookman Old Style" w:cs="Arial"/>
        <w:b w:val="0"/>
        <w:noProof/>
        <w:sz w:val="22"/>
        <w:szCs w:val="22"/>
      </w:rPr>
      <w:fldChar w:fldCharType="end"/>
    </w:r>
  </w:p>
  <w:p w:rsidR="00EB4F07" w:rsidRDefault="00EB4F07"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7216" behindDoc="0" locked="0" layoutInCell="1" allowOverlap="1" wp14:anchorId="6D2B45B9" wp14:editId="301EBB6D">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4278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827D1" w:rsidRPr="00C827D1" w:rsidRDefault="00C827D1" w:rsidP="00C827D1">
    <w:pPr>
      <w:ind w:left="0"/>
      <w:jc w:val="both"/>
      <w:rPr>
        <w:rFonts w:ascii="Bookman Old Style" w:hAnsi="Bookman Old Style" w:cs="Arial"/>
        <w:color w:val="000000"/>
        <w:sz w:val="22"/>
        <w:szCs w:val="22"/>
      </w:rPr>
    </w:pPr>
    <w:r w:rsidRPr="00C827D1">
      <w:rPr>
        <w:rFonts w:ascii="Bookman Old Style" w:hAnsi="Bookman Old Style" w:cs="Arial"/>
        <w:sz w:val="22"/>
        <w:szCs w:val="22"/>
      </w:rPr>
      <w:t>“</w:t>
    </w:r>
    <w:r w:rsidRPr="00C827D1">
      <w:rPr>
        <w:rFonts w:ascii="Bookman Old Style" w:hAnsi="Bookman Old Style" w:cs="Arial"/>
        <w:color w:val="000000"/>
        <w:sz w:val="22"/>
        <w:szCs w:val="22"/>
      </w:rPr>
      <w:t>Por la cual se adoptan medidas transitorias en relación con el costo de oportunidad del GLP importado y se dictan otras disposiciones especiales en materia de comercialización de GLP”</w:t>
    </w:r>
  </w:p>
  <w:p w:rsidR="00EB4F07" w:rsidRPr="00421700" w:rsidRDefault="00EB4F07" w:rsidP="00C827D1">
    <w:pPr>
      <w:pBdr>
        <w:bottom w:val="single" w:sz="4" w:space="1" w:color="auto"/>
      </w:pBdr>
      <w:ind w:left="142"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F07" w:rsidRDefault="00EB4F0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B4F07" w:rsidRDefault="00EB4F07">
    <w:pPr>
      <w:pStyle w:val="Encabezado"/>
      <w:jc w:val="center"/>
      <w:rPr>
        <w:rFonts w:ascii="Arial" w:hAnsi="Arial" w:cs="Arial"/>
        <w:spacing w:val="20"/>
        <w:sz w:val="20"/>
      </w:rPr>
    </w:pPr>
  </w:p>
  <w:p w:rsidR="00EB4F07" w:rsidRDefault="00EB4F0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60909C2" wp14:editId="43C8240E">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1F77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DD5EC1"/>
    <w:multiLevelType w:val="hybridMultilevel"/>
    <w:tmpl w:val="DC44BB88"/>
    <w:lvl w:ilvl="0" w:tplc="D59407A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D300ED"/>
    <w:multiLevelType w:val="hybridMultilevel"/>
    <w:tmpl w:val="7EECB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1983FCD"/>
    <w:multiLevelType w:val="hybridMultilevel"/>
    <w:tmpl w:val="B9F20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19"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8" w15:restartNumberingAfterBreak="0">
    <w:nsid w:val="792F4B72"/>
    <w:multiLevelType w:val="hybridMultilevel"/>
    <w:tmpl w:val="32D47E6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9"/>
  </w:num>
  <w:num w:numId="4">
    <w:abstractNumId w:val="7"/>
  </w:num>
  <w:num w:numId="5">
    <w:abstractNumId w:val="20"/>
  </w:num>
  <w:num w:numId="6">
    <w:abstractNumId w:val="4"/>
  </w:num>
  <w:num w:numId="7">
    <w:abstractNumId w:val="3"/>
  </w:num>
  <w:num w:numId="8">
    <w:abstractNumId w:val="23"/>
  </w:num>
  <w:num w:numId="9">
    <w:abstractNumId w:val="22"/>
  </w:num>
  <w:num w:numId="10">
    <w:abstractNumId w:val="15"/>
  </w:num>
  <w:num w:numId="11">
    <w:abstractNumId w:val="30"/>
  </w:num>
  <w:num w:numId="12">
    <w:abstractNumId w:val="26"/>
  </w:num>
  <w:num w:numId="13">
    <w:abstractNumId w:val="13"/>
  </w:num>
  <w:num w:numId="14">
    <w:abstractNumId w:val="2"/>
  </w:num>
  <w:num w:numId="15">
    <w:abstractNumId w:val="16"/>
  </w:num>
  <w:num w:numId="16">
    <w:abstractNumId w:val="1"/>
  </w:num>
  <w:num w:numId="17">
    <w:abstractNumId w:val="12"/>
  </w:num>
  <w:num w:numId="18">
    <w:abstractNumId w:val="0"/>
  </w:num>
  <w:num w:numId="19">
    <w:abstractNumId w:val="25"/>
  </w:num>
  <w:num w:numId="20">
    <w:abstractNumId w:val="19"/>
  </w:num>
  <w:num w:numId="21">
    <w:abstractNumId w:val="8"/>
  </w:num>
  <w:num w:numId="22">
    <w:abstractNumId w:val="10"/>
  </w:num>
  <w:num w:numId="23">
    <w:abstractNumId w:val="27"/>
  </w:num>
  <w:num w:numId="24">
    <w:abstractNumId w:val="18"/>
  </w:num>
  <w:num w:numId="25">
    <w:abstractNumId w:val="24"/>
  </w:num>
  <w:num w:numId="26">
    <w:abstractNumId w:val="17"/>
  </w:num>
  <w:num w:numId="27">
    <w:abstractNumId w:val="21"/>
  </w:num>
  <w:num w:numId="28">
    <w:abstractNumId w:val="11"/>
  </w:num>
  <w:num w:numId="29">
    <w:abstractNumId w:val="28"/>
  </w:num>
  <w:num w:numId="30">
    <w:abstractNumId w:val="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503E"/>
    <w:rsid w:val="00006AE2"/>
    <w:rsid w:val="000071F6"/>
    <w:rsid w:val="000076A1"/>
    <w:rsid w:val="00012259"/>
    <w:rsid w:val="00013272"/>
    <w:rsid w:val="000160AD"/>
    <w:rsid w:val="000212FD"/>
    <w:rsid w:val="000231D5"/>
    <w:rsid w:val="00025383"/>
    <w:rsid w:val="0003344C"/>
    <w:rsid w:val="00042D02"/>
    <w:rsid w:val="00045D3D"/>
    <w:rsid w:val="00056A66"/>
    <w:rsid w:val="00062C6F"/>
    <w:rsid w:val="00063657"/>
    <w:rsid w:val="000643E9"/>
    <w:rsid w:val="00067BE8"/>
    <w:rsid w:val="00070155"/>
    <w:rsid w:val="00070799"/>
    <w:rsid w:val="000711E4"/>
    <w:rsid w:val="000716FC"/>
    <w:rsid w:val="00076680"/>
    <w:rsid w:val="00076A1D"/>
    <w:rsid w:val="0008073E"/>
    <w:rsid w:val="00081739"/>
    <w:rsid w:val="000831E9"/>
    <w:rsid w:val="00083BD1"/>
    <w:rsid w:val="000901A8"/>
    <w:rsid w:val="00091CDB"/>
    <w:rsid w:val="000A19AC"/>
    <w:rsid w:val="000A5655"/>
    <w:rsid w:val="000B1F9B"/>
    <w:rsid w:val="000B2EC9"/>
    <w:rsid w:val="000B5BB2"/>
    <w:rsid w:val="000C137E"/>
    <w:rsid w:val="000C5161"/>
    <w:rsid w:val="000C5738"/>
    <w:rsid w:val="000C7728"/>
    <w:rsid w:val="000D26F8"/>
    <w:rsid w:val="000E0E85"/>
    <w:rsid w:val="000F165C"/>
    <w:rsid w:val="000F5513"/>
    <w:rsid w:val="00106654"/>
    <w:rsid w:val="001151E1"/>
    <w:rsid w:val="00115313"/>
    <w:rsid w:val="00117256"/>
    <w:rsid w:val="0012180A"/>
    <w:rsid w:val="0013521E"/>
    <w:rsid w:val="0013526C"/>
    <w:rsid w:val="001405C6"/>
    <w:rsid w:val="00141013"/>
    <w:rsid w:val="00146A97"/>
    <w:rsid w:val="00155A7B"/>
    <w:rsid w:val="00155B9B"/>
    <w:rsid w:val="001651AE"/>
    <w:rsid w:val="00170282"/>
    <w:rsid w:val="00172BF4"/>
    <w:rsid w:val="0017761A"/>
    <w:rsid w:val="00181A77"/>
    <w:rsid w:val="001828E3"/>
    <w:rsid w:val="001829CA"/>
    <w:rsid w:val="0018400C"/>
    <w:rsid w:val="00190ECF"/>
    <w:rsid w:val="00192CBF"/>
    <w:rsid w:val="00192FF1"/>
    <w:rsid w:val="0019374F"/>
    <w:rsid w:val="001A5F1B"/>
    <w:rsid w:val="001B1C22"/>
    <w:rsid w:val="001B316E"/>
    <w:rsid w:val="001B34C6"/>
    <w:rsid w:val="001B6907"/>
    <w:rsid w:val="001C6641"/>
    <w:rsid w:val="001D016D"/>
    <w:rsid w:val="001D645A"/>
    <w:rsid w:val="001D7832"/>
    <w:rsid w:val="001E0A71"/>
    <w:rsid w:val="001E0ADC"/>
    <w:rsid w:val="001E1616"/>
    <w:rsid w:val="001E25FF"/>
    <w:rsid w:val="001E3A15"/>
    <w:rsid w:val="001F01DF"/>
    <w:rsid w:val="001F336C"/>
    <w:rsid w:val="001F3F66"/>
    <w:rsid w:val="001F6046"/>
    <w:rsid w:val="00200130"/>
    <w:rsid w:val="002006AA"/>
    <w:rsid w:val="002014FB"/>
    <w:rsid w:val="00203510"/>
    <w:rsid w:val="00204FB8"/>
    <w:rsid w:val="0021028D"/>
    <w:rsid w:val="00210DC1"/>
    <w:rsid w:val="00211D34"/>
    <w:rsid w:val="00214F04"/>
    <w:rsid w:val="00220BAE"/>
    <w:rsid w:val="002255C7"/>
    <w:rsid w:val="00225C74"/>
    <w:rsid w:val="0023102B"/>
    <w:rsid w:val="002331A2"/>
    <w:rsid w:val="002352B9"/>
    <w:rsid w:val="00240E06"/>
    <w:rsid w:val="00251EB7"/>
    <w:rsid w:val="00253C89"/>
    <w:rsid w:val="00266CD6"/>
    <w:rsid w:val="002673AC"/>
    <w:rsid w:val="0026766F"/>
    <w:rsid w:val="00267860"/>
    <w:rsid w:val="00272F8D"/>
    <w:rsid w:val="00275DAB"/>
    <w:rsid w:val="002801CC"/>
    <w:rsid w:val="00283932"/>
    <w:rsid w:val="0028701A"/>
    <w:rsid w:val="002903C0"/>
    <w:rsid w:val="002927E2"/>
    <w:rsid w:val="002A23E6"/>
    <w:rsid w:val="002A511E"/>
    <w:rsid w:val="002A5B32"/>
    <w:rsid w:val="002A782A"/>
    <w:rsid w:val="002A7E18"/>
    <w:rsid w:val="002B11E2"/>
    <w:rsid w:val="002B24B8"/>
    <w:rsid w:val="002C1B57"/>
    <w:rsid w:val="002C7D29"/>
    <w:rsid w:val="002D17C0"/>
    <w:rsid w:val="002D3AE9"/>
    <w:rsid w:val="002D4510"/>
    <w:rsid w:val="002E71B2"/>
    <w:rsid w:val="002E7D09"/>
    <w:rsid w:val="002F054D"/>
    <w:rsid w:val="002F0734"/>
    <w:rsid w:val="002F46E7"/>
    <w:rsid w:val="00300CDE"/>
    <w:rsid w:val="003034FA"/>
    <w:rsid w:val="00304AE0"/>
    <w:rsid w:val="00306BD0"/>
    <w:rsid w:val="00307432"/>
    <w:rsid w:val="003101DA"/>
    <w:rsid w:val="003111C3"/>
    <w:rsid w:val="003142BA"/>
    <w:rsid w:val="00314757"/>
    <w:rsid w:val="00314DB7"/>
    <w:rsid w:val="00315BA7"/>
    <w:rsid w:val="003163BC"/>
    <w:rsid w:val="003208F5"/>
    <w:rsid w:val="003211CE"/>
    <w:rsid w:val="00322FEB"/>
    <w:rsid w:val="00323F4B"/>
    <w:rsid w:val="00335684"/>
    <w:rsid w:val="00346F77"/>
    <w:rsid w:val="00352CBF"/>
    <w:rsid w:val="0035403A"/>
    <w:rsid w:val="0035423F"/>
    <w:rsid w:val="00356C05"/>
    <w:rsid w:val="0036394B"/>
    <w:rsid w:val="00363C55"/>
    <w:rsid w:val="00366DB6"/>
    <w:rsid w:val="00366ECD"/>
    <w:rsid w:val="0036796E"/>
    <w:rsid w:val="003709B5"/>
    <w:rsid w:val="00374B49"/>
    <w:rsid w:val="003759C2"/>
    <w:rsid w:val="00381CAD"/>
    <w:rsid w:val="00385A60"/>
    <w:rsid w:val="00387B29"/>
    <w:rsid w:val="00394CCE"/>
    <w:rsid w:val="00397365"/>
    <w:rsid w:val="003A247C"/>
    <w:rsid w:val="003A31F6"/>
    <w:rsid w:val="003A528F"/>
    <w:rsid w:val="003A65C9"/>
    <w:rsid w:val="003B61B1"/>
    <w:rsid w:val="003B7EA4"/>
    <w:rsid w:val="003C3447"/>
    <w:rsid w:val="003D076C"/>
    <w:rsid w:val="003D48F2"/>
    <w:rsid w:val="003E78B5"/>
    <w:rsid w:val="003F5F1C"/>
    <w:rsid w:val="003F60B9"/>
    <w:rsid w:val="003F6398"/>
    <w:rsid w:val="003F6B65"/>
    <w:rsid w:val="00403BC2"/>
    <w:rsid w:val="00411398"/>
    <w:rsid w:val="00415BAB"/>
    <w:rsid w:val="00415ED2"/>
    <w:rsid w:val="00417E03"/>
    <w:rsid w:val="0042068C"/>
    <w:rsid w:val="00421700"/>
    <w:rsid w:val="0042184D"/>
    <w:rsid w:val="00422349"/>
    <w:rsid w:val="0042263B"/>
    <w:rsid w:val="004315AA"/>
    <w:rsid w:val="00432086"/>
    <w:rsid w:val="0044279D"/>
    <w:rsid w:val="00442C06"/>
    <w:rsid w:val="0044318E"/>
    <w:rsid w:val="00443B35"/>
    <w:rsid w:val="004458F6"/>
    <w:rsid w:val="00445E36"/>
    <w:rsid w:val="0045622C"/>
    <w:rsid w:val="004571A4"/>
    <w:rsid w:val="004700B3"/>
    <w:rsid w:val="0047122B"/>
    <w:rsid w:val="00472A4C"/>
    <w:rsid w:val="00473B7A"/>
    <w:rsid w:val="00483BF4"/>
    <w:rsid w:val="004857B2"/>
    <w:rsid w:val="00490832"/>
    <w:rsid w:val="004960E9"/>
    <w:rsid w:val="004A2E88"/>
    <w:rsid w:val="004A5182"/>
    <w:rsid w:val="004A52FE"/>
    <w:rsid w:val="004A5305"/>
    <w:rsid w:val="004B79CA"/>
    <w:rsid w:val="004C0288"/>
    <w:rsid w:val="004C4C34"/>
    <w:rsid w:val="004C4C98"/>
    <w:rsid w:val="004D7634"/>
    <w:rsid w:val="004D7696"/>
    <w:rsid w:val="004E37B4"/>
    <w:rsid w:val="004E410D"/>
    <w:rsid w:val="004E611A"/>
    <w:rsid w:val="004E692D"/>
    <w:rsid w:val="004F590D"/>
    <w:rsid w:val="004F6460"/>
    <w:rsid w:val="00502358"/>
    <w:rsid w:val="00503764"/>
    <w:rsid w:val="00511C8C"/>
    <w:rsid w:val="00513775"/>
    <w:rsid w:val="00514D38"/>
    <w:rsid w:val="00523D2F"/>
    <w:rsid w:val="005300D3"/>
    <w:rsid w:val="00531A78"/>
    <w:rsid w:val="00531EB1"/>
    <w:rsid w:val="00542A10"/>
    <w:rsid w:val="00544F70"/>
    <w:rsid w:val="00544F82"/>
    <w:rsid w:val="005459C9"/>
    <w:rsid w:val="00547D77"/>
    <w:rsid w:val="005509D2"/>
    <w:rsid w:val="005574A7"/>
    <w:rsid w:val="00562E2A"/>
    <w:rsid w:val="00562E82"/>
    <w:rsid w:val="00564259"/>
    <w:rsid w:val="00565A32"/>
    <w:rsid w:val="00565BAF"/>
    <w:rsid w:val="00573DB0"/>
    <w:rsid w:val="0058087F"/>
    <w:rsid w:val="00581DC0"/>
    <w:rsid w:val="00583700"/>
    <w:rsid w:val="00583EF3"/>
    <w:rsid w:val="00593C4F"/>
    <w:rsid w:val="005946A8"/>
    <w:rsid w:val="00595368"/>
    <w:rsid w:val="00597EE7"/>
    <w:rsid w:val="005A03B9"/>
    <w:rsid w:val="005A4407"/>
    <w:rsid w:val="005A59EF"/>
    <w:rsid w:val="005A70AD"/>
    <w:rsid w:val="005B1C7E"/>
    <w:rsid w:val="005B390F"/>
    <w:rsid w:val="005B412E"/>
    <w:rsid w:val="005B4C18"/>
    <w:rsid w:val="005C6976"/>
    <w:rsid w:val="005C6C19"/>
    <w:rsid w:val="005C6E73"/>
    <w:rsid w:val="005D200B"/>
    <w:rsid w:val="005E0CFA"/>
    <w:rsid w:val="005E46BF"/>
    <w:rsid w:val="005E619B"/>
    <w:rsid w:val="005F08C5"/>
    <w:rsid w:val="005F6E30"/>
    <w:rsid w:val="005F6F41"/>
    <w:rsid w:val="006106FA"/>
    <w:rsid w:val="006200AB"/>
    <w:rsid w:val="00625DC6"/>
    <w:rsid w:val="00627B63"/>
    <w:rsid w:val="00630022"/>
    <w:rsid w:val="006301B1"/>
    <w:rsid w:val="0064273A"/>
    <w:rsid w:val="006428D2"/>
    <w:rsid w:val="0064318A"/>
    <w:rsid w:val="0064391D"/>
    <w:rsid w:val="0064719D"/>
    <w:rsid w:val="00650F86"/>
    <w:rsid w:val="00651821"/>
    <w:rsid w:val="006522CA"/>
    <w:rsid w:val="006525B3"/>
    <w:rsid w:val="00654384"/>
    <w:rsid w:val="00660DB0"/>
    <w:rsid w:val="00661DF3"/>
    <w:rsid w:val="006675CD"/>
    <w:rsid w:val="0067339D"/>
    <w:rsid w:val="0067642F"/>
    <w:rsid w:val="00676E8D"/>
    <w:rsid w:val="00680B6E"/>
    <w:rsid w:val="006818AB"/>
    <w:rsid w:val="006822BE"/>
    <w:rsid w:val="00683C2A"/>
    <w:rsid w:val="00683F16"/>
    <w:rsid w:val="00684D9B"/>
    <w:rsid w:val="0068510A"/>
    <w:rsid w:val="006875B4"/>
    <w:rsid w:val="006926D9"/>
    <w:rsid w:val="0069281E"/>
    <w:rsid w:val="00693BC8"/>
    <w:rsid w:val="006972FD"/>
    <w:rsid w:val="00697556"/>
    <w:rsid w:val="006A1FC0"/>
    <w:rsid w:val="006B0E5F"/>
    <w:rsid w:val="006B12FB"/>
    <w:rsid w:val="006B3D69"/>
    <w:rsid w:val="006B4114"/>
    <w:rsid w:val="006B4647"/>
    <w:rsid w:val="006B4C2B"/>
    <w:rsid w:val="006B6194"/>
    <w:rsid w:val="006B6D47"/>
    <w:rsid w:val="006C548A"/>
    <w:rsid w:val="006C5AFE"/>
    <w:rsid w:val="006D5B22"/>
    <w:rsid w:val="006E4C67"/>
    <w:rsid w:val="006E6CE7"/>
    <w:rsid w:val="006F0143"/>
    <w:rsid w:val="006F2EC8"/>
    <w:rsid w:val="006F4941"/>
    <w:rsid w:val="006F669D"/>
    <w:rsid w:val="006F6D95"/>
    <w:rsid w:val="006F6F53"/>
    <w:rsid w:val="007009F8"/>
    <w:rsid w:val="00706F13"/>
    <w:rsid w:val="007071BB"/>
    <w:rsid w:val="007072E8"/>
    <w:rsid w:val="0071618D"/>
    <w:rsid w:val="00720721"/>
    <w:rsid w:val="0072440E"/>
    <w:rsid w:val="00725FA4"/>
    <w:rsid w:val="00730F03"/>
    <w:rsid w:val="00731266"/>
    <w:rsid w:val="0073688E"/>
    <w:rsid w:val="00740446"/>
    <w:rsid w:val="0074256A"/>
    <w:rsid w:val="007438A9"/>
    <w:rsid w:val="0074491E"/>
    <w:rsid w:val="00745568"/>
    <w:rsid w:val="00760CBC"/>
    <w:rsid w:val="0076247A"/>
    <w:rsid w:val="00766064"/>
    <w:rsid w:val="00773444"/>
    <w:rsid w:val="007744CB"/>
    <w:rsid w:val="00775964"/>
    <w:rsid w:val="007765FE"/>
    <w:rsid w:val="007766B2"/>
    <w:rsid w:val="00780826"/>
    <w:rsid w:val="00783769"/>
    <w:rsid w:val="00784EF6"/>
    <w:rsid w:val="00794E2E"/>
    <w:rsid w:val="00795BFB"/>
    <w:rsid w:val="007A0C27"/>
    <w:rsid w:val="007A19A9"/>
    <w:rsid w:val="007B03B8"/>
    <w:rsid w:val="007B09AC"/>
    <w:rsid w:val="007B2760"/>
    <w:rsid w:val="007B5838"/>
    <w:rsid w:val="007C3AF7"/>
    <w:rsid w:val="007C7343"/>
    <w:rsid w:val="007D3E7E"/>
    <w:rsid w:val="007D60EF"/>
    <w:rsid w:val="007E07E5"/>
    <w:rsid w:val="007E572C"/>
    <w:rsid w:val="007F0040"/>
    <w:rsid w:val="007F428A"/>
    <w:rsid w:val="007F4FC4"/>
    <w:rsid w:val="00806713"/>
    <w:rsid w:val="00806C01"/>
    <w:rsid w:val="00810B35"/>
    <w:rsid w:val="008148CC"/>
    <w:rsid w:val="00820159"/>
    <w:rsid w:val="00820408"/>
    <w:rsid w:val="008211A4"/>
    <w:rsid w:val="008238A7"/>
    <w:rsid w:val="00827041"/>
    <w:rsid w:val="00831945"/>
    <w:rsid w:val="0083410E"/>
    <w:rsid w:val="00835F20"/>
    <w:rsid w:val="00837ECA"/>
    <w:rsid w:val="00843B8C"/>
    <w:rsid w:val="00844822"/>
    <w:rsid w:val="0084693A"/>
    <w:rsid w:val="00846C96"/>
    <w:rsid w:val="00851E26"/>
    <w:rsid w:val="0085456C"/>
    <w:rsid w:val="00860FD3"/>
    <w:rsid w:val="00863E90"/>
    <w:rsid w:val="00864B97"/>
    <w:rsid w:val="008706CA"/>
    <w:rsid w:val="008713EC"/>
    <w:rsid w:val="00873150"/>
    <w:rsid w:val="0087657D"/>
    <w:rsid w:val="0088045B"/>
    <w:rsid w:val="008807D5"/>
    <w:rsid w:val="00880832"/>
    <w:rsid w:val="008822F5"/>
    <w:rsid w:val="008823D8"/>
    <w:rsid w:val="00886EE1"/>
    <w:rsid w:val="0088727D"/>
    <w:rsid w:val="008874A7"/>
    <w:rsid w:val="008875B6"/>
    <w:rsid w:val="00890088"/>
    <w:rsid w:val="0089034A"/>
    <w:rsid w:val="008955B4"/>
    <w:rsid w:val="00897A7E"/>
    <w:rsid w:val="00897C75"/>
    <w:rsid w:val="008B14A3"/>
    <w:rsid w:val="008B7183"/>
    <w:rsid w:val="008C1130"/>
    <w:rsid w:val="008C2771"/>
    <w:rsid w:val="008C2854"/>
    <w:rsid w:val="008C58F6"/>
    <w:rsid w:val="008D18E6"/>
    <w:rsid w:val="008D18ED"/>
    <w:rsid w:val="008D3D83"/>
    <w:rsid w:val="008D486B"/>
    <w:rsid w:val="008D7A9B"/>
    <w:rsid w:val="008E0060"/>
    <w:rsid w:val="008E69D3"/>
    <w:rsid w:val="008E7091"/>
    <w:rsid w:val="008E76AC"/>
    <w:rsid w:val="008F21F6"/>
    <w:rsid w:val="00901B09"/>
    <w:rsid w:val="0091022A"/>
    <w:rsid w:val="00911B7B"/>
    <w:rsid w:val="009140FD"/>
    <w:rsid w:val="009242CC"/>
    <w:rsid w:val="00925535"/>
    <w:rsid w:val="009351FA"/>
    <w:rsid w:val="009409E7"/>
    <w:rsid w:val="00947F40"/>
    <w:rsid w:val="00951F79"/>
    <w:rsid w:val="009538AC"/>
    <w:rsid w:val="00954306"/>
    <w:rsid w:val="00954D55"/>
    <w:rsid w:val="00955B3F"/>
    <w:rsid w:val="00956BDD"/>
    <w:rsid w:val="00963AA9"/>
    <w:rsid w:val="00971A4C"/>
    <w:rsid w:val="00972BB7"/>
    <w:rsid w:val="00974AB5"/>
    <w:rsid w:val="00975435"/>
    <w:rsid w:val="00977476"/>
    <w:rsid w:val="0098706D"/>
    <w:rsid w:val="00987C0D"/>
    <w:rsid w:val="0099331D"/>
    <w:rsid w:val="009935FB"/>
    <w:rsid w:val="00994B98"/>
    <w:rsid w:val="00995F1D"/>
    <w:rsid w:val="009A07A3"/>
    <w:rsid w:val="009A0826"/>
    <w:rsid w:val="009A73CA"/>
    <w:rsid w:val="009A7527"/>
    <w:rsid w:val="009B1AD4"/>
    <w:rsid w:val="009B5DAE"/>
    <w:rsid w:val="009C2205"/>
    <w:rsid w:val="009C4E55"/>
    <w:rsid w:val="009C613D"/>
    <w:rsid w:val="009D1053"/>
    <w:rsid w:val="009D6790"/>
    <w:rsid w:val="009E13E9"/>
    <w:rsid w:val="009F2E71"/>
    <w:rsid w:val="009F4A54"/>
    <w:rsid w:val="009F4BEC"/>
    <w:rsid w:val="009F5874"/>
    <w:rsid w:val="009F6992"/>
    <w:rsid w:val="00A00D24"/>
    <w:rsid w:val="00A03159"/>
    <w:rsid w:val="00A121C1"/>
    <w:rsid w:val="00A124A7"/>
    <w:rsid w:val="00A1378A"/>
    <w:rsid w:val="00A17DBC"/>
    <w:rsid w:val="00A25FD7"/>
    <w:rsid w:val="00A42277"/>
    <w:rsid w:val="00A431B1"/>
    <w:rsid w:val="00A43AFF"/>
    <w:rsid w:val="00A44522"/>
    <w:rsid w:val="00A44651"/>
    <w:rsid w:val="00A51EFB"/>
    <w:rsid w:val="00A541FE"/>
    <w:rsid w:val="00A54C10"/>
    <w:rsid w:val="00A57AC1"/>
    <w:rsid w:val="00A60D6B"/>
    <w:rsid w:val="00A62293"/>
    <w:rsid w:val="00A7793A"/>
    <w:rsid w:val="00A8067A"/>
    <w:rsid w:val="00A94012"/>
    <w:rsid w:val="00A96879"/>
    <w:rsid w:val="00AA0374"/>
    <w:rsid w:val="00AA4CC7"/>
    <w:rsid w:val="00AA561F"/>
    <w:rsid w:val="00AA5E8E"/>
    <w:rsid w:val="00AB29CB"/>
    <w:rsid w:val="00AB2BAD"/>
    <w:rsid w:val="00AB32B3"/>
    <w:rsid w:val="00AB454B"/>
    <w:rsid w:val="00AB5828"/>
    <w:rsid w:val="00AB6CA7"/>
    <w:rsid w:val="00AB757C"/>
    <w:rsid w:val="00AC0149"/>
    <w:rsid w:val="00AC18A8"/>
    <w:rsid w:val="00AC1C3C"/>
    <w:rsid w:val="00AC47A9"/>
    <w:rsid w:val="00AC78CC"/>
    <w:rsid w:val="00AD01E4"/>
    <w:rsid w:val="00AD0858"/>
    <w:rsid w:val="00AD39D5"/>
    <w:rsid w:val="00AD45EB"/>
    <w:rsid w:val="00AE02E3"/>
    <w:rsid w:val="00AE08B3"/>
    <w:rsid w:val="00AE7340"/>
    <w:rsid w:val="00AF1BBD"/>
    <w:rsid w:val="00AF1D2B"/>
    <w:rsid w:val="00AF3448"/>
    <w:rsid w:val="00AF4C1D"/>
    <w:rsid w:val="00AF66B3"/>
    <w:rsid w:val="00AF765E"/>
    <w:rsid w:val="00AF7A4A"/>
    <w:rsid w:val="00B0044D"/>
    <w:rsid w:val="00B10207"/>
    <w:rsid w:val="00B141E7"/>
    <w:rsid w:val="00B23E4E"/>
    <w:rsid w:val="00B351B4"/>
    <w:rsid w:val="00B37316"/>
    <w:rsid w:val="00B41391"/>
    <w:rsid w:val="00B426AE"/>
    <w:rsid w:val="00B46BCA"/>
    <w:rsid w:val="00B478AA"/>
    <w:rsid w:val="00B53899"/>
    <w:rsid w:val="00B555CC"/>
    <w:rsid w:val="00B576AE"/>
    <w:rsid w:val="00B613A9"/>
    <w:rsid w:val="00B64016"/>
    <w:rsid w:val="00B67A6F"/>
    <w:rsid w:val="00B8124D"/>
    <w:rsid w:val="00B81932"/>
    <w:rsid w:val="00B8286D"/>
    <w:rsid w:val="00B87806"/>
    <w:rsid w:val="00B87EC9"/>
    <w:rsid w:val="00B91747"/>
    <w:rsid w:val="00B96089"/>
    <w:rsid w:val="00BA0475"/>
    <w:rsid w:val="00BA223D"/>
    <w:rsid w:val="00BC21D3"/>
    <w:rsid w:val="00BC38FD"/>
    <w:rsid w:val="00BD6AB5"/>
    <w:rsid w:val="00BD7733"/>
    <w:rsid w:val="00BE1AC3"/>
    <w:rsid w:val="00BE3D35"/>
    <w:rsid w:val="00BE456C"/>
    <w:rsid w:val="00C00C5C"/>
    <w:rsid w:val="00C01069"/>
    <w:rsid w:val="00C034CB"/>
    <w:rsid w:val="00C051A8"/>
    <w:rsid w:val="00C054BC"/>
    <w:rsid w:val="00C06E2A"/>
    <w:rsid w:val="00C07899"/>
    <w:rsid w:val="00C17897"/>
    <w:rsid w:val="00C25448"/>
    <w:rsid w:val="00C27D36"/>
    <w:rsid w:val="00C313C6"/>
    <w:rsid w:val="00C3410B"/>
    <w:rsid w:val="00C35D2A"/>
    <w:rsid w:val="00C409D5"/>
    <w:rsid w:val="00C41343"/>
    <w:rsid w:val="00C42D39"/>
    <w:rsid w:val="00C43597"/>
    <w:rsid w:val="00C435C3"/>
    <w:rsid w:val="00C44E5F"/>
    <w:rsid w:val="00C511B9"/>
    <w:rsid w:val="00C51B7C"/>
    <w:rsid w:val="00C5209A"/>
    <w:rsid w:val="00C52BDA"/>
    <w:rsid w:val="00C55F46"/>
    <w:rsid w:val="00C6234B"/>
    <w:rsid w:val="00C63EAE"/>
    <w:rsid w:val="00C64A32"/>
    <w:rsid w:val="00C731F1"/>
    <w:rsid w:val="00C73260"/>
    <w:rsid w:val="00C74602"/>
    <w:rsid w:val="00C75AB4"/>
    <w:rsid w:val="00C7629F"/>
    <w:rsid w:val="00C80E68"/>
    <w:rsid w:val="00C8169A"/>
    <w:rsid w:val="00C827D1"/>
    <w:rsid w:val="00C842F6"/>
    <w:rsid w:val="00C84430"/>
    <w:rsid w:val="00C8661B"/>
    <w:rsid w:val="00C878FA"/>
    <w:rsid w:val="00C91BC0"/>
    <w:rsid w:val="00C931EF"/>
    <w:rsid w:val="00CA03C8"/>
    <w:rsid w:val="00CA139A"/>
    <w:rsid w:val="00CA2899"/>
    <w:rsid w:val="00CA2D04"/>
    <w:rsid w:val="00CA3A3D"/>
    <w:rsid w:val="00CA3AA6"/>
    <w:rsid w:val="00CA77FB"/>
    <w:rsid w:val="00CB0582"/>
    <w:rsid w:val="00CB379B"/>
    <w:rsid w:val="00CB4B28"/>
    <w:rsid w:val="00CB5DD0"/>
    <w:rsid w:val="00CB768E"/>
    <w:rsid w:val="00CB7711"/>
    <w:rsid w:val="00CC05BF"/>
    <w:rsid w:val="00CC51D4"/>
    <w:rsid w:val="00CC65DA"/>
    <w:rsid w:val="00CD0DE2"/>
    <w:rsid w:val="00CD5428"/>
    <w:rsid w:val="00CE1FFF"/>
    <w:rsid w:val="00CE7B91"/>
    <w:rsid w:val="00CF1894"/>
    <w:rsid w:val="00CF21B9"/>
    <w:rsid w:val="00CF339C"/>
    <w:rsid w:val="00CF6BF9"/>
    <w:rsid w:val="00D021DC"/>
    <w:rsid w:val="00D03800"/>
    <w:rsid w:val="00D065D3"/>
    <w:rsid w:val="00D10B8E"/>
    <w:rsid w:val="00D11513"/>
    <w:rsid w:val="00D12CCC"/>
    <w:rsid w:val="00D14B7D"/>
    <w:rsid w:val="00D14C94"/>
    <w:rsid w:val="00D16746"/>
    <w:rsid w:val="00D227D0"/>
    <w:rsid w:val="00D261A2"/>
    <w:rsid w:val="00D26339"/>
    <w:rsid w:val="00D268D5"/>
    <w:rsid w:val="00D27586"/>
    <w:rsid w:val="00D3390C"/>
    <w:rsid w:val="00D34271"/>
    <w:rsid w:val="00D342A6"/>
    <w:rsid w:val="00D359AE"/>
    <w:rsid w:val="00D4012E"/>
    <w:rsid w:val="00D45CA6"/>
    <w:rsid w:val="00D464BF"/>
    <w:rsid w:val="00D519E1"/>
    <w:rsid w:val="00D51CE2"/>
    <w:rsid w:val="00D53E26"/>
    <w:rsid w:val="00D53ECA"/>
    <w:rsid w:val="00D54E02"/>
    <w:rsid w:val="00D62D50"/>
    <w:rsid w:val="00D66628"/>
    <w:rsid w:val="00D73EA1"/>
    <w:rsid w:val="00D875B7"/>
    <w:rsid w:val="00DA64E7"/>
    <w:rsid w:val="00DB1524"/>
    <w:rsid w:val="00DB182C"/>
    <w:rsid w:val="00DC2D7A"/>
    <w:rsid w:val="00DC3454"/>
    <w:rsid w:val="00DC47AC"/>
    <w:rsid w:val="00DD3999"/>
    <w:rsid w:val="00DD4F0E"/>
    <w:rsid w:val="00DD4FB1"/>
    <w:rsid w:val="00DE4507"/>
    <w:rsid w:val="00DE4E89"/>
    <w:rsid w:val="00DE576F"/>
    <w:rsid w:val="00DE77C7"/>
    <w:rsid w:val="00DF0B5A"/>
    <w:rsid w:val="00DF0BF0"/>
    <w:rsid w:val="00DF2EFD"/>
    <w:rsid w:val="00DF3CA2"/>
    <w:rsid w:val="00DF5572"/>
    <w:rsid w:val="00DF62F6"/>
    <w:rsid w:val="00DF753C"/>
    <w:rsid w:val="00E01463"/>
    <w:rsid w:val="00E015C9"/>
    <w:rsid w:val="00E033F2"/>
    <w:rsid w:val="00E036D8"/>
    <w:rsid w:val="00E04A68"/>
    <w:rsid w:val="00E05E0A"/>
    <w:rsid w:val="00E060BE"/>
    <w:rsid w:val="00E070DF"/>
    <w:rsid w:val="00E106CE"/>
    <w:rsid w:val="00E10B3E"/>
    <w:rsid w:val="00E22FB3"/>
    <w:rsid w:val="00E2694A"/>
    <w:rsid w:val="00E27469"/>
    <w:rsid w:val="00E27D16"/>
    <w:rsid w:val="00E3059A"/>
    <w:rsid w:val="00E41A4A"/>
    <w:rsid w:val="00E41B40"/>
    <w:rsid w:val="00E44020"/>
    <w:rsid w:val="00E4553D"/>
    <w:rsid w:val="00E50A35"/>
    <w:rsid w:val="00E534CF"/>
    <w:rsid w:val="00E53AB4"/>
    <w:rsid w:val="00E562A9"/>
    <w:rsid w:val="00E56772"/>
    <w:rsid w:val="00E57B10"/>
    <w:rsid w:val="00E71FA9"/>
    <w:rsid w:val="00E72CA9"/>
    <w:rsid w:val="00E81CB4"/>
    <w:rsid w:val="00E8585B"/>
    <w:rsid w:val="00E87E3A"/>
    <w:rsid w:val="00E87F41"/>
    <w:rsid w:val="00E91FD9"/>
    <w:rsid w:val="00EA10D1"/>
    <w:rsid w:val="00EA3F15"/>
    <w:rsid w:val="00EA6210"/>
    <w:rsid w:val="00EA6CBD"/>
    <w:rsid w:val="00EA6CD0"/>
    <w:rsid w:val="00EA7847"/>
    <w:rsid w:val="00EB29EB"/>
    <w:rsid w:val="00EB4C2F"/>
    <w:rsid w:val="00EB4F07"/>
    <w:rsid w:val="00EB509D"/>
    <w:rsid w:val="00EC12D6"/>
    <w:rsid w:val="00EC13BC"/>
    <w:rsid w:val="00EC3F9F"/>
    <w:rsid w:val="00ED4CAB"/>
    <w:rsid w:val="00ED72E3"/>
    <w:rsid w:val="00EE2CB5"/>
    <w:rsid w:val="00EE2E6E"/>
    <w:rsid w:val="00EE6A92"/>
    <w:rsid w:val="00EE75F0"/>
    <w:rsid w:val="00EF4206"/>
    <w:rsid w:val="00EF4333"/>
    <w:rsid w:val="00F01B75"/>
    <w:rsid w:val="00F0367E"/>
    <w:rsid w:val="00F0759E"/>
    <w:rsid w:val="00F10044"/>
    <w:rsid w:val="00F16A43"/>
    <w:rsid w:val="00F1735D"/>
    <w:rsid w:val="00F2495F"/>
    <w:rsid w:val="00F25A6E"/>
    <w:rsid w:val="00F46780"/>
    <w:rsid w:val="00F526B2"/>
    <w:rsid w:val="00F5275B"/>
    <w:rsid w:val="00F53CEB"/>
    <w:rsid w:val="00F65D08"/>
    <w:rsid w:val="00F72D53"/>
    <w:rsid w:val="00F73B93"/>
    <w:rsid w:val="00F74819"/>
    <w:rsid w:val="00F7538B"/>
    <w:rsid w:val="00F769CD"/>
    <w:rsid w:val="00F77159"/>
    <w:rsid w:val="00F77A26"/>
    <w:rsid w:val="00F77D2D"/>
    <w:rsid w:val="00F81605"/>
    <w:rsid w:val="00F821A3"/>
    <w:rsid w:val="00F83849"/>
    <w:rsid w:val="00F8713E"/>
    <w:rsid w:val="00F871A0"/>
    <w:rsid w:val="00F8760A"/>
    <w:rsid w:val="00F92F07"/>
    <w:rsid w:val="00F9314A"/>
    <w:rsid w:val="00F940AC"/>
    <w:rsid w:val="00F940B2"/>
    <w:rsid w:val="00F958F4"/>
    <w:rsid w:val="00FA61B6"/>
    <w:rsid w:val="00FC58EF"/>
    <w:rsid w:val="00FC6EE1"/>
    <w:rsid w:val="00FD231B"/>
    <w:rsid w:val="00FD33DF"/>
    <w:rsid w:val="00FD554F"/>
    <w:rsid w:val="00FE0DDA"/>
    <w:rsid w:val="00FE39D7"/>
    <w:rsid w:val="00FF3730"/>
    <w:rsid w:val="00FF3FA1"/>
    <w:rsid w:val="00FF640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DA6BA6A-FC47-4B4A-B0B2-79F03DCF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542D8-3ABD-474C-97CA-510190B9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11</Pages>
  <Words>4840</Words>
  <Characters>24957</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Plaza</dc:creator>
  <cp:lastModifiedBy>Luz Stella Rojas Macias</cp:lastModifiedBy>
  <cp:revision>2</cp:revision>
  <cp:lastPrinted>2016-05-17T22:01:00Z</cp:lastPrinted>
  <dcterms:created xsi:type="dcterms:W3CDTF">2016-09-23T13:14:00Z</dcterms:created>
  <dcterms:modified xsi:type="dcterms:W3CDTF">2016-09-23T13:14:00Z</dcterms:modified>
</cp:coreProperties>
</file>