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DEC13" w14:textId="77777777" w:rsidR="001C4EC5" w:rsidRPr="00356462" w:rsidRDefault="001F3C7E" w:rsidP="0040389F">
      <w:pPr>
        <w:pStyle w:val="Ttulo4"/>
        <w:tabs>
          <w:tab w:val="left" w:pos="0"/>
          <w:tab w:val="right" w:pos="9356"/>
        </w:tabs>
        <w:spacing w:before="480" w:after="240"/>
        <w:ind w:left="0"/>
        <w:rPr>
          <w:rFonts w:ascii="Bookman Old Style" w:hAnsi="Bookman Old Style"/>
          <w:b w:val="0"/>
          <w:bCs/>
          <w:noProof/>
          <w:sz w:val="24"/>
          <w:szCs w:val="24"/>
          <w:lang w:val="es-ES"/>
        </w:rPr>
      </w:pPr>
      <w:bookmarkStart w:id="0" w:name="_GoBack"/>
      <w:bookmarkEnd w:id="0"/>
      <w:r>
        <w:rPr>
          <w:rFonts w:ascii="Bookman Old Style" w:hAnsi="Bookman Old Style"/>
          <w:noProof/>
          <w:szCs w:val="24"/>
        </w:rPr>
        <w:object w:dxaOrig="1440" w:dyaOrig="1440" w14:anchorId="0CE3F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11" o:title=""/>
          </v:shape>
          <o:OLEObject Type="Embed" ProgID="PBrush" ShapeID="_x0000_s1026" DrawAspect="Content" ObjectID="_1675250700" r:id="rId12"/>
        </w:object>
      </w:r>
      <w:r w:rsidR="001C4EC5" w:rsidRPr="00356462">
        <w:rPr>
          <w:rFonts w:ascii="Bookman Old Style" w:hAnsi="Bookman Old Style"/>
          <w:b w:val="0"/>
          <w:bCs/>
          <w:sz w:val="24"/>
          <w:szCs w:val="24"/>
        </w:rPr>
        <w:t>Ministerio de Minas y Energía</w:t>
      </w:r>
    </w:p>
    <w:p w14:paraId="3CB66E1A" w14:textId="77777777" w:rsidR="001C4EC5" w:rsidRPr="00356462" w:rsidRDefault="001C4EC5" w:rsidP="0040389F">
      <w:pPr>
        <w:pStyle w:val="Ttulo3"/>
        <w:tabs>
          <w:tab w:val="left" w:pos="0"/>
          <w:tab w:val="right" w:pos="9356"/>
        </w:tabs>
        <w:spacing w:before="240" w:after="480"/>
        <w:ind w:left="0"/>
        <w:rPr>
          <w:rFonts w:ascii="Bookman Old Style" w:hAnsi="Bookman Old Style" w:cs="Arial"/>
          <w:spacing w:val="20"/>
          <w:szCs w:val="24"/>
        </w:rPr>
      </w:pPr>
      <w:r w:rsidRPr="00356462">
        <w:rPr>
          <w:rFonts w:ascii="Bookman Old Style" w:hAnsi="Bookman Old Style" w:cs="Arial"/>
          <w:spacing w:val="20"/>
          <w:szCs w:val="24"/>
        </w:rPr>
        <w:t>COMISIÓN DE REGULACIÓN DE ENERGÍA Y GAS</w:t>
      </w:r>
    </w:p>
    <w:p w14:paraId="3DAABAD4" w14:textId="4F927E3B" w:rsidR="001C4EC5" w:rsidRPr="00356462" w:rsidRDefault="001C4EC5" w:rsidP="0040389F">
      <w:pPr>
        <w:pStyle w:val="Ttulo5"/>
        <w:tabs>
          <w:tab w:val="left" w:pos="0"/>
          <w:tab w:val="right" w:pos="9356"/>
        </w:tabs>
        <w:spacing w:before="240" w:after="240"/>
        <w:ind w:left="0"/>
        <w:rPr>
          <w:rFonts w:ascii="Bookman Old Style" w:hAnsi="Bookman Old Style"/>
          <w:sz w:val="24"/>
          <w:szCs w:val="24"/>
        </w:rPr>
      </w:pPr>
      <w:r w:rsidRPr="00356462">
        <w:rPr>
          <w:rFonts w:ascii="Bookman Old Style" w:hAnsi="Bookman Old Style"/>
          <w:sz w:val="24"/>
          <w:szCs w:val="24"/>
        </w:rPr>
        <w:t xml:space="preserve">RESOLUCIÓN No.  </w:t>
      </w:r>
      <w:r w:rsidR="000C120A" w:rsidRPr="000C120A">
        <w:rPr>
          <w:rFonts w:ascii="Bookman Old Style" w:hAnsi="Bookman Old Style"/>
          <w:sz w:val="32"/>
          <w:szCs w:val="32"/>
        </w:rPr>
        <w:t>007</w:t>
      </w:r>
      <w:r w:rsidRPr="00356462">
        <w:rPr>
          <w:rFonts w:ascii="Bookman Old Style" w:hAnsi="Bookman Old Style"/>
          <w:sz w:val="24"/>
          <w:szCs w:val="24"/>
        </w:rPr>
        <w:t xml:space="preserve">   DE 20</w:t>
      </w:r>
      <w:r w:rsidR="00432DDF">
        <w:rPr>
          <w:rFonts w:ascii="Bookman Old Style" w:hAnsi="Bookman Old Style"/>
          <w:sz w:val="24"/>
          <w:szCs w:val="24"/>
        </w:rPr>
        <w:t>21</w:t>
      </w:r>
    </w:p>
    <w:p w14:paraId="57856419" w14:textId="6787FE1D" w:rsidR="00642C11" w:rsidRPr="00356462" w:rsidRDefault="001C4EC5" w:rsidP="00A45831">
      <w:pPr>
        <w:pStyle w:val="Ttulo3"/>
        <w:tabs>
          <w:tab w:val="left" w:pos="0"/>
          <w:tab w:val="right" w:pos="9356"/>
        </w:tabs>
        <w:spacing w:before="240" w:after="720"/>
        <w:ind w:left="0"/>
        <w:rPr>
          <w:rFonts w:ascii="Bookman Old Style" w:hAnsi="Bookman Old Style"/>
        </w:rPr>
      </w:pPr>
      <w:r w:rsidRPr="00356462">
        <w:rPr>
          <w:rFonts w:ascii="Bookman Old Style" w:hAnsi="Bookman Old Style"/>
          <w:b w:val="0"/>
          <w:szCs w:val="24"/>
        </w:rPr>
        <w:t xml:space="preserve">(   </w:t>
      </w:r>
      <w:r w:rsidR="000C120A" w:rsidRPr="000C120A">
        <w:rPr>
          <w:rFonts w:ascii="Bookman Old Style" w:hAnsi="Bookman Old Style"/>
          <w:bCs/>
          <w:sz w:val="32"/>
          <w:szCs w:val="32"/>
        </w:rPr>
        <w:t>05 FEB. 2021</w:t>
      </w:r>
      <w:r w:rsidRPr="00356462">
        <w:rPr>
          <w:rFonts w:ascii="Bookman Old Style" w:hAnsi="Bookman Old Style"/>
          <w:b w:val="0"/>
          <w:szCs w:val="24"/>
        </w:rPr>
        <w:t xml:space="preserve">  )</w:t>
      </w:r>
    </w:p>
    <w:p w14:paraId="335DFD08" w14:textId="5EBD0B59" w:rsidR="001C4EC5" w:rsidRPr="00356462" w:rsidRDefault="001C4EC5" w:rsidP="00642C11">
      <w:pPr>
        <w:ind w:left="0"/>
        <w:jc w:val="center"/>
        <w:rPr>
          <w:rFonts w:ascii="Bookman Old Style" w:hAnsi="Bookman Old Style"/>
        </w:rPr>
      </w:pPr>
      <w:bookmarkStart w:id="1" w:name="_Hlk57794988"/>
      <w:r w:rsidRPr="00356462">
        <w:rPr>
          <w:rFonts w:ascii="Bookman Old Style" w:hAnsi="Bookman Old Style"/>
        </w:rPr>
        <w:t xml:space="preserve">Por la cual se ordena hacer público un proyecto de resolución de carácter general, </w:t>
      </w:r>
      <w:r w:rsidR="00AD7AAE" w:rsidRPr="00356462">
        <w:rPr>
          <w:rFonts w:ascii="Bookman Old Style" w:hAnsi="Bookman Old Style"/>
        </w:rPr>
        <w:t xml:space="preserve">“Por la cual se </w:t>
      </w:r>
      <w:r w:rsidR="00432DDF">
        <w:rPr>
          <w:rFonts w:ascii="Bookman Old Style" w:hAnsi="Bookman Old Style"/>
        </w:rPr>
        <w:t>hace</w:t>
      </w:r>
      <w:r w:rsidR="00C243A4">
        <w:rPr>
          <w:rFonts w:ascii="Bookman Old Style" w:hAnsi="Bookman Old Style"/>
        </w:rPr>
        <w:t>n</w:t>
      </w:r>
      <w:r w:rsidR="00432DDF">
        <w:rPr>
          <w:rFonts w:ascii="Bookman Old Style" w:hAnsi="Bookman Old Style"/>
        </w:rPr>
        <w:t xml:space="preserve"> unos ajustes a la </w:t>
      </w:r>
      <w:r w:rsidR="00AD7AAE" w:rsidRPr="00356462">
        <w:rPr>
          <w:rFonts w:ascii="Bookman Old Style" w:hAnsi="Bookman Old Style"/>
        </w:rPr>
        <w:t>Resolución CREG 152 de 2017</w:t>
      </w:r>
      <w:r w:rsidRPr="00356462">
        <w:rPr>
          <w:rFonts w:ascii="Bookman Old Style" w:hAnsi="Bookman Old Style"/>
        </w:rPr>
        <w:t>”</w:t>
      </w:r>
    </w:p>
    <w:bookmarkEnd w:id="1"/>
    <w:p w14:paraId="37C0EF9A" w14:textId="77777777" w:rsidR="00642C11" w:rsidRPr="00356462" w:rsidRDefault="00642C11" w:rsidP="00642C11">
      <w:pPr>
        <w:ind w:left="0"/>
        <w:jc w:val="center"/>
        <w:rPr>
          <w:rFonts w:ascii="Bookman Old Style" w:hAnsi="Bookman Old Style"/>
        </w:rPr>
      </w:pPr>
    </w:p>
    <w:p w14:paraId="7FB4BCA9" w14:textId="77777777" w:rsidR="001C4EC5" w:rsidRPr="00356462" w:rsidRDefault="001C4EC5" w:rsidP="00475B35">
      <w:pPr>
        <w:spacing w:before="480" w:after="480"/>
        <w:ind w:left="0"/>
        <w:jc w:val="center"/>
        <w:rPr>
          <w:rFonts w:ascii="Bookman Old Style" w:hAnsi="Bookman Old Style" w:cs="Arial"/>
          <w:b/>
          <w:color w:val="000000"/>
        </w:rPr>
      </w:pPr>
      <w:r w:rsidRPr="00356462">
        <w:rPr>
          <w:rFonts w:ascii="Bookman Old Style" w:hAnsi="Bookman Old Style" w:cs="Arial"/>
          <w:b/>
          <w:color w:val="000000"/>
        </w:rPr>
        <w:t>LA COMISIÓN DE REGULACIÓN DE ENERGÍA Y GAS</w:t>
      </w:r>
    </w:p>
    <w:p w14:paraId="53B697CE" w14:textId="60CD25CC" w:rsidR="001C4EC5" w:rsidRPr="00356462" w:rsidRDefault="001C4EC5" w:rsidP="0040389F">
      <w:pPr>
        <w:spacing w:before="480" w:after="480"/>
        <w:ind w:left="0"/>
        <w:jc w:val="center"/>
        <w:rPr>
          <w:rFonts w:ascii="Bookman Old Style" w:hAnsi="Bookman Old Style" w:cs="Arial"/>
          <w:color w:val="000000"/>
        </w:rPr>
      </w:pPr>
      <w:r w:rsidRPr="00356462">
        <w:rPr>
          <w:rFonts w:ascii="Bookman Old Style" w:hAnsi="Bookman Old Style" w:cs="Arial"/>
          <w:color w:val="000000"/>
        </w:rPr>
        <w:t>En ejercicio de sus atribuciones legales, en especial las conferidas por la Ley 142 de 1994, y en desarrollo de los decretos 152</w:t>
      </w:r>
      <w:r w:rsidR="003C15B3">
        <w:rPr>
          <w:rFonts w:ascii="Bookman Old Style" w:hAnsi="Bookman Old Style" w:cs="Arial"/>
          <w:color w:val="000000"/>
        </w:rPr>
        <w:t>4</w:t>
      </w:r>
      <w:r w:rsidRPr="00356462">
        <w:rPr>
          <w:rFonts w:ascii="Bookman Old Style" w:hAnsi="Bookman Old Style" w:cs="Arial"/>
          <w:color w:val="000000"/>
        </w:rPr>
        <w:t xml:space="preserve"> y 2253 de 1994 y 1260 de 2013, y</w:t>
      </w:r>
    </w:p>
    <w:p w14:paraId="1EEA8FC8" w14:textId="77777777" w:rsidR="001C4EC5" w:rsidRPr="00356462" w:rsidRDefault="001C4EC5" w:rsidP="0040389F">
      <w:pPr>
        <w:spacing w:before="480" w:after="480"/>
        <w:ind w:left="0"/>
        <w:jc w:val="center"/>
        <w:rPr>
          <w:rFonts w:ascii="Bookman Old Style" w:hAnsi="Bookman Old Style"/>
          <w:b/>
        </w:rPr>
      </w:pPr>
      <w:r w:rsidRPr="00356462">
        <w:rPr>
          <w:rFonts w:ascii="Bookman Old Style" w:hAnsi="Bookman Old Style"/>
          <w:b/>
        </w:rPr>
        <w:t>C O N S I D E R A N D O  Q U E:</w:t>
      </w:r>
    </w:p>
    <w:p w14:paraId="279AAC3F" w14:textId="23F8D85F" w:rsidR="001A0083" w:rsidRPr="00356462" w:rsidRDefault="001A0083" w:rsidP="001A0083">
      <w:pPr>
        <w:widowControl w:val="0"/>
        <w:tabs>
          <w:tab w:val="left" w:pos="0"/>
        </w:tabs>
        <w:ind w:left="0"/>
        <w:contextualSpacing/>
        <w:jc w:val="both"/>
        <w:rPr>
          <w:rFonts w:ascii="Bookman Old Style" w:hAnsi="Bookman Old Style" w:cs="Arial"/>
        </w:rPr>
      </w:pPr>
      <w:r w:rsidRPr="00356462">
        <w:rPr>
          <w:rFonts w:ascii="Bookman Old Style" w:hAnsi="Bookman Old Style" w:cs="Arial"/>
        </w:rPr>
        <w:t>Conforme a lo dispuesto por el artículo 8 del Código de Procedimiento Administrativo y de lo Contencioso Administrativo, así como de acuerdo con lo establecido en el Decreto 2696 de 2004, el cual ha sido compilado por el Decreto 1078 de 2015</w:t>
      </w:r>
      <w:r w:rsidR="00A45831">
        <w:rPr>
          <w:rFonts w:ascii="Bookman Old Style" w:hAnsi="Bookman Old Style" w:cs="Arial"/>
        </w:rPr>
        <w:t>,</w:t>
      </w:r>
      <w:r w:rsidR="00B37A5E" w:rsidRPr="00356462">
        <w:rPr>
          <w:rFonts w:ascii="Bookman Old Style" w:hAnsi="Bookman Old Style" w:cs="Arial"/>
        </w:rPr>
        <w:t xml:space="preserve"> y la Resolución CREG 039 de 2019</w:t>
      </w:r>
      <w:r w:rsidRPr="00356462">
        <w:rPr>
          <w:rFonts w:ascii="Bookman Old Style" w:hAnsi="Bookman Old Style" w:cs="Arial"/>
        </w:rPr>
        <w:t>, la Comisión debe hacer público en su página web todos los proyectos de resolución de carácter general que pretenda adoptar.</w:t>
      </w:r>
    </w:p>
    <w:p w14:paraId="73CEB663" w14:textId="77777777" w:rsidR="00B37A5E" w:rsidRPr="00356462" w:rsidRDefault="00B37A5E" w:rsidP="00642C11">
      <w:pPr>
        <w:ind w:left="0"/>
        <w:jc w:val="both"/>
        <w:rPr>
          <w:rFonts w:ascii="Bookman Old Style" w:hAnsi="Bookman Old Style"/>
          <w:spacing w:val="-3"/>
          <w:sz w:val="25"/>
          <w:szCs w:val="25"/>
        </w:rPr>
      </w:pPr>
    </w:p>
    <w:p w14:paraId="5C37FB6F" w14:textId="1DC0E90B" w:rsidR="001C4EC5" w:rsidRPr="00356462" w:rsidRDefault="001C4EC5" w:rsidP="00642C11">
      <w:pPr>
        <w:ind w:left="0"/>
        <w:jc w:val="both"/>
        <w:rPr>
          <w:rFonts w:ascii="Bookman Old Style" w:hAnsi="Bookman Old Style"/>
          <w:spacing w:val="-3"/>
          <w:sz w:val="25"/>
          <w:szCs w:val="25"/>
        </w:rPr>
      </w:pPr>
      <w:r w:rsidRPr="00356462">
        <w:rPr>
          <w:rFonts w:ascii="Bookman Old Style" w:hAnsi="Bookman Old Style"/>
          <w:spacing w:val="-3"/>
          <w:sz w:val="25"/>
          <w:szCs w:val="25"/>
        </w:rPr>
        <w:t xml:space="preserve">La Comisión de Regulación de Energía y Gas, en su sesión </w:t>
      </w:r>
      <w:r w:rsidR="000C120A">
        <w:rPr>
          <w:rFonts w:ascii="Bookman Old Style" w:hAnsi="Bookman Old Style"/>
          <w:spacing w:val="-3"/>
          <w:sz w:val="25"/>
          <w:szCs w:val="25"/>
        </w:rPr>
        <w:t>1078</w:t>
      </w:r>
      <w:r w:rsidRPr="000C120A">
        <w:rPr>
          <w:rFonts w:ascii="Bookman Old Style" w:hAnsi="Bookman Old Style"/>
          <w:spacing w:val="-3"/>
          <w:sz w:val="25"/>
          <w:szCs w:val="25"/>
        </w:rPr>
        <w:t xml:space="preserve"> del </w:t>
      </w:r>
      <w:r w:rsidR="000C120A">
        <w:rPr>
          <w:rFonts w:ascii="Bookman Old Style" w:hAnsi="Bookman Old Style"/>
          <w:spacing w:val="-3"/>
          <w:sz w:val="25"/>
          <w:szCs w:val="25"/>
        </w:rPr>
        <w:t>05</w:t>
      </w:r>
      <w:r w:rsidR="00BF2BC2" w:rsidRPr="000C120A">
        <w:rPr>
          <w:rFonts w:ascii="Bookman Old Style" w:hAnsi="Bookman Old Style"/>
          <w:spacing w:val="-3"/>
          <w:sz w:val="25"/>
          <w:szCs w:val="25"/>
        </w:rPr>
        <w:t xml:space="preserve"> </w:t>
      </w:r>
      <w:r w:rsidRPr="000C120A">
        <w:rPr>
          <w:rFonts w:ascii="Bookman Old Style" w:hAnsi="Bookman Old Style"/>
          <w:spacing w:val="-3"/>
          <w:sz w:val="25"/>
          <w:szCs w:val="25"/>
        </w:rPr>
        <w:t xml:space="preserve">de </w:t>
      </w:r>
      <w:r w:rsidR="000C120A">
        <w:rPr>
          <w:rFonts w:ascii="Bookman Old Style" w:hAnsi="Bookman Old Style"/>
          <w:spacing w:val="-3"/>
          <w:sz w:val="25"/>
          <w:szCs w:val="25"/>
        </w:rPr>
        <w:t>febrero</w:t>
      </w:r>
      <w:r w:rsidR="00BF2BC2" w:rsidRPr="000C120A">
        <w:rPr>
          <w:rFonts w:ascii="Bookman Old Style" w:hAnsi="Bookman Old Style"/>
          <w:spacing w:val="-3"/>
          <w:sz w:val="25"/>
          <w:szCs w:val="25"/>
        </w:rPr>
        <w:t xml:space="preserve"> </w:t>
      </w:r>
      <w:r w:rsidRPr="000C120A">
        <w:rPr>
          <w:rFonts w:ascii="Bookman Old Style" w:hAnsi="Bookman Old Style"/>
          <w:spacing w:val="-3"/>
          <w:sz w:val="25"/>
          <w:szCs w:val="25"/>
        </w:rPr>
        <w:t>de 20</w:t>
      </w:r>
      <w:r w:rsidR="000C120A">
        <w:rPr>
          <w:rFonts w:ascii="Bookman Old Style" w:hAnsi="Bookman Old Style"/>
          <w:spacing w:val="-3"/>
          <w:sz w:val="25"/>
          <w:szCs w:val="25"/>
        </w:rPr>
        <w:t>21</w:t>
      </w:r>
      <w:r w:rsidRPr="000C120A">
        <w:rPr>
          <w:rFonts w:ascii="Bookman Old Style" w:hAnsi="Bookman Old Style"/>
          <w:spacing w:val="-3"/>
          <w:sz w:val="25"/>
          <w:szCs w:val="25"/>
        </w:rPr>
        <w:t>, acordó expedir esta resolución</w:t>
      </w:r>
      <w:r w:rsidR="00461994" w:rsidRPr="000C120A">
        <w:rPr>
          <w:rFonts w:ascii="Bookman Old Style" w:hAnsi="Bookman Old Style"/>
          <w:spacing w:val="-3"/>
          <w:sz w:val="25"/>
          <w:szCs w:val="25"/>
        </w:rPr>
        <w:t>.</w:t>
      </w:r>
    </w:p>
    <w:p w14:paraId="6AB5BABF" w14:textId="77777777" w:rsidR="00642C11" w:rsidRPr="00356462" w:rsidRDefault="00642C11" w:rsidP="00642C11">
      <w:pPr>
        <w:ind w:left="0"/>
        <w:jc w:val="both"/>
        <w:rPr>
          <w:rFonts w:ascii="Bookman Old Style" w:hAnsi="Bookman Old Style"/>
          <w:spacing w:val="-3"/>
          <w:sz w:val="25"/>
          <w:szCs w:val="25"/>
        </w:rPr>
      </w:pPr>
    </w:p>
    <w:p w14:paraId="58CA2107" w14:textId="77777777" w:rsidR="00642C11" w:rsidRPr="00356462" w:rsidRDefault="00642C11" w:rsidP="00642C11">
      <w:pPr>
        <w:ind w:left="0"/>
        <w:jc w:val="both"/>
        <w:rPr>
          <w:rFonts w:ascii="Bookman Old Style" w:hAnsi="Bookman Old Style"/>
          <w:spacing w:val="-3"/>
          <w:sz w:val="25"/>
          <w:szCs w:val="25"/>
        </w:rPr>
      </w:pPr>
    </w:p>
    <w:p w14:paraId="5D61FC1B" w14:textId="77777777" w:rsidR="001C4EC5" w:rsidRPr="00356462" w:rsidRDefault="00642C11" w:rsidP="00642C11">
      <w:pPr>
        <w:suppressAutoHyphens/>
        <w:ind w:left="0"/>
        <w:jc w:val="center"/>
        <w:rPr>
          <w:rFonts w:ascii="Bookman Old Style" w:hAnsi="Bookman Old Style"/>
          <w:b/>
          <w:spacing w:val="-3"/>
        </w:rPr>
      </w:pPr>
      <w:r w:rsidRPr="00356462">
        <w:rPr>
          <w:rFonts w:ascii="Bookman Old Style" w:hAnsi="Bookman Old Style"/>
          <w:b/>
          <w:spacing w:val="-3"/>
        </w:rPr>
        <w:t>R</w:t>
      </w:r>
      <w:r w:rsidR="001C4EC5" w:rsidRPr="00356462">
        <w:rPr>
          <w:rFonts w:ascii="Bookman Old Style" w:hAnsi="Bookman Old Style"/>
          <w:b/>
          <w:spacing w:val="-3"/>
        </w:rPr>
        <w:t xml:space="preserve"> E S U E L V E:</w:t>
      </w:r>
    </w:p>
    <w:p w14:paraId="13118D99" w14:textId="77777777" w:rsidR="0017570C" w:rsidRPr="00356462" w:rsidRDefault="0017570C" w:rsidP="00642C11">
      <w:pPr>
        <w:suppressAutoHyphens/>
        <w:ind w:left="0"/>
        <w:jc w:val="center"/>
        <w:rPr>
          <w:rFonts w:ascii="Bookman Old Style" w:hAnsi="Bookman Old Style"/>
          <w:spacing w:val="-3"/>
        </w:rPr>
      </w:pPr>
    </w:p>
    <w:p w14:paraId="2371EEBD" w14:textId="4B68337D" w:rsidR="005E5A5B" w:rsidRPr="00356462" w:rsidRDefault="001C4EC5" w:rsidP="00642C11">
      <w:pPr>
        <w:ind w:left="0"/>
        <w:jc w:val="both"/>
        <w:rPr>
          <w:rFonts w:ascii="Bookman Old Style" w:hAnsi="Bookman Old Style"/>
          <w:i/>
        </w:rPr>
      </w:pPr>
      <w:r w:rsidRPr="00356462">
        <w:rPr>
          <w:rFonts w:ascii="Bookman Old Style" w:hAnsi="Bookman Old Style"/>
          <w:b/>
        </w:rPr>
        <w:t>Artículo 1.</w:t>
      </w:r>
      <w:r w:rsidRPr="00356462">
        <w:rPr>
          <w:rFonts w:ascii="Bookman Old Style" w:hAnsi="Bookman Old Style"/>
        </w:rPr>
        <w:t xml:space="preserve"> </w:t>
      </w:r>
      <w:r w:rsidRPr="00356462">
        <w:rPr>
          <w:rFonts w:ascii="Bookman Old Style" w:hAnsi="Bookman Old Style" w:cs="Arial"/>
        </w:rPr>
        <w:t>Hágase público el proyecto de resolución de carácter general</w:t>
      </w:r>
      <w:r w:rsidR="00AD7AAE" w:rsidRPr="00356462">
        <w:rPr>
          <w:rFonts w:ascii="Bookman Old Style" w:hAnsi="Bookman Old Style" w:cs="Arial"/>
        </w:rPr>
        <w:t>,</w:t>
      </w:r>
      <w:r w:rsidR="00AD7AAE" w:rsidRPr="00356462">
        <w:rPr>
          <w:rFonts w:ascii="Bookman Old Style" w:hAnsi="Bookman Old Style"/>
          <w:i/>
        </w:rPr>
        <w:t xml:space="preserve"> “Por la cual se </w:t>
      </w:r>
      <w:r w:rsidR="00C243A4">
        <w:rPr>
          <w:rFonts w:ascii="Bookman Old Style" w:hAnsi="Bookman Old Style"/>
          <w:i/>
        </w:rPr>
        <w:t>hacen unos ajustes a</w:t>
      </w:r>
      <w:r w:rsidR="00AD7AAE" w:rsidRPr="00356462">
        <w:rPr>
          <w:rFonts w:ascii="Bookman Old Style" w:hAnsi="Bookman Old Style"/>
          <w:i/>
        </w:rPr>
        <w:t xml:space="preserve"> la Resolución CREG 152 de 2017”</w:t>
      </w:r>
      <w:r w:rsidR="00C40FC6" w:rsidRPr="00356462">
        <w:rPr>
          <w:rFonts w:ascii="Bookman Old Style" w:hAnsi="Bookman Old Style"/>
          <w:i/>
        </w:rPr>
        <w:t>.</w:t>
      </w:r>
    </w:p>
    <w:p w14:paraId="64E09F6D" w14:textId="77777777" w:rsidR="00642C11" w:rsidRPr="00356462" w:rsidRDefault="00642C11" w:rsidP="00642C11">
      <w:pPr>
        <w:ind w:left="0"/>
        <w:jc w:val="both"/>
        <w:rPr>
          <w:rFonts w:ascii="Bookman Old Style" w:hAnsi="Bookman Old Style" w:cs="Arial"/>
          <w:i/>
        </w:rPr>
      </w:pPr>
    </w:p>
    <w:p w14:paraId="1850FF7A" w14:textId="3CE9C4DE" w:rsidR="001C4EC5" w:rsidRPr="00356462" w:rsidRDefault="001C4EC5" w:rsidP="00642C11">
      <w:pPr>
        <w:spacing w:after="240"/>
        <w:ind w:left="0"/>
        <w:jc w:val="both"/>
        <w:rPr>
          <w:rFonts w:ascii="Bookman Old Style" w:hAnsi="Bookman Old Style" w:cs="Arial"/>
          <w:lang w:val="es-CO" w:eastAsia="es-CO"/>
        </w:rPr>
      </w:pPr>
      <w:r w:rsidRPr="00356462">
        <w:rPr>
          <w:rFonts w:ascii="Bookman Old Style" w:hAnsi="Bookman Old Style"/>
          <w:b/>
        </w:rPr>
        <w:t>Artículo 2.</w:t>
      </w:r>
      <w:r w:rsidRPr="00356462">
        <w:rPr>
          <w:rFonts w:ascii="Bookman Old Style" w:hAnsi="Bookman Old Style" w:cs="Arial"/>
          <w:lang w:val="es-CO" w:eastAsia="es-CO"/>
        </w:rPr>
        <w:t xml:space="preserve"> Se invita a los agentes, a los usuarios, a las autoridades locales municipales y departamentales competentes, a la Superintendencia de Servicios Públicos Domiciliarios y a la Superintendencia de Industria y Comercio, para que remitan sus observaciones o sugerencias sobre la</w:t>
      </w:r>
      <w:r w:rsidRPr="00356462">
        <w:rPr>
          <w:rFonts w:ascii="Bookman Old Style" w:hAnsi="Bookman Old Style" w:cs="Arial"/>
          <w:color w:val="666666"/>
        </w:rPr>
        <w:t xml:space="preserve"> </w:t>
      </w:r>
      <w:r w:rsidRPr="00356462">
        <w:rPr>
          <w:rFonts w:ascii="Bookman Old Style" w:hAnsi="Bookman Old Style" w:cs="Arial"/>
          <w:lang w:val="es-CO" w:eastAsia="es-CO"/>
        </w:rPr>
        <w:t>propuesta dentro de</w:t>
      </w:r>
      <w:r w:rsidR="001A0083" w:rsidRPr="00356462">
        <w:rPr>
          <w:rFonts w:ascii="Bookman Old Style" w:hAnsi="Bookman Old Style" w:cs="Arial"/>
          <w:lang w:val="es-CO" w:eastAsia="es-CO"/>
        </w:rPr>
        <w:t xml:space="preserve"> </w:t>
      </w:r>
      <w:r w:rsidR="005E5A5B" w:rsidRPr="00356462">
        <w:rPr>
          <w:rFonts w:ascii="Bookman Old Style" w:hAnsi="Bookman Old Style" w:cs="Arial"/>
          <w:lang w:val="es-CO" w:eastAsia="es-CO"/>
        </w:rPr>
        <w:t>l</w:t>
      </w:r>
      <w:r w:rsidR="001A0083" w:rsidRPr="00356462">
        <w:rPr>
          <w:rFonts w:ascii="Bookman Old Style" w:hAnsi="Bookman Old Style" w:cs="Arial"/>
          <w:lang w:val="es-CO" w:eastAsia="es-CO"/>
        </w:rPr>
        <w:t xml:space="preserve">os </w:t>
      </w:r>
      <w:r w:rsidR="00ED5988" w:rsidRPr="00356462">
        <w:rPr>
          <w:rFonts w:ascii="Bookman Old Style" w:hAnsi="Bookman Old Style" w:cs="Arial"/>
          <w:lang w:val="es-CO" w:eastAsia="es-CO"/>
        </w:rPr>
        <w:t>10</w:t>
      </w:r>
      <w:r w:rsidR="001A0083" w:rsidRPr="00356462">
        <w:rPr>
          <w:rFonts w:ascii="Bookman Old Style" w:hAnsi="Bookman Old Style" w:cs="Arial"/>
          <w:lang w:val="es-CO" w:eastAsia="es-CO"/>
        </w:rPr>
        <w:t xml:space="preserve"> </w:t>
      </w:r>
      <w:r w:rsidR="005E5A5B" w:rsidRPr="00356462">
        <w:rPr>
          <w:rFonts w:ascii="Bookman Old Style" w:hAnsi="Bookman Old Style" w:cs="Arial"/>
          <w:lang w:val="es-CO" w:eastAsia="es-CO"/>
        </w:rPr>
        <w:t>día</w:t>
      </w:r>
      <w:r w:rsidR="001A0083" w:rsidRPr="00356462">
        <w:rPr>
          <w:rFonts w:ascii="Bookman Old Style" w:hAnsi="Bookman Old Style" w:cs="Arial"/>
          <w:lang w:val="es-CO" w:eastAsia="es-CO"/>
        </w:rPr>
        <w:t>s</w:t>
      </w:r>
      <w:r w:rsidR="005E5A5B" w:rsidRPr="00356462">
        <w:rPr>
          <w:rFonts w:ascii="Bookman Old Style" w:hAnsi="Bookman Old Style" w:cs="Arial"/>
          <w:lang w:val="es-CO" w:eastAsia="es-CO"/>
        </w:rPr>
        <w:t xml:space="preserve"> </w:t>
      </w:r>
      <w:r w:rsidR="00ED5988" w:rsidRPr="00356462">
        <w:rPr>
          <w:rFonts w:ascii="Bookman Old Style" w:hAnsi="Bookman Old Style" w:cs="Arial"/>
          <w:lang w:val="es-CO" w:eastAsia="es-CO"/>
        </w:rPr>
        <w:t xml:space="preserve">hábiles </w:t>
      </w:r>
      <w:r w:rsidR="005E5A5B" w:rsidRPr="00356462">
        <w:rPr>
          <w:rFonts w:ascii="Bookman Old Style" w:hAnsi="Bookman Old Style" w:cs="Arial"/>
          <w:lang w:val="es-CO" w:eastAsia="es-CO"/>
        </w:rPr>
        <w:t>siguiente</w:t>
      </w:r>
      <w:r w:rsidR="001A0083" w:rsidRPr="00356462">
        <w:rPr>
          <w:rFonts w:ascii="Bookman Old Style" w:hAnsi="Bookman Old Style" w:cs="Arial"/>
          <w:lang w:val="es-CO" w:eastAsia="es-CO"/>
        </w:rPr>
        <w:t>s</w:t>
      </w:r>
      <w:r w:rsidR="005E5A5B" w:rsidRPr="00356462">
        <w:rPr>
          <w:rFonts w:ascii="Bookman Old Style" w:hAnsi="Bookman Old Style" w:cs="Arial"/>
          <w:lang w:val="es-CO" w:eastAsia="es-CO"/>
        </w:rPr>
        <w:t xml:space="preserve"> </w:t>
      </w:r>
      <w:r w:rsidRPr="00356462">
        <w:rPr>
          <w:rFonts w:ascii="Bookman Old Style" w:hAnsi="Bookman Old Style" w:cs="Arial"/>
          <w:lang w:val="es-CO" w:eastAsia="es-CO"/>
        </w:rPr>
        <w:t xml:space="preserve">a la publicación de la propuesta en la página web de la CREG. </w:t>
      </w:r>
    </w:p>
    <w:p w14:paraId="79C6995C" w14:textId="77777777" w:rsidR="000C120A" w:rsidRDefault="000C120A" w:rsidP="0040389F">
      <w:pPr>
        <w:tabs>
          <w:tab w:val="left" w:pos="0"/>
        </w:tabs>
        <w:spacing w:before="240" w:after="240"/>
        <w:ind w:left="0"/>
        <w:jc w:val="both"/>
        <w:rPr>
          <w:rFonts w:ascii="Bookman Old Style" w:hAnsi="Bookman Old Style" w:cs="Arial"/>
          <w:b/>
          <w:bCs/>
        </w:rPr>
      </w:pPr>
    </w:p>
    <w:p w14:paraId="50AA3118" w14:textId="77777777" w:rsidR="000C120A" w:rsidRDefault="000C120A" w:rsidP="000C120A">
      <w:pPr>
        <w:tabs>
          <w:tab w:val="left" w:pos="0"/>
        </w:tabs>
        <w:ind w:left="0"/>
        <w:jc w:val="both"/>
        <w:rPr>
          <w:rFonts w:ascii="Bookman Old Style" w:hAnsi="Bookman Old Style" w:cs="Arial"/>
          <w:b/>
          <w:bCs/>
        </w:rPr>
      </w:pPr>
    </w:p>
    <w:p w14:paraId="7665ADDB" w14:textId="52F65F13" w:rsidR="003A627F" w:rsidRPr="00356462" w:rsidRDefault="001C4EC5" w:rsidP="0040389F">
      <w:pPr>
        <w:tabs>
          <w:tab w:val="left" w:pos="0"/>
        </w:tabs>
        <w:spacing w:before="240" w:after="240"/>
        <w:ind w:left="0"/>
        <w:jc w:val="both"/>
        <w:rPr>
          <w:rFonts w:ascii="Bookman Old Style" w:hAnsi="Bookman Old Style" w:cs="Arial"/>
        </w:rPr>
      </w:pPr>
      <w:r w:rsidRPr="00356462">
        <w:rPr>
          <w:rFonts w:ascii="Bookman Old Style" w:hAnsi="Bookman Old Style" w:cs="Arial"/>
          <w:b/>
          <w:bCs/>
        </w:rPr>
        <w:t>Artículo 3</w:t>
      </w:r>
      <w:r w:rsidRPr="00356462">
        <w:rPr>
          <w:rFonts w:ascii="Bookman Old Style" w:hAnsi="Bookman Old Style" w:cs="Arial"/>
          <w:b/>
        </w:rPr>
        <w:t>.</w:t>
      </w:r>
      <w:r w:rsidRPr="00356462">
        <w:rPr>
          <w:rFonts w:ascii="Bookman Old Style" w:hAnsi="Bookman Old Style" w:cs="Arial"/>
        </w:rPr>
        <w:t xml:space="preserve"> Las observaciones y sugerencias sobre el proyecto deberán dirigirse en </w:t>
      </w:r>
      <w:r w:rsidR="003A627F" w:rsidRPr="00356462">
        <w:rPr>
          <w:rFonts w:ascii="Bookman Old Style" w:hAnsi="Bookman Old Style" w:cs="Arial"/>
        </w:rPr>
        <w:t xml:space="preserve">el </w:t>
      </w:r>
      <w:r w:rsidRPr="00356462">
        <w:rPr>
          <w:rFonts w:ascii="Bookman Old Style" w:hAnsi="Bookman Old Style" w:cs="Arial"/>
        </w:rPr>
        <w:t xml:space="preserve">formato </w:t>
      </w:r>
      <w:r w:rsidR="003A627F" w:rsidRPr="00356462">
        <w:rPr>
          <w:rFonts w:ascii="Bookman Old Style" w:hAnsi="Bookman Old Style" w:cs="Arial"/>
        </w:rPr>
        <w:t xml:space="preserve">Excel adjunto a la presente resolución, </w:t>
      </w:r>
      <w:r w:rsidR="00A45831">
        <w:rPr>
          <w:rFonts w:ascii="Bookman Old Style" w:hAnsi="Bookman Old Style" w:cs="Arial"/>
        </w:rPr>
        <w:t>al</w:t>
      </w:r>
      <w:r w:rsidRPr="00356462">
        <w:rPr>
          <w:rFonts w:ascii="Bookman Old Style" w:hAnsi="Bookman Old Style" w:cs="Arial"/>
        </w:rPr>
        <w:t xml:space="preserve"> Director Ejecutivo de la Comisión, a la siguiente dirección: Avenida Calle 116 No. 7-15, Edificio Torre Cusezar, Interior 2, Oficina 901 o al correo electrónico </w:t>
      </w:r>
      <w:hyperlink r:id="rId13" w:history="1">
        <w:r w:rsidR="00A04B41" w:rsidRPr="00356462">
          <w:rPr>
            <w:rStyle w:val="Hipervnculo"/>
            <w:rFonts w:ascii="Bookman Old Style" w:hAnsi="Bookman Old Style" w:cs="Arial"/>
          </w:rPr>
          <w:t>creg@creg.gov.co</w:t>
        </w:r>
      </w:hyperlink>
      <w:r w:rsidR="003A627F" w:rsidRPr="00356462">
        <w:rPr>
          <w:rFonts w:ascii="Bookman Old Style" w:hAnsi="Bookman Old Style" w:cs="Arial"/>
        </w:rPr>
        <w:t>.</w:t>
      </w:r>
    </w:p>
    <w:p w14:paraId="35CB8FCA" w14:textId="77777777" w:rsidR="001C4EC5" w:rsidRPr="00356462" w:rsidRDefault="001C4EC5" w:rsidP="0040389F">
      <w:pPr>
        <w:tabs>
          <w:tab w:val="left" w:pos="0"/>
        </w:tabs>
        <w:spacing w:before="240" w:after="240"/>
        <w:ind w:left="0"/>
        <w:jc w:val="both"/>
        <w:rPr>
          <w:rFonts w:ascii="Bookman Old Style" w:hAnsi="Bookman Old Style" w:cs="Arial"/>
        </w:rPr>
      </w:pPr>
      <w:r w:rsidRPr="00356462">
        <w:rPr>
          <w:rFonts w:ascii="Bookman Old Style" w:hAnsi="Bookman Old Style" w:cs="Arial"/>
          <w:b/>
          <w:bCs/>
        </w:rPr>
        <w:t>Artículo 4</w:t>
      </w:r>
      <w:r w:rsidRPr="00356462">
        <w:rPr>
          <w:rFonts w:ascii="Bookman Old Style" w:hAnsi="Bookman Old Style" w:cs="Arial"/>
        </w:rPr>
        <w:t>. La presente Resolución no deroga disposiciones vigentes por tratarse de un acto de trámite.</w:t>
      </w:r>
    </w:p>
    <w:p w14:paraId="5D57FB24" w14:textId="77777777" w:rsidR="001C4EC5" w:rsidRPr="00356462" w:rsidRDefault="001C4EC5" w:rsidP="0040389F">
      <w:pPr>
        <w:spacing w:before="480" w:after="480"/>
        <w:ind w:left="0"/>
        <w:jc w:val="center"/>
        <w:rPr>
          <w:rFonts w:ascii="Bookman Old Style" w:hAnsi="Bookman Old Style"/>
          <w:b/>
        </w:rPr>
      </w:pPr>
      <w:r w:rsidRPr="00356462">
        <w:rPr>
          <w:rFonts w:ascii="Bookman Old Style" w:hAnsi="Bookman Old Style"/>
          <w:b/>
        </w:rPr>
        <w:t>PUBLÍQUESE Y CÚMPLASE</w:t>
      </w:r>
    </w:p>
    <w:p w14:paraId="134A8E37" w14:textId="6125C973" w:rsidR="001C4EC5" w:rsidRPr="000C120A" w:rsidRDefault="001C4EC5" w:rsidP="001C4EC5">
      <w:pPr>
        <w:ind w:left="0"/>
        <w:rPr>
          <w:rFonts w:ascii="Bookman Old Style" w:hAnsi="Bookman Old Style"/>
          <w:b/>
          <w:bCs/>
        </w:rPr>
      </w:pPr>
      <w:r w:rsidRPr="00356462">
        <w:rPr>
          <w:rFonts w:ascii="Bookman Old Style" w:hAnsi="Bookman Old Style"/>
        </w:rPr>
        <w:t>Dada en Bogotá, D.C.</w:t>
      </w:r>
      <w:r w:rsidR="00461994" w:rsidRPr="00356462">
        <w:rPr>
          <w:rFonts w:ascii="Bookman Old Style" w:hAnsi="Bookman Old Style"/>
        </w:rPr>
        <w:t xml:space="preserve"> a</w:t>
      </w:r>
      <w:r w:rsidR="000C120A">
        <w:rPr>
          <w:rFonts w:ascii="Bookman Old Style" w:hAnsi="Bookman Old Style"/>
        </w:rPr>
        <w:t xml:space="preserve"> </w:t>
      </w:r>
      <w:r w:rsidR="000C120A" w:rsidRPr="000C120A">
        <w:rPr>
          <w:rFonts w:ascii="Bookman Old Style" w:hAnsi="Bookman Old Style"/>
          <w:b/>
          <w:bCs/>
        </w:rPr>
        <w:t>05 FEB. 2021</w:t>
      </w:r>
    </w:p>
    <w:p w14:paraId="2E3E8A4E" w14:textId="77777777" w:rsidR="00967B52" w:rsidRPr="00356462" w:rsidRDefault="00967B52" w:rsidP="00967B52">
      <w:pPr>
        <w:ind w:left="0"/>
        <w:rPr>
          <w:rFonts w:ascii="Bookman Old Style" w:hAnsi="Bookman Old Style"/>
        </w:rPr>
      </w:pPr>
    </w:p>
    <w:p w14:paraId="304CA043" w14:textId="77777777" w:rsidR="00967B52" w:rsidRPr="00356462" w:rsidRDefault="00967B52" w:rsidP="00967B52">
      <w:pPr>
        <w:ind w:left="0"/>
        <w:rPr>
          <w:rFonts w:ascii="Bookman Old Style" w:hAnsi="Bookman Old Style"/>
        </w:rPr>
      </w:pPr>
    </w:p>
    <w:p w14:paraId="06AD0096" w14:textId="77777777" w:rsidR="00642C11" w:rsidRPr="00356462" w:rsidRDefault="00642C11" w:rsidP="00967B52">
      <w:pPr>
        <w:ind w:left="0"/>
        <w:rPr>
          <w:rFonts w:ascii="Bookman Old Style" w:hAnsi="Bookman Old Style"/>
        </w:rPr>
      </w:pPr>
    </w:p>
    <w:p w14:paraId="35FC3097" w14:textId="77777777" w:rsidR="00642C11" w:rsidRPr="00356462" w:rsidRDefault="00642C11" w:rsidP="00967B52">
      <w:pPr>
        <w:ind w:left="0"/>
        <w:rPr>
          <w:rFonts w:ascii="Bookman Old Style" w:hAnsi="Bookman Old Style"/>
        </w:rPr>
      </w:pPr>
    </w:p>
    <w:p w14:paraId="26E0F03E" w14:textId="77777777" w:rsidR="00642C11" w:rsidRPr="00356462" w:rsidRDefault="00642C11" w:rsidP="00967B52">
      <w:pPr>
        <w:ind w:left="0"/>
        <w:rPr>
          <w:rFonts w:ascii="Bookman Old Style" w:hAnsi="Bookman Old Style"/>
        </w:rPr>
      </w:pPr>
    </w:p>
    <w:tbl>
      <w:tblPr>
        <w:tblW w:w="9073" w:type="dxa"/>
        <w:jc w:val="center"/>
        <w:tblCellSpacing w:w="0" w:type="dxa"/>
        <w:tblCellMar>
          <w:left w:w="0" w:type="dxa"/>
          <w:right w:w="0" w:type="dxa"/>
        </w:tblCellMar>
        <w:tblLook w:val="04A0" w:firstRow="1" w:lastRow="0" w:firstColumn="1" w:lastColumn="0" w:noHBand="0" w:noVBand="1"/>
      </w:tblPr>
      <w:tblGrid>
        <w:gridCol w:w="4395"/>
        <w:gridCol w:w="4678"/>
      </w:tblGrid>
      <w:tr w:rsidR="00642C11" w:rsidRPr="000C120A" w14:paraId="0CB21016" w14:textId="77777777" w:rsidTr="000C120A">
        <w:trPr>
          <w:tblCellSpacing w:w="0" w:type="dxa"/>
          <w:jc w:val="center"/>
        </w:trPr>
        <w:tc>
          <w:tcPr>
            <w:tcW w:w="4395" w:type="dxa"/>
            <w:hideMark/>
          </w:tcPr>
          <w:p w14:paraId="1E6D36C5" w14:textId="77777777" w:rsidR="00642C11" w:rsidRPr="000C120A" w:rsidRDefault="003A627F" w:rsidP="0018141D">
            <w:pPr>
              <w:ind w:left="-6"/>
              <w:contextualSpacing/>
              <w:jc w:val="center"/>
              <w:rPr>
                <w:rFonts w:ascii="Bookman Old Style" w:eastAsia="Arial Unicode MS" w:hAnsi="Bookman Old Style"/>
                <w:b/>
                <w:bCs/>
                <w:color w:val="000000"/>
              </w:rPr>
            </w:pPr>
            <w:r w:rsidRPr="000C120A">
              <w:rPr>
                <w:rFonts w:ascii="Bookman Old Style" w:eastAsia="Arial Unicode MS" w:hAnsi="Bookman Old Style"/>
                <w:b/>
                <w:bCs/>
                <w:color w:val="000000"/>
              </w:rPr>
              <w:t>DIEGO MESA PUYO</w:t>
            </w:r>
          </w:p>
        </w:tc>
        <w:tc>
          <w:tcPr>
            <w:tcW w:w="4678" w:type="dxa"/>
            <w:hideMark/>
          </w:tcPr>
          <w:p w14:paraId="5EDAD88A" w14:textId="49DF80ED" w:rsidR="00642C11" w:rsidRPr="000C120A" w:rsidRDefault="003A627F" w:rsidP="00441A0D">
            <w:pPr>
              <w:ind w:left="0" w:right="-26"/>
              <w:contextualSpacing/>
              <w:rPr>
                <w:rFonts w:ascii="Bookman Old Style" w:eastAsia="Arial Unicode MS" w:hAnsi="Bookman Old Style"/>
                <w:b/>
                <w:bCs/>
              </w:rPr>
            </w:pPr>
            <w:r w:rsidRPr="000C120A">
              <w:rPr>
                <w:rFonts w:ascii="Bookman Old Style" w:eastAsia="Arial Unicode MS" w:hAnsi="Bookman Old Style"/>
                <w:b/>
                <w:bCs/>
              </w:rPr>
              <w:t>JORGE ALBERTO VALENCIA</w:t>
            </w:r>
            <w:r w:rsidR="000C120A">
              <w:rPr>
                <w:rFonts w:ascii="Bookman Old Style" w:eastAsia="Arial Unicode MS" w:hAnsi="Bookman Old Style"/>
                <w:b/>
                <w:bCs/>
              </w:rPr>
              <w:t xml:space="preserve"> </w:t>
            </w:r>
            <w:r w:rsidRPr="000C120A">
              <w:rPr>
                <w:rFonts w:ascii="Bookman Old Style" w:eastAsia="Arial Unicode MS" w:hAnsi="Bookman Old Style"/>
                <w:b/>
                <w:bCs/>
              </w:rPr>
              <w:t>MAR</w:t>
            </w:r>
            <w:r w:rsidR="000C120A" w:rsidRPr="000C120A">
              <w:rPr>
                <w:rFonts w:ascii="Bookman Old Style" w:eastAsia="Arial Unicode MS" w:hAnsi="Bookman Old Style"/>
                <w:b/>
                <w:bCs/>
              </w:rPr>
              <w:t>Í</w:t>
            </w:r>
            <w:r w:rsidRPr="000C120A">
              <w:rPr>
                <w:rFonts w:ascii="Bookman Old Style" w:eastAsia="Arial Unicode MS" w:hAnsi="Bookman Old Style"/>
                <w:b/>
                <w:bCs/>
              </w:rPr>
              <w:t>N</w:t>
            </w:r>
          </w:p>
        </w:tc>
      </w:tr>
      <w:tr w:rsidR="00642C11" w:rsidRPr="000C120A" w14:paraId="10F41F10" w14:textId="77777777" w:rsidTr="000C120A">
        <w:trPr>
          <w:tblCellSpacing w:w="0" w:type="dxa"/>
          <w:jc w:val="center"/>
        </w:trPr>
        <w:tc>
          <w:tcPr>
            <w:tcW w:w="4395" w:type="dxa"/>
            <w:hideMark/>
          </w:tcPr>
          <w:p w14:paraId="261FC953" w14:textId="77777777" w:rsidR="00642C11" w:rsidRPr="000C120A" w:rsidRDefault="00642C11" w:rsidP="0018141D">
            <w:pPr>
              <w:ind w:left="-26"/>
              <w:contextualSpacing/>
              <w:jc w:val="center"/>
              <w:rPr>
                <w:rFonts w:ascii="Bookman Old Style" w:eastAsia="Arial Unicode MS" w:hAnsi="Bookman Old Style" w:cs="Arial"/>
                <w:color w:val="000000"/>
              </w:rPr>
            </w:pPr>
            <w:r w:rsidRPr="000C120A">
              <w:rPr>
                <w:rFonts w:ascii="Bookman Old Style" w:hAnsi="Bookman Old Style" w:cs="Arial"/>
              </w:rPr>
              <w:t>Ministro de Minas y Energía</w:t>
            </w:r>
          </w:p>
        </w:tc>
        <w:tc>
          <w:tcPr>
            <w:tcW w:w="4678" w:type="dxa"/>
            <w:hideMark/>
          </w:tcPr>
          <w:p w14:paraId="2C7B4ADF" w14:textId="77777777" w:rsidR="00642C11" w:rsidRPr="000C120A" w:rsidRDefault="00642C11" w:rsidP="0018141D">
            <w:pPr>
              <w:contextualSpacing/>
              <w:jc w:val="center"/>
              <w:rPr>
                <w:rFonts w:ascii="Bookman Old Style" w:eastAsia="Arial Unicode MS" w:hAnsi="Bookman Old Style" w:cs="Arial"/>
                <w:color w:val="000000"/>
              </w:rPr>
            </w:pPr>
            <w:r w:rsidRPr="000C120A">
              <w:rPr>
                <w:rFonts w:ascii="Bookman Old Style" w:hAnsi="Bookman Old Style" w:cs="Arial"/>
              </w:rPr>
              <w:t>Director Ejecutivo</w:t>
            </w:r>
          </w:p>
        </w:tc>
      </w:tr>
      <w:tr w:rsidR="00642C11" w:rsidRPr="000C120A" w14:paraId="4FF9B8C5" w14:textId="77777777" w:rsidTr="000C120A">
        <w:trPr>
          <w:tblCellSpacing w:w="0" w:type="dxa"/>
          <w:jc w:val="center"/>
        </w:trPr>
        <w:tc>
          <w:tcPr>
            <w:tcW w:w="4395" w:type="dxa"/>
            <w:hideMark/>
          </w:tcPr>
          <w:p w14:paraId="00585852" w14:textId="77777777" w:rsidR="00642C11" w:rsidRPr="000C120A" w:rsidRDefault="00642C11" w:rsidP="0018141D">
            <w:pPr>
              <w:ind w:left="-26"/>
              <w:contextualSpacing/>
              <w:jc w:val="center"/>
              <w:rPr>
                <w:rFonts w:ascii="Bookman Old Style" w:eastAsia="Arial Unicode MS" w:hAnsi="Bookman Old Style" w:cs="Arial"/>
                <w:color w:val="000000"/>
              </w:rPr>
            </w:pPr>
            <w:r w:rsidRPr="000C120A">
              <w:rPr>
                <w:rFonts w:ascii="Bookman Old Style" w:hAnsi="Bookman Old Style" w:cs="Arial"/>
              </w:rPr>
              <w:t>Presidente</w:t>
            </w:r>
          </w:p>
        </w:tc>
        <w:tc>
          <w:tcPr>
            <w:tcW w:w="4678" w:type="dxa"/>
            <w:hideMark/>
          </w:tcPr>
          <w:p w14:paraId="5840FB68" w14:textId="2A9A9A7C" w:rsidR="00642C11" w:rsidRPr="000C120A" w:rsidRDefault="00CE76AE" w:rsidP="0018141D">
            <w:pPr>
              <w:contextualSpacing/>
              <w:jc w:val="center"/>
              <w:rPr>
                <w:rFonts w:ascii="Bookman Old Style" w:eastAsia="Arial Unicode MS" w:hAnsi="Bookman Old Style" w:cs="Arial"/>
                <w:color w:val="000000"/>
              </w:rPr>
            </w:pPr>
            <w:r w:rsidRPr="000C120A">
              <w:rPr>
                <w:rFonts w:ascii="Bookman Old Style" w:hAnsi="Bookman Old Style" w:cs="Arial"/>
                <w:noProof/>
                <w:lang w:val="es-CO" w:eastAsia="es-CO"/>
              </w:rPr>
              <w:drawing>
                <wp:inline distT="0" distB="0" distL="0" distR="0" wp14:anchorId="0DEC904E" wp14:editId="7B6346A8">
                  <wp:extent cx="12065" cy="12065"/>
                  <wp:effectExtent l="0" t="0" r="0" b="0"/>
                  <wp:docPr id="3" name="Imagen 3" descr="Descripción: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ec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r>
    </w:tbl>
    <w:p w14:paraId="3A324CB0" w14:textId="77777777" w:rsidR="00642C11" w:rsidRPr="000C120A" w:rsidRDefault="00642C11" w:rsidP="00967B52">
      <w:pPr>
        <w:ind w:left="0"/>
        <w:rPr>
          <w:rFonts w:ascii="Bookman Old Style" w:hAnsi="Bookman Old Style"/>
        </w:rPr>
      </w:pPr>
    </w:p>
    <w:p w14:paraId="36B4BDBA" w14:textId="77777777" w:rsidR="00967B52" w:rsidRPr="00356462" w:rsidRDefault="00967B52" w:rsidP="00967B52">
      <w:pPr>
        <w:ind w:left="0"/>
        <w:rPr>
          <w:rFonts w:ascii="Bookman Old Style" w:hAnsi="Bookman Old Style"/>
        </w:rPr>
      </w:pPr>
    </w:p>
    <w:p w14:paraId="4EDF4E7A" w14:textId="6A0CAB84" w:rsidR="008F7CDC" w:rsidRPr="00356462" w:rsidRDefault="008F7CDC">
      <w:pPr>
        <w:ind w:left="0"/>
        <w:rPr>
          <w:rFonts w:ascii="Bookman Old Style" w:hAnsi="Bookman Old Style" w:cs="Arial"/>
          <w:color w:val="000000"/>
        </w:rPr>
      </w:pPr>
      <w:r w:rsidRPr="00356462">
        <w:rPr>
          <w:rFonts w:ascii="Bookman Old Style" w:hAnsi="Bookman Old Style" w:cs="Arial"/>
          <w:color w:val="000000"/>
        </w:rPr>
        <w:br w:type="page"/>
      </w:r>
    </w:p>
    <w:p w14:paraId="337B0365" w14:textId="77777777" w:rsidR="00967B52" w:rsidRPr="00356462" w:rsidRDefault="00967B52" w:rsidP="002367B2">
      <w:pPr>
        <w:ind w:left="0"/>
        <w:jc w:val="center"/>
        <w:rPr>
          <w:rFonts w:ascii="Bookman Old Style" w:hAnsi="Bookman Old Style" w:cs="Arial"/>
          <w:color w:val="000000"/>
        </w:rPr>
      </w:pPr>
    </w:p>
    <w:p w14:paraId="117548A3" w14:textId="77777777" w:rsidR="001C4EC5" w:rsidRPr="00356462" w:rsidRDefault="001C4EC5" w:rsidP="002367B2">
      <w:pPr>
        <w:ind w:left="0"/>
        <w:jc w:val="center"/>
        <w:rPr>
          <w:rFonts w:ascii="Bookman Old Style" w:hAnsi="Bookman Old Style" w:cs="Arial"/>
          <w:color w:val="000000"/>
        </w:rPr>
      </w:pPr>
      <w:r w:rsidRPr="00356462">
        <w:rPr>
          <w:rFonts w:ascii="Bookman Old Style" w:hAnsi="Bookman Old Style" w:cs="Arial"/>
          <w:b/>
          <w:color w:val="000000"/>
          <w:lang w:eastAsia="es-CO"/>
        </w:rPr>
        <w:t>PROYECTO DE RESOLUCIÓN</w:t>
      </w:r>
    </w:p>
    <w:p w14:paraId="5B706204" w14:textId="77777777" w:rsidR="00B04848" w:rsidRPr="00356462" w:rsidRDefault="00B04848" w:rsidP="00B04848">
      <w:pPr>
        <w:ind w:left="0"/>
        <w:jc w:val="center"/>
        <w:rPr>
          <w:rFonts w:ascii="Bookman Old Style" w:hAnsi="Bookman Old Style"/>
        </w:rPr>
      </w:pPr>
    </w:p>
    <w:p w14:paraId="016D1444" w14:textId="77777777" w:rsidR="00642C11" w:rsidRPr="00356462" w:rsidRDefault="00642C11" w:rsidP="00B04848">
      <w:pPr>
        <w:ind w:left="0"/>
        <w:jc w:val="center"/>
        <w:rPr>
          <w:rFonts w:ascii="Bookman Old Style" w:hAnsi="Bookman Old Style"/>
        </w:rPr>
      </w:pPr>
    </w:p>
    <w:p w14:paraId="54E526DC" w14:textId="2C0E53F3" w:rsidR="004D0B60" w:rsidRPr="00356462" w:rsidRDefault="004D0B60" w:rsidP="004D0B60">
      <w:pPr>
        <w:ind w:left="0"/>
        <w:jc w:val="center"/>
        <w:rPr>
          <w:rFonts w:ascii="Bookman Old Style" w:hAnsi="Bookman Old Style"/>
        </w:rPr>
      </w:pPr>
      <w:r w:rsidRPr="00356462">
        <w:rPr>
          <w:rFonts w:ascii="Bookman Old Style" w:hAnsi="Bookman Old Style"/>
        </w:rPr>
        <w:t xml:space="preserve">Por la cual se </w:t>
      </w:r>
      <w:r>
        <w:rPr>
          <w:rFonts w:ascii="Bookman Old Style" w:hAnsi="Bookman Old Style"/>
        </w:rPr>
        <w:t>hace</w:t>
      </w:r>
      <w:r w:rsidR="00C243A4">
        <w:rPr>
          <w:rFonts w:ascii="Bookman Old Style" w:hAnsi="Bookman Old Style"/>
        </w:rPr>
        <w:t>n</w:t>
      </w:r>
      <w:r>
        <w:rPr>
          <w:rFonts w:ascii="Bookman Old Style" w:hAnsi="Bookman Old Style"/>
        </w:rPr>
        <w:t xml:space="preserve"> unos ajustes a la </w:t>
      </w:r>
      <w:r w:rsidRPr="00356462">
        <w:rPr>
          <w:rFonts w:ascii="Bookman Old Style" w:hAnsi="Bookman Old Style"/>
        </w:rPr>
        <w:t>Resolución CREG 152 de 2017</w:t>
      </w:r>
    </w:p>
    <w:p w14:paraId="68CDD397" w14:textId="77777777" w:rsidR="00B04848" w:rsidRPr="00356462" w:rsidRDefault="00B04848" w:rsidP="00B04848">
      <w:pPr>
        <w:ind w:left="0"/>
        <w:jc w:val="center"/>
        <w:rPr>
          <w:rFonts w:ascii="Bookman Old Style" w:hAnsi="Bookman Old Style"/>
        </w:rPr>
      </w:pPr>
    </w:p>
    <w:p w14:paraId="3B3B4463" w14:textId="77777777" w:rsidR="001C4EC5" w:rsidRPr="00356462" w:rsidRDefault="001C4EC5" w:rsidP="00F13C2A">
      <w:pPr>
        <w:spacing w:after="480"/>
        <w:ind w:left="0"/>
        <w:jc w:val="center"/>
        <w:rPr>
          <w:rFonts w:ascii="Bookman Old Style" w:hAnsi="Bookman Old Style" w:cs="Arial"/>
          <w:color w:val="000000"/>
          <w:lang w:eastAsia="es-CO"/>
        </w:rPr>
      </w:pPr>
      <w:r w:rsidRPr="00356462">
        <w:rPr>
          <w:rFonts w:ascii="Bookman Old Style" w:hAnsi="Bookman Old Style" w:cs="Arial"/>
          <w:b/>
          <w:bCs/>
          <w:color w:val="000000"/>
          <w:lang w:eastAsia="es-CO"/>
        </w:rPr>
        <w:t>LA COMISIÓN DE REGULACIÓN DE ENERGÍA Y GAS</w:t>
      </w:r>
    </w:p>
    <w:p w14:paraId="6BBB5F75" w14:textId="00D3D30F" w:rsidR="001C4EC5" w:rsidRPr="00356462" w:rsidRDefault="001C4EC5" w:rsidP="0040389F">
      <w:pPr>
        <w:spacing w:before="480" w:after="480"/>
        <w:ind w:left="0"/>
        <w:jc w:val="center"/>
        <w:rPr>
          <w:rFonts w:ascii="Bookman Old Style" w:hAnsi="Bookman Old Style" w:cs="Arial"/>
          <w:color w:val="000000"/>
        </w:rPr>
      </w:pPr>
      <w:r w:rsidRPr="00356462">
        <w:rPr>
          <w:rFonts w:ascii="Bookman Old Style" w:hAnsi="Bookman Old Style" w:cs="Arial"/>
          <w:color w:val="000000"/>
        </w:rPr>
        <w:t>En ejercicio de las atribuciones constitucionales y legales, en especial las conferidas por la Ley 142 de 1994 y los decretos 152</w:t>
      </w:r>
      <w:r w:rsidR="003C15B3">
        <w:rPr>
          <w:rFonts w:ascii="Bookman Old Style" w:hAnsi="Bookman Old Style" w:cs="Arial"/>
          <w:color w:val="000000"/>
        </w:rPr>
        <w:t>4</w:t>
      </w:r>
      <w:r w:rsidRPr="00356462">
        <w:rPr>
          <w:rFonts w:ascii="Bookman Old Style" w:hAnsi="Bookman Old Style" w:cs="Arial"/>
          <w:color w:val="000000"/>
        </w:rPr>
        <w:t xml:space="preserve"> y 2253 de 1994</w:t>
      </w:r>
      <w:r w:rsidR="00A45831">
        <w:rPr>
          <w:rFonts w:ascii="Bookman Old Style" w:hAnsi="Bookman Old Style" w:cs="Arial"/>
          <w:color w:val="000000"/>
        </w:rPr>
        <w:t>,</w:t>
      </w:r>
      <w:r w:rsidRPr="00356462">
        <w:rPr>
          <w:rFonts w:ascii="Bookman Old Style" w:hAnsi="Bookman Old Style" w:cs="Arial"/>
          <w:color w:val="000000"/>
        </w:rPr>
        <w:t xml:space="preserve"> y 1260 de 2013, y</w:t>
      </w:r>
    </w:p>
    <w:p w14:paraId="0E49EF03" w14:textId="77777777" w:rsidR="001C4EC5" w:rsidRPr="00356462" w:rsidRDefault="001C4EC5" w:rsidP="0040389F">
      <w:pPr>
        <w:spacing w:after="480"/>
        <w:ind w:left="0"/>
        <w:jc w:val="center"/>
        <w:rPr>
          <w:rFonts w:ascii="Bookman Old Style" w:hAnsi="Bookman Old Style" w:cs="Arial"/>
          <w:b/>
          <w:color w:val="000000"/>
        </w:rPr>
      </w:pPr>
      <w:r w:rsidRPr="00356462">
        <w:rPr>
          <w:rFonts w:ascii="Bookman Old Style" w:hAnsi="Bookman Old Style" w:cs="Arial"/>
          <w:b/>
          <w:color w:val="000000"/>
        </w:rPr>
        <w:t xml:space="preserve">C O N S I D E R A N D O </w:t>
      </w:r>
      <w:r w:rsidR="006962D4" w:rsidRPr="00356462">
        <w:rPr>
          <w:rFonts w:ascii="Bookman Old Style" w:hAnsi="Bookman Old Style" w:cs="Arial"/>
          <w:b/>
          <w:color w:val="000000"/>
        </w:rPr>
        <w:t xml:space="preserve"> </w:t>
      </w:r>
      <w:r w:rsidRPr="00356462">
        <w:rPr>
          <w:rFonts w:ascii="Bookman Old Style" w:hAnsi="Bookman Old Style" w:cs="Arial"/>
          <w:b/>
          <w:color w:val="000000"/>
        </w:rPr>
        <w:t xml:space="preserve"> Q U E:</w:t>
      </w:r>
    </w:p>
    <w:p w14:paraId="456301F5" w14:textId="77777777" w:rsidR="00BF2BC2" w:rsidRPr="00356462" w:rsidRDefault="00BF2BC2" w:rsidP="00BF2BC2">
      <w:pPr>
        <w:pStyle w:val="Textoindependiente2"/>
        <w:spacing w:after="0" w:line="240" w:lineRule="auto"/>
        <w:ind w:left="0"/>
        <w:jc w:val="both"/>
        <w:rPr>
          <w:rFonts w:ascii="Bookman Old Style" w:hAnsi="Bookman Old Style"/>
          <w:i/>
          <w:color w:val="000000"/>
          <w:lang w:val="es-ES_tradnl"/>
        </w:rPr>
      </w:pPr>
      <w:r w:rsidRPr="00356462">
        <w:rPr>
          <w:rFonts w:ascii="Bookman Old Style" w:hAnsi="Bookman Old Style"/>
          <w:color w:val="000000"/>
          <w:lang w:val="es-ES_tradnl"/>
        </w:rPr>
        <w:t xml:space="preserve">El 26 de mayo de 2015, se profirió el Decreto 1073 de 2015, </w:t>
      </w:r>
      <w:r w:rsidRPr="00356462">
        <w:rPr>
          <w:rFonts w:ascii="Bookman Old Style" w:hAnsi="Bookman Old Style"/>
          <w:i/>
          <w:color w:val="000000"/>
          <w:lang w:val="es-ES_tradnl"/>
        </w:rPr>
        <w:t>Por medio del cual se expide el Decreto Único Reglamentario del Sector Administrativo de Minas y Energía.</w:t>
      </w:r>
    </w:p>
    <w:p w14:paraId="024EF2DE" w14:textId="77777777"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p>
    <w:p w14:paraId="29C7E07A" w14:textId="77777777"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r w:rsidRPr="00356462">
        <w:rPr>
          <w:rFonts w:ascii="Bookman Old Style" w:hAnsi="Bookman Old Style"/>
          <w:color w:val="000000"/>
          <w:lang w:val="es-ES_tradnl"/>
        </w:rPr>
        <w:t>A través del Decreto 2345 de 2015 se adicionó el Decreto Único Reglamentario del Sector Administrativo de Minas y Energía, 1073 de 2015, con lineamientos orientados a aumentar la confiabilidad y seguridad de abastecimiento de gas natural, estableciendo ordenamientos para la identificación, ejecución y remuneración de los proyectos requeridos con este fin.</w:t>
      </w:r>
    </w:p>
    <w:p w14:paraId="73FB7A24" w14:textId="77777777"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p>
    <w:p w14:paraId="1189B569" w14:textId="77777777"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r w:rsidRPr="00356462">
        <w:rPr>
          <w:rFonts w:ascii="Bookman Old Style" w:hAnsi="Bookman Old Style"/>
          <w:color w:val="000000"/>
          <w:lang w:val="es-ES_tradnl"/>
        </w:rPr>
        <w:t>El Artículo 5 del Decreto 2345 de 2015, que a su vez modifica el Artículo 2.2.2.2.29 del Decreto Único Reglamentario del sector administrativo de Minas y Energía 1073 de 2015, delega en la CREG la expedición de la regulación aplicable a los proyectos incluidos en el plan de abastecimiento de gas natural, la definición de los mecanismo</w:t>
      </w:r>
      <w:r w:rsidRPr="00356462">
        <w:rPr>
          <w:rFonts w:ascii="Bookman Old Style" w:hAnsi="Bookman Old Style"/>
          <w:color w:val="000000"/>
          <w:lang w:val="es-419"/>
        </w:rPr>
        <w:t xml:space="preserve">s necesarios para el </w:t>
      </w:r>
      <w:r w:rsidRPr="00356462">
        <w:rPr>
          <w:rFonts w:ascii="Bookman Old Style" w:hAnsi="Bookman Old Style"/>
          <w:color w:val="000000"/>
          <w:lang w:val="es-ES_tradnl"/>
        </w:rPr>
        <w:t>desarrollo de los proyectos</w:t>
      </w:r>
      <w:r w:rsidRPr="00356462">
        <w:rPr>
          <w:rFonts w:ascii="Bookman Old Style" w:hAnsi="Bookman Old Style"/>
          <w:color w:val="000000"/>
          <w:lang w:val="es-419"/>
        </w:rPr>
        <w:t xml:space="preserve"> por los transportadores o por </w:t>
      </w:r>
      <w:r w:rsidRPr="00356462">
        <w:rPr>
          <w:rFonts w:ascii="Bookman Old Style" w:hAnsi="Bookman Old Style"/>
          <w:color w:val="000000"/>
          <w:lang w:val="es-ES_tradnl"/>
        </w:rPr>
        <w:t>mecanismos abiertos y competitivos, la metodología de remuneración y las obligaciones de los agentes en la ejecución de proyectos.</w:t>
      </w:r>
    </w:p>
    <w:p w14:paraId="6B013A35" w14:textId="77777777"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p>
    <w:p w14:paraId="292304E2" w14:textId="268DE1E6"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r w:rsidRPr="00356462">
        <w:rPr>
          <w:rFonts w:ascii="Bookman Old Style" w:hAnsi="Bookman Old Style"/>
          <w:color w:val="000000"/>
          <w:lang w:val="es-ES_tradnl"/>
        </w:rPr>
        <w:t>Continúa el mencionado artículo</w:t>
      </w:r>
      <w:r w:rsidR="00A45831">
        <w:rPr>
          <w:rFonts w:ascii="Bookman Old Style" w:hAnsi="Bookman Old Style"/>
          <w:color w:val="000000"/>
          <w:lang w:val="es-ES_tradnl"/>
        </w:rPr>
        <w:t>,</w:t>
      </w:r>
      <w:r w:rsidRPr="00356462">
        <w:rPr>
          <w:rFonts w:ascii="Bookman Old Style" w:hAnsi="Bookman Old Style"/>
          <w:color w:val="000000"/>
          <w:lang w:val="es-ES_tradnl"/>
        </w:rPr>
        <w:t xml:space="preserve"> y para la definición de las metodologías de remuneración de los proyectos de confiabilidad y/o seguridad de abastecimiento</w:t>
      </w:r>
      <w:r w:rsidR="00A45831">
        <w:rPr>
          <w:rFonts w:ascii="Bookman Old Style" w:hAnsi="Bookman Old Style"/>
          <w:color w:val="000000"/>
          <w:lang w:val="es-ES_tradnl"/>
        </w:rPr>
        <w:t>,</w:t>
      </w:r>
      <w:r w:rsidRPr="00356462">
        <w:rPr>
          <w:rFonts w:ascii="Bookman Old Style" w:hAnsi="Bookman Old Style"/>
          <w:color w:val="000000"/>
          <w:lang w:val="es-ES_tradnl"/>
        </w:rPr>
        <w:t xml:space="preserve"> estableció que la CREG tendría en cuenta los costos de racionamiento, la consideración de cargos fijos y cargos variables y otras variables técnicas que determine en el ejercicio de sus funciones. </w:t>
      </w:r>
      <w:r w:rsidR="00A45831">
        <w:rPr>
          <w:rFonts w:ascii="Bookman Old Style" w:hAnsi="Bookman Old Style"/>
          <w:color w:val="000000"/>
          <w:lang w:val="es-ES_tradnl"/>
        </w:rPr>
        <w:t xml:space="preserve">Así </w:t>
      </w:r>
      <w:r w:rsidRPr="00356462">
        <w:rPr>
          <w:rFonts w:ascii="Bookman Old Style" w:hAnsi="Bookman Old Style"/>
          <w:color w:val="000000"/>
          <w:lang w:val="es-ES_tradnl"/>
        </w:rPr>
        <w:t xml:space="preserve">mismo, estableció que todos los usuarios, incluyendo los de la demanda esencial, deberán ser sujetos de cobro para remunerar los proyectos de confiabilidad y seguridad de abastecimiento de los que son beneficiarios. </w:t>
      </w:r>
    </w:p>
    <w:p w14:paraId="3F7F0EDE" w14:textId="77777777" w:rsidR="00BF2BC2" w:rsidRPr="00356462" w:rsidRDefault="00BF2BC2" w:rsidP="00BF2BC2">
      <w:pPr>
        <w:pStyle w:val="Textoindependiente2"/>
        <w:spacing w:after="0" w:line="240" w:lineRule="auto"/>
        <w:ind w:left="0"/>
        <w:jc w:val="both"/>
        <w:rPr>
          <w:rFonts w:ascii="Bookman Old Style" w:hAnsi="Bookman Old Style"/>
          <w:color w:val="FF0000"/>
          <w:lang w:val="es-419"/>
        </w:rPr>
      </w:pPr>
    </w:p>
    <w:p w14:paraId="086A4068" w14:textId="77777777"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r w:rsidRPr="00356462">
        <w:rPr>
          <w:rFonts w:ascii="Bookman Old Style" w:hAnsi="Bookman Old Style"/>
          <w:color w:val="000000"/>
          <w:lang w:val="es-ES_tradnl"/>
        </w:rPr>
        <w:t xml:space="preserve">Finalmente, y en relación con el artículo en mención, el parágrafo del mismo establece que “La UPME será responsable de la aplicación de los mecanismos abiertos y competitivos a los que se refiere este artículo”. </w:t>
      </w:r>
    </w:p>
    <w:p w14:paraId="6F357C84" w14:textId="77777777" w:rsidR="00DD3F63" w:rsidRPr="00356462" w:rsidRDefault="00DD3F63" w:rsidP="00DD3F63">
      <w:pPr>
        <w:pStyle w:val="Textoindependiente2"/>
        <w:spacing w:after="0" w:line="240" w:lineRule="auto"/>
        <w:ind w:left="0"/>
        <w:jc w:val="both"/>
        <w:rPr>
          <w:rFonts w:ascii="Bookman Old Style" w:hAnsi="Bookman Old Style"/>
          <w:color w:val="000000"/>
          <w:lang w:val="es-ES_tradnl"/>
        </w:rPr>
      </w:pPr>
    </w:p>
    <w:p w14:paraId="71F6D0A2" w14:textId="2C1FFF42" w:rsidR="00DD3F63" w:rsidRPr="00356462" w:rsidRDefault="00DD3F63" w:rsidP="00DD3F63">
      <w:pPr>
        <w:pStyle w:val="Textoindependiente2"/>
        <w:spacing w:after="0" w:line="240" w:lineRule="auto"/>
        <w:ind w:left="0"/>
        <w:jc w:val="both"/>
        <w:rPr>
          <w:rFonts w:ascii="Bookman Old Style" w:hAnsi="Bookman Old Style"/>
        </w:rPr>
      </w:pPr>
      <w:r w:rsidRPr="00356462">
        <w:rPr>
          <w:rFonts w:ascii="Bookman Old Style" w:hAnsi="Bookman Old Style"/>
          <w:color w:val="000000"/>
          <w:lang w:val="es-ES_tradnl"/>
        </w:rPr>
        <w:t>Mediante la Resolución CREG 107 de 2017</w:t>
      </w:r>
      <w:r w:rsidR="00A45831">
        <w:rPr>
          <w:rFonts w:ascii="Bookman Old Style" w:hAnsi="Bookman Old Style"/>
          <w:color w:val="000000"/>
          <w:lang w:val="es-ES_tradnl"/>
        </w:rPr>
        <w:t>,</w:t>
      </w:r>
      <w:r w:rsidRPr="00356462">
        <w:rPr>
          <w:rFonts w:ascii="Bookman Old Style" w:hAnsi="Bookman Old Style"/>
          <w:color w:val="000000"/>
          <w:lang w:val="es-ES_tradnl"/>
        </w:rPr>
        <w:t xml:space="preserve"> </w:t>
      </w:r>
      <w:r w:rsidRPr="00356462">
        <w:rPr>
          <w:rFonts w:ascii="Bookman Old Style" w:hAnsi="Bookman Old Style"/>
          <w:color w:val="000000"/>
          <w:lang w:val="es-CO"/>
        </w:rPr>
        <w:t xml:space="preserve">la Comisión </w:t>
      </w:r>
      <w:r w:rsidRPr="00356462">
        <w:rPr>
          <w:rFonts w:ascii="Bookman Old Style" w:hAnsi="Bookman Old Style"/>
        </w:rPr>
        <w:t xml:space="preserve">estableció los procedimientos que se deben seguir para ejecutar proyectos del plan de abastecimiento de gas natural. </w:t>
      </w:r>
    </w:p>
    <w:p w14:paraId="24AEBA49" w14:textId="77777777" w:rsidR="00DD3F63" w:rsidRPr="00356462" w:rsidRDefault="00DD3F63" w:rsidP="00DD3F63">
      <w:pPr>
        <w:pStyle w:val="Textoindependiente2"/>
        <w:spacing w:after="0" w:line="240" w:lineRule="auto"/>
        <w:ind w:left="0"/>
        <w:jc w:val="both"/>
        <w:rPr>
          <w:rFonts w:ascii="Bookman Old Style" w:hAnsi="Bookman Old Style"/>
        </w:rPr>
      </w:pPr>
    </w:p>
    <w:p w14:paraId="5E2D377E" w14:textId="77777777" w:rsidR="00DD3F63" w:rsidRPr="00356462" w:rsidRDefault="00DD3F63" w:rsidP="00DD3F63">
      <w:pPr>
        <w:pStyle w:val="Textoindependiente2"/>
        <w:spacing w:after="0" w:line="240" w:lineRule="auto"/>
        <w:ind w:left="0"/>
        <w:jc w:val="both"/>
        <w:rPr>
          <w:rFonts w:ascii="Bookman Old Style" w:hAnsi="Bookman Old Style"/>
          <w:color w:val="000000"/>
          <w:lang w:val="es-ES_tradnl"/>
        </w:rPr>
      </w:pPr>
      <w:r w:rsidRPr="00356462">
        <w:rPr>
          <w:rFonts w:ascii="Bookman Old Style" w:hAnsi="Bookman Old Style"/>
          <w:color w:val="000000"/>
          <w:lang w:val="es-ES_tradnl"/>
        </w:rPr>
        <w:t>En el Parágrafo 3 del Artículo 5 de la Resolución CREG 107 de 2017 se establece que “</w:t>
      </w:r>
      <w:r w:rsidRPr="00A45831">
        <w:rPr>
          <w:rFonts w:ascii="Bookman Old Style" w:hAnsi="Bookman Old Style"/>
          <w:i/>
          <w:iCs/>
        </w:rPr>
        <w:t>En Resolución aparte la CREG podrá adoptar regulación complementaria para ejecutar proyectos prioritarios del plan de abastecimiento de gas natural, o del plan transitorio de abastecimiento de gas natural, que por sus características requieran desarrollo regulatorio adicional al establecido en la presente Resolución</w:t>
      </w:r>
      <w:r w:rsidRPr="00356462">
        <w:rPr>
          <w:rFonts w:ascii="Bookman Old Style" w:hAnsi="Bookman Old Style"/>
        </w:rPr>
        <w:t>”.</w:t>
      </w:r>
    </w:p>
    <w:p w14:paraId="07B6C6BA" w14:textId="77777777" w:rsidR="00DD3F63" w:rsidRPr="00356462" w:rsidRDefault="00DD3F63" w:rsidP="00DD3F63">
      <w:pPr>
        <w:pStyle w:val="Textoindependiente2"/>
        <w:spacing w:after="0" w:line="240" w:lineRule="auto"/>
        <w:ind w:left="0"/>
        <w:jc w:val="both"/>
        <w:rPr>
          <w:rFonts w:ascii="Bookman Old Style" w:hAnsi="Bookman Old Style"/>
          <w:color w:val="000000"/>
          <w:lang w:val="es-ES_tradnl"/>
        </w:rPr>
      </w:pPr>
    </w:p>
    <w:p w14:paraId="09F27AE8" w14:textId="77777777" w:rsidR="00DD3F63" w:rsidRDefault="00DD3F63" w:rsidP="00DD3F63">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ES_tradnl"/>
        </w:rPr>
        <w:t>Con base en lo anterior, se expidió la Resolución CREG 152 de 2017, la cual tiene por objeto establecer procedimientos particulares que deben aplicarse en la ejecución mediante procesos de selección de la infraestructura de importación de gas del Pacífico incluida en el plan transitorio de abastecimiento de gas natural adoptado por el Ministerio de Minas y Energía mediante la Resolución 40006 de 2017, o aquellas que la modifiquen o sustituyan.</w:t>
      </w:r>
      <w:r w:rsidRPr="00356462">
        <w:rPr>
          <w:rFonts w:ascii="Bookman Old Style" w:hAnsi="Bookman Old Style"/>
          <w:color w:val="000000"/>
          <w:lang w:val="es-CO"/>
        </w:rPr>
        <w:t xml:space="preserve">  </w:t>
      </w:r>
    </w:p>
    <w:p w14:paraId="62800DC3" w14:textId="77777777" w:rsidR="001426C3" w:rsidRDefault="001426C3" w:rsidP="00DD3F63">
      <w:pPr>
        <w:pStyle w:val="Textoindependiente2"/>
        <w:spacing w:after="0" w:line="240" w:lineRule="auto"/>
        <w:ind w:left="0"/>
        <w:jc w:val="both"/>
        <w:rPr>
          <w:rFonts w:ascii="Bookman Old Style" w:hAnsi="Bookman Old Style"/>
          <w:color w:val="000000"/>
          <w:lang w:val="es-CO"/>
        </w:rPr>
      </w:pPr>
    </w:p>
    <w:p w14:paraId="4D8349C2" w14:textId="51362D4F" w:rsidR="001426C3" w:rsidRPr="00356462" w:rsidRDefault="0022666A" w:rsidP="00DD3F63">
      <w:pPr>
        <w:pStyle w:val="Textoindependiente2"/>
        <w:spacing w:after="0" w:line="240" w:lineRule="auto"/>
        <w:ind w:left="0"/>
        <w:jc w:val="both"/>
        <w:rPr>
          <w:rFonts w:ascii="Bookman Old Style" w:hAnsi="Bookman Old Style"/>
          <w:color w:val="000000"/>
          <w:lang w:val="es-CO"/>
        </w:rPr>
      </w:pPr>
      <w:r>
        <w:rPr>
          <w:rFonts w:ascii="Bookman Old Style" w:hAnsi="Bookman Old Style"/>
          <w:color w:val="000000"/>
          <w:lang w:val="es-CO"/>
        </w:rPr>
        <w:t xml:space="preserve">Por su parte la anterior resolución fue ajustada por parte de la Resolución CREG 113 de 2018, en relación con lo dispuesto en el Artículo 5 </w:t>
      </w:r>
      <w:r w:rsidR="00184C02">
        <w:rPr>
          <w:rFonts w:ascii="Bookman Old Style" w:hAnsi="Bookman Old Style"/>
          <w:color w:val="000000"/>
          <w:lang w:val="es-CO"/>
        </w:rPr>
        <w:t>res</w:t>
      </w:r>
      <w:r w:rsidR="004B675F">
        <w:rPr>
          <w:rFonts w:ascii="Bookman Old Style" w:hAnsi="Bookman Old Style"/>
          <w:color w:val="000000"/>
          <w:lang w:val="es-CO"/>
        </w:rPr>
        <w:t xml:space="preserve">pecto a los participantes en el </w:t>
      </w:r>
      <w:r w:rsidR="00184C02" w:rsidRPr="00184C02">
        <w:rPr>
          <w:rFonts w:ascii="Bookman Old Style" w:hAnsi="Bookman Old Style"/>
          <w:color w:val="000000"/>
          <w:lang w:val="es-CO"/>
        </w:rPr>
        <w:t xml:space="preserve">proceso de selección para </w:t>
      </w:r>
      <w:r w:rsidR="00673A8E">
        <w:rPr>
          <w:rFonts w:ascii="Bookman Old Style" w:hAnsi="Bookman Old Style"/>
          <w:color w:val="000000"/>
          <w:lang w:val="es-CO"/>
        </w:rPr>
        <w:t>la infraestructura de importa</w:t>
      </w:r>
      <w:r w:rsidR="00D91658">
        <w:rPr>
          <w:rFonts w:ascii="Bookman Old Style" w:hAnsi="Bookman Old Style"/>
          <w:color w:val="000000"/>
          <w:lang w:val="es-CO"/>
        </w:rPr>
        <w:t xml:space="preserve">ción de gas del Pacífico. </w:t>
      </w:r>
    </w:p>
    <w:p w14:paraId="3661C5A3" w14:textId="77777777" w:rsidR="00DD3F63" w:rsidRPr="00356462" w:rsidRDefault="00DD3F63" w:rsidP="00BF2BC2">
      <w:pPr>
        <w:pStyle w:val="Textoindependiente2"/>
        <w:spacing w:after="0" w:line="240" w:lineRule="auto"/>
        <w:ind w:left="0"/>
        <w:jc w:val="both"/>
        <w:rPr>
          <w:rFonts w:ascii="Bookman Old Style" w:hAnsi="Bookman Old Style"/>
          <w:lang w:val="es-419"/>
        </w:rPr>
      </w:pPr>
    </w:p>
    <w:p w14:paraId="5FE7D042" w14:textId="77777777" w:rsidR="002A67E5" w:rsidRPr="00356462" w:rsidRDefault="002A67E5" w:rsidP="002A67E5">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CO"/>
        </w:rPr>
        <w:t>La Unidad de Planeación Minero Energética identificó, en el documento “</w:t>
      </w:r>
      <w:r w:rsidRPr="00356462">
        <w:rPr>
          <w:rFonts w:ascii="Bookman Old Style" w:hAnsi="Bookman Old Style"/>
          <w:i/>
          <w:iCs/>
          <w:color w:val="000000"/>
          <w:lang w:val="es-CO"/>
        </w:rPr>
        <w:t>Análisis de Abastecimiento y Confiabilidad del Sector Gas Natural</w:t>
      </w:r>
      <w:r w:rsidRPr="00356462">
        <w:rPr>
          <w:rFonts w:ascii="Bookman Old Style" w:hAnsi="Bookman Old Style"/>
          <w:color w:val="000000"/>
          <w:lang w:val="es-CO"/>
        </w:rPr>
        <w:t>” de julio de 2018, la necesidad de incluir un inventario mínimo como parte del almacenamiento de gas natural licuado de los servicios asociados a la planta de regasificación, con el fin de contar con un volumen interno de inventario  con el cual se pueda contar en caso de contingencias como aspecto de confiabilidad, se hace necesario incluir el manejo de dicho inventario por parte del adjudicatario y de los agentes que hagan uso del mismo.</w:t>
      </w:r>
    </w:p>
    <w:p w14:paraId="5B2D7035" w14:textId="77777777" w:rsidR="002A67E5" w:rsidRPr="00356462" w:rsidRDefault="002A67E5" w:rsidP="00BF2BC2">
      <w:pPr>
        <w:pStyle w:val="Textoindependiente2"/>
        <w:spacing w:after="0" w:line="240" w:lineRule="auto"/>
        <w:ind w:left="0"/>
        <w:jc w:val="both"/>
        <w:rPr>
          <w:rFonts w:ascii="Bookman Old Style" w:hAnsi="Bookman Old Style"/>
          <w:lang w:val="es-419"/>
        </w:rPr>
      </w:pPr>
    </w:p>
    <w:p w14:paraId="7936813C" w14:textId="586BDD42" w:rsidR="00A60B22" w:rsidRPr="00356462" w:rsidRDefault="00A60B22" w:rsidP="00BF2BC2">
      <w:pPr>
        <w:pStyle w:val="Textoindependiente2"/>
        <w:spacing w:after="0" w:line="240" w:lineRule="auto"/>
        <w:ind w:left="0"/>
        <w:jc w:val="both"/>
        <w:rPr>
          <w:rFonts w:ascii="Bookman Old Style" w:hAnsi="Bookman Old Style"/>
          <w:lang w:val="es-419"/>
        </w:rPr>
      </w:pPr>
      <w:r w:rsidRPr="00356462">
        <w:rPr>
          <w:rFonts w:ascii="Bookman Old Style" w:hAnsi="Bookman Old Style"/>
          <w:lang w:val="es-419"/>
        </w:rPr>
        <w:t>En cumplimiento de lo previsto en el Decreto 2345 de 2015, que adiciona el Decreto Único Reglamentario del sector administrativo de Minas y Energía</w:t>
      </w:r>
      <w:r w:rsidR="00A45831">
        <w:rPr>
          <w:rFonts w:ascii="Bookman Old Style" w:hAnsi="Bookman Old Style"/>
          <w:lang w:val="es-419"/>
        </w:rPr>
        <w:t>,</w:t>
      </w:r>
      <w:r w:rsidRPr="00356462">
        <w:rPr>
          <w:rFonts w:ascii="Bookman Old Style" w:hAnsi="Bookman Old Style"/>
          <w:lang w:val="es-419"/>
        </w:rPr>
        <w:t xml:space="preserve"> 1073 de 2015, el Ministerio de Minas y Energía, mediante Resolución 40304 de 2020, adoptó el Plan de Abastecimiento de Gas Natural 2019 – 2028</w:t>
      </w:r>
      <w:r w:rsidR="00A45831">
        <w:rPr>
          <w:rFonts w:ascii="Bookman Old Style" w:hAnsi="Bookman Old Style"/>
          <w:lang w:val="es-419"/>
        </w:rPr>
        <w:t>,</w:t>
      </w:r>
      <w:r w:rsidRPr="00356462">
        <w:rPr>
          <w:rFonts w:ascii="Bookman Old Style" w:hAnsi="Bookman Old Style"/>
          <w:lang w:val="es-419"/>
        </w:rPr>
        <w:t xml:space="preserve"> y derogó la Resolución 4 0006 de 2017. </w:t>
      </w:r>
    </w:p>
    <w:p w14:paraId="3B08CEC9" w14:textId="77777777" w:rsidR="00D81823" w:rsidRPr="00356462" w:rsidRDefault="00D81823" w:rsidP="00BF2BC2">
      <w:pPr>
        <w:pStyle w:val="Textoindependiente2"/>
        <w:spacing w:after="0" w:line="240" w:lineRule="auto"/>
        <w:ind w:left="0"/>
        <w:jc w:val="both"/>
        <w:rPr>
          <w:rFonts w:ascii="Bookman Old Style" w:hAnsi="Bookman Old Style"/>
          <w:lang w:val="es-419"/>
        </w:rPr>
      </w:pPr>
    </w:p>
    <w:p w14:paraId="5BF1D5C0" w14:textId="21DE9AFA" w:rsidR="00A60B22" w:rsidRPr="00356462" w:rsidRDefault="00A60B22" w:rsidP="00A60B22">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419"/>
        </w:rPr>
        <w:t>E</w:t>
      </w:r>
      <w:r w:rsidRPr="00356462">
        <w:rPr>
          <w:rFonts w:ascii="Bookman Old Style" w:hAnsi="Bookman Old Style"/>
          <w:color w:val="000000"/>
          <w:lang w:val="es-CO"/>
        </w:rPr>
        <w:t>n el numeral 1.2 del artículo 1 de la resolución en mención se incluye</w:t>
      </w:r>
      <w:r w:rsidR="00294C5D">
        <w:rPr>
          <w:rFonts w:ascii="Bookman Old Style" w:hAnsi="Bookman Old Style"/>
          <w:color w:val="000000"/>
          <w:lang w:val="es-CO"/>
        </w:rPr>
        <w:t xml:space="preserve"> la </w:t>
      </w:r>
      <w:r w:rsidR="00C77928">
        <w:rPr>
          <w:rFonts w:ascii="Bookman Old Style" w:hAnsi="Bookman Old Style"/>
          <w:color w:val="000000"/>
          <w:lang w:val="es-CO"/>
        </w:rPr>
        <w:t xml:space="preserve">fecha de entrada de la infraestructura de importación de gas del Pacífico, así: </w:t>
      </w:r>
    </w:p>
    <w:p w14:paraId="67A213B2" w14:textId="77777777" w:rsidR="00A60B22" w:rsidRPr="00356462" w:rsidRDefault="00A60B22" w:rsidP="00A60B22">
      <w:pPr>
        <w:pStyle w:val="Textoindependiente2"/>
        <w:spacing w:after="0" w:line="240" w:lineRule="auto"/>
        <w:ind w:left="0"/>
        <w:jc w:val="both"/>
        <w:rPr>
          <w:rFonts w:ascii="Bookman Old Style" w:hAnsi="Bookman Old Style"/>
          <w:color w:val="000000"/>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4962"/>
        <w:gridCol w:w="1913"/>
      </w:tblGrid>
      <w:tr w:rsidR="00A60B22" w:rsidRPr="00356462" w14:paraId="0A6A1213" w14:textId="77777777" w:rsidTr="00B25060">
        <w:trPr>
          <w:jc w:val="center"/>
        </w:trPr>
        <w:tc>
          <w:tcPr>
            <w:tcW w:w="1058" w:type="dxa"/>
            <w:shd w:val="clear" w:color="auto" w:fill="auto"/>
            <w:vAlign w:val="center"/>
          </w:tcPr>
          <w:p w14:paraId="4FDA718C" w14:textId="77777777" w:rsidR="00A60B22" w:rsidRPr="00356462" w:rsidRDefault="00A60B22" w:rsidP="00B25060">
            <w:pPr>
              <w:ind w:left="29"/>
              <w:jc w:val="center"/>
              <w:rPr>
                <w:rFonts w:ascii="Bookman Old Style" w:hAnsi="Bookman Old Style"/>
                <w:b/>
                <w:sz w:val="20"/>
              </w:rPr>
            </w:pPr>
            <w:r w:rsidRPr="00356462">
              <w:rPr>
                <w:rFonts w:ascii="Bookman Old Style" w:hAnsi="Bookman Old Style"/>
                <w:b/>
                <w:sz w:val="20"/>
              </w:rPr>
              <w:t>Número</w:t>
            </w:r>
          </w:p>
        </w:tc>
        <w:tc>
          <w:tcPr>
            <w:tcW w:w="4962" w:type="dxa"/>
            <w:shd w:val="clear" w:color="auto" w:fill="auto"/>
            <w:vAlign w:val="center"/>
          </w:tcPr>
          <w:p w14:paraId="0A42F88E" w14:textId="77777777" w:rsidR="00A60B22" w:rsidRPr="00356462" w:rsidRDefault="00A60B22" w:rsidP="00B25060">
            <w:pPr>
              <w:ind w:left="134"/>
              <w:jc w:val="center"/>
              <w:rPr>
                <w:rFonts w:ascii="Bookman Old Style" w:hAnsi="Bookman Old Style"/>
                <w:b/>
                <w:sz w:val="20"/>
              </w:rPr>
            </w:pPr>
            <w:r w:rsidRPr="00356462">
              <w:rPr>
                <w:rFonts w:ascii="Bookman Old Style" w:hAnsi="Bookman Old Style"/>
                <w:b/>
                <w:sz w:val="20"/>
              </w:rPr>
              <w:t>Proyecto</w:t>
            </w:r>
          </w:p>
        </w:tc>
        <w:tc>
          <w:tcPr>
            <w:tcW w:w="1913" w:type="dxa"/>
            <w:shd w:val="clear" w:color="auto" w:fill="auto"/>
            <w:vAlign w:val="center"/>
          </w:tcPr>
          <w:p w14:paraId="46461A41" w14:textId="77777777" w:rsidR="00A60B22" w:rsidRPr="00356462" w:rsidRDefault="00A60B22" w:rsidP="00B25060">
            <w:pPr>
              <w:ind w:left="104"/>
              <w:jc w:val="center"/>
              <w:rPr>
                <w:rFonts w:ascii="Bookman Old Style" w:hAnsi="Bookman Old Style"/>
                <w:b/>
                <w:sz w:val="20"/>
              </w:rPr>
            </w:pPr>
            <w:r w:rsidRPr="00356462">
              <w:rPr>
                <w:rFonts w:ascii="Bookman Old Style" w:hAnsi="Bookman Old Style"/>
                <w:b/>
                <w:sz w:val="20"/>
              </w:rPr>
              <w:t>Año y mes de entrada en operación</w:t>
            </w:r>
          </w:p>
        </w:tc>
      </w:tr>
      <w:tr w:rsidR="00A60B22" w:rsidRPr="00356462" w14:paraId="0D7471D7" w14:textId="77777777" w:rsidTr="00A60B22">
        <w:trPr>
          <w:jc w:val="center"/>
        </w:trPr>
        <w:tc>
          <w:tcPr>
            <w:tcW w:w="1058" w:type="dxa"/>
            <w:shd w:val="clear" w:color="auto" w:fill="auto"/>
            <w:vAlign w:val="center"/>
          </w:tcPr>
          <w:p w14:paraId="224409F1" w14:textId="77777777" w:rsidR="00A60B22" w:rsidRPr="00356462" w:rsidRDefault="00A60B22" w:rsidP="00B25060">
            <w:pPr>
              <w:ind w:left="29"/>
              <w:jc w:val="center"/>
              <w:rPr>
                <w:rFonts w:ascii="Bookman Old Style" w:hAnsi="Bookman Old Style"/>
                <w:sz w:val="20"/>
              </w:rPr>
            </w:pPr>
            <w:r w:rsidRPr="00356462">
              <w:rPr>
                <w:rFonts w:ascii="Bookman Old Style" w:hAnsi="Bookman Old Style"/>
                <w:sz w:val="20"/>
              </w:rPr>
              <w:t>vii</w:t>
            </w:r>
          </w:p>
        </w:tc>
        <w:tc>
          <w:tcPr>
            <w:tcW w:w="4962" w:type="dxa"/>
            <w:shd w:val="clear" w:color="auto" w:fill="auto"/>
            <w:vAlign w:val="center"/>
          </w:tcPr>
          <w:p w14:paraId="273E2E61" w14:textId="77777777" w:rsidR="00A60B22" w:rsidRPr="00356462" w:rsidRDefault="00A60B22" w:rsidP="00A60B22">
            <w:pPr>
              <w:ind w:left="134"/>
              <w:rPr>
                <w:rFonts w:ascii="Bookman Old Style" w:hAnsi="Bookman Old Style"/>
                <w:sz w:val="20"/>
                <w:szCs w:val="20"/>
              </w:rPr>
            </w:pPr>
            <w:r w:rsidRPr="00356462">
              <w:rPr>
                <w:rFonts w:ascii="Bookman Old Style" w:hAnsi="Bookman Old Style"/>
                <w:sz w:val="20"/>
                <w:szCs w:val="20"/>
              </w:rPr>
              <w:t>Infraestructura de Importación de Gas del Pacífico</w:t>
            </w:r>
          </w:p>
        </w:tc>
        <w:tc>
          <w:tcPr>
            <w:tcW w:w="1913" w:type="dxa"/>
            <w:shd w:val="clear" w:color="auto" w:fill="auto"/>
            <w:vAlign w:val="center"/>
          </w:tcPr>
          <w:p w14:paraId="17861230" w14:textId="77777777" w:rsidR="00A60B22" w:rsidRPr="00356462" w:rsidRDefault="00A60B22" w:rsidP="00A60B22">
            <w:pPr>
              <w:ind w:left="104"/>
              <w:jc w:val="both"/>
              <w:rPr>
                <w:rFonts w:ascii="Bookman Old Style" w:hAnsi="Bookman Old Style"/>
                <w:sz w:val="20"/>
                <w:szCs w:val="20"/>
              </w:rPr>
            </w:pPr>
            <w:r w:rsidRPr="00356462">
              <w:rPr>
                <w:rFonts w:ascii="Bookman Old Style" w:hAnsi="Bookman Old Style"/>
                <w:sz w:val="20"/>
                <w:szCs w:val="20"/>
              </w:rPr>
              <w:t>58 meses contados a partir de la selección del inversionista de este proyecto.</w:t>
            </w:r>
          </w:p>
        </w:tc>
      </w:tr>
    </w:tbl>
    <w:p w14:paraId="473FF3A3" w14:textId="77777777" w:rsidR="00CE7206" w:rsidRPr="00356462" w:rsidRDefault="00CE7206" w:rsidP="00A60B22">
      <w:pPr>
        <w:pStyle w:val="Textoindependiente2"/>
        <w:spacing w:after="0" w:line="240" w:lineRule="auto"/>
        <w:ind w:left="0"/>
        <w:jc w:val="both"/>
        <w:rPr>
          <w:rFonts w:ascii="Bookman Old Style" w:hAnsi="Bookman Old Style"/>
          <w:color w:val="000000"/>
          <w:lang w:val="es-CO"/>
        </w:rPr>
      </w:pPr>
      <w:bookmarkStart w:id="2" w:name="_Hlk62136075"/>
    </w:p>
    <w:p w14:paraId="7B728655" w14:textId="77777777" w:rsidR="00A60B22" w:rsidRPr="00356462" w:rsidRDefault="002A67E5" w:rsidP="00A60B22">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CO"/>
        </w:rPr>
        <w:t>El Artículo 2 de la resolución en mención, establece que la CREG incluirá en la regulación a la que se refiere el artículo 2.2.2.2.29 y siguientes del Decreto 1073 de 2015, mecanismos para incentivar el cumplimiento de fechas anticipadas de entrada en operación de todos los proyectos del Plan de Abastecimiento de Gas Natural.</w:t>
      </w:r>
    </w:p>
    <w:bookmarkEnd w:id="2"/>
    <w:p w14:paraId="73986E13" w14:textId="77777777" w:rsidR="002A67E5" w:rsidRPr="00356462" w:rsidRDefault="002A67E5" w:rsidP="00A60B22">
      <w:pPr>
        <w:pStyle w:val="Textoindependiente2"/>
        <w:spacing w:after="0" w:line="240" w:lineRule="auto"/>
        <w:ind w:left="0"/>
        <w:jc w:val="both"/>
        <w:rPr>
          <w:rFonts w:ascii="Bookman Old Style" w:hAnsi="Bookman Old Style"/>
          <w:color w:val="000000"/>
          <w:lang w:val="es-CO"/>
        </w:rPr>
      </w:pPr>
    </w:p>
    <w:p w14:paraId="39C3D134" w14:textId="5DF8FBF6" w:rsidR="002A67E5" w:rsidRPr="00356462" w:rsidRDefault="002A67E5" w:rsidP="00A60B22">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CO"/>
        </w:rPr>
        <w:t xml:space="preserve">La Comisión ha identificado </w:t>
      </w:r>
      <w:r w:rsidR="00CE7206" w:rsidRPr="00356462">
        <w:rPr>
          <w:rFonts w:ascii="Bookman Old Style" w:hAnsi="Bookman Old Style"/>
          <w:color w:val="000000"/>
          <w:lang w:val="es-CO"/>
        </w:rPr>
        <w:t>la necesidad de realizar ajustes a algunos de los aspectos contenidos</w:t>
      </w:r>
      <w:r w:rsidR="00A45831">
        <w:rPr>
          <w:rFonts w:ascii="Bookman Old Style" w:hAnsi="Bookman Old Style"/>
          <w:color w:val="000000"/>
          <w:lang w:val="es-CO"/>
        </w:rPr>
        <w:t>,</w:t>
      </w:r>
      <w:r w:rsidR="00CE7206" w:rsidRPr="00356462">
        <w:rPr>
          <w:rFonts w:ascii="Bookman Old Style" w:hAnsi="Bookman Old Style"/>
          <w:color w:val="000000"/>
          <w:lang w:val="es-CO"/>
        </w:rPr>
        <w:t xml:space="preserve"> </w:t>
      </w:r>
      <w:r w:rsidR="00355BF1">
        <w:rPr>
          <w:rFonts w:ascii="Bookman Old Style" w:hAnsi="Bookman Old Style"/>
          <w:color w:val="000000"/>
          <w:lang w:val="es-CO"/>
        </w:rPr>
        <w:t xml:space="preserve">tanto </w:t>
      </w:r>
      <w:r w:rsidR="00CE7206" w:rsidRPr="00356462">
        <w:rPr>
          <w:rFonts w:ascii="Bookman Old Style" w:hAnsi="Bookman Old Style"/>
          <w:color w:val="000000"/>
          <w:lang w:val="es-CO"/>
        </w:rPr>
        <w:t>en la Resolución CREG 1</w:t>
      </w:r>
      <w:r w:rsidR="00355BF1">
        <w:rPr>
          <w:rFonts w:ascii="Bookman Old Style" w:hAnsi="Bookman Old Style"/>
          <w:color w:val="000000"/>
          <w:lang w:val="es-CO"/>
        </w:rPr>
        <w:t xml:space="preserve">07 de </w:t>
      </w:r>
      <w:r w:rsidR="00A45831">
        <w:rPr>
          <w:rFonts w:ascii="Bookman Old Style" w:hAnsi="Bookman Old Style"/>
          <w:color w:val="000000"/>
          <w:lang w:val="es-CO"/>
        </w:rPr>
        <w:t>2017,</w:t>
      </w:r>
      <w:r w:rsidR="00355BF1">
        <w:rPr>
          <w:rFonts w:ascii="Bookman Old Style" w:hAnsi="Bookman Old Style"/>
          <w:color w:val="000000"/>
          <w:lang w:val="es-CO"/>
        </w:rPr>
        <w:t xml:space="preserve"> así como en la Resolución CREG 152 de 2017</w:t>
      </w:r>
      <w:r w:rsidR="00CE7206" w:rsidRPr="00356462">
        <w:rPr>
          <w:rFonts w:ascii="Bookman Old Style" w:hAnsi="Bookman Old Style"/>
          <w:color w:val="000000"/>
          <w:lang w:val="es-CO"/>
        </w:rPr>
        <w:t>, de acuerdo con las características de los proyectos incluidos por el Ministerio de Minas y Energía en el Plan de Abastecimiento de Gas Natural y la introducción de mecanismos que incentiven el cumplimiento de las fechas anticipadas de entrada en operación.</w:t>
      </w:r>
    </w:p>
    <w:p w14:paraId="283D8CF0" w14:textId="77777777" w:rsidR="00BF2BC2" w:rsidRPr="00356462" w:rsidRDefault="00BF2BC2" w:rsidP="00BF2BC2">
      <w:pPr>
        <w:pStyle w:val="Textoindependiente2"/>
        <w:spacing w:after="0" w:line="240" w:lineRule="auto"/>
        <w:ind w:left="0"/>
        <w:jc w:val="both"/>
        <w:rPr>
          <w:rFonts w:ascii="Bookman Old Style" w:hAnsi="Bookman Old Style"/>
          <w:color w:val="000000"/>
          <w:lang w:val="es-CO"/>
        </w:rPr>
      </w:pPr>
    </w:p>
    <w:p w14:paraId="5C548CE2" w14:textId="77777777" w:rsidR="00A91206" w:rsidRPr="00356462" w:rsidRDefault="00A91206" w:rsidP="00BF2BC2">
      <w:pPr>
        <w:keepNext/>
        <w:suppressAutoHyphens/>
        <w:jc w:val="center"/>
        <w:rPr>
          <w:rFonts w:ascii="Bookman Old Style" w:hAnsi="Bookman Old Style"/>
          <w:b/>
          <w:spacing w:val="-3"/>
        </w:rPr>
      </w:pPr>
    </w:p>
    <w:p w14:paraId="32AD8EB2" w14:textId="77777777" w:rsidR="00BF2BC2" w:rsidRPr="00356462" w:rsidRDefault="00BF2BC2" w:rsidP="00BF2BC2">
      <w:pPr>
        <w:keepNext/>
        <w:suppressAutoHyphens/>
        <w:jc w:val="center"/>
        <w:rPr>
          <w:rFonts w:ascii="Bookman Old Style" w:hAnsi="Bookman Old Style"/>
          <w:b/>
          <w:spacing w:val="-3"/>
        </w:rPr>
      </w:pPr>
      <w:r w:rsidRPr="00356462">
        <w:rPr>
          <w:rFonts w:ascii="Bookman Old Style" w:hAnsi="Bookman Old Style"/>
          <w:b/>
          <w:spacing w:val="-3"/>
        </w:rPr>
        <w:t>R E S U E L V E:</w:t>
      </w:r>
    </w:p>
    <w:p w14:paraId="47481F46" w14:textId="77777777" w:rsidR="00BF2BC2" w:rsidRPr="00356462" w:rsidRDefault="00BF2BC2" w:rsidP="00BF2BC2">
      <w:pPr>
        <w:keepNext/>
        <w:suppressAutoHyphens/>
        <w:jc w:val="center"/>
        <w:rPr>
          <w:rFonts w:ascii="Bookman Old Style" w:hAnsi="Bookman Old Style"/>
          <w:b/>
          <w:spacing w:val="-3"/>
        </w:rPr>
      </w:pPr>
    </w:p>
    <w:p w14:paraId="34E4ADC0" w14:textId="0883174D" w:rsidR="00D81823" w:rsidRPr="00356462" w:rsidRDefault="00D81823" w:rsidP="00D81823">
      <w:pPr>
        <w:spacing w:before="240" w:after="240"/>
        <w:ind w:left="0"/>
        <w:jc w:val="both"/>
        <w:rPr>
          <w:rFonts w:ascii="Bookman Old Style" w:hAnsi="Bookman Old Style"/>
          <w:b/>
        </w:rPr>
      </w:pPr>
      <w:r w:rsidRPr="00356462">
        <w:rPr>
          <w:rFonts w:ascii="Bookman Old Style" w:hAnsi="Bookman Old Style"/>
          <w:b/>
        </w:rPr>
        <w:t xml:space="preserve">Artículo </w:t>
      </w:r>
      <w:r w:rsidR="0044368D" w:rsidRPr="00356462">
        <w:rPr>
          <w:rFonts w:ascii="Bookman Old Style" w:hAnsi="Bookman Old Style"/>
          <w:b/>
        </w:rPr>
        <w:t>1</w:t>
      </w:r>
      <w:r w:rsidRPr="00356462">
        <w:rPr>
          <w:rFonts w:ascii="Bookman Old Style" w:hAnsi="Bookman Old Style"/>
          <w:b/>
        </w:rPr>
        <w:t xml:space="preserve">.  </w:t>
      </w:r>
      <w:r w:rsidR="0044368D" w:rsidRPr="00356462">
        <w:rPr>
          <w:rFonts w:ascii="Bookman Old Style" w:hAnsi="Bookman Old Style"/>
          <w:bCs/>
        </w:rPr>
        <w:t>Modif</w:t>
      </w:r>
      <w:r w:rsidR="00905D5D">
        <w:rPr>
          <w:rFonts w:ascii="Bookman Old Style" w:hAnsi="Bookman Old Style"/>
          <w:bCs/>
        </w:rPr>
        <w:t xml:space="preserve">íquese la </w:t>
      </w:r>
      <w:r w:rsidR="0044368D" w:rsidRPr="00356462">
        <w:rPr>
          <w:rFonts w:ascii="Bookman Old Style" w:hAnsi="Bookman Old Style"/>
          <w:bCs/>
        </w:rPr>
        <w:t xml:space="preserve">definición </w:t>
      </w:r>
      <w:r w:rsidR="00905D5D">
        <w:rPr>
          <w:rFonts w:ascii="Bookman Old Style" w:hAnsi="Bookman Old Style"/>
          <w:bCs/>
        </w:rPr>
        <w:t>de la infraestr</w:t>
      </w:r>
      <w:r w:rsidR="00622C2B">
        <w:rPr>
          <w:rFonts w:ascii="Bookman Old Style" w:hAnsi="Bookman Old Style"/>
          <w:bCs/>
        </w:rPr>
        <w:t>u</w:t>
      </w:r>
      <w:r w:rsidR="00905D5D">
        <w:rPr>
          <w:rFonts w:ascii="Bookman Old Style" w:hAnsi="Bookman Old Style"/>
          <w:bCs/>
        </w:rPr>
        <w:t>ct</w:t>
      </w:r>
      <w:r w:rsidR="00622C2B">
        <w:rPr>
          <w:rFonts w:ascii="Bookman Old Style" w:hAnsi="Bookman Old Style"/>
          <w:bCs/>
        </w:rPr>
        <w:t>u</w:t>
      </w:r>
      <w:r w:rsidR="00905D5D">
        <w:rPr>
          <w:rFonts w:ascii="Bookman Old Style" w:hAnsi="Bookman Old Style"/>
          <w:bCs/>
        </w:rPr>
        <w:t>ra de importación de gas del Pacífico</w:t>
      </w:r>
      <w:r w:rsidR="00FB2117">
        <w:rPr>
          <w:rFonts w:ascii="Bookman Old Style" w:hAnsi="Bookman Old Style"/>
          <w:bCs/>
        </w:rPr>
        <w:t xml:space="preserve">, contenida en el </w:t>
      </w:r>
      <w:r w:rsidR="0044368D" w:rsidRPr="00356462">
        <w:rPr>
          <w:rFonts w:ascii="Bookman Old Style" w:hAnsi="Bookman Old Style"/>
          <w:bCs/>
        </w:rPr>
        <w:t>Artículo 3 de</w:t>
      </w:r>
      <w:r w:rsidRPr="00356462">
        <w:rPr>
          <w:rFonts w:ascii="Bookman Old Style" w:hAnsi="Bookman Old Style"/>
          <w:bCs/>
        </w:rPr>
        <w:t xml:space="preserve"> la Resolución CREG 152 de 2017</w:t>
      </w:r>
      <w:r w:rsidR="0044368D" w:rsidRPr="00356462">
        <w:rPr>
          <w:rFonts w:ascii="Bookman Old Style" w:hAnsi="Bookman Old Style"/>
          <w:bCs/>
        </w:rPr>
        <w:t>, la cual quedará así</w:t>
      </w:r>
      <w:r w:rsidRPr="00356462">
        <w:rPr>
          <w:rFonts w:ascii="Bookman Old Style" w:hAnsi="Bookman Old Style"/>
          <w:bCs/>
        </w:rPr>
        <w:t>:</w:t>
      </w:r>
      <w:r w:rsidRPr="00356462">
        <w:rPr>
          <w:rFonts w:ascii="Bookman Old Style" w:hAnsi="Bookman Old Style"/>
          <w:b/>
        </w:rPr>
        <w:t xml:space="preserve"> </w:t>
      </w:r>
    </w:p>
    <w:p w14:paraId="43EA791D" w14:textId="3313E3C3" w:rsidR="0044368D" w:rsidRDefault="00A45831" w:rsidP="00A45831">
      <w:pPr>
        <w:pStyle w:val="Estilo8"/>
        <w:widowControl w:val="0"/>
        <w:ind w:left="284"/>
        <w:jc w:val="both"/>
        <w:rPr>
          <w:rFonts w:ascii="Bookman Old Style" w:hAnsi="Bookman Old Style"/>
          <w:i/>
          <w:iCs/>
          <w:color w:val="000000"/>
          <w:sz w:val="24"/>
          <w:szCs w:val="24"/>
        </w:rPr>
      </w:pPr>
      <w:r w:rsidRPr="00A45831">
        <w:rPr>
          <w:rFonts w:ascii="Bookman Old Style" w:hAnsi="Bookman Old Style"/>
          <w:b/>
          <w:i/>
          <w:iCs/>
          <w:color w:val="000000"/>
          <w:sz w:val="24"/>
          <w:szCs w:val="24"/>
        </w:rPr>
        <w:t>“</w:t>
      </w:r>
      <w:r w:rsidR="0044368D" w:rsidRPr="00A45831">
        <w:rPr>
          <w:rFonts w:ascii="Bookman Old Style" w:hAnsi="Bookman Old Style"/>
          <w:b/>
          <w:i/>
          <w:iCs/>
          <w:color w:val="000000"/>
          <w:sz w:val="24"/>
          <w:szCs w:val="24"/>
        </w:rPr>
        <w:t xml:space="preserve">Infraestructura de importación de gas del Pacífico: </w:t>
      </w:r>
      <w:r w:rsidR="0044368D" w:rsidRPr="00A45831">
        <w:rPr>
          <w:rFonts w:ascii="Bookman Old Style" w:hAnsi="Bookman Old Style"/>
          <w:i/>
          <w:iCs/>
          <w:color w:val="000000"/>
          <w:sz w:val="24"/>
          <w:szCs w:val="24"/>
        </w:rPr>
        <w:t xml:space="preserve">corresponde a la planta de regasificación del Pacífico ubicada en la Bahía de Buenaventura – Valle del Cauca y al gasoducto desde la Planta de Regasificación ubicada en la Bahía de Buenaventura hasta un punto de entrega al Sistema Nacional de Transporte ubicado en el límite geopolítico del municipio de Yumbo – </w:t>
      </w:r>
      <w:r w:rsidR="00FE10D0" w:rsidRPr="00A45831">
        <w:rPr>
          <w:rFonts w:ascii="Bookman Old Style" w:hAnsi="Bookman Old Style"/>
          <w:i/>
          <w:iCs/>
          <w:color w:val="000000"/>
          <w:sz w:val="24"/>
          <w:szCs w:val="24"/>
        </w:rPr>
        <w:t>V</w:t>
      </w:r>
      <w:r w:rsidR="0044368D" w:rsidRPr="00A45831">
        <w:rPr>
          <w:rFonts w:ascii="Bookman Old Style" w:hAnsi="Bookman Old Style"/>
          <w:i/>
          <w:iCs/>
          <w:color w:val="000000"/>
          <w:sz w:val="24"/>
          <w:szCs w:val="24"/>
        </w:rPr>
        <w:t>alle del Cauca, definidos en el numeral 1.2 del artículo 1 de la Resolución 40304 de 2020 del Ministerio de Minas y Energía, o aquellas que la modifiquen o sustituyan. El gasoducto Buenaventura – Yumbo hará parte del SNT</w:t>
      </w:r>
      <w:r w:rsidRPr="00A45831">
        <w:rPr>
          <w:rFonts w:ascii="Bookman Old Style" w:hAnsi="Bookman Old Style"/>
          <w:i/>
          <w:iCs/>
          <w:color w:val="000000"/>
          <w:sz w:val="24"/>
          <w:szCs w:val="24"/>
        </w:rPr>
        <w:t>”</w:t>
      </w:r>
      <w:r w:rsidR="0044368D" w:rsidRPr="00A45831">
        <w:rPr>
          <w:rFonts w:ascii="Bookman Old Style" w:hAnsi="Bookman Old Style"/>
          <w:i/>
          <w:iCs/>
          <w:color w:val="000000"/>
          <w:sz w:val="24"/>
          <w:szCs w:val="24"/>
        </w:rPr>
        <w:t>.</w:t>
      </w:r>
    </w:p>
    <w:p w14:paraId="1D1590CD" w14:textId="77777777" w:rsidR="0051077F" w:rsidRPr="00A45831" w:rsidRDefault="0051077F" w:rsidP="00A45831">
      <w:pPr>
        <w:pStyle w:val="Estilo8"/>
        <w:widowControl w:val="0"/>
        <w:ind w:left="284"/>
        <w:jc w:val="both"/>
        <w:rPr>
          <w:rFonts w:ascii="Bookman Old Style" w:hAnsi="Bookman Old Style"/>
          <w:i/>
          <w:iCs/>
          <w:color w:val="000000"/>
          <w:sz w:val="24"/>
          <w:szCs w:val="24"/>
        </w:rPr>
      </w:pPr>
    </w:p>
    <w:p w14:paraId="338A9BAB" w14:textId="3D5075D2" w:rsidR="0044368D" w:rsidRPr="00356462" w:rsidRDefault="0044368D" w:rsidP="0044368D">
      <w:pPr>
        <w:spacing w:before="240" w:after="240"/>
        <w:ind w:left="0"/>
        <w:jc w:val="both"/>
        <w:rPr>
          <w:rFonts w:ascii="Bookman Old Style" w:hAnsi="Bookman Old Style"/>
          <w:b/>
        </w:rPr>
      </w:pPr>
      <w:r w:rsidRPr="00356462">
        <w:rPr>
          <w:rFonts w:ascii="Bookman Old Style" w:hAnsi="Bookman Old Style"/>
          <w:b/>
        </w:rPr>
        <w:t xml:space="preserve">Artículo 2.  </w:t>
      </w:r>
      <w:r w:rsidRPr="00356462">
        <w:rPr>
          <w:rFonts w:ascii="Bookman Old Style" w:hAnsi="Bookman Old Style"/>
          <w:bCs/>
        </w:rPr>
        <w:t>Adici</w:t>
      </w:r>
      <w:r w:rsidR="00FB2117">
        <w:rPr>
          <w:rFonts w:ascii="Bookman Old Style" w:hAnsi="Bookman Old Style"/>
          <w:bCs/>
        </w:rPr>
        <w:t xml:space="preserve">ónense </w:t>
      </w:r>
      <w:r w:rsidRPr="00356462">
        <w:rPr>
          <w:rFonts w:ascii="Bookman Old Style" w:hAnsi="Bookman Old Style"/>
          <w:bCs/>
        </w:rPr>
        <w:t>las siguientes definiciones al Artículo 3 de la Resolución CREG 152 de 2017</w:t>
      </w:r>
      <w:r w:rsidR="00FB2117">
        <w:rPr>
          <w:rFonts w:ascii="Bookman Old Style" w:hAnsi="Bookman Old Style"/>
          <w:bCs/>
        </w:rPr>
        <w:t>, así</w:t>
      </w:r>
      <w:r w:rsidRPr="00356462">
        <w:rPr>
          <w:rFonts w:ascii="Bookman Old Style" w:hAnsi="Bookman Old Style"/>
          <w:bCs/>
        </w:rPr>
        <w:t>:</w:t>
      </w:r>
      <w:r w:rsidRPr="00356462">
        <w:rPr>
          <w:rFonts w:ascii="Bookman Old Style" w:hAnsi="Bookman Old Style"/>
          <w:b/>
        </w:rPr>
        <w:t xml:space="preserve"> </w:t>
      </w:r>
    </w:p>
    <w:p w14:paraId="6782BFF7" w14:textId="494E61B0" w:rsidR="0044368D" w:rsidRPr="00A45831" w:rsidRDefault="00583798" w:rsidP="00A45831">
      <w:pPr>
        <w:ind w:left="284"/>
        <w:jc w:val="both"/>
        <w:rPr>
          <w:rFonts w:ascii="Bookman Old Style" w:hAnsi="Bookman Old Style" w:cs="Arial"/>
          <w:b/>
          <w:i/>
          <w:iCs/>
          <w:color w:val="000000"/>
        </w:rPr>
      </w:pPr>
      <w:r w:rsidRPr="00A45831">
        <w:rPr>
          <w:rFonts w:ascii="Bookman Old Style" w:hAnsi="Bookman Old Style" w:cs="Arial"/>
          <w:b/>
          <w:i/>
          <w:iCs/>
          <w:color w:val="000000"/>
        </w:rPr>
        <w:t>“</w:t>
      </w:r>
      <w:r w:rsidR="0044368D" w:rsidRPr="00A45831">
        <w:rPr>
          <w:rFonts w:ascii="Bookman Old Style" w:hAnsi="Bookman Old Style" w:cs="Arial"/>
          <w:b/>
          <w:i/>
          <w:iCs/>
          <w:color w:val="000000"/>
        </w:rPr>
        <w:t xml:space="preserve">Fecha </w:t>
      </w:r>
      <w:r w:rsidR="00FE10D0" w:rsidRPr="00A45831">
        <w:rPr>
          <w:rFonts w:ascii="Bookman Old Style" w:hAnsi="Bookman Old Style" w:cs="Arial"/>
          <w:b/>
          <w:i/>
          <w:iCs/>
          <w:color w:val="000000"/>
        </w:rPr>
        <w:t>a</w:t>
      </w:r>
      <w:r w:rsidR="0044368D" w:rsidRPr="00A45831">
        <w:rPr>
          <w:rFonts w:ascii="Bookman Old Style" w:hAnsi="Bookman Old Style" w:cs="Arial"/>
          <w:b/>
          <w:i/>
          <w:iCs/>
          <w:color w:val="000000"/>
        </w:rPr>
        <w:t xml:space="preserve">nticipada de </w:t>
      </w:r>
      <w:r w:rsidR="00FE10D0" w:rsidRPr="00A45831">
        <w:rPr>
          <w:rFonts w:ascii="Bookman Old Style" w:hAnsi="Bookman Old Style" w:cs="Arial"/>
          <w:b/>
          <w:i/>
          <w:iCs/>
          <w:color w:val="000000"/>
        </w:rPr>
        <w:t>p</w:t>
      </w:r>
      <w:r w:rsidR="0044368D" w:rsidRPr="00A45831">
        <w:rPr>
          <w:rFonts w:ascii="Bookman Old Style" w:hAnsi="Bookman Old Style" w:cs="Arial"/>
          <w:b/>
          <w:i/>
          <w:iCs/>
          <w:color w:val="000000"/>
        </w:rPr>
        <w:t xml:space="preserve">uesta en </w:t>
      </w:r>
      <w:r w:rsidR="00FE10D0" w:rsidRPr="00A45831">
        <w:rPr>
          <w:rFonts w:ascii="Bookman Old Style" w:hAnsi="Bookman Old Style" w:cs="Arial"/>
          <w:b/>
          <w:i/>
          <w:iCs/>
          <w:color w:val="000000"/>
        </w:rPr>
        <w:t>o</w:t>
      </w:r>
      <w:r w:rsidR="0044368D" w:rsidRPr="00A45831">
        <w:rPr>
          <w:rFonts w:ascii="Bookman Old Style" w:hAnsi="Bookman Old Style" w:cs="Arial"/>
          <w:b/>
          <w:i/>
          <w:iCs/>
          <w:color w:val="000000"/>
        </w:rPr>
        <w:t>peración</w:t>
      </w:r>
      <w:r w:rsidR="00363050" w:rsidRPr="00A45831">
        <w:rPr>
          <w:rFonts w:ascii="Bookman Old Style" w:hAnsi="Bookman Old Style" w:cs="Arial"/>
          <w:b/>
          <w:i/>
          <w:iCs/>
          <w:color w:val="000000"/>
        </w:rPr>
        <w:t xml:space="preserve"> de la infraestructura de importación de gas del Pacifico</w:t>
      </w:r>
      <w:r w:rsidR="0044368D" w:rsidRPr="00A45831">
        <w:rPr>
          <w:rFonts w:ascii="Bookman Old Style" w:hAnsi="Bookman Old Style" w:cs="Arial"/>
          <w:b/>
          <w:i/>
          <w:iCs/>
          <w:color w:val="000000"/>
        </w:rPr>
        <w:t xml:space="preserve">: </w:t>
      </w:r>
      <w:r w:rsidR="0044368D" w:rsidRPr="00A45831">
        <w:rPr>
          <w:rFonts w:ascii="Bookman Old Style" w:hAnsi="Bookman Old Style" w:cs="Arial"/>
          <w:bCs/>
          <w:i/>
          <w:iCs/>
          <w:color w:val="000000"/>
        </w:rPr>
        <w:t xml:space="preserve">es la fecha </w:t>
      </w:r>
      <w:r w:rsidR="0044368D" w:rsidRPr="00A45831">
        <w:rPr>
          <w:rFonts w:ascii="Bookman Old Style" w:hAnsi="Bookman Old Style" w:cs="Arial"/>
          <w:i/>
          <w:iCs/>
          <w:color w:val="000000"/>
        </w:rPr>
        <w:t xml:space="preserve">en la </w:t>
      </w:r>
      <w:r w:rsidR="0044368D" w:rsidRPr="00A45831">
        <w:rPr>
          <w:rFonts w:ascii="Bookman Old Style" w:hAnsi="Bookman Old Style" w:cs="Arial"/>
          <w:bCs/>
          <w:i/>
          <w:iCs/>
          <w:color w:val="000000"/>
        </w:rPr>
        <w:t>que</w:t>
      </w:r>
      <w:r w:rsidR="00B63B4C" w:rsidRPr="00A45831">
        <w:rPr>
          <w:rFonts w:ascii="Bookman Old Style" w:hAnsi="Bookman Old Style" w:cs="Arial"/>
          <w:bCs/>
          <w:i/>
          <w:iCs/>
          <w:color w:val="000000"/>
        </w:rPr>
        <w:t>,</w:t>
      </w:r>
      <w:r w:rsidR="0044368D" w:rsidRPr="00A45831">
        <w:rPr>
          <w:rFonts w:ascii="Bookman Old Style" w:hAnsi="Bookman Old Style" w:cs="Arial"/>
          <w:bCs/>
          <w:i/>
          <w:iCs/>
          <w:color w:val="000000"/>
        </w:rPr>
        <w:t xml:space="preserve"> de manera anticipada a la fecha de puesta en operación </w:t>
      </w:r>
      <w:r w:rsidR="000A5832" w:rsidRPr="00A45831">
        <w:rPr>
          <w:rFonts w:ascii="Bookman Old Style" w:hAnsi="Bookman Old Style" w:cs="Arial"/>
          <w:bCs/>
          <w:i/>
          <w:iCs/>
          <w:color w:val="000000"/>
        </w:rPr>
        <w:t>establecida por el Ministerio de Minas y Energía</w:t>
      </w:r>
      <w:r w:rsidR="0044368D" w:rsidRPr="00A45831">
        <w:rPr>
          <w:rFonts w:ascii="Bookman Old Style" w:hAnsi="Bookman Old Style" w:cs="Arial"/>
          <w:i/>
          <w:iCs/>
          <w:color w:val="000000"/>
        </w:rPr>
        <w:t>,</w:t>
      </w:r>
      <w:r w:rsidR="0044368D" w:rsidRPr="00A45831">
        <w:rPr>
          <w:rFonts w:ascii="Bookman Old Style" w:hAnsi="Bookman Old Style" w:cs="Arial"/>
          <w:bCs/>
          <w:i/>
          <w:iCs/>
          <w:color w:val="000000"/>
        </w:rPr>
        <w:t xml:space="preserve"> el proyecto es puesto en operación</w:t>
      </w:r>
      <w:r w:rsidR="0044368D" w:rsidRPr="00A45831">
        <w:rPr>
          <w:rFonts w:ascii="Bookman Old Style" w:hAnsi="Bookman Old Style" w:cs="Arial"/>
          <w:i/>
          <w:iCs/>
          <w:color w:val="000000"/>
        </w:rPr>
        <w:t>.</w:t>
      </w:r>
      <w:r w:rsidR="0044368D" w:rsidRPr="00A45831">
        <w:rPr>
          <w:rFonts w:ascii="Bookman Old Style" w:hAnsi="Bookman Old Style" w:cs="Arial"/>
          <w:bCs/>
          <w:i/>
          <w:iCs/>
          <w:color w:val="000000"/>
        </w:rPr>
        <w:t xml:space="preserve"> </w:t>
      </w:r>
      <w:r w:rsidR="00D07D3E" w:rsidRPr="00A45831">
        <w:rPr>
          <w:rFonts w:ascii="Bookman Old Style" w:hAnsi="Bookman Old Style" w:cs="Arial"/>
          <w:i/>
          <w:iCs/>
          <w:color w:val="000000"/>
        </w:rPr>
        <w:t>Est</w:t>
      </w:r>
      <w:r w:rsidR="0044368D" w:rsidRPr="00A45831">
        <w:rPr>
          <w:rFonts w:ascii="Bookman Old Style" w:hAnsi="Bookman Old Style" w:cs="Arial"/>
          <w:i/>
          <w:iCs/>
          <w:color w:val="000000"/>
        </w:rPr>
        <w:t>a fecha anticipada no podrá ser posterior a diciembre de 2024</w:t>
      </w:r>
      <w:r w:rsidRPr="00A45831">
        <w:rPr>
          <w:rFonts w:ascii="Bookman Old Style" w:hAnsi="Bookman Old Style" w:cs="Arial"/>
          <w:bCs/>
          <w:i/>
          <w:iCs/>
          <w:color w:val="000000"/>
        </w:rPr>
        <w:t>”</w:t>
      </w:r>
      <w:r w:rsidR="00FE10D0" w:rsidRPr="00A45831">
        <w:rPr>
          <w:rFonts w:ascii="Bookman Old Style" w:hAnsi="Bookman Old Style" w:cs="Arial"/>
          <w:b/>
          <w:i/>
          <w:iCs/>
          <w:color w:val="000000"/>
        </w:rPr>
        <w:t>.</w:t>
      </w:r>
      <w:r w:rsidR="0044368D" w:rsidRPr="00A45831">
        <w:rPr>
          <w:rFonts w:ascii="Bookman Old Style" w:hAnsi="Bookman Old Style" w:cs="Arial"/>
          <w:b/>
          <w:i/>
          <w:iCs/>
          <w:color w:val="000000"/>
        </w:rPr>
        <w:t xml:space="preserve"> </w:t>
      </w:r>
    </w:p>
    <w:p w14:paraId="1E0B668F" w14:textId="77777777" w:rsidR="0044368D" w:rsidRPr="00A45831" w:rsidRDefault="0044368D" w:rsidP="00A45831">
      <w:pPr>
        <w:ind w:left="284"/>
        <w:jc w:val="both"/>
        <w:rPr>
          <w:rFonts w:ascii="Bookman Old Style" w:hAnsi="Bookman Old Style" w:cs="Arial"/>
          <w:b/>
          <w:i/>
          <w:iCs/>
          <w:color w:val="000000"/>
        </w:rPr>
      </w:pPr>
    </w:p>
    <w:p w14:paraId="366A5125" w14:textId="48E30BF4" w:rsidR="0044368D" w:rsidRPr="00A45831" w:rsidRDefault="0044368D" w:rsidP="00A45831">
      <w:pPr>
        <w:ind w:left="284"/>
        <w:jc w:val="both"/>
        <w:rPr>
          <w:rFonts w:ascii="Bookman Old Style" w:hAnsi="Bookman Old Style" w:cs="Arial"/>
          <w:b/>
          <w:i/>
          <w:iCs/>
          <w:color w:val="000000"/>
        </w:rPr>
      </w:pPr>
      <w:r w:rsidRPr="00A45831">
        <w:rPr>
          <w:rFonts w:ascii="Bookman Old Style" w:hAnsi="Bookman Old Style" w:cs="Arial"/>
          <w:b/>
          <w:i/>
          <w:iCs/>
          <w:color w:val="000000"/>
        </w:rPr>
        <w:t xml:space="preserve">“Fecha de </w:t>
      </w:r>
      <w:r w:rsidR="00FE10D0" w:rsidRPr="00A45831">
        <w:rPr>
          <w:rFonts w:ascii="Bookman Old Style" w:hAnsi="Bookman Old Style" w:cs="Arial"/>
          <w:b/>
          <w:i/>
          <w:iCs/>
          <w:color w:val="000000"/>
        </w:rPr>
        <w:t>p</w:t>
      </w:r>
      <w:r w:rsidRPr="00A45831">
        <w:rPr>
          <w:rFonts w:ascii="Bookman Old Style" w:hAnsi="Bookman Old Style" w:cs="Arial"/>
          <w:b/>
          <w:i/>
          <w:iCs/>
          <w:color w:val="000000"/>
        </w:rPr>
        <w:t xml:space="preserve">uesta en </w:t>
      </w:r>
      <w:r w:rsidR="00FE10D0" w:rsidRPr="00A45831">
        <w:rPr>
          <w:rFonts w:ascii="Bookman Old Style" w:hAnsi="Bookman Old Style" w:cs="Arial"/>
          <w:b/>
          <w:i/>
          <w:iCs/>
          <w:color w:val="000000"/>
        </w:rPr>
        <w:t>o</w:t>
      </w:r>
      <w:r w:rsidRPr="00A45831">
        <w:rPr>
          <w:rFonts w:ascii="Bookman Old Style" w:hAnsi="Bookman Old Style" w:cs="Arial"/>
          <w:b/>
          <w:i/>
          <w:iCs/>
          <w:color w:val="000000"/>
        </w:rPr>
        <w:t xml:space="preserve">peración </w:t>
      </w:r>
      <w:r w:rsidR="00FE10D0" w:rsidRPr="00A45831">
        <w:rPr>
          <w:rFonts w:ascii="Bookman Old Style" w:hAnsi="Bookman Old Style" w:cs="Arial"/>
          <w:b/>
          <w:i/>
          <w:iCs/>
          <w:color w:val="000000"/>
        </w:rPr>
        <w:t>p</w:t>
      </w:r>
      <w:r w:rsidRPr="00A45831">
        <w:rPr>
          <w:rFonts w:ascii="Bookman Old Style" w:hAnsi="Bookman Old Style" w:cs="Arial"/>
          <w:b/>
          <w:i/>
          <w:iCs/>
          <w:color w:val="000000"/>
        </w:rPr>
        <w:t>arcial</w:t>
      </w:r>
      <w:r w:rsidR="00FE10D0" w:rsidRPr="00A45831">
        <w:rPr>
          <w:rFonts w:ascii="Bookman Old Style" w:hAnsi="Bookman Old Style" w:cs="Arial"/>
          <w:b/>
          <w:i/>
          <w:iCs/>
          <w:color w:val="000000"/>
        </w:rPr>
        <w:t xml:space="preserve"> de la infraestructura de importación de gas del </w:t>
      </w:r>
      <w:r w:rsidR="00363050" w:rsidRPr="00A45831">
        <w:rPr>
          <w:rFonts w:ascii="Bookman Old Style" w:hAnsi="Bookman Old Style" w:cs="Arial"/>
          <w:b/>
          <w:i/>
          <w:iCs/>
          <w:color w:val="000000"/>
        </w:rPr>
        <w:t>P</w:t>
      </w:r>
      <w:r w:rsidR="00FE10D0" w:rsidRPr="00A45831">
        <w:rPr>
          <w:rFonts w:ascii="Bookman Old Style" w:hAnsi="Bookman Old Style" w:cs="Arial"/>
          <w:b/>
          <w:i/>
          <w:iCs/>
          <w:color w:val="000000"/>
        </w:rPr>
        <w:t>acífico</w:t>
      </w:r>
      <w:r w:rsidRPr="00A45831">
        <w:rPr>
          <w:rFonts w:ascii="Bookman Old Style" w:hAnsi="Bookman Old Style" w:cs="Arial"/>
          <w:b/>
          <w:i/>
          <w:iCs/>
          <w:color w:val="000000"/>
        </w:rPr>
        <w:t xml:space="preserve">: </w:t>
      </w:r>
      <w:r w:rsidRPr="00A45831">
        <w:rPr>
          <w:rFonts w:ascii="Bookman Old Style" w:hAnsi="Bookman Old Style" w:cs="Arial"/>
          <w:bCs/>
          <w:i/>
          <w:iCs/>
          <w:color w:val="000000"/>
        </w:rPr>
        <w:t>es la fecha en la que</w:t>
      </w:r>
      <w:r w:rsidR="00B63B4C" w:rsidRPr="00A45831">
        <w:rPr>
          <w:rFonts w:ascii="Bookman Old Style" w:hAnsi="Bookman Old Style" w:cs="Arial"/>
          <w:bCs/>
          <w:i/>
          <w:iCs/>
          <w:color w:val="000000"/>
        </w:rPr>
        <w:t>,</w:t>
      </w:r>
      <w:r w:rsidRPr="00A45831">
        <w:rPr>
          <w:rFonts w:ascii="Bookman Old Style" w:hAnsi="Bookman Old Style" w:cs="Arial"/>
          <w:bCs/>
          <w:i/>
          <w:iCs/>
          <w:color w:val="000000"/>
        </w:rPr>
        <w:t xml:space="preserve"> de manera anticipada a la fecha de puesta en operación </w:t>
      </w:r>
      <w:r w:rsidR="000A5832" w:rsidRPr="00A45831">
        <w:rPr>
          <w:rFonts w:ascii="Bookman Old Style" w:hAnsi="Bookman Old Style" w:cs="Arial"/>
          <w:bCs/>
          <w:i/>
          <w:iCs/>
          <w:color w:val="000000"/>
        </w:rPr>
        <w:t>establecida por el Ministerio de Minas y Energía</w:t>
      </w:r>
      <w:r w:rsidRPr="00A45831">
        <w:rPr>
          <w:rFonts w:ascii="Bookman Old Style" w:hAnsi="Bookman Old Style" w:cs="Arial"/>
          <w:bCs/>
          <w:i/>
          <w:iCs/>
          <w:color w:val="000000"/>
        </w:rPr>
        <w:t xml:space="preserve">, el proyecto es puesto en </w:t>
      </w:r>
      <w:r w:rsidR="00816992" w:rsidRPr="00A45831">
        <w:rPr>
          <w:rFonts w:ascii="Bookman Old Style" w:hAnsi="Bookman Old Style" w:cs="Arial"/>
          <w:bCs/>
          <w:i/>
          <w:iCs/>
          <w:color w:val="000000"/>
        </w:rPr>
        <w:t>o</w:t>
      </w:r>
      <w:r w:rsidRPr="00A45831">
        <w:rPr>
          <w:rFonts w:ascii="Bookman Old Style" w:hAnsi="Bookman Old Style" w:cs="Arial"/>
          <w:bCs/>
          <w:i/>
          <w:iCs/>
          <w:color w:val="000000"/>
        </w:rPr>
        <w:t xml:space="preserve">peración </w:t>
      </w:r>
      <w:r w:rsidR="00816992" w:rsidRPr="00A45831">
        <w:rPr>
          <w:rFonts w:ascii="Bookman Old Style" w:hAnsi="Bookman Old Style" w:cs="Arial"/>
          <w:bCs/>
          <w:i/>
          <w:iCs/>
          <w:color w:val="000000"/>
        </w:rPr>
        <w:t>p</w:t>
      </w:r>
      <w:r w:rsidRPr="00A45831">
        <w:rPr>
          <w:rFonts w:ascii="Bookman Old Style" w:hAnsi="Bookman Old Style" w:cs="Arial"/>
          <w:bCs/>
          <w:i/>
          <w:iCs/>
          <w:color w:val="000000"/>
        </w:rPr>
        <w:t>arcial.</w:t>
      </w:r>
      <w:r w:rsidRPr="00A45831">
        <w:rPr>
          <w:rFonts w:ascii="Bookman Old Style" w:hAnsi="Bookman Old Style" w:cs="Arial"/>
          <w:b/>
          <w:i/>
          <w:iCs/>
          <w:color w:val="000000"/>
        </w:rPr>
        <w:t xml:space="preserve"> </w:t>
      </w:r>
      <w:r w:rsidR="00D07D3E" w:rsidRPr="00A45831">
        <w:rPr>
          <w:rFonts w:ascii="Bookman Old Style" w:hAnsi="Bookman Old Style" w:cs="Arial"/>
          <w:bCs/>
          <w:i/>
          <w:iCs/>
          <w:color w:val="000000"/>
        </w:rPr>
        <w:t>Esta</w:t>
      </w:r>
      <w:r w:rsidRPr="00A45831">
        <w:rPr>
          <w:rFonts w:ascii="Bookman Old Style" w:hAnsi="Bookman Old Style" w:cs="Arial"/>
          <w:b/>
          <w:i/>
          <w:iCs/>
          <w:color w:val="000000"/>
        </w:rPr>
        <w:t xml:space="preserve"> </w:t>
      </w:r>
      <w:r w:rsidRPr="00A45831">
        <w:rPr>
          <w:rFonts w:ascii="Bookman Old Style" w:hAnsi="Bookman Old Style" w:cs="Arial"/>
          <w:bCs/>
          <w:i/>
          <w:iCs/>
          <w:color w:val="000000"/>
        </w:rPr>
        <w:t>fecha no podrá ser posterior a diciembre de 2024</w:t>
      </w:r>
      <w:r w:rsidR="00583798" w:rsidRPr="00A45831">
        <w:rPr>
          <w:rFonts w:ascii="Bookman Old Style" w:hAnsi="Bookman Old Style" w:cs="Arial"/>
          <w:bCs/>
          <w:i/>
          <w:iCs/>
          <w:color w:val="000000"/>
        </w:rPr>
        <w:t>”</w:t>
      </w:r>
      <w:r w:rsidR="00FE10D0" w:rsidRPr="00A45831">
        <w:rPr>
          <w:rFonts w:ascii="Bookman Old Style" w:hAnsi="Bookman Old Style" w:cs="Arial"/>
          <w:b/>
          <w:i/>
          <w:iCs/>
          <w:color w:val="000000"/>
        </w:rPr>
        <w:t>.</w:t>
      </w:r>
    </w:p>
    <w:p w14:paraId="27B7C013" w14:textId="77777777" w:rsidR="0044368D" w:rsidRPr="00A45831" w:rsidRDefault="0044368D" w:rsidP="00A45831">
      <w:pPr>
        <w:ind w:left="284"/>
        <w:jc w:val="both"/>
        <w:rPr>
          <w:rFonts w:ascii="Bookman Old Style" w:hAnsi="Bookman Old Style" w:cs="Arial"/>
          <w:b/>
          <w:i/>
          <w:iCs/>
          <w:color w:val="000000"/>
        </w:rPr>
      </w:pPr>
    </w:p>
    <w:p w14:paraId="10802936" w14:textId="50AC1525" w:rsidR="00622C2B" w:rsidRPr="00A45831" w:rsidRDefault="00622C2B" w:rsidP="00A45831">
      <w:pPr>
        <w:ind w:left="284"/>
        <w:jc w:val="both"/>
        <w:rPr>
          <w:rFonts w:ascii="Bookman Old Style" w:hAnsi="Bookman Old Style" w:cs="Arial"/>
          <w:b/>
          <w:i/>
          <w:iCs/>
          <w:color w:val="000000"/>
        </w:rPr>
      </w:pPr>
      <w:r w:rsidRPr="00A45831">
        <w:rPr>
          <w:rFonts w:ascii="Bookman Old Style" w:hAnsi="Bookman Old Style" w:cs="Arial"/>
          <w:b/>
          <w:i/>
          <w:iCs/>
          <w:color w:val="000000"/>
        </w:rPr>
        <w:t xml:space="preserve">“Inventario mínimo de confiabilidad: </w:t>
      </w:r>
      <w:r w:rsidR="000A5832" w:rsidRPr="00A45831">
        <w:rPr>
          <w:rFonts w:ascii="Bookman Old Style" w:hAnsi="Bookman Old Style" w:cs="Arial"/>
          <w:bCs/>
          <w:i/>
          <w:iCs/>
          <w:color w:val="000000"/>
        </w:rPr>
        <w:t>cantidad</w:t>
      </w:r>
      <w:r w:rsidR="00553313" w:rsidRPr="00A45831">
        <w:rPr>
          <w:rFonts w:ascii="Bookman Old Style" w:hAnsi="Bookman Old Style"/>
          <w:bCs/>
          <w:i/>
          <w:iCs/>
          <w:color w:val="000000"/>
          <w:lang w:val="es-CO"/>
        </w:rPr>
        <w:t xml:space="preserve"> </w:t>
      </w:r>
      <w:r w:rsidR="00553313" w:rsidRPr="00A45831">
        <w:rPr>
          <w:rFonts w:ascii="Bookman Old Style" w:hAnsi="Bookman Old Style"/>
          <w:i/>
          <w:iCs/>
          <w:color w:val="000000"/>
          <w:lang w:val="es-CO"/>
        </w:rPr>
        <w:t>del almacenamiento de gas natural licuado de los servicios asociados a la planta de regasificación,</w:t>
      </w:r>
      <w:r w:rsidR="000A5832" w:rsidRPr="00A45831">
        <w:rPr>
          <w:rFonts w:ascii="Bookman Old Style" w:hAnsi="Bookman Old Style"/>
          <w:i/>
          <w:iCs/>
          <w:color w:val="000000"/>
          <w:lang w:val="es-CO"/>
        </w:rPr>
        <w:t xml:space="preserve"> establecido </w:t>
      </w:r>
      <w:r w:rsidR="00553313" w:rsidRPr="00A45831">
        <w:rPr>
          <w:rFonts w:ascii="Bookman Old Style" w:hAnsi="Bookman Old Style"/>
          <w:i/>
          <w:iCs/>
          <w:color w:val="000000"/>
          <w:lang w:val="es-CO"/>
        </w:rPr>
        <w:t>con el fin de contar con un volumen interno de inventario en caso de contingencias como aspecto de confiabilidad</w:t>
      </w:r>
      <w:r w:rsidR="00C1346B" w:rsidRPr="00A45831">
        <w:rPr>
          <w:rFonts w:ascii="Bookman Old Style" w:hAnsi="Bookman Old Style"/>
          <w:bCs/>
          <w:i/>
          <w:iCs/>
        </w:rPr>
        <w:t>”.</w:t>
      </w:r>
    </w:p>
    <w:p w14:paraId="33B64299" w14:textId="77777777" w:rsidR="00622C2B" w:rsidRPr="00A45831" w:rsidRDefault="00622C2B" w:rsidP="00A45831">
      <w:pPr>
        <w:ind w:left="284"/>
        <w:jc w:val="both"/>
        <w:rPr>
          <w:rFonts w:ascii="Bookman Old Style" w:hAnsi="Bookman Old Style" w:cs="Arial"/>
          <w:b/>
          <w:i/>
          <w:iCs/>
          <w:color w:val="000000"/>
        </w:rPr>
      </w:pPr>
    </w:p>
    <w:p w14:paraId="4F506541" w14:textId="1FB9BDE2" w:rsidR="0044368D" w:rsidRPr="00A45831" w:rsidRDefault="00583798" w:rsidP="00A45831">
      <w:pPr>
        <w:ind w:left="284"/>
        <w:jc w:val="both"/>
        <w:rPr>
          <w:rFonts w:ascii="Bookman Old Style" w:hAnsi="Bookman Old Style"/>
          <w:i/>
          <w:iCs/>
        </w:rPr>
      </w:pPr>
      <w:r w:rsidRPr="00A45831">
        <w:rPr>
          <w:rFonts w:ascii="Bookman Old Style" w:hAnsi="Bookman Old Style" w:cs="Arial"/>
          <w:b/>
          <w:i/>
          <w:iCs/>
          <w:color w:val="000000"/>
        </w:rPr>
        <w:t>“</w:t>
      </w:r>
      <w:r w:rsidR="0044368D" w:rsidRPr="00A45831">
        <w:rPr>
          <w:rFonts w:ascii="Bookman Old Style" w:hAnsi="Bookman Old Style" w:cs="Arial"/>
          <w:b/>
          <w:i/>
          <w:iCs/>
          <w:color w:val="000000"/>
        </w:rPr>
        <w:t xml:space="preserve">Operación </w:t>
      </w:r>
      <w:r w:rsidR="00D07D3E" w:rsidRPr="00A45831">
        <w:rPr>
          <w:rFonts w:ascii="Bookman Old Style" w:hAnsi="Bookman Old Style" w:cs="Arial"/>
          <w:b/>
          <w:i/>
          <w:iCs/>
          <w:color w:val="000000"/>
        </w:rPr>
        <w:t>p</w:t>
      </w:r>
      <w:r w:rsidR="0044368D" w:rsidRPr="00A45831">
        <w:rPr>
          <w:rFonts w:ascii="Bookman Old Style" w:hAnsi="Bookman Old Style" w:cs="Arial"/>
          <w:b/>
          <w:i/>
          <w:iCs/>
          <w:color w:val="000000"/>
        </w:rPr>
        <w:t>arcial</w:t>
      </w:r>
      <w:r w:rsidR="00D07D3E" w:rsidRPr="00A45831">
        <w:rPr>
          <w:rFonts w:ascii="Bookman Old Style" w:hAnsi="Bookman Old Style" w:cs="Arial"/>
          <w:b/>
          <w:i/>
          <w:iCs/>
          <w:color w:val="000000"/>
        </w:rPr>
        <w:t xml:space="preserve"> de la infraestructura de importación de gas del </w:t>
      </w:r>
      <w:r w:rsidR="00363050" w:rsidRPr="00A45831">
        <w:rPr>
          <w:rFonts w:ascii="Bookman Old Style" w:hAnsi="Bookman Old Style" w:cs="Arial"/>
          <w:b/>
          <w:i/>
          <w:iCs/>
          <w:color w:val="000000"/>
        </w:rPr>
        <w:t>P</w:t>
      </w:r>
      <w:r w:rsidR="00D07D3E" w:rsidRPr="00A45831">
        <w:rPr>
          <w:rFonts w:ascii="Bookman Old Style" w:hAnsi="Bookman Old Style" w:cs="Arial"/>
          <w:b/>
          <w:i/>
          <w:iCs/>
          <w:color w:val="000000"/>
        </w:rPr>
        <w:t>acífico</w:t>
      </w:r>
      <w:r w:rsidR="0044368D" w:rsidRPr="00A45831">
        <w:rPr>
          <w:rFonts w:ascii="Bookman Old Style" w:hAnsi="Bookman Old Style" w:cs="Arial"/>
          <w:b/>
          <w:i/>
          <w:iCs/>
          <w:color w:val="000000"/>
        </w:rPr>
        <w:t xml:space="preserve">: </w:t>
      </w:r>
      <w:r w:rsidR="0044368D" w:rsidRPr="00A45831">
        <w:rPr>
          <w:rFonts w:ascii="Bookman Old Style" w:hAnsi="Bookman Old Style" w:cs="Arial"/>
          <w:bCs/>
          <w:i/>
          <w:iCs/>
          <w:color w:val="000000"/>
        </w:rPr>
        <w:t xml:space="preserve">es la prestación del servicio en una capacidad inferior a la capacidad </w:t>
      </w:r>
      <w:r w:rsidR="00C54105" w:rsidRPr="00A45831">
        <w:rPr>
          <w:rFonts w:ascii="Bookman Old Style" w:hAnsi="Bookman Old Style" w:cs="Arial"/>
          <w:bCs/>
          <w:i/>
          <w:iCs/>
          <w:color w:val="000000"/>
        </w:rPr>
        <w:t xml:space="preserve">de regasificación </w:t>
      </w:r>
      <w:r w:rsidR="0044368D" w:rsidRPr="00A45831">
        <w:rPr>
          <w:rFonts w:ascii="Bookman Old Style" w:hAnsi="Bookman Old Style" w:cs="Arial"/>
          <w:bCs/>
          <w:i/>
          <w:iCs/>
          <w:color w:val="000000"/>
        </w:rPr>
        <w:t xml:space="preserve">del proyecto estipulada en </w:t>
      </w:r>
      <w:r w:rsidR="00B12B8C" w:rsidRPr="00A45831">
        <w:rPr>
          <w:rFonts w:ascii="Bookman Old Style" w:hAnsi="Bookman Old Style" w:cs="Arial"/>
          <w:bCs/>
          <w:i/>
          <w:iCs/>
          <w:color w:val="000000"/>
        </w:rPr>
        <w:t>los documentos de selección del inversionista</w:t>
      </w:r>
      <w:r w:rsidRPr="00A45831">
        <w:rPr>
          <w:rFonts w:ascii="Bookman Old Style" w:hAnsi="Bookman Old Style" w:cs="Arial"/>
          <w:bCs/>
          <w:i/>
          <w:iCs/>
          <w:color w:val="000000"/>
        </w:rPr>
        <w:t>”</w:t>
      </w:r>
      <w:r w:rsidR="0044368D" w:rsidRPr="00A45831">
        <w:rPr>
          <w:rFonts w:ascii="Bookman Old Style" w:hAnsi="Bookman Old Style" w:cs="Arial"/>
          <w:b/>
          <w:i/>
          <w:iCs/>
          <w:color w:val="000000"/>
        </w:rPr>
        <w:t>.</w:t>
      </w:r>
    </w:p>
    <w:p w14:paraId="5A494BF9" w14:textId="77777777" w:rsidR="0044368D" w:rsidRPr="00A45831" w:rsidRDefault="0044368D" w:rsidP="00A45831">
      <w:pPr>
        <w:pStyle w:val="Estilo8"/>
        <w:widowControl w:val="0"/>
        <w:ind w:left="284"/>
        <w:jc w:val="both"/>
        <w:rPr>
          <w:rFonts w:ascii="Bookman Old Style" w:hAnsi="Bookman Old Style"/>
          <w:i/>
          <w:iCs/>
          <w:color w:val="000000"/>
          <w:sz w:val="24"/>
          <w:szCs w:val="24"/>
        </w:rPr>
      </w:pPr>
    </w:p>
    <w:p w14:paraId="48F475BC" w14:textId="47FC3C62" w:rsidR="0044368D" w:rsidRDefault="0044368D" w:rsidP="00A45831">
      <w:pPr>
        <w:ind w:left="284"/>
        <w:jc w:val="both"/>
        <w:rPr>
          <w:rFonts w:ascii="Bookman Old Style" w:hAnsi="Bookman Old Style" w:cs="Arial"/>
          <w:b/>
          <w:i/>
          <w:iCs/>
          <w:color w:val="000000"/>
        </w:rPr>
      </w:pPr>
      <w:bookmarkStart w:id="3" w:name="_Hlk62202021"/>
      <w:r w:rsidRPr="00A45831">
        <w:rPr>
          <w:rFonts w:ascii="Bookman Old Style" w:hAnsi="Bookman Old Style" w:cs="Arial"/>
          <w:b/>
          <w:i/>
          <w:iCs/>
          <w:color w:val="000000"/>
        </w:rPr>
        <w:t xml:space="preserve">“Servicios </w:t>
      </w:r>
      <w:r w:rsidR="00D07D3E" w:rsidRPr="00A45831">
        <w:rPr>
          <w:rFonts w:ascii="Bookman Old Style" w:hAnsi="Bookman Old Style" w:cs="Arial"/>
          <w:b/>
          <w:i/>
          <w:iCs/>
          <w:color w:val="000000"/>
        </w:rPr>
        <w:t>a</w:t>
      </w:r>
      <w:r w:rsidRPr="00A45831">
        <w:rPr>
          <w:rFonts w:ascii="Bookman Old Style" w:hAnsi="Bookman Old Style" w:cs="Arial"/>
          <w:b/>
          <w:i/>
          <w:iCs/>
          <w:color w:val="000000"/>
        </w:rPr>
        <w:t>dicionales</w:t>
      </w:r>
      <w:r w:rsidR="00D07D3E" w:rsidRPr="00A45831">
        <w:rPr>
          <w:rFonts w:ascii="Bookman Old Style" w:hAnsi="Bookman Old Style" w:cs="Arial"/>
          <w:b/>
          <w:i/>
          <w:iCs/>
          <w:color w:val="000000"/>
        </w:rPr>
        <w:t xml:space="preserve"> de la infraestructura de importación de gas del pacífico</w:t>
      </w:r>
      <w:r w:rsidRPr="00A45831">
        <w:rPr>
          <w:rFonts w:ascii="Bookman Old Style" w:hAnsi="Bookman Old Style" w:cs="Arial"/>
          <w:b/>
          <w:i/>
          <w:iCs/>
          <w:color w:val="000000"/>
        </w:rPr>
        <w:t xml:space="preserve">: </w:t>
      </w:r>
      <w:r w:rsidR="001A35F5" w:rsidRPr="00A45831">
        <w:rPr>
          <w:rFonts w:ascii="Bookman Old Style" w:hAnsi="Bookman Old Style" w:cs="Arial"/>
          <w:bCs/>
          <w:i/>
          <w:iCs/>
          <w:color w:val="000000"/>
        </w:rPr>
        <w:t xml:space="preserve">son los </w:t>
      </w:r>
      <w:r w:rsidR="000726BB" w:rsidRPr="00A45831">
        <w:rPr>
          <w:rFonts w:ascii="Bookman Old Style" w:hAnsi="Bookman Old Style" w:cs="Arial"/>
          <w:bCs/>
          <w:i/>
          <w:iCs/>
          <w:color w:val="000000"/>
        </w:rPr>
        <w:t xml:space="preserve">servicios adicionales </w:t>
      </w:r>
      <w:r w:rsidR="00DB2BC1" w:rsidRPr="00A45831">
        <w:rPr>
          <w:rFonts w:ascii="Bookman Old Style" w:hAnsi="Bookman Old Style" w:cs="Arial"/>
          <w:bCs/>
          <w:i/>
          <w:iCs/>
          <w:color w:val="000000"/>
        </w:rPr>
        <w:t xml:space="preserve">que </w:t>
      </w:r>
      <w:r w:rsidR="00D07D3E" w:rsidRPr="00A45831">
        <w:rPr>
          <w:rFonts w:ascii="Bookman Old Style" w:hAnsi="Bookman Old Style" w:cs="Arial"/>
          <w:bCs/>
          <w:i/>
          <w:iCs/>
          <w:color w:val="000000"/>
        </w:rPr>
        <w:t>pueden ser</w:t>
      </w:r>
      <w:r w:rsidRPr="00A45831">
        <w:rPr>
          <w:rFonts w:ascii="Bookman Old Style" w:hAnsi="Bookman Old Style" w:cs="Arial"/>
          <w:bCs/>
          <w:i/>
          <w:iCs/>
          <w:color w:val="000000"/>
        </w:rPr>
        <w:t xml:space="preserve"> el servicio de almacenamiento de GNL, regasificación</w:t>
      </w:r>
      <w:r w:rsidR="00D07D3E" w:rsidRPr="00A45831">
        <w:rPr>
          <w:rFonts w:ascii="Bookman Old Style" w:hAnsi="Bookman Old Style" w:cs="Arial"/>
          <w:bCs/>
          <w:i/>
          <w:iCs/>
          <w:color w:val="000000"/>
        </w:rPr>
        <w:t>,</w:t>
      </w:r>
      <w:r w:rsidRPr="00A45831">
        <w:rPr>
          <w:rFonts w:ascii="Bookman Old Style" w:hAnsi="Bookman Old Style" w:cs="Arial"/>
          <w:bCs/>
          <w:i/>
          <w:iCs/>
          <w:color w:val="000000"/>
        </w:rPr>
        <w:t xml:space="preserve"> transporte de gas natural y</w:t>
      </w:r>
      <w:r w:rsidR="00D07D3E" w:rsidRPr="00A45831">
        <w:rPr>
          <w:rFonts w:ascii="Bookman Old Style" w:hAnsi="Bookman Old Style" w:cs="Arial"/>
          <w:bCs/>
          <w:i/>
          <w:iCs/>
          <w:color w:val="000000"/>
        </w:rPr>
        <w:t>/o</w:t>
      </w:r>
      <w:r w:rsidRPr="00A45831">
        <w:rPr>
          <w:rFonts w:ascii="Bookman Old Style" w:hAnsi="Bookman Old Style" w:cs="Arial"/>
          <w:bCs/>
          <w:i/>
          <w:iCs/>
          <w:color w:val="000000"/>
        </w:rPr>
        <w:t xml:space="preserve"> servicios asociados de la </w:t>
      </w:r>
      <w:r w:rsidR="00B63B4C" w:rsidRPr="00A45831">
        <w:rPr>
          <w:rFonts w:ascii="Bookman Old Style" w:hAnsi="Bookman Old Style" w:cs="Arial"/>
          <w:bCs/>
          <w:i/>
          <w:iCs/>
          <w:color w:val="000000"/>
        </w:rPr>
        <w:t>i</w:t>
      </w:r>
      <w:r w:rsidRPr="00A45831">
        <w:rPr>
          <w:rFonts w:ascii="Bookman Old Style" w:hAnsi="Bookman Old Style" w:cs="Arial"/>
          <w:bCs/>
          <w:i/>
          <w:iCs/>
          <w:color w:val="000000"/>
        </w:rPr>
        <w:t xml:space="preserve">nfraestructura de </w:t>
      </w:r>
      <w:r w:rsidR="00B63B4C" w:rsidRPr="00A45831">
        <w:rPr>
          <w:rFonts w:ascii="Bookman Old Style" w:hAnsi="Bookman Old Style" w:cs="Arial"/>
          <w:bCs/>
          <w:i/>
          <w:iCs/>
          <w:color w:val="000000"/>
        </w:rPr>
        <w:t>i</w:t>
      </w:r>
      <w:r w:rsidRPr="00A45831">
        <w:rPr>
          <w:rFonts w:ascii="Bookman Old Style" w:hAnsi="Bookman Old Style" w:cs="Arial"/>
          <w:bCs/>
          <w:i/>
          <w:iCs/>
          <w:color w:val="000000"/>
        </w:rPr>
        <w:t xml:space="preserve">mportación de </w:t>
      </w:r>
      <w:r w:rsidR="00B63B4C" w:rsidRPr="00A45831">
        <w:rPr>
          <w:rFonts w:ascii="Bookman Old Style" w:hAnsi="Bookman Old Style" w:cs="Arial"/>
          <w:bCs/>
          <w:i/>
          <w:iCs/>
          <w:color w:val="000000"/>
        </w:rPr>
        <w:t>g</w:t>
      </w:r>
      <w:r w:rsidRPr="00A45831">
        <w:rPr>
          <w:rFonts w:ascii="Bookman Old Style" w:hAnsi="Bookman Old Style" w:cs="Arial"/>
          <w:bCs/>
          <w:i/>
          <w:iCs/>
          <w:color w:val="000000"/>
        </w:rPr>
        <w:t xml:space="preserve">as del </w:t>
      </w:r>
      <w:r w:rsidR="00B63B4C" w:rsidRPr="00A45831">
        <w:rPr>
          <w:rFonts w:ascii="Bookman Old Style" w:hAnsi="Bookman Old Style" w:cs="Arial"/>
          <w:bCs/>
          <w:i/>
          <w:iCs/>
          <w:color w:val="000000"/>
        </w:rPr>
        <w:t>p</w:t>
      </w:r>
      <w:r w:rsidRPr="00A45831">
        <w:rPr>
          <w:rFonts w:ascii="Bookman Old Style" w:hAnsi="Bookman Old Style" w:cs="Arial"/>
          <w:bCs/>
          <w:i/>
          <w:iCs/>
          <w:color w:val="000000"/>
        </w:rPr>
        <w:t xml:space="preserve">acífico, que se prestan en una capacidad superior a la estipulada en los </w:t>
      </w:r>
      <w:r w:rsidR="00B12B8C" w:rsidRPr="00A45831">
        <w:rPr>
          <w:rFonts w:ascii="Bookman Old Style" w:hAnsi="Bookman Old Style" w:cs="Arial"/>
          <w:bCs/>
          <w:i/>
          <w:iCs/>
          <w:color w:val="000000"/>
        </w:rPr>
        <w:t>d</w:t>
      </w:r>
      <w:r w:rsidRPr="00A45831">
        <w:rPr>
          <w:rFonts w:ascii="Bookman Old Style" w:hAnsi="Bookman Old Style" w:cs="Arial"/>
          <w:bCs/>
          <w:i/>
          <w:iCs/>
          <w:color w:val="000000"/>
        </w:rPr>
        <w:t xml:space="preserve">ocumentos de </w:t>
      </w:r>
      <w:r w:rsidR="00B12B8C" w:rsidRPr="00A45831">
        <w:rPr>
          <w:rFonts w:ascii="Bookman Old Style" w:hAnsi="Bookman Old Style" w:cs="Arial"/>
          <w:bCs/>
          <w:i/>
          <w:iCs/>
          <w:color w:val="000000"/>
        </w:rPr>
        <w:t>s</w:t>
      </w:r>
      <w:r w:rsidRPr="00A45831">
        <w:rPr>
          <w:rFonts w:ascii="Bookman Old Style" w:hAnsi="Bookman Old Style" w:cs="Arial"/>
          <w:bCs/>
          <w:i/>
          <w:iCs/>
          <w:color w:val="000000"/>
        </w:rPr>
        <w:t xml:space="preserve">elección del </w:t>
      </w:r>
      <w:r w:rsidR="00B12B8C" w:rsidRPr="00A45831">
        <w:rPr>
          <w:rFonts w:ascii="Bookman Old Style" w:hAnsi="Bookman Old Style" w:cs="Arial"/>
          <w:bCs/>
          <w:i/>
          <w:iCs/>
          <w:color w:val="000000"/>
        </w:rPr>
        <w:t>i</w:t>
      </w:r>
      <w:r w:rsidRPr="00A45831">
        <w:rPr>
          <w:rFonts w:ascii="Bookman Old Style" w:hAnsi="Bookman Old Style" w:cs="Arial"/>
          <w:bCs/>
          <w:i/>
          <w:iCs/>
          <w:color w:val="000000"/>
        </w:rPr>
        <w:t>nversionista</w:t>
      </w:r>
      <w:r w:rsidR="00583798" w:rsidRPr="00A45831">
        <w:rPr>
          <w:rFonts w:ascii="Bookman Old Style" w:hAnsi="Bookman Old Style" w:cs="Arial"/>
          <w:bCs/>
          <w:i/>
          <w:iCs/>
          <w:color w:val="000000"/>
        </w:rPr>
        <w:t>”</w:t>
      </w:r>
      <w:r w:rsidRPr="00A45831">
        <w:rPr>
          <w:rFonts w:ascii="Bookman Old Style" w:hAnsi="Bookman Old Style" w:cs="Arial"/>
          <w:b/>
          <w:i/>
          <w:iCs/>
          <w:color w:val="000000"/>
        </w:rPr>
        <w:t xml:space="preserve">. </w:t>
      </w:r>
    </w:p>
    <w:p w14:paraId="32A54794" w14:textId="77777777" w:rsidR="0051077F" w:rsidRPr="00A45831" w:rsidRDefault="0051077F" w:rsidP="00A45831">
      <w:pPr>
        <w:ind w:left="284"/>
        <w:jc w:val="both"/>
        <w:rPr>
          <w:rFonts w:ascii="Bookman Old Style" w:hAnsi="Bookman Old Style"/>
          <w:i/>
          <w:iCs/>
        </w:rPr>
      </w:pPr>
    </w:p>
    <w:bookmarkEnd w:id="3"/>
    <w:p w14:paraId="655584D0" w14:textId="047C6779" w:rsidR="0044368D" w:rsidRPr="00356462" w:rsidRDefault="0044368D" w:rsidP="0044368D">
      <w:pPr>
        <w:spacing w:before="240" w:after="240"/>
        <w:ind w:left="0"/>
        <w:jc w:val="both"/>
        <w:rPr>
          <w:rFonts w:ascii="Bookman Old Style" w:hAnsi="Bookman Old Style"/>
          <w:b/>
        </w:rPr>
      </w:pPr>
      <w:r w:rsidRPr="00356462">
        <w:rPr>
          <w:rFonts w:ascii="Bookman Old Style" w:hAnsi="Bookman Old Style"/>
          <w:b/>
        </w:rPr>
        <w:t xml:space="preserve">Artículo 3.  </w:t>
      </w:r>
      <w:r w:rsidRPr="00356462">
        <w:rPr>
          <w:rFonts w:ascii="Bookman Old Style" w:hAnsi="Bookman Old Style"/>
          <w:bCs/>
        </w:rPr>
        <w:t>Adici</w:t>
      </w:r>
      <w:r w:rsidR="003577BC">
        <w:rPr>
          <w:rFonts w:ascii="Bookman Old Style" w:hAnsi="Bookman Old Style"/>
          <w:bCs/>
        </w:rPr>
        <w:t xml:space="preserve">ónese </w:t>
      </w:r>
      <w:r w:rsidRPr="00356462">
        <w:rPr>
          <w:rFonts w:ascii="Bookman Old Style" w:hAnsi="Bookman Old Style"/>
          <w:bCs/>
        </w:rPr>
        <w:t>el Parágrafo 2 al Artículo 4 de la Resolución CREG 152 de 2017, el</w:t>
      </w:r>
      <w:r w:rsidR="006302C7" w:rsidRPr="00356462">
        <w:rPr>
          <w:rFonts w:ascii="Bookman Old Style" w:hAnsi="Bookman Old Style"/>
          <w:bCs/>
        </w:rPr>
        <w:t xml:space="preserve"> cual</w:t>
      </w:r>
      <w:r w:rsidRPr="00356462">
        <w:rPr>
          <w:rFonts w:ascii="Bookman Old Style" w:hAnsi="Bookman Old Style"/>
          <w:bCs/>
        </w:rPr>
        <w:t xml:space="preserve"> quedará así:</w:t>
      </w:r>
      <w:r w:rsidRPr="00356462">
        <w:rPr>
          <w:rFonts w:ascii="Bookman Old Style" w:hAnsi="Bookman Old Style"/>
          <w:b/>
        </w:rPr>
        <w:t xml:space="preserve"> </w:t>
      </w:r>
    </w:p>
    <w:p w14:paraId="6DEB45AB" w14:textId="56EEBF34" w:rsidR="0031376B" w:rsidRPr="00A45831" w:rsidRDefault="006302C7" w:rsidP="00A45831">
      <w:pPr>
        <w:spacing w:before="240" w:after="240"/>
        <w:ind w:left="284"/>
        <w:jc w:val="both"/>
        <w:rPr>
          <w:rFonts w:ascii="Bookman Old Style" w:hAnsi="Bookman Old Style"/>
          <w:bCs/>
          <w:i/>
          <w:iCs/>
        </w:rPr>
      </w:pPr>
      <w:r w:rsidRPr="00A45831">
        <w:rPr>
          <w:rFonts w:ascii="Bookman Old Style" w:hAnsi="Bookman Old Style"/>
          <w:b/>
          <w:i/>
          <w:iCs/>
        </w:rPr>
        <w:t>“</w:t>
      </w:r>
      <w:r w:rsidR="0031376B" w:rsidRPr="00A45831">
        <w:rPr>
          <w:rFonts w:ascii="Bookman Old Style" w:hAnsi="Bookman Old Style"/>
          <w:b/>
          <w:i/>
          <w:iCs/>
        </w:rPr>
        <w:t xml:space="preserve">Artículo 4. Servicios asociados a la infraestructura de importación de gas del Pacífico. </w:t>
      </w:r>
      <w:r w:rsidR="0031376B" w:rsidRPr="00A45831">
        <w:rPr>
          <w:rFonts w:ascii="Bookman Old Style" w:hAnsi="Bookman Old Style"/>
          <w:bCs/>
          <w:i/>
          <w:iCs/>
        </w:rPr>
        <w:t>El adjudicatario de la planta de regasificación del Pacífico deberá prestar los servicios que defina la UPME en los correspondientes pliegos y que están asociados a este tipo de infraestructura tales como: i) descargue y recibo de gas licuado, ii) almacenamiento de gas licuado, iii) regasificación, iv) carga de carrotanques de gas natural licuado, v) trasvase de gas natural licuado a buques metaneros y puesta en frío, y vi) entrega del gas en el SNT, entre otros.</w:t>
      </w:r>
    </w:p>
    <w:p w14:paraId="7C12EF32" w14:textId="75DCB391" w:rsidR="0031376B" w:rsidRPr="00A45831" w:rsidRDefault="0031376B" w:rsidP="00A45831">
      <w:pPr>
        <w:spacing w:before="240" w:after="240"/>
        <w:ind w:left="284"/>
        <w:jc w:val="both"/>
        <w:rPr>
          <w:rFonts w:ascii="Bookman Old Style" w:hAnsi="Bookman Old Style"/>
          <w:bCs/>
          <w:i/>
          <w:iCs/>
        </w:rPr>
      </w:pPr>
      <w:r w:rsidRPr="00A45831">
        <w:rPr>
          <w:rFonts w:ascii="Bookman Old Style" w:hAnsi="Bookman Old Style"/>
          <w:bCs/>
          <w:i/>
          <w:iCs/>
        </w:rPr>
        <w:t>El adjudicatario del gasoducto Buenaventura – Yumbo prestará los servicios asociados a infraestructura del SNT, tales como parqueo y transporte de gas.</w:t>
      </w:r>
    </w:p>
    <w:p w14:paraId="3091ABEB" w14:textId="2EE1CB05" w:rsidR="0031376B" w:rsidRPr="00A45831" w:rsidRDefault="0031376B" w:rsidP="00A45831">
      <w:pPr>
        <w:spacing w:before="240" w:after="240"/>
        <w:ind w:left="284"/>
        <w:jc w:val="both"/>
        <w:rPr>
          <w:rFonts w:ascii="Bookman Old Style" w:hAnsi="Bookman Old Style"/>
          <w:bCs/>
          <w:i/>
          <w:iCs/>
        </w:rPr>
      </w:pPr>
      <w:r w:rsidRPr="00A45831">
        <w:rPr>
          <w:rFonts w:ascii="Bookman Old Style" w:hAnsi="Bookman Old Style"/>
          <w:bCs/>
          <w:i/>
          <w:iCs/>
        </w:rPr>
        <w:t xml:space="preserve">Estos servicios se prestarán sobre la base del principio del libre acceso y no discriminación. En resolución aparte la Comisión establecerá disposiciones sobre el acceso y uso de la infraestructura de importación de gas del Pacífico. </w:t>
      </w:r>
    </w:p>
    <w:p w14:paraId="54207424" w14:textId="526F88DA" w:rsidR="0031376B" w:rsidRPr="00A45831" w:rsidRDefault="0031376B" w:rsidP="00A45831">
      <w:pPr>
        <w:spacing w:before="240" w:after="240"/>
        <w:ind w:left="284"/>
        <w:jc w:val="both"/>
        <w:rPr>
          <w:rFonts w:ascii="Bookman Old Style" w:hAnsi="Bookman Old Style"/>
          <w:bCs/>
          <w:i/>
          <w:iCs/>
        </w:rPr>
      </w:pPr>
      <w:r w:rsidRPr="00A45831">
        <w:rPr>
          <w:rFonts w:ascii="Bookman Old Style" w:hAnsi="Bookman Old Style"/>
          <w:b/>
          <w:i/>
          <w:iCs/>
        </w:rPr>
        <w:t>Parágrafo 1.</w:t>
      </w:r>
      <w:r w:rsidRPr="00A45831">
        <w:rPr>
          <w:rFonts w:ascii="Bookman Old Style" w:hAnsi="Bookman Old Style"/>
          <w:bCs/>
          <w:i/>
          <w:iCs/>
        </w:rPr>
        <w:t xml:space="preserve"> La infraestructura de importación de gas del Pacífico se complementará con la infraestructura que haga posible el flujo bidireccional de gas en gasoductos del SNT donde sea necesario. La infraestructura necesaria para el flujo bidireccional, y que esté definida en el plan de abastecimiento de gas natural, o en el plan transitorio de abastecimiento de gas natural, estará sujeta a las reglas de acceso y pago de servicios que determine la Comisión en resolución aparte.   </w:t>
      </w:r>
    </w:p>
    <w:p w14:paraId="5BBEA3CE" w14:textId="3B9F0734" w:rsidR="0051077F" w:rsidRPr="0051077F" w:rsidRDefault="00D81823" w:rsidP="0051077F">
      <w:pPr>
        <w:spacing w:before="240" w:after="240"/>
        <w:ind w:left="284"/>
        <w:jc w:val="both"/>
        <w:rPr>
          <w:rFonts w:ascii="Bookman Old Style" w:hAnsi="Bookman Old Style"/>
          <w:bCs/>
          <w:i/>
          <w:iCs/>
        </w:rPr>
      </w:pPr>
      <w:r w:rsidRPr="00A45831">
        <w:rPr>
          <w:rFonts w:ascii="Bookman Old Style" w:hAnsi="Bookman Old Style"/>
          <w:b/>
          <w:i/>
          <w:iCs/>
        </w:rPr>
        <w:t xml:space="preserve">Parágrafo 2: </w:t>
      </w:r>
      <w:r w:rsidRPr="00A45831">
        <w:rPr>
          <w:rFonts w:ascii="Bookman Old Style" w:hAnsi="Bookman Old Style"/>
          <w:bCs/>
          <w:i/>
          <w:iCs/>
        </w:rPr>
        <w:t>En el caso de que la UPME establezca un inventario mínimo</w:t>
      </w:r>
      <w:r w:rsidR="00FA4976" w:rsidRPr="00A45831">
        <w:rPr>
          <w:rFonts w:ascii="Bookman Old Style" w:hAnsi="Bookman Old Style"/>
          <w:bCs/>
          <w:i/>
          <w:iCs/>
        </w:rPr>
        <w:t xml:space="preserve"> de confia</w:t>
      </w:r>
      <w:r w:rsidR="000A14E9" w:rsidRPr="00A45831">
        <w:rPr>
          <w:rFonts w:ascii="Bookman Old Style" w:hAnsi="Bookman Old Style"/>
          <w:bCs/>
          <w:i/>
          <w:iCs/>
        </w:rPr>
        <w:t>bilidad</w:t>
      </w:r>
      <w:r w:rsidRPr="00A45831">
        <w:rPr>
          <w:rFonts w:ascii="Bookman Old Style" w:hAnsi="Bookman Old Style"/>
          <w:bCs/>
          <w:i/>
          <w:iCs/>
        </w:rPr>
        <w:t>, para brindar confiabilidad ante contingencias con el fin de atender la demanda de gas de los usuarios en los términos que determine el Ministerio de Minas y Energía, la cantidad de gas que eventualmente se retire en un día calendario, deberá ser devuelta por el agente que la tomó, en los plazos máximos siguientes, contados después del día calendario en que se realiza el retiro del inventario: i.) En un término no superior a 3 días calendario, dado el caso de que la planta de regasificación cuente con un almacenamiento de inventario físico</w:t>
      </w:r>
      <w:r w:rsidR="000D25A9" w:rsidRPr="00A45831">
        <w:rPr>
          <w:rFonts w:ascii="Bookman Old Style" w:hAnsi="Bookman Old Style"/>
          <w:bCs/>
          <w:i/>
          <w:iCs/>
        </w:rPr>
        <w:t xml:space="preserve"> por encima del inventario mínimo</w:t>
      </w:r>
      <w:r w:rsidR="00D12030" w:rsidRPr="00A45831">
        <w:rPr>
          <w:rFonts w:ascii="Bookman Old Style" w:hAnsi="Bookman Old Style"/>
          <w:bCs/>
          <w:i/>
          <w:iCs/>
        </w:rPr>
        <w:t>,</w:t>
      </w:r>
      <w:r w:rsidRPr="00A45831">
        <w:rPr>
          <w:rFonts w:ascii="Bookman Old Style" w:hAnsi="Bookman Old Style"/>
          <w:bCs/>
          <w:i/>
          <w:iCs/>
        </w:rPr>
        <w:t xml:space="preserve"> que sea por lo menos igual a </w:t>
      </w:r>
      <w:r w:rsidR="00C67FB0" w:rsidRPr="00A45831">
        <w:rPr>
          <w:rFonts w:ascii="Bookman Old Style" w:hAnsi="Bookman Old Style"/>
          <w:bCs/>
          <w:i/>
          <w:iCs/>
        </w:rPr>
        <w:t>2</w:t>
      </w:r>
      <w:r w:rsidRPr="00A45831">
        <w:rPr>
          <w:rFonts w:ascii="Bookman Old Style" w:hAnsi="Bookman Old Style"/>
          <w:bCs/>
          <w:i/>
          <w:iCs/>
        </w:rPr>
        <w:t xml:space="preserve"> veces la cantidad total de gas retirado; ii.)</w:t>
      </w:r>
      <w:r w:rsidR="004C2308" w:rsidRPr="00A45831">
        <w:rPr>
          <w:rFonts w:ascii="Bookman Old Style" w:hAnsi="Bookman Old Style"/>
          <w:bCs/>
          <w:i/>
          <w:iCs/>
        </w:rPr>
        <w:t xml:space="preserve"> </w:t>
      </w:r>
      <w:r w:rsidR="0096725D" w:rsidRPr="00A45831">
        <w:rPr>
          <w:rFonts w:ascii="Bookman Old Style" w:hAnsi="Bookman Old Style"/>
          <w:bCs/>
          <w:i/>
          <w:iCs/>
        </w:rPr>
        <w:t xml:space="preserve">Si </w:t>
      </w:r>
      <w:r w:rsidR="00762E93" w:rsidRPr="00A45831">
        <w:rPr>
          <w:rFonts w:ascii="Bookman Old Style" w:hAnsi="Bookman Old Style"/>
          <w:bCs/>
          <w:i/>
          <w:iCs/>
        </w:rPr>
        <w:t xml:space="preserve">no se cuenta con la condición de </w:t>
      </w:r>
      <w:r w:rsidR="00F018BC" w:rsidRPr="00A45831">
        <w:rPr>
          <w:rFonts w:ascii="Bookman Old Style" w:hAnsi="Bookman Old Style"/>
          <w:bCs/>
          <w:i/>
          <w:iCs/>
        </w:rPr>
        <w:t xml:space="preserve">disponibilidad del </w:t>
      </w:r>
      <w:r w:rsidR="00762E93" w:rsidRPr="00A45831">
        <w:rPr>
          <w:rFonts w:ascii="Bookman Old Style" w:hAnsi="Bookman Old Style"/>
          <w:bCs/>
          <w:i/>
          <w:iCs/>
        </w:rPr>
        <w:t xml:space="preserve">inventario físico </w:t>
      </w:r>
      <w:r w:rsidR="00F018BC" w:rsidRPr="00A45831">
        <w:rPr>
          <w:rFonts w:ascii="Bookman Old Style" w:hAnsi="Bookman Old Style"/>
          <w:bCs/>
          <w:i/>
          <w:iCs/>
        </w:rPr>
        <w:t xml:space="preserve">del subnumeral </w:t>
      </w:r>
      <w:r w:rsidR="00762E93" w:rsidRPr="00A45831">
        <w:rPr>
          <w:rFonts w:ascii="Bookman Old Style" w:hAnsi="Bookman Old Style"/>
          <w:bCs/>
          <w:i/>
          <w:iCs/>
        </w:rPr>
        <w:t>anterior</w:t>
      </w:r>
      <w:r w:rsidR="00F018BC" w:rsidRPr="00A45831">
        <w:rPr>
          <w:rFonts w:ascii="Bookman Old Style" w:hAnsi="Bookman Old Style"/>
          <w:bCs/>
          <w:i/>
          <w:iCs/>
        </w:rPr>
        <w:t xml:space="preserve">, o el </w:t>
      </w:r>
      <w:r w:rsidR="0096725D" w:rsidRPr="00A45831">
        <w:rPr>
          <w:rFonts w:ascii="Bookman Old Style" w:hAnsi="Bookman Old Style"/>
          <w:bCs/>
          <w:i/>
          <w:iCs/>
        </w:rPr>
        <w:t>gas que se retire es directamente del inventario mínimo</w:t>
      </w:r>
      <w:r w:rsidR="00C67FB0" w:rsidRPr="00A45831">
        <w:rPr>
          <w:rFonts w:ascii="Bookman Old Style" w:hAnsi="Bookman Old Style"/>
          <w:bCs/>
          <w:i/>
          <w:iCs/>
        </w:rPr>
        <w:t>,</w:t>
      </w:r>
      <w:r w:rsidR="0096725D" w:rsidRPr="00A45831">
        <w:rPr>
          <w:rFonts w:ascii="Bookman Old Style" w:hAnsi="Bookman Old Style"/>
          <w:bCs/>
          <w:i/>
          <w:iCs/>
        </w:rPr>
        <w:t xml:space="preserve"> </w:t>
      </w:r>
      <w:r w:rsidR="00456D99" w:rsidRPr="00A45831">
        <w:rPr>
          <w:rFonts w:ascii="Bookman Old Style" w:hAnsi="Bookman Old Style"/>
          <w:bCs/>
          <w:i/>
          <w:iCs/>
        </w:rPr>
        <w:t xml:space="preserve">el agente tendrá diez días calendario para su reposición. </w:t>
      </w:r>
      <w:r w:rsidR="004C2308" w:rsidRPr="00A45831">
        <w:rPr>
          <w:rFonts w:ascii="Bookman Old Style" w:hAnsi="Bookman Old Style"/>
          <w:bCs/>
          <w:i/>
          <w:iCs/>
        </w:rPr>
        <w:t xml:space="preserve">Si </w:t>
      </w:r>
      <w:r w:rsidR="00555F7D" w:rsidRPr="00A45831">
        <w:rPr>
          <w:rFonts w:ascii="Bookman Old Style" w:hAnsi="Bookman Old Style"/>
          <w:bCs/>
          <w:i/>
          <w:iCs/>
        </w:rPr>
        <w:t xml:space="preserve">no se cumple </w:t>
      </w:r>
      <w:r w:rsidR="00144364" w:rsidRPr="00A45831">
        <w:rPr>
          <w:rFonts w:ascii="Bookman Old Style" w:hAnsi="Bookman Old Style"/>
          <w:bCs/>
          <w:i/>
          <w:iCs/>
        </w:rPr>
        <w:t xml:space="preserve">por el agente la obligación </w:t>
      </w:r>
      <w:r w:rsidR="00555F7D" w:rsidRPr="00A45831">
        <w:rPr>
          <w:rFonts w:ascii="Bookman Old Style" w:hAnsi="Bookman Old Style"/>
          <w:bCs/>
          <w:i/>
          <w:iCs/>
        </w:rPr>
        <w:t xml:space="preserve">de </w:t>
      </w:r>
      <w:r w:rsidR="00AA32F2" w:rsidRPr="00A45831">
        <w:rPr>
          <w:rFonts w:ascii="Bookman Old Style" w:hAnsi="Bookman Old Style"/>
          <w:bCs/>
          <w:i/>
          <w:iCs/>
        </w:rPr>
        <w:t>devolución del retiro realizado</w:t>
      </w:r>
      <w:r w:rsidR="00555F7D" w:rsidRPr="00A45831">
        <w:rPr>
          <w:rFonts w:ascii="Bookman Old Style" w:hAnsi="Bookman Old Style"/>
          <w:bCs/>
          <w:i/>
          <w:iCs/>
        </w:rPr>
        <w:t xml:space="preserve">, </w:t>
      </w:r>
      <w:r w:rsidR="00144364" w:rsidRPr="00A45831">
        <w:rPr>
          <w:rFonts w:ascii="Bookman Old Style" w:hAnsi="Bookman Old Style"/>
          <w:bCs/>
          <w:i/>
          <w:iCs/>
        </w:rPr>
        <w:t xml:space="preserve">el responsable de recuperar el inventario mínimo </w:t>
      </w:r>
      <w:r w:rsidR="00555F7D" w:rsidRPr="00A45831">
        <w:rPr>
          <w:rFonts w:ascii="Bookman Old Style" w:hAnsi="Bookman Old Style"/>
          <w:bCs/>
          <w:i/>
          <w:iCs/>
        </w:rPr>
        <w:t>e</w:t>
      </w:r>
      <w:r w:rsidRPr="00A45831">
        <w:rPr>
          <w:rFonts w:ascii="Bookman Old Style" w:hAnsi="Bookman Old Style"/>
          <w:bCs/>
          <w:i/>
          <w:iCs/>
        </w:rPr>
        <w:t>n un término no superior a 10 días calendario</w:t>
      </w:r>
      <w:r w:rsidR="002E2431" w:rsidRPr="00A45831">
        <w:rPr>
          <w:rFonts w:ascii="Bookman Old Style" w:hAnsi="Bookman Old Style"/>
          <w:bCs/>
          <w:i/>
          <w:iCs/>
        </w:rPr>
        <w:t xml:space="preserve"> </w:t>
      </w:r>
      <w:r w:rsidR="00B71D74" w:rsidRPr="00A45831">
        <w:rPr>
          <w:rFonts w:ascii="Bookman Old Style" w:hAnsi="Bookman Old Style"/>
          <w:bCs/>
          <w:i/>
          <w:iCs/>
        </w:rPr>
        <w:t xml:space="preserve">contados a partir del plazo máximo dado al agente que retiró el gas, </w:t>
      </w:r>
      <w:r w:rsidR="008E7B20" w:rsidRPr="00A45831">
        <w:rPr>
          <w:rFonts w:ascii="Bookman Old Style" w:hAnsi="Bookman Old Style"/>
          <w:bCs/>
          <w:i/>
          <w:iCs/>
        </w:rPr>
        <w:t xml:space="preserve">quien </w:t>
      </w:r>
      <w:r w:rsidR="00F802F1" w:rsidRPr="00A45831">
        <w:rPr>
          <w:rFonts w:ascii="Bookman Old Style" w:hAnsi="Bookman Old Style"/>
          <w:bCs/>
          <w:i/>
          <w:iCs/>
        </w:rPr>
        <w:t>facturará a los comercializadores que incumplieron</w:t>
      </w:r>
      <w:r w:rsidR="00BF02D2" w:rsidRPr="00A45831">
        <w:rPr>
          <w:rFonts w:ascii="Bookman Old Style" w:hAnsi="Bookman Old Style"/>
          <w:bCs/>
          <w:i/>
          <w:iCs/>
        </w:rPr>
        <w:t>,</w:t>
      </w:r>
      <w:r w:rsidR="00F802F1" w:rsidRPr="00A45831">
        <w:rPr>
          <w:rFonts w:ascii="Bookman Old Style" w:hAnsi="Bookman Old Style"/>
          <w:bCs/>
          <w:i/>
          <w:iCs/>
        </w:rPr>
        <w:t xml:space="preserve"> el </w:t>
      </w:r>
      <w:r w:rsidR="000C06C5" w:rsidRPr="00A45831">
        <w:rPr>
          <w:rFonts w:ascii="Bookman Old Style" w:hAnsi="Bookman Old Style"/>
          <w:bCs/>
          <w:i/>
          <w:iCs/>
        </w:rPr>
        <w:t xml:space="preserve">ciento cincuenta por ciento (150%) del </w:t>
      </w:r>
      <w:r w:rsidR="00F802F1" w:rsidRPr="00A45831">
        <w:rPr>
          <w:rFonts w:ascii="Bookman Old Style" w:hAnsi="Bookman Old Style"/>
          <w:bCs/>
          <w:i/>
          <w:iCs/>
        </w:rPr>
        <w:t>costo del gas</w:t>
      </w:r>
      <w:r w:rsidR="00C4316D" w:rsidRPr="00A45831">
        <w:rPr>
          <w:rFonts w:ascii="Bookman Old Style" w:hAnsi="Bookman Old Style"/>
          <w:bCs/>
          <w:i/>
          <w:iCs/>
        </w:rPr>
        <w:t xml:space="preserve"> </w:t>
      </w:r>
      <w:r w:rsidR="00B779B9" w:rsidRPr="00A45831">
        <w:rPr>
          <w:rFonts w:ascii="Bookman Old Style" w:hAnsi="Bookman Old Style"/>
          <w:bCs/>
          <w:i/>
          <w:iCs/>
        </w:rPr>
        <w:t xml:space="preserve">de reposición </w:t>
      </w:r>
      <w:r w:rsidR="00C4316D" w:rsidRPr="00A45831">
        <w:rPr>
          <w:rFonts w:ascii="Bookman Old Style" w:hAnsi="Bookman Old Style"/>
          <w:bCs/>
          <w:i/>
          <w:iCs/>
        </w:rPr>
        <w:t>y de las actividades adicionales en que haya incurrido el adjudicatario para dicha adquisición</w:t>
      </w:r>
      <w:r w:rsidR="00233816" w:rsidRPr="00A45831">
        <w:rPr>
          <w:rFonts w:ascii="Bookman Old Style" w:hAnsi="Bookman Old Style"/>
          <w:bCs/>
          <w:i/>
          <w:iCs/>
        </w:rPr>
        <w:t xml:space="preserve">. </w:t>
      </w:r>
      <w:r w:rsidR="00B0778F" w:rsidRPr="00A45831">
        <w:rPr>
          <w:rFonts w:ascii="Bookman Old Style" w:hAnsi="Bookman Old Style"/>
          <w:bCs/>
          <w:i/>
          <w:iCs/>
        </w:rPr>
        <w:t xml:space="preserve">La diferencia entre el </w:t>
      </w:r>
      <w:r w:rsidR="00EF7499" w:rsidRPr="00A45831">
        <w:rPr>
          <w:rFonts w:ascii="Bookman Old Style" w:hAnsi="Bookman Old Style"/>
          <w:bCs/>
          <w:i/>
          <w:iCs/>
        </w:rPr>
        <w:t xml:space="preserve">valor facturado por </w:t>
      </w:r>
      <w:r w:rsidR="00B0778F" w:rsidRPr="00A45831">
        <w:rPr>
          <w:rFonts w:ascii="Bookman Old Style" w:hAnsi="Bookman Old Style"/>
          <w:bCs/>
          <w:i/>
          <w:iCs/>
        </w:rPr>
        <w:t xml:space="preserve">el adjudicatario y </w:t>
      </w:r>
      <w:r w:rsidR="003B26B5" w:rsidRPr="00A45831">
        <w:rPr>
          <w:rFonts w:ascii="Bookman Old Style" w:hAnsi="Bookman Old Style"/>
          <w:bCs/>
          <w:i/>
          <w:iCs/>
        </w:rPr>
        <w:t>los</w:t>
      </w:r>
      <w:r w:rsidR="00B0778F" w:rsidRPr="00A45831">
        <w:rPr>
          <w:rFonts w:ascii="Bookman Old Style" w:hAnsi="Bookman Old Style"/>
          <w:bCs/>
          <w:i/>
          <w:iCs/>
        </w:rPr>
        <w:t xml:space="preserve"> costo</w:t>
      </w:r>
      <w:r w:rsidR="003B26B5" w:rsidRPr="00A45831">
        <w:rPr>
          <w:rFonts w:ascii="Bookman Old Style" w:hAnsi="Bookman Old Style"/>
          <w:bCs/>
          <w:i/>
          <w:iCs/>
        </w:rPr>
        <w:t>s</w:t>
      </w:r>
      <w:r w:rsidR="00B0778F" w:rsidRPr="00A45831">
        <w:rPr>
          <w:rFonts w:ascii="Bookman Old Style" w:hAnsi="Bookman Old Style"/>
          <w:bCs/>
          <w:i/>
          <w:iCs/>
        </w:rPr>
        <w:t xml:space="preserve"> incurrido</w:t>
      </w:r>
      <w:r w:rsidR="003B26B5" w:rsidRPr="00A45831">
        <w:rPr>
          <w:rFonts w:ascii="Bookman Old Style" w:hAnsi="Bookman Old Style"/>
          <w:bCs/>
          <w:i/>
          <w:iCs/>
        </w:rPr>
        <w:t>s</w:t>
      </w:r>
      <w:r w:rsidR="00B0778F" w:rsidRPr="00A45831">
        <w:rPr>
          <w:rFonts w:ascii="Bookman Old Style" w:hAnsi="Bookman Old Style"/>
          <w:bCs/>
          <w:i/>
          <w:iCs/>
        </w:rPr>
        <w:t xml:space="preserve"> en </w:t>
      </w:r>
      <w:r w:rsidR="002526E3" w:rsidRPr="00A45831">
        <w:rPr>
          <w:rFonts w:ascii="Bookman Old Style" w:hAnsi="Bookman Old Style"/>
          <w:bCs/>
          <w:i/>
          <w:iCs/>
        </w:rPr>
        <w:t>la adquisición del gas</w:t>
      </w:r>
      <w:r w:rsidR="00297324" w:rsidRPr="00A45831">
        <w:rPr>
          <w:rFonts w:ascii="Bookman Old Style" w:hAnsi="Bookman Old Style"/>
          <w:bCs/>
          <w:i/>
          <w:iCs/>
        </w:rPr>
        <w:t>,</w:t>
      </w:r>
      <w:r w:rsidR="00B0778F" w:rsidRPr="00A45831">
        <w:rPr>
          <w:rFonts w:ascii="Bookman Old Style" w:hAnsi="Bookman Old Style"/>
          <w:bCs/>
          <w:i/>
          <w:iCs/>
        </w:rPr>
        <w:t xml:space="preserve"> </w:t>
      </w:r>
      <w:r w:rsidR="00297324" w:rsidRPr="00A45831">
        <w:rPr>
          <w:rFonts w:ascii="Bookman Old Style" w:hAnsi="Bookman Old Style"/>
          <w:bCs/>
          <w:i/>
          <w:iCs/>
        </w:rPr>
        <w:t>s</w:t>
      </w:r>
      <w:r w:rsidR="00483BA1" w:rsidRPr="00A45831">
        <w:rPr>
          <w:rFonts w:ascii="Bookman Old Style" w:hAnsi="Bookman Old Style"/>
          <w:bCs/>
          <w:i/>
          <w:iCs/>
        </w:rPr>
        <w:t>erá considerara como parte de sus ingresos de corto plazo</w:t>
      </w:r>
      <w:r w:rsidR="00361348" w:rsidRPr="00A45831">
        <w:rPr>
          <w:rFonts w:ascii="Bookman Old Style" w:hAnsi="Bookman Old Style"/>
          <w:bCs/>
          <w:i/>
          <w:iCs/>
        </w:rPr>
        <w:t>”</w:t>
      </w:r>
      <w:r w:rsidRPr="00A45831">
        <w:rPr>
          <w:rFonts w:ascii="Bookman Old Style" w:hAnsi="Bookman Old Style"/>
          <w:bCs/>
          <w:i/>
          <w:iCs/>
        </w:rPr>
        <w:t>.</w:t>
      </w:r>
    </w:p>
    <w:p w14:paraId="3256ABBF" w14:textId="429F0900" w:rsidR="00D81823" w:rsidRPr="00356462" w:rsidRDefault="00D81823" w:rsidP="00D81823">
      <w:pPr>
        <w:spacing w:before="240" w:after="240"/>
        <w:ind w:left="0"/>
        <w:jc w:val="both"/>
        <w:rPr>
          <w:rFonts w:ascii="Bookman Old Style" w:hAnsi="Bookman Old Style"/>
          <w:b/>
        </w:rPr>
      </w:pPr>
      <w:r w:rsidRPr="00356462">
        <w:rPr>
          <w:rFonts w:ascii="Bookman Old Style" w:hAnsi="Bookman Old Style"/>
          <w:b/>
        </w:rPr>
        <w:t xml:space="preserve">Artículo </w:t>
      </w:r>
      <w:r w:rsidR="0044368D" w:rsidRPr="00356462">
        <w:rPr>
          <w:rFonts w:ascii="Bookman Old Style" w:hAnsi="Bookman Old Style"/>
          <w:b/>
        </w:rPr>
        <w:t>4</w:t>
      </w:r>
      <w:r w:rsidRPr="00356462">
        <w:rPr>
          <w:rFonts w:ascii="Bookman Old Style" w:hAnsi="Bookman Old Style"/>
          <w:b/>
        </w:rPr>
        <w:t xml:space="preserve">.  </w:t>
      </w:r>
      <w:r w:rsidRPr="00356462">
        <w:rPr>
          <w:rFonts w:ascii="Bookman Old Style" w:hAnsi="Bookman Old Style"/>
          <w:bCs/>
        </w:rPr>
        <w:t>Modif</w:t>
      </w:r>
      <w:r w:rsidR="003577BC">
        <w:rPr>
          <w:rFonts w:ascii="Bookman Old Style" w:hAnsi="Bookman Old Style"/>
          <w:bCs/>
        </w:rPr>
        <w:t xml:space="preserve">íquese </w:t>
      </w:r>
      <w:r w:rsidRPr="00356462">
        <w:rPr>
          <w:rFonts w:ascii="Bookman Old Style" w:hAnsi="Bookman Old Style"/>
          <w:bCs/>
        </w:rPr>
        <w:t xml:space="preserve">el literal f) </w:t>
      </w:r>
      <w:r w:rsidR="00E414EB" w:rsidRPr="00356462">
        <w:rPr>
          <w:rFonts w:ascii="Bookman Old Style" w:hAnsi="Bookman Old Style"/>
          <w:bCs/>
        </w:rPr>
        <w:t xml:space="preserve">y el parágrafo 2, </w:t>
      </w:r>
      <w:r w:rsidRPr="00356462">
        <w:rPr>
          <w:rFonts w:ascii="Bookman Old Style" w:hAnsi="Bookman Old Style"/>
          <w:bCs/>
        </w:rPr>
        <w:t>y adici</w:t>
      </w:r>
      <w:r w:rsidR="009A2B75">
        <w:rPr>
          <w:rFonts w:ascii="Bookman Old Style" w:hAnsi="Bookman Old Style"/>
          <w:bCs/>
        </w:rPr>
        <w:t xml:space="preserve">ónense </w:t>
      </w:r>
      <w:r w:rsidRPr="00356462">
        <w:rPr>
          <w:rFonts w:ascii="Bookman Old Style" w:hAnsi="Bookman Old Style"/>
          <w:bCs/>
        </w:rPr>
        <w:t xml:space="preserve">los literales g) y h) </w:t>
      </w:r>
      <w:r w:rsidR="009A2B75">
        <w:rPr>
          <w:rFonts w:ascii="Bookman Old Style" w:hAnsi="Bookman Old Style"/>
          <w:bCs/>
        </w:rPr>
        <w:t>al</w:t>
      </w:r>
      <w:r w:rsidRPr="00356462">
        <w:rPr>
          <w:rFonts w:ascii="Bookman Old Style" w:hAnsi="Bookman Old Style"/>
          <w:bCs/>
        </w:rPr>
        <w:t xml:space="preserve"> Artículo 6 de la Resolución CREG 152 de 2017, </w:t>
      </w:r>
      <w:r w:rsidR="0031376B" w:rsidRPr="00356462">
        <w:rPr>
          <w:rFonts w:ascii="Bookman Old Style" w:hAnsi="Bookman Old Style"/>
          <w:bCs/>
        </w:rPr>
        <w:t>el cual</w:t>
      </w:r>
      <w:r w:rsidRPr="00356462">
        <w:rPr>
          <w:rFonts w:ascii="Bookman Old Style" w:hAnsi="Bookman Old Style"/>
          <w:bCs/>
        </w:rPr>
        <w:t xml:space="preserve"> quedará así:</w:t>
      </w:r>
      <w:r w:rsidRPr="00356462">
        <w:rPr>
          <w:rFonts w:ascii="Bookman Old Style" w:hAnsi="Bookman Old Style"/>
          <w:b/>
        </w:rPr>
        <w:t xml:space="preserve"> </w:t>
      </w:r>
    </w:p>
    <w:p w14:paraId="7E253276" w14:textId="6D635BC2" w:rsidR="0031376B" w:rsidRPr="0051077F" w:rsidRDefault="00D81823" w:rsidP="0051077F">
      <w:pPr>
        <w:spacing w:before="240" w:after="240"/>
        <w:ind w:left="284"/>
        <w:jc w:val="both"/>
        <w:rPr>
          <w:rFonts w:ascii="Bookman Old Style" w:hAnsi="Bookman Old Style"/>
          <w:bCs/>
          <w:i/>
          <w:iCs/>
        </w:rPr>
      </w:pPr>
      <w:r w:rsidRPr="0051077F">
        <w:rPr>
          <w:rFonts w:ascii="Bookman Old Style" w:hAnsi="Bookman Old Style"/>
          <w:b/>
          <w:i/>
          <w:iCs/>
        </w:rPr>
        <w:t>"</w:t>
      </w:r>
      <w:r w:rsidR="0031376B" w:rsidRPr="0051077F">
        <w:rPr>
          <w:rFonts w:ascii="Bookman Old Style" w:hAnsi="Bookman Old Style"/>
          <w:b/>
          <w:i/>
          <w:iCs/>
        </w:rPr>
        <w:t xml:space="preserve">Artículo 6. Obligaciones del adjudicatario. </w:t>
      </w:r>
      <w:r w:rsidR="0031376B" w:rsidRPr="0051077F">
        <w:rPr>
          <w:rFonts w:ascii="Bookman Old Style" w:hAnsi="Bookman Old Style"/>
          <w:bCs/>
          <w:i/>
          <w:iCs/>
        </w:rPr>
        <w:t>El (los) adjudicatario(s) deberá(n) responder por las siguientes obligaciones, adicionales a las establecidas en los compromisos adquiridos en los documentos de selección y a las establecidas en el artículo 7 de la Resolución CREG 107 de 2017, o aquellas que la modifiquen o sustituyan.</w:t>
      </w:r>
    </w:p>
    <w:p w14:paraId="740DC2F6" w14:textId="77777777"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a)</w:t>
      </w:r>
      <w:r w:rsidRPr="0051077F">
        <w:rPr>
          <w:rFonts w:ascii="Bookman Old Style" w:hAnsi="Bookman Old Style"/>
          <w:bCs/>
          <w:i/>
          <w:iCs/>
        </w:rPr>
        <w:tab/>
        <w:t>Tener disponible para operación la infraestructura con las capacidades nominales de la planta de regasificación del Pacífico y del gasoducto Buenaventura – Yumbo, definidas en el artículo 1 de la Resolución 40006 de 2017 del Ministerio de Minas y Energía, o aquellas que la modifiquen o sustituyan.</w:t>
      </w:r>
    </w:p>
    <w:p w14:paraId="4EFD5F5D" w14:textId="77777777"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b)</w:t>
      </w:r>
      <w:r w:rsidRPr="0051077F">
        <w:rPr>
          <w:rFonts w:ascii="Bookman Old Style" w:hAnsi="Bookman Old Style"/>
          <w:bCs/>
          <w:i/>
          <w:iCs/>
        </w:rPr>
        <w:tab/>
        <w:t xml:space="preserve">Liquidar, facturar y recaudar de manera independiente los valores correspondientes a los ingresos por la prestación de los servicios asociados tanto a la planta de regasificación del Pacífico como al gasoducto Buenaventura – Yumbo.  </w:t>
      </w:r>
    </w:p>
    <w:p w14:paraId="69404055" w14:textId="77777777"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c)</w:t>
      </w:r>
      <w:r w:rsidRPr="0051077F">
        <w:rPr>
          <w:rFonts w:ascii="Bookman Old Style" w:hAnsi="Bookman Old Style"/>
          <w:bCs/>
          <w:i/>
          <w:iCs/>
        </w:rPr>
        <w:tab/>
        <w:t>Recibir el gas natural licuado cuya composición sea tal que al regasificarlo cumpla con las especificaciones de calidad establecidas en el RUT, o aquellas que lo modifiquen o sustituyan. El adjudicatario puede negarse a recibirlo en caso de que el gas al regasificarlo no cumpla con las especificaciones del RUT.</w:t>
      </w:r>
    </w:p>
    <w:p w14:paraId="1827006F" w14:textId="7D0C2380"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Si verificada la calidad del gas natural licuado objeto de entrega a la planta de regasificación el adjudicatario no recibe este gas porque encuentra que al regasificarlo no cumple con las especificaciones de calidad establecidas en el RUT, o aquellas que lo modifiquen o sustituyan, el adjudicatario deberá, mediante comunicación escrita y con el detalle suficiente, informar al agente responsable de entregar el gas a la planta las razones por las cuales el gas natural licuado no cumple con dichas especificaciones.</w:t>
      </w:r>
    </w:p>
    <w:p w14:paraId="119D44D0" w14:textId="55BAD2E5"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Una vez que el adjudicatario entregue la comunicación escrita al agente responsable de entregar el gas a la planta, se entenderá que las especificaciones de calidad que no fueron objetadas en la forma aquí dispuesta cumplen con lo establecido en el RUT, o aquellas que lo modifiquen o sustituyan.</w:t>
      </w:r>
    </w:p>
    <w:p w14:paraId="27316A8B" w14:textId="7B397C85"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 xml:space="preserve">El agente responsable de entregar el gas a la planta podrá verificar el cumplimiento de las especificaciones de calidad objetadas por el adjudicatario cuando esté inconforme con las objeciones. Esta verificación deberá hacerse mediante una auditoría que realice una firma o persona natural seleccionada de una lista elaborada por el Consejo Nacional de Operación de Gas Natural en adelante CNO-Gas. </w:t>
      </w:r>
    </w:p>
    <w:p w14:paraId="483EBE35" w14:textId="23FC72F9"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Los resultados de la auditoría deberán ser comunicados y analizados con el adjudicatario antes de rendir el informe final. Dicho informe deberá contener conclusiones claras y expresas sobre el cumplimiento de las especificaciones de calidad objeto de la auditoría.</w:t>
      </w:r>
    </w:p>
    <w:p w14:paraId="52D99374" w14:textId="26D37354"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 xml:space="preserve">Mientras se desarrolla la auditoría el adjudicatario no estará obligado a recibir el gas natural licuado del agente responsable de entregar el gas a la planta. </w:t>
      </w:r>
    </w:p>
    <w:p w14:paraId="4F031511" w14:textId="18FC3230"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Si el informe de auditoría concluye que el gas natural licuado al regasificarlo no cumple con las especificaciones de calidad definidas en el RUT, o aquellas que lo modifiquen o sustituyan, el costo de la auditoría lo asumirá el agente responsable de entregar el gas a la planta.</w:t>
      </w:r>
    </w:p>
    <w:p w14:paraId="36E65166" w14:textId="1E1E18A8"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Si el informe de la auditoría concluye que el gas natural licuado al regasificarlo sí cumple con las especificaciones de calidad definidas en el RUT, o aquellas que lo modifiquen o sustituyan, el adjudicatario deberá recibir el gas natural licuado del agente responsable de entregar el gas a la planta y este último trasladará al adjudicatario el costo de la auditoría, sin perjuicio de la responsabilidad que le pueda caber al adjudicatario por haber rechazado el recibo del gas natural licuado en la planta de regasificación.</w:t>
      </w:r>
    </w:p>
    <w:p w14:paraId="3CCD7BF7" w14:textId="77777777"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d)</w:t>
      </w:r>
      <w:r w:rsidRPr="0051077F">
        <w:rPr>
          <w:rFonts w:ascii="Bookman Old Style" w:hAnsi="Bookman Old Style"/>
          <w:bCs/>
          <w:i/>
          <w:iCs/>
        </w:rPr>
        <w:tab/>
        <w:t>Una vez el adjudicatario reciba el gas natural licuado deberá entregar el gas al SNT cumpliendo con las especificaciones de calidad establecidas en el RUT, o aquellas que la modifiquen o sustituyan. El transportador en cuyo sistema se inyecte este gas podrá negarse a recibirlo en caso de que no cumpla con estas especificaciones.</w:t>
      </w:r>
    </w:p>
    <w:p w14:paraId="2898F849" w14:textId="32197844"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e)</w:t>
      </w:r>
      <w:r w:rsidRPr="0051077F">
        <w:rPr>
          <w:rFonts w:ascii="Bookman Old Style" w:hAnsi="Bookman Old Style"/>
          <w:bCs/>
          <w:i/>
          <w:iCs/>
        </w:rPr>
        <w:tab/>
        <w:t>En el caso de la planta de regasificación del Pacífico, asumir las pérdidas por evaporación de gas (i.e. boil off gas) que se presenten, cuando estas superen el porcentaje de eficiencia que defina la UPME.</w:t>
      </w:r>
    </w:p>
    <w:p w14:paraId="42078100" w14:textId="409B8062" w:rsidR="00D81823" w:rsidRPr="0051077F" w:rsidRDefault="00D81823" w:rsidP="0051077F">
      <w:pPr>
        <w:spacing w:before="240" w:after="240"/>
        <w:ind w:left="284"/>
        <w:jc w:val="both"/>
        <w:rPr>
          <w:rFonts w:ascii="Bookman Old Style" w:hAnsi="Bookman Old Style"/>
          <w:bCs/>
          <w:i/>
          <w:iCs/>
        </w:rPr>
      </w:pPr>
      <w:r w:rsidRPr="0051077F">
        <w:rPr>
          <w:rFonts w:ascii="Bookman Old Style" w:hAnsi="Bookman Old Style"/>
          <w:bCs/>
          <w:i/>
          <w:iCs/>
        </w:rPr>
        <w:t xml:space="preserve">f) En el caso de que la UPME establezca un inventario mínimo de almacenamiento de gas natural licuado, llevar una relación diaria del volumen de almacenamiento del inventario mínimo, de las novedades diarias de retiro y devolución que resulten de su uso por los agentes y de los incumplimientos que se den en la devolución del gas, por parte de los agentes que hayan retirado volúmenes de dicho inventario. Lo anterior en virtud de lo establecido en el Parágrafo 2 del Artículo 4. </w:t>
      </w:r>
    </w:p>
    <w:p w14:paraId="34ECA2D6" w14:textId="545506D2" w:rsidR="00D81823" w:rsidRPr="0051077F" w:rsidRDefault="00D81823" w:rsidP="0051077F">
      <w:pPr>
        <w:spacing w:before="240" w:after="240"/>
        <w:ind w:left="284"/>
        <w:jc w:val="both"/>
        <w:rPr>
          <w:rFonts w:ascii="Bookman Old Style" w:hAnsi="Bookman Old Style"/>
          <w:bCs/>
          <w:i/>
          <w:iCs/>
        </w:rPr>
      </w:pPr>
      <w:r w:rsidRPr="0051077F">
        <w:rPr>
          <w:rFonts w:ascii="Bookman Old Style" w:hAnsi="Bookman Old Style"/>
          <w:bCs/>
          <w:i/>
          <w:iCs/>
        </w:rPr>
        <w:t xml:space="preserve">g) </w:t>
      </w:r>
      <w:r w:rsidR="009B3DF9" w:rsidRPr="0051077F">
        <w:rPr>
          <w:rFonts w:ascii="Bookman Old Style" w:hAnsi="Bookman Old Style"/>
          <w:bCs/>
          <w:i/>
          <w:iCs/>
        </w:rPr>
        <w:t xml:space="preserve">Recuperar el inventario mínimo </w:t>
      </w:r>
      <w:r w:rsidR="008E748E" w:rsidRPr="0051077F">
        <w:rPr>
          <w:rFonts w:ascii="Bookman Old Style" w:hAnsi="Bookman Old Style"/>
          <w:bCs/>
          <w:i/>
          <w:iCs/>
        </w:rPr>
        <w:t xml:space="preserve">dado el caso que el agente inicialmente responsable para ello no lo haga en los plazos establecidos en el </w:t>
      </w:r>
      <w:r w:rsidR="00324BD3" w:rsidRPr="0051077F">
        <w:rPr>
          <w:rFonts w:ascii="Bookman Old Style" w:hAnsi="Bookman Old Style"/>
          <w:bCs/>
          <w:i/>
          <w:iCs/>
        </w:rPr>
        <w:t xml:space="preserve">parágrafo 2 del artículo 4 de esta resolución. </w:t>
      </w:r>
    </w:p>
    <w:p w14:paraId="752FAA4E" w14:textId="77777777" w:rsidR="00876446" w:rsidRPr="0051077F" w:rsidRDefault="00D81823" w:rsidP="0051077F">
      <w:pPr>
        <w:spacing w:before="240" w:after="240"/>
        <w:ind w:left="284"/>
        <w:jc w:val="both"/>
        <w:rPr>
          <w:rFonts w:ascii="Bookman Old Style" w:hAnsi="Bookman Old Style"/>
          <w:b/>
          <w:i/>
          <w:iCs/>
        </w:rPr>
      </w:pPr>
      <w:r w:rsidRPr="0051077F">
        <w:rPr>
          <w:rFonts w:ascii="Bookman Old Style" w:hAnsi="Bookman Old Style"/>
          <w:bCs/>
          <w:i/>
          <w:iCs/>
        </w:rPr>
        <w:t>h) Cumplir con las demás obligaciones que se definen en la presente resolución</w:t>
      </w:r>
      <w:r w:rsidRPr="0051077F">
        <w:rPr>
          <w:rFonts w:ascii="Bookman Old Style" w:hAnsi="Bookman Old Style"/>
          <w:b/>
          <w:i/>
          <w:iCs/>
        </w:rPr>
        <w:t xml:space="preserve">.” </w:t>
      </w:r>
    </w:p>
    <w:p w14:paraId="69EE3FFD" w14:textId="72D84E74" w:rsidR="00E414EB" w:rsidRPr="0051077F" w:rsidRDefault="00E414EB" w:rsidP="0051077F">
      <w:pPr>
        <w:spacing w:before="240" w:after="240"/>
        <w:ind w:left="284"/>
        <w:jc w:val="both"/>
        <w:rPr>
          <w:rFonts w:ascii="Bookman Old Style" w:hAnsi="Bookman Old Style"/>
          <w:b/>
          <w:i/>
          <w:iCs/>
        </w:rPr>
      </w:pPr>
      <w:r w:rsidRPr="0051077F">
        <w:rPr>
          <w:rFonts w:ascii="Bookman Old Style" w:hAnsi="Bookman Old Style"/>
          <w:b/>
          <w:i/>
          <w:iCs/>
        </w:rPr>
        <w:t xml:space="preserve">Parágrafo 1. </w:t>
      </w:r>
      <w:r w:rsidRPr="0051077F">
        <w:rPr>
          <w:rFonts w:ascii="Bookman Old Style" w:hAnsi="Bookman Old Style"/>
          <w:bCs/>
          <w:i/>
          <w:iCs/>
        </w:rPr>
        <w:t>Las pérdidas por evaporación de gas (i.e. boil off gas) que se presenten en la planta de regasificación deberán ser asumidas por la demanda hasta el porcentaje de eficiencia que defina la UPME.</w:t>
      </w:r>
    </w:p>
    <w:p w14:paraId="24421FD0" w14:textId="71D9C1A5" w:rsidR="00A51D5E" w:rsidRPr="0051077F" w:rsidRDefault="00A51D5E" w:rsidP="0051077F">
      <w:pPr>
        <w:spacing w:before="240" w:after="240"/>
        <w:ind w:left="284"/>
        <w:jc w:val="both"/>
        <w:rPr>
          <w:rFonts w:ascii="Bookman Old Style" w:hAnsi="Bookman Old Style"/>
          <w:bCs/>
          <w:i/>
          <w:iCs/>
        </w:rPr>
      </w:pPr>
      <w:r w:rsidRPr="0051077F">
        <w:rPr>
          <w:rFonts w:ascii="Bookman Old Style" w:hAnsi="Bookman Old Style"/>
          <w:b/>
          <w:i/>
          <w:iCs/>
        </w:rPr>
        <w:t>Parágrafo 2.</w:t>
      </w:r>
      <w:r w:rsidRPr="0051077F">
        <w:rPr>
          <w:rFonts w:ascii="Bookman Old Style" w:hAnsi="Bookman Old Style"/>
          <w:bCs/>
          <w:i/>
          <w:iCs/>
        </w:rPr>
        <w:t xml:space="preserve"> Los únicos casos en los que el adjudicatario podrá comprar gas serán para cubrir el gas que requiere para la operación</w:t>
      </w:r>
      <w:r w:rsidR="00AD7AAE" w:rsidRPr="0051077F">
        <w:rPr>
          <w:rFonts w:ascii="Bookman Old Style" w:hAnsi="Bookman Old Style"/>
          <w:bCs/>
          <w:i/>
          <w:iCs/>
        </w:rPr>
        <w:t xml:space="preserve"> y</w:t>
      </w:r>
      <w:r w:rsidRPr="0051077F">
        <w:rPr>
          <w:rFonts w:ascii="Bookman Old Style" w:hAnsi="Bookman Old Style"/>
          <w:bCs/>
          <w:i/>
          <w:iCs/>
        </w:rPr>
        <w:t xml:space="preserve"> para cubrir pérdidas y </w:t>
      </w:r>
      <w:r w:rsidR="00AD7AAE" w:rsidRPr="0051077F">
        <w:rPr>
          <w:rFonts w:ascii="Bookman Old Style" w:hAnsi="Bookman Old Style"/>
          <w:bCs/>
          <w:i/>
          <w:iCs/>
        </w:rPr>
        <w:t xml:space="preserve">el gas que requiere </w:t>
      </w:r>
      <w:r w:rsidRPr="0051077F">
        <w:rPr>
          <w:rFonts w:ascii="Bookman Old Style" w:hAnsi="Bookman Old Style"/>
          <w:bCs/>
          <w:i/>
          <w:iCs/>
        </w:rPr>
        <w:t>para</w:t>
      </w:r>
      <w:r w:rsidR="002D7E7C" w:rsidRPr="0051077F">
        <w:rPr>
          <w:rFonts w:ascii="Bookman Old Style" w:hAnsi="Bookman Old Style"/>
          <w:bCs/>
          <w:i/>
          <w:iCs/>
        </w:rPr>
        <w:t xml:space="preserve"> entregar inicialmente</w:t>
      </w:r>
      <w:r w:rsidRPr="0051077F">
        <w:rPr>
          <w:rFonts w:ascii="Bookman Old Style" w:hAnsi="Bookman Old Style"/>
          <w:bCs/>
          <w:i/>
          <w:iCs/>
        </w:rPr>
        <w:t xml:space="preserve"> el inventario mínimo de almacenamiento</w:t>
      </w:r>
      <w:r w:rsidR="00F91220" w:rsidRPr="0051077F">
        <w:rPr>
          <w:rFonts w:ascii="Bookman Old Style" w:hAnsi="Bookman Old Style"/>
          <w:bCs/>
          <w:i/>
          <w:iCs/>
        </w:rPr>
        <w:t xml:space="preserve"> y su mantenimiento de acuerdo con lo establecido en el parágrafo 2 del artículo 4</w:t>
      </w:r>
      <w:r w:rsidR="00E279F4" w:rsidRPr="0051077F">
        <w:rPr>
          <w:rFonts w:ascii="Bookman Old Style" w:hAnsi="Bookman Old Style"/>
          <w:bCs/>
          <w:i/>
          <w:iCs/>
        </w:rPr>
        <w:t>.</w:t>
      </w:r>
    </w:p>
    <w:p w14:paraId="1817C247" w14:textId="77777777" w:rsidR="00E279F4" w:rsidRPr="0051077F" w:rsidRDefault="00E279F4" w:rsidP="0051077F">
      <w:pPr>
        <w:spacing w:before="240" w:after="240"/>
        <w:ind w:left="284"/>
        <w:jc w:val="both"/>
        <w:rPr>
          <w:rFonts w:ascii="Bookman Old Style" w:hAnsi="Bookman Old Style"/>
          <w:bCs/>
          <w:i/>
          <w:iCs/>
        </w:rPr>
      </w:pPr>
      <w:r w:rsidRPr="0051077F">
        <w:rPr>
          <w:rFonts w:ascii="Bookman Old Style" w:hAnsi="Bookman Old Style"/>
          <w:b/>
          <w:i/>
          <w:iCs/>
        </w:rPr>
        <w:t>Parágrafo 3.</w:t>
      </w:r>
      <w:r w:rsidRPr="0051077F">
        <w:rPr>
          <w:rFonts w:ascii="Bookman Old Style" w:hAnsi="Bookman Old Style"/>
          <w:bCs/>
          <w:i/>
          <w:iCs/>
        </w:rPr>
        <w:t xml:space="preserve"> El gas natural licuado que suministre el agente responsable de entregar gas a la planta de regasificación deberá tener una composición tal que al regasificarlo cumpla con las especificaciones de calidad establecidas en el reglamento único de transporte de gas natural, RUT, o aquellas que lo modifiquen o sustituyan.</w:t>
      </w:r>
    </w:p>
    <w:p w14:paraId="6284E7BF" w14:textId="73B16251" w:rsidR="00E279F4" w:rsidRPr="0051077F" w:rsidRDefault="00E279F4" w:rsidP="0051077F">
      <w:pPr>
        <w:spacing w:before="240" w:after="240"/>
        <w:ind w:left="284"/>
        <w:jc w:val="both"/>
        <w:rPr>
          <w:rFonts w:ascii="Bookman Old Style" w:hAnsi="Bookman Old Style"/>
          <w:bCs/>
          <w:i/>
          <w:iCs/>
        </w:rPr>
      </w:pPr>
      <w:r w:rsidRPr="0051077F">
        <w:rPr>
          <w:rFonts w:ascii="Bookman Old Style" w:hAnsi="Bookman Old Style"/>
          <w:b/>
          <w:i/>
          <w:iCs/>
        </w:rPr>
        <w:t>Parágrafo 4.</w:t>
      </w:r>
      <w:r w:rsidRPr="0051077F">
        <w:rPr>
          <w:rFonts w:ascii="Bookman Old Style" w:hAnsi="Bookman Old Style"/>
          <w:bCs/>
          <w:i/>
          <w:iCs/>
        </w:rPr>
        <w:t xml:space="preserve"> El CNOG de manera oportuna deberá elaborar y mantener actualizada una lista de firmas y/o personas con reconocida experiencia en medición de especificaciones de calidad de gas natural licuado y gas natural a ser inyectado en plantas de regasificación y en sistemas de transporte por tubería. De esta lista el agente responsable de entregar el gas en la planta selecciona la firma o persona que verifica las especificaciones de calidad objetadas por el adjudicatario.</w:t>
      </w:r>
    </w:p>
    <w:p w14:paraId="2B4D4149" w14:textId="5EE428E9" w:rsidR="00E279F4" w:rsidRDefault="00E279F4" w:rsidP="0051077F">
      <w:pPr>
        <w:spacing w:before="240" w:after="240"/>
        <w:ind w:left="284"/>
        <w:jc w:val="both"/>
        <w:rPr>
          <w:rFonts w:ascii="Bookman Old Style" w:hAnsi="Bookman Old Style"/>
          <w:bCs/>
          <w:i/>
          <w:iCs/>
        </w:rPr>
      </w:pPr>
      <w:r w:rsidRPr="0051077F">
        <w:rPr>
          <w:rFonts w:ascii="Bookman Old Style" w:hAnsi="Bookman Old Style"/>
          <w:b/>
          <w:i/>
          <w:iCs/>
        </w:rPr>
        <w:t>Parágrafo 5.</w:t>
      </w:r>
      <w:r w:rsidRPr="0051077F">
        <w:rPr>
          <w:rFonts w:ascii="Bookman Old Style" w:hAnsi="Bookman Old Style"/>
          <w:bCs/>
          <w:i/>
          <w:iCs/>
        </w:rPr>
        <w:t xml:space="preserve"> En caso de ser necesario, el CNOG elaborará un protocolo que deberán seguir las firmas o personas que verificarán las especificaciones de calidad del gas natural licuado que objete el adjudicatario</w:t>
      </w:r>
      <w:r w:rsidR="0051077F">
        <w:rPr>
          <w:rFonts w:ascii="Bookman Old Style" w:hAnsi="Bookman Old Style"/>
          <w:bCs/>
          <w:i/>
          <w:iCs/>
        </w:rPr>
        <w:t>”</w:t>
      </w:r>
      <w:r w:rsidRPr="0051077F">
        <w:rPr>
          <w:rFonts w:ascii="Bookman Old Style" w:hAnsi="Bookman Old Style"/>
          <w:bCs/>
          <w:i/>
          <w:iCs/>
        </w:rPr>
        <w:t>.</w:t>
      </w:r>
    </w:p>
    <w:p w14:paraId="17CB3573" w14:textId="377ECCF8" w:rsidR="00732F7E" w:rsidRPr="00356462" w:rsidRDefault="00732F7E" w:rsidP="00732F7E">
      <w:pPr>
        <w:spacing w:before="240" w:after="240"/>
        <w:ind w:left="0"/>
        <w:jc w:val="both"/>
        <w:rPr>
          <w:rFonts w:ascii="Bookman Old Style" w:hAnsi="Bookman Old Style"/>
          <w:b/>
        </w:rPr>
      </w:pPr>
      <w:r w:rsidRPr="00356462">
        <w:rPr>
          <w:rFonts w:ascii="Bookman Old Style" w:hAnsi="Bookman Old Style"/>
          <w:b/>
        </w:rPr>
        <w:t xml:space="preserve">Artículo </w:t>
      </w:r>
      <w:r w:rsidR="0087207D">
        <w:rPr>
          <w:rFonts w:ascii="Bookman Old Style" w:hAnsi="Bookman Old Style"/>
          <w:b/>
        </w:rPr>
        <w:t>5</w:t>
      </w:r>
      <w:r w:rsidRPr="00356462">
        <w:rPr>
          <w:rFonts w:ascii="Bookman Old Style" w:hAnsi="Bookman Old Style"/>
          <w:b/>
        </w:rPr>
        <w:t xml:space="preserve">.  </w:t>
      </w:r>
      <w:r w:rsidRPr="00356462">
        <w:rPr>
          <w:rFonts w:ascii="Bookman Old Style" w:hAnsi="Bookman Old Style"/>
          <w:bCs/>
        </w:rPr>
        <w:t>Modif</w:t>
      </w:r>
      <w:r w:rsidR="009A2B75">
        <w:rPr>
          <w:rFonts w:ascii="Bookman Old Style" w:hAnsi="Bookman Old Style"/>
          <w:bCs/>
        </w:rPr>
        <w:t xml:space="preserve">íquese </w:t>
      </w:r>
      <w:r w:rsidRPr="00356462">
        <w:rPr>
          <w:rFonts w:ascii="Bookman Old Style" w:hAnsi="Bookman Old Style"/>
          <w:bCs/>
        </w:rPr>
        <w:t>el Artículo 8 de la Resolución CREG 152 de 2017, el cual quedará así:</w:t>
      </w:r>
      <w:r w:rsidRPr="00356462">
        <w:rPr>
          <w:rFonts w:ascii="Bookman Old Style" w:hAnsi="Bookman Old Style"/>
          <w:b/>
        </w:rPr>
        <w:t xml:space="preserve"> </w:t>
      </w:r>
    </w:p>
    <w:p w14:paraId="69CE29CF" w14:textId="3F623E8A" w:rsidR="00732F7E" w:rsidRPr="0051077F" w:rsidRDefault="00732F7E" w:rsidP="0051077F">
      <w:pPr>
        <w:pStyle w:val="ARTICULOS"/>
        <w:numPr>
          <w:ilvl w:val="0"/>
          <w:numId w:val="0"/>
        </w:numPr>
        <w:tabs>
          <w:tab w:val="clear" w:pos="1559"/>
        </w:tabs>
        <w:adjustRightInd/>
        <w:ind w:left="284"/>
        <w:textAlignment w:val="auto"/>
        <w:outlineLvl w:val="1"/>
        <w:rPr>
          <w:i/>
          <w:iCs/>
          <w:lang w:val="es-CO"/>
        </w:rPr>
      </w:pPr>
      <w:r w:rsidRPr="0051077F">
        <w:rPr>
          <w:b/>
          <w:i/>
          <w:iCs/>
          <w:lang w:val="es-CO"/>
        </w:rPr>
        <w:t xml:space="preserve">“Artículo 8. </w:t>
      </w:r>
      <w:bookmarkStart w:id="4" w:name="_Hlk61872747"/>
      <w:r w:rsidRPr="0051077F">
        <w:rPr>
          <w:b/>
          <w:i/>
          <w:iCs/>
          <w:lang w:val="es-CO"/>
        </w:rPr>
        <w:t>Remuneración de la infraestructura de importación de gas del Pacífico.</w:t>
      </w:r>
      <w:r w:rsidRPr="0051077F">
        <w:rPr>
          <w:i/>
          <w:iCs/>
          <w:lang w:val="es-CO"/>
        </w:rPr>
        <w:t xml:space="preserve"> </w:t>
      </w:r>
      <w:bookmarkEnd w:id="4"/>
      <w:r w:rsidRPr="0051077F">
        <w:rPr>
          <w:i/>
          <w:iCs/>
          <w:lang w:val="es-CO"/>
        </w:rPr>
        <w:t xml:space="preserve">El (los) adjudicatario(s) de la infraestructura de importación de gas del Pacífico recibirá mensualmente la siguiente remuneración: i) ingresos por la prestación de servicios asociados a esta infraestructura que serán recaudados directamente por el adjudicatario; ii.) </w:t>
      </w:r>
      <w:r w:rsidR="00D07D3E" w:rsidRPr="0051077F">
        <w:rPr>
          <w:i/>
          <w:iCs/>
          <w:lang w:val="es-CO"/>
        </w:rPr>
        <w:t xml:space="preserve">la cuota parte de los </w:t>
      </w:r>
      <w:r w:rsidRPr="0051077F">
        <w:rPr>
          <w:i/>
          <w:iCs/>
          <w:lang w:val="es-CO"/>
        </w:rPr>
        <w:t>ingresos por los servicios adicionales que serán recaudados directamente por el adjudicatario</w:t>
      </w:r>
      <w:r w:rsidR="0077398C" w:rsidRPr="0051077F">
        <w:rPr>
          <w:i/>
          <w:iCs/>
          <w:lang w:val="es-CO"/>
        </w:rPr>
        <w:t xml:space="preserve">, previstos en el </w:t>
      </w:r>
      <w:r w:rsidR="008D6B86" w:rsidRPr="0051077F">
        <w:rPr>
          <w:i/>
          <w:iCs/>
          <w:lang w:val="es-CO"/>
        </w:rPr>
        <w:t xml:space="preserve">Artículo </w:t>
      </w:r>
      <w:r w:rsidR="008D6B86" w:rsidRPr="0051077F">
        <w:rPr>
          <w:bCs w:val="0"/>
          <w:i/>
          <w:iCs/>
          <w:lang w:val="es-CO"/>
        </w:rPr>
        <w:t xml:space="preserve">14 de la Resolución </w:t>
      </w:r>
      <w:r w:rsidR="008D6B86" w:rsidRPr="0051077F">
        <w:rPr>
          <w:i/>
          <w:iCs/>
          <w:lang w:val="es-CO"/>
        </w:rPr>
        <w:t xml:space="preserve">CREG </w:t>
      </w:r>
      <w:r w:rsidR="00C61473" w:rsidRPr="0051077F">
        <w:rPr>
          <w:i/>
          <w:iCs/>
          <w:lang w:val="es-CO"/>
        </w:rPr>
        <w:t xml:space="preserve">006 </w:t>
      </w:r>
      <w:r w:rsidR="008D6B86" w:rsidRPr="0051077F">
        <w:rPr>
          <w:i/>
          <w:iCs/>
          <w:lang w:val="es-CO"/>
        </w:rPr>
        <w:t>de 2021</w:t>
      </w:r>
      <w:r w:rsidR="008D6B86" w:rsidRPr="0051077F">
        <w:rPr>
          <w:bCs w:val="0"/>
          <w:i/>
          <w:iCs/>
          <w:lang w:val="es-CO"/>
        </w:rPr>
        <w:t xml:space="preserve"> en consulta, </w:t>
      </w:r>
      <w:r w:rsidR="00C61473" w:rsidRPr="0051077F">
        <w:rPr>
          <w:bCs w:val="0"/>
          <w:i/>
          <w:iCs/>
          <w:lang w:val="es-CO"/>
        </w:rPr>
        <w:t xml:space="preserve">el </w:t>
      </w:r>
      <w:r w:rsidR="008D6B86" w:rsidRPr="0051077F">
        <w:rPr>
          <w:bCs w:val="0"/>
          <w:i/>
          <w:iCs/>
          <w:lang w:val="es-CO"/>
        </w:rPr>
        <w:t>cual adiciona el Artículo 33 a la Resolución CREG 107 de 2017</w:t>
      </w:r>
      <w:r w:rsidR="00933881" w:rsidRPr="0051077F">
        <w:rPr>
          <w:i/>
          <w:iCs/>
          <w:lang w:val="es-CO"/>
        </w:rPr>
        <w:t xml:space="preserve"> </w:t>
      </w:r>
      <w:r w:rsidRPr="0051077F">
        <w:rPr>
          <w:i/>
          <w:iCs/>
          <w:lang w:val="es-CO"/>
        </w:rPr>
        <w:t>; y iii) el valor de los pagos mensuales que será liquidado, actualizado, facturado, recaudado y transferido al adjudicatario como se establece en el artículo 17</w:t>
      </w:r>
      <w:r w:rsidRPr="0051077F">
        <w:rPr>
          <w:i/>
          <w:iCs/>
          <w:color w:val="FF0000"/>
          <w:lang w:val="es-CO"/>
        </w:rPr>
        <w:t xml:space="preserve"> </w:t>
      </w:r>
      <w:r w:rsidRPr="0051077F">
        <w:rPr>
          <w:i/>
          <w:iCs/>
          <w:lang w:val="es-CO"/>
        </w:rPr>
        <w:t>de la Resolución CREG 107 de 2017, o aquellas que la modifiquen o sustituyan”</w:t>
      </w:r>
      <w:r w:rsidR="00BC79F0" w:rsidRPr="0051077F">
        <w:rPr>
          <w:i/>
          <w:iCs/>
          <w:lang w:val="es-CO"/>
        </w:rPr>
        <w:t>.</w:t>
      </w:r>
    </w:p>
    <w:p w14:paraId="2526CA69" w14:textId="48600EE1" w:rsidR="001972DF" w:rsidRPr="00356462" w:rsidRDefault="001972DF" w:rsidP="001972DF">
      <w:pPr>
        <w:spacing w:before="240" w:after="240"/>
        <w:ind w:left="0"/>
        <w:jc w:val="both"/>
        <w:rPr>
          <w:rFonts w:ascii="Bookman Old Style" w:hAnsi="Bookman Old Style"/>
          <w:bCs/>
        </w:rPr>
      </w:pPr>
      <w:r w:rsidRPr="00CC47BB">
        <w:rPr>
          <w:rFonts w:ascii="Bookman Old Style" w:hAnsi="Bookman Old Style"/>
          <w:b/>
        </w:rPr>
        <w:t xml:space="preserve">Artículo </w:t>
      </w:r>
      <w:r w:rsidR="0087207D">
        <w:rPr>
          <w:rFonts w:ascii="Bookman Old Style" w:hAnsi="Bookman Old Style"/>
          <w:b/>
        </w:rPr>
        <w:t>6</w:t>
      </w:r>
      <w:r w:rsidRPr="00CC47BB">
        <w:rPr>
          <w:rFonts w:ascii="Bookman Old Style" w:hAnsi="Bookman Old Style"/>
          <w:b/>
        </w:rPr>
        <w:t xml:space="preserve">.  </w:t>
      </w:r>
      <w:r w:rsidR="00CF4A34" w:rsidRPr="00CC47BB">
        <w:rPr>
          <w:rFonts w:ascii="Bookman Old Style" w:hAnsi="Bookman Old Style"/>
          <w:bCs/>
        </w:rPr>
        <w:t>Adici</w:t>
      </w:r>
      <w:r w:rsidR="009A2B75" w:rsidRPr="00CC47BB">
        <w:rPr>
          <w:rFonts w:ascii="Bookman Old Style" w:hAnsi="Bookman Old Style"/>
          <w:bCs/>
        </w:rPr>
        <w:t xml:space="preserve">ónese </w:t>
      </w:r>
      <w:r w:rsidR="00CF4A34" w:rsidRPr="00CC47BB">
        <w:rPr>
          <w:rFonts w:ascii="Bookman Old Style" w:hAnsi="Bookman Old Style"/>
          <w:bCs/>
        </w:rPr>
        <w:t xml:space="preserve">el parágrafo 3 al </w:t>
      </w:r>
      <w:r w:rsidRPr="00CC47BB">
        <w:rPr>
          <w:rFonts w:ascii="Bookman Old Style" w:hAnsi="Bookman Old Style"/>
          <w:bCs/>
        </w:rPr>
        <w:t>Artículo 9 de la Resolución</w:t>
      </w:r>
      <w:r w:rsidRPr="00356462">
        <w:rPr>
          <w:rFonts w:ascii="Bookman Old Style" w:hAnsi="Bookman Old Style"/>
          <w:bCs/>
        </w:rPr>
        <w:t xml:space="preserve"> CREG 152 de 2017, el cual quedará así: </w:t>
      </w:r>
    </w:p>
    <w:p w14:paraId="58DFFB7D" w14:textId="7AB8FF4A" w:rsidR="00E279F4" w:rsidRPr="0051077F" w:rsidRDefault="001972DF" w:rsidP="0051077F">
      <w:pPr>
        <w:spacing w:before="240" w:after="240"/>
        <w:ind w:left="284"/>
        <w:jc w:val="both"/>
        <w:rPr>
          <w:rFonts w:ascii="Bookman Old Style" w:hAnsi="Bookman Old Style"/>
          <w:bCs/>
          <w:i/>
          <w:iCs/>
          <w:lang w:val="es-CO"/>
        </w:rPr>
      </w:pPr>
      <w:r w:rsidRPr="0051077F">
        <w:rPr>
          <w:rFonts w:ascii="Bookman Old Style" w:hAnsi="Bookman Old Style"/>
          <w:bCs/>
          <w:i/>
          <w:iCs/>
          <w:lang w:val="es-CO"/>
        </w:rPr>
        <w:t>“</w:t>
      </w:r>
      <w:r w:rsidR="00E279F4" w:rsidRPr="0051077F">
        <w:rPr>
          <w:rFonts w:ascii="Bookman Old Style" w:hAnsi="Bookman Old Style"/>
          <w:b/>
          <w:i/>
          <w:iCs/>
          <w:lang w:val="es-CO"/>
        </w:rPr>
        <w:t>Artículo 9. Liquidación, facturación y recaudo de ingresos por la prestación de los servicios asociados a la infraestructura de importación de gas del Pacífico.</w:t>
      </w:r>
      <w:r w:rsidR="00E279F4" w:rsidRPr="0051077F">
        <w:rPr>
          <w:rFonts w:ascii="Bookman Old Style" w:hAnsi="Bookman Old Style"/>
          <w:bCs/>
          <w:i/>
          <w:iCs/>
          <w:lang w:val="es-CO"/>
        </w:rPr>
        <w:t xml:space="preserve"> El (los) adjudicatario(s) de la infraestructura de importación de gas del Pacífico deberá(n) liquidar, facturar y recaudar mensualmente a cada uno de los usuarios de esta infraestructura el valor de los servicios prestados con esta infraestructura. </w:t>
      </w:r>
    </w:p>
    <w:p w14:paraId="12AFB0B2" w14:textId="77777777" w:rsidR="00E279F4" w:rsidRPr="0051077F" w:rsidRDefault="00E279F4" w:rsidP="0051077F">
      <w:pPr>
        <w:spacing w:before="240" w:after="240"/>
        <w:ind w:left="284"/>
        <w:jc w:val="both"/>
        <w:rPr>
          <w:rFonts w:ascii="Bookman Old Style" w:hAnsi="Bookman Old Style"/>
          <w:bCs/>
          <w:i/>
          <w:iCs/>
          <w:lang w:val="es-CO"/>
        </w:rPr>
      </w:pPr>
      <w:r w:rsidRPr="0051077F">
        <w:rPr>
          <w:rFonts w:ascii="Bookman Old Style" w:hAnsi="Bookman Old Style"/>
          <w:b/>
          <w:i/>
          <w:iCs/>
          <w:lang w:val="es-CO"/>
        </w:rPr>
        <w:t>Parágrafo 1.</w:t>
      </w:r>
      <w:r w:rsidRPr="0051077F">
        <w:rPr>
          <w:rFonts w:ascii="Bookman Old Style" w:hAnsi="Bookman Old Style"/>
          <w:bCs/>
          <w:i/>
          <w:iCs/>
          <w:lang w:val="es-CO"/>
        </w:rPr>
        <w:t xml:space="preserve"> Los ingresos generados por la prestación de los servicios asociados a la infraestructura de importación de gas del Pacífico corresponderán a los ingresos de corto de plazo de que trata el literal d) del artículo 17 de la Resolución CREG 107 de 2017, o aquellas que la modifiquen o sustituyan. </w:t>
      </w:r>
    </w:p>
    <w:p w14:paraId="1B9036C8" w14:textId="02F13633" w:rsidR="00E279F4" w:rsidRPr="0051077F" w:rsidRDefault="00E279F4" w:rsidP="0051077F">
      <w:pPr>
        <w:spacing w:before="240" w:after="240"/>
        <w:ind w:left="284"/>
        <w:jc w:val="both"/>
        <w:rPr>
          <w:rFonts w:ascii="Bookman Old Style" w:hAnsi="Bookman Old Style"/>
          <w:bCs/>
          <w:i/>
          <w:iCs/>
          <w:lang w:val="es-CO"/>
        </w:rPr>
      </w:pPr>
      <w:r w:rsidRPr="0051077F">
        <w:rPr>
          <w:rFonts w:ascii="Bookman Old Style" w:hAnsi="Bookman Old Style"/>
          <w:b/>
          <w:i/>
          <w:iCs/>
          <w:lang w:val="es-CO"/>
        </w:rPr>
        <w:t>Parágrafo 2.</w:t>
      </w:r>
      <w:r w:rsidRPr="0051077F">
        <w:rPr>
          <w:rFonts w:ascii="Bookman Old Style" w:hAnsi="Bookman Old Style"/>
          <w:bCs/>
          <w:i/>
          <w:iCs/>
          <w:lang w:val="es-CO"/>
        </w:rPr>
        <w:t xml:space="preserve"> Se excluirán de los ingresos de corto plazo de que trata el literal d) del artículo 17 de la Resolución CREG 107 de 2017, o aquellas que la modifiquen o sustituyan, los valores facturados que no sea posible recaudar y que no queden cubiertos con garantía de cumplimiento debido a las condiciones de la garantía que defina la Comisión.  </w:t>
      </w:r>
    </w:p>
    <w:p w14:paraId="5C2FDA50" w14:textId="4B465ABD" w:rsidR="00CF7C29" w:rsidRPr="0051077F" w:rsidRDefault="00CF4A34" w:rsidP="0051077F">
      <w:pPr>
        <w:spacing w:before="240" w:after="240"/>
        <w:ind w:left="284"/>
        <w:jc w:val="both"/>
        <w:rPr>
          <w:rFonts w:ascii="Bookman Old Style" w:hAnsi="Bookman Old Style"/>
          <w:bCs/>
          <w:i/>
          <w:iCs/>
          <w:lang w:val="es-CO"/>
        </w:rPr>
      </w:pPr>
      <w:r w:rsidRPr="0051077F">
        <w:rPr>
          <w:rFonts w:ascii="Bookman Old Style" w:hAnsi="Bookman Old Style"/>
          <w:b/>
          <w:i/>
          <w:iCs/>
          <w:lang w:val="es-CO"/>
        </w:rPr>
        <w:t>Parágrafo 3.</w:t>
      </w:r>
      <w:r w:rsidRPr="0051077F">
        <w:rPr>
          <w:rFonts w:ascii="Bookman Old Style" w:hAnsi="Bookman Old Style"/>
          <w:bCs/>
          <w:i/>
          <w:iCs/>
          <w:lang w:val="es-CO"/>
        </w:rPr>
        <w:t xml:space="preserve"> Los ingresos generados por la prestación de los servicios adicionales corresponderán a los ingresos de que trata el Artículo </w:t>
      </w:r>
      <w:r w:rsidR="008D6B86" w:rsidRPr="0051077F">
        <w:rPr>
          <w:rFonts w:ascii="Bookman Old Style" w:hAnsi="Bookman Old Style"/>
          <w:bCs/>
          <w:i/>
          <w:iCs/>
          <w:lang w:val="es-CO"/>
        </w:rPr>
        <w:t>14</w:t>
      </w:r>
      <w:r w:rsidR="00191701" w:rsidRPr="0051077F">
        <w:rPr>
          <w:rFonts w:ascii="Bookman Old Style" w:hAnsi="Bookman Old Style"/>
          <w:bCs/>
          <w:i/>
          <w:iCs/>
          <w:lang w:val="es-CO"/>
        </w:rPr>
        <w:t xml:space="preserve"> de la </w:t>
      </w:r>
      <w:r w:rsidR="00191701" w:rsidRPr="0051077F">
        <w:rPr>
          <w:rFonts w:ascii="Bookman Old Style" w:hAnsi="Bookman Old Style"/>
          <w:i/>
          <w:iCs/>
          <w:lang w:val="es-CO"/>
        </w:rPr>
        <w:t xml:space="preserve">Resolución CREG </w:t>
      </w:r>
      <w:r w:rsidR="00C61473" w:rsidRPr="0051077F">
        <w:rPr>
          <w:rFonts w:ascii="Bookman Old Style" w:hAnsi="Bookman Old Style"/>
          <w:i/>
          <w:iCs/>
          <w:lang w:val="es-CO"/>
        </w:rPr>
        <w:t>006</w:t>
      </w:r>
      <w:r w:rsidR="00191701" w:rsidRPr="0051077F">
        <w:rPr>
          <w:rFonts w:ascii="Bookman Old Style" w:hAnsi="Bookman Old Style"/>
          <w:i/>
          <w:iCs/>
          <w:lang w:val="es-CO"/>
        </w:rPr>
        <w:t xml:space="preserve"> de 2021</w:t>
      </w:r>
      <w:r w:rsidR="00191701" w:rsidRPr="0051077F">
        <w:rPr>
          <w:rFonts w:ascii="Bookman Old Style" w:hAnsi="Bookman Old Style"/>
          <w:bCs/>
          <w:i/>
          <w:iCs/>
          <w:lang w:val="es-CO"/>
        </w:rPr>
        <w:t xml:space="preserve"> en consulta</w:t>
      </w:r>
      <w:r w:rsidR="008D6B86" w:rsidRPr="0051077F">
        <w:rPr>
          <w:rFonts w:ascii="Bookman Old Style" w:hAnsi="Bookman Old Style"/>
          <w:bCs/>
          <w:i/>
          <w:iCs/>
          <w:lang w:val="es-CO"/>
        </w:rPr>
        <w:t xml:space="preserve">, </w:t>
      </w:r>
      <w:r w:rsidR="00C61473" w:rsidRPr="0051077F">
        <w:rPr>
          <w:rFonts w:ascii="Bookman Old Style" w:hAnsi="Bookman Old Style"/>
          <w:bCs/>
          <w:i/>
          <w:iCs/>
          <w:lang w:val="es-CO"/>
        </w:rPr>
        <w:t xml:space="preserve">el </w:t>
      </w:r>
      <w:r w:rsidR="008D6B86" w:rsidRPr="0051077F">
        <w:rPr>
          <w:rFonts w:ascii="Bookman Old Style" w:hAnsi="Bookman Old Style"/>
          <w:bCs/>
          <w:i/>
          <w:iCs/>
          <w:lang w:val="es-CO"/>
        </w:rPr>
        <w:t>cual adiciona el Artículo 33 a la Resolución CREG 107 de 2017</w:t>
      </w:r>
      <w:r w:rsidR="00191701" w:rsidRPr="0051077F">
        <w:rPr>
          <w:rFonts w:ascii="Bookman Old Style" w:hAnsi="Bookman Old Style"/>
          <w:bCs/>
          <w:i/>
          <w:iCs/>
          <w:lang w:val="es-CO"/>
        </w:rPr>
        <w:t>.</w:t>
      </w:r>
      <w:r w:rsidR="00441294" w:rsidRPr="0051077F">
        <w:rPr>
          <w:rFonts w:ascii="Bookman Old Style" w:hAnsi="Bookman Old Style"/>
          <w:bCs/>
          <w:i/>
          <w:iCs/>
          <w:lang w:val="es-CO"/>
        </w:rPr>
        <w:t>”</w:t>
      </w:r>
      <w:r w:rsidR="00D07D3E" w:rsidRPr="0051077F">
        <w:rPr>
          <w:rFonts w:ascii="Bookman Old Style" w:hAnsi="Bookman Old Style"/>
          <w:bCs/>
          <w:i/>
          <w:iCs/>
          <w:lang w:val="es-CO"/>
        </w:rPr>
        <w:t>.</w:t>
      </w:r>
    </w:p>
    <w:p w14:paraId="1B4E279D" w14:textId="166B5263" w:rsidR="000302BC" w:rsidRDefault="00363050" w:rsidP="00363050">
      <w:pPr>
        <w:spacing w:before="240" w:after="240"/>
        <w:ind w:left="0"/>
        <w:jc w:val="both"/>
        <w:rPr>
          <w:rFonts w:ascii="Bookman Old Style" w:hAnsi="Bookman Old Style" w:cs="Arial"/>
          <w:bCs/>
          <w:color w:val="000000"/>
        </w:rPr>
      </w:pPr>
      <w:bookmarkStart w:id="5" w:name="_Hlk62222664"/>
      <w:r w:rsidRPr="00356462">
        <w:rPr>
          <w:rFonts w:ascii="Bookman Old Style" w:hAnsi="Bookman Old Style" w:cs="Arial"/>
          <w:b/>
          <w:color w:val="000000"/>
        </w:rPr>
        <w:t xml:space="preserve">Artículo </w:t>
      </w:r>
      <w:r w:rsidR="0087207D">
        <w:rPr>
          <w:rFonts w:ascii="Bookman Old Style" w:hAnsi="Bookman Old Style" w:cs="Arial"/>
          <w:b/>
          <w:color w:val="000000"/>
        </w:rPr>
        <w:t>7</w:t>
      </w:r>
      <w:r w:rsidRPr="00356462">
        <w:rPr>
          <w:rFonts w:ascii="Bookman Old Style" w:hAnsi="Bookman Old Style" w:cs="Arial"/>
          <w:b/>
          <w:color w:val="000000"/>
        </w:rPr>
        <w:t xml:space="preserve">. </w:t>
      </w:r>
      <w:r w:rsidR="000302BC">
        <w:rPr>
          <w:rFonts w:ascii="Bookman Old Style" w:hAnsi="Bookman Old Style" w:cs="Arial"/>
          <w:bCs/>
          <w:color w:val="000000"/>
        </w:rPr>
        <w:t xml:space="preserve">Adiciónese el siguiente artículo a la Resolución CREG 152 de 2017, así: </w:t>
      </w:r>
    </w:p>
    <w:p w14:paraId="139E6B78" w14:textId="4C6F2373" w:rsidR="00363050" w:rsidRPr="0051077F" w:rsidRDefault="0051077F" w:rsidP="0051077F">
      <w:pPr>
        <w:spacing w:before="240" w:after="240"/>
        <w:ind w:left="284"/>
        <w:jc w:val="both"/>
        <w:rPr>
          <w:rFonts w:ascii="Bookman Old Style" w:hAnsi="Bookman Old Style" w:cs="Arial"/>
          <w:bCs/>
          <w:i/>
          <w:iCs/>
          <w:color w:val="000000"/>
        </w:rPr>
      </w:pPr>
      <w:r>
        <w:rPr>
          <w:rFonts w:ascii="Bookman Old Style" w:hAnsi="Bookman Old Style" w:cs="Arial"/>
          <w:b/>
          <w:i/>
          <w:iCs/>
          <w:color w:val="000000"/>
        </w:rPr>
        <w:t>“</w:t>
      </w:r>
      <w:r w:rsidR="00CF3408" w:rsidRPr="0051077F">
        <w:rPr>
          <w:rFonts w:ascii="Bookman Old Style" w:hAnsi="Bookman Old Style" w:cs="Arial"/>
          <w:b/>
          <w:i/>
          <w:iCs/>
          <w:color w:val="000000"/>
        </w:rPr>
        <w:t xml:space="preserve">Artículo </w:t>
      </w:r>
      <w:r w:rsidR="0026744B" w:rsidRPr="0051077F">
        <w:rPr>
          <w:rFonts w:ascii="Bookman Old Style" w:hAnsi="Bookman Old Style" w:cs="Arial"/>
          <w:b/>
          <w:i/>
          <w:iCs/>
          <w:color w:val="000000"/>
        </w:rPr>
        <w:t>1</w:t>
      </w:r>
      <w:r w:rsidR="00F21032" w:rsidRPr="0051077F">
        <w:rPr>
          <w:rFonts w:ascii="Bookman Old Style" w:hAnsi="Bookman Old Style" w:cs="Arial"/>
          <w:b/>
          <w:i/>
          <w:iCs/>
          <w:color w:val="000000"/>
        </w:rPr>
        <w:t>3</w:t>
      </w:r>
      <w:r w:rsidR="0026744B" w:rsidRPr="0051077F">
        <w:rPr>
          <w:rFonts w:ascii="Bookman Old Style" w:hAnsi="Bookman Old Style" w:cs="Arial"/>
          <w:b/>
          <w:i/>
          <w:iCs/>
          <w:color w:val="000000"/>
        </w:rPr>
        <w:t>.</w:t>
      </w:r>
      <w:r w:rsidR="00FA39F7" w:rsidRPr="0051077F">
        <w:rPr>
          <w:rFonts w:ascii="Bookman Old Style" w:hAnsi="Bookman Old Style" w:cs="Arial"/>
          <w:b/>
          <w:i/>
          <w:iCs/>
          <w:color w:val="000000"/>
        </w:rPr>
        <w:t xml:space="preserve"> </w:t>
      </w:r>
      <w:r w:rsidR="00363050" w:rsidRPr="0051077F">
        <w:rPr>
          <w:rFonts w:ascii="Bookman Old Style" w:hAnsi="Bookman Old Style" w:cs="Arial"/>
          <w:b/>
          <w:i/>
          <w:iCs/>
          <w:color w:val="000000"/>
        </w:rPr>
        <w:t>Ingreso regulado por fecha anticipada de puesta en operación de la infraestructura de importación del gas del pacífico</w:t>
      </w:r>
      <w:r w:rsidR="00363050" w:rsidRPr="0051077F">
        <w:rPr>
          <w:rFonts w:ascii="Bookman Old Style" w:hAnsi="Bookman Old Style" w:cs="Arial"/>
          <w:bCs/>
          <w:i/>
          <w:iCs/>
          <w:color w:val="000000"/>
        </w:rPr>
        <w:t xml:space="preserve">. El ingreso regulado por cada mes de operación para el período </w:t>
      </w:r>
      <w:r w:rsidR="00E13D5A" w:rsidRPr="0051077F">
        <w:rPr>
          <w:rFonts w:ascii="Bookman Old Style" w:hAnsi="Bookman Old Style" w:cs="Arial"/>
          <w:bCs/>
          <w:i/>
          <w:iCs/>
          <w:color w:val="000000"/>
        </w:rPr>
        <w:t>entre la fecha anticipada de puesta en operación</w:t>
      </w:r>
      <w:r w:rsidR="009F17A6" w:rsidRPr="0051077F">
        <w:rPr>
          <w:rFonts w:ascii="Bookman Old Style" w:hAnsi="Bookman Old Style" w:cs="Arial"/>
          <w:bCs/>
          <w:i/>
          <w:iCs/>
          <w:color w:val="000000"/>
        </w:rPr>
        <w:t>, antes de diciembre de 2024,</w:t>
      </w:r>
      <w:r w:rsidR="00E13D5A" w:rsidRPr="0051077F">
        <w:rPr>
          <w:rFonts w:ascii="Bookman Old Style" w:hAnsi="Bookman Old Style" w:cs="Arial"/>
          <w:bCs/>
          <w:i/>
          <w:iCs/>
          <w:color w:val="000000"/>
        </w:rPr>
        <w:t xml:space="preserve"> y la fecha de puesta en operación establecida por el Ministerio de Minas y Energía, de acuerdo con </w:t>
      </w:r>
      <w:r w:rsidR="00363050" w:rsidRPr="0051077F">
        <w:rPr>
          <w:rFonts w:ascii="Bookman Old Style" w:hAnsi="Bookman Old Style" w:cs="Arial"/>
          <w:bCs/>
          <w:i/>
          <w:iCs/>
          <w:color w:val="000000"/>
        </w:rPr>
        <w:t>el Artículo 12 de la Resolución CREG 107 de 2017 y aquellas que la modifiquen o sustituyan, se calculará, como resultado de aplicar la siguiente ecuaci</w:t>
      </w:r>
      <w:r w:rsidR="00F1010C" w:rsidRPr="0051077F">
        <w:rPr>
          <w:rFonts w:ascii="Bookman Old Style" w:hAnsi="Bookman Old Style" w:cs="Arial"/>
          <w:bCs/>
          <w:i/>
          <w:iCs/>
          <w:color w:val="000000"/>
        </w:rPr>
        <w:t>ón</w:t>
      </w:r>
      <w:r w:rsidR="00363050" w:rsidRPr="0051077F">
        <w:rPr>
          <w:rFonts w:ascii="Bookman Old Style" w:hAnsi="Bookman Old Style" w:cs="Arial"/>
          <w:bCs/>
          <w:i/>
          <w:iCs/>
          <w:color w:val="000000"/>
        </w:rPr>
        <w:t>:</w:t>
      </w:r>
    </w:p>
    <w:p w14:paraId="3F8D9138" w14:textId="08976A1F" w:rsidR="00363050" w:rsidRPr="0051077F" w:rsidRDefault="001F3C7E" w:rsidP="00546546">
      <w:pPr>
        <w:spacing w:before="240" w:after="240"/>
        <w:ind w:left="708"/>
        <w:jc w:val="center"/>
        <w:rPr>
          <w:rFonts w:ascii="Bookman Old Style" w:hAnsi="Bookman Old Style" w:cs="Arial"/>
          <w:bCs/>
          <w:i/>
          <w:iCs/>
          <w:color w:val="000000"/>
        </w:rPr>
      </w:pPr>
      <m:oMathPara>
        <m:oMath>
          <m:sSub>
            <m:sSubPr>
              <m:ctrlPr>
                <w:rPr>
                  <w:rFonts w:ascii="Cambria Math" w:hAnsi="Cambria Math" w:cs="Arial"/>
                  <w:bCs/>
                  <w:i/>
                  <w:iCs/>
                  <w:color w:val="000000"/>
                </w:rPr>
              </m:ctrlPr>
            </m:sSubPr>
            <m:e>
              <m:r>
                <w:rPr>
                  <w:rFonts w:ascii="Cambria Math" w:hAnsi="Cambria Math" w:cs="Arial"/>
                  <w:color w:val="000000"/>
                </w:rPr>
                <m:t>IROP</m:t>
              </m:r>
            </m:e>
            <m:sub>
              <m:r>
                <w:rPr>
                  <w:rFonts w:ascii="Cambria Math" w:hAnsi="Cambria Math" w:cs="Arial"/>
                  <w:color w:val="000000"/>
                </w:rPr>
                <m:t>m</m:t>
              </m:r>
            </m:sub>
          </m:sSub>
          <m:r>
            <w:rPr>
              <w:rFonts w:ascii="Cambria Math" w:hAnsi="Cambria Math" w:cs="Arial"/>
              <w:color w:val="000000"/>
            </w:rPr>
            <m:t xml:space="preserve"> =</m:t>
          </m:r>
          <m:d>
            <m:dPr>
              <m:ctrlPr>
                <w:rPr>
                  <w:rFonts w:ascii="Cambria Math" w:hAnsi="Cambria Math" w:cs="Arial"/>
                  <w:bCs/>
                  <w:i/>
                  <w:iCs/>
                  <w:color w:val="000000"/>
                </w:rPr>
              </m:ctrlPr>
            </m:dPr>
            <m:e>
              <m:r>
                <w:rPr>
                  <w:rFonts w:ascii="Cambria Math" w:hAnsi="Cambria Math" w:cs="Arial"/>
                  <w:color w:val="000000"/>
                </w:rPr>
                <m:t>1+%IADIC</m:t>
              </m:r>
            </m:e>
          </m:d>
          <m:r>
            <w:rPr>
              <w:rFonts w:ascii="Cambria Math" w:hAnsi="Cambria Math" w:cs="Arial"/>
              <w:color w:val="000000"/>
            </w:rPr>
            <m:t xml:space="preserve"> × </m:t>
          </m:r>
          <m:sSub>
            <m:sSubPr>
              <m:ctrlPr>
                <w:rPr>
                  <w:rFonts w:ascii="Cambria Math" w:hAnsi="Cambria Math" w:cs="Arial"/>
                  <w:bCs/>
                  <w:i/>
                  <w:iCs/>
                  <w:color w:val="000000"/>
                </w:rPr>
              </m:ctrlPr>
            </m:sSubPr>
            <m:e>
              <m:r>
                <w:rPr>
                  <w:rFonts w:ascii="Cambria Math" w:hAnsi="Cambria Math" w:cs="Arial"/>
                  <w:color w:val="000000"/>
                </w:rPr>
                <m:t>IM</m:t>
              </m:r>
            </m:e>
            <m:sub>
              <m:r>
                <w:rPr>
                  <w:rFonts w:ascii="Cambria Math" w:hAnsi="Cambria Math" w:cs="Arial"/>
                  <w:color w:val="000000"/>
                </w:rPr>
                <m:t>1</m:t>
              </m:r>
            </m:sub>
          </m:sSub>
        </m:oMath>
      </m:oMathPara>
    </w:p>
    <w:p w14:paraId="3508D4C8" w14:textId="77777777" w:rsidR="00363050" w:rsidRPr="0051077F" w:rsidRDefault="00363050" w:rsidP="0051077F">
      <w:pPr>
        <w:spacing w:before="240" w:after="240"/>
        <w:ind w:left="1418" w:hanging="1134"/>
        <w:jc w:val="both"/>
        <w:rPr>
          <w:rFonts w:ascii="Bookman Old Style" w:hAnsi="Bookman Old Style" w:cs="Arial"/>
          <w:bCs/>
          <w:i/>
          <w:iCs/>
          <w:color w:val="000000"/>
        </w:rPr>
      </w:pPr>
      <w:r w:rsidRPr="0051077F">
        <w:rPr>
          <w:rFonts w:ascii="Bookman Old Style" w:hAnsi="Bookman Old Style" w:cs="Arial"/>
          <w:bCs/>
          <w:i/>
          <w:iCs/>
          <w:color w:val="000000"/>
        </w:rPr>
        <w:t>Donde:</w:t>
      </w:r>
    </w:p>
    <w:p w14:paraId="2ED7C26A" w14:textId="6431CB13" w:rsidR="00363050" w:rsidRPr="0051077F" w:rsidRDefault="00363050" w:rsidP="0051077F">
      <w:pPr>
        <w:spacing w:before="240" w:after="240"/>
        <w:ind w:left="1418" w:hanging="1134"/>
        <w:jc w:val="both"/>
        <w:rPr>
          <w:rFonts w:ascii="Bookman Old Style" w:hAnsi="Bookman Old Style" w:cs="Arial"/>
          <w:bCs/>
          <w:i/>
          <w:iCs/>
          <w:color w:val="000000"/>
        </w:rPr>
      </w:pPr>
      <w:r w:rsidRPr="0051077F">
        <w:rPr>
          <w:rFonts w:ascii="Bookman Old Style" w:hAnsi="Bookman Old Style" w:cs="Arial"/>
          <w:bCs/>
          <w:i/>
          <w:iCs/>
          <w:color w:val="000000"/>
        </w:rPr>
        <w:t>IROP</w:t>
      </w:r>
      <w:r w:rsidRPr="0051077F">
        <w:rPr>
          <w:rFonts w:ascii="Bookman Old Style" w:hAnsi="Bookman Old Style" w:cs="Arial"/>
          <w:bCs/>
          <w:i/>
          <w:iCs/>
          <w:color w:val="000000"/>
          <w:vertAlign w:val="subscript"/>
        </w:rPr>
        <w:t>m</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 xml:space="preserve">Ingreso regulado durante la operación </w:t>
      </w:r>
      <w:r w:rsidR="00E13D5A" w:rsidRPr="0051077F">
        <w:rPr>
          <w:rFonts w:ascii="Bookman Old Style" w:hAnsi="Bookman Old Style" w:cs="Arial"/>
          <w:bCs/>
          <w:i/>
          <w:iCs/>
          <w:color w:val="000000"/>
        </w:rPr>
        <w:t>anticipada del proyecto</w:t>
      </w:r>
      <w:r w:rsidRPr="0051077F">
        <w:rPr>
          <w:rFonts w:ascii="Bookman Old Style" w:hAnsi="Bookman Old Style" w:cs="Arial"/>
          <w:bCs/>
          <w:i/>
          <w:iCs/>
          <w:color w:val="000000"/>
        </w:rPr>
        <w:t>, en el mes m.</w:t>
      </w:r>
    </w:p>
    <w:p w14:paraId="264A3A78" w14:textId="1CDF055D" w:rsidR="00363050" w:rsidRPr="0051077F" w:rsidRDefault="00363050" w:rsidP="0051077F">
      <w:pPr>
        <w:spacing w:before="240" w:after="240"/>
        <w:ind w:left="1418" w:hanging="1134"/>
        <w:jc w:val="both"/>
        <w:rPr>
          <w:rFonts w:ascii="Bookman Old Style" w:hAnsi="Bookman Old Style" w:cs="Arial"/>
          <w:bCs/>
          <w:i/>
          <w:iCs/>
          <w:color w:val="000000"/>
        </w:rPr>
      </w:pPr>
      <w:r w:rsidRPr="0051077F">
        <w:rPr>
          <w:rFonts w:ascii="Bookman Old Style" w:hAnsi="Bookman Old Style" w:cs="Arial"/>
          <w:bCs/>
          <w:i/>
          <w:iCs/>
          <w:color w:val="000000"/>
        </w:rPr>
        <w:t xml:space="preserve">%IADIC: </w:t>
      </w:r>
      <w:r w:rsidRPr="0051077F">
        <w:rPr>
          <w:rFonts w:ascii="Bookman Old Style" w:hAnsi="Bookman Old Style" w:cs="Arial"/>
          <w:bCs/>
          <w:i/>
          <w:iCs/>
          <w:color w:val="000000"/>
        </w:rPr>
        <w:tab/>
        <w:t xml:space="preserve">Porcentaje del </w:t>
      </w:r>
      <w:r w:rsidR="006F7566" w:rsidRPr="0051077F">
        <w:rPr>
          <w:rFonts w:ascii="Bookman Old Style" w:hAnsi="Bookman Old Style" w:cs="Arial"/>
          <w:bCs/>
          <w:i/>
          <w:iCs/>
          <w:color w:val="000000"/>
        </w:rPr>
        <w:t>8</w:t>
      </w:r>
      <w:r w:rsidRPr="0051077F">
        <w:rPr>
          <w:rFonts w:ascii="Bookman Old Style" w:hAnsi="Bookman Old Style" w:cs="Arial"/>
          <w:bCs/>
          <w:i/>
          <w:iCs/>
          <w:color w:val="000000"/>
        </w:rPr>
        <w:t xml:space="preserve">% de </w:t>
      </w:r>
      <w:r w:rsidR="00C67523" w:rsidRPr="0051077F">
        <w:rPr>
          <w:rFonts w:ascii="Bookman Old Style" w:hAnsi="Bookman Old Style" w:cs="Arial"/>
          <w:bCs/>
          <w:i/>
          <w:iCs/>
          <w:color w:val="000000"/>
        </w:rPr>
        <w:t xml:space="preserve">incentivo </w:t>
      </w:r>
      <w:r w:rsidRPr="0051077F">
        <w:rPr>
          <w:rFonts w:ascii="Bookman Old Style" w:hAnsi="Bookman Old Style" w:cs="Arial"/>
          <w:bCs/>
          <w:i/>
          <w:iCs/>
          <w:color w:val="000000"/>
        </w:rPr>
        <w:t xml:space="preserve">por fecha anticipada de puesta en operación. </w:t>
      </w:r>
    </w:p>
    <w:p w14:paraId="16A1BB64" w14:textId="69ED3E49" w:rsidR="00363050" w:rsidRPr="0051077F" w:rsidRDefault="00363050" w:rsidP="0051077F">
      <w:pPr>
        <w:spacing w:before="240" w:after="240"/>
        <w:ind w:left="1418" w:hanging="1134"/>
        <w:jc w:val="both"/>
        <w:rPr>
          <w:rFonts w:ascii="Bookman Old Style" w:hAnsi="Bookman Old Style" w:cs="Arial"/>
          <w:bCs/>
          <w:i/>
          <w:iCs/>
          <w:color w:val="000000"/>
        </w:rPr>
      </w:pPr>
      <w:r w:rsidRPr="0051077F">
        <w:rPr>
          <w:rFonts w:ascii="Bookman Old Style" w:hAnsi="Bookman Old Style" w:cs="Arial"/>
          <w:bCs/>
          <w:i/>
          <w:iCs/>
          <w:color w:val="000000"/>
        </w:rPr>
        <w:t>IM</w:t>
      </w:r>
      <w:r w:rsidRPr="0051077F">
        <w:rPr>
          <w:rFonts w:ascii="Bookman Old Style" w:hAnsi="Bookman Old Style" w:cs="Arial"/>
          <w:bCs/>
          <w:i/>
          <w:iCs/>
          <w:color w:val="000000"/>
          <w:vertAlign w:val="subscript"/>
        </w:rPr>
        <w:t>1</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Valor mensualizado del primer año del período estándar de pagos, que se obtiene de dividir por 12 el IAE del primer año del PEP.</w:t>
      </w:r>
      <w:r w:rsidR="0051077F">
        <w:rPr>
          <w:rFonts w:ascii="Bookman Old Style" w:hAnsi="Bookman Old Style" w:cs="Arial"/>
          <w:bCs/>
          <w:i/>
          <w:iCs/>
          <w:color w:val="000000"/>
        </w:rPr>
        <w:t>”</w:t>
      </w:r>
    </w:p>
    <w:p w14:paraId="05B3F744" w14:textId="0E4D6735" w:rsidR="00AE3BF1" w:rsidRDefault="00B12B8C" w:rsidP="00AE3BF1">
      <w:pPr>
        <w:spacing w:before="240" w:after="240"/>
        <w:ind w:left="0"/>
        <w:jc w:val="both"/>
        <w:rPr>
          <w:rFonts w:ascii="Bookman Old Style" w:hAnsi="Bookman Old Style" w:cs="Arial"/>
          <w:bCs/>
          <w:color w:val="000000"/>
        </w:rPr>
      </w:pPr>
      <w:r w:rsidRPr="00356462">
        <w:rPr>
          <w:rFonts w:ascii="Bookman Old Style" w:hAnsi="Bookman Old Style" w:cs="Arial"/>
          <w:b/>
          <w:color w:val="000000"/>
        </w:rPr>
        <w:t xml:space="preserve">Artículo </w:t>
      </w:r>
      <w:r w:rsidR="0087207D">
        <w:rPr>
          <w:rFonts w:ascii="Bookman Old Style" w:hAnsi="Bookman Old Style" w:cs="Arial"/>
          <w:b/>
          <w:color w:val="000000"/>
        </w:rPr>
        <w:t>8</w:t>
      </w:r>
      <w:r w:rsidRPr="00356462">
        <w:rPr>
          <w:rFonts w:ascii="Bookman Old Style" w:hAnsi="Bookman Old Style" w:cs="Arial"/>
          <w:b/>
          <w:color w:val="000000"/>
        </w:rPr>
        <w:t xml:space="preserve">. </w:t>
      </w:r>
      <w:r w:rsidR="00AE3BF1">
        <w:rPr>
          <w:rFonts w:ascii="Bookman Old Style" w:hAnsi="Bookman Old Style" w:cs="Arial"/>
          <w:bCs/>
          <w:color w:val="000000"/>
        </w:rPr>
        <w:t xml:space="preserve">Adiciónese el siguiente artículo a la Resolución CREG 152 de 2017, así: </w:t>
      </w:r>
    </w:p>
    <w:bookmarkEnd w:id="5"/>
    <w:p w14:paraId="57F0104D" w14:textId="125012D6" w:rsidR="006F7566" w:rsidRPr="0051077F" w:rsidRDefault="0051077F" w:rsidP="0051077F">
      <w:pPr>
        <w:spacing w:before="240" w:after="240"/>
        <w:ind w:left="284"/>
        <w:jc w:val="both"/>
        <w:rPr>
          <w:rFonts w:ascii="Bookman Old Style" w:hAnsi="Bookman Old Style" w:cs="Arial"/>
          <w:bCs/>
          <w:i/>
          <w:iCs/>
          <w:color w:val="000000"/>
        </w:rPr>
      </w:pPr>
      <w:r>
        <w:rPr>
          <w:rFonts w:ascii="Bookman Old Style" w:hAnsi="Bookman Old Style" w:cs="Arial"/>
          <w:b/>
          <w:i/>
          <w:iCs/>
          <w:color w:val="000000"/>
        </w:rPr>
        <w:t>“</w:t>
      </w:r>
      <w:r w:rsidR="006F7566" w:rsidRPr="0051077F">
        <w:rPr>
          <w:rFonts w:ascii="Bookman Old Style" w:hAnsi="Bookman Old Style" w:cs="Arial"/>
          <w:b/>
          <w:i/>
          <w:iCs/>
          <w:color w:val="000000"/>
        </w:rPr>
        <w:t>Artículo 1</w:t>
      </w:r>
      <w:r w:rsidR="00F21032" w:rsidRPr="0051077F">
        <w:rPr>
          <w:rFonts w:ascii="Bookman Old Style" w:hAnsi="Bookman Old Style" w:cs="Arial"/>
          <w:b/>
          <w:i/>
          <w:iCs/>
          <w:color w:val="000000"/>
        </w:rPr>
        <w:t>4</w:t>
      </w:r>
      <w:r w:rsidR="006F7566" w:rsidRPr="0051077F">
        <w:rPr>
          <w:rFonts w:ascii="Bookman Old Style" w:hAnsi="Bookman Old Style" w:cs="Arial"/>
          <w:b/>
          <w:i/>
          <w:iCs/>
          <w:color w:val="000000"/>
        </w:rPr>
        <w:t>. Ingreso regulado durante la operación parcial de la infraestructura de importación del gas del pacífico</w:t>
      </w:r>
      <w:r w:rsidR="006F7566" w:rsidRPr="0051077F">
        <w:rPr>
          <w:rFonts w:ascii="Bookman Old Style" w:hAnsi="Bookman Old Style" w:cs="Arial"/>
          <w:bCs/>
          <w:i/>
          <w:iCs/>
          <w:color w:val="000000"/>
        </w:rPr>
        <w:t>. El ingreso regulado por cada mes de operación parcial</w:t>
      </w:r>
      <w:r w:rsidR="009F17A6" w:rsidRPr="0051077F">
        <w:rPr>
          <w:rFonts w:ascii="Bookman Old Style" w:hAnsi="Bookman Old Style" w:cs="Arial"/>
          <w:bCs/>
          <w:i/>
          <w:iCs/>
          <w:color w:val="000000"/>
        </w:rPr>
        <w:t>, cuyo inicio debe ser antes de diciembre de 2024,</w:t>
      </w:r>
      <w:r w:rsidR="006F7566" w:rsidRPr="0051077F">
        <w:rPr>
          <w:rFonts w:ascii="Bookman Old Style" w:hAnsi="Bookman Old Style" w:cs="Arial"/>
          <w:bCs/>
          <w:i/>
          <w:iCs/>
          <w:color w:val="000000"/>
        </w:rPr>
        <w:t xml:space="preserve"> para el período establecido en el literal d) del Artículo 12 de la Resolución CREG 107 de 2017 y aquellas que la modifiquen o sustituyan, se calculará, de acuerdo con lo establecido en el Parágrafo 4 de dicho artículo, como resultado de aplicar la siguiente ecuación:</w:t>
      </w:r>
    </w:p>
    <w:p w14:paraId="2FAE395C" w14:textId="479AA3BC" w:rsidR="006F7566" w:rsidRPr="0051077F" w:rsidRDefault="001F3C7E" w:rsidP="0051077F">
      <w:pPr>
        <w:spacing w:before="240" w:after="240"/>
        <w:ind w:left="284"/>
        <w:jc w:val="center"/>
        <w:rPr>
          <w:rFonts w:ascii="Bookman Old Style" w:hAnsi="Bookman Old Style" w:cs="Arial"/>
          <w:bCs/>
          <w:i/>
          <w:iCs/>
          <w:color w:val="000000"/>
          <w:sz w:val="20"/>
          <w:szCs w:val="20"/>
        </w:rPr>
      </w:pPr>
      <m:oMathPara>
        <m:oMath>
          <m:sSub>
            <m:sSubPr>
              <m:ctrlPr>
                <w:rPr>
                  <w:rFonts w:ascii="Cambria Math" w:hAnsi="Cambria Math" w:cs="Arial"/>
                  <w:bCs/>
                  <w:i/>
                  <w:iCs/>
                  <w:color w:val="000000"/>
                  <w:sz w:val="20"/>
                  <w:szCs w:val="20"/>
                </w:rPr>
              </m:ctrlPr>
            </m:sSubPr>
            <m:e>
              <m:r>
                <w:rPr>
                  <w:rFonts w:ascii="Cambria Math" w:hAnsi="Cambria Math" w:cs="Arial"/>
                  <w:color w:val="000000"/>
                  <w:sz w:val="20"/>
                  <w:szCs w:val="20"/>
                </w:rPr>
                <m:t>IROP</m:t>
              </m:r>
            </m:e>
            <m:sub>
              <m:r>
                <w:rPr>
                  <w:rFonts w:ascii="Cambria Math" w:hAnsi="Cambria Math" w:cs="Arial"/>
                  <w:color w:val="000000"/>
                  <w:sz w:val="20"/>
                  <w:szCs w:val="20"/>
                </w:rPr>
                <m:t>m</m:t>
              </m:r>
            </m:sub>
          </m:sSub>
          <m:r>
            <w:rPr>
              <w:rFonts w:ascii="Cambria Math" w:hAnsi="Cambria Math" w:cs="Arial"/>
              <w:color w:val="000000"/>
              <w:sz w:val="20"/>
              <w:szCs w:val="20"/>
            </w:rPr>
            <m:t xml:space="preserve"> =</m:t>
          </m:r>
          <m:d>
            <m:dPr>
              <m:ctrlPr>
                <w:rPr>
                  <w:rFonts w:ascii="Cambria Math" w:hAnsi="Cambria Math" w:cs="Arial"/>
                  <w:bCs/>
                  <w:i/>
                  <w:iCs/>
                  <w:color w:val="000000"/>
                  <w:sz w:val="20"/>
                  <w:szCs w:val="20"/>
                </w:rPr>
              </m:ctrlPr>
            </m:dPr>
            <m:e>
              <m:r>
                <w:rPr>
                  <w:rFonts w:ascii="Cambria Math" w:hAnsi="Cambria Math" w:cs="Arial"/>
                  <w:color w:val="000000"/>
                  <w:sz w:val="20"/>
                  <w:szCs w:val="20"/>
                </w:rPr>
                <m:t>1+%IADIC</m:t>
              </m:r>
            </m:e>
          </m:d>
          <m:r>
            <w:rPr>
              <w:rFonts w:ascii="Cambria Math" w:hAnsi="Cambria Math" w:cs="Arial"/>
              <w:color w:val="000000"/>
              <w:sz w:val="20"/>
              <w:szCs w:val="20"/>
            </w:rPr>
            <m:t xml:space="preserve"> ×</m:t>
          </m:r>
          <m:d>
            <m:dPr>
              <m:begChr m:val="["/>
              <m:endChr m:val="]"/>
              <m:ctrlPr>
                <w:rPr>
                  <w:rFonts w:ascii="Cambria Math" w:hAnsi="Cambria Math" w:cs="Arial"/>
                  <w:i/>
                  <w:iCs/>
                  <w:color w:val="000000"/>
                  <w:sz w:val="20"/>
                  <w:szCs w:val="20"/>
                </w:rPr>
              </m:ctrlPr>
            </m:dPr>
            <m:e>
              <m:d>
                <m:dPr>
                  <m:ctrlPr>
                    <w:rPr>
                      <w:rFonts w:ascii="Cambria Math" w:hAnsi="Cambria Math" w:cs="Arial"/>
                      <w:bCs/>
                      <w:i/>
                      <w:iCs/>
                      <w:color w:val="000000"/>
                      <w:sz w:val="20"/>
                      <w:szCs w:val="20"/>
                    </w:rPr>
                  </m:ctrlPr>
                </m:dPr>
                <m:e>
                  <m:f>
                    <m:fPr>
                      <m:ctrlPr>
                        <w:rPr>
                          <w:rFonts w:ascii="Cambria Math" w:hAnsi="Cambria Math" w:cs="Arial"/>
                          <w:bCs/>
                          <w:i/>
                          <w:iCs/>
                          <w:color w:val="000000"/>
                          <w:sz w:val="20"/>
                          <w:szCs w:val="20"/>
                        </w:rPr>
                      </m:ctrlPr>
                    </m:fPr>
                    <m:num>
                      <m:sSub>
                        <m:sSubPr>
                          <m:ctrlPr>
                            <w:rPr>
                              <w:rFonts w:ascii="Cambria Math" w:hAnsi="Cambria Math" w:cs="Arial"/>
                              <w:bCs/>
                              <w:i/>
                              <w:iCs/>
                              <w:color w:val="000000"/>
                              <w:sz w:val="20"/>
                              <w:szCs w:val="20"/>
                            </w:rPr>
                          </m:ctrlPr>
                        </m:sSubPr>
                        <m:e>
                          <m:r>
                            <w:rPr>
                              <w:rFonts w:ascii="Cambria Math" w:hAnsi="Cambria Math" w:cs="Arial"/>
                              <w:color w:val="000000"/>
                              <w:sz w:val="20"/>
                              <w:szCs w:val="20"/>
                            </w:rPr>
                            <m:t>COPYP</m:t>
                          </m:r>
                        </m:e>
                        <m:sub>
                          <m:r>
                            <w:rPr>
                              <w:rFonts w:ascii="Cambria Math" w:hAnsi="Cambria Math" w:cs="Arial"/>
                              <w:color w:val="000000"/>
                              <w:sz w:val="20"/>
                              <w:szCs w:val="20"/>
                            </w:rPr>
                            <m:t>m</m:t>
                          </m:r>
                        </m:sub>
                      </m:sSub>
                    </m:num>
                    <m:den>
                      <m:r>
                        <w:rPr>
                          <w:rFonts w:ascii="Cambria Math" w:hAnsi="Cambria Math" w:cs="Arial"/>
                          <w:color w:val="000000"/>
                          <w:sz w:val="20"/>
                          <w:szCs w:val="20"/>
                        </w:rPr>
                        <m:t>CDSIY</m:t>
                      </m:r>
                    </m:den>
                  </m:f>
                </m:e>
              </m:d>
              <m:r>
                <w:rPr>
                  <w:rFonts w:ascii="Cambria Math" w:hAnsi="Cambria Math" w:cs="Arial"/>
                  <w:color w:val="000000"/>
                  <w:sz w:val="20"/>
                  <w:szCs w:val="20"/>
                </w:rPr>
                <m:t xml:space="preserve"> ×</m:t>
              </m:r>
              <m:sSub>
                <m:sSubPr>
                  <m:ctrlPr>
                    <w:rPr>
                      <w:rFonts w:ascii="Cambria Math" w:hAnsi="Cambria Math" w:cs="Arial"/>
                      <w:bCs/>
                      <w:i/>
                      <w:iCs/>
                      <w:color w:val="000000"/>
                      <w:sz w:val="20"/>
                      <w:szCs w:val="20"/>
                    </w:rPr>
                  </m:ctrlPr>
                </m:sSubPr>
                <m:e>
                  <m:r>
                    <w:rPr>
                      <w:rFonts w:ascii="Cambria Math" w:hAnsi="Cambria Math" w:cs="Arial"/>
                      <w:color w:val="000000"/>
                      <w:sz w:val="20"/>
                      <w:szCs w:val="20"/>
                    </w:rPr>
                    <m:t>IM</m:t>
                  </m:r>
                </m:e>
                <m:sub>
                  <m:r>
                    <w:rPr>
                      <w:rFonts w:ascii="Cambria Math" w:hAnsi="Cambria Math" w:cs="Arial"/>
                      <w:color w:val="000000"/>
                      <w:sz w:val="20"/>
                      <w:szCs w:val="20"/>
                    </w:rPr>
                    <m:t>1</m:t>
                  </m:r>
                </m:sub>
              </m:sSub>
              <m:r>
                <w:rPr>
                  <w:rFonts w:ascii="Cambria Math" w:hAnsi="Cambria Math" w:cs="Arial"/>
                  <w:color w:val="000000"/>
                  <w:sz w:val="20"/>
                  <w:szCs w:val="20"/>
                </w:rPr>
                <m:t xml:space="preserve">+ </m:t>
              </m:r>
              <m:d>
                <m:dPr>
                  <m:ctrlPr>
                    <w:rPr>
                      <w:rFonts w:ascii="Cambria Math" w:hAnsi="Cambria Math" w:cs="Arial"/>
                      <w:bCs/>
                      <w:i/>
                      <w:iCs/>
                      <w:color w:val="000000"/>
                      <w:sz w:val="20"/>
                      <w:szCs w:val="20"/>
                    </w:rPr>
                  </m:ctrlPr>
                </m:dPr>
                <m:e>
                  <m:f>
                    <m:fPr>
                      <m:ctrlPr>
                        <w:rPr>
                          <w:rFonts w:ascii="Cambria Math" w:hAnsi="Cambria Math" w:cs="Arial"/>
                          <w:bCs/>
                          <w:i/>
                          <w:iCs/>
                          <w:color w:val="000000"/>
                          <w:sz w:val="20"/>
                          <w:szCs w:val="20"/>
                        </w:rPr>
                      </m:ctrlPr>
                    </m:fPr>
                    <m:num>
                      <m:sSub>
                        <m:sSubPr>
                          <m:ctrlPr>
                            <w:rPr>
                              <w:rFonts w:ascii="Cambria Math" w:hAnsi="Cambria Math" w:cs="Arial"/>
                              <w:bCs/>
                              <w:i/>
                              <w:iCs/>
                              <w:color w:val="000000"/>
                              <w:sz w:val="20"/>
                              <w:szCs w:val="20"/>
                            </w:rPr>
                          </m:ctrlPr>
                        </m:sSubPr>
                        <m:e>
                          <m:r>
                            <w:rPr>
                              <w:rFonts w:ascii="Cambria Math" w:hAnsi="Cambria Math" w:cs="Arial"/>
                              <w:color w:val="000000"/>
                              <w:sz w:val="20"/>
                              <w:szCs w:val="20"/>
                            </w:rPr>
                            <m:t>COPSDU</m:t>
                          </m:r>
                        </m:e>
                        <m:sub>
                          <m:r>
                            <w:rPr>
                              <w:rFonts w:ascii="Cambria Math" w:hAnsi="Cambria Math" w:cs="Arial"/>
                              <w:color w:val="000000"/>
                              <w:sz w:val="20"/>
                              <w:szCs w:val="20"/>
                            </w:rPr>
                            <m:t>m</m:t>
                          </m:r>
                        </m:sub>
                      </m:sSub>
                    </m:num>
                    <m:den>
                      <m:r>
                        <w:rPr>
                          <w:rFonts w:ascii="Cambria Math" w:hAnsi="Cambria Math" w:cs="Arial"/>
                          <w:color w:val="000000"/>
                          <w:sz w:val="20"/>
                          <w:szCs w:val="20"/>
                        </w:rPr>
                        <m:t>CDSR+CDSIBR</m:t>
                      </m:r>
                    </m:den>
                  </m:f>
                </m:e>
              </m:d>
              <m:r>
                <w:rPr>
                  <w:rFonts w:ascii="Cambria Math" w:hAnsi="Cambria Math" w:cs="Arial"/>
                  <w:color w:val="000000"/>
                  <w:sz w:val="20"/>
                  <w:szCs w:val="20"/>
                </w:rPr>
                <m:t xml:space="preserve"> X </m:t>
              </m:r>
              <m:sSub>
                <m:sSubPr>
                  <m:ctrlPr>
                    <w:rPr>
                      <w:rFonts w:ascii="Cambria Math" w:hAnsi="Cambria Math" w:cs="Arial"/>
                      <w:bCs/>
                      <w:i/>
                      <w:iCs/>
                      <w:color w:val="000000"/>
                      <w:sz w:val="20"/>
                      <w:szCs w:val="20"/>
                    </w:rPr>
                  </m:ctrlPr>
                </m:sSubPr>
                <m:e>
                  <m:r>
                    <w:rPr>
                      <w:rFonts w:ascii="Cambria Math" w:hAnsi="Cambria Math" w:cs="Arial"/>
                      <w:color w:val="000000"/>
                      <w:sz w:val="20"/>
                      <w:szCs w:val="20"/>
                    </w:rPr>
                    <m:t>IM</m:t>
                  </m:r>
                </m:e>
                <m:sub>
                  <m:r>
                    <w:rPr>
                      <w:rFonts w:ascii="Cambria Math" w:hAnsi="Cambria Math" w:cs="Arial"/>
                      <w:color w:val="000000"/>
                      <w:sz w:val="20"/>
                      <w:szCs w:val="20"/>
                    </w:rPr>
                    <m:t>DRAR1</m:t>
                  </m:r>
                </m:sub>
              </m:sSub>
              <m:r>
                <w:rPr>
                  <w:rFonts w:ascii="Cambria Math" w:hAnsi="Cambria Math" w:cs="Arial"/>
                  <w:color w:val="000000"/>
                  <w:sz w:val="20"/>
                  <w:szCs w:val="20"/>
                </w:rPr>
                <m:t xml:space="preserve">+  </m:t>
              </m:r>
              <m:d>
                <m:dPr>
                  <m:ctrlPr>
                    <w:rPr>
                      <w:rFonts w:ascii="Cambria Math" w:hAnsi="Cambria Math" w:cs="Arial"/>
                      <w:i/>
                      <w:iCs/>
                      <w:color w:val="000000"/>
                      <w:sz w:val="20"/>
                      <w:szCs w:val="20"/>
                    </w:rPr>
                  </m:ctrlPr>
                </m:dPr>
                <m:e>
                  <m:f>
                    <m:fPr>
                      <m:ctrlPr>
                        <w:rPr>
                          <w:rFonts w:ascii="Cambria Math" w:hAnsi="Cambria Math" w:cs="Arial"/>
                          <w:i/>
                          <w:iCs/>
                          <w:color w:val="000000"/>
                          <w:sz w:val="20"/>
                          <w:szCs w:val="20"/>
                        </w:rPr>
                      </m:ctrlPr>
                    </m:fPr>
                    <m:num>
                      <m:sSub>
                        <m:sSubPr>
                          <m:ctrlPr>
                            <w:rPr>
                              <w:rFonts w:ascii="Cambria Math" w:hAnsi="Cambria Math" w:cs="Arial"/>
                              <w:i/>
                              <w:iCs/>
                              <w:color w:val="000000"/>
                              <w:sz w:val="20"/>
                              <w:szCs w:val="20"/>
                            </w:rPr>
                          </m:ctrlPr>
                        </m:sSubPr>
                        <m:e>
                          <m:r>
                            <w:rPr>
                              <w:rFonts w:ascii="Cambria Math" w:hAnsi="Cambria Math" w:cs="Arial"/>
                              <w:color w:val="000000"/>
                              <w:sz w:val="20"/>
                              <w:szCs w:val="20"/>
                            </w:rPr>
                            <m:t>COPCT</m:t>
                          </m:r>
                        </m:e>
                        <m:sub>
                          <m:r>
                            <w:rPr>
                              <w:rFonts w:ascii="Cambria Math" w:hAnsi="Cambria Math" w:cs="Arial"/>
                              <w:color w:val="000000"/>
                              <w:sz w:val="20"/>
                              <w:szCs w:val="20"/>
                            </w:rPr>
                            <m:t>m</m:t>
                          </m:r>
                        </m:sub>
                      </m:sSub>
                    </m:num>
                    <m:den>
                      <m:r>
                        <w:rPr>
                          <w:rFonts w:ascii="Cambria Math" w:hAnsi="Cambria Math" w:cs="Arial"/>
                          <w:color w:val="000000"/>
                          <w:sz w:val="20"/>
                          <w:szCs w:val="20"/>
                        </w:rPr>
                        <m:t>CDSICT</m:t>
                      </m:r>
                    </m:den>
                  </m:f>
                </m:e>
              </m:d>
              <m:r>
                <w:rPr>
                  <w:rFonts w:ascii="Cambria Math" w:hAnsi="Cambria Math" w:cs="Arial"/>
                  <w:color w:val="000000"/>
                  <w:sz w:val="20"/>
                  <w:szCs w:val="20"/>
                </w:rPr>
                <m:t xml:space="preserve"> × </m:t>
              </m:r>
              <m:sSub>
                <m:sSubPr>
                  <m:ctrlPr>
                    <w:rPr>
                      <w:rFonts w:ascii="Cambria Math" w:hAnsi="Cambria Math" w:cs="Arial"/>
                      <w:bCs/>
                      <w:i/>
                      <w:iCs/>
                      <w:color w:val="000000"/>
                      <w:sz w:val="20"/>
                      <w:szCs w:val="20"/>
                    </w:rPr>
                  </m:ctrlPr>
                </m:sSubPr>
                <m:e>
                  <m:r>
                    <w:rPr>
                      <w:rFonts w:ascii="Cambria Math" w:hAnsi="Cambria Math" w:cs="Arial"/>
                      <w:color w:val="000000"/>
                      <w:sz w:val="20"/>
                      <w:szCs w:val="20"/>
                    </w:rPr>
                    <m:t>IM</m:t>
                  </m:r>
                </m:e>
                <m:sub>
                  <m:r>
                    <w:rPr>
                      <w:rFonts w:ascii="Cambria Math" w:hAnsi="Cambria Math" w:cs="Arial"/>
                      <w:color w:val="000000"/>
                      <w:sz w:val="20"/>
                      <w:szCs w:val="20"/>
                    </w:rPr>
                    <m:t>c1</m:t>
                  </m:r>
                </m:sub>
              </m:sSub>
              <m:r>
                <w:rPr>
                  <w:rFonts w:ascii="Cambria Math" w:hAnsi="Cambria Math" w:cs="Arial"/>
                  <w:color w:val="000000"/>
                  <w:sz w:val="20"/>
                  <w:szCs w:val="20"/>
                </w:rPr>
                <m:t xml:space="preserve"> </m:t>
              </m:r>
            </m:e>
          </m:d>
          <m:r>
            <w:rPr>
              <w:rFonts w:ascii="Cambria Math" w:hAnsi="Cambria Math" w:cs="Arial"/>
              <w:color w:val="000000"/>
              <w:sz w:val="20"/>
              <w:szCs w:val="20"/>
            </w:rPr>
            <m:t xml:space="preserve"> </m:t>
          </m:r>
        </m:oMath>
      </m:oMathPara>
    </w:p>
    <w:p w14:paraId="49DB3AAA" w14:textId="77777777" w:rsidR="006F7566" w:rsidRPr="0051077F" w:rsidRDefault="006F7566" w:rsidP="0051077F">
      <w:pPr>
        <w:spacing w:before="240" w:after="240"/>
        <w:ind w:left="284"/>
        <w:jc w:val="both"/>
        <w:rPr>
          <w:rFonts w:ascii="Bookman Old Style" w:hAnsi="Bookman Old Style" w:cs="Arial"/>
          <w:bCs/>
          <w:i/>
          <w:iCs/>
          <w:color w:val="000000"/>
        </w:rPr>
      </w:pPr>
      <w:r w:rsidRPr="0051077F">
        <w:rPr>
          <w:rFonts w:ascii="Bookman Old Style" w:hAnsi="Bookman Old Style" w:cs="Arial"/>
          <w:bCs/>
          <w:i/>
          <w:iCs/>
          <w:color w:val="000000"/>
        </w:rPr>
        <w:t>Donde:</w:t>
      </w:r>
    </w:p>
    <w:p w14:paraId="7A666718" w14:textId="77777777"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IROP</w:t>
      </w:r>
      <w:r w:rsidRPr="0051077F">
        <w:rPr>
          <w:rFonts w:ascii="Bookman Old Style" w:hAnsi="Bookman Old Style" w:cs="Arial"/>
          <w:bCs/>
          <w:i/>
          <w:iCs/>
          <w:color w:val="000000"/>
          <w:vertAlign w:val="subscript"/>
        </w:rPr>
        <w:t>m</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Ingreso regulado durante la operación parcial, en el mes m.</w:t>
      </w:r>
    </w:p>
    <w:p w14:paraId="458DEDAB" w14:textId="77BE9D9C"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 xml:space="preserve">%IADIC: </w:t>
      </w:r>
      <w:r w:rsidRPr="0051077F">
        <w:rPr>
          <w:rFonts w:ascii="Bookman Old Style" w:hAnsi="Bookman Old Style" w:cs="Arial"/>
          <w:bCs/>
          <w:i/>
          <w:iCs/>
          <w:color w:val="000000"/>
        </w:rPr>
        <w:tab/>
        <w:t xml:space="preserve">Porcentaje del 8% de incentivo por operación parcial. </w:t>
      </w:r>
    </w:p>
    <w:p w14:paraId="70E38CF7" w14:textId="77777777" w:rsidR="006F7566" w:rsidRPr="0051077F" w:rsidRDefault="006F7566" w:rsidP="0051077F">
      <w:pPr>
        <w:spacing w:before="240" w:after="240"/>
        <w:ind w:left="1701" w:hanging="1417"/>
        <w:jc w:val="both"/>
        <w:rPr>
          <w:rFonts w:ascii="Bookman Old Style" w:hAnsi="Bookman Old Style"/>
          <w:i/>
          <w:iCs/>
        </w:rPr>
      </w:pPr>
      <w:r w:rsidRPr="0051077F">
        <w:rPr>
          <w:rFonts w:ascii="Bookman Old Style" w:hAnsi="Bookman Old Style" w:cs="Arial"/>
          <w:bCs/>
          <w:i/>
          <w:iCs/>
          <w:color w:val="000000"/>
        </w:rPr>
        <w:t>COPYP</w:t>
      </w:r>
      <w:r w:rsidRPr="0051077F">
        <w:rPr>
          <w:rFonts w:ascii="Bookman Old Style" w:hAnsi="Bookman Old Style" w:cs="Arial"/>
          <w:bCs/>
          <w:i/>
          <w:iCs/>
          <w:color w:val="000000"/>
          <w:vertAlign w:val="subscript"/>
        </w:rPr>
        <w:t>m</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Capacidad puesta en operación parcial para entrega de gas</w:t>
      </w:r>
      <w:r w:rsidRPr="0051077F">
        <w:rPr>
          <w:rFonts w:ascii="Bookman Old Style" w:hAnsi="Bookman Old Style"/>
          <w:i/>
          <w:iCs/>
        </w:rPr>
        <w:t xml:space="preserve"> natural al Sistema Nacional de Transporte en un punto de entrega ubicado en el límite geopolítico del municipio de Yumbo – Valle del Cauca, en el mes m, dada en MPCD.</w:t>
      </w:r>
    </w:p>
    <w:p w14:paraId="64A3C362" w14:textId="77777777"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CDSIY:</w:t>
      </w:r>
      <w:r w:rsidRPr="0051077F">
        <w:rPr>
          <w:rFonts w:ascii="Bookman Old Style" w:hAnsi="Bookman Old Style" w:cs="Arial"/>
          <w:bCs/>
          <w:i/>
          <w:iCs/>
          <w:color w:val="000000"/>
        </w:rPr>
        <w:tab/>
        <w:t>Capacidad de transporte del gasoducto desde la planta de regasificación del Pacífico hasta el Sistema Nacional de Transporte en Yumbo, establecida en los documentos de selección del inversionista, dada en MPCD.</w:t>
      </w:r>
    </w:p>
    <w:p w14:paraId="798B76EA" w14:textId="77777777"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IM</w:t>
      </w:r>
      <w:r w:rsidRPr="0051077F">
        <w:rPr>
          <w:rFonts w:ascii="Bookman Old Style" w:hAnsi="Bookman Old Style" w:cs="Arial"/>
          <w:bCs/>
          <w:i/>
          <w:iCs/>
          <w:color w:val="000000"/>
          <w:vertAlign w:val="subscript"/>
        </w:rPr>
        <w:t>1</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Valor mensualizado del primer año del período estándar de pagos, que se obtiene de dividir por 12 el IAE del primer año del PEP.</w:t>
      </w:r>
    </w:p>
    <w:p w14:paraId="765DF9EC" w14:textId="77777777"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CDSR:</w:t>
      </w:r>
      <w:r w:rsidRPr="0051077F">
        <w:rPr>
          <w:rFonts w:ascii="Bookman Old Style" w:hAnsi="Bookman Old Style" w:cs="Arial"/>
          <w:bCs/>
          <w:i/>
          <w:iCs/>
          <w:color w:val="000000"/>
        </w:rPr>
        <w:tab/>
        <w:t>Capacidad de regasificación, establecida en los documentos de selección del inversionista, dada en MPCD.</w:t>
      </w:r>
    </w:p>
    <w:p w14:paraId="0E49C9F3" w14:textId="77777777"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CDSIBR:</w:t>
      </w:r>
      <w:r w:rsidRPr="0051077F">
        <w:rPr>
          <w:rFonts w:ascii="Bookman Old Style" w:hAnsi="Bookman Old Style" w:cs="Arial"/>
          <w:bCs/>
          <w:i/>
          <w:iCs/>
          <w:color w:val="000000"/>
        </w:rPr>
        <w:tab/>
        <w:t>Capacidad de regasificación para entrega a sistemas de distribución local o usuarios no regulados, establecida en los documentos de selección del inversionista, dada en MPCD.</w:t>
      </w:r>
    </w:p>
    <w:p w14:paraId="3FD52274" w14:textId="77777777"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COPSDU</w:t>
      </w:r>
      <w:r w:rsidRPr="0051077F">
        <w:rPr>
          <w:rFonts w:ascii="Bookman Old Style" w:hAnsi="Bookman Old Style" w:cs="Arial"/>
          <w:bCs/>
          <w:i/>
          <w:iCs/>
          <w:color w:val="000000"/>
          <w:vertAlign w:val="subscript"/>
        </w:rPr>
        <w:t>m</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 xml:space="preserve">Capacidad puesta en operación parcial para entrega en Buenaventura de gas natural regasificado a gasoductos de conexión de sistemas de distribución local o usuarios no regulados, en condiciones RUT, en el mes m, dada en MPCD. </w:t>
      </w:r>
    </w:p>
    <w:p w14:paraId="6E97984D" w14:textId="77777777"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IM</w:t>
      </w:r>
      <w:r w:rsidRPr="0051077F">
        <w:rPr>
          <w:rFonts w:ascii="Bookman Old Style" w:hAnsi="Bookman Old Style" w:cs="Arial"/>
          <w:bCs/>
          <w:i/>
          <w:iCs/>
          <w:color w:val="000000"/>
          <w:vertAlign w:val="subscript"/>
        </w:rPr>
        <w:t>DRAR1</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Suma del valor del IAE mensualizado del primer año del PEP, declarados en la oferta adjudicada para el descargue y recibo de gas natural licuado, almacenamiento de gas natural licuado y regasificación.</w:t>
      </w:r>
    </w:p>
    <w:p w14:paraId="48BAABD9" w14:textId="77777777"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COPCT</w:t>
      </w:r>
      <w:r w:rsidRPr="0051077F">
        <w:rPr>
          <w:rFonts w:ascii="Bookman Old Style" w:hAnsi="Bookman Old Style" w:cs="Arial"/>
          <w:bCs/>
          <w:i/>
          <w:iCs/>
          <w:color w:val="000000"/>
          <w:vertAlign w:val="subscript"/>
        </w:rPr>
        <w:t>m</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Capacidad puesta en operación parcial para carga de carrotanques de gas natural licuado, dada en m</w:t>
      </w:r>
      <w:r w:rsidRPr="0051077F">
        <w:rPr>
          <w:rFonts w:ascii="Bookman Old Style" w:hAnsi="Bookman Old Style" w:cs="Arial"/>
          <w:bCs/>
          <w:i/>
          <w:iCs/>
          <w:color w:val="000000"/>
          <w:vertAlign w:val="superscript"/>
        </w:rPr>
        <w:t>3</w:t>
      </w:r>
      <w:r w:rsidRPr="0051077F">
        <w:rPr>
          <w:rFonts w:ascii="Bookman Old Style" w:hAnsi="Bookman Old Style" w:cs="Arial"/>
          <w:bCs/>
          <w:i/>
          <w:iCs/>
          <w:color w:val="000000"/>
        </w:rPr>
        <w:t>/hora.</w:t>
      </w:r>
    </w:p>
    <w:p w14:paraId="3C5F70A2" w14:textId="77777777"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 xml:space="preserve">CDSICT: </w:t>
      </w:r>
      <w:r w:rsidRPr="0051077F">
        <w:rPr>
          <w:rFonts w:ascii="Bookman Old Style" w:hAnsi="Bookman Old Style" w:cs="Arial"/>
          <w:bCs/>
          <w:i/>
          <w:iCs/>
          <w:color w:val="000000"/>
        </w:rPr>
        <w:tab/>
        <w:t>Capacidad de carga de carrotanques de gas natural licuado, establecida en los documentos de selección del inversionista, dada en m</w:t>
      </w:r>
      <w:r w:rsidRPr="0051077F">
        <w:rPr>
          <w:rFonts w:ascii="Bookman Old Style" w:hAnsi="Bookman Old Style" w:cs="Arial"/>
          <w:bCs/>
          <w:i/>
          <w:iCs/>
          <w:color w:val="000000"/>
          <w:vertAlign w:val="superscript"/>
        </w:rPr>
        <w:t>3</w:t>
      </w:r>
      <w:r w:rsidRPr="0051077F">
        <w:rPr>
          <w:rFonts w:ascii="Bookman Old Style" w:hAnsi="Bookman Old Style" w:cs="Arial"/>
          <w:bCs/>
          <w:i/>
          <w:iCs/>
          <w:color w:val="000000"/>
        </w:rPr>
        <w:t>/hora.</w:t>
      </w:r>
    </w:p>
    <w:p w14:paraId="3470D7A9" w14:textId="77777777"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IM</w:t>
      </w:r>
      <w:r w:rsidRPr="0051077F">
        <w:rPr>
          <w:rFonts w:ascii="Bookman Old Style" w:hAnsi="Bookman Old Style" w:cs="Arial"/>
          <w:bCs/>
          <w:i/>
          <w:iCs/>
          <w:color w:val="000000"/>
          <w:vertAlign w:val="subscript"/>
        </w:rPr>
        <w:t>C1</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 xml:space="preserve">Suma del valor del IAE mensualizado del primer año del PEP, declarados en la oferta adjudicada para la carga de carrotanques de gas natural licuado. </w:t>
      </w:r>
    </w:p>
    <w:p w14:paraId="051E8CAF" w14:textId="5F06D325" w:rsidR="006F7566" w:rsidRPr="0051077F" w:rsidRDefault="006F7566" w:rsidP="0051077F">
      <w:pPr>
        <w:spacing w:before="240" w:after="240"/>
        <w:ind w:left="284"/>
        <w:jc w:val="both"/>
        <w:rPr>
          <w:rFonts w:ascii="Bookman Old Style" w:hAnsi="Bookman Old Style" w:cs="Arial"/>
          <w:bCs/>
          <w:i/>
          <w:iCs/>
          <w:color w:val="000000"/>
        </w:rPr>
      </w:pPr>
      <w:r w:rsidRPr="0051077F">
        <w:rPr>
          <w:rFonts w:ascii="Bookman Old Style" w:hAnsi="Bookman Old Style" w:cs="Arial"/>
          <w:b/>
          <w:i/>
          <w:iCs/>
          <w:color w:val="000000"/>
        </w:rPr>
        <w:t>Parágrafo:</w:t>
      </w:r>
      <w:r w:rsidRPr="0051077F">
        <w:rPr>
          <w:rFonts w:ascii="Bookman Old Style" w:hAnsi="Bookman Old Style" w:cs="Arial"/>
          <w:bCs/>
          <w:i/>
          <w:iCs/>
          <w:color w:val="000000"/>
        </w:rPr>
        <w:t xml:space="preserve"> El auditor deberá certificar los valores de las capacidades puestas en operación parcial establecidas en la ecuación anterior.</w:t>
      </w:r>
      <w:r w:rsidR="0051077F">
        <w:rPr>
          <w:rFonts w:ascii="Bookman Old Style" w:hAnsi="Bookman Old Style" w:cs="Arial"/>
          <w:bCs/>
          <w:i/>
          <w:iCs/>
          <w:color w:val="000000"/>
        </w:rPr>
        <w:t>”</w:t>
      </w:r>
    </w:p>
    <w:p w14:paraId="0007B9EB" w14:textId="3CD2426E" w:rsidR="006F7566" w:rsidRDefault="006F7566" w:rsidP="006F7566">
      <w:pPr>
        <w:spacing w:before="240" w:after="240"/>
        <w:ind w:left="0"/>
        <w:jc w:val="both"/>
        <w:rPr>
          <w:rFonts w:ascii="Bookman Old Style" w:hAnsi="Bookman Old Style" w:cs="Arial"/>
          <w:bCs/>
          <w:color w:val="000000"/>
        </w:rPr>
      </w:pPr>
      <w:r w:rsidRPr="00356462">
        <w:rPr>
          <w:rFonts w:ascii="Bookman Old Style" w:hAnsi="Bookman Old Style"/>
          <w:b/>
          <w:bCs/>
          <w:lang w:val="es-CO"/>
        </w:rPr>
        <w:t xml:space="preserve">Artículo </w:t>
      </w:r>
      <w:r w:rsidR="0087207D">
        <w:rPr>
          <w:rFonts w:ascii="Bookman Old Style" w:hAnsi="Bookman Old Style"/>
          <w:b/>
          <w:bCs/>
          <w:lang w:val="es-CO"/>
        </w:rPr>
        <w:t>9</w:t>
      </w:r>
      <w:r w:rsidRPr="00356462">
        <w:rPr>
          <w:rFonts w:ascii="Bookman Old Style" w:hAnsi="Bookman Old Style"/>
          <w:b/>
          <w:bCs/>
          <w:lang w:val="es-CO"/>
        </w:rPr>
        <w:t xml:space="preserve">. </w:t>
      </w:r>
      <w:r>
        <w:rPr>
          <w:rFonts w:ascii="Bookman Old Style" w:hAnsi="Bookman Old Style" w:cs="Arial"/>
          <w:bCs/>
          <w:color w:val="000000"/>
        </w:rPr>
        <w:t xml:space="preserve">Adiciónese el siguiente artículo a la Resolución CREG 152 de 2017, así: </w:t>
      </w:r>
    </w:p>
    <w:p w14:paraId="43742385" w14:textId="28FD6BB5" w:rsidR="006F7566" w:rsidRPr="0051077F" w:rsidRDefault="0051077F" w:rsidP="0051077F">
      <w:pPr>
        <w:spacing w:before="240" w:after="240"/>
        <w:ind w:left="284"/>
        <w:jc w:val="both"/>
        <w:rPr>
          <w:rFonts w:ascii="Bookman Old Style" w:hAnsi="Bookman Old Style"/>
          <w:i/>
          <w:iCs/>
          <w:lang w:val="es-CO"/>
        </w:rPr>
      </w:pPr>
      <w:r>
        <w:rPr>
          <w:rFonts w:ascii="Bookman Old Style" w:hAnsi="Bookman Old Style"/>
          <w:b/>
          <w:bCs/>
          <w:i/>
          <w:iCs/>
          <w:lang w:val="es-CO"/>
        </w:rPr>
        <w:t>“</w:t>
      </w:r>
      <w:r w:rsidR="006F7566" w:rsidRPr="0051077F">
        <w:rPr>
          <w:rFonts w:ascii="Bookman Old Style" w:hAnsi="Bookman Old Style"/>
          <w:b/>
          <w:bCs/>
          <w:i/>
          <w:iCs/>
          <w:lang w:val="es-CO"/>
        </w:rPr>
        <w:t>Artículo 1</w:t>
      </w:r>
      <w:r w:rsidR="00F21032" w:rsidRPr="0051077F">
        <w:rPr>
          <w:rFonts w:ascii="Bookman Old Style" w:hAnsi="Bookman Old Style"/>
          <w:b/>
          <w:bCs/>
          <w:i/>
          <w:iCs/>
          <w:lang w:val="es-CO"/>
        </w:rPr>
        <w:t>5</w:t>
      </w:r>
      <w:r w:rsidR="006F7566" w:rsidRPr="0051077F">
        <w:rPr>
          <w:rFonts w:ascii="Bookman Old Style" w:hAnsi="Bookman Old Style"/>
          <w:b/>
          <w:bCs/>
          <w:i/>
          <w:iCs/>
          <w:lang w:val="es-CO"/>
        </w:rPr>
        <w:t>. Compensaciones por indisponibilidad Factor de indisponibilidad.</w:t>
      </w:r>
      <w:r w:rsidR="006F7566" w:rsidRPr="0051077F">
        <w:rPr>
          <w:rFonts w:ascii="Bookman Old Style" w:hAnsi="Bookman Old Style"/>
          <w:i/>
          <w:iCs/>
          <w:lang w:val="es-CO"/>
        </w:rPr>
        <w:t xml:space="preserve"> El valor de las compensaciones por indisponibilidad de la infraestructura de importación de gas del Pacífico en el evento de presentarse operación parcial de dicho proyecto, de acuerdo con lo contemplado en el literal a) y en el literal b) del Artículo 18 de la Resolución CREG 107 de 2017 y aquellas que la modifiquen o sustituyan, se calculará de la siguiente manera: </w:t>
      </w:r>
    </w:p>
    <w:p w14:paraId="5983732B" w14:textId="77777777" w:rsidR="006F7566" w:rsidRPr="00356462" w:rsidRDefault="001F3C7E" w:rsidP="0051077F">
      <w:pPr>
        <w:spacing w:before="240" w:after="240"/>
        <w:ind w:left="284"/>
        <w:jc w:val="both"/>
        <w:rPr>
          <w:rFonts w:ascii="Bookman Old Style" w:hAnsi="Bookman Old Style"/>
          <w:bCs/>
          <w:lang w:val="es-CO"/>
        </w:rPr>
      </w:pPr>
      <m:oMathPara>
        <m:oMath>
          <m:sSub>
            <m:sSubPr>
              <m:ctrlPr>
                <w:rPr>
                  <w:rFonts w:ascii="Cambria Math" w:hAnsi="Cambria Math"/>
                  <w:i/>
                  <w:sz w:val="22"/>
                  <w:szCs w:val="22"/>
                  <w:lang w:val="es-CO"/>
                </w:rPr>
              </m:ctrlPr>
            </m:sSubPr>
            <m:e>
              <m:r>
                <w:rPr>
                  <w:rFonts w:ascii="Cambria Math" w:hAnsi="Cambria Math"/>
                  <w:sz w:val="22"/>
                  <w:szCs w:val="22"/>
                  <w:lang w:val="es-CO"/>
                </w:rPr>
                <m:t>COP</m:t>
              </m:r>
            </m:e>
            <m:sub>
              <m:r>
                <w:rPr>
                  <w:rFonts w:ascii="Cambria Math" w:hAnsi="Cambria Math"/>
                  <w:sz w:val="22"/>
                  <w:szCs w:val="22"/>
                  <w:lang w:val="es-CO"/>
                </w:rPr>
                <m:t>sPAG,m</m:t>
              </m:r>
            </m:sub>
          </m:sSub>
          <m:r>
            <w:rPr>
              <w:rFonts w:ascii="Cambria Math" w:hAnsi="Cambria Math"/>
              <w:sz w:val="22"/>
              <w:szCs w:val="22"/>
              <w:lang w:val="es-CO"/>
            </w:rPr>
            <m:t xml:space="preserve">= </m:t>
          </m:r>
          <m:d>
            <m:dPr>
              <m:begChr m:val="["/>
              <m:endChr m:val="]"/>
              <m:ctrlPr>
                <w:rPr>
                  <w:rFonts w:ascii="Cambria Math" w:hAnsi="Cambria Math"/>
                  <w:i/>
                  <w:sz w:val="22"/>
                  <w:szCs w:val="22"/>
                  <w:lang w:val="es-CO"/>
                </w:rPr>
              </m:ctrlPr>
            </m:dPr>
            <m:e>
              <m:d>
                <m:dPr>
                  <m:ctrlPr>
                    <w:rPr>
                      <w:rFonts w:ascii="Cambria Math" w:hAnsi="Cambria Math" w:cs="Arial"/>
                      <w:bCs/>
                      <w:i/>
                      <w:color w:val="000000"/>
                      <w:sz w:val="22"/>
                      <w:szCs w:val="22"/>
                    </w:rPr>
                  </m:ctrlPr>
                </m:dPr>
                <m:e>
                  <m:r>
                    <w:rPr>
                      <w:rFonts w:ascii="Cambria Math" w:hAnsi="Cambria Math" w:cs="Arial"/>
                      <w:color w:val="000000"/>
                      <w:sz w:val="22"/>
                      <w:szCs w:val="22"/>
                    </w:rPr>
                    <m:t>1+%IADIC</m:t>
                  </m:r>
                </m:e>
              </m:d>
              <m:r>
                <w:rPr>
                  <w:rFonts w:ascii="Cambria Math" w:hAnsi="Cambria Math" w:cs="Arial"/>
                  <w:color w:val="000000"/>
                  <w:sz w:val="22"/>
                  <w:szCs w:val="22"/>
                </w:rPr>
                <m:t xml:space="preserve"> ×</m:t>
              </m:r>
              <m:d>
                <m:dPr>
                  <m:begChr m:val="["/>
                  <m:endChr m:val="]"/>
                  <m:ctrlPr>
                    <w:rPr>
                      <w:rFonts w:ascii="Cambria Math" w:hAnsi="Cambria Math" w:cs="Arial"/>
                      <w:i/>
                      <w:color w:val="000000"/>
                      <w:sz w:val="22"/>
                      <w:szCs w:val="22"/>
                    </w:rPr>
                  </m:ctrlPr>
                </m:dPr>
                <m:e>
                  <m:d>
                    <m:dPr>
                      <m:ctrlPr>
                        <w:rPr>
                          <w:rFonts w:ascii="Cambria Math" w:hAnsi="Cambria Math" w:cs="Arial"/>
                          <w:bCs/>
                          <w:i/>
                          <w:color w:val="000000"/>
                          <w:sz w:val="22"/>
                          <w:szCs w:val="22"/>
                        </w:rPr>
                      </m:ctrlPr>
                    </m:dPr>
                    <m:e>
                      <m:f>
                        <m:fPr>
                          <m:ctrlPr>
                            <w:rPr>
                              <w:rFonts w:ascii="Cambria Math" w:hAnsi="Cambria Math" w:cs="Arial"/>
                              <w:bCs/>
                              <w:i/>
                              <w:color w:val="000000"/>
                              <w:sz w:val="22"/>
                              <w:szCs w:val="22"/>
                            </w:rPr>
                          </m:ctrlPr>
                        </m:fPr>
                        <m:num>
                          <m:sSub>
                            <m:sSubPr>
                              <m:ctrlPr>
                                <w:rPr>
                                  <w:rFonts w:ascii="Cambria Math" w:hAnsi="Cambria Math" w:cs="Arial"/>
                                  <w:bCs/>
                                  <w:i/>
                                  <w:color w:val="000000"/>
                                  <w:sz w:val="22"/>
                                  <w:szCs w:val="22"/>
                                </w:rPr>
                              </m:ctrlPr>
                            </m:sSubPr>
                            <m:e>
                              <m:r>
                                <w:rPr>
                                  <w:rFonts w:ascii="Cambria Math" w:hAnsi="Cambria Math" w:cs="Arial"/>
                                  <w:color w:val="000000"/>
                                  <w:sz w:val="22"/>
                                  <w:szCs w:val="22"/>
                                </w:rPr>
                                <m:t>COPYP</m:t>
                              </m:r>
                            </m:e>
                            <m:sub>
                              <m:r>
                                <w:rPr>
                                  <w:rFonts w:ascii="Cambria Math" w:hAnsi="Cambria Math" w:cs="Arial"/>
                                  <w:color w:val="000000"/>
                                  <w:sz w:val="22"/>
                                  <w:szCs w:val="22"/>
                                </w:rPr>
                                <m:t>m</m:t>
                              </m:r>
                            </m:sub>
                          </m:sSub>
                        </m:num>
                        <m:den>
                          <m:r>
                            <w:rPr>
                              <w:rFonts w:ascii="Cambria Math" w:hAnsi="Cambria Math" w:cs="Arial"/>
                              <w:color w:val="000000"/>
                              <w:sz w:val="22"/>
                              <w:szCs w:val="22"/>
                            </w:rPr>
                            <m:t>CDSIY</m:t>
                          </m:r>
                        </m:den>
                      </m:f>
                    </m:e>
                  </m:d>
                  <m:r>
                    <w:rPr>
                      <w:rFonts w:ascii="Cambria Math" w:hAnsi="Cambria Math" w:cs="Arial"/>
                      <w:color w:val="000000"/>
                      <w:sz w:val="22"/>
                      <w:szCs w:val="22"/>
                    </w:rPr>
                    <m:t xml:space="preserve"> ×</m:t>
                  </m:r>
                  <m:sSub>
                    <m:sSubPr>
                      <m:ctrlPr>
                        <w:rPr>
                          <w:rFonts w:ascii="Cambria Math" w:hAnsi="Cambria Math" w:cs="Arial"/>
                          <w:bCs/>
                          <w:i/>
                          <w:color w:val="000000"/>
                          <w:sz w:val="22"/>
                          <w:szCs w:val="22"/>
                        </w:rPr>
                      </m:ctrlPr>
                    </m:sSubPr>
                    <m:e>
                      <m:r>
                        <w:rPr>
                          <w:rFonts w:ascii="Cambria Math" w:hAnsi="Cambria Math" w:cs="Arial"/>
                          <w:color w:val="000000"/>
                          <w:sz w:val="22"/>
                          <w:szCs w:val="22"/>
                        </w:rPr>
                        <m:t>IM</m:t>
                      </m:r>
                    </m:e>
                    <m:sub>
                      <m:r>
                        <w:rPr>
                          <w:rFonts w:ascii="Cambria Math" w:hAnsi="Cambria Math" w:cs="Arial"/>
                          <w:color w:val="000000"/>
                          <w:sz w:val="22"/>
                          <w:szCs w:val="22"/>
                        </w:rPr>
                        <m:t>1</m:t>
                      </m:r>
                    </m:sub>
                  </m:sSub>
                  <m:r>
                    <w:rPr>
                      <w:rFonts w:ascii="Cambria Math" w:hAnsi="Cambria Math" w:cs="Arial"/>
                      <w:color w:val="000000"/>
                      <w:sz w:val="22"/>
                      <w:szCs w:val="22"/>
                    </w:rPr>
                    <m:t xml:space="preserve">× </m:t>
                  </m:r>
                  <m:d>
                    <m:dPr>
                      <m:ctrlPr>
                        <w:rPr>
                          <w:rFonts w:ascii="Cambria Math" w:hAnsi="Cambria Math" w:cs="Arial"/>
                          <w:bCs/>
                          <w:i/>
                          <w:color w:val="000000"/>
                          <w:sz w:val="22"/>
                          <w:szCs w:val="22"/>
                        </w:rPr>
                      </m:ctrlPr>
                    </m:dPr>
                    <m:e>
                      <m:nary>
                        <m:naryPr>
                          <m:chr m:val="∑"/>
                          <m:limLoc m:val="undOvr"/>
                          <m:ctrlPr>
                            <w:rPr>
                              <w:rFonts w:ascii="Cambria Math" w:hAnsi="Cambria Math" w:cs="Arial"/>
                              <w:bCs/>
                              <w:i/>
                              <w:color w:val="000000"/>
                              <w:sz w:val="22"/>
                              <w:szCs w:val="22"/>
                            </w:rPr>
                          </m:ctrlPr>
                        </m:naryPr>
                        <m:sub>
                          <m:r>
                            <w:rPr>
                              <w:rFonts w:ascii="Cambria Math" w:hAnsi="Cambria Math" w:cs="Arial"/>
                              <w:color w:val="000000"/>
                              <w:sz w:val="22"/>
                              <w:szCs w:val="22"/>
                            </w:rPr>
                            <m:t>i=0</m:t>
                          </m:r>
                        </m:sub>
                        <m:sup>
                          <m:r>
                            <w:rPr>
                              <w:rFonts w:ascii="Cambria Math" w:hAnsi="Cambria Math" w:cs="Arial"/>
                              <w:color w:val="000000"/>
                              <w:sz w:val="22"/>
                              <w:szCs w:val="22"/>
                            </w:rPr>
                            <m:t>D</m:t>
                          </m:r>
                        </m:sup>
                        <m:e>
                          <m:sSub>
                            <m:sSubPr>
                              <m:ctrlPr>
                                <w:rPr>
                                  <w:rFonts w:ascii="Cambria Math" w:hAnsi="Cambria Math" w:cs="Arial"/>
                                  <w:bCs/>
                                  <w:i/>
                                  <w:color w:val="000000"/>
                                  <w:sz w:val="22"/>
                                  <w:szCs w:val="22"/>
                                </w:rPr>
                              </m:ctrlPr>
                            </m:sSubPr>
                            <m:e>
                              <m:d>
                                <m:dPr>
                                  <m:ctrlPr>
                                    <w:rPr>
                                      <w:rFonts w:ascii="Cambria Math" w:hAnsi="Cambria Math" w:cs="Arial"/>
                                      <w:bCs/>
                                      <w:i/>
                                      <w:color w:val="000000"/>
                                      <w:sz w:val="22"/>
                                      <w:szCs w:val="22"/>
                                    </w:rPr>
                                  </m:ctrlPr>
                                </m:dPr>
                                <m:e>
                                  <m:f>
                                    <m:fPr>
                                      <m:ctrlPr>
                                        <w:rPr>
                                          <w:rFonts w:ascii="Cambria Math" w:hAnsi="Cambria Math" w:cs="Arial"/>
                                          <w:bCs/>
                                          <w:i/>
                                          <w:color w:val="000000"/>
                                          <w:sz w:val="22"/>
                                          <w:szCs w:val="22"/>
                                        </w:rPr>
                                      </m:ctrlPr>
                                    </m:fPr>
                                    <m:num>
                                      <m:r>
                                        <w:rPr>
                                          <w:rFonts w:ascii="Cambria Math" w:hAnsi="Cambria Math" w:cs="Arial"/>
                                          <w:color w:val="000000"/>
                                          <w:sz w:val="22"/>
                                          <w:szCs w:val="22"/>
                                        </w:rPr>
                                        <m:t>COPYPI</m:t>
                                      </m:r>
                                    </m:num>
                                    <m:den>
                                      <m:sSub>
                                        <m:sSubPr>
                                          <m:ctrlPr>
                                            <w:rPr>
                                              <w:rFonts w:ascii="Cambria Math" w:hAnsi="Cambria Math" w:cs="Arial"/>
                                              <w:bCs/>
                                              <w:i/>
                                              <w:color w:val="000000"/>
                                              <w:sz w:val="22"/>
                                              <w:szCs w:val="22"/>
                                            </w:rPr>
                                          </m:ctrlPr>
                                        </m:sSubPr>
                                        <m:e>
                                          <m:r>
                                            <w:rPr>
                                              <w:rFonts w:ascii="Cambria Math" w:hAnsi="Cambria Math" w:cs="Arial"/>
                                              <w:color w:val="000000"/>
                                              <w:sz w:val="22"/>
                                              <w:szCs w:val="22"/>
                                            </w:rPr>
                                            <m:t>COPYP</m:t>
                                          </m:r>
                                        </m:e>
                                        <m:sub>
                                          <m:r>
                                            <w:rPr>
                                              <w:rFonts w:ascii="Cambria Math" w:hAnsi="Cambria Math" w:cs="Arial"/>
                                              <w:color w:val="000000"/>
                                              <w:sz w:val="22"/>
                                              <w:szCs w:val="22"/>
                                            </w:rPr>
                                            <m:t>m</m:t>
                                          </m:r>
                                        </m:sub>
                                      </m:sSub>
                                    </m:den>
                                  </m:f>
                                </m:e>
                              </m:d>
                            </m:e>
                            <m:sub>
                              <m:r>
                                <w:rPr>
                                  <w:rFonts w:ascii="Cambria Math" w:hAnsi="Cambria Math" w:cs="Arial"/>
                                  <w:color w:val="000000"/>
                                  <w:sz w:val="22"/>
                                  <w:szCs w:val="22"/>
                                </w:rPr>
                                <m:t>i</m:t>
                              </m:r>
                            </m:sub>
                          </m:sSub>
                        </m:e>
                      </m:nary>
                      <m:r>
                        <w:rPr>
                          <w:rFonts w:ascii="Cambria Math" w:hAnsi="Cambria Math" w:cs="Arial"/>
                          <w:color w:val="000000"/>
                          <w:sz w:val="22"/>
                          <w:szCs w:val="22"/>
                        </w:rPr>
                        <m:t xml:space="preserve"> × </m:t>
                      </m:r>
                      <m:d>
                        <m:dPr>
                          <m:ctrlPr>
                            <w:rPr>
                              <w:rFonts w:ascii="Cambria Math" w:hAnsi="Cambria Math" w:cs="Arial"/>
                              <w:bCs/>
                              <w:i/>
                              <w:color w:val="000000"/>
                              <w:sz w:val="22"/>
                              <w:szCs w:val="22"/>
                            </w:rPr>
                          </m:ctrlPr>
                        </m:dPr>
                        <m:e>
                          <m:f>
                            <m:fPr>
                              <m:ctrlPr>
                                <w:rPr>
                                  <w:rFonts w:ascii="Cambria Math" w:hAnsi="Cambria Math" w:cs="Arial"/>
                                  <w:bCs/>
                                  <w:i/>
                                  <w:color w:val="000000"/>
                                  <w:sz w:val="22"/>
                                  <w:szCs w:val="22"/>
                                </w:rPr>
                              </m:ctrlPr>
                            </m:fPr>
                            <m:num>
                              <m:r>
                                <w:rPr>
                                  <w:rFonts w:ascii="Cambria Math" w:hAnsi="Cambria Math" w:cs="Arial"/>
                                  <w:color w:val="000000"/>
                                  <w:sz w:val="22"/>
                                  <w:szCs w:val="22"/>
                                </w:rPr>
                                <m:t>1</m:t>
                              </m:r>
                            </m:num>
                            <m:den>
                              <m:r>
                                <w:rPr>
                                  <w:rFonts w:ascii="Cambria Math" w:hAnsi="Cambria Math" w:cs="Arial"/>
                                  <w:color w:val="000000"/>
                                  <w:sz w:val="22"/>
                                  <w:szCs w:val="22"/>
                                </w:rPr>
                                <m:t>D</m:t>
                              </m:r>
                            </m:den>
                          </m:f>
                        </m:e>
                      </m:d>
                    </m:e>
                  </m:d>
                  <m:r>
                    <w:rPr>
                      <w:rFonts w:ascii="Cambria Math" w:hAnsi="Cambria Math" w:cs="Arial"/>
                      <w:color w:val="000000"/>
                      <w:sz w:val="22"/>
                      <w:szCs w:val="22"/>
                    </w:rPr>
                    <m:t xml:space="preserve"> + </m:t>
                  </m:r>
                  <m:d>
                    <m:dPr>
                      <m:ctrlPr>
                        <w:rPr>
                          <w:rFonts w:ascii="Cambria Math" w:hAnsi="Cambria Math" w:cs="Arial"/>
                          <w:bCs/>
                          <w:i/>
                          <w:color w:val="000000"/>
                          <w:sz w:val="22"/>
                          <w:szCs w:val="22"/>
                        </w:rPr>
                      </m:ctrlPr>
                    </m:dPr>
                    <m:e>
                      <m:f>
                        <m:fPr>
                          <m:ctrlPr>
                            <w:rPr>
                              <w:rFonts w:ascii="Cambria Math" w:hAnsi="Cambria Math" w:cs="Arial"/>
                              <w:bCs/>
                              <w:i/>
                              <w:color w:val="000000"/>
                              <w:sz w:val="22"/>
                              <w:szCs w:val="22"/>
                            </w:rPr>
                          </m:ctrlPr>
                        </m:fPr>
                        <m:num>
                          <m:sSub>
                            <m:sSubPr>
                              <m:ctrlPr>
                                <w:rPr>
                                  <w:rFonts w:ascii="Cambria Math" w:hAnsi="Cambria Math" w:cs="Arial"/>
                                  <w:bCs/>
                                  <w:i/>
                                  <w:color w:val="000000"/>
                                  <w:sz w:val="22"/>
                                  <w:szCs w:val="22"/>
                                </w:rPr>
                              </m:ctrlPr>
                            </m:sSubPr>
                            <m:e>
                              <m:r>
                                <w:rPr>
                                  <w:rFonts w:ascii="Cambria Math" w:hAnsi="Cambria Math" w:cs="Arial"/>
                                  <w:color w:val="000000"/>
                                  <w:sz w:val="22"/>
                                  <w:szCs w:val="22"/>
                                </w:rPr>
                                <m:t>COPSDU</m:t>
                              </m:r>
                            </m:e>
                            <m:sub>
                              <m:r>
                                <w:rPr>
                                  <w:rFonts w:ascii="Cambria Math" w:hAnsi="Cambria Math" w:cs="Arial"/>
                                  <w:color w:val="000000"/>
                                  <w:sz w:val="22"/>
                                  <w:szCs w:val="22"/>
                                </w:rPr>
                                <m:t>m</m:t>
                              </m:r>
                            </m:sub>
                          </m:sSub>
                        </m:num>
                        <m:den>
                          <m:r>
                            <w:rPr>
                              <w:rFonts w:ascii="Cambria Math" w:hAnsi="Cambria Math" w:cs="Arial"/>
                              <w:color w:val="000000"/>
                              <w:sz w:val="20"/>
                              <w:szCs w:val="20"/>
                            </w:rPr>
                            <m:t>CDSR+CDSIBR</m:t>
                          </m:r>
                        </m:den>
                      </m:f>
                    </m:e>
                  </m:d>
                  <m:r>
                    <w:rPr>
                      <w:rFonts w:ascii="Cambria Math" w:hAnsi="Cambria Math" w:cs="Arial"/>
                      <w:color w:val="000000"/>
                      <w:sz w:val="22"/>
                      <w:szCs w:val="22"/>
                    </w:rPr>
                    <m:t xml:space="preserve"> ×</m:t>
                  </m:r>
                  <m:sSub>
                    <m:sSubPr>
                      <m:ctrlPr>
                        <w:rPr>
                          <w:rFonts w:ascii="Cambria Math" w:hAnsi="Cambria Math" w:cs="Arial"/>
                          <w:bCs/>
                          <w:i/>
                          <w:color w:val="000000"/>
                          <w:sz w:val="22"/>
                          <w:szCs w:val="22"/>
                        </w:rPr>
                      </m:ctrlPr>
                    </m:sSubPr>
                    <m:e>
                      <m:r>
                        <w:rPr>
                          <w:rFonts w:ascii="Cambria Math" w:hAnsi="Cambria Math" w:cs="Arial"/>
                          <w:color w:val="000000"/>
                          <w:sz w:val="22"/>
                          <w:szCs w:val="22"/>
                        </w:rPr>
                        <m:t>IM</m:t>
                      </m:r>
                    </m:e>
                    <m:sub>
                      <m:r>
                        <w:rPr>
                          <w:rFonts w:ascii="Cambria Math" w:hAnsi="Cambria Math" w:cs="Arial"/>
                          <w:color w:val="000000"/>
                          <w:sz w:val="22"/>
                          <w:szCs w:val="22"/>
                        </w:rPr>
                        <m:t>DRAR1</m:t>
                      </m:r>
                    </m:sub>
                  </m:sSub>
                  <m:r>
                    <w:rPr>
                      <w:rFonts w:ascii="Cambria Math" w:hAnsi="Cambria Math" w:cs="Arial"/>
                      <w:color w:val="000000"/>
                      <w:sz w:val="22"/>
                      <w:szCs w:val="22"/>
                    </w:rPr>
                    <m:t xml:space="preserve">×  </m:t>
                  </m:r>
                  <m:d>
                    <m:dPr>
                      <m:ctrlPr>
                        <w:rPr>
                          <w:rFonts w:ascii="Cambria Math" w:hAnsi="Cambria Math" w:cs="Arial"/>
                          <w:bCs/>
                          <w:i/>
                          <w:color w:val="000000"/>
                          <w:sz w:val="22"/>
                          <w:szCs w:val="22"/>
                        </w:rPr>
                      </m:ctrlPr>
                    </m:dPr>
                    <m:e>
                      <m:nary>
                        <m:naryPr>
                          <m:chr m:val="∑"/>
                          <m:limLoc m:val="undOvr"/>
                          <m:ctrlPr>
                            <w:rPr>
                              <w:rFonts w:ascii="Cambria Math" w:hAnsi="Cambria Math" w:cs="Arial"/>
                              <w:bCs/>
                              <w:i/>
                              <w:color w:val="000000"/>
                              <w:sz w:val="22"/>
                              <w:szCs w:val="22"/>
                            </w:rPr>
                          </m:ctrlPr>
                        </m:naryPr>
                        <m:sub>
                          <m:r>
                            <w:rPr>
                              <w:rFonts w:ascii="Cambria Math" w:hAnsi="Cambria Math" w:cs="Arial"/>
                              <w:color w:val="000000"/>
                              <w:sz w:val="22"/>
                              <w:szCs w:val="22"/>
                            </w:rPr>
                            <m:t>i=0</m:t>
                          </m:r>
                        </m:sub>
                        <m:sup>
                          <m:r>
                            <w:rPr>
                              <w:rFonts w:ascii="Cambria Math" w:hAnsi="Cambria Math" w:cs="Arial"/>
                              <w:color w:val="000000"/>
                              <w:sz w:val="22"/>
                              <w:szCs w:val="22"/>
                            </w:rPr>
                            <m:t>D</m:t>
                          </m:r>
                        </m:sup>
                        <m:e>
                          <m:sSub>
                            <m:sSubPr>
                              <m:ctrlPr>
                                <w:rPr>
                                  <w:rFonts w:ascii="Cambria Math" w:hAnsi="Cambria Math" w:cs="Arial"/>
                                  <w:bCs/>
                                  <w:i/>
                                  <w:color w:val="000000"/>
                                  <w:sz w:val="22"/>
                                  <w:szCs w:val="22"/>
                                </w:rPr>
                              </m:ctrlPr>
                            </m:sSubPr>
                            <m:e>
                              <m:d>
                                <m:dPr>
                                  <m:ctrlPr>
                                    <w:rPr>
                                      <w:rFonts w:ascii="Cambria Math" w:hAnsi="Cambria Math" w:cs="Arial"/>
                                      <w:bCs/>
                                      <w:i/>
                                      <w:color w:val="000000"/>
                                      <w:sz w:val="22"/>
                                      <w:szCs w:val="22"/>
                                    </w:rPr>
                                  </m:ctrlPr>
                                </m:dPr>
                                <m:e>
                                  <m:f>
                                    <m:fPr>
                                      <m:ctrlPr>
                                        <w:rPr>
                                          <w:rFonts w:ascii="Cambria Math" w:hAnsi="Cambria Math" w:cs="Arial"/>
                                          <w:bCs/>
                                          <w:i/>
                                          <w:color w:val="000000"/>
                                          <w:sz w:val="22"/>
                                          <w:szCs w:val="22"/>
                                        </w:rPr>
                                      </m:ctrlPr>
                                    </m:fPr>
                                    <m:num>
                                      <m:r>
                                        <w:rPr>
                                          <w:rFonts w:ascii="Cambria Math" w:hAnsi="Cambria Math" w:cs="Arial"/>
                                          <w:color w:val="000000"/>
                                          <w:sz w:val="22"/>
                                          <w:szCs w:val="22"/>
                                        </w:rPr>
                                        <m:t>COPSDUI</m:t>
                                      </m:r>
                                    </m:num>
                                    <m:den>
                                      <m:sSub>
                                        <m:sSubPr>
                                          <m:ctrlPr>
                                            <w:rPr>
                                              <w:rFonts w:ascii="Cambria Math" w:hAnsi="Cambria Math" w:cs="Arial"/>
                                              <w:bCs/>
                                              <w:i/>
                                              <w:color w:val="000000"/>
                                              <w:sz w:val="22"/>
                                              <w:szCs w:val="22"/>
                                            </w:rPr>
                                          </m:ctrlPr>
                                        </m:sSubPr>
                                        <m:e>
                                          <m:r>
                                            <w:rPr>
                                              <w:rFonts w:ascii="Cambria Math" w:hAnsi="Cambria Math" w:cs="Arial"/>
                                              <w:color w:val="000000"/>
                                              <w:sz w:val="22"/>
                                              <w:szCs w:val="22"/>
                                            </w:rPr>
                                            <m:t>COPSDU</m:t>
                                          </m:r>
                                        </m:e>
                                        <m:sub>
                                          <m:r>
                                            <w:rPr>
                                              <w:rFonts w:ascii="Cambria Math" w:hAnsi="Cambria Math" w:cs="Arial"/>
                                              <w:color w:val="000000"/>
                                              <w:sz w:val="22"/>
                                              <w:szCs w:val="22"/>
                                            </w:rPr>
                                            <m:t>m</m:t>
                                          </m:r>
                                        </m:sub>
                                      </m:sSub>
                                    </m:den>
                                  </m:f>
                                </m:e>
                              </m:d>
                            </m:e>
                            <m:sub>
                              <m:r>
                                <w:rPr>
                                  <w:rFonts w:ascii="Cambria Math" w:hAnsi="Cambria Math" w:cs="Arial"/>
                                  <w:color w:val="000000"/>
                                  <w:sz w:val="22"/>
                                  <w:szCs w:val="22"/>
                                </w:rPr>
                                <m:t>i</m:t>
                              </m:r>
                            </m:sub>
                          </m:sSub>
                        </m:e>
                      </m:nary>
                      <m:r>
                        <w:rPr>
                          <w:rFonts w:ascii="Cambria Math" w:hAnsi="Cambria Math" w:cs="Arial"/>
                          <w:color w:val="000000"/>
                          <w:sz w:val="22"/>
                          <w:szCs w:val="22"/>
                        </w:rPr>
                        <m:t xml:space="preserve"> × </m:t>
                      </m:r>
                      <m:d>
                        <m:dPr>
                          <m:ctrlPr>
                            <w:rPr>
                              <w:rFonts w:ascii="Cambria Math" w:hAnsi="Cambria Math" w:cs="Arial"/>
                              <w:bCs/>
                              <w:i/>
                              <w:color w:val="000000"/>
                              <w:sz w:val="22"/>
                              <w:szCs w:val="22"/>
                            </w:rPr>
                          </m:ctrlPr>
                        </m:dPr>
                        <m:e>
                          <m:f>
                            <m:fPr>
                              <m:ctrlPr>
                                <w:rPr>
                                  <w:rFonts w:ascii="Cambria Math" w:hAnsi="Cambria Math" w:cs="Arial"/>
                                  <w:bCs/>
                                  <w:i/>
                                  <w:color w:val="000000"/>
                                  <w:sz w:val="22"/>
                                  <w:szCs w:val="22"/>
                                </w:rPr>
                              </m:ctrlPr>
                            </m:fPr>
                            <m:num>
                              <m:r>
                                <w:rPr>
                                  <w:rFonts w:ascii="Cambria Math" w:hAnsi="Cambria Math" w:cs="Arial"/>
                                  <w:color w:val="000000"/>
                                  <w:sz w:val="22"/>
                                  <w:szCs w:val="22"/>
                                </w:rPr>
                                <m:t>1</m:t>
                              </m:r>
                            </m:num>
                            <m:den>
                              <m:r>
                                <w:rPr>
                                  <w:rFonts w:ascii="Cambria Math" w:hAnsi="Cambria Math" w:cs="Arial"/>
                                  <w:color w:val="000000"/>
                                  <w:sz w:val="22"/>
                                  <w:szCs w:val="22"/>
                                </w:rPr>
                                <m:t>D</m:t>
                              </m:r>
                            </m:den>
                          </m:f>
                        </m:e>
                      </m:d>
                    </m:e>
                  </m:d>
                  <m:r>
                    <w:rPr>
                      <w:rFonts w:ascii="Cambria Math" w:hAnsi="Cambria Math" w:cs="Arial"/>
                      <w:color w:val="000000"/>
                      <w:sz w:val="22"/>
                      <w:szCs w:val="22"/>
                    </w:rPr>
                    <m:t xml:space="preserve">+ </m:t>
                  </m:r>
                  <m:d>
                    <m:dPr>
                      <m:ctrlPr>
                        <w:rPr>
                          <w:rFonts w:ascii="Cambria Math" w:hAnsi="Cambria Math" w:cs="Arial"/>
                          <w:bCs/>
                          <w:i/>
                          <w:color w:val="000000"/>
                          <w:sz w:val="22"/>
                          <w:szCs w:val="22"/>
                        </w:rPr>
                      </m:ctrlPr>
                    </m:dPr>
                    <m:e>
                      <m:f>
                        <m:fPr>
                          <m:ctrlPr>
                            <w:rPr>
                              <w:rFonts w:ascii="Cambria Math" w:hAnsi="Cambria Math" w:cs="Arial"/>
                              <w:bCs/>
                              <w:i/>
                              <w:color w:val="000000"/>
                              <w:sz w:val="22"/>
                              <w:szCs w:val="22"/>
                            </w:rPr>
                          </m:ctrlPr>
                        </m:fPr>
                        <m:num>
                          <m:sSub>
                            <m:sSubPr>
                              <m:ctrlPr>
                                <w:rPr>
                                  <w:rFonts w:ascii="Cambria Math" w:hAnsi="Cambria Math" w:cs="Arial"/>
                                  <w:i/>
                                  <w:color w:val="000000"/>
                                  <w:sz w:val="20"/>
                                  <w:szCs w:val="20"/>
                                </w:rPr>
                              </m:ctrlPr>
                            </m:sSubPr>
                            <m:e>
                              <m:r>
                                <w:rPr>
                                  <w:rFonts w:ascii="Cambria Math" w:hAnsi="Cambria Math" w:cs="Arial"/>
                                  <w:color w:val="000000"/>
                                  <w:sz w:val="20"/>
                                  <w:szCs w:val="20"/>
                                </w:rPr>
                                <m:t>COPCT</m:t>
                              </m:r>
                            </m:e>
                            <m:sub>
                              <m:r>
                                <w:rPr>
                                  <w:rFonts w:ascii="Cambria Math" w:hAnsi="Cambria Math" w:cs="Arial"/>
                                  <w:color w:val="000000"/>
                                  <w:sz w:val="20"/>
                                  <w:szCs w:val="20"/>
                                </w:rPr>
                                <m:t>m</m:t>
                              </m:r>
                            </m:sub>
                          </m:sSub>
                        </m:num>
                        <m:den>
                          <m:r>
                            <w:rPr>
                              <w:rFonts w:ascii="Cambria Math" w:hAnsi="Cambria Math" w:cs="Arial"/>
                              <w:color w:val="000000"/>
                              <w:sz w:val="20"/>
                              <w:szCs w:val="20"/>
                            </w:rPr>
                            <m:t>CDSICT</m:t>
                          </m:r>
                        </m:den>
                      </m:f>
                    </m:e>
                  </m:d>
                  <m:r>
                    <w:rPr>
                      <w:rFonts w:ascii="Cambria Math" w:hAnsi="Cambria Math" w:cs="Arial"/>
                      <w:color w:val="000000"/>
                      <w:sz w:val="22"/>
                      <w:szCs w:val="22"/>
                    </w:rPr>
                    <m:t xml:space="preserve"> ×</m:t>
                  </m:r>
                  <m:sSub>
                    <m:sSubPr>
                      <m:ctrlPr>
                        <w:rPr>
                          <w:rFonts w:ascii="Cambria Math" w:hAnsi="Cambria Math" w:cs="Arial"/>
                          <w:bCs/>
                          <w:i/>
                          <w:color w:val="000000"/>
                          <w:sz w:val="22"/>
                          <w:szCs w:val="22"/>
                        </w:rPr>
                      </m:ctrlPr>
                    </m:sSubPr>
                    <m:e>
                      <m:r>
                        <w:rPr>
                          <w:rFonts w:ascii="Cambria Math" w:hAnsi="Cambria Math" w:cs="Arial"/>
                          <w:color w:val="000000"/>
                          <w:sz w:val="22"/>
                          <w:szCs w:val="22"/>
                        </w:rPr>
                        <m:t>IM</m:t>
                      </m:r>
                    </m:e>
                    <m:sub>
                      <m:r>
                        <w:rPr>
                          <w:rFonts w:ascii="Cambria Math" w:hAnsi="Cambria Math" w:cs="Arial"/>
                          <w:color w:val="000000"/>
                          <w:sz w:val="22"/>
                          <w:szCs w:val="22"/>
                        </w:rPr>
                        <m:t>C1</m:t>
                      </m:r>
                    </m:sub>
                  </m:sSub>
                  <m:r>
                    <w:rPr>
                      <w:rFonts w:ascii="Cambria Math" w:hAnsi="Cambria Math" w:cs="Arial"/>
                      <w:color w:val="000000"/>
                      <w:sz w:val="22"/>
                      <w:szCs w:val="22"/>
                    </w:rPr>
                    <m:t xml:space="preserve">×  </m:t>
                  </m:r>
                  <m:d>
                    <m:dPr>
                      <m:ctrlPr>
                        <w:rPr>
                          <w:rFonts w:ascii="Cambria Math" w:hAnsi="Cambria Math" w:cs="Arial"/>
                          <w:bCs/>
                          <w:i/>
                          <w:color w:val="000000"/>
                          <w:sz w:val="22"/>
                          <w:szCs w:val="22"/>
                        </w:rPr>
                      </m:ctrlPr>
                    </m:dPr>
                    <m:e>
                      <m:nary>
                        <m:naryPr>
                          <m:chr m:val="∑"/>
                          <m:limLoc m:val="undOvr"/>
                          <m:ctrlPr>
                            <w:rPr>
                              <w:rFonts w:ascii="Cambria Math" w:hAnsi="Cambria Math" w:cs="Arial"/>
                              <w:bCs/>
                              <w:i/>
                              <w:color w:val="000000"/>
                              <w:sz w:val="22"/>
                              <w:szCs w:val="22"/>
                            </w:rPr>
                          </m:ctrlPr>
                        </m:naryPr>
                        <m:sub>
                          <m:r>
                            <w:rPr>
                              <w:rFonts w:ascii="Cambria Math" w:hAnsi="Cambria Math" w:cs="Arial"/>
                              <w:color w:val="000000"/>
                              <w:sz w:val="22"/>
                              <w:szCs w:val="22"/>
                            </w:rPr>
                            <m:t>i=0</m:t>
                          </m:r>
                        </m:sub>
                        <m:sup>
                          <m:r>
                            <w:rPr>
                              <w:rFonts w:ascii="Cambria Math" w:hAnsi="Cambria Math" w:cs="Arial"/>
                              <w:color w:val="000000"/>
                              <w:sz w:val="22"/>
                              <w:szCs w:val="22"/>
                            </w:rPr>
                            <m:t>D</m:t>
                          </m:r>
                        </m:sup>
                        <m:e>
                          <m:sSub>
                            <m:sSubPr>
                              <m:ctrlPr>
                                <w:rPr>
                                  <w:rFonts w:ascii="Cambria Math" w:hAnsi="Cambria Math" w:cs="Arial"/>
                                  <w:bCs/>
                                  <w:i/>
                                  <w:color w:val="000000"/>
                                  <w:sz w:val="22"/>
                                  <w:szCs w:val="22"/>
                                </w:rPr>
                              </m:ctrlPr>
                            </m:sSubPr>
                            <m:e>
                              <m:d>
                                <m:dPr>
                                  <m:ctrlPr>
                                    <w:rPr>
                                      <w:rFonts w:ascii="Cambria Math" w:hAnsi="Cambria Math" w:cs="Arial"/>
                                      <w:bCs/>
                                      <w:i/>
                                      <w:color w:val="000000"/>
                                      <w:sz w:val="22"/>
                                      <w:szCs w:val="22"/>
                                    </w:rPr>
                                  </m:ctrlPr>
                                </m:dPr>
                                <m:e>
                                  <m:f>
                                    <m:fPr>
                                      <m:ctrlPr>
                                        <w:rPr>
                                          <w:rFonts w:ascii="Cambria Math" w:hAnsi="Cambria Math" w:cs="Arial"/>
                                          <w:bCs/>
                                          <w:i/>
                                          <w:color w:val="000000"/>
                                          <w:sz w:val="22"/>
                                          <w:szCs w:val="22"/>
                                        </w:rPr>
                                      </m:ctrlPr>
                                    </m:fPr>
                                    <m:num>
                                      <m:r>
                                        <w:rPr>
                                          <w:rFonts w:ascii="Cambria Math" w:hAnsi="Cambria Math" w:cs="Arial"/>
                                          <w:color w:val="000000"/>
                                          <w:sz w:val="22"/>
                                          <w:szCs w:val="22"/>
                                        </w:rPr>
                                        <m:t>COPCTI</m:t>
                                      </m:r>
                                    </m:num>
                                    <m:den>
                                      <m:sSub>
                                        <m:sSubPr>
                                          <m:ctrlPr>
                                            <w:rPr>
                                              <w:rFonts w:ascii="Cambria Math" w:hAnsi="Cambria Math" w:cs="Arial"/>
                                              <w:bCs/>
                                              <w:i/>
                                              <w:color w:val="000000"/>
                                              <w:sz w:val="22"/>
                                              <w:szCs w:val="22"/>
                                            </w:rPr>
                                          </m:ctrlPr>
                                        </m:sSubPr>
                                        <m:e>
                                          <m:r>
                                            <w:rPr>
                                              <w:rFonts w:ascii="Cambria Math" w:hAnsi="Cambria Math" w:cs="Arial"/>
                                              <w:color w:val="000000"/>
                                              <w:sz w:val="22"/>
                                              <w:szCs w:val="22"/>
                                            </w:rPr>
                                            <m:t>COPCT</m:t>
                                          </m:r>
                                        </m:e>
                                        <m:sub>
                                          <m:r>
                                            <w:rPr>
                                              <w:rFonts w:ascii="Cambria Math" w:hAnsi="Cambria Math" w:cs="Arial"/>
                                              <w:color w:val="000000"/>
                                              <w:sz w:val="22"/>
                                              <w:szCs w:val="22"/>
                                            </w:rPr>
                                            <m:t>m</m:t>
                                          </m:r>
                                        </m:sub>
                                      </m:sSub>
                                    </m:den>
                                  </m:f>
                                </m:e>
                              </m:d>
                            </m:e>
                            <m:sub>
                              <m:r>
                                <w:rPr>
                                  <w:rFonts w:ascii="Cambria Math" w:hAnsi="Cambria Math" w:cs="Arial"/>
                                  <w:color w:val="000000"/>
                                  <w:sz w:val="22"/>
                                  <w:szCs w:val="22"/>
                                </w:rPr>
                                <m:t>i</m:t>
                              </m:r>
                            </m:sub>
                          </m:sSub>
                        </m:e>
                      </m:nary>
                      <m:r>
                        <w:rPr>
                          <w:rFonts w:ascii="Cambria Math" w:hAnsi="Cambria Math" w:cs="Arial"/>
                          <w:color w:val="000000"/>
                          <w:sz w:val="22"/>
                          <w:szCs w:val="22"/>
                        </w:rPr>
                        <m:t xml:space="preserve"> × </m:t>
                      </m:r>
                      <m:d>
                        <m:dPr>
                          <m:ctrlPr>
                            <w:rPr>
                              <w:rFonts w:ascii="Cambria Math" w:hAnsi="Cambria Math" w:cs="Arial"/>
                              <w:bCs/>
                              <w:i/>
                              <w:color w:val="000000"/>
                              <w:sz w:val="22"/>
                              <w:szCs w:val="22"/>
                            </w:rPr>
                          </m:ctrlPr>
                        </m:dPr>
                        <m:e>
                          <m:f>
                            <m:fPr>
                              <m:ctrlPr>
                                <w:rPr>
                                  <w:rFonts w:ascii="Cambria Math" w:hAnsi="Cambria Math" w:cs="Arial"/>
                                  <w:bCs/>
                                  <w:i/>
                                  <w:color w:val="000000"/>
                                  <w:sz w:val="22"/>
                                  <w:szCs w:val="22"/>
                                </w:rPr>
                              </m:ctrlPr>
                            </m:fPr>
                            <m:num>
                              <m:r>
                                <w:rPr>
                                  <w:rFonts w:ascii="Cambria Math" w:hAnsi="Cambria Math" w:cs="Arial"/>
                                  <w:color w:val="000000"/>
                                  <w:sz w:val="22"/>
                                  <w:szCs w:val="22"/>
                                </w:rPr>
                                <m:t>1</m:t>
                              </m:r>
                            </m:num>
                            <m:den>
                              <m:r>
                                <w:rPr>
                                  <w:rFonts w:ascii="Cambria Math" w:hAnsi="Cambria Math" w:cs="Arial"/>
                                  <w:color w:val="000000"/>
                                  <w:sz w:val="22"/>
                                  <w:szCs w:val="22"/>
                                </w:rPr>
                                <m:t>D</m:t>
                              </m:r>
                            </m:den>
                          </m:f>
                        </m:e>
                      </m:d>
                    </m:e>
                  </m:d>
                  <m:r>
                    <w:rPr>
                      <w:rFonts w:ascii="Cambria Math" w:hAnsi="Cambria Math" w:cs="Arial"/>
                      <w:color w:val="000000"/>
                      <w:sz w:val="22"/>
                      <w:szCs w:val="22"/>
                    </w:rPr>
                    <m:t xml:space="preserve"> </m:t>
                  </m:r>
                </m:e>
              </m:d>
            </m:e>
          </m:d>
        </m:oMath>
      </m:oMathPara>
    </w:p>
    <w:p w14:paraId="22E61589" w14:textId="77777777" w:rsidR="006F7566" w:rsidRPr="0051077F" w:rsidRDefault="006F7566" w:rsidP="0051077F">
      <w:pPr>
        <w:spacing w:before="240" w:after="240"/>
        <w:ind w:left="284"/>
        <w:jc w:val="both"/>
        <w:rPr>
          <w:rFonts w:ascii="Bookman Old Style" w:hAnsi="Bookman Old Style"/>
          <w:bCs/>
          <w:i/>
          <w:iCs/>
        </w:rPr>
      </w:pPr>
      <w:r w:rsidRPr="0051077F">
        <w:rPr>
          <w:rFonts w:ascii="Bookman Old Style" w:hAnsi="Bookman Old Style"/>
          <w:bCs/>
          <w:i/>
          <w:iCs/>
        </w:rPr>
        <w:t>Donde:</w:t>
      </w:r>
    </w:p>
    <w:p w14:paraId="6FD4E53C" w14:textId="169C81EC" w:rsidR="006F7566" w:rsidRPr="0051077F" w:rsidRDefault="001F3C7E" w:rsidP="0051077F">
      <w:pPr>
        <w:spacing w:before="240" w:after="240"/>
        <w:ind w:left="1701" w:hanging="1417"/>
        <w:jc w:val="both"/>
        <w:rPr>
          <w:rFonts w:ascii="Bookman Old Style" w:hAnsi="Bookman Old Style" w:cs="Arial"/>
          <w:bCs/>
          <w:i/>
          <w:iCs/>
          <w:color w:val="000000"/>
        </w:rPr>
      </w:pPr>
      <m:oMath>
        <m:sSub>
          <m:sSubPr>
            <m:ctrlPr>
              <w:rPr>
                <w:rFonts w:ascii="Cambria Math" w:hAnsi="Cambria Math"/>
                <w:i/>
                <w:spacing w:val="-2"/>
              </w:rPr>
            </m:ctrlPr>
          </m:sSubPr>
          <m:e>
            <m:r>
              <w:rPr>
                <w:rFonts w:ascii="Cambria Math" w:hAnsi="Cambria Math"/>
                <w:spacing w:val="-2"/>
              </w:rPr>
              <m:t>COP</m:t>
            </m:r>
          </m:e>
          <m:sub>
            <m:r>
              <w:rPr>
                <w:rFonts w:ascii="Cambria Math" w:hAnsi="Cambria Math"/>
                <w:spacing w:val="-2"/>
              </w:rPr>
              <m:t>sPAG,m</m:t>
            </m:r>
          </m:sub>
        </m:sSub>
        <m:r>
          <w:rPr>
            <w:rFonts w:ascii="Cambria Math" w:hAnsi="Cambria Math"/>
            <w:spacing w:val="-2"/>
          </w:rPr>
          <m:t>:</m:t>
        </m:r>
      </m:oMath>
      <w:r w:rsidR="006F7566" w:rsidRPr="00356462">
        <w:rPr>
          <w:rFonts w:ascii="Bookman Old Style" w:hAnsi="Bookman Old Style"/>
          <w:spacing w:val="-2"/>
        </w:rPr>
        <w:tab/>
      </w:r>
      <w:r w:rsidR="006F7566" w:rsidRPr="0051077F">
        <w:rPr>
          <w:rFonts w:ascii="Bookman Old Style" w:hAnsi="Bookman Old Style" w:cs="Arial"/>
          <w:i/>
          <w:iCs/>
          <w:color w:val="000000"/>
          <w:spacing w:val="-4"/>
        </w:rPr>
        <w:t xml:space="preserve">Valor de las compensaciones por indisponibilidad durante el mes </w:t>
      </w:r>
      <m:oMath>
        <m:r>
          <w:rPr>
            <w:rFonts w:ascii="Cambria Math" w:hAnsi="Cambria Math"/>
            <w:spacing w:val="-2"/>
          </w:rPr>
          <m:t>m</m:t>
        </m:r>
      </m:oMath>
      <w:r w:rsidR="006F7566" w:rsidRPr="0051077F">
        <w:rPr>
          <w:rFonts w:ascii="Bookman Old Style" w:hAnsi="Bookman Old Style" w:cs="Arial"/>
          <w:i/>
          <w:iCs/>
          <w:color w:val="000000"/>
          <w:spacing w:val="-4"/>
        </w:rPr>
        <w:t xml:space="preserve">, del proyecto </w:t>
      </w:r>
      <w:r w:rsidR="006F7566" w:rsidRPr="0051077F">
        <w:rPr>
          <w:rFonts w:ascii="Bookman Old Style" w:hAnsi="Bookman Old Style" w:cs="Cambria Math"/>
          <w:i/>
          <w:iCs/>
          <w:lang w:val="es-ES_tradnl"/>
        </w:rPr>
        <w:t>de infraestructura de regasificación del gas del Pacífico</w:t>
      </w:r>
      <w:r w:rsidR="006F7566" w:rsidRPr="0051077F">
        <w:rPr>
          <w:rFonts w:ascii="Bookman Old Style" w:hAnsi="Bookman Old Style" w:cs="Arial"/>
          <w:i/>
          <w:iCs/>
          <w:color w:val="000000"/>
          <w:spacing w:val="-4"/>
        </w:rPr>
        <w:t xml:space="preserve">. Este valor estará expresado en pesos actualizados y liquidados como se dispone en el </w:t>
      </w:r>
      <w:r w:rsidR="006F7566" w:rsidRPr="0051077F">
        <w:rPr>
          <w:rFonts w:ascii="Bookman Old Style" w:hAnsi="Bookman Old Style" w:cs="Arial"/>
          <w:i/>
          <w:iCs/>
          <w:color w:val="000000"/>
          <w:spacing w:val="-4"/>
        </w:rPr>
        <w:fldChar w:fldCharType="begin"/>
      </w:r>
      <w:r w:rsidR="006F7566" w:rsidRPr="0051077F">
        <w:rPr>
          <w:rFonts w:ascii="Bookman Old Style" w:hAnsi="Bookman Old Style" w:cs="Arial"/>
          <w:i/>
          <w:iCs/>
          <w:color w:val="000000"/>
          <w:spacing w:val="-4"/>
        </w:rPr>
        <w:instrText xml:space="preserve"> REF _Ref461718005 \r \h  \* MERGEFORMAT </w:instrText>
      </w:r>
      <w:r w:rsidR="006F7566" w:rsidRPr="0051077F">
        <w:rPr>
          <w:rFonts w:ascii="Bookman Old Style" w:hAnsi="Bookman Old Style" w:cs="Arial"/>
          <w:i/>
          <w:iCs/>
          <w:color w:val="000000"/>
          <w:spacing w:val="-4"/>
        </w:rPr>
      </w:r>
      <w:r w:rsidR="006F7566" w:rsidRPr="0051077F">
        <w:rPr>
          <w:rFonts w:ascii="Bookman Old Style" w:hAnsi="Bookman Old Style" w:cs="Arial"/>
          <w:i/>
          <w:iCs/>
          <w:color w:val="000000"/>
          <w:spacing w:val="-4"/>
        </w:rPr>
        <w:fldChar w:fldCharType="separate"/>
      </w:r>
      <w:r w:rsidR="000D76A2">
        <w:rPr>
          <w:rFonts w:ascii="Bookman Old Style" w:hAnsi="Bookman Old Style" w:cs="Arial"/>
          <w:b/>
          <w:bCs/>
          <w:i/>
          <w:iCs/>
          <w:color w:val="000000"/>
          <w:spacing w:val="-4"/>
        </w:rPr>
        <w:t>¡Error! No se encuentra el origen de la referencia.</w:t>
      </w:r>
      <w:r w:rsidR="006F7566" w:rsidRPr="0051077F">
        <w:rPr>
          <w:rFonts w:ascii="Bookman Old Style" w:hAnsi="Bookman Old Style" w:cs="Arial"/>
          <w:i/>
          <w:iCs/>
          <w:color w:val="000000"/>
          <w:spacing w:val="-4"/>
        </w:rPr>
        <w:fldChar w:fldCharType="end"/>
      </w:r>
      <w:r w:rsidR="006F7566" w:rsidRPr="0051077F">
        <w:rPr>
          <w:rFonts w:ascii="Bookman Old Style" w:hAnsi="Bookman Old Style" w:cs="Arial"/>
          <w:i/>
          <w:iCs/>
          <w:color w:val="000000"/>
          <w:spacing w:val="-4"/>
        </w:rPr>
        <w:t xml:space="preserve"> de la Resolución CREG 107 de 2017 o aquellas que la modifiquen o sustituyan.</w:t>
      </w:r>
      <w:r w:rsidR="006F7566" w:rsidRPr="0051077F">
        <w:rPr>
          <w:rFonts w:ascii="Bookman Old Style" w:hAnsi="Bookman Old Style" w:cs="Arial"/>
          <w:bCs/>
          <w:i/>
          <w:iCs/>
          <w:color w:val="000000"/>
        </w:rPr>
        <w:t xml:space="preserve"> </w:t>
      </w:r>
    </w:p>
    <w:p w14:paraId="556B1F0A" w14:textId="77777777" w:rsidR="006F7566" w:rsidRPr="0051077F" w:rsidRDefault="006F7566" w:rsidP="0051077F">
      <w:pPr>
        <w:spacing w:before="240" w:after="240"/>
        <w:ind w:left="1701" w:hanging="1417"/>
        <w:jc w:val="both"/>
        <w:rPr>
          <w:rFonts w:ascii="Bookman Old Style" w:hAnsi="Bookman Old Style"/>
          <w:i/>
          <w:iCs/>
        </w:rPr>
      </w:pPr>
      <w:r w:rsidRPr="0051077F">
        <w:rPr>
          <w:rFonts w:ascii="Bookman Old Style" w:hAnsi="Bookman Old Style" w:cs="Arial"/>
          <w:bCs/>
          <w:i/>
          <w:iCs/>
          <w:color w:val="000000"/>
        </w:rPr>
        <w:t xml:space="preserve">COPYPI: </w:t>
      </w:r>
      <w:r w:rsidRPr="0051077F">
        <w:rPr>
          <w:rFonts w:ascii="Bookman Old Style" w:hAnsi="Bookman Old Style" w:cs="Arial"/>
          <w:bCs/>
          <w:i/>
          <w:iCs/>
          <w:color w:val="000000"/>
        </w:rPr>
        <w:tab/>
        <w:t>Máxima capacidad indisponible de la capacidad puesta en operación parcial de entrega de gas</w:t>
      </w:r>
      <w:r w:rsidRPr="0051077F">
        <w:rPr>
          <w:rFonts w:ascii="Bookman Old Style" w:hAnsi="Bookman Old Style"/>
          <w:i/>
          <w:iCs/>
        </w:rPr>
        <w:t xml:space="preserve"> al Sistema Nacional de Transporte en un punto de entrega ubicado en el límite geopolítico del municipio de Yumbo – Valle del Cauca, durante el día i del mes m, dada en MPCD.</w:t>
      </w:r>
    </w:p>
    <w:p w14:paraId="0992A05F" w14:textId="77777777"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 xml:space="preserve">COPSDUI: </w:t>
      </w:r>
      <w:r w:rsidRPr="0051077F">
        <w:rPr>
          <w:rFonts w:ascii="Bookman Old Style" w:hAnsi="Bookman Old Style" w:cs="Arial"/>
          <w:bCs/>
          <w:i/>
          <w:iCs/>
          <w:color w:val="000000"/>
        </w:rPr>
        <w:tab/>
        <w:t xml:space="preserve">Máxima capacidad indisponible de la capacidad puesta en operación parcial para entrega de gas natural regasificado a gasoductos de conexión de sistemas de distribución local o usuarios no regulados, en condiciones RUT, durante el día i del mes m, dada en MPCD. </w:t>
      </w:r>
    </w:p>
    <w:p w14:paraId="591F18E7" w14:textId="77777777" w:rsidR="006F7566" w:rsidRPr="0051077F" w:rsidRDefault="006F7566" w:rsidP="0051077F">
      <w:pPr>
        <w:spacing w:before="240" w:after="240"/>
        <w:ind w:left="1701" w:hanging="1417"/>
        <w:jc w:val="both"/>
        <w:rPr>
          <w:rFonts w:ascii="Bookman Old Style" w:hAnsi="Bookman Old Style"/>
          <w:i/>
          <w:iCs/>
        </w:rPr>
      </w:pPr>
      <w:r w:rsidRPr="0051077F">
        <w:rPr>
          <w:rFonts w:ascii="Bookman Old Style" w:hAnsi="Bookman Old Style" w:cs="Arial"/>
          <w:bCs/>
          <w:i/>
          <w:iCs/>
          <w:color w:val="000000"/>
        </w:rPr>
        <w:t xml:space="preserve">COPCTI: </w:t>
      </w:r>
      <w:r w:rsidRPr="0051077F">
        <w:rPr>
          <w:rFonts w:ascii="Bookman Old Style" w:hAnsi="Bookman Old Style" w:cs="Arial"/>
          <w:bCs/>
          <w:i/>
          <w:iCs/>
          <w:color w:val="000000"/>
        </w:rPr>
        <w:tab/>
        <w:t>Máxima capacidad indisponible de la capacidad puesta en operación parcial para carga de carrotanques de gas natural licuado, dada en m</w:t>
      </w:r>
      <w:r w:rsidRPr="0051077F">
        <w:rPr>
          <w:rFonts w:ascii="Bookman Old Style" w:hAnsi="Bookman Old Style" w:cs="Arial"/>
          <w:bCs/>
          <w:i/>
          <w:iCs/>
          <w:color w:val="000000"/>
          <w:vertAlign w:val="superscript"/>
        </w:rPr>
        <w:t>3</w:t>
      </w:r>
      <w:r w:rsidRPr="0051077F">
        <w:rPr>
          <w:rFonts w:ascii="Bookman Old Style" w:hAnsi="Bookman Old Style" w:cs="Arial"/>
          <w:bCs/>
          <w:i/>
          <w:iCs/>
          <w:color w:val="000000"/>
        </w:rPr>
        <w:t>/hora.</w:t>
      </w:r>
    </w:p>
    <w:p w14:paraId="190B3F32" w14:textId="15728EBB" w:rsidR="006F7566" w:rsidRDefault="006F7566" w:rsidP="000C120A">
      <w:pPr>
        <w:spacing w:before="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 xml:space="preserve">D: </w:t>
      </w:r>
      <w:r w:rsidRPr="0051077F">
        <w:rPr>
          <w:rFonts w:ascii="Bookman Old Style" w:hAnsi="Bookman Old Style" w:cs="Arial"/>
          <w:bCs/>
          <w:i/>
          <w:iCs/>
          <w:color w:val="000000"/>
        </w:rPr>
        <w:tab/>
        <w:t>Número de días del mes m.</w:t>
      </w:r>
      <w:r w:rsidR="0051077F">
        <w:rPr>
          <w:rFonts w:ascii="Bookman Old Style" w:hAnsi="Bookman Old Style" w:cs="Arial"/>
          <w:bCs/>
          <w:i/>
          <w:iCs/>
          <w:color w:val="000000"/>
        </w:rPr>
        <w:t>”</w:t>
      </w:r>
    </w:p>
    <w:p w14:paraId="66DA4CB6" w14:textId="77777777" w:rsidR="000C120A" w:rsidRPr="0051077F" w:rsidRDefault="000C120A" w:rsidP="000C120A">
      <w:pPr>
        <w:spacing w:before="240"/>
        <w:ind w:left="1701" w:hanging="1417"/>
        <w:jc w:val="both"/>
        <w:rPr>
          <w:i/>
          <w:iCs/>
        </w:rPr>
      </w:pPr>
    </w:p>
    <w:p w14:paraId="5B28F365" w14:textId="62DB499A" w:rsidR="00051067" w:rsidRDefault="00E81E0D" w:rsidP="000C120A">
      <w:pPr>
        <w:spacing w:after="240"/>
        <w:ind w:left="0"/>
        <w:jc w:val="both"/>
        <w:rPr>
          <w:rFonts w:ascii="Bookman Old Style" w:hAnsi="Bookman Old Style" w:cs="Arial"/>
          <w:bCs/>
          <w:color w:val="000000"/>
        </w:rPr>
      </w:pPr>
      <w:r>
        <w:rPr>
          <w:rFonts w:ascii="Bookman Old Style" w:hAnsi="Bookman Old Style"/>
          <w:b/>
        </w:rPr>
        <w:t>Artículo 1</w:t>
      </w:r>
      <w:r w:rsidR="00C72994">
        <w:rPr>
          <w:rFonts w:ascii="Bookman Old Style" w:hAnsi="Bookman Old Style"/>
          <w:b/>
        </w:rPr>
        <w:t>0</w:t>
      </w:r>
      <w:r>
        <w:rPr>
          <w:rFonts w:ascii="Bookman Old Style" w:hAnsi="Bookman Old Style"/>
          <w:b/>
        </w:rPr>
        <w:t>.</w:t>
      </w:r>
      <w:r w:rsidR="00051067">
        <w:rPr>
          <w:rFonts w:ascii="Bookman Old Style" w:hAnsi="Bookman Old Style"/>
          <w:b/>
        </w:rPr>
        <w:t xml:space="preserve"> </w:t>
      </w:r>
      <w:r w:rsidR="00051067">
        <w:rPr>
          <w:rFonts w:ascii="Bookman Old Style" w:hAnsi="Bookman Old Style" w:cs="Arial"/>
          <w:bCs/>
          <w:color w:val="000000"/>
        </w:rPr>
        <w:t xml:space="preserve">Adiciónese el siguiente artículo a la Resolución CREG 152 de 2017, así: </w:t>
      </w:r>
    </w:p>
    <w:p w14:paraId="59FB08E3" w14:textId="1AC51D27" w:rsidR="00201563" w:rsidRDefault="0051077F" w:rsidP="0051077F">
      <w:pPr>
        <w:spacing w:before="240" w:after="240"/>
        <w:ind w:left="284"/>
        <w:jc w:val="both"/>
        <w:rPr>
          <w:rFonts w:ascii="Bookman Old Style" w:hAnsi="Bookman Old Style"/>
          <w:bCs/>
          <w:i/>
          <w:iCs/>
        </w:rPr>
      </w:pPr>
      <w:r w:rsidRPr="0051077F">
        <w:rPr>
          <w:rFonts w:ascii="Bookman Old Style" w:hAnsi="Bookman Old Style"/>
          <w:b/>
          <w:i/>
          <w:iCs/>
        </w:rPr>
        <w:t>“</w:t>
      </w:r>
      <w:r w:rsidR="00051067" w:rsidRPr="0051077F">
        <w:rPr>
          <w:rFonts w:ascii="Bookman Old Style" w:hAnsi="Bookman Old Style"/>
          <w:b/>
          <w:i/>
          <w:iCs/>
        </w:rPr>
        <w:t>Artículo 1</w:t>
      </w:r>
      <w:r w:rsidR="00F21032" w:rsidRPr="0051077F">
        <w:rPr>
          <w:rFonts w:ascii="Bookman Old Style" w:hAnsi="Bookman Old Style"/>
          <w:b/>
          <w:i/>
          <w:iCs/>
        </w:rPr>
        <w:t>6</w:t>
      </w:r>
      <w:r w:rsidR="00051067" w:rsidRPr="0051077F">
        <w:rPr>
          <w:rFonts w:ascii="Bookman Old Style" w:hAnsi="Bookman Old Style"/>
          <w:b/>
          <w:i/>
          <w:iCs/>
        </w:rPr>
        <w:t xml:space="preserve">. Comercialización del </w:t>
      </w:r>
      <w:r w:rsidR="001C6549" w:rsidRPr="0051077F">
        <w:rPr>
          <w:rFonts w:ascii="Bookman Old Style" w:hAnsi="Bookman Old Style"/>
          <w:b/>
          <w:i/>
          <w:iCs/>
        </w:rPr>
        <w:t>LNG requerido para la puesta en operación de la infraestructura de importación de gas del Pacífico.</w:t>
      </w:r>
      <w:r w:rsidR="00E81E0D" w:rsidRPr="0051077F">
        <w:rPr>
          <w:rFonts w:ascii="Bookman Old Style" w:hAnsi="Bookman Old Style"/>
          <w:b/>
          <w:i/>
          <w:iCs/>
        </w:rPr>
        <w:t xml:space="preserve"> </w:t>
      </w:r>
      <w:r w:rsidR="0024355B" w:rsidRPr="0051077F">
        <w:rPr>
          <w:rFonts w:ascii="Bookman Old Style" w:hAnsi="Bookman Old Style"/>
          <w:bCs/>
          <w:i/>
          <w:iCs/>
        </w:rPr>
        <w:t xml:space="preserve">El gas natural licuado requerido para la puesta en operación de la </w:t>
      </w:r>
      <w:r w:rsidR="005E1D29" w:rsidRPr="0051077F">
        <w:rPr>
          <w:rFonts w:ascii="Bookman Old Style" w:hAnsi="Bookman Old Style"/>
          <w:bCs/>
          <w:i/>
          <w:iCs/>
        </w:rPr>
        <w:t>infraestructura de importación de gas del Pacífico</w:t>
      </w:r>
      <w:r w:rsidR="0024355B" w:rsidRPr="0051077F">
        <w:rPr>
          <w:rFonts w:ascii="Bookman Old Style" w:hAnsi="Bookman Old Style"/>
          <w:bCs/>
          <w:i/>
          <w:iCs/>
        </w:rPr>
        <w:t xml:space="preserve"> deberá ser suministrado por el adjudicatario, y de manera excepcional, podrá ser comercializado por el propio adjudicatario o quien él designe para tal fin.</w:t>
      </w:r>
      <w:r w:rsidRPr="0051077F">
        <w:rPr>
          <w:rFonts w:ascii="Bookman Old Style" w:hAnsi="Bookman Old Style"/>
          <w:bCs/>
          <w:i/>
          <w:iCs/>
        </w:rPr>
        <w:t>”</w:t>
      </w:r>
    </w:p>
    <w:p w14:paraId="16FC0EF4" w14:textId="5ED65971" w:rsidR="000C120A" w:rsidRDefault="000C120A" w:rsidP="0051077F">
      <w:pPr>
        <w:spacing w:before="240" w:after="240"/>
        <w:ind w:left="284"/>
        <w:jc w:val="both"/>
        <w:rPr>
          <w:rFonts w:ascii="Bookman Old Style" w:hAnsi="Bookman Old Style"/>
          <w:bCs/>
          <w:i/>
          <w:iCs/>
        </w:rPr>
      </w:pPr>
    </w:p>
    <w:p w14:paraId="37CF9C5D" w14:textId="77777777" w:rsidR="000C120A" w:rsidRPr="0051077F" w:rsidRDefault="000C120A" w:rsidP="000C120A">
      <w:pPr>
        <w:ind w:left="284"/>
        <w:jc w:val="both"/>
        <w:rPr>
          <w:rFonts w:ascii="Bookman Old Style" w:hAnsi="Bookman Old Style"/>
          <w:bCs/>
          <w:i/>
          <w:iCs/>
        </w:rPr>
      </w:pPr>
    </w:p>
    <w:p w14:paraId="67D1C2B0" w14:textId="5BC52C94" w:rsidR="00BF2BC2" w:rsidRDefault="00BF2BC2" w:rsidP="00D81823">
      <w:pPr>
        <w:spacing w:before="240" w:after="240"/>
        <w:ind w:left="0"/>
        <w:jc w:val="both"/>
        <w:rPr>
          <w:rFonts w:ascii="Bookman Old Style" w:hAnsi="Bookman Old Style"/>
          <w:i/>
          <w:lang w:val="es-CO"/>
        </w:rPr>
      </w:pPr>
      <w:r w:rsidRPr="00356462">
        <w:rPr>
          <w:rFonts w:ascii="Bookman Old Style" w:hAnsi="Bookman Old Style"/>
          <w:b/>
        </w:rPr>
        <w:t xml:space="preserve">Artículo </w:t>
      </w:r>
      <w:r w:rsidR="003E0324" w:rsidRPr="00356462">
        <w:rPr>
          <w:rFonts w:ascii="Bookman Old Style" w:hAnsi="Bookman Old Style"/>
          <w:b/>
        </w:rPr>
        <w:t>1</w:t>
      </w:r>
      <w:r w:rsidR="00546546">
        <w:rPr>
          <w:rFonts w:ascii="Bookman Old Style" w:hAnsi="Bookman Old Style"/>
          <w:b/>
        </w:rPr>
        <w:t>1</w:t>
      </w:r>
      <w:r w:rsidRPr="00356462">
        <w:rPr>
          <w:rFonts w:ascii="Bookman Old Style" w:hAnsi="Bookman Old Style"/>
          <w:b/>
        </w:rPr>
        <w:t xml:space="preserve">. Vigencia. </w:t>
      </w:r>
      <w:r w:rsidRPr="00356462">
        <w:rPr>
          <w:rFonts w:ascii="Bookman Old Style" w:hAnsi="Bookman Old Style"/>
          <w:lang w:val="es-CO"/>
        </w:rPr>
        <w:t xml:space="preserve">La presente Resolución rige a partir de la fecha de su publicación en el </w:t>
      </w:r>
      <w:r w:rsidRPr="00356462">
        <w:rPr>
          <w:rFonts w:ascii="Bookman Old Style" w:hAnsi="Bookman Old Style"/>
          <w:i/>
          <w:lang w:val="es-CO"/>
        </w:rPr>
        <w:t>Diario Oficial.</w:t>
      </w:r>
    </w:p>
    <w:p w14:paraId="364C1417" w14:textId="77777777" w:rsidR="000C120A" w:rsidRPr="00356462" w:rsidRDefault="000C120A" w:rsidP="00D81823">
      <w:pPr>
        <w:spacing w:before="240" w:after="240"/>
        <w:ind w:left="0"/>
        <w:jc w:val="both"/>
        <w:rPr>
          <w:rFonts w:ascii="Bookman Old Style" w:hAnsi="Bookman Old Style"/>
          <w:i/>
          <w:lang w:val="es-CO"/>
        </w:rPr>
      </w:pPr>
    </w:p>
    <w:p w14:paraId="7526CB9A" w14:textId="77777777" w:rsidR="00017F83" w:rsidRPr="00356462" w:rsidRDefault="00017F83" w:rsidP="00017F83">
      <w:pPr>
        <w:ind w:left="0"/>
        <w:jc w:val="center"/>
        <w:rPr>
          <w:rFonts w:ascii="Bookman Old Style" w:hAnsi="Bookman Old Style"/>
          <w:b/>
        </w:rPr>
      </w:pPr>
      <w:r w:rsidRPr="00356462">
        <w:rPr>
          <w:rFonts w:ascii="Bookman Old Style" w:hAnsi="Bookman Old Style"/>
          <w:b/>
        </w:rPr>
        <w:t>PUBLÍQUESE Y CÚMPLASE</w:t>
      </w:r>
    </w:p>
    <w:p w14:paraId="6C5DC1D6" w14:textId="77777777" w:rsidR="00017F83" w:rsidRPr="00356462" w:rsidRDefault="00017F83" w:rsidP="00BF2BC2">
      <w:pPr>
        <w:ind w:left="0"/>
        <w:rPr>
          <w:rFonts w:ascii="Bookman Old Style" w:hAnsi="Bookman Old Style"/>
        </w:rPr>
      </w:pPr>
    </w:p>
    <w:p w14:paraId="63E22859" w14:textId="77777777" w:rsidR="00BF2BC2" w:rsidRPr="00356462" w:rsidRDefault="00B2220A" w:rsidP="00BF2BC2">
      <w:pPr>
        <w:ind w:left="0"/>
        <w:rPr>
          <w:rFonts w:ascii="Bookman Old Style" w:hAnsi="Bookman Old Style"/>
        </w:rPr>
      </w:pPr>
      <w:r w:rsidRPr="00356462">
        <w:rPr>
          <w:rFonts w:ascii="Bookman Old Style" w:hAnsi="Bookman Old Style"/>
        </w:rPr>
        <w:t>Firma del Proyecto,</w:t>
      </w:r>
    </w:p>
    <w:p w14:paraId="7632D70A" w14:textId="77777777" w:rsidR="00BF2BC2" w:rsidRPr="00356462" w:rsidRDefault="00BF2BC2" w:rsidP="00BF2BC2">
      <w:pPr>
        <w:ind w:left="0"/>
        <w:rPr>
          <w:rFonts w:ascii="Bookman Old Style" w:hAnsi="Bookman Old Style"/>
        </w:rPr>
      </w:pPr>
    </w:p>
    <w:p w14:paraId="17708C60" w14:textId="77777777" w:rsidR="00BF2BC2" w:rsidRPr="00356462" w:rsidRDefault="00BF2BC2" w:rsidP="00BF2BC2">
      <w:pPr>
        <w:ind w:left="0"/>
        <w:rPr>
          <w:rFonts w:ascii="Bookman Old Style" w:hAnsi="Bookman Old Style"/>
        </w:rPr>
      </w:pPr>
    </w:p>
    <w:p w14:paraId="53C60E86" w14:textId="6CED47A7" w:rsidR="00C229C0" w:rsidRDefault="00C229C0" w:rsidP="00BF2BC2">
      <w:pPr>
        <w:ind w:left="0"/>
        <w:rPr>
          <w:rFonts w:ascii="Bookman Old Style" w:hAnsi="Bookman Old Style"/>
        </w:rPr>
      </w:pPr>
    </w:p>
    <w:p w14:paraId="65E2C714" w14:textId="77777777" w:rsidR="0051077F" w:rsidRPr="00356462" w:rsidRDefault="0051077F" w:rsidP="00BF2BC2">
      <w:pPr>
        <w:ind w:left="0"/>
        <w:rPr>
          <w:rFonts w:ascii="Bookman Old Style" w:hAnsi="Bookman Old Style"/>
        </w:rPr>
      </w:pPr>
    </w:p>
    <w:p w14:paraId="702807BD" w14:textId="77777777" w:rsidR="00F13C2A" w:rsidRPr="00356462" w:rsidRDefault="00F13C2A" w:rsidP="00BF2BC2">
      <w:pPr>
        <w:ind w:left="0"/>
        <w:rPr>
          <w:rFonts w:ascii="Bookman Old Style" w:hAnsi="Bookman Old Style"/>
        </w:rPr>
      </w:pPr>
    </w:p>
    <w:tbl>
      <w:tblPr>
        <w:tblW w:w="9923" w:type="dxa"/>
        <w:jc w:val="center"/>
        <w:tblCellSpacing w:w="0" w:type="dxa"/>
        <w:tblCellMar>
          <w:left w:w="0" w:type="dxa"/>
          <w:right w:w="0" w:type="dxa"/>
        </w:tblCellMar>
        <w:tblLook w:val="04A0" w:firstRow="1" w:lastRow="0" w:firstColumn="1" w:lastColumn="0" w:noHBand="0" w:noVBand="1"/>
      </w:tblPr>
      <w:tblGrid>
        <w:gridCol w:w="5102"/>
        <w:gridCol w:w="4821"/>
      </w:tblGrid>
      <w:tr w:rsidR="00441A0D" w:rsidRPr="00356462" w14:paraId="4DF092C9" w14:textId="77777777" w:rsidTr="009951F0">
        <w:trPr>
          <w:tblCellSpacing w:w="0" w:type="dxa"/>
          <w:jc w:val="center"/>
        </w:trPr>
        <w:tc>
          <w:tcPr>
            <w:tcW w:w="5102" w:type="dxa"/>
          </w:tcPr>
          <w:p w14:paraId="4ABDCE6D" w14:textId="77777777" w:rsidR="00441A0D" w:rsidRPr="00356462" w:rsidRDefault="00441A0D" w:rsidP="00441A0D">
            <w:pPr>
              <w:ind w:left="-6"/>
              <w:contextualSpacing/>
              <w:jc w:val="center"/>
              <w:rPr>
                <w:rFonts w:ascii="Bookman Old Style" w:eastAsia="Arial Unicode MS" w:hAnsi="Bookman Old Style"/>
                <w:b/>
                <w:bCs/>
                <w:color w:val="000000"/>
              </w:rPr>
            </w:pPr>
            <w:r w:rsidRPr="00356462">
              <w:rPr>
                <w:rFonts w:ascii="Bookman Old Style" w:hAnsi="Bookman Old Style"/>
                <w:b/>
                <w:bCs/>
              </w:rPr>
              <w:t>DIEGO MESA PUYO</w:t>
            </w:r>
          </w:p>
        </w:tc>
        <w:tc>
          <w:tcPr>
            <w:tcW w:w="4821" w:type="dxa"/>
          </w:tcPr>
          <w:p w14:paraId="6EA513AC" w14:textId="1254D086" w:rsidR="00441A0D" w:rsidRPr="00356462" w:rsidRDefault="00441A0D" w:rsidP="00441A0D">
            <w:pPr>
              <w:ind w:left="0" w:right="-26"/>
              <w:contextualSpacing/>
              <w:rPr>
                <w:rFonts w:ascii="Bookman Old Style" w:eastAsia="Arial Unicode MS" w:hAnsi="Bookman Old Style"/>
                <w:b/>
                <w:bCs/>
              </w:rPr>
            </w:pPr>
            <w:r w:rsidRPr="00356462">
              <w:rPr>
                <w:rFonts w:ascii="Bookman Old Style" w:hAnsi="Bookman Old Style"/>
                <w:b/>
                <w:bCs/>
              </w:rPr>
              <w:t>JORGE ALBERTO VALENCIA MAR</w:t>
            </w:r>
            <w:r w:rsidR="000C120A">
              <w:rPr>
                <w:rFonts w:ascii="Bookman Old Style" w:hAnsi="Bookman Old Style"/>
                <w:b/>
                <w:bCs/>
              </w:rPr>
              <w:t>Í</w:t>
            </w:r>
            <w:r w:rsidRPr="00356462">
              <w:rPr>
                <w:rFonts w:ascii="Bookman Old Style" w:hAnsi="Bookman Old Style"/>
                <w:b/>
                <w:bCs/>
              </w:rPr>
              <w:t>N</w:t>
            </w:r>
          </w:p>
        </w:tc>
      </w:tr>
      <w:tr w:rsidR="00441A0D" w:rsidRPr="00356462" w14:paraId="2B9DA73F" w14:textId="77777777" w:rsidTr="009951F0">
        <w:trPr>
          <w:tblCellSpacing w:w="0" w:type="dxa"/>
          <w:jc w:val="center"/>
        </w:trPr>
        <w:tc>
          <w:tcPr>
            <w:tcW w:w="5102" w:type="dxa"/>
          </w:tcPr>
          <w:p w14:paraId="213C190A" w14:textId="77777777" w:rsidR="00441A0D" w:rsidRPr="000C120A" w:rsidRDefault="00441A0D" w:rsidP="00441A0D">
            <w:pPr>
              <w:ind w:left="-26"/>
              <w:contextualSpacing/>
              <w:jc w:val="center"/>
              <w:rPr>
                <w:rFonts w:ascii="Bookman Old Style" w:eastAsia="Arial Unicode MS" w:hAnsi="Bookman Old Style" w:cs="Arial"/>
                <w:color w:val="000000"/>
              </w:rPr>
            </w:pPr>
            <w:r w:rsidRPr="000C120A">
              <w:rPr>
                <w:rFonts w:ascii="Bookman Old Style" w:hAnsi="Bookman Old Style"/>
              </w:rPr>
              <w:t>Ministro de Minas y Energía</w:t>
            </w:r>
          </w:p>
        </w:tc>
        <w:tc>
          <w:tcPr>
            <w:tcW w:w="4821" w:type="dxa"/>
          </w:tcPr>
          <w:p w14:paraId="19995D51" w14:textId="77777777" w:rsidR="00441A0D" w:rsidRPr="000C120A" w:rsidRDefault="00441A0D" w:rsidP="00441A0D">
            <w:pPr>
              <w:contextualSpacing/>
              <w:jc w:val="center"/>
              <w:rPr>
                <w:rFonts w:ascii="Bookman Old Style" w:eastAsia="Arial Unicode MS" w:hAnsi="Bookman Old Style" w:cs="Arial"/>
                <w:color w:val="000000"/>
              </w:rPr>
            </w:pPr>
            <w:r w:rsidRPr="000C120A">
              <w:rPr>
                <w:rFonts w:ascii="Bookman Old Style" w:hAnsi="Bookman Old Style"/>
              </w:rPr>
              <w:t>Director Ejecutivo</w:t>
            </w:r>
          </w:p>
        </w:tc>
      </w:tr>
      <w:tr w:rsidR="00441A0D" w:rsidRPr="00356462" w14:paraId="37C986FC" w14:textId="77777777" w:rsidTr="009951F0">
        <w:trPr>
          <w:tblCellSpacing w:w="0" w:type="dxa"/>
          <w:jc w:val="center"/>
        </w:trPr>
        <w:tc>
          <w:tcPr>
            <w:tcW w:w="5102" w:type="dxa"/>
          </w:tcPr>
          <w:p w14:paraId="5A25E5EA" w14:textId="77777777" w:rsidR="00441A0D" w:rsidRPr="000C120A" w:rsidRDefault="00441A0D" w:rsidP="00441A0D">
            <w:pPr>
              <w:ind w:left="-26"/>
              <w:contextualSpacing/>
              <w:jc w:val="center"/>
              <w:rPr>
                <w:rFonts w:ascii="Bookman Old Style" w:eastAsia="Arial Unicode MS" w:hAnsi="Bookman Old Style" w:cs="Arial"/>
                <w:color w:val="000000"/>
              </w:rPr>
            </w:pPr>
            <w:r w:rsidRPr="000C120A">
              <w:rPr>
                <w:rFonts w:ascii="Bookman Old Style" w:hAnsi="Bookman Old Style"/>
              </w:rPr>
              <w:t>Presidente</w:t>
            </w:r>
          </w:p>
        </w:tc>
        <w:tc>
          <w:tcPr>
            <w:tcW w:w="4821" w:type="dxa"/>
          </w:tcPr>
          <w:p w14:paraId="7AF22D87" w14:textId="77777777" w:rsidR="00441A0D" w:rsidRPr="00356462" w:rsidRDefault="00441A0D" w:rsidP="00441A0D">
            <w:pPr>
              <w:contextualSpacing/>
              <w:jc w:val="center"/>
              <w:rPr>
                <w:rFonts w:ascii="Bookman Old Style" w:eastAsia="Arial Unicode MS" w:hAnsi="Bookman Old Style" w:cs="Arial"/>
                <w:b/>
                <w:bCs/>
                <w:color w:val="000000"/>
              </w:rPr>
            </w:pPr>
            <w:r w:rsidRPr="00356462">
              <w:rPr>
                <w:rFonts w:ascii="Bookman Old Style" w:hAnsi="Bookman Old Style"/>
                <w:b/>
                <w:bCs/>
              </w:rPr>
              <w:t xml:space="preserve"> </w:t>
            </w:r>
          </w:p>
        </w:tc>
      </w:tr>
    </w:tbl>
    <w:p w14:paraId="494C3D99" w14:textId="77777777" w:rsidR="00BF2BC2" w:rsidRPr="00356462" w:rsidRDefault="00BF2BC2" w:rsidP="00BF2BC2">
      <w:pPr>
        <w:ind w:left="0"/>
        <w:rPr>
          <w:rFonts w:ascii="Bookman Old Style" w:hAnsi="Bookman Old Style"/>
        </w:rPr>
      </w:pPr>
    </w:p>
    <w:sectPr w:rsidR="00BF2BC2" w:rsidRPr="00356462" w:rsidSect="009B68FB">
      <w:headerReference w:type="default" r:id="rId15"/>
      <w:headerReference w:type="first" r:id="rId16"/>
      <w:type w:val="continuous"/>
      <w:pgSz w:w="12242" w:h="18722" w:code="154"/>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DB2B3" w14:textId="77777777" w:rsidR="00A91053" w:rsidRDefault="00A91053">
      <w:r>
        <w:separator/>
      </w:r>
    </w:p>
  </w:endnote>
  <w:endnote w:type="continuationSeparator" w:id="0">
    <w:p w14:paraId="7FE049F8" w14:textId="77777777" w:rsidR="00A91053" w:rsidRDefault="00A91053">
      <w:r>
        <w:continuationSeparator/>
      </w:r>
    </w:p>
  </w:endnote>
  <w:endnote w:type="continuationNotice" w:id="1">
    <w:p w14:paraId="64D06E3B" w14:textId="77777777" w:rsidR="00A91053" w:rsidRDefault="00A91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ADCA2" w14:textId="77777777" w:rsidR="00A91053" w:rsidRDefault="00A91053">
      <w:r>
        <w:separator/>
      </w:r>
    </w:p>
  </w:footnote>
  <w:footnote w:type="continuationSeparator" w:id="0">
    <w:p w14:paraId="20F99819" w14:textId="77777777" w:rsidR="00A91053" w:rsidRDefault="00A91053">
      <w:r>
        <w:continuationSeparator/>
      </w:r>
    </w:p>
  </w:footnote>
  <w:footnote w:type="continuationNotice" w:id="1">
    <w:p w14:paraId="73AAD0EF" w14:textId="77777777" w:rsidR="00A91053" w:rsidRDefault="00A91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369D" w14:textId="77777777" w:rsidR="00E8238D" w:rsidRDefault="00E8238D" w:rsidP="00951F79">
    <w:pPr>
      <w:pStyle w:val="Ttulo1"/>
      <w:ind w:right="6"/>
      <w:jc w:val="left"/>
      <w:rPr>
        <w:rFonts w:ascii="Bookman Old Style" w:hAnsi="Bookman Old Style" w:cs="Arial"/>
        <w:b w:val="0"/>
        <w:sz w:val="22"/>
        <w:szCs w:val="22"/>
      </w:rPr>
    </w:pPr>
  </w:p>
  <w:p w14:paraId="22C9F80F" w14:textId="6FA2DF8E" w:rsidR="00E8238D" w:rsidRPr="00951F79" w:rsidRDefault="00E8238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0C120A" w:rsidRPr="000C120A">
      <w:rPr>
        <w:rFonts w:ascii="Bookman Old Style" w:hAnsi="Bookman Old Style" w:cs="Arial"/>
        <w:bCs/>
        <w:szCs w:val="24"/>
        <w:u w:val="single"/>
      </w:rPr>
      <w:t xml:space="preserve">007  </w:t>
    </w:r>
    <w:r w:rsidR="000C120A">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0C120A">
      <w:rPr>
        <w:rFonts w:ascii="Bookman Old Style" w:hAnsi="Bookman Old Style" w:cs="Arial"/>
        <w:b w:val="0"/>
        <w:sz w:val="22"/>
        <w:szCs w:val="22"/>
      </w:rPr>
      <w:t xml:space="preserve">  </w:t>
    </w:r>
    <w:r w:rsidR="000C120A" w:rsidRPr="000C120A">
      <w:rPr>
        <w:rFonts w:ascii="Bookman Old Style" w:hAnsi="Bookman Old Style" w:cs="Arial"/>
        <w:bCs/>
        <w:szCs w:val="24"/>
        <w:u w:val="single"/>
      </w:rPr>
      <w:t>05 FEB. 2021</w:t>
    </w:r>
    <w:r w:rsidR="000C120A">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073BB5">
        <w:rPr>
          <w:rFonts w:ascii="Bookman Old Style" w:hAnsi="Bookman Old Style" w:cs="Arial"/>
          <w:b w:val="0"/>
          <w:noProof/>
          <w:sz w:val="22"/>
          <w:szCs w:val="22"/>
        </w:rPr>
        <w:t>4</w:t>
      </w:r>
    </w:fldSimple>
  </w:p>
  <w:p w14:paraId="393E14D1" w14:textId="477BFF49" w:rsidR="00E8238D" w:rsidRPr="00BF4D52" w:rsidRDefault="00CE76AE" w:rsidP="00AD01E4">
    <w:pPr>
      <w:ind w:left="142" w:right="148"/>
      <w:rPr>
        <w:rFonts w:ascii="Bookman Old Style" w:hAnsi="Bookman Old Style" w:cs="Arial"/>
        <w:sz w:val="22"/>
        <w:szCs w:val="22"/>
      </w:rPr>
    </w:pPr>
    <w:r w:rsidRPr="0042068C">
      <w:rPr>
        <w:noProof/>
      </w:rPr>
      <mc:AlternateContent>
        <mc:Choice Requires="wps">
          <w:drawing>
            <wp:anchor distT="0" distB="0" distL="114300" distR="114300" simplePos="0" relativeHeight="251658240" behindDoc="0" locked="0" layoutInCell="1" allowOverlap="1" wp14:anchorId="569318CA" wp14:editId="2929E67D">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w:pict>
            <v:rect w14:anchorId="157CC255"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79CFA30A" w14:textId="4F02734E" w:rsidR="004D0B60" w:rsidRPr="00356462" w:rsidRDefault="004D0B60" w:rsidP="000C120A">
    <w:pPr>
      <w:ind w:left="0"/>
      <w:jc w:val="both"/>
      <w:rPr>
        <w:rFonts w:ascii="Bookman Old Style" w:hAnsi="Bookman Old Style"/>
      </w:rPr>
    </w:pPr>
    <w:r w:rsidRPr="00356462">
      <w:rPr>
        <w:rFonts w:ascii="Bookman Old Style" w:hAnsi="Bookman Old Style"/>
      </w:rPr>
      <w:t xml:space="preserve">Por la cual se ordena hacer público un proyecto de resolución de carácter general, “Por la cual se </w:t>
    </w:r>
    <w:r>
      <w:rPr>
        <w:rFonts w:ascii="Bookman Old Style" w:hAnsi="Bookman Old Style"/>
      </w:rPr>
      <w:t>hace</w:t>
    </w:r>
    <w:r w:rsidR="00C243A4">
      <w:rPr>
        <w:rFonts w:ascii="Bookman Old Style" w:hAnsi="Bookman Old Style"/>
      </w:rPr>
      <w:t>n</w:t>
    </w:r>
    <w:r>
      <w:rPr>
        <w:rFonts w:ascii="Bookman Old Style" w:hAnsi="Bookman Old Style"/>
      </w:rPr>
      <w:t xml:space="preserve"> unos ajustes a la </w:t>
    </w:r>
    <w:r w:rsidRPr="00356462">
      <w:rPr>
        <w:rFonts w:ascii="Bookman Old Style" w:hAnsi="Bookman Old Style"/>
      </w:rPr>
      <w:t>Resolución CREG 152 de 2017”</w:t>
    </w:r>
  </w:p>
  <w:p w14:paraId="1DB166B3" w14:textId="770444C8" w:rsidR="00E8238D" w:rsidRPr="001B06AC" w:rsidRDefault="00E8238D" w:rsidP="004D0B60">
    <w:pPr>
      <w:pBdr>
        <w:bottom w:val="single" w:sz="4" w:space="1" w:color="auto"/>
      </w:pBdr>
      <w:ind w:left="142" w:right="148"/>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CF4FF" w14:textId="77777777" w:rsidR="00E8238D" w:rsidRDefault="00E8238D"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496FA1E5" w14:textId="77777777" w:rsidR="00E8238D" w:rsidRDefault="00E8238D">
    <w:pPr>
      <w:pStyle w:val="Encabezado"/>
      <w:jc w:val="center"/>
      <w:rPr>
        <w:rFonts w:ascii="Arial" w:hAnsi="Arial" w:cs="Arial"/>
        <w:spacing w:val="20"/>
        <w:sz w:val="20"/>
      </w:rPr>
    </w:pPr>
  </w:p>
  <w:p w14:paraId="5AA29E10" w14:textId="62B10CB9" w:rsidR="00E8238D" w:rsidRDefault="00CE76AE"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1" behindDoc="0" locked="0" layoutInCell="1" allowOverlap="1" wp14:anchorId="642AD127" wp14:editId="0F0F8D6B">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w:pict>
            <v:rect w14:anchorId="035B388E"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5583D9F"/>
    <w:multiLevelType w:val="multilevel"/>
    <w:tmpl w:val="6DEC88DE"/>
    <w:lvl w:ilvl="0">
      <w:start w:val="6"/>
      <w:numFmt w:val="decimal"/>
      <w:lvlText w:val="%1."/>
      <w:lvlJc w:val="left"/>
      <w:pPr>
        <w:ind w:left="720" w:hanging="72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06105476"/>
    <w:multiLevelType w:val="hybridMultilevel"/>
    <w:tmpl w:val="8604A7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B7359AC"/>
    <w:multiLevelType w:val="multilevel"/>
    <w:tmpl w:val="D04C801C"/>
    <w:lvl w:ilvl="0">
      <w:start w:val="6"/>
      <w:numFmt w:val="decimal"/>
      <w:lvlText w:val="%1"/>
      <w:lvlJc w:val="left"/>
      <w:pPr>
        <w:ind w:left="645" w:hanging="64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2A1DD2"/>
    <w:multiLevelType w:val="multilevel"/>
    <w:tmpl w:val="7DF8229A"/>
    <w:lvl w:ilvl="0">
      <w:start w:val="6"/>
      <w:numFmt w:val="decimal"/>
      <w:lvlText w:val="%1."/>
      <w:lvlJc w:val="left"/>
      <w:pPr>
        <w:ind w:left="720" w:hanging="720"/>
      </w:pPr>
      <w:rPr>
        <w:rFonts w:hint="default"/>
      </w:rPr>
    </w:lvl>
    <w:lvl w:ilvl="1">
      <w:start w:val="3"/>
      <w:numFmt w:val="decimal"/>
      <w:lvlText w:val="%1.%2."/>
      <w:lvlJc w:val="left"/>
      <w:pPr>
        <w:ind w:left="900" w:hanging="720"/>
      </w:pPr>
      <w:rPr>
        <w:rFonts w:hint="default"/>
      </w:rPr>
    </w:lvl>
    <w:lvl w:ilvl="2">
      <w:start w:val="5"/>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4356D85"/>
    <w:multiLevelType w:val="hybridMultilevel"/>
    <w:tmpl w:val="CF407C32"/>
    <w:lvl w:ilvl="0" w:tplc="256E4838">
      <w:start w:val="1"/>
      <w:numFmt w:val="lowerLetter"/>
      <w:lvlText w:val="%1)"/>
      <w:lvlJc w:val="left"/>
      <w:pPr>
        <w:ind w:left="720" w:hanging="360"/>
      </w:pPr>
      <w:rPr>
        <w:rFonts w:ascii="Bookman Old Style" w:eastAsia="Calibri" w:hAnsi="Bookman Old Style"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AF1CB5"/>
    <w:multiLevelType w:val="hybridMultilevel"/>
    <w:tmpl w:val="07FCD0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F73400C"/>
    <w:multiLevelType w:val="hybridMultilevel"/>
    <w:tmpl w:val="29F4C3C4"/>
    <w:lvl w:ilvl="0" w:tplc="BB042622">
      <w:start w:val="1"/>
      <w:numFmt w:val="lowerRoman"/>
      <w:lvlText w:val="%1.)"/>
      <w:lvlJc w:val="left"/>
      <w:pPr>
        <w:ind w:left="1080" w:hanging="720"/>
      </w:pPr>
      <w:rPr>
        <w:rFonts w:cs="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527AE5"/>
    <w:multiLevelType w:val="hybridMultilevel"/>
    <w:tmpl w:val="D4AA306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7" w15:restartNumberingAfterBreak="0">
    <w:nsid w:val="2CBF48C7"/>
    <w:multiLevelType w:val="hybridMultilevel"/>
    <w:tmpl w:val="75A48A6A"/>
    <w:lvl w:ilvl="0" w:tplc="46E4F256">
      <w:start w:val="2"/>
      <w:numFmt w:val="bullet"/>
      <w:lvlText w:val="-"/>
      <w:lvlJc w:val="left"/>
      <w:pPr>
        <w:ind w:left="1068" w:hanging="360"/>
      </w:pPr>
      <w:rPr>
        <w:rFonts w:ascii="Arial" w:eastAsia="Calibri" w:hAnsi="Arial" w:cs="Aria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2CD34768"/>
    <w:multiLevelType w:val="multilevel"/>
    <w:tmpl w:val="2F9281EE"/>
    <w:lvl w:ilvl="0">
      <w:start w:val="6"/>
      <w:numFmt w:val="decimal"/>
      <w:lvlText w:val="%1."/>
      <w:lvlJc w:val="left"/>
      <w:pPr>
        <w:ind w:left="720" w:hanging="72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32C7386E"/>
    <w:multiLevelType w:val="multilevel"/>
    <w:tmpl w:val="0396D7E4"/>
    <w:lvl w:ilvl="0">
      <w:start w:val="6"/>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48F13D4"/>
    <w:multiLevelType w:val="multilevel"/>
    <w:tmpl w:val="59E07EEC"/>
    <w:lvl w:ilvl="0">
      <w:start w:val="1"/>
      <w:numFmt w:val="decimal"/>
      <w:suff w:val="space"/>
      <w:lvlText w:val="Artículo %1."/>
      <w:lvlJc w:val="left"/>
      <w:pPr>
        <w:ind w:left="7512" w:firstLine="0"/>
      </w:pPr>
      <w:rPr>
        <w:rFonts w:ascii="Bookman Old Style" w:hAnsi="Bookman Old Style" w:hint="default"/>
        <w:b/>
        <w:i w:val="0"/>
        <w:sz w:val="24"/>
        <w:lang w:val="es-ES_tradnl"/>
      </w:rPr>
    </w:lvl>
    <w:lvl w:ilvl="1">
      <w:start w:val="1"/>
      <w:numFmt w:val="decimal"/>
      <w:lvlText w:val="%1.%2."/>
      <w:lvlJc w:val="left"/>
      <w:pPr>
        <w:ind w:left="5810" w:firstLine="0"/>
      </w:pPr>
      <w:rPr>
        <w:rFonts w:ascii="Bookman Old Style" w:hAnsi="Bookman Old Style" w:hint="default"/>
        <w:b/>
        <w:i w:val="0"/>
        <w:sz w:val="24"/>
        <w:szCs w:val="24"/>
      </w:rPr>
    </w:lvl>
    <w:lvl w:ilvl="2">
      <w:start w:val="1"/>
      <w:numFmt w:val="decimal"/>
      <w:suff w:val="nothing"/>
      <w:lvlText w:val="%1.%2.%3. "/>
      <w:lvlJc w:val="left"/>
      <w:pPr>
        <w:ind w:left="5810" w:firstLine="0"/>
      </w:pPr>
      <w:rPr>
        <w:rFonts w:ascii="Bookman Old Style" w:hAnsi="Bookman Old Style" w:hint="default"/>
        <w:b/>
        <w:i w:val="0"/>
        <w:sz w:val="24"/>
      </w:rPr>
    </w:lvl>
    <w:lvl w:ilvl="3">
      <w:start w:val="1"/>
      <w:numFmt w:val="lowerRoman"/>
      <w:lvlText w:val="(%4)"/>
      <w:lvlJc w:val="right"/>
      <w:pPr>
        <w:ind w:left="4675" w:firstLine="0"/>
      </w:pPr>
      <w:rPr>
        <w:rFonts w:hint="default"/>
      </w:rPr>
    </w:lvl>
    <w:lvl w:ilvl="4">
      <w:start w:val="1"/>
      <w:numFmt w:val="decimal"/>
      <w:lvlText w:val="%5)"/>
      <w:lvlJc w:val="left"/>
      <w:pPr>
        <w:ind w:left="4675" w:firstLine="0"/>
      </w:pPr>
      <w:rPr>
        <w:rFonts w:hint="default"/>
      </w:rPr>
    </w:lvl>
    <w:lvl w:ilvl="5">
      <w:start w:val="1"/>
      <w:numFmt w:val="lowerLetter"/>
      <w:lvlText w:val="%6)"/>
      <w:lvlJc w:val="left"/>
      <w:pPr>
        <w:ind w:left="4675" w:firstLine="0"/>
      </w:pPr>
      <w:rPr>
        <w:rFonts w:hint="default"/>
      </w:rPr>
    </w:lvl>
    <w:lvl w:ilvl="6">
      <w:start w:val="1"/>
      <w:numFmt w:val="lowerRoman"/>
      <w:lvlText w:val="%7)"/>
      <w:lvlJc w:val="right"/>
      <w:pPr>
        <w:ind w:left="4675" w:firstLine="0"/>
      </w:pPr>
      <w:rPr>
        <w:rFonts w:hint="default"/>
      </w:rPr>
    </w:lvl>
    <w:lvl w:ilvl="7">
      <w:start w:val="1"/>
      <w:numFmt w:val="lowerLetter"/>
      <w:lvlText w:val="%8."/>
      <w:lvlJc w:val="left"/>
      <w:pPr>
        <w:ind w:left="4675" w:firstLine="0"/>
      </w:pPr>
      <w:rPr>
        <w:rFonts w:hint="default"/>
      </w:rPr>
    </w:lvl>
    <w:lvl w:ilvl="8">
      <w:start w:val="1"/>
      <w:numFmt w:val="lowerRoman"/>
      <w:lvlText w:val="%9."/>
      <w:lvlJc w:val="right"/>
      <w:pPr>
        <w:ind w:left="4675" w:firstLine="0"/>
      </w:pPr>
      <w:rPr>
        <w:rFonts w:hint="default"/>
      </w:rPr>
    </w:lvl>
  </w:abstractNum>
  <w:abstractNum w:abstractNumId="2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E57D6A"/>
    <w:multiLevelType w:val="multilevel"/>
    <w:tmpl w:val="1E82AE8C"/>
    <w:lvl w:ilvl="0">
      <w:start w:val="6"/>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0B4A53"/>
    <w:multiLevelType w:val="hybridMultilevel"/>
    <w:tmpl w:val="D4622F46"/>
    <w:lvl w:ilvl="0" w:tplc="9C341D64">
      <w:numFmt w:val="bullet"/>
      <w:lvlText w:val="-"/>
      <w:lvlJc w:val="left"/>
      <w:pPr>
        <w:ind w:left="786" w:hanging="360"/>
      </w:pPr>
      <w:rPr>
        <w:rFonts w:ascii="Arial" w:eastAsia="Calibri" w:hAnsi="Arial" w:cs="Arial" w:hint="default"/>
        <w:color w:val="000000"/>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5" w15:restartNumberingAfterBreak="0">
    <w:nsid w:val="459E112F"/>
    <w:multiLevelType w:val="hybridMultilevel"/>
    <w:tmpl w:val="770A2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7"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9"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E5727B9"/>
    <w:multiLevelType w:val="multilevel"/>
    <w:tmpl w:val="16AACEF4"/>
    <w:lvl w:ilvl="0">
      <w:start w:val="6"/>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F9D6FBA"/>
    <w:multiLevelType w:val="hybridMultilevel"/>
    <w:tmpl w:val="0E78897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15:restartNumberingAfterBreak="0">
    <w:nsid w:val="56C22083"/>
    <w:multiLevelType w:val="hybridMultilevel"/>
    <w:tmpl w:val="F66E9CF8"/>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60377485"/>
    <w:multiLevelType w:val="hybridMultilevel"/>
    <w:tmpl w:val="DD1057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432BD8"/>
    <w:multiLevelType w:val="hybridMultilevel"/>
    <w:tmpl w:val="CD8859D2"/>
    <w:lvl w:ilvl="0" w:tplc="3E349DFC">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AF96D88"/>
    <w:multiLevelType w:val="hybridMultilevel"/>
    <w:tmpl w:val="89D0541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41"/>
  </w:num>
  <w:num w:numId="4">
    <w:abstractNumId w:val="13"/>
  </w:num>
  <w:num w:numId="5">
    <w:abstractNumId w:val="34"/>
  </w:num>
  <w:num w:numId="6">
    <w:abstractNumId w:val="4"/>
  </w:num>
  <w:num w:numId="7">
    <w:abstractNumId w:val="3"/>
  </w:num>
  <w:num w:numId="8">
    <w:abstractNumId w:val="37"/>
  </w:num>
  <w:num w:numId="9">
    <w:abstractNumId w:val="35"/>
  </w:num>
  <w:num w:numId="10">
    <w:abstractNumId w:val="27"/>
  </w:num>
  <w:num w:numId="11">
    <w:abstractNumId w:val="43"/>
  </w:num>
  <w:num w:numId="12">
    <w:abstractNumId w:val="39"/>
  </w:num>
  <w:num w:numId="13">
    <w:abstractNumId w:val="22"/>
  </w:num>
  <w:num w:numId="14">
    <w:abstractNumId w:val="2"/>
  </w:num>
  <w:num w:numId="15">
    <w:abstractNumId w:val="28"/>
  </w:num>
  <w:num w:numId="16">
    <w:abstractNumId w:val="1"/>
  </w:num>
  <w:num w:numId="17">
    <w:abstractNumId w:val="20"/>
  </w:num>
  <w:num w:numId="18">
    <w:abstractNumId w:val="0"/>
  </w:num>
  <w:num w:numId="19">
    <w:abstractNumId w:val="38"/>
  </w:num>
  <w:num w:numId="20">
    <w:abstractNumId w:val="32"/>
  </w:num>
  <w:num w:numId="21">
    <w:abstractNumId w:val="14"/>
  </w:num>
  <w:num w:numId="22">
    <w:abstractNumId w:val="16"/>
  </w:num>
  <w:num w:numId="23">
    <w:abstractNumId w:val="29"/>
  </w:num>
  <w:num w:numId="24">
    <w:abstractNumId w:val="11"/>
  </w:num>
  <w:num w:numId="25">
    <w:abstractNumId w:val="31"/>
  </w:num>
  <w:num w:numId="26">
    <w:abstractNumId w:val="2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9"/>
    <w:lvlOverride w:ilvl="0">
      <w:startOverride w:val="6"/>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3"/>
  </w:num>
  <w:num w:numId="31">
    <w:abstractNumId w:val="19"/>
  </w:num>
  <w:num w:numId="32">
    <w:abstractNumId w:val="30"/>
  </w:num>
  <w:num w:numId="33">
    <w:abstractNumId w:val="7"/>
  </w:num>
  <w:num w:numId="34">
    <w:abstractNumId w:val="18"/>
  </w:num>
  <w:num w:numId="35">
    <w:abstractNumId w:val="9"/>
  </w:num>
  <w:num w:numId="36">
    <w:abstractNumId w:val="5"/>
  </w:num>
  <w:num w:numId="37">
    <w:abstractNumId w:val="25"/>
  </w:num>
  <w:num w:numId="38">
    <w:abstractNumId w:val="40"/>
  </w:num>
  <w:num w:numId="39">
    <w:abstractNumId w:val="21"/>
  </w:num>
  <w:num w:numId="40">
    <w:abstractNumId w:val="36"/>
  </w:num>
  <w:num w:numId="41">
    <w:abstractNumId w:val="15"/>
  </w:num>
  <w:num w:numId="42">
    <w:abstractNumId w:val="10"/>
  </w:num>
  <w:num w:numId="43">
    <w:abstractNumId w:val="24"/>
  </w:num>
  <w:num w:numId="44">
    <w:abstractNumId w:val="33"/>
  </w:num>
  <w:num w:numId="45">
    <w:abstractNumId w:val="17"/>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37CB"/>
    <w:rsid w:val="00006AE2"/>
    <w:rsid w:val="000076A1"/>
    <w:rsid w:val="00012259"/>
    <w:rsid w:val="0001329C"/>
    <w:rsid w:val="0001389B"/>
    <w:rsid w:val="00016A71"/>
    <w:rsid w:val="00017F83"/>
    <w:rsid w:val="00025383"/>
    <w:rsid w:val="00025D64"/>
    <w:rsid w:val="000302BC"/>
    <w:rsid w:val="0003274F"/>
    <w:rsid w:val="0003434A"/>
    <w:rsid w:val="00036A8A"/>
    <w:rsid w:val="0004074F"/>
    <w:rsid w:val="000408C2"/>
    <w:rsid w:val="00045D3D"/>
    <w:rsid w:val="000472DC"/>
    <w:rsid w:val="00051067"/>
    <w:rsid w:val="0005785B"/>
    <w:rsid w:val="00063657"/>
    <w:rsid w:val="000726BB"/>
    <w:rsid w:val="00073BB5"/>
    <w:rsid w:val="000741E0"/>
    <w:rsid w:val="00076680"/>
    <w:rsid w:val="00076A1D"/>
    <w:rsid w:val="0008073E"/>
    <w:rsid w:val="00087BDC"/>
    <w:rsid w:val="00091CDB"/>
    <w:rsid w:val="00096791"/>
    <w:rsid w:val="000A1412"/>
    <w:rsid w:val="000A14E9"/>
    <w:rsid w:val="000A19AC"/>
    <w:rsid w:val="000A4E03"/>
    <w:rsid w:val="000A5832"/>
    <w:rsid w:val="000A6EE8"/>
    <w:rsid w:val="000B2D28"/>
    <w:rsid w:val="000B2EC9"/>
    <w:rsid w:val="000B433F"/>
    <w:rsid w:val="000B4B0F"/>
    <w:rsid w:val="000B7A2F"/>
    <w:rsid w:val="000C06C5"/>
    <w:rsid w:val="000C120A"/>
    <w:rsid w:val="000D25A9"/>
    <w:rsid w:val="000D26F8"/>
    <w:rsid w:val="000D76A2"/>
    <w:rsid w:val="000F6EC6"/>
    <w:rsid w:val="0010063F"/>
    <w:rsid w:val="00106654"/>
    <w:rsid w:val="00107CF3"/>
    <w:rsid w:val="00110188"/>
    <w:rsid w:val="001119DF"/>
    <w:rsid w:val="0011701A"/>
    <w:rsid w:val="00127E8E"/>
    <w:rsid w:val="0013526C"/>
    <w:rsid w:val="001405C6"/>
    <w:rsid w:val="00141013"/>
    <w:rsid w:val="001426C3"/>
    <w:rsid w:val="00142AFE"/>
    <w:rsid w:val="00144364"/>
    <w:rsid w:val="0014536E"/>
    <w:rsid w:val="00147843"/>
    <w:rsid w:val="0015169C"/>
    <w:rsid w:val="00157849"/>
    <w:rsid w:val="00165876"/>
    <w:rsid w:val="0017570C"/>
    <w:rsid w:val="00175D63"/>
    <w:rsid w:val="0018141D"/>
    <w:rsid w:val="001830BB"/>
    <w:rsid w:val="00184C02"/>
    <w:rsid w:val="0018674F"/>
    <w:rsid w:val="00191701"/>
    <w:rsid w:val="00192CBF"/>
    <w:rsid w:val="00192FF1"/>
    <w:rsid w:val="001972DF"/>
    <w:rsid w:val="001A0083"/>
    <w:rsid w:val="001A2BE5"/>
    <w:rsid w:val="001A35F5"/>
    <w:rsid w:val="001A5977"/>
    <w:rsid w:val="001A5F1B"/>
    <w:rsid w:val="001B06AC"/>
    <w:rsid w:val="001B1C22"/>
    <w:rsid w:val="001B3019"/>
    <w:rsid w:val="001B34C6"/>
    <w:rsid w:val="001B64AB"/>
    <w:rsid w:val="001C133D"/>
    <w:rsid w:val="001C4EC5"/>
    <w:rsid w:val="001C6549"/>
    <w:rsid w:val="001D1921"/>
    <w:rsid w:val="001D7832"/>
    <w:rsid w:val="001E18C1"/>
    <w:rsid w:val="001E2A0A"/>
    <w:rsid w:val="001E6C21"/>
    <w:rsid w:val="001F3C7E"/>
    <w:rsid w:val="00201563"/>
    <w:rsid w:val="002105CD"/>
    <w:rsid w:val="00210DC1"/>
    <w:rsid w:val="00211D34"/>
    <w:rsid w:val="00212642"/>
    <w:rsid w:val="00214F04"/>
    <w:rsid w:val="0022666A"/>
    <w:rsid w:val="00233816"/>
    <w:rsid w:val="002352B9"/>
    <w:rsid w:val="002367B2"/>
    <w:rsid w:val="0024192F"/>
    <w:rsid w:val="0024355B"/>
    <w:rsid w:val="002526E3"/>
    <w:rsid w:val="0025630B"/>
    <w:rsid w:val="00263DFE"/>
    <w:rsid w:val="00266CD6"/>
    <w:rsid w:val="002673AC"/>
    <w:rsid w:val="0026744B"/>
    <w:rsid w:val="00275DAB"/>
    <w:rsid w:val="00281B74"/>
    <w:rsid w:val="00287A4A"/>
    <w:rsid w:val="002903C0"/>
    <w:rsid w:val="002931FF"/>
    <w:rsid w:val="00294C5D"/>
    <w:rsid w:val="00297324"/>
    <w:rsid w:val="002A4483"/>
    <w:rsid w:val="002A67E5"/>
    <w:rsid w:val="002A782A"/>
    <w:rsid w:val="002B11E2"/>
    <w:rsid w:val="002B24B8"/>
    <w:rsid w:val="002B624F"/>
    <w:rsid w:val="002C40DE"/>
    <w:rsid w:val="002C4D7F"/>
    <w:rsid w:val="002D33BA"/>
    <w:rsid w:val="002D3AE9"/>
    <w:rsid w:val="002D4510"/>
    <w:rsid w:val="002D5821"/>
    <w:rsid w:val="002D7E7C"/>
    <w:rsid w:val="002E2431"/>
    <w:rsid w:val="002E492C"/>
    <w:rsid w:val="002F0734"/>
    <w:rsid w:val="002F46E7"/>
    <w:rsid w:val="002F5465"/>
    <w:rsid w:val="003026BF"/>
    <w:rsid w:val="003101DA"/>
    <w:rsid w:val="003111C3"/>
    <w:rsid w:val="0031376B"/>
    <w:rsid w:val="00313C26"/>
    <w:rsid w:val="00314757"/>
    <w:rsid w:val="003163BC"/>
    <w:rsid w:val="00320728"/>
    <w:rsid w:val="003211CE"/>
    <w:rsid w:val="003213E2"/>
    <w:rsid w:val="003231E7"/>
    <w:rsid w:val="00324BD3"/>
    <w:rsid w:val="00334140"/>
    <w:rsid w:val="0033723D"/>
    <w:rsid w:val="003416AD"/>
    <w:rsid w:val="00341840"/>
    <w:rsid w:val="003440ED"/>
    <w:rsid w:val="003446E8"/>
    <w:rsid w:val="00344DB4"/>
    <w:rsid w:val="00353EB5"/>
    <w:rsid w:val="0035403A"/>
    <w:rsid w:val="00355BF1"/>
    <w:rsid w:val="00356462"/>
    <w:rsid w:val="003577BC"/>
    <w:rsid w:val="00360004"/>
    <w:rsid w:val="00361348"/>
    <w:rsid w:val="00363050"/>
    <w:rsid w:val="0036394B"/>
    <w:rsid w:val="00366DB6"/>
    <w:rsid w:val="003709B5"/>
    <w:rsid w:val="003759C2"/>
    <w:rsid w:val="00384E02"/>
    <w:rsid w:val="0039136A"/>
    <w:rsid w:val="003932D1"/>
    <w:rsid w:val="003969BA"/>
    <w:rsid w:val="00397365"/>
    <w:rsid w:val="003A2629"/>
    <w:rsid w:val="003A31F6"/>
    <w:rsid w:val="003A3EA7"/>
    <w:rsid w:val="003A627F"/>
    <w:rsid w:val="003B15A1"/>
    <w:rsid w:val="003B26B5"/>
    <w:rsid w:val="003C15B3"/>
    <w:rsid w:val="003C2610"/>
    <w:rsid w:val="003C3447"/>
    <w:rsid w:val="003C4EC7"/>
    <w:rsid w:val="003C7822"/>
    <w:rsid w:val="003D076C"/>
    <w:rsid w:val="003D1F34"/>
    <w:rsid w:val="003E0324"/>
    <w:rsid w:val="003E1118"/>
    <w:rsid w:val="003E1EC8"/>
    <w:rsid w:val="003E52A1"/>
    <w:rsid w:val="003E78B5"/>
    <w:rsid w:val="003F7C30"/>
    <w:rsid w:val="00402982"/>
    <w:rsid w:val="00402E61"/>
    <w:rsid w:val="0040389F"/>
    <w:rsid w:val="00407B28"/>
    <w:rsid w:val="004123EE"/>
    <w:rsid w:val="00415BAB"/>
    <w:rsid w:val="00415ED2"/>
    <w:rsid w:val="00416484"/>
    <w:rsid w:val="00417152"/>
    <w:rsid w:val="0042068C"/>
    <w:rsid w:val="00423C91"/>
    <w:rsid w:val="00432A55"/>
    <w:rsid w:val="00432DDF"/>
    <w:rsid w:val="00441294"/>
    <w:rsid w:val="00441A0D"/>
    <w:rsid w:val="00441B8A"/>
    <w:rsid w:val="004423F4"/>
    <w:rsid w:val="0044318E"/>
    <w:rsid w:val="0044368D"/>
    <w:rsid w:val="00443B35"/>
    <w:rsid w:val="00443F47"/>
    <w:rsid w:val="00446781"/>
    <w:rsid w:val="00455650"/>
    <w:rsid w:val="00456D99"/>
    <w:rsid w:val="004616BB"/>
    <w:rsid w:val="00461994"/>
    <w:rsid w:val="004621D8"/>
    <w:rsid w:val="0047122B"/>
    <w:rsid w:val="00472C6B"/>
    <w:rsid w:val="00473B7A"/>
    <w:rsid w:val="00475B35"/>
    <w:rsid w:val="00476080"/>
    <w:rsid w:val="00480541"/>
    <w:rsid w:val="00481493"/>
    <w:rsid w:val="00481B80"/>
    <w:rsid w:val="00483BA1"/>
    <w:rsid w:val="004850E6"/>
    <w:rsid w:val="00491BA3"/>
    <w:rsid w:val="00495773"/>
    <w:rsid w:val="00496043"/>
    <w:rsid w:val="004960E9"/>
    <w:rsid w:val="004A2CC0"/>
    <w:rsid w:val="004A2E88"/>
    <w:rsid w:val="004A5305"/>
    <w:rsid w:val="004B2942"/>
    <w:rsid w:val="004B5C44"/>
    <w:rsid w:val="004B675F"/>
    <w:rsid w:val="004C2308"/>
    <w:rsid w:val="004C4842"/>
    <w:rsid w:val="004D04E5"/>
    <w:rsid w:val="004D0B60"/>
    <w:rsid w:val="004D7634"/>
    <w:rsid w:val="004E5D8B"/>
    <w:rsid w:val="004E611A"/>
    <w:rsid w:val="004E6727"/>
    <w:rsid w:val="004F6460"/>
    <w:rsid w:val="005030B3"/>
    <w:rsid w:val="00505FD7"/>
    <w:rsid w:val="0051077F"/>
    <w:rsid w:val="00522890"/>
    <w:rsid w:val="005228DE"/>
    <w:rsid w:val="005300D3"/>
    <w:rsid w:val="005312F8"/>
    <w:rsid w:val="00540B23"/>
    <w:rsid w:val="005411C4"/>
    <w:rsid w:val="00542A10"/>
    <w:rsid w:val="00542DBF"/>
    <w:rsid w:val="00544F82"/>
    <w:rsid w:val="00546546"/>
    <w:rsid w:val="005509D2"/>
    <w:rsid w:val="00553313"/>
    <w:rsid w:val="00555F7D"/>
    <w:rsid w:val="00556836"/>
    <w:rsid w:val="00564708"/>
    <w:rsid w:val="00566E87"/>
    <w:rsid w:val="00576B4D"/>
    <w:rsid w:val="0057729C"/>
    <w:rsid w:val="00582816"/>
    <w:rsid w:val="00583798"/>
    <w:rsid w:val="00583EF3"/>
    <w:rsid w:val="00591367"/>
    <w:rsid w:val="00593C4F"/>
    <w:rsid w:val="005946A8"/>
    <w:rsid w:val="00595112"/>
    <w:rsid w:val="005A11F2"/>
    <w:rsid w:val="005A3C69"/>
    <w:rsid w:val="005A4407"/>
    <w:rsid w:val="005A59EF"/>
    <w:rsid w:val="005A6F0A"/>
    <w:rsid w:val="005B1C7E"/>
    <w:rsid w:val="005B1F9E"/>
    <w:rsid w:val="005C6976"/>
    <w:rsid w:val="005C6F0B"/>
    <w:rsid w:val="005D40F1"/>
    <w:rsid w:val="005E1D29"/>
    <w:rsid w:val="005E1DC5"/>
    <w:rsid w:val="005E2757"/>
    <w:rsid w:val="005E5A5B"/>
    <w:rsid w:val="005F1D85"/>
    <w:rsid w:val="005F6F41"/>
    <w:rsid w:val="00603864"/>
    <w:rsid w:val="006061D0"/>
    <w:rsid w:val="0061483E"/>
    <w:rsid w:val="00622C2B"/>
    <w:rsid w:val="00625DC6"/>
    <w:rsid w:val="006300D4"/>
    <w:rsid w:val="006302C7"/>
    <w:rsid w:val="00632082"/>
    <w:rsid w:val="00636712"/>
    <w:rsid w:val="00637C40"/>
    <w:rsid w:val="00642C11"/>
    <w:rsid w:val="0064391D"/>
    <w:rsid w:val="00651821"/>
    <w:rsid w:val="00652985"/>
    <w:rsid w:val="00654384"/>
    <w:rsid w:val="006675CD"/>
    <w:rsid w:val="00672EB5"/>
    <w:rsid w:val="006731C8"/>
    <w:rsid w:val="00673A8E"/>
    <w:rsid w:val="00682AE1"/>
    <w:rsid w:val="00684D9B"/>
    <w:rsid w:val="0068510A"/>
    <w:rsid w:val="00691D63"/>
    <w:rsid w:val="006962D4"/>
    <w:rsid w:val="00697556"/>
    <w:rsid w:val="006A6867"/>
    <w:rsid w:val="006B4313"/>
    <w:rsid w:val="006B4647"/>
    <w:rsid w:val="006B4C2B"/>
    <w:rsid w:val="006B6194"/>
    <w:rsid w:val="006B6D47"/>
    <w:rsid w:val="006B6FC9"/>
    <w:rsid w:val="006C12A2"/>
    <w:rsid w:val="006C5AFE"/>
    <w:rsid w:val="006D76D0"/>
    <w:rsid w:val="006E2884"/>
    <w:rsid w:val="006F1E33"/>
    <w:rsid w:val="006F2EC8"/>
    <w:rsid w:val="006F69C9"/>
    <w:rsid w:val="006F6D95"/>
    <w:rsid w:val="006F7566"/>
    <w:rsid w:val="00702165"/>
    <w:rsid w:val="007043E3"/>
    <w:rsid w:val="00705A56"/>
    <w:rsid w:val="00706F13"/>
    <w:rsid w:val="007072E8"/>
    <w:rsid w:val="007111A8"/>
    <w:rsid w:val="0071491C"/>
    <w:rsid w:val="0071618D"/>
    <w:rsid w:val="00716C49"/>
    <w:rsid w:val="0072346A"/>
    <w:rsid w:val="00725FA4"/>
    <w:rsid w:val="007279A6"/>
    <w:rsid w:val="00732F7E"/>
    <w:rsid w:val="00740446"/>
    <w:rsid w:val="0074313A"/>
    <w:rsid w:val="007438A9"/>
    <w:rsid w:val="0074491E"/>
    <w:rsid w:val="00757080"/>
    <w:rsid w:val="0076247A"/>
    <w:rsid w:val="00762E93"/>
    <w:rsid w:val="007663ED"/>
    <w:rsid w:val="00771D56"/>
    <w:rsid w:val="0077254C"/>
    <w:rsid w:val="0077398C"/>
    <w:rsid w:val="00775964"/>
    <w:rsid w:val="007765FE"/>
    <w:rsid w:val="007823E7"/>
    <w:rsid w:val="00785E25"/>
    <w:rsid w:val="00794E2E"/>
    <w:rsid w:val="00795A5D"/>
    <w:rsid w:val="00795BFB"/>
    <w:rsid w:val="007B1C12"/>
    <w:rsid w:val="007B2760"/>
    <w:rsid w:val="007C433A"/>
    <w:rsid w:val="007C56A8"/>
    <w:rsid w:val="007D552F"/>
    <w:rsid w:val="007E31BF"/>
    <w:rsid w:val="007E562F"/>
    <w:rsid w:val="007E786C"/>
    <w:rsid w:val="007F36D4"/>
    <w:rsid w:val="00801933"/>
    <w:rsid w:val="00806C01"/>
    <w:rsid w:val="008148CC"/>
    <w:rsid w:val="00816992"/>
    <w:rsid w:val="0082038A"/>
    <w:rsid w:val="008211A4"/>
    <w:rsid w:val="0082317D"/>
    <w:rsid w:val="00831259"/>
    <w:rsid w:val="00835DEA"/>
    <w:rsid w:val="0084041E"/>
    <w:rsid w:val="00840AD6"/>
    <w:rsid w:val="00841719"/>
    <w:rsid w:val="00842DEC"/>
    <w:rsid w:val="0084693A"/>
    <w:rsid w:val="0085720E"/>
    <w:rsid w:val="0086112D"/>
    <w:rsid w:val="00867366"/>
    <w:rsid w:val="0087207D"/>
    <w:rsid w:val="0087253B"/>
    <w:rsid w:val="00873150"/>
    <w:rsid w:val="00876446"/>
    <w:rsid w:val="0087657D"/>
    <w:rsid w:val="008807D5"/>
    <w:rsid w:val="00880832"/>
    <w:rsid w:val="00880BBA"/>
    <w:rsid w:val="00886EE1"/>
    <w:rsid w:val="0088727D"/>
    <w:rsid w:val="00890C28"/>
    <w:rsid w:val="00897C75"/>
    <w:rsid w:val="008A3558"/>
    <w:rsid w:val="008A592D"/>
    <w:rsid w:val="008B1686"/>
    <w:rsid w:val="008B24DB"/>
    <w:rsid w:val="008B2AB2"/>
    <w:rsid w:val="008B2B50"/>
    <w:rsid w:val="008B73C7"/>
    <w:rsid w:val="008C1130"/>
    <w:rsid w:val="008D18E6"/>
    <w:rsid w:val="008D344F"/>
    <w:rsid w:val="008D580F"/>
    <w:rsid w:val="008D6B86"/>
    <w:rsid w:val="008D7A9B"/>
    <w:rsid w:val="008E0060"/>
    <w:rsid w:val="008E1EA7"/>
    <w:rsid w:val="008E4D7A"/>
    <w:rsid w:val="008E6605"/>
    <w:rsid w:val="008E7091"/>
    <w:rsid w:val="008E748E"/>
    <w:rsid w:val="008E76AC"/>
    <w:rsid w:val="008E7B20"/>
    <w:rsid w:val="008F21F6"/>
    <w:rsid w:val="008F42A1"/>
    <w:rsid w:val="008F7CDC"/>
    <w:rsid w:val="00905D5D"/>
    <w:rsid w:val="009070DB"/>
    <w:rsid w:val="00910696"/>
    <w:rsid w:val="00914105"/>
    <w:rsid w:val="00923CB3"/>
    <w:rsid w:val="00925CFC"/>
    <w:rsid w:val="00925DE0"/>
    <w:rsid w:val="00933881"/>
    <w:rsid w:val="00936504"/>
    <w:rsid w:val="0093794D"/>
    <w:rsid w:val="00937AD1"/>
    <w:rsid w:val="009434E9"/>
    <w:rsid w:val="00944149"/>
    <w:rsid w:val="00950A98"/>
    <w:rsid w:val="00951F79"/>
    <w:rsid w:val="00952062"/>
    <w:rsid w:val="00963573"/>
    <w:rsid w:val="0096725D"/>
    <w:rsid w:val="00967742"/>
    <w:rsid w:val="00967A06"/>
    <w:rsid w:val="00967B52"/>
    <w:rsid w:val="00974AB5"/>
    <w:rsid w:val="00976A18"/>
    <w:rsid w:val="00976D8D"/>
    <w:rsid w:val="009773A5"/>
    <w:rsid w:val="00980D33"/>
    <w:rsid w:val="00985E3A"/>
    <w:rsid w:val="0098706D"/>
    <w:rsid w:val="009935FB"/>
    <w:rsid w:val="009936DC"/>
    <w:rsid w:val="009951F0"/>
    <w:rsid w:val="009A2B75"/>
    <w:rsid w:val="009A57D3"/>
    <w:rsid w:val="009A6127"/>
    <w:rsid w:val="009A7081"/>
    <w:rsid w:val="009B3DF9"/>
    <w:rsid w:val="009B3F3D"/>
    <w:rsid w:val="009B68FB"/>
    <w:rsid w:val="009C7503"/>
    <w:rsid w:val="009E0E16"/>
    <w:rsid w:val="009E0F3A"/>
    <w:rsid w:val="009E2549"/>
    <w:rsid w:val="009E3DB1"/>
    <w:rsid w:val="009E5FCA"/>
    <w:rsid w:val="009F16EA"/>
    <w:rsid w:val="009F17A6"/>
    <w:rsid w:val="009F4A54"/>
    <w:rsid w:val="009F4BEC"/>
    <w:rsid w:val="009F5438"/>
    <w:rsid w:val="009F5874"/>
    <w:rsid w:val="009F7433"/>
    <w:rsid w:val="00A04B41"/>
    <w:rsid w:val="00A05ADF"/>
    <w:rsid w:val="00A15568"/>
    <w:rsid w:val="00A250C2"/>
    <w:rsid w:val="00A25FD7"/>
    <w:rsid w:val="00A27EA4"/>
    <w:rsid w:val="00A31951"/>
    <w:rsid w:val="00A407F8"/>
    <w:rsid w:val="00A43AFF"/>
    <w:rsid w:val="00A45831"/>
    <w:rsid w:val="00A50EC7"/>
    <w:rsid w:val="00A51D5E"/>
    <w:rsid w:val="00A52BA1"/>
    <w:rsid w:val="00A60B22"/>
    <w:rsid w:val="00A60C92"/>
    <w:rsid w:val="00A63A31"/>
    <w:rsid w:val="00A754F3"/>
    <w:rsid w:val="00A7793A"/>
    <w:rsid w:val="00A91053"/>
    <w:rsid w:val="00A91206"/>
    <w:rsid w:val="00AA0CC0"/>
    <w:rsid w:val="00AA32F2"/>
    <w:rsid w:val="00AA4CC7"/>
    <w:rsid w:val="00AA5E8E"/>
    <w:rsid w:val="00AB2BAD"/>
    <w:rsid w:val="00AB4248"/>
    <w:rsid w:val="00AB6CA7"/>
    <w:rsid w:val="00AB6EA0"/>
    <w:rsid w:val="00AC1F26"/>
    <w:rsid w:val="00AC4B62"/>
    <w:rsid w:val="00AD01E4"/>
    <w:rsid w:val="00AD0858"/>
    <w:rsid w:val="00AD1F6F"/>
    <w:rsid w:val="00AD2521"/>
    <w:rsid w:val="00AD73B3"/>
    <w:rsid w:val="00AD7AAE"/>
    <w:rsid w:val="00AE02E3"/>
    <w:rsid w:val="00AE3BF1"/>
    <w:rsid w:val="00AE7340"/>
    <w:rsid w:val="00AF1BBD"/>
    <w:rsid w:val="00B04848"/>
    <w:rsid w:val="00B04FA3"/>
    <w:rsid w:val="00B0778F"/>
    <w:rsid w:val="00B10207"/>
    <w:rsid w:val="00B12B8C"/>
    <w:rsid w:val="00B141E7"/>
    <w:rsid w:val="00B20CE3"/>
    <w:rsid w:val="00B2220A"/>
    <w:rsid w:val="00B22CE7"/>
    <w:rsid w:val="00B25060"/>
    <w:rsid w:val="00B351B4"/>
    <w:rsid w:val="00B37A5E"/>
    <w:rsid w:val="00B458A8"/>
    <w:rsid w:val="00B46BCA"/>
    <w:rsid w:val="00B478AA"/>
    <w:rsid w:val="00B54F66"/>
    <w:rsid w:val="00B60696"/>
    <w:rsid w:val="00B60D43"/>
    <w:rsid w:val="00B63B4C"/>
    <w:rsid w:val="00B6646A"/>
    <w:rsid w:val="00B71D74"/>
    <w:rsid w:val="00B779B9"/>
    <w:rsid w:val="00B82316"/>
    <w:rsid w:val="00B8492A"/>
    <w:rsid w:val="00B84965"/>
    <w:rsid w:val="00B87806"/>
    <w:rsid w:val="00B87EC9"/>
    <w:rsid w:val="00B92651"/>
    <w:rsid w:val="00BA451F"/>
    <w:rsid w:val="00BA45B0"/>
    <w:rsid w:val="00BA5320"/>
    <w:rsid w:val="00BB3AC2"/>
    <w:rsid w:val="00BB51B2"/>
    <w:rsid w:val="00BB666C"/>
    <w:rsid w:val="00BC38FD"/>
    <w:rsid w:val="00BC642B"/>
    <w:rsid w:val="00BC79F0"/>
    <w:rsid w:val="00BE1AF9"/>
    <w:rsid w:val="00BE1C1C"/>
    <w:rsid w:val="00BF02D2"/>
    <w:rsid w:val="00BF1F46"/>
    <w:rsid w:val="00BF2A95"/>
    <w:rsid w:val="00BF2BC2"/>
    <w:rsid w:val="00BF4D52"/>
    <w:rsid w:val="00BF4D71"/>
    <w:rsid w:val="00C025CA"/>
    <w:rsid w:val="00C034CB"/>
    <w:rsid w:val="00C051A8"/>
    <w:rsid w:val="00C054BC"/>
    <w:rsid w:val="00C0765A"/>
    <w:rsid w:val="00C1346B"/>
    <w:rsid w:val="00C17897"/>
    <w:rsid w:val="00C229C0"/>
    <w:rsid w:val="00C243A4"/>
    <w:rsid w:val="00C37739"/>
    <w:rsid w:val="00C409D5"/>
    <w:rsid w:val="00C40FC6"/>
    <w:rsid w:val="00C4132B"/>
    <w:rsid w:val="00C4316D"/>
    <w:rsid w:val="00C435C3"/>
    <w:rsid w:val="00C4426D"/>
    <w:rsid w:val="00C44E5F"/>
    <w:rsid w:val="00C515FA"/>
    <w:rsid w:val="00C51B7C"/>
    <w:rsid w:val="00C54105"/>
    <w:rsid w:val="00C54D2F"/>
    <w:rsid w:val="00C61473"/>
    <w:rsid w:val="00C6234B"/>
    <w:rsid w:val="00C63EAE"/>
    <w:rsid w:val="00C64825"/>
    <w:rsid w:val="00C669D6"/>
    <w:rsid w:val="00C67523"/>
    <w:rsid w:val="00C67FB0"/>
    <w:rsid w:val="00C72994"/>
    <w:rsid w:val="00C73260"/>
    <w:rsid w:val="00C757FF"/>
    <w:rsid w:val="00C7629F"/>
    <w:rsid w:val="00C77928"/>
    <w:rsid w:val="00C83248"/>
    <w:rsid w:val="00C83F8F"/>
    <w:rsid w:val="00C8661B"/>
    <w:rsid w:val="00C90393"/>
    <w:rsid w:val="00C93F36"/>
    <w:rsid w:val="00C945E6"/>
    <w:rsid w:val="00C96FCF"/>
    <w:rsid w:val="00CA03C8"/>
    <w:rsid w:val="00CA139A"/>
    <w:rsid w:val="00CA2899"/>
    <w:rsid w:val="00CA3A3D"/>
    <w:rsid w:val="00CA3AA6"/>
    <w:rsid w:val="00CA4E59"/>
    <w:rsid w:val="00CA5C94"/>
    <w:rsid w:val="00CA77FB"/>
    <w:rsid w:val="00CB0AE1"/>
    <w:rsid w:val="00CB379B"/>
    <w:rsid w:val="00CB412A"/>
    <w:rsid w:val="00CB5DD0"/>
    <w:rsid w:val="00CC04BB"/>
    <w:rsid w:val="00CC47BB"/>
    <w:rsid w:val="00CC51D4"/>
    <w:rsid w:val="00CC65DA"/>
    <w:rsid w:val="00CC6C0E"/>
    <w:rsid w:val="00CD30F3"/>
    <w:rsid w:val="00CD45C6"/>
    <w:rsid w:val="00CE3587"/>
    <w:rsid w:val="00CE7206"/>
    <w:rsid w:val="00CE76AE"/>
    <w:rsid w:val="00CF21B9"/>
    <w:rsid w:val="00CF3408"/>
    <w:rsid w:val="00CF4A34"/>
    <w:rsid w:val="00CF4E12"/>
    <w:rsid w:val="00CF5145"/>
    <w:rsid w:val="00CF6BF9"/>
    <w:rsid w:val="00CF7C29"/>
    <w:rsid w:val="00D0089F"/>
    <w:rsid w:val="00D03800"/>
    <w:rsid w:val="00D03E61"/>
    <w:rsid w:val="00D065D3"/>
    <w:rsid w:val="00D07D3E"/>
    <w:rsid w:val="00D10EDB"/>
    <w:rsid w:val="00D12030"/>
    <w:rsid w:val="00D146B9"/>
    <w:rsid w:val="00D14C94"/>
    <w:rsid w:val="00D152F3"/>
    <w:rsid w:val="00D1781D"/>
    <w:rsid w:val="00D20EA4"/>
    <w:rsid w:val="00D23347"/>
    <w:rsid w:val="00D27DEC"/>
    <w:rsid w:val="00D342A6"/>
    <w:rsid w:val="00D402A4"/>
    <w:rsid w:val="00D4063D"/>
    <w:rsid w:val="00D44B1C"/>
    <w:rsid w:val="00D45557"/>
    <w:rsid w:val="00D45CA6"/>
    <w:rsid w:val="00D464BF"/>
    <w:rsid w:val="00D469B6"/>
    <w:rsid w:val="00D512DA"/>
    <w:rsid w:val="00D53E26"/>
    <w:rsid w:val="00D546D1"/>
    <w:rsid w:val="00D612EC"/>
    <w:rsid w:val="00D62CAA"/>
    <w:rsid w:val="00D65121"/>
    <w:rsid w:val="00D71D3B"/>
    <w:rsid w:val="00D741AE"/>
    <w:rsid w:val="00D76CEF"/>
    <w:rsid w:val="00D81823"/>
    <w:rsid w:val="00D818D5"/>
    <w:rsid w:val="00D86A45"/>
    <w:rsid w:val="00D901F4"/>
    <w:rsid w:val="00D90484"/>
    <w:rsid w:val="00D91658"/>
    <w:rsid w:val="00D92074"/>
    <w:rsid w:val="00D92394"/>
    <w:rsid w:val="00DA7D67"/>
    <w:rsid w:val="00DA7FB2"/>
    <w:rsid w:val="00DB182C"/>
    <w:rsid w:val="00DB2BC1"/>
    <w:rsid w:val="00DC4BF8"/>
    <w:rsid w:val="00DD2F69"/>
    <w:rsid w:val="00DD2F89"/>
    <w:rsid w:val="00DD3F63"/>
    <w:rsid w:val="00DD4F0E"/>
    <w:rsid w:val="00DD7852"/>
    <w:rsid w:val="00DE2691"/>
    <w:rsid w:val="00DE56B6"/>
    <w:rsid w:val="00DF0BF0"/>
    <w:rsid w:val="00DF3CA2"/>
    <w:rsid w:val="00E01463"/>
    <w:rsid w:val="00E02691"/>
    <w:rsid w:val="00E05E0A"/>
    <w:rsid w:val="00E060BE"/>
    <w:rsid w:val="00E10A18"/>
    <w:rsid w:val="00E13D5A"/>
    <w:rsid w:val="00E1644E"/>
    <w:rsid w:val="00E225CA"/>
    <w:rsid w:val="00E26A87"/>
    <w:rsid w:val="00E279F4"/>
    <w:rsid w:val="00E34FE3"/>
    <w:rsid w:val="00E36565"/>
    <w:rsid w:val="00E414EB"/>
    <w:rsid w:val="00E43FDC"/>
    <w:rsid w:val="00E440BF"/>
    <w:rsid w:val="00E45D2E"/>
    <w:rsid w:val="00E534CF"/>
    <w:rsid w:val="00E6473C"/>
    <w:rsid w:val="00E708AE"/>
    <w:rsid w:val="00E70E78"/>
    <w:rsid w:val="00E71485"/>
    <w:rsid w:val="00E727AB"/>
    <w:rsid w:val="00E815EE"/>
    <w:rsid w:val="00E81CB4"/>
    <w:rsid w:val="00E81E0D"/>
    <w:rsid w:val="00E8238D"/>
    <w:rsid w:val="00E84D0D"/>
    <w:rsid w:val="00E8585B"/>
    <w:rsid w:val="00E87F41"/>
    <w:rsid w:val="00E9401C"/>
    <w:rsid w:val="00E94D8B"/>
    <w:rsid w:val="00E96581"/>
    <w:rsid w:val="00E97FE5"/>
    <w:rsid w:val="00EA0765"/>
    <w:rsid w:val="00EA3F15"/>
    <w:rsid w:val="00EA7847"/>
    <w:rsid w:val="00EB1154"/>
    <w:rsid w:val="00EB1DDC"/>
    <w:rsid w:val="00EB2FF5"/>
    <w:rsid w:val="00EB4C2F"/>
    <w:rsid w:val="00EB7BF8"/>
    <w:rsid w:val="00EC2B82"/>
    <w:rsid w:val="00ED5988"/>
    <w:rsid w:val="00ED7DB1"/>
    <w:rsid w:val="00EE2E6E"/>
    <w:rsid w:val="00EE41DA"/>
    <w:rsid w:val="00EE4843"/>
    <w:rsid w:val="00EE722D"/>
    <w:rsid w:val="00EF5FE4"/>
    <w:rsid w:val="00EF7499"/>
    <w:rsid w:val="00F018BC"/>
    <w:rsid w:val="00F05D97"/>
    <w:rsid w:val="00F0759E"/>
    <w:rsid w:val="00F07724"/>
    <w:rsid w:val="00F1010C"/>
    <w:rsid w:val="00F10176"/>
    <w:rsid w:val="00F10B2A"/>
    <w:rsid w:val="00F112CC"/>
    <w:rsid w:val="00F13C2A"/>
    <w:rsid w:val="00F16A43"/>
    <w:rsid w:val="00F17C21"/>
    <w:rsid w:val="00F21032"/>
    <w:rsid w:val="00F26423"/>
    <w:rsid w:val="00F46780"/>
    <w:rsid w:val="00F46A88"/>
    <w:rsid w:val="00F512E7"/>
    <w:rsid w:val="00F55CE7"/>
    <w:rsid w:val="00F62981"/>
    <w:rsid w:val="00F77D2D"/>
    <w:rsid w:val="00F802F1"/>
    <w:rsid w:val="00F821A3"/>
    <w:rsid w:val="00F863EB"/>
    <w:rsid w:val="00F91220"/>
    <w:rsid w:val="00F92AE0"/>
    <w:rsid w:val="00F9314A"/>
    <w:rsid w:val="00F93B4A"/>
    <w:rsid w:val="00F940B2"/>
    <w:rsid w:val="00F96F5E"/>
    <w:rsid w:val="00F9707D"/>
    <w:rsid w:val="00FA39F7"/>
    <w:rsid w:val="00FA4976"/>
    <w:rsid w:val="00FA6F6F"/>
    <w:rsid w:val="00FB0C51"/>
    <w:rsid w:val="00FB2117"/>
    <w:rsid w:val="00FB5BBA"/>
    <w:rsid w:val="00FB5DEE"/>
    <w:rsid w:val="00FC58EF"/>
    <w:rsid w:val="00FC594E"/>
    <w:rsid w:val="00FD2CA2"/>
    <w:rsid w:val="00FD33DF"/>
    <w:rsid w:val="00FD4CE4"/>
    <w:rsid w:val="00FE0E01"/>
    <w:rsid w:val="00FE10D0"/>
    <w:rsid w:val="00FE2C1B"/>
    <w:rsid w:val="00FE39D7"/>
    <w:rsid w:val="00FE4C31"/>
    <w:rsid w:val="00FF79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75E55A"/>
  <w15:chartTrackingRefBased/>
  <w15:docId w15:val="{441AF29B-1A7B-43FF-A261-B7802189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067"/>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8B73C7"/>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Textoindependiente21">
    <w:name w:val="Texto independiente 21"/>
    <w:basedOn w:val="Normal"/>
    <w:rsid w:val="008A592D"/>
    <w:pPr>
      <w:suppressAutoHyphens/>
      <w:overflowPunct w:val="0"/>
      <w:autoSpaceDE w:val="0"/>
      <w:ind w:left="0"/>
      <w:jc w:val="both"/>
      <w:textAlignment w:val="baseline"/>
    </w:pPr>
    <w:rPr>
      <w:rFonts w:ascii="Bookman Old Style" w:hAnsi="Bookman Old Style"/>
      <w:b/>
      <w:szCs w:val="20"/>
      <w:lang w:val="es-ES_tradnl" w:eastAsia="ar-SA"/>
    </w:rPr>
  </w:style>
  <w:style w:type="paragraph" w:styleId="Textonotapie">
    <w:name w:val="footnote text"/>
    <w:aliases w:val="fn,footnote text"/>
    <w:basedOn w:val="Normal"/>
    <w:link w:val="TextonotapieCar"/>
    <w:rsid w:val="008B73C7"/>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rsid w:val="008B73C7"/>
    <w:rPr>
      <w:rFonts w:ascii="Arial" w:hAnsi="Arial"/>
      <w:lang w:val="es-ES_tradnl" w:eastAsia="x-none"/>
    </w:rPr>
  </w:style>
  <w:style w:type="paragraph" w:customStyle="1" w:styleId="Textodenotaalfinal">
    <w:name w:val="Texto de nota al final"/>
    <w:basedOn w:val="Normal"/>
    <w:rsid w:val="008B73C7"/>
    <w:pPr>
      <w:widowControl w:val="0"/>
      <w:ind w:left="0"/>
      <w:jc w:val="both"/>
    </w:pPr>
    <w:rPr>
      <w:rFonts w:ascii="Courier New" w:hAnsi="Courier New"/>
      <w:sz w:val="20"/>
      <w:szCs w:val="20"/>
      <w:lang w:val="es-ES_tradnl" w:eastAsia="es-CO"/>
    </w:rPr>
  </w:style>
  <w:style w:type="paragraph" w:customStyle="1" w:styleId="SubttuloNivel1">
    <w:name w:val="Subtítulo Nivel 1"/>
    <w:basedOn w:val="Ttulo2"/>
    <w:link w:val="SubttuloNivel1Car"/>
    <w:qFormat/>
    <w:rsid w:val="008B73C7"/>
    <w:pPr>
      <w:numPr>
        <w:ilvl w:val="1"/>
        <w:numId w:val="23"/>
      </w:numPr>
      <w:spacing w:before="360" w:after="240"/>
      <w:jc w:val="both"/>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8B73C7"/>
    <w:pPr>
      <w:numPr>
        <w:ilvl w:val="2"/>
        <w:numId w:val="23"/>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8B73C7"/>
    <w:rPr>
      <w:rFonts w:ascii="Bookman Old Style" w:eastAsia="Times New Roman" w:hAnsi="Bookman Old Style" w:cs="Times New Roman"/>
      <w:b/>
      <w:bCs/>
      <w:sz w:val="24"/>
      <w:szCs w:val="24"/>
      <w:lang w:val="es-ES" w:eastAsia="es-ES"/>
    </w:rPr>
  </w:style>
  <w:style w:type="paragraph" w:customStyle="1" w:styleId="Ttuloprincipal">
    <w:name w:val="Título principal"/>
    <w:basedOn w:val="Ttulo1"/>
    <w:qFormat/>
    <w:rsid w:val="008B73C7"/>
    <w:pPr>
      <w:numPr>
        <w:numId w:val="23"/>
      </w:numPr>
      <w:spacing w:before="360" w:after="480"/>
      <w:jc w:val="both"/>
    </w:pPr>
    <w:rPr>
      <w:rFonts w:ascii="Bookman Old Style" w:hAnsi="Bookman Old Style"/>
      <w:szCs w:val="24"/>
    </w:rPr>
  </w:style>
  <w:style w:type="character" w:customStyle="1" w:styleId="SubttuloNivel2Car">
    <w:name w:val="Subtítulo Nivel 2 Car"/>
    <w:link w:val="SubttuloNivel2"/>
    <w:rsid w:val="008B73C7"/>
    <w:rPr>
      <w:rFonts w:ascii="Bookman Old Style" w:hAnsi="Bookman Old Style"/>
      <w:b/>
      <w:snapToGrid w:val="0"/>
      <w:sz w:val="24"/>
      <w:szCs w:val="24"/>
      <w:lang w:val="es-ES_tradnl" w:eastAsia="x-none"/>
    </w:rPr>
  </w:style>
  <w:style w:type="paragraph" w:customStyle="1" w:styleId="Textonormal">
    <w:name w:val="Texto normal"/>
    <w:basedOn w:val="Normal"/>
    <w:link w:val="TextonormalCar"/>
    <w:qFormat/>
    <w:rsid w:val="008B73C7"/>
    <w:pPr>
      <w:tabs>
        <w:tab w:val="left" w:pos="0"/>
      </w:tabs>
      <w:suppressAutoHyphens/>
      <w:spacing w:before="240" w:after="240"/>
      <w:ind w:left="0" w:right="51"/>
      <w:jc w:val="both"/>
    </w:pPr>
    <w:rPr>
      <w:rFonts w:ascii="Bookman Old Style" w:hAnsi="Bookman Old Style"/>
      <w:spacing w:val="-3"/>
    </w:rPr>
  </w:style>
  <w:style w:type="paragraph" w:customStyle="1" w:styleId="SubttuloNivel3">
    <w:name w:val="Subtítulo Nivel 3"/>
    <w:basedOn w:val="Ttulo4"/>
    <w:qFormat/>
    <w:rsid w:val="008B73C7"/>
    <w:pPr>
      <w:numPr>
        <w:ilvl w:val="3"/>
        <w:numId w:val="23"/>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8B73C7"/>
    <w:rPr>
      <w:rFonts w:ascii="Bookman Old Style" w:hAnsi="Bookman Old Style"/>
      <w:spacing w:val="-3"/>
      <w:sz w:val="24"/>
      <w:szCs w:val="24"/>
      <w:lang w:val="es-ES" w:eastAsia="es-ES"/>
    </w:rPr>
  </w:style>
  <w:style w:type="character" w:customStyle="1" w:styleId="Ttulo2Car">
    <w:name w:val="Título 2 Car"/>
    <w:link w:val="Ttulo2"/>
    <w:uiPriority w:val="9"/>
    <w:semiHidden/>
    <w:rsid w:val="008B73C7"/>
    <w:rPr>
      <w:rFonts w:ascii="Cambria" w:eastAsia="Times New Roman" w:hAnsi="Cambria" w:cs="Times New Roman"/>
      <w:b/>
      <w:bCs/>
      <w:i/>
      <w:iCs/>
      <w:sz w:val="28"/>
      <w:szCs w:val="28"/>
      <w:lang w:val="es-ES" w:eastAsia="es-ES"/>
    </w:rPr>
  </w:style>
  <w:style w:type="character" w:customStyle="1" w:styleId="spelle">
    <w:name w:val="spelle"/>
    <w:rsid w:val="007E31BF"/>
  </w:style>
  <w:style w:type="paragraph" w:customStyle="1" w:styleId="pa23">
    <w:name w:val="pa23"/>
    <w:basedOn w:val="Normal"/>
    <w:rsid w:val="00F07724"/>
    <w:pPr>
      <w:spacing w:before="100" w:beforeAutospacing="1" w:after="100" w:afterAutospacing="1"/>
      <w:ind w:left="0"/>
    </w:pPr>
    <w:rPr>
      <w:lang w:val="es-CO" w:eastAsia="es-CO"/>
    </w:rPr>
  </w:style>
  <w:style w:type="character" w:customStyle="1" w:styleId="a11">
    <w:name w:val="a11"/>
    <w:rsid w:val="00F07724"/>
  </w:style>
  <w:style w:type="paragraph" w:customStyle="1" w:styleId="pa36">
    <w:name w:val="pa36"/>
    <w:basedOn w:val="Normal"/>
    <w:rsid w:val="00F07724"/>
    <w:pPr>
      <w:spacing w:before="100" w:beforeAutospacing="1" w:after="100" w:afterAutospacing="1"/>
      <w:ind w:left="0"/>
    </w:pPr>
    <w:rPr>
      <w:lang w:val="es-CO" w:eastAsia="es-CO"/>
    </w:rPr>
  </w:style>
  <w:style w:type="character" w:styleId="Refdecomentario">
    <w:name w:val="annotation reference"/>
    <w:unhideWhenUsed/>
    <w:rsid w:val="00691D63"/>
    <w:rPr>
      <w:sz w:val="16"/>
      <w:szCs w:val="16"/>
    </w:rPr>
  </w:style>
  <w:style w:type="paragraph" w:styleId="Textocomentario">
    <w:name w:val="annotation text"/>
    <w:basedOn w:val="Normal"/>
    <w:link w:val="TextocomentarioCar"/>
    <w:unhideWhenUsed/>
    <w:rsid w:val="00691D63"/>
    <w:rPr>
      <w:sz w:val="20"/>
      <w:szCs w:val="20"/>
    </w:rPr>
  </w:style>
  <w:style w:type="character" w:customStyle="1" w:styleId="TextocomentarioCar">
    <w:name w:val="Texto comentario Car"/>
    <w:link w:val="Textocomentario"/>
    <w:rsid w:val="00691D63"/>
    <w:rPr>
      <w:lang w:val="es-ES" w:eastAsia="es-ES"/>
    </w:rPr>
  </w:style>
  <w:style w:type="paragraph" w:styleId="Asuntodelcomentario">
    <w:name w:val="annotation subject"/>
    <w:basedOn w:val="Textocomentario"/>
    <w:next w:val="Textocomentario"/>
    <w:link w:val="AsuntodelcomentarioCar"/>
    <w:uiPriority w:val="99"/>
    <w:semiHidden/>
    <w:unhideWhenUsed/>
    <w:rsid w:val="00691D63"/>
    <w:rPr>
      <w:b/>
      <w:bCs/>
    </w:rPr>
  </w:style>
  <w:style w:type="character" w:customStyle="1" w:styleId="AsuntodelcomentarioCar">
    <w:name w:val="Asunto del comentario Car"/>
    <w:link w:val="Asuntodelcomentario"/>
    <w:uiPriority w:val="99"/>
    <w:semiHidden/>
    <w:rsid w:val="00691D63"/>
    <w:rPr>
      <w:b/>
      <w:bCs/>
      <w:lang w:val="es-ES" w:eastAsia="es-ES"/>
    </w:rPr>
  </w:style>
  <w:style w:type="paragraph" w:styleId="Revisin">
    <w:name w:val="Revision"/>
    <w:hidden/>
    <w:uiPriority w:val="99"/>
    <w:semiHidden/>
    <w:rsid w:val="005C6F0B"/>
    <w:rPr>
      <w:sz w:val="24"/>
      <w:szCs w:val="24"/>
      <w:lang w:val="es-ES" w:eastAsia="es-ES"/>
    </w:rPr>
  </w:style>
  <w:style w:type="paragraph" w:customStyle="1" w:styleId="Default">
    <w:name w:val="Default"/>
    <w:rsid w:val="002367B2"/>
    <w:pPr>
      <w:autoSpaceDE w:val="0"/>
      <w:autoSpaceDN w:val="0"/>
      <w:adjustRightInd w:val="0"/>
    </w:pPr>
    <w:rPr>
      <w:rFonts w:ascii="Verdana" w:eastAsia="Calibri" w:hAnsi="Verdana" w:cs="Verdana"/>
      <w:color w:val="000000"/>
      <w:sz w:val="24"/>
      <w:szCs w:val="24"/>
      <w:lang w:eastAsia="en-US"/>
    </w:rPr>
  </w:style>
  <w:style w:type="paragraph" w:customStyle="1" w:styleId="ARTICULOS">
    <w:name w:val="ARTICULOS"/>
    <w:basedOn w:val="Normal"/>
    <w:link w:val="ARTICULOSCar"/>
    <w:qFormat/>
    <w:rsid w:val="00E94D8B"/>
    <w:pPr>
      <w:widowControl w:val="0"/>
      <w:numPr>
        <w:numId w:val="38"/>
      </w:numPr>
      <w:tabs>
        <w:tab w:val="left" w:pos="1559"/>
      </w:tabs>
      <w:adjustRightInd w:val="0"/>
      <w:ind w:left="0" w:firstLine="0"/>
      <w:jc w:val="both"/>
      <w:textAlignment w:val="baseline"/>
    </w:pPr>
    <w:rPr>
      <w:rFonts w:ascii="Bookman Old Style" w:hAnsi="Bookman Old Style"/>
      <w:bCs/>
      <w:lang w:val="x-none" w:eastAsia="x-none"/>
    </w:rPr>
  </w:style>
  <w:style w:type="character" w:customStyle="1" w:styleId="ARTICULOSCar">
    <w:name w:val="ARTICULOS Car"/>
    <w:link w:val="ARTICULOS"/>
    <w:rsid w:val="00E94D8B"/>
    <w:rPr>
      <w:rFonts w:ascii="Bookman Old Style" w:hAnsi="Bookman Old Style"/>
      <w:bCs/>
      <w:sz w:val="24"/>
      <w:szCs w:val="24"/>
      <w:lang w:val="x-none" w:eastAsia="x-none"/>
    </w:rPr>
  </w:style>
  <w:style w:type="paragraph" w:styleId="Textosinformato">
    <w:name w:val="Plain Text"/>
    <w:basedOn w:val="Normal"/>
    <w:link w:val="TextosinformatoCar"/>
    <w:rsid w:val="00481B80"/>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481B80"/>
    <w:rPr>
      <w:rFonts w:ascii="Courier New" w:hAnsi="Courier New" w:cs="Courier New"/>
      <w:lang w:val="es-ES" w:eastAsia="es-ES"/>
    </w:rPr>
  </w:style>
  <w:style w:type="paragraph" w:styleId="NormalWeb">
    <w:name w:val="Normal (Web)"/>
    <w:basedOn w:val="Normal"/>
    <w:uiPriority w:val="99"/>
    <w:semiHidden/>
    <w:unhideWhenUsed/>
    <w:rsid w:val="00C64825"/>
    <w:pPr>
      <w:spacing w:before="100" w:beforeAutospacing="1" w:after="100" w:afterAutospacing="1"/>
      <w:ind w:left="0"/>
    </w:pPr>
    <w:rPr>
      <w:lang w:val="es-CO" w:eastAsia="es-CO"/>
    </w:rPr>
  </w:style>
  <w:style w:type="character" w:styleId="Hipervnculo">
    <w:name w:val="Hyperlink"/>
    <w:uiPriority w:val="99"/>
    <w:unhideWhenUsed/>
    <w:rsid w:val="00A04B41"/>
    <w:rPr>
      <w:color w:val="0563C1"/>
      <w:u w:val="single"/>
    </w:rPr>
  </w:style>
  <w:style w:type="character" w:styleId="Mencinsinresolver">
    <w:name w:val="Unresolved Mention"/>
    <w:uiPriority w:val="99"/>
    <w:semiHidden/>
    <w:unhideWhenUsed/>
    <w:rsid w:val="00A04B41"/>
    <w:rPr>
      <w:color w:val="605E5C"/>
      <w:shd w:val="clear" w:color="auto" w:fill="E1DFDD"/>
    </w:rPr>
  </w:style>
  <w:style w:type="paragraph" w:customStyle="1" w:styleId="Estilo8">
    <w:name w:val="Estilo8"/>
    <w:basedOn w:val="Normal"/>
    <w:qFormat/>
    <w:rsid w:val="0044368D"/>
    <w:pPr>
      <w:ind w:left="0"/>
    </w:pPr>
    <w:rPr>
      <w:rFonts w:ascii="Arial" w:hAnsi="Arial" w:cs="Arial"/>
      <w:sz w:val="22"/>
      <w:szCs w:val="22"/>
      <w:lang w:val="es-ES_tradnl" w:eastAsia="es-CO"/>
    </w:rPr>
  </w:style>
  <w:style w:type="character" w:customStyle="1" w:styleId="Estilo1Car">
    <w:name w:val="Estilo1 Car"/>
    <w:link w:val="Estilo1"/>
    <w:locked/>
    <w:rsid w:val="00CE76AE"/>
    <w:rPr>
      <w:rFonts w:ascii="Comic Sans MS" w:hAnsi="Comic Sans MS"/>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Textodelmarcadordeposicin">
    <w:name w:val="Placeholder Text"/>
    <w:basedOn w:val="Fuentedeprrafopredeter"/>
    <w:uiPriority w:val="99"/>
    <w:semiHidden/>
    <w:rsid w:val="003913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8351">
      <w:bodyDiv w:val="1"/>
      <w:marLeft w:val="0"/>
      <w:marRight w:val="0"/>
      <w:marTop w:val="0"/>
      <w:marBottom w:val="0"/>
      <w:divBdr>
        <w:top w:val="none" w:sz="0" w:space="0" w:color="auto"/>
        <w:left w:val="none" w:sz="0" w:space="0" w:color="auto"/>
        <w:bottom w:val="none" w:sz="0" w:space="0" w:color="auto"/>
        <w:right w:val="none" w:sz="0" w:space="0" w:color="auto"/>
      </w:divBdr>
    </w:div>
    <w:div w:id="79452989">
      <w:bodyDiv w:val="1"/>
      <w:marLeft w:val="0"/>
      <w:marRight w:val="0"/>
      <w:marTop w:val="0"/>
      <w:marBottom w:val="0"/>
      <w:divBdr>
        <w:top w:val="none" w:sz="0" w:space="0" w:color="auto"/>
        <w:left w:val="none" w:sz="0" w:space="0" w:color="auto"/>
        <w:bottom w:val="none" w:sz="0" w:space="0" w:color="auto"/>
        <w:right w:val="none" w:sz="0" w:space="0" w:color="auto"/>
      </w:divBdr>
    </w:div>
    <w:div w:id="542132822">
      <w:bodyDiv w:val="1"/>
      <w:marLeft w:val="0"/>
      <w:marRight w:val="0"/>
      <w:marTop w:val="0"/>
      <w:marBottom w:val="0"/>
      <w:divBdr>
        <w:top w:val="none" w:sz="0" w:space="0" w:color="auto"/>
        <w:left w:val="none" w:sz="0" w:space="0" w:color="auto"/>
        <w:bottom w:val="none" w:sz="0" w:space="0" w:color="auto"/>
        <w:right w:val="none" w:sz="0" w:space="0" w:color="auto"/>
      </w:divBdr>
    </w:div>
    <w:div w:id="657926556">
      <w:bodyDiv w:val="1"/>
      <w:marLeft w:val="0"/>
      <w:marRight w:val="0"/>
      <w:marTop w:val="0"/>
      <w:marBottom w:val="0"/>
      <w:divBdr>
        <w:top w:val="none" w:sz="0" w:space="0" w:color="auto"/>
        <w:left w:val="none" w:sz="0" w:space="0" w:color="auto"/>
        <w:bottom w:val="none" w:sz="0" w:space="0" w:color="auto"/>
        <w:right w:val="none" w:sz="0" w:space="0" w:color="auto"/>
      </w:divBdr>
    </w:div>
    <w:div w:id="687483545">
      <w:bodyDiv w:val="1"/>
      <w:marLeft w:val="0"/>
      <w:marRight w:val="0"/>
      <w:marTop w:val="0"/>
      <w:marBottom w:val="0"/>
      <w:divBdr>
        <w:top w:val="none" w:sz="0" w:space="0" w:color="auto"/>
        <w:left w:val="none" w:sz="0" w:space="0" w:color="auto"/>
        <w:bottom w:val="none" w:sz="0" w:space="0" w:color="auto"/>
        <w:right w:val="none" w:sz="0" w:space="0" w:color="auto"/>
      </w:divBdr>
    </w:div>
    <w:div w:id="929124225">
      <w:bodyDiv w:val="1"/>
      <w:marLeft w:val="0"/>
      <w:marRight w:val="0"/>
      <w:marTop w:val="0"/>
      <w:marBottom w:val="0"/>
      <w:divBdr>
        <w:top w:val="none" w:sz="0" w:space="0" w:color="auto"/>
        <w:left w:val="none" w:sz="0" w:space="0" w:color="auto"/>
        <w:bottom w:val="none" w:sz="0" w:space="0" w:color="auto"/>
        <w:right w:val="none" w:sz="0" w:space="0" w:color="auto"/>
      </w:divBdr>
    </w:div>
    <w:div w:id="1028726469">
      <w:bodyDiv w:val="1"/>
      <w:marLeft w:val="0"/>
      <w:marRight w:val="0"/>
      <w:marTop w:val="0"/>
      <w:marBottom w:val="0"/>
      <w:divBdr>
        <w:top w:val="none" w:sz="0" w:space="0" w:color="auto"/>
        <w:left w:val="none" w:sz="0" w:space="0" w:color="auto"/>
        <w:bottom w:val="none" w:sz="0" w:space="0" w:color="auto"/>
        <w:right w:val="none" w:sz="0" w:space="0" w:color="auto"/>
      </w:divBdr>
    </w:div>
    <w:div w:id="1162890864">
      <w:bodyDiv w:val="1"/>
      <w:marLeft w:val="0"/>
      <w:marRight w:val="0"/>
      <w:marTop w:val="0"/>
      <w:marBottom w:val="0"/>
      <w:divBdr>
        <w:top w:val="none" w:sz="0" w:space="0" w:color="auto"/>
        <w:left w:val="none" w:sz="0" w:space="0" w:color="auto"/>
        <w:bottom w:val="none" w:sz="0" w:space="0" w:color="auto"/>
        <w:right w:val="none" w:sz="0" w:space="0" w:color="auto"/>
      </w:divBdr>
    </w:div>
    <w:div w:id="1364937186">
      <w:bodyDiv w:val="1"/>
      <w:marLeft w:val="0"/>
      <w:marRight w:val="0"/>
      <w:marTop w:val="0"/>
      <w:marBottom w:val="0"/>
      <w:divBdr>
        <w:top w:val="none" w:sz="0" w:space="0" w:color="auto"/>
        <w:left w:val="none" w:sz="0" w:space="0" w:color="auto"/>
        <w:bottom w:val="none" w:sz="0" w:space="0" w:color="auto"/>
        <w:right w:val="none" w:sz="0" w:space="0" w:color="auto"/>
      </w:divBdr>
    </w:div>
    <w:div w:id="1371801060">
      <w:bodyDiv w:val="1"/>
      <w:marLeft w:val="0"/>
      <w:marRight w:val="0"/>
      <w:marTop w:val="0"/>
      <w:marBottom w:val="0"/>
      <w:divBdr>
        <w:top w:val="none" w:sz="0" w:space="0" w:color="auto"/>
        <w:left w:val="none" w:sz="0" w:space="0" w:color="auto"/>
        <w:bottom w:val="none" w:sz="0" w:space="0" w:color="auto"/>
        <w:right w:val="none" w:sz="0" w:space="0" w:color="auto"/>
      </w:divBdr>
    </w:div>
    <w:div w:id="1389646037">
      <w:bodyDiv w:val="1"/>
      <w:marLeft w:val="0"/>
      <w:marRight w:val="0"/>
      <w:marTop w:val="0"/>
      <w:marBottom w:val="0"/>
      <w:divBdr>
        <w:top w:val="none" w:sz="0" w:space="0" w:color="auto"/>
        <w:left w:val="none" w:sz="0" w:space="0" w:color="auto"/>
        <w:bottom w:val="none" w:sz="0" w:space="0" w:color="auto"/>
        <w:right w:val="none" w:sz="0" w:space="0" w:color="auto"/>
      </w:divBdr>
    </w:div>
    <w:div w:id="1630475957">
      <w:bodyDiv w:val="1"/>
      <w:marLeft w:val="0"/>
      <w:marRight w:val="0"/>
      <w:marTop w:val="0"/>
      <w:marBottom w:val="0"/>
      <w:divBdr>
        <w:top w:val="none" w:sz="0" w:space="0" w:color="auto"/>
        <w:left w:val="none" w:sz="0" w:space="0" w:color="auto"/>
        <w:bottom w:val="none" w:sz="0" w:space="0" w:color="auto"/>
        <w:right w:val="none" w:sz="0" w:space="0" w:color="auto"/>
      </w:divBdr>
    </w:div>
    <w:div w:id="171542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2" ma:contentTypeDescription="Crear nuevo documento." ma:contentTypeScope="" ma:versionID="bc18ca9a0773f8b85b19235f7d77ed49">
  <xsd:schema xmlns:xsd="http://www.w3.org/2001/XMLSchema" xmlns:xs="http://www.w3.org/2001/XMLSchema" xmlns:p="http://schemas.microsoft.com/office/2006/metadata/properties" xmlns:ns2="0ea6a934-6a77-4073-9f54-0635dda5d780" targetNamespace="http://schemas.microsoft.com/office/2006/metadata/properties" ma:root="true" ma:fieldsID="bfc2a43343af81681ed600ac062799ec" ns2:_="">
    <xsd:import namespace="0ea6a934-6a77-4073-9f54-0635dda5d7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824BF-2735-4E01-B87E-2AAB7E0E9A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C43F3-5A25-401E-99CD-247EA9A7C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23A32-F158-448A-ADDB-6490406DADAB}">
  <ds:schemaRefs>
    <ds:schemaRef ds:uri="http://schemas.microsoft.com/sharepoint/v3/contenttype/forms"/>
  </ds:schemaRefs>
</ds:datastoreItem>
</file>

<file path=customXml/itemProps4.xml><?xml version="1.0" encoding="utf-8"?>
<ds:datastoreItem xmlns:ds="http://schemas.openxmlformats.org/officeDocument/2006/customXml" ds:itemID="{BDFE8C4D-EA8C-4F69-ACE3-F91A68D4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13</Pages>
  <Words>4615</Words>
  <Characters>24399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28957</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2021-02-16T23:34:00Z</cp:lastPrinted>
  <dcterms:created xsi:type="dcterms:W3CDTF">2021-02-19T19:39:00Z</dcterms:created>
  <dcterms:modified xsi:type="dcterms:W3CDTF">2021-02-19T19:39:00Z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ies>
</file>