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0A74" w14:textId="263E42B9" w:rsidR="00625DC6" w:rsidRPr="00C25594" w:rsidRDefault="00000000" w:rsidP="00CE5D8E">
      <w:pPr>
        <w:pStyle w:val="Encabezado"/>
        <w:tabs>
          <w:tab w:val="clear" w:pos="8504"/>
          <w:tab w:val="left" w:pos="0"/>
          <w:tab w:val="right" w:pos="9356"/>
        </w:tabs>
        <w:ind w:left="0"/>
        <w:jc w:val="center"/>
        <w:rPr>
          <w:rFonts w:ascii="Bookman Old Style" w:hAnsi="Bookman Old Style" w:cs="Arial"/>
          <w:szCs w:val="24"/>
        </w:rPr>
      </w:pPr>
      <w:r>
        <w:rPr>
          <w:rFonts w:ascii="Bookman Old Style" w:hAnsi="Bookman Old Style" w:cs="Arial"/>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41.95pt;width:38.35pt;height:39.05pt;z-index:251657728" fillcolor="#0c9">
            <v:imagedata r:id="rId11" o:title=""/>
          </v:shape>
          <o:OLEObject Type="Embed" ProgID="PBrush" ShapeID="_x0000_s2050" DrawAspect="Content" ObjectID="_1747377120" r:id="rId12"/>
        </w:object>
      </w:r>
    </w:p>
    <w:p w14:paraId="5CD8FDD3" w14:textId="77777777" w:rsidR="00CA77FB" w:rsidRPr="00C25594" w:rsidRDefault="00CA77FB" w:rsidP="00A20A5E">
      <w:pPr>
        <w:pStyle w:val="Ttulo4"/>
        <w:tabs>
          <w:tab w:val="left" w:pos="0"/>
          <w:tab w:val="right" w:pos="9356"/>
        </w:tabs>
        <w:ind w:left="0"/>
        <w:rPr>
          <w:rFonts w:ascii="Bookman Old Style" w:hAnsi="Bookman Old Style"/>
          <w:b w:val="0"/>
          <w:bCs/>
          <w:noProof/>
          <w:sz w:val="24"/>
          <w:szCs w:val="24"/>
          <w:lang w:val="es-ES"/>
        </w:rPr>
      </w:pPr>
      <w:r w:rsidRPr="00C25594">
        <w:rPr>
          <w:rFonts w:ascii="Bookman Old Style" w:hAnsi="Bookman Old Style"/>
          <w:b w:val="0"/>
          <w:bCs/>
          <w:sz w:val="24"/>
          <w:szCs w:val="24"/>
        </w:rPr>
        <w:t>Ministerio de Minas y Energía</w:t>
      </w:r>
    </w:p>
    <w:p w14:paraId="0B8E60E5" w14:textId="77777777" w:rsidR="00CA77FB" w:rsidRPr="00C25594" w:rsidRDefault="00CA77FB" w:rsidP="00A20A5E">
      <w:pPr>
        <w:pStyle w:val="Ttulo4"/>
        <w:tabs>
          <w:tab w:val="left" w:pos="0"/>
          <w:tab w:val="right" w:pos="9356"/>
        </w:tabs>
        <w:ind w:left="0"/>
        <w:rPr>
          <w:rFonts w:ascii="Bookman Old Style" w:hAnsi="Bookman Old Style"/>
          <w:b w:val="0"/>
          <w:bCs/>
          <w:sz w:val="24"/>
          <w:szCs w:val="24"/>
        </w:rPr>
      </w:pPr>
    </w:p>
    <w:p w14:paraId="29039B01" w14:textId="77777777" w:rsidR="0026056B" w:rsidRPr="00C25594" w:rsidRDefault="0026056B" w:rsidP="00A20A5E">
      <w:pPr>
        <w:pStyle w:val="Ttulo3"/>
        <w:tabs>
          <w:tab w:val="left" w:pos="0"/>
          <w:tab w:val="right" w:pos="9356"/>
        </w:tabs>
        <w:ind w:left="0"/>
        <w:rPr>
          <w:rFonts w:ascii="Bookman Old Style" w:hAnsi="Bookman Old Style" w:cs="Arial"/>
          <w:spacing w:val="20"/>
          <w:szCs w:val="24"/>
        </w:rPr>
      </w:pPr>
      <w:r w:rsidRPr="00C25594">
        <w:rPr>
          <w:rFonts w:ascii="Bookman Old Style" w:hAnsi="Bookman Old Style" w:cs="Arial"/>
          <w:spacing w:val="20"/>
          <w:szCs w:val="24"/>
        </w:rPr>
        <w:t>COMISIÓN DE REGULACIÓN DE ENERGÍA Y GAS</w:t>
      </w:r>
    </w:p>
    <w:p w14:paraId="0A5E2D90" w14:textId="77777777" w:rsidR="0026056B" w:rsidRPr="00C25594" w:rsidRDefault="0026056B" w:rsidP="00A20A5E">
      <w:pPr>
        <w:pStyle w:val="Ttulo5"/>
        <w:tabs>
          <w:tab w:val="left" w:pos="0"/>
          <w:tab w:val="right" w:pos="9356"/>
        </w:tabs>
        <w:ind w:left="0"/>
        <w:rPr>
          <w:rFonts w:ascii="Bookman Old Style" w:hAnsi="Bookman Old Style"/>
          <w:sz w:val="24"/>
          <w:szCs w:val="24"/>
        </w:rPr>
      </w:pPr>
    </w:p>
    <w:p w14:paraId="5A06A9A1" w14:textId="77777777" w:rsidR="0026056B" w:rsidRPr="00C25594" w:rsidRDefault="0026056B" w:rsidP="00A20A5E">
      <w:pPr>
        <w:pStyle w:val="Ttulo5"/>
        <w:tabs>
          <w:tab w:val="left" w:pos="0"/>
          <w:tab w:val="right" w:pos="9356"/>
        </w:tabs>
        <w:ind w:left="0"/>
        <w:rPr>
          <w:rFonts w:ascii="Bookman Old Style" w:hAnsi="Bookman Old Style"/>
          <w:sz w:val="24"/>
          <w:szCs w:val="24"/>
        </w:rPr>
      </w:pPr>
    </w:p>
    <w:p w14:paraId="4CA667CB" w14:textId="7E50614D" w:rsidR="0026056B" w:rsidRPr="00C25594" w:rsidRDefault="00C25594" w:rsidP="00A20A5E">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w:t>
      </w:r>
      <w:r w:rsidR="0026056B" w:rsidRPr="00C25594">
        <w:rPr>
          <w:rFonts w:ascii="Bookman Old Style" w:hAnsi="Bookman Old Style"/>
          <w:sz w:val="24"/>
          <w:szCs w:val="24"/>
        </w:rPr>
        <w:t>RESOLUCIÓN No</w:t>
      </w:r>
      <w:r w:rsidR="0026056B" w:rsidRPr="00F665AF">
        <w:rPr>
          <w:rFonts w:ascii="Bookman Old Style" w:hAnsi="Bookman Old Style"/>
          <w:szCs w:val="28"/>
        </w:rPr>
        <w:t xml:space="preserve">. </w:t>
      </w:r>
      <w:r w:rsidR="0026056B" w:rsidRPr="00F665AF">
        <w:rPr>
          <w:rFonts w:ascii="Bookman Old Style" w:hAnsi="Bookman Old Style"/>
          <w:szCs w:val="28"/>
        </w:rPr>
        <w:fldChar w:fldCharType="begin"/>
      </w:r>
      <w:r w:rsidR="0026056B" w:rsidRPr="00F665AF">
        <w:rPr>
          <w:rFonts w:ascii="Bookman Old Style" w:hAnsi="Bookman Old Style"/>
          <w:szCs w:val="28"/>
        </w:rPr>
        <w:instrText xml:space="preserve"> MERGEFIELD  NumeroResolucion  \* MERGEFORMAT </w:instrText>
      </w:r>
      <w:r w:rsidR="0026056B" w:rsidRPr="00F665AF">
        <w:rPr>
          <w:rFonts w:ascii="Bookman Old Style" w:hAnsi="Bookman Old Style"/>
          <w:szCs w:val="28"/>
        </w:rPr>
        <w:fldChar w:fldCharType="separate"/>
      </w:r>
      <w:r w:rsidR="0026056B" w:rsidRPr="00F665AF">
        <w:rPr>
          <w:rFonts w:ascii="Bookman Old Style" w:hAnsi="Bookman Old Style"/>
          <w:szCs w:val="28"/>
        </w:rPr>
        <w:t>70</w:t>
      </w:r>
      <w:r w:rsidR="00780CBB" w:rsidRPr="00F665AF">
        <w:rPr>
          <w:rFonts w:ascii="Bookman Old Style" w:hAnsi="Bookman Old Style"/>
          <w:szCs w:val="28"/>
        </w:rPr>
        <w:t>3</w:t>
      </w:r>
      <w:r w:rsidR="0026056B" w:rsidRPr="00F665AF">
        <w:rPr>
          <w:rFonts w:ascii="Bookman Old Style" w:hAnsi="Bookman Old Style"/>
          <w:szCs w:val="28"/>
        </w:rPr>
        <w:t xml:space="preserve"> 00</w:t>
      </w:r>
      <w:r w:rsidR="00780CBB" w:rsidRPr="00F665AF">
        <w:rPr>
          <w:rFonts w:ascii="Bookman Old Style" w:hAnsi="Bookman Old Style"/>
          <w:szCs w:val="28"/>
        </w:rPr>
        <w:t>3</w:t>
      </w:r>
      <w:r w:rsidR="0026056B" w:rsidRPr="00F665AF">
        <w:rPr>
          <w:rFonts w:ascii="Bookman Old Style" w:hAnsi="Bookman Old Style"/>
          <w:szCs w:val="28"/>
        </w:rPr>
        <w:fldChar w:fldCharType="end"/>
      </w:r>
    </w:p>
    <w:p w14:paraId="0C7D114C" w14:textId="77777777" w:rsidR="00CA77FB" w:rsidRPr="00C25594" w:rsidRDefault="00CA77FB" w:rsidP="00A20A5E">
      <w:pPr>
        <w:tabs>
          <w:tab w:val="left" w:pos="0"/>
          <w:tab w:val="right" w:pos="9356"/>
        </w:tabs>
        <w:ind w:left="0"/>
        <w:jc w:val="center"/>
        <w:rPr>
          <w:rFonts w:ascii="Bookman Old Style" w:hAnsi="Bookman Old Style" w:cs="Arial"/>
          <w:b/>
          <w:snapToGrid w:val="0"/>
          <w:color w:val="000000"/>
          <w:lang w:val="es-ES_tradnl"/>
        </w:rPr>
      </w:pPr>
    </w:p>
    <w:p w14:paraId="350D3C85" w14:textId="50EF0914" w:rsidR="00CA77FB" w:rsidRPr="00C25594" w:rsidRDefault="00CA77FB" w:rsidP="00A20A5E">
      <w:pPr>
        <w:pStyle w:val="Ttulo3"/>
        <w:tabs>
          <w:tab w:val="left" w:pos="0"/>
          <w:tab w:val="right" w:pos="9356"/>
        </w:tabs>
        <w:ind w:left="0"/>
        <w:rPr>
          <w:rFonts w:ascii="Bookman Old Style" w:hAnsi="Bookman Old Style" w:cs="Arial"/>
          <w:b w:val="0"/>
          <w:szCs w:val="24"/>
        </w:rPr>
      </w:pPr>
      <w:r w:rsidRPr="00C25594">
        <w:rPr>
          <w:rFonts w:ascii="Bookman Old Style" w:hAnsi="Bookman Old Style" w:cs="Arial"/>
          <w:spacing w:val="20"/>
          <w:szCs w:val="24"/>
        </w:rPr>
        <w:t>(</w:t>
      </w:r>
      <w:r w:rsidR="00910B68" w:rsidRPr="00C25594">
        <w:rPr>
          <w:rFonts w:ascii="Bookman Old Style" w:hAnsi="Bookman Old Style" w:cs="Arial"/>
          <w:spacing w:val="20"/>
          <w:szCs w:val="24"/>
        </w:rPr>
        <w:t>1</w:t>
      </w:r>
      <w:r w:rsidR="00C25594" w:rsidRPr="00C25594">
        <w:rPr>
          <w:rFonts w:ascii="Bookman Old Style" w:hAnsi="Bookman Old Style" w:cs="Arial"/>
          <w:spacing w:val="20"/>
          <w:szCs w:val="24"/>
        </w:rPr>
        <w:t>9</w:t>
      </w:r>
      <w:r w:rsidR="00910B68" w:rsidRPr="00C25594">
        <w:rPr>
          <w:rFonts w:ascii="Bookman Old Style" w:hAnsi="Bookman Old Style" w:cs="Arial"/>
          <w:spacing w:val="20"/>
          <w:szCs w:val="24"/>
        </w:rPr>
        <w:t xml:space="preserve"> MAY.</w:t>
      </w:r>
      <w:r w:rsidR="00CE5D8E">
        <w:rPr>
          <w:rFonts w:ascii="Bookman Old Style" w:hAnsi="Bookman Old Style" w:cs="Arial"/>
          <w:spacing w:val="20"/>
          <w:szCs w:val="24"/>
        </w:rPr>
        <w:t xml:space="preserve"> </w:t>
      </w:r>
      <w:r w:rsidR="00910B68" w:rsidRPr="00C25594">
        <w:rPr>
          <w:rFonts w:ascii="Bookman Old Style" w:hAnsi="Bookman Old Style" w:cs="Arial"/>
          <w:spacing w:val="20"/>
          <w:szCs w:val="24"/>
        </w:rPr>
        <w:t>2023</w:t>
      </w:r>
      <w:r w:rsidRPr="00C25594">
        <w:rPr>
          <w:rFonts w:ascii="Bookman Old Style" w:hAnsi="Bookman Old Style" w:cs="Arial"/>
          <w:b w:val="0"/>
          <w:szCs w:val="24"/>
        </w:rPr>
        <w:t>)</w:t>
      </w:r>
    </w:p>
    <w:p w14:paraId="57D77EBA" w14:textId="77777777" w:rsidR="00CA77FB" w:rsidRPr="00C25594" w:rsidRDefault="00CA77FB" w:rsidP="00A20A5E">
      <w:pPr>
        <w:tabs>
          <w:tab w:val="left" w:pos="0"/>
          <w:tab w:val="right" w:pos="9356"/>
        </w:tabs>
        <w:ind w:left="0"/>
        <w:jc w:val="center"/>
        <w:rPr>
          <w:rFonts w:ascii="Bookman Old Style" w:hAnsi="Bookman Old Style" w:cs="Arial"/>
          <w:lang w:val="es-ES_tradnl"/>
        </w:rPr>
      </w:pPr>
    </w:p>
    <w:p w14:paraId="37543866" w14:textId="77777777" w:rsidR="00A20A5E" w:rsidRPr="00C25594" w:rsidRDefault="00A20A5E" w:rsidP="00A20A5E">
      <w:pPr>
        <w:tabs>
          <w:tab w:val="left" w:pos="0"/>
          <w:tab w:val="right" w:pos="9356"/>
        </w:tabs>
        <w:ind w:left="0"/>
        <w:jc w:val="center"/>
        <w:rPr>
          <w:rFonts w:ascii="Bookman Old Style" w:hAnsi="Bookman Old Style" w:cs="Arial"/>
          <w:lang w:val="es-ES_tradnl"/>
        </w:rPr>
      </w:pPr>
    </w:p>
    <w:p w14:paraId="6921B8DE" w14:textId="2A79A338" w:rsidR="00BE789E" w:rsidRPr="00C25594" w:rsidRDefault="00BE789E" w:rsidP="00C25594">
      <w:pPr>
        <w:ind w:left="0"/>
        <w:jc w:val="both"/>
        <w:rPr>
          <w:rFonts w:ascii="Bookman Old Style" w:hAnsi="Bookman Old Style" w:cs="Arial"/>
          <w:bCs/>
          <w:lang w:val="es-CO"/>
        </w:rPr>
      </w:pPr>
      <w:r w:rsidRPr="00C25594">
        <w:rPr>
          <w:rFonts w:ascii="Bookman Old Style" w:hAnsi="Bookman Old Style" w:cs="Arial"/>
          <w:bCs/>
          <w:lang w:val="es-CO"/>
        </w:rPr>
        <w:t xml:space="preserve">La Comisión de Regulación de Energía y Gas, en su sesión </w:t>
      </w:r>
      <w:r w:rsidR="00910B68" w:rsidRPr="00C25594">
        <w:rPr>
          <w:rFonts w:ascii="Bookman Old Style" w:hAnsi="Bookman Old Style" w:cs="Arial"/>
          <w:bCs/>
          <w:lang w:val="es-CO"/>
        </w:rPr>
        <w:t>126</w:t>
      </w:r>
      <w:r w:rsidR="00C25594" w:rsidRPr="00C25594">
        <w:rPr>
          <w:rFonts w:ascii="Bookman Old Style" w:hAnsi="Bookman Old Style" w:cs="Arial"/>
          <w:bCs/>
          <w:lang w:val="es-CO"/>
        </w:rPr>
        <w:t>6</w:t>
      </w:r>
      <w:r w:rsidRPr="00C25594">
        <w:rPr>
          <w:rFonts w:ascii="Bookman Old Style" w:hAnsi="Bookman Old Style" w:cs="Arial"/>
          <w:bCs/>
          <w:lang w:val="es-CO"/>
        </w:rPr>
        <w:t xml:space="preserve"> del </w:t>
      </w:r>
      <w:r w:rsidR="00910B68" w:rsidRPr="00C25594">
        <w:rPr>
          <w:rFonts w:ascii="Bookman Old Style" w:hAnsi="Bookman Old Style" w:cs="Arial"/>
          <w:bCs/>
          <w:lang w:val="es-CO"/>
        </w:rPr>
        <w:t>1</w:t>
      </w:r>
      <w:r w:rsidR="00C25594" w:rsidRPr="00C25594">
        <w:rPr>
          <w:rFonts w:ascii="Bookman Old Style" w:hAnsi="Bookman Old Style" w:cs="Arial"/>
          <w:bCs/>
          <w:lang w:val="es-CO"/>
        </w:rPr>
        <w:t>9</w:t>
      </w:r>
      <w:r w:rsidRPr="00C25594">
        <w:rPr>
          <w:rFonts w:ascii="Bookman Old Style" w:hAnsi="Bookman Old Style" w:cs="Arial"/>
          <w:bCs/>
          <w:lang w:val="es-CO"/>
        </w:rPr>
        <w:t xml:space="preserve"> de mayo de 202</w:t>
      </w:r>
      <w:r w:rsidR="00F665AF">
        <w:rPr>
          <w:rFonts w:ascii="Bookman Old Style" w:hAnsi="Bookman Old Style" w:cs="Arial"/>
          <w:bCs/>
          <w:lang w:val="es-CO"/>
        </w:rPr>
        <w:t>3</w:t>
      </w:r>
      <w:r w:rsidRPr="00C25594">
        <w:rPr>
          <w:rFonts w:ascii="Bookman Old Style" w:hAnsi="Bookman Old Style" w:cs="Arial"/>
          <w:bCs/>
          <w:lang w:val="es-CO"/>
        </w:rPr>
        <w:t xml:space="preserve">, aprobó someter a consulta pública </w:t>
      </w:r>
      <w:r w:rsidR="0038773D" w:rsidRPr="00C25594">
        <w:rPr>
          <w:rFonts w:ascii="Bookman Old Style" w:hAnsi="Bookman Old Style" w:cs="Arial"/>
          <w:bCs/>
          <w:lang w:val="es-CO"/>
        </w:rPr>
        <w:t xml:space="preserve">el presente </w:t>
      </w:r>
      <w:r w:rsidR="00A34482" w:rsidRPr="00C25594">
        <w:rPr>
          <w:rFonts w:ascii="Bookman Old Style" w:hAnsi="Bookman Old Style" w:cs="Arial"/>
          <w:bCs/>
          <w:lang w:val="es-CO"/>
        </w:rPr>
        <w:t>proyecto de regulación</w:t>
      </w:r>
      <w:r w:rsidRPr="00C25594">
        <w:rPr>
          <w:rFonts w:ascii="Bookman Old Style" w:hAnsi="Bookman Old Style" w:cs="Arial"/>
          <w:bCs/>
          <w:lang w:val="es-CO"/>
        </w:rPr>
        <w:t xml:space="preserve"> por un término de </w:t>
      </w:r>
      <w:r w:rsidR="00EA1832" w:rsidRPr="00C25594">
        <w:rPr>
          <w:rFonts w:ascii="Bookman Old Style" w:hAnsi="Bookman Old Style" w:cs="Arial"/>
          <w:bCs/>
          <w:lang w:val="es-CO"/>
        </w:rPr>
        <w:t>diez</w:t>
      </w:r>
      <w:r w:rsidRPr="00C25594">
        <w:rPr>
          <w:rFonts w:ascii="Bookman Old Style" w:hAnsi="Bookman Old Style" w:cs="Arial"/>
          <w:bCs/>
          <w:lang w:val="es-CO"/>
        </w:rPr>
        <w:t xml:space="preserve"> (</w:t>
      </w:r>
      <w:r w:rsidR="00EA1832" w:rsidRPr="00C25594">
        <w:rPr>
          <w:rFonts w:ascii="Bookman Old Style" w:hAnsi="Bookman Old Style" w:cs="Arial"/>
          <w:bCs/>
          <w:lang w:val="es-CO"/>
        </w:rPr>
        <w:t>10</w:t>
      </w:r>
      <w:r w:rsidRPr="00C25594">
        <w:rPr>
          <w:rFonts w:ascii="Bookman Old Style" w:hAnsi="Bookman Old Style" w:cs="Arial"/>
          <w:bCs/>
          <w:lang w:val="es-CO"/>
        </w:rPr>
        <w:t>) días hábiles, contados a partir del día siguiente a su publicación en el portal web de la CREG.</w:t>
      </w:r>
    </w:p>
    <w:p w14:paraId="5F2DC97F" w14:textId="77777777" w:rsidR="00821FFE" w:rsidRPr="00C25594" w:rsidRDefault="00821FFE" w:rsidP="00C25594">
      <w:pPr>
        <w:ind w:left="0"/>
        <w:jc w:val="both"/>
        <w:rPr>
          <w:rFonts w:ascii="Bookman Old Style" w:hAnsi="Bookman Old Style" w:cs="Arial"/>
          <w:bCs/>
          <w:lang w:val="es-CO"/>
        </w:rPr>
      </w:pPr>
    </w:p>
    <w:p w14:paraId="0FAAFCC9" w14:textId="407AB2B4" w:rsidR="00BE789E" w:rsidRPr="00C25594" w:rsidRDefault="00821FFE" w:rsidP="00C25594">
      <w:pPr>
        <w:ind w:left="0"/>
        <w:jc w:val="both"/>
        <w:rPr>
          <w:rFonts w:ascii="Bookman Old Style" w:hAnsi="Bookman Old Style" w:cs="Arial"/>
          <w:bCs/>
          <w:lang w:val="es-CO"/>
        </w:rPr>
      </w:pPr>
      <w:r w:rsidRPr="00C25594">
        <w:rPr>
          <w:rFonts w:ascii="Bookman Old Style" w:hAnsi="Bookman Old Style" w:cs="Arial"/>
          <w:bCs/>
          <w:lang w:val="es-CO"/>
        </w:rPr>
        <w:t>Se invita a los agentes regulados, a los usuarios, a las autoridades locales municipales y departamentales competentes, a la Superintendencia de Servicios Públicos Domiciliarios</w:t>
      </w:r>
      <w:r w:rsidR="000E2973" w:rsidRPr="00C25594">
        <w:rPr>
          <w:rFonts w:ascii="Bookman Old Style" w:hAnsi="Bookman Old Style" w:cs="Arial"/>
          <w:bCs/>
          <w:lang w:val="es-CO"/>
        </w:rPr>
        <w:t xml:space="preserve"> y demás interesados </w:t>
      </w:r>
      <w:r w:rsidRPr="00C25594">
        <w:rPr>
          <w:rFonts w:ascii="Bookman Old Style" w:hAnsi="Bookman Old Style" w:cs="Arial"/>
          <w:bCs/>
          <w:lang w:val="es-CO"/>
        </w:rPr>
        <w:t>para que remitan sus observaciones o sugerencias sobre la propuesta, dentro del plazo establecido.</w:t>
      </w:r>
    </w:p>
    <w:p w14:paraId="2DB072E1" w14:textId="77777777" w:rsidR="00BE789E" w:rsidRPr="00C25594" w:rsidRDefault="00BE789E" w:rsidP="00C25594">
      <w:pPr>
        <w:ind w:left="0"/>
        <w:jc w:val="both"/>
        <w:rPr>
          <w:rFonts w:ascii="Bookman Old Style" w:hAnsi="Bookman Old Style" w:cs="Arial"/>
          <w:bCs/>
          <w:lang w:val="es-CO"/>
        </w:rPr>
      </w:pPr>
    </w:p>
    <w:p w14:paraId="0B800DB6" w14:textId="281B8821" w:rsidR="000F0C30" w:rsidRPr="00C25594" w:rsidRDefault="000F0C30" w:rsidP="00C25594">
      <w:pPr>
        <w:ind w:left="0"/>
        <w:jc w:val="both"/>
        <w:rPr>
          <w:rFonts w:ascii="Bookman Old Style" w:hAnsi="Bookman Old Style" w:cs="Arial"/>
          <w:bCs/>
          <w:lang w:val="es-CO"/>
        </w:rPr>
      </w:pPr>
      <w:r w:rsidRPr="00C25594">
        <w:rPr>
          <w:rFonts w:ascii="Bookman Old Style" w:hAnsi="Bookman Old Style" w:cs="Arial"/>
          <w:bCs/>
          <w:lang w:val="es-CO"/>
        </w:rPr>
        <w:t xml:space="preserve">Los interesados podrán dirigir sus comentarios al director ejecutivo de la Comisión de Regulación de Energía y Gas, al correo electrónico creg@creg.gov.co, identificando el mensaje con el siguiente asunto: </w:t>
      </w:r>
      <w:r w:rsidRPr="00C25594">
        <w:rPr>
          <w:rFonts w:ascii="Bookman Old Style" w:hAnsi="Bookman Old Style" w:cs="Arial"/>
          <w:bCs/>
          <w:i/>
          <w:iCs/>
          <w:lang w:val="es-CO"/>
        </w:rPr>
        <w:t>“</w:t>
      </w:r>
      <w:r w:rsidR="008D084D" w:rsidRPr="00C25594">
        <w:rPr>
          <w:rFonts w:ascii="Bookman Old Style" w:hAnsi="Bookman Old Style" w:cs="Arial"/>
          <w:bCs/>
          <w:i/>
          <w:iCs/>
          <w:lang w:val="es-CO"/>
        </w:rPr>
        <w:t xml:space="preserve">Comentarios a </w:t>
      </w:r>
      <w:r w:rsidR="00411875" w:rsidRPr="00C25594">
        <w:rPr>
          <w:rFonts w:ascii="Bookman Old Style" w:hAnsi="Bookman Old Style" w:cs="Arial"/>
          <w:bCs/>
          <w:i/>
          <w:iCs/>
          <w:lang w:val="es-CO"/>
        </w:rPr>
        <w:t xml:space="preserve">la </w:t>
      </w:r>
      <w:r w:rsidR="00CB3677" w:rsidRPr="00C25594">
        <w:rPr>
          <w:rFonts w:ascii="Bookman Old Style" w:hAnsi="Bookman Old Style" w:cs="Arial"/>
          <w:bCs/>
          <w:i/>
          <w:iCs/>
          <w:lang w:val="es-CO"/>
        </w:rPr>
        <w:t>p</w:t>
      </w:r>
      <w:r w:rsidR="00411875" w:rsidRPr="00C25594">
        <w:rPr>
          <w:rFonts w:ascii="Bookman Old Style" w:hAnsi="Bookman Old Style" w:cs="Arial"/>
          <w:bCs/>
          <w:i/>
          <w:iCs/>
          <w:lang w:val="es-CO"/>
        </w:rPr>
        <w:t>ropuesta</w:t>
      </w:r>
      <w:r w:rsidR="008D084D" w:rsidRPr="00C25594">
        <w:rPr>
          <w:rFonts w:ascii="Bookman Old Style" w:hAnsi="Bookman Old Style" w:cs="Arial"/>
          <w:bCs/>
          <w:i/>
          <w:iCs/>
          <w:lang w:val="es-CO"/>
        </w:rPr>
        <w:t xml:space="preserve"> </w:t>
      </w:r>
      <w:r w:rsidR="00A37BE2" w:rsidRPr="00C25594">
        <w:rPr>
          <w:rFonts w:ascii="Bookman Old Style" w:hAnsi="Bookman Old Style" w:cs="Arial"/>
          <w:bCs/>
          <w:i/>
          <w:iCs/>
          <w:lang w:val="es-CO"/>
        </w:rPr>
        <w:t>que</w:t>
      </w:r>
      <w:r w:rsidR="001B4E13" w:rsidRPr="00C25594">
        <w:rPr>
          <w:rFonts w:ascii="Bookman Old Style" w:hAnsi="Bookman Old Style" w:cs="Arial"/>
          <w:bCs/>
          <w:i/>
          <w:iCs/>
          <w:lang w:val="es-CO"/>
        </w:rPr>
        <w:t xml:space="preserve"> modifica el Parágrafo 1 del Artículo 8 de la Resolución CREG 063 de 2016 modificado por el Artículo 1 de la Resolución CREG 180 de 2017</w:t>
      </w:r>
      <w:r w:rsidRPr="00C25594">
        <w:rPr>
          <w:rFonts w:ascii="Bookman Old Style" w:hAnsi="Bookman Old Style" w:cs="Arial"/>
          <w:bCs/>
          <w:i/>
          <w:iCs/>
          <w:lang w:val="es-CO"/>
        </w:rPr>
        <w:t>”</w:t>
      </w:r>
      <w:r w:rsidR="00F90411" w:rsidRPr="00C25594">
        <w:rPr>
          <w:rFonts w:ascii="Bookman Old Style" w:hAnsi="Bookman Old Style" w:cs="Arial"/>
          <w:bCs/>
          <w:lang w:val="es-CO"/>
        </w:rPr>
        <w:t xml:space="preserve">, y a través del portal del Sistema Único de Consulta Pública, SUCOP, www.sucop.gov.co, dentro del término estipulado.  </w:t>
      </w:r>
    </w:p>
    <w:p w14:paraId="4A9AC121" w14:textId="77777777" w:rsidR="000F0C30" w:rsidRPr="00C25594" w:rsidRDefault="000F0C30" w:rsidP="00C25594">
      <w:pPr>
        <w:ind w:left="0"/>
        <w:jc w:val="both"/>
        <w:rPr>
          <w:rFonts w:ascii="Bookman Old Style" w:hAnsi="Bookman Old Style" w:cs="Arial"/>
          <w:bCs/>
          <w:lang w:val="es-CO"/>
        </w:rPr>
      </w:pPr>
    </w:p>
    <w:p w14:paraId="07290F98" w14:textId="51903F47" w:rsidR="00BE789E" w:rsidRPr="00C25594" w:rsidRDefault="000F0C30" w:rsidP="00C25594">
      <w:pPr>
        <w:ind w:left="0"/>
        <w:jc w:val="both"/>
        <w:rPr>
          <w:rFonts w:ascii="Bookman Old Style" w:hAnsi="Bookman Old Style" w:cs="Arial"/>
          <w:bCs/>
          <w:lang w:val="es-CO"/>
        </w:rPr>
      </w:pPr>
      <w:r w:rsidRPr="00C25594">
        <w:rPr>
          <w:rFonts w:ascii="Bookman Old Style" w:hAnsi="Bookman Old Style" w:cs="Arial"/>
          <w:bCs/>
          <w:lang w:val="es-CO"/>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06368886" w14:textId="77777777" w:rsidR="00A20A5E" w:rsidRDefault="00A20A5E" w:rsidP="00C25594">
      <w:pPr>
        <w:ind w:left="0"/>
        <w:jc w:val="both"/>
        <w:rPr>
          <w:rFonts w:ascii="Bookman Old Style" w:hAnsi="Bookman Old Style" w:cs="Arial"/>
          <w:bCs/>
          <w:lang w:val="es-CO"/>
        </w:rPr>
      </w:pPr>
    </w:p>
    <w:p w14:paraId="616B7C3C" w14:textId="77777777" w:rsidR="00CE5D8E" w:rsidRPr="00962581" w:rsidRDefault="00CE5D8E" w:rsidP="00C25594">
      <w:pPr>
        <w:ind w:left="0"/>
        <w:jc w:val="both"/>
        <w:rPr>
          <w:rFonts w:ascii="Bookman Old Style" w:hAnsi="Bookman Old Style" w:cs="Arial"/>
          <w:bCs/>
          <w:lang w:val="es-CO"/>
        </w:rPr>
      </w:pPr>
    </w:p>
    <w:p w14:paraId="46D8C664" w14:textId="7D3C3614" w:rsidR="00045D3D" w:rsidRPr="00962581" w:rsidRDefault="00045D3D" w:rsidP="00826687">
      <w:pPr>
        <w:ind w:left="0"/>
        <w:jc w:val="center"/>
        <w:rPr>
          <w:rFonts w:ascii="Bookman Old Style" w:hAnsi="Bookman Old Style" w:cs="Arial"/>
          <w:bCs/>
          <w:lang w:val="es-CO"/>
        </w:rPr>
      </w:pPr>
      <w:r w:rsidRPr="00CE5D8E">
        <w:rPr>
          <w:rFonts w:ascii="Bookman Old Style" w:hAnsi="Bookman Old Style" w:cs="Arial"/>
          <w:bCs/>
          <w:lang w:val="es-CO"/>
        </w:rPr>
        <w:t xml:space="preserve">Por </w:t>
      </w:r>
      <w:r w:rsidR="006F68ED" w:rsidRPr="00CE5D8E">
        <w:rPr>
          <w:rFonts w:ascii="Bookman Old Style" w:hAnsi="Bookman Old Style" w:cs="Arial"/>
          <w:bCs/>
          <w:lang w:val="es-CO"/>
        </w:rPr>
        <w:t xml:space="preserve">la cual se modifica </w:t>
      </w:r>
      <w:r w:rsidR="0012685D" w:rsidRPr="00CE5D8E">
        <w:rPr>
          <w:rFonts w:ascii="Bookman Old Style" w:hAnsi="Bookman Old Style" w:cs="Arial"/>
          <w:bCs/>
          <w:lang w:val="es-CO"/>
        </w:rPr>
        <w:t xml:space="preserve">el </w:t>
      </w:r>
      <w:r w:rsidR="009105DB" w:rsidRPr="00CE5D8E">
        <w:rPr>
          <w:rFonts w:ascii="Bookman Old Style" w:hAnsi="Bookman Old Style" w:cs="Arial"/>
          <w:bCs/>
          <w:lang w:val="es-CO"/>
        </w:rPr>
        <w:t xml:space="preserve">Parágrafo 1 del </w:t>
      </w:r>
      <w:r w:rsidR="0012685D" w:rsidRPr="00CE5D8E">
        <w:rPr>
          <w:rFonts w:ascii="Bookman Old Style" w:hAnsi="Bookman Old Style" w:cs="Arial"/>
          <w:bCs/>
          <w:lang w:val="es-CO"/>
        </w:rPr>
        <w:t xml:space="preserve">Artículo </w:t>
      </w:r>
      <w:r w:rsidR="00BD6C4F" w:rsidRPr="00CE5D8E">
        <w:rPr>
          <w:rFonts w:ascii="Bookman Old Style" w:hAnsi="Bookman Old Style" w:cs="Arial"/>
          <w:bCs/>
          <w:lang w:val="es-CO"/>
        </w:rPr>
        <w:t>8</w:t>
      </w:r>
      <w:r w:rsidR="00A42CCB" w:rsidRPr="00CE5D8E">
        <w:rPr>
          <w:rFonts w:ascii="Bookman Old Style" w:hAnsi="Bookman Old Style" w:cs="Arial"/>
          <w:bCs/>
          <w:lang w:val="es-CO"/>
        </w:rPr>
        <w:t xml:space="preserve"> </w:t>
      </w:r>
      <w:r w:rsidR="00CE5D8E" w:rsidRPr="00CE5D8E">
        <w:rPr>
          <w:rFonts w:ascii="Bookman Old Style" w:hAnsi="Bookman Old Style" w:cs="Arial"/>
          <w:bCs/>
          <w:lang w:val="es-CO"/>
        </w:rPr>
        <w:br/>
      </w:r>
      <w:r w:rsidR="00A42CCB" w:rsidRPr="00CE5D8E">
        <w:rPr>
          <w:rFonts w:ascii="Bookman Old Style" w:hAnsi="Bookman Old Style" w:cs="Arial"/>
          <w:bCs/>
          <w:lang w:val="es-CO"/>
        </w:rPr>
        <w:t>de</w:t>
      </w:r>
      <w:r w:rsidR="00846455" w:rsidRPr="00CE5D8E">
        <w:rPr>
          <w:rFonts w:ascii="Bookman Old Style" w:hAnsi="Bookman Old Style" w:cs="Arial"/>
          <w:bCs/>
          <w:lang w:val="es-CO"/>
        </w:rPr>
        <w:t xml:space="preserve"> la Resolución</w:t>
      </w:r>
      <w:r w:rsidR="008813ED" w:rsidRPr="00CE5D8E">
        <w:rPr>
          <w:rFonts w:ascii="Bookman Old Style" w:hAnsi="Bookman Old Style" w:cs="Arial"/>
          <w:bCs/>
          <w:lang w:val="es-CO"/>
        </w:rPr>
        <w:t xml:space="preserve"> </w:t>
      </w:r>
      <w:r w:rsidR="00483828" w:rsidRPr="00CE5D8E">
        <w:rPr>
          <w:rFonts w:ascii="Bookman Old Style" w:hAnsi="Bookman Old Style" w:cs="Arial"/>
          <w:bCs/>
          <w:lang w:val="es-CO"/>
        </w:rPr>
        <w:t>CREG 063 de 2016</w:t>
      </w:r>
      <w:r w:rsidR="00C25594" w:rsidRPr="00CE5D8E">
        <w:rPr>
          <w:rFonts w:ascii="Bookman Old Style" w:hAnsi="Bookman Old Style" w:cs="Arial"/>
          <w:bCs/>
          <w:lang w:val="es-CO"/>
        </w:rPr>
        <w:t>.</w:t>
      </w:r>
    </w:p>
    <w:p w14:paraId="0850D29D" w14:textId="77777777" w:rsidR="007F6E7C" w:rsidRPr="00C25594" w:rsidRDefault="007F6E7C" w:rsidP="00A20A5E">
      <w:pPr>
        <w:ind w:left="0"/>
        <w:jc w:val="center"/>
        <w:rPr>
          <w:rFonts w:ascii="Bookman Old Style" w:hAnsi="Bookman Old Style" w:cs="Arial"/>
        </w:rPr>
      </w:pPr>
    </w:p>
    <w:p w14:paraId="053FCB54" w14:textId="77777777" w:rsidR="00045D3D" w:rsidRPr="00C25594" w:rsidRDefault="00045D3D" w:rsidP="00CE5D8E">
      <w:pPr>
        <w:ind w:left="0"/>
        <w:jc w:val="center"/>
        <w:rPr>
          <w:rFonts w:ascii="Bookman Old Style" w:hAnsi="Bookman Old Style" w:cs="Arial"/>
        </w:rPr>
      </w:pPr>
    </w:p>
    <w:p w14:paraId="7B67FAFA" w14:textId="77777777" w:rsidR="00045D3D" w:rsidRPr="00C25594" w:rsidRDefault="00045D3D" w:rsidP="00A20A5E">
      <w:pPr>
        <w:ind w:left="0" w:right="51"/>
        <w:jc w:val="center"/>
        <w:rPr>
          <w:rFonts w:ascii="Bookman Old Style" w:hAnsi="Bookman Old Style" w:cs="Arial"/>
          <w:b/>
        </w:rPr>
      </w:pPr>
      <w:r w:rsidRPr="00C25594">
        <w:rPr>
          <w:rFonts w:ascii="Bookman Old Style" w:hAnsi="Bookman Old Style" w:cs="Arial"/>
          <w:b/>
        </w:rPr>
        <w:t xml:space="preserve">LA COMISIÓN DE REGULACIÓN </w:t>
      </w:r>
      <w:r w:rsidR="007B5A60" w:rsidRPr="00C25594">
        <w:rPr>
          <w:rFonts w:ascii="Bookman Old Style" w:hAnsi="Bookman Old Style" w:cs="Arial"/>
          <w:b/>
        </w:rPr>
        <w:t>DE ENERGÍA</w:t>
      </w:r>
      <w:r w:rsidRPr="00C25594">
        <w:rPr>
          <w:rFonts w:ascii="Bookman Old Style" w:hAnsi="Bookman Old Style" w:cs="Arial"/>
          <w:b/>
        </w:rPr>
        <w:t xml:space="preserve"> Y GAS</w:t>
      </w:r>
    </w:p>
    <w:p w14:paraId="5F144221" w14:textId="77777777" w:rsidR="00045D3D" w:rsidRPr="00C25594" w:rsidRDefault="00045D3D" w:rsidP="00045D3D">
      <w:pPr>
        <w:ind w:left="0" w:right="51"/>
        <w:rPr>
          <w:rFonts w:ascii="Bookman Old Style" w:hAnsi="Bookman Old Style" w:cs="Arial"/>
        </w:rPr>
      </w:pPr>
    </w:p>
    <w:p w14:paraId="6EDA2283" w14:textId="34AED096" w:rsidR="00045D3D" w:rsidRPr="00C25594" w:rsidRDefault="00045D3D" w:rsidP="00045D3D">
      <w:pPr>
        <w:pStyle w:val="Textoindependiente3"/>
        <w:ind w:left="0"/>
        <w:rPr>
          <w:rFonts w:ascii="Bookman Old Style" w:hAnsi="Bookman Old Style"/>
          <w:b w:val="0"/>
        </w:rPr>
      </w:pPr>
      <w:r w:rsidRPr="00C25594">
        <w:rPr>
          <w:rFonts w:ascii="Bookman Old Style" w:hAnsi="Bookman Old Style"/>
          <w:b w:val="0"/>
        </w:rPr>
        <w:t xml:space="preserve">En ejercicio de sus atribuciones constitucionales y legales, en especial las conferidas por las </w:t>
      </w:r>
      <w:r w:rsidR="002352B9" w:rsidRPr="00C25594">
        <w:rPr>
          <w:rFonts w:ascii="Bookman Old Style" w:hAnsi="Bookman Old Style"/>
          <w:b w:val="0"/>
        </w:rPr>
        <w:t>l</w:t>
      </w:r>
      <w:r w:rsidRPr="00C25594">
        <w:rPr>
          <w:rFonts w:ascii="Bookman Old Style" w:hAnsi="Bookman Old Style"/>
          <w:b w:val="0"/>
        </w:rPr>
        <w:t xml:space="preserve">eyes 142 y 143 de 1994, y en desarrollo de los </w:t>
      </w:r>
      <w:r w:rsidR="002352B9" w:rsidRPr="00C25594">
        <w:rPr>
          <w:rFonts w:ascii="Bookman Old Style" w:hAnsi="Bookman Old Style"/>
          <w:b w:val="0"/>
        </w:rPr>
        <w:t>d</w:t>
      </w:r>
      <w:r w:rsidRPr="00C25594">
        <w:rPr>
          <w:rFonts w:ascii="Bookman Old Style" w:hAnsi="Bookman Old Style"/>
          <w:b w:val="0"/>
        </w:rPr>
        <w:t>ecretos 1524 y 2253 de 1994</w:t>
      </w:r>
      <w:r w:rsidR="00FF299D" w:rsidRPr="00C25594">
        <w:rPr>
          <w:rFonts w:ascii="Bookman Old Style" w:hAnsi="Bookman Old Style"/>
          <w:b w:val="0"/>
        </w:rPr>
        <w:t xml:space="preserve"> y 1260 de 2013 y </w:t>
      </w:r>
    </w:p>
    <w:p w14:paraId="416AEFF4" w14:textId="77777777" w:rsidR="00045D3D" w:rsidRPr="00C25594" w:rsidRDefault="00045D3D" w:rsidP="00A20A5E">
      <w:pPr>
        <w:ind w:left="0" w:right="51"/>
        <w:rPr>
          <w:rFonts w:ascii="Bookman Old Style" w:hAnsi="Bookman Old Style" w:cs="Arial"/>
        </w:rPr>
      </w:pPr>
    </w:p>
    <w:p w14:paraId="3E8440ED" w14:textId="77777777" w:rsidR="00045D3D" w:rsidRPr="00C25594" w:rsidRDefault="00045D3D" w:rsidP="00A20A5E">
      <w:pPr>
        <w:ind w:left="0" w:right="51"/>
        <w:rPr>
          <w:rFonts w:ascii="Bookman Old Style" w:hAnsi="Bookman Old Style" w:cs="Arial"/>
        </w:rPr>
      </w:pPr>
    </w:p>
    <w:p w14:paraId="72BBA367" w14:textId="75203C4A" w:rsidR="00045D3D" w:rsidRPr="00C25594" w:rsidRDefault="00045D3D" w:rsidP="00A20A5E">
      <w:pPr>
        <w:ind w:left="0" w:right="51"/>
        <w:jc w:val="center"/>
        <w:rPr>
          <w:rFonts w:ascii="Bookman Old Style" w:hAnsi="Bookman Old Style" w:cs="Arial"/>
          <w:b/>
        </w:rPr>
      </w:pPr>
      <w:r w:rsidRPr="00C25594">
        <w:rPr>
          <w:rFonts w:ascii="Bookman Old Style" w:hAnsi="Bookman Old Style" w:cs="Arial"/>
          <w:b/>
        </w:rPr>
        <w:t xml:space="preserve">C O N S I D E R A N D </w:t>
      </w:r>
      <w:r w:rsidR="007B5A60" w:rsidRPr="00C25594">
        <w:rPr>
          <w:rFonts w:ascii="Bookman Old Style" w:hAnsi="Bookman Old Style" w:cs="Arial"/>
          <w:b/>
        </w:rPr>
        <w:t xml:space="preserve">O </w:t>
      </w:r>
      <w:r w:rsidR="00A20A5E" w:rsidRPr="00C25594">
        <w:rPr>
          <w:rFonts w:ascii="Bookman Old Style" w:hAnsi="Bookman Old Style" w:cs="Arial"/>
          <w:b/>
        </w:rPr>
        <w:t xml:space="preserve"> </w:t>
      </w:r>
      <w:r w:rsidR="007B5A60" w:rsidRPr="00C25594">
        <w:rPr>
          <w:rFonts w:ascii="Bookman Old Style" w:hAnsi="Bookman Old Style" w:cs="Arial"/>
          <w:b/>
        </w:rPr>
        <w:t>Q</w:t>
      </w:r>
      <w:r w:rsidRPr="00C25594">
        <w:rPr>
          <w:rFonts w:ascii="Bookman Old Style" w:hAnsi="Bookman Old Style" w:cs="Arial"/>
          <w:b/>
        </w:rPr>
        <w:t xml:space="preserve"> U E:</w:t>
      </w:r>
    </w:p>
    <w:p w14:paraId="66E1F067" w14:textId="77777777" w:rsidR="00045D3D" w:rsidRPr="00C25594" w:rsidRDefault="00045D3D" w:rsidP="00A20A5E">
      <w:pPr>
        <w:ind w:left="0"/>
        <w:rPr>
          <w:rFonts w:ascii="Bookman Old Style" w:hAnsi="Bookman Old Style" w:cs="Arial"/>
          <w:b/>
        </w:rPr>
      </w:pPr>
    </w:p>
    <w:p w14:paraId="349B1231" w14:textId="6E180860" w:rsidR="00430793" w:rsidRPr="00C25594" w:rsidRDefault="00430793" w:rsidP="00430793">
      <w:pPr>
        <w:ind w:left="0"/>
        <w:jc w:val="both"/>
        <w:rPr>
          <w:rFonts w:ascii="Bookman Old Style" w:hAnsi="Bookman Old Style" w:cs="Arial"/>
        </w:rPr>
      </w:pPr>
      <w:r w:rsidRPr="00C25594">
        <w:rPr>
          <w:rFonts w:ascii="Bookman Old Style" w:hAnsi="Bookman Old Style" w:cs="Arial"/>
        </w:rPr>
        <w:t xml:space="preserve">El numeral 73.11 del artículo 73 de la Ley 142 de 1994 atribuyó a las Comisiones de Regulación la facultad de establecer las fórmulas para la fijación de las tarifas de los servicios públicos, cuando ello corresponda, según lo previsto en el </w:t>
      </w:r>
      <w:r w:rsidRPr="00C25594">
        <w:rPr>
          <w:rFonts w:ascii="Bookman Old Style" w:hAnsi="Bookman Old Style" w:cs="Arial"/>
        </w:rPr>
        <w:lastRenderedPageBreak/>
        <w:t xml:space="preserve">artículo 88 de la Ley 142 de 1994; y señalar cuándo hay suficiente competencia como para que la fijación de las tarifas sea libre. </w:t>
      </w:r>
    </w:p>
    <w:p w14:paraId="3C15C17C" w14:textId="77777777" w:rsidR="00430793" w:rsidRPr="00C25594" w:rsidRDefault="00430793" w:rsidP="00430793">
      <w:pPr>
        <w:ind w:left="0"/>
        <w:jc w:val="both"/>
        <w:rPr>
          <w:rFonts w:ascii="Bookman Old Style" w:hAnsi="Bookman Old Style" w:cs="Arial"/>
        </w:rPr>
      </w:pPr>
    </w:p>
    <w:p w14:paraId="29AC8A2A" w14:textId="77777777" w:rsidR="00430793" w:rsidRPr="00C25594" w:rsidRDefault="00430793" w:rsidP="00430793">
      <w:pPr>
        <w:ind w:left="0"/>
        <w:jc w:val="both"/>
        <w:rPr>
          <w:rFonts w:ascii="Bookman Old Style" w:hAnsi="Bookman Old Style" w:cs="Arial"/>
        </w:rPr>
      </w:pPr>
      <w:r w:rsidRPr="00C25594">
        <w:rPr>
          <w:rFonts w:ascii="Bookman Old Style" w:hAnsi="Bookman Old Style" w:cs="Arial"/>
        </w:rPr>
        <w:t>En el artículo 74.1, literal a, de la Ley 142 de 1994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Comisión podrá adoptar reglas de comportamiento diferencial, según la posición de las empresas en el mercado.</w:t>
      </w:r>
    </w:p>
    <w:p w14:paraId="1461687F" w14:textId="77777777" w:rsidR="004C14A2" w:rsidRPr="00C25594" w:rsidRDefault="004C14A2" w:rsidP="00430793">
      <w:pPr>
        <w:ind w:left="0"/>
        <w:jc w:val="both"/>
        <w:rPr>
          <w:rFonts w:ascii="Bookman Old Style" w:hAnsi="Bookman Old Style" w:cs="Arial"/>
        </w:rPr>
      </w:pPr>
    </w:p>
    <w:p w14:paraId="283F0EC9" w14:textId="7679D48B" w:rsidR="004C14A2" w:rsidRPr="00C25594" w:rsidRDefault="00A70BEA" w:rsidP="004C14A2">
      <w:pPr>
        <w:ind w:left="0"/>
        <w:jc w:val="both"/>
        <w:rPr>
          <w:rFonts w:ascii="Bookman Old Style" w:hAnsi="Bookman Old Style" w:cs="Arial"/>
        </w:rPr>
      </w:pPr>
      <w:r w:rsidRPr="00C25594">
        <w:rPr>
          <w:rFonts w:ascii="Bookman Old Style" w:hAnsi="Bookman Old Style" w:cs="Arial"/>
        </w:rPr>
        <w:t>D</w:t>
      </w:r>
      <w:r w:rsidR="000B74E1" w:rsidRPr="00C25594">
        <w:rPr>
          <w:rFonts w:ascii="Bookman Old Style" w:hAnsi="Bookman Old Style" w:cs="Arial"/>
        </w:rPr>
        <w:t>el mismo modo</w:t>
      </w:r>
      <w:r w:rsidR="008B1BE0" w:rsidRPr="00C25594">
        <w:rPr>
          <w:rFonts w:ascii="Bookman Old Style" w:hAnsi="Bookman Old Style" w:cs="Arial"/>
        </w:rPr>
        <w:t xml:space="preserve"> en </w:t>
      </w:r>
      <w:r w:rsidR="00E43271" w:rsidRPr="00C25594">
        <w:rPr>
          <w:rFonts w:ascii="Bookman Old Style" w:hAnsi="Bookman Old Style" w:cs="Arial"/>
        </w:rPr>
        <w:t>el</w:t>
      </w:r>
      <w:r w:rsidR="008B1BE0" w:rsidRPr="00C25594">
        <w:rPr>
          <w:rFonts w:ascii="Bookman Old Style" w:hAnsi="Bookman Old Style" w:cs="Arial"/>
        </w:rPr>
        <w:t xml:space="preserve"> a</w:t>
      </w:r>
      <w:r w:rsidR="004C14A2" w:rsidRPr="00C25594">
        <w:rPr>
          <w:rFonts w:ascii="Bookman Old Style" w:hAnsi="Bookman Old Style" w:cs="Arial"/>
        </w:rPr>
        <w:t>rtículo 34</w:t>
      </w:r>
      <w:r w:rsidR="00E43271" w:rsidRPr="00C25594">
        <w:rPr>
          <w:rFonts w:ascii="Bookman Old Style" w:hAnsi="Bookman Old Style" w:cs="Arial"/>
        </w:rPr>
        <w:t xml:space="preserve"> de la misma ley</w:t>
      </w:r>
      <w:r w:rsidR="008B1BE0" w:rsidRPr="00C25594">
        <w:rPr>
          <w:rFonts w:ascii="Bookman Old Style" w:hAnsi="Bookman Old Style" w:cs="Arial"/>
        </w:rPr>
        <w:t>,</w:t>
      </w:r>
      <w:r w:rsidR="004C14A2" w:rsidRPr="00C25594">
        <w:rPr>
          <w:rFonts w:ascii="Bookman Old Style" w:hAnsi="Bookman Old Style" w:cs="Arial"/>
        </w:rPr>
        <w:t xml:space="preserve"> </w:t>
      </w:r>
      <w:r w:rsidR="00E43271" w:rsidRPr="00C25594">
        <w:rPr>
          <w:rFonts w:ascii="Bookman Old Style" w:hAnsi="Bookman Old Style" w:cs="Arial"/>
        </w:rPr>
        <w:t xml:space="preserve">se </w:t>
      </w:r>
      <w:r w:rsidR="008B1BE0" w:rsidRPr="00C25594">
        <w:rPr>
          <w:rFonts w:ascii="Bookman Old Style" w:hAnsi="Bookman Old Style" w:cs="Arial"/>
        </w:rPr>
        <w:t>dispone lo referente a la</w:t>
      </w:r>
      <w:r w:rsidR="00A44752" w:rsidRPr="00C25594">
        <w:rPr>
          <w:rFonts w:ascii="Bookman Old Style" w:hAnsi="Bookman Old Style" w:cs="Arial"/>
        </w:rPr>
        <w:t xml:space="preserve"> </w:t>
      </w:r>
      <w:r w:rsidR="00A44752" w:rsidRPr="00C25594">
        <w:rPr>
          <w:rFonts w:ascii="Bookman Old Style" w:hAnsi="Bookman Old Style" w:cs="Arial"/>
          <w:i/>
          <w:iCs/>
        </w:rPr>
        <w:t>“p</w:t>
      </w:r>
      <w:r w:rsidR="004C14A2" w:rsidRPr="00C25594">
        <w:rPr>
          <w:rFonts w:ascii="Bookman Old Style" w:hAnsi="Bookman Old Style" w:cs="Arial"/>
          <w:i/>
          <w:iCs/>
        </w:rPr>
        <w:t>rohibición de prácticas discriminatorias, abusivas o restrictivas</w:t>
      </w:r>
      <w:r w:rsidR="00A44752" w:rsidRPr="00C25594">
        <w:rPr>
          <w:rFonts w:ascii="Bookman Old Style" w:hAnsi="Bookman Old Style" w:cs="Arial"/>
          <w:i/>
          <w:iCs/>
        </w:rPr>
        <w:t>”</w:t>
      </w:r>
      <w:r w:rsidR="004C14A2" w:rsidRPr="00C25594">
        <w:rPr>
          <w:rFonts w:ascii="Bookman Old Style" w:hAnsi="Bookman Old Style" w:cs="Arial"/>
        </w:rPr>
        <w:t xml:space="preserve">. </w:t>
      </w:r>
      <w:r w:rsidR="00A65881" w:rsidRPr="00C25594">
        <w:rPr>
          <w:rFonts w:ascii="Bookman Old Style" w:hAnsi="Bookman Old Style" w:cs="Arial"/>
        </w:rPr>
        <w:t>Donde l</w:t>
      </w:r>
      <w:r w:rsidR="004C14A2" w:rsidRPr="00C25594">
        <w:rPr>
          <w:rFonts w:ascii="Bookman Old Style" w:hAnsi="Bookman Old Style" w:cs="Arial"/>
        </w:rPr>
        <w:t>as empresas de servicios públicos, en todos sus actos y contratos, deben evitar privilegios y discriminaciones injustificados, y abstenerse de toda práctica que tenga la capacidad, el propósito o el efecto de generar competencia desleal o de restringir en forma indebida la competencia.</w:t>
      </w:r>
    </w:p>
    <w:p w14:paraId="1627008D" w14:textId="77777777" w:rsidR="004C14A2" w:rsidRPr="00C25594" w:rsidRDefault="004C14A2" w:rsidP="004C14A2">
      <w:pPr>
        <w:ind w:left="0"/>
        <w:jc w:val="both"/>
        <w:rPr>
          <w:rFonts w:ascii="Bookman Old Style" w:hAnsi="Bookman Old Style" w:cs="Arial"/>
        </w:rPr>
      </w:pPr>
    </w:p>
    <w:p w14:paraId="125A2ACC" w14:textId="50398029" w:rsidR="00430793" w:rsidRPr="00C25594" w:rsidRDefault="009C6F20" w:rsidP="00430793">
      <w:pPr>
        <w:ind w:left="0"/>
        <w:jc w:val="both"/>
        <w:rPr>
          <w:rFonts w:ascii="Bookman Old Style" w:hAnsi="Bookman Old Style" w:cs="Arial"/>
        </w:rPr>
      </w:pPr>
      <w:r w:rsidRPr="00C25594">
        <w:rPr>
          <w:rFonts w:ascii="Bookman Old Style" w:hAnsi="Bookman Old Style" w:cs="Arial"/>
        </w:rPr>
        <w:t>Mediante</w:t>
      </w:r>
      <w:r w:rsidR="005942ED" w:rsidRPr="00C25594">
        <w:rPr>
          <w:rFonts w:ascii="Bookman Old Style" w:hAnsi="Bookman Old Style" w:cs="Arial"/>
        </w:rPr>
        <w:t xml:space="preserve"> </w:t>
      </w:r>
      <w:r w:rsidRPr="00C25594">
        <w:rPr>
          <w:rFonts w:ascii="Bookman Old Style" w:hAnsi="Bookman Old Style" w:cs="Arial"/>
        </w:rPr>
        <w:t>la Resolución CREG</w:t>
      </w:r>
      <w:r w:rsidR="009655DA" w:rsidRPr="00C25594">
        <w:rPr>
          <w:rFonts w:ascii="Bookman Old Style" w:hAnsi="Bookman Old Style" w:cs="Arial"/>
        </w:rPr>
        <w:t xml:space="preserve"> 023 de 2008 se dispuso el reglamento de distribución y comercialización minorista de GLP, el cual define como distribuidor de GLP</w:t>
      </w:r>
      <w:r w:rsidR="00E41705" w:rsidRPr="00C25594">
        <w:rPr>
          <w:rFonts w:ascii="Bookman Old Style" w:hAnsi="Bookman Old Style" w:cs="Arial"/>
        </w:rPr>
        <w:t xml:space="preserve">, </w:t>
      </w:r>
      <w:r w:rsidR="00756702" w:rsidRPr="00C25594">
        <w:rPr>
          <w:rFonts w:ascii="Bookman Old Style" w:hAnsi="Bookman Old Style" w:cs="Arial"/>
        </w:rPr>
        <w:t xml:space="preserve">la empresa de servicios públicos domiciliarios, </w:t>
      </w:r>
      <w:r w:rsidR="00142077" w:rsidRPr="00C25594">
        <w:rPr>
          <w:rFonts w:ascii="Bookman Old Style" w:hAnsi="Bookman Old Style" w:cs="Arial"/>
        </w:rPr>
        <w:t>que,</w:t>
      </w:r>
      <w:r w:rsidR="00E20F38" w:rsidRPr="00C25594">
        <w:rPr>
          <w:rFonts w:ascii="Bookman Old Style" w:hAnsi="Bookman Old Style" w:cs="Arial"/>
        </w:rPr>
        <w:t xml:space="preserve"> </w:t>
      </w:r>
      <w:r w:rsidR="00756702" w:rsidRPr="00C25594">
        <w:rPr>
          <w:rFonts w:ascii="Bookman Old Style" w:hAnsi="Bookman Old Style" w:cs="Arial"/>
        </w:rPr>
        <w:t>cumpliendo con los requisitos exigidos en es</w:t>
      </w:r>
      <w:r w:rsidR="00E41705" w:rsidRPr="00C25594">
        <w:rPr>
          <w:rFonts w:ascii="Bookman Old Style" w:hAnsi="Bookman Old Style" w:cs="Arial"/>
        </w:rPr>
        <w:t>ta</w:t>
      </w:r>
      <w:r w:rsidR="00756702" w:rsidRPr="00C25594">
        <w:rPr>
          <w:rFonts w:ascii="Bookman Old Style" w:hAnsi="Bookman Old Style" w:cs="Arial"/>
        </w:rPr>
        <w:t xml:space="preserve"> resolución, realiza la actividad de distribución de GLP.</w:t>
      </w:r>
    </w:p>
    <w:p w14:paraId="5F050B6A" w14:textId="77777777" w:rsidR="005942ED" w:rsidRPr="00C25594" w:rsidRDefault="005942ED" w:rsidP="00430793">
      <w:pPr>
        <w:ind w:left="0"/>
        <w:jc w:val="both"/>
        <w:rPr>
          <w:rFonts w:ascii="Bookman Old Style" w:hAnsi="Bookman Old Style" w:cs="Arial"/>
        </w:rPr>
      </w:pPr>
    </w:p>
    <w:p w14:paraId="39DB91F3" w14:textId="04120CC4" w:rsidR="00D76DA5" w:rsidRPr="00C25594" w:rsidRDefault="00782634" w:rsidP="00430793">
      <w:pPr>
        <w:ind w:left="0"/>
        <w:jc w:val="both"/>
        <w:rPr>
          <w:rFonts w:ascii="Bookman Old Style" w:hAnsi="Bookman Old Style" w:cs="Arial"/>
        </w:rPr>
      </w:pPr>
      <w:r w:rsidRPr="00CE5D8E">
        <w:rPr>
          <w:rFonts w:ascii="Bookman Old Style" w:hAnsi="Bookman Old Style" w:cs="Arial"/>
        </w:rPr>
        <w:t xml:space="preserve">El artículo 1 de la Resolución CREG 023 de 2008 </w:t>
      </w:r>
      <w:r w:rsidR="00962581" w:rsidRPr="00CE5D8E">
        <w:rPr>
          <w:rFonts w:ascii="Bookman Old Style" w:hAnsi="Bookman Old Style" w:cs="Arial"/>
        </w:rPr>
        <w:t xml:space="preserve">define la </w:t>
      </w:r>
      <w:r w:rsidR="000776EB" w:rsidRPr="00CE5D8E">
        <w:rPr>
          <w:rFonts w:ascii="Bookman Old Style" w:hAnsi="Bookman Old Style" w:cs="Arial"/>
        </w:rPr>
        <w:t>distribución de GLP</w:t>
      </w:r>
      <w:r w:rsidR="00CE5D8E" w:rsidRPr="00CE5D8E">
        <w:rPr>
          <w:rFonts w:ascii="Bookman Old Style" w:hAnsi="Bookman Old Style" w:cs="Arial"/>
        </w:rPr>
        <w:t>,</w:t>
      </w:r>
      <w:r w:rsidR="000776EB" w:rsidRPr="00CE5D8E">
        <w:rPr>
          <w:rFonts w:ascii="Bookman Old Style" w:hAnsi="Bookman Old Style" w:cs="Arial"/>
        </w:rPr>
        <w:t xml:space="preserve"> </w:t>
      </w:r>
      <w:r w:rsidR="00CE5D8E" w:rsidRPr="00CE5D8E">
        <w:rPr>
          <w:rFonts w:ascii="Bookman Old Style" w:hAnsi="Bookman Old Style" w:cs="Arial"/>
        </w:rPr>
        <w:t xml:space="preserve">comprendiendo </w:t>
      </w:r>
      <w:r w:rsidR="000776EB" w:rsidRPr="00CE5D8E">
        <w:rPr>
          <w:rFonts w:ascii="Bookman Old Style" w:hAnsi="Bookman Old Style" w:cs="Arial"/>
        </w:rPr>
        <w:t>la</w:t>
      </w:r>
      <w:r w:rsidR="00CE5D8E" w:rsidRPr="00CE5D8E">
        <w:rPr>
          <w:rFonts w:ascii="Bookman Old Style" w:hAnsi="Bookman Old Style" w:cs="Arial"/>
        </w:rPr>
        <w:t>s</w:t>
      </w:r>
      <w:r w:rsidR="000776EB" w:rsidRPr="00CE5D8E">
        <w:rPr>
          <w:rFonts w:ascii="Bookman Old Style" w:hAnsi="Bookman Old Style" w:cs="Arial"/>
        </w:rPr>
        <w:t xml:space="preserve"> actividad</w:t>
      </w:r>
      <w:r w:rsidR="00CE5D8E" w:rsidRPr="00CE5D8E">
        <w:rPr>
          <w:rFonts w:ascii="Bookman Old Style" w:hAnsi="Bookman Old Style" w:cs="Arial"/>
        </w:rPr>
        <w:t>es</w:t>
      </w:r>
      <w:r w:rsidR="000776EB" w:rsidRPr="00CE5D8E">
        <w:rPr>
          <w:rFonts w:ascii="Bookman Old Style" w:hAnsi="Bookman Old Style" w:cs="Arial"/>
        </w:rPr>
        <w:t xml:space="preserve"> de: i)</w:t>
      </w:r>
      <w:r w:rsidR="000776EB" w:rsidRPr="00C25594">
        <w:rPr>
          <w:rFonts w:ascii="Bookman Old Style" w:hAnsi="Bookman Old Style" w:cs="Arial"/>
        </w:rPr>
        <w:t xml:space="preserve"> </w:t>
      </w:r>
      <w:r w:rsidR="00CE5D8E" w:rsidRPr="00C25594">
        <w:rPr>
          <w:rFonts w:ascii="Bookman Old Style" w:hAnsi="Bookman Old Style" w:cs="Arial"/>
        </w:rPr>
        <w:t xml:space="preserve">compra </w:t>
      </w:r>
      <w:r w:rsidR="000776EB" w:rsidRPr="00C25594">
        <w:rPr>
          <w:rFonts w:ascii="Bookman Old Style" w:hAnsi="Bookman Old Style" w:cs="Arial"/>
        </w:rPr>
        <w:t>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14:paraId="36362064" w14:textId="77777777" w:rsidR="007D0CDA" w:rsidRPr="00C25594" w:rsidRDefault="007D0CDA" w:rsidP="00430793">
      <w:pPr>
        <w:ind w:left="0"/>
        <w:jc w:val="both"/>
        <w:rPr>
          <w:rFonts w:ascii="Bookman Old Style" w:hAnsi="Bookman Old Style" w:cs="Arial"/>
        </w:rPr>
      </w:pPr>
    </w:p>
    <w:p w14:paraId="2828A0EA" w14:textId="7E3824E5" w:rsidR="00430793" w:rsidRPr="00CE5D8E" w:rsidRDefault="00581D66" w:rsidP="00430793">
      <w:pPr>
        <w:ind w:left="0"/>
        <w:jc w:val="both"/>
        <w:rPr>
          <w:rFonts w:ascii="Bookman Old Style" w:hAnsi="Bookman Old Style" w:cs="Arial"/>
        </w:rPr>
      </w:pPr>
      <w:r w:rsidRPr="00C25594">
        <w:rPr>
          <w:rFonts w:ascii="Bookman Old Style" w:hAnsi="Bookman Old Style" w:cs="Arial"/>
        </w:rPr>
        <w:t>D</w:t>
      </w:r>
      <w:r w:rsidR="00430793" w:rsidRPr="00C25594">
        <w:rPr>
          <w:rFonts w:ascii="Bookman Old Style" w:hAnsi="Bookman Old Style" w:cs="Arial"/>
        </w:rPr>
        <w:t>e</w:t>
      </w:r>
      <w:r w:rsidRPr="00C25594">
        <w:rPr>
          <w:rFonts w:ascii="Bookman Old Style" w:hAnsi="Bookman Old Style" w:cs="Arial"/>
        </w:rPr>
        <w:t xml:space="preserve"> conformidad</w:t>
      </w:r>
      <w:r w:rsidR="00430793" w:rsidRPr="00C25594">
        <w:rPr>
          <w:rFonts w:ascii="Bookman Old Style" w:hAnsi="Bookman Old Style" w:cs="Arial"/>
        </w:rPr>
        <w:t xml:space="preserve"> con </w:t>
      </w:r>
      <w:r w:rsidR="00B17E2F" w:rsidRPr="00C25594">
        <w:rPr>
          <w:rFonts w:ascii="Bookman Old Style" w:hAnsi="Bookman Old Style" w:cs="Arial"/>
        </w:rPr>
        <w:t>el numeral 7</w:t>
      </w:r>
      <w:r w:rsidR="00430793" w:rsidRPr="00C25594">
        <w:rPr>
          <w:rFonts w:ascii="Bookman Old Style" w:hAnsi="Bookman Old Style" w:cs="Arial"/>
        </w:rPr>
        <w:t xml:space="preserve"> del artículo </w:t>
      </w:r>
      <w:r w:rsidR="000D1D80" w:rsidRPr="00C25594">
        <w:rPr>
          <w:rFonts w:ascii="Bookman Old Style" w:hAnsi="Bookman Old Style" w:cs="Arial"/>
        </w:rPr>
        <w:t>4</w:t>
      </w:r>
      <w:r w:rsidR="00430793" w:rsidRPr="00C25594">
        <w:rPr>
          <w:rFonts w:ascii="Bookman Old Style" w:hAnsi="Bookman Old Style" w:cs="Arial"/>
        </w:rPr>
        <w:t xml:space="preserve"> de</w:t>
      </w:r>
      <w:r w:rsidR="000D1D80" w:rsidRPr="00C25594">
        <w:rPr>
          <w:rFonts w:ascii="Bookman Old Style" w:hAnsi="Bookman Old Style" w:cs="Arial"/>
        </w:rPr>
        <w:t xml:space="preserve"> </w:t>
      </w:r>
      <w:r w:rsidR="00430793" w:rsidRPr="00C25594">
        <w:rPr>
          <w:rFonts w:ascii="Bookman Old Style" w:hAnsi="Bookman Old Style" w:cs="Arial"/>
        </w:rPr>
        <w:t xml:space="preserve">la </w:t>
      </w:r>
      <w:r w:rsidR="000D1D80" w:rsidRPr="00C25594">
        <w:rPr>
          <w:rFonts w:ascii="Bookman Old Style" w:hAnsi="Bookman Old Style" w:cs="Arial"/>
        </w:rPr>
        <w:t>Resolución CREG 023 de 2008</w:t>
      </w:r>
      <w:r w:rsidR="00430793" w:rsidRPr="00C25594">
        <w:rPr>
          <w:rFonts w:ascii="Bookman Old Style" w:hAnsi="Bookman Old Style" w:cs="Arial"/>
        </w:rPr>
        <w:t xml:space="preserve">, las empresas </w:t>
      </w:r>
      <w:r w:rsidR="000D1D80" w:rsidRPr="00C25594">
        <w:rPr>
          <w:rFonts w:ascii="Bookman Old Style" w:hAnsi="Bookman Old Style" w:cs="Arial"/>
        </w:rPr>
        <w:t xml:space="preserve">distribuidoras tendrán </w:t>
      </w:r>
      <w:r w:rsidR="005A726A" w:rsidRPr="00C25594">
        <w:rPr>
          <w:rFonts w:ascii="Bookman Old Style" w:hAnsi="Bookman Old Style" w:cs="Arial"/>
        </w:rPr>
        <w:t>entre otros</w:t>
      </w:r>
      <w:r w:rsidR="000D1D80" w:rsidRPr="00C25594">
        <w:rPr>
          <w:rFonts w:ascii="Bookman Old Style" w:hAnsi="Bookman Old Style" w:cs="Arial"/>
        </w:rPr>
        <w:t xml:space="preserve"> requisito</w:t>
      </w:r>
      <w:r w:rsidR="00404742" w:rsidRPr="00C25594">
        <w:rPr>
          <w:rFonts w:ascii="Bookman Old Style" w:hAnsi="Bookman Old Style" w:cs="Arial"/>
        </w:rPr>
        <w:t xml:space="preserve">s para </w:t>
      </w:r>
      <w:r w:rsidR="007D2B69" w:rsidRPr="00C25594">
        <w:rPr>
          <w:rFonts w:ascii="Bookman Old Style" w:hAnsi="Bookman Old Style" w:cs="Arial"/>
        </w:rPr>
        <w:t>poder operar</w:t>
      </w:r>
      <w:r w:rsidR="005A726A" w:rsidRPr="00C25594">
        <w:rPr>
          <w:rFonts w:ascii="Bookman Old Style" w:hAnsi="Bookman Old Style" w:cs="Arial"/>
        </w:rPr>
        <w:t xml:space="preserve"> </w:t>
      </w:r>
      <w:r w:rsidR="007D2B69" w:rsidRPr="00C25594">
        <w:rPr>
          <w:rFonts w:ascii="Bookman Old Style" w:hAnsi="Bookman Old Style" w:cs="Arial"/>
        </w:rPr>
        <w:t>el de</w:t>
      </w:r>
      <w:r w:rsidR="001E768D" w:rsidRPr="00CE5D8E">
        <w:rPr>
          <w:rFonts w:ascii="Bookman Old Style" w:hAnsi="Bookman Old Style" w:cs="Arial"/>
        </w:rPr>
        <w:t>:</w:t>
      </w:r>
    </w:p>
    <w:p w14:paraId="642FC47C" w14:textId="77777777" w:rsidR="000D1D80" w:rsidRPr="00CE5D8E" w:rsidRDefault="000D1D80" w:rsidP="00430793">
      <w:pPr>
        <w:ind w:left="0"/>
        <w:jc w:val="both"/>
        <w:rPr>
          <w:rFonts w:ascii="Bookman Old Style" w:hAnsi="Bookman Old Style" w:cs="Arial"/>
        </w:rPr>
      </w:pPr>
    </w:p>
    <w:p w14:paraId="1F54453A" w14:textId="4EBCC35C" w:rsidR="000D1D80" w:rsidRPr="00C25594" w:rsidRDefault="00DF42E5" w:rsidP="001650CB">
      <w:pPr>
        <w:ind w:left="284" w:right="284"/>
        <w:jc w:val="both"/>
        <w:rPr>
          <w:rFonts w:ascii="Bookman Old Style" w:hAnsi="Bookman Old Style" w:cs="Arial"/>
          <w:i/>
          <w:iCs/>
        </w:rPr>
      </w:pPr>
      <w:r w:rsidRPr="00CE5D8E">
        <w:rPr>
          <w:rFonts w:ascii="Bookman Old Style" w:hAnsi="Bookman Old Style" w:cs="Arial"/>
          <w:i/>
          <w:iCs/>
          <w:u w:val="single"/>
        </w:rPr>
        <w:t>“</w:t>
      </w:r>
      <w:r w:rsidR="000D1D80" w:rsidRPr="00CE5D8E">
        <w:rPr>
          <w:rFonts w:ascii="Bookman Old Style" w:hAnsi="Bookman Old Style" w:cs="Arial"/>
          <w:i/>
          <w:iCs/>
          <w:u w:val="single"/>
        </w:rPr>
        <w:t>Ser propietario</w:t>
      </w:r>
      <w:r w:rsidR="000D1D80" w:rsidRPr="00C25594">
        <w:rPr>
          <w:rFonts w:ascii="Bookman Old Style" w:hAnsi="Bookman Old Style" w:cs="Arial"/>
          <w:i/>
          <w:iCs/>
          <w:u w:val="single"/>
        </w:rPr>
        <w:t xml:space="preserve"> de los cilindros que envasa</w:t>
      </w:r>
      <w:r w:rsidR="000D1D80" w:rsidRPr="00C25594">
        <w:rPr>
          <w:rFonts w:ascii="Bookman Old Style" w:hAnsi="Bookman Old Style" w:cs="Arial"/>
          <w:i/>
          <w:iCs/>
        </w:rPr>
        <w:t xml:space="preserve">, los cuales deberán estar certificados y marcados de acuerdo con lo establecido en el artículo 10 de esta resolución, reportados de acuerdo con el artículo 11 de esta resolución y registrados de acuerdo con lo indicado en el numeral 8 del artículo 6o de esta resolución, modificado por el artículo 4o de la Resolución CREG 165 de 2008. Tanto los cilindros como los tanques estacionarios a través de los cuales se prestará el servicio </w:t>
      </w:r>
      <w:r w:rsidR="00976496" w:rsidRPr="00C25594">
        <w:rPr>
          <w:rFonts w:ascii="Bookman Old Style" w:hAnsi="Bookman Old Style" w:cs="Arial"/>
          <w:i/>
          <w:iCs/>
        </w:rPr>
        <w:t xml:space="preserve">público, </w:t>
      </w:r>
      <w:r w:rsidR="000D1D80" w:rsidRPr="00C25594">
        <w:rPr>
          <w:rFonts w:ascii="Bookman Old Style" w:hAnsi="Bookman Old Style" w:cs="Arial"/>
          <w:i/>
          <w:iCs/>
        </w:rPr>
        <w:t>deben estar en condiciones de operación que garanticen plenamente la seguridad de los usuarios, del personal que lo maniobra y de toda la comunidad en general, en cumplimiento de lo establecido en el correspondiente Reglamento Técnico vigente del Ministerio de Minas y Energía</w:t>
      </w:r>
      <w:r w:rsidR="000D1D80" w:rsidRPr="00CE5D8E">
        <w:rPr>
          <w:rFonts w:ascii="Bookman Old Style" w:hAnsi="Bookman Old Style" w:cs="Arial"/>
          <w:i/>
          <w:iCs/>
        </w:rPr>
        <w:t>.</w:t>
      </w:r>
      <w:r w:rsidRPr="00CE5D8E">
        <w:rPr>
          <w:rFonts w:ascii="Bookman Old Style" w:hAnsi="Bookman Old Style" w:cs="Arial"/>
          <w:i/>
          <w:iCs/>
        </w:rPr>
        <w:t>”</w:t>
      </w:r>
      <w:r w:rsidR="007D2B69" w:rsidRPr="00CE5D8E">
        <w:rPr>
          <w:rFonts w:ascii="Bookman Old Style" w:hAnsi="Bookman Old Style" w:cs="Arial"/>
          <w:i/>
          <w:iCs/>
        </w:rPr>
        <w:t xml:space="preserve"> </w:t>
      </w:r>
      <w:r w:rsidR="007D2B69" w:rsidRPr="00CE5D8E">
        <w:rPr>
          <w:rFonts w:ascii="Bookman Old Style" w:hAnsi="Bookman Old Style" w:cs="Arial"/>
        </w:rPr>
        <w:t>(Subr</w:t>
      </w:r>
      <w:r w:rsidR="00C45F53" w:rsidRPr="00CE5D8E">
        <w:rPr>
          <w:rFonts w:ascii="Bookman Old Style" w:hAnsi="Bookman Old Style" w:cs="Arial"/>
        </w:rPr>
        <w:t>ayado fuera de texto)</w:t>
      </w:r>
    </w:p>
    <w:p w14:paraId="1E0517A0" w14:textId="14245304" w:rsidR="005331EA" w:rsidRPr="00C25594" w:rsidRDefault="005331EA" w:rsidP="00430793">
      <w:pPr>
        <w:ind w:left="0"/>
        <w:jc w:val="both"/>
        <w:rPr>
          <w:rFonts w:ascii="Bookman Old Style" w:hAnsi="Bookman Old Style" w:cs="Arial"/>
        </w:rPr>
      </w:pPr>
    </w:p>
    <w:p w14:paraId="6A7447E1" w14:textId="2FBB8B0D" w:rsidR="00803043" w:rsidRPr="00C25594" w:rsidRDefault="005A726A" w:rsidP="00430793">
      <w:pPr>
        <w:ind w:left="0"/>
        <w:jc w:val="both"/>
        <w:rPr>
          <w:rFonts w:ascii="Bookman Old Style" w:hAnsi="Bookman Old Style" w:cs="Arial"/>
        </w:rPr>
      </w:pPr>
      <w:r w:rsidRPr="00C25594">
        <w:rPr>
          <w:rFonts w:ascii="Bookman Old Style" w:hAnsi="Bookman Old Style" w:cs="Arial"/>
        </w:rPr>
        <w:t xml:space="preserve">En el mismo sentido, el parágrafo 1 del Artículo 4 de la </w:t>
      </w:r>
      <w:r w:rsidR="005331EA" w:rsidRPr="00C25594">
        <w:rPr>
          <w:rFonts w:ascii="Bookman Old Style" w:hAnsi="Bookman Old Style" w:cs="Arial"/>
        </w:rPr>
        <w:t>citada resolución dispone</w:t>
      </w:r>
      <w:r w:rsidR="00CE5D8E">
        <w:rPr>
          <w:rFonts w:ascii="Bookman Old Style" w:hAnsi="Bookman Old Style" w:cs="Arial"/>
        </w:rPr>
        <w:t>:</w:t>
      </w:r>
    </w:p>
    <w:p w14:paraId="5BBB611C" w14:textId="77777777" w:rsidR="005331EA" w:rsidRPr="00C25594" w:rsidRDefault="005331EA" w:rsidP="00430793">
      <w:pPr>
        <w:ind w:left="0"/>
        <w:jc w:val="both"/>
        <w:rPr>
          <w:rFonts w:ascii="Bookman Old Style" w:hAnsi="Bookman Old Style" w:cs="Arial"/>
        </w:rPr>
      </w:pPr>
    </w:p>
    <w:p w14:paraId="35BCB300" w14:textId="149D58E4" w:rsidR="005331EA" w:rsidRPr="00C25594" w:rsidRDefault="00C12C66" w:rsidP="005331EA">
      <w:pPr>
        <w:ind w:left="284" w:right="284"/>
        <w:jc w:val="both"/>
        <w:rPr>
          <w:rFonts w:ascii="Bookman Old Style" w:hAnsi="Bookman Old Style" w:cs="Arial"/>
          <w:i/>
          <w:iCs/>
        </w:rPr>
      </w:pPr>
      <w:r w:rsidRPr="00CE5D8E">
        <w:rPr>
          <w:rFonts w:ascii="Bookman Old Style" w:hAnsi="Bookman Old Style" w:cs="Arial"/>
          <w:i/>
          <w:iCs/>
        </w:rPr>
        <w:lastRenderedPageBreak/>
        <w:t>“</w:t>
      </w:r>
      <w:r w:rsidR="005331EA" w:rsidRPr="00CE5D8E">
        <w:rPr>
          <w:rFonts w:ascii="Bookman Old Style" w:hAnsi="Bookman Old Style" w:cs="Arial"/>
          <w:i/>
          <w:iCs/>
        </w:rPr>
        <w:t xml:space="preserve">PARÁGRAFO 1o. </w:t>
      </w:r>
      <w:r w:rsidR="005331EA" w:rsidRPr="00CE5D8E">
        <w:rPr>
          <w:rFonts w:ascii="Bookman Old Style" w:hAnsi="Bookman Old Style" w:cs="Arial"/>
          <w:i/>
          <w:iCs/>
          <w:u w:val="single"/>
        </w:rPr>
        <w:t>Los distribuidores de GLP constituidos como tales a la fecha de expedición de la Resolución CREG 023 de 2008 y que a la misma fecha únicamente estén prestando el servicio a usuarios a través de tanques estacionarios</w:t>
      </w:r>
      <w:r w:rsidR="005331EA" w:rsidRPr="00CE5D8E">
        <w:rPr>
          <w:rFonts w:ascii="Bookman Old Style" w:hAnsi="Bookman Old Style" w:cs="Arial"/>
          <w:i/>
          <w:iCs/>
        </w:rPr>
        <w:t>, como debe constar en los reportes de ventas informados al SUI</w:t>
      </w:r>
      <w:r w:rsidR="005331EA" w:rsidRPr="00CE5D8E">
        <w:rPr>
          <w:rFonts w:ascii="Bookman Old Style" w:hAnsi="Bookman Old Style" w:cs="Arial"/>
          <w:i/>
          <w:iCs/>
          <w:u w:val="single"/>
        </w:rPr>
        <w:t>, podrán constituirse como distribuidores</w:t>
      </w:r>
      <w:r w:rsidR="005331EA" w:rsidRPr="00CE5D8E">
        <w:rPr>
          <w:rFonts w:ascii="Bookman Old Style" w:hAnsi="Bookman Old Style" w:cs="Arial"/>
          <w:i/>
          <w:iCs/>
        </w:rPr>
        <w:t xml:space="preserve"> a la luz de lo dispuesto en la mencionada resolución </w:t>
      </w:r>
      <w:r w:rsidR="005331EA" w:rsidRPr="00CE5D8E">
        <w:rPr>
          <w:rFonts w:ascii="Bookman Old Style" w:hAnsi="Bookman Old Style" w:cs="Arial"/>
          <w:i/>
          <w:iCs/>
          <w:u w:val="single"/>
        </w:rPr>
        <w:t>sin la obligación de cumplir los requisitos establecidos en los numerales 2, 3 y 7</w:t>
      </w:r>
      <w:r w:rsidR="005331EA" w:rsidRPr="00CE5D8E">
        <w:rPr>
          <w:rFonts w:ascii="Bookman Old Style" w:hAnsi="Bookman Old Style" w:cs="Arial"/>
          <w:i/>
          <w:iCs/>
        </w:rPr>
        <w:t xml:space="preserve"> de este artículo y sin perjuicio de las demás obligaciones y responsabilidades que le establece este Reglamento de Distribución. </w:t>
      </w:r>
      <w:r w:rsidR="005331EA" w:rsidRPr="00CE5D8E">
        <w:rPr>
          <w:rFonts w:ascii="Bookman Old Style" w:hAnsi="Bookman Old Style" w:cs="Arial"/>
          <w:i/>
          <w:iCs/>
          <w:u w:val="single"/>
        </w:rPr>
        <w:t>Si estos distribuidores deciden prestar el servicio en cilindros deberán dar cumplimiento a lo dispuesto en los artículos anteriormente mencionados.</w:t>
      </w:r>
      <w:r w:rsidRPr="00CE5D8E">
        <w:rPr>
          <w:rFonts w:ascii="Bookman Old Style" w:hAnsi="Bookman Old Style" w:cs="Arial"/>
          <w:i/>
          <w:iCs/>
          <w:u w:val="single"/>
        </w:rPr>
        <w:t>”</w:t>
      </w:r>
      <w:r w:rsidR="005104F3" w:rsidRPr="00CE5D8E">
        <w:rPr>
          <w:rFonts w:ascii="Bookman Old Style" w:hAnsi="Bookman Old Style" w:cs="Arial"/>
          <w:i/>
          <w:iCs/>
          <w:u w:val="single"/>
        </w:rPr>
        <w:t xml:space="preserve"> </w:t>
      </w:r>
      <w:r w:rsidR="005104F3" w:rsidRPr="00CE5D8E">
        <w:rPr>
          <w:rFonts w:ascii="Bookman Old Style" w:hAnsi="Bookman Old Style" w:cs="Arial"/>
        </w:rPr>
        <w:t>(Subrayado fuera de texto)</w:t>
      </w:r>
    </w:p>
    <w:p w14:paraId="33FCEECA" w14:textId="77777777" w:rsidR="00430793" w:rsidRPr="00C25594" w:rsidRDefault="00430793" w:rsidP="00430793">
      <w:pPr>
        <w:ind w:left="0"/>
        <w:jc w:val="both"/>
        <w:rPr>
          <w:rFonts w:ascii="Bookman Old Style" w:hAnsi="Bookman Old Style" w:cs="Arial"/>
        </w:rPr>
      </w:pPr>
    </w:p>
    <w:p w14:paraId="79F05911" w14:textId="132B3716" w:rsidR="0097148F" w:rsidRPr="00C25594" w:rsidRDefault="0097148F" w:rsidP="0097148F">
      <w:pPr>
        <w:ind w:left="0"/>
        <w:jc w:val="both"/>
        <w:rPr>
          <w:rFonts w:ascii="Bookman Old Style" w:hAnsi="Bookman Old Style" w:cs="Arial"/>
        </w:rPr>
      </w:pPr>
      <w:r w:rsidRPr="00C25594">
        <w:rPr>
          <w:rFonts w:ascii="Bookman Old Style" w:hAnsi="Bookman Old Style" w:cs="Arial"/>
        </w:rPr>
        <w:t>Posteriormente, con el objeto de evitar situaciones o conductas por parte de agentes o terceros de forma irregular, ilegal e ilícita, que llevaran a la afectación de la prestación del servicio público de GLP, en particular en lo relacionado con las actividades de distribución y/o comercialización minorista, la Comisión expidió la Resolución CREG 063 de 2016 “Por la cual se establecen parámetros de conducta y la participación de los agentes dentro de las actividades de comercialización mayorista y distribución de GLP”.</w:t>
      </w:r>
    </w:p>
    <w:p w14:paraId="1495E893" w14:textId="77777777" w:rsidR="0097148F" w:rsidRPr="00C25594" w:rsidRDefault="0097148F" w:rsidP="0097148F">
      <w:pPr>
        <w:ind w:left="0"/>
        <w:jc w:val="both"/>
        <w:rPr>
          <w:rFonts w:ascii="Bookman Old Style" w:hAnsi="Bookman Old Style" w:cs="Arial"/>
        </w:rPr>
      </w:pPr>
    </w:p>
    <w:p w14:paraId="56080B92" w14:textId="636B4B1D" w:rsidR="0097148F" w:rsidRPr="00C25594" w:rsidRDefault="0097148F" w:rsidP="0097148F">
      <w:pPr>
        <w:ind w:left="0"/>
        <w:jc w:val="both"/>
        <w:rPr>
          <w:rFonts w:ascii="Bookman Old Style" w:hAnsi="Bookman Old Style" w:cs="Arial"/>
        </w:rPr>
      </w:pPr>
      <w:r w:rsidRPr="00C25594">
        <w:rPr>
          <w:rFonts w:ascii="Bookman Old Style" w:hAnsi="Bookman Old Style" w:cs="Arial"/>
        </w:rPr>
        <w:t>En concordancia con lo anterior</w:t>
      </w:r>
      <w:r w:rsidR="00392B36" w:rsidRPr="00CE5D8E">
        <w:rPr>
          <w:rFonts w:ascii="Bookman Old Style" w:hAnsi="Bookman Old Style" w:cs="Arial"/>
        </w:rPr>
        <w:t>,</w:t>
      </w:r>
      <w:r w:rsidRPr="00C25594">
        <w:rPr>
          <w:rFonts w:ascii="Bookman Old Style" w:hAnsi="Bookman Old Style" w:cs="Arial"/>
        </w:rPr>
        <w:t xml:space="preserve"> el Parágrafo 1 del Artículo 8 de la citada resolución establece el cálculo de la capacidad de compra para cada distribuidor, la cual fue modificada por la Resolución CREG 180 de 2017.</w:t>
      </w:r>
    </w:p>
    <w:p w14:paraId="0DB0B469" w14:textId="77777777" w:rsidR="0097148F" w:rsidRPr="00C25594" w:rsidRDefault="0097148F" w:rsidP="0097148F">
      <w:pPr>
        <w:ind w:left="0"/>
        <w:jc w:val="both"/>
        <w:rPr>
          <w:rFonts w:ascii="Bookman Old Style" w:hAnsi="Bookman Old Style" w:cs="Arial"/>
        </w:rPr>
      </w:pPr>
    </w:p>
    <w:p w14:paraId="4F05E7DA" w14:textId="77777777" w:rsidR="0097148F" w:rsidRPr="00C25594" w:rsidRDefault="0097148F" w:rsidP="0097148F">
      <w:pPr>
        <w:ind w:left="0"/>
        <w:jc w:val="both"/>
        <w:rPr>
          <w:rFonts w:ascii="Bookman Old Style" w:hAnsi="Bookman Old Style" w:cs="Arial"/>
        </w:rPr>
      </w:pPr>
      <w:r w:rsidRPr="00C25594">
        <w:rPr>
          <w:rFonts w:ascii="Bookman Old Style" w:hAnsi="Bookman Old Style" w:cs="Arial"/>
        </w:rPr>
        <w:t>Ahora bien, el cálculo de la capacidad de compra se realiza con la información reportada por los distribuidores al Sistema Único de Información –SUI, donde periódicamente se registran nuevas empresas dedicadas a la distribución de GLP.</w:t>
      </w:r>
    </w:p>
    <w:p w14:paraId="309C6984" w14:textId="77777777" w:rsidR="0097148F" w:rsidRPr="00C25594" w:rsidRDefault="0097148F" w:rsidP="0097148F">
      <w:pPr>
        <w:ind w:left="0"/>
        <w:jc w:val="both"/>
        <w:rPr>
          <w:rFonts w:ascii="Bookman Old Style" w:hAnsi="Bookman Old Style" w:cs="Arial"/>
        </w:rPr>
      </w:pPr>
    </w:p>
    <w:p w14:paraId="7B88C630" w14:textId="1770B702" w:rsidR="0097148F" w:rsidRPr="00C25594" w:rsidRDefault="0097148F" w:rsidP="0097148F">
      <w:pPr>
        <w:ind w:left="0"/>
        <w:jc w:val="both"/>
        <w:rPr>
          <w:rFonts w:ascii="Bookman Old Style" w:hAnsi="Bookman Old Style" w:cs="Arial"/>
        </w:rPr>
      </w:pPr>
      <w:r w:rsidRPr="00C25594">
        <w:rPr>
          <w:rFonts w:ascii="Bookman Old Style" w:hAnsi="Bookman Old Style" w:cs="Arial"/>
        </w:rPr>
        <w:t xml:space="preserve">La Comisión ha evidenciado que no se reporta información de cilindros por parte de algunos agentes, los cuales registran únicamente inversiones en tanques estacionarios, es así como luego de verificar la fecha de entrada en operación de dichos distribuidores se encuentra que es posterior al 2008, es decir, no corresponde a los agentes exceptuados en el parágrafo 1 del artículo 4 de la Resolución CREG 023 </w:t>
      </w:r>
      <w:r w:rsidRPr="00CE5D8E">
        <w:rPr>
          <w:rFonts w:ascii="Bookman Old Style" w:hAnsi="Bookman Old Style" w:cs="Arial"/>
        </w:rPr>
        <w:t>de 20</w:t>
      </w:r>
      <w:r w:rsidR="00C429E1" w:rsidRPr="00CE5D8E">
        <w:rPr>
          <w:rFonts w:ascii="Bookman Old Style" w:hAnsi="Bookman Old Style" w:cs="Arial"/>
        </w:rPr>
        <w:t>08</w:t>
      </w:r>
      <w:r w:rsidRPr="00CE5D8E">
        <w:rPr>
          <w:rFonts w:ascii="Bookman Old Style" w:hAnsi="Bookman Old Style" w:cs="Arial"/>
        </w:rPr>
        <w:t xml:space="preserve">. Esta situación afecta el esquema de prestación del servicio público domiciliario de GLP, así como a los distribuidores que en debida forma dan cumplimiento a los requisitos de operación dispuestos en la regulación, en especial lo dispuesto en </w:t>
      </w:r>
      <w:r w:rsidR="00EC244E" w:rsidRPr="00CE5D8E">
        <w:rPr>
          <w:rFonts w:ascii="Bookman Old Style" w:hAnsi="Bookman Old Style" w:cs="Arial"/>
        </w:rPr>
        <w:t xml:space="preserve">el artículo 34 de Ley 142, </w:t>
      </w:r>
      <w:r w:rsidR="00261FFA" w:rsidRPr="00CE5D8E">
        <w:rPr>
          <w:rFonts w:ascii="Bookman Old Style" w:hAnsi="Bookman Old Style" w:cs="Arial"/>
        </w:rPr>
        <w:t xml:space="preserve">y en la </w:t>
      </w:r>
      <w:r w:rsidRPr="00CE5D8E">
        <w:rPr>
          <w:rFonts w:ascii="Bookman Old Style" w:hAnsi="Bookman Old Style" w:cs="Arial"/>
        </w:rPr>
        <w:t>Resolución CREG 023 de 20</w:t>
      </w:r>
      <w:r w:rsidR="00581186" w:rsidRPr="00CE5D8E">
        <w:rPr>
          <w:rFonts w:ascii="Bookman Old Style" w:hAnsi="Bookman Old Style" w:cs="Arial"/>
        </w:rPr>
        <w:t>08</w:t>
      </w:r>
      <w:r w:rsidR="00261FFA" w:rsidRPr="00CE5D8E">
        <w:rPr>
          <w:rFonts w:ascii="Bookman Old Style" w:hAnsi="Bookman Old Style" w:cs="Arial"/>
        </w:rPr>
        <w:t>.</w:t>
      </w:r>
    </w:p>
    <w:p w14:paraId="49282C74" w14:textId="77777777" w:rsidR="0097148F" w:rsidRPr="00C25594" w:rsidRDefault="0097148F" w:rsidP="0097148F">
      <w:pPr>
        <w:ind w:left="0"/>
        <w:jc w:val="both"/>
        <w:rPr>
          <w:rFonts w:ascii="Bookman Old Style" w:hAnsi="Bookman Old Style" w:cs="Arial"/>
        </w:rPr>
      </w:pPr>
    </w:p>
    <w:p w14:paraId="253E3249" w14:textId="023DC8D8" w:rsidR="0097148F" w:rsidRPr="00C25594" w:rsidRDefault="0097148F" w:rsidP="0097148F">
      <w:pPr>
        <w:ind w:left="0"/>
        <w:jc w:val="both"/>
        <w:rPr>
          <w:rFonts w:ascii="Bookman Old Style" w:hAnsi="Bookman Old Style" w:cs="Arial"/>
        </w:rPr>
      </w:pPr>
      <w:r w:rsidRPr="00C25594">
        <w:rPr>
          <w:rFonts w:ascii="Bookman Old Style" w:hAnsi="Bookman Old Style" w:cs="Arial"/>
        </w:rPr>
        <w:t>Lo anterior no se limita solo al reporte de la información</w:t>
      </w:r>
      <w:r w:rsidRPr="00CE5D8E">
        <w:rPr>
          <w:rFonts w:ascii="Bookman Old Style" w:hAnsi="Bookman Old Style" w:cs="Arial"/>
        </w:rPr>
        <w:t xml:space="preserve">, sino </w:t>
      </w:r>
      <w:r w:rsidR="001C61BE" w:rsidRPr="00CE5D8E">
        <w:rPr>
          <w:rFonts w:ascii="Bookman Old Style" w:hAnsi="Bookman Old Style" w:cs="Arial"/>
        </w:rPr>
        <w:t xml:space="preserve">a que la </w:t>
      </w:r>
      <w:r w:rsidR="00610E55" w:rsidRPr="00CE5D8E">
        <w:rPr>
          <w:rFonts w:ascii="Bookman Old Style" w:hAnsi="Bookman Old Style" w:cs="Arial"/>
        </w:rPr>
        <w:t xml:space="preserve">situación </w:t>
      </w:r>
      <w:r w:rsidR="005D50D4" w:rsidRPr="00CE5D8E">
        <w:rPr>
          <w:rFonts w:ascii="Bookman Old Style" w:hAnsi="Bookman Old Style" w:cs="Arial"/>
        </w:rPr>
        <w:t>previamente señalada, puede generar</w:t>
      </w:r>
      <w:r w:rsidRPr="00CE5D8E">
        <w:rPr>
          <w:rFonts w:ascii="Bookman Old Style" w:hAnsi="Bookman Old Style" w:cs="Arial"/>
        </w:rPr>
        <w:t xml:space="preserve"> conductas que afectan la seguridad en la prestación del servicio y las condiciones de competencia</w:t>
      </w:r>
      <w:r w:rsidRPr="00C25594">
        <w:rPr>
          <w:rFonts w:ascii="Bookman Old Style" w:hAnsi="Bookman Old Style" w:cs="Arial"/>
        </w:rPr>
        <w:t xml:space="preserve"> del mercado ya sea por desconocimiento o incumplimiento de las obligaciones y responsabilidades de los agentes, previstas en la ley y la regulación.</w:t>
      </w:r>
    </w:p>
    <w:p w14:paraId="5E1BF3AF" w14:textId="77777777" w:rsidR="0097148F" w:rsidRPr="00C25594" w:rsidRDefault="0097148F" w:rsidP="0097148F">
      <w:pPr>
        <w:ind w:left="0"/>
        <w:jc w:val="both"/>
        <w:rPr>
          <w:rFonts w:ascii="Bookman Old Style" w:hAnsi="Bookman Old Style" w:cs="Arial"/>
        </w:rPr>
      </w:pPr>
    </w:p>
    <w:p w14:paraId="19599C18" w14:textId="3A3A582D" w:rsidR="0097148F" w:rsidRPr="00C25594" w:rsidRDefault="0097148F" w:rsidP="0097148F">
      <w:pPr>
        <w:ind w:left="0"/>
        <w:jc w:val="both"/>
        <w:rPr>
          <w:rFonts w:ascii="Bookman Old Style" w:hAnsi="Bookman Old Style" w:cs="Arial"/>
        </w:rPr>
      </w:pPr>
      <w:r w:rsidRPr="00C25594">
        <w:rPr>
          <w:rFonts w:ascii="Bookman Old Style" w:hAnsi="Bookman Old Style" w:cs="Arial"/>
        </w:rPr>
        <w:t>Por su parte la CREG mediante radicado S2023002382 de 4 de mayo de 2023, solicitó a la Superintendencia de Servicios Públicos Domiciliarios que se informara sobre las acciones administrativas adelantadas contra empresas prestadoras del servicio público domiciliario de GLP por el incumplimiento de los numerales 2 y 7 del artículo 4° de la</w:t>
      </w:r>
      <w:r w:rsidR="004D73C6" w:rsidRPr="00C25594">
        <w:rPr>
          <w:rFonts w:ascii="Bookman Old Style" w:hAnsi="Bookman Old Style" w:cs="Arial"/>
        </w:rPr>
        <w:t xml:space="preserve"> </w:t>
      </w:r>
      <w:r w:rsidRPr="00C25594">
        <w:rPr>
          <w:rFonts w:ascii="Bookman Old Style" w:hAnsi="Bookman Old Style" w:cs="Arial"/>
        </w:rPr>
        <w:t xml:space="preserve">Resolución CREG 023 de 2008, relacionados </w:t>
      </w:r>
      <w:r w:rsidRPr="00C25594">
        <w:rPr>
          <w:rFonts w:ascii="Bookman Old Style" w:hAnsi="Bookman Old Style" w:cs="Arial"/>
        </w:rPr>
        <w:lastRenderedPageBreak/>
        <w:t>con los requisitos para la operación de los distribuidores, la cual fue atendida por dicha entidad el 11 de mayo de 2023 mediante radicado 20232321665101.</w:t>
      </w:r>
    </w:p>
    <w:p w14:paraId="1DC60F93" w14:textId="77777777" w:rsidR="0097148F" w:rsidRPr="00C25594" w:rsidRDefault="0097148F" w:rsidP="0097148F">
      <w:pPr>
        <w:ind w:left="0"/>
        <w:jc w:val="both"/>
        <w:rPr>
          <w:rFonts w:ascii="Bookman Old Style" w:hAnsi="Bookman Old Style" w:cs="Arial"/>
        </w:rPr>
      </w:pPr>
    </w:p>
    <w:p w14:paraId="4E9ED091" w14:textId="18E89700" w:rsidR="00045D3D" w:rsidRPr="00C25594" w:rsidRDefault="0097148F" w:rsidP="00FC5BB8">
      <w:pPr>
        <w:ind w:left="0"/>
        <w:jc w:val="both"/>
        <w:rPr>
          <w:rFonts w:ascii="Bookman Old Style" w:hAnsi="Bookman Old Style" w:cs="Arial"/>
        </w:rPr>
      </w:pPr>
      <w:r w:rsidRPr="00CE5D8E">
        <w:rPr>
          <w:rFonts w:ascii="Bookman Old Style" w:hAnsi="Bookman Old Style" w:cs="Arial"/>
        </w:rPr>
        <w:t xml:space="preserve">Teniendo en cuenta lo anterior se hace necesario adoptar una medida regulatoria que </w:t>
      </w:r>
      <w:r w:rsidR="00A94013" w:rsidRPr="00CE5D8E">
        <w:rPr>
          <w:rFonts w:ascii="Bookman Old Style" w:hAnsi="Bookman Old Style" w:cs="Arial"/>
        </w:rPr>
        <w:t>promueva</w:t>
      </w:r>
      <w:r w:rsidRPr="00CE5D8E">
        <w:rPr>
          <w:rFonts w:ascii="Bookman Old Style" w:hAnsi="Bookman Old Style" w:cs="Arial"/>
        </w:rPr>
        <w:t xml:space="preserve"> </w:t>
      </w:r>
      <w:r w:rsidR="00A94013" w:rsidRPr="00CE5D8E">
        <w:rPr>
          <w:rFonts w:ascii="Bookman Old Style" w:hAnsi="Bookman Old Style" w:cs="Arial"/>
        </w:rPr>
        <w:t>el</w:t>
      </w:r>
      <w:r w:rsidRPr="00CE5D8E">
        <w:rPr>
          <w:rFonts w:ascii="Bookman Old Style" w:hAnsi="Bookman Old Style" w:cs="Arial"/>
        </w:rPr>
        <w:t xml:space="preserve"> cumplimiento de las obligaciones establecidas</w:t>
      </w:r>
      <w:r w:rsidRPr="00C25594">
        <w:rPr>
          <w:rFonts w:ascii="Bookman Old Style" w:hAnsi="Bookman Old Style" w:cs="Arial"/>
        </w:rPr>
        <w:t xml:space="preserve"> en la regulación, más aún cuando la actividad desarrollada se efectúa en un ámbito de competencia, por lo tanto, esta Comisión,</w:t>
      </w:r>
    </w:p>
    <w:p w14:paraId="70D9F8B3" w14:textId="77777777" w:rsidR="0047481B" w:rsidRPr="00C25594" w:rsidRDefault="0047481B" w:rsidP="0097148F">
      <w:pPr>
        <w:ind w:left="0"/>
        <w:rPr>
          <w:rFonts w:ascii="Bookman Old Style" w:hAnsi="Bookman Old Style" w:cs="Arial"/>
        </w:rPr>
      </w:pPr>
    </w:p>
    <w:p w14:paraId="1ED027DC" w14:textId="77777777" w:rsidR="009A483A" w:rsidRPr="00C25594" w:rsidRDefault="009A483A" w:rsidP="00816B20">
      <w:pPr>
        <w:suppressAutoHyphens/>
        <w:ind w:left="0"/>
        <w:jc w:val="center"/>
        <w:rPr>
          <w:rFonts w:ascii="Bookman Old Style" w:hAnsi="Bookman Old Style" w:cs="Arial"/>
          <w:b/>
          <w:spacing w:val="-3"/>
        </w:rPr>
      </w:pPr>
    </w:p>
    <w:p w14:paraId="494DDFC2" w14:textId="23DB76BF" w:rsidR="00045D3D" w:rsidRDefault="00045D3D" w:rsidP="00816B20">
      <w:pPr>
        <w:suppressAutoHyphens/>
        <w:ind w:left="0"/>
        <w:jc w:val="center"/>
        <w:rPr>
          <w:rFonts w:ascii="Bookman Old Style" w:hAnsi="Bookman Old Style" w:cs="Arial"/>
          <w:b/>
          <w:spacing w:val="-3"/>
        </w:rPr>
      </w:pPr>
      <w:r w:rsidRPr="00C25594">
        <w:rPr>
          <w:rFonts w:ascii="Bookman Old Style" w:hAnsi="Bookman Old Style" w:cs="Arial"/>
          <w:b/>
          <w:spacing w:val="-3"/>
        </w:rPr>
        <w:t>R E S U E L V E:</w:t>
      </w:r>
    </w:p>
    <w:p w14:paraId="16519954" w14:textId="77777777" w:rsidR="00C25594" w:rsidRPr="00C25594" w:rsidRDefault="00C25594" w:rsidP="00816B20">
      <w:pPr>
        <w:suppressAutoHyphens/>
        <w:ind w:left="0"/>
        <w:jc w:val="center"/>
        <w:rPr>
          <w:rFonts w:ascii="Bookman Old Style" w:hAnsi="Bookman Old Style" w:cs="Arial"/>
          <w:spacing w:val="-3"/>
        </w:rPr>
      </w:pPr>
    </w:p>
    <w:p w14:paraId="4B8DEE7E" w14:textId="3295DE0B" w:rsidR="00045D3D" w:rsidRPr="00C25594" w:rsidRDefault="00045D3D" w:rsidP="00A20A5E">
      <w:pPr>
        <w:spacing w:before="120"/>
        <w:ind w:left="0"/>
        <w:jc w:val="both"/>
        <w:rPr>
          <w:rFonts w:ascii="Bookman Old Style" w:hAnsi="Bookman Old Style" w:cs="Arial"/>
        </w:rPr>
      </w:pPr>
      <w:r w:rsidRPr="00C25594">
        <w:rPr>
          <w:rFonts w:ascii="Bookman Old Style" w:hAnsi="Bookman Old Style" w:cs="Arial"/>
          <w:b/>
        </w:rPr>
        <w:t xml:space="preserve">ARTÍCULO 1. </w:t>
      </w:r>
      <w:r w:rsidR="008813ED" w:rsidRPr="00C25594">
        <w:rPr>
          <w:rFonts w:ascii="Bookman Old Style" w:hAnsi="Bookman Old Style" w:cs="Arial"/>
        </w:rPr>
        <w:t xml:space="preserve">Modificar el </w:t>
      </w:r>
      <w:r w:rsidR="005C3F2B" w:rsidRPr="00C25594">
        <w:rPr>
          <w:rFonts w:ascii="Bookman Old Style" w:hAnsi="Bookman Old Style" w:cs="Arial"/>
        </w:rPr>
        <w:t xml:space="preserve">contenido del </w:t>
      </w:r>
      <w:r w:rsidR="00E81DBC" w:rsidRPr="00C25594">
        <w:rPr>
          <w:rFonts w:ascii="Bookman Old Style" w:hAnsi="Bookman Old Style" w:cs="Arial"/>
        </w:rPr>
        <w:t>Parágrafo 1 del Artículo 8</w:t>
      </w:r>
      <w:r w:rsidR="008813ED" w:rsidRPr="00C25594">
        <w:rPr>
          <w:rFonts w:ascii="Bookman Old Style" w:hAnsi="Bookman Old Style" w:cs="Arial"/>
        </w:rPr>
        <w:t xml:space="preserve"> de la Resolución CREG 063 de</w:t>
      </w:r>
      <w:r w:rsidR="008813ED" w:rsidRPr="00C25594">
        <w:rPr>
          <w:rFonts w:ascii="Bookman Old Style" w:hAnsi="Bookman Old Style" w:cs="Arial"/>
          <w:b/>
        </w:rPr>
        <w:t xml:space="preserve"> </w:t>
      </w:r>
      <w:r w:rsidR="009B6749" w:rsidRPr="00C25594">
        <w:rPr>
          <w:rFonts w:ascii="Bookman Old Style" w:hAnsi="Bookman Old Style" w:cs="Arial"/>
        </w:rPr>
        <w:t>2016</w:t>
      </w:r>
      <w:r w:rsidR="00E81DBC" w:rsidRPr="00C25594">
        <w:rPr>
          <w:rFonts w:ascii="Bookman Old Style" w:hAnsi="Bookman Old Style" w:cs="Arial"/>
        </w:rPr>
        <w:t>, modificado por la Resolución CREG 180 de 2017</w:t>
      </w:r>
      <w:r w:rsidR="007F20EC" w:rsidRPr="00C25594">
        <w:rPr>
          <w:rFonts w:ascii="Bookman Old Style" w:hAnsi="Bookman Old Style" w:cs="Arial"/>
        </w:rPr>
        <w:t>,</w:t>
      </w:r>
      <w:r w:rsidR="009B6749" w:rsidRPr="00C25594">
        <w:rPr>
          <w:rFonts w:ascii="Bookman Old Style" w:hAnsi="Bookman Old Style" w:cs="Arial"/>
        </w:rPr>
        <w:t xml:space="preserve"> el cual quedará as</w:t>
      </w:r>
      <w:r w:rsidR="008F7ED3" w:rsidRPr="00C25594">
        <w:rPr>
          <w:rFonts w:ascii="Bookman Old Style" w:hAnsi="Bookman Old Style" w:cs="Arial"/>
        </w:rPr>
        <w:t>í</w:t>
      </w:r>
      <w:r w:rsidR="00A34E6A" w:rsidRPr="00C25594">
        <w:rPr>
          <w:rFonts w:ascii="Bookman Old Style" w:hAnsi="Bookman Old Style" w:cs="Arial"/>
        </w:rPr>
        <w:t>:</w:t>
      </w:r>
    </w:p>
    <w:p w14:paraId="751DA546" w14:textId="77777777" w:rsidR="009B42F3" w:rsidRPr="00C25594" w:rsidRDefault="009B42F3" w:rsidP="00DF3CA2">
      <w:pPr>
        <w:ind w:left="0"/>
        <w:jc w:val="both"/>
        <w:rPr>
          <w:rFonts w:ascii="Bookman Old Style" w:hAnsi="Bookman Old Style" w:cs="Arial"/>
        </w:rPr>
      </w:pPr>
    </w:p>
    <w:p w14:paraId="243E3AC9" w14:textId="434E2BA7" w:rsidR="009B42F3" w:rsidRPr="00C25594" w:rsidRDefault="009B42F3" w:rsidP="00CE5D8E">
      <w:pPr>
        <w:spacing w:after="120"/>
        <w:ind w:left="0"/>
        <w:jc w:val="both"/>
        <w:rPr>
          <w:rFonts w:ascii="Bookman Old Style" w:hAnsi="Bookman Old Style" w:cs="Arial"/>
        </w:rPr>
      </w:pPr>
      <w:r w:rsidRPr="00C25594">
        <w:rPr>
          <w:rFonts w:ascii="Bookman Old Style" w:hAnsi="Bookman Old Style" w:cs="Arial"/>
        </w:rPr>
        <w:t>La capacidad de compra de cada distribuidor se calculará de acuerdo con la siguiente fórmula</w:t>
      </w:r>
      <w:r w:rsidR="00CE5D8E">
        <w:rPr>
          <w:rFonts w:ascii="Bookman Old Style" w:hAnsi="Bookman Old Style" w:cs="Arial"/>
        </w:rPr>
        <w:t>:</w:t>
      </w:r>
      <w:r w:rsidRPr="00C25594">
        <w:rPr>
          <w:rFonts w:ascii="Bookman Old Style" w:hAnsi="Bookman Old Style" w:cs="Arial"/>
        </w:rPr>
        <w:t xml:space="preserve">  </w:t>
      </w:r>
    </w:p>
    <w:p w14:paraId="03958AA3" w14:textId="55251014" w:rsidR="009B42F3" w:rsidRPr="00C25594" w:rsidRDefault="00000000" w:rsidP="002E5B14">
      <w:pPr>
        <w:ind w:left="0"/>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CC</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E,t</m:t>
              </m:r>
            </m:sub>
          </m:sSub>
          <m:r>
            <w:rPr>
              <w:rFonts w:ascii="Cambria Math" w:hAnsi="Cambria Math" w:cs="Arial"/>
            </w:rPr>
            <m:t>*</m:t>
          </m:r>
          <m:d>
            <m:dPr>
              <m:ctrlPr>
                <w:rPr>
                  <w:rFonts w:ascii="Cambria Math" w:hAnsi="Cambria Math" w:cs="Arial"/>
                  <w:i/>
                </w:rPr>
              </m:ctrlPr>
            </m:dPr>
            <m:e>
              <m:r>
                <w:rPr>
                  <w:rFonts w:ascii="Cambria Math" w:hAnsi="Cambria Math" w:cs="Arial"/>
                </w:rPr>
                <m:t>Cap.ci</m:t>
              </m:r>
              <m:sSub>
                <m:sSubPr>
                  <m:ctrlPr>
                    <w:rPr>
                      <w:rFonts w:ascii="Cambria Math" w:hAnsi="Cambria Math" w:cs="Arial"/>
                      <w:i/>
                    </w:rPr>
                  </m:ctrlPr>
                </m:sSubPr>
                <m:e>
                  <m:r>
                    <w:rPr>
                      <w:rFonts w:ascii="Cambria Math" w:hAnsi="Cambria Math" w:cs="Arial"/>
                    </w:rPr>
                    <m:t>l</m:t>
                  </m:r>
                </m:e>
                <m:sub>
                  <m:r>
                    <w:rPr>
                      <w:rFonts w:ascii="Cambria Math" w:hAnsi="Cambria Math" w:cs="Arial"/>
                    </w:rPr>
                    <m:t>i,t</m:t>
                  </m:r>
                </m:sub>
              </m:sSub>
              <m:r>
                <w:rPr>
                  <w:rFonts w:ascii="Cambria Math" w:hAnsi="Cambria Math" w:cs="Arial"/>
                </w:rPr>
                <m:t>+</m:t>
              </m:r>
              <m:d>
                <m:dPr>
                  <m:ctrlPr>
                    <w:rPr>
                      <w:rFonts w:ascii="Cambria Math" w:hAnsi="Cambria Math" w:cs="Arial"/>
                      <w:i/>
                    </w:rPr>
                  </m:ctrlPr>
                </m:dPr>
                <m:e>
                  <m:r>
                    <w:rPr>
                      <w:rFonts w:ascii="Cambria Math" w:hAnsi="Cambria Math" w:cs="Arial"/>
                    </w:rPr>
                    <m:t>0,85*Cap.T</m:t>
                  </m:r>
                  <m:sSub>
                    <m:sSubPr>
                      <m:ctrlPr>
                        <w:rPr>
                          <w:rFonts w:ascii="Cambria Math" w:hAnsi="Cambria Math" w:cs="Arial"/>
                          <w:i/>
                        </w:rPr>
                      </m:ctrlPr>
                    </m:sSubPr>
                    <m:e>
                      <m:r>
                        <w:rPr>
                          <w:rFonts w:ascii="Cambria Math" w:hAnsi="Cambria Math" w:cs="Arial"/>
                        </w:rPr>
                        <m:t>E</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a</m:t>
                      </m:r>
                    </m:sub>
                  </m:sSub>
                </m:e>
              </m:d>
            </m:e>
          </m:d>
        </m:oMath>
      </m:oMathPara>
    </w:p>
    <w:p w14:paraId="1EF3DE92" w14:textId="75454C18" w:rsidR="002E5B14" w:rsidRPr="00C25594" w:rsidRDefault="002E5B14" w:rsidP="00A20A5E">
      <w:pPr>
        <w:spacing w:before="120"/>
        <w:ind w:left="0"/>
        <w:jc w:val="both"/>
        <w:rPr>
          <w:rFonts w:ascii="Bookman Old Style" w:hAnsi="Bookman Old Style" w:cs="Arial"/>
        </w:rPr>
      </w:pPr>
      <w:r w:rsidRPr="00C25594">
        <w:rPr>
          <w:rFonts w:ascii="Bookman Old Style" w:hAnsi="Bookman Old Style" w:cs="Arial"/>
        </w:rPr>
        <w:t>Donde,</w:t>
      </w:r>
    </w:p>
    <w:tbl>
      <w:tblPr>
        <w:tblStyle w:val="Tablaconcuadrcula"/>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921"/>
      </w:tblGrid>
      <w:tr w:rsidR="009B42F3" w:rsidRPr="00C25594" w14:paraId="3AE5E412" w14:textId="77777777" w:rsidTr="002E5B14">
        <w:trPr>
          <w:trHeight w:val="1131"/>
        </w:trPr>
        <w:tc>
          <w:tcPr>
            <w:tcW w:w="1271" w:type="dxa"/>
            <w:vAlign w:val="center"/>
          </w:tcPr>
          <w:p w14:paraId="1AF439DB" w14:textId="77777777" w:rsidR="009B42F3" w:rsidRPr="00C25594" w:rsidRDefault="00000000" w:rsidP="009B3242">
            <w:pPr>
              <w:ind w:left="0"/>
              <w:jc w:val="both"/>
              <w:rPr>
                <w:rFonts w:ascii="Bookman Old Style" w:hAnsi="Bookman Old Style" w:cs="Arial"/>
              </w:rPr>
            </w:pPr>
            <m:oMath>
              <m:sSub>
                <m:sSubPr>
                  <m:ctrlPr>
                    <w:rPr>
                      <w:rFonts w:ascii="Cambria Math" w:hAnsi="Cambria Math"/>
                      <w:i/>
                    </w:rPr>
                  </m:ctrlPr>
                </m:sSubPr>
                <m:e>
                  <m:r>
                    <w:rPr>
                      <w:rFonts w:ascii="Cambria Math" w:hAnsi="Cambria Math"/>
                    </w:rPr>
                    <m:t>CC</m:t>
                  </m:r>
                </m:e>
                <m:sub>
                  <m:r>
                    <w:rPr>
                      <w:rFonts w:ascii="Cambria Math" w:hAnsi="Cambria Math"/>
                    </w:rPr>
                    <m:t>i,t</m:t>
                  </m:r>
                </m:sub>
              </m:sSub>
            </m:oMath>
            <w:r w:rsidR="009B42F3" w:rsidRPr="00C25594">
              <w:rPr>
                <w:rFonts w:ascii="Bookman Old Style" w:eastAsiaTheme="minorEastAsia" w:hAnsi="Bookman Old Style"/>
              </w:rPr>
              <w:t>:</w:t>
            </w:r>
          </w:p>
        </w:tc>
        <w:tc>
          <w:tcPr>
            <w:tcW w:w="6921" w:type="dxa"/>
            <w:vAlign w:val="center"/>
          </w:tcPr>
          <w:p w14:paraId="265C383B" w14:textId="77777777" w:rsidR="009B42F3" w:rsidRPr="00C25594" w:rsidRDefault="009B42F3" w:rsidP="009B3242">
            <w:pPr>
              <w:ind w:left="0"/>
              <w:jc w:val="both"/>
              <w:rPr>
                <w:rFonts w:ascii="Bookman Old Style" w:hAnsi="Bookman Old Style" w:cs="Arial"/>
              </w:rPr>
            </w:pPr>
            <w:r w:rsidRPr="00C25594">
              <w:rPr>
                <w:rFonts w:ascii="Bookman Old Style" w:hAnsi="Bookman Old Style" w:cs="Arial"/>
              </w:rPr>
              <w:t>Capacidad de compra del distribuidor i, para el periodo de compra t, medida en kilogramos, calculada por lo menos 1 mes antes del inicio del periodo de compra t.</w:t>
            </w:r>
          </w:p>
        </w:tc>
      </w:tr>
      <w:tr w:rsidR="009B42F3" w:rsidRPr="00C25594" w14:paraId="7B191D5B" w14:textId="77777777" w:rsidTr="002E5B14">
        <w:trPr>
          <w:trHeight w:val="834"/>
        </w:trPr>
        <w:tc>
          <w:tcPr>
            <w:tcW w:w="1271" w:type="dxa"/>
            <w:vAlign w:val="center"/>
          </w:tcPr>
          <w:p w14:paraId="206B6450" w14:textId="77777777" w:rsidR="009B42F3" w:rsidRPr="00C25594" w:rsidRDefault="00000000" w:rsidP="009B3242">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E,t</m:t>
                  </m:r>
                </m:sub>
              </m:sSub>
            </m:oMath>
            <w:r w:rsidR="009B42F3" w:rsidRPr="00C25594">
              <w:rPr>
                <w:rFonts w:ascii="Bookman Old Style" w:eastAsiaTheme="minorEastAsia" w:hAnsi="Bookman Old Style" w:cs="Arial"/>
              </w:rPr>
              <w:t>:</w:t>
            </w:r>
          </w:p>
        </w:tc>
        <w:tc>
          <w:tcPr>
            <w:tcW w:w="6921" w:type="dxa"/>
            <w:vAlign w:val="center"/>
          </w:tcPr>
          <w:p w14:paraId="52F42415" w14:textId="1D4E2998" w:rsidR="009B42F3" w:rsidRPr="00C25594" w:rsidRDefault="000D43FE" w:rsidP="009B3242">
            <w:pPr>
              <w:ind w:left="0"/>
              <w:jc w:val="both"/>
              <w:rPr>
                <w:rFonts w:ascii="Bookman Old Style" w:hAnsi="Bookman Old Style" w:cs="Arial"/>
              </w:rPr>
            </w:pPr>
            <w:r w:rsidRPr="00C25594">
              <w:rPr>
                <w:rFonts w:ascii="Bookman Old Style" w:hAnsi="Bookman Old Style" w:cs="Arial"/>
              </w:rPr>
              <w:t>Factor de equivalencia de envasado en cilindros y tanques estacionarios, corresponde a: 0,345.</w:t>
            </w:r>
          </w:p>
        </w:tc>
      </w:tr>
      <w:tr w:rsidR="00E02633" w:rsidRPr="00C25594" w14:paraId="05756A77" w14:textId="77777777" w:rsidTr="002E5B14">
        <w:trPr>
          <w:trHeight w:val="1415"/>
        </w:trPr>
        <w:tc>
          <w:tcPr>
            <w:tcW w:w="1271" w:type="dxa"/>
            <w:vAlign w:val="center"/>
          </w:tcPr>
          <w:p w14:paraId="706EA5E3" w14:textId="32A75236" w:rsidR="00E02633" w:rsidRPr="00C25594" w:rsidRDefault="00000000" w:rsidP="009B3242">
            <w:pPr>
              <w:ind w:left="0"/>
              <w:jc w:val="both"/>
              <w:rPr>
                <w:rFonts w:ascii="Bookman Old Style" w:hAnsi="Bookman Old Style"/>
              </w:rPr>
            </w:pPr>
            <m:oMathPara>
              <m:oMathParaPr>
                <m:jc m:val="left"/>
              </m:oMathParaPr>
              <m:oMath>
                <m:sSub>
                  <m:sSubPr>
                    <m:ctrlPr>
                      <w:rPr>
                        <w:rFonts w:ascii="Cambria Math" w:hAnsi="Cambria Math" w:cs="Arial"/>
                        <w:i/>
                      </w:rPr>
                    </m:ctrlPr>
                  </m:sSubPr>
                  <m:e>
                    <m:r>
                      <w:rPr>
                        <w:rFonts w:ascii="Cambria Math" w:hAnsi="Cambria Math" w:cs="Arial"/>
                      </w:rPr>
                      <m:t>F</m:t>
                    </m:r>
                  </m:e>
                  <m:sub>
                    <m:r>
                      <w:rPr>
                        <w:rFonts w:ascii="Cambria Math" w:hAnsi="Cambria Math" w:cs="Arial"/>
                      </w:rPr>
                      <m:t>a</m:t>
                    </m:r>
                  </m:sub>
                </m:sSub>
              </m:oMath>
            </m:oMathPara>
          </w:p>
        </w:tc>
        <w:tc>
          <w:tcPr>
            <w:tcW w:w="6921" w:type="dxa"/>
            <w:vAlign w:val="center"/>
          </w:tcPr>
          <w:p w14:paraId="5FDEE7F4" w14:textId="16C13756" w:rsidR="00E02633" w:rsidRPr="00C25594" w:rsidRDefault="00E852B6" w:rsidP="009B3242">
            <w:pPr>
              <w:ind w:left="0"/>
              <w:jc w:val="both"/>
              <w:rPr>
                <w:rFonts w:ascii="Bookman Old Style" w:hAnsi="Bookman Old Style" w:cs="Arial"/>
              </w:rPr>
            </w:pPr>
            <w:r w:rsidRPr="00C25594">
              <w:rPr>
                <w:rFonts w:ascii="Bookman Old Style" w:hAnsi="Bookman Old Style" w:cs="Arial"/>
              </w:rPr>
              <w:t xml:space="preserve">Factor de activos que tomará el valor de uno (1) si </w:t>
            </w:r>
            <m:oMath>
              <m:r>
                <w:rPr>
                  <w:rFonts w:ascii="Cambria Math" w:hAnsi="Cambria Math" w:cs="Arial"/>
                </w:rPr>
                <m:t>Cap.ci</m:t>
              </m:r>
              <m:sSub>
                <m:sSubPr>
                  <m:ctrlPr>
                    <w:rPr>
                      <w:rFonts w:ascii="Cambria Math" w:hAnsi="Cambria Math" w:cs="Arial"/>
                      <w:i/>
                    </w:rPr>
                  </m:ctrlPr>
                </m:sSubPr>
                <m:e>
                  <m:r>
                    <w:rPr>
                      <w:rFonts w:ascii="Cambria Math" w:hAnsi="Cambria Math" w:cs="Arial"/>
                    </w:rPr>
                    <m:t>l</m:t>
                  </m:r>
                </m:e>
                <m:sub>
                  <m:r>
                    <w:rPr>
                      <w:rFonts w:ascii="Cambria Math" w:hAnsi="Cambria Math" w:cs="Arial"/>
                    </w:rPr>
                    <m:t>i,t</m:t>
                  </m:r>
                </m:sub>
              </m:sSub>
            </m:oMath>
            <w:r w:rsidRPr="00C25594">
              <w:rPr>
                <w:rFonts w:ascii="Bookman Old Style" w:hAnsi="Bookman Old Style" w:cs="Arial"/>
              </w:rPr>
              <w:t>≠0 o si el distribuidor cumple lo dispuesto en el parágrafo 1 del artículo 4 de la resolución CREG 023 de 2008; y tomará el valor de cero (0) en caso contrario.</w:t>
            </w:r>
          </w:p>
        </w:tc>
      </w:tr>
      <w:tr w:rsidR="009B42F3" w:rsidRPr="00C25594" w14:paraId="34277774" w14:textId="77777777" w:rsidTr="002E5B14">
        <w:trPr>
          <w:trHeight w:val="1122"/>
        </w:trPr>
        <w:tc>
          <w:tcPr>
            <w:tcW w:w="1271" w:type="dxa"/>
            <w:vAlign w:val="center"/>
          </w:tcPr>
          <w:p w14:paraId="0D882333" w14:textId="77777777" w:rsidR="009B42F3" w:rsidRPr="00C25594" w:rsidRDefault="009B42F3" w:rsidP="009B3242">
            <w:pPr>
              <w:ind w:left="0"/>
              <w:jc w:val="both"/>
              <w:rPr>
                <w:rFonts w:ascii="Bookman Old Style" w:hAnsi="Bookman Old Style" w:cs="Arial"/>
              </w:rPr>
            </w:pPr>
            <m:oMath>
              <m:r>
                <w:rPr>
                  <w:rFonts w:ascii="Cambria Math" w:hAnsi="Cambria Math" w:cs="Arial"/>
                </w:rPr>
                <m:t>Cap.ci</m:t>
              </m:r>
              <m:sSub>
                <m:sSubPr>
                  <m:ctrlPr>
                    <w:rPr>
                      <w:rFonts w:ascii="Cambria Math" w:hAnsi="Cambria Math" w:cs="Arial"/>
                      <w:i/>
                    </w:rPr>
                  </m:ctrlPr>
                </m:sSubPr>
                <m:e>
                  <m:r>
                    <w:rPr>
                      <w:rFonts w:ascii="Cambria Math" w:hAnsi="Cambria Math" w:cs="Arial"/>
                    </w:rPr>
                    <m:t>l</m:t>
                  </m:r>
                </m:e>
                <m:sub>
                  <m:r>
                    <w:rPr>
                      <w:rFonts w:ascii="Cambria Math" w:hAnsi="Cambria Math" w:cs="Arial"/>
                    </w:rPr>
                    <m:t>i,t</m:t>
                  </m:r>
                </m:sub>
              </m:sSub>
            </m:oMath>
            <w:r w:rsidRPr="00C25594">
              <w:rPr>
                <w:rFonts w:ascii="Bookman Old Style" w:eastAsiaTheme="minorEastAsia" w:hAnsi="Bookman Old Style"/>
              </w:rPr>
              <w:t>:</w:t>
            </w:r>
          </w:p>
        </w:tc>
        <w:tc>
          <w:tcPr>
            <w:tcW w:w="6921" w:type="dxa"/>
            <w:vAlign w:val="center"/>
          </w:tcPr>
          <w:p w14:paraId="3ABB07D0" w14:textId="77777777" w:rsidR="009B42F3" w:rsidRPr="00C25594" w:rsidRDefault="009B42F3" w:rsidP="009B3242">
            <w:pPr>
              <w:ind w:left="0"/>
              <w:jc w:val="both"/>
              <w:rPr>
                <w:rFonts w:ascii="Bookman Old Style" w:hAnsi="Bookman Old Style" w:cs="Arial"/>
              </w:rPr>
            </w:pPr>
            <w:r w:rsidRPr="00C25594">
              <w:rPr>
                <w:rFonts w:ascii="Bookman Old Style" w:hAnsi="Bookman Old Style" w:cs="Arial"/>
              </w:rPr>
              <w:t>Capacidad total de envase en cilindros de propiedad del distribuidor i, en el periodo t, medida en kilogramos, de acuerdo con la información reportada al SUI.</w:t>
            </w:r>
          </w:p>
        </w:tc>
      </w:tr>
      <w:tr w:rsidR="009B42F3" w:rsidRPr="00C25594" w14:paraId="52643217" w14:textId="77777777" w:rsidTr="002E5B14">
        <w:trPr>
          <w:trHeight w:val="1123"/>
        </w:trPr>
        <w:tc>
          <w:tcPr>
            <w:tcW w:w="1271" w:type="dxa"/>
            <w:vAlign w:val="center"/>
          </w:tcPr>
          <w:p w14:paraId="691E5C27" w14:textId="77777777" w:rsidR="009B42F3" w:rsidRPr="00C25594" w:rsidRDefault="009B42F3" w:rsidP="009B3242">
            <w:pPr>
              <w:ind w:left="0"/>
              <w:jc w:val="both"/>
              <w:rPr>
                <w:rFonts w:ascii="Bookman Old Style" w:hAnsi="Bookman Old Style" w:cs="Arial"/>
              </w:rPr>
            </w:pPr>
            <m:oMath>
              <m:r>
                <w:rPr>
                  <w:rFonts w:ascii="Cambria Math" w:hAnsi="Cambria Math" w:cs="Arial"/>
                </w:rPr>
                <m:t>Cap.T</m:t>
              </m:r>
              <m:sSub>
                <m:sSubPr>
                  <m:ctrlPr>
                    <w:rPr>
                      <w:rFonts w:ascii="Cambria Math" w:hAnsi="Cambria Math" w:cs="Arial"/>
                      <w:i/>
                    </w:rPr>
                  </m:ctrlPr>
                </m:sSubPr>
                <m:e>
                  <m:r>
                    <w:rPr>
                      <w:rFonts w:ascii="Cambria Math" w:hAnsi="Cambria Math" w:cs="Arial"/>
                    </w:rPr>
                    <m:t>E</m:t>
                  </m:r>
                </m:e>
                <m:sub>
                  <m:r>
                    <w:rPr>
                      <w:rFonts w:ascii="Cambria Math" w:hAnsi="Cambria Math" w:cs="Arial"/>
                    </w:rPr>
                    <m:t>i,t</m:t>
                  </m:r>
                </m:sub>
              </m:sSub>
            </m:oMath>
            <w:r w:rsidRPr="00C25594">
              <w:rPr>
                <w:rFonts w:ascii="Bookman Old Style" w:eastAsiaTheme="minorEastAsia" w:hAnsi="Bookman Old Style" w:cs="Arial"/>
              </w:rPr>
              <w:t>:</w:t>
            </w:r>
          </w:p>
        </w:tc>
        <w:tc>
          <w:tcPr>
            <w:tcW w:w="6921" w:type="dxa"/>
            <w:vAlign w:val="center"/>
          </w:tcPr>
          <w:p w14:paraId="4CC23B27" w14:textId="77777777" w:rsidR="009B42F3" w:rsidRPr="00C25594" w:rsidRDefault="009B42F3" w:rsidP="009B3242">
            <w:pPr>
              <w:ind w:left="0"/>
              <w:jc w:val="both"/>
              <w:rPr>
                <w:rFonts w:ascii="Bookman Old Style" w:hAnsi="Bookman Old Style" w:cs="Arial"/>
              </w:rPr>
            </w:pPr>
            <w:r w:rsidRPr="00C25594">
              <w:rPr>
                <w:rFonts w:ascii="Bookman Old Style" w:hAnsi="Bookman Old Style" w:cs="Arial"/>
              </w:rPr>
              <w:t>Capacidad total de tanques estacionarios atendidos por el distribuidor i, en el periodo t, medida en kilogramos, de acuerdo con la información reportada al SUI.</w:t>
            </w:r>
          </w:p>
        </w:tc>
      </w:tr>
    </w:tbl>
    <w:p w14:paraId="5E874EE0" w14:textId="77777777" w:rsidR="009B42F3" w:rsidRPr="00C25594" w:rsidRDefault="009B42F3" w:rsidP="00DF3CA2">
      <w:pPr>
        <w:ind w:left="0"/>
        <w:jc w:val="both"/>
        <w:rPr>
          <w:rFonts w:ascii="Bookman Old Style" w:hAnsi="Bookman Old Style" w:cs="Arial"/>
        </w:rPr>
      </w:pPr>
    </w:p>
    <w:p w14:paraId="11980FFD" w14:textId="5B0383D4" w:rsidR="007F3F69" w:rsidRPr="00C25594" w:rsidRDefault="00045D3D" w:rsidP="00A20A5E">
      <w:pPr>
        <w:spacing w:before="120"/>
        <w:ind w:left="0"/>
        <w:jc w:val="both"/>
        <w:rPr>
          <w:rFonts w:ascii="Bookman Old Style" w:hAnsi="Bookman Old Style" w:cs="Arial"/>
        </w:rPr>
      </w:pPr>
      <w:r w:rsidRPr="00C25594">
        <w:rPr>
          <w:rFonts w:ascii="Bookman Old Style" w:hAnsi="Bookman Old Style" w:cs="Arial"/>
          <w:b/>
        </w:rPr>
        <w:t>ARTÍCULO 2.</w:t>
      </w:r>
      <w:r w:rsidRPr="00C25594">
        <w:rPr>
          <w:rFonts w:ascii="Bookman Old Style" w:hAnsi="Bookman Old Style" w:cs="Arial"/>
          <w:i/>
          <w:sz w:val="22"/>
        </w:rPr>
        <w:t xml:space="preserve">   </w:t>
      </w:r>
      <w:r w:rsidR="007F3F69" w:rsidRPr="00C25594">
        <w:rPr>
          <w:rFonts w:ascii="Bookman Old Style" w:hAnsi="Bookman Old Style" w:cs="Arial"/>
        </w:rPr>
        <w:t xml:space="preserve">Esta resolución rige a partir de su publicación en el Diario Oficial. </w:t>
      </w:r>
    </w:p>
    <w:p w14:paraId="1A65BDF4" w14:textId="77777777" w:rsidR="00045D3D" w:rsidRPr="00C25594" w:rsidRDefault="00045D3D" w:rsidP="00F15C8B">
      <w:pPr>
        <w:ind w:left="0"/>
        <w:jc w:val="both"/>
        <w:rPr>
          <w:rFonts w:ascii="Bookman Old Style" w:hAnsi="Bookman Old Style" w:cs="Arial"/>
          <w:i/>
          <w:sz w:val="22"/>
        </w:rPr>
      </w:pPr>
    </w:p>
    <w:p w14:paraId="4C3505C4" w14:textId="77777777" w:rsidR="00045D3D" w:rsidRPr="00C25594" w:rsidRDefault="00045D3D" w:rsidP="00045D3D">
      <w:pPr>
        <w:ind w:left="0"/>
        <w:rPr>
          <w:rFonts w:ascii="Bookman Old Style" w:hAnsi="Bookman Old Style" w:cs="Arial"/>
        </w:rPr>
      </w:pPr>
    </w:p>
    <w:p w14:paraId="2A65BEAB" w14:textId="77777777" w:rsidR="00045D3D" w:rsidRPr="00C25594" w:rsidRDefault="00045D3D" w:rsidP="00045D3D">
      <w:pPr>
        <w:ind w:left="0"/>
        <w:rPr>
          <w:rFonts w:ascii="Bookman Old Style" w:hAnsi="Bookman Old Style" w:cs="Arial"/>
        </w:rPr>
      </w:pPr>
    </w:p>
    <w:sectPr w:rsidR="00045D3D" w:rsidRPr="00C25594"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96EE" w14:textId="77777777" w:rsidR="001A4D0F" w:rsidRDefault="001A4D0F">
      <w:r>
        <w:separator/>
      </w:r>
    </w:p>
  </w:endnote>
  <w:endnote w:type="continuationSeparator" w:id="0">
    <w:p w14:paraId="1B856369" w14:textId="77777777" w:rsidR="001A4D0F" w:rsidRDefault="001A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9AFC" w14:textId="77777777" w:rsidR="001A4D0F" w:rsidRDefault="001A4D0F">
      <w:r>
        <w:separator/>
      </w:r>
    </w:p>
  </w:footnote>
  <w:footnote w:type="continuationSeparator" w:id="0">
    <w:p w14:paraId="24493954" w14:textId="77777777" w:rsidR="001A4D0F" w:rsidRDefault="001A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5DBC09E7"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E77046" w:rsidRPr="00654384">
      <w:rPr>
        <w:rFonts w:ascii="Bookman Old Style" w:hAnsi="Bookman Old Style" w:cs="Arial"/>
        <w:b w:val="0"/>
        <w:sz w:val="22"/>
        <w:szCs w:val="22"/>
      </w:rPr>
      <w:t>No</w:t>
    </w:r>
    <w:r w:rsidR="00E77046" w:rsidRPr="00E77046">
      <w:rPr>
        <w:rFonts w:ascii="Bookman Old Style" w:hAnsi="Bookman Old Style" w:cs="Arial"/>
        <w:b w:val="0"/>
        <w:sz w:val="22"/>
        <w:szCs w:val="22"/>
      </w:rPr>
      <w:t xml:space="preserve">. </w:t>
    </w:r>
    <w:r w:rsidR="00E77046" w:rsidRPr="00E77046">
      <w:rPr>
        <w:rFonts w:ascii="Bookman Old Style" w:hAnsi="Bookman Old Style" w:cs="Arial"/>
        <w:bCs/>
        <w:sz w:val="22"/>
        <w:szCs w:val="22"/>
        <w:u w:val="single"/>
      </w:rPr>
      <w:t>70</w:t>
    </w:r>
    <w:r w:rsidR="00F665AF">
      <w:rPr>
        <w:rFonts w:ascii="Bookman Old Style" w:hAnsi="Bookman Old Style" w:cs="Arial"/>
        <w:bCs/>
        <w:sz w:val="22"/>
        <w:szCs w:val="22"/>
        <w:u w:val="single"/>
      </w:rPr>
      <w:t>3  003</w:t>
    </w:r>
    <w:r w:rsidR="00F665AF">
      <w:rPr>
        <w:rFonts w:ascii="Bookman Old Style" w:hAnsi="Bookman Old Style" w:cs="Arial"/>
        <w:b w:val="0"/>
        <w:sz w:val="22"/>
        <w:szCs w:val="22"/>
      </w:rPr>
      <w:tab/>
    </w:r>
    <w:r w:rsidR="00886EE1" w:rsidRPr="00E77046">
      <w:rPr>
        <w:rFonts w:ascii="Bookman Old Style" w:hAnsi="Bookman Old Style" w:cs="Arial"/>
        <w:b w:val="0"/>
        <w:sz w:val="22"/>
        <w:szCs w:val="22"/>
      </w:rPr>
      <w:t>DE</w:t>
    </w:r>
    <w:r w:rsidR="00E77046">
      <w:rPr>
        <w:rFonts w:ascii="Bookman Old Style" w:hAnsi="Bookman Old Style" w:cs="Arial"/>
        <w:b w:val="0"/>
        <w:sz w:val="22"/>
        <w:szCs w:val="22"/>
      </w:rPr>
      <w:t xml:space="preserve">  </w:t>
    </w:r>
    <w:r w:rsidR="00F665AF">
      <w:rPr>
        <w:rFonts w:ascii="Bookman Old Style" w:hAnsi="Bookman Old Style" w:cs="Arial"/>
        <w:b w:val="0"/>
        <w:sz w:val="22"/>
        <w:szCs w:val="22"/>
      </w:rPr>
      <w:t xml:space="preserve"> </w:t>
    </w:r>
    <w:r w:rsidR="000D26F8" w:rsidRPr="00E77046">
      <w:rPr>
        <w:rFonts w:ascii="Bookman Old Style" w:hAnsi="Bookman Old Style" w:cs="Arial"/>
        <w:b w:val="0"/>
        <w:sz w:val="22"/>
        <w:szCs w:val="22"/>
      </w:rPr>
      <w:t xml:space="preserve"> </w:t>
    </w:r>
    <w:r w:rsidR="00E77046" w:rsidRPr="00E77046">
      <w:rPr>
        <w:rFonts w:ascii="Bookman Old Style" w:hAnsi="Bookman Old Style" w:cs="Arial"/>
        <w:bCs/>
        <w:sz w:val="22"/>
        <w:szCs w:val="22"/>
        <w:u w:val="single"/>
      </w:rPr>
      <w:t>1</w:t>
    </w:r>
    <w:r w:rsidR="00C25594">
      <w:rPr>
        <w:rFonts w:ascii="Bookman Old Style" w:hAnsi="Bookman Old Style" w:cs="Arial"/>
        <w:bCs/>
        <w:sz w:val="22"/>
        <w:szCs w:val="22"/>
        <w:u w:val="single"/>
      </w:rPr>
      <w:t>9</w:t>
    </w:r>
    <w:r w:rsidR="00E77046" w:rsidRPr="00E77046">
      <w:rPr>
        <w:rFonts w:ascii="Bookman Old Style" w:hAnsi="Bookman Old Style" w:cs="Arial"/>
        <w:bCs/>
        <w:sz w:val="22"/>
        <w:szCs w:val="22"/>
        <w:u w:val="single"/>
      </w:rPr>
      <w:t xml:space="preserve"> MAY.2023</w:t>
    </w:r>
    <w:r w:rsidR="003D076C">
      <w:rPr>
        <w:rFonts w:ascii="Bookman Old Style" w:hAnsi="Bookman Old Style" w:cs="Arial"/>
        <w:b w:val="0"/>
        <w:sz w:val="22"/>
        <w:szCs w:val="22"/>
      </w:rPr>
      <w:tab/>
    </w:r>
    <w:r w:rsidR="00E77046">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086E3D" w14:textId="3594ADC7" w:rsidR="0044318E" w:rsidRDefault="0044318E" w:rsidP="00CE5D8E">
    <w:pPr>
      <w:pBdr>
        <w:bottom w:val="single" w:sz="4" w:space="5" w:color="auto"/>
      </w:pBdr>
      <w:ind w:left="142" w:right="148"/>
      <w:rPr>
        <w:rFonts w:ascii="Bookman Old Style" w:hAnsi="Bookman Old Style"/>
        <w:bCs/>
        <w:i/>
        <w:iCs/>
        <w:sz w:val="23"/>
        <w:szCs w:val="23"/>
      </w:rPr>
    </w:pPr>
  </w:p>
  <w:p w14:paraId="096C2126" w14:textId="77777777" w:rsidR="00CE5D8E" w:rsidRPr="00CE5D8E" w:rsidRDefault="00CE5D8E" w:rsidP="00CE5D8E">
    <w:pPr>
      <w:pBdr>
        <w:bottom w:val="single" w:sz="4" w:space="5" w:color="auto"/>
      </w:pBdr>
      <w:ind w:left="142" w:right="148"/>
      <w:rPr>
        <w:rFonts w:ascii="Bookman Old Style" w:hAnsi="Bookman Old Style"/>
        <w:bCs/>
        <w:i/>
        <w:iCs/>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289DEEE3" w:rsidR="00725FA4" w:rsidRPr="00CE5D8E" w:rsidRDefault="00725FA4" w:rsidP="00CE5D8E">
    <w:pPr>
      <w:pStyle w:val="Encabezado"/>
      <w:ind w:left="0"/>
      <w:jc w:val="center"/>
      <w:rPr>
        <w:rFonts w:ascii="Arial" w:hAnsi="Arial" w:cs="Arial"/>
        <w:spacing w:val="20"/>
        <w:sz w:val="26"/>
        <w:szCs w:val="26"/>
      </w:rPr>
    </w:pPr>
    <w:r w:rsidRPr="00CE5D8E">
      <w:rPr>
        <w:rFonts w:ascii="Arial" w:hAnsi="Arial" w:cs="Arial"/>
        <w:spacing w:val="20"/>
        <w:sz w:val="26"/>
        <w:szCs w:val="26"/>
      </w:rPr>
      <w:t>República de Colombia</w:t>
    </w:r>
  </w:p>
  <w:p w14:paraId="273850B7" w14:textId="77777777" w:rsidR="00725FA4" w:rsidRPr="00CE5D8E" w:rsidRDefault="00725FA4" w:rsidP="00CE5D8E">
    <w:pPr>
      <w:pStyle w:val="Encabezado"/>
      <w:ind w:left="0"/>
      <w:jc w:val="center"/>
      <w:rPr>
        <w:rFonts w:ascii="Arial" w:hAnsi="Arial" w:cs="Arial"/>
        <w:spacing w:val="20"/>
        <w:sz w:val="26"/>
        <w:szCs w:val="26"/>
      </w:rPr>
    </w:pPr>
  </w:p>
  <w:p w14:paraId="367D4456" w14:textId="76DA3229" w:rsidR="00725FA4" w:rsidRDefault="00DF16F5" w:rsidP="00CE5D8E">
    <w:pPr>
      <w:pStyle w:val="Encabezado"/>
      <w:ind w:left="0"/>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3E907FA"/>
    <w:multiLevelType w:val="hybridMultilevel"/>
    <w:tmpl w:val="3E8A9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11"/>
  </w:num>
  <w:num w:numId="2" w16cid:durableId="1497382030">
    <w:abstractNumId w:val="5"/>
  </w:num>
  <w:num w:numId="3" w16cid:durableId="1643658739">
    <w:abstractNumId w:val="21"/>
  </w:num>
  <w:num w:numId="4" w16cid:durableId="1416053916">
    <w:abstractNumId w:val="6"/>
  </w:num>
  <w:num w:numId="5" w16cid:durableId="1460681335">
    <w:abstractNumId w:val="15"/>
  </w:num>
  <w:num w:numId="6" w16cid:durableId="432214895">
    <w:abstractNumId w:val="4"/>
  </w:num>
  <w:num w:numId="7" w16cid:durableId="845751384">
    <w:abstractNumId w:val="3"/>
  </w:num>
  <w:num w:numId="8" w16cid:durableId="29301030">
    <w:abstractNumId w:val="17"/>
  </w:num>
  <w:num w:numId="9" w16cid:durableId="2003662021">
    <w:abstractNumId w:val="16"/>
  </w:num>
  <w:num w:numId="10" w16cid:durableId="2014674860">
    <w:abstractNumId w:val="12"/>
  </w:num>
  <w:num w:numId="11" w16cid:durableId="958032325">
    <w:abstractNumId w:val="22"/>
  </w:num>
  <w:num w:numId="12" w16cid:durableId="1838691975">
    <w:abstractNumId w:val="19"/>
  </w:num>
  <w:num w:numId="13" w16cid:durableId="273679532">
    <w:abstractNumId w:val="10"/>
  </w:num>
  <w:num w:numId="14" w16cid:durableId="2070683866">
    <w:abstractNumId w:val="2"/>
  </w:num>
  <w:num w:numId="15" w16cid:durableId="1975476040">
    <w:abstractNumId w:val="13"/>
  </w:num>
  <w:num w:numId="16" w16cid:durableId="83963299">
    <w:abstractNumId w:val="1"/>
  </w:num>
  <w:num w:numId="17" w16cid:durableId="353533871">
    <w:abstractNumId w:val="9"/>
  </w:num>
  <w:num w:numId="18" w16cid:durableId="788664195">
    <w:abstractNumId w:val="0"/>
  </w:num>
  <w:num w:numId="19" w16cid:durableId="1454788596">
    <w:abstractNumId w:val="18"/>
  </w:num>
  <w:num w:numId="20" w16cid:durableId="1999069271">
    <w:abstractNumId w:val="14"/>
  </w:num>
  <w:num w:numId="21" w16cid:durableId="1075667280">
    <w:abstractNumId w:val="7"/>
  </w:num>
  <w:num w:numId="22" w16cid:durableId="40371620">
    <w:abstractNumId w:val="8"/>
  </w:num>
  <w:num w:numId="23" w16cid:durableId="11904163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078C7"/>
    <w:rsid w:val="00012259"/>
    <w:rsid w:val="0001694B"/>
    <w:rsid w:val="00017132"/>
    <w:rsid w:val="000178BF"/>
    <w:rsid w:val="000202CB"/>
    <w:rsid w:val="00025383"/>
    <w:rsid w:val="00040B28"/>
    <w:rsid w:val="00045D3D"/>
    <w:rsid w:val="000554C8"/>
    <w:rsid w:val="00063657"/>
    <w:rsid w:val="00072315"/>
    <w:rsid w:val="00076680"/>
    <w:rsid w:val="00076A1D"/>
    <w:rsid w:val="000776EB"/>
    <w:rsid w:val="0008073E"/>
    <w:rsid w:val="00091CDB"/>
    <w:rsid w:val="000942CA"/>
    <w:rsid w:val="000A19AC"/>
    <w:rsid w:val="000B2EC9"/>
    <w:rsid w:val="000B74E1"/>
    <w:rsid w:val="000C0A90"/>
    <w:rsid w:val="000C3191"/>
    <w:rsid w:val="000D1D80"/>
    <w:rsid w:val="000D26F8"/>
    <w:rsid w:val="000D43FE"/>
    <w:rsid w:val="000D54D0"/>
    <w:rsid w:val="000E102C"/>
    <w:rsid w:val="000E2973"/>
    <w:rsid w:val="000F0C30"/>
    <w:rsid w:val="000F2727"/>
    <w:rsid w:val="00100B2E"/>
    <w:rsid w:val="00106654"/>
    <w:rsid w:val="00112575"/>
    <w:rsid w:val="0012685D"/>
    <w:rsid w:val="0013526C"/>
    <w:rsid w:val="00136361"/>
    <w:rsid w:val="001405C6"/>
    <w:rsid w:val="00141013"/>
    <w:rsid w:val="00142077"/>
    <w:rsid w:val="001650CB"/>
    <w:rsid w:val="00171823"/>
    <w:rsid w:val="00180926"/>
    <w:rsid w:val="00183089"/>
    <w:rsid w:val="00186F03"/>
    <w:rsid w:val="00187E09"/>
    <w:rsid w:val="00192CBF"/>
    <w:rsid w:val="00192FF1"/>
    <w:rsid w:val="001A4D0F"/>
    <w:rsid w:val="001A5F1B"/>
    <w:rsid w:val="001B1C22"/>
    <w:rsid w:val="001B34C6"/>
    <w:rsid w:val="001B4E13"/>
    <w:rsid w:val="001C61BE"/>
    <w:rsid w:val="001D5E3C"/>
    <w:rsid w:val="001D7832"/>
    <w:rsid w:val="001E768D"/>
    <w:rsid w:val="00201567"/>
    <w:rsid w:val="0020776C"/>
    <w:rsid w:val="00210DC1"/>
    <w:rsid w:val="00211D34"/>
    <w:rsid w:val="00212D58"/>
    <w:rsid w:val="00214F04"/>
    <w:rsid w:val="00220CC2"/>
    <w:rsid w:val="00230250"/>
    <w:rsid w:val="00233CF5"/>
    <w:rsid w:val="002352B9"/>
    <w:rsid w:val="0026056B"/>
    <w:rsid w:val="00261FFA"/>
    <w:rsid w:val="00266CD6"/>
    <w:rsid w:val="002673AC"/>
    <w:rsid w:val="00270171"/>
    <w:rsid w:val="00271194"/>
    <w:rsid w:val="00275DAB"/>
    <w:rsid w:val="002903C0"/>
    <w:rsid w:val="00290741"/>
    <w:rsid w:val="00291F99"/>
    <w:rsid w:val="002A4BB7"/>
    <w:rsid w:val="002A5208"/>
    <w:rsid w:val="002A782A"/>
    <w:rsid w:val="002B11E2"/>
    <w:rsid w:val="002B24B8"/>
    <w:rsid w:val="002C74F8"/>
    <w:rsid w:val="002D3AE9"/>
    <w:rsid w:val="002D4510"/>
    <w:rsid w:val="002E5B14"/>
    <w:rsid w:val="002E6EF7"/>
    <w:rsid w:val="002F0734"/>
    <w:rsid w:val="002F175F"/>
    <w:rsid w:val="002F46E7"/>
    <w:rsid w:val="002F79DF"/>
    <w:rsid w:val="003101DA"/>
    <w:rsid w:val="003111C3"/>
    <w:rsid w:val="00314757"/>
    <w:rsid w:val="00315EAF"/>
    <w:rsid w:val="003163BC"/>
    <w:rsid w:val="003170DF"/>
    <w:rsid w:val="003211CE"/>
    <w:rsid w:val="00337767"/>
    <w:rsid w:val="00341A05"/>
    <w:rsid w:val="0035403A"/>
    <w:rsid w:val="00361B28"/>
    <w:rsid w:val="0036394B"/>
    <w:rsid w:val="00366BB6"/>
    <w:rsid w:val="00366DB6"/>
    <w:rsid w:val="003709B5"/>
    <w:rsid w:val="003759C2"/>
    <w:rsid w:val="0038773D"/>
    <w:rsid w:val="00392B36"/>
    <w:rsid w:val="00397365"/>
    <w:rsid w:val="003A31F6"/>
    <w:rsid w:val="003C3447"/>
    <w:rsid w:val="003D076C"/>
    <w:rsid w:val="003D0D2C"/>
    <w:rsid w:val="003E2A37"/>
    <w:rsid w:val="003E6746"/>
    <w:rsid w:val="003E78B5"/>
    <w:rsid w:val="003F030B"/>
    <w:rsid w:val="00404742"/>
    <w:rsid w:val="00411875"/>
    <w:rsid w:val="00415BAB"/>
    <w:rsid w:val="00415ED2"/>
    <w:rsid w:val="0042068C"/>
    <w:rsid w:val="00430793"/>
    <w:rsid w:val="0044318E"/>
    <w:rsid w:val="00443B35"/>
    <w:rsid w:val="0045488D"/>
    <w:rsid w:val="0047122B"/>
    <w:rsid w:val="00471256"/>
    <w:rsid w:val="00473B7A"/>
    <w:rsid w:val="004745FD"/>
    <w:rsid w:val="0047481B"/>
    <w:rsid w:val="004752EA"/>
    <w:rsid w:val="00483828"/>
    <w:rsid w:val="004918FE"/>
    <w:rsid w:val="004960E9"/>
    <w:rsid w:val="004A0C48"/>
    <w:rsid w:val="004A2E88"/>
    <w:rsid w:val="004A2F7E"/>
    <w:rsid w:val="004A5305"/>
    <w:rsid w:val="004C14A2"/>
    <w:rsid w:val="004D4033"/>
    <w:rsid w:val="004D73C6"/>
    <w:rsid w:val="004D7634"/>
    <w:rsid w:val="004E611A"/>
    <w:rsid w:val="004F4EA5"/>
    <w:rsid w:val="004F6460"/>
    <w:rsid w:val="005036C6"/>
    <w:rsid w:val="005104F3"/>
    <w:rsid w:val="005300D3"/>
    <w:rsid w:val="005331EA"/>
    <w:rsid w:val="00542A10"/>
    <w:rsid w:val="00544F82"/>
    <w:rsid w:val="005509D2"/>
    <w:rsid w:val="00570AD3"/>
    <w:rsid w:val="0057724B"/>
    <w:rsid w:val="00581186"/>
    <w:rsid w:val="00581D66"/>
    <w:rsid w:val="00593C4F"/>
    <w:rsid w:val="005942ED"/>
    <w:rsid w:val="005946A8"/>
    <w:rsid w:val="005A1642"/>
    <w:rsid w:val="005A4407"/>
    <w:rsid w:val="005A59EF"/>
    <w:rsid w:val="005A726A"/>
    <w:rsid w:val="005B1C7E"/>
    <w:rsid w:val="005B35FF"/>
    <w:rsid w:val="005B408B"/>
    <w:rsid w:val="005C031C"/>
    <w:rsid w:val="005C3F2B"/>
    <w:rsid w:val="005C6976"/>
    <w:rsid w:val="005C69DA"/>
    <w:rsid w:val="005D50D4"/>
    <w:rsid w:val="005F1858"/>
    <w:rsid w:val="005F6F41"/>
    <w:rsid w:val="00605615"/>
    <w:rsid w:val="00610ACB"/>
    <w:rsid w:val="00610E55"/>
    <w:rsid w:val="00612065"/>
    <w:rsid w:val="00625D81"/>
    <w:rsid w:val="00625DC6"/>
    <w:rsid w:val="006376CF"/>
    <w:rsid w:val="006429FF"/>
    <w:rsid w:val="0064391D"/>
    <w:rsid w:val="006458CA"/>
    <w:rsid w:val="006509E0"/>
    <w:rsid w:val="00651821"/>
    <w:rsid w:val="00654384"/>
    <w:rsid w:val="006642C6"/>
    <w:rsid w:val="006675CD"/>
    <w:rsid w:val="0068082B"/>
    <w:rsid w:val="00682D6E"/>
    <w:rsid w:val="00684D9B"/>
    <w:rsid w:val="0068510A"/>
    <w:rsid w:val="00686D2C"/>
    <w:rsid w:val="00697244"/>
    <w:rsid w:val="00697556"/>
    <w:rsid w:val="006A3ECC"/>
    <w:rsid w:val="006B0A68"/>
    <w:rsid w:val="006B4297"/>
    <w:rsid w:val="006B4647"/>
    <w:rsid w:val="006B4C2B"/>
    <w:rsid w:val="006B6194"/>
    <w:rsid w:val="006B6D47"/>
    <w:rsid w:val="006C5AFE"/>
    <w:rsid w:val="006E15DD"/>
    <w:rsid w:val="006E16C6"/>
    <w:rsid w:val="006F2815"/>
    <w:rsid w:val="006F2EC8"/>
    <w:rsid w:val="006F68ED"/>
    <w:rsid w:val="006F6D95"/>
    <w:rsid w:val="00705106"/>
    <w:rsid w:val="00706F13"/>
    <w:rsid w:val="007072E8"/>
    <w:rsid w:val="0071618D"/>
    <w:rsid w:val="007175C9"/>
    <w:rsid w:val="00725FA4"/>
    <w:rsid w:val="00740446"/>
    <w:rsid w:val="007438A9"/>
    <w:rsid w:val="0074491E"/>
    <w:rsid w:val="00756702"/>
    <w:rsid w:val="007570A5"/>
    <w:rsid w:val="0076247A"/>
    <w:rsid w:val="00775964"/>
    <w:rsid w:val="007765FE"/>
    <w:rsid w:val="00780CBB"/>
    <w:rsid w:val="007820A0"/>
    <w:rsid w:val="00782634"/>
    <w:rsid w:val="0078573E"/>
    <w:rsid w:val="00790B78"/>
    <w:rsid w:val="00792B34"/>
    <w:rsid w:val="00794E2E"/>
    <w:rsid w:val="00795BFB"/>
    <w:rsid w:val="007A27A3"/>
    <w:rsid w:val="007A4A03"/>
    <w:rsid w:val="007A6181"/>
    <w:rsid w:val="007B2760"/>
    <w:rsid w:val="007B5A60"/>
    <w:rsid w:val="007C15AC"/>
    <w:rsid w:val="007C687D"/>
    <w:rsid w:val="007D0CDA"/>
    <w:rsid w:val="007D2B69"/>
    <w:rsid w:val="007D6D10"/>
    <w:rsid w:val="007E4AE2"/>
    <w:rsid w:val="007F20EC"/>
    <w:rsid w:val="007F3F69"/>
    <w:rsid w:val="007F6E7C"/>
    <w:rsid w:val="00803043"/>
    <w:rsid w:val="008069B3"/>
    <w:rsid w:val="00806C01"/>
    <w:rsid w:val="008148CC"/>
    <w:rsid w:val="00816B20"/>
    <w:rsid w:val="00820295"/>
    <w:rsid w:val="008211A4"/>
    <w:rsid w:val="00821FFE"/>
    <w:rsid w:val="00826687"/>
    <w:rsid w:val="008322A6"/>
    <w:rsid w:val="00833AA0"/>
    <w:rsid w:val="0084110A"/>
    <w:rsid w:val="00846455"/>
    <w:rsid w:val="0084693A"/>
    <w:rsid w:val="00855058"/>
    <w:rsid w:val="008570B8"/>
    <w:rsid w:val="008645AE"/>
    <w:rsid w:val="00873150"/>
    <w:rsid w:val="0087657D"/>
    <w:rsid w:val="008807D5"/>
    <w:rsid w:val="00880832"/>
    <w:rsid w:val="008813ED"/>
    <w:rsid w:val="00886EE1"/>
    <w:rsid w:val="0088727D"/>
    <w:rsid w:val="00897C75"/>
    <w:rsid w:val="008A7407"/>
    <w:rsid w:val="008B1BE0"/>
    <w:rsid w:val="008B4EEE"/>
    <w:rsid w:val="008C1130"/>
    <w:rsid w:val="008C4881"/>
    <w:rsid w:val="008D084D"/>
    <w:rsid w:val="008D18E6"/>
    <w:rsid w:val="008D7A9B"/>
    <w:rsid w:val="008E0060"/>
    <w:rsid w:val="008E7091"/>
    <w:rsid w:val="008E76AC"/>
    <w:rsid w:val="008F21F6"/>
    <w:rsid w:val="008F7ED3"/>
    <w:rsid w:val="009105DB"/>
    <w:rsid w:val="00910B68"/>
    <w:rsid w:val="009163E9"/>
    <w:rsid w:val="00933FFE"/>
    <w:rsid w:val="00950B15"/>
    <w:rsid w:val="00951F79"/>
    <w:rsid w:val="00954ECB"/>
    <w:rsid w:val="00955084"/>
    <w:rsid w:val="00962581"/>
    <w:rsid w:val="009655DA"/>
    <w:rsid w:val="0097148F"/>
    <w:rsid w:val="00974455"/>
    <w:rsid w:val="00974AB5"/>
    <w:rsid w:val="00976496"/>
    <w:rsid w:val="0098197A"/>
    <w:rsid w:val="0098706D"/>
    <w:rsid w:val="009935FB"/>
    <w:rsid w:val="009A483A"/>
    <w:rsid w:val="009B0C83"/>
    <w:rsid w:val="009B42F3"/>
    <w:rsid w:val="009B6749"/>
    <w:rsid w:val="009B7FCC"/>
    <w:rsid w:val="009C1808"/>
    <w:rsid w:val="009C5399"/>
    <w:rsid w:val="009C6F20"/>
    <w:rsid w:val="009D6DB3"/>
    <w:rsid w:val="009E506E"/>
    <w:rsid w:val="009E6859"/>
    <w:rsid w:val="009F4A54"/>
    <w:rsid w:val="009F4BEC"/>
    <w:rsid w:val="009F5874"/>
    <w:rsid w:val="00A16455"/>
    <w:rsid w:val="00A20A5E"/>
    <w:rsid w:val="00A25FD7"/>
    <w:rsid w:val="00A30A5C"/>
    <w:rsid w:val="00A34482"/>
    <w:rsid w:val="00A34E6A"/>
    <w:rsid w:val="00A37BE2"/>
    <w:rsid w:val="00A42CCB"/>
    <w:rsid w:val="00A43AFF"/>
    <w:rsid w:val="00A44752"/>
    <w:rsid w:val="00A44DAF"/>
    <w:rsid w:val="00A50B41"/>
    <w:rsid w:val="00A52B9F"/>
    <w:rsid w:val="00A52BD5"/>
    <w:rsid w:val="00A65881"/>
    <w:rsid w:val="00A65A8D"/>
    <w:rsid w:val="00A70BEA"/>
    <w:rsid w:val="00A73EA9"/>
    <w:rsid w:val="00A75151"/>
    <w:rsid w:val="00A7793A"/>
    <w:rsid w:val="00A94013"/>
    <w:rsid w:val="00AA4CC7"/>
    <w:rsid w:val="00AA5E8E"/>
    <w:rsid w:val="00AB1691"/>
    <w:rsid w:val="00AB2BAD"/>
    <w:rsid w:val="00AB3944"/>
    <w:rsid w:val="00AB6CA7"/>
    <w:rsid w:val="00AD01E4"/>
    <w:rsid w:val="00AD05C1"/>
    <w:rsid w:val="00AD0858"/>
    <w:rsid w:val="00AD2357"/>
    <w:rsid w:val="00AE02E3"/>
    <w:rsid w:val="00AE6998"/>
    <w:rsid w:val="00AE7340"/>
    <w:rsid w:val="00AF1BBD"/>
    <w:rsid w:val="00AF6BD5"/>
    <w:rsid w:val="00B01CF3"/>
    <w:rsid w:val="00B06A77"/>
    <w:rsid w:val="00B10207"/>
    <w:rsid w:val="00B106FB"/>
    <w:rsid w:val="00B141E7"/>
    <w:rsid w:val="00B17E2F"/>
    <w:rsid w:val="00B27F76"/>
    <w:rsid w:val="00B32791"/>
    <w:rsid w:val="00B351B4"/>
    <w:rsid w:val="00B46BCA"/>
    <w:rsid w:val="00B478AA"/>
    <w:rsid w:val="00B506D8"/>
    <w:rsid w:val="00B55750"/>
    <w:rsid w:val="00B87806"/>
    <w:rsid w:val="00B87EC9"/>
    <w:rsid w:val="00BA5D6A"/>
    <w:rsid w:val="00BC06B6"/>
    <w:rsid w:val="00BC35C6"/>
    <w:rsid w:val="00BC35FF"/>
    <w:rsid w:val="00BC38FD"/>
    <w:rsid w:val="00BC6302"/>
    <w:rsid w:val="00BC7B6D"/>
    <w:rsid w:val="00BD6C4F"/>
    <w:rsid w:val="00BE789E"/>
    <w:rsid w:val="00BF4F23"/>
    <w:rsid w:val="00C03398"/>
    <w:rsid w:val="00C034CB"/>
    <w:rsid w:val="00C051A8"/>
    <w:rsid w:val="00C054BC"/>
    <w:rsid w:val="00C12C66"/>
    <w:rsid w:val="00C1314C"/>
    <w:rsid w:val="00C160E2"/>
    <w:rsid w:val="00C17897"/>
    <w:rsid w:val="00C25594"/>
    <w:rsid w:val="00C31FD1"/>
    <w:rsid w:val="00C409D5"/>
    <w:rsid w:val="00C429E1"/>
    <w:rsid w:val="00C435C3"/>
    <w:rsid w:val="00C44E5F"/>
    <w:rsid w:val="00C45F53"/>
    <w:rsid w:val="00C4783A"/>
    <w:rsid w:val="00C51B7C"/>
    <w:rsid w:val="00C6234B"/>
    <w:rsid w:val="00C63EAE"/>
    <w:rsid w:val="00C73260"/>
    <w:rsid w:val="00C7629F"/>
    <w:rsid w:val="00C82386"/>
    <w:rsid w:val="00C8661B"/>
    <w:rsid w:val="00C91922"/>
    <w:rsid w:val="00CA03C8"/>
    <w:rsid w:val="00CA139A"/>
    <w:rsid w:val="00CA199D"/>
    <w:rsid w:val="00CA1E15"/>
    <w:rsid w:val="00CA2899"/>
    <w:rsid w:val="00CA2E14"/>
    <w:rsid w:val="00CA3A3D"/>
    <w:rsid w:val="00CA3AA6"/>
    <w:rsid w:val="00CA3E36"/>
    <w:rsid w:val="00CA4D1A"/>
    <w:rsid w:val="00CA552F"/>
    <w:rsid w:val="00CA77FB"/>
    <w:rsid w:val="00CB3677"/>
    <w:rsid w:val="00CB379B"/>
    <w:rsid w:val="00CB5659"/>
    <w:rsid w:val="00CB5DD0"/>
    <w:rsid w:val="00CC1FC0"/>
    <w:rsid w:val="00CC4746"/>
    <w:rsid w:val="00CC51D4"/>
    <w:rsid w:val="00CC65DA"/>
    <w:rsid w:val="00CD7C02"/>
    <w:rsid w:val="00CE5D8E"/>
    <w:rsid w:val="00CF21B9"/>
    <w:rsid w:val="00CF4C95"/>
    <w:rsid w:val="00CF6BF9"/>
    <w:rsid w:val="00D005B6"/>
    <w:rsid w:val="00D03800"/>
    <w:rsid w:val="00D065D3"/>
    <w:rsid w:val="00D14C94"/>
    <w:rsid w:val="00D24C9D"/>
    <w:rsid w:val="00D307FE"/>
    <w:rsid w:val="00D342A6"/>
    <w:rsid w:val="00D4223B"/>
    <w:rsid w:val="00D45CA6"/>
    <w:rsid w:val="00D464BF"/>
    <w:rsid w:val="00D53E26"/>
    <w:rsid w:val="00D76DA5"/>
    <w:rsid w:val="00D90A8A"/>
    <w:rsid w:val="00D95F79"/>
    <w:rsid w:val="00DA2637"/>
    <w:rsid w:val="00DA3A58"/>
    <w:rsid w:val="00DA59DD"/>
    <w:rsid w:val="00DB182C"/>
    <w:rsid w:val="00DB520C"/>
    <w:rsid w:val="00DC6677"/>
    <w:rsid w:val="00DD0772"/>
    <w:rsid w:val="00DD3251"/>
    <w:rsid w:val="00DD4F0E"/>
    <w:rsid w:val="00DE60F8"/>
    <w:rsid w:val="00DF0BF0"/>
    <w:rsid w:val="00DF16F5"/>
    <w:rsid w:val="00DF3CA2"/>
    <w:rsid w:val="00DF42E5"/>
    <w:rsid w:val="00DF4943"/>
    <w:rsid w:val="00DF753F"/>
    <w:rsid w:val="00E01463"/>
    <w:rsid w:val="00E02633"/>
    <w:rsid w:val="00E05E0A"/>
    <w:rsid w:val="00E060BE"/>
    <w:rsid w:val="00E14F74"/>
    <w:rsid w:val="00E20F38"/>
    <w:rsid w:val="00E24340"/>
    <w:rsid w:val="00E30288"/>
    <w:rsid w:val="00E41705"/>
    <w:rsid w:val="00E43271"/>
    <w:rsid w:val="00E501DA"/>
    <w:rsid w:val="00E534CF"/>
    <w:rsid w:val="00E63920"/>
    <w:rsid w:val="00E77046"/>
    <w:rsid w:val="00E81CB4"/>
    <w:rsid w:val="00E81DBC"/>
    <w:rsid w:val="00E852B6"/>
    <w:rsid w:val="00E8585B"/>
    <w:rsid w:val="00E87F41"/>
    <w:rsid w:val="00E93A2E"/>
    <w:rsid w:val="00EA1832"/>
    <w:rsid w:val="00EA3F15"/>
    <w:rsid w:val="00EA7847"/>
    <w:rsid w:val="00EB4C2F"/>
    <w:rsid w:val="00EC244E"/>
    <w:rsid w:val="00ED1783"/>
    <w:rsid w:val="00EE2E6E"/>
    <w:rsid w:val="00EE38B6"/>
    <w:rsid w:val="00EF6DF8"/>
    <w:rsid w:val="00F06702"/>
    <w:rsid w:val="00F0759E"/>
    <w:rsid w:val="00F15C8B"/>
    <w:rsid w:val="00F16A43"/>
    <w:rsid w:val="00F22B2C"/>
    <w:rsid w:val="00F3254A"/>
    <w:rsid w:val="00F44840"/>
    <w:rsid w:val="00F46780"/>
    <w:rsid w:val="00F55CB1"/>
    <w:rsid w:val="00F55DB1"/>
    <w:rsid w:val="00F62362"/>
    <w:rsid w:val="00F665AF"/>
    <w:rsid w:val="00F67441"/>
    <w:rsid w:val="00F77D2D"/>
    <w:rsid w:val="00F821A3"/>
    <w:rsid w:val="00F82532"/>
    <w:rsid w:val="00F90411"/>
    <w:rsid w:val="00F905B7"/>
    <w:rsid w:val="00F9314A"/>
    <w:rsid w:val="00F940B2"/>
    <w:rsid w:val="00FA7650"/>
    <w:rsid w:val="00FC58EF"/>
    <w:rsid w:val="00FC5BB8"/>
    <w:rsid w:val="00FC7AB5"/>
    <w:rsid w:val="00FD33DF"/>
    <w:rsid w:val="00FE39D7"/>
    <w:rsid w:val="00FE5F0E"/>
    <w:rsid w:val="00FF23E9"/>
    <w:rsid w:val="00FF299D"/>
    <w:rsid w:val="00FF78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7" ma:contentTypeDescription="Crear nuevo documento." ma:contentTypeScope="" ma:versionID="f8dc5168c55ebbc0fea2c70dfd9341ae">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5e15caf47c3a6f1194bc8c1fc7f0331e"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a11bec3-26df-47a9-92ee-f2870e4266c1}"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1F0B97-FC9E-4E6F-9700-CF0BCF630A62}">
  <ds:schemaRefs>
    <ds:schemaRef ds:uri="http://schemas.microsoft.com/sharepoint/v3/contenttype/forms"/>
  </ds:schemaRefs>
</ds:datastoreItem>
</file>

<file path=customXml/itemProps2.xml><?xml version="1.0" encoding="utf-8"?>
<ds:datastoreItem xmlns:ds="http://schemas.openxmlformats.org/officeDocument/2006/customXml" ds:itemID="{8731F405-21E1-4F1C-BA2C-CD6D6AC8B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8E72C-B9C7-4F57-B4AB-D0E73ACFF745}">
  <ds:schemaRefs>
    <ds:schemaRef ds:uri="http://schemas.openxmlformats.org/officeDocument/2006/bibliography"/>
  </ds:schemaRefs>
</ds:datastoreItem>
</file>

<file path=customXml/itemProps4.xml><?xml version="1.0" encoding="utf-8"?>
<ds:datastoreItem xmlns:ds="http://schemas.openxmlformats.org/officeDocument/2006/customXml" ds:itemID="{A81F5792-E9F4-43FB-A7AC-8FFD47C6279C}">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docProps/app.xml><?xml version="1.0" encoding="utf-8"?>
<Properties xmlns="http://schemas.openxmlformats.org/officeDocument/2006/extended-properties" xmlns:vt="http://schemas.openxmlformats.org/officeDocument/2006/docPropsVTypes">
  <Template>PLANTILLA1</Template>
  <TotalTime>42</TotalTime>
  <Pages>4</Pages>
  <Words>1574</Words>
  <Characters>8657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Jose Fernando Prada</cp:lastModifiedBy>
  <cp:revision>29</cp:revision>
  <cp:lastPrinted>2022-08-18T16:11:00Z</cp:lastPrinted>
  <dcterms:created xsi:type="dcterms:W3CDTF">2023-06-02T15:01:00Z</dcterms:created>
  <dcterms:modified xsi:type="dcterms:W3CDTF">2023-06-04T14:46:00Z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