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101" w:rsidRPr="00884F77" w:rsidRDefault="008307C2" w:rsidP="0070227B">
      <w:pPr>
        <w:pStyle w:val="Encabezado"/>
        <w:tabs>
          <w:tab w:val="clear" w:pos="8504"/>
        </w:tabs>
        <w:ind w:left="0"/>
        <w:jc w:val="both"/>
        <w:rPr>
          <w:rFonts w:ascii="Bookman Old Style" w:hAnsi="Bookman Old Style"/>
          <w:b/>
          <w:szCs w:val="24"/>
        </w:rPr>
      </w:pPr>
      <w:bookmarkStart w:id="0" w:name="_GoBack"/>
      <w:bookmarkEnd w:id="0"/>
      <w:r>
        <w:rPr>
          <w:rFonts w:ascii="Bookman Old Style" w:hAnsi="Bookman Old Style"/>
          <w:noProof/>
          <w:szCs w:val="24"/>
        </w:rPr>
        <w:object w:dxaOrig="1440" w:dyaOrig="1440" w14:anchorId="44B64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571743106" r:id="rId9"/>
        </w:object>
      </w:r>
    </w:p>
    <w:p w:rsidR="00936101" w:rsidRPr="00884F77" w:rsidRDefault="00936101" w:rsidP="00936101">
      <w:pPr>
        <w:pStyle w:val="Ttulo4"/>
        <w:ind w:left="0"/>
        <w:rPr>
          <w:rFonts w:ascii="Bookman Old Style" w:hAnsi="Bookman Old Style"/>
          <w:b w:val="0"/>
          <w:noProof/>
          <w:color w:val="auto"/>
          <w:sz w:val="24"/>
          <w:szCs w:val="24"/>
          <w:lang w:val="es-ES"/>
        </w:rPr>
      </w:pPr>
      <w:r w:rsidRPr="00884F77">
        <w:rPr>
          <w:rFonts w:ascii="Bookman Old Style" w:hAnsi="Bookman Old Style"/>
          <w:b w:val="0"/>
          <w:color w:val="auto"/>
          <w:sz w:val="24"/>
          <w:szCs w:val="24"/>
        </w:rPr>
        <w:t>Ministerio de Minas y Energía</w:t>
      </w:r>
    </w:p>
    <w:p w:rsidR="00936101" w:rsidRPr="00884F77" w:rsidRDefault="00936101" w:rsidP="00936101">
      <w:pPr>
        <w:pStyle w:val="Ttulo4"/>
        <w:ind w:left="0"/>
        <w:rPr>
          <w:rFonts w:ascii="Bookman Old Style" w:hAnsi="Bookman Old Style"/>
          <w:color w:val="auto"/>
          <w:sz w:val="24"/>
          <w:szCs w:val="24"/>
          <w:lang w:val="es-ES"/>
        </w:rPr>
      </w:pPr>
    </w:p>
    <w:p w:rsidR="00936101" w:rsidRPr="00884F77" w:rsidRDefault="00936101" w:rsidP="00936101">
      <w:pPr>
        <w:pStyle w:val="Ttulo3"/>
        <w:ind w:left="0"/>
        <w:rPr>
          <w:rFonts w:ascii="Bookman Old Style" w:hAnsi="Bookman Old Style"/>
          <w:color w:val="auto"/>
          <w:szCs w:val="24"/>
        </w:rPr>
      </w:pPr>
    </w:p>
    <w:p w:rsidR="00936101" w:rsidRPr="00884F77" w:rsidRDefault="00936101" w:rsidP="00936101">
      <w:pPr>
        <w:pStyle w:val="Ttulo3"/>
        <w:ind w:left="0"/>
        <w:rPr>
          <w:rFonts w:ascii="Bookman Old Style" w:hAnsi="Bookman Old Style"/>
          <w:color w:val="auto"/>
          <w:szCs w:val="24"/>
        </w:rPr>
      </w:pPr>
      <w:r w:rsidRPr="00884F77">
        <w:rPr>
          <w:rFonts w:ascii="Bookman Old Style" w:hAnsi="Bookman Old Style"/>
          <w:color w:val="auto"/>
          <w:szCs w:val="24"/>
        </w:rPr>
        <w:t>COMISIÓN DE REGULACIÓN DE ENERGÍA Y GAS</w:t>
      </w:r>
    </w:p>
    <w:p w:rsidR="00936101" w:rsidRPr="00884F77" w:rsidRDefault="00936101" w:rsidP="00936101">
      <w:pPr>
        <w:pStyle w:val="Ttulo5"/>
        <w:ind w:left="0"/>
        <w:rPr>
          <w:rFonts w:ascii="Bookman Old Style" w:hAnsi="Bookman Old Style"/>
          <w:color w:val="auto"/>
          <w:sz w:val="24"/>
          <w:szCs w:val="24"/>
        </w:rPr>
      </w:pPr>
    </w:p>
    <w:p w:rsidR="00936101" w:rsidRPr="00884F77" w:rsidRDefault="00936101" w:rsidP="00936101">
      <w:pPr>
        <w:pStyle w:val="Ttulo5"/>
        <w:ind w:left="0"/>
        <w:rPr>
          <w:rFonts w:ascii="Bookman Old Style" w:hAnsi="Bookman Old Style"/>
          <w:color w:val="auto"/>
          <w:sz w:val="24"/>
          <w:szCs w:val="24"/>
        </w:rPr>
      </w:pPr>
      <w:r w:rsidRPr="00884F77">
        <w:rPr>
          <w:rFonts w:ascii="Bookman Old Style" w:hAnsi="Bookman Old Style"/>
          <w:color w:val="auto"/>
          <w:sz w:val="24"/>
          <w:szCs w:val="24"/>
        </w:rPr>
        <w:t xml:space="preserve">RESOLUCIÓN No.  </w:t>
      </w:r>
      <w:r w:rsidR="00B67D47" w:rsidRPr="00884F77">
        <w:rPr>
          <w:rFonts w:ascii="Bookman Old Style" w:hAnsi="Bookman Old Style"/>
          <w:color w:val="auto"/>
          <w:sz w:val="24"/>
          <w:szCs w:val="24"/>
        </w:rPr>
        <w:t xml:space="preserve">       </w:t>
      </w:r>
      <w:r w:rsidRPr="00884F77">
        <w:rPr>
          <w:rFonts w:ascii="Bookman Old Style" w:hAnsi="Bookman Old Style"/>
          <w:color w:val="auto"/>
          <w:sz w:val="24"/>
          <w:szCs w:val="24"/>
        </w:rPr>
        <w:t xml:space="preserve">      DE 201</w:t>
      </w:r>
      <w:r w:rsidR="00717F8C" w:rsidRPr="00884F77">
        <w:rPr>
          <w:rFonts w:ascii="Bookman Old Style" w:hAnsi="Bookman Old Style"/>
          <w:color w:val="auto"/>
          <w:sz w:val="24"/>
          <w:szCs w:val="24"/>
        </w:rPr>
        <w:t>7</w:t>
      </w:r>
    </w:p>
    <w:p w:rsidR="00936101" w:rsidRPr="00884F77" w:rsidRDefault="00936101" w:rsidP="00936101">
      <w:pPr>
        <w:ind w:left="0"/>
        <w:jc w:val="center"/>
        <w:rPr>
          <w:rFonts w:ascii="Bookman Old Style" w:hAnsi="Bookman Old Style" w:cs="Arial"/>
          <w:b/>
          <w:snapToGrid w:val="0"/>
          <w:lang w:val="es-ES_tradnl"/>
        </w:rPr>
      </w:pPr>
    </w:p>
    <w:p w:rsidR="00936101" w:rsidRPr="00884F77" w:rsidRDefault="00936101" w:rsidP="00936101">
      <w:pPr>
        <w:pStyle w:val="Ttulo3"/>
        <w:ind w:left="0"/>
        <w:rPr>
          <w:rFonts w:ascii="Bookman Old Style" w:hAnsi="Bookman Old Style"/>
          <w:color w:val="auto"/>
          <w:szCs w:val="24"/>
        </w:rPr>
      </w:pPr>
      <w:r w:rsidRPr="00884F77">
        <w:rPr>
          <w:rFonts w:ascii="Bookman Old Style" w:hAnsi="Bookman Old Style"/>
          <w:color w:val="auto"/>
          <w:szCs w:val="24"/>
        </w:rPr>
        <w:t>(                                  )</w:t>
      </w:r>
    </w:p>
    <w:p w:rsidR="00936101" w:rsidRPr="00884F77" w:rsidRDefault="00936101" w:rsidP="00936101">
      <w:pPr>
        <w:ind w:left="0"/>
        <w:jc w:val="center"/>
        <w:rPr>
          <w:rFonts w:ascii="Bookman Old Style" w:hAnsi="Bookman Old Style"/>
          <w:lang w:val="es-ES_tradnl"/>
        </w:rPr>
      </w:pPr>
    </w:p>
    <w:p w:rsidR="00936101" w:rsidRDefault="00936101" w:rsidP="00936101">
      <w:pPr>
        <w:pStyle w:val="Textodebloque"/>
        <w:spacing w:after="0"/>
        <w:ind w:left="0" w:right="0"/>
        <w:jc w:val="center"/>
        <w:rPr>
          <w:rFonts w:ascii="Bookman Old Style" w:hAnsi="Bookman Old Style" w:cs="Arial"/>
          <w:szCs w:val="24"/>
        </w:rPr>
      </w:pPr>
    </w:p>
    <w:p w:rsidR="0070227B" w:rsidRPr="00884F77" w:rsidRDefault="0070227B" w:rsidP="00936101">
      <w:pPr>
        <w:pStyle w:val="Textodebloque"/>
        <w:spacing w:after="0"/>
        <w:ind w:left="0" w:right="0"/>
        <w:jc w:val="center"/>
        <w:rPr>
          <w:rFonts w:ascii="Bookman Old Style" w:hAnsi="Bookman Old Style" w:cs="Arial"/>
          <w:szCs w:val="24"/>
        </w:rPr>
      </w:pPr>
    </w:p>
    <w:p w:rsidR="00717F8C" w:rsidRPr="00884F77" w:rsidRDefault="00717F8C" w:rsidP="00717F8C">
      <w:pPr>
        <w:ind w:left="0"/>
        <w:contextualSpacing/>
        <w:jc w:val="center"/>
        <w:rPr>
          <w:rFonts w:ascii="Bookman Old Style" w:hAnsi="Bookman Old Style"/>
        </w:rPr>
      </w:pPr>
      <w:r w:rsidRPr="00884F77">
        <w:rPr>
          <w:rFonts w:ascii="Bookman Old Style" w:hAnsi="Bookman Old Style"/>
        </w:rPr>
        <w:t>Por la cual se ordena hacer público un proyecto de resolución de carácter general, “Por la cual se modifica la Resolución CREG 076 de 2016”</w:t>
      </w:r>
    </w:p>
    <w:p w:rsidR="00717F8C" w:rsidRPr="00884F77" w:rsidRDefault="00717F8C" w:rsidP="00717F8C">
      <w:pPr>
        <w:ind w:left="0"/>
        <w:contextualSpacing/>
        <w:jc w:val="center"/>
        <w:rPr>
          <w:rFonts w:ascii="Bookman Old Style" w:hAnsi="Bookman Old Style"/>
        </w:rPr>
      </w:pPr>
    </w:p>
    <w:p w:rsidR="00717F8C" w:rsidRPr="00884F77" w:rsidRDefault="00717F8C" w:rsidP="00717F8C">
      <w:pPr>
        <w:ind w:left="0"/>
        <w:contextualSpacing/>
        <w:jc w:val="center"/>
        <w:rPr>
          <w:rFonts w:ascii="Bookman Old Style" w:hAnsi="Bookman Old Style"/>
        </w:rPr>
      </w:pPr>
    </w:p>
    <w:p w:rsidR="00717F8C" w:rsidRPr="00884F77" w:rsidRDefault="0075252C" w:rsidP="00717F8C">
      <w:pPr>
        <w:ind w:right="51"/>
        <w:contextualSpacing/>
        <w:jc w:val="center"/>
        <w:rPr>
          <w:rFonts w:ascii="Bookman Old Style" w:hAnsi="Bookman Old Style"/>
          <w:b/>
        </w:rPr>
      </w:pPr>
      <w:r w:rsidRPr="00884F77">
        <w:rPr>
          <w:rFonts w:ascii="Bookman Old Style" w:hAnsi="Bookman Old Style"/>
          <w:b/>
        </w:rPr>
        <w:t xml:space="preserve">LA COMISIÓN DE REGULACIÓN DE </w:t>
      </w:r>
      <w:r w:rsidR="00717F8C" w:rsidRPr="00884F77">
        <w:rPr>
          <w:rFonts w:ascii="Bookman Old Style" w:hAnsi="Bookman Old Style"/>
          <w:b/>
        </w:rPr>
        <w:t>ENERGÍA Y GAS</w:t>
      </w:r>
    </w:p>
    <w:p w:rsidR="00717F8C" w:rsidRPr="00884F77" w:rsidRDefault="00717F8C" w:rsidP="00717F8C">
      <w:pPr>
        <w:ind w:left="0" w:right="51"/>
        <w:contextualSpacing/>
        <w:rPr>
          <w:rFonts w:ascii="Bookman Old Style" w:hAnsi="Bookman Old Style"/>
        </w:rPr>
      </w:pPr>
    </w:p>
    <w:p w:rsidR="00717F8C" w:rsidRPr="00884F77" w:rsidRDefault="00717F8C" w:rsidP="00717F8C">
      <w:pPr>
        <w:ind w:left="0" w:right="51"/>
        <w:contextualSpacing/>
        <w:rPr>
          <w:rFonts w:ascii="Bookman Old Style" w:hAnsi="Bookman Old Style"/>
          <w:sz w:val="14"/>
        </w:rPr>
      </w:pPr>
    </w:p>
    <w:p w:rsidR="00717F8C" w:rsidRPr="00884F77" w:rsidRDefault="00717F8C" w:rsidP="00717F8C">
      <w:pPr>
        <w:ind w:left="0" w:right="51"/>
        <w:contextualSpacing/>
        <w:jc w:val="center"/>
        <w:rPr>
          <w:rFonts w:ascii="Bookman Old Style" w:hAnsi="Bookman Old Style" w:cs="Arial"/>
          <w:bCs/>
          <w:spacing w:val="-3"/>
        </w:rPr>
      </w:pPr>
      <w:r w:rsidRPr="00884F77">
        <w:rPr>
          <w:rFonts w:ascii="Bookman Old Style" w:hAnsi="Bookman Old Style" w:cs="Arial"/>
          <w:bCs/>
          <w:spacing w:val="-3"/>
        </w:rPr>
        <w:t>En ejercicio de las atribuciones constitucionales y legales, en e</w:t>
      </w:r>
      <w:r w:rsidR="001B2C9B" w:rsidRPr="00884F77">
        <w:rPr>
          <w:rFonts w:ascii="Bookman Old Style" w:hAnsi="Bookman Old Style" w:cs="Arial"/>
          <w:bCs/>
          <w:spacing w:val="-3"/>
        </w:rPr>
        <w:t>special las conferidas por las L</w:t>
      </w:r>
      <w:r w:rsidRPr="00884F77">
        <w:rPr>
          <w:rFonts w:ascii="Bookman Old Style" w:hAnsi="Bookman Old Style" w:cs="Arial"/>
          <w:bCs/>
          <w:spacing w:val="-3"/>
        </w:rPr>
        <w:t xml:space="preserve">eyes 142 de 1994 y 1151 de 2007, </w:t>
      </w:r>
      <w:r w:rsidR="005C2257" w:rsidRPr="00884F77">
        <w:rPr>
          <w:rFonts w:ascii="Bookman Old Style" w:hAnsi="Bookman Old Style" w:cs="Arial"/>
          <w:bCs/>
          <w:spacing w:val="-3"/>
        </w:rPr>
        <w:t xml:space="preserve">y los </w:t>
      </w:r>
      <w:r w:rsidR="005C2257" w:rsidRPr="00884F77">
        <w:rPr>
          <w:rFonts w:ascii="Bookman Old Style" w:hAnsi="Bookman Old Style"/>
        </w:rPr>
        <w:t>Decretos 1524 y 2253 de 1994 y 1260 de 2013.</w:t>
      </w:r>
    </w:p>
    <w:p w:rsidR="00717F8C" w:rsidRPr="00884F77" w:rsidRDefault="00717F8C" w:rsidP="00717F8C">
      <w:pPr>
        <w:ind w:left="0" w:right="51"/>
        <w:contextualSpacing/>
        <w:rPr>
          <w:rFonts w:ascii="Bookman Old Style" w:hAnsi="Bookman Old Style" w:cs="Arial"/>
          <w:bCs/>
          <w:spacing w:val="-3"/>
        </w:rPr>
      </w:pPr>
    </w:p>
    <w:p w:rsidR="00717F8C" w:rsidRPr="00884F77" w:rsidRDefault="00717F8C" w:rsidP="00717F8C">
      <w:pPr>
        <w:ind w:left="0" w:right="51"/>
        <w:contextualSpacing/>
        <w:rPr>
          <w:rFonts w:ascii="Bookman Old Style" w:hAnsi="Bookman Old Style"/>
          <w:sz w:val="14"/>
        </w:rPr>
      </w:pPr>
    </w:p>
    <w:p w:rsidR="00717F8C" w:rsidRPr="00884F77" w:rsidRDefault="0075252C" w:rsidP="00717F8C">
      <w:pPr>
        <w:ind w:left="0" w:right="51"/>
        <w:contextualSpacing/>
        <w:jc w:val="center"/>
        <w:rPr>
          <w:rFonts w:ascii="Bookman Old Style" w:hAnsi="Bookman Old Style"/>
          <w:b/>
        </w:rPr>
      </w:pPr>
      <w:r w:rsidRPr="00884F77">
        <w:rPr>
          <w:rFonts w:ascii="Bookman Old Style" w:hAnsi="Bookman Old Style"/>
          <w:b/>
        </w:rPr>
        <w:t xml:space="preserve">C O N S I D E R A N D O </w:t>
      </w:r>
      <w:r w:rsidR="00717F8C" w:rsidRPr="00884F77">
        <w:rPr>
          <w:rFonts w:ascii="Bookman Old Style" w:hAnsi="Bookman Old Style"/>
          <w:b/>
        </w:rPr>
        <w:t>Q U E:</w:t>
      </w:r>
    </w:p>
    <w:p w:rsidR="00717F8C" w:rsidRPr="00884F77" w:rsidRDefault="00717F8C" w:rsidP="00717F8C">
      <w:pPr>
        <w:ind w:left="0" w:right="51"/>
        <w:contextualSpacing/>
        <w:rPr>
          <w:rFonts w:ascii="Bookman Old Style" w:hAnsi="Bookman Old Style"/>
        </w:rPr>
      </w:pPr>
    </w:p>
    <w:p w:rsidR="00717F8C" w:rsidRPr="00884F77" w:rsidRDefault="00717F8C" w:rsidP="00717F8C">
      <w:pPr>
        <w:ind w:left="0" w:right="51"/>
        <w:contextualSpacing/>
        <w:rPr>
          <w:rFonts w:ascii="Bookman Old Style" w:hAnsi="Bookman Old Style"/>
        </w:rPr>
      </w:pPr>
    </w:p>
    <w:p w:rsidR="00717F8C" w:rsidRPr="00884F77" w:rsidRDefault="00717F8C" w:rsidP="00717F8C">
      <w:pPr>
        <w:widowControl w:val="0"/>
        <w:ind w:left="0"/>
        <w:contextualSpacing/>
        <w:jc w:val="both"/>
        <w:rPr>
          <w:rFonts w:ascii="Bookman Old Style" w:hAnsi="Bookman Old Style" w:cs="Arial"/>
        </w:rPr>
      </w:pPr>
      <w:r w:rsidRPr="00884F77">
        <w:rPr>
          <w:rFonts w:ascii="Bookman Old Style" w:hAnsi="Bookman Old Style" w:cs="Arial"/>
        </w:rPr>
        <w:t xml:space="preserve">Conforme a lo dispuesto por el artículo 8 del Código de Procedimiento Administrativo y de lo Contencioso Administrativo y </w:t>
      </w:r>
      <w:r w:rsidR="007050F1" w:rsidRPr="00884F77">
        <w:rPr>
          <w:rFonts w:ascii="Bookman Old Style" w:hAnsi="Bookman Old Style"/>
        </w:rPr>
        <w:t>el artículo 2.2.13.1.4 del Decreto 1078 de 2015</w:t>
      </w:r>
      <w:r w:rsidRPr="00884F77">
        <w:rPr>
          <w:rFonts w:ascii="Bookman Old Style" w:hAnsi="Bookman Old Style" w:cs="Arial"/>
        </w:rPr>
        <w:t>, la Comisión debe hacer público en su página web todos los proyectos de resolución de carácter general que pretenda adoptar.</w:t>
      </w:r>
    </w:p>
    <w:p w:rsidR="00717F8C" w:rsidRPr="00884F77" w:rsidRDefault="00717F8C" w:rsidP="00717F8C">
      <w:pPr>
        <w:widowControl w:val="0"/>
        <w:tabs>
          <w:tab w:val="left" w:pos="0"/>
        </w:tabs>
        <w:ind w:left="0"/>
        <w:contextualSpacing/>
        <w:jc w:val="both"/>
        <w:rPr>
          <w:rFonts w:ascii="Bookman Old Style" w:hAnsi="Bookman Old Style" w:cs="Arial"/>
        </w:rPr>
      </w:pPr>
    </w:p>
    <w:p w:rsidR="00717F8C" w:rsidRPr="00884F77" w:rsidRDefault="00717F8C" w:rsidP="00717F8C">
      <w:pPr>
        <w:widowControl w:val="0"/>
        <w:ind w:left="0"/>
        <w:contextualSpacing/>
        <w:jc w:val="both"/>
        <w:rPr>
          <w:rFonts w:ascii="Bookman Old Style" w:hAnsi="Bookman Old Style"/>
          <w:i/>
        </w:rPr>
      </w:pPr>
      <w:r w:rsidRPr="00884F77">
        <w:rPr>
          <w:rFonts w:ascii="Bookman Old Style" w:hAnsi="Bookman Old Style"/>
        </w:rPr>
        <w:t xml:space="preserve">La Comisión de Regulación de Energía y Gas, en su sesión No. </w:t>
      </w:r>
      <w:r w:rsidR="00621404" w:rsidRPr="00884F77">
        <w:rPr>
          <w:rFonts w:ascii="Bookman Old Style" w:hAnsi="Bookman Old Style"/>
        </w:rPr>
        <w:t>809 del 23</w:t>
      </w:r>
      <w:r w:rsidRPr="00884F77">
        <w:rPr>
          <w:rFonts w:ascii="Bookman Old Style" w:hAnsi="Bookman Old Style"/>
        </w:rPr>
        <w:t xml:space="preserve"> de</w:t>
      </w:r>
      <w:r w:rsidR="00621404" w:rsidRPr="00884F77">
        <w:rPr>
          <w:rFonts w:ascii="Bookman Old Style" w:hAnsi="Bookman Old Style"/>
        </w:rPr>
        <w:t xml:space="preserve"> octubre de</w:t>
      </w:r>
      <w:r w:rsidRPr="00884F77">
        <w:rPr>
          <w:rFonts w:ascii="Bookman Old Style" w:hAnsi="Bookman Old Style"/>
        </w:rPr>
        <w:t xml:space="preserve"> 2017 aprobó hacer público el proyecto de resolución </w:t>
      </w:r>
      <w:r w:rsidR="005C2257" w:rsidRPr="00884F77">
        <w:rPr>
          <w:rFonts w:ascii="Bookman Old Style" w:hAnsi="Bookman Old Style"/>
          <w:i/>
        </w:rPr>
        <w:t>“Por la cual se modifica la R</w:t>
      </w:r>
      <w:r w:rsidRPr="00884F77">
        <w:rPr>
          <w:rFonts w:ascii="Bookman Old Style" w:hAnsi="Bookman Old Style"/>
          <w:i/>
        </w:rPr>
        <w:t>esolución CREG 076 de 2016”</w:t>
      </w:r>
      <w:r w:rsidRPr="00884F77">
        <w:rPr>
          <w:rFonts w:ascii="Bookman Old Style" w:hAnsi="Bookman Old Style"/>
        </w:rPr>
        <w:t>.</w:t>
      </w:r>
    </w:p>
    <w:p w:rsidR="00717F8C" w:rsidRPr="00884F77" w:rsidRDefault="00717F8C" w:rsidP="00717F8C">
      <w:pPr>
        <w:widowControl w:val="0"/>
        <w:tabs>
          <w:tab w:val="left" w:pos="0"/>
        </w:tabs>
        <w:ind w:left="0"/>
        <w:contextualSpacing/>
        <w:jc w:val="both"/>
        <w:rPr>
          <w:rFonts w:ascii="Bookman Old Style" w:hAnsi="Bookman Old Style"/>
        </w:rPr>
      </w:pPr>
    </w:p>
    <w:p w:rsidR="00717F8C" w:rsidRPr="00884F77" w:rsidRDefault="00717F8C" w:rsidP="00717F8C">
      <w:pPr>
        <w:widowControl w:val="0"/>
        <w:ind w:left="0"/>
        <w:contextualSpacing/>
        <w:jc w:val="both"/>
        <w:rPr>
          <w:rFonts w:ascii="Bookman Old Style" w:hAnsi="Bookman Old Style"/>
        </w:rPr>
      </w:pPr>
    </w:p>
    <w:p w:rsidR="00717F8C" w:rsidRPr="00884F77" w:rsidRDefault="00717F8C" w:rsidP="00717F8C">
      <w:pPr>
        <w:widowControl w:val="0"/>
        <w:suppressAutoHyphens/>
        <w:ind w:left="0"/>
        <w:contextualSpacing/>
        <w:jc w:val="center"/>
        <w:rPr>
          <w:rFonts w:ascii="Bookman Old Style" w:hAnsi="Bookman Old Style"/>
          <w:spacing w:val="-3"/>
        </w:rPr>
      </w:pPr>
      <w:r w:rsidRPr="00884F77">
        <w:rPr>
          <w:rFonts w:ascii="Bookman Old Style" w:hAnsi="Bookman Old Style"/>
          <w:b/>
          <w:spacing w:val="-3"/>
        </w:rPr>
        <w:t>R E S U E L V E:</w:t>
      </w:r>
    </w:p>
    <w:p w:rsidR="00717F8C" w:rsidRPr="00884F77" w:rsidRDefault="00717F8C" w:rsidP="00717F8C">
      <w:pPr>
        <w:widowControl w:val="0"/>
        <w:ind w:left="0"/>
        <w:contextualSpacing/>
        <w:rPr>
          <w:rFonts w:ascii="Bookman Old Style" w:hAnsi="Bookman Old Style"/>
        </w:rPr>
      </w:pPr>
    </w:p>
    <w:p w:rsidR="00717F8C" w:rsidRPr="00884F77" w:rsidRDefault="00717F8C" w:rsidP="00717F8C">
      <w:pPr>
        <w:widowControl w:val="0"/>
        <w:ind w:left="0"/>
        <w:contextualSpacing/>
        <w:jc w:val="both"/>
        <w:rPr>
          <w:rFonts w:ascii="Bookman Old Style" w:hAnsi="Bookman Old Style" w:cs="Arial"/>
          <w:i/>
        </w:rPr>
      </w:pPr>
      <w:r w:rsidRPr="00884F77">
        <w:rPr>
          <w:rFonts w:ascii="Bookman Old Style" w:hAnsi="Bookman Old Style" w:cs="Arial"/>
          <w:b/>
          <w:bCs/>
        </w:rPr>
        <w:t>ARTÍCULO 1</w:t>
      </w:r>
      <w:r w:rsidRPr="00884F77">
        <w:rPr>
          <w:rFonts w:ascii="Bookman Old Style" w:hAnsi="Bookman Old Style" w:cs="Arial"/>
        </w:rPr>
        <w:t>. Hágase público el proyecto de resolución “</w:t>
      </w:r>
      <w:r w:rsidR="005456B6" w:rsidRPr="00884F77">
        <w:rPr>
          <w:rFonts w:ascii="Bookman Old Style" w:hAnsi="Bookman Old Style"/>
          <w:i/>
        </w:rPr>
        <w:t>Por la cual se modifica la R</w:t>
      </w:r>
      <w:r w:rsidRPr="00884F77">
        <w:rPr>
          <w:rFonts w:ascii="Bookman Old Style" w:hAnsi="Bookman Old Style"/>
          <w:i/>
        </w:rPr>
        <w:t>esolución CREG 076 de 2016</w:t>
      </w:r>
      <w:r w:rsidRPr="00884F77">
        <w:rPr>
          <w:rFonts w:ascii="Bookman Old Style" w:hAnsi="Bookman Old Style" w:cs="Arial"/>
        </w:rPr>
        <w:t xml:space="preserve">”. </w:t>
      </w:r>
    </w:p>
    <w:p w:rsidR="00717F8C" w:rsidRPr="00884F77" w:rsidRDefault="00717F8C" w:rsidP="00717F8C">
      <w:pPr>
        <w:widowControl w:val="0"/>
        <w:tabs>
          <w:tab w:val="left" w:pos="0"/>
        </w:tabs>
        <w:ind w:left="0" w:right="45"/>
        <w:contextualSpacing/>
        <w:jc w:val="both"/>
        <w:rPr>
          <w:rFonts w:ascii="Bookman Old Style" w:hAnsi="Bookman Old Style" w:cs="Arial"/>
          <w:b/>
          <w:bCs/>
        </w:rPr>
      </w:pPr>
    </w:p>
    <w:p w:rsidR="00717F8C" w:rsidRPr="00884F77" w:rsidRDefault="00717F8C" w:rsidP="00717F8C">
      <w:pPr>
        <w:widowControl w:val="0"/>
        <w:tabs>
          <w:tab w:val="left" w:pos="0"/>
        </w:tabs>
        <w:ind w:left="0" w:right="45"/>
        <w:contextualSpacing/>
        <w:jc w:val="both"/>
        <w:rPr>
          <w:rFonts w:ascii="Bookman Old Style" w:hAnsi="Bookman Old Style" w:cs="Arial"/>
          <w:lang w:val="es-CO" w:eastAsia="es-CO"/>
        </w:rPr>
      </w:pPr>
      <w:r w:rsidRPr="00884F77">
        <w:rPr>
          <w:rFonts w:ascii="Bookman Old Style" w:hAnsi="Bookman Old Style" w:cs="Arial"/>
          <w:b/>
          <w:bCs/>
        </w:rPr>
        <w:t>ARTÍCULO 2.</w:t>
      </w:r>
      <w:r w:rsidRPr="00884F77">
        <w:rPr>
          <w:rFonts w:ascii="Bookman Old Style" w:hAnsi="Bookman Old Style" w:cs="Arial"/>
        </w:rPr>
        <w:t xml:space="preserve"> </w:t>
      </w:r>
      <w:r w:rsidRPr="00884F77">
        <w:rPr>
          <w:rFonts w:ascii="Bookman Old Style" w:hAnsi="Bookman Old Style" w:cs="Arial"/>
          <w:lang w:val="es-CO" w:eastAsia="es-CO"/>
        </w:rPr>
        <w:t xml:space="preserve">Se invita a los agentes, a los usuarios, a las autoridades competentes, a la Superintendencia de Servicios Públicos Domiciliarios y a la Superintendencia de Industria y Comercio, para que remitan sus observaciones o sugerencias dentro de los </w:t>
      </w:r>
      <w:r w:rsidR="0075252C" w:rsidRPr="00884F77">
        <w:rPr>
          <w:rFonts w:ascii="Bookman Old Style" w:hAnsi="Bookman Old Style" w:cs="Arial"/>
          <w:lang w:val="es-CO" w:eastAsia="es-CO"/>
        </w:rPr>
        <w:t>quince (15) día</w:t>
      </w:r>
      <w:r w:rsidR="00A90D08" w:rsidRPr="00884F77">
        <w:rPr>
          <w:rFonts w:ascii="Bookman Old Style" w:hAnsi="Bookman Old Style" w:cs="Arial"/>
          <w:lang w:val="es-CO" w:eastAsia="es-CO"/>
        </w:rPr>
        <w:t>s</w:t>
      </w:r>
      <w:r w:rsidR="0075252C" w:rsidRPr="00884F77">
        <w:rPr>
          <w:rFonts w:ascii="Bookman Old Style" w:hAnsi="Bookman Old Style" w:cs="Arial"/>
          <w:lang w:val="es-CO" w:eastAsia="es-CO"/>
        </w:rPr>
        <w:t xml:space="preserve"> hábiles</w:t>
      </w:r>
      <w:r w:rsidRPr="00884F77">
        <w:rPr>
          <w:rFonts w:ascii="Bookman Old Style" w:hAnsi="Bookman Old Style" w:cs="Arial"/>
          <w:lang w:val="es-CO" w:eastAsia="es-CO"/>
        </w:rPr>
        <w:t xml:space="preserve"> siguientes a la publicación de la presente propuesta regulatoria en la página web de la Comisión. </w:t>
      </w:r>
    </w:p>
    <w:p w:rsidR="00717F8C" w:rsidRPr="00884F77" w:rsidRDefault="00717F8C" w:rsidP="00717F8C">
      <w:pPr>
        <w:widowControl w:val="0"/>
        <w:tabs>
          <w:tab w:val="left" w:pos="0"/>
        </w:tabs>
        <w:ind w:left="0" w:right="45"/>
        <w:contextualSpacing/>
        <w:jc w:val="both"/>
        <w:rPr>
          <w:rFonts w:ascii="Bookman Old Style" w:hAnsi="Bookman Old Style" w:cs="Arial"/>
          <w:lang w:val="es-CO"/>
        </w:rPr>
      </w:pPr>
    </w:p>
    <w:p w:rsidR="00717F8C" w:rsidRPr="00884F77" w:rsidRDefault="00717F8C" w:rsidP="00717F8C">
      <w:pPr>
        <w:widowControl w:val="0"/>
        <w:tabs>
          <w:tab w:val="left" w:pos="0"/>
        </w:tabs>
        <w:ind w:left="0" w:right="47"/>
        <w:contextualSpacing/>
        <w:jc w:val="both"/>
        <w:rPr>
          <w:rFonts w:ascii="Bookman Old Style" w:hAnsi="Bookman Old Style" w:cs="Arial"/>
        </w:rPr>
      </w:pPr>
      <w:r w:rsidRPr="00884F77">
        <w:rPr>
          <w:rFonts w:ascii="Bookman Old Style" w:hAnsi="Bookman Old Style" w:cs="Arial"/>
          <w:b/>
          <w:bCs/>
        </w:rPr>
        <w:t>ARTÍCULO 3</w:t>
      </w:r>
      <w:r w:rsidRPr="00884F77">
        <w:rPr>
          <w:rFonts w:ascii="Bookman Old Style" w:hAnsi="Bookman Old Style" w:cs="Arial"/>
        </w:rPr>
        <w:t xml:space="preserve">. Las observaciones y sugerencias sobre el proyecto deberán dirigirse al Director Ejecutivo de la Comisión, a la siguiente dirección: avenida calle 116 No. 7-15, Edificio Torre </w:t>
      </w:r>
      <w:proofErr w:type="spellStart"/>
      <w:r w:rsidRPr="00884F77">
        <w:rPr>
          <w:rFonts w:ascii="Bookman Old Style" w:hAnsi="Bookman Old Style" w:cs="Arial"/>
        </w:rPr>
        <w:t>Cusezar</w:t>
      </w:r>
      <w:proofErr w:type="spellEnd"/>
      <w:r w:rsidRPr="00884F77">
        <w:rPr>
          <w:rFonts w:ascii="Bookman Old Style" w:hAnsi="Bookman Old Style" w:cs="Arial"/>
        </w:rPr>
        <w:t xml:space="preserve">, Interior 2, oficina 901 o al correo electrónico </w:t>
      </w:r>
      <w:hyperlink r:id="rId10" w:history="1">
        <w:r w:rsidRPr="00884F77">
          <w:rPr>
            <w:rStyle w:val="Hipervnculo"/>
            <w:rFonts w:ascii="Bookman Old Style" w:hAnsi="Bookman Old Style" w:cs="Arial"/>
            <w:color w:val="auto"/>
          </w:rPr>
          <w:t>creg@creg.gov.co</w:t>
        </w:r>
      </w:hyperlink>
      <w:r w:rsidRPr="00884F77">
        <w:rPr>
          <w:rFonts w:ascii="Bookman Old Style" w:hAnsi="Bookman Old Style" w:cs="Arial"/>
        </w:rPr>
        <w:t xml:space="preserve">.  </w:t>
      </w:r>
    </w:p>
    <w:p w:rsidR="00717F8C" w:rsidRPr="00884F77" w:rsidRDefault="00717F8C" w:rsidP="00717F8C">
      <w:pPr>
        <w:widowControl w:val="0"/>
        <w:tabs>
          <w:tab w:val="left" w:pos="0"/>
        </w:tabs>
        <w:ind w:left="0" w:right="47"/>
        <w:contextualSpacing/>
        <w:jc w:val="both"/>
        <w:rPr>
          <w:rFonts w:ascii="Bookman Old Style" w:hAnsi="Bookman Old Style" w:cs="Arial"/>
        </w:rPr>
      </w:pPr>
    </w:p>
    <w:p w:rsidR="00717F8C" w:rsidRPr="00884F77" w:rsidRDefault="00717F8C" w:rsidP="00717F8C">
      <w:pPr>
        <w:widowControl w:val="0"/>
        <w:tabs>
          <w:tab w:val="left" w:pos="0"/>
        </w:tabs>
        <w:ind w:left="0" w:right="47"/>
        <w:contextualSpacing/>
        <w:jc w:val="both"/>
        <w:rPr>
          <w:rFonts w:ascii="Bookman Old Style" w:hAnsi="Bookman Old Style" w:cs="Arial"/>
        </w:rPr>
      </w:pPr>
      <w:r w:rsidRPr="00884F77">
        <w:rPr>
          <w:rFonts w:ascii="Bookman Old Style" w:hAnsi="Bookman Old Style" w:cs="Arial"/>
          <w:b/>
          <w:bCs/>
        </w:rPr>
        <w:t>ARTÍCULO 4</w:t>
      </w:r>
      <w:r w:rsidRPr="00884F77">
        <w:rPr>
          <w:rFonts w:ascii="Bookman Old Style" w:hAnsi="Bookman Old Style" w:cs="Arial"/>
        </w:rPr>
        <w:t>. La presente resolución no deroga disposiciones vigentes por tratarse de un acto de trámite.</w:t>
      </w:r>
    </w:p>
    <w:p w:rsidR="00717F8C" w:rsidRPr="00884F77" w:rsidRDefault="00717F8C" w:rsidP="00717F8C">
      <w:pPr>
        <w:widowControl w:val="0"/>
        <w:adjustRightInd w:val="0"/>
        <w:ind w:left="0"/>
        <w:contextualSpacing/>
        <w:textAlignment w:val="baseline"/>
        <w:rPr>
          <w:rFonts w:ascii="Bookman Old Style" w:hAnsi="Bookman Old Style"/>
        </w:rPr>
      </w:pPr>
    </w:p>
    <w:p w:rsidR="00717F8C" w:rsidRPr="00884F77" w:rsidRDefault="00717F8C" w:rsidP="00717F8C">
      <w:pPr>
        <w:widowControl w:val="0"/>
        <w:contextualSpacing/>
        <w:jc w:val="center"/>
        <w:rPr>
          <w:rFonts w:ascii="Bookman Old Style" w:hAnsi="Bookman Old Style"/>
          <w:b/>
        </w:rPr>
      </w:pPr>
      <w:r w:rsidRPr="00884F77">
        <w:rPr>
          <w:rFonts w:ascii="Bookman Old Style" w:hAnsi="Bookman Old Style"/>
          <w:b/>
        </w:rPr>
        <w:t>PUBLÍQUESE Y CÚMPLASE</w:t>
      </w:r>
    </w:p>
    <w:p w:rsidR="00717F8C" w:rsidRPr="00884F77" w:rsidRDefault="00717F8C" w:rsidP="00717F8C">
      <w:pPr>
        <w:widowControl w:val="0"/>
        <w:ind w:left="0"/>
        <w:contextualSpacing/>
        <w:rPr>
          <w:rFonts w:ascii="Bookman Old Style" w:hAnsi="Bookman Old Style"/>
        </w:rPr>
      </w:pPr>
    </w:p>
    <w:p w:rsidR="00717F8C" w:rsidRPr="00884F77" w:rsidRDefault="00717F8C" w:rsidP="00717F8C">
      <w:pPr>
        <w:widowControl w:val="0"/>
        <w:ind w:left="0"/>
        <w:contextualSpacing/>
        <w:rPr>
          <w:rFonts w:ascii="Bookman Old Style" w:hAnsi="Bookman Old Style"/>
        </w:rPr>
      </w:pPr>
      <w:r w:rsidRPr="00884F77">
        <w:rPr>
          <w:rFonts w:ascii="Bookman Old Style" w:hAnsi="Bookman Old Style"/>
        </w:rPr>
        <w:t>Dada en Bogotá D.C., a</w:t>
      </w:r>
    </w:p>
    <w:p w:rsidR="00717F8C" w:rsidRPr="00884F77" w:rsidRDefault="00717F8C" w:rsidP="00717F8C">
      <w:pPr>
        <w:widowControl w:val="0"/>
        <w:ind w:left="0"/>
        <w:contextualSpacing/>
        <w:rPr>
          <w:rFonts w:ascii="Bookman Old Style" w:hAnsi="Bookman Old Style"/>
        </w:rPr>
      </w:pPr>
    </w:p>
    <w:p w:rsidR="00717F8C" w:rsidRPr="00884F77" w:rsidRDefault="00717F8C" w:rsidP="00717F8C">
      <w:pPr>
        <w:widowControl w:val="0"/>
        <w:ind w:left="0"/>
        <w:contextualSpacing/>
        <w:rPr>
          <w:rFonts w:ascii="Bookman Old Style" w:hAnsi="Bookman Old Style"/>
        </w:rPr>
      </w:pPr>
    </w:p>
    <w:p w:rsidR="00717F8C" w:rsidRPr="00884F77" w:rsidRDefault="00717F8C" w:rsidP="00717F8C">
      <w:pPr>
        <w:widowControl w:val="0"/>
        <w:ind w:left="0"/>
        <w:contextualSpacing/>
        <w:rPr>
          <w:rFonts w:ascii="Bookman Old Style" w:hAnsi="Bookman Old Style"/>
        </w:rPr>
      </w:pPr>
    </w:p>
    <w:p w:rsidR="00717F8C" w:rsidRPr="00884F77" w:rsidRDefault="00717F8C" w:rsidP="00717F8C">
      <w:pPr>
        <w:widowControl w:val="0"/>
        <w:ind w:left="0"/>
        <w:contextualSpacing/>
        <w:rPr>
          <w:rFonts w:ascii="Bookman Old Style" w:hAnsi="Bookman Old Style"/>
        </w:rPr>
      </w:pPr>
    </w:p>
    <w:p w:rsidR="00717F8C" w:rsidRPr="00884F77" w:rsidRDefault="00717F8C" w:rsidP="00717F8C">
      <w:pPr>
        <w:widowControl w:val="0"/>
        <w:ind w:left="0"/>
        <w:contextualSpacing/>
        <w:rPr>
          <w:rFonts w:ascii="Bookman Old Style" w:hAnsi="Bookman Old Style"/>
        </w:rPr>
      </w:pPr>
    </w:p>
    <w:tbl>
      <w:tblPr>
        <w:tblW w:w="9496" w:type="dxa"/>
        <w:jc w:val="center"/>
        <w:tblLayout w:type="fixed"/>
        <w:tblCellMar>
          <w:left w:w="70" w:type="dxa"/>
          <w:right w:w="70" w:type="dxa"/>
        </w:tblCellMar>
        <w:tblLook w:val="0000" w:firstRow="0" w:lastRow="0" w:firstColumn="0" w:lastColumn="0" w:noHBand="0" w:noVBand="0"/>
      </w:tblPr>
      <w:tblGrid>
        <w:gridCol w:w="5067"/>
        <w:gridCol w:w="4429"/>
      </w:tblGrid>
      <w:tr w:rsidR="00717F8C" w:rsidRPr="00884F77" w:rsidTr="00F042E1">
        <w:trPr>
          <w:jc w:val="center"/>
        </w:trPr>
        <w:tc>
          <w:tcPr>
            <w:tcW w:w="5067" w:type="dxa"/>
          </w:tcPr>
          <w:p w:rsidR="00E64321" w:rsidRPr="00884F77" w:rsidRDefault="00E64321" w:rsidP="00F042E1">
            <w:pPr>
              <w:tabs>
                <w:tab w:val="left" w:pos="-720"/>
              </w:tabs>
              <w:suppressAutoHyphens/>
              <w:ind w:left="0"/>
              <w:jc w:val="center"/>
              <w:rPr>
                <w:rFonts w:ascii="Bookman Old Style" w:hAnsi="Bookman Old Style" w:cs="Arial"/>
                <w:b/>
                <w:spacing w:val="-3"/>
              </w:rPr>
            </w:pPr>
            <w:r w:rsidRPr="00884F77">
              <w:rPr>
                <w:rFonts w:ascii="Bookman Old Style" w:hAnsi="Bookman Old Style" w:cs="Arial"/>
                <w:b/>
                <w:spacing w:val="-3"/>
              </w:rPr>
              <w:t xml:space="preserve">RUTTY PAOLA ORTIZ JARA </w:t>
            </w:r>
          </w:p>
          <w:p w:rsidR="00717F8C" w:rsidRDefault="00E64321" w:rsidP="00F042E1">
            <w:pPr>
              <w:tabs>
                <w:tab w:val="left" w:pos="-720"/>
              </w:tabs>
              <w:suppressAutoHyphens/>
              <w:ind w:left="0"/>
              <w:jc w:val="center"/>
              <w:rPr>
                <w:rFonts w:ascii="Bookman Old Style" w:hAnsi="Bookman Old Style"/>
              </w:rPr>
            </w:pPr>
            <w:r w:rsidRPr="00884F77">
              <w:rPr>
                <w:rFonts w:ascii="Bookman Old Style" w:hAnsi="Bookman Old Style" w:cs="Arial"/>
                <w:spacing w:val="-3"/>
              </w:rPr>
              <w:t>Vicem</w:t>
            </w:r>
            <w:r w:rsidRPr="00884F77">
              <w:rPr>
                <w:rFonts w:ascii="Bookman Old Style" w:hAnsi="Bookman Old Style"/>
              </w:rPr>
              <w:t>inistra</w:t>
            </w:r>
            <w:r w:rsidR="00717F8C" w:rsidRPr="00884F77">
              <w:rPr>
                <w:rFonts w:ascii="Bookman Old Style" w:hAnsi="Bookman Old Style"/>
              </w:rPr>
              <w:t xml:space="preserve"> de Energía</w:t>
            </w:r>
          </w:p>
          <w:p w:rsidR="0070227B" w:rsidRPr="00884F77" w:rsidRDefault="0070227B" w:rsidP="00F042E1">
            <w:pPr>
              <w:tabs>
                <w:tab w:val="left" w:pos="-720"/>
              </w:tabs>
              <w:suppressAutoHyphens/>
              <w:ind w:left="0"/>
              <w:jc w:val="center"/>
              <w:rPr>
                <w:rFonts w:ascii="Bookman Old Style" w:hAnsi="Bookman Old Style"/>
              </w:rPr>
            </w:pPr>
            <w:r>
              <w:rPr>
                <w:rFonts w:ascii="Bookman Old Style" w:hAnsi="Bookman Old Style"/>
              </w:rPr>
              <w:t>Delegada del Ministro de Minas y Energía</w:t>
            </w:r>
          </w:p>
          <w:p w:rsidR="00717F8C" w:rsidRPr="00884F77" w:rsidRDefault="00717F8C" w:rsidP="00F042E1">
            <w:pPr>
              <w:tabs>
                <w:tab w:val="left" w:pos="-720"/>
              </w:tabs>
              <w:suppressAutoHyphens/>
              <w:ind w:left="0"/>
              <w:jc w:val="center"/>
              <w:rPr>
                <w:rFonts w:ascii="Bookman Old Style" w:hAnsi="Bookman Old Style" w:cs="Arial"/>
                <w:b/>
                <w:strike/>
                <w:spacing w:val="-3"/>
              </w:rPr>
            </w:pPr>
            <w:r w:rsidRPr="00884F77">
              <w:t xml:space="preserve"> </w:t>
            </w:r>
            <w:r w:rsidRPr="00884F77">
              <w:rPr>
                <w:rFonts w:ascii="Bookman Old Style" w:hAnsi="Bookman Old Style"/>
              </w:rPr>
              <w:t>Presidente</w:t>
            </w:r>
          </w:p>
        </w:tc>
        <w:tc>
          <w:tcPr>
            <w:tcW w:w="4429" w:type="dxa"/>
          </w:tcPr>
          <w:p w:rsidR="00717F8C" w:rsidRPr="00884F77" w:rsidRDefault="00717F8C" w:rsidP="00F042E1">
            <w:pPr>
              <w:tabs>
                <w:tab w:val="left" w:pos="-720"/>
              </w:tabs>
              <w:suppressAutoHyphens/>
              <w:ind w:left="0"/>
              <w:jc w:val="center"/>
              <w:rPr>
                <w:rFonts w:ascii="Bookman Old Style" w:hAnsi="Bookman Old Style" w:cs="Arial"/>
                <w:b/>
              </w:rPr>
            </w:pPr>
            <w:r w:rsidRPr="00884F77">
              <w:rPr>
                <w:rFonts w:ascii="Bookman Old Style" w:hAnsi="Bookman Old Style" w:cs="Arial"/>
                <w:b/>
              </w:rPr>
              <w:t>GERMÁN CASTRO FERREIRA</w:t>
            </w:r>
          </w:p>
          <w:p w:rsidR="00717F8C" w:rsidRPr="00884F77" w:rsidRDefault="00717F8C" w:rsidP="00F042E1">
            <w:pPr>
              <w:tabs>
                <w:tab w:val="left" w:pos="-720"/>
              </w:tabs>
              <w:suppressAutoHyphens/>
              <w:ind w:left="0"/>
              <w:jc w:val="center"/>
              <w:rPr>
                <w:rFonts w:ascii="Bookman Old Style" w:hAnsi="Bookman Old Style" w:cs="Arial"/>
                <w:b/>
                <w:spacing w:val="-3"/>
              </w:rPr>
            </w:pPr>
            <w:r w:rsidRPr="00884F77">
              <w:rPr>
                <w:rFonts w:ascii="Bookman Old Style" w:hAnsi="Bookman Old Style" w:cs="Arial"/>
                <w:spacing w:val="-3"/>
              </w:rPr>
              <w:t>Director Ejecutivo</w:t>
            </w:r>
          </w:p>
        </w:tc>
      </w:tr>
    </w:tbl>
    <w:p w:rsidR="00717F8C" w:rsidRPr="00884F77" w:rsidRDefault="00717F8C" w:rsidP="00717F8C">
      <w:pPr>
        <w:tabs>
          <w:tab w:val="left" w:pos="0"/>
          <w:tab w:val="center" w:pos="4252"/>
          <w:tab w:val="right" w:pos="9356"/>
        </w:tabs>
        <w:ind w:left="0"/>
        <w:contextualSpacing/>
        <w:jc w:val="both"/>
        <w:rPr>
          <w:rFonts w:ascii="Bookman Old Style" w:hAnsi="Bookman Old Style"/>
          <w:lang w:val="es-CO"/>
        </w:rPr>
      </w:pPr>
    </w:p>
    <w:p w:rsidR="00717F8C" w:rsidRPr="00884F77" w:rsidRDefault="00717F8C" w:rsidP="00717F8C">
      <w:pPr>
        <w:ind w:left="0"/>
        <w:contextualSpacing/>
        <w:jc w:val="both"/>
        <w:rPr>
          <w:rFonts w:ascii="Bookman Old Style" w:hAnsi="Bookman Old Style"/>
        </w:rPr>
      </w:pPr>
    </w:p>
    <w:p w:rsidR="00717F8C" w:rsidRPr="00884F77" w:rsidRDefault="00717F8C" w:rsidP="00717F8C">
      <w:pPr>
        <w:ind w:left="0"/>
        <w:contextualSpacing/>
        <w:jc w:val="both"/>
        <w:rPr>
          <w:rFonts w:ascii="Bookman Old Style" w:hAnsi="Bookman Old Style"/>
        </w:rPr>
      </w:pPr>
    </w:p>
    <w:p w:rsidR="00717F8C" w:rsidRPr="00884F77" w:rsidRDefault="00717F8C" w:rsidP="00717F8C">
      <w:pPr>
        <w:ind w:left="0"/>
        <w:contextualSpacing/>
        <w:jc w:val="both"/>
        <w:rPr>
          <w:rFonts w:ascii="Bookman Old Style" w:hAnsi="Bookman Old Style"/>
        </w:rPr>
      </w:pPr>
    </w:p>
    <w:p w:rsidR="00717F8C" w:rsidRPr="00884F77" w:rsidRDefault="00717F8C" w:rsidP="00717F8C">
      <w:pPr>
        <w:ind w:left="0"/>
        <w:rPr>
          <w:rFonts w:ascii="Bookman Old Style" w:hAnsi="Bookman Old Style"/>
        </w:rPr>
      </w:pPr>
      <w:r w:rsidRPr="00884F77">
        <w:rPr>
          <w:rFonts w:ascii="Bookman Old Style" w:hAnsi="Bookman Old Style"/>
        </w:rPr>
        <w:br w:type="page"/>
      </w:r>
    </w:p>
    <w:p w:rsidR="00717F8C" w:rsidRPr="00884F77" w:rsidRDefault="00717F8C" w:rsidP="00717F8C">
      <w:pPr>
        <w:ind w:left="0"/>
        <w:contextualSpacing/>
        <w:rPr>
          <w:rFonts w:ascii="Bookman Old Style" w:hAnsi="Bookman Old Style"/>
          <w:bCs/>
          <w:lang w:val="es-CO"/>
        </w:rPr>
      </w:pPr>
    </w:p>
    <w:p w:rsidR="00717F8C" w:rsidRPr="00884F77" w:rsidRDefault="00717F8C" w:rsidP="00717F8C">
      <w:pPr>
        <w:keepNext/>
        <w:tabs>
          <w:tab w:val="left" w:pos="0"/>
          <w:tab w:val="right" w:pos="9356"/>
        </w:tabs>
        <w:ind w:left="0"/>
        <w:contextualSpacing/>
        <w:jc w:val="center"/>
        <w:outlineLvl w:val="2"/>
        <w:rPr>
          <w:rFonts w:ascii="Bookman Old Style" w:hAnsi="Bookman Old Style"/>
          <w:b/>
          <w:snapToGrid w:val="0"/>
          <w:lang w:val="es-ES_tradnl"/>
        </w:rPr>
      </w:pPr>
      <w:r w:rsidRPr="00884F77">
        <w:rPr>
          <w:rFonts w:ascii="Bookman Old Style" w:hAnsi="Bookman Old Style"/>
          <w:b/>
          <w:snapToGrid w:val="0"/>
          <w:lang w:val="es-ES_tradnl"/>
        </w:rPr>
        <w:t>PROYECTO DE RESOLUCIÓN</w:t>
      </w:r>
    </w:p>
    <w:p w:rsidR="00717F8C" w:rsidRDefault="00717F8C" w:rsidP="00D2741A">
      <w:pPr>
        <w:ind w:left="0"/>
        <w:jc w:val="center"/>
        <w:rPr>
          <w:rFonts w:ascii="Bookman Old Style" w:hAnsi="Bookman Old Style" w:cs="Arial"/>
        </w:rPr>
      </w:pPr>
    </w:p>
    <w:p w:rsidR="0070227B" w:rsidRPr="00884F77" w:rsidRDefault="0070227B" w:rsidP="00D2741A">
      <w:pPr>
        <w:ind w:left="0"/>
        <w:jc w:val="center"/>
        <w:rPr>
          <w:rFonts w:ascii="Bookman Old Style" w:hAnsi="Bookman Old Style" w:cs="Arial"/>
        </w:rPr>
      </w:pPr>
    </w:p>
    <w:p w:rsidR="00936101" w:rsidRPr="00884F77" w:rsidRDefault="00936101" w:rsidP="00D2741A">
      <w:pPr>
        <w:ind w:left="0"/>
        <w:jc w:val="center"/>
        <w:rPr>
          <w:rFonts w:ascii="Bookman Old Style" w:hAnsi="Bookman Old Style"/>
        </w:rPr>
      </w:pPr>
      <w:r w:rsidRPr="00884F77">
        <w:rPr>
          <w:rFonts w:ascii="Bookman Old Style" w:hAnsi="Bookman Old Style" w:cs="Arial"/>
        </w:rPr>
        <w:t xml:space="preserve">Por la cual se </w:t>
      </w:r>
      <w:r w:rsidR="00A90D08" w:rsidRPr="00884F77">
        <w:rPr>
          <w:rFonts w:ascii="Bookman Old Style" w:hAnsi="Bookman Old Style" w:cs="Arial"/>
        </w:rPr>
        <w:t>modifica la Resolución CREG 076 de 2016</w:t>
      </w:r>
    </w:p>
    <w:p w:rsidR="00936101" w:rsidRPr="00884F77" w:rsidRDefault="00936101" w:rsidP="00E64117">
      <w:pPr>
        <w:ind w:left="0" w:right="51"/>
        <w:rPr>
          <w:rFonts w:ascii="Bookman Old Style" w:hAnsi="Bookman Old Style"/>
        </w:rPr>
      </w:pPr>
    </w:p>
    <w:p w:rsidR="00936101" w:rsidRPr="00884F77" w:rsidRDefault="00936101" w:rsidP="00E64117">
      <w:pPr>
        <w:ind w:left="0" w:right="51"/>
        <w:rPr>
          <w:rFonts w:ascii="Bookman Old Style" w:hAnsi="Bookman Old Style"/>
        </w:rPr>
      </w:pPr>
    </w:p>
    <w:p w:rsidR="00936101" w:rsidRPr="00884F77" w:rsidRDefault="00936101" w:rsidP="00936101">
      <w:pPr>
        <w:ind w:right="51"/>
        <w:jc w:val="center"/>
        <w:rPr>
          <w:rFonts w:ascii="Bookman Old Style" w:hAnsi="Bookman Old Style"/>
          <w:b/>
        </w:rPr>
      </w:pPr>
      <w:r w:rsidRPr="00884F77">
        <w:rPr>
          <w:rFonts w:ascii="Bookman Old Style" w:hAnsi="Bookman Old Style"/>
          <w:b/>
        </w:rPr>
        <w:t>LA COMISIÓN DE REGULACIÓN DE ENERGÍA Y GAS</w:t>
      </w:r>
    </w:p>
    <w:p w:rsidR="00936101" w:rsidRPr="00884F77" w:rsidRDefault="00936101" w:rsidP="00936101">
      <w:pPr>
        <w:ind w:left="0" w:right="51"/>
        <w:rPr>
          <w:rFonts w:ascii="Bookman Old Style" w:hAnsi="Bookman Old Style"/>
        </w:rPr>
      </w:pPr>
    </w:p>
    <w:p w:rsidR="00936101" w:rsidRPr="00884F77" w:rsidRDefault="00936101" w:rsidP="00936101">
      <w:pPr>
        <w:ind w:left="0" w:right="51"/>
        <w:rPr>
          <w:rFonts w:ascii="Bookman Old Style" w:hAnsi="Bookman Old Style"/>
        </w:rPr>
      </w:pPr>
    </w:p>
    <w:p w:rsidR="00936101" w:rsidRPr="00884F77" w:rsidRDefault="00936101" w:rsidP="00936101">
      <w:pPr>
        <w:pStyle w:val="Textoindependiente3"/>
        <w:ind w:left="0"/>
        <w:rPr>
          <w:rFonts w:ascii="Bookman Old Style" w:hAnsi="Bookman Old Style"/>
          <w:b w:val="0"/>
        </w:rPr>
      </w:pPr>
      <w:r w:rsidRPr="00884F77">
        <w:rPr>
          <w:rFonts w:ascii="Bookman Old Style" w:hAnsi="Bookman Old Style"/>
          <w:b w:val="0"/>
        </w:rPr>
        <w:t>En ejercicio de sus atribuciones legales, en especial las conferidas por las leyes 142 y 143 d</w:t>
      </w:r>
      <w:r w:rsidR="001B2C9B" w:rsidRPr="00884F77">
        <w:rPr>
          <w:rFonts w:ascii="Bookman Old Style" w:hAnsi="Bookman Old Style"/>
          <w:b w:val="0"/>
        </w:rPr>
        <w:t>e 1994, y en desarrollo de los D</w:t>
      </w:r>
      <w:r w:rsidRPr="00884F77">
        <w:rPr>
          <w:rFonts w:ascii="Bookman Old Style" w:hAnsi="Bookman Old Style"/>
          <w:b w:val="0"/>
        </w:rPr>
        <w:t>ecretos 1524 y 2253 de 1994</w:t>
      </w:r>
      <w:r w:rsidR="00050B1C" w:rsidRPr="00884F77">
        <w:rPr>
          <w:rFonts w:ascii="Bookman Old Style" w:hAnsi="Bookman Old Style"/>
          <w:b w:val="0"/>
        </w:rPr>
        <w:t xml:space="preserve"> y 1260 de 2013</w:t>
      </w:r>
      <w:r w:rsidRPr="00884F77">
        <w:rPr>
          <w:rFonts w:ascii="Bookman Old Style" w:hAnsi="Bookman Old Style"/>
          <w:b w:val="0"/>
        </w:rPr>
        <w:t>.</w:t>
      </w:r>
    </w:p>
    <w:p w:rsidR="00936101" w:rsidRDefault="00936101" w:rsidP="00E64117">
      <w:pPr>
        <w:ind w:left="0" w:right="51"/>
        <w:rPr>
          <w:rFonts w:ascii="Bookman Old Style" w:hAnsi="Bookman Old Style"/>
        </w:rPr>
      </w:pPr>
    </w:p>
    <w:p w:rsidR="0070227B" w:rsidRPr="00884F77" w:rsidRDefault="0070227B" w:rsidP="00E64117">
      <w:pPr>
        <w:ind w:left="0" w:right="51"/>
        <w:rPr>
          <w:rFonts w:ascii="Bookman Old Style" w:hAnsi="Bookman Old Style"/>
        </w:rPr>
      </w:pPr>
    </w:p>
    <w:p w:rsidR="00936101" w:rsidRPr="00884F77" w:rsidRDefault="007C6E84" w:rsidP="00936101">
      <w:pPr>
        <w:ind w:right="51"/>
        <w:jc w:val="center"/>
        <w:rPr>
          <w:rFonts w:ascii="Bookman Old Style" w:hAnsi="Bookman Old Style"/>
          <w:b/>
        </w:rPr>
      </w:pPr>
      <w:r w:rsidRPr="00884F77">
        <w:rPr>
          <w:rFonts w:ascii="Bookman Old Style" w:hAnsi="Bookman Old Style"/>
          <w:b/>
        </w:rPr>
        <w:t xml:space="preserve">C O N S I D E R A N D O </w:t>
      </w:r>
      <w:r w:rsidR="00936101" w:rsidRPr="00884F77">
        <w:rPr>
          <w:rFonts w:ascii="Bookman Old Style" w:hAnsi="Bookman Old Style"/>
          <w:b/>
        </w:rPr>
        <w:t>Q U E:</w:t>
      </w:r>
    </w:p>
    <w:p w:rsidR="00936101" w:rsidRDefault="00936101" w:rsidP="00936101">
      <w:pPr>
        <w:ind w:left="0"/>
        <w:jc w:val="both"/>
        <w:rPr>
          <w:rFonts w:ascii="Bookman Old Style" w:hAnsi="Bookman Old Style"/>
        </w:rPr>
      </w:pPr>
    </w:p>
    <w:p w:rsidR="0070227B" w:rsidRPr="00884F77" w:rsidRDefault="0070227B" w:rsidP="00936101">
      <w:pPr>
        <w:ind w:left="0"/>
        <w:jc w:val="both"/>
        <w:rPr>
          <w:rFonts w:ascii="Bookman Old Style" w:hAnsi="Bookman Old Style"/>
        </w:rPr>
      </w:pPr>
    </w:p>
    <w:p w:rsidR="00050B1C" w:rsidRPr="00884F77" w:rsidRDefault="00050B1C" w:rsidP="00050B1C">
      <w:pPr>
        <w:ind w:left="0"/>
        <w:jc w:val="both"/>
        <w:rPr>
          <w:rFonts w:ascii="Bookman Old Style" w:hAnsi="Bookman Old Style" w:cs="Arial"/>
          <w:spacing w:val="-3"/>
        </w:rPr>
      </w:pPr>
      <w:r w:rsidRPr="00884F77">
        <w:rPr>
          <w:rFonts w:ascii="Bookman Old Style" w:hAnsi="Bookman Old Style" w:cs="Arial"/>
        </w:rPr>
        <w:t>Según el</w:t>
      </w:r>
      <w:r w:rsidRPr="00884F77">
        <w:rPr>
          <w:rFonts w:ascii="Bookman Old Style" w:hAnsi="Bookman Old Style" w:cs="Arial"/>
          <w:lang w:val="pt-BR"/>
        </w:rPr>
        <w:t xml:space="preserve"> </w:t>
      </w:r>
      <w:r w:rsidRPr="00884F77">
        <w:rPr>
          <w:rFonts w:ascii="Bookman Old Style" w:hAnsi="Bookman Old Style" w:cs="Arial"/>
        </w:rPr>
        <w:t xml:space="preserve">Artículo 74.1 de la Ley 142 de 1994 la Comisión de Regulación de Energía y Gas es competente para </w:t>
      </w:r>
      <w:r w:rsidRPr="00884F77">
        <w:rPr>
          <w:rFonts w:ascii="Bookman Old Style" w:hAnsi="Bookman Old Style" w:cs="Arial"/>
          <w:spacing w:val="-3"/>
        </w:rPr>
        <w:t>regular el ejercicio de las actividades de los sectores de energía y gas combustible.</w:t>
      </w:r>
    </w:p>
    <w:p w:rsidR="00050B1C" w:rsidRPr="00884F77" w:rsidRDefault="00050B1C" w:rsidP="00050B1C">
      <w:pPr>
        <w:ind w:left="0"/>
        <w:jc w:val="both"/>
        <w:rPr>
          <w:rFonts w:ascii="Bookman Old Style" w:hAnsi="Bookman Old Style" w:cs="Arial"/>
        </w:rPr>
      </w:pPr>
    </w:p>
    <w:p w:rsidR="00050B1C" w:rsidRPr="00884F77" w:rsidRDefault="00050B1C" w:rsidP="00050B1C">
      <w:pPr>
        <w:ind w:left="0"/>
        <w:jc w:val="both"/>
        <w:rPr>
          <w:rFonts w:ascii="Bookman Old Style" w:hAnsi="Bookman Old Style" w:cs="Arial"/>
        </w:rPr>
      </w:pPr>
      <w:r w:rsidRPr="00884F77">
        <w:rPr>
          <w:rFonts w:ascii="Bookman Old Style" w:hAnsi="Bookman Old Style" w:cs="Arial"/>
        </w:rPr>
        <w:t>La Comisión de Regulación de Energía y Gas tiene la función de regular los monopolios en la prestación del servicio público domiciliario de energía eléctrica,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r w:rsidRPr="00884F77">
        <w:rPr>
          <w:rFonts w:ascii="Bookman Old Style" w:hAnsi="Bookman Old Style" w:cs="Arial"/>
          <w:spacing w:val="-3"/>
        </w:rPr>
        <w:t>.</w:t>
      </w:r>
    </w:p>
    <w:p w:rsidR="00050B1C" w:rsidRPr="00884F77" w:rsidRDefault="00050B1C" w:rsidP="00050B1C">
      <w:pPr>
        <w:ind w:left="0"/>
        <w:jc w:val="both"/>
        <w:rPr>
          <w:rFonts w:ascii="Bookman Old Style" w:hAnsi="Bookman Old Style" w:cs="Arial"/>
        </w:rPr>
      </w:pPr>
    </w:p>
    <w:p w:rsidR="00050B1C" w:rsidRPr="00884F77" w:rsidRDefault="00050B1C" w:rsidP="00050B1C">
      <w:pPr>
        <w:ind w:left="0"/>
        <w:jc w:val="both"/>
        <w:rPr>
          <w:rFonts w:ascii="Bookman Old Style" w:hAnsi="Bookman Old Style" w:cs="Arial"/>
        </w:rPr>
      </w:pPr>
      <w:r w:rsidRPr="00884F77">
        <w:rPr>
          <w:rFonts w:ascii="Bookman Old Style" w:hAnsi="Bookman Old Style" w:cs="Arial"/>
        </w:rPr>
        <w:t>De conformidad con el parágrafo 1° del artículo 40 de la Ley 142 de 1994, la CREG debe definir, por vía general, cómo se verifica la existencia de los motivos que permiten la inclusión de áreas de servicio exclusivo en los contratos para la prestación del servicio público domiciliario de energía eléctrica, así como los lineamientos generales y las condiciones a las cuales deben someterse ellos; y antes de que se abra una licitación que incluya estas cláusulas dentro de los contratos propuestos, verificará que ellas sean indispensables para asegurar la viabilidad financiera de la extensión de la cobertura a las personas de menores ingresos.</w:t>
      </w:r>
    </w:p>
    <w:p w:rsidR="00120D3D" w:rsidRPr="00884F77" w:rsidRDefault="00120D3D" w:rsidP="00120D3D">
      <w:pPr>
        <w:ind w:left="0"/>
        <w:jc w:val="both"/>
        <w:rPr>
          <w:rFonts w:ascii="Bookman Old Style" w:hAnsi="Bookman Old Style" w:cs="Arial"/>
        </w:rPr>
      </w:pPr>
    </w:p>
    <w:p w:rsidR="00120D3D" w:rsidRPr="00884F77" w:rsidRDefault="00120D3D" w:rsidP="00120D3D">
      <w:pPr>
        <w:ind w:left="0"/>
        <w:jc w:val="both"/>
        <w:rPr>
          <w:rFonts w:ascii="Bookman Old Style" w:hAnsi="Bookman Old Style" w:cs="Arial"/>
        </w:rPr>
      </w:pPr>
      <w:r w:rsidRPr="00884F77">
        <w:rPr>
          <w:rFonts w:ascii="Bookman Old Style" w:hAnsi="Bookman Old Style" w:cs="Arial"/>
        </w:rPr>
        <w:t>De conformidad con el artículo 74 de la Ley 143 de 1994 las empresas prestadoras del servicio público de energía eléctrica localizadas en las Zonas No Interconectadas podrán desarrollar en forma integrada las actividades de generación, distribución y comercialización.</w:t>
      </w:r>
    </w:p>
    <w:p w:rsidR="00050B1C" w:rsidRPr="00884F77" w:rsidRDefault="00050B1C" w:rsidP="00050B1C">
      <w:pPr>
        <w:ind w:left="0"/>
        <w:jc w:val="both"/>
        <w:rPr>
          <w:rFonts w:ascii="Bookman Old Style" w:hAnsi="Bookman Old Style" w:cs="Arial"/>
        </w:rPr>
      </w:pPr>
    </w:p>
    <w:p w:rsidR="00050B1C" w:rsidRPr="00884F77" w:rsidRDefault="00050B1C" w:rsidP="00050B1C">
      <w:pPr>
        <w:ind w:left="0"/>
        <w:jc w:val="both"/>
        <w:rPr>
          <w:rFonts w:ascii="Bookman Old Style" w:hAnsi="Bookman Old Style"/>
        </w:rPr>
      </w:pPr>
      <w:r w:rsidRPr="00884F77">
        <w:rPr>
          <w:rFonts w:ascii="Bookman Old Style" w:hAnsi="Bookman Old Style"/>
        </w:rPr>
        <w:t xml:space="preserve">El artículo 114 de la Ley 1450 de 2011 estableció que “el Ministerio de Minas y Energía continuará diseñando esquemas sostenibles de gestión para la prestación del servicio de energía eléctrica en las Zonas No Interconectadas. Para este propósito, podrá establecer </w:t>
      </w:r>
      <w:r w:rsidR="00120D3D" w:rsidRPr="00884F77">
        <w:rPr>
          <w:rFonts w:ascii="Bookman Old Style" w:hAnsi="Bookman Old Style"/>
        </w:rPr>
        <w:t>Áreas de Servicio E</w:t>
      </w:r>
      <w:r w:rsidRPr="00884F77">
        <w:rPr>
          <w:rFonts w:ascii="Bookman Old Style" w:hAnsi="Bookman Old Style"/>
        </w:rPr>
        <w:t xml:space="preserve">xclusivo para todas las actividades involucradas en el servicio de energía eléctrica”. </w:t>
      </w:r>
    </w:p>
    <w:p w:rsidR="00050B1C" w:rsidRPr="00884F77" w:rsidRDefault="00050B1C" w:rsidP="00050B1C">
      <w:pPr>
        <w:ind w:left="0" w:right="51"/>
        <w:jc w:val="both"/>
        <w:rPr>
          <w:rFonts w:ascii="Bookman Old Style" w:hAnsi="Bookman Old Style" w:cs="Arial"/>
        </w:rPr>
      </w:pPr>
    </w:p>
    <w:p w:rsidR="0070227B" w:rsidRDefault="0070227B" w:rsidP="00050B1C">
      <w:pPr>
        <w:ind w:left="0" w:right="51"/>
        <w:jc w:val="both"/>
        <w:rPr>
          <w:rFonts w:ascii="Bookman Old Style" w:hAnsi="Bookman Old Style"/>
          <w:spacing w:val="-3"/>
          <w:lang w:val="es-CO" w:eastAsia="es-CO"/>
        </w:rPr>
      </w:pPr>
    </w:p>
    <w:p w:rsidR="00050B1C" w:rsidRPr="00884F77" w:rsidRDefault="00050B1C" w:rsidP="00050B1C">
      <w:pPr>
        <w:ind w:left="0" w:right="51"/>
        <w:jc w:val="both"/>
        <w:rPr>
          <w:rFonts w:ascii="Bookman Old Style" w:hAnsi="Bookman Old Style"/>
        </w:rPr>
      </w:pPr>
      <w:r w:rsidRPr="00884F77">
        <w:rPr>
          <w:rFonts w:ascii="Bookman Old Style" w:hAnsi="Bookman Old Style"/>
          <w:spacing w:val="-3"/>
          <w:lang w:val="es-CO" w:eastAsia="es-CO"/>
        </w:rPr>
        <w:t>Mediante la Resolución CREG 027 de 2014 se sometió a con</w:t>
      </w:r>
      <w:r w:rsidR="00863981" w:rsidRPr="00884F77">
        <w:rPr>
          <w:rFonts w:ascii="Bookman Old Style" w:hAnsi="Bookman Old Style"/>
          <w:spacing w:val="-3"/>
          <w:lang w:val="es-CO" w:eastAsia="es-CO"/>
        </w:rPr>
        <w:t xml:space="preserve">sulta el proyecto de resolución </w:t>
      </w:r>
      <w:r w:rsidR="006B6F5F" w:rsidRPr="00884F77">
        <w:rPr>
          <w:rFonts w:ascii="Bookman Old Style" w:hAnsi="Bookman Old Style"/>
          <w:spacing w:val="-3"/>
          <w:lang w:val="es-CO" w:eastAsia="es-CO"/>
        </w:rPr>
        <w:t>“</w:t>
      </w:r>
      <w:r w:rsidRPr="00884F77">
        <w:rPr>
          <w:rFonts w:ascii="Bookman Old Style" w:hAnsi="Bookman Old Style"/>
          <w:spacing w:val="-3"/>
          <w:lang w:val="es-CO" w:eastAsia="es-CO"/>
        </w:rPr>
        <w:t xml:space="preserve">por el cual </w:t>
      </w:r>
      <w:r w:rsidRPr="00884F77">
        <w:rPr>
          <w:rFonts w:ascii="Bookman Old Style" w:hAnsi="Bookman Old Style" w:cs="Arial"/>
        </w:rPr>
        <w:t>se definen las reglas para verificar la</w:t>
      </w:r>
      <w:r w:rsidRPr="00884F77">
        <w:rPr>
          <w:rFonts w:ascii="Bookman Old Style" w:hAnsi="Bookman Old Style" w:cs="Arial"/>
          <w:szCs w:val="22"/>
        </w:rPr>
        <w:t xml:space="preserve"> existencia de los motivos que permiten la inclusión de áreas de servicio exclusivo en los contratos y los lineamientos generales y las condiciones a las cuales deben someterse ellos, para la prestación del servicio público domiciliario de energía eléctrica en las </w:t>
      </w:r>
      <w:r w:rsidR="00120D3D" w:rsidRPr="00884F77">
        <w:rPr>
          <w:rFonts w:ascii="Bookman Old Style" w:hAnsi="Bookman Old Style" w:cs="Arial"/>
          <w:szCs w:val="22"/>
        </w:rPr>
        <w:t>Z</w:t>
      </w:r>
      <w:r w:rsidRPr="00884F77">
        <w:rPr>
          <w:rFonts w:ascii="Bookman Old Style" w:hAnsi="Bookman Old Style" w:cs="Arial"/>
          <w:szCs w:val="22"/>
        </w:rPr>
        <w:t xml:space="preserve">onas </w:t>
      </w:r>
      <w:r w:rsidR="00120D3D" w:rsidRPr="00884F77">
        <w:rPr>
          <w:rFonts w:ascii="Bookman Old Style" w:hAnsi="Bookman Old Style" w:cs="Arial"/>
          <w:szCs w:val="22"/>
        </w:rPr>
        <w:t>No I</w:t>
      </w:r>
      <w:r w:rsidRPr="00884F77">
        <w:rPr>
          <w:rFonts w:ascii="Bookman Old Style" w:hAnsi="Bookman Old Style" w:cs="Arial"/>
          <w:szCs w:val="22"/>
        </w:rPr>
        <w:t>nterconectadas</w:t>
      </w:r>
      <w:r w:rsidR="006B6F5F" w:rsidRPr="00884F77">
        <w:rPr>
          <w:rFonts w:ascii="Bookman Old Style" w:hAnsi="Bookman Old Style" w:cs="Arial"/>
          <w:szCs w:val="22"/>
        </w:rPr>
        <w:t>”</w:t>
      </w:r>
      <w:r w:rsidRPr="00884F77">
        <w:rPr>
          <w:rFonts w:ascii="Bookman Old Style" w:hAnsi="Bookman Old Style"/>
          <w:i/>
        </w:rPr>
        <w:t xml:space="preserve">. </w:t>
      </w:r>
    </w:p>
    <w:p w:rsidR="00050B1C" w:rsidRPr="00884F77" w:rsidRDefault="00050B1C" w:rsidP="00050B1C">
      <w:pPr>
        <w:ind w:left="0" w:right="51"/>
        <w:jc w:val="both"/>
        <w:rPr>
          <w:rFonts w:ascii="Bookman Old Style" w:hAnsi="Bookman Old Style" w:cs="Arial"/>
          <w:lang w:val="es-CO"/>
        </w:rPr>
      </w:pPr>
    </w:p>
    <w:p w:rsidR="0090778E" w:rsidRPr="00884F77" w:rsidRDefault="0090778E" w:rsidP="0090778E">
      <w:pPr>
        <w:ind w:left="0"/>
        <w:jc w:val="both"/>
        <w:rPr>
          <w:rFonts w:ascii="Bookman Old Style" w:hAnsi="Bookman Old Style"/>
          <w:lang w:val="es-CO" w:eastAsia="es-CO"/>
        </w:rPr>
      </w:pPr>
      <w:r w:rsidRPr="00884F77">
        <w:rPr>
          <w:rFonts w:ascii="Bookman Old Style" w:hAnsi="Bookman Old Style"/>
          <w:lang w:val="es-CO" w:eastAsia="es-CO"/>
        </w:rPr>
        <w:t>El artículo 9 de la Ley 1715 de 2014 dispuso que “</w:t>
      </w:r>
      <w:r w:rsidRPr="00884F77">
        <w:rPr>
          <w:rFonts w:ascii="Bookman Old Style" w:hAnsi="Bookman Old Style"/>
          <w:i/>
          <w:lang w:val="es-CO" w:eastAsia="es-CO"/>
        </w:rPr>
        <w:t xml:space="preserve">el Gobierno Nacional implementará un programa destinado a sustituir progresivamente la generación con diésel en las ZNI con el objetivo de reducir los costos de prestación del servicio y las emisiones de gases contaminantes, para lo cual implementará las siguientes acciones: </w:t>
      </w:r>
    </w:p>
    <w:p w:rsidR="0090778E" w:rsidRPr="00884F77" w:rsidRDefault="0090778E" w:rsidP="00E9318D">
      <w:pPr>
        <w:pStyle w:val="NormalWeb"/>
        <w:spacing w:line="270" w:lineRule="atLeast"/>
        <w:ind w:left="708"/>
        <w:rPr>
          <w:rFonts w:ascii="Bookman Old Style" w:hAnsi="Bookman Old Style" w:cs="Arial"/>
          <w:i/>
          <w:szCs w:val="18"/>
        </w:rPr>
      </w:pPr>
      <w:r w:rsidRPr="00884F77">
        <w:rPr>
          <w:rFonts w:ascii="Bookman Old Style" w:hAnsi="Bookman Old Style" w:cs="Arial"/>
          <w:i/>
          <w:szCs w:val="18"/>
        </w:rPr>
        <w:t>a) Áreas de servicio exclusivo de energía eléctrica y gas combustible: El Gobierno Nacional podrá establecer áreas de servicio exclusivo para la prestación por una misma empresa de los servicios de energía eléctrica, gas natural, GLP distribuido por redes y/o por cilindros en las ZNI. Estas áreas se podrán crear con el objetivo de reducir costos de prestación de los servicios mediante la sustitución de generación con diésel por generación con FNCE y deberán cumplir con lo establecido en el artículo</w:t>
      </w:r>
      <w:r w:rsidRPr="00884F77">
        <w:rPr>
          <w:i/>
        </w:rPr>
        <w:t> </w:t>
      </w:r>
      <w:r w:rsidRPr="00884F77">
        <w:rPr>
          <w:rFonts w:ascii="Bookman Old Style" w:hAnsi="Bookman Old Style" w:cs="Arial"/>
          <w:i/>
          <w:szCs w:val="18"/>
        </w:rPr>
        <w:t>40</w:t>
      </w:r>
      <w:r w:rsidRPr="00884F77">
        <w:rPr>
          <w:i/>
        </w:rPr>
        <w:t> </w:t>
      </w:r>
      <w:r w:rsidRPr="00884F77">
        <w:rPr>
          <w:rFonts w:ascii="Bookman Old Style" w:hAnsi="Bookman Old Style" w:cs="Arial"/>
          <w:i/>
          <w:szCs w:val="18"/>
        </w:rPr>
        <w:t>de la Ley 142 de 1994 y demás disposiciones de dicha ley;</w:t>
      </w:r>
    </w:p>
    <w:p w:rsidR="0090778E" w:rsidRPr="00884F77" w:rsidRDefault="0090778E" w:rsidP="0090778E">
      <w:pPr>
        <w:pStyle w:val="NormalWeb"/>
        <w:spacing w:line="270" w:lineRule="atLeast"/>
        <w:ind w:left="708"/>
        <w:rPr>
          <w:spacing w:val="-3"/>
          <w:lang w:val="es-CO" w:eastAsia="es-CO"/>
        </w:rPr>
      </w:pPr>
      <w:r w:rsidRPr="00884F77">
        <w:rPr>
          <w:rFonts w:ascii="Bookman Old Style" w:hAnsi="Bookman Old Style" w:cs="Arial"/>
          <w:i/>
          <w:szCs w:val="18"/>
        </w:rPr>
        <w:t>b) Esquema de incentivos a los prestadores del servicio de energía eléctrica en Zonas no Interconectadas: El Ministerio de Minas y Energía desarrollará esquemas de incentivos para que los prestadores del servicio de energía eléctrica en las ZNI reemplacen parcial o totalmente su generación con diésel por FNCE. Estos incentivos deberán cumplir con evaluaciones costo-beneficio resultantes de la comparación del costo de los incentivos con los ahorros producidos por la diferencia de costos entre la generación con FNCE en lugar del diésel”</w:t>
      </w:r>
    </w:p>
    <w:p w:rsidR="0090778E" w:rsidRPr="00884F77" w:rsidRDefault="0090778E" w:rsidP="0090778E">
      <w:pPr>
        <w:suppressAutoHyphens/>
        <w:ind w:left="0"/>
        <w:jc w:val="both"/>
        <w:rPr>
          <w:rFonts w:ascii="Bookman Old Style" w:hAnsi="Bookman Old Style"/>
          <w:spacing w:val="-3"/>
          <w:lang w:val="es-CO" w:eastAsia="es-CO"/>
        </w:rPr>
      </w:pPr>
      <w:r w:rsidRPr="00884F77">
        <w:rPr>
          <w:rFonts w:ascii="Bookman Old Style" w:hAnsi="Bookman Old Style"/>
          <w:spacing w:val="-3"/>
          <w:lang w:val="es-CO" w:eastAsia="es-CO"/>
        </w:rPr>
        <w:t xml:space="preserve">Mediante el Decreto 1623 de 2015 el Ministerio de Minas y Energía definió los lineamientos de política para la expansión de la cobertura del servicio de energía eléctrica en el </w:t>
      </w:r>
      <w:r w:rsidR="00120D3D" w:rsidRPr="00884F77">
        <w:rPr>
          <w:rFonts w:ascii="Bookman Old Style" w:hAnsi="Bookman Old Style"/>
          <w:spacing w:val="-3"/>
          <w:lang w:val="es-CO" w:eastAsia="es-CO"/>
        </w:rPr>
        <w:t>Sistema Interconectado N</w:t>
      </w:r>
      <w:r w:rsidRPr="00884F77">
        <w:rPr>
          <w:rFonts w:ascii="Bookman Old Style" w:hAnsi="Bookman Old Style"/>
          <w:spacing w:val="-3"/>
          <w:lang w:val="es-CO" w:eastAsia="es-CO"/>
        </w:rPr>
        <w:t>acional y e</w:t>
      </w:r>
      <w:r w:rsidR="00120D3D" w:rsidRPr="00884F77">
        <w:rPr>
          <w:rFonts w:ascii="Bookman Old Style" w:hAnsi="Bookman Old Style"/>
          <w:spacing w:val="-3"/>
          <w:lang w:val="es-CO" w:eastAsia="es-CO"/>
        </w:rPr>
        <w:t>n las Zonas No I</w:t>
      </w:r>
      <w:r w:rsidR="00216EE7" w:rsidRPr="00884F77">
        <w:rPr>
          <w:rFonts w:ascii="Bookman Old Style" w:hAnsi="Bookman Old Style"/>
          <w:spacing w:val="-3"/>
          <w:lang w:val="es-CO" w:eastAsia="es-CO"/>
        </w:rPr>
        <w:t>nterconectadas.</w:t>
      </w:r>
    </w:p>
    <w:p w:rsidR="00216EE7" w:rsidRPr="00884F77" w:rsidRDefault="00216EE7" w:rsidP="0090778E">
      <w:pPr>
        <w:suppressAutoHyphens/>
        <w:ind w:left="0"/>
        <w:jc w:val="both"/>
        <w:rPr>
          <w:rFonts w:ascii="Bookman Old Style" w:hAnsi="Bookman Old Style"/>
          <w:spacing w:val="-3"/>
          <w:lang w:val="es-CO" w:eastAsia="es-CO"/>
        </w:rPr>
      </w:pPr>
    </w:p>
    <w:p w:rsidR="0090778E" w:rsidRPr="00884F77" w:rsidRDefault="0090778E" w:rsidP="0090778E">
      <w:pPr>
        <w:suppressAutoHyphens/>
        <w:ind w:left="0"/>
        <w:jc w:val="both"/>
        <w:rPr>
          <w:rFonts w:ascii="Bookman Old Style" w:hAnsi="Bookman Old Style"/>
          <w:spacing w:val="-3"/>
          <w:lang w:val="es-CO" w:eastAsia="es-CO"/>
        </w:rPr>
      </w:pPr>
      <w:r w:rsidRPr="00884F77">
        <w:rPr>
          <w:rFonts w:ascii="Bookman Old Style" w:hAnsi="Bookman Old Style"/>
          <w:spacing w:val="-3"/>
          <w:lang w:val="es-CO" w:eastAsia="es-CO"/>
        </w:rPr>
        <w:t xml:space="preserve">La Comisión de Regulación de Energía y Gas en sesión 719 del 25 de mayo de 2016, aprobó expedir la Resolución CREG 076 de 2016 “por la cual </w:t>
      </w:r>
      <w:r w:rsidRPr="00884F77">
        <w:rPr>
          <w:rFonts w:ascii="Bookman Old Style" w:hAnsi="Bookman Old Style" w:cs="Arial"/>
        </w:rPr>
        <w:t xml:space="preserve">se definen las reglas para verificar la existencia de los motivos que permiten la inclusión de áreas de servicio exclusivo en los contratos, y los lineamientos generales y las condiciones a las cuales deben someterse ellos, para la prestación del servicio público domiciliario de energía eléctrica en las </w:t>
      </w:r>
      <w:r w:rsidR="00120D3D" w:rsidRPr="00884F77">
        <w:rPr>
          <w:rFonts w:ascii="Bookman Old Style" w:hAnsi="Bookman Old Style" w:cs="Arial"/>
        </w:rPr>
        <w:t>Zonas No I</w:t>
      </w:r>
      <w:r w:rsidRPr="00884F77">
        <w:rPr>
          <w:rFonts w:ascii="Bookman Old Style" w:hAnsi="Bookman Old Style" w:cs="Arial"/>
        </w:rPr>
        <w:t>nterconectadas</w:t>
      </w:r>
      <w:r w:rsidR="00035CB1" w:rsidRPr="00884F77">
        <w:rPr>
          <w:rFonts w:ascii="Bookman Old Style" w:hAnsi="Bookman Old Style"/>
          <w:spacing w:val="-3"/>
          <w:lang w:val="es-CO" w:eastAsia="es-CO"/>
        </w:rPr>
        <w:t xml:space="preserve">”, </w:t>
      </w:r>
      <w:r w:rsidRPr="00884F77">
        <w:rPr>
          <w:rFonts w:ascii="Bookman Old Style" w:hAnsi="Bookman Old Style"/>
          <w:spacing w:val="-3"/>
          <w:lang w:val="es-CO" w:eastAsia="es-CO"/>
        </w:rPr>
        <w:t xml:space="preserve">la cual tiene como soporte el Documento CREG 037 de 2016. </w:t>
      </w:r>
    </w:p>
    <w:p w:rsidR="00216EE7" w:rsidRPr="00884F77" w:rsidRDefault="00216EE7" w:rsidP="00050B1C">
      <w:pPr>
        <w:ind w:left="0"/>
        <w:jc w:val="both"/>
        <w:rPr>
          <w:rFonts w:ascii="Bookman Old Style" w:hAnsi="Bookman Old Style"/>
          <w:spacing w:val="-3"/>
          <w:lang w:eastAsia="es-CO"/>
        </w:rPr>
      </w:pPr>
    </w:p>
    <w:p w:rsidR="00050B1C" w:rsidRPr="00884F77" w:rsidRDefault="00120D3D" w:rsidP="00050B1C">
      <w:pPr>
        <w:ind w:left="0"/>
        <w:jc w:val="both"/>
        <w:rPr>
          <w:b/>
        </w:rPr>
      </w:pPr>
      <w:r w:rsidRPr="00884F77">
        <w:rPr>
          <w:rFonts w:ascii="Bookman Old Style" w:hAnsi="Bookman Old Style"/>
          <w:spacing w:val="-3"/>
          <w:lang w:eastAsia="es-CO"/>
        </w:rPr>
        <w:t>Con posterioridad a la expedición de la precitada resolución, m</w:t>
      </w:r>
      <w:r w:rsidR="00050B1C" w:rsidRPr="00884F77">
        <w:rPr>
          <w:rFonts w:ascii="Bookman Old Style" w:hAnsi="Bookman Old Style"/>
          <w:spacing w:val="-3"/>
          <w:lang w:eastAsia="es-CO"/>
        </w:rPr>
        <w:t>ediante comunicación con radicado CREG</w:t>
      </w:r>
      <w:r w:rsidRPr="00884F77">
        <w:rPr>
          <w:rFonts w:ascii="Bookman Old Style" w:hAnsi="Bookman Old Style"/>
        </w:rPr>
        <w:t xml:space="preserve"> E-2017-006743 </w:t>
      </w:r>
      <w:r w:rsidR="00050B1C" w:rsidRPr="00884F77">
        <w:rPr>
          <w:rFonts w:ascii="Bookman Old Style" w:hAnsi="Bookman Old Style"/>
          <w:spacing w:val="-3"/>
          <w:lang w:eastAsia="es-CO"/>
        </w:rPr>
        <w:t xml:space="preserve">el Ministerio de Minas y Energía </w:t>
      </w:r>
      <w:r w:rsidR="00050B1C" w:rsidRPr="00884F77">
        <w:rPr>
          <w:rFonts w:ascii="Bookman Old Style" w:hAnsi="Bookman Old Style"/>
        </w:rPr>
        <w:t xml:space="preserve">presentó solicitud de modificación de la </w:t>
      </w:r>
      <w:r w:rsidR="00050B1C" w:rsidRPr="00884F77">
        <w:rPr>
          <w:rFonts w:ascii="Bookman Old Style" w:hAnsi="Bookman Old Style" w:cs="Arial"/>
        </w:rPr>
        <w:t xml:space="preserve">Resolución 076 de 2016 </w:t>
      </w:r>
      <w:r w:rsidR="00050B1C" w:rsidRPr="00884F77">
        <w:rPr>
          <w:rFonts w:ascii="Bookman Old Style" w:hAnsi="Bookman Old Style"/>
          <w:spacing w:val="-3"/>
          <w:lang w:eastAsia="es-CO"/>
        </w:rPr>
        <w:t xml:space="preserve">a la Comisión, </w:t>
      </w:r>
      <w:r w:rsidR="008655F8" w:rsidRPr="00884F77">
        <w:rPr>
          <w:rFonts w:ascii="Bookman Old Style" w:hAnsi="Bookman Old Style"/>
          <w:spacing w:val="-3"/>
          <w:lang w:eastAsia="es-CO"/>
        </w:rPr>
        <w:t>frente a</w:t>
      </w:r>
      <w:r w:rsidR="00050B1C" w:rsidRPr="00884F77">
        <w:rPr>
          <w:rFonts w:ascii="Bookman Old Style" w:hAnsi="Bookman Old Style"/>
          <w:spacing w:val="-3"/>
          <w:lang w:eastAsia="es-CO"/>
        </w:rPr>
        <w:t xml:space="preserve"> lo</w:t>
      </w:r>
      <w:r w:rsidR="008655F8" w:rsidRPr="00884F77">
        <w:rPr>
          <w:rFonts w:ascii="Bookman Old Style" w:hAnsi="Bookman Old Style"/>
          <w:spacing w:val="-3"/>
          <w:lang w:eastAsia="es-CO"/>
        </w:rPr>
        <w:t>s</w:t>
      </w:r>
      <w:r w:rsidR="00050B1C" w:rsidRPr="00884F77">
        <w:rPr>
          <w:rFonts w:ascii="Bookman Old Style" w:hAnsi="Bookman Old Style"/>
          <w:spacing w:val="-3"/>
          <w:lang w:eastAsia="es-CO"/>
        </w:rPr>
        <w:t xml:space="preserve"> siguiente</w:t>
      </w:r>
      <w:r w:rsidR="008655F8" w:rsidRPr="00884F77">
        <w:rPr>
          <w:rFonts w:ascii="Bookman Old Style" w:hAnsi="Bookman Old Style"/>
          <w:spacing w:val="-3"/>
          <w:lang w:eastAsia="es-CO"/>
        </w:rPr>
        <w:t>s puntos</w:t>
      </w:r>
      <w:r w:rsidR="00050B1C" w:rsidRPr="00884F77">
        <w:rPr>
          <w:rFonts w:ascii="Bookman Old Style" w:hAnsi="Bookman Old Style"/>
          <w:spacing w:val="-3"/>
          <w:lang w:eastAsia="es-CO"/>
        </w:rPr>
        <w:t xml:space="preserve">: i) </w:t>
      </w:r>
      <w:r w:rsidR="004C230D" w:rsidRPr="00884F77">
        <w:rPr>
          <w:rFonts w:ascii="Bookman Old Style" w:hAnsi="Bookman Old Style"/>
        </w:rPr>
        <w:t xml:space="preserve">las definiciones de demanda de energía proyectada y demanda de energía real, ii) </w:t>
      </w:r>
      <w:r w:rsidR="00050B1C" w:rsidRPr="00884F77">
        <w:rPr>
          <w:rFonts w:ascii="Bookman Old Style" w:hAnsi="Bookman Old Style"/>
          <w:spacing w:val="-3"/>
          <w:lang w:eastAsia="es-CO"/>
        </w:rPr>
        <w:t>el componente de ahorro en costos de combustibles de origen fósil de las fórmulas tarifarias generales previstas en los artículos 17,</w:t>
      </w:r>
      <w:r w:rsidR="008655F8" w:rsidRPr="00884F77">
        <w:rPr>
          <w:rFonts w:ascii="Bookman Old Style" w:hAnsi="Bookman Old Style"/>
          <w:spacing w:val="-3"/>
          <w:lang w:eastAsia="es-CO"/>
        </w:rPr>
        <w:t xml:space="preserve"> 24 y </w:t>
      </w:r>
      <w:r w:rsidR="00050B1C" w:rsidRPr="00884F77">
        <w:rPr>
          <w:rFonts w:ascii="Bookman Old Style" w:hAnsi="Bookman Old Style"/>
          <w:spacing w:val="-3"/>
          <w:lang w:eastAsia="es-CO"/>
        </w:rPr>
        <w:t>25, ii</w:t>
      </w:r>
      <w:r w:rsidR="004C230D" w:rsidRPr="00884F77">
        <w:rPr>
          <w:rFonts w:ascii="Bookman Old Style" w:hAnsi="Bookman Old Style"/>
          <w:spacing w:val="-3"/>
          <w:lang w:eastAsia="es-CO"/>
        </w:rPr>
        <w:t>i</w:t>
      </w:r>
      <w:r w:rsidR="00050B1C" w:rsidRPr="00884F77">
        <w:rPr>
          <w:rFonts w:ascii="Bookman Old Style" w:hAnsi="Bookman Old Style"/>
          <w:spacing w:val="-3"/>
          <w:lang w:eastAsia="es-CO"/>
        </w:rPr>
        <w:t xml:space="preserve">) </w:t>
      </w:r>
      <w:r w:rsidR="004C230D" w:rsidRPr="00884F77">
        <w:rPr>
          <w:rFonts w:ascii="Bookman Old Style" w:hAnsi="Bookman Old Style"/>
          <w:spacing w:val="-3"/>
          <w:lang w:eastAsia="es-CO"/>
        </w:rPr>
        <w:t xml:space="preserve">la </w:t>
      </w:r>
      <w:r w:rsidR="004C230D" w:rsidRPr="00884F77">
        <w:rPr>
          <w:rFonts w:ascii="Bookman Old Style" w:hAnsi="Bookman Old Style"/>
        </w:rPr>
        <w:t xml:space="preserve">distribución de aumento de productividad en el uso </w:t>
      </w:r>
      <w:r w:rsidR="004C230D" w:rsidRPr="00884F77">
        <w:rPr>
          <w:rFonts w:ascii="Bookman Old Style" w:hAnsi="Bookman Old Style"/>
        </w:rPr>
        <w:lastRenderedPageBreak/>
        <w:t>de las redes locales en infraestructura que se comparte con otros servicios de comunicaciones (telefonía, internet, televisión, etc.), iv)l</w:t>
      </w:r>
      <w:r w:rsidR="00050B1C" w:rsidRPr="00884F77">
        <w:rPr>
          <w:rFonts w:ascii="Bookman Old Style" w:hAnsi="Bookman Old Style"/>
          <w:spacing w:val="-3"/>
          <w:lang w:eastAsia="es-CO"/>
        </w:rPr>
        <w:t xml:space="preserve">a </w:t>
      </w:r>
      <w:r w:rsidR="00050B1C" w:rsidRPr="00884F77">
        <w:rPr>
          <w:rFonts w:ascii="Bookman Old Style" w:hAnsi="Bookman Old Style"/>
        </w:rPr>
        <w:t>afectación de las fórmulas de remuneración del distribuidor</w:t>
      </w:r>
      <w:r w:rsidR="00050B1C" w:rsidRPr="00884F77">
        <w:rPr>
          <w:rFonts w:ascii="Bookman Old Style" w:hAnsi="Bookman Old Style"/>
          <w:spacing w:val="-3"/>
          <w:lang w:eastAsia="es-CO"/>
        </w:rPr>
        <w:t xml:space="preserve"> por las pérdidas</w:t>
      </w:r>
      <w:r w:rsidR="004C230D" w:rsidRPr="00884F77">
        <w:rPr>
          <w:rFonts w:ascii="Bookman Old Style" w:hAnsi="Bookman Old Style"/>
          <w:spacing w:val="-3"/>
          <w:lang w:eastAsia="es-CO"/>
        </w:rPr>
        <w:t xml:space="preserve"> </w:t>
      </w:r>
      <w:r w:rsidR="004C230D" w:rsidRPr="00884F77">
        <w:rPr>
          <w:rFonts w:ascii="Bookman Old Style" w:hAnsi="Bookman Old Style"/>
        </w:rPr>
        <w:t>y v)</w:t>
      </w:r>
      <w:r w:rsidR="004C230D" w:rsidRPr="00884F77">
        <w:t xml:space="preserve"> la </w:t>
      </w:r>
      <w:r w:rsidR="004C230D" w:rsidRPr="00884F77">
        <w:rPr>
          <w:rFonts w:ascii="Bookman Old Style" w:hAnsi="Bookman Old Style"/>
        </w:rPr>
        <w:t xml:space="preserve">fecha de estimación de la demanda proyectada a usar cuando ya hay una </w:t>
      </w:r>
      <w:r w:rsidR="00B46F39" w:rsidRPr="00884F77">
        <w:rPr>
          <w:rFonts w:ascii="Bookman Old Style" w:hAnsi="Bookman Old Style"/>
        </w:rPr>
        <w:t xml:space="preserve">área de servicio exclusivo </w:t>
      </w:r>
      <w:r w:rsidR="004C230D" w:rsidRPr="00884F77">
        <w:rPr>
          <w:rFonts w:ascii="Bookman Old Style" w:hAnsi="Bookman Old Style"/>
        </w:rPr>
        <w:t>existente</w:t>
      </w:r>
      <w:r w:rsidR="00050B1C" w:rsidRPr="00884F77">
        <w:rPr>
          <w:rFonts w:ascii="Bookman Old Style" w:hAnsi="Bookman Old Style"/>
        </w:rPr>
        <w:t xml:space="preserve">. </w:t>
      </w:r>
    </w:p>
    <w:p w:rsidR="00216EE7" w:rsidRPr="00884F77" w:rsidRDefault="00216EE7" w:rsidP="00216EE7">
      <w:pPr>
        <w:ind w:left="0" w:right="51"/>
        <w:jc w:val="both"/>
        <w:rPr>
          <w:rFonts w:ascii="Bookman Old Style" w:hAnsi="Bookman Old Style" w:cs="Arial"/>
          <w:lang w:val="es-CO"/>
        </w:rPr>
      </w:pPr>
    </w:p>
    <w:p w:rsidR="00621404" w:rsidRPr="00884F77" w:rsidRDefault="0052302F" w:rsidP="0052302F">
      <w:pPr>
        <w:ind w:left="0" w:right="51"/>
        <w:jc w:val="both"/>
        <w:rPr>
          <w:rFonts w:ascii="Bookman Old Style" w:hAnsi="Bookman Old Style" w:cs="Arial"/>
          <w:lang w:val="es-CO"/>
        </w:rPr>
      </w:pPr>
      <w:r w:rsidRPr="00884F77">
        <w:rPr>
          <w:rFonts w:ascii="Bookman Old Style" w:hAnsi="Bookman Old Style" w:cs="Arial"/>
          <w:lang w:val="es-CO"/>
        </w:rPr>
        <w:t xml:space="preserve">Mediante comunicación con radicado CREG E-2017-009127 el Ministerio de Minas y Energía presentó solicitud de consulta acerca de la aplicación de la Resolución CREG 076 de 2016 </w:t>
      </w:r>
      <w:r w:rsidR="00621404" w:rsidRPr="00884F77">
        <w:rPr>
          <w:rFonts w:ascii="Bookman Old Style" w:hAnsi="Bookman Old Style" w:cs="Arial"/>
          <w:lang w:val="es-CO"/>
        </w:rPr>
        <w:t xml:space="preserve">a las áreas de servicio exclusivo constituidas con anterioridad a la expedición de la resolución. </w:t>
      </w:r>
    </w:p>
    <w:p w:rsidR="00621404" w:rsidRPr="00884F77" w:rsidRDefault="00621404" w:rsidP="0052302F">
      <w:pPr>
        <w:ind w:left="0" w:right="51"/>
        <w:jc w:val="both"/>
        <w:rPr>
          <w:rFonts w:ascii="Bookman Old Style" w:hAnsi="Bookman Old Style" w:cs="Arial"/>
          <w:lang w:val="es-CO"/>
        </w:rPr>
      </w:pPr>
    </w:p>
    <w:p w:rsidR="008F1321" w:rsidRPr="00884F77" w:rsidRDefault="00050B1C" w:rsidP="00C75DEE">
      <w:pPr>
        <w:ind w:left="0" w:right="51"/>
        <w:jc w:val="both"/>
        <w:rPr>
          <w:rFonts w:ascii="Bookman Old Style" w:hAnsi="Bookman Old Style" w:cs="Arial"/>
        </w:rPr>
      </w:pPr>
      <w:r w:rsidRPr="00884F77">
        <w:rPr>
          <w:rFonts w:ascii="Bookman Old Style" w:hAnsi="Bookman Old Style" w:cs="Arial"/>
        </w:rPr>
        <w:t>Analizados los comentarios presentados por el</w:t>
      </w:r>
      <w:r w:rsidR="00A154FF" w:rsidRPr="00884F77">
        <w:rPr>
          <w:rFonts w:ascii="Bookman Old Style" w:hAnsi="Bookman Old Style" w:cs="Arial"/>
        </w:rPr>
        <w:t xml:space="preserve"> Ministerio de Minas y Energía </w:t>
      </w:r>
      <w:r w:rsidR="00C103B6" w:rsidRPr="00884F77">
        <w:rPr>
          <w:rFonts w:ascii="Bookman Old Style" w:hAnsi="Bookman Old Style" w:cs="Arial"/>
        </w:rPr>
        <w:t>y teniendo en cuenta que a la fecha la Resolución CREG 076 de 2016 no ha sido aplicada</w:t>
      </w:r>
      <w:r w:rsidR="00216EE7" w:rsidRPr="00884F77">
        <w:rPr>
          <w:rFonts w:ascii="Bookman Old Style" w:hAnsi="Bookman Old Style" w:cs="Arial"/>
        </w:rPr>
        <w:t xml:space="preserve">, </w:t>
      </w:r>
      <w:r w:rsidRPr="00884F77">
        <w:rPr>
          <w:rFonts w:ascii="Bookman Old Style" w:hAnsi="Bookman Old Style" w:cs="Arial"/>
        </w:rPr>
        <w:t>encuentra esta Comisió</w:t>
      </w:r>
      <w:r w:rsidR="00C103B6" w:rsidRPr="00884F77">
        <w:rPr>
          <w:rFonts w:ascii="Bookman Old Style" w:hAnsi="Bookman Old Style" w:cs="Arial"/>
        </w:rPr>
        <w:t>n conveniente</w:t>
      </w:r>
      <w:r w:rsidR="00CA49B6" w:rsidRPr="00884F77">
        <w:rPr>
          <w:rFonts w:ascii="Bookman Old Style" w:hAnsi="Bookman Old Style" w:cs="Arial"/>
        </w:rPr>
        <w:t xml:space="preserve"> realizar ajustes</w:t>
      </w:r>
      <w:r w:rsidR="00C103B6" w:rsidRPr="00884F77">
        <w:rPr>
          <w:rFonts w:ascii="Bookman Old Style" w:hAnsi="Bookman Old Style" w:cs="Arial"/>
        </w:rPr>
        <w:t xml:space="preserve"> y modificar </w:t>
      </w:r>
      <w:r w:rsidR="008655F8" w:rsidRPr="00884F77">
        <w:rPr>
          <w:rFonts w:ascii="Bookman Old Style" w:hAnsi="Bookman Old Style" w:cs="Arial"/>
        </w:rPr>
        <w:t>el contenido de algunas disposiciones previstas en la precitada resolución</w:t>
      </w:r>
      <w:r w:rsidR="00C103B6" w:rsidRPr="00884F77">
        <w:rPr>
          <w:rFonts w:ascii="Bookman Old Style" w:hAnsi="Bookman Old Style" w:cs="Arial"/>
        </w:rPr>
        <w:t xml:space="preserve">. </w:t>
      </w:r>
    </w:p>
    <w:p w:rsidR="00B76347" w:rsidRPr="00884F77" w:rsidRDefault="00B76347" w:rsidP="00C75DEE">
      <w:pPr>
        <w:ind w:left="0" w:right="51"/>
        <w:jc w:val="both"/>
        <w:rPr>
          <w:rFonts w:ascii="Bookman Old Style" w:hAnsi="Bookman Old Style" w:cs="Arial"/>
        </w:rPr>
      </w:pPr>
    </w:p>
    <w:p w:rsidR="00B76347" w:rsidRPr="00884F77" w:rsidRDefault="00B76347" w:rsidP="00B76347">
      <w:pPr>
        <w:ind w:left="0"/>
        <w:jc w:val="both"/>
        <w:rPr>
          <w:rFonts w:ascii="Bookman Old Style" w:hAnsi="Bookman Old Style"/>
          <w:lang w:val="es-CO" w:eastAsia="es-CO"/>
        </w:rPr>
      </w:pPr>
      <w:r w:rsidRPr="00884F77">
        <w:rPr>
          <w:rFonts w:ascii="Bookman Old Style" w:hAnsi="Bookman Old Style"/>
          <w:spacing w:val="-3"/>
          <w:lang w:val="es-CO" w:eastAsia="es-CO"/>
        </w:rPr>
        <w:t xml:space="preserve">La Comisión de Regulación de Energía y Gas, en sesión </w:t>
      </w:r>
      <w:r w:rsidRPr="00884F77">
        <w:rPr>
          <w:rFonts w:ascii="Bookman Old Style" w:hAnsi="Bookman Old Style"/>
        </w:rPr>
        <w:t xml:space="preserve">No. </w:t>
      </w:r>
      <w:r w:rsidR="004C230D" w:rsidRPr="00884F77">
        <w:rPr>
          <w:rFonts w:ascii="Bookman Old Style" w:hAnsi="Bookman Old Style"/>
        </w:rPr>
        <w:t>809</w:t>
      </w:r>
      <w:r w:rsidRPr="00884F77">
        <w:rPr>
          <w:rFonts w:ascii="Bookman Old Style" w:hAnsi="Bookman Old Style"/>
        </w:rPr>
        <w:t xml:space="preserve"> del día </w:t>
      </w:r>
      <w:r w:rsidR="004C230D" w:rsidRPr="00884F77">
        <w:rPr>
          <w:rFonts w:ascii="Bookman Old Style" w:hAnsi="Bookman Old Style"/>
        </w:rPr>
        <w:t>23</w:t>
      </w:r>
      <w:r w:rsidRPr="00884F77">
        <w:rPr>
          <w:rFonts w:ascii="Bookman Old Style" w:hAnsi="Bookman Old Style"/>
        </w:rPr>
        <w:t xml:space="preserve"> de octubre de 2017 </w:t>
      </w:r>
      <w:r w:rsidRPr="00884F77">
        <w:rPr>
          <w:rFonts w:ascii="Bookman Old Style" w:hAnsi="Bookman Old Style"/>
          <w:spacing w:val="-3"/>
          <w:lang w:val="es-CO" w:eastAsia="es-CO"/>
        </w:rPr>
        <w:t>aprobó el contenido de la presente resolución.</w:t>
      </w:r>
    </w:p>
    <w:p w:rsidR="00B76347" w:rsidRDefault="00B76347" w:rsidP="00C75DEE">
      <w:pPr>
        <w:ind w:left="0" w:right="51"/>
        <w:jc w:val="both"/>
        <w:rPr>
          <w:rFonts w:ascii="Bookman Old Style" w:hAnsi="Bookman Old Style" w:cs="Arial"/>
          <w:lang w:val="es-CO"/>
        </w:rPr>
      </w:pPr>
    </w:p>
    <w:p w:rsidR="0070227B" w:rsidRPr="00884F77" w:rsidRDefault="0070227B" w:rsidP="00C75DEE">
      <w:pPr>
        <w:ind w:left="0" w:right="51"/>
        <w:jc w:val="both"/>
        <w:rPr>
          <w:rFonts w:ascii="Bookman Old Style" w:hAnsi="Bookman Old Style" w:cs="Arial"/>
          <w:lang w:val="es-CO"/>
        </w:rPr>
      </w:pPr>
    </w:p>
    <w:p w:rsidR="00936101" w:rsidRPr="00884F77" w:rsidRDefault="00936101" w:rsidP="00936101">
      <w:pPr>
        <w:suppressAutoHyphens/>
        <w:ind w:left="0"/>
        <w:jc w:val="center"/>
        <w:rPr>
          <w:rFonts w:ascii="Bookman Old Style" w:hAnsi="Bookman Old Style"/>
          <w:spacing w:val="-3"/>
        </w:rPr>
      </w:pPr>
      <w:r w:rsidRPr="00884F77">
        <w:rPr>
          <w:rFonts w:ascii="Bookman Old Style" w:hAnsi="Bookman Old Style"/>
          <w:b/>
          <w:spacing w:val="-3"/>
        </w:rPr>
        <w:t>R E S U E L V E:</w:t>
      </w:r>
    </w:p>
    <w:p w:rsidR="00936101" w:rsidRDefault="00936101" w:rsidP="00936101">
      <w:pPr>
        <w:rPr>
          <w:rFonts w:ascii="Bookman Old Style" w:hAnsi="Bookman Old Style" w:cs="Arial"/>
          <w:b/>
        </w:rPr>
      </w:pPr>
    </w:p>
    <w:p w:rsidR="0070227B" w:rsidRPr="00884F77" w:rsidRDefault="0070227B" w:rsidP="00936101">
      <w:pPr>
        <w:rPr>
          <w:rFonts w:ascii="Bookman Old Style" w:hAnsi="Bookman Old Style" w:cs="Arial"/>
          <w:b/>
        </w:rPr>
      </w:pPr>
    </w:p>
    <w:p w:rsidR="0075252C" w:rsidRPr="00884F77" w:rsidRDefault="0075252C" w:rsidP="0075252C">
      <w:pPr>
        <w:numPr>
          <w:ilvl w:val="0"/>
          <w:numId w:val="6"/>
        </w:numPr>
        <w:tabs>
          <w:tab w:val="clear" w:pos="1665"/>
          <w:tab w:val="num" w:pos="1276"/>
        </w:tabs>
        <w:ind w:left="0" w:firstLine="1276"/>
        <w:jc w:val="both"/>
        <w:rPr>
          <w:rFonts w:ascii="Bookman Old Style" w:hAnsi="Bookman Old Style" w:cs="Arial"/>
        </w:rPr>
      </w:pPr>
      <w:r w:rsidRPr="00884F77">
        <w:rPr>
          <w:rFonts w:ascii="Bookman Old Style" w:hAnsi="Bookman Old Style" w:cs="Arial"/>
        </w:rPr>
        <w:t xml:space="preserve">Modificar el artículo 3 de la Resolución CREG 076 de 2016, el cual    quedará así: </w:t>
      </w:r>
    </w:p>
    <w:p w:rsidR="0075252C" w:rsidRPr="00884F77" w:rsidRDefault="0075252C" w:rsidP="0075252C">
      <w:pPr>
        <w:ind w:left="1276"/>
        <w:jc w:val="both"/>
        <w:rPr>
          <w:rFonts w:ascii="Bookman Old Style" w:hAnsi="Bookman Old Style" w:cs="Arial"/>
        </w:rPr>
      </w:pPr>
    </w:p>
    <w:p w:rsidR="0075252C" w:rsidRPr="00884F77" w:rsidRDefault="0075252C" w:rsidP="0075252C">
      <w:pPr>
        <w:tabs>
          <w:tab w:val="left" w:pos="2127"/>
        </w:tabs>
        <w:ind w:left="709"/>
        <w:jc w:val="both"/>
        <w:rPr>
          <w:rFonts w:ascii="Bookman Old Style" w:hAnsi="Bookman Old Style" w:cs="Arial"/>
        </w:rPr>
      </w:pPr>
      <w:r w:rsidRPr="00884F77">
        <w:rPr>
          <w:rFonts w:ascii="Bookman Old Style" w:hAnsi="Bookman Old Style" w:cs="Arial"/>
          <w:b/>
        </w:rPr>
        <w:t>Artículo 3.</w:t>
      </w:r>
      <w:r w:rsidRPr="00884F77">
        <w:rPr>
          <w:rFonts w:ascii="Bookman Old Style" w:hAnsi="Bookman Old Style" w:cs="Arial"/>
          <w:b/>
        </w:rPr>
        <w:tab/>
        <w:t>Ámbito de aplicación.</w:t>
      </w:r>
      <w:r w:rsidRPr="00884F77">
        <w:rPr>
          <w:rFonts w:ascii="Bookman Old Style" w:hAnsi="Bookman Old Style" w:cs="Arial"/>
        </w:rPr>
        <w:t xml:space="preserve"> Esta resolución se aplica para la conformación, verificación y contratación de las áreas de servicio exclusivo por parte del Ministerio de Minas y Energía en las ZNI, según lo previsto en las Leyes 1450 de 2011 y 1715 de 2014 o aquellas que las modifiquen, adicionen o sustituyan.</w:t>
      </w:r>
    </w:p>
    <w:p w:rsidR="0075252C" w:rsidRPr="00884F77" w:rsidRDefault="0075252C" w:rsidP="0075252C">
      <w:pPr>
        <w:ind w:left="709"/>
        <w:jc w:val="both"/>
        <w:rPr>
          <w:rFonts w:ascii="Bookman Old Style" w:hAnsi="Bookman Old Style" w:cs="Arial"/>
        </w:rPr>
      </w:pPr>
    </w:p>
    <w:p w:rsidR="0075252C" w:rsidRPr="00884F77" w:rsidRDefault="0075252C" w:rsidP="0075252C">
      <w:pPr>
        <w:ind w:left="709"/>
        <w:jc w:val="both"/>
        <w:rPr>
          <w:rFonts w:ascii="Bookman Old Style" w:hAnsi="Bookman Old Style" w:cs="Arial"/>
        </w:rPr>
      </w:pPr>
      <w:r w:rsidRPr="00884F77">
        <w:rPr>
          <w:rFonts w:ascii="Bookman Old Style" w:hAnsi="Bookman Old Style" w:cs="Arial"/>
        </w:rPr>
        <w:t>Para las áreas de servicio exclusivo que ya se encuentren constituidas a la entrada en vigencia de la presente resolución, será aplicable lo aquí previsto siempre y cuando las partes así lo acuerden expresamente.</w:t>
      </w:r>
    </w:p>
    <w:p w:rsidR="0075252C" w:rsidRPr="00884F77" w:rsidRDefault="0075252C" w:rsidP="0075252C">
      <w:pPr>
        <w:ind w:left="1276"/>
        <w:jc w:val="both"/>
        <w:rPr>
          <w:rFonts w:ascii="Bookman Old Style" w:hAnsi="Bookman Old Style" w:cs="Arial"/>
        </w:rPr>
      </w:pPr>
    </w:p>
    <w:p w:rsidR="00936101" w:rsidRPr="00884F77" w:rsidRDefault="00F61014" w:rsidP="0075252C">
      <w:pPr>
        <w:numPr>
          <w:ilvl w:val="0"/>
          <w:numId w:val="6"/>
        </w:numPr>
        <w:tabs>
          <w:tab w:val="clear" w:pos="1665"/>
          <w:tab w:val="num" w:pos="1276"/>
        </w:tabs>
        <w:ind w:left="0" w:firstLine="1276"/>
        <w:jc w:val="both"/>
        <w:rPr>
          <w:rFonts w:ascii="Bookman Old Style" w:hAnsi="Bookman Old Style" w:cs="Arial"/>
        </w:rPr>
      </w:pPr>
      <w:r w:rsidRPr="00884F77">
        <w:rPr>
          <w:rFonts w:ascii="Bookman Old Style" w:hAnsi="Bookman Old Style" w:cs="Arial"/>
        </w:rPr>
        <w:t>Modificar</w:t>
      </w:r>
      <w:r w:rsidR="00A154FF" w:rsidRPr="00884F77">
        <w:rPr>
          <w:rFonts w:ascii="Bookman Old Style" w:hAnsi="Bookman Old Style" w:cs="Arial"/>
        </w:rPr>
        <w:t xml:space="preserve"> las</w:t>
      </w:r>
      <w:r w:rsidR="00A90D08" w:rsidRPr="00884F77">
        <w:rPr>
          <w:rFonts w:ascii="Bookman Old Style" w:hAnsi="Bookman Old Style" w:cs="Arial"/>
        </w:rPr>
        <w:t xml:space="preserve"> </w:t>
      </w:r>
      <w:r w:rsidRPr="00884F77">
        <w:rPr>
          <w:rFonts w:ascii="Bookman Old Style" w:hAnsi="Bookman Old Style" w:cs="Arial"/>
        </w:rPr>
        <w:t xml:space="preserve">definiciones de demanda de energía proyectada y demanda de energía real </w:t>
      </w:r>
      <w:r w:rsidR="00CA49B6" w:rsidRPr="00884F77">
        <w:rPr>
          <w:rFonts w:ascii="Bookman Old Style" w:hAnsi="Bookman Old Style" w:cs="Arial"/>
        </w:rPr>
        <w:t>d</w:t>
      </w:r>
      <w:r w:rsidR="00C5438E" w:rsidRPr="00884F77">
        <w:rPr>
          <w:rFonts w:ascii="Bookman Old Style" w:hAnsi="Bookman Old Style" w:cs="Arial"/>
        </w:rPr>
        <w:t xml:space="preserve">el </w:t>
      </w:r>
      <w:r w:rsidR="00CA49B6" w:rsidRPr="00884F77">
        <w:rPr>
          <w:rFonts w:ascii="Bookman Old Style" w:hAnsi="Bookman Old Style" w:cs="Arial"/>
        </w:rPr>
        <w:t>a</w:t>
      </w:r>
      <w:r w:rsidR="00A90D08" w:rsidRPr="00884F77">
        <w:rPr>
          <w:rFonts w:ascii="Bookman Old Style" w:hAnsi="Bookman Old Style" w:cs="Arial"/>
        </w:rPr>
        <w:t>rt</w:t>
      </w:r>
      <w:r w:rsidR="00C5438E" w:rsidRPr="00884F77">
        <w:rPr>
          <w:rFonts w:ascii="Bookman Old Style" w:hAnsi="Bookman Old Style" w:cs="Arial"/>
        </w:rPr>
        <w:t>ículo 2 de la R</w:t>
      </w:r>
      <w:r w:rsidR="00A90D08" w:rsidRPr="00884F77">
        <w:rPr>
          <w:rFonts w:ascii="Bookman Old Style" w:hAnsi="Bookman Old Style" w:cs="Arial"/>
        </w:rPr>
        <w:t>esolución CREG 076 de 201</w:t>
      </w:r>
      <w:r w:rsidRPr="00884F77">
        <w:rPr>
          <w:rFonts w:ascii="Bookman Old Style" w:hAnsi="Bookman Old Style" w:cs="Arial"/>
        </w:rPr>
        <w:t>6, las cuales quedarán así</w:t>
      </w:r>
      <w:r w:rsidR="00A90D08" w:rsidRPr="00884F77">
        <w:rPr>
          <w:rFonts w:ascii="Bookman Old Style" w:hAnsi="Bookman Old Style" w:cs="Arial"/>
        </w:rPr>
        <w:t>:</w:t>
      </w:r>
    </w:p>
    <w:p w:rsidR="00CE2549" w:rsidRPr="00884F77" w:rsidRDefault="00CE2549" w:rsidP="00965FD6">
      <w:pPr>
        <w:ind w:left="560"/>
        <w:jc w:val="both"/>
        <w:rPr>
          <w:rFonts w:ascii="Bookman Old Style" w:hAnsi="Bookman Old Style" w:cs="Arial"/>
          <w:b/>
        </w:rPr>
      </w:pPr>
    </w:p>
    <w:p w:rsidR="00C256CE" w:rsidRPr="00884F77" w:rsidRDefault="00C256CE" w:rsidP="00965FD6">
      <w:pPr>
        <w:tabs>
          <w:tab w:val="left" w:pos="-720"/>
        </w:tabs>
        <w:suppressAutoHyphens/>
        <w:ind w:left="616"/>
        <w:jc w:val="both"/>
        <w:rPr>
          <w:rFonts w:ascii="Bookman Old Style" w:hAnsi="Bookman Old Style" w:cs="Arial"/>
        </w:rPr>
      </w:pPr>
      <w:r w:rsidRPr="00884F77">
        <w:rPr>
          <w:rFonts w:ascii="Bookman Old Style" w:hAnsi="Bookman Old Style" w:cs="Arial"/>
          <w:b/>
        </w:rPr>
        <w:t xml:space="preserve">Demanda </w:t>
      </w:r>
      <w:r w:rsidR="00C3482F" w:rsidRPr="00884F77">
        <w:rPr>
          <w:rFonts w:ascii="Bookman Old Style" w:hAnsi="Bookman Old Style" w:cs="Arial"/>
          <w:b/>
        </w:rPr>
        <w:t xml:space="preserve">de energía </w:t>
      </w:r>
      <w:r w:rsidRPr="00884F77">
        <w:rPr>
          <w:rFonts w:ascii="Bookman Old Style" w:hAnsi="Bookman Old Style" w:cs="Arial"/>
          <w:b/>
        </w:rPr>
        <w:t>proyectada:</w:t>
      </w:r>
      <w:r w:rsidR="0028244F" w:rsidRPr="00884F77">
        <w:rPr>
          <w:rFonts w:ascii="Bookman Old Style" w:hAnsi="Bookman Old Style" w:cs="Arial"/>
        </w:rPr>
        <w:t xml:space="preserve"> </w:t>
      </w:r>
      <w:r w:rsidR="00342AAA" w:rsidRPr="00884F77">
        <w:rPr>
          <w:rFonts w:ascii="Bookman Old Style" w:hAnsi="Bookman Old Style" w:cs="Arial"/>
        </w:rPr>
        <w:t xml:space="preserve">energía </w:t>
      </w:r>
      <w:r w:rsidR="009C191D" w:rsidRPr="00884F77">
        <w:rPr>
          <w:rFonts w:ascii="Bookman Old Style" w:hAnsi="Bookman Old Style" w:cs="Arial"/>
        </w:rPr>
        <w:t xml:space="preserve">total </w:t>
      </w:r>
      <w:r w:rsidR="005E7B54" w:rsidRPr="00884F77">
        <w:rPr>
          <w:rFonts w:ascii="Bookman Old Style" w:hAnsi="Bookman Old Style" w:cs="Arial"/>
          <w:spacing w:val="-3"/>
        </w:rPr>
        <w:t>estimad</w:t>
      </w:r>
      <w:r w:rsidR="00953692" w:rsidRPr="00884F77">
        <w:rPr>
          <w:rFonts w:ascii="Bookman Old Style" w:hAnsi="Bookman Old Style" w:cs="Arial"/>
          <w:spacing w:val="-3"/>
        </w:rPr>
        <w:t>a</w:t>
      </w:r>
      <w:r w:rsidR="00D1349B" w:rsidRPr="00884F77">
        <w:rPr>
          <w:rFonts w:ascii="Bookman Old Style" w:hAnsi="Bookman Old Style" w:cs="Arial"/>
          <w:spacing w:val="-3"/>
        </w:rPr>
        <w:t xml:space="preserve"> por el Ministerio de Minas y Energía en el área de servicio exclusivo</w:t>
      </w:r>
      <w:r w:rsidR="009C191D" w:rsidRPr="00884F77">
        <w:rPr>
          <w:rFonts w:ascii="Bookman Old Style" w:hAnsi="Bookman Old Style" w:cs="Arial"/>
          <w:spacing w:val="-3"/>
        </w:rPr>
        <w:t xml:space="preserve"> en cada una de las actividades concesionadas</w:t>
      </w:r>
      <w:r w:rsidR="004132EF">
        <w:rPr>
          <w:rFonts w:ascii="Bookman Old Style" w:hAnsi="Bookman Old Style" w:cs="Arial"/>
          <w:spacing w:val="-3"/>
        </w:rPr>
        <w:t xml:space="preserve"> (generación, distribución y comercialización)</w:t>
      </w:r>
      <w:r w:rsidR="005E7B54" w:rsidRPr="00884F77">
        <w:rPr>
          <w:rFonts w:ascii="Bookman Old Style" w:hAnsi="Bookman Old Style" w:cs="Arial"/>
          <w:spacing w:val="-3"/>
        </w:rPr>
        <w:t xml:space="preserve">. </w:t>
      </w:r>
      <w:r w:rsidR="004470FB" w:rsidRPr="00884F77">
        <w:rPr>
          <w:rFonts w:ascii="Bookman Old Style" w:hAnsi="Bookman Old Style" w:cs="Arial"/>
        </w:rPr>
        <w:t xml:space="preserve">Para las áreas de servicio exclusivo existentes, </w:t>
      </w:r>
      <w:r w:rsidR="004C230D" w:rsidRPr="00884F77">
        <w:rPr>
          <w:rFonts w:ascii="Bookman Old Style" w:hAnsi="Bookman Old Style" w:cs="Arial"/>
        </w:rPr>
        <w:t>corresponderá a la demanda de energía proyectada que acuerden las partes. Se debe definir para un periodo de tiempo (año, mes).</w:t>
      </w:r>
    </w:p>
    <w:p w:rsidR="004C230D" w:rsidRPr="00884F77" w:rsidRDefault="004C230D" w:rsidP="00965FD6">
      <w:pPr>
        <w:tabs>
          <w:tab w:val="left" w:pos="-720"/>
        </w:tabs>
        <w:suppressAutoHyphens/>
        <w:ind w:left="616"/>
        <w:jc w:val="both"/>
        <w:rPr>
          <w:rFonts w:ascii="Bookman Old Style" w:hAnsi="Bookman Old Style" w:cs="Arial"/>
        </w:rPr>
      </w:pPr>
    </w:p>
    <w:p w:rsidR="00512ABE" w:rsidRPr="00884F77" w:rsidRDefault="00C256CE" w:rsidP="00965FD6">
      <w:pPr>
        <w:tabs>
          <w:tab w:val="left" w:pos="-720"/>
        </w:tabs>
        <w:suppressAutoHyphens/>
        <w:ind w:left="616"/>
        <w:jc w:val="both"/>
        <w:rPr>
          <w:rFonts w:ascii="Bookman Old Style" w:hAnsi="Bookman Old Style" w:cs="Arial"/>
        </w:rPr>
      </w:pPr>
      <w:r w:rsidRPr="00884F77">
        <w:rPr>
          <w:rFonts w:ascii="Bookman Old Style" w:hAnsi="Bookman Old Style" w:cs="Arial"/>
          <w:b/>
        </w:rPr>
        <w:t xml:space="preserve">Demanda </w:t>
      </w:r>
      <w:r w:rsidR="00C3482F" w:rsidRPr="00884F77">
        <w:rPr>
          <w:rFonts w:ascii="Bookman Old Style" w:hAnsi="Bookman Old Style" w:cs="Arial"/>
          <w:b/>
        </w:rPr>
        <w:t xml:space="preserve">de energía </w:t>
      </w:r>
      <w:r w:rsidRPr="00884F77">
        <w:rPr>
          <w:rFonts w:ascii="Bookman Old Style" w:hAnsi="Bookman Old Style" w:cs="Arial"/>
          <w:b/>
        </w:rPr>
        <w:t>real:</w:t>
      </w:r>
      <w:r w:rsidR="0028244F" w:rsidRPr="00884F77">
        <w:rPr>
          <w:rFonts w:ascii="Bookman Old Style" w:hAnsi="Bookman Old Style" w:cs="Arial"/>
          <w:b/>
        </w:rPr>
        <w:t xml:space="preserve"> </w:t>
      </w:r>
      <w:r w:rsidR="00752873" w:rsidRPr="00884F77">
        <w:rPr>
          <w:rFonts w:ascii="Bookman Old Style" w:hAnsi="Bookman Old Style" w:cs="Arial"/>
        </w:rPr>
        <w:t>energía</w:t>
      </w:r>
      <w:r w:rsidR="009C191D" w:rsidRPr="00884F77">
        <w:rPr>
          <w:rFonts w:ascii="Bookman Old Style" w:hAnsi="Bookman Old Style" w:cs="Arial"/>
        </w:rPr>
        <w:t xml:space="preserve"> total</w:t>
      </w:r>
      <w:r w:rsidR="00FB7D75" w:rsidRPr="00884F77">
        <w:rPr>
          <w:rFonts w:ascii="Bookman Old Style" w:hAnsi="Bookman Old Style" w:cs="Arial"/>
        </w:rPr>
        <w:t xml:space="preserve"> reportada por el adjudicatario</w:t>
      </w:r>
      <w:r w:rsidR="00752873" w:rsidRPr="00884F77">
        <w:rPr>
          <w:rFonts w:ascii="Bookman Old Style" w:hAnsi="Bookman Old Style" w:cs="Arial"/>
        </w:rPr>
        <w:t xml:space="preserve"> al sistema único de información, SUI.</w:t>
      </w:r>
      <w:r w:rsidR="00512ABE" w:rsidRPr="00884F77">
        <w:rPr>
          <w:rFonts w:ascii="Bookman Old Style" w:hAnsi="Bookman Old Style" w:cs="Arial"/>
        </w:rPr>
        <w:t xml:space="preserve"> Se debe definir </w:t>
      </w:r>
      <w:r w:rsidR="004C230D" w:rsidRPr="00884F77">
        <w:rPr>
          <w:rFonts w:ascii="Bookman Old Style" w:hAnsi="Bookman Old Style" w:cs="Arial"/>
        </w:rPr>
        <w:t>para</w:t>
      </w:r>
      <w:r w:rsidR="00512ABE" w:rsidRPr="00884F77">
        <w:rPr>
          <w:rFonts w:ascii="Bookman Old Style" w:hAnsi="Bookman Old Style" w:cs="Arial"/>
        </w:rPr>
        <w:t xml:space="preserve"> u</w:t>
      </w:r>
      <w:r w:rsidR="00DC0884" w:rsidRPr="00884F77">
        <w:rPr>
          <w:rFonts w:ascii="Bookman Old Style" w:hAnsi="Bookman Old Style" w:cs="Arial"/>
        </w:rPr>
        <w:t>n periodo de tiempo (año, mes</w:t>
      </w:r>
      <w:r w:rsidR="00512ABE" w:rsidRPr="00884F77">
        <w:rPr>
          <w:rFonts w:ascii="Bookman Old Style" w:hAnsi="Bookman Old Style" w:cs="Arial"/>
        </w:rPr>
        <w:t>)</w:t>
      </w:r>
      <w:r w:rsidR="00DC0884" w:rsidRPr="00884F77">
        <w:rPr>
          <w:rFonts w:ascii="Bookman Old Style" w:hAnsi="Bookman Old Style" w:cs="Arial"/>
        </w:rPr>
        <w:t>.</w:t>
      </w:r>
    </w:p>
    <w:p w:rsidR="00B26793" w:rsidRDefault="00B26793" w:rsidP="00936101">
      <w:pPr>
        <w:numPr>
          <w:ilvl w:val="12"/>
          <w:numId w:val="0"/>
        </w:numPr>
        <w:suppressAutoHyphens/>
        <w:jc w:val="center"/>
        <w:rPr>
          <w:rFonts w:ascii="Bookman Old Style" w:hAnsi="Bookman Old Style" w:cs="Arial"/>
          <w:b/>
          <w:spacing w:val="-3"/>
        </w:rPr>
      </w:pPr>
    </w:p>
    <w:p w:rsidR="0070227B" w:rsidRPr="00884F77" w:rsidRDefault="0070227B" w:rsidP="00936101">
      <w:pPr>
        <w:numPr>
          <w:ilvl w:val="12"/>
          <w:numId w:val="0"/>
        </w:numPr>
        <w:suppressAutoHyphens/>
        <w:jc w:val="center"/>
        <w:rPr>
          <w:rFonts w:ascii="Bookman Old Style" w:hAnsi="Bookman Old Style" w:cs="Arial"/>
          <w:b/>
          <w:spacing w:val="-3"/>
        </w:rPr>
      </w:pPr>
    </w:p>
    <w:p w:rsidR="00A90D08" w:rsidRPr="00884F77" w:rsidRDefault="00C5438E" w:rsidP="00F61014">
      <w:pPr>
        <w:numPr>
          <w:ilvl w:val="0"/>
          <w:numId w:val="6"/>
        </w:numPr>
        <w:tabs>
          <w:tab w:val="clear" w:pos="1665"/>
          <w:tab w:val="num" w:pos="1418"/>
        </w:tabs>
        <w:ind w:left="0" w:firstLine="1418"/>
        <w:jc w:val="both"/>
        <w:rPr>
          <w:rFonts w:ascii="Bookman Old Style" w:hAnsi="Bookman Old Style" w:cs="Arial"/>
        </w:rPr>
      </w:pPr>
      <w:r w:rsidRPr="00884F77">
        <w:rPr>
          <w:rFonts w:ascii="Bookman Old Style" w:hAnsi="Bookman Old Style" w:cs="Arial"/>
        </w:rPr>
        <w:t xml:space="preserve"> </w:t>
      </w:r>
      <w:r w:rsidR="00A90D08" w:rsidRPr="00884F77">
        <w:rPr>
          <w:rFonts w:ascii="Bookman Old Style" w:hAnsi="Bookman Old Style" w:cs="Arial"/>
        </w:rPr>
        <w:t>Modif</w:t>
      </w:r>
      <w:r w:rsidR="00F61014" w:rsidRPr="00884F77">
        <w:rPr>
          <w:rFonts w:ascii="Bookman Old Style" w:hAnsi="Bookman Old Style" w:cs="Arial"/>
        </w:rPr>
        <w:t>icar</w:t>
      </w:r>
      <w:r w:rsidRPr="00884F77">
        <w:rPr>
          <w:rFonts w:ascii="Bookman Old Style" w:hAnsi="Bookman Old Style" w:cs="Arial"/>
        </w:rPr>
        <w:t xml:space="preserve"> el </w:t>
      </w:r>
      <w:r w:rsidR="00CA49B6" w:rsidRPr="00884F77">
        <w:rPr>
          <w:rFonts w:ascii="Bookman Old Style" w:hAnsi="Bookman Old Style" w:cs="Arial"/>
        </w:rPr>
        <w:t>a</w:t>
      </w:r>
      <w:r w:rsidR="00A90D08" w:rsidRPr="00884F77">
        <w:rPr>
          <w:rFonts w:ascii="Bookman Old Style" w:hAnsi="Bookman Old Style" w:cs="Arial"/>
        </w:rPr>
        <w:t xml:space="preserve">rtículo 17 </w:t>
      </w:r>
      <w:r w:rsidR="00F61014" w:rsidRPr="00884F77">
        <w:rPr>
          <w:rFonts w:ascii="Bookman Old Style" w:hAnsi="Bookman Old Style" w:cs="Arial"/>
        </w:rPr>
        <w:t>de la Resolución CREG 076 de 2016, el cual quedará así:</w:t>
      </w:r>
    </w:p>
    <w:p w:rsidR="00A90D08" w:rsidRPr="00884F77" w:rsidRDefault="00A90D08" w:rsidP="00A90D08">
      <w:pPr>
        <w:ind w:left="1418"/>
        <w:jc w:val="both"/>
        <w:rPr>
          <w:rFonts w:ascii="Bookman Old Style" w:hAnsi="Bookman Old Style" w:cs="Arial"/>
        </w:rPr>
      </w:pPr>
    </w:p>
    <w:p w:rsidR="00936101" w:rsidRPr="00884F77" w:rsidRDefault="00C5438E" w:rsidP="00C5438E">
      <w:pPr>
        <w:jc w:val="both"/>
        <w:rPr>
          <w:rFonts w:ascii="Bookman Old Style" w:hAnsi="Bookman Old Style" w:cs="Arial"/>
        </w:rPr>
      </w:pPr>
      <w:r w:rsidRPr="00884F77">
        <w:rPr>
          <w:rFonts w:ascii="Bookman Old Style" w:hAnsi="Bookman Old Style" w:cs="Arial"/>
          <w:b/>
          <w:bCs/>
          <w:spacing w:val="-3"/>
        </w:rPr>
        <w:t xml:space="preserve">Artículo 17. </w:t>
      </w:r>
      <w:r w:rsidR="00936101" w:rsidRPr="00884F77">
        <w:rPr>
          <w:rFonts w:ascii="Bookman Old Style" w:hAnsi="Bookman Old Style" w:cs="Arial"/>
          <w:b/>
          <w:bCs/>
          <w:spacing w:val="-3"/>
        </w:rPr>
        <w:t>Fórmula tarifaria general para usuarios regulados del servicio público de energí</w:t>
      </w:r>
      <w:r w:rsidR="00936101" w:rsidRPr="00884F77">
        <w:rPr>
          <w:rFonts w:ascii="Bookman Old Style" w:hAnsi="Bookman Old Style" w:cs="Arial"/>
          <w:b/>
          <w:bCs/>
        </w:rPr>
        <w:t>a eléctrica para procesos competitivos para cada actividad.</w:t>
      </w:r>
      <w:r w:rsidR="00936101" w:rsidRPr="00884F77">
        <w:rPr>
          <w:rFonts w:ascii="Bookman Old Style" w:hAnsi="Bookman Old Style" w:cs="Arial"/>
        </w:rPr>
        <w:t xml:space="preserve"> Cuando se realicen varios procesos competitivos para adjudicar obligaciones de prestación del servicio por actividad, en una misma área de servicio exclusivo, la fórmula tarifaria general aplicable a los usuarios regulados del servicio público domiciliario de energía eléctrica tendrá los siguientes componentes:</w:t>
      </w:r>
    </w:p>
    <w:p w:rsidR="00936101" w:rsidRPr="00884F77" w:rsidRDefault="00936101" w:rsidP="00936101">
      <w:pPr>
        <w:ind w:left="851"/>
        <w:rPr>
          <w:rFonts w:ascii="Bookman Old Style" w:hAnsi="Bookman Old Style" w:cs="Arial"/>
          <w:i/>
        </w:rPr>
      </w:pPr>
    </w:p>
    <w:p w:rsidR="00936101" w:rsidRPr="00884F77" w:rsidRDefault="008307C2" w:rsidP="00936101">
      <w:pPr>
        <w:ind w:left="851"/>
        <w:rPr>
          <w:rFonts w:ascii="Bookman Old Style" w:hAnsi="Bookman Old Style" w:cs="Arial"/>
          <w:i/>
        </w:rPr>
      </w:pPr>
      <m:oMathPara>
        <m:oMath>
          <m:sSub>
            <m:sSubPr>
              <m:ctrlPr>
                <w:rPr>
                  <w:rFonts w:ascii="Cambria Math" w:hAnsi="Cambria Math" w:cs="Arial"/>
                  <w:i/>
                </w:rPr>
              </m:ctrlPr>
            </m:sSubPr>
            <m:e>
              <m:r>
                <w:rPr>
                  <w:rFonts w:ascii="Cambria Math" w:hAnsi="Cambria Math" w:cs="Arial"/>
                </w:rPr>
                <m:t>CU</m:t>
              </m:r>
            </m:e>
            <m:sub>
              <m:r>
                <w:rPr>
                  <w:rFonts w:ascii="Cambria Math" w:hAnsi="Cambria Math" w:cs="Arial"/>
                </w:rPr>
                <m:t>n,m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G</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num>
            <m:den>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D n,m</m:t>
                  </m:r>
                </m:sub>
              </m:sSub>
              <m:r>
                <w:rPr>
                  <w:rFonts w:ascii="Cambria Math" w:hAnsi="Cambria Math" w:cs="Arial"/>
                </w:rPr>
                <m:t>)</m:t>
              </m:r>
            </m:den>
          </m:f>
          <m:r>
            <w:rPr>
              <w:rFonts w:ascii="Cambria Math" w:hAnsi="Cambria Math" w:cs="Arial"/>
            </w:rPr>
            <m:t>+</m:t>
          </m:r>
          <m:sSub>
            <m:sSubPr>
              <m:ctrlPr>
                <w:rPr>
                  <w:rFonts w:ascii="Cambria Math" w:hAnsi="Cambria Math" w:cs="Arial"/>
                  <w:i/>
                </w:rPr>
              </m:ctrlPr>
            </m:sSubPr>
            <m:e>
              <m:r>
                <w:rPr>
                  <w:rFonts w:ascii="Cambria Math" w:hAnsi="Cambria Math" w:cs="Arial"/>
                </w:rPr>
                <m:t>D</m:t>
              </m:r>
            </m:e>
            <m:sub>
              <m:r>
                <w:rPr>
                  <w:rFonts w:ascii="Cambria Math" w:hAnsi="Cambria Math" w:cs="Arial"/>
                </w:rPr>
                <m:t>n,m</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TM</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Itv</m:t>
              </m:r>
            </m:e>
            <m:sub>
              <m:r>
                <w:rPr>
                  <w:rFonts w:ascii="Cambria Math" w:hAnsi="Cambria Math" w:cs="Arial"/>
                </w:rPr>
                <m:t>m</m:t>
              </m:r>
            </m:sub>
          </m:sSub>
        </m:oMath>
      </m:oMathPara>
    </w:p>
    <w:p w:rsidR="00936101" w:rsidRPr="00884F77" w:rsidRDefault="00936101" w:rsidP="00936101">
      <w:pPr>
        <w:ind w:left="0"/>
        <w:rPr>
          <w:rFonts w:ascii="Bookman Old Style" w:hAnsi="Bookman Old Style" w:cs="Arial"/>
        </w:rPr>
      </w:pPr>
    </w:p>
    <w:p w:rsidR="00936101" w:rsidRPr="00884F77" w:rsidRDefault="00936101" w:rsidP="00C5438E">
      <w:pPr>
        <w:rPr>
          <w:rFonts w:ascii="Bookman Old Style" w:hAnsi="Bookman Old Style" w:cs="Arial"/>
        </w:rPr>
      </w:pPr>
      <w:r w:rsidRPr="00884F77">
        <w:rPr>
          <w:rFonts w:ascii="Bookman Old Style" w:hAnsi="Bookman Old Style" w:cs="Arial"/>
        </w:rPr>
        <w:t>Donde:</w:t>
      </w:r>
    </w:p>
    <w:p w:rsidR="00986578" w:rsidRPr="00884F77" w:rsidRDefault="00986578" w:rsidP="00C5438E">
      <w:pPr>
        <w:rPr>
          <w:rFonts w:ascii="Bookman Old Style" w:hAnsi="Bookman Old Style" w:cs="Arial"/>
        </w:rPr>
      </w:pP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791"/>
      </w:tblGrid>
      <w:tr w:rsidR="00884F77" w:rsidRPr="00884F77" w:rsidTr="00986578">
        <w:tc>
          <w:tcPr>
            <w:tcW w:w="988" w:type="dxa"/>
          </w:tcPr>
          <w:p w:rsidR="00B46F39" w:rsidRPr="00884F77" w:rsidRDefault="008307C2" w:rsidP="00C5438E">
            <w:pPr>
              <w:ind w:left="0"/>
              <w:rPr>
                <w:rFonts w:ascii="Bookman Old Style" w:hAnsi="Bookman Old Style" w:cs="Arial"/>
              </w:rPr>
            </w:pPr>
            <m:oMath>
              <m:sSub>
                <m:sSubPr>
                  <m:ctrlPr>
                    <w:rPr>
                      <w:rFonts w:ascii="Cambria Math" w:hAnsi="Cambria Math" w:cs="Arial"/>
                      <w:i/>
                    </w:rPr>
                  </m:ctrlPr>
                </m:sSubPr>
                <m:e>
                  <m:r>
                    <w:rPr>
                      <w:rFonts w:ascii="Cambria Math" w:hAnsi="Cambria Math" w:cs="Arial"/>
                    </w:rPr>
                    <m:t>CU</m:t>
                  </m:r>
                </m:e>
                <m:sub>
                  <m:r>
                    <w:rPr>
                      <w:rFonts w:ascii="Cambria Math" w:hAnsi="Cambria Math" w:cs="Arial"/>
                    </w:rPr>
                    <m:t>n,m</m:t>
                  </m:r>
                </m:sub>
              </m:sSub>
            </m:oMath>
            <w:r w:rsidR="00B46F39" w:rsidRPr="00884F77">
              <w:rPr>
                <w:rFonts w:ascii="Bookman Old Style" w:hAnsi="Bookman Old Style" w:cs="Arial"/>
              </w:rPr>
              <w:t>:</w:t>
            </w:r>
          </w:p>
        </w:tc>
        <w:tc>
          <w:tcPr>
            <w:tcW w:w="7791" w:type="dxa"/>
          </w:tcPr>
          <w:p w:rsidR="00B46F39" w:rsidRPr="00884F77" w:rsidRDefault="00B46F39" w:rsidP="00986578">
            <w:pPr>
              <w:ind w:left="0"/>
              <w:jc w:val="both"/>
              <w:rPr>
                <w:rFonts w:ascii="Bookman Old Style" w:hAnsi="Bookman Old Style" w:cs="Arial"/>
              </w:rPr>
            </w:pPr>
            <w:r w:rsidRPr="00884F77">
              <w:rPr>
                <w:rFonts w:ascii="Bookman Old Style" w:hAnsi="Bookman Old Style" w:cs="Arial"/>
              </w:rPr>
              <w:t>Costo unitario de prestación del servicio de energía eléctrica, para el nivel de tensión n, para el mes m, e</w:t>
            </w:r>
            <w:r w:rsidR="00986578" w:rsidRPr="00884F77">
              <w:rPr>
                <w:rFonts w:ascii="Bookman Old Style" w:hAnsi="Bookman Old Style" w:cs="Arial"/>
              </w:rPr>
              <w:t xml:space="preserve">xpresado en pesos por kilovatio </w:t>
            </w:r>
            <w:r w:rsidRPr="00884F77">
              <w:rPr>
                <w:rFonts w:ascii="Bookman Old Style" w:hAnsi="Bookman Old Style" w:cs="Arial"/>
              </w:rPr>
              <w:t>hora ($/</w:t>
            </w:r>
            <w:proofErr w:type="spellStart"/>
            <w:r w:rsidRPr="00884F77">
              <w:rPr>
                <w:rFonts w:ascii="Bookman Old Style" w:hAnsi="Bookman Old Style" w:cs="Arial"/>
              </w:rPr>
              <w:t>kWh</w:t>
            </w:r>
            <w:proofErr w:type="spellEnd"/>
            <w:r w:rsidRPr="00884F77">
              <w:rPr>
                <w:rFonts w:ascii="Bookman Old Style" w:hAnsi="Bookman Old Style" w:cs="Arial"/>
              </w:rPr>
              <w:t xml:space="preserve">). </w:t>
            </w:r>
          </w:p>
          <w:p w:rsidR="00B46F39" w:rsidRPr="00884F77" w:rsidRDefault="00B46F39" w:rsidP="00C5438E">
            <w:pPr>
              <w:ind w:left="0"/>
              <w:rPr>
                <w:rFonts w:ascii="Bookman Old Style" w:hAnsi="Bookman Old Style" w:cs="Arial"/>
              </w:rPr>
            </w:pPr>
          </w:p>
        </w:tc>
      </w:tr>
      <w:tr w:rsidR="00884F77" w:rsidRPr="00884F77" w:rsidTr="00986578">
        <w:tc>
          <w:tcPr>
            <w:tcW w:w="988" w:type="dxa"/>
          </w:tcPr>
          <w:p w:rsidR="00B46F39" w:rsidRPr="00884F77" w:rsidRDefault="008307C2" w:rsidP="00C5438E">
            <w:pPr>
              <w:ind w:left="0"/>
              <w:rPr>
                <w:rFonts w:ascii="Bookman Old Style" w:hAnsi="Bookman Old Style" w:cs="Arial"/>
              </w:rPr>
            </w:pPr>
            <m:oMath>
              <m:sSub>
                <m:sSubPr>
                  <m:ctrlPr>
                    <w:rPr>
                      <w:rFonts w:ascii="Cambria Math" w:hAnsi="Cambria Math" w:cs="Arial"/>
                      <w:i/>
                    </w:rPr>
                  </m:ctrlPr>
                </m:sSubPr>
                <m:e>
                  <m:r>
                    <w:rPr>
                      <w:rFonts w:ascii="Cambria Math" w:hAnsi="Cambria Math" w:cs="Arial"/>
                    </w:rPr>
                    <m:t>G</m:t>
                  </m:r>
                </m:e>
                <m:sub>
                  <m:r>
                    <w:rPr>
                      <w:rFonts w:ascii="Cambria Math" w:hAnsi="Cambria Math" w:cs="Arial"/>
                    </w:rPr>
                    <m:t>m</m:t>
                  </m:r>
                </m:sub>
              </m:sSub>
            </m:oMath>
            <w:r w:rsidR="00986578" w:rsidRPr="00884F77">
              <w:rPr>
                <w:rFonts w:ascii="Bookman Old Style" w:hAnsi="Bookman Old Style" w:cs="Arial"/>
              </w:rPr>
              <w:t xml:space="preserve">:    </w:t>
            </w:r>
          </w:p>
        </w:tc>
        <w:tc>
          <w:tcPr>
            <w:tcW w:w="7791" w:type="dxa"/>
          </w:tcPr>
          <w:p w:rsidR="00B46F39" w:rsidRPr="00884F77" w:rsidRDefault="00986578" w:rsidP="00986578">
            <w:pPr>
              <w:ind w:left="0"/>
              <w:jc w:val="both"/>
              <w:rPr>
                <w:rFonts w:ascii="Bookman Old Style" w:hAnsi="Bookman Old Style" w:cs="Arial"/>
              </w:rPr>
            </w:pPr>
            <w:r w:rsidRPr="00884F77">
              <w:rPr>
                <w:rFonts w:ascii="Bookman Old Style" w:hAnsi="Bookman Old Style" w:cs="Arial"/>
              </w:rPr>
              <w:t>Componente de generación, para el mes m, expresado en pesos por kilovatio hora ($/</w:t>
            </w:r>
            <w:proofErr w:type="spellStart"/>
            <w:r w:rsidRPr="00884F77">
              <w:rPr>
                <w:rFonts w:ascii="Bookman Old Style" w:hAnsi="Bookman Old Style" w:cs="Arial"/>
              </w:rPr>
              <w:t>kWh</w:t>
            </w:r>
            <w:proofErr w:type="spellEnd"/>
            <w:r w:rsidRPr="00884F77">
              <w:rPr>
                <w:rFonts w:ascii="Bookman Old Style" w:hAnsi="Bookman Old Style" w:cs="Arial"/>
              </w:rPr>
              <w:t>). De acuerdo con lo establecido en la presente resolución.</w:t>
            </w:r>
          </w:p>
          <w:p w:rsidR="00986578" w:rsidRPr="00884F77" w:rsidRDefault="00986578" w:rsidP="00986578">
            <w:pPr>
              <w:ind w:left="0"/>
              <w:jc w:val="both"/>
              <w:rPr>
                <w:rFonts w:ascii="Bookman Old Style" w:hAnsi="Bookman Old Style" w:cs="Arial"/>
              </w:rPr>
            </w:pPr>
          </w:p>
        </w:tc>
      </w:tr>
      <w:tr w:rsidR="00884F77" w:rsidRPr="00884F77" w:rsidTr="00986578">
        <w:tc>
          <w:tcPr>
            <w:tcW w:w="988" w:type="dxa"/>
          </w:tcPr>
          <w:p w:rsidR="00B46F39" w:rsidRPr="00884F77" w:rsidRDefault="008307C2" w:rsidP="00C5438E">
            <w:pPr>
              <w:ind w:left="0"/>
              <w:rPr>
                <w:rFonts w:ascii="Bookman Old Style" w:hAnsi="Bookman Old Style"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D n,m</m:t>
                  </m:r>
                </m:sub>
              </m:sSub>
            </m:oMath>
            <w:r w:rsidR="00986578" w:rsidRPr="00884F77">
              <w:rPr>
                <w:rFonts w:ascii="Bookman Old Style" w:hAnsi="Bookman Old Style" w:cs="Arial"/>
              </w:rPr>
              <w:t>:</w:t>
            </w:r>
          </w:p>
        </w:tc>
        <w:tc>
          <w:tcPr>
            <w:tcW w:w="7791" w:type="dxa"/>
          </w:tcPr>
          <w:p w:rsidR="00B46F39" w:rsidRPr="00884F77" w:rsidRDefault="00986578" w:rsidP="00986578">
            <w:pPr>
              <w:tabs>
                <w:tab w:val="left" w:pos="1134"/>
                <w:tab w:val="left" w:pos="1276"/>
              </w:tabs>
              <w:ind w:left="0"/>
              <w:jc w:val="both"/>
              <w:rPr>
                <w:rFonts w:ascii="Bookman Old Style" w:hAnsi="Bookman Old Style" w:cs="Arial"/>
              </w:rPr>
            </w:pPr>
            <w:r w:rsidRPr="00884F77">
              <w:rPr>
                <w:rFonts w:ascii="Bookman Old Style" w:hAnsi="Bookman Old Style" w:cs="Arial"/>
              </w:rPr>
              <w:t>Pérdidas de energía del sistema de distribución, en el nivel de tensión n, para el mes m. Este nivel de pérdidas será el ofertado por el adjudicatario de la obligación de prestación del servicio en la propuesta que presente en el proceso competitivo. Este valor se expresa como una fracción de la energía medida y entregada al sistema de distribución.</w:t>
            </w:r>
          </w:p>
          <w:p w:rsidR="00986578" w:rsidRPr="00884F77" w:rsidRDefault="00986578" w:rsidP="00986578">
            <w:pPr>
              <w:tabs>
                <w:tab w:val="left" w:pos="1134"/>
                <w:tab w:val="left" w:pos="1276"/>
              </w:tabs>
              <w:ind w:left="0"/>
              <w:jc w:val="both"/>
              <w:rPr>
                <w:rFonts w:ascii="Bookman Old Style" w:hAnsi="Bookman Old Style" w:cs="Arial"/>
              </w:rPr>
            </w:pPr>
          </w:p>
        </w:tc>
      </w:tr>
      <w:tr w:rsidR="00884F77" w:rsidRPr="00884F77" w:rsidTr="00986578">
        <w:tc>
          <w:tcPr>
            <w:tcW w:w="988" w:type="dxa"/>
          </w:tcPr>
          <w:p w:rsidR="00B46F39" w:rsidRPr="00884F77" w:rsidRDefault="008307C2" w:rsidP="00C5438E">
            <w:pPr>
              <w:ind w:left="0"/>
              <w:rPr>
                <w:rFonts w:ascii="Bookman Old Style" w:hAnsi="Bookman Old Style" w:cs="Arial"/>
              </w:rPr>
            </w:pPr>
            <m:oMath>
              <m:sSub>
                <m:sSubPr>
                  <m:ctrlPr>
                    <w:rPr>
                      <w:rFonts w:ascii="Cambria Math" w:hAnsi="Cambria Math" w:cs="Arial"/>
                      <w:i/>
                    </w:rPr>
                  </m:ctrlPr>
                </m:sSubPr>
                <m:e>
                  <m:r>
                    <w:rPr>
                      <w:rFonts w:ascii="Cambria Math" w:hAnsi="Cambria Math" w:cs="Arial"/>
                    </w:rPr>
                    <m:t>D</m:t>
                  </m:r>
                </m:e>
                <m:sub>
                  <m:r>
                    <w:rPr>
                      <w:rFonts w:ascii="Cambria Math" w:hAnsi="Cambria Math" w:cs="Arial"/>
                    </w:rPr>
                    <m:t>n,m</m:t>
                  </m:r>
                </m:sub>
              </m:sSub>
            </m:oMath>
            <w:r w:rsidR="00986578" w:rsidRPr="00884F77">
              <w:rPr>
                <w:rFonts w:ascii="Bookman Old Style" w:hAnsi="Bookman Old Style" w:cs="Arial"/>
              </w:rPr>
              <w:t>:</w:t>
            </w:r>
          </w:p>
        </w:tc>
        <w:tc>
          <w:tcPr>
            <w:tcW w:w="7791" w:type="dxa"/>
          </w:tcPr>
          <w:p w:rsidR="00986578" w:rsidRPr="00884F77" w:rsidRDefault="00986578" w:rsidP="00986578">
            <w:pPr>
              <w:ind w:left="0"/>
              <w:jc w:val="both"/>
              <w:rPr>
                <w:rFonts w:ascii="Bookman Old Style" w:hAnsi="Bookman Old Style" w:cs="Arial"/>
              </w:rPr>
            </w:pPr>
            <w:r w:rsidRPr="00884F77">
              <w:rPr>
                <w:rFonts w:ascii="Bookman Old Style" w:hAnsi="Bookman Old Style" w:cs="Arial"/>
              </w:rPr>
              <w:t>Componente de distribución, para el nivel de tensión n, para el mes m, expresado en pesos por kilovatio hora ($/</w:t>
            </w:r>
            <w:proofErr w:type="spellStart"/>
            <w:r w:rsidRPr="00884F77">
              <w:rPr>
                <w:rFonts w:ascii="Bookman Old Style" w:hAnsi="Bookman Old Style" w:cs="Arial"/>
              </w:rPr>
              <w:t>kWh</w:t>
            </w:r>
            <w:proofErr w:type="spellEnd"/>
            <w:r w:rsidRPr="00884F77">
              <w:rPr>
                <w:rFonts w:ascii="Bookman Old Style" w:hAnsi="Bookman Old Style" w:cs="Arial"/>
              </w:rPr>
              <w:t>). De acuerdo con lo establecido en la presente resolución.</w:t>
            </w:r>
          </w:p>
          <w:p w:rsidR="00B46F39" w:rsidRPr="00884F77" w:rsidRDefault="00B46F39" w:rsidP="00C5438E">
            <w:pPr>
              <w:ind w:left="0"/>
              <w:rPr>
                <w:rFonts w:ascii="Bookman Old Style" w:hAnsi="Bookman Old Style" w:cs="Arial"/>
              </w:rPr>
            </w:pPr>
          </w:p>
        </w:tc>
      </w:tr>
      <w:tr w:rsidR="00884F77" w:rsidRPr="00884F77" w:rsidTr="00986578">
        <w:tc>
          <w:tcPr>
            <w:tcW w:w="988" w:type="dxa"/>
          </w:tcPr>
          <w:p w:rsidR="00B46F39" w:rsidRPr="00884F77" w:rsidRDefault="00986578" w:rsidP="00C5438E">
            <w:pPr>
              <w:ind w:left="0"/>
              <w:rPr>
                <w:rFonts w:ascii="Bookman Old Style" w:hAnsi="Bookman Old Style" w:cs="Arial"/>
              </w:rPr>
            </w:pPr>
            <m:oMath>
              <m:r>
                <w:rPr>
                  <w:rFonts w:ascii="Cambria Math" w:hAnsi="Cambria Math" w:cs="Arial"/>
                </w:rPr>
                <m:t>n</m:t>
              </m:r>
            </m:oMath>
            <w:r w:rsidRPr="00884F77">
              <w:rPr>
                <w:rFonts w:ascii="Bookman Old Style" w:hAnsi="Bookman Old Style" w:cs="Arial"/>
              </w:rPr>
              <w:t>:</w:t>
            </w:r>
          </w:p>
        </w:tc>
        <w:tc>
          <w:tcPr>
            <w:tcW w:w="7791" w:type="dxa"/>
          </w:tcPr>
          <w:p w:rsidR="00B46F39" w:rsidRPr="00884F77" w:rsidRDefault="00986578" w:rsidP="00986578">
            <w:pPr>
              <w:ind w:left="0"/>
              <w:jc w:val="both"/>
              <w:rPr>
                <w:rFonts w:ascii="Bookman Old Style" w:hAnsi="Bookman Old Style" w:cs="Arial"/>
              </w:rPr>
            </w:pPr>
            <w:r w:rsidRPr="00884F77">
              <w:rPr>
                <w:rFonts w:ascii="Bookman Old Style" w:hAnsi="Bookman Old Style" w:cs="Arial"/>
              </w:rPr>
              <w:t>Niveles de tensión del sistema de distribución del área de servicio exclusivo.</w:t>
            </w:r>
          </w:p>
        </w:tc>
      </w:tr>
      <w:tr w:rsidR="00884F77" w:rsidRPr="00884F77" w:rsidTr="00986578">
        <w:tc>
          <w:tcPr>
            <w:tcW w:w="988" w:type="dxa"/>
          </w:tcPr>
          <w:p w:rsidR="00986578" w:rsidRPr="00884F77" w:rsidRDefault="008307C2" w:rsidP="00986578">
            <w:pPr>
              <w:ind w:left="0"/>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m:t>
                  </m:r>
                </m:e>
                <m:sub>
                  <m:r>
                    <w:rPr>
                      <w:rFonts w:ascii="Cambria Math" w:hAnsi="Cambria Math" w:cs="Arial"/>
                    </w:rPr>
                    <m:t>m</m:t>
                  </m:r>
                </m:sub>
              </m:sSub>
            </m:oMath>
            <w:r w:rsidR="00986578" w:rsidRPr="00884F77">
              <w:rPr>
                <w:rFonts w:ascii="Bookman Old Style" w:hAnsi="Bookman Old Style" w:cs="Arial"/>
              </w:rPr>
              <w:t xml:space="preserve">: </w:t>
            </w:r>
          </w:p>
          <w:p w:rsidR="00B46F39" w:rsidRPr="00884F77" w:rsidRDefault="00B46F39" w:rsidP="00C5438E">
            <w:pPr>
              <w:ind w:left="0"/>
              <w:rPr>
                <w:rFonts w:ascii="Bookman Old Style" w:hAnsi="Bookman Old Style" w:cs="Arial"/>
              </w:rPr>
            </w:pPr>
          </w:p>
        </w:tc>
        <w:tc>
          <w:tcPr>
            <w:tcW w:w="7791" w:type="dxa"/>
          </w:tcPr>
          <w:p w:rsidR="00B46F39" w:rsidRPr="00884F77" w:rsidRDefault="00986578" w:rsidP="00C5438E">
            <w:pPr>
              <w:ind w:left="0"/>
              <w:rPr>
                <w:rFonts w:ascii="Bookman Old Style" w:hAnsi="Bookman Old Style" w:cs="Arial"/>
              </w:rPr>
            </w:pPr>
            <w:r w:rsidRPr="00884F77">
              <w:rPr>
                <w:rFonts w:ascii="Bookman Old Style" w:hAnsi="Bookman Old Style" w:cs="Arial"/>
              </w:rPr>
              <w:t>Componente de comercialización, para el mes m, expresado en pesos por kilovatio hora ($/</w:t>
            </w:r>
            <w:proofErr w:type="spellStart"/>
            <w:r w:rsidRPr="00884F77">
              <w:rPr>
                <w:rFonts w:ascii="Bookman Old Style" w:hAnsi="Bookman Old Style" w:cs="Arial"/>
              </w:rPr>
              <w:t>kWh</w:t>
            </w:r>
            <w:proofErr w:type="spellEnd"/>
            <w:r w:rsidRPr="00884F77">
              <w:rPr>
                <w:rFonts w:ascii="Bookman Old Style" w:hAnsi="Bookman Old Style" w:cs="Arial"/>
              </w:rPr>
              <w:t>). De acuerdo con lo establecido en la presente resolución.</w:t>
            </w:r>
          </w:p>
        </w:tc>
      </w:tr>
      <w:tr w:rsidR="00884F77" w:rsidRPr="00884F77" w:rsidTr="00986578">
        <w:tc>
          <w:tcPr>
            <w:tcW w:w="988" w:type="dxa"/>
          </w:tcPr>
          <w:p w:rsidR="00B46F39" w:rsidRPr="00884F77" w:rsidRDefault="008307C2" w:rsidP="00C5438E">
            <w:pPr>
              <w:ind w:left="0"/>
              <w:rPr>
                <w:rFonts w:ascii="Bookman Old Style" w:hAnsi="Bookman Old Style" w:cs="Arial"/>
              </w:rPr>
            </w:pPr>
            <m:oMath>
              <m:sSub>
                <m:sSubPr>
                  <m:ctrlPr>
                    <w:rPr>
                      <w:rFonts w:ascii="Cambria Math" w:hAnsi="Cambria Math" w:cs="Arial"/>
                      <w:i/>
                    </w:rPr>
                  </m:ctrlPr>
                </m:sSubPr>
                <m:e>
                  <m:r>
                    <w:rPr>
                      <w:rFonts w:ascii="Cambria Math" w:hAnsi="Cambria Math" w:cs="Arial"/>
                    </w:rPr>
                    <m:t>TM</m:t>
                  </m:r>
                </m:e>
                <m:sub>
                  <m:r>
                    <w:rPr>
                      <w:rFonts w:ascii="Cambria Math" w:hAnsi="Cambria Math" w:cs="Arial"/>
                    </w:rPr>
                    <m:t>m</m:t>
                  </m:r>
                </m:sub>
              </m:sSub>
            </m:oMath>
            <w:r w:rsidR="00986578" w:rsidRPr="00884F77">
              <w:rPr>
                <w:rFonts w:ascii="Bookman Old Style" w:hAnsi="Bookman Old Style" w:cs="Arial"/>
              </w:rPr>
              <w:t>:</w:t>
            </w:r>
          </w:p>
        </w:tc>
        <w:tc>
          <w:tcPr>
            <w:tcW w:w="7791" w:type="dxa"/>
          </w:tcPr>
          <w:p w:rsidR="00986578" w:rsidRPr="00884F77" w:rsidRDefault="00986578" w:rsidP="00986578">
            <w:pPr>
              <w:ind w:left="0"/>
              <w:jc w:val="both"/>
              <w:rPr>
                <w:rFonts w:ascii="Bookman Old Style" w:hAnsi="Bookman Old Style" w:cs="Arial"/>
              </w:rPr>
            </w:pPr>
            <w:r w:rsidRPr="00884F77">
              <w:rPr>
                <w:rFonts w:ascii="Bookman Old Style" w:hAnsi="Bookman Old Style" w:cs="Arial"/>
                <w:bCs/>
                <w:lang w:val="x-none" w:eastAsia="x-none"/>
              </w:rPr>
              <w:t>C</w:t>
            </w:r>
            <w:r w:rsidRPr="00884F77">
              <w:rPr>
                <w:rFonts w:ascii="Bookman Old Style" w:hAnsi="Bookman Old Style" w:cs="Arial"/>
                <w:bCs/>
                <w:lang w:val="es-CO" w:eastAsia="x-none"/>
              </w:rPr>
              <w:t xml:space="preserve">argo de monitoreo </w:t>
            </w:r>
            <w:r w:rsidRPr="00884F77">
              <w:rPr>
                <w:rFonts w:ascii="Bookman Old Style" w:hAnsi="Bookman Old Style" w:cs="Arial"/>
                <w:bCs/>
                <w:lang w:val="x-none" w:eastAsia="x-none"/>
              </w:rPr>
              <w:t>correspondiente al mes m de prestación del servicio</w:t>
            </w:r>
            <w:r w:rsidRPr="00884F77">
              <w:rPr>
                <w:rFonts w:ascii="Bookman Old Style" w:hAnsi="Bookman Old Style" w:cs="Arial"/>
                <w:spacing w:val="-3"/>
              </w:rPr>
              <w:t xml:space="preserve">, </w:t>
            </w:r>
            <w:r w:rsidRPr="00884F77">
              <w:rPr>
                <w:rFonts w:ascii="Bookman Old Style" w:hAnsi="Bookman Old Style" w:cs="Arial"/>
              </w:rPr>
              <w:t>expresado en pesos por kilovatio hora ($/</w:t>
            </w:r>
            <w:proofErr w:type="spellStart"/>
            <w:r w:rsidRPr="00884F77">
              <w:rPr>
                <w:rFonts w:ascii="Bookman Old Style" w:hAnsi="Bookman Old Style" w:cs="Arial"/>
              </w:rPr>
              <w:t>kWh</w:t>
            </w:r>
            <w:proofErr w:type="spellEnd"/>
            <w:r w:rsidRPr="00884F77">
              <w:rPr>
                <w:rFonts w:ascii="Bookman Old Style" w:hAnsi="Bookman Old Style" w:cs="Arial"/>
              </w:rPr>
              <w:t xml:space="preserve">). De acuerdo con lo establecido en la presente resolución. </w:t>
            </w:r>
          </w:p>
          <w:p w:rsidR="00B46F39" w:rsidRPr="00884F77" w:rsidRDefault="00B46F39" w:rsidP="00C5438E">
            <w:pPr>
              <w:ind w:left="0"/>
              <w:rPr>
                <w:rFonts w:ascii="Bookman Old Style" w:hAnsi="Bookman Old Style" w:cs="Arial"/>
              </w:rPr>
            </w:pPr>
          </w:p>
        </w:tc>
      </w:tr>
      <w:tr w:rsidR="00884F77" w:rsidRPr="00884F77" w:rsidTr="009844AF">
        <w:tc>
          <w:tcPr>
            <w:tcW w:w="988" w:type="dxa"/>
          </w:tcPr>
          <w:p w:rsidR="00B46F39" w:rsidRPr="00884F77" w:rsidRDefault="008307C2" w:rsidP="00C5438E">
            <w:pPr>
              <w:ind w:left="0"/>
              <w:rPr>
                <w:rFonts w:ascii="Bookman Old Style" w:hAnsi="Bookman Old Style" w:cs="Arial"/>
              </w:rPr>
            </w:pPr>
            <m:oMath>
              <m:sSub>
                <m:sSubPr>
                  <m:ctrlPr>
                    <w:rPr>
                      <w:rFonts w:ascii="Cambria Math" w:hAnsi="Cambria Math" w:cs="Arial"/>
                      <w:i/>
                    </w:rPr>
                  </m:ctrlPr>
                </m:sSubPr>
                <m:e>
                  <m:r>
                    <w:rPr>
                      <w:rFonts w:ascii="Cambria Math" w:hAnsi="Cambria Math" w:cs="Arial"/>
                    </w:rPr>
                    <m:t>Itv</m:t>
                  </m:r>
                </m:e>
                <m:sub>
                  <m:r>
                    <w:rPr>
                      <w:rFonts w:ascii="Cambria Math" w:hAnsi="Cambria Math" w:cs="Arial"/>
                    </w:rPr>
                    <m:t>m</m:t>
                  </m:r>
                </m:sub>
              </m:sSub>
            </m:oMath>
            <w:r w:rsidR="00986578" w:rsidRPr="00884F77">
              <w:rPr>
                <w:rFonts w:ascii="Bookman Old Style" w:hAnsi="Bookman Old Style" w:cs="Arial"/>
              </w:rPr>
              <w:t>:</w:t>
            </w:r>
          </w:p>
        </w:tc>
        <w:tc>
          <w:tcPr>
            <w:tcW w:w="7791" w:type="dxa"/>
          </w:tcPr>
          <w:p w:rsidR="00986578" w:rsidRPr="00884F77" w:rsidRDefault="00986578" w:rsidP="00986578">
            <w:pPr>
              <w:ind w:left="0"/>
              <w:jc w:val="both"/>
              <w:rPr>
                <w:rFonts w:ascii="Bookman Old Style" w:hAnsi="Bookman Old Style" w:cs="Arial"/>
              </w:rPr>
            </w:pPr>
            <w:r w:rsidRPr="00884F77">
              <w:rPr>
                <w:rFonts w:ascii="Bookman Old Style" w:hAnsi="Bookman Old Style" w:cs="Arial"/>
              </w:rPr>
              <w:t>Cargo de interventoría correspondiente al mes m de prestación del servicio, expresado en pesos por kilovatio hora ($/</w:t>
            </w:r>
            <w:proofErr w:type="spellStart"/>
            <w:r w:rsidRPr="00884F77">
              <w:rPr>
                <w:rFonts w:ascii="Bookman Old Style" w:hAnsi="Bookman Old Style" w:cs="Arial"/>
              </w:rPr>
              <w:t>kWh</w:t>
            </w:r>
            <w:proofErr w:type="spellEnd"/>
            <w:r w:rsidRPr="00884F77">
              <w:rPr>
                <w:rFonts w:ascii="Bookman Old Style" w:hAnsi="Bookman Old Style" w:cs="Arial"/>
              </w:rPr>
              <w:t>). Este cargo será determinado por el Ministerio de Minas y Energía.</w:t>
            </w:r>
          </w:p>
          <w:p w:rsidR="00B46F39" w:rsidRPr="00884F77" w:rsidRDefault="00B46F39" w:rsidP="00C5438E">
            <w:pPr>
              <w:ind w:left="0"/>
              <w:rPr>
                <w:rFonts w:ascii="Bookman Old Style" w:hAnsi="Bookman Old Style" w:cs="Arial"/>
              </w:rPr>
            </w:pPr>
          </w:p>
        </w:tc>
      </w:tr>
      <w:tr w:rsidR="00986578" w:rsidRPr="00884F77" w:rsidTr="009844AF">
        <w:tc>
          <w:tcPr>
            <w:tcW w:w="988" w:type="dxa"/>
          </w:tcPr>
          <w:p w:rsidR="00986578" w:rsidRPr="00884F77" w:rsidRDefault="008307C2" w:rsidP="00C5438E">
            <w:pPr>
              <w:ind w:left="0"/>
              <w:rPr>
                <w:rFonts w:ascii="Bookman Old Style" w:hAnsi="Bookman Old Style" w:cs="Arial"/>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00986578" w:rsidRPr="00884F77">
              <w:rPr>
                <w:rFonts w:ascii="Bookman Old Style" w:hAnsi="Bookman Old Style" w:cs="Arial"/>
              </w:rPr>
              <w:t>:</w:t>
            </w:r>
          </w:p>
        </w:tc>
        <w:tc>
          <w:tcPr>
            <w:tcW w:w="7791" w:type="dxa"/>
          </w:tcPr>
          <w:p w:rsidR="00986578" w:rsidRPr="00884F77" w:rsidRDefault="00986578" w:rsidP="00986578">
            <w:pPr>
              <w:ind w:left="0" w:right="-29"/>
              <w:jc w:val="both"/>
              <w:rPr>
                <w:rFonts w:ascii="Bookman Old Style" w:hAnsi="Bookman Old Style" w:cs="Arial"/>
              </w:rPr>
            </w:pPr>
            <w:r w:rsidRPr="00884F77">
              <w:rPr>
                <w:rFonts w:ascii="Bookman Old Style" w:hAnsi="Bookman Old Style" w:cs="Arial"/>
              </w:rPr>
              <w:t xml:space="preserve">Ahorro en los costos de combustibles de origen fósil, ya sea por la incorporación de equipos que mejoren la eficiencia de las </w:t>
            </w:r>
            <w:r w:rsidRPr="00884F77">
              <w:rPr>
                <w:rFonts w:ascii="Bookman Old Style" w:hAnsi="Bookman Old Style" w:cs="Arial"/>
              </w:rPr>
              <w:lastRenderedPageBreak/>
              <w:t>plantas de generación, por el reemplazo de alguna de éstas o por la sustitución de combustible o de tecnología, en el mes m, expresado en pesos por kilovatio hora ($/</w:t>
            </w:r>
            <w:proofErr w:type="spellStart"/>
            <w:r w:rsidRPr="00884F77">
              <w:rPr>
                <w:rFonts w:ascii="Bookman Old Style" w:hAnsi="Bookman Old Style" w:cs="Arial"/>
              </w:rPr>
              <w:t>kWh</w:t>
            </w:r>
            <w:proofErr w:type="spellEnd"/>
            <w:r w:rsidRPr="00884F77">
              <w:rPr>
                <w:rFonts w:ascii="Bookman Old Style" w:hAnsi="Bookman Old Style" w:cs="Arial"/>
              </w:rPr>
              <w:t>), calculado de la siguiente manera:</w:t>
            </w:r>
          </w:p>
          <w:p w:rsidR="00986578" w:rsidRPr="00884F77" w:rsidRDefault="00986578" w:rsidP="00986578">
            <w:pPr>
              <w:tabs>
                <w:tab w:val="left" w:pos="284"/>
                <w:tab w:val="left" w:pos="426"/>
              </w:tabs>
              <w:ind w:left="1134" w:right="-29" w:hanging="1134"/>
              <w:jc w:val="both"/>
              <w:rPr>
                <w:rFonts w:ascii="Bookman Old Style" w:hAnsi="Bookman Old Style" w:cs="Arial"/>
              </w:rPr>
            </w:pPr>
          </w:p>
          <w:p w:rsidR="00986578" w:rsidRPr="00884F77" w:rsidRDefault="00986578" w:rsidP="00986578">
            <w:pPr>
              <w:ind w:left="1134" w:right="-29" w:hanging="1134"/>
              <w:jc w:val="both"/>
              <w:rPr>
                <w:rFonts w:ascii="Bookman Old Style" w:hAnsi="Bookman Old Style" w:cs="Arial"/>
              </w:rPr>
            </w:pPr>
          </w:p>
          <w:p w:rsidR="00986578" w:rsidRPr="00884F77" w:rsidRDefault="008307C2" w:rsidP="00986578">
            <w:pPr>
              <w:ind w:left="1134" w:right="-29"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r>
                      <w:rPr>
                        <w:rFonts w:ascii="Cambria Math" w:hAnsi="Cambria Math" w:cs="Arial"/>
                      </w:rPr>
                      <m:t>α</m:t>
                    </m:r>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nary>
                  <m:naryPr>
                    <m:chr m:val="∑"/>
                    <m:limLoc m:val="subSup"/>
                    <m:ctrlPr>
                      <w:rPr>
                        <w:rFonts w:ascii="Cambria Math" w:hAnsi="Cambria Math" w:cs="Arial"/>
                        <w:i/>
                      </w:rPr>
                    </m:ctrlPr>
                  </m:naryPr>
                  <m:sub>
                    <m:r>
                      <w:rPr>
                        <w:rFonts w:ascii="Cambria Math" w:hAnsi="Cambria Math" w:cs="Arial"/>
                      </w:rPr>
                      <m:t>j=1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(CEC</m:t>
                        </m:r>
                      </m:e>
                      <m:sub>
                        <m:r>
                          <w:rPr>
                            <w:rFonts w:ascii="Cambria Math" w:hAnsi="Cambria Math" w:cs="Arial"/>
                          </w:rPr>
                          <m:t>i,j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PC</m:t>
                        </m:r>
                      </m:e>
                      <m:sub>
                        <m:r>
                          <w:rPr>
                            <w:rFonts w:ascii="Cambria Math" w:hAnsi="Cambria Math" w:cs="Arial"/>
                          </w:rPr>
                          <m:t>i,m</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CEC</m:t>
                        </m:r>
                      </m:e>
                      <m:sub>
                        <m:r>
                          <w:rPr>
                            <w:rFonts w:ascii="Cambria Math" w:hAnsi="Cambria Math" w:cs="Arial"/>
                          </w:rPr>
                          <m:t>f,j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PC</m:t>
                        </m:r>
                      </m:e>
                      <m:sub>
                        <m:r>
                          <w:rPr>
                            <w:rFonts w:ascii="Cambria Math" w:hAnsi="Cambria Math" w:cs="Arial"/>
                          </w:rPr>
                          <m:t>f,m</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e>
                </m:nary>
              </m:oMath>
            </m:oMathPara>
          </w:p>
          <w:p w:rsidR="00986578" w:rsidRPr="00884F77" w:rsidRDefault="00986578" w:rsidP="00986578">
            <w:pPr>
              <w:ind w:left="0" w:right="335"/>
              <w:rPr>
                <w:rFonts w:ascii="Bookman Old Style" w:hAnsi="Bookman Old Style" w:cs="Arial"/>
              </w:rPr>
            </w:pPr>
          </w:p>
          <w:p w:rsidR="00986578" w:rsidRPr="00884F77" w:rsidRDefault="00986578" w:rsidP="00986578">
            <w:pPr>
              <w:ind w:left="142" w:right="335"/>
              <w:rPr>
                <w:rFonts w:ascii="Bookman Old Style" w:hAnsi="Bookman Old Style" w:cs="Arial"/>
              </w:rPr>
            </w:pPr>
            <w:r w:rsidRPr="00884F77">
              <w:rPr>
                <w:rFonts w:ascii="Bookman Old Style" w:hAnsi="Bookman Old Style" w:cs="Arial"/>
              </w:rPr>
              <w:t>Donde:</w:t>
            </w:r>
          </w:p>
          <w:p w:rsidR="00986578" w:rsidRPr="00884F77" w:rsidRDefault="00986578" w:rsidP="00986578">
            <w:pPr>
              <w:ind w:left="0" w:right="335"/>
              <w:rPr>
                <w:rFonts w:ascii="Bookman Old Style" w:hAnsi="Bookman Old Style" w:cs="Arial"/>
              </w:rPr>
            </w:pPr>
          </w:p>
          <w:p w:rsidR="00986578" w:rsidRPr="00884F77" w:rsidRDefault="008307C2" w:rsidP="00986578">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w:r w:rsidR="00986578" w:rsidRPr="00884F77">
              <w:rPr>
                <w:rFonts w:ascii="Bookman Old Style" w:hAnsi="Bookman Old Style" w:cs="Arial"/>
              </w:rPr>
              <w:t>:</w:t>
            </w:r>
            <w:r w:rsidR="00986578" w:rsidRPr="00884F77">
              <w:rPr>
                <w:rFonts w:ascii="Bookman Old Style" w:hAnsi="Bookman Old Style" w:cs="Arial"/>
              </w:rPr>
              <w:tab/>
              <w:t>Energía total entregada al sistema de distribución en el mes m-1, por las n plantas reemplazadas, con sustitución de combustible o de tecnología. Este valor se expresa en kilovatios hora (</w:t>
            </w:r>
            <w:proofErr w:type="spellStart"/>
            <w:r w:rsidR="00986578" w:rsidRPr="00884F77">
              <w:rPr>
                <w:rFonts w:ascii="Bookman Old Style" w:hAnsi="Bookman Old Style" w:cs="Arial"/>
              </w:rPr>
              <w:t>kWh</w:t>
            </w:r>
            <w:proofErr w:type="spellEnd"/>
            <w:r w:rsidR="00986578" w:rsidRPr="00884F77">
              <w:rPr>
                <w:rFonts w:ascii="Bookman Old Style" w:hAnsi="Bookman Old Style" w:cs="Arial"/>
              </w:rPr>
              <w:t>) y será medido en bornes del generador.</w:t>
            </w:r>
          </w:p>
          <w:p w:rsidR="001719C5" w:rsidRPr="00884F77" w:rsidRDefault="001719C5" w:rsidP="00986578">
            <w:pPr>
              <w:ind w:left="1134" w:hanging="993"/>
              <w:jc w:val="both"/>
              <w:rPr>
                <w:rFonts w:ascii="Bookman Old Style" w:hAnsi="Bookman Old Style" w:cs="Arial"/>
              </w:rPr>
            </w:pPr>
          </w:p>
          <w:p w:rsidR="001719C5" w:rsidRPr="00884F77" w:rsidRDefault="001719C5" w:rsidP="001719C5">
            <w:pPr>
              <w:ind w:left="1134" w:hanging="951"/>
              <w:jc w:val="both"/>
              <w:rPr>
                <w:rFonts w:ascii="Bookman Old Style" w:hAnsi="Bookman Old Style"/>
              </w:rPr>
            </w:pPr>
            <m:oMath>
              <m:r>
                <w:rPr>
                  <w:rFonts w:ascii="Cambria Math" w:hAnsi="Cambria Math" w:cs="Arial"/>
                </w:rPr>
                <m:t>α</m:t>
              </m:r>
            </m:oMath>
            <w:r w:rsidRPr="00884F77">
              <w:rPr>
                <w:rFonts w:ascii="Bookman Old Style" w:hAnsi="Bookman Old Style" w:cs="Arial"/>
              </w:rPr>
              <w:t>:</w:t>
            </w:r>
            <w:r w:rsidRPr="00884F77">
              <w:rPr>
                <w:rFonts w:ascii="Bookman Old Style" w:hAnsi="Bookman Old Style" w:cs="Arial"/>
              </w:rPr>
              <w:tab/>
            </w:r>
            <w:r w:rsidRPr="00884F77">
              <w:rPr>
                <w:rFonts w:ascii="Bookman Old Style" w:hAnsi="Bookman Old Style"/>
              </w:rPr>
              <w:t xml:space="preserve">Factor de ahorro determinado por el Ministerio de           Minas y Energía y estipulado </w:t>
            </w:r>
            <w:r w:rsidR="007C5291">
              <w:rPr>
                <w:rFonts w:ascii="Bookman Old Style" w:hAnsi="Bookman Old Style"/>
              </w:rPr>
              <w:t>por proyecto en el contrato</w:t>
            </w:r>
            <w:r w:rsidRPr="00884F77">
              <w:rPr>
                <w:rFonts w:ascii="Bookman Old Style" w:hAnsi="Bookman Old Style"/>
              </w:rPr>
              <w:t xml:space="preserve">. Este </w:t>
            </w:r>
            <w:r w:rsidR="00E751F8" w:rsidRPr="00884F77">
              <w:rPr>
                <w:rFonts w:ascii="Bookman Old Style" w:hAnsi="Bookman Old Style"/>
              </w:rPr>
              <w:t>f</w:t>
            </w:r>
            <w:r w:rsidR="007458F2" w:rsidRPr="00884F77">
              <w:rPr>
                <w:rFonts w:ascii="Bookman Old Style" w:hAnsi="Bookman Old Style"/>
              </w:rPr>
              <w:t>actor</w:t>
            </w:r>
            <w:r w:rsidRPr="00884F77">
              <w:rPr>
                <w:rFonts w:ascii="Bookman Old Style" w:hAnsi="Bookman Old Style"/>
              </w:rPr>
              <w:t xml:space="preserve"> podrá tomar valores </w:t>
            </w:r>
            <w:r w:rsidR="00147741">
              <w:rPr>
                <w:rFonts w:ascii="Bookman Old Style" w:hAnsi="Bookman Old Style"/>
              </w:rPr>
              <w:t xml:space="preserve">mayores que </w:t>
            </w:r>
            <w:r w:rsidRPr="00884F77">
              <w:rPr>
                <w:rFonts w:ascii="Bookman Old Style" w:hAnsi="Bookman Old Style"/>
              </w:rPr>
              <w:t xml:space="preserve">cero (0) </w:t>
            </w:r>
            <w:r w:rsidR="00147741">
              <w:rPr>
                <w:rFonts w:ascii="Bookman Old Style" w:hAnsi="Bookman Old Style"/>
              </w:rPr>
              <w:t xml:space="preserve">y menores que </w:t>
            </w:r>
            <w:r w:rsidRPr="00884F77">
              <w:rPr>
                <w:rFonts w:ascii="Bookman Old Style" w:hAnsi="Bookman Old Style"/>
              </w:rPr>
              <w:t>uno (1).</w:t>
            </w:r>
          </w:p>
          <w:p w:rsidR="001719C5" w:rsidRPr="00884F77" w:rsidRDefault="001719C5" w:rsidP="001719C5">
            <w:pPr>
              <w:ind w:left="1134" w:hanging="951"/>
              <w:jc w:val="both"/>
              <w:rPr>
                <w:rFonts w:ascii="Bookman Old Style" w:hAnsi="Bookman Old Style"/>
              </w:rPr>
            </w:pPr>
          </w:p>
          <w:p w:rsidR="00986578" w:rsidRPr="00884F77" w:rsidRDefault="00986578" w:rsidP="001719C5">
            <w:pPr>
              <w:ind w:left="1134" w:hanging="951"/>
              <w:jc w:val="both"/>
              <w:rPr>
                <w:rFonts w:ascii="Bookman Old Style" w:hAnsi="Bookman Old Style"/>
              </w:rPr>
            </w:pPr>
            <m:oMath>
              <m:r>
                <w:rPr>
                  <w:rFonts w:ascii="Cambria Math" w:hAnsi="Cambria Math" w:cs="Arial"/>
                </w:rPr>
                <m:t>k</m:t>
              </m:r>
            </m:oMath>
            <w:r w:rsidRPr="00884F77">
              <w:rPr>
                <w:rFonts w:ascii="Bookman Old Style" w:hAnsi="Bookman Old Style" w:cs="Arial"/>
              </w:rPr>
              <w:t>:</w:t>
            </w:r>
            <w:r w:rsidRPr="00884F77">
              <w:rPr>
                <w:rFonts w:ascii="Bookman Old Style" w:hAnsi="Bookman Old Style" w:cs="Arial"/>
              </w:rPr>
              <w:tab/>
            </w:r>
            <w:r w:rsidRPr="00884F77">
              <w:rPr>
                <w:rFonts w:ascii="Bookman Old Style" w:hAnsi="Bookman Old Style"/>
              </w:rPr>
              <w:t>Número de plantas que fueron reemplazadas o para las cuales se sustituyeron combustibles por otros más económicos.</w:t>
            </w:r>
          </w:p>
          <w:p w:rsidR="00986578" w:rsidRPr="00884F77" w:rsidRDefault="00986578" w:rsidP="00986578">
            <w:pPr>
              <w:ind w:left="0"/>
              <w:jc w:val="both"/>
              <w:rPr>
                <w:rFonts w:ascii="Bookman Old Style" w:hAnsi="Bookman Old Style" w:cs="Arial"/>
              </w:rPr>
            </w:pPr>
          </w:p>
          <w:p w:rsidR="00986578" w:rsidRPr="00884F77" w:rsidRDefault="00986578" w:rsidP="001719C5">
            <w:pPr>
              <w:tabs>
                <w:tab w:val="left" w:pos="1134"/>
                <w:tab w:val="left" w:pos="1701"/>
              </w:tabs>
              <w:ind w:left="142" w:firstLine="41"/>
              <w:jc w:val="both"/>
              <w:rPr>
                <w:rFonts w:ascii="Bookman Old Style" w:hAnsi="Bookman Old Style"/>
              </w:rPr>
            </w:pPr>
            <m:oMath>
              <m:r>
                <w:rPr>
                  <w:rFonts w:ascii="Cambria Math" w:hAnsi="Cambria Math" w:cs="Arial"/>
                </w:rPr>
                <m:t>j</m:t>
              </m:r>
            </m:oMath>
            <w:r w:rsidRPr="00884F77">
              <w:rPr>
                <w:rFonts w:ascii="Bookman Old Style" w:hAnsi="Bookman Old Style" w:cs="Arial"/>
              </w:rPr>
              <w:t>:</w:t>
            </w:r>
            <w:r w:rsidRPr="00884F77">
              <w:rPr>
                <w:rFonts w:ascii="Bookman Old Style" w:hAnsi="Bookman Old Style" w:cs="Arial"/>
              </w:rPr>
              <w:tab/>
            </w:r>
            <w:r w:rsidRPr="00884F77">
              <w:rPr>
                <w:rFonts w:ascii="Bookman Old Style" w:hAnsi="Bookman Old Style"/>
              </w:rPr>
              <w:t>Planta j del parque de generación.</w:t>
            </w:r>
          </w:p>
          <w:p w:rsidR="00986578" w:rsidRPr="00884F77" w:rsidRDefault="00986578" w:rsidP="00986578">
            <w:pPr>
              <w:ind w:left="0"/>
              <w:jc w:val="both"/>
              <w:rPr>
                <w:rFonts w:ascii="Bookman Old Style" w:hAnsi="Bookman Old Style" w:cs="Arial"/>
              </w:rPr>
            </w:pPr>
          </w:p>
          <w:p w:rsidR="00986578" w:rsidRPr="00884F77" w:rsidRDefault="008307C2" w:rsidP="00986578">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i,j</m:t>
                  </m:r>
                </m:sub>
              </m:sSub>
            </m:oMath>
            <w:r w:rsidR="00986578" w:rsidRPr="00884F77">
              <w:rPr>
                <w:rFonts w:ascii="Bookman Old Style" w:hAnsi="Bookman Old Style" w:cs="Arial"/>
              </w:rPr>
              <w:t>:</w:t>
            </w:r>
            <w:r w:rsidR="00986578" w:rsidRPr="00884F77">
              <w:rPr>
                <w:rFonts w:ascii="Bookman Old Style" w:hAnsi="Bookman Old Style" w:cs="Arial"/>
              </w:rPr>
              <w:tab/>
              <w:t>Consumo específico de combustible inicial de origen fósil de la planta j que es adecuada, reemplazada o cuyo combustible es sustituido por uno más económico. Esta variable se expresa en millones de BTU por kilovatio hora (MBTU/kWh). En caso de que la planta utilice diésel No. 2 o diésel No. 6 como combustible, este consumo será expresado en galones por kilovatio hora (gal/</w:t>
            </w:r>
            <w:proofErr w:type="spellStart"/>
            <w:r w:rsidR="00986578" w:rsidRPr="00884F77">
              <w:rPr>
                <w:rFonts w:ascii="Bookman Old Style" w:hAnsi="Bookman Old Style" w:cs="Arial"/>
              </w:rPr>
              <w:t>kWh</w:t>
            </w:r>
            <w:proofErr w:type="spellEnd"/>
            <w:r w:rsidR="00986578" w:rsidRPr="00884F77">
              <w:rPr>
                <w:rFonts w:ascii="Bookman Old Style" w:hAnsi="Bookman Old Style" w:cs="Arial"/>
              </w:rPr>
              <w:t>). El valor de esta variable será el ofertado por el adjudicatario de la obligación de prestación del servicio, para cada planta j, en la propuesta que presente en el proceso competitivo. El consumo específico de combustible será calculado en bornes del generador. En caso de ser necesaria la aplicación de una equivalencia calorífica, ésta será determinada por el Ministerio de Minas y Energía.</w:t>
            </w:r>
          </w:p>
          <w:p w:rsidR="00986578" w:rsidRPr="00884F77" w:rsidRDefault="00986578" w:rsidP="00986578">
            <w:pPr>
              <w:ind w:left="0"/>
              <w:jc w:val="both"/>
              <w:rPr>
                <w:rFonts w:ascii="Bookman Old Style" w:hAnsi="Bookman Old Style" w:cs="Arial"/>
              </w:rPr>
            </w:pPr>
          </w:p>
          <w:p w:rsidR="00986578" w:rsidRPr="00884F77" w:rsidRDefault="008307C2" w:rsidP="00986578">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f,j</m:t>
                  </m:r>
                </m:sub>
              </m:sSub>
            </m:oMath>
            <w:r w:rsidR="00986578" w:rsidRPr="00884F77">
              <w:rPr>
                <w:rFonts w:ascii="Bookman Old Style" w:hAnsi="Bookman Old Style" w:cs="Arial"/>
              </w:rPr>
              <w:t>:</w:t>
            </w:r>
            <w:r w:rsidR="00986578" w:rsidRPr="00884F77">
              <w:rPr>
                <w:rFonts w:ascii="Bookman Old Style" w:hAnsi="Bookman Old Style" w:cs="Arial"/>
              </w:rPr>
              <w:tab/>
              <w:t>Consumo específico de combustible final de origen fósil de la planta j que sustituye a la que es adecuada, reemplazada o cuyo combustible es sustituido por uno más económico. Esta variable se expresa en millones de BTU por kilovatio hora (MBTU/</w:t>
            </w:r>
            <w:proofErr w:type="spellStart"/>
            <w:r w:rsidR="00986578" w:rsidRPr="00884F77">
              <w:rPr>
                <w:rFonts w:ascii="Bookman Old Style" w:hAnsi="Bookman Old Style" w:cs="Arial"/>
              </w:rPr>
              <w:t>kWh</w:t>
            </w:r>
            <w:proofErr w:type="spellEnd"/>
            <w:r w:rsidR="00986578" w:rsidRPr="00884F77">
              <w:rPr>
                <w:rFonts w:ascii="Bookman Old Style" w:hAnsi="Bookman Old Style" w:cs="Arial"/>
              </w:rPr>
              <w:t xml:space="preserve">). En caso de que la planta utilice diésel No. 2 o diésel No. 6 como combustible, este consumo será expresado en galones </w:t>
            </w:r>
            <w:r w:rsidR="00986578" w:rsidRPr="00884F77">
              <w:rPr>
                <w:rFonts w:ascii="Bookman Old Style" w:hAnsi="Bookman Old Style" w:cs="Arial"/>
              </w:rPr>
              <w:lastRenderedPageBreak/>
              <w:t>por kilovatio hora (gal/</w:t>
            </w:r>
            <w:proofErr w:type="spellStart"/>
            <w:r w:rsidR="00986578" w:rsidRPr="00884F77">
              <w:rPr>
                <w:rFonts w:ascii="Bookman Old Style" w:hAnsi="Bookman Old Style" w:cs="Arial"/>
              </w:rPr>
              <w:t>kWh</w:t>
            </w:r>
            <w:proofErr w:type="spellEnd"/>
            <w:r w:rsidR="00986578" w:rsidRPr="00884F77">
              <w:rPr>
                <w:rFonts w:ascii="Bookman Old Style" w:hAnsi="Bookman Old Style" w:cs="Arial"/>
              </w:rPr>
              <w:t>). El valor de esta variable será el propuesto por el adjudicatario de la obligación de prestación del servicio, para cada planta j, durante la ejecución del contrato. El consumo específico de combustible será calculado en bornes del generador. En caso de ser necesaria la aplicación de una equivalencia calorífica, ésta será determinada por el Ministerio de Minas y Energía.</w:t>
            </w:r>
          </w:p>
          <w:p w:rsidR="00986578" w:rsidRPr="00884F77" w:rsidRDefault="00986578" w:rsidP="00986578">
            <w:pPr>
              <w:ind w:left="1134" w:hanging="993"/>
              <w:jc w:val="both"/>
              <w:rPr>
                <w:rFonts w:ascii="Bookman Old Style" w:hAnsi="Bookman Old Style" w:cs="Arial"/>
              </w:rPr>
            </w:pPr>
          </w:p>
          <w:p w:rsidR="00986578" w:rsidRPr="00884F77" w:rsidRDefault="008307C2" w:rsidP="00986578">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PC</m:t>
                  </m:r>
                </m:e>
                <m:sub>
                  <m:r>
                    <w:rPr>
                      <w:rFonts w:ascii="Cambria Math" w:hAnsi="Cambria Math" w:cs="Arial"/>
                    </w:rPr>
                    <m:t>i,m</m:t>
                  </m:r>
                </m:sub>
              </m:sSub>
            </m:oMath>
            <w:r w:rsidR="00986578" w:rsidRPr="00884F77">
              <w:rPr>
                <w:rFonts w:ascii="Bookman Old Style" w:hAnsi="Bookman Old Style" w:cs="Arial"/>
              </w:rPr>
              <w:t>:</w:t>
            </w:r>
            <w:r w:rsidR="00986578" w:rsidRPr="00884F77">
              <w:rPr>
                <w:rFonts w:ascii="Bookman Old Style" w:hAnsi="Bookman Old Style" w:cs="Arial"/>
              </w:rPr>
              <w:tab/>
              <w:t>Precio del combustible, puesto en el sitio de la planta j del parque de generación inicial. Esta variable se expresa en pesos por millones de BTU ($/MBTU). En caso de que la planta utilizara diésel No. 2 o diésel No. 6 como combustible, este consumo será expresado en pesos por galón ($/gal). En caso de ser necesaria la aplicación de una equivalencia calorífica, ésta será determinada por el Ministerio de Minas y Energía.</w:t>
            </w:r>
          </w:p>
          <w:p w:rsidR="00986578" w:rsidRPr="00884F77" w:rsidRDefault="00986578" w:rsidP="00986578">
            <w:pPr>
              <w:ind w:left="1134" w:hanging="993"/>
              <w:jc w:val="both"/>
              <w:rPr>
                <w:rFonts w:ascii="Bookman Old Style" w:hAnsi="Bookman Old Style" w:cs="Arial"/>
              </w:rPr>
            </w:pPr>
          </w:p>
          <w:p w:rsidR="00986578" w:rsidRPr="00884F77" w:rsidRDefault="008307C2" w:rsidP="00986578">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PC</m:t>
                  </m:r>
                </m:e>
                <m:sub>
                  <m:r>
                    <w:rPr>
                      <w:rFonts w:ascii="Cambria Math" w:hAnsi="Cambria Math" w:cs="Arial"/>
                    </w:rPr>
                    <m:t>f,m</m:t>
                  </m:r>
                </m:sub>
              </m:sSub>
            </m:oMath>
            <w:r w:rsidR="00986578" w:rsidRPr="00884F77">
              <w:rPr>
                <w:rFonts w:ascii="Bookman Old Style" w:hAnsi="Bookman Old Style" w:cs="Arial"/>
              </w:rPr>
              <w:t>:</w:t>
            </w:r>
            <w:r w:rsidR="00986578" w:rsidRPr="00884F77">
              <w:rPr>
                <w:rFonts w:ascii="Bookman Old Style" w:hAnsi="Bookman Old Style" w:cs="Arial"/>
              </w:rPr>
              <w:tab/>
              <w:t>Precio del combustible sustituto, puesto en el sitio de la planta j del parque de generación final. Esta variable se expresa en pesos por millones de BTU ($/MBTU). En caso de que la planta utilizara diésel No. 2 o diésel No. 6 como combustible, este consumo será expresado en pesos por galón ($/gal). En caso de ser necesaria la aplicación de una equivalencia calorífica, ésta será determinada por el Ministerio de Minas y Energía.</w:t>
            </w:r>
          </w:p>
          <w:p w:rsidR="00986578" w:rsidRPr="00884F77" w:rsidRDefault="00986578" w:rsidP="00986578">
            <w:pPr>
              <w:ind w:left="1134" w:hanging="993"/>
              <w:jc w:val="both"/>
              <w:rPr>
                <w:rFonts w:ascii="Bookman Old Style" w:hAnsi="Bookman Old Style" w:cs="Arial"/>
              </w:rPr>
            </w:pPr>
          </w:p>
          <w:p w:rsidR="00986578" w:rsidRPr="00884F77" w:rsidRDefault="008307C2" w:rsidP="009844AF">
            <w:pPr>
              <w:ind w:left="1134" w:hanging="993"/>
              <w:jc w:val="both"/>
              <w:rPr>
                <w:rFonts w:ascii="Bookman Old Style" w:hAnsi="Bookman Old Style"/>
              </w:rPr>
            </w:pPr>
            <m:oMath>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oMath>
            <w:r w:rsidR="00986578" w:rsidRPr="00884F77">
              <w:rPr>
                <w:rFonts w:ascii="Bookman Old Style" w:hAnsi="Bookman Old Style"/>
              </w:rPr>
              <w:t>:</w:t>
            </w:r>
            <w:r w:rsidR="00986578" w:rsidRPr="00884F77">
              <w:rPr>
                <w:rFonts w:ascii="Bookman Old Style" w:hAnsi="Bookman Old Style"/>
              </w:rPr>
              <w:tab/>
              <w:t>Energía entregada al sistema de distribución, en el mes m-1, por la planta j del parque de generación que fue adecuada, reemplazada o cuyo combustible fue sustituido por uno más económico. Esta variable se expresa en kilovatios hora (</w:t>
            </w:r>
            <w:proofErr w:type="spellStart"/>
            <w:r w:rsidR="00986578" w:rsidRPr="00884F77">
              <w:rPr>
                <w:rFonts w:ascii="Bookman Old Style" w:hAnsi="Bookman Old Style"/>
              </w:rPr>
              <w:t>kWh</w:t>
            </w:r>
            <w:proofErr w:type="spellEnd"/>
            <w:r w:rsidR="00986578" w:rsidRPr="00884F77">
              <w:rPr>
                <w:rFonts w:ascii="Bookman Old Style" w:hAnsi="Bookman Old Style"/>
              </w:rPr>
              <w:t xml:space="preserve">) y será </w:t>
            </w:r>
            <w:r w:rsidR="009844AF" w:rsidRPr="00884F77">
              <w:rPr>
                <w:rFonts w:ascii="Bookman Old Style" w:hAnsi="Bookman Old Style"/>
              </w:rPr>
              <w:t>medida en bornes del generador.</w:t>
            </w:r>
          </w:p>
        </w:tc>
      </w:tr>
    </w:tbl>
    <w:p w:rsidR="009844AF" w:rsidRPr="00884F77" w:rsidRDefault="009844AF" w:rsidP="0074520E">
      <w:pPr>
        <w:ind w:left="141"/>
        <w:jc w:val="both"/>
        <w:rPr>
          <w:rFonts w:ascii="Bookman Old Style" w:hAnsi="Bookman Old Style" w:cs="Arial"/>
          <w:b/>
        </w:rPr>
      </w:pPr>
    </w:p>
    <w:p w:rsidR="005B2845" w:rsidRPr="00884F77" w:rsidRDefault="003E5F36" w:rsidP="0074520E">
      <w:pPr>
        <w:ind w:left="141"/>
        <w:jc w:val="both"/>
        <w:rPr>
          <w:rFonts w:ascii="Bookman Old Style" w:hAnsi="Bookman Old Style" w:cs="Arial"/>
        </w:rPr>
      </w:pPr>
      <w:r w:rsidRPr="00884F77">
        <w:rPr>
          <w:rFonts w:ascii="Bookman Old Style" w:hAnsi="Bookman Old Style" w:cs="Arial"/>
          <w:b/>
        </w:rPr>
        <w:t xml:space="preserve">Parágrafo 1. </w:t>
      </w:r>
      <w:r w:rsidR="005B2845" w:rsidRPr="00884F77">
        <w:rPr>
          <w:rFonts w:ascii="Bookman Old Style" w:hAnsi="Bookman Old Style" w:cs="Arial"/>
        </w:rPr>
        <w:t xml:space="preserve">A partir de la entrada en vigencia del cargo de monitoreo, se cobrará el componente </w:t>
      </w:r>
      <m:oMath>
        <m:sSub>
          <m:sSubPr>
            <m:ctrlPr>
              <w:rPr>
                <w:rFonts w:ascii="Cambria Math" w:hAnsi="Cambria Math"/>
                <w:i/>
                <w:szCs w:val="22"/>
              </w:rPr>
            </m:ctrlPr>
          </m:sSubPr>
          <m:e>
            <m:r>
              <w:rPr>
                <w:rFonts w:ascii="Cambria Math" w:hAnsi="Cambria Math"/>
                <w:szCs w:val="22"/>
              </w:rPr>
              <m:t>TM</m:t>
            </m:r>
          </m:e>
          <m:sub>
            <m:r>
              <w:rPr>
                <w:rFonts w:ascii="Cambria Math" w:hAnsi="Cambria Math"/>
                <w:szCs w:val="22"/>
              </w:rPr>
              <m:t>m</m:t>
            </m:r>
          </m:sub>
        </m:sSub>
      </m:oMath>
      <w:r w:rsidR="005B2845" w:rsidRPr="00884F77">
        <w:rPr>
          <w:rFonts w:ascii="Bookman Old Style" w:hAnsi="Bookman Old Style" w:cs="Arial"/>
        </w:rPr>
        <w:t xml:space="preserve"> in</w:t>
      </w:r>
      <w:proofErr w:type="spellStart"/>
      <w:r w:rsidR="005B2845" w:rsidRPr="00884F77">
        <w:rPr>
          <w:rFonts w:ascii="Bookman Old Style" w:hAnsi="Bookman Old Style" w:cs="Arial"/>
        </w:rPr>
        <w:t>cluido</w:t>
      </w:r>
      <w:proofErr w:type="spellEnd"/>
      <w:r w:rsidR="005B2845" w:rsidRPr="00884F77">
        <w:rPr>
          <w:rFonts w:ascii="Bookman Old Style" w:hAnsi="Bookman Old Style" w:cs="Arial"/>
        </w:rPr>
        <w:t xml:space="preserve"> en la fórmula tarifaria general. Este componente será igual a cero hasta tanto </w:t>
      </w:r>
      <w:r w:rsidR="00D07AF4" w:rsidRPr="00884F77">
        <w:rPr>
          <w:rFonts w:ascii="Bookman Old Style" w:hAnsi="Bookman Old Style" w:cs="Arial"/>
        </w:rPr>
        <w:t xml:space="preserve">sea aprobado por la Comisión </w:t>
      </w:r>
      <w:r w:rsidR="006C0C22" w:rsidRPr="00884F77">
        <w:rPr>
          <w:rFonts w:ascii="Bookman Old Style" w:hAnsi="Bookman Old Style" w:cs="Arial"/>
        </w:rPr>
        <w:t>de Regulación de Energía y Gas</w:t>
      </w:r>
      <w:r w:rsidR="00D07AF4" w:rsidRPr="00884F77">
        <w:rPr>
          <w:rFonts w:ascii="Bookman Old Style" w:hAnsi="Bookman Old Style" w:cs="Arial"/>
        </w:rPr>
        <w:t xml:space="preserve"> mediante resolución posterior. </w:t>
      </w:r>
      <w:r w:rsidR="005B2845" w:rsidRPr="00884F77">
        <w:rPr>
          <w:rFonts w:ascii="Bookman Old Style" w:hAnsi="Bookman Old Style" w:cs="Arial"/>
        </w:rPr>
        <w:t>La Comisión de Regulación de Energía y Gas podrá revisar</w:t>
      </w:r>
      <w:r w:rsidR="00E309E6" w:rsidRPr="00884F77">
        <w:rPr>
          <w:rFonts w:ascii="Bookman Old Style" w:hAnsi="Bookman Old Style" w:cs="Arial"/>
        </w:rPr>
        <w:t xml:space="preserve"> y ajustar</w:t>
      </w:r>
      <w:r w:rsidR="005B2845" w:rsidRPr="00884F77">
        <w:rPr>
          <w:rFonts w:ascii="Bookman Old Style" w:hAnsi="Bookman Old Style" w:cs="Arial"/>
        </w:rPr>
        <w:t xml:space="preserve"> el cargo de monitoreo</w:t>
      </w:r>
      <w:r w:rsidR="0000118D" w:rsidRPr="00884F77">
        <w:rPr>
          <w:rFonts w:ascii="Bookman Old Style" w:hAnsi="Bookman Old Style" w:cs="Arial"/>
        </w:rPr>
        <w:t>,</w:t>
      </w:r>
      <w:r w:rsidR="00E309E6" w:rsidRPr="00884F77">
        <w:rPr>
          <w:rFonts w:ascii="Bookman Old Style" w:hAnsi="Bookman Old Style" w:cs="Arial"/>
        </w:rPr>
        <w:t xml:space="preserve"> cuando lo considere </w:t>
      </w:r>
      <w:r w:rsidR="0000118D" w:rsidRPr="00884F77">
        <w:rPr>
          <w:rFonts w:ascii="Bookman Old Style" w:hAnsi="Bookman Old Style" w:cs="Arial"/>
        </w:rPr>
        <w:t>necesario</w:t>
      </w:r>
      <w:r w:rsidR="005B2845" w:rsidRPr="00884F77">
        <w:rPr>
          <w:rFonts w:ascii="Bookman Old Style" w:hAnsi="Bookman Old Style" w:cs="Arial"/>
        </w:rPr>
        <w:t>.</w:t>
      </w:r>
    </w:p>
    <w:p w:rsidR="00B46A54" w:rsidRPr="00884F77" w:rsidRDefault="00B46A54" w:rsidP="0074520E">
      <w:pPr>
        <w:pStyle w:val="Textoindependiente"/>
        <w:tabs>
          <w:tab w:val="left" w:pos="858"/>
        </w:tabs>
        <w:ind w:left="141"/>
        <w:jc w:val="both"/>
        <w:rPr>
          <w:rFonts w:ascii="Bookman Old Style" w:hAnsi="Bookman Old Style"/>
          <w:b w:val="0"/>
        </w:rPr>
      </w:pPr>
    </w:p>
    <w:p w:rsidR="005B2845" w:rsidRPr="00884F77" w:rsidRDefault="00F65184" w:rsidP="0074520E">
      <w:pPr>
        <w:ind w:left="141"/>
        <w:jc w:val="both"/>
        <w:rPr>
          <w:rFonts w:ascii="Bookman Old Style" w:hAnsi="Bookman Old Style" w:cs="Arial"/>
          <w:bCs/>
        </w:rPr>
      </w:pPr>
      <w:r w:rsidRPr="00884F77">
        <w:rPr>
          <w:rFonts w:ascii="Bookman Old Style" w:hAnsi="Bookman Old Style" w:cs="Arial"/>
          <w:b/>
        </w:rPr>
        <w:t xml:space="preserve">Parágrafo </w:t>
      </w:r>
      <w:r w:rsidR="003E5F36" w:rsidRPr="00884F77">
        <w:rPr>
          <w:rFonts w:ascii="Bookman Old Style" w:hAnsi="Bookman Old Style" w:cs="Arial"/>
          <w:b/>
        </w:rPr>
        <w:t>2</w:t>
      </w:r>
      <w:r w:rsidR="005B2845" w:rsidRPr="00884F77">
        <w:rPr>
          <w:rFonts w:ascii="Bookman Old Style" w:hAnsi="Bookman Old Style" w:cs="Arial"/>
          <w:b/>
        </w:rPr>
        <w:t>.</w:t>
      </w:r>
      <w:r w:rsidR="00AB4B8A" w:rsidRPr="00884F77">
        <w:rPr>
          <w:rFonts w:ascii="Bookman Old Style" w:hAnsi="Bookman Old Style" w:cs="Arial"/>
          <w:bCs/>
        </w:rPr>
        <w:t xml:space="preserve"> </w:t>
      </w:r>
      <w:r w:rsidR="005B2845" w:rsidRPr="00884F77">
        <w:rPr>
          <w:rFonts w:ascii="Bookman Old Style" w:hAnsi="Bookman Old Style" w:cs="Arial"/>
          <w:bCs/>
        </w:rPr>
        <w:t xml:space="preserve">Los adjudicatarios deberán instalar equipos de medición a distancia, los cuales deberán contar con parámetros de medición compatibles con el Centro Nacional de Monitoreo (CNM) o </w:t>
      </w:r>
      <w:r w:rsidR="00E309E6" w:rsidRPr="00884F77">
        <w:rPr>
          <w:rFonts w:ascii="Bookman Old Style" w:hAnsi="Bookman Old Style" w:cs="Arial"/>
          <w:bCs/>
        </w:rPr>
        <w:t>quien haga sus veces</w:t>
      </w:r>
      <w:r w:rsidR="005B2845" w:rsidRPr="00884F77">
        <w:rPr>
          <w:rFonts w:ascii="Bookman Old Style" w:hAnsi="Bookman Old Style" w:cs="Arial"/>
          <w:bCs/>
        </w:rPr>
        <w:t>.</w:t>
      </w:r>
    </w:p>
    <w:p w:rsidR="00986578" w:rsidRPr="00884F77" w:rsidRDefault="00986578" w:rsidP="00986578">
      <w:pPr>
        <w:tabs>
          <w:tab w:val="left" w:pos="4962"/>
        </w:tabs>
        <w:ind w:left="0"/>
        <w:jc w:val="both"/>
        <w:rPr>
          <w:rFonts w:ascii="Bookman Old Style" w:hAnsi="Bookman Old Style" w:cs="Arial"/>
          <w:bCs/>
        </w:rPr>
      </w:pPr>
    </w:p>
    <w:p w:rsidR="00986578" w:rsidRPr="00884F77" w:rsidRDefault="00AB4B8A" w:rsidP="00986578">
      <w:pPr>
        <w:tabs>
          <w:tab w:val="left" w:pos="4962"/>
        </w:tabs>
        <w:ind w:left="141"/>
        <w:jc w:val="both"/>
        <w:rPr>
          <w:rFonts w:ascii="Bookman Old Style" w:hAnsi="Bookman Old Style" w:cs="Arial"/>
          <w:bCs/>
        </w:rPr>
      </w:pPr>
      <w:r w:rsidRPr="00884F77">
        <w:rPr>
          <w:rFonts w:ascii="Bookman Old Style" w:hAnsi="Bookman Old Style" w:cs="Arial"/>
          <w:b/>
          <w:bCs/>
        </w:rPr>
        <w:t xml:space="preserve">Parágrafo 3. </w:t>
      </w:r>
      <w:r w:rsidRPr="00884F77">
        <w:rPr>
          <w:rFonts w:ascii="Bookman Old Style" w:hAnsi="Bookman Old Style" w:cs="Arial"/>
          <w:bCs/>
        </w:rPr>
        <w:t>El</w:t>
      </w:r>
      <w:r w:rsidRPr="00884F77">
        <w:rPr>
          <w:rFonts w:ascii="Bookman Old Style" w:hAnsi="Bookman Old Style" w:cs="Arial"/>
          <w:b/>
          <w:bCs/>
        </w:rPr>
        <w:t xml:space="preserve"> </w:t>
      </w:r>
      <w:r w:rsidRPr="00884F77">
        <w:rPr>
          <w:rFonts w:ascii="Bookman Old Style" w:hAnsi="Bookman Old Style" w:cs="Arial"/>
          <w:bCs/>
        </w:rPr>
        <w:t xml:space="preserve">componente </w:t>
      </w: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Pr="00884F77">
        <w:rPr>
          <w:rFonts w:ascii="Bookman Old Style" w:hAnsi="Bookman Old Style" w:cs="Arial"/>
          <w:bCs/>
        </w:rPr>
        <w:t xml:space="preserve"> únicamente se aplicará para aquellas plantas </w:t>
      </w:r>
    </w:p>
    <w:p w:rsidR="00AB4B8A" w:rsidRPr="00884F77" w:rsidRDefault="00AB4B8A" w:rsidP="00986578">
      <w:pPr>
        <w:tabs>
          <w:tab w:val="left" w:pos="4962"/>
        </w:tabs>
        <w:ind w:left="141"/>
        <w:jc w:val="both"/>
        <w:rPr>
          <w:rFonts w:ascii="Bookman Old Style" w:hAnsi="Bookman Old Style" w:cs="Arial"/>
        </w:rPr>
      </w:pPr>
      <w:r w:rsidRPr="00884F77">
        <w:rPr>
          <w:rFonts w:ascii="Bookman Old Style" w:hAnsi="Bookman Old Style" w:cs="Arial"/>
          <w:bCs/>
        </w:rPr>
        <w:t xml:space="preserve">del parque de generación inicial </w:t>
      </w:r>
      <w:r w:rsidRPr="00884F77">
        <w:rPr>
          <w:rFonts w:ascii="Bookman Old Style" w:hAnsi="Bookman Old Style" w:cs="Arial"/>
        </w:rPr>
        <w:t>cuya adecuación, por incorporación de equipos que mejoren la eficiencia, reemplazo o ca</w:t>
      </w:r>
      <w:r w:rsidR="00986578" w:rsidRPr="00884F77">
        <w:rPr>
          <w:rFonts w:ascii="Bookman Old Style" w:hAnsi="Bookman Old Style" w:cs="Arial"/>
        </w:rPr>
        <w:t>mbio</w:t>
      </w:r>
      <w:r w:rsidR="001A26A2" w:rsidRPr="00884F77">
        <w:rPr>
          <w:rFonts w:ascii="Bookman Old Style" w:hAnsi="Bookman Old Style" w:cs="Arial"/>
        </w:rPr>
        <w:t xml:space="preserve"> de combustible por uno más</w:t>
      </w:r>
      <w:r w:rsidR="00986578" w:rsidRPr="00884F77">
        <w:rPr>
          <w:rFonts w:ascii="Bookman Old Style" w:hAnsi="Bookman Old Style" w:cs="Arial"/>
        </w:rPr>
        <w:t xml:space="preserve"> </w:t>
      </w:r>
      <w:r w:rsidRPr="00884F77">
        <w:rPr>
          <w:rFonts w:ascii="Bookman Old Style" w:hAnsi="Bookman Old Style" w:cs="Arial"/>
        </w:rPr>
        <w:t>económico</w:t>
      </w:r>
      <w:r w:rsidRPr="00884F77">
        <w:rPr>
          <w:rFonts w:ascii="Bookman Old Style" w:hAnsi="Bookman Old Style" w:cs="Arial"/>
          <w:bCs/>
        </w:rPr>
        <w:t xml:space="preserve"> no haya sido incorporado en la oferta del </w:t>
      </w:r>
      <w:r w:rsidR="001A26A2" w:rsidRPr="00884F77">
        <w:rPr>
          <w:rFonts w:ascii="Bookman Old Style" w:hAnsi="Bookman Old Style" w:cs="Arial"/>
          <w:bCs/>
        </w:rPr>
        <w:t>adjudicatario de la</w:t>
      </w:r>
      <w:r w:rsidR="00986578" w:rsidRPr="00884F77">
        <w:rPr>
          <w:rFonts w:ascii="Bookman Old Style" w:hAnsi="Bookman Old Style" w:cs="Arial"/>
          <w:bCs/>
        </w:rPr>
        <w:t xml:space="preserve"> </w:t>
      </w:r>
      <w:r w:rsidRPr="00884F77">
        <w:rPr>
          <w:rFonts w:ascii="Bookman Old Style" w:hAnsi="Bookman Old Style" w:cs="Arial"/>
          <w:bCs/>
        </w:rPr>
        <w:t>oblig</w:t>
      </w:r>
      <w:r w:rsidR="003E7B68" w:rsidRPr="00884F77">
        <w:rPr>
          <w:rFonts w:ascii="Bookman Old Style" w:hAnsi="Bookman Old Style" w:cs="Arial"/>
          <w:bCs/>
        </w:rPr>
        <w:t>ación de prestación de la actividad de generación</w:t>
      </w:r>
      <w:r w:rsidR="00865168" w:rsidRPr="00884F77">
        <w:rPr>
          <w:rFonts w:ascii="Bookman Old Style" w:hAnsi="Bookman Old Style" w:cs="Arial"/>
          <w:bCs/>
        </w:rPr>
        <w:t>.</w:t>
      </w:r>
      <w:r w:rsidR="000D1A34" w:rsidRPr="00884F77">
        <w:rPr>
          <w:rFonts w:ascii="Bookman Old Style" w:hAnsi="Bookman Old Style" w:cs="Arial"/>
          <w:bCs/>
        </w:rPr>
        <w:t xml:space="preserve"> </w:t>
      </w:r>
      <w:r w:rsidR="003E7B68" w:rsidRPr="00884F77">
        <w:rPr>
          <w:rFonts w:ascii="Bookman Old Style" w:hAnsi="Bookman Old Style" w:cs="Arial"/>
          <w:bCs/>
        </w:rPr>
        <w:t xml:space="preserve">El </w:t>
      </w:r>
      <w:r w:rsidR="000D1A34" w:rsidRPr="00884F77">
        <w:rPr>
          <w:rFonts w:ascii="Bookman Old Style" w:hAnsi="Bookman Old Style" w:cs="Arial"/>
          <w:bCs/>
        </w:rPr>
        <w:t xml:space="preserve">componente </w:t>
      </w: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003E7B68" w:rsidRPr="00884F77">
        <w:rPr>
          <w:rFonts w:ascii="Bookman Old Style" w:hAnsi="Bookman Old Style" w:cs="Arial"/>
          <w:bCs/>
        </w:rPr>
        <w:t xml:space="preserve"> </w:t>
      </w:r>
      <w:r w:rsidR="000D1A34" w:rsidRPr="00884F77">
        <w:rPr>
          <w:rFonts w:ascii="Bookman Old Style" w:hAnsi="Bookman Old Style" w:cs="Arial"/>
          <w:bCs/>
        </w:rPr>
        <w:t xml:space="preserve">será </w:t>
      </w:r>
      <w:r w:rsidR="000D1A34" w:rsidRPr="00884F77">
        <w:rPr>
          <w:rFonts w:ascii="Bookman Old Style" w:hAnsi="Bookman Old Style" w:cs="Arial"/>
          <w:bCs/>
        </w:rPr>
        <w:lastRenderedPageBreak/>
        <w:t>reconocido a</w:t>
      </w:r>
      <w:r w:rsidR="003E7B68" w:rsidRPr="00884F77">
        <w:rPr>
          <w:rFonts w:ascii="Bookman Old Style" w:hAnsi="Bookman Old Style" w:cs="Arial"/>
          <w:bCs/>
        </w:rPr>
        <w:t xml:space="preserve"> quien realice la actividad de generación</w:t>
      </w:r>
      <w:r w:rsidR="007458F2" w:rsidRPr="00884F77">
        <w:rPr>
          <w:rFonts w:ascii="Bookman Old Style" w:hAnsi="Bookman Old Style" w:cs="Arial"/>
          <w:bCs/>
        </w:rPr>
        <w:t xml:space="preserve"> y haya incurrido en las inversiones necesarias para lograr dicho ahorro</w:t>
      </w:r>
      <w:r w:rsidR="003E7B68" w:rsidRPr="00884F77">
        <w:rPr>
          <w:rFonts w:ascii="Bookman Old Style" w:hAnsi="Bookman Old Style" w:cs="Arial"/>
          <w:bCs/>
        </w:rPr>
        <w:t>.</w:t>
      </w:r>
    </w:p>
    <w:p w:rsidR="00AB4B8A" w:rsidRPr="00884F77" w:rsidRDefault="00AB4B8A" w:rsidP="0074520E">
      <w:pPr>
        <w:ind w:left="141"/>
        <w:jc w:val="both"/>
        <w:rPr>
          <w:rFonts w:ascii="Bookman Old Style" w:hAnsi="Bookman Old Style" w:cs="Arial"/>
          <w:b/>
          <w:bCs/>
        </w:rPr>
      </w:pPr>
    </w:p>
    <w:p w:rsidR="00AB4B8A" w:rsidRPr="00884F77" w:rsidRDefault="00AB4B8A" w:rsidP="00986578">
      <w:pPr>
        <w:ind w:left="141"/>
        <w:jc w:val="both"/>
        <w:rPr>
          <w:rFonts w:ascii="Bookman Old Style" w:hAnsi="Bookman Old Style" w:cs="Arial"/>
        </w:rPr>
      </w:pPr>
      <w:r w:rsidRPr="00884F77">
        <w:rPr>
          <w:rFonts w:ascii="Bookman Old Style" w:hAnsi="Bookman Old Style" w:cs="Arial"/>
          <w:b/>
        </w:rPr>
        <w:t xml:space="preserve">Parágrafo 4. </w:t>
      </w:r>
      <w:r w:rsidRPr="00884F77">
        <w:rPr>
          <w:rFonts w:ascii="Bookman Old Style" w:hAnsi="Bookman Old Style" w:cs="Arial"/>
        </w:rPr>
        <w:t xml:space="preserve">En caso de que el combustible sustituido sea gas combustible, para efectos del cálculo de las variables </w:t>
      </w:r>
      <m:oMath>
        <m:sSub>
          <m:sSubPr>
            <m:ctrlPr>
              <w:rPr>
                <w:rFonts w:ascii="Cambria Math" w:hAnsi="Cambria Math" w:cs="Arial"/>
                <w:i/>
              </w:rPr>
            </m:ctrlPr>
          </m:sSubPr>
          <m:e>
            <m:r>
              <w:rPr>
                <w:rFonts w:ascii="Cambria Math" w:hAnsi="Cambria Math" w:cs="Arial"/>
              </w:rPr>
              <m:t>PC</m:t>
            </m:r>
          </m:e>
          <m:sub>
            <m:r>
              <w:rPr>
                <w:rFonts w:ascii="Cambria Math" w:hAnsi="Cambria Math" w:cs="Arial"/>
              </w:rPr>
              <m:t>i,m</m:t>
            </m:r>
          </m:sub>
        </m:sSub>
      </m:oMath>
      <w:r w:rsidRPr="00884F77">
        <w:rPr>
          <w:rFonts w:ascii="Bookman Old Style" w:hAnsi="Bookman Old Style" w:cs="Arial"/>
        </w:rPr>
        <w:t xml:space="preserve"> y </w:t>
      </w:r>
      <m:oMath>
        <m:sSub>
          <m:sSubPr>
            <m:ctrlPr>
              <w:rPr>
                <w:rFonts w:ascii="Cambria Math" w:hAnsi="Cambria Math" w:cs="Arial"/>
                <w:i/>
              </w:rPr>
            </m:ctrlPr>
          </m:sSubPr>
          <m:e>
            <m:r>
              <w:rPr>
                <w:rFonts w:ascii="Cambria Math" w:hAnsi="Cambria Math" w:cs="Arial"/>
              </w:rPr>
              <m:t>PC</m:t>
            </m:r>
          </m:e>
          <m:sub>
            <m:r>
              <w:rPr>
                <w:rFonts w:ascii="Cambria Math" w:hAnsi="Cambria Math" w:cs="Arial"/>
              </w:rPr>
              <m:t>f,m</m:t>
            </m:r>
          </m:sub>
        </m:sSub>
      </m:oMath>
      <w:r w:rsidRPr="00884F77">
        <w:rPr>
          <w:rFonts w:ascii="Bookman Old Style" w:hAnsi="Bookman Old Style" w:cs="Arial"/>
        </w:rPr>
        <w:t xml:space="preserve">, el valor del precio del combustible puesto en el sitio de la planta j del parque de generación inicial será el precio del gas determinado en el último contrato celebrado por el adjudicatario de la obligación de prestación del servicio de energía eléctrica en el </w:t>
      </w:r>
      <w:r w:rsidR="00986578" w:rsidRPr="00884F77">
        <w:rPr>
          <w:rFonts w:ascii="Bookman Old Style" w:hAnsi="Bookman Old Style" w:cs="Arial"/>
        </w:rPr>
        <w:t>área de servicio exclusivo</w:t>
      </w:r>
      <w:r w:rsidRPr="00884F77">
        <w:rPr>
          <w:rFonts w:ascii="Bookman Old Style" w:hAnsi="Bookman Old Style" w:cs="Arial"/>
        </w:rPr>
        <w:t xml:space="preserve">, indexado por el índice de precios al productor, IPP y se le adicionará el valor correspondiente al costo de transporte del gas hasta la central de generación. </w:t>
      </w:r>
    </w:p>
    <w:p w:rsidR="00AB4B8A" w:rsidRPr="00884F77" w:rsidRDefault="00AB4B8A" w:rsidP="00AB4B8A">
      <w:pPr>
        <w:ind w:left="0"/>
        <w:jc w:val="both"/>
        <w:rPr>
          <w:rFonts w:ascii="Bookman Old Style" w:hAnsi="Bookman Old Style" w:cs="Arial"/>
        </w:rPr>
      </w:pPr>
    </w:p>
    <w:p w:rsidR="00AB4B8A" w:rsidRPr="00884F77" w:rsidRDefault="00AB4B8A" w:rsidP="00986578">
      <w:pPr>
        <w:ind w:left="141"/>
        <w:jc w:val="both"/>
        <w:rPr>
          <w:rFonts w:ascii="Bookman Old Style" w:hAnsi="Bookman Old Style" w:cs="Arial"/>
        </w:rPr>
      </w:pPr>
      <w:r w:rsidRPr="00884F77">
        <w:rPr>
          <w:rFonts w:ascii="Bookman Old Style" w:hAnsi="Bookman Old Style" w:cs="Arial"/>
          <w:b/>
        </w:rPr>
        <w:t xml:space="preserve">Parágrafo 5. </w:t>
      </w:r>
      <w:r w:rsidRPr="00884F77">
        <w:rPr>
          <w:rFonts w:ascii="Bookman Old Style" w:hAnsi="Bookman Old Style" w:cs="Arial"/>
        </w:rPr>
        <w:t xml:space="preserve">En caso de que el combustible sea sustituido por una fuente de energía renovable, las variables </w:t>
      </w:r>
      <m:oMath>
        <m:sSub>
          <m:sSubPr>
            <m:ctrlPr>
              <w:rPr>
                <w:rFonts w:ascii="Cambria Math" w:hAnsi="Cambria Math" w:cs="Arial"/>
                <w:i/>
              </w:rPr>
            </m:ctrlPr>
          </m:sSubPr>
          <m:e>
            <m:r>
              <w:rPr>
                <w:rFonts w:ascii="Cambria Math" w:hAnsi="Cambria Math" w:cs="Arial"/>
              </w:rPr>
              <m:t>PC</m:t>
            </m:r>
          </m:e>
          <m:sub>
            <m:r>
              <w:rPr>
                <w:rFonts w:ascii="Cambria Math" w:hAnsi="Cambria Math" w:cs="Arial"/>
              </w:rPr>
              <m:t>f,m</m:t>
            </m:r>
          </m:sub>
        </m:sSub>
      </m:oMath>
      <w:r w:rsidRPr="00884F77">
        <w:rPr>
          <w:rFonts w:ascii="Bookman Old Style" w:hAnsi="Bookman Old Style" w:cs="Arial"/>
        </w:rPr>
        <w:t xml:space="preserve">, precio del combustible, y </w:t>
      </w:r>
      <m:oMath>
        <m:sSub>
          <m:sSubPr>
            <m:ctrlPr>
              <w:rPr>
                <w:rFonts w:ascii="Cambria Math" w:hAnsi="Cambria Math" w:cs="Arial"/>
                <w:i/>
              </w:rPr>
            </m:ctrlPr>
          </m:sSubPr>
          <m:e>
            <m:r>
              <w:rPr>
                <w:rFonts w:ascii="Cambria Math" w:hAnsi="Cambria Math" w:cs="Arial"/>
              </w:rPr>
              <m:t>CEC</m:t>
            </m:r>
          </m:e>
          <m:sub>
            <m:r>
              <w:rPr>
                <w:rFonts w:ascii="Cambria Math" w:hAnsi="Cambria Math" w:cs="Arial"/>
              </w:rPr>
              <m:t>f,j</m:t>
            </m:r>
          </m:sub>
        </m:sSub>
      </m:oMath>
      <w:r w:rsidRPr="00884F77">
        <w:rPr>
          <w:rFonts w:ascii="Bookman Old Style" w:hAnsi="Bookman Old Style" w:cs="Arial"/>
        </w:rPr>
        <w:t>, consumo específico de combustible, se</w:t>
      </w:r>
      <w:r w:rsidR="00A676AD" w:rsidRPr="00884F77">
        <w:rPr>
          <w:rFonts w:ascii="Bookman Old Style" w:hAnsi="Bookman Old Style" w:cs="Arial"/>
        </w:rPr>
        <w:t>rán</w:t>
      </w:r>
      <w:r w:rsidRPr="00884F77">
        <w:rPr>
          <w:rFonts w:ascii="Bookman Old Style" w:hAnsi="Bookman Old Style" w:cs="Arial"/>
        </w:rPr>
        <w:t xml:space="preserve"> igual a cero.</w:t>
      </w:r>
    </w:p>
    <w:p w:rsidR="00AB4B8A" w:rsidRPr="00884F77" w:rsidRDefault="00AB4B8A" w:rsidP="00986578">
      <w:pPr>
        <w:ind w:left="141"/>
        <w:jc w:val="both"/>
        <w:rPr>
          <w:rFonts w:ascii="Bookman Old Style" w:hAnsi="Bookman Old Style" w:cs="Arial"/>
        </w:rPr>
      </w:pPr>
    </w:p>
    <w:p w:rsidR="00C5438E" w:rsidRPr="00884F77" w:rsidRDefault="001D5515" w:rsidP="0074520E">
      <w:pPr>
        <w:numPr>
          <w:ilvl w:val="0"/>
          <w:numId w:val="6"/>
        </w:numPr>
        <w:tabs>
          <w:tab w:val="clear" w:pos="1665"/>
          <w:tab w:val="num" w:pos="993"/>
        </w:tabs>
        <w:ind w:left="0" w:firstLine="1332"/>
        <w:jc w:val="both"/>
        <w:rPr>
          <w:rFonts w:ascii="Bookman Old Style" w:hAnsi="Bookman Old Style" w:cs="Arial"/>
        </w:rPr>
      </w:pPr>
      <w:r w:rsidRPr="00884F77">
        <w:rPr>
          <w:rFonts w:ascii="Bookman Old Style" w:hAnsi="Bookman Old Style" w:cs="Arial"/>
        </w:rPr>
        <w:t xml:space="preserve"> </w:t>
      </w:r>
      <w:r w:rsidR="00C5438E" w:rsidRPr="00884F77">
        <w:rPr>
          <w:rFonts w:ascii="Bookman Old Style" w:hAnsi="Bookman Old Style" w:cs="Arial"/>
        </w:rPr>
        <w:t>Modificar el</w:t>
      </w:r>
      <w:r w:rsidR="003E5F36" w:rsidRPr="00884F77">
        <w:rPr>
          <w:rFonts w:ascii="Bookman Old Style" w:hAnsi="Bookman Old Style" w:cs="Arial"/>
        </w:rPr>
        <w:t xml:space="preserve"> parágrafo del</w:t>
      </w:r>
      <w:r w:rsidR="00C5438E" w:rsidRPr="00884F77">
        <w:rPr>
          <w:rFonts w:ascii="Bookman Old Style" w:hAnsi="Bookman Old Style" w:cs="Arial"/>
        </w:rPr>
        <w:t xml:space="preserve"> </w:t>
      </w:r>
      <w:r w:rsidR="00D828C3" w:rsidRPr="00884F77">
        <w:rPr>
          <w:rFonts w:ascii="Bookman Old Style" w:hAnsi="Bookman Old Style" w:cs="Arial"/>
        </w:rPr>
        <w:t>a</w:t>
      </w:r>
      <w:r w:rsidR="00C5438E" w:rsidRPr="00884F77">
        <w:rPr>
          <w:rFonts w:ascii="Bookman Old Style" w:hAnsi="Bookman Old Style" w:cs="Arial"/>
        </w:rPr>
        <w:t>rtículo 18 de la Resolución CREG 076 de 2016, el cual quedará así:</w:t>
      </w:r>
    </w:p>
    <w:p w:rsidR="00BA7ECC" w:rsidRPr="00884F77" w:rsidRDefault="00BA7ECC" w:rsidP="00C5438E">
      <w:pPr>
        <w:jc w:val="both"/>
        <w:rPr>
          <w:rFonts w:ascii="Bookman Old Style" w:hAnsi="Bookman Old Style" w:cs="Arial"/>
          <w:bCs/>
        </w:rPr>
      </w:pPr>
    </w:p>
    <w:p w:rsidR="003323BF" w:rsidRPr="00884F77" w:rsidRDefault="00811C0F" w:rsidP="00BD5CAF">
      <w:pPr>
        <w:ind w:left="708"/>
        <w:jc w:val="both"/>
        <w:rPr>
          <w:rFonts w:ascii="Bookman Old Style" w:hAnsi="Bookman Old Style" w:cs="Arial"/>
        </w:rPr>
      </w:pPr>
      <w:r w:rsidRPr="00884F77">
        <w:rPr>
          <w:rFonts w:ascii="Bookman Old Style" w:hAnsi="Bookman Old Style" w:cs="Arial"/>
          <w:b/>
        </w:rPr>
        <w:t xml:space="preserve">Parágrafo. </w:t>
      </w:r>
      <w:r w:rsidR="00F70D5C" w:rsidRPr="00884F77">
        <w:rPr>
          <w:rFonts w:ascii="Bookman Old Style" w:hAnsi="Bookman Old Style" w:cs="Arial"/>
          <w:bCs/>
          <w:lang w:val="es-CO"/>
        </w:rPr>
        <w:t>E</w:t>
      </w:r>
      <w:r w:rsidR="003E5F36" w:rsidRPr="00884F77">
        <w:rPr>
          <w:rFonts w:ascii="Bookman Old Style" w:hAnsi="Bookman Old Style" w:cs="Arial"/>
          <w:bCs/>
          <w:lang w:val="es-CO"/>
        </w:rPr>
        <w:t>l componente</w:t>
      </w:r>
      <w:r w:rsidR="001E1214" w:rsidRPr="00884F77">
        <w:rPr>
          <w:rFonts w:ascii="Bookman Old Style" w:hAnsi="Bookman Old Style" w:cs="Arial"/>
          <w:bCs/>
          <w:lang w:val="es-CO"/>
        </w:rPr>
        <w:t xml:space="preserve"> </w:t>
      </w:r>
      <m:oMath>
        <m:sSub>
          <m:sSubPr>
            <m:ctrlPr>
              <w:rPr>
                <w:rFonts w:ascii="Cambria Math" w:hAnsi="Cambria Math" w:cs="Arial"/>
                <w:i/>
              </w:rPr>
            </m:ctrlPr>
          </m:sSubPr>
          <m:e>
            <m:r>
              <w:rPr>
                <w:rFonts w:ascii="Cambria Math" w:hAnsi="Cambria Math" w:cs="Arial"/>
              </w:rPr>
              <m:t>Gc</m:t>
            </m:r>
          </m:e>
          <m:sub>
            <m:r>
              <w:rPr>
                <w:rFonts w:ascii="Cambria Math" w:hAnsi="Cambria Math" w:cs="Arial"/>
              </w:rPr>
              <m:t xml:space="preserve">m </m:t>
            </m:r>
          </m:sub>
        </m:sSub>
      </m:oMath>
      <w:r w:rsidR="001E1214" w:rsidRPr="00884F77">
        <w:rPr>
          <w:rFonts w:ascii="Bookman Old Style" w:hAnsi="Bookman Old Style" w:cs="Arial"/>
        </w:rPr>
        <w:t xml:space="preserve"> </w:t>
      </w:r>
      <w:r w:rsidR="00F70D5C" w:rsidRPr="00884F77">
        <w:rPr>
          <w:rFonts w:ascii="Bookman Old Style" w:hAnsi="Bookman Old Style" w:cs="Arial"/>
          <w:bCs/>
          <w:lang w:val="es-CO"/>
        </w:rPr>
        <w:t xml:space="preserve">será igual a cero en la fórmula de cálculo de </w:t>
      </w:r>
      <m:oMath>
        <m:sSub>
          <m:sSubPr>
            <m:ctrlPr>
              <w:rPr>
                <w:rFonts w:ascii="Cambria Math" w:hAnsi="Cambria Math" w:cs="Arial"/>
                <w:i/>
              </w:rPr>
            </m:ctrlPr>
          </m:sSubPr>
          <m:e>
            <m:r>
              <w:rPr>
                <w:rFonts w:ascii="Cambria Math" w:hAnsi="Cambria Math" w:cs="Arial"/>
              </w:rPr>
              <m:t>Gm</m:t>
            </m:r>
          </m:e>
          <m:sub>
            <m:r>
              <w:rPr>
                <w:rFonts w:ascii="Cambria Math" w:hAnsi="Cambria Math" w:cs="Arial"/>
              </w:rPr>
              <m:t xml:space="preserve"> </m:t>
            </m:r>
          </m:sub>
        </m:sSub>
      </m:oMath>
      <w:r w:rsidR="00F70D5C" w:rsidRPr="00884F77">
        <w:rPr>
          <w:rFonts w:ascii="Bookman Old Style" w:hAnsi="Bookman Old Style" w:cs="Arial"/>
        </w:rPr>
        <w:t xml:space="preserve">cuando este </w:t>
      </w:r>
      <w:r w:rsidR="00315D88" w:rsidRPr="00884F77">
        <w:rPr>
          <w:rFonts w:ascii="Bookman Old Style" w:hAnsi="Bookman Old Style" w:cs="Arial"/>
        </w:rPr>
        <w:t xml:space="preserve">componente </w:t>
      </w:r>
      <w:r w:rsidR="00F70D5C" w:rsidRPr="00884F77">
        <w:rPr>
          <w:rFonts w:ascii="Bookman Old Style" w:hAnsi="Bookman Old Style" w:cs="Arial"/>
        </w:rPr>
        <w:t>sea incluido</w:t>
      </w:r>
      <w:r w:rsidR="001E1214" w:rsidRPr="00884F77">
        <w:rPr>
          <w:rFonts w:ascii="Bookman Old Style" w:hAnsi="Bookman Old Style" w:cs="Arial"/>
        </w:rPr>
        <w:t xml:space="preserve"> dentro del</w:t>
      </w:r>
      <w:r w:rsidR="001E1214" w:rsidRPr="00884F77">
        <w:rPr>
          <w:rFonts w:ascii="Bookman Old Style" w:hAnsi="Bookman Old Style" w:cs="Arial"/>
          <w:bCs/>
          <w:lang w:val="es-CO"/>
        </w:rPr>
        <w:t xml:space="preserve"> </w:t>
      </w:r>
      <w:r w:rsidR="00315D88" w:rsidRPr="00884F77">
        <w:rPr>
          <w:rFonts w:ascii="Bookman Old Style" w:hAnsi="Bookman Old Style" w:cs="Arial"/>
          <w:bCs/>
          <w:lang w:val="es-CO"/>
        </w:rPr>
        <w:t xml:space="preserve">componente </w:t>
      </w:r>
      <m:oMath>
        <m:r>
          <w:rPr>
            <w:rFonts w:ascii="Cambria Math" w:hAnsi="Cambria Math" w:cs="Arial"/>
            <w:lang w:val="es-CO"/>
          </w:rPr>
          <m:t>G</m:t>
        </m:r>
        <m:sSub>
          <m:sSubPr>
            <m:ctrlPr>
              <w:rPr>
                <w:rFonts w:ascii="Cambria Math" w:hAnsi="Cambria Math" w:cs="Arial"/>
                <w:i/>
              </w:rPr>
            </m:ctrlPr>
          </m:sSubPr>
          <m:e>
            <m:r>
              <w:rPr>
                <w:rFonts w:ascii="Cambria Math" w:hAnsi="Cambria Math" w:cs="Arial"/>
              </w:rPr>
              <m:t>IAOM</m:t>
            </m:r>
          </m:e>
          <m:sub>
            <m:r>
              <w:rPr>
                <w:rFonts w:ascii="Cambria Math" w:hAnsi="Cambria Math" w:cs="Arial"/>
              </w:rPr>
              <m:t>m</m:t>
            </m:r>
          </m:sub>
        </m:sSub>
      </m:oMath>
      <w:r w:rsidR="00F70D5C" w:rsidRPr="00884F77">
        <w:rPr>
          <w:rFonts w:ascii="Bookman Old Style" w:hAnsi="Bookman Old Style" w:cs="Arial"/>
        </w:rPr>
        <w:t xml:space="preserve"> por parte de la autoridad contratante.  </w:t>
      </w:r>
    </w:p>
    <w:p w:rsidR="003323BF" w:rsidRPr="00884F77" w:rsidRDefault="003323BF" w:rsidP="00C5438E">
      <w:pPr>
        <w:jc w:val="both"/>
        <w:rPr>
          <w:rFonts w:ascii="Bookman Old Style" w:hAnsi="Bookman Old Style" w:cs="Arial"/>
          <w:bCs/>
        </w:rPr>
      </w:pPr>
    </w:p>
    <w:p w:rsidR="00B9250C" w:rsidRPr="00884F77" w:rsidRDefault="001D5515" w:rsidP="0074520E">
      <w:pPr>
        <w:numPr>
          <w:ilvl w:val="0"/>
          <w:numId w:val="6"/>
        </w:numPr>
        <w:tabs>
          <w:tab w:val="clear" w:pos="1665"/>
          <w:tab w:val="left" w:pos="1418"/>
        </w:tabs>
        <w:ind w:left="0" w:firstLine="1418"/>
        <w:jc w:val="both"/>
        <w:rPr>
          <w:rFonts w:ascii="Bookman Old Style" w:hAnsi="Bookman Old Style" w:cs="Arial"/>
        </w:rPr>
      </w:pPr>
      <w:r w:rsidRPr="00884F77">
        <w:rPr>
          <w:rFonts w:ascii="Bookman Old Style" w:hAnsi="Bookman Old Style" w:cs="Arial"/>
        </w:rPr>
        <w:t xml:space="preserve"> </w:t>
      </w:r>
      <w:r w:rsidR="00D828C3" w:rsidRPr="00884F77">
        <w:rPr>
          <w:rFonts w:ascii="Bookman Old Style" w:hAnsi="Bookman Old Style" w:cs="Arial"/>
        </w:rPr>
        <w:t xml:space="preserve">Modificar el </w:t>
      </w:r>
      <w:r w:rsidR="00737408" w:rsidRPr="00884F77">
        <w:rPr>
          <w:rFonts w:ascii="Bookman Old Style" w:hAnsi="Bookman Old Style" w:cs="Arial"/>
        </w:rPr>
        <w:t xml:space="preserve">parágrafo 1 del </w:t>
      </w:r>
      <w:r w:rsidR="00D828C3" w:rsidRPr="00884F77">
        <w:rPr>
          <w:rFonts w:ascii="Bookman Old Style" w:hAnsi="Bookman Old Style" w:cs="Arial"/>
        </w:rPr>
        <w:t>a</w:t>
      </w:r>
      <w:r w:rsidR="00B9250C" w:rsidRPr="00884F77">
        <w:rPr>
          <w:rFonts w:ascii="Bookman Old Style" w:hAnsi="Bookman Old Style" w:cs="Arial"/>
        </w:rPr>
        <w:t>rtículo 1</w:t>
      </w:r>
      <w:r w:rsidR="00F042E1" w:rsidRPr="00884F77">
        <w:rPr>
          <w:rFonts w:ascii="Bookman Old Style" w:hAnsi="Bookman Old Style" w:cs="Arial"/>
        </w:rPr>
        <w:t>9</w:t>
      </w:r>
      <w:r w:rsidR="001A26A2" w:rsidRPr="00884F77">
        <w:rPr>
          <w:rFonts w:ascii="Bookman Old Style" w:hAnsi="Bookman Old Style" w:cs="Arial"/>
        </w:rPr>
        <w:t xml:space="preserve"> de la Resolución CREG 076</w:t>
      </w:r>
      <w:r w:rsidR="00C61D3A" w:rsidRPr="00884F77">
        <w:rPr>
          <w:rFonts w:ascii="Bookman Old Style" w:hAnsi="Bookman Old Style" w:cs="Arial"/>
        </w:rPr>
        <w:t xml:space="preserve"> </w:t>
      </w:r>
      <w:r w:rsidR="00B9250C" w:rsidRPr="00884F77">
        <w:rPr>
          <w:rFonts w:ascii="Bookman Old Style" w:hAnsi="Bookman Old Style" w:cs="Arial"/>
        </w:rPr>
        <w:t>de 2016, el cual quedará así:</w:t>
      </w:r>
    </w:p>
    <w:p w:rsidR="00936101" w:rsidRPr="00884F77" w:rsidRDefault="00936101" w:rsidP="00B9250C">
      <w:pPr>
        <w:jc w:val="both"/>
        <w:rPr>
          <w:rFonts w:ascii="Bookman Old Style" w:hAnsi="Bookman Old Style" w:cs="Arial"/>
        </w:rPr>
      </w:pPr>
    </w:p>
    <w:p w:rsidR="007B7FF7" w:rsidRPr="00884F77" w:rsidRDefault="007B7FF7" w:rsidP="009E7F9F">
      <w:pPr>
        <w:jc w:val="both"/>
        <w:rPr>
          <w:rFonts w:ascii="Bookman Old Style" w:hAnsi="Bookman Old Style" w:cs="Arial"/>
          <w:bCs/>
          <w:lang w:val="es-CO"/>
        </w:rPr>
      </w:pPr>
      <w:r w:rsidRPr="00884F77">
        <w:rPr>
          <w:rFonts w:ascii="Bookman Old Style" w:hAnsi="Bookman Old Style" w:cs="Arial"/>
          <w:b/>
        </w:rPr>
        <w:t xml:space="preserve">Parágrafo. </w:t>
      </w:r>
      <w:r w:rsidR="001A26A2" w:rsidRPr="00884F77">
        <w:rPr>
          <w:rFonts w:ascii="Bookman Old Style" w:hAnsi="Bookman Old Style" w:cs="Arial"/>
          <w:bCs/>
          <w:lang w:val="es-CO"/>
        </w:rPr>
        <w:t>El componente</w:t>
      </w:r>
      <w:r w:rsidR="004F0158" w:rsidRPr="00884F77">
        <w:rPr>
          <w:rFonts w:ascii="Bookman Old Style" w:hAnsi="Bookman Old Style" w:cs="Arial"/>
          <w:bCs/>
          <w:lang w:val="es-CO"/>
        </w:rPr>
        <w:t xml:space="preserve"> </w:t>
      </w:r>
      <m:oMath>
        <m:sSub>
          <m:sSubPr>
            <m:ctrlPr>
              <w:rPr>
                <w:rFonts w:ascii="Cambria Math" w:hAnsi="Cambria Math" w:cs="Arial"/>
                <w:i/>
              </w:rPr>
            </m:ctrlPr>
          </m:sSubPr>
          <m:e>
            <m:r>
              <w:rPr>
                <w:rFonts w:ascii="Cambria Math" w:hAnsi="Cambria Math" w:cs="Arial"/>
              </w:rPr>
              <m:t>Gc</m:t>
            </m:r>
          </m:e>
          <m:sub>
            <m:r>
              <w:rPr>
                <w:rFonts w:ascii="Cambria Math" w:hAnsi="Cambria Math" w:cs="Arial"/>
              </w:rPr>
              <m:t xml:space="preserve">m </m:t>
            </m:r>
          </m:sub>
        </m:sSub>
      </m:oMath>
      <w:r w:rsidR="004F0158" w:rsidRPr="00884F77">
        <w:rPr>
          <w:rFonts w:ascii="Bookman Old Style" w:hAnsi="Bookman Old Style" w:cs="Arial"/>
        </w:rPr>
        <w:t xml:space="preserve"> </w:t>
      </w:r>
      <w:r w:rsidR="004F0158" w:rsidRPr="00884F77">
        <w:rPr>
          <w:rFonts w:ascii="Bookman Old Style" w:hAnsi="Bookman Old Style" w:cs="Arial"/>
          <w:bCs/>
          <w:lang w:val="es-CO"/>
        </w:rPr>
        <w:t xml:space="preserve">será igual a cero en la fórmula de cálculo de </w:t>
      </w:r>
      <m:oMath>
        <m:sSub>
          <m:sSubPr>
            <m:ctrlPr>
              <w:rPr>
                <w:rFonts w:ascii="Cambria Math" w:hAnsi="Cambria Math" w:cs="Arial"/>
                <w:i/>
              </w:rPr>
            </m:ctrlPr>
          </m:sSubPr>
          <m:e>
            <m:r>
              <w:rPr>
                <w:rFonts w:ascii="Cambria Math" w:hAnsi="Cambria Math" w:cs="Arial"/>
              </w:rPr>
              <m:t>Gm</m:t>
            </m:r>
          </m:e>
          <m:sub>
            <m:r>
              <w:rPr>
                <w:rFonts w:ascii="Cambria Math" w:hAnsi="Cambria Math" w:cs="Arial"/>
              </w:rPr>
              <m:t xml:space="preserve"> </m:t>
            </m:r>
          </m:sub>
        </m:sSub>
      </m:oMath>
      <w:r w:rsidR="004F0158" w:rsidRPr="00884F77">
        <w:rPr>
          <w:rFonts w:ascii="Bookman Old Style" w:hAnsi="Bookman Old Style" w:cs="Arial"/>
        </w:rPr>
        <w:t xml:space="preserve"> cuando este</w:t>
      </w:r>
      <w:r w:rsidR="00315D88" w:rsidRPr="00884F77">
        <w:rPr>
          <w:rFonts w:ascii="Bookman Old Style" w:hAnsi="Bookman Old Style" w:cs="Arial"/>
        </w:rPr>
        <w:t xml:space="preserve"> componente</w:t>
      </w:r>
      <w:r w:rsidR="004F0158" w:rsidRPr="00884F77">
        <w:rPr>
          <w:rFonts w:ascii="Bookman Old Style" w:hAnsi="Bookman Old Style" w:cs="Arial"/>
        </w:rPr>
        <w:t xml:space="preserve"> sea incluido dentro del</w:t>
      </w:r>
      <w:r w:rsidR="004F0158" w:rsidRPr="00884F77">
        <w:rPr>
          <w:rFonts w:ascii="Bookman Old Style" w:hAnsi="Bookman Old Style" w:cs="Arial"/>
          <w:bCs/>
          <w:lang w:val="es-CO"/>
        </w:rPr>
        <w:t xml:space="preserve"> componente </w:t>
      </w:r>
      <m:oMath>
        <m:r>
          <w:rPr>
            <w:rFonts w:ascii="Cambria Math" w:hAnsi="Cambria Math" w:cs="Arial"/>
            <w:lang w:val="es-CO"/>
          </w:rPr>
          <m:t>G</m:t>
        </m:r>
        <m:sSub>
          <m:sSubPr>
            <m:ctrlPr>
              <w:rPr>
                <w:rFonts w:ascii="Cambria Math" w:hAnsi="Cambria Math" w:cs="Arial"/>
                <w:i/>
              </w:rPr>
            </m:ctrlPr>
          </m:sSubPr>
          <m:e>
            <m:r>
              <w:rPr>
                <w:rFonts w:ascii="Cambria Math" w:hAnsi="Cambria Math" w:cs="Arial"/>
              </w:rPr>
              <m:t>IAOM</m:t>
            </m:r>
          </m:e>
          <m:sub>
            <m:r>
              <w:rPr>
                <w:rFonts w:ascii="Cambria Math" w:hAnsi="Cambria Math" w:cs="Arial"/>
              </w:rPr>
              <m:t>m</m:t>
            </m:r>
          </m:sub>
        </m:sSub>
      </m:oMath>
      <w:r w:rsidR="004F0158" w:rsidRPr="00884F77">
        <w:rPr>
          <w:rFonts w:ascii="Bookman Old Style" w:hAnsi="Bookman Old Style" w:cs="Arial"/>
        </w:rPr>
        <w:t xml:space="preserve"> por parte de la autoridad contratante.</w:t>
      </w:r>
    </w:p>
    <w:p w:rsidR="00936101" w:rsidRPr="00884F77" w:rsidRDefault="00936101" w:rsidP="00936101">
      <w:pPr>
        <w:ind w:left="2268" w:hanging="1134"/>
        <w:rPr>
          <w:rFonts w:ascii="Bookman Old Style" w:hAnsi="Bookman Old Style" w:cs="Arial"/>
        </w:rPr>
      </w:pPr>
    </w:p>
    <w:p w:rsidR="00C61D3A" w:rsidRPr="00884F77" w:rsidRDefault="00D828C3" w:rsidP="001D5515">
      <w:pPr>
        <w:pStyle w:val="Prrafodelista"/>
        <w:numPr>
          <w:ilvl w:val="0"/>
          <w:numId w:val="6"/>
        </w:numPr>
        <w:tabs>
          <w:tab w:val="clear" w:pos="1665"/>
          <w:tab w:val="num" w:pos="1560"/>
        </w:tabs>
        <w:jc w:val="both"/>
        <w:rPr>
          <w:rFonts w:ascii="Bookman Old Style" w:hAnsi="Bookman Old Style" w:cs="Arial"/>
          <w:sz w:val="24"/>
          <w:szCs w:val="24"/>
          <w:lang w:val="es-ES"/>
        </w:rPr>
      </w:pPr>
      <w:r w:rsidRPr="00884F77">
        <w:rPr>
          <w:rFonts w:ascii="Bookman Old Style" w:hAnsi="Bookman Old Style" w:cs="Arial"/>
          <w:sz w:val="24"/>
          <w:szCs w:val="24"/>
          <w:lang w:val="es-ES"/>
        </w:rPr>
        <w:t>Modificar el a</w:t>
      </w:r>
      <w:r w:rsidR="00BA7ECC" w:rsidRPr="00884F77">
        <w:rPr>
          <w:rFonts w:ascii="Bookman Old Style" w:hAnsi="Bookman Old Style" w:cs="Arial"/>
          <w:sz w:val="24"/>
          <w:szCs w:val="24"/>
          <w:lang w:val="es-ES"/>
        </w:rPr>
        <w:t>rtículo 24 de la Resolució</w:t>
      </w:r>
      <w:r w:rsidR="001A26A2" w:rsidRPr="00884F77">
        <w:rPr>
          <w:rFonts w:ascii="Bookman Old Style" w:hAnsi="Bookman Old Style" w:cs="Arial"/>
          <w:sz w:val="24"/>
          <w:szCs w:val="24"/>
          <w:lang w:val="es-ES"/>
        </w:rPr>
        <w:t>n CREG 076 de 2016, el cual</w:t>
      </w:r>
      <w:r w:rsidR="00C61D3A" w:rsidRPr="00884F77">
        <w:rPr>
          <w:rFonts w:ascii="Bookman Old Style" w:hAnsi="Bookman Old Style" w:cs="Arial"/>
          <w:sz w:val="24"/>
          <w:szCs w:val="24"/>
          <w:lang w:val="es-ES"/>
        </w:rPr>
        <w:t xml:space="preserve"> </w:t>
      </w:r>
    </w:p>
    <w:p w:rsidR="00BA7ECC" w:rsidRPr="00884F77" w:rsidRDefault="001A26A2" w:rsidP="00C61D3A">
      <w:pPr>
        <w:ind w:left="-56"/>
        <w:jc w:val="both"/>
        <w:rPr>
          <w:rFonts w:ascii="Bookman Old Style" w:hAnsi="Bookman Old Style" w:cs="Arial"/>
        </w:rPr>
      </w:pPr>
      <w:r w:rsidRPr="00884F77">
        <w:rPr>
          <w:rFonts w:ascii="Bookman Old Style" w:hAnsi="Bookman Old Style" w:cs="Arial"/>
        </w:rPr>
        <w:t xml:space="preserve"> </w:t>
      </w:r>
      <w:r w:rsidR="00BA7ECC" w:rsidRPr="00884F77">
        <w:rPr>
          <w:rFonts w:ascii="Bookman Old Style" w:hAnsi="Bookman Old Style" w:cs="Arial"/>
        </w:rPr>
        <w:t>quedará así:</w:t>
      </w:r>
    </w:p>
    <w:p w:rsidR="00C06578" w:rsidRPr="00884F77" w:rsidRDefault="00C06578" w:rsidP="00936101">
      <w:pPr>
        <w:tabs>
          <w:tab w:val="left" w:pos="1701"/>
        </w:tabs>
        <w:ind w:left="0"/>
        <w:jc w:val="both"/>
        <w:rPr>
          <w:rFonts w:ascii="Bookman Old Style" w:hAnsi="Bookman Old Style" w:cs="Arial"/>
        </w:rPr>
      </w:pPr>
    </w:p>
    <w:p w:rsidR="00936101" w:rsidRPr="00884F77" w:rsidRDefault="00BA7ECC" w:rsidP="00BA7ECC">
      <w:pPr>
        <w:jc w:val="both"/>
        <w:rPr>
          <w:rFonts w:ascii="Bookman Old Style" w:hAnsi="Bookman Old Style" w:cs="Arial"/>
        </w:rPr>
      </w:pPr>
      <w:r w:rsidRPr="00884F77">
        <w:rPr>
          <w:rFonts w:ascii="Bookman Old Style" w:hAnsi="Bookman Old Style" w:cs="Arial"/>
          <w:b/>
          <w:bCs/>
        </w:rPr>
        <w:t xml:space="preserve">Artículo 24. </w:t>
      </w:r>
      <w:r w:rsidR="00E930BD" w:rsidRPr="00884F77">
        <w:rPr>
          <w:rFonts w:ascii="Bookman Old Style" w:hAnsi="Bookman Old Style" w:cs="Arial"/>
          <w:b/>
          <w:bCs/>
        </w:rPr>
        <w:t>Fórmula</w:t>
      </w:r>
      <w:r w:rsidR="00936101" w:rsidRPr="00884F77">
        <w:rPr>
          <w:rFonts w:ascii="Bookman Old Style" w:hAnsi="Bookman Old Style" w:cs="Arial"/>
          <w:b/>
          <w:bCs/>
        </w:rPr>
        <w:t xml:space="preserve"> t</w:t>
      </w:r>
      <w:r w:rsidR="00E930BD" w:rsidRPr="00884F77">
        <w:rPr>
          <w:rFonts w:ascii="Bookman Old Style" w:hAnsi="Bookman Old Style" w:cs="Arial"/>
          <w:b/>
          <w:bCs/>
        </w:rPr>
        <w:t>arifaria</w:t>
      </w:r>
      <w:r w:rsidR="00936101" w:rsidRPr="00884F77">
        <w:rPr>
          <w:rFonts w:ascii="Bookman Old Style" w:hAnsi="Bookman Old Style" w:cs="Arial"/>
          <w:b/>
          <w:bCs/>
        </w:rPr>
        <w:t xml:space="preserve"> general para usuarios regulados del servicio público de energía eléctrica para procesos competitivos por todas las actividades cuando los usuarios asumen el riesgo de demanda.</w:t>
      </w:r>
      <w:r w:rsidR="00936101" w:rsidRPr="00884F77">
        <w:rPr>
          <w:rFonts w:ascii="Bookman Old Style" w:hAnsi="Bookman Old Style" w:cs="Arial"/>
        </w:rPr>
        <w:t xml:space="preserve"> Cuando la autoridad contratante realice un único proceso competitivo para adjudicar la obligación de prestación del servicio de todas las actividades para la prestación del servicio público de energía eléctrica en un área de servicio exclusivo y se asigne el riesgo de demanda a los usuarios del servicio, la fórmula tarifaria general aplicable a los usuarios regulados del servicio público domiciliario de energía eléctrica tendrá los siguientes componentes:</w:t>
      </w:r>
    </w:p>
    <w:p w:rsidR="00936101" w:rsidRPr="00884F77" w:rsidRDefault="00936101" w:rsidP="00BA7ECC">
      <w:pPr>
        <w:rPr>
          <w:rFonts w:ascii="Bookman Old Style" w:hAnsi="Bookman Old Style" w:cs="Arial"/>
          <w:i/>
        </w:rPr>
      </w:pPr>
    </w:p>
    <w:p w:rsidR="00936101" w:rsidRPr="00884F77" w:rsidRDefault="008307C2" w:rsidP="00BA7ECC">
      <w:pPr>
        <w:rPr>
          <w:rFonts w:ascii="Bookman Old Style" w:hAnsi="Bookman Old Style" w:cs="Arial"/>
          <w:i/>
        </w:rPr>
      </w:pPr>
      <m:oMathPara>
        <m:oMath>
          <m:sSub>
            <m:sSubPr>
              <m:ctrlPr>
                <w:rPr>
                  <w:rFonts w:ascii="Cambria Math" w:hAnsi="Cambria Math" w:cs="Arial"/>
                  <w:i/>
                </w:rPr>
              </m:ctrlPr>
            </m:sSubPr>
            <m:e>
              <m:r>
                <w:rPr>
                  <w:rFonts w:ascii="Cambria Math" w:hAnsi="Cambria Math" w:cs="Arial"/>
                </w:rPr>
                <m:t>CU</m:t>
              </m:r>
            </m:e>
            <m:sub>
              <m:r>
                <w:rPr>
                  <w:rFonts w:ascii="Cambria Math" w:hAnsi="Cambria Math" w:cs="Arial"/>
                </w:rPr>
                <m:t>n,m</m:t>
              </m:r>
            </m:sub>
          </m:sSub>
          <m:r>
            <w:rPr>
              <w:rFonts w:ascii="Cambria Math" w:hAnsi="Cambria Math" w:cs="Arial"/>
            </w:rPr>
            <m:t>=</m:t>
          </m:r>
          <m:sSub>
            <m:sSubPr>
              <m:ctrlPr>
                <w:rPr>
                  <w:rFonts w:ascii="Cambria Math" w:hAnsi="Cambria Math" w:cs="Arial"/>
                  <w:i/>
                </w:rPr>
              </m:ctrlPr>
            </m:sSubPr>
            <m:e>
              <m:r>
                <w:rPr>
                  <w:rFonts w:ascii="Cambria Math" w:hAnsi="Cambria Math" w:cs="Arial"/>
                </w:rPr>
                <m:t>IAOM</m:t>
              </m:r>
            </m:e>
            <m:sub>
              <m:r>
                <w:rPr>
                  <w:rFonts w:ascii="Cambria Math" w:hAnsi="Cambria Math" w:cs="Arial"/>
                </w:rPr>
                <m:t>n,m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num>
            <m:den>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D n,m</m:t>
                  </m:r>
                </m:sub>
              </m:sSub>
              <m:r>
                <w:rPr>
                  <w:rFonts w:ascii="Cambria Math" w:hAnsi="Cambria Math" w:cs="Arial"/>
                </w:rPr>
                <m:t>)</m:t>
              </m:r>
            </m:den>
          </m:f>
          <m:r>
            <w:rPr>
              <w:rFonts w:ascii="Cambria Math" w:hAnsi="Cambria Math" w:cs="Arial"/>
            </w:rPr>
            <m:t>+</m:t>
          </m:r>
          <m:sSub>
            <m:sSubPr>
              <m:ctrlPr>
                <w:rPr>
                  <w:rFonts w:ascii="Cambria Math" w:hAnsi="Cambria Math"/>
                  <w:i/>
                  <w:szCs w:val="22"/>
                </w:rPr>
              </m:ctrlPr>
            </m:sSubPr>
            <m:e>
              <m:r>
                <w:rPr>
                  <w:rFonts w:ascii="Cambria Math" w:hAnsi="Cambria Math"/>
                  <w:szCs w:val="22"/>
                </w:rPr>
                <m:t>TM</m:t>
              </m:r>
            </m:e>
            <m:sub>
              <m:r>
                <w:rPr>
                  <w:rFonts w:ascii="Cambria Math" w:hAnsi="Cambria Math"/>
                  <w:szCs w:val="22"/>
                </w:rPr>
                <m:t>m</m:t>
              </m:r>
            </m:sub>
          </m:sSub>
          <m:r>
            <w:rPr>
              <w:rFonts w:ascii="Cambria Math" w:hAnsi="Cambria Math"/>
              <w:szCs w:val="22"/>
            </w:rPr>
            <m:t>+</m:t>
          </m:r>
          <m:sSub>
            <m:sSubPr>
              <m:ctrlPr>
                <w:rPr>
                  <w:rFonts w:ascii="Cambria Math" w:hAnsi="Cambria Math" w:cs="Arial"/>
                  <w:i/>
                </w:rPr>
              </m:ctrlPr>
            </m:sSubPr>
            <m:e>
              <m:r>
                <w:rPr>
                  <w:rFonts w:ascii="Cambria Math" w:hAnsi="Cambria Math" w:cs="Arial"/>
                </w:rPr>
                <m:t>Itv</m:t>
              </m:r>
            </m:e>
            <m:sub>
              <m:r>
                <w:rPr>
                  <w:rFonts w:ascii="Cambria Math" w:hAnsi="Cambria Math" w:cs="Arial"/>
                </w:rPr>
                <m:t>m</m:t>
              </m:r>
            </m:sub>
          </m:sSub>
        </m:oMath>
      </m:oMathPara>
    </w:p>
    <w:p w:rsidR="00936101" w:rsidRPr="00884F77" w:rsidRDefault="00936101" w:rsidP="00BA7ECC">
      <w:pPr>
        <w:rPr>
          <w:rFonts w:ascii="Bookman Old Style" w:hAnsi="Bookman Old Style" w:cs="Arial"/>
        </w:rPr>
      </w:pPr>
    </w:p>
    <w:p w:rsidR="00936101" w:rsidRPr="00884F77" w:rsidRDefault="00936101" w:rsidP="00BA7ECC">
      <w:pPr>
        <w:rPr>
          <w:rFonts w:ascii="Bookman Old Style" w:hAnsi="Bookman Old Style" w:cs="Arial"/>
        </w:rPr>
      </w:pPr>
      <w:r w:rsidRPr="00884F77">
        <w:rPr>
          <w:rFonts w:ascii="Bookman Old Style" w:hAnsi="Bookman Old Style" w:cs="Arial"/>
        </w:rPr>
        <w:t>Donde:</w:t>
      </w: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
        <w:gridCol w:w="264"/>
        <w:gridCol w:w="283"/>
        <w:gridCol w:w="7508"/>
      </w:tblGrid>
      <w:tr w:rsidR="00884F77" w:rsidRPr="00884F77" w:rsidTr="00B430B1">
        <w:tc>
          <w:tcPr>
            <w:tcW w:w="1271" w:type="dxa"/>
            <w:gridSpan w:val="3"/>
          </w:tcPr>
          <w:p w:rsidR="00C61D3A" w:rsidRPr="00884F77" w:rsidRDefault="008307C2" w:rsidP="00C61D3A">
            <w:pPr>
              <w:ind w:left="0"/>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CU</m:t>
                  </m:r>
                </m:e>
                <m:sub>
                  <m:r>
                    <w:rPr>
                      <w:rFonts w:ascii="Cambria Math" w:hAnsi="Cambria Math" w:cs="Arial"/>
                    </w:rPr>
                    <m:t>n,m</m:t>
                  </m:r>
                </m:sub>
              </m:sSub>
            </m:oMath>
            <w:r w:rsidR="00C61D3A" w:rsidRPr="00884F77">
              <w:rPr>
                <w:rFonts w:ascii="Bookman Old Style" w:hAnsi="Bookman Old Style" w:cs="Arial"/>
              </w:rPr>
              <w:t>:</w:t>
            </w:r>
            <w:r w:rsidR="00C61D3A" w:rsidRPr="00884F77">
              <w:rPr>
                <w:rFonts w:ascii="Bookman Old Style" w:hAnsi="Bookman Old Style" w:cs="Arial"/>
              </w:rPr>
              <w:tab/>
              <w:t xml:space="preserve"> </w:t>
            </w:r>
          </w:p>
          <w:p w:rsidR="00C61D3A" w:rsidRPr="00884F77" w:rsidRDefault="00C61D3A" w:rsidP="00BA7ECC">
            <w:pPr>
              <w:ind w:left="0"/>
              <w:rPr>
                <w:rFonts w:ascii="Bookman Old Style" w:hAnsi="Bookman Old Style" w:cs="Arial"/>
              </w:rPr>
            </w:pPr>
          </w:p>
        </w:tc>
        <w:tc>
          <w:tcPr>
            <w:tcW w:w="7508" w:type="dxa"/>
          </w:tcPr>
          <w:p w:rsidR="00C61D3A" w:rsidRPr="00884F77" w:rsidRDefault="00C61D3A" w:rsidP="001A26A2">
            <w:pPr>
              <w:ind w:left="0"/>
              <w:jc w:val="both"/>
              <w:rPr>
                <w:rFonts w:ascii="Bookman Old Style" w:hAnsi="Bookman Old Style" w:cs="Arial"/>
              </w:rPr>
            </w:pPr>
            <w:r w:rsidRPr="00884F77">
              <w:rPr>
                <w:rFonts w:ascii="Bookman Old Style" w:hAnsi="Bookman Old Style" w:cs="Arial"/>
              </w:rPr>
              <w:t>Costo unitario de prestación del servicio de energía eléctrica, para el nivel de tensión n, para el mes m, expresado en pesos por kilovatio hora ($/</w:t>
            </w:r>
            <w:proofErr w:type="spellStart"/>
            <w:r w:rsidRPr="00884F77">
              <w:rPr>
                <w:rFonts w:ascii="Bookman Old Style" w:hAnsi="Bookman Old Style" w:cs="Arial"/>
              </w:rPr>
              <w:t>kWh</w:t>
            </w:r>
            <w:proofErr w:type="spellEnd"/>
            <w:r w:rsidRPr="00884F77">
              <w:rPr>
                <w:rFonts w:ascii="Bookman Old Style" w:hAnsi="Bookman Old Style" w:cs="Arial"/>
              </w:rPr>
              <w:t>).</w:t>
            </w:r>
          </w:p>
          <w:p w:rsidR="00B430B1" w:rsidRPr="00884F77" w:rsidRDefault="00B430B1" w:rsidP="00BA7ECC">
            <w:pPr>
              <w:ind w:left="0"/>
              <w:rPr>
                <w:rFonts w:ascii="Bookman Old Style" w:hAnsi="Bookman Old Style" w:cs="Arial"/>
              </w:rPr>
            </w:pPr>
          </w:p>
        </w:tc>
      </w:tr>
      <w:tr w:rsidR="00884F77" w:rsidRPr="00884F77" w:rsidTr="00B430B1">
        <w:tc>
          <w:tcPr>
            <w:tcW w:w="1271" w:type="dxa"/>
            <w:gridSpan w:val="3"/>
          </w:tcPr>
          <w:p w:rsidR="00C61D3A" w:rsidRPr="00884F77" w:rsidRDefault="008307C2" w:rsidP="00BA7ECC">
            <w:pPr>
              <w:ind w:left="0"/>
              <w:rPr>
                <w:rFonts w:ascii="Bookman Old Style" w:hAnsi="Bookman Old Style" w:cs="Arial"/>
              </w:rPr>
            </w:pPr>
            <m:oMath>
              <m:sSub>
                <m:sSubPr>
                  <m:ctrlPr>
                    <w:rPr>
                      <w:rFonts w:ascii="Cambria Math" w:hAnsi="Cambria Math" w:cs="Arial"/>
                      <w:i/>
                    </w:rPr>
                  </m:ctrlPr>
                </m:sSubPr>
                <m:e>
                  <m:r>
                    <w:rPr>
                      <w:rFonts w:ascii="Cambria Math" w:hAnsi="Cambria Math" w:cs="Arial"/>
                    </w:rPr>
                    <m:t>IAOM</m:t>
                  </m:r>
                </m:e>
                <m:sub>
                  <m:r>
                    <w:rPr>
                      <w:rFonts w:ascii="Cambria Math" w:hAnsi="Cambria Math" w:cs="Arial"/>
                    </w:rPr>
                    <m:t>n,m</m:t>
                  </m:r>
                </m:sub>
              </m:sSub>
            </m:oMath>
            <w:r w:rsidR="00C61D3A" w:rsidRPr="00884F77">
              <w:rPr>
                <w:rFonts w:ascii="Bookman Old Style" w:hAnsi="Bookman Old Style" w:cs="Arial"/>
              </w:rPr>
              <w:t>:</w:t>
            </w:r>
          </w:p>
        </w:tc>
        <w:tc>
          <w:tcPr>
            <w:tcW w:w="7508" w:type="dxa"/>
          </w:tcPr>
          <w:p w:rsidR="00C61D3A" w:rsidRPr="00884F77" w:rsidRDefault="00C61D3A" w:rsidP="00C61D3A">
            <w:pPr>
              <w:ind w:left="0"/>
              <w:jc w:val="both"/>
              <w:rPr>
                <w:rFonts w:ascii="Bookman Old Style" w:hAnsi="Bookman Old Style" w:cs="Arial"/>
              </w:rPr>
            </w:pPr>
            <w:r w:rsidRPr="00884F77">
              <w:rPr>
                <w:rFonts w:ascii="Bookman Old Style" w:hAnsi="Bookman Old Style" w:cs="Arial"/>
              </w:rPr>
              <w:t>Remuneración de la inversión y de los gastos de AOM en generación, en distribución por nivel de tensión n, y en comercialización, para el mes m. En estos gastos no se consideran los combustibles de origen fósil o las mezclas obligatorias de éstos con biocombustibles utilizados en la operación, por disposición gubernamental. Este valor, expresado en pesos por kilovatio hora ($/</w:t>
            </w:r>
            <w:proofErr w:type="spellStart"/>
            <w:r w:rsidRPr="00884F77">
              <w:rPr>
                <w:rFonts w:ascii="Bookman Old Style" w:hAnsi="Bookman Old Style" w:cs="Arial"/>
              </w:rPr>
              <w:t>kWh</w:t>
            </w:r>
            <w:proofErr w:type="spellEnd"/>
            <w:r w:rsidRPr="00884F77">
              <w:rPr>
                <w:rFonts w:ascii="Bookman Old Style" w:hAnsi="Bookman Old Style" w:cs="Arial"/>
              </w:rPr>
              <w:t>), se estimará así:</w:t>
            </w:r>
          </w:p>
          <w:p w:rsidR="00C61D3A" w:rsidRPr="00884F77" w:rsidRDefault="00C61D3A" w:rsidP="00C61D3A">
            <w:pPr>
              <w:jc w:val="both"/>
              <w:rPr>
                <w:rFonts w:ascii="Bookman Old Style" w:hAnsi="Bookman Old Style" w:cs="Arial"/>
              </w:rPr>
            </w:pPr>
          </w:p>
          <w:p w:rsidR="00C61D3A" w:rsidRPr="00884F77" w:rsidRDefault="00C61D3A" w:rsidP="00C61D3A">
            <w:pPr>
              <w:ind w:left="0"/>
              <w:jc w:val="both"/>
              <w:rPr>
                <w:rFonts w:ascii="Bookman Old Style" w:hAnsi="Bookman Old Style" w:cs="Arial"/>
              </w:rPr>
            </w:pPr>
            <w:r w:rsidRPr="00884F77">
              <w:rPr>
                <w:rFonts w:ascii="Bookman Old Style" w:hAnsi="Bookman Old Style" w:cs="Arial"/>
              </w:rPr>
              <w:t>Si la demanda real es menor o igual a la demanda proyectada:</w:t>
            </w:r>
          </w:p>
          <w:p w:rsidR="00C61D3A" w:rsidRPr="00884F77" w:rsidRDefault="00C61D3A" w:rsidP="00C61D3A">
            <w:pPr>
              <w:jc w:val="both"/>
              <w:rPr>
                <w:rFonts w:ascii="Bookman Old Style" w:hAnsi="Bookman Old Style" w:cs="Arial"/>
                <w:i/>
                <w:sz w:val="18"/>
                <w:szCs w:val="18"/>
              </w:rPr>
            </w:pPr>
          </w:p>
          <w:p w:rsidR="00C61D3A" w:rsidRPr="00884F77" w:rsidRDefault="008307C2" w:rsidP="00C61D3A">
            <w:pPr>
              <w:jc w:val="both"/>
              <w:rPr>
                <w:rFonts w:ascii="Bookman Old Style" w:hAnsi="Bookman Old Style" w:cs="Arial"/>
                <w:sz w:val="20"/>
                <w:szCs w:val="18"/>
              </w:rPr>
            </w:pPr>
            <m:oMathPara>
              <m:oMath>
                <m:sSub>
                  <m:sSubPr>
                    <m:ctrlPr>
                      <w:rPr>
                        <w:rFonts w:ascii="Cambria Math" w:hAnsi="Cambria Math" w:cs="Arial"/>
                        <w:i/>
                        <w:szCs w:val="18"/>
                      </w:rPr>
                    </m:ctrlPr>
                  </m:sSubPr>
                  <m:e>
                    <m:r>
                      <w:rPr>
                        <w:rFonts w:ascii="Cambria Math" w:hAnsi="Cambria Math" w:cs="Arial"/>
                        <w:szCs w:val="18"/>
                      </w:rPr>
                      <m:t>IAOM</m:t>
                    </m:r>
                  </m:e>
                  <m:sub>
                    <m:r>
                      <w:rPr>
                        <w:rFonts w:ascii="Cambria Math" w:hAnsi="Cambria Math" w:cs="Arial"/>
                        <w:szCs w:val="18"/>
                      </w:rPr>
                      <m:t>n,m</m:t>
                    </m:r>
                  </m:sub>
                </m:sSub>
                <m:r>
                  <w:rPr>
                    <w:rFonts w:ascii="Cambria Math" w:hAnsi="Cambria Math" w:cs="Arial"/>
                    <w:szCs w:val="18"/>
                  </w:rPr>
                  <m:t xml:space="preserve"> =</m:t>
                </m:r>
                <m:f>
                  <m:fPr>
                    <m:ctrlPr>
                      <w:rPr>
                        <w:rFonts w:ascii="Cambria Math" w:hAnsi="Cambria Math" w:cs="Arial"/>
                        <w:i/>
                        <w:szCs w:val="18"/>
                      </w:rPr>
                    </m:ctrlPr>
                  </m:fPr>
                  <m:num>
                    <m:d>
                      <m:dPr>
                        <m:ctrlPr>
                          <w:rPr>
                            <w:rFonts w:ascii="Cambria Math" w:hAnsi="Cambria Math" w:cs="Arial"/>
                            <w:i/>
                            <w:szCs w:val="18"/>
                          </w:rPr>
                        </m:ctrlPr>
                      </m:dPr>
                      <m:e>
                        <m:sSub>
                          <m:sSubPr>
                            <m:ctrlPr>
                              <w:rPr>
                                <w:rFonts w:ascii="Cambria Math" w:hAnsi="Cambria Math" w:cs="Arial"/>
                                <w:i/>
                                <w:szCs w:val="18"/>
                              </w:rPr>
                            </m:ctrlPr>
                          </m:sSubPr>
                          <m:e>
                            <m:r>
                              <w:rPr>
                                <w:rFonts w:ascii="Cambria Math" w:hAnsi="Cambria Math" w:cs="Arial"/>
                                <w:szCs w:val="18"/>
                              </w:rPr>
                              <m:t>IAOM</m:t>
                            </m:r>
                          </m:e>
                          <m:sub>
                            <m:r>
                              <w:rPr>
                                <w:rFonts w:ascii="Cambria Math" w:hAnsi="Cambria Math" w:cs="Arial"/>
                                <w:szCs w:val="18"/>
                              </w:rPr>
                              <m:t>n,t</m:t>
                            </m:r>
                          </m:sub>
                        </m:sSub>
                        <m:r>
                          <w:rPr>
                            <w:rFonts w:ascii="Cambria Math" w:hAnsi="Cambria Math" w:cs="Arial"/>
                            <w:szCs w:val="18"/>
                          </w:rPr>
                          <m:t xml:space="preserve"> </m:t>
                        </m:r>
                      </m:e>
                    </m:d>
                    <m:d>
                      <m:dPr>
                        <m:ctrlPr>
                          <w:rPr>
                            <w:rFonts w:ascii="Cambria Math" w:hAnsi="Cambria Math" w:cs="Arial"/>
                            <w:i/>
                            <w:szCs w:val="18"/>
                          </w:rPr>
                        </m:ctrlPr>
                      </m:dPr>
                      <m:e>
                        <m:f>
                          <m:fPr>
                            <m:ctrlPr>
                              <w:rPr>
                                <w:rFonts w:ascii="Cambria Math" w:hAnsi="Cambria Math" w:cs="Arial"/>
                                <w:i/>
                                <w:szCs w:val="18"/>
                              </w:rPr>
                            </m:ctrlPr>
                          </m:fPr>
                          <m:num>
                            <m:sSub>
                              <m:sSubPr>
                                <m:ctrlPr>
                                  <w:rPr>
                                    <w:rFonts w:ascii="Cambria Math" w:hAnsi="Cambria Math" w:cs="Arial"/>
                                    <w:i/>
                                    <w:szCs w:val="18"/>
                                  </w:rPr>
                                </m:ctrlPr>
                              </m:sSubPr>
                              <m:e>
                                <m:r>
                                  <w:rPr>
                                    <w:rFonts w:ascii="Cambria Math" w:hAnsi="Cambria Math" w:cs="Arial"/>
                                    <w:szCs w:val="18"/>
                                  </w:rPr>
                                  <m:t>IPP</m:t>
                                </m:r>
                              </m:e>
                              <m:sub>
                                <m:r>
                                  <w:rPr>
                                    <w:rFonts w:ascii="Cambria Math" w:hAnsi="Cambria Math" w:cs="Arial"/>
                                    <w:szCs w:val="18"/>
                                  </w:rPr>
                                  <m:t>m-1</m:t>
                                </m:r>
                              </m:sub>
                            </m:sSub>
                          </m:num>
                          <m:den>
                            <m:sSub>
                              <m:sSubPr>
                                <m:ctrlPr>
                                  <w:rPr>
                                    <w:rFonts w:ascii="Cambria Math" w:hAnsi="Cambria Math" w:cs="Arial"/>
                                    <w:i/>
                                    <w:szCs w:val="18"/>
                                  </w:rPr>
                                </m:ctrlPr>
                              </m:sSubPr>
                              <m:e>
                                <m:r>
                                  <w:rPr>
                                    <w:rFonts w:ascii="Cambria Math" w:hAnsi="Cambria Math" w:cs="Arial"/>
                                    <w:szCs w:val="18"/>
                                  </w:rPr>
                                  <m:t>IPP</m:t>
                                </m:r>
                              </m:e>
                              <m:sub>
                                <m:r>
                                  <w:rPr>
                                    <w:rFonts w:ascii="Cambria Math" w:hAnsi="Cambria Math" w:cs="Arial"/>
                                    <w:szCs w:val="18"/>
                                  </w:rPr>
                                  <m:t>0</m:t>
                                </m:r>
                              </m:sub>
                            </m:sSub>
                          </m:den>
                        </m:f>
                      </m:e>
                    </m:d>
                  </m:num>
                  <m:den>
                    <m:r>
                      <w:rPr>
                        <w:rFonts w:ascii="Cambria Math" w:hAnsi="Cambria Math" w:cs="Arial"/>
                        <w:szCs w:val="18"/>
                      </w:rPr>
                      <m:t xml:space="preserve">12  </m:t>
                    </m:r>
                    <m:sSub>
                      <m:sSubPr>
                        <m:ctrlPr>
                          <w:rPr>
                            <w:rFonts w:ascii="Cambria Math" w:hAnsi="Cambria Math" w:cs="Arial"/>
                            <w:i/>
                            <w:szCs w:val="18"/>
                          </w:rPr>
                        </m:ctrlPr>
                      </m:sSubPr>
                      <m:e>
                        <m:r>
                          <w:rPr>
                            <w:rFonts w:ascii="Cambria Math" w:hAnsi="Cambria Math" w:cs="Arial"/>
                            <w:szCs w:val="18"/>
                          </w:rPr>
                          <m:t>V</m:t>
                        </m:r>
                      </m:e>
                      <m:sub>
                        <m:r>
                          <w:rPr>
                            <w:rFonts w:ascii="Cambria Math" w:hAnsi="Cambria Math" w:cs="Arial"/>
                            <w:szCs w:val="18"/>
                          </w:rPr>
                          <m:t>p-1</m:t>
                        </m:r>
                      </m:sub>
                    </m:sSub>
                  </m:den>
                </m:f>
                <m:r>
                  <w:rPr>
                    <w:rFonts w:ascii="Cambria Math" w:hAnsi="Cambria Math" w:cs="Arial"/>
                    <w:szCs w:val="18"/>
                  </w:rPr>
                  <m:t xml:space="preserve"> </m:t>
                </m:r>
                <m:d>
                  <m:dPr>
                    <m:ctrlPr>
                      <w:rPr>
                        <w:rFonts w:ascii="Cambria Math" w:hAnsi="Cambria Math" w:cs="Arial"/>
                        <w:i/>
                        <w:szCs w:val="18"/>
                      </w:rPr>
                    </m:ctrlPr>
                  </m:dPr>
                  <m:e>
                    <m:sSub>
                      <m:sSubPr>
                        <m:ctrlPr>
                          <w:rPr>
                            <w:rFonts w:ascii="Cambria Math" w:hAnsi="Cambria Math" w:cs="Arial"/>
                            <w:i/>
                            <w:szCs w:val="18"/>
                          </w:rPr>
                        </m:ctrlPr>
                      </m:sSubPr>
                      <m:e>
                        <m:r>
                          <w:rPr>
                            <w:rFonts w:ascii="Cambria Math" w:hAnsi="Cambria Math" w:cs="Arial"/>
                            <w:szCs w:val="18"/>
                          </w:rPr>
                          <m:t>FA</m:t>
                        </m:r>
                      </m:e>
                      <m:sub>
                        <m:r>
                          <w:rPr>
                            <w:rFonts w:ascii="Cambria Math" w:hAnsi="Cambria Math" w:cs="Arial"/>
                            <w:szCs w:val="18"/>
                          </w:rPr>
                          <m:t>m</m:t>
                        </m:r>
                      </m:sub>
                    </m:sSub>
                  </m:e>
                </m:d>
                <m:r>
                  <w:rPr>
                    <w:rFonts w:ascii="Cambria Math" w:hAnsi="Cambria Math" w:cs="Arial"/>
                    <w:szCs w:val="18"/>
                  </w:rPr>
                  <m:t xml:space="preserve"> </m:t>
                </m:r>
              </m:oMath>
            </m:oMathPara>
          </w:p>
          <w:p w:rsidR="00C61D3A" w:rsidRPr="00884F77" w:rsidRDefault="00C61D3A" w:rsidP="00C61D3A">
            <w:pPr>
              <w:jc w:val="both"/>
              <w:rPr>
                <w:rFonts w:ascii="Bookman Old Style" w:hAnsi="Bookman Old Style" w:cs="Arial"/>
              </w:rPr>
            </w:pPr>
          </w:p>
          <w:p w:rsidR="00C61D3A" w:rsidRPr="00884F77" w:rsidRDefault="00C61D3A" w:rsidP="00C61D3A">
            <w:pPr>
              <w:ind w:left="0"/>
              <w:jc w:val="both"/>
              <w:rPr>
                <w:rFonts w:ascii="Bookman Old Style" w:hAnsi="Bookman Old Style" w:cs="Arial"/>
              </w:rPr>
            </w:pPr>
            <w:r w:rsidRPr="00884F77">
              <w:rPr>
                <w:rFonts w:ascii="Bookman Old Style" w:hAnsi="Bookman Old Style" w:cs="Arial"/>
              </w:rPr>
              <w:t>Si la demanda real es mayor a la demanda proyectada:</w:t>
            </w:r>
          </w:p>
          <w:p w:rsidR="00C61D3A" w:rsidRPr="00884F77" w:rsidRDefault="00C61D3A" w:rsidP="00C61D3A">
            <w:pPr>
              <w:jc w:val="both"/>
              <w:rPr>
                <w:rFonts w:ascii="Bookman Old Style" w:hAnsi="Bookman Old Style" w:cs="Arial"/>
                <w:i/>
                <w:sz w:val="18"/>
                <w:szCs w:val="18"/>
              </w:rPr>
            </w:pPr>
          </w:p>
          <w:p w:rsidR="00C61D3A" w:rsidRPr="00884F77" w:rsidRDefault="00C61D3A" w:rsidP="00C61D3A">
            <w:pPr>
              <w:jc w:val="both"/>
              <w:rPr>
                <w:rFonts w:ascii="Bookman Old Style" w:hAnsi="Bookman Old Style" w:cs="Arial"/>
                <w:sz w:val="20"/>
                <w:szCs w:val="18"/>
              </w:rPr>
            </w:pPr>
            <m:oMathPara>
              <m:oMath>
                <m:r>
                  <w:rPr>
                    <w:rFonts w:ascii="Cambria Math" w:hAnsi="Cambria Math" w:cs="Arial"/>
                    <w:szCs w:val="18"/>
                  </w:rPr>
                  <m:t xml:space="preserve">  </m:t>
                </m:r>
                <m:sSub>
                  <m:sSubPr>
                    <m:ctrlPr>
                      <w:rPr>
                        <w:rFonts w:ascii="Cambria Math" w:hAnsi="Cambria Math" w:cs="Arial"/>
                        <w:i/>
                        <w:szCs w:val="18"/>
                      </w:rPr>
                    </m:ctrlPr>
                  </m:sSubPr>
                  <m:e>
                    <m:r>
                      <w:rPr>
                        <w:rFonts w:ascii="Cambria Math" w:hAnsi="Cambria Math" w:cs="Arial"/>
                        <w:szCs w:val="18"/>
                      </w:rPr>
                      <m:t>IAOM</m:t>
                    </m:r>
                  </m:e>
                  <m:sub>
                    <m:r>
                      <w:rPr>
                        <w:rFonts w:ascii="Cambria Math" w:hAnsi="Cambria Math" w:cs="Arial"/>
                        <w:szCs w:val="18"/>
                      </w:rPr>
                      <m:t>n,m</m:t>
                    </m:r>
                  </m:sub>
                </m:sSub>
                <m:r>
                  <w:rPr>
                    <w:rFonts w:ascii="Cambria Math" w:hAnsi="Cambria Math" w:cs="Arial"/>
                    <w:szCs w:val="18"/>
                  </w:rPr>
                  <m:t xml:space="preserve"> = </m:t>
                </m:r>
                <m:f>
                  <m:fPr>
                    <m:ctrlPr>
                      <w:rPr>
                        <w:rFonts w:ascii="Cambria Math" w:hAnsi="Cambria Math" w:cs="Arial"/>
                        <w:i/>
                        <w:szCs w:val="18"/>
                      </w:rPr>
                    </m:ctrlPr>
                  </m:fPr>
                  <m:num>
                    <m:d>
                      <m:dPr>
                        <m:ctrlPr>
                          <w:rPr>
                            <w:rFonts w:ascii="Cambria Math" w:hAnsi="Cambria Math" w:cs="Arial"/>
                            <w:i/>
                            <w:szCs w:val="18"/>
                          </w:rPr>
                        </m:ctrlPr>
                      </m:dPr>
                      <m:e>
                        <m:sSub>
                          <m:sSubPr>
                            <m:ctrlPr>
                              <w:rPr>
                                <w:rFonts w:ascii="Cambria Math" w:hAnsi="Cambria Math" w:cs="Arial"/>
                                <w:i/>
                                <w:szCs w:val="18"/>
                              </w:rPr>
                            </m:ctrlPr>
                          </m:sSubPr>
                          <m:e>
                            <m:r>
                              <w:rPr>
                                <w:rFonts w:ascii="Cambria Math" w:hAnsi="Cambria Math" w:cs="Arial"/>
                                <w:szCs w:val="18"/>
                              </w:rPr>
                              <m:t>IAOM</m:t>
                            </m:r>
                          </m:e>
                          <m:sub>
                            <m:r>
                              <w:rPr>
                                <w:rFonts w:ascii="Cambria Math" w:hAnsi="Cambria Math" w:cs="Arial"/>
                                <w:szCs w:val="18"/>
                              </w:rPr>
                              <m:t>n,t</m:t>
                            </m:r>
                          </m:sub>
                        </m:sSub>
                        <m:r>
                          <w:rPr>
                            <w:rFonts w:ascii="Cambria Math" w:hAnsi="Cambria Math" w:cs="Arial"/>
                            <w:szCs w:val="18"/>
                          </w:rPr>
                          <m:t xml:space="preserve"> </m:t>
                        </m:r>
                      </m:e>
                    </m:d>
                    <m:d>
                      <m:dPr>
                        <m:ctrlPr>
                          <w:rPr>
                            <w:rFonts w:ascii="Cambria Math" w:hAnsi="Cambria Math" w:cs="Arial"/>
                            <w:i/>
                            <w:szCs w:val="18"/>
                          </w:rPr>
                        </m:ctrlPr>
                      </m:dPr>
                      <m:e>
                        <m:f>
                          <m:fPr>
                            <m:ctrlPr>
                              <w:rPr>
                                <w:rFonts w:ascii="Cambria Math" w:hAnsi="Cambria Math" w:cs="Arial"/>
                                <w:i/>
                                <w:szCs w:val="18"/>
                              </w:rPr>
                            </m:ctrlPr>
                          </m:fPr>
                          <m:num>
                            <m:sSub>
                              <m:sSubPr>
                                <m:ctrlPr>
                                  <w:rPr>
                                    <w:rFonts w:ascii="Cambria Math" w:hAnsi="Cambria Math" w:cs="Arial"/>
                                    <w:i/>
                                    <w:szCs w:val="18"/>
                                  </w:rPr>
                                </m:ctrlPr>
                              </m:sSubPr>
                              <m:e>
                                <m:r>
                                  <w:rPr>
                                    <w:rFonts w:ascii="Cambria Math" w:hAnsi="Cambria Math" w:cs="Arial"/>
                                    <w:szCs w:val="18"/>
                                  </w:rPr>
                                  <m:t>IPP</m:t>
                                </m:r>
                              </m:e>
                              <m:sub>
                                <m:r>
                                  <w:rPr>
                                    <w:rFonts w:ascii="Cambria Math" w:hAnsi="Cambria Math" w:cs="Arial"/>
                                    <w:szCs w:val="18"/>
                                  </w:rPr>
                                  <m:t>m-1</m:t>
                                </m:r>
                              </m:sub>
                            </m:sSub>
                          </m:num>
                          <m:den>
                            <m:sSub>
                              <m:sSubPr>
                                <m:ctrlPr>
                                  <w:rPr>
                                    <w:rFonts w:ascii="Cambria Math" w:hAnsi="Cambria Math" w:cs="Arial"/>
                                    <w:i/>
                                    <w:szCs w:val="18"/>
                                  </w:rPr>
                                </m:ctrlPr>
                              </m:sSubPr>
                              <m:e>
                                <m:r>
                                  <w:rPr>
                                    <w:rFonts w:ascii="Cambria Math" w:hAnsi="Cambria Math" w:cs="Arial"/>
                                    <w:szCs w:val="18"/>
                                  </w:rPr>
                                  <m:t>IPP</m:t>
                                </m:r>
                              </m:e>
                              <m:sub>
                                <m:r>
                                  <w:rPr>
                                    <w:rFonts w:ascii="Cambria Math" w:hAnsi="Cambria Math" w:cs="Arial"/>
                                    <w:szCs w:val="18"/>
                                  </w:rPr>
                                  <m:t>0</m:t>
                                </m:r>
                              </m:sub>
                            </m:sSub>
                          </m:den>
                        </m:f>
                      </m:e>
                    </m:d>
                    <m:d>
                      <m:dPr>
                        <m:ctrlPr>
                          <w:rPr>
                            <w:rFonts w:ascii="Cambria Math" w:hAnsi="Cambria Math" w:cs="Arial"/>
                            <w:i/>
                          </w:rPr>
                        </m:ctrlPr>
                      </m:dPr>
                      <m:e>
                        <m:r>
                          <w:rPr>
                            <w:rFonts w:ascii="Cambria Math" w:hAnsi="Cambria Math" w:cs="Arial"/>
                          </w:rPr>
                          <m:t>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Dr</m:t>
                                </m:r>
                              </m:e>
                              <m:sub>
                                <m:r>
                                  <w:rPr>
                                    <w:rFonts w:ascii="Cambria Math" w:hAnsi="Cambria Math" w:cs="Arial"/>
                                  </w:rPr>
                                  <m:t>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Dp</m:t>
                                </m:r>
                              </m:e>
                              <m:sub>
                                <m:r>
                                  <w:rPr>
                                    <w:rFonts w:ascii="Cambria Math" w:hAnsi="Cambria Math" w:cs="Arial"/>
                                  </w:rPr>
                                  <m:t>t</m:t>
                                </m:r>
                              </m:sub>
                            </m:sSub>
                            <m:r>
                              <w:rPr>
                                <w:rFonts w:ascii="Cambria Math" w:hAnsi="Cambria Math" w:cs="Arial"/>
                              </w:rPr>
                              <m:t xml:space="preserve"> </m:t>
                            </m:r>
                          </m:num>
                          <m:den>
                            <m:sSub>
                              <m:sSubPr>
                                <m:ctrlPr>
                                  <w:rPr>
                                    <w:rFonts w:ascii="Cambria Math" w:hAnsi="Cambria Math" w:cs="Arial"/>
                                    <w:i/>
                                  </w:rPr>
                                </m:ctrlPr>
                              </m:sSubPr>
                              <m:e>
                                <m:r>
                                  <w:rPr>
                                    <w:rFonts w:ascii="Cambria Math" w:hAnsi="Cambria Math" w:cs="Arial"/>
                                  </w:rPr>
                                  <m:t>Dp</m:t>
                                </m:r>
                              </m:e>
                              <m:sub>
                                <m:r>
                                  <w:rPr>
                                    <w:rFonts w:ascii="Cambria Math" w:hAnsi="Cambria Math" w:cs="Arial"/>
                                  </w:rPr>
                                  <m:t>t</m:t>
                                </m:r>
                              </m:sub>
                            </m:sSub>
                          </m:den>
                        </m:f>
                        <m:r>
                          <w:rPr>
                            <w:rFonts w:ascii="Cambria Math" w:hAnsi="Cambria Math" w:cs="Arial"/>
                          </w:rPr>
                          <m:t xml:space="preserve"> </m:t>
                        </m:r>
                      </m:e>
                    </m:d>
                  </m:num>
                  <m:den>
                    <m:r>
                      <w:rPr>
                        <w:rFonts w:ascii="Cambria Math" w:hAnsi="Cambria Math" w:cs="Arial"/>
                        <w:szCs w:val="18"/>
                      </w:rPr>
                      <m:t xml:space="preserve">12  </m:t>
                    </m:r>
                    <m:sSub>
                      <m:sSubPr>
                        <m:ctrlPr>
                          <w:rPr>
                            <w:rFonts w:ascii="Cambria Math" w:hAnsi="Cambria Math" w:cs="Arial"/>
                            <w:i/>
                            <w:szCs w:val="18"/>
                          </w:rPr>
                        </m:ctrlPr>
                      </m:sSubPr>
                      <m:e>
                        <m:r>
                          <w:rPr>
                            <w:rFonts w:ascii="Cambria Math" w:hAnsi="Cambria Math" w:cs="Arial"/>
                            <w:szCs w:val="18"/>
                          </w:rPr>
                          <m:t>V</m:t>
                        </m:r>
                      </m:e>
                      <m:sub>
                        <m:r>
                          <w:rPr>
                            <w:rFonts w:ascii="Cambria Math" w:hAnsi="Cambria Math" w:cs="Arial"/>
                            <w:szCs w:val="18"/>
                          </w:rPr>
                          <m:t>p-1</m:t>
                        </m:r>
                      </m:sub>
                    </m:sSub>
                  </m:den>
                </m:f>
                <m:d>
                  <m:dPr>
                    <m:ctrlPr>
                      <w:rPr>
                        <w:rFonts w:ascii="Cambria Math" w:hAnsi="Cambria Math" w:cs="Arial"/>
                        <w:i/>
                        <w:szCs w:val="18"/>
                      </w:rPr>
                    </m:ctrlPr>
                  </m:dPr>
                  <m:e>
                    <m:sSub>
                      <m:sSubPr>
                        <m:ctrlPr>
                          <w:rPr>
                            <w:rFonts w:ascii="Cambria Math" w:hAnsi="Cambria Math" w:cs="Arial"/>
                            <w:i/>
                            <w:szCs w:val="18"/>
                          </w:rPr>
                        </m:ctrlPr>
                      </m:sSubPr>
                      <m:e>
                        <m:r>
                          <w:rPr>
                            <w:rFonts w:ascii="Cambria Math" w:hAnsi="Cambria Math" w:cs="Arial"/>
                            <w:szCs w:val="18"/>
                          </w:rPr>
                          <m:t>FA</m:t>
                        </m:r>
                      </m:e>
                      <m:sub>
                        <m:r>
                          <w:rPr>
                            <w:rFonts w:ascii="Cambria Math" w:hAnsi="Cambria Math" w:cs="Arial"/>
                            <w:szCs w:val="18"/>
                          </w:rPr>
                          <m:t>m</m:t>
                        </m:r>
                      </m:sub>
                    </m:sSub>
                  </m:e>
                </m:d>
                <m:r>
                  <w:rPr>
                    <w:rFonts w:ascii="Cambria Math" w:hAnsi="Cambria Math" w:cs="Arial"/>
                    <w:szCs w:val="18"/>
                  </w:rPr>
                  <m:t xml:space="preserve"> </m:t>
                </m:r>
              </m:oMath>
            </m:oMathPara>
          </w:p>
          <w:p w:rsidR="00C61D3A" w:rsidRPr="00884F77" w:rsidRDefault="00C61D3A" w:rsidP="00C61D3A">
            <w:pPr>
              <w:jc w:val="both"/>
              <w:rPr>
                <w:rFonts w:ascii="Bookman Old Style" w:hAnsi="Bookman Old Style" w:cs="Arial"/>
              </w:rPr>
            </w:pPr>
          </w:p>
          <w:p w:rsidR="00C61D3A" w:rsidRPr="00884F77" w:rsidRDefault="00C61D3A" w:rsidP="00C61D3A">
            <w:pPr>
              <w:ind w:left="0"/>
              <w:jc w:val="both"/>
              <w:rPr>
                <w:rFonts w:ascii="Bookman Old Style" w:hAnsi="Bookman Old Style" w:cs="Arial"/>
                <w:i/>
              </w:rPr>
            </w:pPr>
            <w:r w:rsidRPr="00884F77">
              <w:rPr>
                <w:rFonts w:ascii="Bookman Old Style" w:hAnsi="Bookman Old Style" w:cs="Arial"/>
              </w:rPr>
              <w:t>Donde:</w:t>
            </w:r>
          </w:p>
          <w:p w:rsidR="00C61D3A" w:rsidRPr="00884F77" w:rsidRDefault="00C61D3A" w:rsidP="00C61D3A">
            <w:pPr>
              <w:jc w:val="both"/>
              <w:rPr>
                <w:rFonts w:ascii="Bookman Old Style" w:hAnsi="Bookman Old Style" w:cs="Arial"/>
              </w:rPr>
            </w:pPr>
          </w:p>
          <w:p w:rsidR="00C61D3A" w:rsidRPr="00884F77" w:rsidRDefault="008307C2" w:rsidP="00C61D3A">
            <w:pPr>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IAOM</m:t>
                  </m:r>
                </m:e>
                <m:sub>
                  <m:r>
                    <w:rPr>
                      <w:rFonts w:ascii="Cambria Math" w:hAnsi="Cambria Math" w:cs="Arial"/>
                    </w:rPr>
                    <m:t>n,t</m:t>
                  </m:r>
                </m:sub>
              </m:sSub>
            </m:oMath>
            <w:r w:rsidR="00C61D3A" w:rsidRPr="00884F77">
              <w:rPr>
                <w:rFonts w:ascii="Bookman Old Style" w:hAnsi="Bookman Old Style" w:cs="Arial"/>
              </w:rPr>
              <w:t>: Ingreso regulado para el año t del período de vigencia de la obligación de prestación del servicio, que remunera las inversiones y gastos AOM requeridos para desarrollar las activ</w:t>
            </w:r>
            <w:proofErr w:type="spellStart"/>
            <w:r w:rsidR="00C61D3A" w:rsidRPr="00884F77">
              <w:rPr>
                <w:rFonts w:ascii="Bookman Old Style" w:hAnsi="Bookman Old Style" w:cs="Arial"/>
              </w:rPr>
              <w:t>idades</w:t>
            </w:r>
            <w:proofErr w:type="spellEnd"/>
            <w:r w:rsidR="00C61D3A" w:rsidRPr="00884F77">
              <w:rPr>
                <w:rFonts w:ascii="Bookman Old Style" w:hAnsi="Bookman Old Style" w:cs="Arial"/>
              </w:rPr>
              <w:t xml:space="preserve"> de generación, distribución para el nivel de tensión n y comercialización. Este ingreso, expresado en pesos ($) del mes anterior al de la realización del proceso competitivo, será el ofertado por el adjudicatario de la obligación de prestación del servicio en la propuesta que presente en dicho proceso.</w:t>
            </w:r>
          </w:p>
          <w:p w:rsidR="00C61D3A" w:rsidRPr="00884F77" w:rsidRDefault="00C61D3A" w:rsidP="00C61D3A">
            <w:pPr>
              <w:jc w:val="both"/>
              <w:rPr>
                <w:rFonts w:ascii="Bookman Old Style" w:hAnsi="Bookman Old Style" w:cs="Arial"/>
              </w:rPr>
            </w:pPr>
          </w:p>
          <w:p w:rsidR="00C61D3A" w:rsidRPr="00884F77" w:rsidRDefault="008307C2" w:rsidP="00C61D3A">
            <w:pPr>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oMath>
            <w:r w:rsidR="00C61D3A" w:rsidRPr="00884F77">
              <w:rPr>
                <w:rFonts w:ascii="Bookman Old Style" w:hAnsi="Bookman Old Style" w:cs="Arial"/>
              </w:rPr>
              <w:t>:</w:t>
            </w:r>
            <w:r w:rsidR="00C61D3A" w:rsidRPr="00884F77">
              <w:rPr>
                <w:rFonts w:ascii="Bookman Old Style" w:hAnsi="Bookman Old Style" w:cs="Arial"/>
              </w:rPr>
              <w:tab/>
              <w:t xml:space="preserve"> Índice de precios al productor publicado por el DANE, para el mes </w:t>
            </w:r>
            <w:r w:rsidR="00C61D3A" w:rsidRPr="00884F77">
              <w:rPr>
                <w:rFonts w:ascii="Bookman Old Style" w:hAnsi="Bookman Old Style" w:cs="Arial"/>
                <w:i/>
              </w:rPr>
              <w:t>m-1.</w:t>
            </w:r>
          </w:p>
          <w:p w:rsidR="00C61D3A" w:rsidRPr="00884F77" w:rsidRDefault="00C61D3A" w:rsidP="00C61D3A">
            <w:pPr>
              <w:jc w:val="both"/>
              <w:rPr>
                <w:rFonts w:ascii="Bookman Old Style" w:hAnsi="Bookman Old Style" w:cs="Arial"/>
              </w:rPr>
            </w:pPr>
          </w:p>
          <w:p w:rsidR="00C61D3A" w:rsidRPr="00884F77" w:rsidRDefault="008307C2" w:rsidP="00C61D3A">
            <w:pPr>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oMath>
            <w:r w:rsidR="00C61D3A" w:rsidRPr="00884F77">
              <w:rPr>
                <w:rFonts w:ascii="Bookman Old Style" w:hAnsi="Bookman Old Style" w:cs="Arial"/>
              </w:rPr>
              <w:t>: Índice de precios al productor publicado por el DANE, para el mes anterior al de realización del proceso c</w:t>
            </w:r>
            <w:proofErr w:type="spellStart"/>
            <w:r w:rsidR="00C61D3A" w:rsidRPr="00884F77">
              <w:rPr>
                <w:rFonts w:ascii="Bookman Old Style" w:hAnsi="Bookman Old Style" w:cs="Arial"/>
              </w:rPr>
              <w:t>ompetitivo</w:t>
            </w:r>
            <w:proofErr w:type="spellEnd"/>
            <w:r w:rsidR="00C61D3A" w:rsidRPr="00884F77">
              <w:rPr>
                <w:rFonts w:ascii="Bookman Old Style" w:hAnsi="Bookman Old Style" w:cs="Arial"/>
              </w:rPr>
              <w:t>.</w:t>
            </w:r>
          </w:p>
          <w:p w:rsidR="00C61D3A" w:rsidRPr="00884F77" w:rsidRDefault="00C61D3A" w:rsidP="00C61D3A">
            <w:pPr>
              <w:jc w:val="both"/>
              <w:rPr>
                <w:rFonts w:ascii="Bookman Old Style" w:hAnsi="Bookman Old Style" w:cs="Arial"/>
              </w:rPr>
            </w:pPr>
          </w:p>
          <w:p w:rsidR="00C61D3A" w:rsidRPr="00884F77" w:rsidRDefault="008307C2" w:rsidP="00C61D3A">
            <w:pPr>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oMath>
            <w:r w:rsidR="00C61D3A" w:rsidRPr="00884F77">
              <w:rPr>
                <w:rFonts w:ascii="Bookman Old Style" w:hAnsi="Bookman Old Style" w:cs="Arial"/>
              </w:rPr>
              <w:t>: Promedio de las ventas mensuales de energía de los últimos doce (12) meses, expresado en kilovatios hora (kWh), calculado de la siguiente manera:</w:t>
            </w:r>
          </w:p>
          <w:p w:rsidR="001A26A2" w:rsidRPr="00884F77" w:rsidRDefault="001A26A2" w:rsidP="00C61D3A">
            <w:pPr>
              <w:jc w:val="both"/>
              <w:rPr>
                <w:rFonts w:ascii="Bookman Old Style" w:hAnsi="Bookman Old Style" w:cs="Arial"/>
              </w:rPr>
            </w:pPr>
          </w:p>
          <w:p w:rsidR="00C61D3A" w:rsidRPr="00884F77" w:rsidRDefault="008307C2" w:rsidP="00C61D3A">
            <w:pPr>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r>
                  <w:rPr>
                    <w:rFonts w:ascii="Cambria Math" w:hAnsi="Cambria Math" w:cs="Arial"/>
                  </w:rPr>
                  <m:t>=</m:t>
                </m:r>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12</m:t>
                        </m:r>
                      </m:sup>
                      <m:e>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e>
                    </m:nary>
                  </m:num>
                  <m:den>
                    <m:r>
                      <w:rPr>
                        <w:rFonts w:ascii="Cambria Math" w:hAnsi="Cambria Math" w:cs="Arial"/>
                      </w:rPr>
                      <m:t>12</m:t>
                    </m:r>
                  </m:den>
                </m:f>
              </m:oMath>
            </m:oMathPara>
          </w:p>
          <w:p w:rsidR="00C61D3A" w:rsidRPr="00884F77" w:rsidRDefault="00C61D3A" w:rsidP="00C61D3A">
            <w:pPr>
              <w:jc w:val="both"/>
              <w:rPr>
                <w:rFonts w:ascii="Bookman Old Style" w:hAnsi="Bookman Old Style" w:cs="Arial"/>
              </w:rPr>
            </w:pPr>
          </w:p>
          <w:p w:rsidR="00B430B1" w:rsidRDefault="00B430B1" w:rsidP="00C61D3A">
            <w:pPr>
              <w:jc w:val="both"/>
              <w:rPr>
                <w:rFonts w:ascii="Bookman Old Style" w:hAnsi="Bookman Old Style" w:cs="Arial"/>
              </w:rPr>
            </w:pPr>
            <w:r w:rsidRPr="00884F77">
              <w:rPr>
                <w:rFonts w:ascii="Bookman Old Style" w:hAnsi="Bookman Old Style" w:cs="Arial"/>
              </w:rPr>
              <w:t xml:space="preserve">Donde: </w:t>
            </w:r>
          </w:p>
          <w:p w:rsidR="0070227B" w:rsidRPr="00884F77" w:rsidRDefault="0070227B" w:rsidP="00C61D3A">
            <w:pPr>
              <w:jc w:val="both"/>
              <w:rPr>
                <w:rFonts w:ascii="Bookman Old Style" w:hAnsi="Bookman Old Style" w:cs="Arial"/>
              </w:rPr>
            </w:pPr>
          </w:p>
          <w:p w:rsidR="00C61D3A" w:rsidRPr="00884F77" w:rsidRDefault="008307C2" w:rsidP="00C61D3A">
            <w:pPr>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oMath>
            <w:r w:rsidR="00C61D3A" w:rsidRPr="00884F77">
              <w:rPr>
                <w:rFonts w:ascii="Bookman Old Style" w:hAnsi="Bookman Old Style" w:cs="Arial"/>
              </w:rPr>
              <w:t>: Ventas de energía eléctrica para el mes m-j, expresadas en kilovatios hora (</w:t>
            </w:r>
            <w:proofErr w:type="spellStart"/>
            <w:r w:rsidR="00C61D3A" w:rsidRPr="00884F77">
              <w:rPr>
                <w:rFonts w:ascii="Bookman Old Style" w:hAnsi="Bookman Old Style" w:cs="Arial"/>
              </w:rPr>
              <w:t>kWh</w:t>
            </w:r>
            <w:proofErr w:type="spellEnd"/>
            <w:r w:rsidR="00C61D3A" w:rsidRPr="00884F77">
              <w:rPr>
                <w:rFonts w:ascii="Bookman Old Style" w:hAnsi="Bookman Old Style" w:cs="Arial"/>
              </w:rPr>
              <w:t>).</w:t>
            </w:r>
          </w:p>
          <w:p w:rsidR="00C61D3A" w:rsidRPr="00884F77" w:rsidRDefault="00C61D3A" w:rsidP="00C61D3A">
            <w:pPr>
              <w:jc w:val="both"/>
              <w:rPr>
                <w:rFonts w:ascii="Bookman Old Style" w:hAnsi="Bookman Old Style" w:cs="Arial"/>
                <w:i/>
              </w:rPr>
            </w:pPr>
          </w:p>
          <w:p w:rsidR="00C61D3A" w:rsidRPr="00884F77" w:rsidRDefault="008307C2" w:rsidP="00C61D3A">
            <w:pPr>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Dr</m:t>
                  </m:r>
                </m:e>
                <m:sub>
                  <m:r>
                    <w:rPr>
                      <w:rFonts w:ascii="Cambria Math" w:hAnsi="Cambria Math" w:cs="Arial"/>
                    </w:rPr>
                    <m:t>t</m:t>
                  </m:r>
                </m:sub>
              </m:sSub>
            </m:oMath>
            <w:r w:rsidR="00C61D3A" w:rsidRPr="00884F77">
              <w:rPr>
                <w:rFonts w:ascii="Bookman Old Style" w:hAnsi="Bookman Old Style" w:cs="Arial"/>
                <w:i/>
              </w:rPr>
              <w:t>:</w:t>
            </w:r>
            <w:r w:rsidR="00C61D3A" w:rsidRPr="00884F77">
              <w:rPr>
                <w:rFonts w:ascii="Bookman Old Style" w:hAnsi="Bookman Old Style" w:cs="Arial"/>
              </w:rPr>
              <w:t xml:space="preserve"> Demanda real atendida por el adjudicatario para el año t del período de vigencia de la obligación de prestación del servicio, expresada en kilovatios hora (</w:t>
            </w:r>
            <w:proofErr w:type="spellStart"/>
            <w:r w:rsidR="00C61D3A" w:rsidRPr="00884F77">
              <w:rPr>
                <w:rFonts w:ascii="Bookman Old Style" w:hAnsi="Bookman Old Style" w:cs="Arial"/>
              </w:rPr>
              <w:t>kWh</w:t>
            </w:r>
            <w:proofErr w:type="spellEnd"/>
            <w:r w:rsidR="00C61D3A" w:rsidRPr="00884F77">
              <w:rPr>
                <w:rFonts w:ascii="Bookman Old Style" w:hAnsi="Bookman Old Style" w:cs="Arial"/>
              </w:rPr>
              <w:t>).</w:t>
            </w:r>
          </w:p>
          <w:p w:rsidR="00C61D3A" w:rsidRPr="00884F77" w:rsidRDefault="00C61D3A" w:rsidP="00C61D3A">
            <w:pPr>
              <w:jc w:val="both"/>
              <w:rPr>
                <w:rFonts w:ascii="Bookman Old Style" w:hAnsi="Bookman Old Style" w:cs="Arial"/>
              </w:rPr>
            </w:pPr>
          </w:p>
          <w:p w:rsidR="00C61D3A" w:rsidRPr="00884F77" w:rsidRDefault="008307C2" w:rsidP="00C61D3A">
            <w:pPr>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Dp</m:t>
                  </m:r>
                </m:e>
                <m:sub>
                  <m:r>
                    <w:rPr>
                      <w:rFonts w:ascii="Cambria Math" w:hAnsi="Cambria Math" w:cs="Arial"/>
                    </w:rPr>
                    <m:t>t</m:t>
                  </m:r>
                </m:sub>
              </m:sSub>
            </m:oMath>
            <w:r w:rsidR="00C61D3A" w:rsidRPr="00884F77">
              <w:rPr>
                <w:rFonts w:ascii="Bookman Old Style" w:hAnsi="Bookman Old Style" w:cs="Arial"/>
                <w:i/>
              </w:rPr>
              <w:t>:</w:t>
            </w:r>
            <w:r w:rsidR="00C61D3A" w:rsidRPr="00884F77">
              <w:rPr>
                <w:rFonts w:ascii="Bookman Old Style" w:hAnsi="Bookman Old Style" w:cs="Arial"/>
              </w:rPr>
              <w:t xml:space="preserve"> Demanda proyectada para el año t del período de vigencia de la obligación de prestación del servicio, expresada en kilovatios hora (</w:t>
            </w:r>
            <w:proofErr w:type="spellStart"/>
            <w:r w:rsidR="00C61D3A" w:rsidRPr="00884F77">
              <w:rPr>
                <w:rFonts w:ascii="Bookman Old Style" w:hAnsi="Bookman Old Style" w:cs="Arial"/>
              </w:rPr>
              <w:t>kWh</w:t>
            </w:r>
            <w:proofErr w:type="spellEnd"/>
            <w:r w:rsidR="00C61D3A" w:rsidRPr="00884F77">
              <w:rPr>
                <w:rFonts w:ascii="Bookman Old Style" w:hAnsi="Bookman Old Style" w:cs="Arial"/>
              </w:rPr>
              <w:t>).</w:t>
            </w:r>
          </w:p>
          <w:p w:rsidR="00C61D3A" w:rsidRPr="00884F77" w:rsidRDefault="00C61D3A" w:rsidP="00C61D3A">
            <w:pPr>
              <w:jc w:val="both"/>
              <w:rPr>
                <w:rFonts w:ascii="Bookman Old Style" w:hAnsi="Bookman Old Style" w:cs="Arial"/>
                <w:i/>
              </w:rPr>
            </w:pPr>
          </w:p>
          <w:p w:rsidR="00C61D3A" w:rsidRPr="00884F77" w:rsidRDefault="008307C2" w:rsidP="00C61D3A">
            <w:pPr>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oMath>
            <w:r w:rsidR="00C61D3A" w:rsidRPr="00884F77">
              <w:rPr>
                <w:rFonts w:ascii="Bookman Old Style" w:hAnsi="Bookman Old Style" w:cs="Arial"/>
                <w:i/>
              </w:rPr>
              <w:t>:</w:t>
            </w:r>
            <w:r w:rsidR="00C61D3A" w:rsidRPr="00884F77">
              <w:rPr>
                <w:rFonts w:ascii="Bookman Old Style" w:hAnsi="Bookman Old Style" w:cs="Arial"/>
              </w:rPr>
              <w:t xml:space="preserve"> Factor de ajuste al ingreso máximo regulado, para el mes m. Este ajuste se hará a partir del segundo mes del período de vigencia, de la siguiente manera:</w:t>
            </w:r>
          </w:p>
          <w:p w:rsidR="00C61D3A" w:rsidRPr="00884F77" w:rsidRDefault="008307C2" w:rsidP="00C61D3A">
            <w:pPr>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num>
                  <m:den>
                    <m:sSub>
                      <m:sSubPr>
                        <m:ctrlPr>
                          <w:rPr>
                            <w:rFonts w:ascii="Cambria Math" w:hAnsi="Cambria Math" w:cs="Arial"/>
                            <w:i/>
                          </w:rPr>
                        </m:ctrlPr>
                      </m:sSubPr>
                      <m:e>
                        <m:r>
                          <w:rPr>
                            <w:rFonts w:ascii="Cambria Math" w:hAnsi="Cambria Math" w:cs="Arial"/>
                          </w:rPr>
                          <m:t>V</m:t>
                        </m:r>
                      </m:e>
                      <m:sub>
                        <m:r>
                          <w:rPr>
                            <w:rFonts w:ascii="Cambria Math" w:hAnsi="Cambria Math" w:cs="Arial"/>
                          </w:rPr>
                          <m:t>m-1</m:t>
                        </m:r>
                      </m:sub>
                    </m:sSub>
                  </m:den>
                </m:f>
              </m:oMath>
            </m:oMathPara>
          </w:p>
          <w:p w:rsidR="00C61D3A" w:rsidRPr="00884F77" w:rsidRDefault="00C61D3A" w:rsidP="00C61D3A">
            <w:pPr>
              <w:jc w:val="both"/>
              <w:rPr>
                <w:rFonts w:ascii="Bookman Old Style" w:hAnsi="Bookman Old Style" w:cs="Arial"/>
              </w:rPr>
            </w:pPr>
          </w:p>
          <w:p w:rsidR="00C61D3A" w:rsidRPr="00884F77" w:rsidRDefault="00C61D3A" w:rsidP="00C61D3A">
            <w:pPr>
              <w:jc w:val="both"/>
              <w:rPr>
                <w:rFonts w:ascii="Bookman Old Style" w:hAnsi="Bookman Old Style" w:cs="Arial"/>
              </w:rPr>
            </w:pPr>
            <w:r w:rsidRPr="00884F77">
              <w:rPr>
                <w:rFonts w:ascii="Bookman Old Style" w:hAnsi="Bookman Old Style" w:cs="Arial"/>
              </w:rPr>
              <w:t>Donde:</w:t>
            </w:r>
          </w:p>
          <w:p w:rsidR="00C61D3A" w:rsidRPr="00884F77" w:rsidRDefault="00C61D3A" w:rsidP="00C61D3A">
            <w:pPr>
              <w:jc w:val="both"/>
              <w:rPr>
                <w:rFonts w:ascii="Bookman Old Style" w:hAnsi="Bookman Old Style" w:cs="Arial"/>
              </w:rPr>
            </w:pPr>
          </w:p>
          <w:p w:rsidR="00C61D3A" w:rsidRPr="00884F77" w:rsidRDefault="008307C2" w:rsidP="00C61D3A">
            <w:pPr>
              <w:tabs>
                <w:tab w:val="left" w:pos="1134"/>
              </w:tabs>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oMath>
            <w:r w:rsidR="00C61D3A" w:rsidRPr="00884F77">
              <w:rPr>
                <w:rFonts w:ascii="Bookman Old Style" w:hAnsi="Bookman Old Style" w:cs="Arial"/>
              </w:rPr>
              <w:t>:</w:t>
            </w:r>
            <w:r w:rsidR="00C61D3A" w:rsidRPr="00884F77">
              <w:rPr>
                <w:rFonts w:ascii="Bookman Old Style" w:hAnsi="Bookman Old Style" w:cs="Arial"/>
              </w:rPr>
              <w:tab/>
              <w:t xml:space="preserve"> Promedio de las ventas mensuales de energía de los doce (12) meses anteriores al mes m-1, expresado en kilovatios hora (kWh).</w:t>
            </w:r>
            <w:r w:rsidR="00C61D3A" w:rsidRPr="00884F77" w:rsidDel="00F90769">
              <w:rPr>
                <w:rFonts w:ascii="Bookman Old Style" w:hAnsi="Bookman Old Style" w:cs="Arial"/>
              </w:rPr>
              <w:t xml:space="preserve"> </w:t>
            </w:r>
            <w:r w:rsidR="00C61D3A" w:rsidRPr="00884F77">
              <w:rPr>
                <w:rFonts w:ascii="Bookman Old Style" w:hAnsi="Bookman Old Style" w:cs="Arial"/>
              </w:rPr>
              <w:t>El cálculo se hará de la siguiente manera:</w:t>
            </w:r>
          </w:p>
          <w:p w:rsidR="00C61D3A" w:rsidRPr="00884F77" w:rsidRDefault="00C61D3A" w:rsidP="00C61D3A">
            <w:pPr>
              <w:tabs>
                <w:tab w:val="left" w:pos="1134"/>
              </w:tabs>
              <w:jc w:val="both"/>
              <w:rPr>
                <w:rFonts w:ascii="Bookman Old Style" w:hAnsi="Bookman Old Style" w:cs="Arial"/>
              </w:rPr>
            </w:pPr>
          </w:p>
          <w:p w:rsidR="00C61D3A" w:rsidRPr="00884F77" w:rsidRDefault="008307C2" w:rsidP="00C61D3A">
            <w:pPr>
              <w:tabs>
                <w:tab w:val="left" w:pos="1134"/>
              </w:tabs>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r>
                  <w:rPr>
                    <w:rFonts w:ascii="Cambria Math" w:hAnsi="Cambria Math" w:cs="Arial"/>
                  </w:rPr>
                  <m:t>=</m:t>
                </m:r>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j=2</m:t>
                        </m:r>
                      </m:sub>
                      <m:sup>
                        <m:r>
                          <w:rPr>
                            <w:rFonts w:ascii="Cambria Math" w:hAnsi="Cambria Math" w:cs="Arial"/>
                          </w:rPr>
                          <m:t>13</m:t>
                        </m:r>
                      </m:sup>
                      <m:e>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e>
                    </m:nary>
                  </m:num>
                  <m:den>
                    <m:r>
                      <w:rPr>
                        <w:rFonts w:ascii="Cambria Math" w:hAnsi="Cambria Math" w:cs="Arial"/>
                      </w:rPr>
                      <m:t>12</m:t>
                    </m:r>
                  </m:den>
                </m:f>
              </m:oMath>
            </m:oMathPara>
          </w:p>
          <w:p w:rsidR="00C61D3A" w:rsidRPr="00884F77" w:rsidRDefault="00C61D3A" w:rsidP="00C61D3A">
            <w:pPr>
              <w:rPr>
                <w:rFonts w:ascii="Bookman Old Style" w:hAnsi="Bookman Old Style" w:cs="Arial"/>
              </w:rPr>
            </w:pPr>
          </w:p>
          <w:p w:rsidR="00C61D3A" w:rsidRPr="00884F77" w:rsidRDefault="008307C2" w:rsidP="00C61D3A">
            <w:pPr>
              <w:tabs>
                <w:tab w:val="left" w:pos="1134"/>
              </w:tabs>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oMath>
            <w:r w:rsidR="00C61D3A" w:rsidRPr="00884F77">
              <w:rPr>
                <w:rFonts w:ascii="Bookman Old Style" w:hAnsi="Bookman Old Style" w:cs="Arial"/>
              </w:rPr>
              <w:t>: Ventas mensuales de energía del mes m-j, expresado en kilovatios hora (</w:t>
            </w:r>
            <w:proofErr w:type="spellStart"/>
            <w:r w:rsidR="00C61D3A" w:rsidRPr="00884F77">
              <w:rPr>
                <w:rFonts w:ascii="Bookman Old Style" w:hAnsi="Bookman Old Style" w:cs="Arial"/>
              </w:rPr>
              <w:t>kWh</w:t>
            </w:r>
            <w:proofErr w:type="spellEnd"/>
            <w:r w:rsidR="00C61D3A" w:rsidRPr="00884F77">
              <w:rPr>
                <w:rFonts w:ascii="Bookman Old Style" w:hAnsi="Bookman Old Style" w:cs="Arial"/>
              </w:rPr>
              <w:t>).</w:t>
            </w:r>
            <w:r w:rsidR="00C61D3A" w:rsidRPr="00884F77">
              <w:rPr>
                <w:rFonts w:ascii="Bookman Old Style" w:hAnsi="Bookman Old Style" w:cs="Arial"/>
              </w:rPr>
              <w:tab/>
            </w:r>
          </w:p>
          <w:p w:rsidR="00C61D3A" w:rsidRPr="00884F77" w:rsidRDefault="00C61D3A" w:rsidP="00BA7ECC">
            <w:pPr>
              <w:ind w:left="0"/>
              <w:rPr>
                <w:rFonts w:ascii="Bookman Old Style" w:hAnsi="Bookman Old Style" w:cs="Arial"/>
              </w:rPr>
            </w:pPr>
          </w:p>
        </w:tc>
      </w:tr>
      <w:tr w:rsidR="00884F77" w:rsidRPr="00884F77" w:rsidTr="00B430B1">
        <w:tc>
          <w:tcPr>
            <w:tcW w:w="724" w:type="dxa"/>
          </w:tcPr>
          <w:p w:rsidR="00C61D3A" w:rsidRPr="00884F77" w:rsidRDefault="008307C2" w:rsidP="00BA7ECC">
            <w:pPr>
              <w:ind w:left="0"/>
              <w:rPr>
                <w:rFonts w:ascii="Bookman Old Style" w:hAnsi="Bookman Old Style" w:cs="Arial"/>
              </w:rPr>
            </w:pPr>
            <m:oMath>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oMath>
            <w:r w:rsidR="00C61D3A" w:rsidRPr="00884F77">
              <w:rPr>
                <w:rFonts w:ascii="Bookman Old Style" w:hAnsi="Bookman Old Style" w:cs="Arial"/>
              </w:rPr>
              <w:t>:</w:t>
            </w:r>
            <w:r w:rsidR="00C61D3A" w:rsidRPr="00884F77">
              <w:rPr>
                <w:rFonts w:ascii="Bookman Old Style" w:hAnsi="Bookman Old Style" w:cs="Arial"/>
              </w:rPr>
              <w:tab/>
            </w:r>
          </w:p>
        </w:tc>
        <w:tc>
          <w:tcPr>
            <w:tcW w:w="8055" w:type="dxa"/>
            <w:gridSpan w:val="3"/>
          </w:tcPr>
          <w:p w:rsidR="00C61D3A" w:rsidRPr="00884F77" w:rsidRDefault="00C61D3A" w:rsidP="00C61D3A">
            <w:pPr>
              <w:tabs>
                <w:tab w:val="left" w:pos="1134"/>
              </w:tabs>
              <w:ind w:left="0"/>
              <w:jc w:val="both"/>
              <w:rPr>
                <w:rFonts w:ascii="Bookman Old Style" w:hAnsi="Bookman Old Style" w:cs="Arial"/>
              </w:rPr>
            </w:pPr>
            <w:r w:rsidRPr="00884F77">
              <w:rPr>
                <w:rFonts w:ascii="Bookman Old Style" w:hAnsi="Bookman Old Style" w:cs="Arial"/>
              </w:rPr>
              <w:t xml:space="preserve">Ingreso regulado </w:t>
            </w:r>
            <w:r w:rsidRPr="00884F77">
              <w:rPr>
                <w:rFonts w:ascii="Bookman Old Style" w:hAnsi="Bookman Old Style" w:cs="Arial"/>
                <w:spacing w:val="-3"/>
              </w:rPr>
              <w:t xml:space="preserve">compuesto por los costos </w:t>
            </w:r>
            <w:r w:rsidRPr="00884F77">
              <w:rPr>
                <w:rFonts w:ascii="Bookman Old Style" w:hAnsi="Bookman Old Style" w:cs="Arial"/>
              </w:rPr>
              <w:t>de los combustibles de origen fósil o de las mezclas obligatorias de éstos con biocombustibles por disposición gubernamental, puestos en el sitio de operación de las plantas del parque de generación, para el mes m. Este valor, expresado en pesos por kilovatio hora ($/</w:t>
            </w:r>
            <w:proofErr w:type="spellStart"/>
            <w:r w:rsidRPr="00884F77">
              <w:rPr>
                <w:rFonts w:ascii="Bookman Old Style" w:hAnsi="Bookman Old Style" w:cs="Arial"/>
              </w:rPr>
              <w:t>kWh</w:t>
            </w:r>
            <w:proofErr w:type="spellEnd"/>
            <w:r w:rsidRPr="00884F77">
              <w:rPr>
                <w:rFonts w:ascii="Bookman Old Style" w:hAnsi="Bookman Old Style" w:cs="Arial"/>
              </w:rPr>
              <w:t>), se calculará así:</w:t>
            </w:r>
          </w:p>
          <w:p w:rsidR="00C61D3A" w:rsidRPr="00884F77" w:rsidRDefault="00C61D3A" w:rsidP="00C61D3A">
            <w:pPr>
              <w:tabs>
                <w:tab w:val="left" w:pos="1134"/>
              </w:tabs>
              <w:jc w:val="both"/>
              <w:rPr>
                <w:rFonts w:ascii="Bookman Old Style" w:hAnsi="Bookman Old Style" w:cs="Arial"/>
              </w:rPr>
            </w:pPr>
          </w:p>
          <w:p w:rsidR="00C61D3A" w:rsidRPr="00884F77" w:rsidRDefault="008307C2" w:rsidP="00C61D3A">
            <w:pPr>
              <w:tabs>
                <w:tab w:val="left" w:pos="1134"/>
              </w:tabs>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nary>
                  <m:naryPr>
                    <m:chr m:val="∑"/>
                    <m:limLoc m:val="undOvr"/>
                    <m:ctrlPr>
                      <w:rPr>
                        <w:rFonts w:ascii="Cambria Math" w:hAnsi="Cambria Math" w:cs="Arial"/>
                        <w:i/>
                      </w:rPr>
                    </m:ctrlPr>
                  </m:naryPr>
                  <m:sub>
                    <m:r>
                      <w:rPr>
                        <w:rFonts w:ascii="Cambria Math" w:hAnsi="Cambria Math" w:cs="Arial"/>
                      </w:rPr>
                      <m:t>m-1</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CEC</m:t>
                        </m:r>
                      </m:e>
                      <m:sub>
                        <m:r>
                          <w:rPr>
                            <w:rFonts w:ascii="Cambria Math" w:hAnsi="Cambria Math" w:cs="Arial"/>
                          </w:rPr>
                          <m:t>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e>
                </m:nary>
              </m:oMath>
            </m:oMathPara>
          </w:p>
          <w:p w:rsidR="00C61D3A" w:rsidRPr="00884F77" w:rsidRDefault="00C61D3A" w:rsidP="00AF3996">
            <w:pPr>
              <w:ind w:left="873" w:firstLine="24"/>
              <w:rPr>
                <w:rFonts w:ascii="Bookman Old Style" w:hAnsi="Bookman Old Style" w:cs="Arial"/>
              </w:rPr>
            </w:pPr>
          </w:p>
          <w:p w:rsidR="00C61D3A" w:rsidRPr="00884F77" w:rsidRDefault="00C61D3A" w:rsidP="00AF3996">
            <w:pPr>
              <w:ind w:left="306" w:firstLine="24"/>
              <w:rPr>
                <w:rFonts w:ascii="Bookman Old Style" w:hAnsi="Bookman Old Style" w:cs="Arial"/>
              </w:rPr>
            </w:pPr>
            <w:r w:rsidRPr="00884F77">
              <w:rPr>
                <w:rFonts w:ascii="Bookman Old Style" w:hAnsi="Bookman Old Style" w:cs="Arial"/>
              </w:rPr>
              <w:t>Donde:</w:t>
            </w:r>
          </w:p>
          <w:p w:rsidR="00C61D3A" w:rsidRPr="00884F77" w:rsidRDefault="00C61D3A" w:rsidP="00AF3996">
            <w:pPr>
              <w:ind w:left="873" w:firstLine="24"/>
              <w:jc w:val="both"/>
              <w:rPr>
                <w:rFonts w:ascii="Bookman Old Style" w:hAnsi="Bookman Old Style" w:cs="Arial"/>
                <w:i/>
              </w:rPr>
            </w:pPr>
          </w:p>
          <w:p w:rsidR="00C61D3A" w:rsidRPr="00884F77" w:rsidRDefault="008307C2" w:rsidP="00AF3996">
            <w:pPr>
              <w:ind w:left="306" w:firstLine="2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w:r w:rsidR="00C61D3A" w:rsidRPr="00884F77">
              <w:rPr>
                <w:rFonts w:ascii="Bookman Old Style" w:hAnsi="Bookman Old Style" w:cs="Arial"/>
              </w:rPr>
              <w:t>: Energía total entregada al sistema de distribución en el mes m-1, por las n plantas del parque de generación. Este valor se expresa en kilovatios hora (</w:t>
            </w:r>
            <w:proofErr w:type="spellStart"/>
            <w:r w:rsidR="00C61D3A" w:rsidRPr="00884F77">
              <w:rPr>
                <w:rFonts w:ascii="Bookman Old Style" w:hAnsi="Bookman Old Style" w:cs="Arial"/>
              </w:rPr>
              <w:t>kWh</w:t>
            </w:r>
            <w:proofErr w:type="spellEnd"/>
            <w:r w:rsidR="00C61D3A" w:rsidRPr="00884F77">
              <w:rPr>
                <w:rFonts w:ascii="Bookman Old Style" w:hAnsi="Bookman Old Style" w:cs="Arial"/>
              </w:rPr>
              <w:t>) y será medida en bornes del generador.</w:t>
            </w:r>
          </w:p>
          <w:p w:rsidR="00C61D3A" w:rsidRPr="00884F77" w:rsidRDefault="00C61D3A" w:rsidP="00AF3996">
            <w:pPr>
              <w:ind w:left="873" w:firstLine="24"/>
              <w:rPr>
                <w:rFonts w:ascii="Bookman Old Style" w:hAnsi="Bookman Old Style" w:cs="Arial"/>
              </w:rPr>
            </w:pPr>
          </w:p>
          <w:p w:rsidR="00C61D3A" w:rsidRPr="00884F77" w:rsidRDefault="008307C2" w:rsidP="00AF3996">
            <w:pPr>
              <w:ind w:left="306" w:firstLine="2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j</m:t>
                  </m:r>
                </m:sub>
              </m:sSub>
            </m:oMath>
            <w:r w:rsidR="00C61D3A" w:rsidRPr="00884F77">
              <w:rPr>
                <w:rFonts w:ascii="Bookman Old Style" w:hAnsi="Bookman Old Style" w:cs="Arial"/>
              </w:rPr>
              <w:t>: Consumo específico de combustible de origen fósil de la planta j del pa</w:t>
            </w:r>
            <w:proofErr w:type="spellStart"/>
            <w:r w:rsidR="00C61D3A" w:rsidRPr="00884F77">
              <w:rPr>
                <w:rFonts w:ascii="Bookman Old Style" w:hAnsi="Bookman Old Style" w:cs="Arial"/>
              </w:rPr>
              <w:t>rque</w:t>
            </w:r>
            <w:proofErr w:type="spellEnd"/>
            <w:r w:rsidR="00C61D3A" w:rsidRPr="00884F77">
              <w:rPr>
                <w:rFonts w:ascii="Bookman Old Style" w:hAnsi="Bookman Old Style" w:cs="Arial"/>
              </w:rPr>
              <w:t xml:space="preserve"> de generación, expresado en millones de BTU por kilovatio hora (MBTU/</w:t>
            </w:r>
            <w:proofErr w:type="spellStart"/>
            <w:r w:rsidR="00C61D3A" w:rsidRPr="00884F77">
              <w:rPr>
                <w:rFonts w:ascii="Bookman Old Style" w:hAnsi="Bookman Old Style" w:cs="Arial"/>
              </w:rPr>
              <w:t>kWh</w:t>
            </w:r>
            <w:proofErr w:type="spellEnd"/>
            <w:r w:rsidR="00C61D3A" w:rsidRPr="00884F77">
              <w:rPr>
                <w:rFonts w:ascii="Bookman Old Style" w:hAnsi="Bookman Old Style" w:cs="Arial"/>
              </w:rPr>
              <w:t xml:space="preserve">). En caso de que la planta utilice </w:t>
            </w:r>
            <w:r w:rsidR="00C61D3A" w:rsidRPr="00884F77">
              <w:rPr>
                <w:rFonts w:ascii="Bookman Old Style" w:hAnsi="Bookman Old Style" w:cs="Arial"/>
              </w:rPr>
              <w:lastRenderedPageBreak/>
              <w:t>diésel No. 2 o diésel No. 6 como combustible, este consumo será expresado en galones por kilovatio hora (gal/</w:t>
            </w:r>
            <w:proofErr w:type="spellStart"/>
            <w:r w:rsidR="00C61D3A" w:rsidRPr="00884F77">
              <w:rPr>
                <w:rFonts w:ascii="Bookman Old Style" w:hAnsi="Bookman Old Style" w:cs="Arial"/>
              </w:rPr>
              <w:t>kWh</w:t>
            </w:r>
            <w:proofErr w:type="spellEnd"/>
            <w:r w:rsidR="00C61D3A" w:rsidRPr="00884F77">
              <w:rPr>
                <w:rFonts w:ascii="Bookman Old Style" w:hAnsi="Bookman Old Style" w:cs="Arial"/>
              </w:rPr>
              <w:t>). El valor de esta variable será el ofertado por el adjudicatario de la obligación de prestación del servicio, para cada planta i a utilizar, en la propuesta que presente en el proceso competitivo. El consumo específico de combustible será calculado en bornes del generador. En caso de ser necesaria la aplicación de una equivalencia calorífica, ésta será determinada por el Ministerio de Minas y Energía.</w:t>
            </w:r>
          </w:p>
          <w:p w:rsidR="00C61D3A" w:rsidRPr="00884F77" w:rsidRDefault="00C61D3A" w:rsidP="00AF3996">
            <w:pPr>
              <w:ind w:left="873" w:firstLine="24"/>
              <w:jc w:val="both"/>
              <w:rPr>
                <w:rFonts w:ascii="Bookman Old Style" w:hAnsi="Bookman Old Style" w:cs="Arial"/>
              </w:rPr>
            </w:pPr>
          </w:p>
          <w:p w:rsidR="00C61D3A" w:rsidRPr="00884F77" w:rsidRDefault="008307C2" w:rsidP="00AF3996">
            <w:pPr>
              <w:ind w:left="306" w:firstLine="2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oMath>
            <w:r w:rsidR="00C61D3A" w:rsidRPr="00884F77">
              <w:rPr>
                <w:rFonts w:ascii="Bookman Old Style" w:hAnsi="Bookman Old Style" w:cs="Arial"/>
              </w:rPr>
              <w:t xml:space="preserve">: Precio del combustible puesto en el sitio de la planta j del parque de generación, en el mes m, expresado en pesos por millón de BTU ($/MBTU) de forma general y en pesos por galón ($/gal) cuando el combustible empleado sea diésel No. 2, diésel No. 6 o la mezcla mencionada. El precio del combustible puesto en el sitio de la planta será definido por el Ministerio de Minas y Energía, con excepción del caso en que se utilice gas combustible, cuyo precio se encuentra regulado por la comisión mediante Resolución CREG 059 de 2009 o aquella que la modifique o sustituya. </w:t>
            </w:r>
          </w:p>
          <w:p w:rsidR="00C61D3A" w:rsidRPr="00884F77" w:rsidRDefault="00C61D3A" w:rsidP="00AF3996">
            <w:pPr>
              <w:ind w:left="873" w:firstLine="24"/>
              <w:jc w:val="both"/>
              <w:rPr>
                <w:rFonts w:ascii="Bookman Old Style" w:hAnsi="Bookman Old Style" w:cs="Arial"/>
              </w:rPr>
            </w:pPr>
          </w:p>
          <w:p w:rsidR="00C61D3A" w:rsidRPr="00884F77" w:rsidRDefault="008307C2" w:rsidP="00AF3996">
            <w:pPr>
              <w:ind w:left="306" w:firstLine="2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oMath>
            <w:r w:rsidR="00C61D3A" w:rsidRPr="00884F77">
              <w:rPr>
                <w:rFonts w:ascii="Bookman Old Style" w:hAnsi="Bookman Old Style" w:cs="Arial"/>
              </w:rPr>
              <w:t>: Energía entregada al sistema de distribución por la planta j, en el mes m-1, expresada en kilovatios hora (</w:t>
            </w:r>
            <w:proofErr w:type="spellStart"/>
            <w:r w:rsidR="00C61D3A" w:rsidRPr="00884F77">
              <w:rPr>
                <w:rFonts w:ascii="Bookman Old Style" w:hAnsi="Bookman Old Style" w:cs="Arial"/>
              </w:rPr>
              <w:t>kWh</w:t>
            </w:r>
            <w:proofErr w:type="spellEnd"/>
            <w:r w:rsidR="00C61D3A" w:rsidRPr="00884F77">
              <w:rPr>
                <w:rFonts w:ascii="Bookman Old Style" w:hAnsi="Bookman Old Style" w:cs="Arial"/>
              </w:rPr>
              <w:t xml:space="preserve">) y </w:t>
            </w:r>
            <w:r w:rsidR="00C61D3A" w:rsidRPr="00884F77">
              <w:rPr>
                <w:rFonts w:ascii="Bookman Old Style" w:hAnsi="Bookman Old Style"/>
              </w:rPr>
              <w:t>medida en bornes del generador</w:t>
            </w:r>
            <w:r w:rsidR="00C61D3A" w:rsidRPr="00884F77">
              <w:rPr>
                <w:rFonts w:ascii="Bookman Old Style" w:hAnsi="Bookman Old Style" w:cs="Arial"/>
              </w:rPr>
              <w:t>.</w:t>
            </w:r>
          </w:p>
          <w:p w:rsidR="00C61D3A" w:rsidRPr="00884F77" w:rsidRDefault="00C61D3A" w:rsidP="00BA7ECC">
            <w:pPr>
              <w:ind w:left="0"/>
              <w:rPr>
                <w:rFonts w:ascii="Bookman Old Style" w:hAnsi="Bookman Old Style" w:cs="Arial"/>
              </w:rPr>
            </w:pPr>
          </w:p>
        </w:tc>
      </w:tr>
      <w:tr w:rsidR="00884F77" w:rsidRPr="00884F77" w:rsidTr="00AF3996">
        <w:tc>
          <w:tcPr>
            <w:tcW w:w="988" w:type="dxa"/>
            <w:gridSpan w:val="2"/>
          </w:tcPr>
          <w:p w:rsidR="00C61D3A" w:rsidRPr="00884F77" w:rsidRDefault="008307C2" w:rsidP="00BA7ECC">
            <w:pPr>
              <w:ind w:left="0"/>
              <w:rPr>
                <w:rFonts w:ascii="Bookman Old Style" w:hAnsi="Bookman Old Style"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D n,m</m:t>
                  </m:r>
                </m:sub>
              </m:sSub>
            </m:oMath>
            <w:r w:rsidR="00C61D3A" w:rsidRPr="00884F77">
              <w:rPr>
                <w:rFonts w:ascii="Bookman Old Style" w:hAnsi="Bookman Old Style" w:cs="Arial"/>
              </w:rPr>
              <w:t>:</w:t>
            </w:r>
          </w:p>
        </w:tc>
        <w:tc>
          <w:tcPr>
            <w:tcW w:w="7791" w:type="dxa"/>
            <w:gridSpan w:val="2"/>
          </w:tcPr>
          <w:p w:rsidR="00C61D3A" w:rsidRPr="00884F77" w:rsidRDefault="00C61D3A" w:rsidP="00C61D3A">
            <w:pPr>
              <w:ind w:left="0"/>
              <w:jc w:val="both"/>
              <w:rPr>
                <w:rFonts w:ascii="Bookman Old Style" w:hAnsi="Bookman Old Style" w:cs="Arial"/>
              </w:rPr>
            </w:pPr>
            <w:r w:rsidRPr="00884F77">
              <w:rPr>
                <w:rFonts w:ascii="Bookman Old Style" w:hAnsi="Bookman Old Style" w:cs="Arial"/>
              </w:rPr>
              <w:t>Pérdidas de energía del sistema de distribución, en el nivel de tensión n, para el mes m. Este nivel de pérdidas será el ofertado por el adjudicatario de la obligación de prestación del servicio en la propuesta que presente en el proceso competitivo. Este valor se expresa como una fracción de la energía medida y entregada al sistema de distribución.</w:t>
            </w:r>
          </w:p>
          <w:p w:rsidR="00C61D3A" w:rsidRPr="00884F77" w:rsidRDefault="00C61D3A" w:rsidP="00BA7ECC">
            <w:pPr>
              <w:ind w:left="0"/>
              <w:rPr>
                <w:rFonts w:ascii="Bookman Old Style" w:hAnsi="Bookman Old Style" w:cs="Arial"/>
              </w:rPr>
            </w:pPr>
          </w:p>
        </w:tc>
      </w:tr>
      <w:tr w:rsidR="00884F77" w:rsidRPr="00884F77" w:rsidTr="00AF3996">
        <w:tc>
          <w:tcPr>
            <w:tcW w:w="988" w:type="dxa"/>
            <w:gridSpan w:val="2"/>
          </w:tcPr>
          <w:p w:rsidR="00C61D3A" w:rsidRPr="00884F77" w:rsidRDefault="008307C2" w:rsidP="00BA7ECC">
            <w:pPr>
              <w:ind w:left="0"/>
              <w:rPr>
                <w:rFonts w:ascii="Bookman Old Style" w:hAnsi="Bookman Old Style" w:cs="Arial"/>
              </w:rPr>
            </w:pPr>
            <m:oMath>
              <m:sSub>
                <m:sSubPr>
                  <m:ctrlPr>
                    <w:rPr>
                      <w:rFonts w:ascii="Cambria Math" w:hAnsi="Cambria Math" w:cs="Arial"/>
                      <w:i/>
                    </w:rPr>
                  </m:ctrlPr>
                </m:sSubPr>
                <m:e>
                  <m:r>
                    <w:rPr>
                      <w:rFonts w:ascii="Cambria Math" w:hAnsi="Cambria Math" w:cs="Arial"/>
                    </w:rPr>
                    <m:t>TM</m:t>
                  </m:r>
                </m:e>
                <m:sub>
                  <m:r>
                    <w:rPr>
                      <w:rFonts w:ascii="Cambria Math" w:hAnsi="Cambria Math" w:cs="Arial"/>
                    </w:rPr>
                    <m:t>m</m:t>
                  </m:r>
                </m:sub>
              </m:sSub>
            </m:oMath>
            <w:r w:rsidR="00B430B1" w:rsidRPr="00884F77">
              <w:rPr>
                <w:rFonts w:ascii="Bookman Old Style" w:hAnsi="Bookman Old Style" w:cs="Arial"/>
              </w:rPr>
              <w:t>:</w:t>
            </w:r>
          </w:p>
        </w:tc>
        <w:tc>
          <w:tcPr>
            <w:tcW w:w="7791" w:type="dxa"/>
            <w:gridSpan w:val="2"/>
          </w:tcPr>
          <w:p w:rsidR="00B430B1" w:rsidRPr="00884F77" w:rsidRDefault="00B430B1" w:rsidP="00B430B1">
            <w:pPr>
              <w:ind w:left="0"/>
              <w:jc w:val="both"/>
              <w:rPr>
                <w:rFonts w:ascii="Bookman Old Style" w:hAnsi="Bookman Old Style" w:cs="Arial"/>
              </w:rPr>
            </w:pPr>
            <w:r w:rsidRPr="00884F77">
              <w:rPr>
                <w:rFonts w:ascii="Bookman Old Style" w:hAnsi="Bookman Old Style" w:cs="Arial"/>
                <w:bCs/>
                <w:lang w:val="x-none" w:eastAsia="x-none"/>
              </w:rPr>
              <w:t>C</w:t>
            </w:r>
            <w:r w:rsidRPr="00884F77">
              <w:rPr>
                <w:rFonts w:ascii="Bookman Old Style" w:hAnsi="Bookman Old Style" w:cs="Arial"/>
                <w:bCs/>
                <w:lang w:val="es-CO" w:eastAsia="x-none"/>
              </w:rPr>
              <w:t xml:space="preserve">argo de monitoreo </w:t>
            </w:r>
            <w:r w:rsidRPr="00884F77">
              <w:rPr>
                <w:rFonts w:ascii="Bookman Old Style" w:hAnsi="Bookman Old Style" w:cs="Arial"/>
                <w:bCs/>
                <w:lang w:val="x-none" w:eastAsia="x-none"/>
              </w:rPr>
              <w:t>correspondiente al mes m de prestación del servicio</w:t>
            </w:r>
            <w:r w:rsidRPr="00884F77">
              <w:rPr>
                <w:rFonts w:ascii="Bookman Old Style" w:hAnsi="Bookman Old Style" w:cs="Arial"/>
                <w:spacing w:val="-3"/>
              </w:rPr>
              <w:t xml:space="preserve">, </w:t>
            </w:r>
            <w:r w:rsidRPr="00884F77">
              <w:rPr>
                <w:rFonts w:ascii="Bookman Old Style" w:hAnsi="Bookman Old Style" w:cs="Arial"/>
              </w:rPr>
              <w:t>expresado en pesos por kilovatio hora ($/</w:t>
            </w:r>
            <w:proofErr w:type="spellStart"/>
            <w:r w:rsidRPr="00884F77">
              <w:rPr>
                <w:rFonts w:ascii="Bookman Old Style" w:hAnsi="Bookman Old Style" w:cs="Arial"/>
              </w:rPr>
              <w:t>kWh</w:t>
            </w:r>
            <w:proofErr w:type="spellEnd"/>
            <w:r w:rsidRPr="00884F77">
              <w:rPr>
                <w:rFonts w:ascii="Bookman Old Style" w:hAnsi="Bookman Old Style" w:cs="Arial"/>
              </w:rPr>
              <w:t xml:space="preserve">). </w:t>
            </w:r>
          </w:p>
          <w:p w:rsidR="00C61D3A" w:rsidRPr="00884F77" w:rsidRDefault="00C61D3A" w:rsidP="00BA7ECC">
            <w:pPr>
              <w:ind w:left="0"/>
              <w:rPr>
                <w:rFonts w:ascii="Bookman Old Style" w:hAnsi="Bookman Old Style" w:cs="Arial"/>
              </w:rPr>
            </w:pPr>
          </w:p>
        </w:tc>
      </w:tr>
      <w:tr w:rsidR="00884F77" w:rsidRPr="00884F77" w:rsidTr="00AF3996">
        <w:tc>
          <w:tcPr>
            <w:tcW w:w="988" w:type="dxa"/>
            <w:gridSpan w:val="2"/>
          </w:tcPr>
          <w:p w:rsidR="00C61D3A" w:rsidRPr="00884F77" w:rsidRDefault="008307C2" w:rsidP="00BA7ECC">
            <w:pPr>
              <w:ind w:left="0"/>
              <w:rPr>
                <w:rFonts w:ascii="Bookman Old Style" w:hAnsi="Bookman Old Style" w:cs="Arial"/>
              </w:rPr>
            </w:pPr>
            <m:oMath>
              <m:sSub>
                <m:sSubPr>
                  <m:ctrlPr>
                    <w:rPr>
                      <w:rFonts w:ascii="Cambria Math" w:hAnsi="Cambria Math" w:cs="Arial"/>
                      <w:i/>
                    </w:rPr>
                  </m:ctrlPr>
                </m:sSubPr>
                <m:e>
                  <m:r>
                    <w:rPr>
                      <w:rFonts w:ascii="Cambria Math" w:hAnsi="Cambria Math" w:cs="Arial"/>
                    </w:rPr>
                    <m:t>Itv</m:t>
                  </m:r>
                </m:e>
                <m:sub>
                  <m:r>
                    <w:rPr>
                      <w:rFonts w:ascii="Cambria Math" w:hAnsi="Cambria Math" w:cs="Arial"/>
                    </w:rPr>
                    <m:t>m</m:t>
                  </m:r>
                </m:sub>
              </m:sSub>
            </m:oMath>
            <w:r w:rsidR="00B430B1" w:rsidRPr="00884F77">
              <w:rPr>
                <w:rFonts w:ascii="Bookman Old Style" w:hAnsi="Bookman Old Style" w:cs="Arial"/>
              </w:rPr>
              <w:t>:</w:t>
            </w:r>
          </w:p>
        </w:tc>
        <w:tc>
          <w:tcPr>
            <w:tcW w:w="7791" w:type="dxa"/>
            <w:gridSpan w:val="2"/>
          </w:tcPr>
          <w:p w:rsidR="00B430B1" w:rsidRPr="00884F77" w:rsidRDefault="00B430B1" w:rsidP="00B430B1">
            <w:pPr>
              <w:ind w:left="0"/>
              <w:jc w:val="both"/>
              <w:rPr>
                <w:rFonts w:ascii="Bookman Old Style" w:hAnsi="Bookman Old Style" w:cs="Arial"/>
              </w:rPr>
            </w:pPr>
            <w:r w:rsidRPr="00884F77">
              <w:rPr>
                <w:rFonts w:ascii="Bookman Old Style" w:hAnsi="Bookman Old Style" w:cs="Arial"/>
              </w:rPr>
              <w:t>Cargo de interventoría correspondiente al mes m de prestación del servicio, expresado en pesos por kilovatio hora ($/</w:t>
            </w:r>
            <w:proofErr w:type="spellStart"/>
            <w:r w:rsidRPr="00884F77">
              <w:rPr>
                <w:rFonts w:ascii="Bookman Old Style" w:hAnsi="Bookman Old Style" w:cs="Arial"/>
              </w:rPr>
              <w:t>kWh</w:t>
            </w:r>
            <w:proofErr w:type="spellEnd"/>
            <w:r w:rsidRPr="00884F77">
              <w:rPr>
                <w:rFonts w:ascii="Bookman Old Style" w:hAnsi="Bookman Old Style" w:cs="Arial"/>
              </w:rPr>
              <w:t>).</w:t>
            </w:r>
          </w:p>
          <w:p w:rsidR="001A26A2" w:rsidRPr="00884F77" w:rsidRDefault="001A26A2" w:rsidP="00BA7ECC">
            <w:pPr>
              <w:ind w:left="0"/>
              <w:rPr>
                <w:rFonts w:ascii="Bookman Old Style" w:hAnsi="Bookman Old Style" w:cs="Arial"/>
              </w:rPr>
            </w:pPr>
          </w:p>
        </w:tc>
      </w:tr>
      <w:tr w:rsidR="001A26A2" w:rsidRPr="00884F77" w:rsidTr="007458F2">
        <w:tc>
          <w:tcPr>
            <w:tcW w:w="988" w:type="dxa"/>
            <w:gridSpan w:val="2"/>
          </w:tcPr>
          <w:p w:rsidR="001A26A2" w:rsidRPr="00884F77" w:rsidRDefault="008307C2" w:rsidP="007458F2">
            <w:pPr>
              <w:ind w:left="0"/>
              <w:rPr>
                <w:rFonts w:ascii="Bookman Old Style" w:hAnsi="Bookman Old Style" w:cs="Arial"/>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001A26A2" w:rsidRPr="00884F77">
              <w:rPr>
                <w:rFonts w:ascii="Bookman Old Style" w:hAnsi="Bookman Old Style" w:cs="Arial"/>
              </w:rPr>
              <w:t>:</w:t>
            </w:r>
          </w:p>
        </w:tc>
        <w:tc>
          <w:tcPr>
            <w:tcW w:w="7791" w:type="dxa"/>
            <w:gridSpan w:val="2"/>
          </w:tcPr>
          <w:p w:rsidR="001A26A2" w:rsidRDefault="001A26A2" w:rsidP="007458F2">
            <w:pPr>
              <w:ind w:left="0" w:right="-29"/>
              <w:jc w:val="both"/>
              <w:rPr>
                <w:rFonts w:ascii="Bookman Old Style" w:hAnsi="Bookman Old Style" w:cs="Arial"/>
              </w:rPr>
            </w:pPr>
            <w:r w:rsidRPr="00884F77">
              <w:rPr>
                <w:rFonts w:ascii="Bookman Old Style" w:hAnsi="Bookman Old Style" w:cs="Arial"/>
              </w:rPr>
              <w:t>Ahorro en los costos de combustibles de origen fósil, ya sea por la incorporación de equipos que mejoren la eficiencia de las plantas de generación, por el reemplazo de alguna de éstas o por la sustitución de combustible o de tecnología, en el mes m, expresado en pesos por kilovatio hora ($/</w:t>
            </w:r>
            <w:proofErr w:type="spellStart"/>
            <w:r w:rsidRPr="00884F77">
              <w:rPr>
                <w:rFonts w:ascii="Bookman Old Style" w:hAnsi="Bookman Old Style" w:cs="Arial"/>
              </w:rPr>
              <w:t>kWh</w:t>
            </w:r>
            <w:proofErr w:type="spellEnd"/>
            <w:r w:rsidRPr="00884F77">
              <w:rPr>
                <w:rFonts w:ascii="Bookman Old Style" w:hAnsi="Bookman Old Style" w:cs="Arial"/>
              </w:rPr>
              <w:t>), calculado de la siguiente manera:</w:t>
            </w:r>
          </w:p>
          <w:p w:rsidR="0070227B" w:rsidRPr="00884F77" w:rsidRDefault="0070227B" w:rsidP="007458F2">
            <w:pPr>
              <w:ind w:left="0" w:right="-29"/>
              <w:jc w:val="both"/>
              <w:rPr>
                <w:rFonts w:ascii="Bookman Old Style" w:hAnsi="Bookman Old Style" w:cs="Arial"/>
              </w:rPr>
            </w:pPr>
          </w:p>
          <w:p w:rsidR="001A26A2" w:rsidRPr="00884F77" w:rsidRDefault="001A26A2" w:rsidP="007458F2">
            <w:pPr>
              <w:tabs>
                <w:tab w:val="left" w:pos="284"/>
                <w:tab w:val="left" w:pos="426"/>
              </w:tabs>
              <w:ind w:left="1134" w:right="-29" w:hanging="1134"/>
              <w:jc w:val="both"/>
              <w:rPr>
                <w:rFonts w:ascii="Bookman Old Style" w:hAnsi="Bookman Old Style" w:cs="Arial"/>
              </w:rPr>
            </w:pPr>
          </w:p>
          <w:p w:rsidR="001A26A2" w:rsidRPr="00884F77" w:rsidRDefault="008307C2" w:rsidP="007458F2">
            <w:pPr>
              <w:ind w:left="1134" w:right="-29"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r>
                      <w:rPr>
                        <w:rFonts w:ascii="Cambria Math" w:hAnsi="Cambria Math" w:cs="Arial"/>
                      </w:rPr>
                      <m:t>α</m:t>
                    </m:r>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nary>
                  <m:naryPr>
                    <m:chr m:val="∑"/>
                    <m:limLoc m:val="subSup"/>
                    <m:ctrlPr>
                      <w:rPr>
                        <w:rFonts w:ascii="Cambria Math" w:hAnsi="Cambria Math" w:cs="Arial"/>
                        <w:i/>
                      </w:rPr>
                    </m:ctrlPr>
                  </m:naryPr>
                  <m:sub>
                    <m:r>
                      <w:rPr>
                        <w:rFonts w:ascii="Cambria Math" w:hAnsi="Cambria Math" w:cs="Arial"/>
                      </w:rPr>
                      <m:t>j=1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(CEC</m:t>
                        </m:r>
                      </m:e>
                      <m:sub>
                        <m:r>
                          <w:rPr>
                            <w:rFonts w:ascii="Cambria Math" w:hAnsi="Cambria Math" w:cs="Arial"/>
                          </w:rPr>
                          <m:t>i,j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PC</m:t>
                        </m:r>
                      </m:e>
                      <m:sub>
                        <m:r>
                          <w:rPr>
                            <w:rFonts w:ascii="Cambria Math" w:hAnsi="Cambria Math" w:cs="Arial"/>
                          </w:rPr>
                          <m:t>i,m</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CEC</m:t>
                        </m:r>
                      </m:e>
                      <m:sub>
                        <m:r>
                          <w:rPr>
                            <w:rFonts w:ascii="Cambria Math" w:hAnsi="Cambria Math" w:cs="Arial"/>
                          </w:rPr>
                          <m:t>f,j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PC</m:t>
                        </m:r>
                      </m:e>
                      <m:sub>
                        <m:r>
                          <w:rPr>
                            <w:rFonts w:ascii="Cambria Math" w:hAnsi="Cambria Math" w:cs="Arial"/>
                          </w:rPr>
                          <m:t>f,m</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e>
                </m:nary>
              </m:oMath>
            </m:oMathPara>
          </w:p>
          <w:p w:rsidR="001A26A2" w:rsidRPr="00884F77" w:rsidRDefault="001A26A2" w:rsidP="007458F2">
            <w:pPr>
              <w:ind w:left="0" w:right="335"/>
              <w:rPr>
                <w:rFonts w:ascii="Bookman Old Style" w:hAnsi="Bookman Old Style" w:cs="Arial"/>
              </w:rPr>
            </w:pPr>
          </w:p>
          <w:p w:rsidR="001A26A2" w:rsidRPr="00884F77" w:rsidRDefault="001A26A2" w:rsidP="007458F2">
            <w:pPr>
              <w:ind w:left="142" w:right="335"/>
              <w:rPr>
                <w:rFonts w:ascii="Bookman Old Style" w:hAnsi="Bookman Old Style" w:cs="Arial"/>
              </w:rPr>
            </w:pPr>
            <w:r w:rsidRPr="00884F77">
              <w:rPr>
                <w:rFonts w:ascii="Bookman Old Style" w:hAnsi="Bookman Old Style" w:cs="Arial"/>
              </w:rPr>
              <w:t>Donde:</w:t>
            </w:r>
          </w:p>
          <w:p w:rsidR="001A26A2" w:rsidRDefault="001A26A2" w:rsidP="007458F2">
            <w:pPr>
              <w:ind w:left="0" w:right="335"/>
              <w:rPr>
                <w:rFonts w:ascii="Bookman Old Style" w:hAnsi="Bookman Old Style" w:cs="Arial"/>
              </w:rPr>
            </w:pPr>
          </w:p>
          <w:p w:rsidR="0070227B" w:rsidRPr="00884F77" w:rsidRDefault="0070227B" w:rsidP="007458F2">
            <w:pPr>
              <w:ind w:left="0" w:right="335"/>
              <w:rPr>
                <w:rFonts w:ascii="Bookman Old Style" w:hAnsi="Bookman Old Style" w:cs="Arial"/>
              </w:rPr>
            </w:pPr>
          </w:p>
          <w:p w:rsidR="001A26A2" w:rsidRDefault="008307C2" w:rsidP="007458F2">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w:r w:rsidR="001A26A2" w:rsidRPr="00884F77">
              <w:rPr>
                <w:rFonts w:ascii="Bookman Old Style" w:hAnsi="Bookman Old Style" w:cs="Arial"/>
              </w:rPr>
              <w:t>:</w:t>
            </w:r>
            <w:r w:rsidR="001A26A2" w:rsidRPr="00884F77">
              <w:rPr>
                <w:rFonts w:ascii="Bookman Old Style" w:hAnsi="Bookman Old Style" w:cs="Arial"/>
              </w:rPr>
              <w:tab/>
              <w:t>Energía total entregada al sistema de distribución en el mes m-1, por las n plantas reemplazadas, con sustitución de combustible o de tecnología. Este valor se expresa en kilovatios hora (</w:t>
            </w:r>
            <w:proofErr w:type="spellStart"/>
            <w:r w:rsidR="001A26A2" w:rsidRPr="00884F77">
              <w:rPr>
                <w:rFonts w:ascii="Bookman Old Style" w:hAnsi="Bookman Old Style" w:cs="Arial"/>
              </w:rPr>
              <w:t>kWh</w:t>
            </w:r>
            <w:proofErr w:type="spellEnd"/>
            <w:r w:rsidR="001A26A2" w:rsidRPr="00884F77">
              <w:rPr>
                <w:rFonts w:ascii="Bookman Old Style" w:hAnsi="Bookman Old Style" w:cs="Arial"/>
              </w:rPr>
              <w:t>) y será medido en bornes del generador.</w:t>
            </w:r>
          </w:p>
          <w:p w:rsidR="00C8712B" w:rsidRPr="00C8712B" w:rsidRDefault="00C8712B" w:rsidP="007458F2">
            <w:pPr>
              <w:ind w:left="1134" w:hanging="993"/>
              <w:jc w:val="both"/>
              <w:rPr>
                <w:rFonts w:ascii="Bookman Old Style" w:hAnsi="Bookman Old Style" w:cs="Arial"/>
                <w:sz w:val="18"/>
              </w:rPr>
            </w:pPr>
          </w:p>
          <w:p w:rsidR="00C8712B" w:rsidRPr="00884F77" w:rsidRDefault="001A26A2" w:rsidP="00C8712B">
            <w:pPr>
              <w:ind w:left="1134" w:hanging="951"/>
              <w:jc w:val="both"/>
              <w:rPr>
                <w:rFonts w:ascii="Bookman Old Style" w:hAnsi="Bookman Old Style"/>
              </w:rPr>
            </w:pPr>
            <m:oMath>
              <m:r>
                <w:rPr>
                  <w:rFonts w:ascii="Cambria Math" w:hAnsi="Cambria Math" w:cs="Arial"/>
                </w:rPr>
                <m:t>α</m:t>
              </m:r>
            </m:oMath>
            <w:r w:rsidRPr="00884F77">
              <w:rPr>
                <w:rFonts w:ascii="Bookman Old Style" w:hAnsi="Bookman Old Style" w:cs="Arial"/>
              </w:rPr>
              <w:t>:</w:t>
            </w:r>
            <w:r w:rsidRPr="00884F77">
              <w:rPr>
                <w:rFonts w:ascii="Bookman Old Style" w:hAnsi="Bookman Old Style" w:cs="Arial"/>
              </w:rPr>
              <w:tab/>
            </w:r>
            <w:r w:rsidR="00C8712B" w:rsidRPr="00884F77">
              <w:rPr>
                <w:rFonts w:ascii="Bookman Old Style" w:hAnsi="Bookman Old Style"/>
              </w:rPr>
              <w:t xml:space="preserve">Factor de ahorro determinado por el Ministerio de           Minas y Energía y estipulado </w:t>
            </w:r>
            <w:r w:rsidR="00C8712B">
              <w:rPr>
                <w:rFonts w:ascii="Bookman Old Style" w:hAnsi="Bookman Old Style"/>
              </w:rPr>
              <w:t>por proyecto en el contrato</w:t>
            </w:r>
            <w:r w:rsidR="00C8712B" w:rsidRPr="00884F77">
              <w:rPr>
                <w:rFonts w:ascii="Bookman Old Style" w:hAnsi="Bookman Old Style"/>
              </w:rPr>
              <w:t xml:space="preserve">. Este factor podrá tomar valores </w:t>
            </w:r>
            <w:r w:rsidR="00C8712B">
              <w:rPr>
                <w:rFonts w:ascii="Bookman Old Style" w:hAnsi="Bookman Old Style"/>
              </w:rPr>
              <w:t xml:space="preserve">mayores que </w:t>
            </w:r>
            <w:r w:rsidR="00C8712B" w:rsidRPr="00884F77">
              <w:rPr>
                <w:rFonts w:ascii="Bookman Old Style" w:hAnsi="Bookman Old Style"/>
              </w:rPr>
              <w:t xml:space="preserve">cero (0) </w:t>
            </w:r>
            <w:r w:rsidR="00C8712B">
              <w:rPr>
                <w:rFonts w:ascii="Bookman Old Style" w:hAnsi="Bookman Old Style"/>
              </w:rPr>
              <w:t xml:space="preserve">y menores que </w:t>
            </w:r>
            <w:r w:rsidR="00C8712B" w:rsidRPr="00884F77">
              <w:rPr>
                <w:rFonts w:ascii="Bookman Old Style" w:hAnsi="Bookman Old Style"/>
              </w:rPr>
              <w:t>uno (1).</w:t>
            </w:r>
          </w:p>
          <w:p w:rsidR="001A26A2" w:rsidRPr="00C8712B" w:rsidRDefault="001A26A2" w:rsidP="007458F2">
            <w:pPr>
              <w:ind w:left="1134" w:hanging="951"/>
              <w:jc w:val="both"/>
              <w:rPr>
                <w:rFonts w:ascii="Bookman Old Style" w:hAnsi="Bookman Old Style"/>
                <w:sz w:val="16"/>
              </w:rPr>
            </w:pPr>
          </w:p>
          <w:p w:rsidR="001A26A2" w:rsidRPr="00884F77" w:rsidRDefault="001A26A2" w:rsidP="007458F2">
            <w:pPr>
              <w:ind w:left="1134" w:hanging="951"/>
              <w:jc w:val="both"/>
              <w:rPr>
                <w:rFonts w:ascii="Bookman Old Style" w:hAnsi="Bookman Old Style"/>
              </w:rPr>
            </w:pPr>
            <m:oMath>
              <m:r>
                <w:rPr>
                  <w:rFonts w:ascii="Cambria Math" w:hAnsi="Cambria Math" w:cs="Arial"/>
                </w:rPr>
                <m:t>k</m:t>
              </m:r>
            </m:oMath>
            <w:r w:rsidRPr="00884F77">
              <w:rPr>
                <w:rFonts w:ascii="Bookman Old Style" w:hAnsi="Bookman Old Style" w:cs="Arial"/>
              </w:rPr>
              <w:t>:</w:t>
            </w:r>
            <w:r w:rsidRPr="00884F77">
              <w:rPr>
                <w:rFonts w:ascii="Bookman Old Style" w:hAnsi="Bookman Old Style" w:cs="Arial"/>
              </w:rPr>
              <w:tab/>
            </w:r>
            <w:r w:rsidRPr="00884F77">
              <w:rPr>
                <w:rFonts w:ascii="Bookman Old Style" w:hAnsi="Bookman Old Style"/>
              </w:rPr>
              <w:t>Número de plantas que fueron reemplazadas o para las cuales se sustituyeron combustibles por otros más económicos.</w:t>
            </w:r>
          </w:p>
          <w:p w:rsidR="001A26A2" w:rsidRPr="00C8712B" w:rsidRDefault="001A26A2" w:rsidP="007458F2">
            <w:pPr>
              <w:ind w:left="0"/>
              <w:jc w:val="both"/>
              <w:rPr>
                <w:rFonts w:ascii="Bookman Old Style" w:hAnsi="Bookman Old Style" w:cs="Arial"/>
                <w:sz w:val="14"/>
              </w:rPr>
            </w:pPr>
          </w:p>
          <w:p w:rsidR="001A26A2" w:rsidRPr="00884F77" w:rsidRDefault="001A26A2" w:rsidP="007458F2">
            <w:pPr>
              <w:tabs>
                <w:tab w:val="left" w:pos="1134"/>
                <w:tab w:val="left" w:pos="1701"/>
              </w:tabs>
              <w:ind w:left="142" w:firstLine="41"/>
              <w:jc w:val="both"/>
              <w:rPr>
                <w:rFonts w:ascii="Bookman Old Style" w:hAnsi="Bookman Old Style"/>
              </w:rPr>
            </w:pPr>
            <m:oMath>
              <m:r>
                <w:rPr>
                  <w:rFonts w:ascii="Cambria Math" w:hAnsi="Cambria Math" w:cs="Arial"/>
                </w:rPr>
                <m:t>j</m:t>
              </m:r>
            </m:oMath>
            <w:r w:rsidRPr="00884F77">
              <w:rPr>
                <w:rFonts w:ascii="Bookman Old Style" w:hAnsi="Bookman Old Style" w:cs="Arial"/>
              </w:rPr>
              <w:t>:</w:t>
            </w:r>
            <w:r w:rsidRPr="00884F77">
              <w:rPr>
                <w:rFonts w:ascii="Bookman Old Style" w:hAnsi="Bookman Old Style" w:cs="Arial"/>
              </w:rPr>
              <w:tab/>
            </w:r>
            <w:r w:rsidRPr="00884F77">
              <w:rPr>
                <w:rFonts w:ascii="Bookman Old Style" w:hAnsi="Bookman Old Style"/>
              </w:rPr>
              <w:t>Planta j del parque de generación.</w:t>
            </w:r>
          </w:p>
          <w:p w:rsidR="001A26A2" w:rsidRPr="00C8712B" w:rsidRDefault="001A26A2" w:rsidP="007458F2">
            <w:pPr>
              <w:ind w:left="0"/>
              <w:jc w:val="both"/>
              <w:rPr>
                <w:rFonts w:ascii="Bookman Old Style" w:hAnsi="Bookman Old Style" w:cs="Arial"/>
                <w:sz w:val="18"/>
              </w:rPr>
            </w:pPr>
          </w:p>
          <w:p w:rsidR="001A26A2" w:rsidRPr="00884F77" w:rsidRDefault="008307C2" w:rsidP="007458F2">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i,j</m:t>
                  </m:r>
                </m:sub>
              </m:sSub>
            </m:oMath>
            <w:r w:rsidR="001A26A2" w:rsidRPr="00884F77">
              <w:rPr>
                <w:rFonts w:ascii="Bookman Old Style" w:hAnsi="Bookman Old Style" w:cs="Arial"/>
              </w:rPr>
              <w:t>:</w:t>
            </w:r>
            <w:r w:rsidR="001A26A2" w:rsidRPr="00884F77">
              <w:rPr>
                <w:rFonts w:ascii="Bookman Old Style" w:hAnsi="Bookman Old Style" w:cs="Arial"/>
              </w:rPr>
              <w:tab/>
              <w:t>Consumo específico de combustible inicial de origen fósil de la planta j que es adecuada, reemplazada o cuyo combustible es sustituido por uno más económico. Esta variable se expresa en millones de BTU por kilovatio hora (MBTU/</w:t>
            </w:r>
            <w:proofErr w:type="spellStart"/>
            <w:r w:rsidR="001A26A2" w:rsidRPr="00884F77">
              <w:rPr>
                <w:rFonts w:ascii="Bookman Old Style" w:hAnsi="Bookman Old Style" w:cs="Arial"/>
              </w:rPr>
              <w:t>kWh</w:t>
            </w:r>
            <w:proofErr w:type="spellEnd"/>
            <w:r w:rsidR="001A26A2" w:rsidRPr="00884F77">
              <w:rPr>
                <w:rFonts w:ascii="Bookman Old Style" w:hAnsi="Bookman Old Style" w:cs="Arial"/>
              </w:rPr>
              <w:t>). En caso de que la planta utilice diésel No. 2 o diésel No. 6 como combustible, este consumo será expresado en galones por kilovatio hora (gal/</w:t>
            </w:r>
            <w:proofErr w:type="spellStart"/>
            <w:r w:rsidR="001A26A2" w:rsidRPr="00884F77">
              <w:rPr>
                <w:rFonts w:ascii="Bookman Old Style" w:hAnsi="Bookman Old Style" w:cs="Arial"/>
              </w:rPr>
              <w:t>kWh</w:t>
            </w:r>
            <w:proofErr w:type="spellEnd"/>
            <w:r w:rsidR="001A26A2" w:rsidRPr="00884F77">
              <w:rPr>
                <w:rFonts w:ascii="Bookman Old Style" w:hAnsi="Bookman Old Style" w:cs="Arial"/>
              </w:rPr>
              <w:t>). El valor de esta variable será el ofertado por el adjudicatario de la obligación de prestación del servicio, para cada planta j, en la propuesta que presente en el proceso competitivo. El consumo específico de combustible será calculado en bornes del generador. En caso de ser necesaria la aplicación de una equivalencia calorífica, ésta será determinada por el Ministerio de Minas y Energía.</w:t>
            </w:r>
          </w:p>
          <w:p w:rsidR="001A26A2" w:rsidRPr="00884F77" w:rsidRDefault="001A26A2" w:rsidP="007458F2">
            <w:pPr>
              <w:ind w:left="0"/>
              <w:jc w:val="both"/>
              <w:rPr>
                <w:rFonts w:ascii="Bookman Old Style" w:hAnsi="Bookman Old Style" w:cs="Arial"/>
              </w:rPr>
            </w:pPr>
          </w:p>
          <w:p w:rsidR="001A26A2" w:rsidRPr="00884F77" w:rsidRDefault="008307C2" w:rsidP="007458F2">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f,j</m:t>
                  </m:r>
                </m:sub>
              </m:sSub>
            </m:oMath>
            <w:r w:rsidR="001A26A2" w:rsidRPr="00884F77">
              <w:rPr>
                <w:rFonts w:ascii="Bookman Old Style" w:hAnsi="Bookman Old Style" w:cs="Arial"/>
              </w:rPr>
              <w:t>:</w:t>
            </w:r>
            <w:r w:rsidR="001A26A2" w:rsidRPr="00884F77">
              <w:rPr>
                <w:rFonts w:ascii="Bookman Old Style" w:hAnsi="Bookman Old Style" w:cs="Arial"/>
              </w:rPr>
              <w:tab/>
              <w:t>Consumo específico de combustible final de origen fósil de la planta j que sustituye a la que es adecuada, reemplazada o cuyo combustible es sustituido por uno más económico. Esta variable se expresa en millones de BTU por kilovatio hora (MBTU/</w:t>
            </w:r>
            <w:proofErr w:type="spellStart"/>
            <w:r w:rsidR="001A26A2" w:rsidRPr="00884F77">
              <w:rPr>
                <w:rFonts w:ascii="Bookman Old Style" w:hAnsi="Bookman Old Style" w:cs="Arial"/>
              </w:rPr>
              <w:t>kWh</w:t>
            </w:r>
            <w:proofErr w:type="spellEnd"/>
            <w:r w:rsidR="001A26A2" w:rsidRPr="00884F77">
              <w:rPr>
                <w:rFonts w:ascii="Bookman Old Style" w:hAnsi="Bookman Old Style" w:cs="Arial"/>
              </w:rPr>
              <w:t>). En caso de que la planta utilice diésel No. 2 o diésel No. 6 como combustible, este consumo será expresado en galones por kilovatio hora (gal/</w:t>
            </w:r>
            <w:proofErr w:type="spellStart"/>
            <w:r w:rsidR="001A26A2" w:rsidRPr="00884F77">
              <w:rPr>
                <w:rFonts w:ascii="Bookman Old Style" w:hAnsi="Bookman Old Style" w:cs="Arial"/>
              </w:rPr>
              <w:t>kWh</w:t>
            </w:r>
            <w:proofErr w:type="spellEnd"/>
            <w:r w:rsidR="001A26A2" w:rsidRPr="00884F77">
              <w:rPr>
                <w:rFonts w:ascii="Bookman Old Style" w:hAnsi="Bookman Old Style" w:cs="Arial"/>
              </w:rPr>
              <w:t>). El valor de esta variable será el propuesto por el adjudicatario de la obligación de prestación del servicio, para cada planta j, durante la ejecución del contrato. El consumo específico de combustible será calculado en bornes del generador. En caso de ser necesaria la aplicación de una equivalencia calorífica, ésta será determinada por el Ministerio de Minas y Energía.</w:t>
            </w:r>
          </w:p>
          <w:p w:rsidR="001A26A2" w:rsidRPr="00884F77" w:rsidRDefault="001A26A2" w:rsidP="007458F2">
            <w:pPr>
              <w:ind w:left="1134" w:hanging="993"/>
              <w:jc w:val="both"/>
              <w:rPr>
                <w:rFonts w:ascii="Bookman Old Style" w:hAnsi="Bookman Old Style" w:cs="Arial"/>
              </w:rPr>
            </w:pPr>
          </w:p>
          <w:p w:rsidR="001A26A2" w:rsidRPr="00884F77" w:rsidRDefault="008307C2" w:rsidP="007458F2">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PC</m:t>
                  </m:r>
                </m:e>
                <m:sub>
                  <m:r>
                    <w:rPr>
                      <w:rFonts w:ascii="Cambria Math" w:hAnsi="Cambria Math" w:cs="Arial"/>
                    </w:rPr>
                    <m:t>i,m</m:t>
                  </m:r>
                </m:sub>
              </m:sSub>
            </m:oMath>
            <w:r w:rsidR="001A26A2" w:rsidRPr="00884F77">
              <w:rPr>
                <w:rFonts w:ascii="Bookman Old Style" w:hAnsi="Bookman Old Style" w:cs="Arial"/>
              </w:rPr>
              <w:t>:</w:t>
            </w:r>
            <w:r w:rsidR="001A26A2" w:rsidRPr="00884F77">
              <w:rPr>
                <w:rFonts w:ascii="Bookman Old Style" w:hAnsi="Bookman Old Style" w:cs="Arial"/>
              </w:rPr>
              <w:tab/>
              <w:t xml:space="preserve">Precio del combustible, puesto en el sitio de la planta j del parque de generación inicial. Esta variable se </w:t>
            </w:r>
            <w:r w:rsidR="001A26A2" w:rsidRPr="00884F77">
              <w:rPr>
                <w:rFonts w:ascii="Bookman Old Style" w:hAnsi="Bookman Old Style" w:cs="Arial"/>
              </w:rPr>
              <w:lastRenderedPageBreak/>
              <w:t>expresa en pesos por millones de BTU ($/MBTU). En caso de que la planta utilizara diésel No. 2 o diésel No. 6 co</w:t>
            </w:r>
            <w:proofErr w:type="spellStart"/>
            <w:r w:rsidR="001A26A2" w:rsidRPr="00884F77">
              <w:rPr>
                <w:rFonts w:ascii="Bookman Old Style" w:hAnsi="Bookman Old Style" w:cs="Arial"/>
              </w:rPr>
              <w:t>mo</w:t>
            </w:r>
            <w:proofErr w:type="spellEnd"/>
            <w:r w:rsidR="001A26A2" w:rsidRPr="00884F77">
              <w:rPr>
                <w:rFonts w:ascii="Bookman Old Style" w:hAnsi="Bookman Old Style" w:cs="Arial"/>
              </w:rPr>
              <w:t xml:space="preserve"> combustible, este consumo será expresado en pesos por galón ($/gal). En caso de ser necesaria la aplicación de una equivalencia calorífica, ésta será determinada por el Ministerio de Minas y Energía.</w:t>
            </w:r>
          </w:p>
          <w:p w:rsidR="001A26A2" w:rsidRPr="00884F77" w:rsidRDefault="001A26A2" w:rsidP="007458F2">
            <w:pPr>
              <w:ind w:left="1134" w:hanging="993"/>
              <w:jc w:val="both"/>
              <w:rPr>
                <w:rFonts w:ascii="Bookman Old Style" w:hAnsi="Bookman Old Style" w:cs="Arial"/>
              </w:rPr>
            </w:pPr>
          </w:p>
          <w:p w:rsidR="001A26A2" w:rsidRPr="00884F77" w:rsidRDefault="008307C2" w:rsidP="007458F2">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PC</m:t>
                  </m:r>
                </m:e>
                <m:sub>
                  <m:r>
                    <w:rPr>
                      <w:rFonts w:ascii="Cambria Math" w:hAnsi="Cambria Math" w:cs="Arial"/>
                    </w:rPr>
                    <m:t>f,m</m:t>
                  </m:r>
                </m:sub>
              </m:sSub>
            </m:oMath>
            <w:r w:rsidR="001A26A2" w:rsidRPr="00884F77">
              <w:rPr>
                <w:rFonts w:ascii="Bookman Old Style" w:hAnsi="Bookman Old Style" w:cs="Arial"/>
              </w:rPr>
              <w:t>:</w:t>
            </w:r>
            <w:r w:rsidR="001A26A2" w:rsidRPr="00884F77">
              <w:rPr>
                <w:rFonts w:ascii="Bookman Old Style" w:hAnsi="Bookman Old Style" w:cs="Arial"/>
              </w:rPr>
              <w:tab/>
              <w:t>Precio del combustible sustituto, puesto en el sitio de la planta j del parque de generación final. Esta variable se expresa en pesos por millones de BTU ($/MBTU). En caso de que la planta utilizara diésel No. 2 o diésel No. 6 como combustible, este consumo será expresado en pesos por galón ($/gal). En caso de ser necesaria la aplicación de una equivalencia calorífica, ésta será determinada por el Ministerio de Minas y Energía.</w:t>
            </w:r>
          </w:p>
          <w:p w:rsidR="001A26A2" w:rsidRPr="00884F77" w:rsidRDefault="001A26A2" w:rsidP="007458F2">
            <w:pPr>
              <w:ind w:left="1134" w:hanging="993"/>
              <w:jc w:val="both"/>
              <w:rPr>
                <w:rFonts w:ascii="Bookman Old Style" w:hAnsi="Bookman Old Style" w:cs="Arial"/>
              </w:rPr>
            </w:pPr>
          </w:p>
          <w:p w:rsidR="001A26A2" w:rsidRPr="00884F77" w:rsidRDefault="008307C2" w:rsidP="007458F2">
            <w:pPr>
              <w:ind w:left="1134" w:hanging="993"/>
              <w:jc w:val="both"/>
              <w:rPr>
                <w:rFonts w:ascii="Bookman Old Style" w:hAnsi="Bookman Old Style"/>
              </w:rPr>
            </w:pPr>
            <m:oMath>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oMath>
            <w:r w:rsidR="001A26A2" w:rsidRPr="00884F77">
              <w:rPr>
                <w:rFonts w:ascii="Bookman Old Style" w:hAnsi="Bookman Old Style"/>
              </w:rPr>
              <w:t>:</w:t>
            </w:r>
            <w:r w:rsidR="001A26A2" w:rsidRPr="00884F77">
              <w:rPr>
                <w:rFonts w:ascii="Bookman Old Style" w:hAnsi="Bookman Old Style"/>
              </w:rPr>
              <w:tab/>
              <w:t>Energía entregada al sistema de distribución, en el mes m-1, por la planta j del parque de generación que fue adecuada, reemplazada o cuyo combustible fue sustituido por uno más económico. Esta variable se expresa en kilovatios hora (</w:t>
            </w:r>
            <w:proofErr w:type="spellStart"/>
            <w:r w:rsidR="001A26A2" w:rsidRPr="00884F77">
              <w:rPr>
                <w:rFonts w:ascii="Bookman Old Style" w:hAnsi="Bookman Old Style"/>
              </w:rPr>
              <w:t>kWh</w:t>
            </w:r>
            <w:proofErr w:type="spellEnd"/>
            <w:r w:rsidR="001A26A2" w:rsidRPr="00884F77">
              <w:rPr>
                <w:rFonts w:ascii="Bookman Old Style" w:hAnsi="Bookman Old Style"/>
              </w:rPr>
              <w:t>) y será medida en bornes del generador.</w:t>
            </w:r>
          </w:p>
        </w:tc>
      </w:tr>
    </w:tbl>
    <w:p w:rsidR="001A26A2" w:rsidRPr="00884F77" w:rsidRDefault="001A26A2" w:rsidP="009A750E">
      <w:pPr>
        <w:ind w:left="142"/>
        <w:jc w:val="both"/>
        <w:rPr>
          <w:rFonts w:ascii="Bookman Old Style" w:hAnsi="Bookman Old Style" w:cs="Arial"/>
          <w:b/>
        </w:rPr>
      </w:pPr>
    </w:p>
    <w:p w:rsidR="002759F4" w:rsidRPr="00884F77" w:rsidRDefault="002759F4" w:rsidP="009A750E">
      <w:pPr>
        <w:ind w:left="142"/>
        <w:jc w:val="both"/>
        <w:rPr>
          <w:rFonts w:ascii="Bookman Old Style" w:hAnsi="Bookman Old Style" w:cs="Arial"/>
        </w:rPr>
      </w:pPr>
      <w:r w:rsidRPr="00884F77">
        <w:rPr>
          <w:rFonts w:ascii="Bookman Old Style" w:hAnsi="Bookman Old Style" w:cs="Arial"/>
          <w:b/>
        </w:rPr>
        <w:t xml:space="preserve">Parágrafo 1. </w:t>
      </w:r>
      <w:r w:rsidRPr="00884F77">
        <w:rPr>
          <w:rFonts w:ascii="Bookman Old Style" w:hAnsi="Bookman Old Style" w:cs="Arial"/>
        </w:rPr>
        <w:t xml:space="preserve">A partir de la entrada en vigencia del cargo de monitoreo, se cobrará el componente </w:t>
      </w:r>
      <m:oMath>
        <m:sSub>
          <m:sSubPr>
            <m:ctrlPr>
              <w:rPr>
                <w:rFonts w:ascii="Cambria Math" w:hAnsi="Cambria Math"/>
                <w:i/>
                <w:szCs w:val="22"/>
              </w:rPr>
            </m:ctrlPr>
          </m:sSubPr>
          <m:e>
            <m:r>
              <w:rPr>
                <w:rFonts w:ascii="Cambria Math" w:hAnsi="Cambria Math"/>
                <w:szCs w:val="22"/>
              </w:rPr>
              <m:t>TM</m:t>
            </m:r>
          </m:e>
          <m:sub>
            <m:r>
              <w:rPr>
                <w:rFonts w:ascii="Cambria Math" w:hAnsi="Cambria Math"/>
                <w:szCs w:val="22"/>
              </w:rPr>
              <m:t>m</m:t>
            </m:r>
          </m:sub>
        </m:sSub>
      </m:oMath>
      <w:r w:rsidRPr="00884F77">
        <w:rPr>
          <w:rFonts w:ascii="Bookman Old Style" w:hAnsi="Bookman Old Style" w:cs="Arial"/>
        </w:rPr>
        <w:t xml:space="preserve"> incluido en la fórmula tarifaria general. Este componente</w:t>
      </w:r>
      <w:r w:rsidR="0075252C" w:rsidRPr="00884F77">
        <w:rPr>
          <w:rFonts w:ascii="Bookman Old Style" w:hAnsi="Bookman Old Style" w:cs="Arial"/>
        </w:rPr>
        <w:t xml:space="preserve"> será igual a cero hasta tanto </w:t>
      </w:r>
      <w:r w:rsidRPr="00884F77">
        <w:rPr>
          <w:rFonts w:ascii="Bookman Old Style" w:hAnsi="Bookman Old Style" w:cs="Arial"/>
        </w:rPr>
        <w:t>sea aprobado por la Comisión de Regulación de Energía y Gas mediante resolución posterior. La Comisión de Regulación de Energía y Gas podrá revisar y ajustar el cargo de monitoreo, cuando lo considere necesario.</w:t>
      </w:r>
    </w:p>
    <w:p w:rsidR="002759F4" w:rsidRPr="00884F77" w:rsidRDefault="002759F4" w:rsidP="002759F4">
      <w:pPr>
        <w:pStyle w:val="Textoindependiente"/>
        <w:tabs>
          <w:tab w:val="left" w:pos="858"/>
        </w:tabs>
        <w:jc w:val="both"/>
        <w:rPr>
          <w:rFonts w:ascii="Bookman Old Style" w:hAnsi="Bookman Old Style"/>
          <w:b w:val="0"/>
        </w:rPr>
      </w:pPr>
    </w:p>
    <w:p w:rsidR="002759F4" w:rsidRPr="00884F77" w:rsidRDefault="002759F4" w:rsidP="009A750E">
      <w:pPr>
        <w:ind w:left="142"/>
        <w:jc w:val="both"/>
        <w:rPr>
          <w:rFonts w:ascii="Bookman Old Style" w:hAnsi="Bookman Old Style" w:cs="Arial"/>
          <w:bCs/>
        </w:rPr>
      </w:pPr>
      <w:r w:rsidRPr="00884F77">
        <w:rPr>
          <w:rFonts w:ascii="Bookman Old Style" w:hAnsi="Bookman Old Style" w:cs="Arial"/>
          <w:b/>
        </w:rPr>
        <w:t>Parágrafo 2.</w:t>
      </w:r>
      <w:r w:rsidRPr="00884F77">
        <w:rPr>
          <w:rFonts w:ascii="Bookman Old Style" w:hAnsi="Bookman Old Style" w:cs="Arial"/>
          <w:bCs/>
        </w:rPr>
        <w:t xml:space="preserve"> Los adjudicatarios deberán instalar equipos de medición a distancia, los cuales deberán contar con parámetros de medición compatibles con el Centro Nacional de Monitoreo (CNM) o quien haga sus veces.</w:t>
      </w:r>
    </w:p>
    <w:p w:rsidR="00936101" w:rsidRPr="00884F77" w:rsidRDefault="00936101" w:rsidP="009B23D1">
      <w:pPr>
        <w:pStyle w:val="Textoindependiente"/>
        <w:jc w:val="left"/>
        <w:rPr>
          <w:rFonts w:ascii="Bookman Old Style" w:hAnsi="Bookman Old Style"/>
        </w:rPr>
      </w:pPr>
    </w:p>
    <w:p w:rsidR="006C0306" w:rsidRPr="00884F77" w:rsidRDefault="00811C0F" w:rsidP="009A750E">
      <w:pPr>
        <w:tabs>
          <w:tab w:val="left" w:pos="1134"/>
        </w:tabs>
        <w:ind w:left="142"/>
        <w:jc w:val="both"/>
        <w:rPr>
          <w:rFonts w:ascii="Bookman Old Style" w:hAnsi="Bookman Old Style" w:cs="Arial"/>
        </w:rPr>
      </w:pPr>
      <w:r w:rsidRPr="00884F77">
        <w:rPr>
          <w:rFonts w:ascii="Bookman Old Style" w:hAnsi="Bookman Old Style" w:cs="Arial"/>
          <w:b/>
        </w:rPr>
        <w:t xml:space="preserve">Parágrafo </w:t>
      </w:r>
      <w:r w:rsidR="006C0306" w:rsidRPr="00884F77">
        <w:rPr>
          <w:rFonts w:ascii="Bookman Old Style" w:hAnsi="Bookman Old Style" w:cs="Arial"/>
          <w:b/>
        </w:rPr>
        <w:t>3</w:t>
      </w:r>
      <w:r w:rsidRPr="00884F77">
        <w:rPr>
          <w:rFonts w:ascii="Bookman Old Style" w:hAnsi="Bookman Old Style" w:cs="Arial"/>
          <w:b/>
        </w:rPr>
        <w:t xml:space="preserve">. </w:t>
      </w:r>
      <w:r w:rsidR="006C0306" w:rsidRPr="00884F77">
        <w:rPr>
          <w:rFonts w:ascii="Bookman Old Style" w:hAnsi="Bookman Old Style" w:cs="Arial"/>
          <w:bCs/>
          <w:lang w:val="es-CO"/>
        </w:rPr>
        <w:t xml:space="preserve">El componente  </w:t>
      </w:r>
      <m:oMath>
        <m:sSub>
          <m:sSubPr>
            <m:ctrlPr>
              <w:rPr>
                <w:rFonts w:ascii="Cambria Math" w:hAnsi="Cambria Math" w:cs="Arial"/>
                <w:i/>
              </w:rPr>
            </m:ctrlPr>
          </m:sSubPr>
          <m:e>
            <m:r>
              <w:rPr>
                <w:rFonts w:ascii="Cambria Math" w:hAnsi="Cambria Math" w:cs="Arial"/>
              </w:rPr>
              <m:t>Gc</m:t>
            </m:r>
          </m:e>
          <m:sub>
            <m:r>
              <w:rPr>
                <w:rFonts w:ascii="Cambria Math" w:hAnsi="Cambria Math" w:cs="Arial"/>
              </w:rPr>
              <m:t xml:space="preserve">m </m:t>
            </m:r>
          </m:sub>
        </m:sSub>
      </m:oMath>
      <w:r w:rsidR="006C0306" w:rsidRPr="00884F77">
        <w:rPr>
          <w:rFonts w:ascii="Bookman Old Style" w:hAnsi="Bookman Old Style" w:cs="Arial"/>
        </w:rPr>
        <w:t xml:space="preserve"> </w:t>
      </w:r>
      <w:r w:rsidR="006C0306" w:rsidRPr="00884F77">
        <w:rPr>
          <w:rFonts w:ascii="Bookman Old Style" w:hAnsi="Bookman Old Style" w:cs="Arial"/>
          <w:bCs/>
          <w:lang w:val="es-CO"/>
        </w:rPr>
        <w:t xml:space="preserve">será igual a cero en la fórmula de cálculo de </w:t>
      </w:r>
      <m:oMath>
        <m:sSub>
          <m:sSubPr>
            <m:ctrlPr>
              <w:rPr>
                <w:rFonts w:ascii="Cambria Math" w:hAnsi="Cambria Math" w:cs="Arial"/>
                <w:i/>
              </w:rPr>
            </m:ctrlPr>
          </m:sSubPr>
          <m:e>
            <m:r>
              <w:rPr>
                <w:rFonts w:ascii="Cambria Math" w:hAnsi="Cambria Math" w:cs="Arial"/>
              </w:rPr>
              <m:t>Gm</m:t>
            </m:r>
          </m:e>
          <m:sub>
            <m:r>
              <w:rPr>
                <w:rFonts w:ascii="Cambria Math" w:hAnsi="Cambria Math" w:cs="Arial"/>
              </w:rPr>
              <m:t xml:space="preserve"> </m:t>
            </m:r>
          </m:sub>
        </m:sSub>
      </m:oMath>
      <w:r w:rsidR="006C0306" w:rsidRPr="00884F77">
        <w:rPr>
          <w:rFonts w:ascii="Bookman Old Style" w:hAnsi="Bookman Old Style" w:cs="Arial"/>
        </w:rPr>
        <w:t xml:space="preserve"> cuando este</w:t>
      </w:r>
      <w:r w:rsidR="00315D88" w:rsidRPr="00884F77">
        <w:rPr>
          <w:rFonts w:ascii="Bookman Old Style" w:hAnsi="Bookman Old Style" w:cs="Arial"/>
        </w:rPr>
        <w:t xml:space="preserve"> componente</w:t>
      </w:r>
      <w:r w:rsidR="006C0306" w:rsidRPr="00884F77">
        <w:rPr>
          <w:rFonts w:ascii="Bookman Old Style" w:hAnsi="Bookman Old Style" w:cs="Arial"/>
        </w:rPr>
        <w:t xml:space="preserve"> sea incluido dentro del</w:t>
      </w:r>
      <w:r w:rsidR="006C0306" w:rsidRPr="00884F77">
        <w:rPr>
          <w:rFonts w:ascii="Bookman Old Style" w:hAnsi="Bookman Old Style" w:cs="Arial"/>
          <w:bCs/>
          <w:lang w:val="es-CO"/>
        </w:rPr>
        <w:t xml:space="preserve"> componente </w:t>
      </w:r>
      <m:oMath>
        <m:sSub>
          <m:sSubPr>
            <m:ctrlPr>
              <w:rPr>
                <w:rFonts w:ascii="Cambria Math" w:hAnsi="Cambria Math" w:cs="Arial"/>
                <w:i/>
              </w:rPr>
            </m:ctrlPr>
          </m:sSubPr>
          <m:e>
            <m:r>
              <w:rPr>
                <w:rFonts w:ascii="Cambria Math" w:hAnsi="Cambria Math" w:cs="Arial"/>
              </w:rPr>
              <m:t>IAOM</m:t>
            </m:r>
          </m:e>
          <m:sub>
            <m:r>
              <w:rPr>
                <w:rFonts w:ascii="Cambria Math" w:hAnsi="Cambria Math" w:cs="Arial"/>
              </w:rPr>
              <m:t>m</m:t>
            </m:r>
          </m:sub>
        </m:sSub>
      </m:oMath>
      <w:r w:rsidR="006C0306" w:rsidRPr="00884F77">
        <w:rPr>
          <w:rFonts w:ascii="Bookman Old Style" w:hAnsi="Bookman Old Style" w:cs="Arial"/>
        </w:rPr>
        <w:t xml:space="preserve"> por parte de la autoridad contratante.</w:t>
      </w:r>
    </w:p>
    <w:p w:rsidR="009A750E" w:rsidRPr="00884F77" w:rsidRDefault="009A750E" w:rsidP="009A750E">
      <w:pPr>
        <w:tabs>
          <w:tab w:val="left" w:pos="1134"/>
        </w:tabs>
        <w:ind w:left="142"/>
        <w:jc w:val="both"/>
        <w:rPr>
          <w:rFonts w:ascii="Bookman Old Style" w:hAnsi="Bookman Old Style" w:cs="Arial"/>
          <w:b/>
        </w:rPr>
      </w:pPr>
    </w:p>
    <w:p w:rsidR="009A750E" w:rsidRPr="00884F77" w:rsidRDefault="009A750E" w:rsidP="009A750E">
      <w:pPr>
        <w:tabs>
          <w:tab w:val="left" w:pos="4962"/>
        </w:tabs>
        <w:ind w:left="142"/>
        <w:jc w:val="both"/>
        <w:rPr>
          <w:rFonts w:ascii="Bookman Old Style" w:hAnsi="Bookman Old Style" w:cs="Arial"/>
          <w:bCs/>
        </w:rPr>
      </w:pPr>
      <w:r w:rsidRPr="00884F77">
        <w:rPr>
          <w:rFonts w:ascii="Bookman Old Style" w:hAnsi="Bookman Old Style" w:cs="Arial"/>
          <w:b/>
          <w:bCs/>
        </w:rPr>
        <w:t xml:space="preserve">Parágrafo 4. </w:t>
      </w:r>
      <w:r w:rsidRPr="00884F77">
        <w:rPr>
          <w:rFonts w:ascii="Bookman Old Style" w:hAnsi="Bookman Old Style" w:cs="Arial"/>
          <w:bCs/>
        </w:rPr>
        <w:t>El</w:t>
      </w:r>
      <w:r w:rsidRPr="00884F77">
        <w:rPr>
          <w:rFonts w:ascii="Bookman Old Style" w:hAnsi="Bookman Old Style" w:cs="Arial"/>
          <w:b/>
          <w:bCs/>
        </w:rPr>
        <w:t xml:space="preserve"> </w:t>
      </w:r>
      <w:r w:rsidRPr="00884F77">
        <w:rPr>
          <w:rFonts w:ascii="Bookman Old Style" w:hAnsi="Bookman Old Style" w:cs="Arial"/>
          <w:bCs/>
        </w:rPr>
        <w:t xml:space="preserve">componente </w:t>
      </w: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Pr="00884F77">
        <w:rPr>
          <w:rFonts w:ascii="Bookman Old Style" w:hAnsi="Bookman Old Style" w:cs="Arial"/>
          <w:bCs/>
        </w:rPr>
        <w:t xml:space="preserve"> únicamente se aplicará para aquellas plantas del parque de generación inicial </w:t>
      </w:r>
      <w:r w:rsidRPr="00884F77">
        <w:rPr>
          <w:rFonts w:ascii="Bookman Old Style" w:hAnsi="Bookman Old Style" w:cs="Arial"/>
        </w:rPr>
        <w:t>cuya adecuación, por incorporación de equipos que mejoren la eficiencia, reemplazo o cambio de combustible por uno más económico</w:t>
      </w:r>
      <w:r w:rsidRPr="00884F77">
        <w:rPr>
          <w:rFonts w:ascii="Bookman Old Style" w:hAnsi="Bookman Old Style" w:cs="Arial"/>
          <w:bCs/>
        </w:rPr>
        <w:t xml:space="preserve"> no haya sido incorporado en la oferta del adjudicatario de la obligación de prestación </w:t>
      </w:r>
      <w:r w:rsidR="00C41C42" w:rsidRPr="00884F77">
        <w:rPr>
          <w:rFonts w:ascii="Bookman Old Style" w:hAnsi="Bookman Old Style" w:cs="Arial"/>
          <w:bCs/>
        </w:rPr>
        <w:t xml:space="preserve">de la actividad de generación </w:t>
      </w:r>
      <w:r w:rsidR="000A516C" w:rsidRPr="00884F77">
        <w:rPr>
          <w:rFonts w:ascii="Bookman Old Style" w:hAnsi="Bookman Old Style" w:cs="Arial"/>
          <w:bCs/>
        </w:rPr>
        <w:t>.</w:t>
      </w:r>
      <w:r w:rsidR="00C41C42" w:rsidRPr="00884F77">
        <w:rPr>
          <w:rFonts w:ascii="Bookman Old Style" w:hAnsi="Bookman Old Style" w:cs="Arial"/>
          <w:bCs/>
        </w:rPr>
        <w:t xml:space="preserve"> El componente </w:t>
      </w: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00C41C42" w:rsidRPr="00884F77">
        <w:rPr>
          <w:rFonts w:ascii="Bookman Old Style" w:hAnsi="Bookman Old Style" w:cs="Arial"/>
          <w:bCs/>
        </w:rPr>
        <w:t xml:space="preserve"> será reconocido a quien realice la actividad de generación y haya incurrido en las i</w:t>
      </w:r>
      <w:proofErr w:type="spellStart"/>
      <w:r w:rsidR="00C41C42" w:rsidRPr="00884F77">
        <w:rPr>
          <w:rFonts w:ascii="Bookman Old Style" w:hAnsi="Bookman Old Style" w:cs="Arial"/>
          <w:bCs/>
        </w:rPr>
        <w:t>nversiones</w:t>
      </w:r>
      <w:proofErr w:type="spellEnd"/>
      <w:r w:rsidR="00C41C42" w:rsidRPr="00884F77">
        <w:rPr>
          <w:rFonts w:ascii="Bookman Old Style" w:hAnsi="Bookman Old Style" w:cs="Arial"/>
          <w:bCs/>
        </w:rPr>
        <w:t xml:space="preserve"> necesarias para lograr dicho ahorro.</w:t>
      </w:r>
      <w:r w:rsidR="000A516C" w:rsidRPr="00884F77">
        <w:rPr>
          <w:rFonts w:ascii="Bookman Old Style" w:hAnsi="Bookman Old Style" w:cs="Arial"/>
          <w:bCs/>
        </w:rPr>
        <w:t xml:space="preserve"> </w:t>
      </w:r>
    </w:p>
    <w:p w:rsidR="009A750E" w:rsidRPr="00884F77" w:rsidRDefault="009A750E" w:rsidP="009A750E">
      <w:pPr>
        <w:ind w:left="283"/>
        <w:jc w:val="both"/>
        <w:rPr>
          <w:rFonts w:ascii="Bookman Old Style" w:hAnsi="Bookman Old Style" w:cs="Arial"/>
          <w:b/>
          <w:bCs/>
        </w:rPr>
      </w:pPr>
    </w:p>
    <w:p w:rsidR="009A750E" w:rsidRPr="00884F77" w:rsidRDefault="009A750E" w:rsidP="009A750E">
      <w:pPr>
        <w:ind w:left="142"/>
        <w:jc w:val="both"/>
        <w:rPr>
          <w:rFonts w:ascii="Bookman Old Style" w:hAnsi="Bookman Old Style" w:cs="Arial"/>
        </w:rPr>
      </w:pPr>
      <w:r w:rsidRPr="00884F77">
        <w:rPr>
          <w:rFonts w:ascii="Bookman Old Style" w:hAnsi="Bookman Old Style" w:cs="Arial"/>
          <w:b/>
        </w:rPr>
        <w:t xml:space="preserve">Parágrafo 5. </w:t>
      </w:r>
      <w:r w:rsidRPr="00884F77">
        <w:rPr>
          <w:rFonts w:ascii="Bookman Old Style" w:hAnsi="Bookman Old Style" w:cs="Arial"/>
        </w:rPr>
        <w:t xml:space="preserve">En caso de que el combustible fósil sustituido sea gas combustible, para efectos del cálculo de las variables </w:t>
      </w:r>
      <m:oMath>
        <m:sSub>
          <m:sSubPr>
            <m:ctrlPr>
              <w:rPr>
                <w:rFonts w:ascii="Cambria Math" w:hAnsi="Cambria Math" w:cs="Arial"/>
                <w:i/>
              </w:rPr>
            </m:ctrlPr>
          </m:sSubPr>
          <m:e>
            <m:r>
              <w:rPr>
                <w:rFonts w:ascii="Cambria Math" w:hAnsi="Cambria Math" w:cs="Arial"/>
              </w:rPr>
              <m:t>PC</m:t>
            </m:r>
          </m:e>
          <m:sub>
            <m:r>
              <w:rPr>
                <w:rFonts w:ascii="Cambria Math" w:hAnsi="Cambria Math" w:cs="Arial"/>
              </w:rPr>
              <m:t>i,m</m:t>
            </m:r>
          </m:sub>
        </m:sSub>
      </m:oMath>
      <w:r w:rsidRPr="00884F77">
        <w:rPr>
          <w:rFonts w:ascii="Bookman Old Style" w:hAnsi="Bookman Old Style" w:cs="Arial"/>
        </w:rPr>
        <w:t xml:space="preserve"> y </w:t>
      </w:r>
      <m:oMath>
        <m:sSub>
          <m:sSubPr>
            <m:ctrlPr>
              <w:rPr>
                <w:rFonts w:ascii="Cambria Math" w:hAnsi="Cambria Math" w:cs="Arial"/>
                <w:i/>
              </w:rPr>
            </m:ctrlPr>
          </m:sSubPr>
          <m:e>
            <m:r>
              <w:rPr>
                <w:rFonts w:ascii="Cambria Math" w:hAnsi="Cambria Math" w:cs="Arial"/>
              </w:rPr>
              <m:t>PC</m:t>
            </m:r>
          </m:e>
          <m:sub>
            <m:r>
              <w:rPr>
                <w:rFonts w:ascii="Cambria Math" w:hAnsi="Cambria Math" w:cs="Arial"/>
              </w:rPr>
              <m:t>f,m</m:t>
            </m:r>
          </m:sub>
        </m:sSub>
      </m:oMath>
      <w:r w:rsidRPr="00884F77">
        <w:rPr>
          <w:rFonts w:ascii="Bookman Old Style" w:hAnsi="Bookman Old Style" w:cs="Arial"/>
        </w:rPr>
        <w:t xml:space="preserve">, el valor del precio del combustible fósil puesto en el sitio de la planta j del parque de generación inicial será el precio del gas determinado en el último contrato celebrado por el adjudicatario de la obligación de prestación del servicio de </w:t>
      </w:r>
      <w:r w:rsidRPr="00884F77">
        <w:rPr>
          <w:rFonts w:ascii="Bookman Old Style" w:hAnsi="Bookman Old Style" w:cs="Arial"/>
        </w:rPr>
        <w:lastRenderedPageBreak/>
        <w:t xml:space="preserve">energía eléctrica en el </w:t>
      </w:r>
      <w:r w:rsidR="00C722ED" w:rsidRPr="00884F77">
        <w:rPr>
          <w:rFonts w:ascii="Bookman Old Style" w:hAnsi="Bookman Old Style" w:cs="Arial"/>
        </w:rPr>
        <w:t>área de servicio exclusivo</w:t>
      </w:r>
      <w:r w:rsidRPr="00884F77">
        <w:rPr>
          <w:rFonts w:ascii="Bookman Old Style" w:hAnsi="Bookman Old Style" w:cs="Arial"/>
        </w:rPr>
        <w:t xml:space="preserve">, indexado por el índice de precios al productor, IPP y se le adicionará el valor correspondiente al costo de transporte del gas hasta la central de generación. </w:t>
      </w:r>
    </w:p>
    <w:p w:rsidR="009A750E" w:rsidRPr="00884F77" w:rsidRDefault="009A750E" w:rsidP="009A750E">
      <w:pPr>
        <w:ind w:left="142"/>
        <w:jc w:val="both"/>
        <w:rPr>
          <w:rFonts w:ascii="Bookman Old Style" w:hAnsi="Bookman Old Style" w:cs="Arial"/>
        </w:rPr>
      </w:pPr>
    </w:p>
    <w:p w:rsidR="009A750E" w:rsidRPr="00884F77" w:rsidRDefault="009A750E" w:rsidP="009A750E">
      <w:pPr>
        <w:ind w:left="142"/>
        <w:jc w:val="both"/>
        <w:rPr>
          <w:rFonts w:ascii="Bookman Old Style" w:hAnsi="Bookman Old Style" w:cs="Arial"/>
        </w:rPr>
      </w:pPr>
      <w:r w:rsidRPr="00884F77">
        <w:rPr>
          <w:rFonts w:ascii="Bookman Old Style" w:hAnsi="Bookman Old Style" w:cs="Arial"/>
          <w:b/>
        </w:rPr>
        <w:t xml:space="preserve">Parágrafo 6. </w:t>
      </w:r>
      <w:r w:rsidRPr="00884F77">
        <w:rPr>
          <w:rFonts w:ascii="Bookman Old Style" w:hAnsi="Bookman Old Style" w:cs="Arial"/>
        </w:rPr>
        <w:t xml:space="preserve">En caso de que el combustible fósil sea sustituido por una fuente de energía renovable, las variables </w:t>
      </w:r>
      <m:oMath>
        <m:sSub>
          <m:sSubPr>
            <m:ctrlPr>
              <w:rPr>
                <w:rFonts w:ascii="Cambria Math" w:hAnsi="Cambria Math" w:cs="Arial"/>
                <w:i/>
              </w:rPr>
            </m:ctrlPr>
          </m:sSubPr>
          <m:e>
            <m:r>
              <w:rPr>
                <w:rFonts w:ascii="Cambria Math" w:hAnsi="Cambria Math" w:cs="Arial"/>
              </w:rPr>
              <m:t>PC</m:t>
            </m:r>
          </m:e>
          <m:sub>
            <m:r>
              <w:rPr>
                <w:rFonts w:ascii="Cambria Math" w:hAnsi="Cambria Math" w:cs="Arial"/>
              </w:rPr>
              <m:t>f,m</m:t>
            </m:r>
          </m:sub>
        </m:sSub>
      </m:oMath>
      <w:r w:rsidRPr="00884F77">
        <w:rPr>
          <w:rFonts w:ascii="Bookman Old Style" w:hAnsi="Bookman Old Style" w:cs="Arial"/>
        </w:rPr>
        <w:t xml:space="preserve">, precio del combustible, y </w:t>
      </w:r>
      <m:oMath>
        <m:sSub>
          <m:sSubPr>
            <m:ctrlPr>
              <w:rPr>
                <w:rFonts w:ascii="Cambria Math" w:hAnsi="Cambria Math" w:cs="Arial"/>
                <w:i/>
              </w:rPr>
            </m:ctrlPr>
          </m:sSubPr>
          <m:e>
            <m:r>
              <w:rPr>
                <w:rFonts w:ascii="Cambria Math" w:hAnsi="Cambria Math" w:cs="Arial"/>
              </w:rPr>
              <m:t>CEC</m:t>
            </m:r>
          </m:e>
          <m:sub>
            <m:r>
              <w:rPr>
                <w:rFonts w:ascii="Cambria Math" w:hAnsi="Cambria Math" w:cs="Arial"/>
              </w:rPr>
              <m:t>f,j</m:t>
            </m:r>
          </m:sub>
        </m:sSub>
      </m:oMath>
      <w:r w:rsidRPr="00884F77">
        <w:rPr>
          <w:rFonts w:ascii="Bookman Old Style" w:hAnsi="Bookman Old Style" w:cs="Arial"/>
        </w:rPr>
        <w:t>, consumo específico de combustible, s</w:t>
      </w:r>
      <w:proofErr w:type="spellStart"/>
      <w:r w:rsidR="00965FD6" w:rsidRPr="00884F77">
        <w:rPr>
          <w:rFonts w:ascii="Bookman Old Style" w:hAnsi="Bookman Old Style" w:cs="Arial"/>
        </w:rPr>
        <w:t>erán</w:t>
      </w:r>
      <w:proofErr w:type="spellEnd"/>
      <w:r w:rsidR="00965FD6" w:rsidRPr="00884F77">
        <w:rPr>
          <w:rFonts w:ascii="Bookman Old Style" w:hAnsi="Bookman Old Style" w:cs="Arial"/>
        </w:rPr>
        <w:t xml:space="preserve"> igual</w:t>
      </w:r>
      <w:r w:rsidRPr="00884F77">
        <w:rPr>
          <w:rFonts w:ascii="Bookman Old Style" w:hAnsi="Bookman Old Style" w:cs="Arial"/>
        </w:rPr>
        <w:t xml:space="preserve"> a cero.</w:t>
      </w:r>
    </w:p>
    <w:p w:rsidR="009A750E" w:rsidRPr="00884F77" w:rsidRDefault="009A750E" w:rsidP="009A750E">
      <w:pPr>
        <w:tabs>
          <w:tab w:val="left" w:pos="1134"/>
        </w:tabs>
        <w:ind w:left="142"/>
        <w:jc w:val="both"/>
        <w:rPr>
          <w:rFonts w:ascii="Bookman Old Style" w:hAnsi="Bookman Old Style" w:cs="Arial"/>
          <w:b/>
        </w:rPr>
      </w:pPr>
    </w:p>
    <w:p w:rsidR="00911CDA" w:rsidRPr="00884F77" w:rsidRDefault="00911CDA" w:rsidP="000D751B">
      <w:pPr>
        <w:pStyle w:val="Prrafodelista"/>
        <w:numPr>
          <w:ilvl w:val="0"/>
          <w:numId w:val="6"/>
        </w:numPr>
        <w:tabs>
          <w:tab w:val="clear" w:pos="1665"/>
          <w:tab w:val="left" w:pos="1134"/>
        </w:tabs>
        <w:ind w:left="-142" w:firstLine="1276"/>
        <w:jc w:val="both"/>
        <w:rPr>
          <w:rFonts w:ascii="Bookman Old Style" w:hAnsi="Bookman Old Style" w:cs="Arial"/>
          <w:sz w:val="24"/>
          <w:szCs w:val="24"/>
          <w:lang w:val="es-ES"/>
        </w:rPr>
      </w:pPr>
      <w:r w:rsidRPr="00884F77">
        <w:rPr>
          <w:rFonts w:ascii="Bookman Old Style" w:hAnsi="Bookman Old Style" w:cs="Arial"/>
          <w:sz w:val="24"/>
          <w:szCs w:val="24"/>
          <w:lang w:val="es-ES"/>
        </w:rPr>
        <w:t>Modificar e</w:t>
      </w:r>
      <w:r w:rsidR="00D828C3" w:rsidRPr="00884F77">
        <w:rPr>
          <w:rFonts w:ascii="Bookman Old Style" w:hAnsi="Bookman Old Style" w:cs="Arial"/>
          <w:sz w:val="24"/>
          <w:szCs w:val="24"/>
          <w:lang w:val="es-ES"/>
        </w:rPr>
        <w:t>l a</w:t>
      </w:r>
      <w:r w:rsidRPr="00884F77">
        <w:rPr>
          <w:rFonts w:ascii="Bookman Old Style" w:hAnsi="Bookman Old Style" w:cs="Arial"/>
          <w:sz w:val="24"/>
          <w:szCs w:val="24"/>
          <w:lang w:val="es-ES"/>
        </w:rPr>
        <w:t>rtículo 25 de la Resolución CREG 076 de 2016, el cual quedará así:</w:t>
      </w:r>
    </w:p>
    <w:p w:rsidR="00911CDA" w:rsidRPr="00884F77" w:rsidRDefault="00911CDA" w:rsidP="00911CDA">
      <w:pPr>
        <w:ind w:left="1418"/>
        <w:jc w:val="both"/>
        <w:rPr>
          <w:rFonts w:ascii="Bookman Old Style" w:hAnsi="Bookman Old Style" w:cs="Arial"/>
        </w:rPr>
      </w:pPr>
    </w:p>
    <w:p w:rsidR="00936101" w:rsidRPr="00884F77" w:rsidRDefault="00911CDA" w:rsidP="00911CDA">
      <w:pPr>
        <w:jc w:val="both"/>
        <w:rPr>
          <w:rFonts w:ascii="Bookman Old Style" w:hAnsi="Bookman Old Style" w:cs="Arial"/>
        </w:rPr>
      </w:pPr>
      <w:r w:rsidRPr="00884F77">
        <w:rPr>
          <w:rFonts w:ascii="Bookman Old Style" w:hAnsi="Bookman Old Style" w:cs="Arial"/>
          <w:b/>
          <w:bCs/>
        </w:rPr>
        <w:t xml:space="preserve">Artículo 25. </w:t>
      </w:r>
      <w:r w:rsidR="00E930BD" w:rsidRPr="00884F77">
        <w:rPr>
          <w:rFonts w:ascii="Bookman Old Style" w:hAnsi="Bookman Old Style" w:cs="Arial"/>
          <w:b/>
          <w:bCs/>
        </w:rPr>
        <w:t>Fórmula</w:t>
      </w:r>
      <w:r w:rsidR="00936101" w:rsidRPr="00884F77">
        <w:rPr>
          <w:rFonts w:ascii="Bookman Old Style" w:hAnsi="Bookman Old Style" w:cs="Arial"/>
          <w:b/>
          <w:bCs/>
        </w:rPr>
        <w:t xml:space="preserve"> t</w:t>
      </w:r>
      <w:r w:rsidR="00E930BD" w:rsidRPr="00884F77">
        <w:rPr>
          <w:rFonts w:ascii="Bookman Old Style" w:hAnsi="Bookman Old Style" w:cs="Arial"/>
          <w:b/>
          <w:bCs/>
        </w:rPr>
        <w:t>arifaria</w:t>
      </w:r>
      <w:r w:rsidR="00936101" w:rsidRPr="00884F77">
        <w:rPr>
          <w:rFonts w:ascii="Bookman Old Style" w:hAnsi="Bookman Old Style" w:cs="Arial"/>
          <w:b/>
          <w:bCs/>
        </w:rPr>
        <w:t xml:space="preserve"> g</w:t>
      </w:r>
      <w:r w:rsidR="00E930BD" w:rsidRPr="00884F77">
        <w:rPr>
          <w:rFonts w:ascii="Bookman Old Style" w:hAnsi="Bookman Old Style" w:cs="Arial"/>
          <w:b/>
          <w:bCs/>
        </w:rPr>
        <w:t>eneral</w:t>
      </w:r>
      <w:r w:rsidR="00936101" w:rsidRPr="00884F77">
        <w:rPr>
          <w:rFonts w:ascii="Bookman Old Style" w:hAnsi="Bookman Old Style" w:cs="Arial"/>
          <w:b/>
          <w:bCs/>
        </w:rPr>
        <w:t xml:space="preserve"> para usuarios regulados del servicio público de energía eléctrica para procesos competitivos por todas las actividades cuando el adjudicatario de la obligación de prestación del servicio asume el riesgo de demanda.</w:t>
      </w:r>
      <w:r w:rsidR="00936101" w:rsidRPr="00884F77">
        <w:rPr>
          <w:rFonts w:ascii="Bookman Old Style" w:hAnsi="Bookman Old Style" w:cs="Arial"/>
        </w:rPr>
        <w:t xml:space="preserve"> Cuando la autoridad contratante realice un único proceso competitivo para adjudicar la obligación de prestación del servicio de todas las actividades para la prestación del servicio público domiciliario de energía eléctrica en un área de servicio exclusivo y se asigne el riesgo de demanda al adjudicatario de la obligación de prestación del servicio, la fórmula tarifaria general aplicable a los usuarios regulados del servicio público domiciliario de energía eléctrica tendrá los siguientes componentes:</w:t>
      </w:r>
    </w:p>
    <w:p w:rsidR="00936101" w:rsidRPr="00884F77" w:rsidRDefault="00936101" w:rsidP="00911CDA">
      <w:pPr>
        <w:rPr>
          <w:rFonts w:ascii="Bookman Old Style" w:hAnsi="Bookman Old Style" w:cs="Arial"/>
        </w:rPr>
      </w:pPr>
    </w:p>
    <w:p w:rsidR="00936101" w:rsidRPr="00884F77" w:rsidRDefault="008307C2" w:rsidP="00911CDA">
      <w:pPr>
        <w:rPr>
          <w:rFonts w:ascii="Bookman Old Style" w:hAnsi="Bookman Old Style" w:cs="Arial"/>
          <w:i/>
        </w:rPr>
      </w:pPr>
      <m:oMathPara>
        <m:oMath>
          <m:sSub>
            <m:sSubPr>
              <m:ctrlPr>
                <w:rPr>
                  <w:rFonts w:ascii="Cambria Math" w:hAnsi="Cambria Math" w:cs="Arial"/>
                  <w:i/>
                </w:rPr>
              </m:ctrlPr>
            </m:sSubPr>
            <m:e>
              <m:r>
                <w:rPr>
                  <w:rFonts w:ascii="Cambria Math" w:hAnsi="Cambria Math" w:cs="Arial"/>
                </w:rPr>
                <m:t>CU</m:t>
              </m:r>
            </m:e>
            <m:sub>
              <m:r>
                <w:rPr>
                  <w:rFonts w:ascii="Cambria Math" w:hAnsi="Cambria Math" w:cs="Arial"/>
                </w:rPr>
                <m:t>n,m</m:t>
              </m:r>
            </m:sub>
          </m:sSub>
          <m:r>
            <w:rPr>
              <w:rFonts w:ascii="Cambria Math" w:hAnsi="Cambria Math" w:cs="Arial"/>
            </w:rPr>
            <m:t>=</m:t>
          </m:r>
          <m:sSub>
            <m:sSubPr>
              <m:ctrlPr>
                <w:rPr>
                  <w:rFonts w:ascii="Cambria Math" w:hAnsi="Cambria Math" w:cs="Arial"/>
                  <w:i/>
                </w:rPr>
              </m:ctrlPr>
            </m:sSubPr>
            <m:e>
              <m:r>
                <w:rPr>
                  <w:rFonts w:ascii="Cambria Math" w:hAnsi="Cambria Math" w:cs="Arial"/>
                </w:rPr>
                <m:t>IAOM</m:t>
              </m:r>
            </m:e>
            <m:sub>
              <m:r>
                <w:rPr>
                  <w:rFonts w:ascii="Cambria Math" w:hAnsi="Cambria Math" w:cs="Arial"/>
                </w:rPr>
                <m:t>n,m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num>
            <m:den>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D n,m</m:t>
                  </m:r>
                </m:sub>
              </m:sSub>
              <m:r>
                <w:rPr>
                  <w:rFonts w:ascii="Cambria Math" w:hAnsi="Cambria Math" w:cs="Arial"/>
                </w:rPr>
                <m:t>)</m:t>
              </m:r>
            </m:den>
          </m:f>
          <m:r>
            <w:rPr>
              <w:rFonts w:ascii="Cambria Math" w:hAnsi="Cambria Math" w:cs="Arial"/>
            </w:rPr>
            <m:t>+</m:t>
          </m:r>
          <m:sSub>
            <m:sSubPr>
              <m:ctrlPr>
                <w:rPr>
                  <w:rFonts w:ascii="Cambria Math" w:hAnsi="Cambria Math"/>
                  <w:i/>
                  <w:szCs w:val="22"/>
                </w:rPr>
              </m:ctrlPr>
            </m:sSubPr>
            <m:e>
              <m:r>
                <w:rPr>
                  <w:rFonts w:ascii="Cambria Math" w:hAnsi="Cambria Math"/>
                  <w:szCs w:val="22"/>
                </w:rPr>
                <m:t>TM</m:t>
              </m:r>
            </m:e>
            <m:sub>
              <m:r>
                <w:rPr>
                  <w:rFonts w:ascii="Cambria Math" w:hAnsi="Cambria Math"/>
                  <w:szCs w:val="22"/>
                </w:rPr>
                <m:t>m</m:t>
              </m:r>
            </m:sub>
          </m:sSub>
          <m:r>
            <w:rPr>
              <w:rFonts w:ascii="Cambria Math" w:hAnsi="Cambria Math"/>
              <w:szCs w:val="22"/>
            </w:rPr>
            <m:t>+</m:t>
          </m:r>
          <m:sSub>
            <m:sSubPr>
              <m:ctrlPr>
                <w:rPr>
                  <w:rFonts w:ascii="Cambria Math" w:hAnsi="Cambria Math" w:cs="Arial"/>
                  <w:i/>
                </w:rPr>
              </m:ctrlPr>
            </m:sSubPr>
            <m:e>
              <m:r>
                <w:rPr>
                  <w:rFonts w:ascii="Cambria Math" w:hAnsi="Cambria Math" w:cs="Arial"/>
                </w:rPr>
                <m:t>Itv</m:t>
              </m:r>
            </m:e>
            <m:sub>
              <m:r>
                <w:rPr>
                  <w:rFonts w:ascii="Cambria Math" w:hAnsi="Cambria Math" w:cs="Arial"/>
                </w:rPr>
                <m:t>m</m:t>
              </m:r>
            </m:sub>
          </m:sSub>
        </m:oMath>
      </m:oMathPara>
    </w:p>
    <w:p w:rsidR="00936101" w:rsidRPr="00884F77" w:rsidRDefault="00936101" w:rsidP="00911CDA">
      <w:pPr>
        <w:rPr>
          <w:rFonts w:ascii="Bookman Old Style" w:hAnsi="Bookman Old Style" w:cs="Arial"/>
        </w:rPr>
      </w:pPr>
    </w:p>
    <w:p w:rsidR="00936101" w:rsidRPr="00884F77" w:rsidRDefault="00936101" w:rsidP="00911CDA">
      <w:pPr>
        <w:rPr>
          <w:rFonts w:ascii="Bookman Old Style" w:hAnsi="Bookman Old Style" w:cs="Arial"/>
        </w:rPr>
      </w:pPr>
      <w:r w:rsidRPr="00884F77">
        <w:rPr>
          <w:rFonts w:ascii="Bookman Old Style" w:hAnsi="Bookman Old Style" w:cs="Arial"/>
        </w:rPr>
        <w:t>Donde:</w:t>
      </w:r>
      <w:r w:rsidR="00B11DE0" w:rsidRPr="00884F77">
        <w:rPr>
          <w:rFonts w:ascii="Bookman Old Style" w:hAnsi="Bookman Old Style" w:cs="Arial"/>
        </w:rPr>
        <w:t xml:space="preserve"> </w:t>
      </w: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9"/>
        <w:gridCol w:w="7580"/>
      </w:tblGrid>
      <w:tr w:rsidR="00884F77" w:rsidRPr="00884F77" w:rsidTr="00965FD6">
        <w:tc>
          <w:tcPr>
            <w:tcW w:w="1209" w:type="dxa"/>
          </w:tcPr>
          <w:p w:rsidR="00B430B1" w:rsidRPr="00884F77" w:rsidRDefault="008307C2" w:rsidP="00911CDA">
            <w:pPr>
              <w:ind w:left="0"/>
              <w:rPr>
                <w:rFonts w:ascii="Bookman Old Style" w:hAnsi="Bookman Old Style" w:cs="Arial"/>
              </w:rPr>
            </w:pPr>
            <m:oMath>
              <m:sSub>
                <m:sSubPr>
                  <m:ctrlPr>
                    <w:rPr>
                      <w:rFonts w:ascii="Cambria Math" w:hAnsi="Cambria Math" w:cs="Arial"/>
                      <w:i/>
                    </w:rPr>
                  </m:ctrlPr>
                </m:sSubPr>
                <m:e>
                  <m:r>
                    <w:rPr>
                      <w:rFonts w:ascii="Cambria Math" w:hAnsi="Cambria Math" w:cs="Arial"/>
                    </w:rPr>
                    <m:t>CU</m:t>
                  </m:r>
                </m:e>
                <m:sub>
                  <m:r>
                    <w:rPr>
                      <w:rFonts w:ascii="Cambria Math" w:hAnsi="Cambria Math" w:cs="Arial"/>
                    </w:rPr>
                    <m:t>n,m</m:t>
                  </m:r>
                </m:sub>
              </m:sSub>
            </m:oMath>
            <w:r w:rsidR="00B430B1" w:rsidRPr="00884F77">
              <w:rPr>
                <w:rFonts w:ascii="Bookman Old Style" w:hAnsi="Bookman Old Style" w:cs="Arial"/>
              </w:rPr>
              <w:t>:</w:t>
            </w:r>
            <w:r w:rsidR="00B430B1" w:rsidRPr="00884F77">
              <w:rPr>
                <w:rFonts w:ascii="Bookman Old Style" w:hAnsi="Bookman Old Style" w:cs="Arial"/>
              </w:rPr>
              <w:tab/>
            </w:r>
          </w:p>
        </w:tc>
        <w:tc>
          <w:tcPr>
            <w:tcW w:w="7580" w:type="dxa"/>
          </w:tcPr>
          <w:p w:rsidR="00B430B1" w:rsidRPr="00884F77" w:rsidRDefault="00B430B1" w:rsidP="00B430B1">
            <w:pPr>
              <w:ind w:left="0"/>
              <w:jc w:val="both"/>
              <w:rPr>
                <w:rFonts w:ascii="Bookman Old Style" w:hAnsi="Bookman Old Style" w:cs="Arial"/>
              </w:rPr>
            </w:pPr>
            <w:r w:rsidRPr="00884F77">
              <w:rPr>
                <w:rFonts w:ascii="Bookman Old Style" w:hAnsi="Bookman Old Style" w:cs="Arial"/>
              </w:rPr>
              <w:t>Costo unitario de prestación del servicio de energía eléctrica, para el nivel de tensión n, para el mes m, expresado en pesos por kilovatio hora ($/</w:t>
            </w:r>
            <w:proofErr w:type="spellStart"/>
            <w:r w:rsidRPr="00884F77">
              <w:rPr>
                <w:rFonts w:ascii="Bookman Old Style" w:hAnsi="Bookman Old Style" w:cs="Arial"/>
              </w:rPr>
              <w:t>kWh</w:t>
            </w:r>
            <w:proofErr w:type="spellEnd"/>
            <w:r w:rsidRPr="00884F77">
              <w:rPr>
                <w:rFonts w:ascii="Bookman Old Style" w:hAnsi="Bookman Old Style" w:cs="Arial"/>
              </w:rPr>
              <w:t xml:space="preserve">). </w:t>
            </w:r>
          </w:p>
          <w:p w:rsidR="00B430B1" w:rsidRPr="00884F77" w:rsidRDefault="00B430B1" w:rsidP="00B430B1">
            <w:pPr>
              <w:ind w:left="0"/>
              <w:jc w:val="both"/>
              <w:rPr>
                <w:rFonts w:ascii="Bookman Old Style" w:hAnsi="Bookman Old Style" w:cs="Arial"/>
              </w:rPr>
            </w:pPr>
          </w:p>
        </w:tc>
      </w:tr>
      <w:tr w:rsidR="00884F77" w:rsidRPr="00884F77" w:rsidTr="00965FD6">
        <w:tc>
          <w:tcPr>
            <w:tcW w:w="1209" w:type="dxa"/>
          </w:tcPr>
          <w:p w:rsidR="00B430B1" w:rsidRPr="00884F77" w:rsidRDefault="008307C2" w:rsidP="00911CDA">
            <w:pPr>
              <w:ind w:left="0"/>
              <w:rPr>
                <w:rFonts w:ascii="Bookman Old Style" w:hAnsi="Bookman Old Style" w:cs="Arial"/>
              </w:rPr>
            </w:pPr>
            <m:oMath>
              <m:sSub>
                <m:sSubPr>
                  <m:ctrlPr>
                    <w:rPr>
                      <w:rFonts w:ascii="Cambria Math" w:hAnsi="Cambria Math" w:cs="Arial"/>
                      <w:i/>
                    </w:rPr>
                  </m:ctrlPr>
                </m:sSubPr>
                <m:e>
                  <m:r>
                    <w:rPr>
                      <w:rFonts w:ascii="Cambria Math" w:hAnsi="Cambria Math" w:cs="Arial"/>
                    </w:rPr>
                    <m:t>IAOM</m:t>
                  </m:r>
                </m:e>
                <m:sub>
                  <m:r>
                    <w:rPr>
                      <w:rFonts w:ascii="Cambria Math" w:hAnsi="Cambria Math" w:cs="Arial"/>
                    </w:rPr>
                    <m:t>n,m</m:t>
                  </m:r>
                </m:sub>
              </m:sSub>
            </m:oMath>
            <w:r w:rsidR="00B430B1" w:rsidRPr="00884F77">
              <w:rPr>
                <w:rFonts w:ascii="Bookman Old Style" w:hAnsi="Bookman Old Style" w:cs="Arial"/>
              </w:rPr>
              <w:t>:</w:t>
            </w:r>
          </w:p>
        </w:tc>
        <w:tc>
          <w:tcPr>
            <w:tcW w:w="7580" w:type="dxa"/>
          </w:tcPr>
          <w:p w:rsidR="00B430B1" w:rsidRPr="00884F77" w:rsidRDefault="00B430B1" w:rsidP="00B430B1">
            <w:pPr>
              <w:ind w:left="0"/>
              <w:jc w:val="both"/>
              <w:rPr>
                <w:rFonts w:ascii="Bookman Old Style" w:hAnsi="Bookman Old Style" w:cs="Arial"/>
              </w:rPr>
            </w:pPr>
            <w:r w:rsidRPr="00884F77">
              <w:rPr>
                <w:rFonts w:ascii="Bookman Old Style" w:hAnsi="Bookman Old Style" w:cs="Arial"/>
              </w:rPr>
              <w:t>Remuneración de la inversión y de los gastos de AOM en generación, en distribución por nivel de tensión n, y en comercialización, para el mes m. En estos gastos no se consideran los combustibles de origen fósil o las mezclas obligatorias de éstos con biocombustibles utilizados en la operación, por disposición gubernamental. Este valor, expresado en pesos por kilovatio hora ($/</w:t>
            </w:r>
            <w:proofErr w:type="spellStart"/>
            <w:r w:rsidRPr="00884F77">
              <w:rPr>
                <w:rFonts w:ascii="Bookman Old Style" w:hAnsi="Bookman Old Style" w:cs="Arial"/>
              </w:rPr>
              <w:t>kWh</w:t>
            </w:r>
            <w:proofErr w:type="spellEnd"/>
            <w:r w:rsidRPr="00884F77">
              <w:rPr>
                <w:rFonts w:ascii="Bookman Old Style" w:hAnsi="Bookman Old Style" w:cs="Arial"/>
              </w:rPr>
              <w:t>), se estimará así:</w:t>
            </w:r>
          </w:p>
          <w:p w:rsidR="00AF3996" w:rsidRPr="00884F77" w:rsidRDefault="00AF3996" w:rsidP="00B430B1">
            <w:pPr>
              <w:ind w:left="0"/>
              <w:jc w:val="both"/>
              <w:rPr>
                <w:rFonts w:ascii="Bookman Old Style" w:hAnsi="Bookman Old Style" w:cs="Arial"/>
              </w:rPr>
            </w:pPr>
          </w:p>
          <w:p w:rsidR="00B430B1" w:rsidRPr="00884F77" w:rsidRDefault="008307C2" w:rsidP="00B430B1">
            <w:pPr>
              <w:jc w:val="center"/>
              <w:rPr>
                <w:rFonts w:ascii="Bookman Old Style" w:hAnsi="Bookman Old Style" w:cs="Arial"/>
              </w:rPr>
            </w:pPr>
            <m:oMathPara>
              <m:oMath>
                <m:sSub>
                  <m:sSubPr>
                    <m:ctrlPr>
                      <w:rPr>
                        <w:rFonts w:ascii="Cambria Math" w:hAnsi="Cambria Math" w:cs="Arial"/>
                        <w:i/>
                      </w:rPr>
                    </m:ctrlPr>
                  </m:sSubPr>
                  <m:e>
                    <m:r>
                      <w:rPr>
                        <w:rFonts w:ascii="Cambria Math" w:hAnsi="Cambria Math" w:cs="Arial"/>
                      </w:rPr>
                      <m:t>IAOM</m:t>
                    </m:r>
                  </m:e>
                  <m:sub>
                    <m:r>
                      <w:rPr>
                        <w:rFonts w:ascii="Cambria Math" w:hAnsi="Cambria Math" w:cs="Arial"/>
                      </w:rPr>
                      <m:t>n,m</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IAOM</m:t>
                        </m:r>
                      </m:e>
                      <m:sub>
                        <m:r>
                          <w:rPr>
                            <w:rFonts w:ascii="Cambria Math" w:hAnsi="Cambria Math" w:cs="Arial"/>
                          </w:rPr>
                          <m:t>m</m:t>
                        </m:r>
                      </m:sub>
                    </m:sSub>
                  </m:e>
                </m:d>
                <m:r>
                  <w:rPr>
                    <w:rFonts w:ascii="Cambria Math" w:hAnsi="Cambria Math" w:cs="Arial"/>
                  </w:rPr>
                  <m:t xml:space="preserve"> </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e>
                </m:d>
              </m:oMath>
            </m:oMathPara>
          </w:p>
          <w:p w:rsidR="00B430B1" w:rsidRPr="00884F77" w:rsidRDefault="00B430B1" w:rsidP="00B430B1">
            <w:pPr>
              <w:jc w:val="both"/>
              <w:rPr>
                <w:rFonts w:ascii="Bookman Old Style" w:hAnsi="Bookman Old Style" w:cs="Arial"/>
              </w:rPr>
            </w:pPr>
          </w:p>
          <w:p w:rsidR="00B430B1" w:rsidRPr="00884F77" w:rsidRDefault="00B430B1" w:rsidP="00B430B1">
            <w:pPr>
              <w:ind w:left="0"/>
              <w:jc w:val="both"/>
              <w:rPr>
                <w:rFonts w:ascii="Bookman Old Style" w:hAnsi="Bookman Old Style" w:cs="Arial"/>
              </w:rPr>
            </w:pPr>
            <w:r w:rsidRPr="00884F77">
              <w:rPr>
                <w:rFonts w:ascii="Bookman Old Style" w:hAnsi="Bookman Old Style" w:cs="Arial"/>
              </w:rPr>
              <w:t>Donde:</w:t>
            </w:r>
          </w:p>
          <w:p w:rsidR="00B430B1" w:rsidRPr="00884F77" w:rsidRDefault="00B430B1" w:rsidP="00B430B1">
            <w:pPr>
              <w:jc w:val="both"/>
              <w:rPr>
                <w:rFonts w:ascii="Bookman Old Style" w:hAnsi="Bookman Old Style" w:cs="Arial"/>
              </w:rPr>
            </w:pPr>
          </w:p>
          <w:p w:rsidR="00B430B1" w:rsidRPr="00884F77" w:rsidRDefault="008307C2" w:rsidP="00B430B1">
            <w:pPr>
              <w:ind w:left="0"/>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IAOM</m:t>
                  </m:r>
                </m:e>
                <m:sub>
                  <m:r>
                    <w:rPr>
                      <w:rFonts w:ascii="Cambria Math" w:hAnsi="Cambria Math" w:cs="Arial"/>
                    </w:rPr>
                    <m:t>m</m:t>
                  </m:r>
                </m:sub>
              </m:sSub>
            </m:oMath>
            <w:r w:rsidR="00B430B1" w:rsidRPr="00884F77">
              <w:rPr>
                <w:rFonts w:ascii="Bookman Old Style" w:hAnsi="Bookman Old Style" w:cs="Arial"/>
              </w:rPr>
              <w:t>: Precio regulado para el mes m del período de vigencia de la obligación de prestación del servicio, que remunera al prestador del servicio las inversiones y los gastos de administración, operación y mantenimiento requeridos para las actividades de generación, distribución en el nivel de tensión n y comercialización. Este precio, expresado en pesos por kilovatio hora ($/</w:t>
            </w:r>
            <w:proofErr w:type="spellStart"/>
            <w:r w:rsidR="00B430B1" w:rsidRPr="00884F77">
              <w:rPr>
                <w:rFonts w:ascii="Bookman Old Style" w:hAnsi="Bookman Old Style" w:cs="Arial"/>
              </w:rPr>
              <w:t>kWh</w:t>
            </w:r>
            <w:proofErr w:type="spellEnd"/>
            <w:r w:rsidR="00B430B1" w:rsidRPr="00884F77">
              <w:rPr>
                <w:rFonts w:ascii="Bookman Old Style" w:hAnsi="Bookman Old Style" w:cs="Arial"/>
              </w:rPr>
              <w:t xml:space="preserve">) del mes anterior al de la realización del </w:t>
            </w:r>
            <w:r w:rsidR="00B430B1" w:rsidRPr="00884F77">
              <w:rPr>
                <w:rFonts w:ascii="Bookman Old Style" w:hAnsi="Bookman Old Style" w:cs="Arial"/>
              </w:rPr>
              <w:lastRenderedPageBreak/>
              <w:t>proceso competitivo, será el ofertado por el adjudicatario de la obligación de prestación del servicio en la propuesta que presente en dicho proceso.</w:t>
            </w:r>
          </w:p>
          <w:p w:rsidR="00B430B1" w:rsidRPr="00884F77" w:rsidRDefault="00B430B1" w:rsidP="00B430B1">
            <w:pPr>
              <w:jc w:val="both"/>
              <w:rPr>
                <w:rFonts w:ascii="Bookman Old Style" w:hAnsi="Bookman Old Style" w:cs="Arial"/>
              </w:rPr>
            </w:pPr>
          </w:p>
          <w:p w:rsidR="00B430B1" w:rsidRPr="00884F77" w:rsidRDefault="008307C2" w:rsidP="00B430B1">
            <w:pPr>
              <w:ind w:left="0"/>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oMath>
            <w:r w:rsidR="00B430B1" w:rsidRPr="00884F77">
              <w:rPr>
                <w:rFonts w:ascii="Bookman Old Style" w:hAnsi="Bookman Old Style" w:cs="Arial"/>
              </w:rPr>
              <w:t>:</w:t>
            </w:r>
            <w:r w:rsidR="00B430B1" w:rsidRPr="00884F77">
              <w:rPr>
                <w:rFonts w:ascii="Bookman Old Style" w:hAnsi="Bookman Old Style" w:cs="Arial"/>
              </w:rPr>
              <w:tab/>
              <w:t xml:space="preserve"> Índice de pre</w:t>
            </w:r>
            <w:proofErr w:type="spellStart"/>
            <w:r w:rsidR="00B430B1" w:rsidRPr="00884F77">
              <w:rPr>
                <w:rFonts w:ascii="Bookman Old Style" w:hAnsi="Bookman Old Style" w:cs="Arial"/>
              </w:rPr>
              <w:t>cios</w:t>
            </w:r>
            <w:proofErr w:type="spellEnd"/>
            <w:r w:rsidR="00B430B1" w:rsidRPr="00884F77">
              <w:rPr>
                <w:rFonts w:ascii="Bookman Old Style" w:hAnsi="Bookman Old Style" w:cs="Arial"/>
              </w:rPr>
              <w:t xml:space="preserve"> al productor publicado por el DANE, para el mes </w:t>
            </w:r>
            <w:r w:rsidR="00B430B1" w:rsidRPr="00884F77">
              <w:rPr>
                <w:rFonts w:ascii="Bookman Old Style" w:hAnsi="Bookman Old Style" w:cs="Arial"/>
                <w:i/>
              </w:rPr>
              <w:t>m-1.</w:t>
            </w:r>
          </w:p>
          <w:p w:rsidR="00B430B1" w:rsidRPr="00884F77" w:rsidRDefault="00B430B1" w:rsidP="00B430B1">
            <w:pPr>
              <w:jc w:val="both"/>
              <w:rPr>
                <w:rFonts w:ascii="Bookman Old Style" w:hAnsi="Bookman Old Style" w:cs="Arial"/>
              </w:rPr>
            </w:pPr>
          </w:p>
          <w:p w:rsidR="00B430B1" w:rsidRPr="00884F77" w:rsidRDefault="008307C2" w:rsidP="00B430B1">
            <w:pPr>
              <w:ind w:left="0"/>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oMath>
            <w:r w:rsidR="00B430B1" w:rsidRPr="00884F77">
              <w:rPr>
                <w:rFonts w:ascii="Bookman Old Style" w:hAnsi="Bookman Old Style" w:cs="Arial"/>
              </w:rPr>
              <w:t>: Índice de precios al productor publicado por el DANE, para el mes anterior al de realización del proceso competitivo.</w:t>
            </w:r>
          </w:p>
          <w:p w:rsidR="00B430B1" w:rsidRPr="00884F77" w:rsidRDefault="00B430B1" w:rsidP="00911CDA">
            <w:pPr>
              <w:ind w:left="0"/>
              <w:rPr>
                <w:rFonts w:ascii="Bookman Old Style" w:hAnsi="Bookman Old Style" w:cs="Arial"/>
              </w:rPr>
            </w:pPr>
          </w:p>
        </w:tc>
      </w:tr>
      <w:tr w:rsidR="00884F77" w:rsidRPr="00884F77" w:rsidTr="00965FD6">
        <w:tc>
          <w:tcPr>
            <w:tcW w:w="1209" w:type="dxa"/>
          </w:tcPr>
          <w:p w:rsidR="00B430B1" w:rsidRPr="00884F77" w:rsidRDefault="008307C2" w:rsidP="00B430B1">
            <w:pPr>
              <w:ind w:left="0"/>
              <w:rPr>
                <w:rFonts w:ascii="Bookman Old Style" w:hAnsi="Bookman Old Style" w:cs="Arial"/>
              </w:rPr>
            </w:pPr>
            <m:oMath>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oMath>
            <w:r w:rsidR="00B430B1" w:rsidRPr="00884F77">
              <w:rPr>
                <w:rFonts w:ascii="Bookman Old Style" w:hAnsi="Bookman Old Style" w:cs="Arial"/>
              </w:rPr>
              <w:t>:</w:t>
            </w:r>
          </w:p>
        </w:tc>
        <w:tc>
          <w:tcPr>
            <w:tcW w:w="7580" w:type="dxa"/>
          </w:tcPr>
          <w:p w:rsidR="00B430B1" w:rsidRPr="00884F77" w:rsidRDefault="00B430B1" w:rsidP="00B430B1">
            <w:pPr>
              <w:tabs>
                <w:tab w:val="left" w:pos="1134"/>
              </w:tabs>
              <w:ind w:left="0"/>
              <w:jc w:val="both"/>
              <w:rPr>
                <w:rFonts w:ascii="Bookman Old Style" w:hAnsi="Bookman Old Style" w:cs="Arial"/>
              </w:rPr>
            </w:pPr>
            <w:r w:rsidRPr="00884F77">
              <w:rPr>
                <w:rFonts w:ascii="Bookman Old Style" w:hAnsi="Bookman Old Style" w:cs="Arial"/>
              </w:rPr>
              <w:t xml:space="preserve">Precio regulado </w:t>
            </w:r>
            <w:r w:rsidRPr="00884F77">
              <w:rPr>
                <w:rFonts w:ascii="Bookman Old Style" w:hAnsi="Bookman Old Style" w:cs="Arial"/>
                <w:spacing w:val="-3"/>
              </w:rPr>
              <w:t xml:space="preserve">compuesto por los costos </w:t>
            </w:r>
            <w:r w:rsidRPr="00884F77">
              <w:rPr>
                <w:rFonts w:ascii="Bookman Old Style" w:hAnsi="Bookman Old Style" w:cs="Arial"/>
              </w:rPr>
              <w:t>de los combustibles de origen fósil o de las mezclas obligatorias de éstos con biocombustibles por disposición gubernamental, puestos en el sitio de operación de las plantas del parque de generación, para el mes m. Este valor, expresado en pesos por kilovatio hora ($/</w:t>
            </w:r>
            <w:proofErr w:type="spellStart"/>
            <w:r w:rsidRPr="00884F77">
              <w:rPr>
                <w:rFonts w:ascii="Bookman Old Style" w:hAnsi="Bookman Old Style" w:cs="Arial"/>
              </w:rPr>
              <w:t>kWh</w:t>
            </w:r>
            <w:proofErr w:type="spellEnd"/>
            <w:r w:rsidRPr="00884F77">
              <w:rPr>
                <w:rFonts w:ascii="Bookman Old Style" w:hAnsi="Bookman Old Style" w:cs="Arial"/>
              </w:rPr>
              <w:t>), se calculará así:</w:t>
            </w:r>
          </w:p>
          <w:p w:rsidR="00B430B1" w:rsidRPr="00884F77" w:rsidRDefault="008307C2" w:rsidP="00B430B1">
            <w:pPr>
              <w:tabs>
                <w:tab w:val="left" w:pos="1134"/>
              </w:tabs>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nary>
                  <m:naryPr>
                    <m:chr m:val="∑"/>
                    <m:limLoc m:val="undOvr"/>
                    <m:ctrlPr>
                      <w:rPr>
                        <w:rFonts w:ascii="Cambria Math" w:hAnsi="Cambria Math" w:cs="Arial"/>
                        <w:i/>
                      </w:rPr>
                    </m:ctrlPr>
                  </m:naryPr>
                  <m:sub>
                    <m:r>
                      <w:rPr>
                        <w:rFonts w:ascii="Cambria Math" w:hAnsi="Cambria Math" w:cs="Arial"/>
                      </w:rPr>
                      <m:t>m-1</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CEC</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e>
                </m:nary>
              </m:oMath>
            </m:oMathPara>
          </w:p>
          <w:p w:rsidR="00B430B1" w:rsidRPr="00884F77" w:rsidRDefault="00B430B1" w:rsidP="00B430B1">
            <w:pPr>
              <w:ind w:left="0"/>
              <w:rPr>
                <w:rFonts w:ascii="Bookman Old Style" w:hAnsi="Bookman Old Style" w:cs="Arial"/>
              </w:rPr>
            </w:pPr>
            <w:r w:rsidRPr="00884F77">
              <w:rPr>
                <w:rFonts w:ascii="Bookman Old Style" w:hAnsi="Bookman Old Style" w:cs="Arial"/>
              </w:rPr>
              <w:t>Donde:</w:t>
            </w:r>
          </w:p>
          <w:p w:rsidR="00B430B1" w:rsidRPr="00884F77" w:rsidRDefault="00B430B1" w:rsidP="00B430B1">
            <w:pPr>
              <w:jc w:val="both"/>
              <w:rPr>
                <w:rFonts w:ascii="Bookman Old Style" w:hAnsi="Bookman Old Style" w:cs="Arial"/>
                <w:i/>
              </w:rPr>
            </w:pPr>
          </w:p>
          <w:p w:rsidR="00B430B1" w:rsidRPr="00884F77" w:rsidRDefault="008307C2" w:rsidP="00B430B1">
            <w:pPr>
              <w:ind w:left="0"/>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w:r w:rsidR="00B430B1" w:rsidRPr="00884F77">
              <w:rPr>
                <w:rFonts w:ascii="Bookman Old Style" w:hAnsi="Bookman Old Style" w:cs="Arial"/>
              </w:rPr>
              <w:t>: Energía total entregada al sistema de distribución en el mes m-1, por las n plantas del parque de generación. Este valor se expresa en kilovatios hora (kWh) y será medida en bornes del generador.</w:t>
            </w:r>
          </w:p>
          <w:p w:rsidR="00B430B1" w:rsidRPr="00884F77" w:rsidRDefault="00B430B1" w:rsidP="00B430B1">
            <w:pPr>
              <w:jc w:val="both"/>
              <w:rPr>
                <w:rFonts w:ascii="Bookman Old Style" w:hAnsi="Bookman Old Style" w:cs="Arial"/>
              </w:rPr>
            </w:pPr>
          </w:p>
          <w:p w:rsidR="00B430B1" w:rsidRPr="00884F77" w:rsidRDefault="008307C2" w:rsidP="00B430B1">
            <w:pPr>
              <w:ind w:left="0"/>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j</m:t>
                  </m:r>
                </m:sub>
              </m:sSub>
            </m:oMath>
            <w:r w:rsidR="00B430B1" w:rsidRPr="00884F77">
              <w:rPr>
                <w:rFonts w:ascii="Bookman Old Style" w:hAnsi="Bookman Old Style" w:cs="Arial"/>
              </w:rPr>
              <w:t>: Consumo específico de combustible de origen fósil de la planta j del parque de generación, expresado en millones de BTU por kilovatio hora (MBTU/kWh). En caso de que la planta utilice diésel No. 2 o diésel No. 6 como combus</w:t>
            </w:r>
            <w:proofErr w:type="spellStart"/>
            <w:r w:rsidR="00B430B1" w:rsidRPr="00884F77">
              <w:rPr>
                <w:rFonts w:ascii="Bookman Old Style" w:hAnsi="Bookman Old Style" w:cs="Arial"/>
              </w:rPr>
              <w:t>tible</w:t>
            </w:r>
            <w:proofErr w:type="spellEnd"/>
            <w:r w:rsidR="00B430B1" w:rsidRPr="00884F77">
              <w:rPr>
                <w:rFonts w:ascii="Bookman Old Style" w:hAnsi="Bookman Old Style" w:cs="Arial"/>
              </w:rPr>
              <w:t>, este consumo será expresado en galones por kilovatio hora (gal/</w:t>
            </w:r>
            <w:proofErr w:type="spellStart"/>
            <w:r w:rsidR="00B430B1" w:rsidRPr="00884F77">
              <w:rPr>
                <w:rFonts w:ascii="Bookman Old Style" w:hAnsi="Bookman Old Style" w:cs="Arial"/>
              </w:rPr>
              <w:t>kWh</w:t>
            </w:r>
            <w:proofErr w:type="spellEnd"/>
            <w:r w:rsidR="00B430B1" w:rsidRPr="00884F77">
              <w:rPr>
                <w:rFonts w:ascii="Bookman Old Style" w:hAnsi="Bookman Old Style" w:cs="Arial"/>
              </w:rPr>
              <w:t>). El valor de esta variable será el ofertado por el adjudicatario de la obligación de prestación del servicio, para cada planta j a utilizar, en la propuesta que presente en el proceso competitivo. El consumo específico de combustible será calculado en bornes del generador. En caso de ser necesaria la aplicación de una equivalencia calorífica, ésta será determinada por el Ministerio de Minas y Energía.</w:t>
            </w:r>
          </w:p>
          <w:p w:rsidR="00B430B1" w:rsidRPr="00884F77" w:rsidRDefault="00B430B1" w:rsidP="00B430B1">
            <w:pPr>
              <w:jc w:val="both"/>
              <w:rPr>
                <w:rFonts w:ascii="Bookman Old Style" w:hAnsi="Bookman Old Style" w:cs="Arial"/>
              </w:rPr>
            </w:pPr>
          </w:p>
          <w:p w:rsidR="00B430B1" w:rsidRPr="00884F77" w:rsidRDefault="008307C2" w:rsidP="00B430B1">
            <w:pPr>
              <w:ind w:left="0"/>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oMath>
            <w:r w:rsidR="00B430B1" w:rsidRPr="00884F77">
              <w:rPr>
                <w:rFonts w:ascii="Bookman Old Style" w:hAnsi="Bookman Old Style" w:cs="Arial"/>
              </w:rPr>
              <w:t>: Precio del combustible, puesto en el sitio de la planta j del parque de generación, en el mes m, expresado en pesos por millón de BTU ($/MBTU) de forma general, y en pesos por galón ($/gal) cuando el combustible empleado sea diésel No. 2, diésel No. 6 o la mezcla mencionada. El precio del combustible puesto en el sitio de la planta será definido por el Ministerio de Minas y Energía, con excepción del caso en que se utilice gas combustible, cuyo precio se encuentra regulado por la comisión mediante Resolución CREG 059 de 2009 o aquella que la modifique o sustituya.</w:t>
            </w:r>
          </w:p>
          <w:p w:rsidR="00B430B1" w:rsidRDefault="00B430B1" w:rsidP="00B430B1">
            <w:pPr>
              <w:jc w:val="both"/>
              <w:rPr>
                <w:rFonts w:ascii="Bookman Old Style" w:hAnsi="Bookman Old Style" w:cs="Arial"/>
              </w:rPr>
            </w:pPr>
          </w:p>
          <w:p w:rsidR="0070227B" w:rsidRDefault="0070227B" w:rsidP="00B430B1">
            <w:pPr>
              <w:jc w:val="both"/>
              <w:rPr>
                <w:rFonts w:ascii="Bookman Old Style" w:hAnsi="Bookman Old Style" w:cs="Arial"/>
              </w:rPr>
            </w:pPr>
          </w:p>
          <w:p w:rsidR="0070227B" w:rsidRPr="00884F77" w:rsidRDefault="0070227B" w:rsidP="00B430B1">
            <w:pPr>
              <w:jc w:val="both"/>
              <w:rPr>
                <w:rFonts w:ascii="Bookman Old Style" w:hAnsi="Bookman Old Style" w:cs="Arial"/>
              </w:rPr>
            </w:pPr>
          </w:p>
          <w:p w:rsidR="00B430B1" w:rsidRPr="00884F77" w:rsidRDefault="008307C2" w:rsidP="00DC511A">
            <w:pPr>
              <w:ind w:left="0"/>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oMath>
            <w:r w:rsidR="00B430B1" w:rsidRPr="00884F77">
              <w:rPr>
                <w:rFonts w:ascii="Bookman Old Style" w:hAnsi="Bookman Old Style" w:cs="Arial"/>
              </w:rPr>
              <w:t>:</w:t>
            </w:r>
            <w:r w:rsidR="00B430B1" w:rsidRPr="00884F77">
              <w:rPr>
                <w:rFonts w:ascii="Bookman Old Style" w:hAnsi="Bookman Old Style" w:cs="Arial"/>
              </w:rPr>
              <w:tab/>
              <w:t xml:space="preserve">Energía entregada al sistema de distribución por la planta j, en el mes m-1, expresada en kilovatios hora (kWh) y </w:t>
            </w:r>
            <w:r w:rsidR="00B430B1" w:rsidRPr="00884F77">
              <w:rPr>
                <w:rFonts w:ascii="Bookman Old Style" w:hAnsi="Bookman Old Style"/>
              </w:rPr>
              <w:t>medida en bornes del generador</w:t>
            </w:r>
            <w:r w:rsidR="00B430B1" w:rsidRPr="00884F77">
              <w:rPr>
                <w:rFonts w:ascii="Bookman Old Style" w:hAnsi="Bookman Old Style" w:cs="Arial"/>
              </w:rPr>
              <w:t>.</w:t>
            </w:r>
          </w:p>
          <w:p w:rsidR="00B430B1" w:rsidRPr="00884F77" w:rsidRDefault="00B430B1" w:rsidP="00911CDA">
            <w:pPr>
              <w:ind w:left="0"/>
              <w:rPr>
                <w:rFonts w:ascii="Bookman Old Style" w:hAnsi="Bookman Old Style" w:cs="Arial"/>
              </w:rPr>
            </w:pPr>
          </w:p>
        </w:tc>
      </w:tr>
      <w:tr w:rsidR="00884F77" w:rsidRPr="00884F77" w:rsidTr="00965FD6">
        <w:tc>
          <w:tcPr>
            <w:tcW w:w="1209" w:type="dxa"/>
          </w:tcPr>
          <w:p w:rsidR="00DC511A" w:rsidRPr="00884F77" w:rsidRDefault="008307C2" w:rsidP="00911CDA">
            <w:pPr>
              <w:ind w:left="0"/>
              <w:rPr>
                <w:rFonts w:ascii="Bookman Old Style" w:hAnsi="Bookman Old Style"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D n,m</m:t>
                  </m:r>
                </m:sub>
              </m:sSub>
            </m:oMath>
            <w:r w:rsidR="00DC511A" w:rsidRPr="00884F77">
              <w:rPr>
                <w:rFonts w:ascii="Bookman Old Style" w:hAnsi="Bookman Old Style" w:cs="Arial"/>
              </w:rPr>
              <w:t>:</w:t>
            </w:r>
          </w:p>
        </w:tc>
        <w:tc>
          <w:tcPr>
            <w:tcW w:w="7580" w:type="dxa"/>
          </w:tcPr>
          <w:p w:rsidR="00DC511A" w:rsidRPr="00884F77" w:rsidRDefault="00DC511A" w:rsidP="00DC511A">
            <w:pPr>
              <w:ind w:left="0"/>
              <w:jc w:val="both"/>
              <w:rPr>
                <w:rFonts w:ascii="Bookman Old Style" w:hAnsi="Bookman Old Style" w:cs="Arial"/>
              </w:rPr>
            </w:pPr>
            <w:r w:rsidRPr="00884F77">
              <w:rPr>
                <w:rFonts w:ascii="Bookman Old Style" w:hAnsi="Bookman Old Style" w:cs="Arial"/>
              </w:rPr>
              <w:t>Pérdidas de energía del sistema de distribución, en el nivel de tensión n, para el mes m. Este nivel de pérdidas será el ofertado por el adjudicatario de la obligación de prestación del servicio en la propuesta que presente en el proceso competitivo. Este valor se expresa como una fracción de la energía medida y entregada al sistema de distribución.</w:t>
            </w:r>
          </w:p>
          <w:p w:rsidR="000F3FD8" w:rsidRPr="00884F77" w:rsidRDefault="000F3FD8" w:rsidP="00DC511A">
            <w:pPr>
              <w:ind w:left="0"/>
              <w:jc w:val="both"/>
              <w:rPr>
                <w:rFonts w:ascii="Bookman Old Style" w:hAnsi="Bookman Old Style" w:cs="Arial"/>
              </w:rPr>
            </w:pPr>
          </w:p>
        </w:tc>
      </w:tr>
      <w:tr w:rsidR="00884F77" w:rsidRPr="00884F77" w:rsidTr="00965FD6">
        <w:tc>
          <w:tcPr>
            <w:tcW w:w="1209" w:type="dxa"/>
          </w:tcPr>
          <w:p w:rsidR="00DC511A" w:rsidRPr="00884F77" w:rsidRDefault="008307C2" w:rsidP="00911CDA">
            <w:pPr>
              <w:ind w:left="0"/>
              <w:rPr>
                <w:rFonts w:ascii="Bookman Old Style" w:hAnsi="Bookman Old Style" w:cs="Arial"/>
              </w:rPr>
            </w:pPr>
            <m:oMath>
              <m:sSub>
                <m:sSubPr>
                  <m:ctrlPr>
                    <w:rPr>
                      <w:rFonts w:ascii="Cambria Math" w:hAnsi="Cambria Math"/>
                      <w:i/>
                      <w:szCs w:val="22"/>
                    </w:rPr>
                  </m:ctrlPr>
                </m:sSubPr>
                <m:e>
                  <m:r>
                    <w:rPr>
                      <w:rFonts w:ascii="Cambria Math" w:hAnsi="Cambria Math"/>
                      <w:szCs w:val="22"/>
                    </w:rPr>
                    <m:t>TM</m:t>
                  </m:r>
                </m:e>
                <m:sub>
                  <m:r>
                    <w:rPr>
                      <w:rFonts w:ascii="Cambria Math" w:hAnsi="Cambria Math"/>
                      <w:szCs w:val="22"/>
                    </w:rPr>
                    <m:t>m</m:t>
                  </m:r>
                </m:sub>
              </m:sSub>
            </m:oMath>
            <w:r w:rsidR="00DC511A" w:rsidRPr="00884F77">
              <w:rPr>
                <w:rFonts w:ascii="Bookman Old Style" w:hAnsi="Bookman Old Style" w:cs="Arial"/>
              </w:rPr>
              <w:t>:</w:t>
            </w:r>
          </w:p>
        </w:tc>
        <w:tc>
          <w:tcPr>
            <w:tcW w:w="7580" w:type="dxa"/>
          </w:tcPr>
          <w:p w:rsidR="00DC511A" w:rsidRPr="00884F77" w:rsidRDefault="00DC511A" w:rsidP="000F3FD8">
            <w:pPr>
              <w:ind w:left="-37"/>
              <w:jc w:val="both"/>
              <w:rPr>
                <w:rFonts w:ascii="Bookman Old Style" w:hAnsi="Bookman Old Style" w:cs="Arial"/>
              </w:rPr>
            </w:pPr>
            <w:r w:rsidRPr="00884F77">
              <w:rPr>
                <w:rFonts w:ascii="Bookman Old Style" w:hAnsi="Bookman Old Style" w:cs="Arial"/>
                <w:bCs/>
                <w:lang w:val="x-none" w:eastAsia="x-none"/>
              </w:rPr>
              <w:t>C</w:t>
            </w:r>
            <w:r w:rsidRPr="00884F77">
              <w:rPr>
                <w:rFonts w:ascii="Bookman Old Style" w:hAnsi="Bookman Old Style" w:cs="Arial"/>
                <w:bCs/>
                <w:lang w:val="es-CO" w:eastAsia="x-none"/>
              </w:rPr>
              <w:t xml:space="preserve">argo de monitoreo </w:t>
            </w:r>
            <w:r w:rsidRPr="00884F77">
              <w:rPr>
                <w:rFonts w:ascii="Bookman Old Style" w:hAnsi="Bookman Old Style" w:cs="Arial"/>
                <w:bCs/>
                <w:lang w:val="x-none" w:eastAsia="x-none"/>
              </w:rPr>
              <w:t>correspondiente al mes m de prestación del servicio</w:t>
            </w:r>
            <w:r w:rsidRPr="00884F77">
              <w:rPr>
                <w:rFonts w:ascii="Bookman Old Style" w:hAnsi="Bookman Old Style" w:cs="Arial"/>
                <w:spacing w:val="-3"/>
              </w:rPr>
              <w:t xml:space="preserve">, </w:t>
            </w:r>
            <w:r w:rsidRPr="00884F77">
              <w:rPr>
                <w:rFonts w:ascii="Bookman Old Style" w:hAnsi="Bookman Old Style" w:cs="Arial"/>
              </w:rPr>
              <w:t>expresado en pesos por kilovatio hora ($/</w:t>
            </w:r>
            <w:proofErr w:type="spellStart"/>
            <w:r w:rsidRPr="00884F77">
              <w:rPr>
                <w:rFonts w:ascii="Bookman Old Style" w:hAnsi="Bookman Old Style" w:cs="Arial"/>
              </w:rPr>
              <w:t>kWh</w:t>
            </w:r>
            <w:proofErr w:type="spellEnd"/>
            <w:r w:rsidRPr="00884F77">
              <w:rPr>
                <w:rFonts w:ascii="Bookman Old Style" w:hAnsi="Bookman Old Style" w:cs="Arial"/>
              </w:rPr>
              <w:t>).</w:t>
            </w:r>
          </w:p>
          <w:p w:rsidR="000F3FD8" w:rsidRPr="00884F77" w:rsidRDefault="000F3FD8" w:rsidP="00DC511A">
            <w:pPr>
              <w:ind w:left="141"/>
              <w:jc w:val="both"/>
              <w:rPr>
                <w:rFonts w:ascii="Bookman Old Style" w:hAnsi="Bookman Old Style" w:cs="Arial"/>
              </w:rPr>
            </w:pPr>
          </w:p>
        </w:tc>
      </w:tr>
      <w:tr w:rsidR="00884F77" w:rsidRPr="00884F77" w:rsidTr="00965FD6">
        <w:tc>
          <w:tcPr>
            <w:tcW w:w="1209" w:type="dxa"/>
          </w:tcPr>
          <w:p w:rsidR="00DC511A" w:rsidRPr="00884F77" w:rsidRDefault="008307C2" w:rsidP="00911CDA">
            <w:pPr>
              <w:ind w:left="0"/>
              <w:rPr>
                <w:rFonts w:ascii="Bookman Old Style" w:hAnsi="Bookman Old Style" w:cs="Arial"/>
              </w:rPr>
            </w:pPr>
            <m:oMath>
              <m:sSub>
                <m:sSubPr>
                  <m:ctrlPr>
                    <w:rPr>
                      <w:rFonts w:ascii="Cambria Math" w:hAnsi="Cambria Math" w:cs="Arial"/>
                      <w:i/>
                    </w:rPr>
                  </m:ctrlPr>
                </m:sSubPr>
                <m:e>
                  <m:r>
                    <w:rPr>
                      <w:rFonts w:ascii="Cambria Math" w:hAnsi="Cambria Math" w:cs="Arial"/>
                    </w:rPr>
                    <m:t>Itv</m:t>
                  </m:r>
                </m:e>
                <m:sub>
                  <m:r>
                    <w:rPr>
                      <w:rFonts w:ascii="Cambria Math" w:hAnsi="Cambria Math" w:cs="Arial"/>
                    </w:rPr>
                    <m:t>m</m:t>
                  </m:r>
                </m:sub>
              </m:sSub>
            </m:oMath>
            <w:r w:rsidR="00DC511A" w:rsidRPr="00884F77">
              <w:rPr>
                <w:rFonts w:ascii="Bookman Old Style" w:hAnsi="Bookman Old Style" w:cs="Arial"/>
              </w:rPr>
              <w:t>:</w:t>
            </w:r>
          </w:p>
        </w:tc>
        <w:tc>
          <w:tcPr>
            <w:tcW w:w="7580" w:type="dxa"/>
          </w:tcPr>
          <w:p w:rsidR="00DC511A" w:rsidRPr="00884F77" w:rsidRDefault="00DC511A" w:rsidP="000F3FD8">
            <w:pPr>
              <w:ind w:left="0"/>
              <w:jc w:val="both"/>
              <w:rPr>
                <w:rFonts w:ascii="Bookman Old Style" w:hAnsi="Bookman Old Style" w:cs="Arial"/>
              </w:rPr>
            </w:pPr>
            <w:r w:rsidRPr="00884F77">
              <w:rPr>
                <w:rFonts w:ascii="Bookman Old Style" w:hAnsi="Bookman Old Style" w:cs="Arial"/>
              </w:rPr>
              <w:t>Cargo de interventoría correspondiente al mes m de prestación del servicio, expresado en pesos por kilovatio hora ($/</w:t>
            </w:r>
            <w:proofErr w:type="spellStart"/>
            <w:r w:rsidRPr="00884F77">
              <w:rPr>
                <w:rFonts w:ascii="Bookman Old Style" w:hAnsi="Bookman Old Style" w:cs="Arial"/>
              </w:rPr>
              <w:t>kWh</w:t>
            </w:r>
            <w:proofErr w:type="spellEnd"/>
            <w:r w:rsidRPr="00884F77">
              <w:rPr>
                <w:rFonts w:ascii="Bookman Old Style" w:hAnsi="Bookman Old Style" w:cs="Arial"/>
              </w:rPr>
              <w:t>).</w:t>
            </w:r>
          </w:p>
        </w:tc>
      </w:tr>
    </w:tbl>
    <w:p w:rsidR="009A750E" w:rsidRPr="00884F77" w:rsidRDefault="00936101" w:rsidP="000F3FD8">
      <w:pPr>
        <w:tabs>
          <w:tab w:val="left" w:pos="1134"/>
        </w:tabs>
        <w:jc w:val="both"/>
        <w:rPr>
          <w:rFonts w:ascii="Bookman Old Style" w:hAnsi="Bookman Old Style" w:cs="Arial"/>
        </w:rPr>
      </w:pPr>
      <w:r w:rsidRPr="00884F77">
        <w:rPr>
          <w:rFonts w:ascii="Bookman Old Style" w:hAnsi="Bookman Old Style" w:cs="Arial"/>
        </w:rPr>
        <w:tab/>
      </w: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791"/>
      </w:tblGrid>
      <w:tr w:rsidR="00965FD6" w:rsidRPr="00884F77" w:rsidTr="007458F2">
        <w:tc>
          <w:tcPr>
            <w:tcW w:w="988" w:type="dxa"/>
          </w:tcPr>
          <w:p w:rsidR="00965FD6" w:rsidRPr="00884F77" w:rsidRDefault="008307C2" w:rsidP="007458F2">
            <w:pPr>
              <w:ind w:left="0"/>
              <w:rPr>
                <w:rFonts w:ascii="Bookman Old Style" w:hAnsi="Bookman Old Style" w:cs="Arial"/>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00965FD6" w:rsidRPr="00884F77">
              <w:rPr>
                <w:rFonts w:ascii="Bookman Old Style" w:hAnsi="Bookman Old Style" w:cs="Arial"/>
              </w:rPr>
              <w:t>:</w:t>
            </w:r>
          </w:p>
        </w:tc>
        <w:tc>
          <w:tcPr>
            <w:tcW w:w="7791" w:type="dxa"/>
          </w:tcPr>
          <w:p w:rsidR="00965FD6" w:rsidRPr="00884F77" w:rsidRDefault="00965FD6" w:rsidP="007458F2">
            <w:pPr>
              <w:ind w:left="0" w:right="-29"/>
              <w:jc w:val="both"/>
              <w:rPr>
                <w:rFonts w:ascii="Bookman Old Style" w:hAnsi="Bookman Old Style" w:cs="Arial"/>
              </w:rPr>
            </w:pPr>
            <w:r w:rsidRPr="00884F77">
              <w:rPr>
                <w:rFonts w:ascii="Bookman Old Style" w:hAnsi="Bookman Old Style" w:cs="Arial"/>
              </w:rPr>
              <w:t>Ahorro en los costos de combustibles de origen fósil, ya sea por la incorporación de equipos que mejoren la eficiencia de las plantas de generación, por el reemplazo de alguna de éstas o por la sustitución de combustible o de tecnología, en el mes m, expresado en pesos por kilovatio hora ($/</w:t>
            </w:r>
            <w:proofErr w:type="spellStart"/>
            <w:r w:rsidRPr="00884F77">
              <w:rPr>
                <w:rFonts w:ascii="Bookman Old Style" w:hAnsi="Bookman Old Style" w:cs="Arial"/>
              </w:rPr>
              <w:t>kWh</w:t>
            </w:r>
            <w:proofErr w:type="spellEnd"/>
            <w:r w:rsidRPr="00884F77">
              <w:rPr>
                <w:rFonts w:ascii="Bookman Old Style" w:hAnsi="Bookman Old Style" w:cs="Arial"/>
              </w:rPr>
              <w:t>), calculado de la siguiente manera:</w:t>
            </w:r>
          </w:p>
          <w:p w:rsidR="00965FD6" w:rsidRPr="00884F77" w:rsidRDefault="00965FD6" w:rsidP="007458F2">
            <w:pPr>
              <w:tabs>
                <w:tab w:val="left" w:pos="284"/>
                <w:tab w:val="left" w:pos="426"/>
              </w:tabs>
              <w:ind w:left="1134" w:right="-29" w:hanging="1134"/>
              <w:jc w:val="both"/>
              <w:rPr>
                <w:rFonts w:ascii="Bookman Old Style" w:hAnsi="Bookman Old Style" w:cs="Arial"/>
              </w:rPr>
            </w:pPr>
          </w:p>
          <w:p w:rsidR="00965FD6" w:rsidRPr="00884F77" w:rsidRDefault="008307C2" w:rsidP="007458F2">
            <w:pPr>
              <w:ind w:left="1134" w:right="-29"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r>
                      <w:rPr>
                        <w:rFonts w:ascii="Cambria Math" w:hAnsi="Cambria Math" w:cs="Arial"/>
                      </w:rPr>
                      <m:t>α</m:t>
                    </m:r>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nary>
                  <m:naryPr>
                    <m:chr m:val="∑"/>
                    <m:limLoc m:val="subSup"/>
                    <m:ctrlPr>
                      <w:rPr>
                        <w:rFonts w:ascii="Cambria Math" w:hAnsi="Cambria Math" w:cs="Arial"/>
                        <w:i/>
                      </w:rPr>
                    </m:ctrlPr>
                  </m:naryPr>
                  <m:sub>
                    <m:r>
                      <w:rPr>
                        <w:rFonts w:ascii="Cambria Math" w:hAnsi="Cambria Math" w:cs="Arial"/>
                      </w:rPr>
                      <m:t>j=1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(CEC</m:t>
                        </m:r>
                      </m:e>
                      <m:sub>
                        <m:r>
                          <w:rPr>
                            <w:rFonts w:ascii="Cambria Math" w:hAnsi="Cambria Math" w:cs="Arial"/>
                          </w:rPr>
                          <m:t>i,j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PC</m:t>
                        </m:r>
                      </m:e>
                      <m:sub>
                        <m:r>
                          <w:rPr>
                            <w:rFonts w:ascii="Cambria Math" w:hAnsi="Cambria Math" w:cs="Arial"/>
                          </w:rPr>
                          <m:t>i,m</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CEC</m:t>
                        </m:r>
                      </m:e>
                      <m:sub>
                        <m:r>
                          <w:rPr>
                            <w:rFonts w:ascii="Cambria Math" w:hAnsi="Cambria Math" w:cs="Arial"/>
                          </w:rPr>
                          <m:t>f,j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PC</m:t>
                        </m:r>
                      </m:e>
                      <m:sub>
                        <m:r>
                          <w:rPr>
                            <w:rFonts w:ascii="Cambria Math" w:hAnsi="Cambria Math" w:cs="Arial"/>
                          </w:rPr>
                          <m:t>f,m</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e>
                </m:nary>
              </m:oMath>
            </m:oMathPara>
          </w:p>
          <w:p w:rsidR="00965FD6" w:rsidRPr="00884F77" w:rsidRDefault="00965FD6" w:rsidP="007458F2">
            <w:pPr>
              <w:ind w:left="0" w:right="335"/>
              <w:rPr>
                <w:rFonts w:ascii="Bookman Old Style" w:hAnsi="Bookman Old Style" w:cs="Arial"/>
              </w:rPr>
            </w:pPr>
          </w:p>
          <w:p w:rsidR="00965FD6" w:rsidRPr="00884F77" w:rsidRDefault="00965FD6" w:rsidP="007458F2">
            <w:pPr>
              <w:ind w:left="142" w:right="335"/>
              <w:rPr>
                <w:rFonts w:ascii="Bookman Old Style" w:hAnsi="Bookman Old Style" w:cs="Arial"/>
              </w:rPr>
            </w:pPr>
            <w:r w:rsidRPr="00884F77">
              <w:rPr>
                <w:rFonts w:ascii="Bookman Old Style" w:hAnsi="Bookman Old Style" w:cs="Arial"/>
              </w:rPr>
              <w:t>Donde:</w:t>
            </w:r>
          </w:p>
          <w:p w:rsidR="00965FD6" w:rsidRPr="00884F77" w:rsidRDefault="00965FD6" w:rsidP="007458F2">
            <w:pPr>
              <w:ind w:left="0" w:right="335"/>
              <w:rPr>
                <w:rFonts w:ascii="Bookman Old Style" w:hAnsi="Bookman Old Style" w:cs="Arial"/>
              </w:rPr>
            </w:pPr>
          </w:p>
          <w:p w:rsidR="00965FD6" w:rsidRPr="00884F77" w:rsidRDefault="008307C2" w:rsidP="007458F2">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w:r w:rsidR="00965FD6" w:rsidRPr="00884F77">
              <w:rPr>
                <w:rFonts w:ascii="Bookman Old Style" w:hAnsi="Bookman Old Style" w:cs="Arial"/>
              </w:rPr>
              <w:t>:</w:t>
            </w:r>
            <w:r w:rsidR="00965FD6" w:rsidRPr="00884F77">
              <w:rPr>
                <w:rFonts w:ascii="Bookman Old Style" w:hAnsi="Bookman Old Style" w:cs="Arial"/>
              </w:rPr>
              <w:tab/>
              <w:t>Energía total entregada al sistema de distribución en el mes m-1, por las n plantas reemplazadas, con sustitución de combustible o de tecnología. Este valor se expresa en kilovatios hora (</w:t>
            </w:r>
            <w:proofErr w:type="spellStart"/>
            <w:r w:rsidR="00965FD6" w:rsidRPr="00884F77">
              <w:rPr>
                <w:rFonts w:ascii="Bookman Old Style" w:hAnsi="Bookman Old Style" w:cs="Arial"/>
              </w:rPr>
              <w:t>kWh</w:t>
            </w:r>
            <w:proofErr w:type="spellEnd"/>
            <w:r w:rsidR="00965FD6" w:rsidRPr="00884F77">
              <w:rPr>
                <w:rFonts w:ascii="Bookman Old Style" w:hAnsi="Bookman Old Style" w:cs="Arial"/>
              </w:rPr>
              <w:t>) y será medido en bornes del generador.</w:t>
            </w:r>
          </w:p>
          <w:p w:rsidR="00965FD6" w:rsidRPr="00884F77" w:rsidRDefault="00965FD6" w:rsidP="007458F2">
            <w:pPr>
              <w:ind w:left="1134" w:hanging="993"/>
              <w:jc w:val="both"/>
              <w:rPr>
                <w:rFonts w:ascii="Bookman Old Style" w:hAnsi="Bookman Old Style" w:cs="Arial"/>
              </w:rPr>
            </w:pPr>
          </w:p>
          <w:p w:rsidR="003B4CB0" w:rsidRPr="00884F77" w:rsidRDefault="00965FD6" w:rsidP="003B4CB0">
            <w:pPr>
              <w:ind w:left="1134" w:hanging="951"/>
              <w:jc w:val="both"/>
              <w:rPr>
                <w:rFonts w:ascii="Bookman Old Style" w:hAnsi="Bookman Old Style"/>
              </w:rPr>
            </w:pPr>
            <m:oMath>
              <m:r>
                <w:rPr>
                  <w:rFonts w:ascii="Cambria Math" w:hAnsi="Cambria Math" w:cs="Arial"/>
                </w:rPr>
                <m:t>α</m:t>
              </m:r>
            </m:oMath>
            <w:r w:rsidRPr="00884F77">
              <w:rPr>
                <w:rFonts w:ascii="Bookman Old Style" w:hAnsi="Bookman Old Style" w:cs="Arial"/>
              </w:rPr>
              <w:t>:</w:t>
            </w:r>
            <w:r w:rsidRPr="00884F77">
              <w:rPr>
                <w:rFonts w:ascii="Bookman Old Style" w:hAnsi="Bookman Old Style" w:cs="Arial"/>
              </w:rPr>
              <w:tab/>
            </w:r>
            <w:r w:rsidR="003B4CB0" w:rsidRPr="00884F77">
              <w:rPr>
                <w:rFonts w:ascii="Bookman Old Style" w:hAnsi="Bookman Old Style"/>
              </w:rPr>
              <w:t xml:space="preserve">Factor de ahorro determinado por el Ministerio de           Minas y Energía y estipulado </w:t>
            </w:r>
            <w:r w:rsidR="003B4CB0">
              <w:rPr>
                <w:rFonts w:ascii="Bookman Old Style" w:hAnsi="Bookman Old Style"/>
              </w:rPr>
              <w:t>por proyecto en el contrato</w:t>
            </w:r>
            <w:r w:rsidR="003B4CB0" w:rsidRPr="00884F77">
              <w:rPr>
                <w:rFonts w:ascii="Bookman Old Style" w:hAnsi="Bookman Old Style"/>
              </w:rPr>
              <w:t xml:space="preserve">. Este factor podrá tomar valores </w:t>
            </w:r>
            <w:r w:rsidR="003B4CB0">
              <w:rPr>
                <w:rFonts w:ascii="Bookman Old Style" w:hAnsi="Bookman Old Style"/>
              </w:rPr>
              <w:t xml:space="preserve">mayores que </w:t>
            </w:r>
            <w:r w:rsidR="003B4CB0" w:rsidRPr="00884F77">
              <w:rPr>
                <w:rFonts w:ascii="Bookman Old Style" w:hAnsi="Bookman Old Style"/>
              </w:rPr>
              <w:t xml:space="preserve">cero (0) </w:t>
            </w:r>
            <w:r w:rsidR="003B4CB0">
              <w:rPr>
                <w:rFonts w:ascii="Bookman Old Style" w:hAnsi="Bookman Old Style"/>
              </w:rPr>
              <w:t xml:space="preserve">y menores que </w:t>
            </w:r>
            <w:r w:rsidR="003B4CB0" w:rsidRPr="00884F77">
              <w:rPr>
                <w:rFonts w:ascii="Bookman Old Style" w:hAnsi="Bookman Old Style"/>
              </w:rPr>
              <w:t>uno (1).</w:t>
            </w:r>
          </w:p>
          <w:p w:rsidR="00965FD6" w:rsidRPr="00884F77" w:rsidRDefault="00965FD6" w:rsidP="007458F2">
            <w:pPr>
              <w:ind w:left="1134" w:hanging="951"/>
              <w:jc w:val="both"/>
              <w:rPr>
                <w:rFonts w:ascii="Bookman Old Style" w:hAnsi="Bookman Old Style"/>
              </w:rPr>
            </w:pPr>
          </w:p>
          <w:p w:rsidR="00965FD6" w:rsidRPr="00884F77" w:rsidRDefault="00965FD6" w:rsidP="007458F2">
            <w:pPr>
              <w:ind w:left="1134" w:hanging="951"/>
              <w:jc w:val="both"/>
              <w:rPr>
                <w:rFonts w:ascii="Bookman Old Style" w:hAnsi="Bookman Old Style"/>
              </w:rPr>
            </w:pPr>
            <m:oMath>
              <m:r>
                <w:rPr>
                  <w:rFonts w:ascii="Cambria Math" w:hAnsi="Cambria Math" w:cs="Arial"/>
                </w:rPr>
                <m:t>k</m:t>
              </m:r>
            </m:oMath>
            <w:r w:rsidRPr="00884F77">
              <w:rPr>
                <w:rFonts w:ascii="Bookman Old Style" w:hAnsi="Bookman Old Style" w:cs="Arial"/>
              </w:rPr>
              <w:t>:</w:t>
            </w:r>
            <w:r w:rsidRPr="00884F77">
              <w:rPr>
                <w:rFonts w:ascii="Bookman Old Style" w:hAnsi="Bookman Old Style" w:cs="Arial"/>
              </w:rPr>
              <w:tab/>
            </w:r>
            <w:r w:rsidRPr="00884F77">
              <w:rPr>
                <w:rFonts w:ascii="Bookman Old Style" w:hAnsi="Bookman Old Style"/>
              </w:rPr>
              <w:t>Número de plantas que fueron reemplazadas o para las cuales se sustituyeron combustibles por otros más económicos.</w:t>
            </w:r>
          </w:p>
          <w:p w:rsidR="00965FD6" w:rsidRPr="00884F77" w:rsidRDefault="00965FD6" w:rsidP="007458F2">
            <w:pPr>
              <w:ind w:left="0"/>
              <w:jc w:val="both"/>
              <w:rPr>
                <w:rFonts w:ascii="Bookman Old Style" w:hAnsi="Bookman Old Style" w:cs="Arial"/>
              </w:rPr>
            </w:pPr>
          </w:p>
          <w:p w:rsidR="00965FD6" w:rsidRPr="00884F77" w:rsidRDefault="00965FD6" w:rsidP="007458F2">
            <w:pPr>
              <w:tabs>
                <w:tab w:val="left" w:pos="1134"/>
                <w:tab w:val="left" w:pos="1701"/>
              </w:tabs>
              <w:ind w:left="142" w:firstLine="41"/>
              <w:jc w:val="both"/>
              <w:rPr>
                <w:rFonts w:ascii="Bookman Old Style" w:hAnsi="Bookman Old Style"/>
              </w:rPr>
            </w:pPr>
            <m:oMath>
              <m:r>
                <w:rPr>
                  <w:rFonts w:ascii="Cambria Math" w:hAnsi="Cambria Math" w:cs="Arial"/>
                </w:rPr>
                <m:t>j</m:t>
              </m:r>
            </m:oMath>
            <w:r w:rsidRPr="00884F77">
              <w:rPr>
                <w:rFonts w:ascii="Bookman Old Style" w:hAnsi="Bookman Old Style" w:cs="Arial"/>
              </w:rPr>
              <w:t>:</w:t>
            </w:r>
            <w:r w:rsidRPr="00884F77">
              <w:rPr>
                <w:rFonts w:ascii="Bookman Old Style" w:hAnsi="Bookman Old Style" w:cs="Arial"/>
              </w:rPr>
              <w:tab/>
            </w:r>
            <w:r w:rsidRPr="00884F77">
              <w:rPr>
                <w:rFonts w:ascii="Bookman Old Style" w:hAnsi="Bookman Old Style"/>
              </w:rPr>
              <w:t>Planta j del parque de generación.</w:t>
            </w:r>
          </w:p>
          <w:p w:rsidR="00965FD6" w:rsidRPr="00884F77" w:rsidRDefault="00965FD6" w:rsidP="007458F2">
            <w:pPr>
              <w:ind w:left="0"/>
              <w:jc w:val="both"/>
              <w:rPr>
                <w:rFonts w:ascii="Bookman Old Style" w:hAnsi="Bookman Old Style" w:cs="Arial"/>
              </w:rPr>
            </w:pPr>
          </w:p>
          <w:p w:rsidR="00965FD6" w:rsidRPr="00884F77" w:rsidRDefault="008307C2" w:rsidP="007458F2">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i,j</m:t>
                  </m:r>
                </m:sub>
              </m:sSub>
            </m:oMath>
            <w:r w:rsidR="00965FD6" w:rsidRPr="00884F77">
              <w:rPr>
                <w:rFonts w:ascii="Bookman Old Style" w:hAnsi="Bookman Old Style" w:cs="Arial"/>
              </w:rPr>
              <w:t>:</w:t>
            </w:r>
            <w:r w:rsidR="00965FD6" w:rsidRPr="00884F77">
              <w:rPr>
                <w:rFonts w:ascii="Bookman Old Style" w:hAnsi="Bookman Old Style" w:cs="Arial"/>
              </w:rPr>
              <w:tab/>
              <w:t xml:space="preserve">Consumo específico de combustible inicial de origen fósil de la planta j que es adecuada, reemplazada o cuyo combustible es sustituido por uno más económico. Esta variable se expresa en millones de BTU por </w:t>
            </w:r>
            <w:r w:rsidR="00965FD6" w:rsidRPr="00884F77">
              <w:rPr>
                <w:rFonts w:ascii="Bookman Old Style" w:hAnsi="Bookman Old Style" w:cs="Arial"/>
              </w:rPr>
              <w:lastRenderedPageBreak/>
              <w:t>kilovatio hora (MBTU/</w:t>
            </w:r>
            <w:proofErr w:type="spellStart"/>
            <w:r w:rsidR="00965FD6" w:rsidRPr="00884F77">
              <w:rPr>
                <w:rFonts w:ascii="Bookman Old Style" w:hAnsi="Bookman Old Style" w:cs="Arial"/>
              </w:rPr>
              <w:t>kWh</w:t>
            </w:r>
            <w:proofErr w:type="spellEnd"/>
            <w:r w:rsidR="00965FD6" w:rsidRPr="00884F77">
              <w:rPr>
                <w:rFonts w:ascii="Bookman Old Style" w:hAnsi="Bookman Old Style" w:cs="Arial"/>
              </w:rPr>
              <w:t>). En caso de que la planta utilice diésel No. 2 o diésel No. 6 como combustible, este consumo será expresado en galones por kilovatio hora (gal/</w:t>
            </w:r>
            <w:proofErr w:type="spellStart"/>
            <w:r w:rsidR="00965FD6" w:rsidRPr="00884F77">
              <w:rPr>
                <w:rFonts w:ascii="Bookman Old Style" w:hAnsi="Bookman Old Style" w:cs="Arial"/>
              </w:rPr>
              <w:t>kWh</w:t>
            </w:r>
            <w:proofErr w:type="spellEnd"/>
            <w:r w:rsidR="00965FD6" w:rsidRPr="00884F77">
              <w:rPr>
                <w:rFonts w:ascii="Bookman Old Style" w:hAnsi="Bookman Old Style" w:cs="Arial"/>
              </w:rPr>
              <w:t>). El valor de esta variable será el ofertado por el adjudicatario de la obligación de prestación del servicio, para cada planta j, en la propuesta que presente en el proceso competitivo. El consumo específico de combustible será calculado en bornes del generador. En caso de ser necesaria la aplicación de una equivalencia calorífica, ésta será determinada por el Ministerio de Minas y Energía.</w:t>
            </w:r>
          </w:p>
          <w:p w:rsidR="00965FD6" w:rsidRPr="00884F77" w:rsidRDefault="00965FD6" w:rsidP="007458F2">
            <w:pPr>
              <w:ind w:left="0"/>
              <w:jc w:val="both"/>
              <w:rPr>
                <w:rFonts w:ascii="Bookman Old Style" w:hAnsi="Bookman Old Style" w:cs="Arial"/>
              </w:rPr>
            </w:pPr>
          </w:p>
          <w:p w:rsidR="00965FD6" w:rsidRPr="00884F77" w:rsidRDefault="008307C2" w:rsidP="007458F2">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f,j</m:t>
                  </m:r>
                </m:sub>
              </m:sSub>
            </m:oMath>
            <w:r w:rsidR="00965FD6" w:rsidRPr="00884F77">
              <w:rPr>
                <w:rFonts w:ascii="Bookman Old Style" w:hAnsi="Bookman Old Style" w:cs="Arial"/>
              </w:rPr>
              <w:t>:</w:t>
            </w:r>
            <w:r w:rsidR="00965FD6" w:rsidRPr="00884F77">
              <w:rPr>
                <w:rFonts w:ascii="Bookman Old Style" w:hAnsi="Bookman Old Style" w:cs="Arial"/>
              </w:rPr>
              <w:tab/>
              <w:t>Consumo específico de combustible final de origen fósil de la planta j que sustituye a la que es adecuada, reemplazada o cuyo combustible es sustituido por uno más económico. Esta variable se expresa en millones de BTU por kilovatio hora (MBTU/</w:t>
            </w:r>
            <w:proofErr w:type="spellStart"/>
            <w:r w:rsidR="00965FD6" w:rsidRPr="00884F77">
              <w:rPr>
                <w:rFonts w:ascii="Bookman Old Style" w:hAnsi="Bookman Old Style" w:cs="Arial"/>
              </w:rPr>
              <w:t>kWh</w:t>
            </w:r>
            <w:proofErr w:type="spellEnd"/>
            <w:r w:rsidR="00965FD6" w:rsidRPr="00884F77">
              <w:rPr>
                <w:rFonts w:ascii="Bookman Old Style" w:hAnsi="Bookman Old Style" w:cs="Arial"/>
              </w:rPr>
              <w:t>). En caso de que la planta utilice diésel No. 2 o diésel No. 6 como combustible, este consumo será expresado en galones por kilovatio hora (gal/</w:t>
            </w:r>
            <w:proofErr w:type="spellStart"/>
            <w:r w:rsidR="00965FD6" w:rsidRPr="00884F77">
              <w:rPr>
                <w:rFonts w:ascii="Bookman Old Style" w:hAnsi="Bookman Old Style" w:cs="Arial"/>
              </w:rPr>
              <w:t>kWh</w:t>
            </w:r>
            <w:proofErr w:type="spellEnd"/>
            <w:r w:rsidR="00965FD6" w:rsidRPr="00884F77">
              <w:rPr>
                <w:rFonts w:ascii="Bookman Old Style" w:hAnsi="Bookman Old Style" w:cs="Arial"/>
              </w:rPr>
              <w:t>). El valor de esta variable será el propuesto por el adjudicatario de la obligación de prestación del servicio, para cada planta j, durante la ejecución del contrato. El consumo específico de combustible será calculado en bornes del generador. En caso de ser necesaria la aplicación de una equivalencia calorífica, ésta será determinada por el Ministerio de Minas y Energía.</w:t>
            </w:r>
          </w:p>
          <w:p w:rsidR="00965FD6" w:rsidRPr="00884F77" w:rsidRDefault="00965FD6" w:rsidP="007458F2">
            <w:pPr>
              <w:ind w:left="1134" w:hanging="993"/>
              <w:jc w:val="both"/>
              <w:rPr>
                <w:rFonts w:ascii="Bookman Old Style" w:hAnsi="Bookman Old Style" w:cs="Arial"/>
              </w:rPr>
            </w:pPr>
          </w:p>
          <w:p w:rsidR="00965FD6" w:rsidRPr="00884F77" w:rsidRDefault="008307C2" w:rsidP="007458F2">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PC</m:t>
                  </m:r>
                </m:e>
                <m:sub>
                  <m:r>
                    <w:rPr>
                      <w:rFonts w:ascii="Cambria Math" w:hAnsi="Cambria Math" w:cs="Arial"/>
                    </w:rPr>
                    <m:t>i,m</m:t>
                  </m:r>
                </m:sub>
              </m:sSub>
            </m:oMath>
            <w:r w:rsidR="00965FD6" w:rsidRPr="00884F77">
              <w:rPr>
                <w:rFonts w:ascii="Bookman Old Style" w:hAnsi="Bookman Old Style" w:cs="Arial"/>
              </w:rPr>
              <w:t>:</w:t>
            </w:r>
            <w:r w:rsidR="00965FD6" w:rsidRPr="00884F77">
              <w:rPr>
                <w:rFonts w:ascii="Bookman Old Style" w:hAnsi="Bookman Old Style" w:cs="Arial"/>
              </w:rPr>
              <w:tab/>
              <w:t>Precio del combustible, puesto en el sitio de la planta j del parque de generación inicial. Esta variable se expresa en pesos por millones de BTU ($/MBTU). En caso de que la planta utilizara diésel No. 2 o diésel No. 6 co</w:t>
            </w:r>
            <w:proofErr w:type="spellStart"/>
            <w:r w:rsidR="00965FD6" w:rsidRPr="00884F77">
              <w:rPr>
                <w:rFonts w:ascii="Bookman Old Style" w:hAnsi="Bookman Old Style" w:cs="Arial"/>
              </w:rPr>
              <w:t>mo</w:t>
            </w:r>
            <w:proofErr w:type="spellEnd"/>
            <w:r w:rsidR="00965FD6" w:rsidRPr="00884F77">
              <w:rPr>
                <w:rFonts w:ascii="Bookman Old Style" w:hAnsi="Bookman Old Style" w:cs="Arial"/>
              </w:rPr>
              <w:t xml:space="preserve"> combustible, este consumo será expresado en pesos por galón ($/gal). En caso de ser necesaria la aplicación de una equivalencia calorífica, ésta será determinada por el Ministerio de Minas y Energía.</w:t>
            </w:r>
          </w:p>
          <w:p w:rsidR="00965FD6" w:rsidRPr="00884F77" w:rsidRDefault="00965FD6" w:rsidP="007458F2">
            <w:pPr>
              <w:ind w:left="1134" w:hanging="993"/>
              <w:jc w:val="both"/>
              <w:rPr>
                <w:rFonts w:ascii="Bookman Old Style" w:hAnsi="Bookman Old Style" w:cs="Arial"/>
              </w:rPr>
            </w:pPr>
          </w:p>
          <w:p w:rsidR="00965FD6" w:rsidRPr="00884F77" w:rsidRDefault="008307C2" w:rsidP="007458F2">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PC</m:t>
                  </m:r>
                </m:e>
                <m:sub>
                  <m:r>
                    <w:rPr>
                      <w:rFonts w:ascii="Cambria Math" w:hAnsi="Cambria Math" w:cs="Arial"/>
                    </w:rPr>
                    <m:t>f,m</m:t>
                  </m:r>
                </m:sub>
              </m:sSub>
            </m:oMath>
            <w:r w:rsidR="00965FD6" w:rsidRPr="00884F77">
              <w:rPr>
                <w:rFonts w:ascii="Bookman Old Style" w:hAnsi="Bookman Old Style" w:cs="Arial"/>
              </w:rPr>
              <w:t>:</w:t>
            </w:r>
            <w:r w:rsidR="00965FD6" w:rsidRPr="00884F77">
              <w:rPr>
                <w:rFonts w:ascii="Bookman Old Style" w:hAnsi="Bookman Old Style" w:cs="Arial"/>
              </w:rPr>
              <w:tab/>
              <w:t>Precio del combustible sustituto, puesto en el sitio de la planta j del parque de generación final. Esta variable se expresa en pesos por millones de BTU ($/MBTU). En caso de que la planta utilizara diésel No. 2 o diésel No. 6 como combustible, este consumo será expresado en pesos por galón ($/gal). En caso de ser necesaria la aplicación de una equivalencia calorífica, ésta será determinada por el Ministerio de Minas y Energía.</w:t>
            </w:r>
          </w:p>
          <w:p w:rsidR="00965FD6" w:rsidRPr="00884F77" w:rsidRDefault="00965FD6" w:rsidP="007458F2">
            <w:pPr>
              <w:ind w:left="1134" w:hanging="993"/>
              <w:jc w:val="both"/>
              <w:rPr>
                <w:rFonts w:ascii="Bookman Old Style" w:hAnsi="Bookman Old Style" w:cs="Arial"/>
              </w:rPr>
            </w:pPr>
          </w:p>
          <w:p w:rsidR="00965FD6" w:rsidRPr="00884F77" w:rsidRDefault="008307C2" w:rsidP="007458F2">
            <w:pPr>
              <w:ind w:left="1134" w:hanging="993"/>
              <w:jc w:val="both"/>
              <w:rPr>
                <w:rFonts w:ascii="Bookman Old Style" w:hAnsi="Bookman Old Style"/>
              </w:rPr>
            </w:pPr>
            <m:oMath>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oMath>
            <w:r w:rsidR="00965FD6" w:rsidRPr="00884F77">
              <w:rPr>
                <w:rFonts w:ascii="Bookman Old Style" w:hAnsi="Bookman Old Style"/>
              </w:rPr>
              <w:t>:</w:t>
            </w:r>
            <w:r w:rsidR="00965FD6" w:rsidRPr="00884F77">
              <w:rPr>
                <w:rFonts w:ascii="Bookman Old Style" w:hAnsi="Bookman Old Style"/>
              </w:rPr>
              <w:tab/>
              <w:t xml:space="preserve">Energía entregada al sistema de distribución, en el mes m-1, por la planta j del parque de generación que fue adecuada, reemplazada o cuyo combustible fue sustituido por uno más económico. Esta variable se </w:t>
            </w:r>
            <w:r w:rsidR="00965FD6" w:rsidRPr="00884F77">
              <w:rPr>
                <w:rFonts w:ascii="Bookman Old Style" w:hAnsi="Bookman Old Style"/>
              </w:rPr>
              <w:lastRenderedPageBreak/>
              <w:t>expresa en kilovatios hora (</w:t>
            </w:r>
            <w:proofErr w:type="spellStart"/>
            <w:r w:rsidR="00965FD6" w:rsidRPr="00884F77">
              <w:rPr>
                <w:rFonts w:ascii="Bookman Old Style" w:hAnsi="Bookman Old Style"/>
              </w:rPr>
              <w:t>kWh</w:t>
            </w:r>
            <w:proofErr w:type="spellEnd"/>
            <w:r w:rsidR="00965FD6" w:rsidRPr="00884F77">
              <w:rPr>
                <w:rFonts w:ascii="Bookman Old Style" w:hAnsi="Bookman Old Style"/>
              </w:rPr>
              <w:t>) y será medida en bornes del generador.</w:t>
            </w:r>
          </w:p>
        </w:tc>
      </w:tr>
    </w:tbl>
    <w:p w:rsidR="00965FD6" w:rsidRPr="00884F77" w:rsidRDefault="00965FD6" w:rsidP="000F3FD8">
      <w:pPr>
        <w:tabs>
          <w:tab w:val="left" w:pos="1134"/>
        </w:tabs>
        <w:jc w:val="both"/>
        <w:rPr>
          <w:rFonts w:ascii="Bookman Old Style" w:hAnsi="Bookman Old Style" w:cs="Arial"/>
        </w:rPr>
      </w:pPr>
    </w:p>
    <w:p w:rsidR="00F357B9" w:rsidRPr="00884F77" w:rsidRDefault="00F357B9" w:rsidP="009A750E">
      <w:pPr>
        <w:pStyle w:val="Textoindependiente"/>
        <w:ind w:left="141"/>
        <w:jc w:val="both"/>
        <w:rPr>
          <w:rFonts w:ascii="Bookman Old Style" w:hAnsi="Bookman Old Style"/>
          <w:b w:val="0"/>
          <w:lang w:val="es-MX"/>
        </w:rPr>
      </w:pPr>
      <w:r w:rsidRPr="00884F77">
        <w:rPr>
          <w:rFonts w:ascii="Bookman Old Style" w:hAnsi="Bookman Old Style"/>
          <w:bCs w:val="0"/>
        </w:rPr>
        <w:t>Parágrafo 1</w:t>
      </w:r>
      <w:r w:rsidR="00C269D2" w:rsidRPr="00884F77">
        <w:rPr>
          <w:rFonts w:ascii="Bookman Old Style" w:hAnsi="Bookman Old Style"/>
          <w:bCs w:val="0"/>
        </w:rPr>
        <w:t xml:space="preserve">. </w:t>
      </w:r>
      <w:r w:rsidRPr="00884F77">
        <w:rPr>
          <w:rFonts w:ascii="Bookman Old Style" w:hAnsi="Bookman Old Style"/>
          <w:b w:val="0"/>
        </w:rPr>
        <w:t xml:space="preserve">A partir de la entrada en vigencia del cargo de monitoreo, se cobrará el componente </w:t>
      </w:r>
      <m:oMath>
        <m:sSub>
          <m:sSubPr>
            <m:ctrlPr>
              <w:rPr>
                <w:rFonts w:ascii="Cambria Math" w:hAnsi="Cambria Math"/>
                <w:b w:val="0"/>
                <w:i/>
                <w:szCs w:val="22"/>
              </w:rPr>
            </m:ctrlPr>
          </m:sSubPr>
          <m:e>
            <m:r>
              <m:rPr>
                <m:sty m:val="bi"/>
              </m:rPr>
              <w:rPr>
                <w:rFonts w:ascii="Cambria Math" w:hAnsi="Cambria Math"/>
                <w:szCs w:val="22"/>
              </w:rPr>
              <m:t>TM</m:t>
            </m:r>
          </m:e>
          <m:sub>
            <m:r>
              <m:rPr>
                <m:sty m:val="bi"/>
              </m:rPr>
              <w:rPr>
                <w:rFonts w:ascii="Cambria Math" w:hAnsi="Cambria Math"/>
                <w:szCs w:val="22"/>
              </w:rPr>
              <m:t>m</m:t>
            </m:r>
          </m:sub>
        </m:sSub>
      </m:oMath>
      <w:r w:rsidRPr="00884F77">
        <w:rPr>
          <w:rFonts w:ascii="Bookman Old Style" w:hAnsi="Bookman Old Style"/>
          <w:b w:val="0"/>
        </w:rPr>
        <w:t xml:space="preserve"> incluido en la fórmula tarifaria general. Este componente será igual a cero hasta tanto sea aprobado por la Comisión de Regulación de Energía y Gas mediante resoluci</w:t>
      </w:r>
      <w:proofErr w:type="spellStart"/>
      <w:r w:rsidRPr="00884F77">
        <w:rPr>
          <w:rFonts w:ascii="Bookman Old Style" w:hAnsi="Bookman Old Style"/>
          <w:b w:val="0"/>
        </w:rPr>
        <w:t>ón</w:t>
      </w:r>
      <w:proofErr w:type="spellEnd"/>
      <w:r w:rsidRPr="00884F77">
        <w:rPr>
          <w:rFonts w:ascii="Bookman Old Style" w:hAnsi="Bookman Old Style"/>
          <w:b w:val="0"/>
        </w:rPr>
        <w:t xml:space="preserve"> posterior. La Comisión de Regulación de Energía y Gas podrá revisar y ajustar el cargo de monitoreo, cuando lo considere necesario. </w:t>
      </w:r>
    </w:p>
    <w:p w:rsidR="00F357B9" w:rsidRPr="00884F77" w:rsidRDefault="00F357B9" w:rsidP="009A750E">
      <w:pPr>
        <w:ind w:left="141"/>
        <w:jc w:val="both"/>
        <w:rPr>
          <w:rFonts w:ascii="Bookman Old Style" w:hAnsi="Bookman Old Style" w:cs="Arial"/>
          <w:bCs/>
        </w:rPr>
      </w:pPr>
    </w:p>
    <w:p w:rsidR="00C269D2" w:rsidRPr="00884F77" w:rsidRDefault="00C269D2" w:rsidP="009A750E">
      <w:pPr>
        <w:ind w:left="141"/>
        <w:jc w:val="both"/>
        <w:rPr>
          <w:rFonts w:ascii="Bookman Old Style" w:hAnsi="Bookman Old Style" w:cs="Arial"/>
          <w:bCs/>
        </w:rPr>
      </w:pPr>
      <w:r w:rsidRPr="00884F77">
        <w:rPr>
          <w:rFonts w:ascii="Bookman Old Style" w:hAnsi="Bookman Old Style" w:cs="Arial"/>
          <w:b/>
        </w:rPr>
        <w:t>Parágrafo 2.</w:t>
      </w:r>
      <w:r w:rsidRPr="00884F77">
        <w:rPr>
          <w:rFonts w:ascii="Bookman Old Style" w:hAnsi="Bookman Old Style" w:cs="Arial"/>
          <w:bCs/>
        </w:rPr>
        <w:t xml:space="preserve"> Los adjudicatarios deberán instalar equipos de medición a distancia, los cuales deberán contar con parámetros de medición compatibles con el Centro Nacional de Monitoreo (CNM) o quien haga sus veces.</w:t>
      </w:r>
    </w:p>
    <w:p w:rsidR="00C269D2" w:rsidRPr="00884F77" w:rsidRDefault="00C269D2" w:rsidP="00F357B9">
      <w:pPr>
        <w:jc w:val="both"/>
        <w:rPr>
          <w:rFonts w:ascii="Bookman Old Style" w:hAnsi="Bookman Old Style" w:cs="Arial"/>
          <w:b/>
        </w:rPr>
      </w:pPr>
    </w:p>
    <w:p w:rsidR="00F357B9" w:rsidRPr="00884F77" w:rsidRDefault="00F357B9" w:rsidP="009A750E">
      <w:pPr>
        <w:ind w:left="141"/>
        <w:jc w:val="both"/>
        <w:rPr>
          <w:rFonts w:ascii="Bookman Old Style" w:hAnsi="Bookman Old Style" w:cs="Arial"/>
        </w:rPr>
      </w:pPr>
      <w:r w:rsidRPr="00884F77">
        <w:rPr>
          <w:rFonts w:ascii="Bookman Old Style" w:hAnsi="Bookman Old Style" w:cs="Arial"/>
          <w:b/>
        </w:rPr>
        <w:t xml:space="preserve">Parágrafo </w:t>
      </w:r>
      <w:r w:rsidR="00C269D2" w:rsidRPr="00884F77">
        <w:rPr>
          <w:rFonts w:ascii="Bookman Old Style" w:hAnsi="Bookman Old Style" w:cs="Arial"/>
          <w:b/>
        </w:rPr>
        <w:t>3</w:t>
      </w:r>
      <w:r w:rsidRPr="00884F77">
        <w:rPr>
          <w:rFonts w:ascii="Bookman Old Style" w:hAnsi="Bookman Old Style" w:cs="Arial"/>
          <w:b/>
        </w:rPr>
        <w:t xml:space="preserve">. </w:t>
      </w:r>
      <w:r w:rsidRPr="00884F77">
        <w:rPr>
          <w:rFonts w:ascii="Bookman Old Style" w:hAnsi="Bookman Old Style" w:cs="Arial"/>
          <w:bCs/>
          <w:lang w:val="es-CO"/>
        </w:rPr>
        <w:t xml:space="preserve">El componente  </w:t>
      </w:r>
      <m:oMath>
        <m:sSub>
          <m:sSubPr>
            <m:ctrlPr>
              <w:rPr>
                <w:rFonts w:ascii="Cambria Math" w:hAnsi="Cambria Math" w:cs="Arial"/>
                <w:i/>
              </w:rPr>
            </m:ctrlPr>
          </m:sSubPr>
          <m:e>
            <m:r>
              <w:rPr>
                <w:rFonts w:ascii="Cambria Math" w:hAnsi="Cambria Math" w:cs="Arial"/>
              </w:rPr>
              <m:t>Gc</m:t>
            </m:r>
          </m:e>
          <m:sub>
            <m:r>
              <w:rPr>
                <w:rFonts w:ascii="Cambria Math" w:hAnsi="Cambria Math" w:cs="Arial"/>
              </w:rPr>
              <m:t xml:space="preserve">m </m:t>
            </m:r>
          </m:sub>
        </m:sSub>
      </m:oMath>
      <w:r w:rsidRPr="00884F77">
        <w:rPr>
          <w:rFonts w:ascii="Bookman Old Style" w:hAnsi="Bookman Old Style" w:cs="Arial"/>
        </w:rPr>
        <w:t xml:space="preserve"> </w:t>
      </w:r>
      <w:r w:rsidRPr="00884F77">
        <w:rPr>
          <w:rFonts w:ascii="Bookman Old Style" w:hAnsi="Bookman Old Style" w:cs="Arial"/>
          <w:bCs/>
          <w:lang w:val="es-CO"/>
        </w:rPr>
        <w:t xml:space="preserve">será igual a cero en la fórmula de cálculo de </w:t>
      </w:r>
      <m:oMath>
        <m:sSub>
          <m:sSubPr>
            <m:ctrlPr>
              <w:rPr>
                <w:rFonts w:ascii="Cambria Math" w:hAnsi="Cambria Math" w:cs="Arial"/>
                <w:i/>
              </w:rPr>
            </m:ctrlPr>
          </m:sSubPr>
          <m:e>
            <m:r>
              <w:rPr>
                <w:rFonts w:ascii="Cambria Math" w:hAnsi="Cambria Math" w:cs="Arial"/>
              </w:rPr>
              <m:t>Gm</m:t>
            </m:r>
          </m:e>
          <m:sub>
            <m:r>
              <w:rPr>
                <w:rFonts w:ascii="Cambria Math" w:hAnsi="Cambria Math" w:cs="Arial"/>
              </w:rPr>
              <m:t xml:space="preserve"> </m:t>
            </m:r>
          </m:sub>
        </m:sSub>
      </m:oMath>
      <w:r w:rsidRPr="00884F77">
        <w:rPr>
          <w:rFonts w:ascii="Bookman Old Style" w:hAnsi="Bookman Old Style" w:cs="Arial"/>
        </w:rPr>
        <w:t xml:space="preserve"> cuando este</w:t>
      </w:r>
      <w:r w:rsidR="00315D88" w:rsidRPr="00884F77">
        <w:rPr>
          <w:rFonts w:ascii="Bookman Old Style" w:hAnsi="Bookman Old Style" w:cs="Arial"/>
        </w:rPr>
        <w:t xml:space="preserve"> componente </w:t>
      </w:r>
      <w:r w:rsidRPr="00884F77">
        <w:rPr>
          <w:rFonts w:ascii="Bookman Old Style" w:hAnsi="Bookman Old Style" w:cs="Arial"/>
        </w:rPr>
        <w:t>sea incluido dentro del</w:t>
      </w:r>
      <w:r w:rsidRPr="00884F77">
        <w:rPr>
          <w:rFonts w:ascii="Bookman Old Style" w:hAnsi="Bookman Old Style" w:cs="Arial"/>
          <w:bCs/>
          <w:lang w:val="es-CO"/>
        </w:rPr>
        <w:t xml:space="preserve"> componente </w:t>
      </w:r>
      <m:oMath>
        <m:sSub>
          <m:sSubPr>
            <m:ctrlPr>
              <w:rPr>
                <w:rFonts w:ascii="Cambria Math" w:hAnsi="Cambria Math" w:cs="Arial"/>
                <w:i/>
              </w:rPr>
            </m:ctrlPr>
          </m:sSubPr>
          <m:e>
            <m:r>
              <w:rPr>
                <w:rFonts w:ascii="Cambria Math" w:hAnsi="Cambria Math" w:cs="Arial"/>
              </w:rPr>
              <m:t>IAOM</m:t>
            </m:r>
          </m:e>
          <m:sub>
            <m:r>
              <w:rPr>
                <w:rFonts w:ascii="Cambria Math" w:hAnsi="Cambria Math" w:cs="Arial"/>
              </w:rPr>
              <m:t>m</m:t>
            </m:r>
          </m:sub>
        </m:sSub>
      </m:oMath>
      <w:r w:rsidRPr="00884F77">
        <w:rPr>
          <w:rFonts w:ascii="Bookman Old Style" w:hAnsi="Bookman Old Style" w:cs="Arial"/>
        </w:rPr>
        <w:t xml:space="preserve"> por parte de la autoridad contratante.</w:t>
      </w:r>
    </w:p>
    <w:p w:rsidR="009A750E" w:rsidRPr="00884F77" w:rsidRDefault="009A750E" w:rsidP="009A750E">
      <w:pPr>
        <w:ind w:left="141"/>
        <w:jc w:val="both"/>
        <w:rPr>
          <w:rFonts w:ascii="Bookman Old Style" w:hAnsi="Bookman Old Style" w:cs="Arial"/>
          <w:b/>
        </w:rPr>
      </w:pPr>
    </w:p>
    <w:p w:rsidR="00C41C42" w:rsidRPr="00884F77" w:rsidRDefault="009A750E" w:rsidP="00C41C42">
      <w:pPr>
        <w:tabs>
          <w:tab w:val="left" w:pos="4962"/>
        </w:tabs>
        <w:ind w:left="142"/>
        <w:jc w:val="both"/>
        <w:rPr>
          <w:rFonts w:ascii="Bookman Old Style" w:hAnsi="Bookman Old Style" w:cs="Arial"/>
          <w:bCs/>
        </w:rPr>
      </w:pPr>
      <w:r w:rsidRPr="00884F77">
        <w:rPr>
          <w:rFonts w:ascii="Bookman Old Style" w:hAnsi="Bookman Old Style" w:cs="Arial"/>
          <w:b/>
          <w:bCs/>
        </w:rPr>
        <w:t xml:space="preserve">Parágrafo 4. </w:t>
      </w:r>
      <w:r w:rsidR="00C41C42" w:rsidRPr="00884F77">
        <w:rPr>
          <w:rFonts w:ascii="Bookman Old Style" w:hAnsi="Bookman Old Style" w:cs="Arial"/>
          <w:bCs/>
        </w:rPr>
        <w:t xml:space="preserve">El componente Am únicamente se aplicará para aquellas plantas </w:t>
      </w:r>
    </w:p>
    <w:p w:rsidR="009A750E" w:rsidRPr="00884F77" w:rsidRDefault="00C41C42" w:rsidP="00C41C42">
      <w:pPr>
        <w:tabs>
          <w:tab w:val="left" w:pos="4962"/>
        </w:tabs>
        <w:ind w:left="142"/>
        <w:jc w:val="both"/>
        <w:rPr>
          <w:rFonts w:ascii="Bookman Old Style" w:hAnsi="Bookman Old Style" w:cs="Arial"/>
          <w:bCs/>
        </w:rPr>
      </w:pPr>
      <w:r w:rsidRPr="00884F77">
        <w:rPr>
          <w:rFonts w:ascii="Bookman Old Style" w:hAnsi="Bookman Old Style" w:cs="Arial"/>
          <w:bCs/>
        </w:rPr>
        <w:t>del parque de generación inicial cuya adecuación, por incorporación de equipos que mejoren la eficiencia, reemplazo o cambio de combustible por uno más económico no haya sido incorporado en la oferta del adjudicatario de la obligación de prestación de la actividad de generación. El componente Am será reconocido a quien realice la actividad de generación y haya incurrido en las inversiones necesarias para lograr dicho ahorro.</w:t>
      </w:r>
      <w:r w:rsidR="009A750E" w:rsidRPr="00884F77">
        <w:rPr>
          <w:rFonts w:ascii="Bookman Old Style" w:hAnsi="Bookman Old Style" w:cs="Arial"/>
          <w:bCs/>
        </w:rPr>
        <w:t xml:space="preserve"> </w:t>
      </w:r>
    </w:p>
    <w:p w:rsidR="009A750E" w:rsidRPr="00884F77" w:rsidRDefault="009A750E" w:rsidP="009A750E">
      <w:pPr>
        <w:ind w:left="283"/>
        <w:jc w:val="both"/>
        <w:rPr>
          <w:rFonts w:ascii="Bookman Old Style" w:hAnsi="Bookman Old Style" w:cs="Arial"/>
          <w:b/>
          <w:bCs/>
        </w:rPr>
      </w:pPr>
    </w:p>
    <w:p w:rsidR="009A750E" w:rsidRPr="00884F77" w:rsidRDefault="00C41F3A" w:rsidP="009A750E">
      <w:pPr>
        <w:ind w:left="142"/>
        <w:jc w:val="both"/>
        <w:rPr>
          <w:rFonts w:ascii="Bookman Old Style" w:hAnsi="Bookman Old Style" w:cs="Arial"/>
        </w:rPr>
      </w:pPr>
      <w:r w:rsidRPr="00884F77">
        <w:rPr>
          <w:rFonts w:ascii="Bookman Old Style" w:hAnsi="Bookman Old Style" w:cs="Arial"/>
          <w:b/>
        </w:rPr>
        <w:t xml:space="preserve">Parágrafo </w:t>
      </w:r>
      <w:r w:rsidR="009A750E" w:rsidRPr="00884F77">
        <w:rPr>
          <w:rFonts w:ascii="Bookman Old Style" w:hAnsi="Bookman Old Style" w:cs="Arial"/>
          <w:b/>
        </w:rPr>
        <w:t xml:space="preserve">5. </w:t>
      </w:r>
      <w:r w:rsidR="009A750E" w:rsidRPr="00884F77">
        <w:rPr>
          <w:rFonts w:ascii="Bookman Old Style" w:hAnsi="Bookman Old Style" w:cs="Arial"/>
        </w:rPr>
        <w:t xml:space="preserve">En caso de que el combustible sustituido sea gas combustible, para efectos del cálculo de las variables </w:t>
      </w:r>
      <m:oMath>
        <m:sSub>
          <m:sSubPr>
            <m:ctrlPr>
              <w:rPr>
                <w:rFonts w:ascii="Cambria Math" w:hAnsi="Cambria Math" w:cs="Arial"/>
                <w:i/>
              </w:rPr>
            </m:ctrlPr>
          </m:sSubPr>
          <m:e>
            <m:r>
              <w:rPr>
                <w:rFonts w:ascii="Cambria Math" w:hAnsi="Cambria Math" w:cs="Arial"/>
              </w:rPr>
              <m:t>PC</m:t>
            </m:r>
          </m:e>
          <m:sub>
            <m:r>
              <w:rPr>
                <w:rFonts w:ascii="Cambria Math" w:hAnsi="Cambria Math" w:cs="Arial"/>
              </w:rPr>
              <m:t>i,m</m:t>
            </m:r>
          </m:sub>
        </m:sSub>
      </m:oMath>
      <w:r w:rsidR="009A750E" w:rsidRPr="00884F77">
        <w:rPr>
          <w:rFonts w:ascii="Bookman Old Style" w:hAnsi="Bookman Old Style" w:cs="Arial"/>
        </w:rPr>
        <w:t xml:space="preserve"> y </w:t>
      </w:r>
      <m:oMath>
        <m:sSub>
          <m:sSubPr>
            <m:ctrlPr>
              <w:rPr>
                <w:rFonts w:ascii="Cambria Math" w:hAnsi="Cambria Math" w:cs="Arial"/>
                <w:i/>
              </w:rPr>
            </m:ctrlPr>
          </m:sSubPr>
          <m:e>
            <m:r>
              <w:rPr>
                <w:rFonts w:ascii="Cambria Math" w:hAnsi="Cambria Math" w:cs="Arial"/>
              </w:rPr>
              <m:t>PC</m:t>
            </m:r>
          </m:e>
          <m:sub>
            <m:r>
              <w:rPr>
                <w:rFonts w:ascii="Cambria Math" w:hAnsi="Cambria Math" w:cs="Arial"/>
              </w:rPr>
              <m:t>f,m</m:t>
            </m:r>
          </m:sub>
        </m:sSub>
      </m:oMath>
      <w:r w:rsidR="009A750E" w:rsidRPr="00884F77">
        <w:rPr>
          <w:rFonts w:ascii="Bookman Old Style" w:hAnsi="Bookman Old Style" w:cs="Arial"/>
        </w:rPr>
        <w:t>, el valor del precio del combustible fósil puesto en el sitio de la planta j del parque de generación inicial será el precio del gas determinado en el último contrato celebrado por el adjudicatario de la obligación de prestación del se</w:t>
      </w:r>
      <w:proofErr w:type="spellStart"/>
      <w:r w:rsidR="009A750E" w:rsidRPr="00884F77">
        <w:rPr>
          <w:rFonts w:ascii="Bookman Old Style" w:hAnsi="Bookman Old Style" w:cs="Arial"/>
        </w:rPr>
        <w:t>rvicio</w:t>
      </w:r>
      <w:proofErr w:type="spellEnd"/>
      <w:r w:rsidR="009A750E" w:rsidRPr="00884F77">
        <w:rPr>
          <w:rFonts w:ascii="Bookman Old Style" w:hAnsi="Bookman Old Style" w:cs="Arial"/>
        </w:rPr>
        <w:t xml:space="preserve"> de energía eléctrica en el </w:t>
      </w:r>
      <w:r w:rsidR="00C722ED" w:rsidRPr="00884F77">
        <w:rPr>
          <w:rFonts w:ascii="Bookman Old Style" w:hAnsi="Bookman Old Style" w:cs="Arial"/>
        </w:rPr>
        <w:t>área de servicio exclusivo</w:t>
      </w:r>
      <w:r w:rsidR="009A750E" w:rsidRPr="00884F77">
        <w:rPr>
          <w:rFonts w:ascii="Bookman Old Style" w:hAnsi="Bookman Old Style" w:cs="Arial"/>
        </w:rPr>
        <w:t xml:space="preserve">, indexado por el índice de precios al productor, IPP y se le adicionará el valor correspondiente al costo de transporte del gas hasta la central de generación. </w:t>
      </w:r>
    </w:p>
    <w:p w:rsidR="009A750E" w:rsidRPr="00884F77" w:rsidRDefault="009A750E" w:rsidP="009A750E">
      <w:pPr>
        <w:ind w:left="142"/>
        <w:jc w:val="both"/>
        <w:rPr>
          <w:rFonts w:ascii="Bookman Old Style" w:hAnsi="Bookman Old Style" w:cs="Arial"/>
        </w:rPr>
      </w:pPr>
    </w:p>
    <w:p w:rsidR="009A750E" w:rsidRPr="00884F77" w:rsidRDefault="009A750E" w:rsidP="009A750E">
      <w:pPr>
        <w:ind w:left="142"/>
        <w:jc w:val="both"/>
        <w:rPr>
          <w:rFonts w:ascii="Bookman Old Style" w:hAnsi="Bookman Old Style" w:cs="Arial"/>
        </w:rPr>
      </w:pPr>
      <w:r w:rsidRPr="00884F77">
        <w:rPr>
          <w:rFonts w:ascii="Bookman Old Style" w:hAnsi="Bookman Old Style" w:cs="Arial"/>
          <w:b/>
        </w:rPr>
        <w:t xml:space="preserve">Parágrafo 6. </w:t>
      </w:r>
      <w:r w:rsidRPr="00884F77">
        <w:rPr>
          <w:rFonts w:ascii="Bookman Old Style" w:hAnsi="Bookman Old Style" w:cs="Arial"/>
        </w:rPr>
        <w:t xml:space="preserve">En caso de que el combustible sea sustituido por una fuente de energía renovable, las variables </w:t>
      </w:r>
      <m:oMath>
        <m:sSub>
          <m:sSubPr>
            <m:ctrlPr>
              <w:rPr>
                <w:rFonts w:ascii="Cambria Math" w:hAnsi="Cambria Math" w:cs="Arial"/>
                <w:i/>
              </w:rPr>
            </m:ctrlPr>
          </m:sSubPr>
          <m:e>
            <m:r>
              <w:rPr>
                <w:rFonts w:ascii="Cambria Math" w:hAnsi="Cambria Math" w:cs="Arial"/>
              </w:rPr>
              <m:t>PC</m:t>
            </m:r>
          </m:e>
          <m:sub>
            <m:r>
              <w:rPr>
                <w:rFonts w:ascii="Cambria Math" w:hAnsi="Cambria Math" w:cs="Arial"/>
              </w:rPr>
              <m:t>f,m</m:t>
            </m:r>
          </m:sub>
        </m:sSub>
      </m:oMath>
      <w:r w:rsidRPr="00884F77">
        <w:rPr>
          <w:rFonts w:ascii="Bookman Old Style" w:hAnsi="Bookman Old Style" w:cs="Arial"/>
        </w:rPr>
        <w:t xml:space="preserve">, precio del combustible, y </w:t>
      </w:r>
      <m:oMath>
        <m:sSub>
          <m:sSubPr>
            <m:ctrlPr>
              <w:rPr>
                <w:rFonts w:ascii="Cambria Math" w:hAnsi="Cambria Math" w:cs="Arial"/>
                <w:i/>
              </w:rPr>
            </m:ctrlPr>
          </m:sSubPr>
          <m:e>
            <m:r>
              <w:rPr>
                <w:rFonts w:ascii="Cambria Math" w:hAnsi="Cambria Math" w:cs="Arial"/>
              </w:rPr>
              <m:t>CEC</m:t>
            </m:r>
          </m:e>
          <m:sub>
            <m:r>
              <w:rPr>
                <w:rFonts w:ascii="Cambria Math" w:hAnsi="Cambria Math" w:cs="Arial"/>
              </w:rPr>
              <m:t>f,j</m:t>
            </m:r>
          </m:sub>
        </m:sSub>
      </m:oMath>
      <w:r w:rsidRPr="00884F77">
        <w:rPr>
          <w:rFonts w:ascii="Bookman Old Style" w:hAnsi="Bookman Old Style" w:cs="Arial"/>
        </w:rPr>
        <w:t>, consumo específico de combustible, se entenderán igual a cero.</w:t>
      </w:r>
    </w:p>
    <w:p w:rsidR="009A750E" w:rsidRPr="00884F77" w:rsidRDefault="009A750E" w:rsidP="009A750E">
      <w:pPr>
        <w:ind w:left="141"/>
        <w:jc w:val="both"/>
        <w:rPr>
          <w:rFonts w:ascii="Bookman Old Style" w:hAnsi="Bookman Old Style" w:cs="Arial"/>
          <w:b/>
        </w:rPr>
      </w:pPr>
    </w:p>
    <w:p w:rsidR="009A750E" w:rsidRPr="00884F77" w:rsidRDefault="009A750E" w:rsidP="000D751B">
      <w:pPr>
        <w:pStyle w:val="Prrafodelista"/>
        <w:numPr>
          <w:ilvl w:val="0"/>
          <w:numId w:val="6"/>
        </w:numPr>
        <w:tabs>
          <w:tab w:val="clear" w:pos="1665"/>
          <w:tab w:val="num" w:pos="1276"/>
          <w:tab w:val="left" w:pos="1418"/>
        </w:tabs>
        <w:ind w:left="0" w:firstLine="1276"/>
        <w:jc w:val="both"/>
        <w:rPr>
          <w:rFonts w:ascii="Bookman Old Style" w:hAnsi="Bookman Old Style" w:cs="Arial"/>
          <w:sz w:val="24"/>
          <w:szCs w:val="24"/>
          <w:lang w:val="es-ES"/>
        </w:rPr>
      </w:pPr>
      <w:r w:rsidRPr="00884F77">
        <w:rPr>
          <w:rFonts w:ascii="Bookman Old Style" w:hAnsi="Bookman Old Style" w:cs="Arial"/>
          <w:sz w:val="24"/>
          <w:szCs w:val="24"/>
          <w:lang w:val="es-ES"/>
        </w:rPr>
        <w:t xml:space="preserve"> </w:t>
      </w:r>
      <w:r w:rsidRPr="00884F77">
        <w:rPr>
          <w:rFonts w:ascii="Bookman Old Style" w:hAnsi="Bookman Old Style" w:cs="Arial"/>
          <w:sz w:val="24"/>
        </w:rPr>
        <w:t xml:space="preserve">Modificar el artículo </w:t>
      </w:r>
      <w:r w:rsidR="002E06C8" w:rsidRPr="00884F77">
        <w:rPr>
          <w:rFonts w:ascii="Bookman Old Style" w:hAnsi="Bookman Old Style" w:cs="Arial"/>
          <w:sz w:val="24"/>
        </w:rPr>
        <w:t xml:space="preserve">28 </w:t>
      </w:r>
      <w:r w:rsidRPr="00884F77">
        <w:rPr>
          <w:rFonts w:ascii="Bookman Old Style" w:hAnsi="Bookman Old Style" w:cs="Arial"/>
          <w:sz w:val="24"/>
        </w:rPr>
        <w:t>de la Resolución CREG 076 de 2016, el cual quedará así:</w:t>
      </w:r>
    </w:p>
    <w:p w:rsidR="009A750E" w:rsidRPr="00884F77" w:rsidRDefault="009A750E" w:rsidP="009A750E">
      <w:pPr>
        <w:pStyle w:val="Prrafodelista"/>
        <w:tabs>
          <w:tab w:val="left" w:pos="1418"/>
        </w:tabs>
        <w:ind w:left="1276"/>
        <w:jc w:val="both"/>
        <w:rPr>
          <w:rFonts w:ascii="Bookman Old Style" w:hAnsi="Bookman Old Style" w:cs="Arial"/>
          <w:sz w:val="24"/>
          <w:szCs w:val="24"/>
          <w:lang w:val="es-ES"/>
        </w:rPr>
      </w:pPr>
    </w:p>
    <w:p w:rsidR="002E06C8" w:rsidRDefault="002E06C8" w:rsidP="00167172">
      <w:pPr>
        <w:pStyle w:val="Prrafodelista"/>
        <w:tabs>
          <w:tab w:val="left" w:pos="1418"/>
          <w:tab w:val="left" w:pos="1843"/>
        </w:tabs>
        <w:ind w:left="284"/>
        <w:jc w:val="both"/>
        <w:rPr>
          <w:rFonts w:ascii="Bookman Old Style" w:hAnsi="Bookman Old Style" w:cs="Arial"/>
          <w:sz w:val="24"/>
          <w:szCs w:val="24"/>
          <w:lang w:val="es-ES"/>
        </w:rPr>
      </w:pPr>
      <w:r w:rsidRPr="00884F77">
        <w:rPr>
          <w:rFonts w:ascii="Bookman Old Style" w:hAnsi="Bookman Old Style" w:cs="Arial"/>
          <w:b/>
          <w:sz w:val="24"/>
          <w:szCs w:val="24"/>
          <w:lang w:val="es-ES"/>
        </w:rPr>
        <w:t>Artículo 28.</w:t>
      </w:r>
      <w:r w:rsidRPr="00884F77">
        <w:rPr>
          <w:rFonts w:ascii="Bookman Old Style" w:hAnsi="Bookman Old Style" w:cs="Arial"/>
          <w:b/>
          <w:sz w:val="24"/>
          <w:szCs w:val="24"/>
          <w:lang w:val="es-ES"/>
        </w:rPr>
        <w:tab/>
        <w:t>Consumos propios y pérdidas de transformación en generación</w:t>
      </w:r>
      <w:r w:rsidR="00081703" w:rsidRPr="00884F77">
        <w:rPr>
          <w:rFonts w:ascii="Bookman Old Style" w:hAnsi="Bookman Old Style" w:cs="Arial"/>
          <w:b/>
          <w:sz w:val="24"/>
          <w:szCs w:val="24"/>
          <w:lang w:val="es-ES"/>
        </w:rPr>
        <w:t xml:space="preserve">. </w:t>
      </w:r>
      <w:r w:rsidRPr="00884F77">
        <w:rPr>
          <w:rFonts w:ascii="Bookman Old Style" w:hAnsi="Bookman Old Style" w:cs="Arial"/>
          <w:sz w:val="24"/>
          <w:szCs w:val="24"/>
          <w:lang w:val="es-ES"/>
        </w:rPr>
        <w:t xml:space="preserve">En la actividad de generación se reconocerán consumos propios, entendidos como los consumos de energía y potencia requeridos por los sistemas auxiliares de la central de generación, del 3.4% de la energía bruta medida en bornes del generador y las pérdidas de transformación para entregar la energía al sistema de distribución se reconocerán de conformidad con la Norma ICONTEC NTC 819. </w:t>
      </w:r>
    </w:p>
    <w:p w:rsidR="0070227B" w:rsidRDefault="0070227B" w:rsidP="00167172">
      <w:pPr>
        <w:pStyle w:val="Prrafodelista"/>
        <w:tabs>
          <w:tab w:val="left" w:pos="1418"/>
          <w:tab w:val="left" w:pos="1843"/>
        </w:tabs>
        <w:ind w:left="284"/>
        <w:jc w:val="both"/>
        <w:rPr>
          <w:rFonts w:ascii="Bookman Old Style" w:hAnsi="Bookman Old Style" w:cs="Arial"/>
          <w:sz w:val="24"/>
          <w:szCs w:val="24"/>
          <w:lang w:val="es-ES"/>
        </w:rPr>
      </w:pPr>
    </w:p>
    <w:p w:rsidR="0070227B" w:rsidRDefault="0070227B" w:rsidP="00167172">
      <w:pPr>
        <w:pStyle w:val="Prrafodelista"/>
        <w:tabs>
          <w:tab w:val="left" w:pos="1418"/>
          <w:tab w:val="left" w:pos="1843"/>
        </w:tabs>
        <w:ind w:left="284"/>
        <w:jc w:val="both"/>
        <w:rPr>
          <w:rFonts w:ascii="Bookman Old Style" w:hAnsi="Bookman Old Style" w:cs="Arial"/>
          <w:sz w:val="24"/>
          <w:szCs w:val="24"/>
          <w:lang w:val="es-ES"/>
        </w:rPr>
      </w:pPr>
    </w:p>
    <w:p w:rsidR="002E06C8" w:rsidRPr="00884F77" w:rsidRDefault="002E06C8" w:rsidP="00167172">
      <w:pPr>
        <w:pStyle w:val="Prrafodelista"/>
        <w:tabs>
          <w:tab w:val="left" w:pos="1418"/>
          <w:tab w:val="left" w:pos="2268"/>
        </w:tabs>
        <w:ind w:left="284"/>
        <w:jc w:val="both"/>
        <w:rPr>
          <w:rFonts w:ascii="Bookman Old Style" w:hAnsi="Bookman Old Style" w:cs="Arial"/>
          <w:sz w:val="24"/>
          <w:szCs w:val="24"/>
          <w:lang w:val="es-ES"/>
        </w:rPr>
      </w:pPr>
    </w:p>
    <w:p w:rsidR="006E4A85" w:rsidRPr="00884F77" w:rsidRDefault="000D751B" w:rsidP="007458F2">
      <w:pPr>
        <w:pStyle w:val="Prrafodelista"/>
        <w:numPr>
          <w:ilvl w:val="0"/>
          <w:numId w:val="6"/>
        </w:numPr>
        <w:tabs>
          <w:tab w:val="clear" w:pos="1665"/>
          <w:tab w:val="num" w:pos="1276"/>
          <w:tab w:val="left" w:pos="1418"/>
        </w:tabs>
        <w:ind w:left="0" w:firstLine="1276"/>
        <w:jc w:val="both"/>
        <w:rPr>
          <w:rFonts w:ascii="Bookman Old Style" w:hAnsi="Bookman Old Style" w:cs="Arial"/>
          <w:sz w:val="24"/>
        </w:rPr>
      </w:pPr>
      <w:r w:rsidRPr="00884F77">
        <w:rPr>
          <w:rFonts w:ascii="Bookman Old Style" w:hAnsi="Bookman Old Style" w:cs="Arial"/>
          <w:b/>
          <w:sz w:val="24"/>
          <w:szCs w:val="24"/>
          <w:lang w:val="es-ES"/>
        </w:rPr>
        <w:t xml:space="preserve"> </w:t>
      </w:r>
      <w:r w:rsidR="00936101" w:rsidRPr="00884F77">
        <w:rPr>
          <w:rFonts w:ascii="Bookman Old Style" w:hAnsi="Bookman Old Style" w:cs="Arial"/>
          <w:b/>
          <w:sz w:val="24"/>
          <w:szCs w:val="24"/>
          <w:lang w:val="es-ES"/>
        </w:rPr>
        <w:t>Vigencia</w:t>
      </w:r>
      <w:r w:rsidR="006E4A85" w:rsidRPr="00884F77">
        <w:rPr>
          <w:rFonts w:ascii="Bookman Old Style" w:hAnsi="Bookman Old Style" w:cs="Arial"/>
          <w:b/>
          <w:sz w:val="24"/>
          <w:szCs w:val="24"/>
          <w:lang w:val="es-ES"/>
        </w:rPr>
        <w:t xml:space="preserve"> y derogatorias</w:t>
      </w:r>
      <w:r w:rsidR="00936101" w:rsidRPr="00884F77">
        <w:rPr>
          <w:rFonts w:ascii="Bookman Old Style" w:hAnsi="Bookman Old Style" w:cs="Arial"/>
          <w:b/>
          <w:sz w:val="24"/>
          <w:szCs w:val="24"/>
          <w:lang w:val="es-ES"/>
        </w:rPr>
        <w:t>.</w:t>
      </w:r>
      <w:r w:rsidR="00936101" w:rsidRPr="00884F77">
        <w:rPr>
          <w:rFonts w:ascii="Bookman Old Style" w:hAnsi="Bookman Old Style" w:cs="Arial"/>
          <w:sz w:val="24"/>
          <w:szCs w:val="24"/>
          <w:lang w:val="es-ES"/>
        </w:rPr>
        <w:t xml:space="preserve"> La presente resolución rige a partir de su publicación en el Diario Oficial</w:t>
      </w:r>
      <w:r w:rsidR="00365219" w:rsidRPr="00884F77">
        <w:rPr>
          <w:rFonts w:ascii="Bookman Old Style" w:hAnsi="Bookman Old Style" w:cs="Arial"/>
          <w:sz w:val="24"/>
          <w:szCs w:val="24"/>
          <w:lang w:val="es-ES"/>
        </w:rPr>
        <w:t xml:space="preserve"> y deroga todas las disposiciones que le sean contrarias</w:t>
      </w:r>
      <w:r w:rsidR="00936101" w:rsidRPr="00884F77">
        <w:rPr>
          <w:rFonts w:ascii="Bookman Old Style" w:hAnsi="Bookman Old Style" w:cs="Arial"/>
          <w:sz w:val="24"/>
          <w:szCs w:val="24"/>
          <w:lang w:val="es-ES"/>
        </w:rPr>
        <w:t>.</w:t>
      </w:r>
      <w:r w:rsidR="00167172" w:rsidRPr="00884F77">
        <w:rPr>
          <w:rFonts w:ascii="Bookman Old Style" w:hAnsi="Bookman Old Style" w:cs="Arial"/>
          <w:sz w:val="24"/>
          <w:szCs w:val="24"/>
          <w:lang w:val="es-ES"/>
        </w:rPr>
        <w:t xml:space="preserve"> </w:t>
      </w:r>
      <w:r w:rsidR="006E4A85" w:rsidRPr="00884F77">
        <w:rPr>
          <w:rFonts w:ascii="Bookman Old Style" w:hAnsi="Bookman Old Style" w:cs="Arial"/>
          <w:sz w:val="24"/>
        </w:rPr>
        <w:t xml:space="preserve">Se deroga en especial, </w:t>
      </w:r>
      <w:r w:rsidR="00A154FF" w:rsidRPr="00884F77">
        <w:rPr>
          <w:rFonts w:ascii="Bookman Old Style" w:hAnsi="Bookman Old Style" w:cs="Arial"/>
          <w:sz w:val="24"/>
        </w:rPr>
        <w:t xml:space="preserve">el parágrafo 2 del artículo 19, </w:t>
      </w:r>
      <w:r w:rsidR="006E4A85" w:rsidRPr="00884F77">
        <w:rPr>
          <w:rFonts w:ascii="Bookman Old Style" w:hAnsi="Bookman Old Style" w:cs="Arial"/>
          <w:sz w:val="24"/>
        </w:rPr>
        <w:t xml:space="preserve">el parágrafo del artículo 21, </w:t>
      </w:r>
      <w:r w:rsidR="0075252C" w:rsidRPr="00884F77">
        <w:rPr>
          <w:rFonts w:ascii="Bookman Old Style" w:hAnsi="Bookman Old Style" w:cs="Arial"/>
          <w:sz w:val="24"/>
        </w:rPr>
        <w:t xml:space="preserve">el </w:t>
      </w:r>
      <w:r w:rsidR="00A154FF" w:rsidRPr="00884F77">
        <w:rPr>
          <w:rFonts w:ascii="Bookman Old Style" w:hAnsi="Bookman Old Style" w:cs="Arial"/>
          <w:sz w:val="24"/>
        </w:rPr>
        <w:t xml:space="preserve">artículo 26 y </w:t>
      </w:r>
      <w:r w:rsidR="006E4A85" w:rsidRPr="00884F77">
        <w:rPr>
          <w:rFonts w:ascii="Bookman Old Style" w:hAnsi="Bookman Old Style" w:cs="Arial"/>
          <w:sz w:val="24"/>
        </w:rPr>
        <w:t>el artículo 36 de la Resolución CREG 076 de 2016</w:t>
      </w:r>
      <w:r w:rsidR="00A154FF" w:rsidRPr="00884F77">
        <w:rPr>
          <w:rFonts w:ascii="Bookman Old Style" w:hAnsi="Bookman Old Style" w:cs="Arial"/>
          <w:sz w:val="24"/>
        </w:rPr>
        <w:t xml:space="preserve">. </w:t>
      </w:r>
    </w:p>
    <w:p w:rsidR="00C269D2" w:rsidRDefault="00C269D2" w:rsidP="00936101">
      <w:pPr>
        <w:jc w:val="center"/>
        <w:rPr>
          <w:rFonts w:ascii="Bookman Old Style" w:hAnsi="Bookman Old Style"/>
          <w:b/>
        </w:rPr>
      </w:pPr>
    </w:p>
    <w:p w:rsidR="0070227B" w:rsidRPr="00884F77" w:rsidRDefault="0070227B" w:rsidP="00936101">
      <w:pPr>
        <w:jc w:val="center"/>
        <w:rPr>
          <w:rFonts w:ascii="Bookman Old Style" w:hAnsi="Bookman Old Style"/>
          <w:b/>
        </w:rPr>
      </w:pPr>
    </w:p>
    <w:p w:rsidR="00936101" w:rsidRPr="00884F77" w:rsidRDefault="00936101" w:rsidP="00936101">
      <w:pPr>
        <w:jc w:val="center"/>
        <w:rPr>
          <w:rFonts w:ascii="Bookman Old Style" w:hAnsi="Bookman Old Style"/>
          <w:b/>
        </w:rPr>
      </w:pPr>
      <w:r w:rsidRPr="00884F77">
        <w:rPr>
          <w:rFonts w:ascii="Bookman Old Style" w:hAnsi="Bookman Old Style"/>
          <w:b/>
        </w:rPr>
        <w:t>PUBLÍQUESE Y CÚMPLASE</w:t>
      </w:r>
    </w:p>
    <w:p w:rsidR="0070227B" w:rsidRDefault="0070227B" w:rsidP="00E7009F">
      <w:pPr>
        <w:ind w:left="0"/>
        <w:rPr>
          <w:rFonts w:ascii="Bookman Old Style" w:hAnsi="Bookman Old Style"/>
        </w:rPr>
      </w:pPr>
    </w:p>
    <w:p w:rsidR="00936101" w:rsidRPr="00884F77" w:rsidRDefault="00E7009F" w:rsidP="00E7009F">
      <w:pPr>
        <w:ind w:left="0"/>
        <w:rPr>
          <w:rFonts w:ascii="Bookman Old Style" w:hAnsi="Bookman Old Style"/>
        </w:rPr>
      </w:pPr>
      <w:r w:rsidRPr="00884F77">
        <w:rPr>
          <w:rFonts w:ascii="Bookman Old Style" w:hAnsi="Bookman Old Style"/>
        </w:rPr>
        <w:t>Dada en Bogotá, D.C. a</w:t>
      </w:r>
    </w:p>
    <w:p w:rsidR="00167172" w:rsidRPr="00884F77" w:rsidRDefault="00167172" w:rsidP="00E7009F">
      <w:pPr>
        <w:ind w:left="0"/>
        <w:rPr>
          <w:rFonts w:ascii="Bookman Old Style" w:hAnsi="Bookman Old Style"/>
        </w:rPr>
      </w:pPr>
    </w:p>
    <w:p w:rsidR="00167172" w:rsidRDefault="00167172" w:rsidP="00E7009F">
      <w:pPr>
        <w:ind w:left="0"/>
        <w:rPr>
          <w:rFonts w:ascii="Bookman Old Style" w:hAnsi="Bookman Old Style"/>
        </w:rPr>
      </w:pPr>
    </w:p>
    <w:p w:rsidR="0070227B" w:rsidRDefault="0070227B" w:rsidP="00E7009F">
      <w:pPr>
        <w:ind w:left="0"/>
        <w:rPr>
          <w:rFonts w:ascii="Bookman Old Style" w:hAnsi="Bookman Old Style"/>
        </w:rPr>
      </w:pPr>
    </w:p>
    <w:p w:rsidR="0070227B" w:rsidRDefault="0070227B" w:rsidP="00E7009F">
      <w:pPr>
        <w:ind w:left="0"/>
        <w:rPr>
          <w:rFonts w:ascii="Bookman Old Style" w:hAnsi="Bookman Old Style"/>
        </w:rPr>
      </w:pPr>
    </w:p>
    <w:p w:rsidR="0070227B" w:rsidRDefault="0070227B" w:rsidP="00E7009F">
      <w:pPr>
        <w:ind w:left="0"/>
        <w:rPr>
          <w:rFonts w:ascii="Bookman Old Style" w:hAnsi="Bookman Old Style"/>
        </w:rPr>
      </w:pPr>
    </w:p>
    <w:tbl>
      <w:tblPr>
        <w:tblW w:w="9496" w:type="dxa"/>
        <w:jc w:val="center"/>
        <w:tblLayout w:type="fixed"/>
        <w:tblCellMar>
          <w:left w:w="70" w:type="dxa"/>
          <w:right w:w="70" w:type="dxa"/>
        </w:tblCellMar>
        <w:tblLook w:val="0000" w:firstRow="0" w:lastRow="0" w:firstColumn="0" w:lastColumn="0" w:noHBand="0" w:noVBand="0"/>
      </w:tblPr>
      <w:tblGrid>
        <w:gridCol w:w="5067"/>
        <w:gridCol w:w="4429"/>
      </w:tblGrid>
      <w:tr w:rsidR="0070227B" w:rsidRPr="00884F77" w:rsidTr="00460CBF">
        <w:trPr>
          <w:jc w:val="center"/>
        </w:trPr>
        <w:tc>
          <w:tcPr>
            <w:tcW w:w="5067" w:type="dxa"/>
          </w:tcPr>
          <w:p w:rsidR="0070227B" w:rsidRPr="00884F77" w:rsidRDefault="0070227B" w:rsidP="00460CBF">
            <w:pPr>
              <w:tabs>
                <w:tab w:val="left" w:pos="-720"/>
              </w:tabs>
              <w:suppressAutoHyphens/>
              <w:ind w:left="0"/>
              <w:jc w:val="center"/>
              <w:rPr>
                <w:rFonts w:ascii="Bookman Old Style" w:hAnsi="Bookman Old Style" w:cs="Arial"/>
                <w:b/>
                <w:spacing w:val="-3"/>
              </w:rPr>
            </w:pPr>
            <w:r w:rsidRPr="00884F77">
              <w:rPr>
                <w:rFonts w:ascii="Bookman Old Style" w:hAnsi="Bookman Old Style" w:cs="Arial"/>
                <w:b/>
                <w:spacing w:val="-3"/>
              </w:rPr>
              <w:t xml:space="preserve">RUTTY PAOLA ORTIZ JARA </w:t>
            </w:r>
          </w:p>
          <w:p w:rsidR="0070227B" w:rsidRDefault="0070227B" w:rsidP="00460CBF">
            <w:pPr>
              <w:tabs>
                <w:tab w:val="left" w:pos="-720"/>
              </w:tabs>
              <w:suppressAutoHyphens/>
              <w:ind w:left="0"/>
              <w:jc w:val="center"/>
              <w:rPr>
                <w:rFonts w:ascii="Bookman Old Style" w:hAnsi="Bookman Old Style"/>
              </w:rPr>
            </w:pPr>
            <w:r w:rsidRPr="00884F77">
              <w:rPr>
                <w:rFonts w:ascii="Bookman Old Style" w:hAnsi="Bookman Old Style" w:cs="Arial"/>
                <w:spacing w:val="-3"/>
              </w:rPr>
              <w:t>Vicem</w:t>
            </w:r>
            <w:r w:rsidRPr="00884F77">
              <w:rPr>
                <w:rFonts w:ascii="Bookman Old Style" w:hAnsi="Bookman Old Style"/>
              </w:rPr>
              <w:t>inistra de Energía</w:t>
            </w:r>
          </w:p>
          <w:p w:rsidR="0070227B" w:rsidRPr="00884F77" w:rsidRDefault="0070227B" w:rsidP="00460CBF">
            <w:pPr>
              <w:tabs>
                <w:tab w:val="left" w:pos="-720"/>
              </w:tabs>
              <w:suppressAutoHyphens/>
              <w:ind w:left="0"/>
              <w:jc w:val="center"/>
              <w:rPr>
                <w:rFonts w:ascii="Bookman Old Style" w:hAnsi="Bookman Old Style"/>
              </w:rPr>
            </w:pPr>
            <w:r>
              <w:rPr>
                <w:rFonts w:ascii="Bookman Old Style" w:hAnsi="Bookman Old Style"/>
              </w:rPr>
              <w:t>Delegada del Ministro de Minas y Energía</w:t>
            </w:r>
          </w:p>
          <w:p w:rsidR="0070227B" w:rsidRPr="00884F77" w:rsidRDefault="0070227B" w:rsidP="00460CBF">
            <w:pPr>
              <w:tabs>
                <w:tab w:val="left" w:pos="-720"/>
              </w:tabs>
              <w:suppressAutoHyphens/>
              <w:ind w:left="0"/>
              <w:jc w:val="center"/>
              <w:rPr>
                <w:rFonts w:ascii="Bookman Old Style" w:hAnsi="Bookman Old Style" w:cs="Arial"/>
                <w:b/>
                <w:strike/>
                <w:spacing w:val="-3"/>
              </w:rPr>
            </w:pPr>
            <w:r w:rsidRPr="00884F77">
              <w:t xml:space="preserve"> </w:t>
            </w:r>
            <w:r w:rsidRPr="00884F77">
              <w:rPr>
                <w:rFonts w:ascii="Bookman Old Style" w:hAnsi="Bookman Old Style"/>
              </w:rPr>
              <w:t>Presidente</w:t>
            </w:r>
          </w:p>
        </w:tc>
        <w:tc>
          <w:tcPr>
            <w:tcW w:w="4429" w:type="dxa"/>
          </w:tcPr>
          <w:p w:rsidR="0070227B" w:rsidRPr="00884F77" w:rsidRDefault="0070227B" w:rsidP="00460CBF">
            <w:pPr>
              <w:tabs>
                <w:tab w:val="left" w:pos="-720"/>
              </w:tabs>
              <w:suppressAutoHyphens/>
              <w:ind w:left="0"/>
              <w:jc w:val="center"/>
              <w:rPr>
                <w:rFonts w:ascii="Bookman Old Style" w:hAnsi="Bookman Old Style" w:cs="Arial"/>
                <w:b/>
              </w:rPr>
            </w:pPr>
            <w:r w:rsidRPr="00884F77">
              <w:rPr>
                <w:rFonts w:ascii="Bookman Old Style" w:hAnsi="Bookman Old Style" w:cs="Arial"/>
                <w:b/>
              </w:rPr>
              <w:t>GERMÁN CASTRO FERREIRA</w:t>
            </w:r>
          </w:p>
          <w:p w:rsidR="0070227B" w:rsidRPr="00884F77" w:rsidRDefault="0070227B" w:rsidP="00460CBF">
            <w:pPr>
              <w:tabs>
                <w:tab w:val="left" w:pos="-720"/>
              </w:tabs>
              <w:suppressAutoHyphens/>
              <w:ind w:left="0"/>
              <w:jc w:val="center"/>
              <w:rPr>
                <w:rFonts w:ascii="Bookman Old Style" w:hAnsi="Bookman Old Style" w:cs="Arial"/>
                <w:b/>
                <w:spacing w:val="-3"/>
              </w:rPr>
            </w:pPr>
            <w:r w:rsidRPr="00884F77">
              <w:rPr>
                <w:rFonts w:ascii="Bookman Old Style" w:hAnsi="Bookman Old Style" w:cs="Arial"/>
                <w:spacing w:val="-3"/>
              </w:rPr>
              <w:t>Director Ejecutivo</w:t>
            </w:r>
          </w:p>
        </w:tc>
      </w:tr>
    </w:tbl>
    <w:p w:rsidR="0070227B" w:rsidRDefault="0070227B" w:rsidP="00E7009F">
      <w:pPr>
        <w:ind w:left="0"/>
        <w:rPr>
          <w:rFonts w:ascii="Bookman Old Style" w:hAnsi="Bookman Old Style"/>
        </w:rPr>
      </w:pPr>
    </w:p>
    <w:sectPr w:rsidR="0070227B" w:rsidSect="00936101">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6B4" w:rsidRDefault="009F16B4">
      <w:r>
        <w:separator/>
      </w:r>
    </w:p>
  </w:endnote>
  <w:endnote w:type="continuationSeparator" w:id="0">
    <w:p w:rsidR="009F16B4" w:rsidRDefault="009F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6B4" w:rsidRDefault="009F16B4">
      <w:r>
        <w:separator/>
      </w:r>
    </w:p>
  </w:footnote>
  <w:footnote w:type="continuationSeparator" w:id="0">
    <w:p w:rsidR="009F16B4" w:rsidRDefault="009F16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F77" w:rsidRDefault="00884F77" w:rsidP="009560F4">
    <w:pPr>
      <w:pStyle w:val="Ttulo1"/>
      <w:ind w:right="6"/>
      <w:jc w:val="left"/>
      <w:rPr>
        <w:rFonts w:ascii="Bookman Old Style" w:hAnsi="Bookman Old Style" w:cs="Arial"/>
        <w:b w:val="0"/>
        <w:sz w:val="22"/>
        <w:szCs w:val="22"/>
      </w:rPr>
    </w:pPr>
  </w:p>
  <w:p w:rsidR="00884F77" w:rsidRPr="00951F79" w:rsidRDefault="00884F77" w:rsidP="009560F4">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8307C2">
      <w:rPr>
        <w:rFonts w:ascii="Bookman Old Style" w:hAnsi="Bookman Old Style" w:cs="Arial"/>
        <w:b w:val="0"/>
        <w:noProof/>
        <w:sz w:val="22"/>
        <w:szCs w:val="22"/>
      </w:rPr>
      <w:t>20</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8307C2">
      <w:fldChar w:fldCharType="begin"/>
    </w:r>
    <w:r w:rsidR="008307C2">
      <w:instrText xml:space="preserve"> NUMPAGES  \* MERGEFORMAT </w:instrText>
    </w:r>
    <w:r w:rsidR="008307C2">
      <w:fldChar w:fldCharType="separate"/>
    </w:r>
    <w:r w:rsidR="008307C2" w:rsidRPr="008307C2">
      <w:rPr>
        <w:rFonts w:ascii="Bookman Old Style" w:hAnsi="Bookman Old Style" w:cs="Arial"/>
        <w:b w:val="0"/>
        <w:noProof/>
        <w:sz w:val="22"/>
        <w:szCs w:val="22"/>
      </w:rPr>
      <w:t>20</w:t>
    </w:r>
    <w:r w:rsidR="008307C2">
      <w:rPr>
        <w:rFonts w:ascii="Bookman Old Style" w:hAnsi="Bookman Old Style" w:cs="Arial"/>
        <w:b w:val="0"/>
        <w:noProof/>
        <w:sz w:val="22"/>
        <w:szCs w:val="22"/>
      </w:rPr>
      <w:fldChar w:fldCharType="end"/>
    </w:r>
  </w:p>
  <w:p w:rsidR="00884F77" w:rsidRDefault="00884F77" w:rsidP="009560F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01BF9DF0" wp14:editId="2F1AB610">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05A0C"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884F77" w:rsidRPr="00B67D47" w:rsidRDefault="00884F77" w:rsidP="009560F4">
    <w:pPr>
      <w:ind w:left="0" w:right="51"/>
      <w:jc w:val="both"/>
      <w:rPr>
        <w:rFonts w:ascii="Bookman Old Style" w:hAnsi="Bookman Old Style"/>
        <w:sz w:val="22"/>
        <w:szCs w:val="22"/>
      </w:rPr>
    </w:pPr>
    <w:r w:rsidRPr="005456B6">
      <w:rPr>
        <w:rFonts w:ascii="Bookman Old Style" w:hAnsi="Bookman Old Style" w:cs="Arial"/>
        <w:sz w:val="22"/>
        <w:szCs w:val="22"/>
      </w:rPr>
      <w:t>Por la cual se ordena hacer público un proyecto de resolución de carácter general, “Por la cual se modifica la Resolución CREG 076 de 2016”.</w:t>
    </w:r>
  </w:p>
  <w:p w:rsidR="00884F77" w:rsidRPr="00B65EF9" w:rsidRDefault="00884F77" w:rsidP="009560F4">
    <w:pPr>
      <w:pBdr>
        <w:bottom w:val="single" w:sz="4" w:space="1" w:color="auto"/>
      </w:pBdr>
      <w:ind w:left="0" w:right="148"/>
      <w:jc w:val="both"/>
      <w:rPr>
        <w:b/>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F77" w:rsidRDefault="00884F77" w:rsidP="009560F4">
    <w:pPr>
      <w:pStyle w:val="Encabezado"/>
      <w:jc w:val="both"/>
      <w:rPr>
        <w:rFonts w:ascii="Arial" w:hAnsi="Arial" w:cs="Arial"/>
        <w:spacing w:val="20"/>
        <w:sz w:val="20"/>
      </w:rPr>
    </w:pPr>
    <w:r>
      <w:rPr>
        <w:rFonts w:ascii="Arial" w:hAnsi="Arial" w:cs="Arial"/>
        <w:spacing w:val="20"/>
        <w:sz w:val="20"/>
      </w:rPr>
      <w:t xml:space="preserve">                                   República de Colombia</w:t>
    </w:r>
  </w:p>
  <w:p w:rsidR="00884F77" w:rsidRDefault="00884F77">
    <w:pPr>
      <w:pStyle w:val="Encabezado"/>
      <w:jc w:val="center"/>
      <w:rPr>
        <w:rFonts w:ascii="Arial" w:hAnsi="Arial" w:cs="Arial"/>
        <w:spacing w:val="20"/>
        <w:sz w:val="20"/>
      </w:rPr>
    </w:pPr>
  </w:p>
  <w:p w:rsidR="00884F77" w:rsidRDefault="00884F77" w:rsidP="009560F4">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2EC74E4C" wp14:editId="2F1372DB">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8B3C8"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24F3CAA"/>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3" w15:restartNumberingAfterBreak="0">
    <w:nsid w:val="08794D7A"/>
    <w:multiLevelType w:val="multilevel"/>
    <w:tmpl w:val="3F9A4DFE"/>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 w15:restartNumberingAfterBreak="0">
    <w:nsid w:val="0D982DA4"/>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5" w15:restartNumberingAfterBreak="0">
    <w:nsid w:val="0DD8419B"/>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6" w15:restartNumberingAfterBreak="0">
    <w:nsid w:val="0DF36714"/>
    <w:multiLevelType w:val="hybridMultilevel"/>
    <w:tmpl w:val="0F70A1FA"/>
    <w:lvl w:ilvl="0" w:tplc="0C0A000F">
      <w:start w:val="1"/>
      <w:numFmt w:val="decimal"/>
      <w:pStyle w:val="VietaLetra0"/>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9E48DC"/>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8" w15:restartNumberingAfterBreak="0">
    <w:nsid w:val="104C6655"/>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9" w15:restartNumberingAfterBreak="0">
    <w:nsid w:val="11DA002F"/>
    <w:multiLevelType w:val="singleLevel"/>
    <w:tmpl w:val="BA1E8352"/>
    <w:lvl w:ilvl="0">
      <w:start w:val="1"/>
      <w:numFmt w:val="lowerLetter"/>
      <w:lvlText w:val="%1)"/>
      <w:legacy w:legacy="1" w:legacySpace="0" w:legacyIndent="283"/>
      <w:lvlJc w:val="left"/>
      <w:pPr>
        <w:ind w:left="283" w:hanging="283"/>
      </w:pPr>
    </w:lvl>
  </w:abstractNum>
  <w:abstractNum w:abstractNumId="10" w15:restartNumberingAfterBreak="0">
    <w:nsid w:val="1D296148"/>
    <w:multiLevelType w:val="multilevel"/>
    <w:tmpl w:val="3F9A4DFE"/>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25FD1A9C"/>
    <w:multiLevelType w:val="hybridMultilevel"/>
    <w:tmpl w:val="0A20CC4C"/>
    <w:lvl w:ilvl="0" w:tplc="0CCC4596">
      <w:start w:val="1"/>
      <w:numFmt w:val="decimal"/>
      <w:lvlText w:val="%1."/>
      <w:lvlJc w:val="left"/>
      <w:pPr>
        <w:ind w:left="720" w:hanging="360"/>
      </w:pPr>
      <w:rPr>
        <w:rFonts w:ascii="Bookman Old Style" w:eastAsia="Times New Roman"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162351"/>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3" w15:restartNumberingAfterBreak="0">
    <w:nsid w:val="2A0B158F"/>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4" w15:restartNumberingAfterBreak="0">
    <w:nsid w:val="3C071598"/>
    <w:multiLevelType w:val="multilevel"/>
    <w:tmpl w:val="84E26B96"/>
    <w:lvl w:ilvl="0">
      <w:start w:val="1"/>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5" w15:restartNumberingAfterBreak="0">
    <w:nsid w:val="3CB81FEB"/>
    <w:multiLevelType w:val="hybridMultilevel"/>
    <w:tmpl w:val="9EC0B1CE"/>
    <w:lvl w:ilvl="0" w:tplc="FFFFFFFF">
      <w:start w:val="1"/>
      <w:numFmt w:val="upperLetter"/>
      <w:pStyle w:val="Ttulo2"/>
      <w:lvlText w:val="%1."/>
      <w:lvlJc w:val="left"/>
      <w:pPr>
        <w:tabs>
          <w:tab w:val="num" w:pos="502"/>
        </w:tabs>
        <w:ind w:left="502" w:hanging="360"/>
      </w:pPr>
      <w:rPr>
        <w:rFonts w:hint="default"/>
        <w:b/>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16" w15:restartNumberingAfterBreak="0">
    <w:nsid w:val="407A5C89"/>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7"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25210BE"/>
    <w:multiLevelType w:val="multilevel"/>
    <w:tmpl w:val="1098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53516"/>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0" w15:restartNumberingAfterBreak="0">
    <w:nsid w:val="47FD66D2"/>
    <w:multiLevelType w:val="hybridMultilevel"/>
    <w:tmpl w:val="BAE80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201C03"/>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2" w15:restartNumberingAfterBreak="0">
    <w:nsid w:val="4B8D338B"/>
    <w:multiLevelType w:val="hybridMultilevel"/>
    <w:tmpl w:val="246A688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E0D017C"/>
    <w:multiLevelType w:val="hybridMultilevel"/>
    <w:tmpl w:val="6226B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FC163B"/>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5" w15:restartNumberingAfterBreak="0">
    <w:nsid w:val="5231586E"/>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6" w15:restartNumberingAfterBreak="0">
    <w:nsid w:val="543C3C22"/>
    <w:multiLevelType w:val="hybridMultilevel"/>
    <w:tmpl w:val="5026343E"/>
    <w:lvl w:ilvl="0" w:tplc="240A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806A4F"/>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8" w15:restartNumberingAfterBreak="0">
    <w:nsid w:val="62760887"/>
    <w:multiLevelType w:val="hybridMultilevel"/>
    <w:tmpl w:val="A3AA2F7C"/>
    <w:name w:val="SECCION22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0842CE"/>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30" w15:restartNumberingAfterBreak="0">
    <w:nsid w:val="652C2700"/>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31" w15:restartNumberingAfterBreak="0">
    <w:nsid w:val="673823DB"/>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32" w15:restartNumberingAfterBreak="0">
    <w:nsid w:val="680D101A"/>
    <w:multiLevelType w:val="hybridMultilevel"/>
    <w:tmpl w:val="A22C1F46"/>
    <w:name w:val="SECCION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25B5D3D"/>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34" w15:restartNumberingAfterBreak="0">
    <w:nsid w:val="77B1045C"/>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num w:numId="1">
    <w:abstractNumId w:val="6"/>
  </w:num>
  <w:num w:numId="2">
    <w:abstractNumId w:val="1"/>
  </w:num>
  <w:num w:numId="3">
    <w:abstractNumId w:val="15"/>
  </w:num>
  <w:num w:numId="4">
    <w:abstractNumId w:val="17"/>
  </w:num>
  <w:num w:numId="5">
    <w:abstractNumId w:val="0"/>
  </w:num>
  <w:num w:numId="6">
    <w:abstractNumId w:val="5"/>
  </w:num>
  <w:num w:numId="7">
    <w:abstractNumId w:val="9"/>
    <w:lvlOverride w:ilvl="0">
      <w:startOverride w:val="1"/>
    </w:lvlOverride>
  </w:num>
  <w:num w:numId="8">
    <w:abstractNumId w:val="3"/>
  </w:num>
  <w:num w:numId="9">
    <w:abstractNumId w:val="14"/>
  </w:num>
  <w:num w:numId="10">
    <w:abstractNumId w:val="34"/>
  </w:num>
  <w:num w:numId="11">
    <w:abstractNumId w:val="7"/>
  </w:num>
  <w:num w:numId="12">
    <w:abstractNumId w:val="30"/>
  </w:num>
  <w:num w:numId="13">
    <w:abstractNumId w:val="16"/>
  </w:num>
  <w:num w:numId="14">
    <w:abstractNumId w:val="32"/>
  </w:num>
  <w:num w:numId="15">
    <w:abstractNumId w:val="12"/>
  </w:num>
  <w:num w:numId="16">
    <w:abstractNumId w:val="26"/>
  </w:num>
  <w:num w:numId="17">
    <w:abstractNumId w:val="13"/>
  </w:num>
  <w:num w:numId="18">
    <w:abstractNumId w:val="28"/>
  </w:num>
  <w:num w:numId="19">
    <w:abstractNumId w:val="20"/>
  </w:num>
  <w:num w:numId="20">
    <w:abstractNumId w:val="23"/>
  </w:num>
  <w:num w:numId="21">
    <w:abstractNumId w:val="11"/>
  </w:num>
  <w:num w:numId="22">
    <w:abstractNumId w:val="19"/>
  </w:num>
  <w:num w:numId="23">
    <w:abstractNumId w:val="10"/>
  </w:num>
  <w:num w:numId="24">
    <w:abstractNumId w:val="24"/>
  </w:num>
  <w:num w:numId="25">
    <w:abstractNumId w:val="4"/>
  </w:num>
  <w:num w:numId="26">
    <w:abstractNumId w:val="22"/>
  </w:num>
  <w:num w:numId="27">
    <w:abstractNumId w:val="18"/>
  </w:num>
  <w:num w:numId="28">
    <w:abstractNumId w:val="2"/>
  </w:num>
  <w:num w:numId="29">
    <w:abstractNumId w:val="27"/>
  </w:num>
  <w:num w:numId="30">
    <w:abstractNumId w:val="8"/>
  </w:num>
  <w:num w:numId="31">
    <w:abstractNumId w:val="31"/>
  </w:num>
  <w:num w:numId="32">
    <w:abstractNumId w:val="29"/>
  </w:num>
  <w:num w:numId="33">
    <w:abstractNumId w:val="21"/>
  </w:num>
  <w:num w:numId="34">
    <w:abstractNumId w:val="25"/>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ES_tradnl" w:vendorID="64" w:dllVersion="131078" w:nlCheck="1" w:checkStyle="0"/>
  <w:activeWritingStyle w:appName="MSWord" w:lang="es-ES"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101"/>
    <w:rsid w:val="0000118D"/>
    <w:rsid w:val="00001B3E"/>
    <w:rsid w:val="000050F1"/>
    <w:rsid w:val="000120DD"/>
    <w:rsid w:val="000200B0"/>
    <w:rsid w:val="000336F8"/>
    <w:rsid w:val="00035CB1"/>
    <w:rsid w:val="00047D9E"/>
    <w:rsid w:val="00050B1C"/>
    <w:rsid w:val="000718FB"/>
    <w:rsid w:val="00081703"/>
    <w:rsid w:val="0008425A"/>
    <w:rsid w:val="000A516C"/>
    <w:rsid w:val="000C3BB0"/>
    <w:rsid w:val="000C748E"/>
    <w:rsid w:val="000D1A34"/>
    <w:rsid w:val="000D751B"/>
    <w:rsid w:val="000F3FD8"/>
    <w:rsid w:val="000F7420"/>
    <w:rsid w:val="00101EF9"/>
    <w:rsid w:val="00113C3B"/>
    <w:rsid w:val="00116D36"/>
    <w:rsid w:val="00120D3D"/>
    <w:rsid w:val="00133A29"/>
    <w:rsid w:val="001378EF"/>
    <w:rsid w:val="00147741"/>
    <w:rsid w:val="00160E86"/>
    <w:rsid w:val="00167172"/>
    <w:rsid w:val="001719C5"/>
    <w:rsid w:val="00177998"/>
    <w:rsid w:val="00182F15"/>
    <w:rsid w:val="001840B7"/>
    <w:rsid w:val="001918F4"/>
    <w:rsid w:val="00195456"/>
    <w:rsid w:val="00195D98"/>
    <w:rsid w:val="001A26A2"/>
    <w:rsid w:val="001B2C9B"/>
    <w:rsid w:val="001D3152"/>
    <w:rsid w:val="001D5515"/>
    <w:rsid w:val="001D69DC"/>
    <w:rsid w:val="001E1214"/>
    <w:rsid w:val="001E481D"/>
    <w:rsid w:val="001E645D"/>
    <w:rsid w:val="001F534D"/>
    <w:rsid w:val="001F654F"/>
    <w:rsid w:val="00202D8A"/>
    <w:rsid w:val="002054F2"/>
    <w:rsid w:val="0021274E"/>
    <w:rsid w:val="00216EE7"/>
    <w:rsid w:val="002275BE"/>
    <w:rsid w:val="002316EF"/>
    <w:rsid w:val="0023600C"/>
    <w:rsid w:val="002443E0"/>
    <w:rsid w:val="002460F0"/>
    <w:rsid w:val="00254868"/>
    <w:rsid w:val="00264BD0"/>
    <w:rsid w:val="00266691"/>
    <w:rsid w:val="00270545"/>
    <w:rsid w:val="00273362"/>
    <w:rsid w:val="002759F4"/>
    <w:rsid w:val="0027783F"/>
    <w:rsid w:val="0028244F"/>
    <w:rsid w:val="002A115A"/>
    <w:rsid w:val="002B0B7E"/>
    <w:rsid w:val="002B4B60"/>
    <w:rsid w:val="002C14FE"/>
    <w:rsid w:val="002C4F67"/>
    <w:rsid w:val="002C6C69"/>
    <w:rsid w:val="002E06C8"/>
    <w:rsid w:val="002E15EC"/>
    <w:rsid w:val="002E5D9A"/>
    <w:rsid w:val="002F1864"/>
    <w:rsid w:val="002F391B"/>
    <w:rsid w:val="00312957"/>
    <w:rsid w:val="00315D88"/>
    <w:rsid w:val="00325BFF"/>
    <w:rsid w:val="003321D3"/>
    <w:rsid w:val="003323BF"/>
    <w:rsid w:val="00332F22"/>
    <w:rsid w:val="00342AAA"/>
    <w:rsid w:val="0035100F"/>
    <w:rsid w:val="00355B42"/>
    <w:rsid w:val="00356665"/>
    <w:rsid w:val="003613E0"/>
    <w:rsid w:val="00363CBB"/>
    <w:rsid w:val="00365219"/>
    <w:rsid w:val="0037011E"/>
    <w:rsid w:val="0038470F"/>
    <w:rsid w:val="00390E40"/>
    <w:rsid w:val="00395F96"/>
    <w:rsid w:val="003A1044"/>
    <w:rsid w:val="003A479F"/>
    <w:rsid w:val="003B075D"/>
    <w:rsid w:val="003B498B"/>
    <w:rsid w:val="003B4CB0"/>
    <w:rsid w:val="003C073E"/>
    <w:rsid w:val="003C35AA"/>
    <w:rsid w:val="003D0AE2"/>
    <w:rsid w:val="003D3078"/>
    <w:rsid w:val="003E0919"/>
    <w:rsid w:val="003E1E91"/>
    <w:rsid w:val="003E5F36"/>
    <w:rsid w:val="003E7B68"/>
    <w:rsid w:val="003F6DF8"/>
    <w:rsid w:val="004021CF"/>
    <w:rsid w:val="004112CA"/>
    <w:rsid w:val="004132EF"/>
    <w:rsid w:val="004134D0"/>
    <w:rsid w:val="0041565E"/>
    <w:rsid w:val="00416082"/>
    <w:rsid w:val="00423B17"/>
    <w:rsid w:val="004354BE"/>
    <w:rsid w:val="0044627A"/>
    <w:rsid w:val="004470FB"/>
    <w:rsid w:val="00453C6D"/>
    <w:rsid w:val="00484B9B"/>
    <w:rsid w:val="004A0688"/>
    <w:rsid w:val="004A5539"/>
    <w:rsid w:val="004B45D0"/>
    <w:rsid w:val="004B5200"/>
    <w:rsid w:val="004C230D"/>
    <w:rsid w:val="004C2C54"/>
    <w:rsid w:val="004C7E63"/>
    <w:rsid w:val="004E6303"/>
    <w:rsid w:val="004F0158"/>
    <w:rsid w:val="00512ABE"/>
    <w:rsid w:val="0052302F"/>
    <w:rsid w:val="00535B95"/>
    <w:rsid w:val="00541498"/>
    <w:rsid w:val="00541D97"/>
    <w:rsid w:val="005456B6"/>
    <w:rsid w:val="00554351"/>
    <w:rsid w:val="0056799D"/>
    <w:rsid w:val="00571071"/>
    <w:rsid w:val="005816A3"/>
    <w:rsid w:val="005853DF"/>
    <w:rsid w:val="005A32A9"/>
    <w:rsid w:val="005A6EFF"/>
    <w:rsid w:val="005B1087"/>
    <w:rsid w:val="005B2845"/>
    <w:rsid w:val="005C0E67"/>
    <w:rsid w:val="005C2257"/>
    <w:rsid w:val="005C7D65"/>
    <w:rsid w:val="005D393D"/>
    <w:rsid w:val="005D51C1"/>
    <w:rsid w:val="005E2AC9"/>
    <w:rsid w:val="005E76E8"/>
    <w:rsid w:val="005E7B54"/>
    <w:rsid w:val="005F3545"/>
    <w:rsid w:val="00605620"/>
    <w:rsid w:val="0062097F"/>
    <w:rsid w:val="00621404"/>
    <w:rsid w:val="006260FF"/>
    <w:rsid w:val="0063176B"/>
    <w:rsid w:val="00663A93"/>
    <w:rsid w:val="006700AF"/>
    <w:rsid w:val="0068706B"/>
    <w:rsid w:val="006943E1"/>
    <w:rsid w:val="00694F37"/>
    <w:rsid w:val="006B5575"/>
    <w:rsid w:val="006B6F5F"/>
    <w:rsid w:val="006C0306"/>
    <w:rsid w:val="006C0C22"/>
    <w:rsid w:val="006C4D09"/>
    <w:rsid w:val="006E2643"/>
    <w:rsid w:val="006E4A85"/>
    <w:rsid w:val="006E4B76"/>
    <w:rsid w:val="006E5E80"/>
    <w:rsid w:val="006F1835"/>
    <w:rsid w:val="006F196C"/>
    <w:rsid w:val="006F5AA2"/>
    <w:rsid w:val="0070227B"/>
    <w:rsid w:val="00704FF7"/>
    <w:rsid w:val="007050F1"/>
    <w:rsid w:val="00712D87"/>
    <w:rsid w:val="00713D4B"/>
    <w:rsid w:val="00717F8C"/>
    <w:rsid w:val="00723944"/>
    <w:rsid w:val="00726B34"/>
    <w:rsid w:val="0073135C"/>
    <w:rsid w:val="00737408"/>
    <w:rsid w:val="00741C23"/>
    <w:rsid w:val="00744C66"/>
    <w:rsid w:val="0074520E"/>
    <w:rsid w:val="007458F2"/>
    <w:rsid w:val="0075252C"/>
    <w:rsid w:val="00752873"/>
    <w:rsid w:val="007555BA"/>
    <w:rsid w:val="00765FB0"/>
    <w:rsid w:val="00766041"/>
    <w:rsid w:val="00770178"/>
    <w:rsid w:val="0078594E"/>
    <w:rsid w:val="007A237F"/>
    <w:rsid w:val="007A6F14"/>
    <w:rsid w:val="007A7932"/>
    <w:rsid w:val="007B22BB"/>
    <w:rsid w:val="007B6B83"/>
    <w:rsid w:val="007B7FF7"/>
    <w:rsid w:val="007C5291"/>
    <w:rsid w:val="007C5E97"/>
    <w:rsid w:val="007C6E84"/>
    <w:rsid w:val="007D44C8"/>
    <w:rsid w:val="007D7B92"/>
    <w:rsid w:val="007E1651"/>
    <w:rsid w:val="00811C0F"/>
    <w:rsid w:val="008123BF"/>
    <w:rsid w:val="00812A5E"/>
    <w:rsid w:val="00820743"/>
    <w:rsid w:val="0082323C"/>
    <w:rsid w:val="008307C2"/>
    <w:rsid w:val="00834085"/>
    <w:rsid w:val="008403BE"/>
    <w:rsid w:val="0084158F"/>
    <w:rsid w:val="00843507"/>
    <w:rsid w:val="008468D5"/>
    <w:rsid w:val="00846F77"/>
    <w:rsid w:val="008512C9"/>
    <w:rsid w:val="00863981"/>
    <w:rsid w:val="00865168"/>
    <w:rsid w:val="008655F8"/>
    <w:rsid w:val="008764F5"/>
    <w:rsid w:val="00877995"/>
    <w:rsid w:val="00884F77"/>
    <w:rsid w:val="0088779E"/>
    <w:rsid w:val="00887C8B"/>
    <w:rsid w:val="00891700"/>
    <w:rsid w:val="008A17D1"/>
    <w:rsid w:val="008A46E7"/>
    <w:rsid w:val="008A550D"/>
    <w:rsid w:val="008B2139"/>
    <w:rsid w:val="008C705F"/>
    <w:rsid w:val="008D0218"/>
    <w:rsid w:val="008D0414"/>
    <w:rsid w:val="008D17C7"/>
    <w:rsid w:val="008D323C"/>
    <w:rsid w:val="008E39DF"/>
    <w:rsid w:val="008E59A2"/>
    <w:rsid w:val="008F0785"/>
    <w:rsid w:val="008F1321"/>
    <w:rsid w:val="008F2C35"/>
    <w:rsid w:val="008F70D5"/>
    <w:rsid w:val="00906DA0"/>
    <w:rsid w:val="00906F2E"/>
    <w:rsid w:val="0090778E"/>
    <w:rsid w:val="00907EA5"/>
    <w:rsid w:val="00911CDA"/>
    <w:rsid w:val="00917538"/>
    <w:rsid w:val="00931354"/>
    <w:rsid w:val="00936101"/>
    <w:rsid w:val="00943332"/>
    <w:rsid w:val="00953692"/>
    <w:rsid w:val="009560F4"/>
    <w:rsid w:val="00957BEC"/>
    <w:rsid w:val="009601B3"/>
    <w:rsid w:val="00965FD6"/>
    <w:rsid w:val="00971A62"/>
    <w:rsid w:val="00974A3E"/>
    <w:rsid w:val="00983E19"/>
    <w:rsid w:val="009844AF"/>
    <w:rsid w:val="00985722"/>
    <w:rsid w:val="00986578"/>
    <w:rsid w:val="009914CE"/>
    <w:rsid w:val="0099462A"/>
    <w:rsid w:val="00995598"/>
    <w:rsid w:val="00996587"/>
    <w:rsid w:val="009A39C0"/>
    <w:rsid w:val="009A750E"/>
    <w:rsid w:val="009B119D"/>
    <w:rsid w:val="009B23D1"/>
    <w:rsid w:val="009B7A62"/>
    <w:rsid w:val="009C0E8F"/>
    <w:rsid w:val="009C191D"/>
    <w:rsid w:val="009D257E"/>
    <w:rsid w:val="009D38F2"/>
    <w:rsid w:val="009E55E1"/>
    <w:rsid w:val="009E75CF"/>
    <w:rsid w:val="009E7F9F"/>
    <w:rsid w:val="009F16B4"/>
    <w:rsid w:val="009F1FC1"/>
    <w:rsid w:val="009F7BD0"/>
    <w:rsid w:val="00A014F4"/>
    <w:rsid w:val="00A0727F"/>
    <w:rsid w:val="00A0768E"/>
    <w:rsid w:val="00A108F1"/>
    <w:rsid w:val="00A154FF"/>
    <w:rsid w:val="00A33DB7"/>
    <w:rsid w:val="00A401B7"/>
    <w:rsid w:val="00A42202"/>
    <w:rsid w:val="00A57346"/>
    <w:rsid w:val="00A60616"/>
    <w:rsid w:val="00A676AD"/>
    <w:rsid w:val="00A71259"/>
    <w:rsid w:val="00A728B8"/>
    <w:rsid w:val="00A820AF"/>
    <w:rsid w:val="00A82ECA"/>
    <w:rsid w:val="00A86E94"/>
    <w:rsid w:val="00A90D08"/>
    <w:rsid w:val="00A9500E"/>
    <w:rsid w:val="00AB4B8A"/>
    <w:rsid w:val="00AC634A"/>
    <w:rsid w:val="00AD0CC3"/>
    <w:rsid w:val="00AD1FC4"/>
    <w:rsid w:val="00AE0C0A"/>
    <w:rsid w:val="00AF3996"/>
    <w:rsid w:val="00AF3E16"/>
    <w:rsid w:val="00B036DF"/>
    <w:rsid w:val="00B053EB"/>
    <w:rsid w:val="00B11DE0"/>
    <w:rsid w:val="00B260F8"/>
    <w:rsid w:val="00B26793"/>
    <w:rsid w:val="00B30C91"/>
    <w:rsid w:val="00B31956"/>
    <w:rsid w:val="00B348EE"/>
    <w:rsid w:val="00B430B1"/>
    <w:rsid w:val="00B43764"/>
    <w:rsid w:val="00B464BC"/>
    <w:rsid w:val="00B46A54"/>
    <w:rsid w:val="00B46F39"/>
    <w:rsid w:val="00B54E09"/>
    <w:rsid w:val="00B55A67"/>
    <w:rsid w:val="00B66758"/>
    <w:rsid w:val="00B67D47"/>
    <w:rsid w:val="00B76347"/>
    <w:rsid w:val="00B861E8"/>
    <w:rsid w:val="00B91B84"/>
    <w:rsid w:val="00B9250C"/>
    <w:rsid w:val="00BA08E8"/>
    <w:rsid w:val="00BA35B4"/>
    <w:rsid w:val="00BA7ECC"/>
    <w:rsid w:val="00BB7B81"/>
    <w:rsid w:val="00BC2981"/>
    <w:rsid w:val="00BD59BC"/>
    <w:rsid w:val="00BD5CAF"/>
    <w:rsid w:val="00BE1315"/>
    <w:rsid w:val="00BE4C7D"/>
    <w:rsid w:val="00BF07DB"/>
    <w:rsid w:val="00BF33DD"/>
    <w:rsid w:val="00BF72CE"/>
    <w:rsid w:val="00C0068B"/>
    <w:rsid w:val="00C06578"/>
    <w:rsid w:val="00C06E46"/>
    <w:rsid w:val="00C103A3"/>
    <w:rsid w:val="00C103B6"/>
    <w:rsid w:val="00C1698A"/>
    <w:rsid w:val="00C2034A"/>
    <w:rsid w:val="00C256CE"/>
    <w:rsid w:val="00C25B4C"/>
    <w:rsid w:val="00C269D2"/>
    <w:rsid w:val="00C32DED"/>
    <w:rsid w:val="00C3482F"/>
    <w:rsid w:val="00C35AFD"/>
    <w:rsid w:val="00C37E6F"/>
    <w:rsid w:val="00C41C42"/>
    <w:rsid w:val="00C41C44"/>
    <w:rsid w:val="00C41F3A"/>
    <w:rsid w:val="00C44A17"/>
    <w:rsid w:val="00C509F3"/>
    <w:rsid w:val="00C5438E"/>
    <w:rsid w:val="00C61D3A"/>
    <w:rsid w:val="00C62342"/>
    <w:rsid w:val="00C67D17"/>
    <w:rsid w:val="00C722ED"/>
    <w:rsid w:val="00C75DEE"/>
    <w:rsid w:val="00C85AFB"/>
    <w:rsid w:val="00C8712B"/>
    <w:rsid w:val="00C96931"/>
    <w:rsid w:val="00C97609"/>
    <w:rsid w:val="00CA081C"/>
    <w:rsid w:val="00CA49B6"/>
    <w:rsid w:val="00CB5BEA"/>
    <w:rsid w:val="00CE197D"/>
    <w:rsid w:val="00CE1AFA"/>
    <w:rsid w:val="00CE2549"/>
    <w:rsid w:val="00CE3453"/>
    <w:rsid w:val="00D003C8"/>
    <w:rsid w:val="00D02481"/>
    <w:rsid w:val="00D030BE"/>
    <w:rsid w:val="00D05C90"/>
    <w:rsid w:val="00D07AF4"/>
    <w:rsid w:val="00D108C6"/>
    <w:rsid w:val="00D1349B"/>
    <w:rsid w:val="00D16DB3"/>
    <w:rsid w:val="00D24F24"/>
    <w:rsid w:val="00D2741A"/>
    <w:rsid w:val="00D45812"/>
    <w:rsid w:val="00D61D54"/>
    <w:rsid w:val="00D668BC"/>
    <w:rsid w:val="00D66B2D"/>
    <w:rsid w:val="00D702FA"/>
    <w:rsid w:val="00D70F69"/>
    <w:rsid w:val="00D76A0E"/>
    <w:rsid w:val="00D801C6"/>
    <w:rsid w:val="00D828C3"/>
    <w:rsid w:val="00D8589A"/>
    <w:rsid w:val="00D96B79"/>
    <w:rsid w:val="00D9763A"/>
    <w:rsid w:val="00DA6916"/>
    <w:rsid w:val="00DA7CDB"/>
    <w:rsid w:val="00DB41B0"/>
    <w:rsid w:val="00DB5D59"/>
    <w:rsid w:val="00DC0884"/>
    <w:rsid w:val="00DC511A"/>
    <w:rsid w:val="00DC5617"/>
    <w:rsid w:val="00DD19E9"/>
    <w:rsid w:val="00DD2091"/>
    <w:rsid w:val="00DE086A"/>
    <w:rsid w:val="00DE44B9"/>
    <w:rsid w:val="00DF1F9B"/>
    <w:rsid w:val="00DF63CF"/>
    <w:rsid w:val="00DF7CFC"/>
    <w:rsid w:val="00E00449"/>
    <w:rsid w:val="00E0073C"/>
    <w:rsid w:val="00E166BD"/>
    <w:rsid w:val="00E2089B"/>
    <w:rsid w:val="00E21744"/>
    <w:rsid w:val="00E251E0"/>
    <w:rsid w:val="00E26A1B"/>
    <w:rsid w:val="00E309E6"/>
    <w:rsid w:val="00E31E4E"/>
    <w:rsid w:val="00E43ECA"/>
    <w:rsid w:val="00E4406B"/>
    <w:rsid w:val="00E47217"/>
    <w:rsid w:val="00E57D7B"/>
    <w:rsid w:val="00E64117"/>
    <w:rsid w:val="00E64321"/>
    <w:rsid w:val="00E64E46"/>
    <w:rsid w:val="00E675F4"/>
    <w:rsid w:val="00E7009F"/>
    <w:rsid w:val="00E751F8"/>
    <w:rsid w:val="00E7533D"/>
    <w:rsid w:val="00E753E7"/>
    <w:rsid w:val="00E763B7"/>
    <w:rsid w:val="00E87FCC"/>
    <w:rsid w:val="00E9074B"/>
    <w:rsid w:val="00E90C3E"/>
    <w:rsid w:val="00E930BD"/>
    <w:rsid w:val="00E9318D"/>
    <w:rsid w:val="00EA0E4F"/>
    <w:rsid w:val="00EA1FD3"/>
    <w:rsid w:val="00EC0938"/>
    <w:rsid w:val="00EC253C"/>
    <w:rsid w:val="00EF4860"/>
    <w:rsid w:val="00F042E1"/>
    <w:rsid w:val="00F068D5"/>
    <w:rsid w:val="00F0713E"/>
    <w:rsid w:val="00F2475F"/>
    <w:rsid w:val="00F26C9E"/>
    <w:rsid w:val="00F27FEC"/>
    <w:rsid w:val="00F357B9"/>
    <w:rsid w:val="00F36CF3"/>
    <w:rsid w:val="00F5192F"/>
    <w:rsid w:val="00F53CED"/>
    <w:rsid w:val="00F61014"/>
    <w:rsid w:val="00F65184"/>
    <w:rsid w:val="00F70D5C"/>
    <w:rsid w:val="00F72C38"/>
    <w:rsid w:val="00F753FB"/>
    <w:rsid w:val="00F81F39"/>
    <w:rsid w:val="00F95EA2"/>
    <w:rsid w:val="00FA2546"/>
    <w:rsid w:val="00FA6B21"/>
    <w:rsid w:val="00FB3A3E"/>
    <w:rsid w:val="00FB7D75"/>
    <w:rsid w:val="00FC57D5"/>
    <w:rsid w:val="00FD3536"/>
    <w:rsid w:val="00FD43CB"/>
    <w:rsid w:val="00FD76B9"/>
    <w:rsid w:val="00FE36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6F3B47D-5D8C-4244-8430-A102190D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FD6"/>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36101"/>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36101"/>
    <w:pPr>
      <w:keepNext/>
      <w:widowControl w:val="0"/>
      <w:numPr>
        <w:numId w:val="3"/>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936101"/>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936101"/>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936101"/>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936101"/>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936101"/>
    <w:pPr>
      <w:spacing w:before="240" w:after="60"/>
      <w:outlineLvl w:val="6"/>
    </w:pPr>
    <w:rPr>
      <w:rFonts w:ascii="Calibri" w:hAnsi="Calibri"/>
    </w:rPr>
  </w:style>
  <w:style w:type="paragraph" w:styleId="Ttulo8">
    <w:name w:val="heading 8"/>
    <w:basedOn w:val="Normal"/>
    <w:next w:val="Normal"/>
    <w:link w:val="Ttulo8Car"/>
    <w:qFormat/>
    <w:rsid w:val="00936101"/>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936101"/>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36101"/>
    <w:rPr>
      <w:rFonts w:ascii="CG Times" w:eastAsia="Times New Roman" w:hAnsi="CG Times" w:cs="Times New Roman"/>
      <w:b/>
      <w:sz w:val="24"/>
      <w:szCs w:val="20"/>
      <w:lang w:eastAsia="es-ES"/>
    </w:rPr>
  </w:style>
  <w:style w:type="character" w:customStyle="1" w:styleId="Ttulo2Car">
    <w:name w:val="Título 2 Car"/>
    <w:aliases w:val="Neg Car"/>
    <w:basedOn w:val="Fuentedeprrafopredeter"/>
    <w:link w:val="Ttulo2"/>
    <w:rsid w:val="00936101"/>
    <w:rPr>
      <w:rFonts w:ascii="Times New Roman" w:eastAsia="Times New Roman" w:hAnsi="Times New Roman" w:cs="Times New Roman"/>
      <w:b/>
      <w:bCs/>
      <w:sz w:val="24"/>
      <w:szCs w:val="24"/>
      <w:lang w:val="es-ES" w:eastAsia="es-ES"/>
    </w:rPr>
  </w:style>
  <w:style w:type="character" w:customStyle="1" w:styleId="Ttulo3Car">
    <w:name w:val="Título 3 Car"/>
    <w:basedOn w:val="Fuentedeprrafopredeter"/>
    <w:link w:val="Ttulo3"/>
    <w:rsid w:val="00936101"/>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936101"/>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936101"/>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936101"/>
    <w:rPr>
      <w:rFonts w:ascii="Calibri" w:eastAsia="Times New Roman" w:hAnsi="Calibri" w:cs="Times New Roman"/>
      <w:b/>
      <w:bCs/>
      <w:lang w:val="es-ES" w:eastAsia="es-ES"/>
    </w:rPr>
  </w:style>
  <w:style w:type="character" w:customStyle="1" w:styleId="Ttulo7Car">
    <w:name w:val="Título 7 Car"/>
    <w:basedOn w:val="Fuentedeprrafopredeter"/>
    <w:link w:val="Ttulo7"/>
    <w:rsid w:val="00936101"/>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rsid w:val="00936101"/>
    <w:rPr>
      <w:rFonts w:ascii="Arial" w:eastAsia="Times New Roman" w:hAnsi="Arial" w:cs="Arial"/>
      <w:b/>
      <w:sz w:val="44"/>
      <w:szCs w:val="24"/>
      <w:lang w:val="es-ES" w:eastAsia="es-ES"/>
    </w:rPr>
  </w:style>
  <w:style w:type="character" w:customStyle="1" w:styleId="Ttulo9Car">
    <w:name w:val="Título 9 Car"/>
    <w:basedOn w:val="Fuentedeprrafopredeter"/>
    <w:link w:val="Ttulo9"/>
    <w:rsid w:val="00936101"/>
    <w:rPr>
      <w:rFonts w:ascii="Arial" w:eastAsia="Times New Roman" w:hAnsi="Arial" w:cs="Times New Roman"/>
      <w:b/>
      <w:i/>
      <w:sz w:val="28"/>
      <w:szCs w:val="20"/>
      <w:lang w:val="es-ES_tradnl" w:eastAsia="es-ES"/>
    </w:rPr>
  </w:style>
  <w:style w:type="paragraph" w:styleId="Encabezado">
    <w:name w:val="header"/>
    <w:basedOn w:val="Normal"/>
    <w:link w:val="EncabezadoCar"/>
    <w:rsid w:val="00936101"/>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936101"/>
    <w:rPr>
      <w:rFonts w:ascii="CG Times" w:eastAsia="Times New Roman" w:hAnsi="CG Times" w:cs="Times New Roman"/>
      <w:sz w:val="24"/>
      <w:szCs w:val="20"/>
      <w:lang w:eastAsia="es-ES"/>
    </w:rPr>
  </w:style>
  <w:style w:type="paragraph" w:styleId="Piedepgina">
    <w:name w:val="footer"/>
    <w:basedOn w:val="Normal"/>
    <w:link w:val="PiedepginaCar"/>
    <w:rsid w:val="00936101"/>
    <w:pPr>
      <w:tabs>
        <w:tab w:val="center" w:pos="4252"/>
        <w:tab w:val="right" w:pos="8504"/>
      </w:tabs>
    </w:pPr>
  </w:style>
  <w:style w:type="character" w:customStyle="1" w:styleId="PiedepginaCar">
    <w:name w:val="Pie de página Car"/>
    <w:basedOn w:val="Fuentedeprrafopredeter"/>
    <w:link w:val="Piedepgina"/>
    <w:rsid w:val="00936101"/>
    <w:rPr>
      <w:rFonts w:ascii="Times New Roman" w:eastAsia="Times New Roman" w:hAnsi="Times New Roman" w:cs="Times New Roman"/>
      <w:sz w:val="24"/>
      <w:szCs w:val="24"/>
      <w:lang w:val="es-ES" w:eastAsia="es-ES"/>
    </w:rPr>
  </w:style>
  <w:style w:type="paragraph" w:customStyle="1" w:styleId="Estilo1">
    <w:name w:val="Estilo1"/>
    <w:basedOn w:val="Normal"/>
    <w:rsid w:val="00936101"/>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936101"/>
  </w:style>
  <w:style w:type="paragraph" w:styleId="Textoindependiente">
    <w:name w:val="Body Text"/>
    <w:basedOn w:val="Normal"/>
    <w:link w:val="TextoindependienteCar"/>
    <w:rsid w:val="00936101"/>
    <w:pPr>
      <w:jc w:val="center"/>
    </w:pPr>
    <w:rPr>
      <w:rFonts w:ascii="Arial" w:hAnsi="Arial" w:cs="Arial"/>
      <w:b/>
      <w:bCs/>
    </w:rPr>
  </w:style>
  <w:style w:type="character" w:customStyle="1" w:styleId="TextoindependienteCar">
    <w:name w:val="Texto independiente Car"/>
    <w:basedOn w:val="Fuentedeprrafopredeter"/>
    <w:link w:val="Textoindependiente"/>
    <w:rsid w:val="00936101"/>
    <w:rPr>
      <w:rFonts w:ascii="Arial" w:eastAsia="Times New Roman" w:hAnsi="Arial" w:cs="Arial"/>
      <w:b/>
      <w:bCs/>
      <w:sz w:val="24"/>
      <w:szCs w:val="24"/>
      <w:lang w:val="es-ES" w:eastAsia="es-ES"/>
    </w:rPr>
  </w:style>
  <w:style w:type="paragraph" w:styleId="Textoindependiente3">
    <w:name w:val="Body Text 3"/>
    <w:basedOn w:val="Normal"/>
    <w:link w:val="Textoindependiente3Car"/>
    <w:rsid w:val="00936101"/>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rsid w:val="00936101"/>
    <w:rPr>
      <w:rFonts w:ascii="Arial" w:eastAsia="Times New Roman" w:hAnsi="Arial" w:cs="Arial"/>
      <w:b/>
      <w:bCs/>
      <w:spacing w:val="-3"/>
      <w:sz w:val="24"/>
      <w:szCs w:val="24"/>
      <w:lang w:val="es-ES" w:eastAsia="es-ES"/>
    </w:rPr>
  </w:style>
  <w:style w:type="paragraph" w:styleId="Textodeglobo">
    <w:name w:val="Balloon Text"/>
    <w:basedOn w:val="Normal"/>
    <w:link w:val="TextodegloboCar"/>
    <w:unhideWhenUsed/>
    <w:rsid w:val="00936101"/>
    <w:rPr>
      <w:rFonts w:ascii="Tahoma" w:hAnsi="Tahoma" w:cs="Tahoma"/>
      <w:sz w:val="16"/>
      <w:szCs w:val="16"/>
    </w:rPr>
  </w:style>
  <w:style w:type="character" w:customStyle="1" w:styleId="TextodegloboCar">
    <w:name w:val="Texto de globo Car"/>
    <w:basedOn w:val="Fuentedeprrafopredeter"/>
    <w:link w:val="Textodeglobo"/>
    <w:rsid w:val="00936101"/>
    <w:rPr>
      <w:rFonts w:ascii="Tahoma" w:eastAsia="Times New Roman" w:hAnsi="Tahoma" w:cs="Tahoma"/>
      <w:sz w:val="16"/>
      <w:szCs w:val="16"/>
      <w:lang w:val="es-ES" w:eastAsia="es-ES"/>
    </w:rPr>
  </w:style>
  <w:style w:type="table" w:styleId="Tablaconcuadrcula">
    <w:name w:val="Table Grid"/>
    <w:basedOn w:val="Tablanormal"/>
    <w:uiPriority w:val="59"/>
    <w:rsid w:val="00936101"/>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936101"/>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936101"/>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936101"/>
    <w:pPr>
      <w:ind w:left="708"/>
    </w:pPr>
    <w:rPr>
      <w:sz w:val="20"/>
      <w:szCs w:val="20"/>
      <w:lang w:val="es-CO"/>
    </w:rPr>
  </w:style>
  <w:style w:type="character" w:customStyle="1" w:styleId="PrrafodelistaCar">
    <w:name w:val="Párrafo de lista Car"/>
    <w:link w:val="Prrafodelista"/>
    <w:uiPriority w:val="34"/>
    <w:rsid w:val="00936101"/>
    <w:rPr>
      <w:rFonts w:ascii="Times New Roman" w:eastAsia="Times New Roman" w:hAnsi="Times New Roman" w:cs="Times New Roman"/>
      <w:sz w:val="20"/>
      <w:szCs w:val="20"/>
      <w:lang w:eastAsia="es-ES"/>
    </w:rPr>
  </w:style>
  <w:style w:type="paragraph" w:styleId="TDC1">
    <w:name w:val="toc 1"/>
    <w:basedOn w:val="Normal"/>
    <w:next w:val="Normal"/>
    <w:autoRedefine/>
    <w:rsid w:val="00936101"/>
    <w:pPr>
      <w:tabs>
        <w:tab w:val="left" w:pos="480"/>
        <w:tab w:val="right" w:leader="dot" w:pos="8828"/>
      </w:tabs>
      <w:spacing w:before="120"/>
      <w:jc w:val="both"/>
    </w:pPr>
    <w:rPr>
      <w:rFonts w:ascii="Arial" w:hAnsi="Arial"/>
      <w:noProof/>
    </w:rPr>
  </w:style>
  <w:style w:type="paragraph" w:styleId="Textodebloque">
    <w:name w:val="Block Text"/>
    <w:basedOn w:val="Normal"/>
    <w:rsid w:val="00936101"/>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936101"/>
    <w:pPr>
      <w:spacing w:after="120" w:line="480" w:lineRule="auto"/>
    </w:pPr>
  </w:style>
  <w:style w:type="character" w:customStyle="1" w:styleId="Textoindependiente2Car">
    <w:name w:val="Texto independiente 2 Car"/>
    <w:basedOn w:val="Fuentedeprrafopredeter"/>
    <w:link w:val="Textoindependiente2"/>
    <w:rsid w:val="00936101"/>
    <w:rPr>
      <w:rFonts w:ascii="Times New Roman" w:eastAsia="Times New Roman" w:hAnsi="Times New Roman" w:cs="Times New Roman"/>
      <w:sz w:val="24"/>
      <w:szCs w:val="24"/>
      <w:lang w:val="es-ES" w:eastAsia="es-ES"/>
    </w:rPr>
  </w:style>
  <w:style w:type="paragraph" w:styleId="Descripcin">
    <w:name w:val="caption"/>
    <w:basedOn w:val="Normal"/>
    <w:next w:val="Normal"/>
    <w:qFormat/>
    <w:rsid w:val="00936101"/>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936101"/>
    <w:pPr>
      <w:spacing w:after="0" w:line="240" w:lineRule="auto"/>
    </w:pPr>
    <w:rPr>
      <w:rFonts w:ascii="Calibri" w:eastAsia="Times New Roman" w:hAnsi="Calibri" w:cs="Calibri"/>
      <w:lang w:val="es-ES"/>
    </w:rPr>
  </w:style>
  <w:style w:type="character" w:customStyle="1" w:styleId="apple-style-span">
    <w:name w:val="apple-style-span"/>
    <w:rsid w:val="00936101"/>
    <w:rPr>
      <w:rFonts w:ascii="Times New Roman" w:hAnsi="Times New Roman" w:cs="Times New Roman"/>
    </w:rPr>
  </w:style>
  <w:style w:type="paragraph" w:styleId="Subttulo">
    <w:name w:val="Subtitle"/>
    <w:basedOn w:val="Normal"/>
    <w:link w:val="SubttuloCar"/>
    <w:qFormat/>
    <w:rsid w:val="00936101"/>
    <w:pPr>
      <w:ind w:left="0"/>
    </w:pPr>
    <w:rPr>
      <w:rFonts w:ascii="Century Gothic" w:hAnsi="Century Gothic"/>
      <w:b/>
      <w:bCs/>
    </w:rPr>
  </w:style>
  <w:style w:type="character" w:customStyle="1" w:styleId="SubttuloCar">
    <w:name w:val="Subtítulo Car"/>
    <w:basedOn w:val="Fuentedeprrafopredeter"/>
    <w:link w:val="Subttulo"/>
    <w:rsid w:val="00936101"/>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936101"/>
  </w:style>
  <w:style w:type="paragraph" w:customStyle="1" w:styleId="BodyText21">
    <w:name w:val="Body Text 21"/>
    <w:basedOn w:val="Normal"/>
    <w:uiPriority w:val="99"/>
    <w:rsid w:val="0093610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Sangradetextonormal">
    <w:name w:val="Body Text Indent"/>
    <w:basedOn w:val="Normal"/>
    <w:link w:val="SangradetextonormalCar"/>
    <w:unhideWhenUsed/>
    <w:rsid w:val="00936101"/>
    <w:pPr>
      <w:spacing w:after="120"/>
      <w:ind w:left="283"/>
    </w:pPr>
  </w:style>
  <w:style w:type="character" w:customStyle="1" w:styleId="SangradetextonormalCar">
    <w:name w:val="Sangría de texto normal Car"/>
    <w:basedOn w:val="Fuentedeprrafopredeter"/>
    <w:link w:val="Sangradetextonormal"/>
    <w:rsid w:val="00936101"/>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936101"/>
    <w:pPr>
      <w:numPr>
        <w:numId w:val="2"/>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936101"/>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936101"/>
    <w:pPr>
      <w:spacing w:after="120" w:line="480" w:lineRule="auto"/>
      <w:ind w:left="283"/>
    </w:pPr>
  </w:style>
  <w:style w:type="character" w:customStyle="1" w:styleId="Sangra2detindependienteCar">
    <w:name w:val="Sangría 2 de t. independiente Car"/>
    <w:basedOn w:val="Fuentedeprrafopredeter"/>
    <w:link w:val="Sangra2detindependiente"/>
    <w:rsid w:val="00936101"/>
    <w:rPr>
      <w:rFonts w:ascii="Times New Roman" w:eastAsia="Times New Roman" w:hAnsi="Times New Roman" w:cs="Times New Roman"/>
      <w:sz w:val="24"/>
      <w:szCs w:val="24"/>
      <w:lang w:val="es-ES" w:eastAsia="es-ES"/>
    </w:rPr>
  </w:style>
  <w:style w:type="paragraph" w:customStyle="1" w:styleId="PliegoTitulo1">
    <w:name w:val="Pliego_Titulo1"/>
    <w:basedOn w:val="Pliego-Normal"/>
    <w:next w:val="Pliego-Normal"/>
    <w:rsid w:val="00936101"/>
    <w:pPr>
      <w:numPr>
        <w:numId w:val="4"/>
      </w:numPr>
      <w:jc w:val="center"/>
    </w:pPr>
    <w:rPr>
      <w:b/>
    </w:rPr>
  </w:style>
  <w:style w:type="paragraph" w:customStyle="1" w:styleId="Pliego-Normal">
    <w:name w:val="Pliego-Normal"/>
    <w:basedOn w:val="Normal"/>
    <w:rsid w:val="00936101"/>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936101"/>
    <w:pPr>
      <w:numPr>
        <w:ilvl w:val="2"/>
        <w:numId w:val="4"/>
      </w:numPr>
      <w:tabs>
        <w:tab w:val="clear" w:pos="720"/>
        <w:tab w:val="num" w:pos="576"/>
      </w:tabs>
      <w:ind w:left="576" w:hanging="576"/>
    </w:pPr>
    <w:rPr>
      <w:b/>
    </w:rPr>
  </w:style>
  <w:style w:type="paragraph" w:customStyle="1" w:styleId="PliegoTitulo3">
    <w:name w:val="Pliego_Titulo3"/>
    <w:basedOn w:val="Pliego-Normal"/>
    <w:next w:val="Pliego-Normal"/>
    <w:autoRedefine/>
    <w:rsid w:val="00936101"/>
    <w:pPr>
      <w:numPr>
        <w:ilvl w:val="3"/>
        <w:numId w:val="4"/>
      </w:numPr>
      <w:tabs>
        <w:tab w:val="clear" w:pos="864"/>
        <w:tab w:val="num" w:pos="720"/>
      </w:tabs>
      <w:ind w:left="720" w:hanging="720"/>
    </w:pPr>
    <w:rPr>
      <w:b/>
      <w:i/>
    </w:rPr>
  </w:style>
  <w:style w:type="paragraph" w:customStyle="1" w:styleId="PliegoTitulo4">
    <w:name w:val="Pliego_Titulo4"/>
    <w:basedOn w:val="Pliego-Normal"/>
    <w:next w:val="Pliego-Normal"/>
    <w:rsid w:val="00936101"/>
    <w:pPr>
      <w:numPr>
        <w:ilvl w:val="4"/>
        <w:numId w:val="4"/>
      </w:numPr>
      <w:tabs>
        <w:tab w:val="clear" w:pos="1440"/>
        <w:tab w:val="num" w:pos="864"/>
      </w:tabs>
      <w:ind w:left="864" w:hanging="864"/>
    </w:pPr>
    <w:rPr>
      <w:i/>
    </w:rPr>
  </w:style>
  <w:style w:type="paragraph" w:customStyle="1" w:styleId="p0">
    <w:name w:val="p0"/>
    <w:basedOn w:val="Normal"/>
    <w:rsid w:val="00936101"/>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uiPriority w:val="99"/>
    <w:rsid w:val="00936101"/>
    <w:rPr>
      <w:color w:val="0000FF"/>
      <w:u w:val="single"/>
    </w:rPr>
  </w:style>
  <w:style w:type="paragraph" w:styleId="TDC2">
    <w:name w:val="toc 2"/>
    <w:basedOn w:val="Normal"/>
    <w:next w:val="Normal"/>
    <w:autoRedefine/>
    <w:rsid w:val="00936101"/>
    <w:pPr>
      <w:widowControl w:val="0"/>
      <w:adjustRightInd w:val="0"/>
      <w:spacing w:before="240" w:line="360" w:lineRule="atLeast"/>
      <w:ind w:left="0"/>
      <w:textAlignment w:val="baseline"/>
    </w:pPr>
    <w:rPr>
      <w:b/>
      <w:bC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936101"/>
    <w:rPr>
      <w:vertAlign w:val="superscript"/>
    </w:rPr>
  </w:style>
  <w:style w:type="paragraph" w:customStyle="1" w:styleId="Textoindependiente31">
    <w:name w:val="Texto independiente 31"/>
    <w:basedOn w:val="Normal"/>
    <w:rsid w:val="00936101"/>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936101"/>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936101"/>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936101"/>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936101"/>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936101"/>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936101"/>
    <w:rPr>
      <w:rFonts w:ascii="Arial" w:eastAsia="Times New Roman" w:hAnsi="Arial" w:cs="Arial"/>
      <w:vanish/>
      <w:color w:val="000000"/>
      <w:sz w:val="16"/>
      <w:szCs w:val="16"/>
      <w:lang w:val="es-ES" w:eastAsia="es-ES"/>
    </w:rPr>
  </w:style>
  <w:style w:type="paragraph" w:customStyle="1" w:styleId="tabelltekst">
    <w:name w:val="tabelltekst"/>
    <w:basedOn w:val="Normal"/>
    <w:rsid w:val="00936101"/>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rsid w:val="00936101"/>
    <w:pPr>
      <w:widowControl w:val="0"/>
      <w:adjustRightInd w:val="0"/>
      <w:spacing w:line="360" w:lineRule="atLeast"/>
      <w:ind w:left="0"/>
      <w:jc w:val="both"/>
      <w:textAlignment w:val="baseline"/>
    </w:pPr>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936101"/>
    <w:rPr>
      <w:rFonts w:ascii="Times New Roman" w:eastAsia="Times New Roman" w:hAnsi="Times New Roman" w:cs="Times New Roman"/>
      <w:sz w:val="20"/>
      <w:szCs w:val="20"/>
      <w:lang w:val="es-ES" w:eastAsia="es-ES"/>
    </w:rPr>
  </w:style>
  <w:style w:type="paragraph" w:styleId="TDC3">
    <w:name w:val="toc 3"/>
    <w:basedOn w:val="Normal"/>
    <w:next w:val="Normal"/>
    <w:autoRedefine/>
    <w:rsid w:val="00936101"/>
    <w:pPr>
      <w:widowControl w:val="0"/>
      <w:adjustRightInd w:val="0"/>
      <w:spacing w:line="360" w:lineRule="atLeast"/>
      <w:ind w:left="240"/>
      <w:textAlignment w:val="baseline"/>
    </w:pPr>
  </w:style>
  <w:style w:type="paragraph" w:customStyle="1" w:styleId="NormalTesis">
    <w:name w:val="Normal Tesis"/>
    <w:basedOn w:val="Textoindependiente"/>
    <w:rsid w:val="00936101"/>
    <w:pPr>
      <w:widowControl w:val="0"/>
      <w:adjustRightInd w:val="0"/>
      <w:spacing w:line="360" w:lineRule="auto"/>
      <w:ind w:left="0"/>
      <w:jc w:val="both"/>
      <w:textAlignment w:val="baseline"/>
    </w:pPr>
    <w:rPr>
      <w:b w:val="0"/>
      <w:bCs w:val="0"/>
      <w:sz w:val="22"/>
    </w:rPr>
  </w:style>
  <w:style w:type="character" w:styleId="Refdecomentario">
    <w:name w:val="annotation reference"/>
    <w:semiHidden/>
    <w:rsid w:val="00936101"/>
    <w:rPr>
      <w:sz w:val="16"/>
      <w:szCs w:val="16"/>
    </w:rPr>
  </w:style>
  <w:style w:type="paragraph" w:styleId="Textocomentario">
    <w:name w:val="annotation text"/>
    <w:basedOn w:val="Normal"/>
    <w:link w:val="TextocomentarioCar"/>
    <w:semiHidden/>
    <w:rsid w:val="00936101"/>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semiHidden/>
    <w:rsid w:val="00936101"/>
    <w:rPr>
      <w:rFonts w:ascii="Times New Roman" w:eastAsia="Times New Roman" w:hAnsi="Times New Roman" w:cs="Times New Roman"/>
      <w:sz w:val="20"/>
      <w:szCs w:val="20"/>
      <w:lang w:val="es-ES" w:eastAsia="es-ES"/>
    </w:rPr>
  </w:style>
  <w:style w:type="paragraph" w:styleId="TDC4">
    <w:name w:val="toc 4"/>
    <w:basedOn w:val="Normal"/>
    <w:next w:val="Normal"/>
    <w:autoRedefine/>
    <w:semiHidden/>
    <w:rsid w:val="00936101"/>
    <w:pPr>
      <w:widowControl w:val="0"/>
      <w:adjustRightInd w:val="0"/>
      <w:spacing w:line="360" w:lineRule="atLeast"/>
      <w:ind w:left="480"/>
      <w:textAlignment w:val="baseline"/>
    </w:pPr>
  </w:style>
  <w:style w:type="paragraph" w:styleId="TDC5">
    <w:name w:val="toc 5"/>
    <w:basedOn w:val="Normal"/>
    <w:next w:val="Normal"/>
    <w:autoRedefine/>
    <w:semiHidden/>
    <w:rsid w:val="00936101"/>
    <w:pPr>
      <w:widowControl w:val="0"/>
      <w:adjustRightInd w:val="0"/>
      <w:spacing w:line="360" w:lineRule="atLeast"/>
      <w:ind w:left="720"/>
      <w:textAlignment w:val="baseline"/>
    </w:pPr>
  </w:style>
  <w:style w:type="paragraph" w:styleId="TDC6">
    <w:name w:val="toc 6"/>
    <w:basedOn w:val="Normal"/>
    <w:next w:val="Normal"/>
    <w:autoRedefine/>
    <w:semiHidden/>
    <w:rsid w:val="00936101"/>
    <w:pPr>
      <w:widowControl w:val="0"/>
      <w:adjustRightInd w:val="0"/>
      <w:spacing w:line="360" w:lineRule="atLeast"/>
      <w:ind w:left="960"/>
      <w:textAlignment w:val="baseline"/>
    </w:pPr>
  </w:style>
  <w:style w:type="paragraph" w:styleId="TDC7">
    <w:name w:val="toc 7"/>
    <w:basedOn w:val="Normal"/>
    <w:next w:val="Normal"/>
    <w:autoRedefine/>
    <w:semiHidden/>
    <w:rsid w:val="00936101"/>
    <w:pPr>
      <w:widowControl w:val="0"/>
      <w:adjustRightInd w:val="0"/>
      <w:spacing w:line="360" w:lineRule="atLeast"/>
      <w:ind w:left="1200"/>
      <w:textAlignment w:val="baseline"/>
    </w:pPr>
  </w:style>
  <w:style w:type="paragraph" w:styleId="TDC8">
    <w:name w:val="toc 8"/>
    <w:basedOn w:val="Normal"/>
    <w:next w:val="Normal"/>
    <w:autoRedefine/>
    <w:semiHidden/>
    <w:rsid w:val="00936101"/>
    <w:pPr>
      <w:widowControl w:val="0"/>
      <w:adjustRightInd w:val="0"/>
      <w:spacing w:line="360" w:lineRule="atLeast"/>
      <w:ind w:left="1440"/>
      <w:textAlignment w:val="baseline"/>
    </w:pPr>
  </w:style>
  <w:style w:type="paragraph" w:styleId="TDC9">
    <w:name w:val="toc 9"/>
    <w:basedOn w:val="Normal"/>
    <w:next w:val="Normal"/>
    <w:autoRedefine/>
    <w:semiHidden/>
    <w:rsid w:val="00936101"/>
    <w:pPr>
      <w:widowControl w:val="0"/>
      <w:adjustRightInd w:val="0"/>
      <w:spacing w:line="360" w:lineRule="atLeast"/>
      <w:ind w:left="1680"/>
      <w:textAlignment w:val="baseline"/>
    </w:pPr>
  </w:style>
  <w:style w:type="character" w:styleId="Hipervnculovisitado">
    <w:name w:val="FollowedHyperlink"/>
    <w:rsid w:val="00936101"/>
    <w:rPr>
      <w:color w:val="800080"/>
      <w:u w:val="single"/>
    </w:rPr>
  </w:style>
  <w:style w:type="paragraph" w:styleId="Textosinformato">
    <w:name w:val="Plain Text"/>
    <w:basedOn w:val="Normal"/>
    <w:link w:val="TextosinformatoCar"/>
    <w:rsid w:val="00936101"/>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basedOn w:val="Fuentedeprrafopredeter"/>
    <w:link w:val="Textosinformato"/>
    <w:rsid w:val="00936101"/>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rsid w:val="00936101"/>
    <w:pPr>
      <w:ind w:left="708" w:hanging="708"/>
      <w:jc w:val="both"/>
    </w:pPr>
    <w:rPr>
      <w:rFonts w:ascii="Arial" w:hAnsi="Arial"/>
      <w:sz w:val="22"/>
      <w:szCs w:val="20"/>
      <w:lang w:val="es-ES_tradnl"/>
    </w:rPr>
  </w:style>
  <w:style w:type="character" w:customStyle="1" w:styleId="Sangra3detindependienteCar">
    <w:name w:val="Sangría 3 de t. independiente Car"/>
    <w:basedOn w:val="Fuentedeprrafopredeter"/>
    <w:link w:val="Sangra3detindependiente"/>
    <w:rsid w:val="00936101"/>
    <w:rPr>
      <w:rFonts w:ascii="Arial" w:eastAsia="Times New Roman" w:hAnsi="Arial" w:cs="Times New Roman"/>
      <w:szCs w:val="20"/>
      <w:lang w:val="es-ES_tradnl" w:eastAsia="es-ES"/>
    </w:rPr>
  </w:style>
  <w:style w:type="paragraph" w:customStyle="1" w:styleId="Citas">
    <w:name w:val="Citas"/>
    <w:basedOn w:val="Normal"/>
    <w:rsid w:val="00936101"/>
    <w:pPr>
      <w:ind w:left="708" w:right="618"/>
      <w:jc w:val="both"/>
    </w:pPr>
    <w:rPr>
      <w:rFonts w:ascii="Bookman Old Style" w:hAnsi="Bookman Old Style" w:cs="Arial"/>
      <w:i/>
      <w:iCs/>
      <w:szCs w:val="20"/>
    </w:rPr>
  </w:style>
  <w:style w:type="paragraph" w:customStyle="1" w:styleId="CUERPOTEXTO">
    <w:name w:val="CUERPO TEXTO"/>
    <w:rsid w:val="00936101"/>
    <w:pPr>
      <w:widowControl w:val="0"/>
      <w:tabs>
        <w:tab w:val="center" w:pos="510"/>
        <w:tab w:val="left" w:pos="1134"/>
      </w:tabs>
      <w:autoSpaceDE w:val="0"/>
      <w:autoSpaceDN w:val="0"/>
      <w:adjustRightInd w:val="0"/>
      <w:spacing w:before="28" w:after="28" w:line="210" w:lineRule="atLeast"/>
      <w:ind w:firstLine="283"/>
      <w:jc w:val="both"/>
    </w:pPr>
    <w:rPr>
      <w:rFonts w:ascii="Times New Roman" w:eastAsia="Times New Roman" w:hAnsi="Times New Roman" w:cs="Times New Roman"/>
      <w:color w:val="000000"/>
      <w:sz w:val="19"/>
      <w:szCs w:val="19"/>
      <w:lang w:val="es-ES" w:eastAsia="es-ES"/>
    </w:rPr>
  </w:style>
  <w:style w:type="character" w:customStyle="1" w:styleId="texto-general">
    <w:name w:val="texto-general"/>
    <w:rsid w:val="00936101"/>
  </w:style>
  <w:style w:type="paragraph" w:styleId="Asuntodelcomentario">
    <w:name w:val="annotation subject"/>
    <w:basedOn w:val="Textocomentario"/>
    <w:next w:val="Textocomentario"/>
    <w:link w:val="AsuntodelcomentarioCar"/>
    <w:semiHidden/>
    <w:rsid w:val="00936101"/>
    <w:rPr>
      <w:b/>
      <w:bCs/>
    </w:rPr>
  </w:style>
  <w:style w:type="character" w:customStyle="1" w:styleId="AsuntodelcomentarioCar">
    <w:name w:val="Asunto del comentario Car"/>
    <w:basedOn w:val="TextocomentarioCar"/>
    <w:link w:val="Asuntodelcomentario"/>
    <w:semiHidden/>
    <w:rsid w:val="00936101"/>
    <w:rPr>
      <w:rFonts w:ascii="Times New Roman" w:eastAsia="Times New Roman" w:hAnsi="Times New Roman" w:cs="Times New Roman"/>
      <w:b/>
      <w:bCs/>
      <w:sz w:val="20"/>
      <w:szCs w:val="20"/>
      <w:lang w:val="es-ES" w:eastAsia="es-ES"/>
    </w:rPr>
  </w:style>
  <w:style w:type="paragraph" w:styleId="Listaconvietas4">
    <w:name w:val="List Bullet 4"/>
    <w:basedOn w:val="Normal"/>
    <w:autoRedefine/>
    <w:rsid w:val="00936101"/>
    <w:pPr>
      <w:numPr>
        <w:numId w:val="5"/>
      </w:numPr>
    </w:pPr>
    <w:rPr>
      <w:rFonts w:ascii="CG Times" w:hAnsi="CG Times"/>
      <w:szCs w:val="20"/>
      <w:lang w:val="es-CO"/>
    </w:rPr>
  </w:style>
  <w:style w:type="paragraph" w:customStyle="1" w:styleId="xl27">
    <w:name w:val="xl27"/>
    <w:basedOn w:val="Normal"/>
    <w:rsid w:val="00936101"/>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936101"/>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936101"/>
    <w:pPr>
      <w:widowControl w:val="0"/>
      <w:ind w:left="0"/>
      <w:jc w:val="both"/>
    </w:pPr>
    <w:rPr>
      <w:rFonts w:ascii="Courier New" w:hAnsi="Courier New"/>
      <w:sz w:val="20"/>
      <w:szCs w:val="20"/>
      <w:lang w:val="es-ES_tradnl"/>
    </w:rPr>
  </w:style>
  <w:style w:type="paragraph" w:styleId="Lista">
    <w:name w:val="List"/>
    <w:basedOn w:val="Textoindependiente"/>
    <w:rsid w:val="00936101"/>
    <w:pPr>
      <w:suppressAutoHyphens/>
      <w:spacing w:after="120"/>
      <w:ind w:left="0"/>
      <w:jc w:val="both"/>
    </w:pPr>
    <w:rPr>
      <w:rFonts w:cs="Tahoma"/>
      <w:b w:val="0"/>
      <w:bCs w:val="0"/>
      <w:sz w:val="22"/>
      <w:lang w:eastAsia="ar-SA"/>
    </w:rPr>
  </w:style>
  <w:style w:type="paragraph" w:customStyle="1" w:styleId="Predeterminado">
    <w:name w:val="Predeterminado"/>
    <w:rsid w:val="00936101"/>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Basico">
    <w:name w:val="Basico"/>
    <w:basedOn w:val="Normal"/>
    <w:rsid w:val="00936101"/>
    <w:pPr>
      <w:spacing w:before="240" w:line="360" w:lineRule="atLeast"/>
      <w:ind w:left="0"/>
      <w:jc w:val="both"/>
    </w:pPr>
    <w:rPr>
      <w:rFonts w:ascii="Palatino" w:hAnsi="Palatino"/>
      <w:lang w:val="es-ES_tradnl"/>
    </w:rPr>
  </w:style>
  <w:style w:type="paragraph" w:customStyle="1" w:styleId="VietaLetra0">
    <w:name w:val="ViñetaLetra"/>
    <w:basedOn w:val="Vietaletra"/>
    <w:rsid w:val="00936101"/>
    <w:pPr>
      <w:numPr>
        <w:numId w:val="1"/>
      </w:numPr>
    </w:pPr>
  </w:style>
  <w:style w:type="paragraph" w:customStyle="1" w:styleId="CENTRAR">
    <w:name w:val="CENTRAR"/>
    <w:basedOn w:val="CUERPOTEXTO"/>
    <w:rsid w:val="00936101"/>
    <w:pPr>
      <w:widowControl/>
      <w:ind w:firstLine="0"/>
      <w:jc w:val="center"/>
    </w:pPr>
    <w:rPr>
      <w:rFonts w:ascii="Times" w:hAnsi="Times"/>
    </w:rPr>
  </w:style>
  <w:style w:type="paragraph" w:styleId="Revisin">
    <w:name w:val="Revision"/>
    <w:hidden/>
    <w:semiHidden/>
    <w:rsid w:val="00936101"/>
    <w:pPr>
      <w:spacing w:after="0" w:line="240" w:lineRule="auto"/>
    </w:pPr>
    <w:rPr>
      <w:rFonts w:ascii="Times New Roman" w:eastAsia="Times New Roman" w:hAnsi="Times New Roman" w:cs="Times New Roman"/>
      <w:sz w:val="24"/>
      <w:szCs w:val="24"/>
      <w:lang w:val="es-ES" w:eastAsia="es-ES"/>
    </w:rPr>
  </w:style>
  <w:style w:type="character" w:styleId="Textodelmarcadordeposicin">
    <w:name w:val="Placeholder Text"/>
    <w:basedOn w:val="Fuentedeprrafopredeter"/>
    <w:uiPriority w:val="99"/>
    <w:semiHidden/>
    <w:rsid w:val="009361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998385">
      <w:bodyDiv w:val="1"/>
      <w:marLeft w:val="0"/>
      <w:marRight w:val="0"/>
      <w:marTop w:val="0"/>
      <w:marBottom w:val="0"/>
      <w:divBdr>
        <w:top w:val="none" w:sz="0" w:space="0" w:color="auto"/>
        <w:left w:val="none" w:sz="0" w:space="0" w:color="auto"/>
        <w:bottom w:val="none" w:sz="0" w:space="0" w:color="auto"/>
        <w:right w:val="none" w:sz="0" w:space="0" w:color="auto"/>
      </w:divBdr>
      <w:divsChild>
        <w:div w:id="1277564817">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reg@creg.gov.c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A251A-842A-4F51-BB27-D925EBDB7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6652</Words>
  <Characters>36586</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Johanna Plaza Manrique;Daniela Ramos Osorio;Nelson Parra</dc:creator>
  <cp:lastModifiedBy>Luz Stella Rojas Macias</cp:lastModifiedBy>
  <cp:revision>2</cp:revision>
  <cp:lastPrinted>2017-10-30T23:18:00Z</cp:lastPrinted>
  <dcterms:created xsi:type="dcterms:W3CDTF">2017-11-09T19:32:00Z</dcterms:created>
  <dcterms:modified xsi:type="dcterms:W3CDTF">2017-11-09T19:32:00Z</dcterms:modified>
</cp:coreProperties>
</file>