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8F25" w14:textId="626E60E7" w:rsidR="005C1BCA" w:rsidRPr="005C1BCA" w:rsidRDefault="00630603"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8" o:title=""/>
          </v:shape>
          <o:OLEObject Type="Embed" ProgID="PBrush" ShapeID="_x0000_s2050" DrawAspect="Content" ObjectID="_1705937088" r:id="rId9"/>
        </w:object>
      </w:r>
      <w:r w:rsidR="00D278E6">
        <w:rPr>
          <w:rFonts w:ascii="Bookman Old Style" w:eastAsia="Times New Roman" w:hAnsi="Bookman Old Style" w:cs="Arial"/>
          <w:bCs/>
          <w:snapToGrid w:val="0"/>
          <w:color w:val="000000"/>
          <w:spacing w:val="20"/>
          <w:sz w:val="24"/>
          <w:szCs w:val="24"/>
          <w:lang w:eastAsia="es-ES"/>
        </w:rPr>
        <w:t xml:space="preserve"> </w: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52529B2A" w14:textId="77777777" w:rsidR="005C1BCA" w:rsidRPr="001E04A9" w:rsidRDefault="005C1BCA" w:rsidP="001E04A9">
      <w:pPr>
        <w:pStyle w:val="Ttulo5"/>
      </w:pPr>
    </w:p>
    <w:p w14:paraId="0DC7C982" w14:textId="77777777"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448A25FE" w14:textId="77777777"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71795735" w14:textId="7A3118EA"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F115E1">
        <w:rPr>
          <w:rFonts w:ascii="Bookman Old Style" w:eastAsia="Times New Roman" w:hAnsi="Bookman Old Style" w:cs="Arial"/>
          <w:b/>
          <w:snapToGrid w:val="0"/>
          <w:color w:val="000000"/>
          <w:spacing w:val="20"/>
          <w:sz w:val="24"/>
          <w:szCs w:val="24"/>
          <w:lang w:val="es-ES_tradnl" w:eastAsia="es-ES"/>
        </w:rPr>
        <w:t xml:space="preserve">RESOLUCIÓN No. </w:t>
      </w:r>
      <w:r w:rsidR="008A0C85" w:rsidRPr="008A0C85">
        <w:rPr>
          <w:rFonts w:ascii="Bookman Old Style" w:eastAsia="Times New Roman" w:hAnsi="Bookman Old Style" w:cs="Arial"/>
          <w:b/>
          <w:snapToGrid w:val="0"/>
          <w:color w:val="000000"/>
          <w:spacing w:val="20"/>
          <w:sz w:val="32"/>
          <w:szCs w:val="32"/>
          <w:lang w:val="es-ES_tradnl" w:eastAsia="es-ES"/>
        </w:rPr>
        <w:t>236</w:t>
      </w:r>
      <w:r w:rsidRPr="00F115E1">
        <w:rPr>
          <w:rFonts w:ascii="Bookman Old Style" w:eastAsia="Times New Roman" w:hAnsi="Bookman Old Style" w:cs="Arial"/>
          <w:b/>
          <w:snapToGrid w:val="0"/>
          <w:color w:val="000000"/>
          <w:spacing w:val="20"/>
          <w:sz w:val="24"/>
          <w:szCs w:val="24"/>
          <w:lang w:val="es-ES_tradnl" w:eastAsia="es-ES"/>
        </w:rPr>
        <w:t xml:space="preserve">    DE 20</w:t>
      </w:r>
      <w:r w:rsidR="00AE2F2A" w:rsidRPr="00F115E1">
        <w:rPr>
          <w:rFonts w:ascii="Bookman Old Style" w:eastAsia="Times New Roman" w:hAnsi="Bookman Old Style" w:cs="Arial"/>
          <w:b/>
          <w:snapToGrid w:val="0"/>
          <w:color w:val="000000"/>
          <w:spacing w:val="20"/>
          <w:sz w:val="24"/>
          <w:szCs w:val="24"/>
          <w:lang w:val="es-ES_tradnl" w:eastAsia="es-ES"/>
        </w:rPr>
        <w:t>2</w:t>
      </w:r>
      <w:r w:rsidRPr="00F115E1">
        <w:rPr>
          <w:rFonts w:ascii="Bookman Old Style" w:eastAsia="Times New Roman" w:hAnsi="Bookman Old Style" w:cs="Arial"/>
          <w:b/>
          <w:snapToGrid w:val="0"/>
          <w:color w:val="000000"/>
          <w:spacing w:val="20"/>
          <w:sz w:val="24"/>
          <w:szCs w:val="24"/>
          <w:lang w:val="es-ES_tradnl" w:eastAsia="es-ES"/>
        </w:rPr>
        <w:t>1</w:t>
      </w:r>
    </w:p>
    <w:p w14:paraId="57138903" w14:textId="77777777"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14:paraId="237C1321" w14:textId="0E106645"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xml:space="preserve">(  </w:t>
      </w:r>
      <w:r w:rsidR="008A0C85" w:rsidRPr="008A0C85">
        <w:rPr>
          <w:rFonts w:ascii="Bookman Old Style" w:eastAsia="Times New Roman" w:hAnsi="Bookman Old Style" w:cs="Times New Roman"/>
          <w:b/>
          <w:bCs/>
          <w:snapToGrid w:val="0"/>
          <w:color w:val="000000"/>
          <w:sz w:val="32"/>
          <w:szCs w:val="32"/>
          <w:lang w:val="es-ES_tradnl" w:eastAsia="es-ES"/>
        </w:rPr>
        <w:t>23 DIC. 2021</w:t>
      </w:r>
      <w:r w:rsidRPr="005C1BCA">
        <w:rPr>
          <w:rFonts w:ascii="Bookman Old Style" w:eastAsia="Times New Roman" w:hAnsi="Bookman Old Style" w:cs="Times New Roman"/>
          <w:snapToGrid w:val="0"/>
          <w:color w:val="000000"/>
          <w:sz w:val="24"/>
          <w:szCs w:val="24"/>
          <w:lang w:val="es-ES_tradnl" w:eastAsia="es-ES"/>
        </w:rPr>
        <w:t xml:space="preserve">  )</w:t>
      </w:r>
    </w:p>
    <w:p w14:paraId="69F6A710" w14:textId="77777777"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14:paraId="3673F4FE" w14:textId="77777777"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14:paraId="72A329E7" w14:textId="2325597A"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w:t>
      </w:r>
      <w:r w:rsidRPr="00674B97">
        <w:rPr>
          <w:rFonts w:ascii="Bookman Old Style" w:eastAsia="Times New Roman" w:hAnsi="Bookman Old Style" w:cs="Times New Roman"/>
          <w:sz w:val="24"/>
          <w:szCs w:val="24"/>
          <w:lang w:val="es-ES" w:eastAsia="es-ES"/>
        </w:rPr>
        <w:t xml:space="preserve">por </w:t>
      </w:r>
      <w:r w:rsidR="00FE26C8" w:rsidRPr="00674B97">
        <w:rPr>
          <w:rFonts w:ascii="Bookman Old Style" w:eastAsia="Times New Roman" w:hAnsi="Bookman Old Style" w:cs="Times New Roman"/>
          <w:sz w:val="24"/>
          <w:szCs w:val="24"/>
          <w:lang w:val="es-ES" w:eastAsia="es-ES"/>
        </w:rPr>
        <w:t>Montagas</w:t>
      </w:r>
      <w:r w:rsidR="00F5339F" w:rsidRPr="00674B97">
        <w:rPr>
          <w:rFonts w:ascii="Bookman Old Style" w:eastAsia="Times New Roman" w:hAnsi="Bookman Old Style" w:cs="Times New Roman"/>
          <w:sz w:val="24"/>
          <w:szCs w:val="24"/>
          <w:lang w:val="es-ES" w:eastAsia="es-ES"/>
        </w:rPr>
        <w:t xml:space="preserve"> </w:t>
      </w:r>
      <w:r w:rsidRPr="00674B97">
        <w:rPr>
          <w:rFonts w:ascii="Bookman Old Style" w:eastAsia="Times New Roman" w:hAnsi="Bookman Old Style" w:cs="Times New Roman"/>
          <w:sz w:val="24"/>
          <w:szCs w:val="24"/>
          <w:lang w:val="es-ES" w:eastAsia="es-ES"/>
        </w:rPr>
        <w:t>S</w:t>
      </w:r>
      <w:r w:rsidR="00F5339F" w:rsidRPr="00674B97">
        <w:rPr>
          <w:rFonts w:ascii="Bookman Old Style" w:eastAsia="Times New Roman" w:hAnsi="Bookman Old Style" w:cs="Times New Roman"/>
          <w:sz w:val="24"/>
          <w:szCs w:val="24"/>
          <w:lang w:val="es-ES" w:eastAsia="es-ES"/>
        </w:rPr>
        <w:t>.A.</w:t>
      </w:r>
      <w:r w:rsidRPr="00674B97">
        <w:rPr>
          <w:rFonts w:ascii="Bookman Old Style" w:eastAsia="Times New Roman" w:hAnsi="Bookman Old Style" w:cs="Times New Roman"/>
          <w:sz w:val="24"/>
          <w:szCs w:val="24"/>
          <w:lang w:val="es-ES" w:eastAsia="es-ES"/>
        </w:rPr>
        <w:t xml:space="preserve"> E.S.P. contra la Resolución CREG </w:t>
      </w:r>
      <w:r w:rsidR="00AE2F2A" w:rsidRPr="00674B97">
        <w:rPr>
          <w:rFonts w:ascii="Bookman Old Style" w:eastAsia="Times New Roman" w:hAnsi="Bookman Old Style" w:cs="Times New Roman"/>
          <w:sz w:val="24"/>
          <w:szCs w:val="24"/>
          <w:lang w:val="es-ES" w:eastAsia="es-ES"/>
        </w:rPr>
        <w:t xml:space="preserve">209 </w:t>
      </w:r>
      <w:r w:rsidR="00FE26C8" w:rsidRPr="00674B97">
        <w:rPr>
          <w:rFonts w:ascii="Bookman Old Style" w:eastAsia="Times New Roman" w:hAnsi="Bookman Old Style" w:cs="Times New Roman"/>
          <w:sz w:val="24"/>
          <w:szCs w:val="24"/>
          <w:lang w:val="es-ES" w:eastAsia="es-ES"/>
        </w:rPr>
        <w:t xml:space="preserve">de </w:t>
      </w:r>
      <w:r w:rsidR="00AE2F2A" w:rsidRPr="00674B97">
        <w:rPr>
          <w:rFonts w:ascii="Bookman Old Style" w:eastAsia="Times New Roman" w:hAnsi="Bookman Old Style" w:cs="Times New Roman"/>
          <w:sz w:val="24"/>
          <w:szCs w:val="24"/>
          <w:lang w:val="es-ES" w:eastAsia="es-ES"/>
        </w:rPr>
        <w:t>2021</w:t>
      </w:r>
    </w:p>
    <w:p w14:paraId="788B84D7" w14:textId="1D2C6615"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14:paraId="4B54E455" w14:textId="77777777" w:rsidR="008A0C85" w:rsidRPr="005C1BCA" w:rsidRDefault="008A0C85" w:rsidP="005C1BCA">
      <w:pPr>
        <w:spacing w:after="0" w:line="240" w:lineRule="auto"/>
        <w:contextualSpacing/>
        <w:jc w:val="center"/>
        <w:rPr>
          <w:rFonts w:ascii="Bookman Old Style" w:eastAsia="Times New Roman" w:hAnsi="Bookman Old Style" w:cs="Times New Roman"/>
          <w:sz w:val="24"/>
          <w:szCs w:val="24"/>
          <w:lang w:val="es-ES" w:eastAsia="es-ES"/>
        </w:rPr>
      </w:pPr>
    </w:p>
    <w:p w14:paraId="1B742B1D" w14:textId="77777777"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52A6A684"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5E4EEB85" w14:textId="77777777"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14:paraId="14AE37CB" w14:textId="4224C173"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00420355">
        <w:rPr>
          <w:rFonts w:ascii="Bookman Old Style" w:eastAsia="Times New Roman" w:hAnsi="Bookman Old Style" w:cs="Arial"/>
          <w:color w:val="000000"/>
          <w:sz w:val="24"/>
          <w:szCs w:val="24"/>
          <w:lang w:val="es-ES" w:eastAsia="es-ES"/>
        </w:rPr>
        <w:t>,</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w:t>
      </w:r>
      <w:r w:rsidR="00420355">
        <w:rPr>
          <w:rFonts w:ascii="Bookman Old Style" w:eastAsia="Times New Roman" w:hAnsi="Bookman Old Style" w:cs="Arial"/>
          <w:color w:val="000000"/>
          <w:sz w:val="24"/>
          <w:szCs w:val="24"/>
          <w:lang w:val="es-ES" w:eastAsia="es-ES"/>
        </w:rPr>
        <w:t>,</w:t>
      </w:r>
      <w:r w:rsidRPr="005C1BCA">
        <w:rPr>
          <w:rFonts w:ascii="Bookman Old Style" w:eastAsia="Times New Roman" w:hAnsi="Bookman Old Style" w:cs="Arial"/>
          <w:color w:val="000000"/>
          <w:sz w:val="24"/>
          <w:szCs w:val="24"/>
          <w:lang w:val="es-ES" w:eastAsia="es-ES"/>
        </w:rPr>
        <w:t xml:space="preserve"> y 1260 de 2013 y,</w:t>
      </w:r>
    </w:p>
    <w:p w14:paraId="7A9F1E7D" w14:textId="77777777"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14:paraId="4561A702" w14:textId="77777777"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14:paraId="4E50CC78" w14:textId="77777777"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14:paraId="0CC10225"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637C0428"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27B84DA5" w14:textId="77777777"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14:paraId="648787FC" w14:textId="77777777" w:rsidR="00A33677" w:rsidRDefault="00A33677" w:rsidP="00DE5054">
      <w:pPr>
        <w:spacing w:after="0" w:line="240" w:lineRule="auto"/>
        <w:jc w:val="both"/>
        <w:rPr>
          <w:rFonts w:ascii="Bookman Old Style" w:eastAsia="Times New Roman" w:hAnsi="Bookman Old Style" w:cs="Arial"/>
          <w:spacing w:val="-5"/>
          <w:sz w:val="24"/>
          <w:szCs w:val="24"/>
        </w:rPr>
      </w:pPr>
    </w:p>
    <w:p w14:paraId="3E78AE9B" w14:textId="07F71082"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2"/>
      </w:r>
      <w:r w:rsidRPr="005C1BCA">
        <w:rPr>
          <w:rFonts w:ascii="Bookman Old Style" w:hAnsi="Bookman Old Style" w:cs="Arial"/>
          <w:spacing w:val="-5"/>
        </w:rPr>
        <w:t>, la Comisión de Regulación de Energía y Gas</w:t>
      </w:r>
      <w:r w:rsidR="00420355">
        <w:rPr>
          <w:rFonts w:ascii="Bookman Old Style" w:hAnsi="Bookman Old Style" w:cs="Arial"/>
          <w:spacing w:val="-5"/>
        </w:rPr>
        <w:t>,</w:t>
      </w:r>
      <w:r w:rsidRPr="005C1BCA">
        <w:rPr>
          <w:rFonts w:ascii="Bookman Old Style" w:hAnsi="Bookman Old Style" w:cs="Arial"/>
          <w:spacing w:val="-5"/>
        </w:rPr>
        <w:t xml:space="preserve"> </w:t>
      </w:r>
      <w:r w:rsidRPr="00A33677">
        <w:rPr>
          <w:rFonts w:ascii="Bookman Old Style" w:hAnsi="Bookman Old Style" w:cs="Arial"/>
          <w:spacing w:val="-5"/>
          <w:lang w:val="es-CO" w:eastAsia="en-US"/>
        </w:rPr>
        <w:t>CREG</w:t>
      </w:r>
      <w:r w:rsidR="00420355">
        <w:rPr>
          <w:rFonts w:ascii="Bookman Old Style" w:hAnsi="Bookman Old Style" w:cs="Arial"/>
          <w:spacing w:val="-5"/>
          <w:lang w:val="es-CO" w:eastAsia="en-US"/>
        </w:rPr>
        <w:t>,</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w:t>
      </w:r>
      <w:r w:rsidRPr="00420355">
        <w:rPr>
          <w:rFonts w:ascii="Bookman Old Style" w:hAnsi="Bookman Old Style" w:cs="Arial"/>
          <w:i/>
          <w:iCs/>
          <w:spacing w:val="-5"/>
        </w:rPr>
        <w:t>Por la cual se establecen parámetros de conducta y la participación de los agentes dentro de las actividades de comercialización mayorista y distribución de GLP</w:t>
      </w:r>
      <w:r w:rsidRPr="005C1BCA">
        <w:rPr>
          <w:rFonts w:ascii="Bookman Old Style" w:hAnsi="Bookman Old Style" w:cs="Arial"/>
          <w:spacing w:val="-5"/>
        </w:rPr>
        <w:t xml:space="preserve">”. </w:t>
      </w:r>
    </w:p>
    <w:p w14:paraId="516CDE5D"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589B7026" w14:textId="77777777"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14:paraId="5E2A3DE4" w14:textId="77777777" w:rsidR="00DE5054" w:rsidRPr="005C1BCA" w:rsidRDefault="00DE5054" w:rsidP="00DE5054">
      <w:pPr>
        <w:spacing w:after="0" w:line="240" w:lineRule="auto"/>
        <w:jc w:val="both"/>
        <w:rPr>
          <w:rFonts w:ascii="Bookman Old Style" w:eastAsia="Times New Roman" w:hAnsi="Bookman Old Style" w:cs="Arial"/>
          <w:spacing w:val="-5"/>
          <w:sz w:val="24"/>
          <w:szCs w:val="24"/>
        </w:rPr>
      </w:pPr>
    </w:p>
    <w:p w14:paraId="159536BD" w14:textId="60477253"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w:t>
      </w:r>
      <w:r w:rsidR="00420355">
        <w:rPr>
          <w:rFonts w:ascii="Bookman Old Style" w:hAnsi="Bookman Old Style" w:cs="Arial"/>
          <w:spacing w:val="-5"/>
        </w:rPr>
        <w:t>,</w:t>
      </w:r>
      <w:r w:rsidRPr="00FB2E5A">
        <w:rPr>
          <w:rFonts w:ascii="Bookman Old Style" w:hAnsi="Bookman Old Style" w:cs="Arial"/>
          <w:spacing w:val="-5"/>
        </w:rPr>
        <w:t xml:space="preserve"> SUI. En relación con </w:t>
      </w:r>
      <w:r w:rsidRPr="00FB2E5A">
        <w:rPr>
          <w:rFonts w:ascii="Bookman Old Style" w:hAnsi="Bookman Old Style" w:cs="Arial"/>
          <w:spacing w:val="-5"/>
        </w:rPr>
        <w:lastRenderedPageBreak/>
        <w:t>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14:paraId="18619B26" w14:textId="77777777"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14:paraId="7389B3E7"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14:paraId="04C7A07B"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p>
    <w:p w14:paraId="79643006" w14:textId="77777777" w:rsidR="00DE5054" w:rsidRPr="007F3FC2" w:rsidRDefault="007F3FC2" w:rsidP="00420355">
      <w:pPr>
        <w:spacing w:after="0" w:line="240" w:lineRule="auto"/>
        <w:ind w:left="113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14:paraId="3E93B9D9" w14:textId="77777777" w:rsidR="00DE5054" w:rsidRPr="007F3FC2" w:rsidRDefault="00DE5054" w:rsidP="00420355">
      <w:pPr>
        <w:spacing w:after="0" w:line="240" w:lineRule="auto"/>
        <w:ind w:left="567"/>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14:paraId="444D7E17" w14:textId="77777777" w:rsidR="00DE5054" w:rsidRPr="007F3FC2" w:rsidRDefault="00DE5054" w:rsidP="00420355">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14:paraId="5BDDAC07" w14:textId="77777777" w:rsidTr="00F913D4">
        <w:tc>
          <w:tcPr>
            <w:tcW w:w="1236" w:type="dxa"/>
          </w:tcPr>
          <w:p w14:paraId="6BEB2466" w14:textId="77777777" w:rsidR="00DE5054" w:rsidRPr="007F3FC2" w:rsidRDefault="007F3FC2" w:rsidP="00420355">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14:paraId="33B257C3" w14:textId="783864FE" w:rsidR="00DE5054" w:rsidRPr="007F3FC2" w:rsidRDefault="00DE5054" w:rsidP="00420355">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 calculada para el mes m, medida en kilogramos.</w:t>
            </w:r>
          </w:p>
        </w:tc>
      </w:tr>
      <w:tr w:rsidR="00DE5054" w:rsidRPr="007F3FC2" w14:paraId="0D5F4260" w14:textId="77777777" w:rsidTr="00F913D4">
        <w:tc>
          <w:tcPr>
            <w:tcW w:w="1236" w:type="dxa"/>
          </w:tcPr>
          <w:p w14:paraId="621D80BA" w14:textId="77777777" w:rsidR="00DE5054" w:rsidRPr="007F3FC2" w:rsidRDefault="00630603" w:rsidP="00420355">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14:paraId="1133DAD8" w14:textId="30ED47AD" w:rsidR="00DE5054" w:rsidRPr="007F3FC2" w:rsidRDefault="00DE5054" w:rsidP="00420355">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 medida en kilogramos.</w:t>
            </w:r>
          </w:p>
        </w:tc>
      </w:tr>
      <w:tr w:rsidR="00DE5054" w:rsidRPr="007F3FC2" w14:paraId="6B721EBE" w14:textId="77777777" w:rsidTr="00F913D4">
        <w:tc>
          <w:tcPr>
            <w:tcW w:w="1236" w:type="dxa"/>
          </w:tcPr>
          <w:p w14:paraId="1A820F4E" w14:textId="77777777" w:rsidR="00DE5054" w:rsidRPr="007F3FC2" w:rsidRDefault="00630603" w:rsidP="00420355">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14:paraId="6D5B87B5" w14:textId="42F2A9D8" w:rsidR="00DE5054" w:rsidRPr="007F3FC2" w:rsidRDefault="00DE5054" w:rsidP="00420355">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 calculada en el mes m, a partir de los contratos de suministro, reportados al SUI, que tengan alguna entrega durante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t.</w:t>
            </w:r>
          </w:p>
        </w:tc>
      </w:tr>
      <w:tr w:rsidR="00DE5054" w:rsidRPr="007F3FC2" w14:paraId="57B2EDAD" w14:textId="77777777" w:rsidTr="00F913D4">
        <w:tc>
          <w:tcPr>
            <w:tcW w:w="1236" w:type="dxa"/>
          </w:tcPr>
          <w:p w14:paraId="14123FC2" w14:textId="77777777" w:rsidR="00DE5054" w:rsidRPr="007F3FC2" w:rsidRDefault="00630603" w:rsidP="00420355">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14:paraId="2296A83D" w14:textId="65757543" w:rsidR="00DE5054" w:rsidRPr="007F3FC2" w:rsidRDefault="00DE5054" w:rsidP="00420355">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Cantidad total de producto que recibe el distribuidor i, medida en kilogramos, durante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t-1, calculada a partir de los contratos de suministro, reportados al SUI, que tengan alguna entrega durante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t-1. Para el primer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14:paraId="3440A18C" w14:textId="77777777" w:rsidTr="00F913D4">
        <w:tc>
          <w:tcPr>
            <w:tcW w:w="1236" w:type="dxa"/>
          </w:tcPr>
          <w:p w14:paraId="0654E16A" w14:textId="77777777" w:rsidR="00DE5054" w:rsidRPr="007F3FC2" w:rsidRDefault="007F3FC2" w:rsidP="00420355">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14:paraId="015851A4" w14:textId="77777777" w:rsidR="00DE5054" w:rsidRPr="007F3FC2" w:rsidRDefault="00DE5054" w:rsidP="00420355">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14:paraId="1EA6B2CA" w14:textId="77777777" w:rsidTr="00F913D4">
        <w:tc>
          <w:tcPr>
            <w:tcW w:w="1236" w:type="dxa"/>
          </w:tcPr>
          <w:p w14:paraId="2E824EB4" w14:textId="77777777" w:rsidR="00DE5054" w:rsidRPr="007F3FC2" w:rsidRDefault="007F3FC2" w:rsidP="00420355">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14:paraId="5812225F" w14:textId="07152203" w:rsidR="00DE5054" w:rsidRPr="007F3FC2" w:rsidRDefault="00DE5054" w:rsidP="00420355">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Corresponde al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14:paraId="7C25BCA1" w14:textId="77777777" w:rsidR="00DE5054" w:rsidRPr="007F3FC2" w:rsidRDefault="00DE5054" w:rsidP="00420355">
      <w:pPr>
        <w:spacing w:after="0" w:line="240" w:lineRule="auto"/>
        <w:ind w:left="1134"/>
        <w:rPr>
          <w:rFonts w:ascii="Bookman Old Style" w:eastAsiaTheme="minorEastAsia" w:hAnsi="Bookman Old Style" w:cs="Times New Roman"/>
          <w:i/>
          <w:lang w:val="es-ES" w:eastAsia="es-ES"/>
        </w:rPr>
      </w:pPr>
    </w:p>
    <w:p w14:paraId="4EC2771B" w14:textId="77777777" w:rsidR="00DE5054" w:rsidRPr="007F3FC2" w:rsidRDefault="00DE5054" w:rsidP="00420355">
      <w:pPr>
        <w:spacing w:after="0" w:line="240" w:lineRule="auto"/>
        <w:ind w:left="567"/>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14:paraId="15602226" w14:textId="77777777" w:rsidR="00DE5054" w:rsidRPr="007F3FC2" w:rsidRDefault="00DE5054" w:rsidP="00420355">
      <w:pPr>
        <w:spacing w:after="0" w:line="240" w:lineRule="auto"/>
        <w:ind w:left="1272" w:hanging="705"/>
        <w:jc w:val="both"/>
        <w:rPr>
          <w:rFonts w:ascii="Bookman Old Style" w:eastAsia="Times New Roman" w:hAnsi="Bookman Old Style" w:cs="Arial"/>
          <w:i/>
          <w:lang w:val="es-ES" w:eastAsia="es-ES"/>
        </w:rPr>
      </w:pPr>
    </w:p>
    <w:p w14:paraId="240ACF64" w14:textId="77777777" w:rsidR="00DE5054" w:rsidRPr="007F3FC2" w:rsidRDefault="00630603" w:rsidP="00420355">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14:paraId="0F168F7D" w14:textId="77777777" w:rsidR="00DE5054" w:rsidRPr="007F3FC2" w:rsidRDefault="00DE5054" w:rsidP="00420355">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14:paraId="18186F03" w14:textId="77777777" w:rsidTr="00F913D4">
        <w:tc>
          <w:tcPr>
            <w:tcW w:w="1269" w:type="dxa"/>
          </w:tcPr>
          <w:p w14:paraId="6F8B560B" w14:textId="77777777" w:rsidR="00DE5054" w:rsidRPr="007F3FC2" w:rsidRDefault="00630603" w:rsidP="00420355">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14:paraId="7974FCF0" w14:textId="625CF08D" w:rsidR="00DE5054" w:rsidRPr="007F3FC2" w:rsidRDefault="00DE5054" w:rsidP="00420355">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 medida en kilogramos, calculada por lo menos 1 mes antes del inicio del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 t.</w:t>
            </w:r>
          </w:p>
        </w:tc>
      </w:tr>
      <w:tr w:rsidR="00DE5054" w:rsidRPr="007F3FC2" w14:paraId="622D846A" w14:textId="77777777" w:rsidTr="00F913D4">
        <w:tc>
          <w:tcPr>
            <w:tcW w:w="1269" w:type="dxa"/>
          </w:tcPr>
          <w:p w14:paraId="7C678840" w14:textId="77777777" w:rsidR="00DE5054" w:rsidRPr="007F3FC2" w:rsidRDefault="00630603" w:rsidP="00420355">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14:paraId="6CDFD64F" w14:textId="77777777" w:rsidR="00DE5054" w:rsidRPr="007F3FC2" w:rsidRDefault="00DE5054" w:rsidP="00420355">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14:paraId="64BCD26D" w14:textId="77777777" w:rsidTr="00F913D4">
        <w:tc>
          <w:tcPr>
            <w:tcW w:w="1269" w:type="dxa"/>
          </w:tcPr>
          <w:p w14:paraId="073DD01F" w14:textId="77777777" w:rsidR="00DE5054" w:rsidRPr="007F3FC2" w:rsidRDefault="007F3FC2" w:rsidP="00420355">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14:paraId="3DD663BB" w14:textId="6B83E2F4" w:rsidR="00DE5054" w:rsidRPr="007F3FC2" w:rsidRDefault="00DE5054" w:rsidP="00420355">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Capacidad total de envase en cilindros de propiedad del distribuidor i, en 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14:paraId="01C05885" w14:textId="77777777" w:rsidTr="00F913D4">
        <w:tc>
          <w:tcPr>
            <w:tcW w:w="1269" w:type="dxa"/>
          </w:tcPr>
          <w:p w14:paraId="3AE1831A" w14:textId="77777777" w:rsidR="00DE5054" w:rsidRPr="007F3FC2" w:rsidRDefault="007F3FC2" w:rsidP="00420355">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14:paraId="477C2C67" w14:textId="3C9EE188" w:rsidR="00DE5054" w:rsidRPr="007F3FC2" w:rsidRDefault="00DE5054" w:rsidP="00420355">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w:t>
            </w:r>
            <w:r w:rsidR="00420355">
              <w:rPr>
                <w:rFonts w:ascii="Bookman Old Style" w:eastAsiaTheme="minorEastAsia" w:hAnsi="Bookman Old Style" w:cs="Arial"/>
                <w:i/>
                <w:sz w:val="22"/>
                <w:szCs w:val="22"/>
                <w:lang w:val="es-ES" w:eastAsia="es-ES"/>
              </w:rPr>
              <w:t>eríodo</w:t>
            </w:r>
            <w:r w:rsidRPr="007F3FC2">
              <w:rPr>
                <w:rFonts w:ascii="Bookman Old Style" w:eastAsiaTheme="minorEastAsia" w:hAnsi="Bookman Old Style" w:cs="Arial"/>
                <w:i/>
                <w:sz w:val="22"/>
                <w:szCs w:val="22"/>
                <w:lang w:val="es-ES" w:eastAsia="es-ES"/>
              </w:rPr>
              <w:t xml:space="preserve"> t, medida en kilogramos, de acuerdo con la información reportada al SUI.</w:t>
            </w:r>
          </w:p>
        </w:tc>
      </w:tr>
    </w:tbl>
    <w:p w14:paraId="4B108569" w14:textId="77777777" w:rsidR="00DE5054" w:rsidRPr="007F3FC2" w:rsidRDefault="00DE5054" w:rsidP="00420355">
      <w:pPr>
        <w:spacing w:after="0" w:line="240" w:lineRule="auto"/>
        <w:ind w:left="1272" w:hanging="705"/>
        <w:jc w:val="both"/>
        <w:rPr>
          <w:rFonts w:ascii="Bookman Old Style" w:eastAsia="Times New Roman" w:hAnsi="Bookman Old Style" w:cs="Arial"/>
          <w:i/>
          <w:lang w:val="es-ES" w:eastAsia="es-ES"/>
        </w:rPr>
      </w:pPr>
    </w:p>
    <w:p w14:paraId="53DAF599" w14:textId="277609B1"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w:t>
      </w:r>
      <w:r w:rsidR="00420355">
        <w:rPr>
          <w:rFonts w:ascii="Bookman Old Style" w:eastAsia="Times New Roman" w:hAnsi="Bookman Old Style" w:cs="Arial"/>
          <w:i/>
          <w:lang w:val="es-ES" w:eastAsia="es-ES"/>
        </w:rPr>
        <w:t>eríodo</w:t>
      </w:r>
      <w:r w:rsidRPr="007F3FC2">
        <w:rPr>
          <w:rFonts w:ascii="Bookman Old Style" w:eastAsia="Times New Roman" w:hAnsi="Bookman Old Style" w:cs="Arial"/>
          <w:i/>
          <w:lang w:val="es-ES" w:eastAsia="es-ES"/>
        </w:rPr>
        <w:t xml:space="preserve"> t, se calculará de la siguiente forma. </w:t>
      </w:r>
    </w:p>
    <w:p w14:paraId="120CC102"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p>
    <w:p w14:paraId="0E5515B6" w14:textId="77777777" w:rsidR="00DE5054" w:rsidRPr="007F3FC2" w:rsidRDefault="007F3FC2" w:rsidP="00420355">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14:paraId="3626B9CD" w14:textId="77777777" w:rsidR="009D53E5" w:rsidRPr="007F3FC2" w:rsidRDefault="009D53E5" w:rsidP="00420355">
      <w:pPr>
        <w:spacing w:after="0" w:line="240" w:lineRule="auto"/>
        <w:ind w:left="709" w:firstLine="566"/>
        <w:jc w:val="both"/>
        <w:rPr>
          <w:rFonts w:ascii="Bookman Old Style" w:eastAsiaTheme="minorEastAsia" w:hAnsi="Bookman Old Style" w:cs="Times New Roman"/>
          <w:i/>
          <w:lang w:val="es-ES" w:eastAsia="es-ES"/>
        </w:rPr>
      </w:pPr>
    </w:p>
    <w:p w14:paraId="06B2BFE6" w14:textId="77777777" w:rsidR="00DE5054" w:rsidRPr="007F3FC2" w:rsidRDefault="00DE5054" w:rsidP="00420355">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14:paraId="183113AE" w14:textId="77777777" w:rsidTr="00F913D4">
        <w:trPr>
          <w:trHeight w:val="966"/>
        </w:trPr>
        <w:tc>
          <w:tcPr>
            <w:tcW w:w="1659" w:type="dxa"/>
            <w:hideMark/>
          </w:tcPr>
          <w:p w14:paraId="1278868A" w14:textId="77777777" w:rsidR="00DE5054" w:rsidRPr="007F3FC2" w:rsidRDefault="007F3FC2" w:rsidP="00420355">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14:paraId="0B88BFC1" w14:textId="632A7F63" w:rsidR="008A0C85" w:rsidRPr="007F3FC2" w:rsidRDefault="00DE5054" w:rsidP="008A0C85">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w:t>
            </w:r>
            <w:r w:rsidR="00420355">
              <w:rPr>
                <w:rFonts w:ascii="Bookman Old Style" w:eastAsiaTheme="minorEastAsia" w:hAnsi="Bookman Old Style"/>
                <w:i/>
                <w:sz w:val="22"/>
                <w:szCs w:val="22"/>
                <w:lang w:val="es-ES" w:eastAsia="es-ES"/>
              </w:rPr>
              <w:t>eríodo</w:t>
            </w:r>
            <w:r w:rsidRPr="007F3FC2">
              <w:rPr>
                <w:rFonts w:ascii="Bookman Old Style" w:eastAsiaTheme="minorEastAsia" w:hAnsi="Bookman Old Style"/>
                <w:i/>
                <w:sz w:val="22"/>
                <w:szCs w:val="22"/>
                <w:lang w:val="es-ES" w:eastAsia="es-ES"/>
              </w:rPr>
              <w:t xml:space="preserve"> t, medida en kilogramos, registrado en el SUI.</w:t>
            </w:r>
          </w:p>
        </w:tc>
      </w:tr>
      <w:tr w:rsidR="00DE5054" w:rsidRPr="007F3FC2" w14:paraId="63311DBA" w14:textId="77777777" w:rsidTr="00F913D4">
        <w:trPr>
          <w:trHeight w:val="1359"/>
        </w:trPr>
        <w:tc>
          <w:tcPr>
            <w:tcW w:w="1659" w:type="dxa"/>
            <w:hideMark/>
          </w:tcPr>
          <w:p w14:paraId="2DCCA609" w14:textId="77777777" w:rsidR="00DE5054" w:rsidRPr="007F3FC2" w:rsidRDefault="007F3FC2" w:rsidP="00420355">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w:lastRenderedPageBreak/>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14:paraId="3012FAED" w14:textId="770E5725" w:rsidR="00DE5054" w:rsidRPr="007F3FC2" w:rsidRDefault="00DE5054" w:rsidP="00420355">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Capacidad de envase en cilindros, de acuerdo con la información registrada desde el 2008 hasta octubre de 2012, por AIC proyectos, para cada marca de propiedad del distribuidor i, en el p</w:t>
            </w:r>
            <w:r w:rsidR="00420355">
              <w:rPr>
                <w:rFonts w:ascii="Bookman Old Style" w:eastAsiaTheme="minorEastAsia" w:hAnsi="Bookman Old Style"/>
                <w:i/>
                <w:sz w:val="22"/>
                <w:szCs w:val="22"/>
                <w:lang w:eastAsia="es-ES"/>
              </w:rPr>
              <w:t>eríodo</w:t>
            </w:r>
            <w:r w:rsidRPr="007F3FC2">
              <w:rPr>
                <w:rFonts w:ascii="Bookman Old Style" w:eastAsiaTheme="minorEastAsia" w:hAnsi="Bookman Old Style"/>
                <w:i/>
                <w:sz w:val="22"/>
                <w:szCs w:val="22"/>
                <w:lang w:eastAsia="es-ES"/>
              </w:rPr>
              <w:t xml:space="preserve"> t, medida en kilogramos, definido de la siguiente forma:  </w:t>
            </w:r>
          </w:p>
        </w:tc>
      </w:tr>
    </w:tbl>
    <w:p w14:paraId="6E4E5B48" w14:textId="77777777" w:rsidR="00DE5054" w:rsidRPr="007F3FC2" w:rsidRDefault="00DE5054" w:rsidP="00420355">
      <w:pPr>
        <w:spacing w:after="0" w:line="240" w:lineRule="auto"/>
        <w:ind w:left="2694" w:hanging="2127"/>
        <w:jc w:val="both"/>
        <w:rPr>
          <w:rFonts w:ascii="Bookman Old Style" w:eastAsiaTheme="minorEastAsia" w:hAnsi="Bookman Old Style" w:cs="Times New Roman"/>
          <w:i/>
          <w:lang w:val="es-ES" w:eastAsia="es-ES"/>
        </w:rPr>
      </w:pPr>
    </w:p>
    <w:p w14:paraId="4F10DCE1" w14:textId="77777777" w:rsidR="00DE5054" w:rsidRPr="007F3FC2" w:rsidRDefault="007F3FC2" w:rsidP="00420355">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14:paraId="7B9456BA" w14:textId="77777777" w:rsidR="00DE5054" w:rsidRPr="007F3FC2" w:rsidRDefault="00DE5054" w:rsidP="00420355">
      <w:pPr>
        <w:spacing w:after="0" w:line="240" w:lineRule="auto"/>
        <w:ind w:left="2694" w:hanging="2127"/>
        <w:jc w:val="both"/>
        <w:rPr>
          <w:rFonts w:ascii="Bookman Old Style" w:eastAsiaTheme="minorEastAsia" w:hAnsi="Bookman Old Style" w:cs="Times New Roman"/>
          <w:i/>
          <w:iCs/>
          <w:lang w:val="es-ES" w:eastAsia="es-ES"/>
        </w:rPr>
      </w:pPr>
    </w:p>
    <w:p w14:paraId="04D0062D" w14:textId="77777777" w:rsidR="00DE5054" w:rsidRPr="007F3FC2" w:rsidRDefault="00DE5054" w:rsidP="00420355">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14:paraId="34E8F1DF" w14:textId="77777777" w:rsidTr="00F913D4">
        <w:trPr>
          <w:trHeight w:val="1359"/>
        </w:trPr>
        <w:tc>
          <w:tcPr>
            <w:tcW w:w="1418" w:type="dxa"/>
            <w:shd w:val="clear" w:color="auto" w:fill="auto"/>
            <w:tcMar>
              <w:top w:w="15" w:type="dxa"/>
              <w:left w:w="108" w:type="dxa"/>
              <w:bottom w:w="0" w:type="dxa"/>
              <w:right w:w="108" w:type="dxa"/>
            </w:tcMar>
            <w:hideMark/>
          </w:tcPr>
          <w:p w14:paraId="3B898F57"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09AC5FEE" w14:textId="77777777"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14:paraId="3A4B59B7" w14:textId="77777777" w:rsidTr="00F913D4">
        <w:trPr>
          <w:trHeight w:val="1021"/>
        </w:trPr>
        <w:tc>
          <w:tcPr>
            <w:tcW w:w="1418" w:type="dxa"/>
            <w:shd w:val="clear" w:color="auto" w:fill="auto"/>
            <w:tcMar>
              <w:top w:w="15" w:type="dxa"/>
              <w:left w:w="108" w:type="dxa"/>
              <w:bottom w:w="0" w:type="dxa"/>
              <w:right w:w="108" w:type="dxa"/>
            </w:tcMar>
            <w:hideMark/>
          </w:tcPr>
          <w:p w14:paraId="6793CBA1"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5255A297" w14:textId="77777777"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14:paraId="577FF0A9" w14:textId="77777777" w:rsidTr="00F913D4">
        <w:trPr>
          <w:trHeight w:val="524"/>
        </w:trPr>
        <w:tc>
          <w:tcPr>
            <w:tcW w:w="1418" w:type="dxa"/>
            <w:shd w:val="clear" w:color="auto" w:fill="auto"/>
            <w:tcMar>
              <w:top w:w="15" w:type="dxa"/>
              <w:left w:w="108" w:type="dxa"/>
              <w:bottom w:w="0" w:type="dxa"/>
              <w:right w:w="108" w:type="dxa"/>
            </w:tcMar>
            <w:hideMark/>
          </w:tcPr>
          <w:p w14:paraId="77BD99AB"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3FBD2D4E" w14:textId="77777777"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14:paraId="20E737FB" w14:textId="77777777" w:rsidTr="00F913D4">
        <w:trPr>
          <w:trHeight w:val="416"/>
        </w:trPr>
        <w:tc>
          <w:tcPr>
            <w:tcW w:w="1418" w:type="dxa"/>
            <w:shd w:val="clear" w:color="auto" w:fill="auto"/>
            <w:tcMar>
              <w:top w:w="15" w:type="dxa"/>
              <w:left w:w="108" w:type="dxa"/>
              <w:bottom w:w="0" w:type="dxa"/>
              <w:right w:w="108" w:type="dxa"/>
            </w:tcMar>
            <w:hideMark/>
          </w:tcPr>
          <w:p w14:paraId="62406FBD"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14:paraId="5D0B9886" w14:textId="275843DA"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w:t>
            </w:r>
            <w:r w:rsidR="00420355">
              <w:rPr>
                <w:rFonts w:ascii="Bookman Old Style" w:eastAsia="Times New Roman" w:hAnsi="Bookman Old Style" w:cs="Arial"/>
                <w:i/>
                <w:color w:val="000000" w:themeColor="text1"/>
                <w:kern w:val="24"/>
                <w:lang w:val="es-ES" w:eastAsia="es-CO"/>
              </w:rPr>
              <w:t>eríodo</w:t>
            </w:r>
            <w:r w:rsidRPr="007F3FC2">
              <w:rPr>
                <w:rFonts w:ascii="Bookman Old Style" w:eastAsia="Times New Roman" w:hAnsi="Bookman Old Style" w:cs="Arial"/>
                <w:i/>
                <w:color w:val="000000" w:themeColor="text1"/>
                <w:kern w:val="24"/>
                <w:lang w:val="es-ES" w:eastAsia="es-CO"/>
              </w:rPr>
              <w:t xml:space="preserve"> de compra.</w:t>
            </w:r>
          </w:p>
        </w:tc>
      </w:tr>
    </w:tbl>
    <w:p w14:paraId="615B4FDB" w14:textId="77777777" w:rsidR="00DE5054" w:rsidRPr="007F3FC2" w:rsidRDefault="00DE5054" w:rsidP="00420355">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14:paraId="53BA1CB4" w14:textId="77777777" w:rsidTr="00F913D4">
        <w:trPr>
          <w:trHeight w:val="1021"/>
        </w:trPr>
        <w:tc>
          <w:tcPr>
            <w:tcW w:w="2040" w:type="dxa"/>
            <w:shd w:val="clear" w:color="auto" w:fill="auto"/>
            <w:tcMar>
              <w:top w:w="15" w:type="dxa"/>
              <w:left w:w="108" w:type="dxa"/>
              <w:bottom w:w="0" w:type="dxa"/>
              <w:right w:w="108" w:type="dxa"/>
            </w:tcMar>
            <w:hideMark/>
          </w:tcPr>
          <w:p w14:paraId="07135CD4"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14:paraId="428DC48D" w14:textId="42730C7C"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w:t>
            </w:r>
            <w:r w:rsidR="00420355">
              <w:rPr>
                <w:rFonts w:ascii="Bookman Old Style" w:eastAsiaTheme="minorEastAsia" w:hAnsi="Bookman Old Style"/>
                <w:i/>
                <w:color w:val="000000" w:themeColor="text1"/>
                <w:kern w:val="24"/>
                <w:lang w:val="es-ES" w:eastAsia="es-CO"/>
              </w:rPr>
              <w:t>eríodo</w:t>
            </w:r>
            <w:r w:rsidRPr="007F3FC2">
              <w:rPr>
                <w:rFonts w:ascii="Bookman Old Style" w:eastAsiaTheme="minorEastAsia" w:hAnsi="Bookman Old Style"/>
                <w:i/>
                <w:color w:val="000000" w:themeColor="text1"/>
                <w:kern w:val="24"/>
                <w:lang w:val="es-ES" w:eastAsia="es-CO"/>
              </w:rPr>
              <w:t xml:space="preserve"> t, medida en kilogramos</w:t>
            </w:r>
            <w:r w:rsidRPr="007F3FC2">
              <w:rPr>
                <w:rFonts w:ascii="Bookman Old Style" w:eastAsiaTheme="minorEastAsia" w:hAnsi="Bookman Old Style"/>
                <w:i/>
                <w:color w:val="000000" w:themeColor="text1"/>
                <w:kern w:val="24"/>
                <w:lang w:eastAsia="es-CO"/>
              </w:rPr>
              <w:t>, definida de la siguiente forma:</w:t>
            </w:r>
          </w:p>
        </w:tc>
      </w:tr>
    </w:tbl>
    <w:p w14:paraId="25EC0A2C" w14:textId="77777777" w:rsidR="00DE5054" w:rsidRPr="007F3FC2" w:rsidRDefault="007F3FC2" w:rsidP="00420355">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14:paraId="0F33CD91" w14:textId="77777777" w:rsidR="00DE5054" w:rsidRPr="007F3FC2" w:rsidRDefault="00DE5054" w:rsidP="00420355">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14:paraId="07D475B0" w14:textId="77777777" w:rsidTr="00F913D4">
        <w:trPr>
          <w:trHeight w:val="1359"/>
        </w:trPr>
        <w:tc>
          <w:tcPr>
            <w:tcW w:w="1276" w:type="dxa"/>
            <w:shd w:val="clear" w:color="auto" w:fill="auto"/>
            <w:tcMar>
              <w:top w:w="15" w:type="dxa"/>
              <w:left w:w="108" w:type="dxa"/>
              <w:bottom w:w="0" w:type="dxa"/>
              <w:right w:w="108" w:type="dxa"/>
            </w:tcMar>
            <w:hideMark/>
          </w:tcPr>
          <w:p w14:paraId="5161FBD5"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2C81BA4A" w14:textId="77777777"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14:paraId="122F4C55" w14:textId="77777777" w:rsidTr="00F913D4">
        <w:trPr>
          <w:trHeight w:val="1021"/>
        </w:trPr>
        <w:tc>
          <w:tcPr>
            <w:tcW w:w="1276" w:type="dxa"/>
            <w:shd w:val="clear" w:color="auto" w:fill="auto"/>
            <w:tcMar>
              <w:top w:w="15" w:type="dxa"/>
              <w:left w:w="108" w:type="dxa"/>
              <w:bottom w:w="0" w:type="dxa"/>
              <w:right w:w="108" w:type="dxa"/>
            </w:tcMar>
            <w:hideMark/>
          </w:tcPr>
          <w:p w14:paraId="7CB39B61"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4B18D1A4" w14:textId="77777777"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14:paraId="4DE3B192" w14:textId="77777777" w:rsidTr="00F913D4">
        <w:trPr>
          <w:trHeight w:val="416"/>
        </w:trPr>
        <w:tc>
          <w:tcPr>
            <w:tcW w:w="1276" w:type="dxa"/>
            <w:shd w:val="clear" w:color="auto" w:fill="auto"/>
            <w:tcMar>
              <w:top w:w="15" w:type="dxa"/>
              <w:left w:w="108" w:type="dxa"/>
              <w:bottom w:w="0" w:type="dxa"/>
              <w:right w:w="108" w:type="dxa"/>
            </w:tcMar>
            <w:hideMark/>
          </w:tcPr>
          <w:p w14:paraId="3B9024DB" w14:textId="77777777" w:rsidR="00DE5054" w:rsidRPr="007F3FC2" w:rsidRDefault="007F3FC2" w:rsidP="00420355">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14:paraId="23E2C671" w14:textId="2D04EA38" w:rsidR="00DE5054" w:rsidRPr="007F3FC2" w:rsidRDefault="00DE5054" w:rsidP="00420355">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w:t>
            </w:r>
            <w:r w:rsidR="00420355">
              <w:rPr>
                <w:rFonts w:ascii="Bookman Old Style" w:eastAsia="Times New Roman" w:hAnsi="Bookman Old Style" w:cs="Arial"/>
                <w:i/>
                <w:color w:val="000000" w:themeColor="text1"/>
                <w:kern w:val="24"/>
                <w:lang w:val="es-ES" w:eastAsia="es-CO"/>
              </w:rPr>
              <w:t>eríodo</w:t>
            </w:r>
            <w:r w:rsidRPr="007F3FC2">
              <w:rPr>
                <w:rFonts w:ascii="Bookman Old Style" w:eastAsia="Times New Roman" w:hAnsi="Bookman Old Style" w:cs="Arial"/>
                <w:i/>
                <w:color w:val="000000" w:themeColor="text1"/>
                <w:kern w:val="24"/>
                <w:lang w:val="es-ES" w:eastAsia="es-CO"/>
              </w:rPr>
              <w:t xml:space="preserve"> de compra.</w:t>
            </w:r>
          </w:p>
        </w:tc>
      </w:tr>
    </w:tbl>
    <w:p w14:paraId="332003AF" w14:textId="77777777" w:rsidR="00DE5054" w:rsidRPr="007F3FC2" w:rsidRDefault="00DE5054" w:rsidP="00420355">
      <w:pPr>
        <w:spacing w:after="0" w:line="240" w:lineRule="auto"/>
        <w:ind w:left="2694" w:hanging="2127"/>
        <w:jc w:val="both"/>
        <w:rPr>
          <w:rFonts w:ascii="Bookman Old Style" w:eastAsiaTheme="minorEastAsia" w:hAnsi="Bookman Old Style" w:cs="Times New Roman"/>
          <w:i/>
          <w:lang w:val="es-ES" w:eastAsia="es-ES"/>
        </w:rPr>
      </w:pPr>
    </w:p>
    <w:p w14:paraId="6E3A1BA6" w14:textId="25CE7D14"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w:t>
      </w:r>
      <w:r w:rsidR="00420355">
        <w:rPr>
          <w:rFonts w:ascii="Bookman Old Style" w:eastAsia="Times New Roman" w:hAnsi="Bookman Old Style" w:cs="Arial"/>
          <w:i/>
          <w:lang w:val="es-ES" w:eastAsia="es-ES"/>
        </w:rPr>
        <w:t>eríodo</w:t>
      </w:r>
      <w:r w:rsidRPr="007F3FC2">
        <w:rPr>
          <w:rFonts w:ascii="Bookman Old Style" w:eastAsia="Times New Roman" w:hAnsi="Bookman Old Style" w:cs="Arial"/>
          <w:i/>
          <w:lang w:val="es-ES" w:eastAsia="es-ES"/>
        </w:rPr>
        <w:t xml:space="preserve"> t, se calculará de la siguiente forma. </w:t>
      </w:r>
    </w:p>
    <w:p w14:paraId="4643AFA8"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p>
    <w:p w14:paraId="2DB69FB7" w14:textId="77777777" w:rsidR="00DE5054" w:rsidRPr="007F3FC2" w:rsidRDefault="007F3FC2" w:rsidP="00420355">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14:paraId="5136A222" w14:textId="77777777" w:rsidR="0067294D" w:rsidRPr="007F3FC2" w:rsidRDefault="0067294D" w:rsidP="00420355">
      <w:pPr>
        <w:spacing w:after="0" w:line="240" w:lineRule="auto"/>
        <w:ind w:left="567"/>
        <w:jc w:val="both"/>
        <w:rPr>
          <w:rFonts w:ascii="Bookman Old Style" w:eastAsia="Times New Roman" w:hAnsi="Bookman Old Style" w:cs="Arial"/>
          <w:i/>
          <w:lang w:val="es-ES" w:eastAsia="es-ES"/>
        </w:rPr>
      </w:pPr>
    </w:p>
    <w:p w14:paraId="37F6E538" w14:textId="77777777" w:rsidR="00DE5054" w:rsidRDefault="00DE5054" w:rsidP="00420355">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p w14:paraId="15C45A48" w14:textId="77777777" w:rsidR="00FE26C8" w:rsidRPr="007F3FC2" w:rsidRDefault="00FE26C8" w:rsidP="00420355">
      <w:pPr>
        <w:spacing w:after="0" w:line="240" w:lineRule="auto"/>
        <w:ind w:left="567"/>
        <w:jc w:val="both"/>
        <w:rPr>
          <w:rFonts w:ascii="Bookman Old Style" w:eastAsia="Times New Roman" w:hAnsi="Bookman Old Style" w:cs="Arial"/>
          <w:i/>
          <w:lang w:val="es-ES" w:eastAsia="es-ES"/>
        </w:rPr>
      </w:pP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14:paraId="11C757B8" w14:textId="77777777" w:rsidTr="00F913D4">
        <w:trPr>
          <w:jc w:val="center"/>
        </w:trPr>
        <w:tc>
          <w:tcPr>
            <w:tcW w:w="1701" w:type="dxa"/>
          </w:tcPr>
          <w:p w14:paraId="28C833D4" w14:textId="77777777" w:rsidR="00DE5054" w:rsidRPr="007F3FC2" w:rsidRDefault="007F3FC2" w:rsidP="00420355">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14:paraId="7A25A8BD" w14:textId="2D8BE1D4" w:rsidR="00DE5054" w:rsidRPr="007F3FC2" w:rsidRDefault="00DE5054" w:rsidP="00420355">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w:t>
            </w:r>
            <w:r w:rsidR="00420355">
              <w:rPr>
                <w:rFonts w:ascii="Bookman Old Style" w:eastAsiaTheme="minorEastAsia" w:hAnsi="Bookman Old Style" w:cs="Arial"/>
                <w:i/>
                <w:sz w:val="22"/>
                <w:szCs w:val="22"/>
                <w:lang w:val="es-ES" w:eastAsia="es-ES"/>
              </w:rPr>
              <w:t>eríodo</w:t>
            </w:r>
            <w:r w:rsidRPr="007F3FC2">
              <w:rPr>
                <w:rFonts w:ascii="Bookman Old Style" w:eastAsiaTheme="minorEastAsia" w:hAnsi="Bookman Old Style" w:cs="Arial"/>
                <w:i/>
                <w:sz w:val="22"/>
                <w:szCs w:val="22"/>
                <w:lang w:val="es-ES" w:eastAsia="es-ES"/>
              </w:rPr>
              <w:t xml:space="preserve"> t, medida en kilogramos, de acuerdo con la información reportada al SUI.</w:t>
            </w:r>
          </w:p>
        </w:tc>
      </w:tr>
      <w:tr w:rsidR="00DE5054" w:rsidRPr="007F3FC2" w14:paraId="11F6EB4B" w14:textId="77777777" w:rsidTr="00F913D4">
        <w:trPr>
          <w:jc w:val="center"/>
        </w:trPr>
        <w:tc>
          <w:tcPr>
            <w:tcW w:w="1701" w:type="dxa"/>
          </w:tcPr>
          <w:p w14:paraId="277CE777" w14:textId="77777777" w:rsidR="00DE5054" w:rsidRPr="007F3FC2" w:rsidRDefault="007F3FC2" w:rsidP="00420355">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14:paraId="7DC88DDA" w14:textId="77777777" w:rsidR="00DE5054" w:rsidRPr="007F3FC2" w:rsidRDefault="00DE5054" w:rsidP="00420355">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14:paraId="01634902" w14:textId="77777777" w:rsidTr="00F913D4">
        <w:trPr>
          <w:jc w:val="center"/>
        </w:trPr>
        <w:tc>
          <w:tcPr>
            <w:tcW w:w="1701" w:type="dxa"/>
          </w:tcPr>
          <w:p w14:paraId="48AD62E7" w14:textId="77777777" w:rsidR="00DE5054" w:rsidRPr="007F3FC2" w:rsidRDefault="007F3FC2" w:rsidP="00420355">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14:paraId="7B5B8752" w14:textId="77777777" w:rsidR="00DE5054" w:rsidRPr="007F3FC2" w:rsidRDefault="00DE5054" w:rsidP="00420355">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14:paraId="4B72A979" w14:textId="77777777" w:rsidTr="00F913D4">
        <w:trPr>
          <w:jc w:val="center"/>
        </w:trPr>
        <w:tc>
          <w:tcPr>
            <w:tcW w:w="1701" w:type="dxa"/>
          </w:tcPr>
          <w:p w14:paraId="58F47AB6" w14:textId="77777777" w:rsidR="00DE5054" w:rsidRPr="007F3FC2" w:rsidRDefault="007F3FC2" w:rsidP="00420355">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14:paraId="36147FAC" w14:textId="77777777" w:rsidR="00DE5054" w:rsidRPr="007F3FC2" w:rsidRDefault="00DE5054" w:rsidP="00420355">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14:paraId="6794CE44" w14:textId="77777777" w:rsidTr="00F913D4">
        <w:trPr>
          <w:trHeight w:val="356"/>
          <w:jc w:val="center"/>
        </w:trPr>
        <w:tc>
          <w:tcPr>
            <w:tcW w:w="1701" w:type="dxa"/>
            <w:vAlign w:val="center"/>
          </w:tcPr>
          <w:p w14:paraId="08DC6572" w14:textId="77777777" w:rsidR="00DE5054" w:rsidRPr="007F3FC2" w:rsidRDefault="007F3FC2" w:rsidP="00420355">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14:paraId="0A2C7BC4" w14:textId="7E664DA5" w:rsidR="00DE5054" w:rsidRPr="007F3FC2" w:rsidRDefault="00DE5054" w:rsidP="00420355">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w:t>
            </w:r>
            <w:r w:rsidR="00420355">
              <w:rPr>
                <w:rFonts w:ascii="Bookman Old Style" w:hAnsi="Bookman Old Style" w:cs="Arial"/>
                <w:i/>
                <w:sz w:val="22"/>
                <w:szCs w:val="22"/>
                <w:lang w:val="es-ES" w:eastAsia="es-ES"/>
              </w:rPr>
              <w:t>eríodo</w:t>
            </w:r>
            <w:r w:rsidRPr="007F3FC2">
              <w:rPr>
                <w:rFonts w:ascii="Bookman Old Style" w:hAnsi="Bookman Old Style" w:cs="Arial"/>
                <w:i/>
                <w:sz w:val="22"/>
                <w:szCs w:val="22"/>
                <w:lang w:val="es-ES" w:eastAsia="es-ES"/>
              </w:rPr>
              <w:t xml:space="preserve"> de compra.</w:t>
            </w:r>
          </w:p>
        </w:tc>
      </w:tr>
    </w:tbl>
    <w:p w14:paraId="52B9EC28" w14:textId="77777777" w:rsidR="00DE5054" w:rsidRPr="007F3FC2" w:rsidRDefault="00DE5054" w:rsidP="00420355">
      <w:pPr>
        <w:spacing w:after="0" w:line="240" w:lineRule="auto"/>
        <w:ind w:left="567"/>
        <w:jc w:val="both"/>
        <w:rPr>
          <w:rFonts w:ascii="Bookman Old Style" w:eastAsia="Times New Roman" w:hAnsi="Bookman Old Style" w:cs="Arial"/>
          <w:b/>
          <w:i/>
          <w:lang w:val="es-ES" w:eastAsia="es-ES"/>
        </w:rPr>
      </w:pPr>
    </w:p>
    <w:p w14:paraId="41A5921F"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14:paraId="07E39611" w14:textId="77777777" w:rsidR="00DE5054" w:rsidRPr="007F3FC2" w:rsidRDefault="00DE5054" w:rsidP="00420355">
      <w:pPr>
        <w:spacing w:after="0" w:line="240" w:lineRule="auto"/>
        <w:ind w:left="567"/>
        <w:jc w:val="both"/>
        <w:rPr>
          <w:rFonts w:ascii="Bookman Old Style" w:eastAsia="Times New Roman" w:hAnsi="Bookman Old Style" w:cs="Arial"/>
          <w:i/>
          <w:lang w:val="es-ES" w:eastAsia="es-ES"/>
        </w:rPr>
      </w:pPr>
    </w:p>
    <w:p w14:paraId="4100C5BE" w14:textId="482FB3F7" w:rsidR="00DE5054" w:rsidRPr="007F3FC2" w:rsidRDefault="00DE5054" w:rsidP="00420355">
      <w:pPr>
        <w:tabs>
          <w:tab w:val="left" w:pos="-720"/>
          <w:tab w:val="left" w:pos="1276"/>
        </w:tabs>
        <w:suppressAutoHyphens/>
        <w:overflowPunct w:val="0"/>
        <w:autoSpaceDE w:val="0"/>
        <w:spacing w:after="0" w:line="240" w:lineRule="auto"/>
        <w:ind w:left="567"/>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w:t>
      </w:r>
      <w:r w:rsidR="00420355">
        <w:rPr>
          <w:rFonts w:ascii="Bookman Old Style" w:eastAsia="Times New Roman" w:hAnsi="Bookman Old Style" w:cs="Arial"/>
          <w:i/>
          <w:lang w:val="es-ES" w:eastAsia="es-ES"/>
        </w:rPr>
        <w:t>eríodo</w:t>
      </w:r>
      <w:r w:rsidRPr="007F3FC2">
        <w:rPr>
          <w:rFonts w:ascii="Bookman Old Style" w:eastAsia="Times New Roman" w:hAnsi="Bookman Old Style" w:cs="Arial"/>
          <w:i/>
          <w:lang w:val="es-ES" w:eastAsia="es-ES"/>
        </w:rPr>
        <w:t xml:space="preserve"> de compra a partir de la información reportada al SUI.”</w:t>
      </w:r>
    </w:p>
    <w:p w14:paraId="55AEF35F"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33BB6C30" w14:textId="34BFFAD6"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w:t>
      </w:r>
      <w:r w:rsidR="00420355">
        <w:rPr>
          <w:rFonts w:ascii="Bookman Old Style" w:hAnsi="Bookman Old Style" w:cs="Arial"/>
          <w:spacing w:val="-5"/>
        </w:rPr>
        <w:t>eríodo</w:t>
      </w:r>
      <w:r w:rsidRPr="00FB2E5A">
        <w:rPr>
          <w:rFonts w:ascii="Bookman Old Style" w:hAnsi="Bookman Old Style" w:cs="Arial"/>
          <w:spacing w:val="-5"/>
        </w:rPr>
        <w:t xml:space="preserve">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p</w:t>
      </w:r>
      <w:r w:rsidR="00420355">
        <w:rPr>
          <w:rFonts w:ascii="Bookman Old Style" w:hAnsi="Bookman Old Style" w:cs="Arial"/>
          <w:spacing w:val="-5"/>
        </w:rPr>
        <w:t>eríodo</w:t>
      </w:r>
      <w:r w:rsidRPr="00FB2E5A">
        <w:rPr>
          <w:rFonts w:ascii="Bookman Old Style" w:hAnsi="Bookman Old Style" w:cs="Arial"/>
          <w:spacing w:val="-5"/>
        </w:rPr>
        <w:t xml:space="preserve">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14:paraId="38323DC3"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7A7830E3" w14:textId="77777777"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14:paraId="6FF86681" w14:textId="77777777" w:rsidR="00DE5054" w:rsidRPr="00FB2E5A" w:rsidRDefault="00DE5054" w:rsidP="00DE5054">
      <w:pPr>
        <w:spacing w:after="0" w:line="240" w:lineRule="auto"/>
        <w:jc w:val="both"/>
        <w:rPr>
          <w:rFonts w:ascii="Bookman Old Style" w:eastAsia="MS Mincho" w:hAnsi="Bookman Old Style" w:cs="Arial"/>
          <w:sz w:val="24"/>
          <w:szCs w:val="24"/>
        </w:rPr>
      </w:pPr>
    </w:p>
    <w:p w14:paraId="27814E63" w14:textId="4EC11009"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w:t>
      </w:r>
      <w:r w:rsidR="00420355">
        <w:rPr>
          <w:rFonts w:ascii="Bookman Old Style" w:eastAsia="Times New Roman" w:hAnsi="Bookman Old Style" w:cs="Arial"/>
          <w:i/>
          <w:lang w:val="es-ES" w:eastAsia="es-ES"/>
        </w:rPr>
        <w:t>eríodo</w:t>
      </w:r>
      <w:r w:rsidRPr="007F3FC2">
        <w:rPr>
          <w:rFonts w:ascii="Bookman Old Style" w:eastAsia="Times New Roman" w:hAnsi="Bookman Old Style" w:cs="Arial"/>
          <w:i/>
          <w:lang w:val="es-ES" w:eastAsia="es-ES"/>
        </w:rPr>
        <w:t xml:space="preserve"> de compra, la capacidad de compra de cada distribuidor, con información reportada al SUI, hasta el día 10 del mes correspondiente. (…)” (Resaltado fuera de texto)</w:t>
      </w:r>
    </w:p>
    <w:p w14:paraId="26A8F89E" w14:textId="77777777"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14:paraId="3B569845" w14:textId="2BD458D2"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w:t>
      </w:r>
      <w:r w:rsidR="00420355">
        <w:rPr>
          <w:rFonts w:ascii="Bookman Old Style" w:eastAsia="MS Mincho" w:hAnsi="Bookman Old Style" w:cs="Arial"/>
          <w:lang w:val="es-ES_tradnl"/>
        </w:rPr>
        <w:t>,</w:t>
      </w:r>
      <w:r w:rsidRPr="00FB2E5A">
        <w:rPr>
          <w:rFonts w:ascii="Bookman Old Style" w:eastAsia="MS Mincho" w:hAnsi="Bookman Old Style" w:cs="Arial"/>
          <w:lang w:val="es-ES_tradnl"/>
        </w:rPr>
        <w:t xml:space="preserve"> SUI</w:t>
      </w:r>
      <w:r w:rsidR="00420355">
        <w:rPr>
          <w:rFonts w:ascii="Bookman Old Style" w:eastAsia="MS Mincho" w:hAnsi="Bookman Old Style" w:cs="Arial"/>
          <w:lang w:val="es-ES_tradnl"/>
        </w:rPr>
        <w:t>,</w:t>
      </w:r>
      <w:r w:rsidRPr="00FB2E5A">
        <w:rPr>
          <w:rFonts w:ascii="Bookman Old Style" w:eastAsia="MS Mincho" w:hAnsi="Bookman Old Style" w:cs="Arial"/>
          <w:lang w:val="es-ES_tradnl"/>
        </w:rPr>
        <w:t xml:space="preserve"> a efectos de determinar la capacidad de compra a que hace referencia la Resolución CREG 063 de 2016, se debe tener en cuenta que la Ley 689 de 2001</w:t>
      </w:r>
      <w:r w:rsidR="00420355">
        <w:rPr>
          <w:rFonts w:ascii="Bookman Old Style" w:eastAsia="MS Mincho" w:hAnsi="Bookman Old Style" w:cs="Arial"/>
          <w:lang w:val="es-ES_tradnl"/>
        </w:rPr>
        <w:t>,</w:t>
      </w:r>
      <w:r w:rsidRPr="00FB2E5A">
        <w:rPr>
          <w:rFonts w:ascii="Bookman Old Style" w:eastAsia="MS Mincho" w:hAnsi="Bookman Old Style" w:cs="Arial"/>
          <w:lang w:val="es-ES_tradnl"/>
        </w:rPr>
        <w:t xml:space="preserve"> en su artículo 14</w:t>
      </w:r>
      <w:r w:rsidR="00420355">
        <w:rPr>
          <w:rFonts w:ascii="Bookman Old Style" w:eastAsia="MS Mincho" w:hAnsi="Bookman Old Style" w:cs="Arial"/>
          <w:lang w:val="es-ES_tradnl"/>
        </w:rPr>
        <w:t>,</w:t>
      </w:r>
      <w:r w:rsidRPr="00FB2E5A">
        <w:rPr>
          <w:rFonts w:ascii="Bookman Old Style" w:eastAsia="MS Mincho" w:hAnsi="Bookman Old Style" w:cs="Arial"/>
          <w:lang w:val="es-ES_tradnl"/>
        </w:rPr>
        <w:t xml:space="preserve"> adicionó un artículo a la Ley 142 de 1994</w:t>
      </w:r>
      <w:r w:rsidR="00420355">
        <w:rPr>
          <w:rFonts w:ascii="Bookman Old Style" w:eastAsia="MS Mincho" w:hAnsi="Bookman Old Style" w:cs="Arial"/>
          <w:lang w:val="es-ES_tradnl"/>
        </w:rPr>
        <w:t>,</w:t>
      </w:r>
      <w:r w:rsidRPr="00FB2E5A">
        <w:rPr>
          <w:rFonts w:ascii="Bookman Old Style" w:eastAsia="MS Mincho" w:hAnsi="Bookman Old Style" w:cs="Arial"/>
          <w:lang w:val="es-ES_tradnl"/>
        </w:rPr>
        <w:t xml:space="preserve"> el cual dispuso lo siguiente:</w:t>
      </w:r>
    </w:p>
    <w:p w14:paraId="041C64DD" w14:textId="77777777"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14:paraId="505624F0" w14:textId="77777777" w:rsidR="00DE5054"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14:paraId="7AECE3D0" w14:textId="77777777" w:rsidR="00C230E7" w:rsidRPr="007F3FC2" w:rsidRDefault="00C230E7"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13D3DCF0"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14:paraId="41CF9D2F"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54CDDE2D"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14:paraId="78D156D6"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11FD3E90"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14:paraId="3B55E6AA"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697EE51E"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14:paraId="4428962D"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641613DD"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14:paraId="3E04E51E"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5CD695F3"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14:paraId="2F437441"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49CFA772"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14:paraId="3E57A558"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436EEE25"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14:paraId="11B2DEBB"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161764E2"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14:paraId="1A85E761"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p>
    <w:p w14:paraId="1E0A2D56" w14:textId="77777777" w:rsidR="00DE5054" w:rsidRPr="007F3FC2" w:rsidRDefault="00DE5054" w:rsidP="00420355">
      <w:pPr>
        <w:tabs>
          <w:tab w:val="left" w:pos="-720"/>
          <w:tab w:val="left" w:pos="1276"/>
        </w:tabs>
        <w:suppressAutoHyphens/>
        <w:overflowPunct w:val="0"/>
        <w:autoSpaceDE w:val="0"/>
        <w:spacing w:after="0" w:line="240" w:lineRule="auto"/>
        <w:ind w:lef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14:paraId="0779FF75" w14:textId="77777777" w:rsidR="00DE5054" w:rsidRPr="00FB2E5A" w:rsidRDefault="00DE5054" w:rsidP="00DE5054">
      <w:pPr>
        <w:spacing w:after="0" w:line="240" w:lineRule="auto"/>
        <w:jc w:val="both"/>
        <w:rPr>
          <w:rFonts w:ascii="Bookman Old Style" w:eastAsia="MS Mincho" w:hAnsi="Bookman Old Style" w:cs="Arial"/>
          <w:lang w:val="es-ES_tradnl"/>
        </w:rPr>
      </w:pPr>
    </w:p>
    <w:p w14:paraId="6E49DC5B" w14:textId="77777777"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14:paraId="22977962" w14:textId="77777777" w:rsidR="00A66E25" w:rsidRPr="00FB2E5A" w:rsidRDefault="00A66E25" w:rsidP="00DE5054">
      <w:pPr>
        <w:spacing w:after="0" w:line="240" w:lineRule="auto"/>
        <w:jc w:val="both"/>
        <w:rPr>
          <w:rFonts w:ascii="Bookman Old Style" w:eastAsia="Times New Roman" w:hAnsi="Bookman Old Style" w:cs="Arial"/>
          <w:spacing w:val="-5"/>
          <w:sz w:val="24"/>
          <w:szCs w:val="24"/>
        </w:rPr>
      </w:pPr>
    </w:p>
    <w:p w14:paraId="281874DA" w14:textId="7CCDAE1F"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Dentro de las medidas regulatorias adoptadas por parte de esta Comisión se encuentra lo dispuesto inicialmente en el literal b del artículo 31 de la Resolución CREG 045 de 2008</w:t>
      </w:r>
      <w:r w:rsidR="003C60F8">
        <w:rPr>
          <w:rFonts w:ascii="Bookman Old Style" w:hAnsi="Bookman Old Style" w:cs="Arial"/>
          <w:spacing w:val="-5"/>
        </w:rPr>
        <w:t>,</w:t>
      </w:r>
      <w:r w:rsidRPr="00FB2E5A">
        <w:rPr>
          <w:rFonts w:ascii="Bookman Old Style" w:hAnsi="Bookman Old Style" w:cs="Arial"/>
          <w:spacing w:val="-5"/>
        </w:rPr>
        <w:t xml:space="preserve">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w:t>
      </w:r>
      <w:r w:rsidR="003C60F8">
        <w:rPr>
          <w:rFonts w:ascii="Bookman Old Style" w:hAnsi="Bookman Old Style" w:cs="Arial"/>
          <w:spacing w:val="-5"/>
        </w:rPr>
        <w:t>,</w:t>
      </w:r>
      <w:r w:rsidRPr="00FB2E5A">
        <w:rPr>
          <w:rFonts w:ascii="Bookman Old Style" w:hAnsi="Bookman Old Style" w:cs="Arial"/>
          <w:spacing w:val="-5"/>
        </w:rPr>
        <w:t xml:space="preserve"> SUI</w:t>
      </w:r>
      <w:r w:rsidR="003C60F8">
        <w:rPr>
          <w:rFonts w:ascii="Bookman Old Style" w:hAnsi="Bookman Old Style" w:cs="Arial"/>
          <w:spacing w:val="-5"/>
        </w:rPr>
        <w:t>,</w:t>
      </w:r>
      <w:r w:rsidRPr="00FB2E5A">
        <w:rPr>
          <w:rFonts w:ascii="Bookman Old Style" w:hAnsi="Bookman Old Style" w:cs="Arial"/>
          <w:spacing w:val="-5"/>
        </w:rPr>
        <w:t xml:space="preserve">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 xml:space="preserve">En este sentido, el artículo 3 de la Resolución CREG 177 </w:t>
      </w:r>
      <w:r w:rsidR="004D19A2">
        <w:rPr>
          <w:rFonts w:ascii="Bookman Old Style" w:hAnsi="Bookman Old Style" w:cs="Arial"/>
          <w:spacing w:val="-5"/>
        </w:rPr>
        <w:t xml:space="preserve">de 2011 </w:t>
      </w:r>
      <w:r w:rsidRPr="00FB2E5A">
        <w:rPr>
          <w:rFonts w:ascii="Bookman Old Style" w:hAnsi="Bookman Old Style" w:cs="Arial"/>
          <w:spacing w:val="-5"/>
        </w:rPr>
        <w:t>dispuso lo siguiente:</w:t>
      </w:r>
    </w:p>
    <w:p w14:paraId="4D479747" w14:textId="77777777"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14:paraId="4E834E97" w14:textId="77777777" w:rsidR="00DE5054" w:rsidRPr="007F3FC2" w:rsidRDefault="00DE5054" w:rsidP="003C60F8">
      <w:pPr>
        <w:spacing w:after="0" w:line="240" w:lineRule="auto"/>
        <w:ind w:left="567"/>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14:paraId="1E6AE1DB" w14:textId="77777777" w:rsidR="00DE5054" w:rsidRPr="007F3FC2" w:rsidRDefault="00DE5054" w:rsidP="003C60F8">
      <w:pPr>
        <w:spacing w:after="0" w:line="240" w:lineRule="auto"/>
        <w:ind w:left="567"/>
        <w:jc w:val="both"/>
        <w:rPr>
          <w:rFonts w:ascii="Bookman Old Style" w:eastAsia="Times New Roman" w:hAnsi="Bookman Old Style" w:cs="Arial"/>
          <w:i/>
          <w:spacing w:val="-5"/>
        </w:rPr>
      </w:pPr>
    </w:p>
    <w:p w14:paraId="056750B9" w14:textId="77777777" w:rsidR="00DE5054" w:rsidRPr="007F3FC2" w:rsidRDefault="00DE5054" w:rsidP="003C60F8">
      <w:pPr>
        <w:spacing w:after="0" w:line="240" w:lineRule="auto"/>
        <w:ind w:left="567"/>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14:paraId="67908B97" w14:textId="77777777" w:rsidR="00DE5054" w:rsidRPr="007F3FC2" w:rsidRDefault="00DE5054" w:rsidP="003C60F8">
      <w:pPr>
        <w:spacing w:after="0" w:line="240" w:lineRule="auto"/>
        <w:ind w:left="567"/>
        <w:jc w:val="both"/>
        <w:rPr>
          <w:rFonts w:ascii="Bookman Old Style" w:eastAsia="Times New Roman" w:hAnsi="Bookman Old Style" w:cs="Arial"/>
          <w:i/>
          <w:spacing w:val="-5"/>
        </w:rPr>
      </w:pPr>
    </w:p>
    <w:p w14:paraId="2F481D83" w14:textId="77777777" w:rsidR="00DE5054" w:rsidRPr="007F3FC2" w:rsidRDefault="00DE5054" w:rsidP="003C60F8">
      <w:pPr>
        <w:pStyle w:val="Prrafodelista"/>
        <w:numPr>
          <w:ilvl w:val="0"/>
          <w:numId w:val="13"/>
        </w:numPr>
        <w:spacing w:after="0" w:line="240" w:lineRule="auto"/>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14:paraId="7CA0F584" w14:textId="77777777" w:rsidR="00DE5054" w:rsidRPr="007F3FC2" w:rsidRDefault="00DE5054" w:rsidP="003C60F8">
      <w:pPr>
        <w:spacing w:after="0" w:line="240" w:lineRule="auto"/>
        <w:ind w:left="567"/>
        <w:jc w:val="both"/>
        <w:rPr>
          <w:rFonts w:ascii="Bookman Old Style" w:eastAsia="Times New Roman" w:hAnsi="Bookman Old Style" w:cs="Arial"/>
          <w:i/>
          <w:spacing w:val="-5"/>
        </w:rPr>
      </w:pPr>
    </w:p>
    <w:p w14:paraId="45F7BB5E" w14:textId="4C6FB8FE" w:rsidR="00DE5054" w:rsidRPr="007F3FC2" w:rsidRDefault="00DE5054" w:rsidP="003C60F8">
      <w:pPr>
        <w:pStyle w:val="Prrafodelista"/>
        <w:numPr>
          <w:ilvl w:val="0"/>
          <w:numId w:val="13"/>
        </w:numPr>
        <w:spacing w:after="0" w:line="240" w:lineRule="auto"/>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w:t>
      </w:r>
      <w:r w:rsidR="00420355">
        <w:rPr>
          <w:rFonts w:ascii="Bookman Old Style" w:eastAsia="Times New Roman" w:hAnsi="Bookman Old Style" w:cs="Arial"/>
          <w:i/>
          <w:spacing w:val="-5"/>
          <w:u w:val="single"/>
        </w:rPr>
        <w:t>eríodo</w:t>
      </w:r>
      <w:r w:rsidRPr="007F3FC2">
        <w:rPr>
          <w:rFonts w:ascii="Bookman Old Style" w:eastAsia="Times New Roman" w:hAnsi="Bookman Old Style" w:cs="Arial"/>
          <w:i/>
          <w:spacing w:val="-5"/>
          <w:u w:val="single"/>
        </w:rPr>
        <w:t xml:space="preserve"> de Transición y el P</w:t>
      </w:r>
      <w:r w:rsidR="00420355">
        <w:rPr>
          <w:rFonts w:ascii="Bookman Old Style" w:eastAsia="Times New Roman" w:hAnsi="Bookman Old Style" w:cs="Arial"/>
          <w:i/>
          <w:spacing w:val="-5"/>
          <w:u w:val="single"/>
        </w:rPr>
        <w:t>eríodo</w:t>
      </w:r>
      <w:r w:rsidRPr="007F3FC2">
        <w:rPr>
          <w:rFonts w:ascii="Bookman Old Style" w:eastAsia="Times New Roman" w:hAnsi="Bookman Old Style" w:cs="Arial"/>
          <w:i/>
          <w:spacing w:val="-5"/>
          <w:u w:val="single"/>
        </w:rPr>
        <w:t xml:space="preserve">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14:paraId="4BDBED13" w14:textId="77777777" w:rsidR="00DE5054" w:rsidRPr="007F3FC2" w:rsidRDefault="00DE5054" w:rsidP="003C60F8">
      <w:pPr>
        <w:spacing w:after="0" w:line="240" w:lineRule="auto"/>
        <w:ind w:left="567"/>
        <w:jc w:val="both"/>
        <w:rPr>
          <w:rFonts w:ascii="Bookman Old Style" w:eastAsia="Times New Roman" w:hAnsi="Bookman Old Style" w:cs="Arial"/>
          <w:i/>
          <w:spacing w:val="-5"/>
          <w:u w:val="single"/>
        </w:rPr>
      </w:pPr>
    </w:p>
    <w:p w14:paraId="4F22C945" w14:textId="77777777" w:rsidR="00DE5054" w:rsidRPr="007F3FC2" w:rsidRDefault="00DE5054" w:rsidP="003C60F8">
      <w:pPr>
        <w:pStyle w:val="Prrafodelista"/>
        <w:numPr>
          <w:ilvl w:val="0"/>
          <w:numId w:val="13"/>
        </w:numPr>
        <w:spacing w:after="0" w:line="240" w:lineRule="auto"/>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14:paraId="04902DF8" w14:textId="77777777" w:rsidR="00DE5054" w:rsidRPr="00FB2E5A" w:rsidRDefault="00DE5054" w:rsidP="00DE5054">
      <w:pPr>
        <w:spacing w:after="0" w:line="240" w:lineRule="auto"/>
        <w:jc w:val="both"/>
        <w:rPr>
          <w:rFonts w:ascii="Bookman Old Style" w:eastAsia="Times New Roman" w:hAnsi="Bookman Old Style" w:cs="Arial"/>
          <w:spacing w:val="-5"/>
          <w:sz w:val="24"/>
          <w:szCs w:val="24"/>
        </w:rPr>
      </w:pPr>
    </w:p>
    <w:p w14:paraId="2A4024AA" w14:textId="13524748"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4D19A2">
        <w:rPr>
          <w:rFonts w:ascii="Bookman Old Style" w:hAnsi="Bookman Old Style" w:cs="Arial"/>
          <w:spacing w:val="-5"/>
        </w:rPr>
        <w:t xml:space="preserve"> de la Resolución CREG 023 de 2008,</w:t>
      </w:r>
      <w:r>
        <w:rPr>
          <w:rFonts w:ascii="Bookman Old Style" w:hAnsi="Bookman Old Style" w:cs="Arial"/>
          <w:spacing w:val="-5"/>
        </w:rPr>
        <w:t xml:space="preserve"> reglamento de distribución y comercialización minorista de GLP</w:t>
      </w:r>
      <w:r w:rsidR="003C60F8">
        <w:rPr>
          <w:rFonts w:ascii="Bookman Old Style" w:hAnsi="Bookman Old Style" w:cs="Arial"/>
          <w:spacing w:val="-5"/>
        </w:rPr>
        <w:t>,</w:t>
      </w:r>
      <w:r>
        <w:rPr>
          <w:rFonts w:ascii="Bookman Old Style" w:hAnsi="Bookman Old Style" w:cs="Arial"/>
          <w:spacing w:val="-5"/>
        </w:rPr>
        <w:t xml:space="preserve"> </w:t>
      </w:r>
      <w:r w:rsidR="004D19A2">
        <w:rPr>
          <w:rFonts w:ascii="Bookman Old Style" w:hAnsi="Bookman Old Style" w:cs="Arial"/>
          <w:spacing w:val="-5"/>
        </w:rPr>
        <w:t xml:space="preserve">señalan </w:t>
      </w:r>
      <w:r>
        <w:rPr>
          <w:rFonts w:ascii="Bookman Old Style" w:hAnsi="Bookman Old Style" w:cs="Arial"/>
          <w:spacing w:val="-5"/>
        </w:rPr>
        <w:t>lo siguiente:</w:t>
      </w:r>
    </w:p>
    <w:p w14:paraId="79CB4F9E" w14:textId="77777777" w:rsidR="00720524" w:rsidRDefault="00720524" w:rsidP="00DE5054">
      <w:pPr>
        <w:spacing w:after="0" w:line="240" w:lineRule="auto"/>
        <w:jc w:val="both"/>
        <w:rPr>
          <w:rFonts w:ascii="Bookman Old Style" w:eastAsia="Times New Roman" w:hAnsi="Bookman Old Style" w:cs="Arial"/>
          <w:spacing w:val="-5"/>
          <w:sz w:val="24"/>
          <w:szCs w:val="24"/>
        </w:rPr>
      </w:pPr>
    </w:p>
    <w:p w14:paraId="07BA53A4" w14:textId="77777777" w:rsidR="00720524" w:rsidRPr="007F3FC2" w:rsidRDefault="00720524"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14:paraId="12277C25" w14:textId="77777777" w:rsidR="00720524" w:rsidRPr="007F3FC2" w:rsidRDefault="00720524"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p>
    <w:p w14:paraId="0FD24873" w14:textId="77777777" w:rsidR="00720524" w:rsidRPr="007F3FC2" w:rsidRDefault="00720524"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14:paraId="11320F50" w14:textId="77777777" w:rsidR="00720524" w:rsidRPr="007F3FC2" w:rsidRDefault="00720524" w:rsidP="003C60F8">
      <w:pPr>
        <w:spacing w:after="0" w:line="240" w:lineRule="auto"/>
        <w:ind w:left="284"/>
        <w:jc w:val="both"/>
        <w:rPr>
          <w:rFonts w:ascii="Bookman Old Style" w:eastAsia="Times New Roman" w:hAnsi="Bookman Old Style" w:cs="Arial"/>
          <w:i/>
          <w:spacing w:val="-5"/>
          <w:sz w:val="24"/>
          <w:szCs w:val="24"/>
        </w:rPr>
      </w:pPr>
    </w:p>
    <w:p w14:paraId="488237FE" w14:textId="77777777" w:rsidR="00DE5054" w:rsidRPr="007F3FC2" w:rsidRDefault="00DE5054"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14:paraId="46AAF380" w14:textId="77777777" w:rsidR="00DE5054" w:rsidRPr="007F3FC2" w:rsidRDefault="00DE5054" w:rsidP="003C60F8">
      <w:pPr>
        <w:widowControl w:val="0"/>
        <w:adjustRightInd w:val="0"/>
        <w:spacing w:after="0" w:line="240" w:lineRule="auto"/>
        <w:ind w:left="284"/>
        <w:jc w:val="both"/>
        <w:textAlignment w:val="baseline"/>
        <w:rPr>
          <w:rFonts w:ascii="Bookman Old Style" w:eastAsia="Times New Roman" w:hAnsi="Bookman Old Style" w:cs="Arial"/>
          <w:i/>
          <w:color w:val="000000"/>
          <w:lang w:eastAsia="es-CO"/>
        </w:rPr>
      </w:pPr>
    </w:p>
    <w:p w14:paraId="274C4261" w14:textId="77777777" w:rsidR="00DE5054" w:rsidRPr="007F3FC2" w:rsidRDefault="00DE5054" w:rsidP="003C60F8">
      <w:pPr>
        <w:widowControl w:val="0"/>
        <w:adjustRightInd w:val="0"/>
        <w:spacing w:after="0" w:line="240" w:lineRule="auto"/>
        <w:ind w:lef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t>El uso de la marca está sujeto a las siguientes reglas:</w:t>
      </w:r>
    </w:p>
    <w:p w14:paraId="339B44A7" w14:textId="77777777" w:rsidR="00DE5054" w:rsidRPr="007F3FC2" w:rsidRDefault="00DE5054"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p>
    <w:p w14:paraId="66A58418" w14:textId="77777777" w:rsidR="00DE5054" w:rsidRPr="007F3FC2" w:rsidRDefault="007F3FC2"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14:paraId="76C98D38" w14:textId="77777777" w:rsidR="00DE5054" w:rsidRPr="007F3FC2" w:rsidRDefault="007F3FC2"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14:paraId="2D3B8AE4" w14:textId="77777777" w:rsidR="00DE5054" w:rsidRPr="007F3FC2" w:rsidRDefault="007F3FC2"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14:paraId="604C15E2" w14:textId="77777777" w:rsidR="00DE5054" w:rsidRPr="007F3FC2" w:rsidRDefault="007F3FC2" w:rsidP="003C60F8">
      <w:pPr>
        <w:numPr>
          <w:ilvl w:val="1"/>
          <w:numId w:val="0"/>
        </w:numPr>
        <w:suppressAutoHyphens/>
        <w:spacing w:after="0" w:line="240" w:lineRule="auto"/>
        <w:ind w:lef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14:paraId="61F05CC3" w14:textId="77777777" w:rsidR="00DE5054" w:rsidRDefault="00DE5054" w:rsidP="00DE5054">
      <w:pPr>
        <w:spacing w:after="0" w:line="240" w:lineRule="auto"/>
        <w:jc w:val="both"/>
        <w:rPr>
          <w:rFonts w:ascii="Bookman Old Style" w:eastAsia="Times New Roman" w:hAnsi="Bookman Old Style" w:cs="Arial"/>
          <w:spacing w:val="-5"/>
          <w:sz w:val="24"/>
          <w:szCs w:val="24"/>
        </w:rPr>
      </w:pPr>
    </w:p>
    <w:p w14:paraId="5D2380A0" w14:textId="77777777"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14:paraId="360A6785" w14:textId="77777777"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14:paraId="48323AA6" w14:textId="651C5C11"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w:t>
      </w:r>
      <w:r w:rsidR="003C60F8">
        <w:rPr>
          <w:rFonts w:ascii="Bookman Old Style" w:hAnsi="Bookman Old Style" w:cs="Arial"/>
          <w:spacing w:val="-5"/>
        </w:rPr>
        <w:t>,</w:t>
      </w:r>
      <w:r w:rsidRPr="00A33677">
        <w:rPr>
          <w:rFonts w:ascii="Bookman Old Style" w:hAnsi="Bookman Old Style" w:cs="Arial"/>
          <w:spacing w:val="-5"/>
        </w:rPr>
        <w:t xml:space="preserve"> SUI</w:t>
      </w:r>
      <w:r w:rsidR="003C60F8">
        <w:rPr>
          <w:rFonts w:ascii="Bookman Old Style" w:hAnsi="Bookman Old Style" w:cs="Arial"/>
          <w:spacing w:val="-5"/>
        </w:rPr>
        <w:t>,</w:t>
      </w:r>
      <w:r w:rsidRPr="00A33677">
        <w:rPr>
          <w:rFonts w:ascii="Bookman Old Style" w:hAnsi="Bookman Old Style" w:cs="Arial"/>
          <w:spacing w:val="-5"/>
        </w:rPr>
        <w:t xml:space="preserve"> de la Superintendencia de Servicios Públicos Domiciliarios, entre otras atendiendo lo dispuesto en la Circular Conjunta CREG – SSPD 001 de 2004.</w:t>
      </w:r>
      <w:r w:rsidRPr="00674B97">
        <w:rPr>
          <w:spacing w:val="-5"/>
          <w:vertAlign w:val="superscript"/>
        </w:rPr>
        <w:footnoteReference w:id="3"/>
      </w:r>
    </w:p>
    <w:p w14:paraId="1B5C9C59" w14:textId="77777777"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14:paraId="4AE6CFA8" w14:textId="77777777" w:rsidR="00DE5054" w:rsidRPr="00A33677" w:rsidRDefault="004D19A2"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14:paraId="13B94B42" w14:textId="77777777"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14:paraId="4688D3AE" w14:textId="77777777" w:rsidR="00DE5054" w:rsidRPr="007F3FC2" w:rsidRDefault="00DE5054" w:rsidP="003C60F8">
      <w:pPr>
        <w:spacing w:after="0" w:line="240" w:lineRule="auto"/>
        <w:ind w:left="567"/>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0A2D969A" w14:textId="77777777" w:rsidR="00DE5054" w:rsidRPr="0021729C" w:rsidRDefault="00DE5054" w:rsidP="00DE5054">
      <w:pPr>
        <w:spacing w:after="0" w:line="240" w:lineRule="auto"/>
        <w:jc w:val="both"/>
        <w:rPr>
          <w:rFonts w:ascii="Bookman Old Style" w:hAnsi="Bookman Old Style"/>
          <w:sz w:val="24"/>
          <w:szCs w:val="24"/>
        </w:rPr>
      </w:pPr>
    </w:p>
    <w:p w14:paraId="11F74400" w14:textId="08BA86A1"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Dicha calidad y la realización de esta actividad se establece por parte de esta Comisión de acuerdo con lo previsto en la regulación, así como con base en la información registrada en el Sistema Único de Información</w:t>
      </w:r>
      <w:r w:rsidR="003C60F8">
        <w:rPr>
          <w:rFonts w:ascii="Bookman Old Style" w:hAnsi="Bookman Old Style" w:cs="Arial"/>
          <w:spacing w:val="-5"/>
        </w:rPr>
        <w:t>,</w:t>
      </w:r>
      <w:r w:rsidRPr="00A33677">
        <w:rPr>
          <w:rFonts w:ascii="Bookman Old Style" w:hAnsi="Bookman Old Style" w:cs="Arial"/>
          <w:spacing w:val="-5"/>
        </w:rPr>
        <w:t xml:space="preserve"> SUI</w:t>
      </w:r>
      <w:r w:rsidR="003C60F8">
        <w:rPr>
          <w:rFonts w:ascii="Bookman Old Style" w:hAnsi="Bookman Old Style" w:cs="Arial"/>
          <w:spacing w:val="-5"/>
        </w:rPr>
        <w:t>,</w:t>
      </w:r>
      <w:r w:rsidRPr="00A33677">
        <w:rPr>
          <w:rFonts w:ascii="Bookman Old Style" w:hAnsi="Bookman Old Style" w:cs="Arial"/>
          <w:spacing w:val="-5"/>
        </w:rPr>
        <w:t xml:space="preserve"> y el Registro Único de Prestadores de Servicios Públicos</w:t>
      </w:r>
      <w:r w:rsidR="003C60F8">
        <w:rPr>
          <w:rFonts w:ascii="Bookman Old Style" w:hAnsi="Bookman Old Style" w:cs="Arial"/>
          <w:spacing w:val="-5"/>
        </w:rPr>
        <w:t>,</w:t>
      </w:r>
      <w:r w:rsidRPr="00A33677">
        <w:rPr>
          <w:rFonts w:ascii="Bookman Old Style" w:hAnsi="Bookman Old Style" w:cs="Arial"/>
          <w:spacing w:val="-5"/>
        </w:rPr>
        <w:t xml:space="preserve"> RUPS</w:t>
      </w:r>
      <w:r w:rsidR="003C60F8">
        <w:rPr>
          <w:rFonts w:ascii="Bookman Old Style" w:hAnsi="Bookman Old Style" w:cs="Arial"/>
          <w:spacing w:val="-5"/>
        </w:rPr>
        <w:t>,</w:t>
      </w:r>
      <w:r w:rsidRPr="00A33677">
        <w:rPr>
          <w:rFonts w:ascii="Bookman Old Style" w:hAnsi="Bookman Old Style" w:cs="Arial"/>
          <w:spacing w:val="-5"/>
        </w:rPr>
        <w:t xml:space="preserve">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14:paraId="55F8745D" w14:textId="77777777"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14:paraId="3794EEC0" w14:textId="76CB9657"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2E3F00">
        <w:rPr>
          <w:rFonts w:ascii="Bookman Old Style" w:hAnsi="Bookman Old Style" w:cs="Arial"/>
          <w:spacing w:val="-5"/>
        </w:rPr>
        <w:t xml:space="preserve">el </w:t>
      </w:r>
      <w:r w:rsidR="00FC652D" w:rsidRPr="00090AD5">
        <w:rPr>
          <w:rFonts w:ascii="Bookman Old Style" w:hAnsi="Bookman Old Style" w:cs="Arial"/>
          <w:spacing w:val="-5"/>
        </w:rPr>
        <w:t>A</w:t>
      </w:r>
      <w:r w:rsidR="002E3F00" w:rsidRPr="00090AD5">
        <w:rPr>
          <w:rFonts w:ascii="Bookman Old Style" w:hAnsi="Bookman Old Style" w:cs="Arial"/>
          <w:spacing w:val="-5"/>
        </w:rPr>
        <w:t>uto</w:t>
      </w:r>
      <w:r w:rsidRPr="00090AD5">
        <w:rPr>
          <w:rFonts w:ascii="Bookman Old Style" w:hAnsi="Bookman Old Style" w:cs="Arial"/>
          <w:spacing w:val="-5"/>
        </w:rPr>
        <w:t xml:space="preserve"> I</w:t>
      </w:r>
      <w:r w:rsidR="002E3F00" w:rsidRPr="00090AD5">
        <w:rPr>
          <w:rFonts w:ascii="Bookman Old Style" w:hAnsi="Bookman Old Style" w:cs="Arial"/>
          <w:spacing w:val="-5"/>
        </w:rPr>
        <w:t>-202</w:t>
      </w:r>
      <w:r w:rsidR="00FC652D" w:rsidRPr="00090AD5">
        <w:rPr>
          <w:rFonts w:ascii="Bookman Old Style" w:hAnsi="Bookman Old Style" w:cs="Arial"/>
          <w:spacing w:val="-5"/>
        </w:rPr>
        <w:t>1</w:t>
      </w:r>
      <w:r w:rsidR="006E3CAF" w:rsidRPr="00090AD5">
        <w:rPr>
          <w:rFonts w:ascii="Bookman Old Style" w:hAnsi="Bookman Old Style" w:cs="Arial"/>
          <w:spacing w:val="-5"/>
        </w:rPr>
        <w:t>-00</w:t>
      </w:r>
      <w:r w:rsidR="00181AF7" w:rsidRPr="00090AD5">
        <w:rPr>
          <w:rFonts w:ascii="Bookman Old Style" w:hAnsi="Bookman Old Style" w:cs="Arial"/>
          <w:spacing w:val="-5"/>
        </w:rPr>
        <w:t>36672</w:t>
      </w:r>
      <w:r w:rsidR="002E3F00" w:rsidRPr="00844B55">
        <w:rPr>
          <w:rFonts w:ascii="Bookman Old Style" w:hAnsi="Bookman Old Style" w:cs="Arial"/>
          <w:spacing w:val="-5"/>
        </w:rPr>
        <w:t xml:space="preserve"> </w:t>
      </w:r>
      <w:r w:rsidRPr="00844B55">
        <w:rPr>
          <w:rFonts w:ascii="Bookman Old Style" w:hAnsi="Bookman Old Style" w:cs="Arial"/>
          <w:spacing w:val="-5"/>
        </w:rPr>
        <w:t>se informó por parte de esta Comisión el inicio de una actuación administrativa particular llevada a cabo de manera oficiosa para los agentes distribuidores que se ajustan a alguno de los eventos expuestos en el inciso anterior</w:t>
      </w:r>
      <w:r w:rsidR="003C60F8">
        <w:rPr>
          <w:rFonts w:ascii="Bookman Old Style" w:hAnsi="Bookman Old Style" w:cs="Arial"/>
          <w:spacing w:val="-5"/>
        </w:rPr>
        <w:t>,</w:t>
      </w:r>
      <w:r w:rsidRPr="00844B55">
        <w:rPr>
          <w:rFonts w:ascii="Bookman Old Style" w:hAnsi="Bookman Old Style" w:cs="Arial"/>
          <w:spacing w:val="-5"/>
        </w:rPr>
        <w:t xml:space="preserve"> a efectos de llevar a cabo el cálculo y definición de la capacidad de compra en los términos de los artículos 8 y 9 de la Resolución CREG 063 de 201</w:t>
      </w:r>
      <w:r w:rsidR="00181AF7" w:rsidRPr="00844B55">
        <w:rPr>
          <w:rFonts w:ascii="Bookman Old Style" w:hAnsi="Bookman Old Style" w:cs="Arial"/>
          <w:spacing w:val="-5"/>
        </w:rPr>
        <w:t>6</w:t>
      </w:r>
      <w:r w:rsidRPr="00844B55">
        <w:rPr>
          <w:rFonts w:ascii="Bookman Old Style" w:hAnsi="Bookman Old Style" w:cs="Arial"/>
          <w:spacing w:val="-5"/>
        </w:rPr>
        <w:t xml:space="preserve"> para el</w:t>
      </w:r>
      <w:r w:rsidR="006029DB" w:rsidRPr="00844B55">
        <w:rPr>
          <w:rFonts w:ascii="Bookman Old Style" w:hAnsi="Bookman Old Style" w:cs="Arial"/>
          <w:spacing w:val="-5"/>
        </w:rPr>
        <w:t xml:space="preserve"> </w:t>
      </w:r>
      <w:r w:rsidR="006029DB" w:rsidRPr="00090AD5">
        <w:rPr>
          <w:rFonts w:ascii="Bookman Old Style" w:hAnsi="Bookman Old Style" w:cs="Arial"/>
          <w:spacing w:val="-5"/>
        </w:rPr>
        <w:t xml:space="preserve">décimo primer </w:t>
      </w:r>
      <w:r w:rsidRPr="00090AD5">
        <w:rPr>
          <w:rFonts w:ascii="Bookman Old Style" w:hAnsi="Bookman Old Style" w:cs="Arial"/>
          <w:spacing w:val="-5"/>
        </w:rPr>
        <w:t>p</w:t>
      </w:r>
      <w:r w:rsidR="00420355">
        <w:rPr>
          <w:rFonts w:ascii="Bookman Old Style" w:hAnsi="Bookman Old Style" w:cs="Arial"/>
          <w:spacing w:val="-5"/>
        </w:rPr>
        <w:t>eríodo</w:t>
      </w:r>
      <w:r w:rsidRPr="00090AD5">
        <w:rPr>
          <w:rFonts w:ascii="Bookman Old Style" w:hAnsi="Bookman Old Style" w:cs="Arial"/>
          <w:spacing w:val="-5"/>
        </w:rPr>
        <w:t xml:space="preserve"> de compra</w:t>
      </w:r>
      <w:r w:rsidRPr="00844B55">
        <w:rPr>
          <w:rFonts w:ascii="Bookman Old Style" w:hAnsi="Bookman Old Style" w:cs="Arial"/>
          <w:spacing w:val="-5"/>
        </w:rPr>
        <w:t>.</w:t>
      </w:r>
    </w:p>
    <w:p w14:paraId="679802DB" w14:textId="77777777"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14:paraId="4DB273DC" w14:textId="20791856"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Atendiendo esta disposición, la Comisión de Regulación de Energía y Gas</w:t>
      </w:r>
      <w:r w:rsidR="003C60F8">
        <w:rPr>
          <w:rFonts w:ascii="Bookman Old Style" w:hAnsi="Bookman Old Style" w:cs="Arial"/>
          <w:spacing w:val="-5"/>
        </w:rPr>
        <w:t>,</w:t>
      </w:r>
      <w:r w:rsidRPr="00A33677">
        <w:rPr>
          <w:rFonts w:ascii="Bookman Old Style" w:hAnsi="Bookman Old Style" w:cs="Arial"/>
          <w:spacing w:val="-5"/>
        </w:rPr>
        <w:t xml:space="preserve"> mediante comunicación </w:t>
      </w:r>
      <w:r w:rsidR="002E3F00">
        <w:rPr>
          <w:rFonts w:ascii="Bookman Old Style" w:hAnsi="Bookman Old Style" w:cs="Arial"/>
          <w:spacing w:val="-5"/>
        </w:rPr>
        <w:t xml:space="preserve">con radicado </w:t>
      </w:r>
      <w:r w:rsidR="006F0190" w:rsidRPr="006F0190">
        <w:rPr>
          <w:rFonts w:ascii="Bookman Old Style" w:hAnsi="Bookman Old Style" w:cs="Arial"/>
          <w:spacing w:val="-5"/>
        </w:rPr>
        <w:t>CREG S-2021-004312 de</w:t>
      </w:r>
      <w:r w:rsidR="00A475EA">
        <w:rPr>
          <w:rFonts w:ascii="Bookman Old Style" w:hAnsi="Bookman Old Style" w:cs="Arial"/>
          <w:spacing w:val="-5"/>
        </w:rPr>
        <w:t>l 28</w:t>
      </w:r>
      <w:r w:rsidR="007119D8">
        <w:rPr>
          <w:rFonts w:ascii="Bookman Old Style" w:hAnsi="Bookman Old Style" w:cs="Arial"/>
          <w:spacing w:val="-5"/>
        </w:rPr>
        <w:t xml:space="preserve"> de</w:t>
      </w:r>
      <w:r w:rsidR="006F0190" w:rsidRPr="006F0190">
        <w:rPr>
          <w:rFonts w:ascii="Bookman Old Style" w:hAnsi="Bookman Old Style" w:cs="Arial"/>
          <w:spacing w:val="-5"/>
        </w:rPr>
        <w:t xml:space="preserve"> septiembre de 2021</w:t>
      </w:r>
      <w:r w:rsidR="003C60F8">
        <w:rPr>
          <w:rFonts w:ascii="Bookman Old Style" w:hAnsi="Bookman Old Style" w:cs="Arial"/>
          <w:spacing w:val="-5"/>
        </w:rPr>
        <w:t>,</w:t>
      </w:r>
      <w:r w:rsidR="009746FD" w:rsidRPr="003460A5">
        <w:rPr>
          <w:rFonts w:ascii="Bookman Old Style" w:hAnsi="Bookman Old Style" w:cs="Arial"/>
          <w:spacing w:val="-5"/>
        </w:rPr>
        <w:t xml:space="preserve"> </w:t>
      </w:r>
      <w:r w:rsidRPr="003460A5">
        <w:rPr>
          <w:rFonts w:ascii="Bookman Old Style" w:hAnsi="Bookman Old Style" w:cs="Arial"/>
          <w:spacing w:val="-5"/>
        </w:rPr>
        <w:t>solicitó</w:t>
      </w:r>
      <w:r w:rsidRPr="00A33677">
        <w:rPr>
          <w:rFonts w:ascii="Bookman Old Style" w:hAnsi="Bookman Old Style" w:cs="Arial"/>
          <w:spacing w:val="-5"/>
        </w:rPr>
        <w:t xml:space="preserve">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090AD5">
        <w:rPr>
          <w:rFonts w:ascii="Bookman Old Style" w:hAnsi="Bookman Old Style" w:cs="Arial"/>
          <w:spacing w:val="-5"/>
          <w:vertAlign w:val="superscript"/>
        </w:rPr>
        <w:footnoteReference w:id="4"/>
      </w:r>
      <w:r w:rsidRPr="00A33677">
        <w:rPr>
          <w:rFonts w:ascii="Bookman Old Style" w:hAnsi="Bookman Old Style" w:cs="Arial"/>
          <w:spacing w:val="-5"/>
        </w:rPr>
        <w:t>. Así mismo, remitir la información de tanques estacionarios atendidos por cada distribuidor y su capacidad en galones de acuerdo con lo reportado a la Superintendencia de Servicios Públicos Domiciliarios en el Sistema Único de Información</w:t>
      </w:r>
      <w:r w:rsidR="003C60F8">
        <w:rPr>
          <w:rFonts w:ascii="Bookman Old Style" w:hAnsi="Bookman Old Style" w:cs="Arial"/>
          <w:spacing w:val="-5"/>
        </w:rPr>
        <w:t>,</w:t>
      </w:r>
      <w:r w:rsidRPr="00A33677">
        <w:rPr>
          <w:rFonts w:ascii="Bookman Old Style" w:hAnsi="Bookman Old Style" w:cs="Arial"/>
          <w:spacing w:val="-5"/>
        </w:rPr>
        <w:t xml:space="preserve"> SUI</w:t>
      </w:r>
      <w:r w:rsidR="003C60F8">
        <w:rPr>
          <w:rFonts w:ascii="Bookman Old Style" w:hAnsi="Bookman Old Style" w:cs="Arial"/>
          <w:spacing w:val="-5"/>
        </w:rPr>
        <w:t>,</w:t>
      </w:r>
      <w:r w:rsidRPr="00A33677">
        <w:rPr>
          <w:rFonts w:ascii="Bookman Old Style" w:hAnsi="Bookman Old Style" w:cs="Arial"/>
          <w:spacing w:val="-5"/>
        </w:rPr>
        <w:t xml:space="preserve"> con base </w:t>
      </w:r>
      <w:r w:rsidR="003C60F8">
        <w:rPr>
          <w:rFonts w:ascii="Bookman Old Style" w:hAnsi="Bookman Old Style" w:cs="Arial"/>
          <w:spacing w:val="-5"/>
        </w:rPr>
        <w:t xml:space="preserve">en </w:t>
      </w:r>
      <w:r w:rsidRPr="00A33677">
        <w:rPr>
          <w:rFonts w:ascii="Bookman Old Style" w:hAnsi="Bookman Old Style" w:cs="Arial"/>
          <w:spacing w:val="-5"/>
        </w:rPr>
        <w:t>lo dispuesto en las Circulares SSPD – CREG 001 de 2004 y 001 de 2017.</w:t>
      </w:r>
    </w:p>
    <w:p w14:paraId="53F24CDB" w14:textId="46D69CA8" w:rsidR="00981490" w:rsidRDefault="00981490" w:rsidP="00A33677">
      <w:pPr>
        <w:pStyle w:val="Textoindependiente2"/>
        <w:spacing w:after="0" w:line="240" w:lineRule="auto"/>
        <w:ind w:left="-142" w:right="-142"/>
        <w:jc w:val="both"/>
        <w:rPr>
          <w:rFonts w:ascii="Bookman Old Style" w:hAnsi="Bookman Old Style" w:cs="Arial"/>
          <w:spacing w:val="-5"/>
        </w:rPr>
      </w:pPr>
    </w:p>
    <w:p w14:paraId="3544F657" w14:textId="71961A98" w:rsidR="009E4094" w:rsidRPr="00844B55" w:rsidRDefault="00157FC2" w:rsidP="00090AD5">
      <w:pPr>
        <w:pStyle w:val="Textoindependiente2"/>
        <w:spacing w:after="0" w:line="240" w:lineRule="auto"/>
        <w:ind w:left="-142" w:right="-142"/>
        <w:jc w:val="both"/>
        <w:rPr>
          <w:rFonts w:ascii="Bookman Old Style" w:hAnsi="Bookman Old Style"/>
        </w:rPr>
      </w:pPr>
      <w:r w:rsidRPr="00844B55">
        <w:rPr>
          <w:rFonts w:ascii="Bookman Old Style" w:hAnsi="Bookman Old Style" w:cs="Arial"/>
          <w:spacing w:val="-5"/>
        </w:rPr>
        <w:t>La Superintendencia de Servicios Públicos Domiciliarios atendió este requerimiento mediante las comunicaciones 20212304635951, 20212304978871 y 20212305630271, con radicados CREG E-2021-012045, E-2021-012801 y E-2021-014000, respectivamente. Dentro de la primera de estas comunicaciones la Superintendencia a través de la Superintendencia Delegada de Energía y Gas Combustible expuso lo siguiente:</w:t>
      </w:r>
    </w:p>
    <w:p w14:paraId="31AB486A" w14:textId="77777777" w:rsidR="009E4094" w:rsidRPr="00844B55" w:rsidRDefault="009E4094" w:rsidP="009E4094">
      <w:pPr>
        <w:pStyle w:val="Textoindependiente2"/>
        <w:spacing w:after="0" w:line="240" w:lineRule="auto"/>
        <w:ind w:right="284"/>
        <w:jc w:val="both"/>
        <w:rPr>
          <w:rFonts w:ascii="Bookman Old Style" w:hAnsi="Bookman Old Style"/>
          <w:i/>
          <w:sz w:val="22"/>
          <w:szCs w:val="22"/>
        </w:rPr>
      </w:pPr>
    </w:p>
    <w:p w14:paraId="1305D810"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rPr>
        <w:t>“</w:t>
      </w: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Fecha de consulta de información: 7 de octubre de 2021.</w:t>
      </w:r>
    </w:p>
    <w:p w14:paraId="623E9136"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Modo de envío: Archivo adjunto donde se encuentra la información así:</w:t>
      </w:r>
    </w:p>
    <w:p w14:paraId="1555B5B0"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1427D816"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1.INFORMACIÓN DE CILINDROS ACTIVOS</w:t>
      </w:r>
    </w:p>
    <w:p w14:paraId="579991D7"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397CDABE"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En este archivo se encuentra la información consolidada de Cilindros Migrados del SICMA por ACI Proyectos y la información Técnica del Parque de Cilindros Marcados, donde se relacionan los datos reportados al Sistema Único de Información – SUI, a partir de octubre de 2012, de acuerdo con lo establecido en Resolución SSPD No. 20141300040755 de 2014.</w:t>
      </w:r>
    </w:p>
    <w:p w14:paraId="05E08B9C"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12589852"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En resumen, la información enviada es la siguiente:</w:t>
      </w:r>
    </w:p>
    <w:p w14:paraId="6BD8418D"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6257AE2A"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Cantidad de empresas operativas con cilindros en base de datos: 46</w:t>
      </w:r>
    </w:p>
    <w:p w14:paraId="58C1697B"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Cantidad de marcas que registran cilindros en la base de datos: 81</w:t>
      </w:r>
    </w:p>
    <w:p w14:paraId="0EF886ED" w14:textId="77777777" w:rsidR="009E4094" w:rsidRPr="00844B55" w:rsidRDefault="009E4094" w:rsidP="003C60F8">
      <w:pPr>
        <w:pStyle w:val="Textoindependiente2"/>
        <w:spacing w:after="0" w:line="240" w:lineRule="auto"/>
        <w:jc w:val="both"/>
        <w:rPr>
          <w:rFonts w:ascii="Bookman Old Style" w:hAnsi="Bookman Old Style"/>
          <w:i/>
          <w:sz w:val="22"/>
          <w:szCs w:val="22"/>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Cantidad de cilindros en la base de datos: 11.456.407</w:t>
      </w:r>
    </w:p>
    <w:p w14:paraId="6F5CF382" w14:textId="77777777" w:rsidR="009E4094" w:rsidRPr="00844B55" w:rsidRDefault="009E4094" w:rsidP="003C60F8">
      <w:pPr>
        <w:pStyle w:val="Textoindependiente2"/>
        <w:spacing w:after="0" w:line="240" w:lineRule="auto"/>
        <w:jc w:val="both"/>
        <w:rPr>
          <w:rFonts w:ascii="Bookman Old Style" w:hAnsi="Bookman Old Style"/>
          <w:i/>
          <w:sz w:val="22"/>
          <w:szCs w:val="22"/>
        </w:rPr>
      </w:pPr>
    </w:p>
    <w:p w14:paraId="5BF6B205"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Así mismo, consideramos de su interés mencionar que, la empresa CHILCO DISTRIBUIDORA DEGAS Y ENERGIA SAS ESP, informó a esta Dirección Técnica que se encuentra adelantado el proceso de cesión de la marca “DISPOGAS” en el SUI, toda vez que, a través de la Resolución 60365 del 20 de septiembre de 2021, la Superintendencia de Industria y Comercio – SIC, le concedió a la empresa el registro y la titularidad del derecho de dominio sobre la marca.</w:t>
      </w:r>
    </w:p>
    <w:p w14:paraId="221843F5"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17F3D530"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Con base en lo anterior, y teniendo en cuenta que a la fecha se está adelantando el proceso de cesión de marca en el sistema, una vez este se encuentre finalizado, se allegará un alcance a la presente comunicación.</w:t>
      </w:r>
    </w:p>
    <w:p w14:paraId="00465B59"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262B0EB2"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2.INFORMACIÓN DE TANQUES ESTACIONARIOS</w:t>
      </w:r>
    </w:p>
    <w:p w14:paraId="5CDF8055"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054B118D"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En este archivo se encuentran los Tanques Estacionarios, con la información reportada en el SUI, por parte de los Distribuidores de GLP, conforme a las disposiciones de la Circular Conjunta SSPD –CREG 0001 de 2017.</w:t>
      </w:r>
    </w:p>
    <w:p w14:paraId="2BED0B71"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3FDCB0E3"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La información de tanques estacionarios que se envía en esta ocasión se recolectó sobre consulta directa en la base de datos de lo reportado a través del Formato (1661) Tanques Estacionarios Atendidos por el Distribuidor de la Circular Conjunta SSPD – CREG 1 de 2017, para el segundo trimestre (meses de abril, mayo y junio) del año 2021.  Es de anotar que la siguiente fecha de cargue vence el 15 de octubre del año 2021.</w:t>
      </w:r>
    </w:p>
    <w:p w14:paraId="107ACF35"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526BD674"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El resumen de esta información es el siguiente:</w:t>
      </w:r>
    </w:p>
    <w:p w14:paraId="0E0F14CF"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739DF58E"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Cantidad de empresas operativas que reportan tanques en el segundo trimestre del 2020: 51</w:t>
      </w:r>
    </w:p>
    <w:p w14:paraId="0DE236CF"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Cantidad de tanques reportados a la fecha: 43.404</w:t>
      </w:r>
    </w:p>
    <w:p w14:paraId="3A5D5E2B"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sym w:font="Symbol" w:char="F0B7"/>
      </w:r>
      <w:r w:rsidRPr="00844B55">
        <w:rPr>
          <w:rFonts w:ascii="Bookman Old Style" w:hAnsi="Bookman Old Style"/>
          <w:i/>
          <w:sz w:val="22"/>
          <w:szCs w:val="22"/>
          <w:lang w:val="es-CO"/>
        </w:rPr>
        <w:t xml:space="preserve"> Capacidad en galones de los tanques: 17.109.956</w:t>
      </w:r>
    </w:p>
    <w:p w14:paraId="2AF26F97"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31AFB0C6"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Por otra parte, cabe precisar que, a la fecha de consulta de la información, las siguientes empresas no habían cargado y certificado en el SUI la información del Formato (1661) Tanques Estacionarios Atendidos por el Distribuidor, para el segundo trimestre del 2020, la cual tenía como fecha máxima de reporte el 15 de julio de 2020. Sin embargo, es necesario mencionar que dicho Formato se encuentra habilitado y en estado “PENDIENTE”, para que las empresas cargaran y certificaran la información hasta antes de la fecha de corte que aquí se relaciona.</w:t>
      </w:r>
    </w:p>
    <w:p w14:paraId="3C1D6942" w14:textId="77777777" w:rsidR="009E4094" w:rsidRPr="00844B55" w:rsidRDefault="009E4094" w:rsidP="003C60F8">
      <w:pPr>
        <w:pStyle w:val="Textoindependiente2"/>
        <w:spacing w:after="0" w:line="240" w:lineRule="auto"/>
        <w:jc w:val="both"/>
        <w:rPr>
          <w:rFonts w:ascii="Bookman Old Style" w:hAnsi="Bookman Old Style"/>
          <w:i/>
          <w:sz w:val="22"/>
          <w:szCs w:val="22"/>
          <w:lang w:val="es-CO"/>
        </w:rPr>
      </w:pPr>
    </w:p>
    <w:p w14:paraId="4F5BCDD6" w14:textId="77777777" w:rsidR="009E4094" w:rsidRPr="00844B55" w:rsidRDefault="009E4094" w:rsidP="003C60F8">
      <w:pPr>
        <w:pStyle w:val="Textoindependiente2"/>
        <w:spacing w:after="0" w:line="240" w:lineRule="auto"/>
        <w:jc w:val="both"/>
        <w:rPr>
          <w:rFonts w:ascii="Bookman Old Style" w:hAnsi="Bookman Old Style"/>
          <w:i/>
          <w:sz w:val="22"/>
          <w:szCs w:val="22"/>
        </w:rPr>
      </w:pPr>
      <w:r w:rsidRPr="00844B55">
        <w:rPr>
          <w:rFonts w:ascii="Bookman Old Style" w:hAnsi="Bookman Old Style"/>
          <w:i/>
          <w:sz w:val="22"/>
          <w:szCs w:val="22"/>
          <w:lang w:val="es-CO"/>
        </w:rPr>
        <w:t>Así las cosas, las empresas que no han reportado la información son las siguientes:</w:t>
      </w:r>
    </w:p>
    <w:p w14:paraId="0FF461D0" w14:textId="77777777" w:rsidR="009E4094" w:rsidRPr="00844B55" w:rsidRDefault="009E4094" w:rsidP="003C60F8">
      <w:pPr>
        <w:pStyle w:val="Textoindependiente2"/>
        <w:spacing w:after="0" w:line="240" w:lineRule="auto"/>
        <w:ind w:left="0"/>
        <w:jc w:val="both"/>
        <w:rPr>
          <w:rFonts w:ascii="Arial" w:hAnsi="Arial" w:cs="Arial"/>
          <w:i/>
          <w:sz w:val="18"/>
          <w:szCs w:val="18"/>
        </w:rPr>
      </w:pPr>
    </w:p>
    <w:tbl>
      <w:tblPr>
        <w:tblStyle w:val="Tablaconcuadrcula"/>
        <w:tblW w:w="5949" w:type="dxa"/>
        <w:jc w:val="center"/>
        <w:tblLayout w:type="fixed"/>
        <w:tblLook w:val="04A0" w:firstRow="1" w:lastRow="0" w:firstColumn="1" w:lastColumn="0" w:noHBand="0" w:noVBand="1"/>
      </w:tblPr>
      <w:tblGrid>
        <w:gridCol w:w="1129"/>
        <w:gridCol w:w="4820"/>
      </w:tblGrid>
      <w:tr w:rsidR="009E4094" w:rsidRPr="00844B55" w14:paraId="7D4F0301" w14:textId="77777777" w:rsidTr="00CF0BC1">
        <w:trPr>
          <w:jc w:val="center"/>
        </w:trPr>
        <w:tc>
          <w:tcPr>
            <w:tcW w:w="1129" w:type="dxa"/>
          </w:tcPr>
          <w:p w14:paraId="2D591E96" w14:textId="77777777" w:rsidR="009E4094" w:rsidRPr="00844B55" w:rsidRDefault="009E4094" w:rsidP="003C60F8">
            <w:pPr>
              <w:pStyle w:val="Textoindependiente2"/>
              <w:spacing w:after="0" w:line="240" w:lineRule="auto"/>
              <w:ind w:left="0"/>
              <w:jc w:val="center"/>
              <w:rPr>
                <w:rFonts w:ascii="Arial" w:hAnsi="Arial" w:cs="Arial"/>
                <w:b/>
                <w:i/>
                <w:sz w:val="16"/>
                <w:szCs w:val="16"/>
              </w:rPr>
            </w:pPr>
            <w:r w:rsidRPr="00844B55">
              <w:rPr>
                <w:rFonts w:ascii="Arial" w:hAnsi="Arial" w:cs="Arial"/>
                <w:b/>
                <w:i/>
                <w:sz w:val="16"/>
                <w:szCs w:val="16"/>
              </w:rPr>
              <w:t>ID</w:t>
            </w:r>
          </w:p>
        </w:tc>
        <w:tc>
          <w:tcPr>
            <w:tcW w:w="4820" w:type="dxa"/>
          </w:tcPr>
          <w:p w14:paraId="4EF738E8" w14:textId="77777777" w:rsidR="009E4094" w:rsidRPr="00844B55" w:rsidRDefault="009E4094" w:rsidP="003C60F8">
            <w:pPr>
              <w:pStyle w:val="Textoindependiente2"/>
              <w:spacing w:after="0" w:line="240" w:lineRule="auto"/>
              <w:ind w:left="0"/>
              <w:jc w:val="center"/>
              <w:rPr>
                <w:rFonts w:ascii="Arial" w:hAnsi="Arial" w:cs="Arial"/>
                <w:b/>
                <w:i/>
                <w:sz w:val="16"/>
                <w:szCs w:val="16"/>
              </w:rPr>
            </w:pPr>
            <w:r w:rsidRPr="00844B55">
              <w:rPr>
                <w:rFonts w:ascii="Arial" w:hAnsi="Arial" w:cs="Arial"/>
                <w:b/>
                <w:i/>
                <w:sz w:val="16"/>
                <w:szCs w:val="16"/>
              </w:rPr>
              <w:t>EMPRESA</w:t>
            </w:r>
          </w:p>
        </w:tc>
      </w:tr>
      <w:tr w:rsidR="009E4094" w:rsidRPr="00D278E6" w14:paraId="7FD8E4D2" w14:textId="77777777" w:rsidTr="00CF0BC1">
        <w:trPr>
          <w:jc w:val="center"/>
        </w:trPr>
        <w:tc>
          <w:tcPr>
            <w:tcW w:w="1129" w:type="dxa"/>
          </w:tcPr>
          <w:p w14:paraId="5B333EB0"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513</w:t>
            </w:r>
          </w:p>
        </w:tc>
        <w:tc>
          <w:tcPr>
            <w:tcW w:w="4820" w:type="dxa"/>
          </w:tcPr>
          <w:p w14:paraId="57F8D38E" w14:textId="77777777" w:rsidR="009E4094" w:rsidRPr="00D278E6" w:rsidRDefault="009E4094" w:rsidP="003C60F8">
            <w:pPr>
              <w:pStyle w:val="Textoindependiente2"/>
              <w:spacing w:after="0" w:line="240" w:lineRule="auto"/>
              <w:ind w:left="0"/>
              <w:jc w:val="both"/>
              <w:rPr>
                <w:rFonts w:ascii="Arial" w:hAnsi="Arial" w:cs="Arial"/>
                <w:i/>
                <w:sz w:val="16"/>
                <w:szCs w:val="16"/>
                <w:lang w:val="en-GB"/>
              </w:rPr>
            </w:pPr>
            <w:r w:rsidRPr="00D278E6">
              <w:rPr>
                <w:rFonts w:ascii="Arial" w:hAnsi="Arial" w:cs="Arial"/>
                <w:i/>
                <w:sz w:val="16"/>
                <w:szCs w:val="16"/>
                <w:lang w:val="en-GB"/>
              </w:rPr>
              <w:t>PLEXA S.A.S E.S.P.</w:t>
            </w:r>
          </w:p>
        </w:tc>
      </w:tr>
      <w:tr w:rsidR="009E4094" w:rsidRPr="00844B55" w14:paraId="61D2EA72" w14:textId="77777777" w:rsidTr="00CF0BC1">
        <w:trPr>
          <w:jc w:val="center"/>
        </w:trPr>
        <w:tc>
          <w:tcPr>
            <w:tcW w:w="1129" w:type="dxa"/>
          </w:tcPr>
          <w:p w14:paraId="3ECF3E41"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1713</w:t>
            </w:r>
          </w:p>
        </w:tc>
        <w:tc>
          <w:tcPr>
            <w:tcW w:w="4820" w:type="dxa"/>
          </w:tcPr>
          <w:p w14:paraId="2F942818" w14:textId="77777777" w:rsidR="009E4094" w:rsidRPr="00844B55" w:rsidRDefault="009E4094" w:rsidP="003C60F8">
            <w:pPr>
              <w:pStyle w:val="Textoindependiente2"/>
              <w:spacing w:after="0" w:line="240" w:lineRule="auto"/>
              <w:ind w:left="0"/>
              <w:jc w:val="both"/>
              <w:rPr>
                <w:rFonts w:ascii="Arial" w:hAnsi="Arial" w:cs="Arial"/>
                <w:i/>
                <w:sz w:val="16"/>
                <w:szCs w:val="16"/>
              </w:rPr>
            </w:pPr>
            <w:r w:rsidRPr="00844B55">
              <w:rPr>
                <w:rFonts w:ascii="Arial" w:hAnsi="Arial" w:cs="Arial"/>
                <w:i/>
                <w:sz w:val="16"/>
                <w:szCs w:val="16"/>
              </w:rPr>
              <w:t>INTERMUNICIPAL DE GAS S.A. E.S.P.</w:t>
            </w:r>
          </w:p>
        </w:tc>
      </w:tr>
      <w:tr w:rsidR="009E4094" w:rsidRPr="00844B55" w14:paraId="05D17CF4" w14:textId="77777777" w:rsidTr="00CF0BC1">
        <w:trPr>
          <w:jc w:val="center"/>
        </w:trPr>
        <w:tc>
          <w:tcPr>
            <w:tcW w:w="1129" w:type="dxa"/>
          </w:tcPr>
          <w:p w14:paraId="73790D6C"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1714</w:t>
            </w:r>
          </w:p>
        </w:tc>
        <w:tc>
          <w:tcPr>
            <w:tcW w:w="4820" w:type="dxa"/>
          </w:tcPr>
          <w:p w14:paraId="0604EBAA" w14:textId="77777777" w:rsidR="009E4094" w:rsidRPr="00844B55" w:rsidRDefault="009E4094" w:rsidP="003C60F8">
            <w:pPr>
              <w:pStyle w:val="Textoindependiente2"/>
              <w:spacing w:after="0" w:line="240" w:lineRule="auto"/>
              <w:ind w:left="0"/>
              <w:jc w:val="both"/>
              <w:rPr>
                <w:rFonts w:ascii="Arial" w:hAnsi="Arial" w:cs="Arial"/>
                <w:i/>
                <w:sz w:val="16"/>
                <w:szCs w:val="16"/>
              </w:rPr>
            </w:pPr>
            <w:r w:rsidRPr="00844B55">
              <w:rPr>
                <w:rFonts w:ascii="Arial" w:hAnsi="Arial" w:cs="Arial"/>
                <w:i/>
                <w:sz w:val="16"/>
                <w:szCs w:val="16"/>
              </w:rPr>
              <w:t>VILLA GAS S.A. E.S.P.</w:t>
            </w:r>
          </w:p>
        </w:tc>
      </w:tr>
      <w:tr w:rsidR="009E4094" w:rsidRPr="00844B55" w14:paraId="6D77EF68" w14:textId="77777777" w:rsidTr="00CF0BC1">
        <w:trPr>
          <w:jc w:val="center"/>
        </w:trPr>
        <w:tc>
          <w:tcPr>
            <w:tcW w:w="1129" w:type="dxa"/>
          </w:tcPr>
          <w:p w14:paraId="50B345DA"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1715</w:t>
            </w:r>
          </w:p>
        </w:tc>
        <w:tc>
          <w:tcPr>
            <w:tcW w:w="4820" w:type="dxa"/>
          </w:tcPr>
          <w:p w14:paraId="088B924B" w14:textId="77777777" w:rsidR="009E4094" w:rsidRPr="00844B55" w:rsidRDefault="009E4094" w:rsidP="003C60F8">
            <w:pPr>
              <w:pStyle w:val="Textoindependiente2"/>
              <w:spacing w:after="0" w:line="240" w:lineRule="auto"/>
              <w:ind w:left="0"/>
              <w:jc w:val="both"/>
              <w:rPr>
                <w:rFonts w:ascii="Arial" w:hAnsi="Arial" w:cs="Arial"/>
                <w:i/>
                <w:sz w:val="16"/>
                <w:szCs w:val="16"/>
              </w:rPr>
            </w:pPr>
            <w:r w:rsidRPr="00844B55">
              <w:rPr>
                <w:rFonts w:ascii="Arial" w:hAnsi="Arial" w:cs="Arial"/>
                <w:i/>
                <w:sz w:val="16"/>
                <w:szCs w:val="16"/>
              </w:rPr>
              <w:t>GAS EL SOL S.A. E.S.P.</w:t>
            </w:r>
          </w:p>
        </w:tc>
      </w:tr>
      <w:tr w:rsidR="009E4094" w:rsidRPr="00844B55" w14:paraId="15E03A78" w14:textId="77777777" w:rsidTr="00CF0BC1">
        <w:trPr>
          <w:jc w:val="center"/>
        </w:trPr>
        <w:tc>
          <w:tcPr>
            <w:tcW w:w="1129" w:type="dxa"/>
          </w:tcPr>
          <w:p w14:paraId="2D285069"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20420</w:t>
            </w:r>
          </w:p>
        </w:tc>
        <w:tc>
          <w:tcPr>
            <w:tcW w:w="4820" w:type="dxa"/>
          </w:tcPr>
          <w:p w14:paraId="7EA187B6" w14:textId="77777777" w:rsidR="009E4094" w:rsidRPr="00844B55" w:rsidRDefault="009E4094" w:rsidP="003C60F8">
            <w:pPr>
              <w:pStyle w:val="Textoindependiente2"/>
              <w:spacing w:after="0" w:line="240" w:lineRule="auto"/>
              <w:ind w:left="0"/>
              <w:jc w:val="both"/>
              <w:rPr>
                <w:rFonts w:ascii="Arial" w:hAnsi="Arial" w:cs="Arial"/>
                <w:i/>
                <w:sz w:val="16"/>
                <w:szCs w:val="16"/>
              </w:rPr>
            </w:pPr>
            <w:r w:rsidRPr="00844B55">
              <w:rPr>
                <w:rFonts w:ascii="Arial" w:hAnsi="Arial" w:cs="Arial"/>
                <w:i/>
                <w:sz w:val="16"/>
                <w:szCs w:val="16"/>
              </w:rPr>
              <w:t>TURGAS S.A. E.S.P.</w:t>
            </w:r>
          </w:p>
        </w:tc>
      </w:tr>
      <w:tr w:rsidR="009E4094" w:rsidRPr="00844B55" w14:paraId="504E2823" w14:textId="77777777" w:rsidTr="00CF0BC1">
        <w:trPr>
          <w:jc w:val="center"/>
        </w:trPr>
        <w:tc>
          <w:tcPr>
            <w:tcW w:w="1129" w:type="dxa"/>
          </w:tcPr>
          <w:p w14:paraId="562FD00E" w14:textId="77777777" w:rsidR="009E4094" w:rsidRPr="00844B55" w:rsidRDefault="009E4094" w:rsidP="003C60F8">
            <w:pPr>
              <w:pStyle w:val="Textoindependiente2"/>
              <w:tabs>
                <w:tab w:val="left" w:pos="599"/>
              </w:tabs>
              <w:spacing w:after="0" w:line="240" w:lineRule="auto"/>
              <w:ind w:left="-11"/>
              <w:jc w:val="right"/>
              <w:rPr>
                <w:rFonts w:ascii="Arial" w:hAnsi="Arial" w:cs="Arial"/>
                <w:i/>
                <w:sz w:val="16"/>
                <w:szCs w:val="16"/>
              </w:rPr>
            </w:pPr>
            <w:r w:rsidRPr="00844B55">
              <w:rPr>
                <w:rFonts w:ascii="Arial" w:hAnsi="Arial" w:cs="Arial"/>
                <w:i/>
                <w:sz w:val="16"/>
                <w:szCs w:val="16"/>
              </w:rPr>
              <w:t>44016</w:t>
            </w:r>
          </w:p>
        </w:tc>
        <w:tc>
          <w:tcPr>
            <w:tcW w:w="4820" w:type="dxa"/>
          </w:tcPr>
          <w:p w14:paraId="034D875A" w14:textId="77777777" w:rsidR="009E4094" w:rsidRPr="00844B55" w:rsidRDefault="009E4094" w:rsidP="003C60F8">
            <w:pPr>
              <w:pStyle w:val="Textoindependiente2"/>
              <w:spacing w:after="0" w:line="240" w:lineRule="auto"/>
              <w:ind w:left="0"/>
              <w:jc w:val="both"/>
              <w:rPr>
                <w:rFonts w:ascii="Arial" w:hAnsi="Arial" w:cs="Arial"/>
                <w:i/>
                <w:sz w:val="16"/>
                <w:szCs w:val="16"/>
              </w:rPr>
            </w:pPr>
            <w:r w:rsidRPr="00844B55">
              <w:rPr>
                <w:rFonts w:ascii="Arial" w:hAnsi="Arial" w:cs="Arial"/>
                <w:i/>
                <w:sz w:val="16"/>
                <w:szCs w:val="16"/>
              </w:rPr>
              <w:t>SUPERGAS DE LA SABANA S.A. E.S.P.</w:t>
            </w:r>
          </w:p>
        </w:tc>
      </w:tr>
    </w:tbl>
    <w:p w14:paraId="6166B981" w14:textId="77777777" w:rsidR="009E4094" w:rsidRPr="00844B55" w:rsidRDefault="009E4094" w:rsidP="003C60F8">
      <w:pPr>
        <w:pStyle w:val="Textoindependiente2"/>
        <w:spacing w:after="0" w:line="240" w:lineRule="auto"/>
        <w:jc w:val="center"/>
        <w:rPr>
          <w:rFonts w:ascii="Arial" w:hAnsi="Arial" w:cs="Arial"/>
          <w:i/>
          <w:sz w:val="14"/>
          <w:szCs w:val="14"/>
        </w:rPr>
      </w:pPr>
      <w:r w:rsidRPr="00844B55">
        <w:rPr>
          <w:rFonts w:ascii="Arial" w:hAnsi="Arial" w:cs="Arial"/>
          <w:i/>
          <w:sz w:val="14"/>
          <w:szCs w:val="14"/>
        </w:rPr>
        <w:t>Fuente: Reporte estado de pendientes SUI</w:t>
      </w:r>
    </w:p>
    <w:p w14:paraId="3CE78532" w14:textId="77777777" w:rsidR="009E4094" w:rsidRPr="00844B55" w:rsidRDefault="009E4094" w:rsidP="003C60F8">
      <w:pPr>
        <w:pStyle w:val="Textoindependiente2"/>
        <w:spacing w:after="0" w:line="240" w:lineRule="auto"/>
        <w:jc w:val="center"/>
        <w:rPr>
          <w:rFonts w:ascii="Arial" w:hAnsi="Arial" w:cs="Arial"/>
          <w:i/>
          <w:sz w:val="14"/>
          <w:szCs w:val="14"/>
        </w:rPr>
      </w:pPr>
      <w:r w:rsidRPr="00844B55">
        <w:rPr>
          <w:rFonts w:ascii="Arial" w:hAnsi="Arial" w:cs="Arial"/>
          <w:i/>
          <w:sz w:val="14"/>
          <w:szCs w:val="14"/>
        </w:rPr>
        <w:t>Reporte: SUI/Administración/Estado de reporte de Información Prestadores SSPD</w:t>
      </w:r>
    </w:p>
    <w:p w14:paraId="18EDA842" w14:textId="16C5CEA7" w:rsidR="009E4094" w:rsidRPr="00844B55" w:rsidRDefault="009E4094" w:rsidP="003C60F8">
      <w:pPr>
        <w:pStyle w:val="Textoindependiente2"/>
        <w:spacing w:after="0" w:line="240" w:lineRule="auto"/>
        <w:jc w:val="center"/>
        <w:rPr>
          <w:rStyle w:val="Hipervnculo"/>
          <w:rFonts w:ascii="Arial" w:hAnsi="Arial" w:cs="Arial"/>
          <w:i/>
          <w:sz w:val="14"/>
          <w:szCs w:val="14"/>
          <w:lang w:val="en-US"/>
        </w:rPr>
      </w:pPr>
      <w:r w:rsidRPr="00090AD5">
        <w:rPr>
          <w:rFonts w:ascii="Arial" w:hAnsi="Arial" w:cs="Arial"/>
          <w:i/>
          <w:sz w:val="14"/>
          <w:szCs w:val="14"/>
          <w:lang w:val="en-US"/>
        </w:rPr>
        <w:t xml:space="preserve">Link: </w:t>
      </w:r>
      <w:hyperlink r:id="rId10" w:history="1">
        <w:r w:rsidR="00FD65A9" w:rsidRPr="00684014">
          <w:rPr>
            <w:rStyle w:val="Hipervnculo"/>
            <w:rFonts w:ascii="Arial" w:hAnsi="Arial" w:cs="Arial"/>
            <w:i/>
            <w:sz w:val="14"/>
            <w:szCs w:val="14"/>
            <w:lang w:val="en-US"/>
          </w:rPr>
          <w:t>http://reportes.sui.gov.co/fabricaReportes/frameSet.jsp?idreporte=sui_adm_028</w:t>
        </w:r>
      </w:hyperlink>
    </w:p>
    <w:p w14:paraId="705C9E53" w14:textId="77777777" w:rsidR="009E4094" w:rsidRPr="00844B55" w:rsidRDefault="009E4094" w:rsidP="003C60F8">
      <w:pPr>
        <w:spacing w:after="0" w:line="240" w:lineRule="auto"/>
        <w:ind w:left="567"/>
        <w:jc w:val="both"/>
        <w:rPr>
          <w:rFonts w:ascii="Arial" w:eastAsia="Times New Roman" w:hAnsi="Arial" w:cs="Arial"/>
          <w:i/>
          <w:sz w:val="20"/>
          <w:szCs w:val="20"/>
          <w:lang w:val="en-US" w:eastAsia="es-ES"/>
        </w:rPr>
      </w:pPr>
    </w:p>
    <w:p w14:paraId="2C32D8C1" w14:textId="7065E708" w:rsidR="009E4094" w:rsidRDefault="009E4094" w:rsidP="003C60F8">
      <w:pPr>
        <w:pStyle w:val="Textoindependiente2"/>
        <w:spacing w:after="0" w:line="240" w:lineRule="auto"/>
        <w:jc w:val="both"/>
        <w:rPr>
          <w:rFonts w:ascii="Bookman Old Style" w:hAnsi="Bookman Old Style"/>
          <w:i/>
          <w:sz w:val="22"/>
          <w:szCs w:val="22"/>
          <w:lang w:val="es-CO"/>
        </w:rPr>
      </w:pPr>
      <w:r w:rsidRPr="00844B55">
        <w:rPr>
          <w:rFonts w:ascii="Bookman Old Style" w:hAnsi="Bookman Old Style"/>
          <w:i/>
          <w:sz w:val="22"/>
          <w:szCs w:val="22"/>
          <w:lang w:val="es-CO"/>
        </w:rPr>
        <w:t>Por otra parte, las siguientes empresas, reportaron la información como “No Aplica”.</w:t>
      </w:r>
    </w:p>
    <w:p w14:paraId="105D1798" w14:textId="77777777" w:rsidR="008A0C85" w:rsidRPr="00844B55" w:rsidRDefault="008A0C85" w:rsidP="003C60F8">
      <w:pPr>
        <w:pStyle w:val="Textoindependiente2"/>
        <w:spacing w:after="0" w:line="240" w:lineRule="auto"/>
        <w:jc w:val="both"/>
        <w:rPr>
          <w:rFonts w:ascii="Bookman Old Style" w:hAnsi="Bookman Old Style"/>
          <w:i/>
          <w:sz w:val="22"/>
          <w:szCs w:val="22"/>
          <w:lang w:val="es-CO"/>
        </w:rPr>
      </w:pPr>
    </w:p>
    <w:p w14:paraId="35B22EAB" w14:textId="77777777" w:rsidR="009E4094" w:rsidRPr="00844B55" w:rsidRDefault="009E4094" w:rsidP="003C60F8">
      <w:pPr>
        <w:pStyle w:val="Textoindependiente2"/>
        <w:spacing w:after="0" w:line="240" w:lineRule="auto"/>
        <w:jc w:val="both"/>
        <w:rPr>
          <w:rFonts w:ascii="Bookman Old Style" w:hAnsi="Bookman Old Style"/>
          <w:i/>
          <w:sz w:val="22"/>
          <w:szCs w:val="22"/>
        </w:rPr>
      </w:pPr>
    </w:p>
    <w:tbl>
      <w:tblPr>
        <w:tblStyle w:val="Tablaconcuadrcula4"/>
        <w:tblW w:w="8642" w:type="dxa"/>
        <w:jc w:val="center"/>
        <w:tblLayout w:type="fixed"/>
        <w:tblLook w:val="04A0" w:firstRow="1" w:lastRow="0" w:firstColumn="1" w:lastColumn="0" w:noHBand="0" w:noVBand="1"/>
      </w:tblPr>
      <w:tblGrid>
        <w:gridCol w:w="1129"/>
        <w:gridCol w:w="4962"/>
        <w:gridCol w:w="2551"/>
      </w:tblGrid>
      <w:tr w:rsidR="009E4094" w:rsidRPr="00844B55" w14:paraId="7E1A6F9F" w14:textId="77777777" w:rsidTr="00CF0BC1">
        <w:trPr>
          <w:jc w:val="center"/>
        </w:trPr>
        <w:tc>
          <w:tcPr>
            <w:tcW w:w="1129" w:type="dxa"/>
          </w:tcPr>
          <w:p w14:paraId="0FB525B3" w14:textId="77777777" w:rsidR="009E4094" w:rsidRPr="00844B55" w:rsidRDefault="009E4094" w:rsidP="003C60F8">
            <w:pPr>
              <w:jc w:val="center"/>
              <w:rPr>
                <w:rFonts w:ascii="Arial" w:hAnsi="Arial" w:cs="Arial"/>
                <w:b/>
                <w:i/>
                <w:sz w:val="16"/>
                <w:szCs w:val="16"/>
                <w:lang w:val="es-ES" w:eastAsia="es-ES"/>
              </w:rPr>
            </w:pPr>
            <w:r w:rsidRPr="00844B55">
              <w:rPr>
                <w:rFonts w:ascii="Arial" w:hAnsi="Arial" w:cs="Arial"/>
                <w:b/>
                <w:i/>
                <w:sz w:val="16"/>
                <w:szCs w:val="16"/>
                <w:lang w:val="es-ES" w:eastAsia="es-ES"/>
              </w:rPr>
              <w:t>ID</w:t>
            </w:r>
          </w:p>
        </w:tc>
        <w:tc>
          <w:tcPr>
            <w:tcW w:w="4962" w:type="dxa"/>
          </w:tcPr>
          <w:p w14:paraId="3373F3C2" w14:textId="77777777" w:rsidR="009E4094" w:rsidRPr="00844B55" w:rsidRDefault="009E4094" w:rsidP="003C60F8">
            <w:pPr>
              <w:jc w:val="center"/>
              <w:rPr>
                <w:rFonts w:ascii="Arial" w:hAnsi="Arial" w:cs="Arial"/>
                <w:b/>
                <w:i/>
                <w:sz w:val="16"/>
                <w:szCs w:val="16"/>
                <w:lang w:val="es-ES" w:eastAsia="es-ES"/>
              </w:rPr>
            </w:pPr>
            <w:r w:rsidRPr="00844B55">
              <w:rPr>
                <w:rFonts w:ascii="Arial" w:hAnsi="Arial" w:cs="Arial"/>
                <w:b/>
                <w:i/>
                <w:sz w:val="16"/>
                <w:szCs w:val="16"/>
                <w:lang w:val="es-ES" w:eastAsia="es-ES"/>
              </w:rPr>
              <w:t>EMPRESA</w:t>
            </w:r>
          </w:p>
        </w:tc>
        <w:tc>
          <w:tcPr>
            <w:tcW w:w="2551" w:type="dxa"/>
          </w:tcPr>
          <w:p w14:paraId="025B2801" w14:textId="77777777" w:rsidR="009E4094" w:rsidRPr="00844B55" w:rsidRDefault="009E4094" w:rsidP="003C60F8">
            <w:pPr>
              <w:jc w:val="center"/>
              <w:rPr>
                <w:rFonts w:ascii="Arial" w:hAnsi="Arial" w:cs="Arial"/>
                <w:b/>
                <w:i/>
                <w:sz w:val="16"/>
                <w:szCs w:val="16"/>
                <w:lang w:val="es-ES" w:eastAsia="es-ES"/>
              </w:rPr>
            </w:pPr>
            <w:r w:rsidRPr="00844B55">
              <w:rPr>
                <w:rFonts w:ascii="Arial" w:hAnsi="Arial" w:cs="Arial"/>
                <w:b/>
                <w:i/>
                <w:sz w:val="16"/>
                <w:szCs w:val="16"/>
                <w:lang w:val="es-ES" w:eastAsia="es-ES"/>
              </w:rPr>
              <w:t>ESTADO</w:t>
            </w:r>
          </w:p>
        </w:tc>
      </w:tr>
      <w:tr w:rsidR="009E4094" w:rsidRPr="00844B55" w14:paraId="6FEDE271" w14:textId="77777777" w:rsidTr="00CF0BC1">
        <w:trPr>
          <w:jc w:val="center"/>
        </w:trPr>
        <w:tc>
          <w:tcPr>
            <w:tcW w:w="1129" w:type="dxa"/>
          </w:tcPr>
          <w:p w14:paraId="57392EFC" w14:textId="77777777" w:rsidR="009E4094" w:rsidRPr="00844B55" w:rsidRDefault="009E4094" w:rsidP="003C60F8">
            <w:pPr>
              <w:tabs>
                <w:tab w:val="left" w:pos="599"/>
              </w:tabs>
              <w:ind w:left="-11"/>
              <w:jc w:val="right"/>
              <w:rPr>
                <w:rFonts w:ascii="Arial" w:hAnsi="Arial" w:cs="Arial"/>
                <w:i/>
                <w:sz w:val="16"/>
                <w:szCs w:val="16"/>
                <w:lang w:val="es-ES" w:eastAsia="es-ES"/>
              </w:rPr>
            </w:pPr>
            <w:r w:rsidRPr="00844B55">
              <w:rPr>
                <w:rFonts w:ascii="Arial" w:hAnsi="Arial" w:cs="Arial"/>
                <w:i/>
                <w:sz w:val="16"/>
                <w:szCs w:val="16"/>
                <w:lang w:val="es-ES" w:eastAsia="es-ES"/>
              </w:rPr>
              <w:t>24860</w:t>
            </w:r>
          </w:p>
        </w:tc>
        <w:tc>
          <w:tcPr>
            <w:tcW w:w="4962" w:type="dxa"/>
          </w:tcPr>
          <w:p w14:paraId="47CC4CA4" w14:textId="77777777" w:rsidR="009E4094" w:rsidRPr="00844B55" w:rsidRDefault="009E4094" w:rsidP="003C60F8">
            <w:pPr>
              <w:jc w:val="both"/>
              <w:rPr>
                <w:rFonts w:ascii="Arial" w:hAnsi="Arial" w:cs="Arial"/>
                <w:i/>
                <w:sz w:val="16"/>
                <w:szCs w:val="16"/>
                <w:lang w:val="es-ES" w:eastAsia="es-ES"/>
              </w:rPr>
            </w:pPr>
            <w:r w:rsidRPr="00844B55">
              <w:rPr>
                <w:rFonts w:ascii="Arial" w:hAnsi="Arial" w:cs="Arial"/>
                <w:i/>
                <w:sz w:val="16"/>
                <w:szCs w:val="16"/>
                <w:lang w:val="es-ES" w:eastAsia="es-ES"/>
              </w:rPr>
              <w:t>FEDEGAS S.A. E.S.P.</w:t>
            </w:r>
          </w:p>
        </w:tc>
        <w:tc>
          <w:tcPr>
            <w:tcW w:w="2551" w:type="dxa"/>
          </w:tcPr>
          <w:p w14:paraId="03A51A48" w14:textId="77777777" w:rsidR="009E4094" w:rsidRPr="00844B55" w:rsidRDefault="009E4094" w:rsidP="003C60F8">
            <w:pPr>
              <w:jc w:val="center"/>
              <w:rPr>
                <w:rFonts w:ascii="Arial" w:hAnsi="Arial" w:cs="Arial"/>
                <w:i/>
                <w:sz w:val="16"/>
                <w:szCs w:val="16"/>
                <w:lang w:val="es-ES" w:eastAsia="es-ES"/>
              </w:rPr>
            </w:pPr>
            <w:r w:rsidRPr="00844B55">
              <w:rPr>
                <w:rFonts w:ascii="Arial" w:hAnsi="Arial" w:cs="Arial"/>
                <w:i/>
                <w:sz w:val="16"/>
                <w:szCs w:val="16"/>
                <w:lang w:val="es-ES" w:eastAsia="es-ES"/>
              </w:rPr>
              <w:t>CERTIFICADO NO APLICA</w:t>
            </w:r>
          </w:p>
        </w:tc>
      </w:tr>
      <w:tr w:rsidR="009E4094" w:rsidRPr="00844B55" w14:paraId="0037E2CC" w14:textId="77777777" w:rsidTr="00CF0BC1">
        <w:trPr>
          <w:jc w:val="center"/>
        </w:trPr>
        <w:tc>
          <w:tcPr>
            <w:tcW w:w="1129" w:type="dxa"/>
          </w:tcPr>
          <w:p w14:paraId="1415024A" w14:textId="77777777" w:rsidR="009E4094" w:rsidRPr="00844B55" w:rsidRDefault="009E4094" w:rsidP="003C60F8">
            <w:pPr>
              <w:tabs>
                <w:tab w:val="left" w:pos="599"/>
              </w:tabs>
              <w:ind w:left="-11"/>
              <w:jc w:val="right"/>
              <w:rPr>
                <w:rFonts w:ascii="Arial" w:hAnsi="Arial" w:cs="Arial"/>
                <w:i/>
                <w:sz w:val="16"/>
                <w:szCs w:val="16"/>
                <w:lang w:val="es-ES" w:eastAsia="es-ES"/>
              </w:rPr>
            </w:pPr>
            <w:r w:rsidRPr="00844B55">
              <w:rPr>
                <w:rFonts w:ascii="Arial" w:hAnsi="Arial" w:cs="Arial"/>
                <w:i/>
                <w:sz w:val="16"/>
                <w:szCs w:val="16"/>
                <w:lang w:val="es-ES" w:eastAsia="es-ES"/>
              </w:rPr>
              <w:t>25954</w:t>
            </w:r>
          </w:p>
        </w:tc>
        <w:tc>
          <w:tcPr>
            <w:tcW w:w="4962" w:type="dxa"/>
          </w:tcPr>
          <w:p w14:paraId="05058077" w14:textId="77777777" w:rsidR="009E4094" w:rsidRPr="00844B55" w:rsidRDefault="009E4094" w:rsidP="003C60F8">
            <w:pPr>
              <w:jc w:val="both"/>
              <w:rPr>
                <w:rFonts w:ascii="Arial" w:hAnsi="Arial" w:cs="Arial"/>
                <w:i/>
                <w:sz w:val="16"/>
                <w:szCs w:val="16"/>
                <w:lang w:val="es-ES" w:eastAsia="es-ES"/>
              </w:rPr>
            </w:pPr>
            <w:r w:rsidRPr="00844B55">
              <w:rPr>
                <w:rFonts w:ascii="Arial" w:hAnsi="Arial" w:cs="Arial"/>
                <w:i/>
                <w:sz w:val="16"/>
                <w:szCs w:val="16"/>
                <w:lang w:val="es-ES" w:eastAsia="es-ES"/>
              </w:rPr>
              <w:t>DISTRIBUIDORA DE GAS DEL PASIFICO DIGAS S.A. E.S.P.</w:t>
            </w:r>
          </w:p>
        </w:tc>
        <w:tc>
          <w:tcPr>
            <w:tcW w:w="2551" w:type="dxa"/>
          </w:tcPr>
          <w:p w14:paraId="3F1E15D2" w14:textId="77777777" w:rsidR="009E4094" w:rsidRPr="00844B55" w:rsidRDefault="009E4094" w:rsidP="003C60F8">
            <w:pPr>
              <w:jc w:val="center"/>
              <w:rPr>
                <w:rFonts w:ascii="Arial" w:hAnsi="Arial" w:cs="Arial"/>
                <w:i/>
                <w:sz w:val="16"/>
                <w:szCs w:val="16"/>
                <w:lang w:val="es-ES" w:eastAsia="es-ES"/>
              </w:rPr>
            </w:pPr>
            <w:r w:rsidRPr="00844B55">
              <w:rPr>
                <w:rFonts w:ascii="Arial" w:hAnsi="Arial" w:cs="Arial"/>
                <w:i/>
                <w:sz w:val="16"/>
                <w:szCs w:val="16"/>
                <w:lang w:val="es-ES" w:eastAsia="es-ES"/>
              </w:rPr>
              <w:t>CERTIFICADO NO APLICA</w:t>
            </w:r>
          </w:p>
        </w:tc>
      </w:tr>
    </w:tbl>
    <w:p w14:paraId="7B0466DA" w14:textId="77777777" w:rsidR="009E4094" w:rsidRPr="00844B55" w:rsidRDefault="009E4094" w:rsidP="003C60F8">
      <w:pPr>
        <w:spacing w:after="0" w:line="240" w:lineRule="auto"/>
        <w:ind w:left="567"/>
        <w:jc w:val="center"/>
        <w:rPr>
          <w:rFonts w:ascii="Arial" w:eastAsia="Times New Roman" w:hAnsi="Arial" w:cs="Arial"/>
          <w:i/>
          <w:sz w:val="14"/>
          <w:szCs w:val="14"/>
          <w:lang w:val="es-ES" w:eastAsia="es-ES"/>
        </w:rPr>
      </w:pPr>
      <w:r w:rsidRPr="00844B55">
        <w:rPr>
          <w:rFonts w:ascii="Arial" w:eastAsia="Times New Roman" w:hAnsi="Arial" w:cs="Arial"/>
          <w:i/>
          <w:sz w:val="14"/>
          <w:szCs w:val="14"/>
          <w:lang w:val="es-ES" w:eastAsia="es-ES"/>
        </w:rPr>
        <w:t>Fuente: Reporte estado de pendientes SUI</w:t>
      </w:r>
    </w:p>
    <w:p w14:paraId="72EAA29E" w14:textId="77777777" w:rsidR="009E4094" w:rsidRPr="00844B55" w:rsidRDefault="009E4094" w:rsidP="003C60F8">
      <w:pPr>
        <w:spacing w:after="0" w:line="240" w:lineRule="auto"/>
        <w:ind w:left="567"/>
        <w:jc w:val="center"/>
        <w:rPr>
          <w:rFonts w:ascii="Arial" w:eastAsia="Times New Roman" w:hAnsi="Arial" w:cs="Arial"/>
          <w:i/>
          <w:sz w:val="14"/>
          <w:szCs w:val="14"/>
          <w:lang w:val="es-ES" w:eastAsia="es-ES"/>
        </w:rPr>
      </w:pPr>
      <w:r w:rsidRPr="00844B55">
        <w:rPr>
          <w:rFonts w:ascii="Arial" w:eastAsia="Times New Roman" w:hAnsi="Arial" w:cs="Arial"/>
          <w:i/>
          <w:sz w:val="14"/>
          <w:szCs w:val="14"/>
          <w:lang w:val="es-ES" w:eastAsia="es-ES"/>
        </w:rPr>
        <w:t>Reporte: SUI/Administración/Estado de reporte de Información Prestadores SSPD</w:t>
      </w:r>
    </w:p>
    <w:p w14:paraId="2E6D8581" w14:textId="77777777" w:rsidR="009E4094" w:rsidRPr="00844B55" w:rsidRDefault="009E4094" w:rsidP="003C60F8">
      <w:pPr>
        <w:spacing w:after="0" w:line="240" w:lineRule="auto"/>
        <w:ind w:left="567"/>
        <w:jc w:val="center"/>
        <w:rPr>
          <w:rFonts w:ascii="Arial" w:eastAsia="Times New Roman" w:hAnsi="Arial" w:cs="Arial"/>
          <w:i/>
          <w:sz w:val="20"/>
          <w:szCs w:val="20"/>
          <w:lang w:val="en-US" w:eastAsia="es-ES"/>
        </w:rPr>
      </w:pPr>
      <w:r w:rsidRPr="00844B55">
        <w:rPr>
          <w:rFonts w:ascii="Arial" w:eastAsia="Calibri" w:hAnsi="Arial" w:cs="Arial"/>
          <w:i/>
          <w:sz w:val="14"/>
          <w:szCs w:val="14"/>
          <w:lang w:val="en-US"/>
        </w:rPr>
        <w:t xml:space="preserve">Link: </w:t>
      </w:r>
      <w:hyperlink r:id="rId11" w:history="1">
        <w:r w:rsidRPr="00844B55">
          <w:rPr>
            <w:rFonts w:ascii="Arial" w:eastAsia="Calibri" w:hAnsi="Arial" w:cs="Arial"/>
            <w:i/>
            <w:color w:val="DB5353"/>
            <w:sz w:val="14"/>
            <w:szCs w:val="14"/>
            <w:u w:val="single"/>
            <w:lang w:val="en-US"/>
          </w:rPr>
          <w:t>http://reportes.sui.gov.co/fabricaReportes/frameSet.jsp?idreporte=sui_adm_028</w:t>
        </w:r>
      </w:hyperlink>
    </w:p>
    <w:p w14:paraId="3AA77450" w14:textId="77777777" w:rsidR="009E4094" w:rsidRPr="00844B55" w:rsidRDefault="009E4094" w:rsidP="009E4094">
      <w:pPr>
        <w:pStyle w:val="Textoindependiente2"/>
        <w:spacing w:after="0" w:line="240" w:lineRule="auto"/>
        <w:ind w:right="284"/>
        <w:jc w:val="both"/>
        <w:rPr>
          <w:rFonts w:ascii="Bookman Old Style" w:hAnsi="Bookman Old Style"/>
          <w:i/>
          <w:sz w:val="22"/>
          <w:szCs w:val="22"/>
        </w:rPr>
      </w:pPr>
      <w:r w:rsidRPr="00844B55">
        <w:rPr>
          <w:rFonts w:ascii="Bookman Old Style" w:hAnsi="Bookman Old Style"/>
          <w:i/>
          <w:sz w:val="22"/>
          <w:szCs w:val="22"/>
          <w:lang w:val="es-CO"/>
        </w:rPr>
        <w:t>”</w:t>
      </w:r>
    </w:p>
    <w:p w14:paraId="452601B8" w14:textId="77777777" w:rsidR="009E4094" w:rsidRPr="00844B55" w:rsidRDefault="009E4094" w:rsidP="009E4094">
      <w:pPr>
        <w:pStyle w:val="Textoindependiente2"/>
        <w:spacing w:after="0" w:line="240" w:lineRule="auto"/>
        <w:ind w:left="0" w:right="284"/>
        <w:jc w:val="both"/>
        <w:rPr>
          <w:rFonts w:ascii="Bookman Old Style" w:hAnsi="Bookman Old Style"/>
          <w:i/>
          <w:sz w:val="22"/>
          <w:szCs w:val="22"/>
          <w:lang w:val="es-CO"/>
        </w:rPr>
      </w:pPr>
    </w:p>
    <w:p w14:paraId="5E1CD5D2" w14:textId="52601ADE" w:rsidR="009E4094" w:rsidRPr="00844B55" w:rsidRDefault="009E4094" w:rsidP="009E4094">
      <w:pPr>
        <w:spacing w:after="0" w:line="240" w:lineRule="auto"/>
        <w:jc w:val="both"/>
        <w:rPr>
          <w:rFonts w:ascii="Bookman Old Style" w:eastAsia="MS Mincho" w:hAnsi="Bookman Old Style" w:cs="Arial"/>
          <w:sz w:val="24"/>
          <w:szCs w:val="24"/>
          <w:lang w:val="es-ES"/>
        </w:rPr>
      </w:pPr>
      <w:r w:rsidRPr="00844B55">
        <w:rPr>
          <w:rFonts w:ascii="Bookman Old Style" w:eastAsia="MS Mincho" w:hAnsi="Bookman Old Style" w:cs="Arial"/>
          <w:sz w:val="24"/>
          <w:szCs w:val="24"/>
          <w:lang w:val="es-ES"/>
        </w:rPr>
        <w:t>En relación con el primer alcance mencionado en la comunicación, la Superintendencia allegó a esta Comisión una segunda comunicación mencionada, en la que expuso lo siguiente:</w:t>
      </w:r>
    </w:p>
    <w:p w14:paraId="1343BB4C" w14:textId="77777777" w:rsidR="009E4094" w:rsidRPr="00844B55" w:rsidRDefault="009E4094" w:rsidP="009E4094">
      <w:pPr>
        <w:spacing w:after="0" w:line="240" w:lineRule="auto"/>
        <w:jc w:val="both"/>
        <w:rPr>
          <w:rFonts w:ascii="Bookman Old Style" w:eastAsia="MS Mincho" w:hAnsi="Bookman Old Style" w:cs="Arial"/>
          <w:sz w:val="24"/>
          <w:szCs w:val="24"/>
          <w:lang w:val="es-ES"/>
        </w:rPr>
      </w:pPr>
    </w:p>
    <w:p w14:paraId="28751C91" w14:textId="77777777"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“En el radicado del asunto, mediante la cual remitimos la información del SICMA y tanques estacionarios para calcular la capacidad de compra de la que trata el artículo 8 de la Resolución CREG 063 de 2016, modificado por el artículo 1 de la Resolución CREG 180 de 2017, aplicable al segundo semestre de 2021, se indicó que:</w:t>
      </w:r>
    </w:p>
    <w:p w14:paraId="2FD5A4DE" w14:textId="77777777" w:rsidR="009E4094" w:rsidRPr="00844B55" w:rsidRDefault="009E4094" w:rsidP="00FD1D83">
      <w:pPr>
        <w:spacing w:after="0" w:line="240" w:lineRule="auto"/>
        <w:ind w:left="993"/>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“…consideramos de su interés mencionar que, la empresa CHILCO DISTRIBUIDORA DE GAS Y ENERGIA SAS ESP, informó a esta Dirección Técnica que se encuentra adelantado el proceso de cesión de la marca “DISPOGAS” en el SUI, toda vez que, a través de la Resolución 60365 del 20 de septiembre de 2021, la Superintendencia de Industria y Comercio – SIC, le concedió a la empresa el registro y la titularidad del derecho de dominio sobre la marca.</w:t>
      </w:r>
    </w:p>
    <w:p w14:paraId="3222A959" w14:textId="77777777" w:rsidR="009E4094" w:rsidRPr="00844B55" w:rsidRDefault="009E4094" w:rsidP="00FD1D83">
      <w:pPr>
        <w:spacing w:after="0" w:line="240" w:lineRule="auto"/>
        <w:ind w:left="993"/>
        <w:jc w:val="both"/>
        <w:rPr>
          <w:rFonts w:ascii="Bookman Old Style" w:eastAsia="Times New Roman" w:hAnsi="Bookman Old Style" w:cs="Times New Roman"/>
          <w:i/>
          <w:lang w:eastAsia="es-ES"/>
        </w:rPr>
      </w:pPr>
    </w:p>
    <w:p w14:paraId="76C786DB" w14:textId="77777777" w:rsidR="009E4094" w:rsidRPr="00844B55" w:rsidRDefault="009E4094" w:rsidP="00FD1D83">
      <w:pPr>
        <w:spacing w:after="0" w:line="240" w:lineRule="auto"/>
        <w:ind w:left="993"/>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Con base en lo anterior, y teniendo en cuenta que a la fecha se está adelantando el proceso de cesión de marca en el sistema, una vez este se encuentre finalizado, se allegará un alcance a la presente comunicación...”</w:t>
      </w:r>
    </w:p>
    <w:p w14:paraId="5F8D835B" w14:textId="77777777"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p>
    <w:p w14:paraId="52F52761" w14:textId="77777777"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Al respecto nos permitimos informar que, a través del radicado No. 202110152021843086 del 15/10/2021 GAS GOMBEL S.A. E.S.P. cedió la marca “DISPOGAS” a CHILCO DISTRIBUIDORA DE GAS Y ENERGIA SAS ESP a partir del 20-09-2021, por lo anterior, remitimos nuevamente la información de cilindros activos para dichas empresas.”</w:t>
      </w:r>
    </w:p>
    <w:p w14:paraId="21F48E9B" w14:textId="77777777" w:rsidR="009E4094" w:rsidRPr="00844B55" w:rsidRDefault="009E4094" w:rsidP="009E4094">
      <w:pPr>
        <w:spacing w:after="0" w:line="240" w:lineRule="auto"/>
        <w:jc w:val="both"/>
        <w:rPr>
          <w:rFonts w:ascii="Bookman Old Style" w:eastAsia="MS Mincho" w:hAnsi="Bookman Old Style" w:cs="Arial"/>
          <w:sz w:val="24"/>
          <w:szCs w:val="24"/>
          <w:lang w:val="es-ES"/>
        </w:rPr>
      </w:pPr>
    </w:p>
    <w:p w14:paraId="3E0F8608" w14:textId="77777777" w:rsidR="009E4094" w:rsidRPr="00844B55" w:rsidRDefault="009E4094" w:rsidP="009E4094">
      <w:pPr>
        <w:spacing w:after="0" w:line="240" w:lineRule="auto"/>
        <w:jc w:val="both"/>
        <w:rPr>
          <w:rFonts w:ascii="Bookman Old Style" w:eastAsia="MS Mincho" w:hAnsi="Bookman Old Style" w:cs="Arial"/>
          <w:sz w:val="24"/>
          <w:szCs w:val="24"/>
          <w:lang w:val="es-ES"/>
        </w:rPr>
      </w:pPr>
      <w:r w:rsidRPr="00844B55">
        <w:rPr>
          <w:rFonts w:ascii="Bookman Old Style" w:eastAsia="MS Mincho" w:hAnsi="Bookman Old Style" w:cs="Arial"/>
          <w:sz w:val="24"/>
          <w:szCs w:val="24"/>
          <w:lang w:val="es-ES"/>
        </w:rPr>
        <w:t>Finalmente, la Superintendencia allegó una tercera comunicación, en la que expuso lo siguiente:</w:t>
      </w:r>
    </w:p>
    <w:p w14:paraId="7495C3CF" w14:textId="77777777" w:rsidR="009E4094" w:rsidRPr="00844B55" w:rsidRDefault="009E4094" w:rsidP="009E4094">
      <w:pPr>
        <w:spacing w:after="0" w:line="240" w:lineRule="auto"/>
        <w:ind w:left="567"/>
        <w:jc w:val="both"/>
        <w:rPr>
          <w:rFonts w:ascii="Bookman Old Style" w:eastAsia="Times New Roman" w:hAnsi="Bookman Old Style" w:cs="Times New Roman"/>
          <w:i/>
          <w:lang w:eastAsia="es-ES"/>
        </w:rPr>
      </w:pPr>
    </w:p>
    <w:p w14:paraId="3085D369" w14:textId="77777777"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“A continuación, nos permitimos remitir alcance a la información del SICMA para calcular la capacidad de compra de la que trata el artículo 8 de la Resolución CREG 063 de 2016, modificado por el artículo 1 de la Resolución CREG 180 de 2017, aplicable al segundo semestre de 2021, para la empresa CHILCO DISTRIBUIDORA DE GAS Y ENERGIA SAS ESP, toda vez que, por actualización en las salidas de información de las tablas donde se almacena dicha información, faltaron incluir cilindros que se reportaron hasta el pasado mes de agosto de 2021, como fabricados con la nueva estructura del código de fabricante (0900396759 y 0900396770).</w:t>
      </w:r>
    </w:p>
    <w:p w14:paraId="190C3CB0" w14:textId="77777777"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p>
    <w:p w14:paraId="3C60D32C" w14:textId="78E6465E" w:rsidR="009E4094" w:rsidRPr="00844B55" w:rsidRDefault="009E4094" w:rsidP="00FD1D83">
      <w:pPr>
        <w:spacing w:after="0" w:line="240" w:lineRule="auto"/>
        <w:ind w:left="567"/>
        <w:jc w:val="both"/>
        <w:rPr>
          <w:rFonts w:ascii="Bookman Old Style" w:eastAsia="Times New Roman" w:hAnsi="Bookman Old Style" w:cs="Times New Roman"/>
          <w:i/>
          <w:lang w:eastAsia="es-ES"/>
        </w:rPr>
      </w:pPr>
      <w:r w:rsidRPr="00844B55">
        <w:rPr>
          <w:rFonts w:ascii="Bookman Old Style" w:eastAsia="Times New Roman" w:hAnsi="Bookman Old Style" w:cs="Times New Roman"/>
          <w:i/>
          <w:lang w:eastAsia="es-ES"/>
        </w:rPr>
        <w:t>Es importante precisar que, la anterior información corresponde a la certificada por la empresa hasta la fecha de corte de consulta de información que previamente fue enviada a la CREG: 7 de octubre de 2021.”</w:t>
      </w:r>
    </w:p>
    <w:p w14:paraId="049F0CCF" w14:textId="77777777" w:rsidR="006E73D3" w:rsidRPr="00090AD5" w:rsidRDefault="006E73D3" w:rsidP="00090AD5">
      <w:pPr>
        <w:pStyle w:val="Textoindependiente2"/>
        <w:spacing w:after="0" w:line="240" w:lineRule="auto"/>
        <w:ind w:left="0" w:right="284"/>
        <w:rPr>
          <w:rFonts w:ascii="Bookman Old Style" w:hAnsi="Bookman Old Style"/>
          <w:i/>
          <w:sz w:val="16"/>
          <w:szCs w:val="16"/>
        </w:rPr>
      </w:pPr>
    </w:p>
    <w:p w14:paraId="58951E85" w14:textId="3ACF611F" w:rsidR="0076675D" w:rsidRDefault="0076675D" w:rsidP="0076675D">
      <w:pPr>
        <w:spacing w:after="0" w:line="240" w:lineRule="auto"/>
        <w:jc w:val="both"/>
        <w:rPr>
          <w:rFonts w:ascii="Bookman Old Style" w:eastAsia="MS Mincho" w:hAnsi="Bookman Old Style" w:cs="Arial"/>
          <w:sz w:val="24"/>
          <w:szCs w:val="24"/>
          <w:lang w:val="es-ES"/>
        </w:rPr>
      </w:pPr>
      <w:r w:rsidRPr="00844B55">
        <w:rPr>
          <w:rFonts w:ascii="Bookman Old Style" w:eastAsia="MS Mincho" w:hAnsi="Bookman Old Style" w:cs="Arial"/>
          <w:sz w:val="24"/>
          <w:szCs w:val="24"/>
          <w:lang w:val="es-ES"/>
        </w:rPr>
        <w:t xml:space="preserve">Una vez expuesto lo anterior, se establece que la Comisión cuenta con la información oficial, pertinente, necesaria y útil, para lo cual procede a llevar a cabo el cálculo para la definición de la capacidad de compra a que hace referencia el artículo 8 de la </w:t>
      </w:r>
      <w:r w:rsidRPr="00844B55">
        <w:rPr>
          <w:rFonts w:ascii="Bookman Old Style" w:eastAsia="Times New Roman" w:hAnsi="Bookman Old Style" w:cs="Times New Roman"/>
          <w:sz w:val="24"/>
          <w:szCs w:val="27"/>
          <w:lang w:val="es-ES" w:eastAsia="es-ES"/>
        </w:rPr>
        <w:t>Resolución</w:t>
      </w:r>
      <w:r w:rsidRPr="00844B55">
        <w:rPr>
          <w:rFonts w:ascii="Bookman Old Style" w:eastAsia="MS Mincho" w:hAnsi="Bookman Old Style" w:cs="Arial"/>
          <w:sz w:val="24"/>
          <w:szCs w:val="24"/>
          <w:lang w:val="es-ES"/>
        </w:rPr>
        <w:t xml:space="preserve"> CREG 063 de 2016 para cada distribuidor de GLP, en los términos allí previstos, aplicable para </w:t>
      </w:r>
      <w:r w:rsidRPr="00090AD5">
        <w:rPr>
          <w:rFonts w:ascii="Bookman Old Style" w:eastAsia="MS Mincho" w:hAnsi="Bookman Old Style" w:cs="Arial"/>
          <w:sz w:val="24"/>
          <w:szCs w:val="24"/>
          <w:lang w:val="es-ES"/>
        </w:rPr>
        <w:t xml:space="preserve">el </w:t>
      </w:r>
      <w:r w:rsidR="006E73D3" w:rsidRPr="00090AD5">
        <w:rPr>
          <w:rFonts w:ascii="Bookman Old Style" w:eastAsia="MS Mincho" w:hAnsi="Bookman Old Style" w:cs="Arial"/>
          <w:sz w:val="24"/>
          <w:szCs w:val="24"/>
          <w:lang w:val="es-ES"/>
        </w:rPr>
        <w:t xml:space="preserve">décimo primer </w:t>
      </w:r>
      <w:r w:rsidRPr="00090AD5">
        <w:rPr>
          <w:rFonts w:ascii="Bookman Old Style" w:eastAsia="MS Mincho" w:hAnsi="Bookman Old Style" w:cs="Arial"/>
          <w:sz w:val="24"/>
          <w:szCs w:val="24"/>
          <w:lang w:val="es-ES"/>
        </w:rPr>
        <w:t>período de compra</w:t>
      </w:r>
      <w:r w:rsidRPr="00844B55">
        <w:rPr>
          <w:rFonts w:ascii="Bookman Old Style" w:eastAsia="MS Mincho" w:hAnsi="Bookman Old Style" w:cs="Arial"/>
          <w:sz w:val="24"/>
          <w:szCs w:val="24"/>
          <w:lang w:val="es-ES"/>
        </w:rPr>
        <w:t>.</w:t>
      </w:r>
    </w:p>
    <w:p w14:paraId="6BC0B0ED" w14:textId="77777777" w:rsidR="0076675D" w:rsidRDefault="0076675D" w:rsidP="0076675D">
      <w:pPr>
        <w:spacing w:after="0" w:line="240" w:lineRule="auto"/>
        <w:jc w:val="both"/>
        <w:rPr>
          <w:rFonts w:ascii="Bookman Old Style" w:eastAsia="MS Mincho" w:hAnsi="Bookman Old Style" w:cs="Arial"/>
          <w:sz w:val="24"/>
          <w:szCs w:val="24"/>
          <w:lang w:val="es-ES"/>
        </w:rPr>
      </w:pPr>
    </w:p>
    <w:p w14:paraId="5A50616B" w14:textId="13187FE8" w:rsidR="0076675D" w:rsidRDefault="0076675D" w:rsidP="0076675D">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 xml:space="preserve">Lo anterior, en la medida </w:t>
      </w:r>
      <w:r w:rsidR="00FD1D83">
        <w:rPr>
          <w:rFonts w:ascii="Bookman Old Style" w:eastAsia="MS Mincho" w:hAnsi="Bookman Old Style" w:cs="Arial"/>
          <w:sz w:val="24"/>
          <w:szCs w:val="24"/>
          <w:lang w:val="es-ES"/>
        </w:rPr>
        <w:t xml:space="preserve">en </w:t>
      </w:r>
      <w:r>
        <w:rPr>
          <w:rFonts w:ascii="Bookman Old Style" w:eastAsia="MS Mincho" w:hAnsi="Bookman Old Style" w:cs="Arial"/>
          <w:sz w:val="24"/>
          <w:szCs w:val="24"/>
          <w:lang w:val="es-ES"/>
        </w:rPr>
        <w:t>que</w:t>
      </w:r>
      <w:r w:rsidRPr="0087487D">
        <w:rPr>
          <w:rFonts w:ascii="Bookman Old Style" w:eastAsia="MS Mincho" w:hAnsi="Bookman Old Style" w:cs="Arial"/>
          <w:sz w:val="24"/>
          <w:szCs w:val="24"/>
          <w:lang w:val="es-ES"/>
        </w:rPr>
        <w:t xml:space="preserve"> la información del SUI </w:t>
      </w:r>
      <w:r>
        <w:rPr>
          <w:rFonts w:ascii="Bookman Old Style" w:eastAsia="MS Mincho" w:hAnsi="Bookman Old Style" w:cs="Arial"/>
          <w:sz w:val="24"/>
          <w:szCs w:val="24"/>
          <w:lang w:val="es-ES"/>
        </w:rPr>
        <w:t xml:space="preserve">corresponde a aquella con la cual se </w:t>
      </w:r>
      <w:r w:rsidRPr="0087487D">
        <w:rPr>
          <w:rFonts w:ascii="Bookman Old Style" w:eastAsia="MS Mincho" w:hAnsi="Bookman Old Style" w:cs="Arial"/>
          <w:sz w:val="24"/>
          <w:szCs w:val="24"/>
          <w:lang w:val="es-ES"/>
        </w:rPr>
        <w:t>debe determinar la capacidad de compra en los términos del artículo 14 de la Ley 689 de 2001 y la Resolución CREG 063 de 2016.</w:t>
      </w:r>
      <w:r>
        <w:rPr>
          <w:rFonts w:ascii="Bookman Old Style" w:eastAsia="MS Mincho" w:hAnsi="Bookman Old Style" w:cs="Arial"/>
          <w:sz w:val="24"/>
          <w:szCs w:val="24"/>
          <w:lang w:val="es-ES"/>
        </w:rPr>
        <w:t xml:space="preserve"> Esto, teniendo en cuenta que dicha</w:t>
      </w:r>
      <w:r w:rsidRPr="0087487D">
        <w:rPr>
          <w:rFonts w:ascii="Bookman Old Style" w:eastAsia="MS Mincho" w:hAnsi="Bookman Old Style" w:cs="Arial"/>
          <w:sz w:val="24"/>
          <w:szCs w:val="24"/>
          <w:lang w:val="es-ES"/>
        </w:rPr>
        <w:t xml:space="preserve"> información y su reporte al SUI corresponde a una obligación regulatoria a cargo de los distribuidores prevista en la Resolución CREG 023 de 2008, cuya aplicación se encuentra prevista y definida en las Circulares CREG – SSPD 001 de 2004 y 001 de 2017. </w:t>
      </w:r>
    </w:p>
    <w:p w14:paraId="58B6204F" w14:textId="77777777" w:rsidR="0076675D" w:rsidRDefault="0076675D" w:rsidP="0076675D">
      <w:pPr>
        <w:spacing w:after="0" w:line="240" w:lineRule="auto"/>
        <w:jc w:val="both"/>
        <w:rPr>
          <w:rFonts w:ascii="Bookman Old Style" w:eastAsia="MS Mincho" w:hAnsi="Bookman Old Style" w:cs="Arial"/>
          <w:sz w:val="24"/>
          <w:szCs w:val="24"/>
          <w:lang w:val="es-ES"/>
        </w:rPr>
      </w:pPr>
    </w:p>
    <w:p w14:paraId="5E0259C1" w14:textId="77777777" w:rsidR="0076675D" w:rsidRPr="005A576E" w:rsidRDefault="0076675D" w:rsidP="0076675D">
      <w:pPr>
        <w:spacing w:after="0" w:line="240" w:lineRule="auto"/>
        <w:jc w:val="both"/>
        <w:rPr>
          <w:rFonts w:ascii="Bookman Old Style" w:eastAsia="MS Mincho" w:hAnsi="Bookman Old Style" w:cs="Arial"/>
          <w:sz w:val="24"/>
          <w:szCs w:val="24"/>
          <w:lang w:val="es-ES"/>
        </w:rPr>
      </w:pPr>
      <w:r w:rsidRPr="00513B41">
        <w:rPr>
          <w:rFonts w:ascii="Bookman Old Style" w:eastAsia="MS Mincho" w:hAnsi="Bookman Old Style" w:cs="Arial"/>
          <w:sz w:val="24"/>
          <w:szCs w:val="24"/>
          <w:lang w:val="es-ES"/>
        </w:rPr>
        <w:t xml:space="preserve">Esta información hace parte de los expedientes administrativos dentro del trámite de la actuación administrativa en el </w:t>
      </w:r>
      <w:r w:rsidRPr="005A576E">
        <w:rPr>
          <w:rFonts w:ascii="Bookman Old Style" w:eastAsia="MS Mincho" w:hAnsi="Bookman Old Style" w:cs="Arial"/>
          <w:sz w:val="24"/>
          <w:szCs w:val="24"/>
          <w:lang w:val="es-ES"/>
        </w:rPr>
        <w:t>marco del debido proceso y el derecho de defensa.</w:t>
      </w:r>
    </w:p>
    <w:p w14:paraId="1B3A1FE6" w14:textId="77777777" w:rsidR="0076675D" w:rsidRPr="005A576E" w:rsidRDefault="0076675D" w:rsidP="0076675D">
      <w:pPr>
        <w:spacing w:after="0" w:line="240" w:lineRule="auto"/>
        <w:jc w:val="both"/>
        <w:rPr>
          <w:rFonts w:ascii="Bookman Old Style" w:eastAsia="MS Mincho" w:hAnsi="Bookman Old Style" w:cs="Arial"/>
          <w:sz w:val="24"/>
          <w:szCs w:val="24"/>
          <w:lang w:val="es-ES"/>
        </w:rPr>
      </w:pPr>
    </w:p>
    <w:p w14:paraId="1FE68BC7" w14:textId="611CB5B6" w:rsidR="0076675D" w:rsidRPr="005A576E" w:rsidRDefault="0076675D" w:rsidP="0076675D">
      <w:pPr>
        <w:spacing w:after="0" w:line="240" w:lineRule="auto"/>
        <w:jc w:val="both"/>
        <w:rPr>
          <w:rFonts w:ascii="Bookman Old Style" w:eastAsia="MS Mincho" w:hAnsi="Bookman Old Style" w:cs="Arial"/>
          <w:sz w:val="24"/>
          <w:szCs w:val="24"/>
          <w:lang w:val="es-ES"/>
        </w:rPr>
      </w:pPr>
      <w:r w:rsidRPr="005A576E">
        <w:rPr>
          <w:rFonts w:ascii="Bookman Old Style" w:eastAsia="MS Mincho" w:hAnsi="Bookman Old Style" w:cs="Arial"/>
          <w:sz w:val="24"/>
          <w:szCs w:val="24"/>
          <w:lang w:val="es-ES"/>
        </w:rPr>
        <w:t xml:space="preserve">Adicionalmente, se debe tener en cuenta que en el </w:t>
      </w:r>
      <w:r w:rsidR="00FD65A9">
        <w:rPr>
          <w:rFonts w:ascii="Bookman Old Style" w:eastAsia="MS Mincho" w:hAnsi="Bookman Old Style" w:cs="Arial"/>
          <w:sz w:val="24"/>
          <w:szCs w:val="24"/>
          <w:lang w:val="es-ES"/>
        </w:rPr>
        <w:t>A</w:t>
      </w:r>
      <w:r w:rsidRPr="00FD65A9">
        <w:rPr>
          <w:rFonts w:ascii="Bookman Old Style" w:eastAsia="MS Mincho" w:hAnsi="Bookman Old Style" w:cs="Arial"/>
          <w:sz w:val="24"/>
          <w:szCs w:val="24"/>
          <w:lang w:val="es-ES"/>
        </w:rPr>
        <w:t>uto I-2020-002012</w:t>
      </w:r>
      <w:r w:rsidRPr="005A576E">
        <w:rPr>
          <w:rFonts w:ascii="Bookman Old Style" w:eastAsia="MS Mincho" w:hAnsi="Bookman Old Style" w:cs="Arial"/>
          <w:sz w:val="24"/>
          <w:szCs w:val="24"/>
          <w:lang w:val="es-ES"/>
        </w:rPr>
        <w:t xml:space="preserve"> se expuso lo siguiente:</w:t>
      </w:r>
    </w:p>
    <w:p w14:paraId="6A8D273C" w14:textId="77777777" w:rsidR="0076675D" w:rsidRPr="005A576E" w:rsidRDefault="0076675D" w:rsidP="0076675D">
      <w:pPr>
        <w:spacing w:after="0" w:line="240" w:lineRule="auto"/>
        <w:jc w:val="both"/>
        <w:rPr>
          <w:rFonts w:ascii="Bookman Old Style" w:eastAsia="MS Mincho" w:hAnsi="Bookman Old Style" w:cs="Arial"/>
          <w:sz w:val="24"/>
          <w:szCs w:val="24"/>
          <w:lang w:val="es-ES"/>
        </w:rPr>
      </w:pPr>
    </w:p>
    <w:p w14:paraId="44270FC0" w14:textId="77777777" w:rsidR="0076675D" w:rsidRPr="00143447" w:rsidRDefault="0076675D" w:rsidP="00FD1D83">
      <w:pPr>
        <w:spacing w:after="0" w:line="240" w:lineRule="auto"/>
        <w:ind w:left="284"/>
        <w:jc w:val="both"/>
        <w:rPr>
          <w:rFonts w:ascii="Bookman Old Style" w:eastAsia="MS Mincho" w:hAnsi="Bookman Old Style" w:cs="Arial"/>
          <w:i/>
          <w:iCs/>
          <w:lang w:val="es-ES_tradnl"/>
        </w:rPr>
      </w:pPr>
      <w:r w:rsidRPr="00FD65A9">
        <w:rPr>
          <w:rFonts w:ascii="Bookman Old Style" w:eastAsia="MS Mincho" w:hAnsi="Bookman Old Style" w:cs="Arial"/>
          <w:i/>
          <w:iCs/>
          <w:lang w:val="es-ES_tradnl"/>
        </w:rPr>
        <w:t xml:space="preserve">“Así mismo, </w:t>
      </w:r>
      <w:bookmarkStart w:id="0" w:name="_Hlk37682945"/>
      <w:r w:rsidRPr="00FD65A9">
        <w:rPr>
          <w:rFonts w:ascii="Bookman Old Style" w:eastAsia="MS Mincho" w:hAnsi="Bookman Old Style" w:cs="Arial"/>
          <w:i/>
          <w:iCs/>
          <w:lang w:val="es-ES_tradnl"/>
        </w:rPr>
        <w:t>mediante el Decreto 417 de 2020 fue declarado el Estado de Emergencia Económica, Social y Ecológica en todo el territorio nacional, con el fin de conjurar los efectos de la crisis económica y social generada por la pandemia del nuevo Coronavirus COVID-19. Con base en dicho Decreto se expidió el Decreto Legislativo 491 de 2020 “Por el cual se adoptan medidas</w:t>
      </w:r>
      <w:r w:rsidRPr="005A576E">
        <w:rPr>
          <w:rFonts w:ascii="Bookman Old Style" w:eastAsia="MS Mincho" w:hAnsi="Bookman Old Style" w:cs="Arial"/>
          <w:i/>
          <w:iCs/>
          <w:lang w:val="es-ES_tradnl"/>
        </w:rPr>
        <w:t xml:space="preserve"> de urgencia para garantizar la atención y la prestación de los servicios por parte de las autoridades públicas y los particulares que cumplan funciones públicas y se toman medidas para la protección laboral y de los contratistas de prestación de servicios de las entidades</w:t>
      </w:r>
      <w:r w:rsidRPr="00234404">
        <w:rPr>
          <w:rFonts w:ascii="Bookman Old Style" w:eastAsia="MS Mincho" w:hAnsi="Bookman Old Style" w:cs="Arial"/>
          <w:i/>
          <w:iCs/>
          <w:lang w:val="es-ES_tradnl"/>
        </w:rPr>
        <w:t xml:space="preserve"> públicas, en el marco del Estado de Emergencia Económica, Social y Ecológica” en el cual en su artículo 4 o estableció lo siguiente:</w:t>
      </w:r>
    </w:p>
    <w:bookmarkEnd w:id="0"/>
    <w:p w14:paraId="29940242" w14:textId="77777777" w:rsidR="0076675D" w:rsidRPr="00234404" w:rsidRDefault="0076675D" w:rsidP="00FD1D83">
      <w:pPr>
        <w:spacing w:after="0" w:line="240" w:lineRule="auto"/>
        <w:ind w:left="708"/>
        <w:jc w:val="both"/>
        <w:rPr>
          <w:rFonts w:ascii="Bookman Old Style" w:eastAsia="MS Mincho" w:hAnsi="Bookman Old Style" w:cs="Arial"/>
          <w:i/>
          <w:iCs/>
          <w:lang w:val="es-ES_tradnl"/>
        </w:rPr>
      </w:pPr>
    </w:p>
    <w:p w14:paraId="2E2758B9"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u w:val="single"/>
          <w:lang w:val="es-ES_tradnl"/>
        </w:rPr>
      </w:pPr>
      <w:r w:rsidRPr="00234404">
        <w:rPr>
          <w:rFonts w:ascii="Bookman Old Style" w:eastAsia="MS Mincho" w:hAnsi="Bookman Old Style" w:cs="Arial"/>
          <w:i/>
          <w:iCs/>
          <w:sz w:val="20"/>
          <w:szCs w:val="20"/>
          <w:lang w:val="es-ES_tradnl"/>
        </w:rPr>
        <w:t>“</w:t>
      </w:r>
      <w:r w:rsidRPr="00234404">
        <w:rPr>
          <w:rFonts w:ascii="Bookman Old Style" w:eastAsia="MS Mincho" w:hAnsi="Bookman Old Style" w:cs="Arial"/>
          <w:b/>
          <w:bCs/>
          <w:i/>
          <w:iCs/>
          <w:sz w:val="20"/>
          <w:szCs w:val="20"/>
          <w:lang w:val="es-ES_tradnl"/>
        </w:rPr>
        <w:t>ARTÍCULO 4. Notificación o comunicación de actos administrativos.</w:t>
      </w:r>
      <w:r w:rsidRPr="00234404">
        <w:rPr>
          <w:rFonts w:ascii="Bookman Old Style" w:eastAsia="MS Mincho" w:hAnsi="Bookman Old Style" w:cs="Arial"/>
          <w:i/>
          <w:iCs/>
          <w:sz w:val="20"/>
          <w:szCs w:val="20"/>
          <w:lang w:val="es-ES_tradnl"/>
        </w:rPr>
        <w:t xml:space="preserve"> Hasta tanto permanezca vigente la Emergencia Sanitaria declarada por el Ministerio de Salud y Protección Social</w:t>
      </w:r>
      <w:r w:rsidRPr="00234404">
        <w:rPr>
          <w:rFonts w:ascii="Bookman Old Style" w:eastAsia="MS Mincho" w:hAnsi="Bookman Old Style" w:cs="Arial"/>
          <w:i/>
          <w:iCs/>
          <w:sz w:val="20"/>
          <w:szCs w:val="20"/>
          <w:u w:val="single"/>
          <w:lang w:val="es-ES_tradnl"/>
        </w:rPr>
        <w:t>, la notificación o comunicación de los actos administrativos se hará por medios electrónicos</w:t>
      </w:r>
      <w:r w:rsidRPr="00234404">
        <w:rPr>
          <w:rFonts w:ascii="Bookman Old Style" w:eastAsia="MS Mincho" w:hAnsi="Bookman Old Style" w:cs="Arial"/>
          <w:i/>
          <w:iCs/>
          <w:sz w:val="20"/>
          <w:szCs w:val="20"/>
          <w:lang w:val="es-ES_tradnl"/>
        </w:rPr>
        <w:t xml:space="preserve">. Para el efecto en todo trámite, proceso o procedimiento que se inicie </w:t>
      </w:r>
      <w:r w:rsidRPr="00234404">
        <w:rPr>
          <w:rFonts w:ascii="Bookman Old Style" w:eastAsia="MS Mincho" w:hAnsi="Bookman Old Style" w:cs="Arial"/>
          <w:i/>
          <w:iCs/>
          <w:sz w:val="20"/>
          <w:szCs w:val="20"/>
          <w:u w:val="single"/>
          <w:lang w:val="es-ES_tradnl"/>
        </w:rPr>
        <w:t>será obligatorio indicar la dirección electrónica para recibir notificaciones, y con la sola radicación se entenderá que se ha dado la autorización.</w:t>
      </w:r>
    </w:p>
    <w:p w14:paraId="36837445"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p>
    <w:p w14:paraId="6C104458"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r w:rsidRPr="00234404">
        <w:rPr>
          <w:rFonts w:ascii="Bookman Old Style" w:eastAsia="MS Mincho" w:hAnsi="Bookman Old Style" w:cs="Arial"/>
          <w:i/>
          <w:iCs/>
          <w:sz w:val="20"/>
          <w:szCs w:val="20"/>
          <w:lang w:val="es-ES_tradnl"/>
        </w:rPr>
        <w:t>En relación con las actuaciones administrativas que se encuentren en curso a la expedición del presente Decreto, los administrados deberán indicar a la autoridad competente la dirección electrónica en la cual recibirán notificaciones o comunicaciones. Las autoridades, dentro de los tres (3) días hábiles posteriores a la expedición del presente Decreto, deberán habilitar un buzón de correo electrónico exclusivamente para efectuar las notificaciones o comunicaciones a que se refiere el presente artículo.</w:t>
      </w:r>
    </w:p>
    <w:p w14:paraId="471AD689"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p>
    <w:p w14:paraId="6BA51544"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r w:rsidRPr="00234404">
        <w:rPr>
          <w:rFonts w:ascii="Bookman Old Style" w:eastAsia="MS Mincho" w:hAnsi="Bookman Old Style" w:cs="Arial"/>
          <w:i/>
          <w:iCs/>
          <w:sz w:val="20"/>
          <w:szCs w:val="20"/>
          <w:lang w:val="es-ES_tradnl"/>
        </w:rPr>
        <w:t xml:space="preserve">El mensaje que se envíe al administrado deberá indicar el acto administrativo que se notifica o comunica, contener copia electrónica del acto administrativo, los recursos que legalmente proceden, las autoridades ante quienes deben interponerse y los plazos para hacerlo. La notificación o comunicación quedará surtida a partir de la fecha y hora en que el administrado acceda al acto administrativo, fecha y hora que deberá certificar la administración. </w:t>
      </w:r>
    </w:p>
    <w:p w14:paraId="372DC731"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p>
    <w:p w14:paraId="723F7572"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r w:rsidRPr="00234404">
        <w:rPr>
          <w:rFonts w:ascii="Bookman Old Style" w:eastAsia="MS Mincho" w:hAnsi="Bookman Old Style" w:cs="Arial"/>
          <w:i/>
          <w:iCs/>
          <w:sz w:val="20"/>
          <w:szCs w:val="20"/>
          <w:lang w:val="es-ES_tradnl"/>
        </w:rPr>
        <w:t>En el evento en que la notificación o comunicación no pueda hacerse de forma electrónica, se seguirá el procedimiento previsto en los artículos 67 y siguientes de la Ley 1437 de 2011.</w:t>
      </w:r>
    </w:p>
    <w:p w14:paraId="07897DAB" w14:textId="77777777" w:rsidR="0076675D" w:rsidRPr="00234404" w:rsidRDefault="0076675D" w:rsidP="00FD1D83">
      <w:pPr>
        <w:spacing w:after="0" w:line="240" w:lineRule="auto"/>
        <w:ind w:left="424"/>
        <w:jc w:val="both"/>
        <w:rPr>
          <w:rFonts w:ascii="Bookman Old Style" w:eastAsia="MS Mincho" w:hAnsi="Bookman Old Style" w:cs="Arial"/>
          <w:i/>
          <w:iCs/>
          <w:sz w:val="20"/>
          <w:szCs w:val="20"/>
          <w:lang w:val="es-ES_tradnl"/>
        </w:rPr>
      </w:pPr>
    </w:p>
    <w:p w14:paraId="40A6C849" w14:textId="77777777" w:rsidR="0076675D" w:rsidRPr="00234404" w:rsidRDefault="0076675D" w:rsidP="00FD1D83">
      <w:pPr>
        <w:spacing w:after="0" w:line="240" w:lineRule="auto"/>
        <w:ind w:left="708"/>
        <w:jc w:val="both"/>
        <w:rPr>
          <w:rFonts w:ascii="Bookman Old Style" w:eastAsia="MS Mincho" w:hAnsi="Bookman Old Style" w:cs="Arial"/>
          <w:i/>
          <w:iCs/>
          <w:sz w:val="20"/>
          <w:szCs w:val="20"/>
          <w:lang w:val="es-ES_tradnl"/>
        </w:rPr>
      </w:pPr>
      <w:r w:rsidRPr="00234404">
        <w:rPr>
          <w:rFonts w:ascii="Bookman Old Style" w:eastAsia="MS Mincho" w:hAnsi="Bookman Old Style" w:cs="Arial"/>
          <w:b/>
          <w:bCs/>
          <w:i/>
          <w:iCs/>
          <w:sz w:val="20"/>
          <w:szCs w:val="20"/>
          <w:lang w:val="es-ES_tradnl"/>
        </w:rPr>
        <w:t>PARÁGRAFO.</w:t>
      </w:r>
      <w:r w:rsidRPr="00234404">
        <w:rPr>
          <w:rFonts w:ascii="Bookman Old Style" w:eastAsia="MS Mincho" w:hAnsi="Bookman Old Style" w:cs="Arial"/>
          <w:i/>
          <w:iCs/>
          <w:sz w:val="20"/>
          <w:szCs w:val="20"/>
          <w:lang w:val="es-ES_tradnl"/>
        </w:rPr>
        <w:t xml:space="preserve"> La presente disposición no aplica para notificación de los actos de inscripción o registro regulada en el artículo 70 del Código de Procedimiento Administrativo y de lo Contencioso Administrativo.” (Resaltado fuera de texto)</w:t>
      </w:r>
    </w:p>
    <w:p w14:paraId="595E7714" w14:textId="77777777" w:rsidR="0076675D" w:rsidRPr="00234404" w:rsidRDefault="0076675D" w:rsidP="00FD1D83">
      <w:pPr>
        <w:spacing w:after="0" w:line="240" w:lineRule="auto"/>
        <w:ind w:left="284"/>
        <w:jc w:val="both"/>
        <w:rPr>
          <w:rFonts w:ascii="Bookman Old Style" w:eastAsia="MS Mincho" w:hAnsi="Bookman Old Style" w:cs="Arial"/>
          <w:b/>
          <w:bCs/>
          <w:i/>
          <w:iCs/>
          <w:sz w:val="20"/>
          <w:szCs w:val="20"/>
          <w:lang w:val="es-ES_tradnl"/>
        </w:rPr>
      </w:pPr>
    </w:p>
    <w:p w14:paraId="180B1CF3" w14:textId="77777777" w:rsidR="0076675D" w:rsidRPr="00234404" w:rsidRDefault="0076675D" w:rsidP="00FD1D83">
      <w:pPr>
        <w:spacing w:after="0" w:line="240" w:lineRule="auto"/>
        <w:ind w:left="284"/>
        <w:jc w:val="both"/>
        <w:rPr>
          <w:rFonts w:ascii="Bookman Old Style" w:eastAsia="MS Mincho" w:hAnsi="Bookman Old Style" w:cs="Arial"/>
          <w:i/>
          <w:iCs/>
          <w:lang w:val="es-ES_tradnl"/>
        </w:rPr>
      </w:pPr>
      <w:bookmarkStart w:id="1" w:name="_Hlk37682999"/>
      <w:r w:rsidRPr="00234404">
        <w:rPr>
          <w:rFonts w:ascii="Bookman Old Style" w:eastAsia="MS Mincho" w:hAnsi="Bookman Old Style" w:cs="Arial"/>
          <w:i/>
          <w:iCs/>
          <w:lang w:val="es-ES_tradnl"/>
        </w:rPr>
        <w:t>Frente a lo establecido un esta disposición y comunicación de los actos administrativos a través de medios electrónicos, esta disposición se debe entender concordante con lo establecido en el artículo 14 de la Ley 689 de 20</w:t>
      </w:r>
      <w:r>
        <w:rPr>
          <w:rFonts w:ascii="Bookman Old Style" w:eastAsia="MS Mincho" w:hAnsi="Bookman Old Style" w:cs="Arial"/>
          <w:i/>
          <w:iCs/>
          <w:lang w:val="es-ES_tradnl"/>
        </w:rPr>
        <w:t>0</w:t>
      </w:r>
      <w:r w:rsidRPr="00234404">
        <w:rPr>
          <w:rFonts w:ascii="Bookman Old Style" w:eastAsia="MS Mincho" w:hAnsi="Bookman Old Style" w:cs="Arial"/>
          <w:i/>
          <w:iCs/>
          <w:lang w:val="es-ES_tradnl"/>
        </w:rPr>
        <w:t>1 y el carácter oficial de la información reportada por los agentes en el Sistema Único de Información – SUI y el Registro Único de Prestadores – RUPS</w:t>
      </w:r>
      <w:bookmarkEnd w:id="1"/>
      <w:r w:rsidRPr="00234404">
        <w:rPr>
          <w:rFonts w:ascii="Bookman Old Style" w:eastAsia="MS Mincho" w:hAnsi="Bookman Old Style" w:cs="Arial"/>
          <w:i/>
          <w:iCs/>
          <w:lang w:val="es-ES_tradnl"/>
        </w:rPr>
        <w:t>, cuando establece lo siguiente:</w:t>
      </w:r>
      <w:r w:rsidRPr="00143447">
        <w:rPr>
          <w:rFonts w:ascii="Bookman Old Style" w:eastAsia="MS Mincho" w:hAnsi="Bookman Old Style" w:cs="Arial"/>
          <w:i/>
          <w:iCs/>
          <w:lang w:val="es-ES_tradnl"/>
        </w:rPr>
        <w:t xml:space="preserve"> (…)</w:t>
      </w:r>
    </w:p>
    <w:p w14:paraId="7D625237" w14:textId="77777777" w:rsidR="0076675D" w:rsidRPr="00234404" w:rsidRDefault="0076675D" w:rsidP="00FD1D83">
      <w:pPr>
        <w:spacing w:after="0" w:line="240" w:lineRule="auto"/>
        <w:jc w:val="both"/>
        <w:rPr>
          <w:rFonts w:ascii="Bookman Old Style" w:eastAsia="MS Mincho" w:hAnsi="Bookman Old Style" w:cs="Arial"/>
          <w:i/>
          <w:iCs/>
          <w:lang w:val="es-ES_tradnl"/>
        </w:rPr>
      </w:pPr>
    </w:p>
    <w:p w14:paraId="3FF9142C" w14:textId="205F831D" w:rsidR="0076675D" w:rsidRPr="00143447" w:rsidRDefault="0076675D" w:rsidP="00FD1D83">
      <w:pPr>
        <w:spacing w:after="0" w:line="240" w:lineRule="auto"/>
        <w:ind w:left="284"/>
        <w:jc w:val="both"/>
        <w:rPr>
          <w:rFonts w:ascii="Bookman Old Style" w:eastAsia="MS Mincho" w:hAnsi="Bookman Old Style" w:cs="Arial"/>
          <w:i/>
          <w:iCs/>
          <w:lang w:val="es-ES"/>
        </w:rPr>
      </w:pPr>
      <w:bookmarkStart w:id="2" w:name="_Hlk37683024"/>
      <w:r w:rsidRPr="00143447">
        <w:rPr>
          <w:rFonts w:ascii="Bookman Old Style" w:eastAsia="MS Mincho" w:hAnsi="Bookman Old Style" w:cs="Arial"/>
          <w:i/>
          <w:iCs/>
          <w:lang w:val="es-ES_tradnl"/>
        </w:rPr>
        <w:t>De acuerdo con lo anterior, las direcciones de correo electrónico reportadas en el SUI y en el RUPS serán aquellas donde será notificado el acto administrativo que defina la capacidad de compra aplicable para el octavo p</w:t>
      </w:r>
      <w:r w:rsidR="00420355">
        <w:rPr>
          <w:rFonts w:ascii="Bookman Old Style" w:eastAsia="MS Mincho" w:hAnsi="Bookman Old Style" w:cs="Arial"/>
          <w:i/>
          <w:iCs/>
          <w:lang w:val="es-ES_tradnl"/>
        </w:rPr>
        <w:t>eríodo</w:t>
      </w:r>
      <w:r w:rsidRPr="00143447">
        <w:rPr>
          <w:rFonts w:ascii="Bookman Old Style" w:eastAsia="MS Mincho" w:hAnsi="Bookman Old Style" w:cs="Arial"/>
          <w:i/>
          <w:iCs/>
          <w:lang w:val="es-ES_tradnl"/>
        </w:rPr>
        <w:t xml:space="preserve"> de compra</w:t>
      </w:r>
      <w:bookmarkEnd w:id="2"/>
      <w:r w:rsidRPr="00143447">
        <w:rPr>
          <w:rFonts w:ascii="Bookman Old Style" w:eastAsia="MS Mincho" w:hAnsi="Bookman Old Style" w:cs="Arial"/>
          <w:i/>
          <w:iCs/>
          <w:lang w:val="es-ES_tradnl"/>
        </w:rPr>
        <w:t>.”</w:t>
      </w:r>
    </w:p>
    <w:p w14:paraId="5187B021" w14:textId="77777777" w:rsidR="0076675D" w:rsidRPr="00143447" w:rsidRDefault="0076675D" w:rsidP="0076675D">
      <w:pPr>
        <w:spacing w:after="0" w:line="240" w:lineRule="auto"/>
        <w:jc w:val="both"/>
        <w:rPr>
          <w:rFonts w:ascii="Bookman Old Style" w:eastAsia="MS Mincho" w:hAnsi="Bookman Old Style" w:cs="Arial"/>
          <w:sz w:val="24"/>
          <w:szCs w:val="24"/>
          <w:lang w:val="es-ES"/>
        </w:rPr>
      </w:pPr>
    </w:p>
    <w:p w14:paraId="5D7CBB27" w14:textId="03FB7D52" w:rsidR="0076675D" w:rsidRPr="00AE4E4C" w:rsidRDefault="0076675D" w:rsidP="0076675D">
      <w:pPr>
        <w:spacing w:after="0" w:line="240" w:lineRule="auto"/>
        <w:jc w:val="both"/>
        <w:rPr>
          <w:rFonts w:ascii="Bookman Old Style" w:eastAsia="MS Mincho" w:hAnsi="Bookman Old Style" w:cs="Arial"/>
          <w:sz w:val="24"/>
          <w:szCs w:val="24"/>
          <w:lang w:val="es-ES"/>
        </w:rPr>
      </w:pPr>
      <w:r w:rsidRPr="0087487D">
        <w:rPr>
          <w:rFonts w:ascii="Bookman Old Style" w:eastAsia="MS Mincho" w:hAnsi="Bookman Old Style" w:cs="Arial"/>
          <w:sz w:val="24"/>
          <w:szCs w:val="24"/>
          <w:lang w:val="es-ES"/>
        </w:rPr>
        <w:t>Finalmente, esta capacidad es aplicable a los distribuidores que</w:t>
      </w:r>
      <w:r w:rsidR="00FD1D83">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directamente o representados por un comercializador mayorista, compran GLP a los comercializadores mayoristas que venden GLP a distribuidores, así como aquellos agentes que realizan la actividad de distribución de GLP en los términos de la Resolución CREG 023 de 2008 o aquella que la modifique, derogue o sustituya</w:t>
      </w:r>
      <w:r w:rsidR="00FD1D83">
        <w:rPr>
          <w:rFonts w:ascii="Bookman Old Style" w:eastAsia="MS Mincho" w:hAnsi="Bookman Old Style" w:cs="Arial"/>
          <w:sz w:val="24"/>
          <w:szCs w:val="24"/>
          <w:lang w:val="es-ES"/>
        </w:rPr>
        <w:t>,</w:t>
      </w:r>
      <w:r w:rsidRPr="0087487D">
        <w:rPr>
          <w:rFonts w:ascii="Bookman Old Style" w:eastAsia="MS Mincho" w:hAnsi="Bookman Old Style" w:cs="Arial"/>
          <w:sz w:val="24"/>
          <w:szCs w:val="24"/>
          <w:lang w:val="es-ES"/>
        </w:rPr>
        <w:t xml:space="preserve"> y tiene efectos dentro de las actividades de comercialización mayorista y distribución de GLP, atendiendo lo dispuesto en la Resolución CREG 063 de 2016.</w:t>
      </w:r>
      <w:r w:rsidRPr="00AE4E4C">
        <w:t xml:space="preserve"> </w:t>
      </w:r>
    </w:p>
    <w:p w14:paraId="1524A6DB" w14:textId="77777777" w:rsidR="0076675D" w:rsidRDefault="0076675D" w:rsidP="00A33677">
      <w:pPr>
        <w:pStyle w:val="Textoindependiente2"/>
        <w:spacing w:after="0" w:line="240" w:lineRule="auto"/>
        <w:ind w:left="-142" w:right="-142"/>
        <w:jc w:val="both"/>
        <w:rPr>
          <w:rFonts w:ascii="Bookman Old Style" w:hAnsi="Bookman Old Style" w:cs="Arial"/>
          <w:spacing w:val="-5"/>
        </w:rPr>
      </w:pPr>
    </w:p>
    <w:p w14:paraId="3A21D150" w14:textId="1D0040BF" w:rsidR="00A33677" w:rsidRPr="00844B55"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w:t>
      </w:r>
      <w:r w:rsidRPr="00090AD5">
        <w:rPr>
          <w:rFonts w:ascii="Bookman Old Style" w:eastAsia="Times New Roman" w:hAnsi="Bookman Old Style" w:cs="Arial"/>
          <w:spacing w:val="-5"/>
          <w:sz w:val="24"/>
          <w:szCs w:val="24"/>
        </w:rPr>
        <w:t xml:space="preserve">CREG </w:t>
      </w:r>
      <w:r w:rsidR="007955E1" w:rsidRPr="00090AD5">
        <w:rPr>
          <w:rFonts w:ascii="Bookman Old Style" w:eastAsia="Times New Roman" w:hAnsi="Bookman Old Style" w:cs="Arial"/>
          <w:spacing w:val="-5"/>
          <w:sz w:val="24"/>
          <w:szCs w:val="24"/>
        </w:rPr>
        <w:t xml:space="preserve">209 </w:t>
      </w:r>
      <w:r w:rsidR="0076675D" w:rsidRPr="00090AD5">
        <w:rPr>
          <w:rFonts w:ascii="Bookman Old Style" w:eastAsia="Times New Roman" w:hAnsi="Bookman Old Style" w:cs="Arial"/>
          <w:spacing w:val="-5"/>
          <w:sz w:val="24"/>
          <w:szCs w:val="24"/>
        </w:rPr>
        <w:t>de 202</w:t>
      </w:r>
      <w:r w:rsidR="007955E1" w:rsidRPr="00090AD5">
        <w:rPr>
          <w:rFonts w:ascii="Bookman Old Style" w:eastAsia="Times New Roman" w:hAnsi="Bookman Old Style" w:cs="Arial"/>
          <w:spacing w:val="-5"/>
          <w:sz w:val="24"/>
          <w:szCs w:val="24"/>
        </w:rPr>
        <w:t>1</w:t>
      </w:r>
      <w:r w:rsidRPr="00844B55">
        <w:rPr>
          <w:rFonts w:ascii="Bookman Old Style" w:eastAsia="Times New Roman" w:hAnsi="Bookman Old Style" w:cs="Arial"/>
          <w:spacing w:val="-5"/>
          <w:sz w:val="24"/>
          <w:szCs w:val="24"/>
        </w:rPr>
        <w:t xml:space="preserve"> se estableció en su artículo 1º lo siguiente:</w:t>
      </w:r>
    </w:p>
    <w:p w14:paraId="3E67B4EB" w14:textId="77777777" w:rsidR="00A33677" w:rsidRPr="00844B55" w:rsidRDefault="00A33677" w:rsidP="00A33677">
      <w:pPr>
        <w:spacing w:after="0" w:line="240" w:lineRule="auto"/>
        <w:ind w:left="-142" w:right="-142"/>
        <w:jc w:val="both"/>
        <w:rPr>
          <w:rFonts w:ascii="Arial" w:eastAsia="MS Mincho" w:hAnsi="Arial" w:cs="Arial"/>
          <w:sz w:val="24"/>
          <w:szCs w:val="24"/>
        </w:rPr>
      </w:pPr>
    </w:p>
    <w:p w14:paraId="2B946075" w14:textId="2DC0B1A9" w:rsidR="00A33677" w:rsidRPr="00985ED6" w:rsidRDefault="00A33677" w:rsidP="00FD1D83">
      <w:pPr>
        <w:tabs>
          <w:tab w:val="left" w:pos="-720"/>
          <w:tab w:val="left" w:pos="1276"/>
        </w:tabs>
        <w:suppressAutoHyphens/>
        <w:overflowPunct w:val="0"/>
        <w:autoSpaceDE w:val="0"/>
        <w:spacing w:after="0" w:line="240" w:lineRule="auto"/>
        <w:ind w:left="567"/>
        <w:jc w:val="both"/>
        <w:textAlignment w:val="baseline"/>
        <w:rPr>
          <w:rFonts w:ascii="Bookman Old Style" w:eastAsia="MS Mincho" w:hAnsi="Bookman Old Style" w:cs="Arial"/>
          <w:i/>
          <w:sz w:val="20"/>
          <w:szCs w:val="20"/>
          <w:lang w:val="es-ES"/>
        </w:rPr>
      </w:pPr>
      <w:r w:rsidRPr="00985ED6">
        <w:rPr>
          <w:rFonts w:ascii="Bookman Old Style" w:eastAsia="MS Mincho" w:hAnsi="Bookman Old Style" w:cs="Arial"/>
          <w:b/>
          <w:sz w:val="20"/>
          <w:szCs w:val="20"/>
          <w:lang w:val="es-ES"/>
        </w:rPr>
        <w:t>“</w:t>
      </w:r>
      <w:r w:rsidRPr="00985ED6">
        <w:rPr>
          <w:rFonts w:ascii="Bookman Old Style" w:eastAsia="MS Mincho" w:hAnsi="Bookman Old Style" w:cs="Arial"/>
          <w:b/>
          <w:i/>
          <w:sz w:val="20"/>
          <w:szCs w:val="20"/>
          <w:lang w:val="es-ES"/>
        </w:rPr>
        <w:t xml:space="preserve">Artículo 1. Capacidad de Compra. </w:t>
      </w:r>
      <w:r w:rsidR="009C2779" w:rsidRPr="00985ED6">
        <w:rPr>
          <w:rFonts w:ascii="Bookman Old Style" w:eastAsia="MS Mincho" w:hAnsi="Bookman Old Style" w:cs="Arial"/>
          <w:i/>
          <w:sz w:val="20"/>
          <w:szCs w:val="20"/>
          <w:lang w:val="es-ES"/>
        </w:rPr>
        <w:t xml:space="preserve">La siguiente corresponde a la Capacidad de Compra en los términos de los artículos 8 y 9 de la Resolución CREG 063 de 2016, para cada uno de los siguientes distribuidores de GLP identificados, de acuerdo con el reporte de información en el Sistema único de Información, SUI, así como el Registro Único de Prestadores de Servicios Públicos, RUPS, aplicable para el </w:t>
      </w:r>
      <w:r w:rsidR="008745FC" w:rsidRPr="00985ED6">
        <w:rPr>
          <w:rFonts w:ascii="Bookman Old Style" w:eastAsia="MS Mincho" w:hAnsi="Bookman Old Style" w:cs="Arial"/>
          <w:i/>
          <w:sz w:val="20"/>
          <w:szCs w:val="20"/>
          <w:lang w:val="es-ES"/>
        </w:rPr>
        <w:t xml:space="preserve">décimo primer </w:t>
      </w:r>
      <w:r w:rsidR="009C2779" w:rsidRPr="00985ED6">
        <w:rPr>
          <w:rFonts w:ascii="Bookman Old Style" w:eastAsia="MS Mincho" w:hAnsi="Bookman Old Style" w:cs="Arial"/>
          <w:i/>
          <w:sz w:val="20"/>
          <w:szCs w:val="20"/>
          <w:lang w:val="es-ES"/>
        </w:rPr>
        <w:t>período de compra:</w:t>
      </w:r>
    </w:p>
    <w:p w14:paraId="76452E1C" w14:textId="77777777" w:rsidR="00A33677" w:rsidRPr="00985ED6" w:rsidRDefault="00A33677" w:rsidP="00FD1D83">
      <w:pPr>
        <w:spacing w:after="0" w:line="240" w:lineRule="auto"/>
        <w:jc w:val="both"/>
        <w:rPr>
          <w:rFonts w:ascii="Bookman Old Style" w:eastAsia="MS Mincho" w:hAnsi="Bookman Old Style" w:cs="Arial"/>
          <w:i/>
          <w:sz w:val="20"/>
          <w:szCs w:val="20"/>
          <w:lang w:val="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A33677" w:rsidRPr="00915380" w14:paraId="4631605B" w14:textId="77777777" w:rsidTr="00A33677">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6DE8F" w14:textId="77777777" w:rsidR="00A33677" w:rsidRPr="00985ED6" w:rsidRDefault="00A33677" w:rsidP="00FD1D83">
            <w:pPr>
              <w:spacing w:after="0" w:line="240" w:lineRule="auto"/>
              <w:jc w:val="center"/>
              <w:rPr>
                <w:rFonts w:ascii="Bookman Old Style" w:eastAsia="Times New Roman" w:hAnsi="Bookman Old Style" w:cs="Times New Roman"/>
                <w:b/>
                <w:bCs/>
                <w:i/>
                <w:color w:val="000000"/>
                <w:sz w:val="20"/>
                <w:szCs w:val="20"/>
                <w:lang w:eastAsia="es-CO"/>
              </w:rPr>
            </w:pPr>
            <w:r w:rsidRPr="00985ED6">
              <w:rPr>
                <w:rFonts w:ascii="Bookman Old Style" w:eastAsia="Times New Roman" w:hAnsi="Bookman Old Style" w:cs="Times New Roman"/>
                <w:b/>
                <w:bCs/>
                <w:i/>
                <w:color w:val="000000"/>
                <w:sz w:val="20"/>
                <w:szCs w:val="2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3D94ED7D" w14:textId="77777777" w:rsidR="00A33677" w:rsidRPr="00985ED6" w:rsidRDefault="00A33677" w:rsidP="00FD1D83">
            <w:pPr>
              <w:spacing w:after="0" w:line="240" w:lineRule="auto"/>
              <w:jc w:val="center"/>
              <w:rPr>
                <w:rFonts w:ascii="Bookman Old Style" w:eastAsia="Times New Roman" w:hAnsi="Bookman Old Style" w:cs="Times New Roman"/>
                <w:b/>
                <w:bCs/>
                <w:i/>
                <w:color w:val="000000"/>
                <w:sz w:val="20"/>
                <w:szCs w:val="20"/>
                <w:lang w:eastAsia="es-CO"/>
              </w:rPr>
            </w:pPr>
            <w:r w:rsidRPr="00985ED6">
              <w:rPr>
                <w:rFonts w:ascii="Bookman Old Style" w:eastAsia="Times New Roman" w:hAnsi="Bookman Old Style" w:cs="Times New Roman"/>
                <w:b/>
                <w:bCs/>
                <w:i/>
                <w:color w:val="000000"/>
                <w:sz w:val="20"/>
                <w:szCs w:val="2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67B093" w14:textId="77777777" w:rsidR="00A33677" w:rsidRPr="00985ED6" w:rsidRDefault="00A33677" w:rsidP="00FD1D83">
            <w:pPr>
              <w:spacing w:after="0" w:line="240" w:lineRule="auto"/>
              <w:jc w:val="center"/>
              <w:rPr>
                <w:rFonts w:ascii="Bookman Old Style" w:eastAsia="Times New Roman" w:hAnsi="Bookman Old Style" w:cs="Times New Roman"/>
                <w:b/>
                <w:bCs/>
                <w:i/>
                <w:color w:val="000000"/>
                <w:sz w:val="20"/>
                <w:szCs w:val="20"/>
                <w:lang w:eastAsia="es-CO"/>
              </w:rPr>
            </w:pPr>
            <w:r w:rsidRPr="00985ED6">
              <w:rPr>
                <w:rFonts w:ascii="Bookman Old Style" w:eastAsia="Times New Roman" w:hAnsi="Bookman Old Style" w:cs="Times New Roman"/>
                <w:b/>
                <w:bCs/>
                <w:i/>
                <w:color w:val="000000"/>
                <w:sz w:val="20"/>
                <w:szCs w:val="20"/>
                <w:lang w:eastAsia="es-CO"/>
              </w:rPr>
              <w:t xml:space="preserve">Capacidad de compra </w:t>
            </w:r>
            <m:oMath>
              <m:r>
                <m:rPr>
                  <m:sty m:val="bi"/>
                </m:rPr>
                <w:rPr>
                  <w:rFonts w:ascii="Cambria Math" w:eastAsia="Times New Roman" w:hAnsi="Cambria Math" w:cs="Times New Roman"/>
                  <w:color w:val="000000"/>
                  <w:sz w:val="20"/>
                  <w:szCs w:val="20"/>
                  <w:lang w:eastAsia="es-CO"/>
                </w:rPr>
                <m:t>C</m:t>
              </m:r>
              <m:sSub>
                <m:sSubPr>
                  <m:ctrlPr>
                    <w:rPr>
                      <w:rFonts w:ascii="Cambria Math" w:eastAsia="Times New Roman" w:hAnsi="Cambria Math" w:cs="Times New Roman"/>
                      <w:b/>
                      <w:bCs/>
                      <w:i/>
                      <w:iCs/>
                      <w:color w:val="000000"/>
                      <w:sz w:val="20"/>
                      <w:szCs w:val="20"/>
                      <w:lang w:eastAsia="es-CO"/>
                    </w:rPr>
                  </m:ctrlPr>
                </m:sSubPr>
                <m:e>
                  <m:r>
                    <m:rPr>
                      <m:sty m:val="bi"/>
                    </m:rPr>
                    <w:rPr>
                      <w:rFonts w:ascii="Cambria Math" w:eastAsia="Times New Roman" w:hAnsi="Cambria Math" w:cs="Times New Roman"/>
                      <w:color w:val="000000"/>
                      <w:sz w:val="20"/>
                      <w:szCs w:val="20"/>
                      <w:lang w:eastAsia="es-CO"/>
                    </w:rPr>
                    <m:t>C</m:t>
                  </m:r>
                </m:e>
                <m:sub>
                  <m:r>
                    <m:rPr>
                      <m:sty m:val="bi"/>
                    </m:rPr>
                    <w:rPr>
                      <w:rFonts w:ascii="Cambria Math" w:eastAsia="Times New Roman" w:hAnsi="Cambria Math" w:cs="Times New Roman"/>
                      <w:color w:val="000000"/>
                      <w:sz w:val="20"/>
                      <w:szCs w:val="20"/>
                      <w:lang w:eastAsia="es-CO"/>
                    </w:rPr>
                    <m:t>i,t</m:t>
                  </m:r>
                </m:sub>
              </m:sSub>
            </m:oMath>
          </w:p>
        </w:tc>
      </w:tr>
      <w:tr w:rsidR="00FB144D" w:rsidRPr="00915380" w14:paraId="75950C88" w14:textId="77777777" w:rsidTr="00090AD5">
        <w:trPr>
          <w:trHeight w:val="789"/>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A5148" w14:textId="77777777" w:rsidR="00FB144D" w:rsidRPr="00985ED6" w:rsidRDefault="00FB144D" w:rsidP="00FD1D83">
            <w:pPr>
              <w:spacing w:after="0"/>
              <w:jc w:val="center"/>
              <w:rPr>
                <w:rFonts w:ascii="Bookman Old Style" w:hAnsi="Bookman Old Style"/>
                <w:i/>
                <w:sz w:val="20"/>
                <w:szCs w:val="20"/>
              </w:rPr>
            </w:pPr>
            <w:r w:rsidRPr="00985ED6">
              <w:rPr>
                <w:rFonts w:ascii="Bookman Old Style" w:hAnsi="Bookman Old Style"/>
                <w:i/>
                <w:sz w:val="20"/>
                <w:szCs w:val="20"/>
              </w:rPr>
              <w:t>6026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11D2946" w14:textId="546C64CE" w:rsidR="00FB144D" w:rsidRPr="00985ED6" w:rsidRDefault="00DE6199" w:rsidP="00FD1D83">
            <w:pPr>
              <w:spacing w:after="0"/>
              <w:jc w:val="center"/>
              <w:rPr>
                <w:rFonts w:ascii="Bookman Old Style" w:hAnsi="Bookman Old Style"/>
                <w:i/>
                <w:sz w:val="20"/>
                <w:szCs w:val="20"/>
              </w:rPr>
            </w:pPr>
            <w:r w:rsidRPr="00985ED6">
              <w:rPr>
                <w:rFonts w:ascii="Bookman Old Style" w:hAnsi="Bookman Old Style"/>
                <w:i/>
                <w:sz w:val="20"/>
                <w:szCs w:val="20"/>
              </w:rPr>
              <w:t>MONTAGAS S.A. EMPRESA DE SERVICIOS PÚBLICOS DOMICILIARIOS MONTAGAS SA E S P</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C52E7C" w14:textId="5D640674" w:rsidR="00FB144D" w:rsidRPr="00985ED6" w:rsidRDefault="009E1AE5" w:rsidP="00FD1D83">
            <w:pPr>
              <w:spacing w:after="0"/>
              <w:jc w:val="center"/>
              <w:rPr>
                <w:rFonts w:ascii="Bookman Old Style" w:hAnsi="Bookman Old Style"/>
                <w:i/>
                <w:sz w:val="20"/>
                <w:szCs w:val="20"/>
              </w:rPr>
            </w:pPr>
            <w:r w:rsidRPr="00985ED6">
              <w:rPr>
                <w:rFonts w:ascii="Bookman Old Style" w:hAnsi="Bookman Old Style"/>
                <w:i/>
                <w:sz w:val="20"/>
                <w:szCs w:val="20"/>
              </w:rPr>
              <w:t>27.657.881</w:t>
            </w:r>
          </w:p>
        </w:tc>
      </w:tr>
    </w:tbl>
    <w:p w14:paraId="720EB42A" w14:textId="77777777" w:rsidR="00A33677" w:rsidRPr="00985ED6" w:rsidRDefault="00A33677" w:rsidP="00FD1D83">
      <w:pPr>
        <w:spacing w:after="0" w:line="240" w:lineRule="auto"/>
        <w:jc w:val="both"/>
        <w:rPr>
          <w:rFonts w:ascii="Bookman Old Style" w:eastAsia="MS Mincho" w:hAnsi="Bookman Old Style" w:cs="Arial"/>
          <w:i/>
          <w:sz w:val="20"/>
          <w:szCs w:val="20"/>
        </w:rPr>
      </w:pPr>
    </w:p>
    <w:p w14:paraId="3922ABB7" w14:textId="4FE1A226" w:rsidR="00A33677" w:rsidRPr="00985ED6" w:rsidRDefault="00A33677" w:rsidP="00FD1D83">
      <w:pPr>
        <w:tabs>
          <w:tab w:val="left" w:pos="-720"/>
          <w:tab w:val="left" w:pos="1276"/>
        </w:tabs>
        <w:suppressAutoHyphens/>
        <w:overflowPunct w:val="0"/>
        <w:autoSpaceDE w:val="0"/>
        <w:spacing w:after="0" w:line="240" w:lineRule="auto"/>
        <w:ind w:left="567"/>
        <w:jc w:val="both"/>
        <w:textAlignment w:val="baseline"/>
        <w:rPr>
          <w:rFonts w:ascii="Bookman Old Style" w:eastAsia="MS Mincho" w:hAnsi="Bookman Old Style" w:cs="Arial"/>
          <w:i/>
          <w:sz w:val="20"/>
          <w:szCs w:val="20"/>
          <w:lang w:val="es-ES"/>
        </w:rPr>
      </w:pPr>
      <w:r w:rsidRPr="00985ED6">
        <w:rPr>
          <w:rFonts w:ascii="Bookman Old Style" w:eastAsia="MS Mincho" w:hAnsi="Bookman Old Style" w:cs="Arial"/>
          <w:i/>
          <w:sz w:val="20"/>
          <w:szCs w:val="20"/>
          <w:lang w:val="es-ES"/>
        </w:rPr>
        <w:t xml:space="preserve">Dicha capacidad ha sido calculada atendiendo el procedimiento establecido en el artículo 8 de la Resolución CREG 063 de 2016 con </w:t>
      </w:r>
      <w:r w:rsidRPr="00985ED6">
        <w:rPr>
          <w:rFonts w:ascii="Bookman Old Style" w:eastAsia="Times New Roman" w:hAnsi="Bookman Old Style" w:cs="Arial"/>
          <w:i/>
          <w:sz w:val="20"/>
          <w:szCs w:val="20"/>
          <w:lang w:val="es-ES" w:eastAsia="es-ES"/>
        </w:rPr>
        <w:t>información</w:t>
      </w:r>
      <w:r w:rsidRPr="00985ED6">
        <w:rPr>
          <w:rFonts w:ascii="Bookman Old Style" w:eastAsia="MS Mincho" w:hAnsi="Bookman Old Style" w:cs="Arial"/>
          <w:i/>
          <w:sz w:val="20"/>
          <w:szCs w:val="20"/>
          <w:lang w:val="es-ES"/>
        </w:rPr>
        <w:t xml:space="preserve"> del Sistema Único de Información – SUI c</w:t>
      </w:r>
      <w:r w:rsidR="009752D3" w:rsidRPr="00985ED6">
        <w:rPr>
          <w:rFonts w:ascii="Bookman Old Style" w:eastAsia="MS Mincho" w:hAnsi="Bookman Old Style" w:cs="Arial"/>
          <w:i/>
          <w:sz w:val="20"/>
          <w:szCs w:val="20"/>
          <w:lang w:val="es-ES"/>
        </w:rPr>
        <w:t xml:space="preserve">on corte al </w:t>
      </w:r>
      <w:r w:rsidR="00EB6349" w:rsidRPr="00985ED6">
        <w:rPr>
          <w:rFonts w:ascii="Bookman Old Style" w:eastAsia="MS Mincho" w:hAnsi="Bookman Old Style" w:cs="Arial"/>
          <w:i/>
          <w:sz w:val="20"/>
          <w:szCs w:val="20"/>
          <w:lang w:val="es-ES"/>
        </w:rPr>
        <w:t xml:space="preserve">7 </w:t>
      </w:r>
      <w:r w:rsidR="009752D3" w:rsidRPr="00985ED6">
        <w:rPr>
          <w:rFonts w:ascii="Bookman Old Style" w:eastAsia="MS Mincho" w:hAnsi="Bookman Old Style" w:cs="Arial"/>
          <w:i/>
          <w:sz w:val="20"/>
          <w:szCs w:val="20"/>
          <w:lang w:val="es-ES"/>
        </w:rPr>
        <w:t xml:space="preserve">de </w:t>
      </w:r>
      <w:r w:rsidR="00EB6349" w:rsidRPr="00985ED6">
        <w:rPr>
          <w:rFonts w:ascii="Bookman Old Style" w:eastAsia="MS Mincho" w:hAnsi="Bookman Old Style" w:cs="Arial"/>
          <w:i/>
          <w:sz w:val="20"/>
          <w:szCs w:val="20"/>
          <w:lang w:val="es-ES"/>
        </w:rPr>
        <w:t xml:space="preserve">octubre </w:t>
      </w:r>
      <w:r w:rsidR="009752D3" w:rsidRPr="00985ED6">
        <w:rPr>
          <w:rFonts w:ascii="Bookman Old Style" w:eastAsia="MS Mincho" w:hAnsi="Bookman Old Style" w:cs="Arial"/>
          <w:i/>
          <w:sz w:val="20"/>
          <w:szCs w:val="20"/>
          <w:lang w:val="es-ES"/>
        </w:rPr>
        <w:t>de 202</w:t>
      </w:r>
      <w:r w:rsidR="00EB6349" w:rsidRPr="00985ED6">
        <w:rPr>
          <w:rFonts w:ascii="Bookman Old Style" w:eastAsia="MS Mincho" w:hAnsi="Bookman Old Style" w:cs="Arial"/>
          <w:i/>
          <w:sz w:val="20"/>
          <w:szCs w:val="20"/>
          <w:lang w:val="es-ES"/>
        </w:rPr>
        <w:t>1</w:t>
      </w:r>
      <w:r w:rsidRPr="00985ED6">
        <w:rPr>
          <w:rFonts w:ascii="Bookman Old Style" w:eastAsia="MS Mincho" w:hAnsi="Bookman Old Style" w:cs="Arial"/>
          <w:i/>
          <w:sz w:val="20"/>
          <w:szCs w:val="20"/>
          <w:lang w:val="es-ES"/>
        </w:rPr>
        <w:t>. El cálculo para cada empresa se detalla en el Anexo que hace parte de la presente resolución.”</w:t>
      </w:r>
    </w:p>
    <w:p w14:paraId="02225A16" w14:textId="77777777"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14:paraId="7AE69FDB"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14:paraId="7C8F98A8"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2BE05ECB" w14:textId="77777777"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14:paraId="59A14BAA" w14:textId="77777777"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14:paraId="1BE0A242" w14:textId="506FB0F3"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 xml:space="preserve">omisión a través </w:t>
      </w:r>
      <w:r w:rsidR="00EB3EAB" w:rsidRPr="008D6A3D">
        <w:rPr>
          <w:rFonts w:ascii="Bookman Old Style" w:eastAsia="Times New Roman" w:hAnsi="Bookman Old Style" w:cs="Arial"/>
          <w:spacing w:val="-5"/>
          <w:sz w:val="24"/>
          <w:szCs w:val="24"/>
        </w:rPr>
        <w:t xml:space="preserve">de </w:t>
      </w:r>
      <w:r w:rsidR="00F5339F" w:rsidRPr="008D6A3D">
        <w:rPr>
          <w:rFonts w:ascii="Bookman Old Style" w:eastAsia="Times New Roman" w:hAnsi="Bookman Old Style" w:cs="Arial"/>
          <w:spacing w:val="-5"/>
          <w:sz w:val="24"/>
          <w:szCs w:val="24"/>
        </w:rPr>
        <w:t xml:space="preserve">comunicación </w:t>
      </w:r>
      <w:r w:rsidRPr="008D6A3D">
        <w:rPr>
          <w:rFonts w:ascii="Bookman Old Style" w:eastAsia="Times New Roman" w:hAnsi="Bookman Old Style" w:cs="Arial"/>
          <w:spacing w:val="-5"/>
          <w:sz w:val="24"/>
          <w:szCs w:val="24"/>
        </w:rPr>
        <w:t xml:space="preserve">con radicado </w:t>
      </w:r>
      <w:r w:rsidR="005021EF" w:rsidRPr="008D6A3D">
        <w:rPr>
          <w:rFonts w:ascii="Bookman Old Style" w:eastAsia="Times New Roman" w:hAnsi="Bookman Old Style" w:cs="Arial"/>
          <w:spacing w:val="-5"/>
          <w:sz w:val="24"/>
          <w:szCs w:val="24"/>
        </w:rPr>
        <w:t>E-</w:t>
      </w:r>
      <w:r w:rsidR="00221221" w:rsidRPr="008D6A3D">
        <w:rPr>
          <w:rFonts w:eastAsiaTheme="minorEastAsia" w:hAnsi="Calibri"/>
          <w:color w:val="376092"/>
          <w:kern w:val="24"/>
          <w:sz w:val="40"/>
          <w:szCs w:val="40"/>
        </w:rPr>
        <w:t xml:space="preserve"> </w:t>
      </w:r>
      <w:r w:rsidR="00221221" w:rsidRPr="008D6A3D">
        <w:rPr>
          <w:rFonts w:ascii="Bookman Old Style" w:eastAsia="Times New Roman" w:hAnsi="Bookman Old Style" w:cs="Arial"/>
          <w:spacing w:val="-5"/>
          <w:sz w:val="24"/>
          <w:szCs w:val="24"/>
        </w:rPr>
        <w:t>2021-014638</w:t>
      </w:r>
      <w:r w:rsidRPr="008D6A3D">
        <w:rPr>
          <w:rFonts w:ascii="Bookman Old Style" w:eastAsia="Times New Roman" w:hAnsi="Bookman Old Style" w:cs="Arial"/>
          <w:spacing w:val="-5"/>
          <w:sz w:val="24"/>
          <w:szCs w:val="24"/>
        </w:rPr>
        <w:t xml:space="preserve"> de</w:t>
      </w:r>
      <w:r w:rsidR="00FD1D83">
        <w:rPr>
          <w:rFonts w:ascii="Bookman Old Style" w:eastAsia="Times New Roman" w:hAnsi="Bookman Old Style" w:cs="Arial"/>
          <w:spacing w:val="-5"/>
          <w:sz w:val="24"/>
          <w:szCs w:val="24"/>
        </w:rPr>
        <w:t>l</w:t>
      </w:r>
      <w:r w:rsidRPr="008D6A3D">
        <w:rPr>
          <w:rFonts w:ascii="Bookman Old Style" w:eastAsia="Times New Roman" w:hAnsi="Bookman Old Style" w:cs="Arial"/>
          <w:spacing w:val="-5"/>
          <w:sz w:val="24"/>
          <w:szCs w:val="24"/>
        </w:rPr>
        <w:t xml:space="preserve"> </w:t>
      </w:r>
      <w:r w:rsidR="00E13F6F" w:rsidRPr="008D6A3D">
        <w:rPr>
          <w:rFonts w:ascii="Bookman Old Style" w:eastAsia="Times New Roman" w:hAnsi="Bookman Old Style" w:cs="Arial"/>
          <w:spacing w:val="-5"/>
          <w:sz w:val="24"/>
          <w:szCs w:val="24"/>
        </w:rPr>
        <w:t>10</w:t>
      </w:r>
      <w:r w:rsidRPr="008D6A3D">
        <w:rPr>
          <w:rFonts w:ascii="Bookman Old Style" w:eastAsia="Times New Roman" w:hAnsi="Bookman Old Style" w:cs="Arial"/>
          <w:spacing w:val="-5"/>
          <w:sz w:val="24"/>
          <w:szCs w:val="24"/>
        </w:rPr>
        <w:t xml:space="preserve"> de </w:t>
      </w:r>
      <w:r w:rsidR="00E13F6F" w:rsidRPr="008D6A3D">
        <w:rPr>
          <w:rFonts w:ascii="Bookman Old Style" w:eastAsia="Times New Roman" w:hAnsi="Bookman Old Style" w:cs="Arial"/>
          <w:spacing w:val="-5"/>
          <w:sz w:val="24"/>
          <w:szCs w:val="24"/>
        </w:rPr>
        <w:t xml:space="preserve">diciembre </w:t>
      </w:r>
      <w:r w:rsidR="005021EF" w:rsidRPr="008D6A3D">
        <w:rPr>
          <w:rFonts w:ascii="Bookman Old Style" w:eastAsia="Times New Roman" w:hAnsi="Bookman Old Style" w:cs="Arial"/>
          <w:spacing w:val="-5"/>
          <w:sz w:val="24"/>
          <w:szCs w:val="24"/>
        </w:rPr>
        <w:t>de 202</w:t>
      </w:r>
      <w:r w:rsidR="00E13F6F" w:rsidRPr="008D6A3D">
        <w:rPr>
          <w:rFonts w:ascii="Bookman Old Style" w:eastAsia="Times New Roman" w:hAnsi="Bookman Old Style" w:cs="Arial"/>
          <w:spacing w:val="-5"/>
          <w:sz w:val="24"/>
          <w:szCs w:val="24"/>
        </w:rPr>
        <w:t>1</w:t>
      </w:r>
      <w:r w:rsidRPr="008D6A3D">
        <w:rPr>
          <w:rFonts w:ascii="Bookman Old Style" w:eastAsia="Times New Roman" w:hAnsi="Bookman Old Style" w:cs="Arial"/>
          <w:spacing w:val="-5"/>
          <w:sz w:val="24"/>
          <w:szCs w:val="24"/>
        </w:rPr>
        <w:t xml:space="preserve">, el representante legal de la empresa </w:t>
      </w:r>
      <w:r w:rsidR="005021EF" w:rsidRPr="008D6A3D">
        <w:rPr>
          <w:rFonts w:ascii="Bookman Old Style" w:eastAsia="Times New Roman" w:hAnsi="Bookman Old Style" w:cs="Arial"/>
          <w:spacing w:val="-5"/>
          <w:sz w:val="24"/>
          <w:szCs w:val="24"/>
        </w:rPr>
        <w:t>Montagas S.A.</w:t>
      </w:r>
      <w:r w:rsidRPr="008D6A3D">
        <w:rPr>
          <w:rFonts w:ascii="Bookman Old Style" w:eastAsia="Times New Roman" w:hAnsi="Bookman Old Style" w:cs="Arial"/>
          <w:spacing w:val="-5"/>
          <w:sz w:val="24"/>
          <w:szCs w:val="24"/>
        </w:rPr>
        <w:t xml:space="preserve"> E.S.P. interpuso recu</w:t>
      </w:r>
      <w:r w:rsidRPr="00A33677">
        <w:rPr>
          <w:rFonts w:ascii="Bookman Old Style" w:eastAsia="Times New Roman" w:hAnsi="Bookman Old Style" w:cs="Arial"/>
          <w:spacing w:val="-5"/>
          <w:sz w:val="24"/>
          <w:szCs w:val="24"/>
        </w:rPr>
        <w:t xml:space="preserve">rso de reposición contra la </w:t>
      </w:r>
      <w:r w:rsidRPr="00F90A5E">
        <w:rPr>
          <w:rFonts w:ascii="Bookman Old Style" w:eastAsia="Times New Roman" w:hAnsi="Bookman Old Style" w:cs="Arial"/>
          <w:spacing w:val="-5"/>
          <w:sz w:val="24"/>
          <w:szCs w:val="24"/>
        </w:rPr>
        <w:t xml:space="preserve">Resolución CREG </w:t>
      </w:r>
      <w:r w:rsidR="00E13F6F" w:rsidRPr="00090AD5">
        <w:rPr>
          <w:rFonts w:ascii="Bookman Old Style" w:eastAsia="Times New Roman" w:hAnsi="Bookman Old Style" w:cs="Arial"/>
          <w:spacing w:val="-5"/>
          <w:sz w:val="24"/>
          <w:szCs w:val="24"/>
        </w:rPr>
        <w:t>2</w:t>
      </w:r>
      <w:r w:rsidR="005021EF" w:rsidRPr="00F90A5E">
        <w:rPr>
          <w:rFonts w:ascii="Bookman Old Style" w:eastAsia="Times New Roman" w:hAnsi="Bookman Old Style" w:cs="Arial"/>
          <w:spacing w:val="-5"/>
          <w:sz w:val="24"/>
          <w:szCs w:val="24"/>
        </w:rPr>
        <w:t>0</w:t>
      </w:r>
      <w:r w:rsidR="00E13F6F" w:rsidRPr="00090AD5">
        <w:rPr>
          <w:rFonts w:ascii="Bookman Old Style" w:eastAsia="Times New Roman" w:hAnsi="Bookman Old Style" w:cs="Arial"/>
          <w:spacing w:val="-5"/>
          <w:sz w:val="24"/>
          <w:szCs w:val="24"/>
        </w:rPr>
        <w:t>9</w:t>
      </w:r>
      <w:r w:rsidR="005021EF" w:rsidRPr="00F90A5E">
        <w:rPr>
          <w:rFonts w:ascii="Bookman Old Style" w:eastAsia="Times New Roman" w:hAnsi="Bookman Old Style" w:cs="Arial"/>
          <w:spacing w:val="-5"/>
          <w:sz w:val="24"/>
          <w:szCs w:val="24"/>
        </w:rPr>
        <w:t xml:space="preserve"> de 202</w:t>
      </w:r>
      <w:r w:rsidR="00E13F6F" w:rsidRPr="00090AD5">
        <w:rPr>
          <w:rFonts w:ascii="Bookman Old Style" w:eastAsia="Times New Roman" w:hAnsi="Bookman Old Style" w:cs="Arial"/>
          <w:spacing w:val="-5"/>
          <w:sz w:val="24"/>
          <w:szCs w:val="24"/>
        </w:rPr>
        <w:t>1</w:t>
      </w:r>
      <w:r w:rsidRPr="00F90A5E">
        <w:rPr>
          <w:rFonts w:ascii="Bookman Old Style" w:eastAsia="Times New Roman" w:hAnsi="Bookman Old Style" w:cs="Arial"/>
          <w:spacing w:val="-5"/>
          <w:sz w:val="24"/>
          <w:szCs w:val="24"/>
        </w:rPr>
        <w:t>, para lo cual realiza las siguientes solicitudes:</w:t>
      </w:r>
    </w:p>
    <w:p w14:paraId="13BD8E3A" w14:textId="77777777"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14:paraId="7D055E96" w14:textId="38B164A1" w:rsidR="00287413" w:rsidRDefault="00A33677"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287413">
        <w:rPr>
          <w:rFonts w:ascii="Bookman Old Style" w:eastAsia="MS Mincho" w:hAnsi="Bookman Old Style" w:cs="Arial"/>
          <w:i/>
          <w:lang w:val="es-ES"/>
        </w:rPr>
        <w:t xml:space="preserve"> </w:t>
      </w:r>
      <w:r w:rsidR="00287413">
        <w:rPr>
          <w:rFonts w:ascii="Bookman Old Style" w:eastAsia="MS Mincho" w:hAnsi="Bookman Old Style" w:cs="Arial"/>
          <w:i/>
          <w:lang w:val="es-ES"/>
        </w:rPr>
        <w:tab/>
      </w:r>
      <w:r w:rsidR="00287413">
        <w:rPr>
          <w:rFonts w:ascii="Bookman Old Style" w:eastAsia="MS Mincho" w:hAnsi="Bookman Old Style" w:cs="Arial"/>
          <w:i/>
          <w:lang w:val="es-ES"/>
        </w:rPr>
        <w:tab/>
      </w:r>
      <w:r w:rsidR="00287413">
        <w:rPr>
          <w:rFonts w:ascii="Bookman Old Style" w:eastAsia="MS Mincho" w:hAnsi="Bookman Old Style" w:cs="Arial"/>
          <w:i/>
          <w:lang w:val="es-ES"/>
        </w:rPr>
        <w:tab/>
      </w:r>
      <w:r w:rsidR="00287413">
        <w:rPr>
          <w:rFonts w:ascii="Bookman Old Style" w:eastAsia="MS Mincho" w:hAnsi="Bookman Old Style" w:cs="Arial"/>
          <w:i/>
          <w:lang w:val="es-ES"/>
        </w:rPr>
        <w:tab/>
      </w:r>
      <w:r w:rsidR="00287413">
        <w:rPr>
          <w:rFonts w:ascii="Bookman Old Style" w:eastAsia="MS Mincho" w:hAnsi="Bookman Old Style" w:cs="Arial"/>
          <w:i/>
          <w:lang w:val="es-ES"/>
        </w:rPr>
        <w:tab/>
      </w:r>
      <w:r w:rsidR="00287413">
        <w:rPr>
          <w:rFonts w:ascii="Bookman Old Style" w:eastAsia="MS Mincho" w:hAnsi="Bookman Old Style" w:cs="Arial"/>
          <w:i/>
          <w:lang w:val="es-ES"/>
        </w:rPr>
        <w:tab/>
      </w:r>
      <w:r w:rsidR="00287413" w:rsidRPr="008D6A3D">
        <w:rPr>
          <w:rFonts w:ascii="Bookman Old Style" w:eastAsia="MS Mincho" w:hAnsi="Bookman Old Style" w:cs="Arial"/>
          <w:b/>
          <w:bCs/>
          <w:i/>
          <w:lang w:val="es-ES"/>
        </w:rPr>
        <w:t>SOLICITUD</w:t>
      </w:r>
    </w:p>
    <w:p w14:paraId="3C206699" w14:textId="77777777" w:rsidR="00287413" w:rsidRDefault="00287413"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p>
    <w:p w14:paraId="0108F4EA" w14:textId="4517C654" w:rsidR="00B0342D" w:rsidRDefault="00B0342D"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r w:rsidRPr="00B0342D">
        <w:rPr>
          <w:rFonts w:ascii="Bookman Old Style" w:eastAsia="MS Mincho" w:hAnsi="Bookman Old Style" w:cs="Arial"/>
          <w:i/>
          <w:lang w:val="es-ES"/>
        </w:rPr>
        <w:t>De acuerdo con lo expuesto, se solicita comedida y respetuosamente se reconsidere la</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máxima capacidad de compra establecida para la empresa Montagas SA ESP fijada en la</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resolución CREG 209 DE 2021 “Por la cual se define la capacidad de compra a que hace</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referencia a los artículos 8 y 9 de la Resolución CREG 063 de 2016”, puesto que presenta</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novedades en lo cálculos presentados en el documento D-171-2021, por lo cual ponemos</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a su consideración las siguientes peticiones</w:t>
      </w:r>
    </w:p>
    <w:p w14:paraId="7E43D147" w14:textId="77777777" w:rsidR="00F120FB" w:rsidRPr="00B0342D" w:rsidRDefault="00F120FB"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p>
    <w:p w14:paraId="6A553A9C" w14:textId="77777777" w:rsidR="00024442" w:rsidRDefault="00B0342D"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r w:rsidRPr="00B0342D">
        <w:rPr>
          <w:rFonts w:ascii="Bookman Old Style" w:eastAsia="MS Mincho" w:hAnsi="Bookman Old Style" w:cs="Arial"/>
          <w:i/>
          <w:lang w:val="es-ES"/>
        </w:rPr>
        <w:t>PRIMERA: Revocar la Resolución No.209 de 2021, proferida por el viceministro de</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energía y delegado de la ministra de Minas y Energía y el director ejecutivo de la CREG,</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mediante la cual en su Artículo 1, se define la capacidad de compra de la sociedad</w:t>
      </w:r>
      <w:r w:rsidR="00F120FB">
        <w:rPr>
          <w:rFonts w:ascii="Bookman Old Style" w:eastAsia="MS Mincho" w:hAnsi="Bookman Old Style" w:cs="Arial"/>
          <w:i/>
          <w:lang w:val="es-ES"/>
        </w:rPr>
        <w:t xml:space="preserve"> </w:t>
      </w:r>
      <w:r w:rsidRPr="00B0342D">
        <w:rPr>
          <w:rFonts w:ascii="Bookman Old Style" w:eastAsia="MS Mincho" w:hAnsi="Bookman Old Style" w:cs="Arial"/>
          <w:i/>
          <w:lang w:val="es-ES"/>
        </w:rPr>
        <w:t>MONTAGAS S.A. E.S.P conforme al procedimiento establecido en los artículos 8 y 9 de la</w:t>
      </w:r>
      <w:r w:rsidR="00024442">
        <w:rPr>
          <w:rFonts w:ascii="Bookman Old Style" w:eastAsia="MS Mincho" w:hAnsi="Bookman Old Style" w:cs="Arial"/>
          <w:i/>
          <w:lang w:val="es-ES"/>
        </w:rPr>
        <w:t xml:space="preserve"> </w:t>
      </w:r>
      <w:r w:rsidRPr="00B0342D">
        <w:rPr>
          <w:rFonts w:ascii="Bookman Old Style" w:eastAsia="MS Mincho" w:hAnsi="Bookman Old Style" w:cs="Arial"/>
          <w:i/>
          <w:lang w:val="es-ES"/>
        </w:rPr>
        <w:t>Resolución CREG 063 de 2016.</w:t>
      </w:r>
    </w:p>
    <w:p w14:paraId="0A3B1D0E" w14:textId="77777777" w:rsidR="00024442" w:rsidRDefault="00024442"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p>
    <w:p w14:paraId="1D13F9E8" w14:textId="2EC49744" w:rsidR="00B0342D" w:rsidRDefault="00B0342D"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r w:rsidRPr="00B0342D">
        <w:rPr>
          <w:rFonts w:ascii="Bookman Old Style" w:eastAsia="MS Mincho" w:hAnsi="Bookman Old Style" w:cs="Arial"/>
          <w:i/>
          <w:lang w:val="es-ES"/>
        </w:rPr>
        <w:t>SEGUNDA: Establecer en su lugar, que la capacidad de compra para MONTAGAS S.A.</w:t>
      </w:r>
      <w:r w:rsidR="002B612D">
        <w:rPr>
          <w:rFonts w:ascii="Bookman Old Style" w:eastAsia="MS Mincho" w:hAnsi="Bookman Old Style" w:cs="Arial"/>
          <w:i/>
          <w:lang w:val="es-ES"/>
        </w:rPr>
        <w:t xml:space="preserve"> </w:t>
      </w:r>
      <w:r w:rsidRPr="00B0342D">
        <w:rPr>
          <w:rFonts w:ascii="Bookman Old Style" w:eastAsia="MS Mincho" w:hAnsi="Bookman Old Style" w:cs="Arial"/>
          <w:i/>
          <w:lang w:val="es-ES"/>
        </w:rPr>
        <w:t>E.S.P. sean 28.558.616 kilogramos teniendo en cuenta las novedades presentadas en</w:t>
      </w:r>
      <w:r w:rsidR="00926EC6">
        <w:rPr>
          <w:rFonts w:ascii="Bookman Old Style" w:eastAsia="MS Mincho" w:hAnsi="Bookman Old Style" w:cs="Arial"/>
          <w:i/>
          <w:lang w:val="es-ES"/>
        </w:rPr>
        <w:t xml:space="preserve"> </w:t>
      </w:r>
      <w:r w:rsidRPr="00B0342D">
        <w:rPr>
          <w:rFonts w:ascii="Bookman Old Style" w:eastAsia="MS Mincho" w:hAnsi="Bookman Old Style" w:cs="Arial"/>
          <w:i/>
          <w:lang w:val="es-ES"/>
        </w:rPr>
        <w:t>los cálculos citados en el documento D-171-2021.</w:t>
      </w:r>
    </w:p>
    <w:p w14:paraId="4A5B47BE" w14:textId="77777777" w:rsidR="00926EC6" w:rsidRPr="00B0342D" w:rsidRDefault="00926EC6"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p>
    <w:p w14:paraId="5400AA78" w14:textId="7814997C" w:rsidR="00A33677" w:rsidRPr="00A33677" w:rsidRDefault="00B0342D" w:rsidP="00FD1D83">
      <w:pPr>
        <w:tabs>
          <w:tab w:val="left" w:pos="-720"/>
          <w:tab w:val="left" w:pos="1276"/>
        </w:tabs>
        <w:suppressAutoHyphens/>
        <w:overflowPunct w:val="0"/>
        <w:autoSpaceDE w:val="0"/>
        <w:spacing w:after="0" w:line="240" w:lineRule="auto"/>
        <w:ind w:left="284"/>
        <w:jc w:val="both"/>
        <w:textAlignment w:val="baseline"/>
        <w:rPr>
          <w:rFonts w:ascii="Bookman Old Style" w:eastAsia="MS Mincho" w:hAnsi="Bookman Old Style" w:cs="Arial"/>
          <w:i/>
          <w:lang w:val="es-ES"/>
        </w:rPr>
      </w:pPr>
      <w:r w:rsidRPr="00B0342D">
        <w:rPr>
          <w:rFonts w:ascii="Bookman Old Style" w:eastAsia="MS Mincho" w:hAnsi="Bookman Old Style" w:cs="Arial"/>
          <w:i/>
          <w:lang w:val="es-ES"/>
        </w:rPr>
        <w:t>TERCERA: Modificar el artículo 9 de la resolución CREG 063 de 2016 para definir de</w:t>
      </w:r>
      <w:r w:rsidR="00926EC6">
        <w:rPr>
          <w:rFonts w:ascii="Bookman Old Style" w:eastAsia="MS Mincho" w:hAnsi="Bookman Old Style" w:cs="Arial"/>
          <w:i/>
          <w:lang w:val="es-ES"/>
        </w:rPr>
        <w:t xml:space="preserve"> </w:t>
      </w:r>
      <w:r w:rsidRPr="00B0342D">
        <w:rPr>
          <w:rFonts w:ascii="Bookman Old Style" w:eastAsia="MS Mincho" w:hAnsi="Bookman Old Style" w:cs="Arial"/>
          <w:i/>
          <w:lang w:val="es-ES"/>
        </w:rPr>
        <w:t>manera explícita, los cortes de información de activos que se tomaran en cuenta para el</w:t>
      </w:r>
      <w:r w:rsidR="00926EC6">
        <w:rPr>
          <w:rFonts w:ascii="Bookman Old Style" w:eastAsia="MS Mincho" w:hAnsi="Bookman Old Style" w:cs="Arial"/>
          <w:i/>
          <w:lang w:val="es-ES"/>
        </w:rPr>
        <w:t xml:space="preserve"> </w:t>
      </w:r>
      <w:r w:rsidRPr="00B0342D">
        <w:rPr>
          <w:rFonts w:ascii="Bookman Old Style" w:eastAsia="MS Mincho" w:hAnsi="Bookman Old Style" w:cs="Arial"/>
          <w:i/>
          <w:lang w:val="es-ES"/>
        </w:rPr>
        <w:t>cálculo de la máxima capacidad de compra, determinando que, para el cálculo de la</w:t>
      </w:r>
      <w:r w:rsidR="00886BED">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máxima capacidad de compra del segundo semestre, la información sea tomada posterior</w:t>
      </w:r>
      <w:r w:rsidR="00926EC6">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al 15 de mayo del mismo año, y para el cálculo de la máxima capacidad de compra del</w:t>
      </w:r>
      <w:r w:rsidR="00926EC6">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primer semestre sea tomada posterior al 15 de noviembre del año anterior; con lo anterior</w:t>
      </w:r>
      <w:r w:rsidR="00926EC6">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surge efecto los plazos de reporte de la circular conjunta SSPD CREG 001-2017 para el</w:t>
      </w:r>
      <w:r w:rsidR="00926EC6">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reporte de tanques estacionarios y la Resolución SSPD No 20141300040755 de 2014 para</w:t>
      </w:r>
      <w:r w:rsidR="00926EC6">
        <w:rPr>
          <w:rFonts w:ascii="Bookman Old Style" w:eastAsia="MS Mincho" w:hAnsi="Bookman Old Style" w:cs="Arial"/>
          <w:i/>
          <w:lang w:val="es-ES"/>
        </w:rPr>
        <w:t xml:space="preserve"> </w:t>
      </w:r>
      <w:r w:rsidR="00886BED" w:rsidRPr="00886BED">
        <w:rPr>
          <w:rFonts w:ascii="Bookman Old Style" w:eastAsia="MS Mincho" w:hAnsi="Bookman Old Style" w:cs="Arial"/>
          <w:i/>
          <w:lang w:val="es-ES"/>
        </w:rPr>
        <w:t>el reporte de cilindros.</w:t>
      </w:r>
      <w:r w:rsidR="00A33677" w:rsidRPr="00DC5E6E">
        <w:rPr>
          <w:rFonts w:ascii="Bookman Old Style" w:eastAsia="MS Mincho" w:hAnsi="Bookman Old Style" w:cs="Arial"/>
          <w:i/>
          <w:lang w:val="es-ES"/>
        </w:rPr>
        <w:t>”</w:t>
      </w:r>
    </w:p>
    <w:p w14:paraId="3898909D" w14:textId="77777777"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14:paraId="31EDE248" w14:textId="7786513E" w:rsidR="00F5339F" w:rsidRDefault="002E37BA" w:rsidP="006B061D">
      <w:pPr>
        <w:spacing w:after="0" w:line="240" w:lineRule="auto"/>
        <w:ind w:left="-142" w:right="-142"/>
        <w:jc w:val="both"/>
        <w:rPr>
          <w:rFonts w:ascii="Bookman Old Style" w:eastAsia="Times New Roman" w:hAnsi="Bookman Old Style" w:cs="Arial"/>
          <w:spacing w:val="-5"/>
          <w:sz w:val="24"/>
          <w:szCs w:val="24"/>
        </w:rPr>
      </w:pPr>
      <w:r w:rsidRPr="00E21664">
        <w:rPr>
          <w:rFonts w:ascii="Bookman Old Style" w:eastAsia="Times New Roman" w:hAnsi="Bookman Old Style" w:cs="Arial"/>
          <w:spacing w:val="-5"/>
          <w:sz w:val="24"/>
          <w:szCs w:val="24"/>
        </w:rPr>
        <w:t xml:space="preserve">La Resolución CREG </w:t>
      </w:r>
      <w:r w:rsidR="001B5089" w:rsidRPr="00E21664">
        <w:rPr>
          <w:rFonts w:ascii="Bookman Old Style" w:eastAsia="Times New Roman" w:hAnsi="Bookman Old Style" w:cs="Arial"/>
          <w:spacing w:val="-5"/>
          <w:sz w:val="24"/>
          <w:szCs w:val="24"/>
        </w:rPr>
        <w:t>2</w:t>
      </w:r>
      <w:r w:rsidRPr="00E21664">
        <w:rPr>
          <w:rFonts w:ascii="Bookman Old Style" w:eastAsia="Times New Roman" w:hAnsi="Bookman Old Style" w:cs="Arial"/>
          <w:spacing w:val="-5"/>
          <w:sz w:val="24"/>
          <w:szCs w:val="24"/>
        </w:rPr>
        <w:t>0</w:t>
      </w:r>
      <w:r w:rsidR="001B5089" w:rsidRPr="00E21664">
        <w:rPr>
          <w:rFonts w:ascii="Bookman Old Style" w:eastAsia="Times New Roman" w:hAnsi="Bookman Old Style" w:cs="Arial"/>
          <w:spacing w:val="-5"/>
          <w:sz w:val="24"/>
          <w:szCs w:val="24"/>
        </w:rPr>
        <w:t>9</w:t>
      </w:r>
      <w:r w:rsidR="00F5339F" w:rsidRPr="00E21664">
        <w:rPr>
          <w:rFonts w:ascii="Bookman Old Style" w:eastAsia="Times New Roman" w:hAnsi="Bookman Old Style" w:cs="Arial"/>
          <w:spacing w:val="-5"/>
          <w:sz w:val="24"/>
          <w:szCs w:val="24"/>
        </w:rPr>
        <w:t xml:space="preserve"> </w:t>
      </w:r>
      <w:r w:rsidRPr="00E21664">
        <w:rPr>
          <w:rFonts w:ascii="Bookman Old Style" w:eastAsia="Times New Roman" w:hAnsi="Bookman Old Style" w:cs="Arial"/>
          <w:spacing w:val="-5"/>
          <w:sz w:val="24"/>
          <w:szCs w:val="24"/>
        </w:rPr>
        <w:t>de 202</w:t>
      </w:r>
      <w:r w:rsidR="001B5089" w:rsidRPr="00E21664">
        <w:rPr>
          <w:rFonts w:ascii="Bookman Old Style" w:eastAsia="Times New Roman" w:hAnsi="Bookman Old Style" w:cs="Arial"/>
          <w:spacing w:val="-5"/>
          <w:sz w:val="24"/>
          <w:szCs w:val="24"/>
        </w:rPr>
        <w:t>1</w:t>
      </w:r>
      <w:r w:rsidR="00F5339F" w:rsidRPr="00E21664">
        <w:rPr>
          <w:rFonts w:ascii="Bookman Old Style" w:eastAsia="Times New Roman" w:hAnsi="Bookman Old Style" w:cs="Arial"/>
          <w:spacing w:val="-5"/>
          <w:sz w:val="24"/>
          <w:szCs w:val="24"/>
        </w:rPr>
        <w:t xml:space="preserve"> fue notificada a la empresa </w:t>
      </w:r>
      <w:r w:rsidRPr="00E21664">
        <w:rPr>
          <w:rFonts w:ascii="Bookman Old Style" w:eastAsia="Times New Roman" w:hAnsi="Bookman Old Style" w:cs="Arial"/>
          <w:spacing w:val="-5"/>
          <w:sz w:val="24"/>
          <w:szCs w:val="24"/>
        </w:rPr>
        <w:t>Montagas</w:t>
      </w:r>
      <w:r w:rsidR="00EC1D37" w:rsidRPr="00E21664">
        <w:rPr>
          <w:rFonts w:ascii="Bookman Old Style" w:eastAsia="Times New Roman" w:hAnsi="Bookman Old Style" w:cs="Arial"/>
          <w:spacing w:val="-5"/>
          <w:sz w:val="24"/>
          <w:szCs w:val="24"/>
        </w:rPr>
        <w:t xml:space="preserve"> S.A. E.S.P.</w:t>
      </w:r>
      <w:r w:rsidR="00F5339F" w:rsidRPr="00E21664">
        <w:rPr>
          <w:rFonts w:ascii="Bookman Old Style" w:eastAsia="Times New Roman" w:hAnsi="Bookman Old Style" w:cs="Arial"/>
          <w:spacing w:val="-5"/>
          <w:sz w:val="24"/>
          <w:szCs w:val="24"/>
        </w:rPr>
        <w:t xml:space="preserve"> media</w:t>
      </w:r>
      <w:r w:rsidRPr="00E21664">
        <w:rPr>
          <w:rFonts w:ascii="Bookman Old Style" w:eastAsia="Times New Roman" w:hAnsi="Bookman Old Style" w:cs="Arial"/>
          <w:spacing w:val="-5"/>
          <w:sz w:val="24"/>
          <w:szCs w:val="24"/>
        </w:rPr>
        <w:t xml:space="preserve">nte </w:t>
      </w:r>
      <w:r w:rsidR="003145E0" w:rsidRPr="00504AFB">
        <w:rPr>
          <w:rFonts w:ascii="Bookman Old Style" w:eastAsia="Times New Roman" w:hAnsi="Bookman Old Style" w:cs="Arial"/>
          <w:spacing w:val="-5"/>
          <w:sz w:val="24"/>
          <w:szCs w:val="24"/>
        </w:rPr>
        <w:t xml:space="preserve">envío al correo electrónico </w:t>
      </w:r>
      <w:r w:rsidR="003145E0" w:rsidRPr="00E21664">
        <w:rPr>
          <w:rFonts w:ascii="Bookman Old Style" w:eastAsia="Times New Roman" w:hAnsi="Bookman Old Style" w:cs="Arial"/>
          <w:spacing w:val="-5"/>
          <w:sz w:val="24"/>
          <w:szCs w:val="24"/>
        </w:rPr>
        <w:t xml:space="preserve">atendiendo </w:t>
      </w:r>
      <w:r w:rsidR="00F5339F" w:rsidRPr="00E21664">
        <w:rPr>
          <w:rFonts w:ascii="Bookman Old Style" w:eastAsia="Times New Roman" w:hAnsi="Bookman Old Style" w:cs="Arial"/>
          <w:spacing w:val="-5"/>
          <w:sz w:val="24"/>
          <w:szCs w:val="24"/>
        </w:rPr>
        <w:t xml:space="preserve">lo dispuesto en el </w:t>
      </w:r>
      <w:r w:rsidR="00F5339F" w:rsidRPr="00504AFB">
        <w:rPr>
          <w:rFonts w:ascii="Bookman Old Style" w:eastAsia="Times New Roman" w:hAnsi="Bookman Old Style" w:cs="Arial"/>
          <w:spacing w:val="-5"/>
          <w:sz w:val="24"/>
          <w:szCs w:val="24"/>
        </w:rPr>
        <w:t xml:space="preserve">artículo </w:t>
      </w:r>
      <w:r w:rsidR="00915380" w:rsidRPr="00504AFB">
        <w:rPr>
          <w:rFonts w:ascii="Bookman Old Style" w:eastAsia="Times New Roman" w:hAnsi="Bookman Old Style" w:cs="Arial"/>
          <w:spacing w:val="-5"/>
          <w:sz w:val="24"/>
          <w:szCs w:val="24"/>
        </w:rPr>
        <w:t>4</w:t>
      </w:r>
      <w:r w:rsidR="00F5339F" w:rsidRPr="00504AFB">
        <w:rPr>
          <w:rFonts w:ascii="Bookman Old Style" w:eastAsia="Times New Roman" w:hAnsi="Bookman Old Style" w:cs="Arial"/>
          <w:spacing w:val="-5"/>
          <w:sz w:val="24"/>
          <w:szCs w:val="24"/>
        </w:rPr>
        <w:t xml:space="preserve"> </w:t>
      </w:r>
      <w:r w:rsidR="00F60033" w:rsidRPr="00E21664">
        <w:rPr>
          <w:rFonts w:ascii="Bookman Old Style" w:eastAsia="Times New Roman" w:hAnsi="Bookman Old Style" w:cs="Arial"/>
          <w:spacing w:val="-5"/>
          <w:sz w:val="24"/>
          <w:szCs w:val="24"/>
        </w:rPr>
        <w:t>del Decreto Legislativo 491 de 2020</w:t>
      </w:r>
      <w:r w:rsidR="00F5339F" w:rsidRPr="00E21664">
        <w:rPr>
          <w:rFonts w:ascii="Bookman Old Style" w:eastAsia="Times New Roman" w:hAnsi="Bookman Old Style" w:cs="Arial"/>
          <w:spacing w:val="-5"/>
          <w:sz w:val="24"/>
          <w:szCs w:val="24"/>
        </w:rPr>
        <w:t>.</w:t>
      </w:r>
      <w:r w:rsidR="006B061D" w:rsidRPr="00E21664">
        <w:rPr>
          <w:rFonts w:ascii="Bookman Old Style" w:eastAsia="Times New Roman" w:hAnsi="Bookman Old Style" w:cs="Arial"/>
          <w:spacing w:val="-5"/>
          <w:sz w:val="24"/>
          <w:szCs w:val="24"/>
        </w:rPr>
        <w:t xml:space="preserve"> </w:t>
      </w:r>
      <w:r w:rsidR="00F5339F" w:rsidRPr="00E21664">
        <w:rPr>
          <w:rFonts w:ascii="Bookman Old Style" w:eastAsia="Times New Roman" w:hAnsi="Bookman Old Style" w:cs="Arial"/>
          <w:spacing w:val="-5"/>
          <w:sz w:val="24"/>
          <w:szCs w:val="24"/>
        </w:rPr>
        <w:t>Una vez establecida la fecha de notificación</w:t>
      </w:r>
      <w:r w:rsidR="00FD1D83">
        <w:rPr>
          <w:rFonts w:ascii="Bookman Old Style" w:eastAsia="Times New Roman" w:hAnsi="Bookman Old Style" w:cs="Arial"/>
          <w:spacing w:val="-5"/>
          <w:sz w:val="24"/>
          <w:szCs w:val="24"/>
        </w:rPr>
        <w:t>,</w:t>
      </w:r>
      <w:r w:rsidR="00F5339F" w:rsidRPr="00E21664">
        <w:rPr>
          <w:rFonts w:ascii="Bookman Old Style" w:eastAsia="Times New Roman" w:hAnsi="Bookman Old Style" w:cs="Arial"/>
          <w:spacing w:val="-5"/>
          <w:sz w:val="24"/>
          <w:szCs w:val="24"/>
        </w:rPr>
        <w:t xml:space="preserve"> y verificada la fecha de interposición del recurso, se establece que el recurso de reposición fue interpuesto en tiempo</w:t>
      </w:r>
      <w:r w:rsidR="0047584F">
        <w:rPr>
          <w:rFonts w:ascii="Bookman Old Style" w:eastAsia="Times New Roman" w:hAnsi="Bookman Old Style" w:cs="Arial"/>
          <w:spacing w:val="-5"/>
          <w:sz w:val="24"/>
          <w:szCs w:val="24"/>
        </w:rPr>
        <w:t xml:space="preserve">, toda vez que el </w:t>
      </w:r>
      <w:r w:rsidR="004F1817">
        <w:rPr>
          <w:rFonts w:ascii="Bookman Old Style" w:eastAsia="Times New Roman" w:hAnsi="Bookman Old Style" w:cs="Arial"/>
          <w:spacing w:val="-5"/>
          <w:sz w:val="24"/>
          <w:szCs w:val="24"/>
        </w:rPr>
        <w:t xml:space="preserve">término vencía el </w:t>
      </w:r>
      <w:r w:rsidR="00156D40">
        <w:rPr>
          <w:rFonts w:ascii="Bookman Old Style" w:eastAsia="Times New Roman" w:hAnsi="Bookman Old Style" w:cs="Arial"/>
          <w:spacing w:val="-5"/>
          <w:sz w:val="24"/>
          <w:szCs w:val="24"/>
        </w:rPr>
        <w:t>16 de diciembre de 2021</w:t>
      </w:r>
      <w:r w:rsidR="00F5339F" w:rsidRPr="00E21664">
        <w:rPr>
          <w:rFonts w:ascii="Bookman Old Style" w:eastAsia="Times New Roman" w:hAnsi="Bookman Old Style" w:cs="Arial"/>
          <w:spacing w:val="-5"/>
          <w:sz w:val="24"/>
          <w:szCs w:val="24"/>
        </w:rPr>
        <w:t>.</w:t>
      </w:r>
    </w:p>
    <w:p w14:paraId="0E0EB41C" w14:textId="77777777" w:rsidR="00F5339F" w:rsidRPr="00A33677" w:rsidRDefault="00F5339F" w:rsidP="00D428CA">
      <w:pPr>
        <w:spacing w:after="0" w:line="240" w:lineRule="auto"/>
        <w:ind w:right="-142"/>
        <w:jc w:val="both"/>
        <w:rPr>
          <w:rFonts w:ascii="Bookman Old Style" w:eastAsia="Times New Roman" w:hAnsi="Bookman Old Style" w:cs="Arial"/>
          <w:spacing w:val="-5"/>
          <w:sz w:val="24"/>
          <w:szCs w:val="24"/>
        </w:rPr>
      </w:pPr>
    </w:p>
    <w:p w14:paraId="65204261" w14:textId="77777777"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lo Contencioso Administrativo, procede la CREG a realizar un análisis y pronunciarse en relación con los argumentos en que se sustenta la impugnación. </w:t>
      </w:r>
    </w:p>
    <w:p w14:paraId="7AB9CED0" w14:textId="77777777" w:rsidR="00156D40" w:rsidRPr="00A33677" w:rsidRDefault="00156D40" w:rsidP="00A33677">
      <w:pPr>
        <w:spacing w:after="0" w:line="240" w:lineRule="auto"/>
        <w:ind w:left="-142" w:right="-142"/>
        <w:jc w:val="both"/>
        <w:rPr>
          <w:rFonts w:ascii="Bookman Old Style" w:eastAsia="Times New Roman" w:hAnsi="Bookman Old Style" w:cs="Times New Roman"/>
          <w:sz w:val="24"/>
          <w:szCs w:val="24"/>
          <w:lang w:val="es-ES" w:eastAsia="es-ES"/>
        </w:rPr>
      </w:pPr>
    </w:p>
    <w:p w14:paraId="453FF82D" w14:textId="77777777"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xml:space="preserve">. </w:t>
      </w:r>
      <w:r w:rsidR="00A33677" w:rsidRPr="006A6D01">
        <w:rPr>
          <w:rFonts w:ascii="Bookman Old Style" w:eastAsia="Times New Roman" w:hAnsi="Bookman Old Style" w:cs="Times New Roman"/>
          <w:b/>
          <w:sz w:val="24"/>
          <w:szCs w:val="24"/>
          <w:lang w:val="es-ES" w:eastAsia="es-ES"/>
        </w:rPr>
        <w:t>Fundamentos del recurso</w:t>
      </w:r>
    </w:p>
    <w:p w14:paraId="42209E81" w14:textId="77777777"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14:paraId="786D91A1" w14:textId="77777777"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w:t>
      </w:r>
      <w:r w:rsidRPr="008D6A3D">
        <w:rPr>
          <w:rFonts w:ascii="Bookman Old Style" w:eastAsia="Times New Roman" w:hAnsi="Bookman Old Style" w:cs="Times New Roman"/>
          <w:sz w:val="24"/>
          <w:szCs w:val="24"/>
          <w:lang w:val="es-ES" w:eastAsia="es-ES"/>
        </w:rPr>
        <w:t xml:space="preserve">la empresa </w:t>
      </w:r>
      <w:r w:rsidR="0073140A" w:rsidRPr="008D6A3D">
        <w:rPr>
          <w:rFonts w:ascii="Bookman Old Style" w:eastAsia="Times New Roman" w:hAnsi="Bookman Old Style" w:cs="Times New Roman"/>
          <w:sz w:val="24"/>
          <w:szCs w:val="24"/>
          <w:lang w:val="es-ES" w:eastAsia="es-ES"/>
        </w:rPr>
        <w:t>Montagas</w:t>
      </w:r>
      <w:r w:rsidR="00874A55" w:rsidRPr="008D6A3D">
        <w:rPr>
          <w:rFonts w:ascii="Bookman Old Style" w:eastAsia="Times New Roman" w:hAnsi="Bookman Old Style" w:cs="Times New Roman"/>
          <w:sz w:val="24"/>
          <w:szCs w:val="24"/>
          <w:lang w:val="es-ES" w:eastAsia="es-ES"/>
        </w:rPr>
        <w:t xml:space="preserve"> S.A. E.S.P.</w:t>
      </w:r>
      <w:r w:rsidRPr="008D6A3D">
        <w:rPr>
          <w:rFonts w:ascii="Bookman Old Style" w:eastAsia="Times New Roman" w:hAnsi="Bookman Old Style" w:cs="Times New Roman"/>
          <w:sz w:val="24"/>
          <w:szCs w:val="24"/>
          <w:lang w:val="es-ES" w:eastAsia="es-ES"/>
        </w:rPr>
        <w:t xml:space="preserve"> hacen referencia a lo siguiente:</w:t>
      </w:r>
    </w:p>
    <w:p w14:paraId="1E78B45E" w14:textId="77777777" w:rsidR="0073140A" w:rsidRDefault="0073140A" w:rsidP="0073140A">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sz w:val="24"/>
          <w:szCs w:val="24"/>
          <w:lang w:val="es-ES" w:eastAsia="es-ES"/>
        </w:rPr>
      </w:pPr>
    </w:p>
    <w:p w14:paraId="7F0298FF" w14:textId="25E50B3E" w:rsidR="00C7422C" w:rsidRPr="00504AFB" w:rsidRDefault="00C7422C" w:rsidP="000D6D44">
      <w:pPr>
        <w:tabs>
          <w:tab w:val="left" w:pos="-720"/>
          <w:tab w:val="left" w:pos="1276"/>
        </w:tabs>
        <w:suppressAutoHyphens/>
        <w:overflowPunct w:val="0"/>
        <w:autoSpaceDE w:val="0"/>
        <w:spacing w:after="0" w:line="240" w:lineRule="auto"/>
        <w:ind w:left="426"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lang w:val="es-ES" w:eastAsia="es-ES"/>
        </w:rPr>
        <w:t>“</w:t>
      </w:r>
    </w:p>
    <w:p w14:paraId="06AC1E66" w14:textId="52AA83EA" w:rsidR="000D7927" w:rsidRPr="00504AFB" w:rsidRDefault="000D7927" w:rsidP="008C0E66">
      <w:pPr>
        <w:pStyle w:val="Prrafodelista"/>
        <w:numPr>
          <w:ilvl w:val="0"/>
          <w:numId w:val="24"/>
        </w:numPr>
        <w:tabs>
          <w:tab w:val="left" w:pos="-720"/>
          <w:tab w:val="left" w:pos="1276"/>
        </w:tabs>
        <w:suppressAutoHyphens/>
        <w:overflowPunct w:val="0"/>
        <w:autoSpaceDE w:val="0"/>
        <w:spacing w:after="0" w:line="240" w:lineRule="auto"/>
        <w:ind w:left="709"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De acuerdo con la resolución CREG 209 de 2021 se asignó a Montagas SA ESP la</w:t>
      </w:r>
      <w:r w:rsidR="005D4B3E"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cantidad de 27.657.881 kilos, este resultado tiene novedades en su cálculo.</w:t>
      </w:r>
    </w:p>
    <w:p w14:paraId="2D2FD52B" w14:textId="77777777" w:rsidR="00183C32" w:rsidRPr="00504AFB" w:rsidRDefault="00183C32" w:rsidP="00090AD5">
      <w:pPr>
        <w:pStyle w:val="Prrafodelista"/>
        <w:tabs>
          <w:tab w:val="left" w:pos="-720"/>
          <w:tab w:val="left" w:pos="1276"/>
        </w:tabs>
        <w:suppressAutoHyphens/>
        <w:overflowPunct w:val="0"/>
        <w:autoSpaceDE w:val="0"/>
        <w:spacing w:after="0" w:line="240" w:lineRule="auto"/>
        <w:ind w:left="709" w:right="284"/>
        <w:jc w:val="both"/>
        <w:textAlignment w:val="baseline"/>
        <w:rPr>
          <w:rFonts w:ascii="Bookman Old Style" w:eastAsia="Times New Roman" w:hAnsi="Bookman Old Style" w:cs="Times New Roman"/>
          <w:i/>
          <w:iCs/>
          <w:lang w:val="es-ES" w:eastAsia="es-ES"/>
        </w:rPr>
      </w:pPr>
    </w:p>
    <w:p w14:paraId="1416F617" w14:textId="36C29DFD" w:rsidR="000D7927" w:rsidRPr="00504AFB" w:rsidRDefault="000D7927" w:rsidP="008C0E66">
      <w:pPr>
        <w:pStyle w:val="Prrafodelista"/>
        <w:numPr>
          <w:ilvl w:val="0"/>
          <w:numId w:val="24"/>
        </w:numPr>
        <w:tabs>
          <w:tab w:val="left" w:pos="-720"/>
          <w:tab w:val="left" w:pos="1276"/>
        </w:tabs>
        <w:suppressAutoHyphens/>
        <w:overflowPunct w:val="0"/>
        <w:autoSpaceDE w:val="0"/>
        <w:spacing w:after="0" w:line="240" w:lineRule="auto"/>
        <w:ind w:left="709"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De acuerdo con el documento “D-171-2021 DEFINICIÓN CAPACIDAD DE COMPRA</w:t>
      </w:r>
      <w:r w:rsidR="008C0E66" w:rsidRPr="00504AFB">
        <w:rPr>
          <w:rFonts w:ascii="Bookman Old Style" w:eastAsia="Times New Roman" w:hAnsi="Bookman Old Style" w:cs="Times New Roman"/>
          <w:i/>
          <w:iCs/>
          <w:lang w:val="es-ES" w:eastAsia="es-ES"/>
        </w:rPr>
        <w:t xml:space="preserve"> POR DISTRIBUIDOR DE GLP” se encontraron las siguientes novedades:</w:t>
      </w:r>
    </w:p>
    <w:p w14:paraId="27D2A9BF" w14:textId="77777777" w:rsidR="00CC3A96" w:rsidRPr="00504AFB" w:rsidRDefault="00CC3A96" w:rsidP="00090AD5">
      <w:pPr>
        <w:pStyle w:val="Prrafodelista"/>
        <w:tabs>
          <w:tab w:val="left" w:pos="-720"/>
          <w:tab w:val="left" w:pos="1276"/>
        </w:tabs>
        <w:suppressAutoHyphens/>
        <w:overflowPunct w:val="0"/>
        <w:autoSpaceDE w:val="0"/>
        <w:spacing w:after="0" w:line="240" w:lineRule="auto"/>
        <w:ind w:left="709" w:right="284"/>
        <w:jc w:val="both"/>
        <w:textAlignment w:val="baseline"/>
        <w:rPr>
          <w:rFonts w:ascii="Bookman Old Style" w:eastAsia="Times New Roman" w:hAnsi="Bookman Old Style" w:cs="Times New Roman"/>
          <w:i/>
          <w:iCs/>
          <w:lang w:val="es-ES" w:eastAsia="es-ES"/>
        </w:rPr>
      </w:pPr>
    </w:p>
    <w:p w14:paraId="1FF8CDA4" w14:textId="23BB1D90" w:rsidR="000D7927" w:rsidRPr="00504AFB" w:rsidRDefault="000D7927" w:rsidP="00090AD5">
      <w:pPr>
        <w:pStyle w:val="Prrafodelista"/>
        <w:numPr>
          <w:ilvl w:val="1"/>
          <w:numId w:val="24"/>
        </w:numPr>
        <w:tabs>
          <w:tab w:val="left" w:pos="-720"/>
        </w:tabs>
        <w:suppressAutoHyphens/>
        <w:overflowPunct w:val="0"/>
        <w:autoSpaceDE w:val="0"/>
        <w:spacing w:after="0" w:line="240" w:lineRule="auto"/>
        <w:ind w:left="1134"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En el artículo 3.1 CÁLCULO Y DEFINICIÓN DE LA CAPACIDAD DE COMPRA literal</w:t>
      </w:r>
      <w:r w:rsidR="00CC3A96"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a, la empresa con código SUI 6026 tiene asignado 6 cilindros de 20 libras, lo cual</w:t>
      </w:r>
      <w:r w:rsidR="00CC3A96"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es un error, porque el valor correcto son 506 cilindros.</w:t>
      </w:r>
    </w:p>
    <w:p w14:paraId="0A3C43AE" w14:textId="5D8B4F0A" w:rsidR="000D7927" w:rsidRPr="00504AFB" w:rsidRDefault="007B305F" w:rsidP="007B305F">
      <w:pPr>
        <w:tabs>
          <w:tab w:val="left" w:pos="-720"/>
          <w:tab w:val="left" w:pos="1276"/>
        </w:tabs>
        <w:suppressAutoHyphens/>
        <w:overflowPunct w:val="0"/>
        <w:autoSpaceDE w:val="0"/>
        <w:spacing w:after="0" w:line="240" w:lineRule="auto"/>
        <w:ind w:left="426" w:right="284"/>
        <w:jc w:val="center"/>
        <w:textAlignment w:val="baseline"/>
        <w:rPr>
          <w:rFonts w:ascii="Bookman Old Style" w:eastAsia="Times New Roman" w:hAnsi="Bookman Old Style" w:cs="Times New Roman"/>
          <w:i/>
          <w:iCs/>
          <w:lang w:val="es-ES" w:eastAsia="es-ES"/>
        </w:rPr>
      </w:pPr>
      <w:r w:rsidRPr="006B061D">
        <w:rPr>
          <w:noProof/>
        </w:rPr>
        <w:drawing>
          <wp:inline distT="0" distB="0" distL="0" distR="0" wp14:anchorId="44641CF5" wp14:editId="08CE92BA">
            <wp:extent cx="5134531" cy="1194179"/>
            <wp:effectExtent l="0" t="0" r="0" b="6350"/>
            <wp:docPr id="3" name="Imagen 3" descr="Imagen que contiene exterior, agua, tren, cent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xterior, agua, tren, centro&#10;&#10;Descripción generada automáticamente"/>
                    <pic:cNvPicPr/>
                  </pic:nvPicPr>
                  <pic:blipFill>
                    <a:blip r:embed="rId12"/>
                    <a:stretch>
                      <a:fillRect/>
                    </a:stretch>
                  </pic:blipFill>
                  <pic:spPr>
                    <a:xfrm>
                      <a:off x="0" y="0"/>
                      <a:ext cx="5200788" cy="1209589"/>
                    </a:xfrm>
                    <a:prstGeom prst="rect">
                      <a:avLst/>
                    </a:prstGeom>
                  </pic:spPr>
                </pic:pic>
              </a:graphicData>
            </a:graphic>
          </wp:inline>
        </w:drawing>
      </w:r>
    </w:p>
    <w:p w14:paraId="6CFD6E8A" w14:textId="77777777" w:rsidR="00DF7712" w:rsidRPr="00504AFB" w:rsidRDefault="00DF7712" w:rsidP="00090AD5">
      <w:pPr>
        <w:tabs>
          <w:tab w:val="left" w:pos="-720"/>
          <w:tab w:val="left" w:pos="1276"/>
        </w:tabs>
        <w:suppressAutoHyphens/>
        <w:overflowPunct w:val="0"/>
        <w:autoSpaceDE w:val="0"/>
        <w:spacing w:after="0" w:line="240" w:lineRule="auto"/>
        <w:ind w:left="426" w:right="284"/>
        <w:textAlignment w:val="baseline"/>
        <w:rPr>
          <w:rFonts w:ascii="Bookman Old Style" w:eastAsia="Times New Roman" w:hAnsi="Bookman Old Style" w:cs="Times New Roman"/>
          <w:i/>
          <w:iCs/>
          <w:lang w:val="es-ES" w:eastAsia="es-ES"/>
        </w:rPr>
      </w:pPr>
    </w:p>
    <w:p w14:paraId="7F9ED133" w14:textId="1F89068D" w:rsidR="007B305F" w:rsidRPr="00504AFB" w:rsidRDefault="00DF7712" w:rsidP="00090AD5">
      <w:pPr>
        <w:pStyle w:val="Prrafodelista"/>
        <w:numPr>
          <w:ilvl w:val="1"/>
          <w:numId w:val="24"/>
        </w:numPr>
        <w:tabs>
          <w:tab w:val="left" w:pos="-720"/>
        </w:tabs>
        <w:suppressAutoHyphens/>
        <w:overflowPunct w:val="0"/>
        <w:autoSpaceDE w:val="0"/>
        <w:spacing w:after="0" w:line="240" w:lineRule="auto"/>
        <w:ind w:left="1134"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En el artículo 3.1 CÁLCULO Y DEFINICIÓN DE LA CAPACIDAD DE COMPRA literal b, la empresa con código SUI 6026 tiene asignado 500 cilindros de 1 kilo, lo cual es un error, porque no existen cilindros con esta capacidad.</w:t>
      </w:r>
    </w:p>
    <w:p w14:paraId="654470F7" w14:textId="11BC698F" w:rsidR="007B305F" w:rsidRPr="00504AFB" w:rsidRDefault="007B305F" w:rsidP="007B305F">
      <w:pPr>
        <w:tabs>
          <w:tab w:val="left" w:pos="-720"/>
          <w:tab w:val="left" w:pos="1276"/>
        </w:tabs>
        <w:suppressAutoHyphens/>
        <w:overflowPunct w:val="0"/>
        <w:autoSpaceDE w:val="0"/>
        <w:spacing w:after="0" w:line="240" w:lineRule="auto"/>
        <w:ind w:left="426" w:right="284"/>
        <w:jc w:val="center"/>
        <w:textAlignment w:val="baseline"/>
        <w:rPr>
          <w:rFonts w:ascii="Bookman Old Style" w:eastAsia="Times New Roman" w:hAnsi="Bookman Old Style" w:cs="Times New Roman"/>
          <w:i/>
          <w:iCs/>
          <w:lang w:val="es-ES" w:eastAsia="es-ES"/>
        </w:rPr>
      </w:pPr>
      <w:r w:rsidRPr="006B061D">
        <w:rPr>
          <w:noProof/>
        </w:rPr>
        <w:drawing>
          <wp:inline distT="0" distB="0" distL="0" distR="0" wp14:anchorId="042A5929" wp14:editId="51BB5B4F">
            <wp:extent cx="5028610" cy="1078173"/>
            <wp:effectExtent l="0" t="0" r="635" b="8255"/>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stretch>
                      <a:fillRect/>
                    </a:stretch>
                  </pic:blipFill>
                  <pic:spPr>
                    <a:xfrm>
                      <a:off x="0" y="0"/>
                      <a:ext cx="5236293" cy="1122702"/>
                    </a:xfrm>
                    <a:prstGeom prst="rect">
                      <a:avLst/>
                    </a:prstGeom>
                  </pic:spPr>
                </pic:pic>
              </a:graphicData>
            </a:graphic>
          </wp:inline>
        </w:drawing>
      </w:r>
    </w:p>
    <w:p w14:paraId="4D386DBB" w14:textId="77777777" w:rsidR="002C7D6A" w:rsidRPr="00504AFB" w:rsidRDefault="002C7D6A" w:rsidP="00090AD5">
      <w:pPr>
        <w:pStyle w:val="Prrafodelista"/>
        <w:tabs>
          <w:tab w:val="left" w:pos="-720"/>
          <w:tab w:val="left" w:pos="1276"/>
        </w:tabs>
        <w:suppressAutoHyphens/>
        <w:overflowPunct w:val="0"/>
        <w:autoSpaceDE w:val="0"/>
        <w:spacing w:after="0" w:line="240" w:lineRule="auto"/>
        <w:ind w:left="1134" w:right="284"/>
        <w:jc w:val="both"/>
        <w:textAlignment w:val="baseline"/>
        <w:rPr>
          <w:rFonts w:ascii="Bookman Old Style" w:eastAsia="Times New Roman" w:hAnsi="Bookman Old Style" w:cs="Times New Roman"/>
          <w:i/>
          <w:iCs/>
          <w:lang w:val="es-ES" w:eastAsia="es-ES"/>
        </w:rPr>
      </w:pPr>
    </w:p>
    <w:p w14:paraId="4D55D813" w14:textId="51B94FD5" w:rsidR="00F94E8D" w:rsidRPr="00504AFB" w:rsidRDefault="002E1EFD" w:rsidP="00090AD5">
      <w:pPr>
        <w:pStyle w:val="Prrafodelista"/>
        <w:numPr>
          <w:ilvl w:val="1"/>
          <w:numId w:val="24"/>
        </w:numPr>
        <w:tabs>
          <w:tab w:val="left" w:pos="-720"/>
        </w:tabs>
        <w:suppressAutoHyphens/>
        <w:overflowPunct w:val="0"/>
        <w:autoSpaceDE w:val="0"/>
        <w:spacing w:after="0" w:line="240" w:lineRule="auto"/>
        <w:ind w:left="1134"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En el artículo 3.1 CÁLCULO Y DEFINICIÓN DE LA CAPACIDAD DE COMPRA literal</w:t>
      </w:r>
      <w:r w:rsidR="00A33AE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c, el cálculo de la variable Cap.cil it para la empresa con código SUI 6026 presenta</w:t>
      </w:r>
      <w:r w:rsidR="00A33AE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novedad en el cálculo debido a los errores mencionados anteriormente.</w:t>
      </w:r>
    </w:p>
    <w:p w14:paraId="2D93772E" w14:textId="3900D2B4" w:rsidR="002E1EFD" w:rsidRPr="00504AFB" w:rsidRDefault="00A33AE7" w:rsidP="00090AD5">
      <w:pPr>
        <w:tabs>
          <w:tab w:val="left" w:pos="-720"/>
          <w:tab w:val="left" w:pos="1276"/>
        </w:tabs>
        <w:suppressAutoHyphens/>
        <w:overflowPunct w:val="0"/>
        <w:autoSpaceDE w:val="0"/>
        <w:spacing w:after="0" w:line="240" w:lineRule="auto"/>
        <w:ind w:left="426" w:right="284"/>
        <w:jc w:val="center"/>
        <w:textAlignment w:val="baseline"/>
        <w:rPr>
          <w:rFonts w:ascii="Bookman Old Style" w:eastAsia="Times New Roman" w:hAnsi="Bookman Old Style" w:cs="Times New Roman"/>
          <w:i/>
          <w:iCs/>
          <w:lang w:val="es-ES" w:eastAsia="es-ES"/>
        </w:rPr>
      </w:pPr>
      <w:r w:rsidRPr="006B061D">
        <w:rPr>
          <w:noProof/>
        </w:rPr>
        <w:drawing>
          <wp:inline distT="0" distB="0" distL="0" distR="0" wp14:anchorId="6FA00C4B" wp14:editId="5508C1A8">
            <wp:extent cx="2743200" cy="532530"/>
            <wp:effectExtent l="0" t="0" r="0" b="127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pic:nvPicPr>
                  <pic:blipFill>
                    <a:blip r:embed="rId14"/>
                    <a:stretch>
                      <a:fillRect/>
                    </a:stretch>
                  </pic:blipFill>
                  <pic:spPr>
                    <a:xfrm>
                      <a:off x="0" y="0"/>
                      <a:ext cx="2754526" cy="534729"/>
                    </a:xfrm>
                    <a:prstGeom prst="rect">
                      <a:avLst/>
                    </a:prstGeom>
                  </pic:spPr>
                </pic:pic>
              </a:graphicData>
            </a:graphic>
          </wp:inline>
        </w:drawing>
      </w:r>
    </w:p>
    <w:p w14:paraId="66B426C1" w14:textId="77777777" w:rsidR="002C7D6A" w:rsidRPr="00504AFB" w:rsidRDefault="002C7D6A" w:rsidP="00090AD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p>
    <w:p w14:paraId="454BF789" w14:textId="4FF78B9F" w:rsidR="002E1EFD" w:rsidRPr="00504AFB" w:rsidRDefault="002E1EFD" w:rsidP="00C45E87">
      <w:pPr>
        <w:pStyle w:val="Prrafodelista"/>
        <w:numPr>
          <w:ilvl w:val="2"/>
          <w:numId w:val="24"/>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El calculo interno de la variable Cap.1 it (kg) corresponde a 42.718.787</w:t>
      </w:r>
      <w:r w:rsidR="00A33AE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calculado de la siguiente manera:</w:t>
      </w:r>
    </w:p>
    <w:p w14:paraId="6EBCE59F" w14:textId="013DDBA6" w:rsidR="002C7D6A" w:rsidRPr="00504AFB" w:rsidRDefault="002C7D6A" w:rsidP="002C7D6A">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r w:rsidRPr="006B061D">
        <w:rPr>
          <w:noProof/>
        </w:rPr>
        <w:drawing>
          <wp:inline distT="0" distB="0" distL="0" distR="0" wp14:anchorId="3D201B83" wp14:editId="236EE883">
            <wp:extent cx="4708477" cy="1940058"/>
            <wp:effectExtent l="0" t="0" r="0" b="3175"/>
            <wp:docPr id="6" name="Imagen 6"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 Tabla&#10;&#10;Descripción generada automáticamente"/>
                    <pic:cNvPicPr/>
                  </pic:nvPicPr>
                  <pic:blipFill>
                    <a:blip r:embed="rId15"/>
                    <a:stretch>
                      <a:fillRect/>
                    </a:stretch>
                  </pic:blipFill>
                  <pic:spPr>
                    <a:xfrm>
                      <a:off x="0" y="0"/>
                      <a:ext cx="4728718" cy="1948398"/>
                    </a:xfrm>
                    <a:prstGeom prst="rect">
                      <a:avLst/>
                    </a:prstGeom>
                  </pic:spPr>
                </pic:pic>
              </a:graphicData>
            </a:graphic>
          </wp:inline>
        </w:drawing>
      </w:r>
    </w:p>
    <w:p w14:paraId="4E2C343A" w14:textId="77777777" w:rsidR="002C7D6A" w:rsidRPr="00504AFB" w:rsidRDefault="002C7D6A" w:rsidP="00090AD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p>
    <w:p w14:paraId="637E1B34" w14:textId="6DF50FBC" w:rsidR="00C45E87" w:rsidRPr="00504AFB" w:rsidRDefault="00C33045" w:rsidP="00C33045">
      <w:pPr>
        <w:pStyle w:val="Prrafodelista"/>
        <w:numPr>
          <w:ilvl w:val="2"/>
          <w:numId w:val="24"/>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El cálculo interno de la variable Cap.2 it (kg) corresponde a 29.845.308 calculado de la siguiente manera:</w:t>
      </w:r>
    </w:p>
    <w:p w14:paraId="5E799B7B" w14:textId="77777777" w:rsidR="00C33045" w:rsidRPr="00504AFB" w:rsidRDefault="00C33045" w:rsidP="00C3304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p>
    <w:p w14:paraId="505BCC0F" w14:textId="7615B4DE" w:rsidR="00C33045" w:rsidRPr="00504AFB" w:rsidRDefault="00C33045" w:rsidP="00090AD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r w:rsidRPr="006B061D">
        <w:rPr>
          <w:noProof/>
        </w:rPr>
        <w:drawing>
          <wp:inline distT="0" distB="0" distL="0" distR="0" wp14:anchorId="39C8ADF2" wp14:editId="31B6CEE7">
            <wp:extent cx="4797188" cy="1790998"/>
            <wp:effectExtent l="0" t="0" r="3810" b="0"/>
            <wp:docPr id="9" name="Imagen 9"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 Tabla&#10;&#10;Descripción generada automáticamente"/>
                    <pic:cNvPicPr/>
                  </pic:nvPicPr>
                  <pic:blipFill>
                    <a:blip r:embed="rId16"/>
                    <a:stretch>
                      <a:fillRect/>
                    </a:stretch>
                  </pic:blipFill>
                  <pic:spPr>
                    <a:xfrm>
                      <a:off x="0" y="0"/>
                      <a:ext cx="4811619" cy="1796386"/>
                    </a:xfrm>
                    <a:prstGeom prst="rect">
                      <a:avLst/>
                    </a:prstGeom>
                  </pic:spPr>
                </pic:pic>
              </a:graphicData>
            </a:graphic>
          </wp:inline>
        </w:drawing>
      </w:r>
    </w:p>
    <w:p w14:paraId="59576DC8" w14:textId="77777777" w:rsidR="008D72D0" w:rsidRPr="00504AFB" w:rsidRDefault="008D72D0" w:rsidP="00090AD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p>
    <w:p w14:paraId="1300847E" w14:textId="36A454D6" w:rsidR="00C33045" w:rsidRPr="00504AFB" w:rsidRDefault="008D72D0" w:rsidP="008D72D0">
      <w:pPr>
        <w:pStyle w:val="Prrafodelista"/>
        <w:numPr>
          <w:ilvl w:val="2"/>
          <w:numId w:val="24"/>
        </w:num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Por tanto la variable Cap.cil it (kg) es de 72.564.095 kilos</w:t>
      </w:r>
    </w:p>
    <w:p w14:paraId="104EE529" w14:textId="77777777" w:rsidR="008D72D0" w:rsidRPr="00504AFB" w:rsidRDefault="008D72D0" w:rsidP="00090AD5">
      <w:pPr>
        <w:pStyle w:val="Prrafodelista"/>
        <w:tabs>
          <w:tab w:val="left" w:pos="-720"/>
          <w:tab w:val="left" w:pos="1276"/>
        </w:tabs>
        <w:suppressAutoHyphens/>
        <w:overflowPunct w:val="0"/>
        <w:autoSpaceDE w:val="0"/>
        <w:spacing w:after="0" w:line="240" w:lineRule="auto"/>
        <w:ind w:left="1224" w:right="284"/>
        <w:jc w:val="both"/>
        <w:textAlignment w:val="baseline"/>
        <w:rPr>
          <w:rFonts w:ascii="Bookman Old Style" w:eastAsia="Times New Roman" w:hAnsi="Bookman Old Style" w:cs="Times New Roman"/>
          <w:i/>
          <w:iCs/>
          <w:lang w:val="es-ES" w:eastAsia="es-ES"/>
        </w:rPr>
      </w:pPr>
    </w:p>
    <w:p w14:paraId="6B9623EE" w14:textId="4910C6D3" w:rsidR="008D72D0" w:rsidRPr="00504AFB" w:rsidRDefault="006C7461" w:rsidP="006C7461">
      <w:pPr>
        <w:pStyle w:val="Prrafodelista"/>
        <w:numPr>
          <w:ilvl w:val="0"/>
          <w:numId w:val="24"/>
        </w:numPr>
        <w:tabs>
          <w:tab w:val="left" w:pos="-720"/>
          <w:tab w:val="left" w:pos="1276"/>
        </w:tabs>
        <w:suppressAutoHyphens/>
        <w:overflowPunct w:val="0"/>
        <w:autoSpaceDE w:val="0"/>
        <w:spacing w:after="0" w:line="240" w:lineRule="auto"/>
        <w:ind w:left="851"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 xml:space="preserve"> El cálculo de la variable Cap.TE i,t (kg) mencionado el literal d del numeral 3.1 por valor de 12.017.061 kg es correcto.</w:t>
      </w:r>
    </w:p>
    <w:p w14:paraId="6D25D8FF" w14:textId="77777777" w:rsidR="00D11625" w:rsidRPr="00504AFB" w:rsidRDefault="00D11625" w:rsidP="00090AD5">
      <w:pPr>
        <w:pStyle w:val="Prrafodelista"/>
        <w:tabs>
          <w:tab w:val="left" w:pos="-720"/>
          <w:tab w:val="left" w:pos="1276"/>
        </w:tabs>
        <w:suppressAutoHyphens/>
        <w:overflowPunct w:val="0"/>
        <w:autoSpaceDE w:val="0"/>
        <w:spacing w:after="0" w:line="240" w:lineRule="auto"/>
        <w:ind w:left="851" w:right="284"/>
        <w:jc w:val="both"/>
        <w:textAlignment w:val="baseline"/>
        <w:rPr>
          <w:rFonts w:ascii="Bookman Old Style" w:eastAsia="Times New Roman" w:hAnsi="Bookman Old Style" w:cs="Times New Roman"/>
          <w:i/>
          <w:iCs/>
          <w:lang w:val="es-ES" w:eastAsia="es-ES"/>
        </w:rPr>
      </w:pPr>
    </w:p>
    <w:p w14:paraId="2C579FD7" w14:textId="3AF8E3D5" w:rsidR="00C45E87" w:rsidRPr="00504AFB" w:rsidRDefault="00D11625" w:rsidP="00D11625">
      <w:pPr>
        <w:pStyle w:val="Prrafodelista"/>
        <w:numPr>
          <w:ilvl w:val="0"/>
          <w:numId w:val="24"/>
        </w:numPr>
        <w:tabs>
          <w:tab w:val="left" w:pos="-720"/>
          <w:tab w:val="left" w:pos="1276"/>
        </w:tabs>
        <w:suppressAutoHyphens/>
        <w:overflowPunct w:val="0"/>
        <w:autoSpaceDE w:val="0"/>
        <w:spacing w:after="0" w:line="240" w:lineRule="auto"/>
        <w:ind w:left="851" w:right="284"/>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En el artículo 3.1 CÁLCULO Y DEFINICIÓN DE LA CAPACIDAD DE COMPRA literal e la empresa con código SUI 6026 se asigna finalmente un valor de 27.657.881 kg como capacidad de compra CCi,t (kg) lo cual es incorrecto por las novedades presentadas en los literales a y b.</w:t>
      </w:r>
    </w:p>
    <w:p w14:paraId="6ECD8760" w14:textId="77777777" w:rsidR="00110DAA" w:rsidRPr="00504AFB" w:rsidRDefault="00110DAA" w:rsidP="00090AD5">
      <w:pPr>
        <w:pStyle w:val="Prrafodelista"/>
        <w:rPr>
          <w:rFonts w:ascii="Bookman Old Style" w:eastAsia="Times New Roman" w:hAnsi="Bookman Old Style" w:cs="Times New Roman"/>
          <w:i/>
          <w:iCs/>
          <w:lang w:val="es-ES" w:eastAsia="es-ES"/>
        </w:rPr>
      </w:pPr>
    </w:p>
    <w:p w14:paraId="1D87A245" w14:textId="421E4C3E" w:rsidR="00110DAA" w:rsidRPr="00504AFB" w:rsidRDefault="00110DAA" w:rsidP="00090AD5">
      <w:pPr>
        <w:pStyle w:val="Prrafodelista"/>
        <w:numPr>
          <w:ilvl w:val="1"/>
          <w:numId w:val="24"/>
        </w:numPr>
        <w:tabs>
          <w:tab w:val="left" w:pos="-720"/>
        </w:tabs>
        <w:suppressAutoHyphens/>
        <w:overflowPunct w:val="0"/>
        <w:autoSpaceDE w:val="0"/>
        <w:spacing w:after="0" w:line="240" w:lineRule="auto"/>
        <w:ind w:left="1134" w:right="284" w:hanging="425"/>
        <w:jc w:val="both"/>
        <w:textAlignment w:val="baseline"/>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De acuerdo con lo expuesto en los puntos 2.3.1, 2.3.2 y 2.3.3, la capacidad de compra para Montagas SA ESP del literal e debe ascender a 28.558.616 kg, el cual se genera del siguiente cálculo:</w:t>
      </w:r>
    </w:p>
    <w:p w14:paraId="510B0046" w14:textId="15CADA91" w:rsidR="00110DAA" w:rsidRPr="005861F7" w:rsidRDefault="0020701F" w:rsidP="00090AD5">
      <w:pPr>
        <w:pStyle w:val="Prrafodelista"/>
        <w:jc w:val="center"/>
        <w:rPr>
          <w:rFonts w:ascii="Bookman Old Style" w:eastAsia="Times New Roman" w:hAnsi="Bookman Old Style" w:cs="Times New Roman"/>
          <w:i/>
          <w:iCs/>
          <w:lang w:val="es-ES" w:eastAsia="es-ES"/>
        </w:rPr>
      </w:pPr>
      <w:r w:rsidRPr="006B061D">
        <w:rPr>
          <w:noProof/>
        </w:rPr>
        <w:drawing>
          <wp:inline distT="0" distB="0" distL="0" distR="0" wp14:anchorId="222FB0CA" wp14:editId="23647366">
            <wp:extent cx="4428699" cy="589326"/>
            <wp:effectExtent l="0" t="0" r="0" b="1270"/>
            <wp:docPr id="10" name="Imagen 1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10;&#10;Descripción generada automáticamente"/>
                    <pic:cNvPicPr/>
                  </pic:nvPicPr>
                  <pic:blipFill>
                    <a:blip r:embed="rId17"/>
                    <a:stretch>
                      <a:fillRect/>
                    </a:stretch>
                  </pic:blipFill>
                  <pic:spPr>
                    <a:xfrm>
                      <a:off x="0" y="0"/>
                      <a:ext cx="4462879" cy="593874"/>
                    </a:xfrm>
                    <a:prstGeom prst="rect">
                      <a:avLst/>
                    </a:prstGeom>
                  </pic:spPr>
                </pic:pic>
              </a:graphicData>
            </a:graphic>
          </wp:inline>
        </w:drawing>
      </w:r>
    </w:p>
    <w:p w14:paraId="34B39AD3" w14:textId="77777777" w:rsidR="008D6A3D" w:rsidRPr="005861F7" w:rsidRDefault="008D6A3D" w:rsidP="008D6A3D">
      <w:pPr>
        <w:pStyle w:val="Prrafodelista"/>
        <w:tabs>
          <w:tab w:val="left" w:pos="-720"/>
          <w:tab w:val="left" w:pos="1276"/>
        </w:tabs>
        <w:suppressAutoHyphens/>
        <w:overflowPunct w:val="0"/>
        <w:autoSpaceDE w:val="0"/>
        <w:spacing w:after="0" w:line="240" w:lineRule="auto"/>
        <w:ind w:left="851" w:right="284"/>
        <w:jc w:val="both"/>
        <w:textAlignment w:val="baseline"/>
        <w:rPr>
          <w:rFonts w:ascii="Bookman Old Style" w:eastAsia="Times New Roman" w:hAnsi="Bookman Old Style" w:cs="Times New Roman"/>
          <w:i/>
          <w:iCs/>
          <w:lang w:val="es-ES" w:eastAsia="es-ES"/>
        </w:rPr>
      </w:pPr>
    </w:p>
    <w:p w14:paraId="7D3173AB" w14:textId="2C2A28A4" w:rsidR="00CE502A" w:rsidRPr="005861F7" w:rsidRDefault="00CE502A" w:rsidP="00090AD5">
      <w:pPr>
        <w:pStyle w:val="Prrafodelista"/>
        <w:numPr>
          <w:ilvl w:val="0"/>
          <w:numId w:val="24"/>
        </w:numPr>
        <w:tabs>
          <w:tab w:val="left" w:pos="-720"/>
          <w:tab w:val="left" w:pos="1276"/>
        </w:tabs>
        <w:suppressAutoHyphens/>
        <w:overflowPunct w:val="0"/>
        <w:autoSpaceDE w:val="0"/>
        <w:spacing w:after="0" w:line="240" w:lineRule="auto"/>
        <w:ind w:left="851" w:right="284"/>
        <w:jc w:val="both"/>
        <w:textAlignment w:val="baseline"/>
        <w:rPr>
          <w:rFonts w:ascii="Bookman Old Style" w:eastAsia="Times New Roman" w:hAnsi="Bookman Old Style" w:cs="Times New Roman"/>
          <w:i/>
          <w:iCs/>
          <w:lang w:val="es-ES" w:eastAsia="es-ES"/>
        </w:rPr>
      </w:pPr>
      <w:r w:rsidRPr="005861F7">
        <w:rPr>
          <w:rFonts w:ascii="Bookman Old Style" w:eastAsia="Times New Roman" w:hAnsi="Bookman Old Style" w:cs="Times New Roman"/>
          <w:i/>
          <w:iCs/>
          <w:lang w:val="es-ES" w:eastAsia="es-ES"/>
        </w:rPr>
        <w:t xml:space="preserve"> Por último, los valores en cilindros fueron tomados con corte 7 de octubre de 2021 y los tanques estacionarios fueron tomados con corte al segundo trimestre de 2021, lo cual no contempla las inversiones de la empresa para los p</w:t>
      </w:r>
      <w:r w:rsidR="00420355">
        <w:rPr>
          <w:rFonts w:ascii="Bookman Old Style" w:eastAsia="Times New Roman" w:hAnsi="Bookman Old Style" w:cs="Times New Roman"/>
          <w:i/>
          <w:iCs/>
          <w:lang w:val="es-ES" w:eastAsia="es-ES"/>
        </w:rPr>
        <w:t>eríodo</w:t>
      </w:r>
      <w:r w:rsidRPr="005861F7">
        <w:rPr>
          <w:rFonts w:ascii="Bookman Old Style" w:eastAsia="Times New Roman" w:hAnsi="Bookman Old Style" w:cs="Times New Roman"/>
          <w:i/>
          <w:iCs/>
          <w:lang w:val="es-ES" w:eastAsia="es-ES"/>
        </w:rPr>
        <w:t>s más actualizados, estas inversiones realizadas por la empresa no generan un beneficio inmediato, puesto que no se reflejan de manera directa en el cálculo de la máxima capacidad de compra para el primer semestre de 2022.</w:t>
      </w:r>
    </w:p>
    <w:p w14:paraId="39AD4E03" w14:textId="333250EF" w:rsidR="00C45E87" w:rsidRPr="005861F7" w:rsidRDefault="00C45E87" w:rsidP="00C45E87">
      <w:pPr>
        <w:tabs>
          <w:tab w:val="left" w:pos="-720"/>
          <w:tab w:val="left" w:pos="1276"/>
        </w:tabs>
        <w:suppressAutoHyphens/>
        <w:overflowPunct w:val="0"/>
        <w:autoSpaceDE w:val="0"/>
        <w:spacing w:after="0" w:line="240" w:lineRule="auto"/>
        <w:ind w:left="702" w:right="284"/>
        <w:jc w:val="both"/>
        <w:textAlignment w:val="baseline"/>
        <w:rPr>
          <w:rFonts w:ascii="Bookman Old Style" w:eastAsia="Times New Roman" w:hAnsi="Bookman Old Style" w:cs="Times New Roman"/>
          <w:lang w:val="es-ES" w:eastAsia="es-ES"/>
        </w:rPr>
      </w:pPr>
      <w:r w:rsidRPr="005861F7">
        <w:rPr>
          <w:rFonts w:ascii="Bookman Old Style" w:eastAsia="Times New Roman" w:hAnsi="Bookman Old Style" w:cs="Times New Roman"/>
          <w:i/>
          <w:iCs/>
          <w:lang w:val="es-ES" w:eastAsia="es-ES"/>
        </w:rPr>
        <w:t xml:space="preserve">” </w:t>
      </w:r>
      <w:r w:rsidRPr="005861F7">
        <w:rPr>
          <w:rFonts w:ascii="Bookman Old Style" w:eastAsia="Times New Roman" w:hAnsi="Bookman Old Style" w:cs="Times New Roman"/>
          <w:lang w:val="es-ES" w:eastAsia="es-ES"/>
        </w:rPr>
        <w:t>SIC</w:t>
      </w:r>
    </w:p>
    <w:p w14:paraId="73A5C1C8" w14:textId="77777777" w:rsidR="00C45E87" w:rsidRPr="00090AD5" w:rsidRDefault="00C45E87" w:rsidP="00300139">
      <w:pPr>
        <w:tabs>
          <w:tab w:val="left" w:pos="-720"/>
          <w:tab w:val="left" w:pos="1276"/>
        </w:tabs>
        <w:suppressAutoHyphens/>
        <w:overflowPunct w:val="0"/>
        <w:autoSpaceDE w:val="0"/>
        <w:spacing w:after="0" w:line="240" w:lineRule="auto"/>
        <w:ind w:right="284"/>
        <w:jc w:val="both"/>
        <w:textAlignment w:val="baseline"/>
        <w:rPr>
          <w:rFonts w:ascii="Bookman Old Style" w:eastAsia="Times New Roman" w:hAnsi="Bookman Old Style" w:cs="Times New Roman"/>
          <w:i/>
          <w:iCs/>
          <w:sz w:val="24"/>
          <w:szCs w:val="24"/>
          <w:lang w:val="es-ES" w:eastAsia="es-ES"/>
        </w:rPr>
      </w:pPr>
    </w:p>
    <w:p w14:paraId="0E8B0442" w14:textId="77777777"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14:paraId="062F175F" w14:textId="77777777"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14:paraId="57A03E40" w14:textId="325D28D9" w:rsidR="009C6638" w:rsidRDefault="00445C8E" w:rsidP="007F3FC2">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D</w:t>
      </w:r>
      <w:r w:rsidR="007F3FC2" w:rsidRPr="007F3FC2">
        <w:rPr>
          <w:rFonts w:ascii="Bookman Old Style" w:eastAsia="Times New Roman" w:hAnsi="Bookman Old Style" w:cs="Times New Roman"/>
          <w:sz w:val="24"/>
          <w:szCs w:val="24"/>
          <w:lang w:val="es-ES" w:eastAsia="es-ES"/>
        </w:rPr>
        <w:t xml:space="preserve">entro de los argumentos expuestos </w:t>
      </w:r>
      <w:r w:rsidR="007F3FC2" w:rsidRPr="008D6A3D">
        <w:rPr>
          <w:rFonts w:ascii="Bookman Old Style" w:eastAsia="Times New Roman" w:hAnsi="Bookman Old Style" w:cs="Times New Roman"/>
          <w:sz w:val="24"/>
          <w:szCs w:val="24"/>
          <w:lang w:val="es-ES" w:eastAsia="es-ES"/>
        </w:rPr>
        <w:t xml:space="preserve">por </w:t>
      </w:r>
      <w:r w:rsidR="009C6638" w:rsidRPr="008D6A3D">
        <w:rPr>
          <w:rFonts w:ascii="Bookman Old Style" w:eastAsia="Times New Roman" w:hAnsi="Bookman Old Style" w:cs="Times New Roman"/>
          <w:sz w:val="24"/>
          <w:szCs w:val="24"/>
          <w:lang w:val="es-ES" w:eastAsia="es-ES"/>
        </w:rPr>
        <w:t>Montagas S.A. E.S.P.</w:t>
      </w:r>
      <w:r w:rsidRPr="008D6A3D">
        <w:rPr>
          <w:rFonts w:ascii="Bookman Old Style" w:eastAsia="Times New Roman" w:hAnsi="Bookman Old Style" w:cs="Times New Roman"/>
          <w:sz w:val="24"/>
          <w:szCs w:val="24"/>
          <w:lang w:val="es-ES" w:eastAsia="es-ES"/>
        </w:rPr>
        <w:t>,</w:t>
      </w:r>
      <w:r w:rsidR="007F3FC2" w:rsidRPr="008D6A3D">
        <w:rPr>
          <w:rFonts w:ascii="Bookman Old Style" w:eastAsia="Times New Roman" w:hAnsi="Bookman Old Style" w:cs="Times New Roman"/>
          <w:sz w:val="24"/>
          <w:szCs w:val="24"/>
          <w:lang w:val="es-ES" w:eastAsia="es-ES"/>
        </w:rPr>
        <w:t xml:space="preserve"> a efectos de sustentar su recurso de reposición</w:t>
      </w:r>
      <w:r w:rsidR="009C6638" w:rsidRPr="008D6A3D">
        <w:rPr>
          <w:rFonts w:ascii="Bookman Old Style" w:eastAsia="Times New Roman" w:hAnsi="Bookman Old Style" w:cs="Times New Roman"/>
          <w:sz w:val="24"/>
          <w:szCs w:val="24"/>
          <w:lang w:val="es-ES" w:eastAsia="es-ES"/>
        </w:rPr>
        <w:t>,</w:t>
      </w:r>
      <w:r w:rsidR="007F3FC2" w:rsidRPr="008D6A3D">
        <w:rPr>
          <w:rFonts w:ascii="Bookman Old Style" w:eastAsia="Times New Roman" w:hAnsi="Bookman Old Style" w:cs="Times New Roman"/>
          <w:sz w:val="24"/>
          <w:szCs w:val="24"/>
          <w:lang w:val="es-ES" w:eastAsia="es-ES"/>
        </w:rPr>
        <w:t xml:space="preserve"> se en</w:t>
      </w:r>
      <w:r w:rsidR="009C6638" w:rsidRPr="008D6A3D">
        <w:rPr>
          <w:rFonts w:ascii="Bookman Old Style" w:eastAsia="Times New Roman" w:hAnsi="Bookman Old Style" w:cs="Times New Roman"/>
          <w:sz w:val="24"/>
          <w:szCs w:val="24"/>
          <w:lang w:val="es-ES" w:eastAsia="es-ES"/>
        </w:rPr>
        <w:t>cuentran</w:t>
      </w:r>
      <w:r w:rsidR="007F3FC2" w:rsidRPr="008D6A3D">
        <w:rPr>
          <w:rFonts w:ascii="Bookman Old Style" w:eastAsia="Times New Roman" w:hAnsi="Bookman Old Style" w:cs="Times New Roman"/>
          <w:sz w:val="24"/>
          <w:szCs w:val="24"/>
          <w:lang w:val="es-ES" w:eastAsia="es-ES"/>
        </w:rPr>
        <w:t xml:space="preserve"> elementos relacionados</w:t>
      </w:r>
      <w:r w:rsidR="007F3FC2" w:rsidRPr="007F3FC2">
        <w:rPr>
          <w:rFonts w:ascii="Bookman Old Style" w:eastAsia="Times New Roman" w:hAnsi="Bookman Old Style" w:cs="Times New Roman"/>
          <w:sz w:val="24"/>
          <w:szCs w:val="24"/>
          <w:lang w:val="es-ES" w:eastAsia="es-ES"/>
        </w:rPr>
        <w:t xml:space="preserve"> con </w:t>
      </w:r>
      <w:r w:rsidR="00B753C1">
        <w:rPr>
          <w:rFonts w:ascii="Bookman Old Style" w:eastAsia="Times New Roman" w:hAnsi="Bookman Old Style" w:cs="Times New Roman"/>
          <w:sz w:val="24"/>
          <w:szCs w:val="24"/>
          <w:lang w:val="es-ES" w:eastAsia="es-ES"/>
        </w:rPr>
        <w:t>la</w:t>
      </w:r>
      <w:r w:rsidR="007F3FC2" w:rsidRPr="007F3FC2">
        <w:rPr>
          <w:rFonts w:ascii="Bookman Old Style" w:eastAsia="Times New Roman" w:hAnsi="Bookman Old Style" w:cs="Times New Roman"/>
          <w:sz w:val="24"/>
          <w:szCs w:val="24"/>
          <w:lang w:val="es-ES" w:eastAsia="es-ES"/>
        </w:rPr>
        <w:t xml:space="preserve"> información del Sistema Único de Información</w:t>
      </w:r>
      <w:r w:rsidR="00C471E7">
        <w:rPr>
          <w:rFonts w:ascii="Bookman Old Style" w:eastAsia="Times New Roman" w:hAnsi="Bookman Old Style" w:cs="Times New Roman"/>
          <w:sz w:val="24"/>
          <w:szCs w:val="24"/>
          <w:lang w:val="es-ES" w:eastAsia="es-ES"/>
        </w:rPr>
        <w:t>,</w:t>
      </w:r>
      <w:r w:rsidR="007F3FC2" w:rsidRPr="007F3FC2">
        <w:rPr>
          <w:rFonts w:ascii="Bookman Old Style" w:eastAsia="Times New Roman" w:hAnsi="Bookman Old Style" w:cs="Times New Roman"/>
          <w:sz w:val="24"/>
          <w:szCs w:val="24"/>
          <w:lang w:val="es-ES" w:eastAsia="es-ES"/>
        </w:rPr>
        <w:t xml:space="preserve"> SUI</w:t>
      </w:r>
      <w:r w:rsidR="009C6638">
        <w:rPr>
          <w:rFonts w:ascii="Bookman Old Style" w:eastAsia="Times New Roman" w:hAnsi="Bookman Old Style" w:cs="Times New Roman"/>
          <w:sz w:val="24"/>
          <w:szCs w:val="24"/>
          <w:lang w:val="es-ES" w:eastAsia="es-ES"/>
        </w:rPr>
        <w:t>,</w:t>
      </w:r>
      <w:r w:rsidR="007F3FC2" w:rsidRPr="007F3FC2">
        <w:rPr>
          <w:rFonts w:ascii="Bookman Old Style" w:eastAsia="Times New Roman" w:hAnsi="Bookman Old Style" w:cs="Times New Roman"/>
          <w:sz w:val="24"/>
          <w:szCs w:val="24"/>
          <w:lang w:val="es-ES" w:eastAsia="es-ES"/>
        </w:rPr>
        <w:t xml:space="preserve"> remitida por la Superintendencia de Servicios Públicos Domiciliarios a efectos </w:t>
      </w:r>
      <w:r w:rsidR="009C6638">
        <w:rPr>
          <w:rFonts w:ascii="Bookman Old Style" w:eastAsia="Times New Roman" w:hAnsi="Bookman Old Style" w:cs="Times New Roman"/>
          <w:sz w:val="24"/>
          <w:szCs w:val="24"/>
          <w:lang w:val="es-ES" w:eastAsia="es-ES"/>
        </w:rPr>
        <w:t xml:space="preserve">de definir la capacidad de compra </w:t>
      </w:r>
      <w:r w:rsidR="009C6638" w:rsidRPr="008D5E7E">
        <w:rPr>
          <w:rFonts w:ascii="Bookman Old Style" w:eastAsia="Times New Roman" w:hAnsi="Bookman Old Style" w:cs="Times New Roman"/>
          <w:sz w:val="24"/>
          <w:szCs w:val="24"/>
          <w:lang w:val="es-ES" w:eastAsia="es-ES"/>
        </w:rPr>
        <w:t xml:space="preserve">para el </w:t>
      </w:r>
      <w:r w:rsidRPr="00090AD5">
        <w:rPr>
          <w:rFonts w:ascii="Bookman Old Style" w:eastAsia="Times New Roman" w:hAnsi="Bookman Old Style" w:cs="Times New Roman"/>
          <w:sz w:val="24"/>
          <w:szCs w:val="24"/>
          <w:lang w:val="es-ES" w:eastAsia="es-ES"/>
        </w:rPr>
        <w:t xml:space="preserve">décimo primer </w:t>
      </w:r>
      <w:r w:rsidR="009C6638" w:rsidRPr="008D5E7E">
        <w:rPr>
          <w:rFonts w:ascii="Bookman Old Style" w:eastAsia="Times New Roman" w:hAnsi="Bookman Old Style" w:cs="Times New Roman"/>
          <w:sz w:val="24"/>
          <w:szCs w:val="24"/>
          <w:lang w:val="es-ES" w:eastAsia="es-ES"/>
        </w:rPr>
        <w:t>p</w:t>
      </w:r>
      <w:r w:rsidR="00420355">
        <w:rPr>
          <w:rFonts w:ascii="Bookman Old Style" w:eastAsia="Times New Roman" w:hAnsi="Bookman Old Style" w:cs="Times New Roman"/>
          <w:sz w:val="24"/>
          <w:szCs w:val="24"/>
          <w:lang w:val="es-ES" w:eastAsia="es-ES"/>
        </w:rPr>
        <w:t>eríodo</w:t>
      </w:r>
      <w:r w:rsidR="009C6638" w:rsidRPr="008D5E7E">
        <w:rPr>
          <w:rFonts w:ascii="Bookman Old Style" w:eastAsia="Times New Roman" w:hAnsi="Bookman Old Style" w:cs="Times New Roman"/>
          <w:sz w:val="24"/>
          <w:szCs w:val="24"/>
          <w:lang w:val="es-ES" w:eastAsia="es-ES"/>
        </w:rPr>
        <w:t xml:space="preserve">. Por lo anterior, esta Comisión procedió a decretar de manera </w:t>
      </w:r>
      <w:r w:rsidR="009C6638" w:rsidRPr="008D5E7E">
        <w:rPr>
          <w:rFonts w:ascii="Bookman Old Style" w:eastAsia="Times New Roman" w:hAnsi="Bookman Old Style" w:cs="Arial"/>
          <w:spacing w:val="-5"/>
          <w:sz w:val="24"/>
          <w:szCs w:val="24"/>
        </w:rPr>
        <w:t>oficiosa</w:t>
      </w:r>
      <w:r w:rsidR="009C6638" w:rsidRPr="008D5E7E">
        <w:rPr>
          <w:rFonts w:ascii="Bookman Old Style" w:eastAsia="Times New Roman" w:hAnsi="Bookman Old Style" w:cs="Times New Roman"/>
          <w:sz w:val="24"/>
          <w:szCs w:val="24"/>
          <w:lang w:val="es-ES" w:eastAsia="es-ES"/>
        </w:rPr>
        <w:t xml:space="preserve"> la práctica de pruebas, mediante el Auto I-202</w:t>
      </w:r>
      <w:r w:rsidRPr="00090AD5">
        <w:rPr>
          <w:rFonts w:ascii="Bookman Old Style" w:eastAsia="Times New Roman" w:hAnsi="Bookman Old Style" w:cs="Times New Roman"/>
          <w:sz w:val="24"/>
          <w:szCs w:val="24"/>
          <w:lang w:val="es-ES" w:eastAsia="es-ES"/>
        </w:rPr>
        <w:t>1</w:t>
      </w:r>
      <w:r w:rsidR="009C6638" w:rsidRPr="008D5E7E">
        <w:rPr>
          <w:rFonts w:ascii="Bookman Old Style" w:eastAsia="Times New Roman" w:hAnsi="Bookman Old Style" w:cs="Times New Roman"/>
          <w:sz w:val="24"/>
          <w:szCs w:val="24"/>
          <w:lang w:val="es-ES" w:eastAsia="es-ES"/>
        </w:rPr>
        <w:t>-00</w:t>
      </w:r>
      <w:r w:rsidR="00472A8F" w:rsidRPr="00090AD5">
        <w:rPr>
          <w:rFonts w:ascii="Bookman Old Style" w:eastAsia="Times New Roman" w:hAnsi="Bookman Old Style" w:cs="Times New Roman"/>
          <w:sz w:val="24"/>
          <w:szCs w:val="24"/>
          <w:lang w:val="es-ES" w:eastAsia="es-ES"/>
        </w:rPr>
        <w:t>3881</w:t>
      </w:r>
      <w:r w:rsidR="00AF4C82" w:rsidRPr="008D5E7E">
        <w:rPr>
          <w:rFonts w:ascii="Bookman Old Style" w:eastAsia="Times New Roman" w:hAnsi="Bookman Old Style" w:cs="Times New Roman"/>
          <w:sz w:val="24"/>
          <w:szCs w:val="24"/>
          <w:lang w:val="es-ES" w:eastAsia="es-ES"/>
        </w:rPr>
        <w:t xml:space="preserve"> del 1</w:t>
      </w:r>
      <w:r w:rsidR="00046E75" w:rsidRPr="00090AD5">
        <w:rPr>
          <w:rFonts w:ascii="Bookman Old Style" w:eastAsia="Times New Roman" w:hAnsi="Bookman Old Style" w:cs="Times New Roman"/>
          <w:sz w:val="24"/>
          <w:szCs w:val="24"/>
          <w:lang w:val="es-ES" w:eastAsia="es-ES"/>
        </w:rPr>
        <w:t>4</w:t>
      </w:r>
      <w:r w:rsidR="00AF4C82" w:rsidRPr="008D5E7E">
        <w:rPr>
          <w:rFonts w:ascii="Bookman Old Style" w:eastAsia="Times New Roman" w:hAnsi="Bookman Old Style" w:cs="Times New Roman"/>
          <w:sz w:val="24"/>
          <w:szCs w:val="24"/>
          <w:lang w:val="es-ES" w:eastAsia="es-ES"/>
        </w:rPr>
        <w:t xml:space="preserve"> de </w:t>
      </w:r>
      <w:r w:rsidR="00472A8F" w:rsidRPr="00090AD5">
        <w:rPr>
          <w:rFonts w:ascii="Bookman Old Style" w:eastAsia="Times New Roman" w:hAnsi="Bookman Old Style" w:cs="Times New Roman"/>
          <w:sz w:val="24"/>
          <w:szCs w:val="24"/>
          <w:lang w:val="es-ES" w:eastAsia="es-ES"/>
        </w:rPr>
        <w:t>diciembre de 2021</w:t>
      </w:r>
      <w:r w:rsidR="00AF4C82" w:rsidRPr="008D5E7E">
        <w:rPr>
          <w:rFonts w:ascii="Bookman Old Style" w:eastAsia="Times New Roman" w:hAnsi="Bookman Old Style" w:cs="Times New Roman"/>
          <w:sz w:val="24"/>
          <w:szCs w:val="24"/>
          <w:lang w:val="es-ES" w:eastAsia="es-ES"/>
        </w:rPr>
        <w:t>,</w:t>
      </w:r>
      <w:r w:rsidR="009C6638" w:rsidRPr="008D5E7E">
        <w:rPr>
          <w:rFonts w:ascii="Bookman Old Style" w:eastAsia="Times New Roman" w:hAnsi="Bookman Old Style" w:cs="Times New Roman"/>
          <w:sz w:val="24"/>
          <w:szCs w:val="24"/>
          <w:lang w:val="es-ES" w:eastAsia="es-ES"/>
        </w:rPr>
        <w:t xml:space="preserve"> </w:t>
      </w:r>
      <w:r w:rsidR="00336602">
        <w:rPr>
          <w:rFonts w:ascii="Bookman Old Style" w:eastAsia="Times New Roman" w:hAnsi="Bookman Old Style" w:cs="Times New Roman"/>
          <w:sz w:val="24"/>
          <w:szCs w:val="24"/>
          <w:lang w:val="es-ES" w:eastAsia="es-ES"/>
        </w:rPr>
        <w:t xml:space="preserve">en donde </w:t>
      </w:r>
      <w:r w:rsidR="009C6638" w:rsidRPr="008D5E7E">
        <w:rPr>
          <w:rFonts w:ascii="Bookman Old Style" w:eastAsia="Times New Roman" w:hAnsi="Bookman Old Style" w:cs="Times New Roman"/>
          <w:sz w:val="24"/>
          <w:szCs w:val="24"/>
          <w:lang w:val="es-ES" w:eastAsia="es-ES"/>
        </w:rPr>
        <w:t>se solici</w:t>
      </w:r>
      <w:r w:rsidR="009C6638" w:rsidRPr="007F3FC2">
        <w:rPr>
          <w:rFonts w:ascii="Bookman Old Style" w:eastAsia="Times New Roman" w:hAnsi="Bookman Old Style" w:cs="Times New Roman"/>
          <w:sz w:val="24"/>
          <w:szCs w:val="24"/>
          <w:lang w:val="es-ES" w:eastAsia="es-ES"/>
        </w:rPr>
        <w:t>tó a la Superintendencia de Servicios Públicos Domiciliarios, en calidad de administrador de dicha herramienta, lo siguiente:</w:t>
      </w:r>
    </w:p>
    <w:p w14:paraId="3980F391" w14:textId="77777777" w:rsidR="007F3FC2" w:rsidRDefault="007F3FC2" w:rsidP="00A33677">
      <w:pPr>
        <w:pStyle w:val="Textoindependiente2"/>
        <w:spacing w:after="0" w:line="240" w:lineRule="auto"/>
        <w:ind w:left="-142" w:right="-142"/>
        <w:jc w:val="both"/>
        <w:rPr>
          <w:rFonts w:ascii="Bookman Old Style" w:hAnsi="Bookman Old Style" w:cs="Arial"/>
          <w:spacing w:val="-5"/>
        </w:rPr>
      </w:pPr>
    </w:p>
    <w:p w14:paraId="174E9C32" w14:textId="77777777" w:rsidR="0023528E" w:rsidRPr="00504AFB" w:rsidRDefault="007F3FC2"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sz w:val="22"/>
          <w:szCs w:val="22"/>
        </w:rPr>
        <w:t>“</w:t>
      </w:r>
      <w:r w:rsidR="0023528E" w:rsidRPr="00504AFB">
        <w:rPr>
          <w:rFonts w:ascii="Bookman Old Style" w:hAnsi="Bookman Old Style" w:cs="Arial"/>
          <w:b/>
          <w:bCs/>
          <w:i/>
          <w:iCs/>
          <w:spacing w:val="-5"/>
          <w:sz w:val="22"/>
          <w:szCs w:val="22"/>
        </w:rPr>
        <w:t xml:space="preserve">Artículo 1. </w:t>
      </w:r>
      <w:r w:rsidR="0023528E" w:rsidRPr="00504AFB">
        <w:rPr>
          <w:rFonts w:ascii="Bookman Old Style" w:hAnsi="Bookman Old Style" w:cs="Arial"/>
          <w:i/>
          <w:iCs/>
          <w:spacing w:val="-5"/>
          <w:sz w:val="22"/>
          <w:szCs w:val="22"/>
        </w:rPr>
        <w:t>Decretar de manera oficiosa la práctica de las siguientes pruebas, a efectos de que esta Comisión pueda resolver los recursos de reposición interpuestos en contra de la Resolución 209 de 2021:</w:t>
      </w:r>
    </w:p>
    <w:p w14:paraId="3DCAEE0D"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p>
    <w:p w14:paraId="2D1B31EE"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iCs/>
          <w:spacing w:val="-5"/>
          <w:sz w:val="22"/>
          <w:szCs w:val="22"/>
        </w:rPr>
        <w:t>Oficiar a la Superintendencia de Servicios Públicos Domiciliarios para que en el término de hasta (3) días hábiles siguientes al recibo del presente auto, manifieste e informe a esta Entidad si existen diferencias, modificaciones o ajustes en la información del SUI remitida a esta Comisión mediante las comunicaciones 20212304635951, 20212304978871 y 20212305630271, con radicados CREG E-2021-012045, E-2021-012801 y E-2021-014000, respectivamente, correspondientes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el recurso de reposición por parte de las empresas MONTAGAS S.A. E.S.P., TURGAS S.A. E.S.P., VILLAGAS S.A. E.S.P., BTU ENERGY SAS E.S.P. y LA LLAMA OLIMPICA S.A. E.S.P. relacionados con la Superintendencia de Servicios Públicos Domiciliarios al Sistema Único de Información, SUI.</w:t>
      </w:r>
    </w:p>
    <w:p w14:paraId="07573CB3"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p>
    <w:p w14:paraId="38C04C36"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iCs/>
          <w:spacing w:val="-5"/>
          <w:sz w:val="22"/>
          <w:szCs w:val="22"/>
        </w:rPr>
        <w:t xml:space="preserve">Para el efecto, se remitirá a la Superintendencia la información del archivo Excel entregada mediante las comunicaciones 20212304635951, 20212304978871 y 20212305630271, con radicados CREG E-2021-012045, E-2021-012801 y E-2021-014000, respectivamente, así como copia de los recursos de reposición interpuestos en contra de la Resolución CREG 209 de 2021 y los soportes que allegan dentro de dichos recursos. </w:t>
      </w:r>
    </w:p>
    <w:p w14:paraId="44387B66"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p>
    <w:p w14:paraId="45E2D258"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iCs/>
          <w:spacing w:val="-5"/>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14:paraId="29AC4F17"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p>
    <w:tbl>
      <w:tblPr>
        <w:tblStyle w:val="Tablaconcuadrcula6"/>
        <w:tblW w:w="0" w:type="auto"/>
        <w:jc w:val="center"/>
        <w:tblLook w:val="04A0" w:firstRow="1" w:lastRow="0" w:firstColumn="1" w:lastColumn="0" w:noHBand="0" w:noVBand="1"/>
      </w:tblPr>
      <w:tblGrid>
        <w:gridCol w:w="2408"/>
        <w:gridCol w:w="2442"/>
        <w:gridCol w:w="2929"/>
      </w:tblGrid>
      <w:tr w:rsidR="0023528E" w:rsidRPr="00336602" w14:paraId="23880373" w14:textId="77777777" w:rsidTr="00E8426D">
        <w:trPr>
          <w:jc w:val="center"/>
        </w:trPr>
        <w:tc>
          <w:tcPr>
            <w:tcW w:w="2408" w:type="dxa"/>
            <w:vAlign w:val="center"/>
          </w:tcPr>
          <w:p w14:paraId="5262E605" w14:textId="77777777" w:rsidR="0023528E" w:rsidRPr="00504AFB" w:rsidRDefault="0023528E" w:rsidP="00C471E7">
            <w:pPr>
              <w:spacing w:line="259" w:lineRule="auto"/>
              <w:rPr>
                <w:rFonts w:ascii="Bookman Old Style" w:hAnsi="Bookman Old Style" w:cs="Arial"/>
                <w:i/>
                <w:iCs/>
                <w:sz w:val="22"/>
                <w:szCs w:val="22"/>
              </w:rPr>
            </w:pPr>
            <w:r w:rsidRPr="00504AFB">
              <w:rPr>
                <w:rFonts w:ascii="Bookman Old Style" w:hAnsi="Bookman Old Style" w:cs="Arial"/>
                <w:i/>
                <w:iCs/>
                <w:sz w:val="22"/>
                <w:szCs w:val="22"/>
              </w:rPr>
              <w:t>Identificador de empresa (código SUI)</w:t>
            </w:r>
          </w:p>
        </w:tc>
        <w:tc>
          <w:tcPr>
            <w:tcW w:w="2442" w:type="dxa"/>
            <w:vAlign w:val="center"/>
          </w:tcPr>
          <w:p w14:paraId="371F1E4A" w14:textId="77777777" w:rsidR="0023528E" w:rsidRPr="00504AFB" w:rsidRDefault="0023528E" w:rsidP="00C471E7">
            <w:pPr>
              <w:spacing w:line="259" w:lineRule="auto"/>
              <w:rPr>
                <w:rFonts w:ascii="Bookman Old Style" w:hAnsi="Bookman Old Style" w:cs="Arial"/>
                <w:i/>
                <w:iCs/>
                <w:sz w:val="22"/>
                <w:szCs w:val="22"/>
              </w:rPr>
            </w:pPr>
            <w:r w:rsidRPr="00504AFB">
              <w:rPr>
                <w:rFonts w:ascii="Bookman Old Style" w:hAnsi="Bookman Old Style" w:cs="Arial"/>
                <w:i/>
                <w:iCs/>
                <w:sz w:val="22"/>
                <w:szCs w:val="22"/>
              </w:rPr>
              <w:t>Código de presentación del cilindro</w:t>
            </w:r>
          </w:p>
        </w:tc>
        <w:tc>
          <w:tcPr>
            <w:tcW w:w="2929" w:type="dxa"/>
            <w:vAlign w:val="center"/>
          </w:tcPr>
          <w:p w14:paraId="3FD9D9DF" w14:textId="77777777" w:rsidR="0023528E" w:rsidRPr="00504AFB" w:rsidRDefault="0023528E" w:rsidP="00C471E7">
            <w:pPr>
              <w:spacing w:line="259" w:lineRule="auto"/>
              <w:rPr>
                <w:rFonts w:ascii="Bookman Old Style" w:hAnsi="Bookman Old Style" w:cs="Arial"/>
                <w:i/>
                <w:iCs/>
                <w:sz w:val="22"/>
                <w:szCs w:val="22"/>
              </w:rPr>
            </w:pPr>
            <w:r w:rsidRPr="00504AFB">
              <w:rPr>
                <w:rFonts w:ascii="Bookman Old Style" w:hAnsi="Bookman Old Style" w:cs="Arial"/>
                <w:i/>
                <w:iCs/>
                <w:sz w:val="22"/>
                <w:szCs w:val="22"/>
              </w:rPr>
              <w:t xml:space="preserve">Cantidad de cilindros por cada código de presentación </w:t>
            </w:r>
          </w:p>
        </w:tc>
      </w:tr>
    </w:tbl>
    <w:p w14:paraId="33F91889"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lang w:val="es-CO"/>
        </w:rPr>
      </w:pPr>
    </w:p>
    <w:p w14:paraId="762F1DBA" w14:textId="624A8DE2"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iCs/>
          <w:spacing w:val="-5"/>
          <w:sz w:val="22"/>
          <w:szCs w:val="22"/>
        </w:rPr>
        <w:t>Identificador de empresa (código SUI)</w:t>
      </w:r>
      <w:r w:rsidRPr="00504AFB">
        <w:rPr>
          <w:rFonts w:ascii="Bookman Old Style" w:hAnsi="Bookman Old Style" w:cs="Arial"/>
          <w:i/>
          <w:iCs/>
          <w:spacing w:val="-5"/>
          <w:sz w:val="22"/>
          <w:szCs w:val="22"/>
        </w:rPr>
        <w:tab/>
        <w:t xml:space="preserve">Código de presentación del cilindro Cantidad de cilindros por cada código de presentación </w:t>
      </w:r>
    </w:p>
    <w:p w14:paraId="0894603C"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p>
    <w:p w14:paraId="3F3C946C" w14:textId="77777777" w:rsidR="0023528E" w:rsidRPr="00504AFB" w:rsidRDefault="0023528E" w:rsidP="00C471E7">
      <w:pPr>
        <w:pStyle w:val="Textoindependiente2"/>
        <w:spacing w:after="0" w:line="240" w:lineRule="auto"/>
        <w:jc w:val="both"/>
        <w:rPr>
          <w:rFonts w:ascii="Bookman Old Style" w:hAnsi="Bookman Old Style" w:cs="Arial"/>
          <w:i/>
          <w:iCs/>
          <w:spacing w:val="-5"/>
          <w:sz w:val="22"/>
          <w:szCs w:val="22"/>
        </w:rPr>
      </w:pPr>
      <w:r w:rsidRPr="00504AFB">
        <w:rPr>
          <w:rFonts w:ascii="Bookman Old Style" w:hAnsi="Bookman Old Style" w:cs="Arial"/>
          <w:i/>
          <w:iCs/>
          <w:spacing w:val="-5"/>
          <w:sz w:val="22"/>
          <w:szCs w:val="22"/>
        </w:rPr>
        <w:t>Así mismo, remitir la información de tanques estacionarios atendidos por cada distribuidor y su capacidad en galones, de acuerdo con lo reportado a la Superintendencia de Servicios Públicos Domiciliarios en el Sistema Único de Información, SUI.”</w:t>
      </w:r>
    </w:p>
    <w:p w14:paraId="58ABE291" w14:textId="77777777" w:rsidR="009C6638" w:rsidRPr="009C6638" w:rsidRDefault="009C6638" w:rsidP="00090AD5">
      <w:pPr>
        <w:rPr>
          <w:rFonts w:ascii="Bookman Old Style" w:eastAsia="Times New Roman" w:hAnsi="Bookman Old Style" w:cs="Arial"/>
          <w:bCs/>
          <w:i/>
          <w:lang w:eastAsia="es-ES"/>
        </w:rPr>
      </w:pPr>
    </w:p>
    <w:p w14:paraId="551FA765" w14:textId="77777777"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14:paraId="3A65BBE9" w14:textId="77777777"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14:paraId="574129D2" w14:textId="6D0D46F3" w:rsidR="00755FA1"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w:t>
      </w:r>
      <w:r w:rsidRPr="00336602">
        <w:rPr>
          <w:rFonts w:ascii="Bookman Old Style" w:eastAsia="Times New Roman" w:hAnsi="Bookman Old Style" w:cs="Times New Roman"/>
          <w:sz w:val="24"/>
          <w:szCs w:val="24"/>
          <w:lang w:val="es-ES" w:eastAsia="es-ES"/>
        </w:rPr>
        <w:t xml:space="preserve">que los mismos tienen como objeto </w:t>
      </w:r>
      <w:r w:rsidR="00260077" w:rsidRPr="00336602">
        <w:rPr>
          <w:rFonts w:ascii="Bookman Old Style" w:eastAsia="Times New Roman" w:hAnsi="Bookman Old Style" w:cs="Times New Roman"/>
          <w:sz w:val="24"/>
          <w:szCs w:val="24"/>
          <w:lang w:val="es-ES" w:eastAsia="es-ES"/>
        </w:rPr>
        <w:t>revocar</w:t>
      </w:r>
      <w:r w:rsidRPr="00336602">
        <w:rPr>
          <w:rFonts w:ascii="Bookman Old Style" w:eastAsia="Times New Roman" w:hAnsi="Bookman Old Style" w:cs="Times New Roman"/>
          <w:sz w:val="24"/>
          <w:szCs w:val="24"/>
          <w:lang w:val="es-ES" w:eastAsia="es-ES"/>
        </w:rPr>
        <w:t xml:space="preserve"> la decisión adoptada por la CREG en la Resolución CREG </w:t>
      </w:r>
      <w:r w:rsidR="00BC4910" w:rsidRPr="00336602">
        <w:rPr>
          <w:rFonts w:ascii="Bookman Old Style" w:eastAsia="Times New Roman" w:hAnsi="Bookman Old Style" w:cs="Times New Roman"/>
          <w:sz w:val="24"/>
          <w:szCs w:val="24"/>
          <w:lang w:val="es-ES" w:eastAsia="es-ES"/>
        </w:rPr>
        <w:t xml:space="preserve">209 </w:t>
      </w:r>
      <w:r w:rsidR="009C6638" w:rsidRPr="00336602">
        <w:rPr>
          <w:rFonts w:ascii="Bookman Old Style" w:eastAsia="Times New Roman" w:hAnsi="Bookman Old Style" w:cs="Times New Roman"/>
          <w:sz w:val="24"/>
          <w:szCs w:val="24"/>
          <w:lang w:val="es-ES" w:eastAsia="es-ES"/>
        </w:rPr>
        <w:t>de 202</w:t>
      </w:r>
      <w:r w:rsidR="00BC4910" w:rsidRPr="00336602">
        <w:rPr>
          <w:rFonts w:ascii="Bookman Old Style" w:eastAsia="Times New Roman" w:hAnsi="Bookman Old Style" w:cs="Times New Roman"/>
          <w:sz w:val="24"/>
          <w:szCs w:val="24"/>
          <w:lang w:val="es-ES" w:eastAsia="es-ES"/>
        </w:rPr>
        <w:t>1</w:t>
      </w:r>
      <w:r w:rsidRPr="00336602">
        <w:rPr>
          <w:rFonts w:ascii="Bookman Old Style" w:eastAsia="Times New Roman" w:hAnsi="Bookman Old Style" w:cs="Times New Roman"/>
          <w:sz w:val="24"/>
          <w:szCs w:val="24"/>
          <w:lang w:val="es-ES" w:eastAsia="es-ES"/>
        </w:rPr>
        <w:t xml:space="preserve">, a efectos de que esta Comisión </w:t>
      </w:r>
      <w:r w:rsidR="008540DF" w:rsidRPr="00336602">
        <w:rPr>
          <w:rFonts w:ascii="Bookman Old Style" w:eastAsia="Times New Roman" w:hAnsi="Bookman Old Style" w:cs="Times New Roman"/>
          <w:sz w:val="24"/>
          <w:szCs w:val="24"/>
          <w:lang w:val="es-ES" w:eastAsia="es-ES"/>
        </w:rPr>
        <w:t xml:space="preserve">reconsidere </w:t>
      </w:r>
      <w:r w:rsidRPr="00336602">
        <w:rPr>
          <w:rFonts w:ascii="Bookman Old Style" w:eastAsia="Times New Roman" w:hAnsi="Bookman Old Style" w:cs="Times New Roman"/>
          <w:sz w:val="24"/>
          <w:szCs w:val="24"/>
          <w:lang w:val="es-ES" w:eastAsia="es-ES"/>
        </w:rPr>
        <w:t xml:space="preserve">la capacidad de compra para la empresa </w:t>
      </w:r>
      <w:r w:rsidR="00AC7043" w:rsidRPr="00336602">
        <w:rPr>
          <w:rFonts w:ascii="Bookman Old Style" w:eastAsia="Times New Roman" w:hAnsi="Bookman Old Style" w:cs="Times New Roman"/>
          <w:sz w:val="24"/>
          <w:szCs w:val="24"/>
          <w:lang w:val="es-ES" w:eastAsia="es-ES"/>
        </w:rPr>
        <w:t>Montagas S.A. E.S.P.</w:t>
      </w:r>
      <w:r w:rsidRPr="00336602">
        <w:rPr>
          <w:rFonts w:ascii="Bookman Old Style" w:eastAsia="Times New Roman" w:hAnsi="Bookman Old Style" w:cs="Times New Roman"/>
          <w:sz w:val="24"/>
          <w:szCs w:val="24"/>
          <w:lang w:val="es-ES" w:eastAsia="es-ES"/>
        </w:rPr>
        <w:t xml:space="preserve">, </w:t>
      </w:r>
      <w:r w:rsidRPr="00504AFB">
        <w:rPr>
          <w:rFonts w:ascii="Bookman Old Style" w:eastAsia="Times New Roman" w:hAnsi="Bookman Old Style" w:cs="Times New Roman"/>
          <w:sz w:val="24"/>
          <w:szCs w:val="24"/>
          <w:lang w:val="es-ES" w:eastAsia="es-ES"/>
        </w:rPr>
        <w:t xml:space="preserve">toda vez que </w:t>
      </w:r>
      <w:r w:rsidR="00515916" w:rsidRPr="00504AFB">
        <w:rPr>
          <w:rFonts w:ascii="Bookman Old Style" w:eastAsia="Times New Roman" w:hAnsi="Bookman Old Style" w:cs="Times New Roman"/>
          <w:sz w:val="24"/>
          <w:szCs w:val="24"/>
          <w:lang w:val="es-ES" w:eastAsia="es-ES"/>
        </w:rPr>
        <w:t xml:space="preserve">se presentan novedades en los cálculos </w:t>
      </w:r>
      <w:r w:rsidR="004F245B" w:rsidRPr="00504AFB">
        <w:rPr>
          <w:rFonts w:ascii="Bookman Old Style" w:eastAsia="Times New Roman" w:hAnsi="Bookman Old Style" w:cs="Times New Roman"/>
          <w:sz w:val="24"/>
          <w:szCs w:val="24"/>
          <w:lang w:val="es-ES" w:eastAsia="es-ES"/>
        </w:rPr>
        <w:t xml:space="preserve">plasmados en el documento D-171-2021 que dan como resultado la capacidad de compra </w:t>
      </w:r>
      <w:r w:rsidR="00755FA1" w:rsidRPr="00504AFB">
        <w:rPr>
          <w:rFonts w:ascii="Bookman Old Style" w:eastAsia="Times New Roman" w:hAnsi="Bookman Old Style" w:cs="Times New Roman"/>
          <w:sz w:val="24"/>
          <w:szCs w:val="24"/>
          <w:lang w:val="es-ES" w:eastAsia="es-ES"/>
        </w:rPr>
        <w:t xml:space="preserve">establecida </w:t>
      </w:r>
      <w:r w:rsidR="004F245B" w:rsidRPr="00504AFB">
        <w:rPr>
          <w:rFonts w:ascii="Bookman Old Style" w:eastAsia="Times New Roman" w:hAnsi="Bookman Old Style" w:cs="Times New Roman"/>
          <w:sz w:val="24"/>
          <w:szCs w:val="24"/>
          <w:lang w:val="es-ES" w:eastAsia="es-ES"/>
        </w:rPr>
        <w:t>en la Resolución CREG 209 de 2021</w:t>
      </w:r>
      <w:r w:rsidR="00755FA1" w:rsidRPr="00504AFB">
        <w:rPr>
          <w:rFonts w:ascii="Bookman Old Style" w:eastAsia="Times New Roman" w:hAnsi="Bookman Old Style" w:cs="Times New Roman"/>
          <w:sz w:val="24"/>
          <w:szCs w:val="24"/>
          <w:lang w:val="es-ES" w:eastAsia="es-ES"/>
        </w:rPr>
        <w:t xml:space="preserve"> para la empresa</w:t>
      </w:r>
      <w:r w:rsidR="00336602">
        <w:rPr>
          <w:rFonts w:ascii="Bookman Old Style" w:eastAsia="Times New Roman" w:hAnsi="Bookman Old Style" w:cs="Times New Roman"/>
          <w:sz w:val="24"/>
          <w:szCs w:val="24"/>
          <w:lang w:val="es-ES" w:eastAsia="es-ES"/>
        </w:rPr>
        <w:t xml:space="preserve"> en relación con la </w:t>
      </w:r>
      <w:r w:rsidR="00012E10">
        <w:rPr>
          <w:rFonts w:ascii="Bookman Old Style" w:eastAsia="Times New Roman" w:hAnsi="Bookman Old Style" w:cs="Times New Roman"/>
          <w:sz w:val="24"/>
          <w:szCs w:val="24"/>
          <w:lang w:val="es-ES" w:eastAsia="es-ES"/>
        </w:rPr>
        <w:t>información de cilindros marcados que ha de ser considerada para la definición</w:t>
      </w:r>
      <w:r w:rsidR="004F245B" w:rsidRPr="00504AFB">
        <w:rPr>
          <w:rFonts w:ascii="Bookman Old Style" w:eastAsia="Times New Roman" w:hAnsi="Bookman Old Style" w:cs="Times New Roman"/>
          <w:sz w:val="24"/>
          <w:szCs w:val="24"/>
          <w:lang w:val="es-ES" w:eastAsia="es-ES"/>
        </w:rPr>
        <w:t>.</w:t>
      </w:r>
    </w:p>
    <w:p w14:paraId="0D9D00EB" w14:textId="77777777" w:rsidR="007F3FC2" w:rsidRPr="007F3FC2" w:rsidRDefault="007F3FC2" w:rsidP="00090AD5">
      <w:pPr>
        <w:spacing w:after="0" w:line="240" w:lineRule="auto"/>
        <w:ind w:left="-142" w:right="-142"/>
        <w:jc w:val="both"/>
        <w:rPr>
          <w:rFonts w:ascii="Bookman Old Style" w:eastAsia="Times New Roman" w:hAnsi="Bookman Old Style" w:cs="Times New Roman"/>
          <w:sz w:val="24"/>
          <w:szCs w:val="24"/>
          <w:lang w:val="es-ES" w:eastAsia="es-ES"/>
        </w:rPr>
      </w:pPr>
    </w:p>
    <w:p w14:paraId="5B38F87C" w14:textId="0918125E"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w:t>
      </w:r>
      <w:r w:rsidR="00604BAF">
        <w:rPr>
          <w:rFonts w:ascii="Bookman Old Style" w:eastAsia="Times New Roman" w:hAnsi="Bookman Old Style" w:cs="Times New Roman"/>
          <w:sz w:val="24"/>
          <w:szCs w:val="24"/>
          <w:lang w:val="es-ES" w:eastAsia="es-ES"/>
        </w:rPr>
        <w:t>del recurrente</w:t>
      </w:r>
      <w:r w:rsidRPr="007F3FC2">
        <w:rPr>
          <w:rFonts w:ascii="Bookman Old Style" w:eastAsia="Times New Roman" w:hAnsi="Bookman Old Style" w:cs="Times New Roman"/>
          <w:sz w:val="24"/>
          <w:szCs w:val="24"/>
          <w:lang w:val="es-ES" w:eastAsia="es-ES"/>
        </w:rPr>
        <w:t xml:space="preserve"> con base en la información del Sistema Único de Información</w:t>
      </w:r>
      <w:r w:rsidR="00C471E7">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SUI</w:t>
      </w:r>
      <w:r w:rsidR="00C471E7">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remitida a la Comisión por parte de la Superintendencia de Servicios Públicos Domiciliarios, así como atendiendo el procedimiento previsto en el artículo 8 de la Resolución CREG 063 de 2016, lo cual se refleja en la </w:t>
      </w:r>
      <w:r w:rsidRPr="00502FF5">
        <w:rPr>
          <w:rFonts w:ascii="Bookman Old Style" w:eastAsia="Times New Roman" w:hAnsi="Bookman Old Style" w:cs="Times New Roman"/>
          <w:sz w:val="24"/>
          <w:szCs w:val="24"/>
          <w:lang w:val="es-ES" w:eastAsia="es-ES"/>
        </w:rPr>
        <w:t xml:space="preserve">Resolución </w:t>
      </w:r>
      <w:r w:rsidRPr="00755FA1">
        <w:rPr>
          <w:rFonts w:ascii="Bookman Old Style" w:eastAsia="Times New Roman" w:hAnsi="Bookman Old Style" w:cs="Times New Roman"/>
          <w:sz w:val="24"/>
          <w:szCs w:val="24"/>
          <w:lang w:val="es-ES" w:eastAsia="es-ES"/>
        </w:rPr>
        <w:t xml:space="preserve">CREG </w:t>
      </w:r>
      <w:r w:rsidR="00D0619F" w:rsidRPr="00090AD5">
        <w:rPr>
          <w:rFonts w:ascii="Bookman Old Style" w:eastAsia="Times New Roman" w:hAnsi="Bookman Old Style" w:cs="Times New Roman"/>
          <w:sz w:val="24"/>
          <w:szCs w:val="24"/>
          <w:lang w:val="es-ES" w:eastAsia="es-ES"/>
        </w:rPr>
        <w:t>209</w:t>
      </w:r>
      <w:r w:rsidR="00604BAF" w:rsidRPr="00755FA1">
        <w:rPr>
          <w:rFonts w:ascii="Bookman Old Style" w:eastAsia="Times New Roman" w:hAnsi="Bookman Old Style" w:cs="Times New Roman"/>
          <w:sz w:val="24"/>
          <w:szCs w:val="24"/>
          <w:lang w:val="es-ES" w:eastAsia="es-ES"/>
        </w:rPr>
        <w:t xml:space="preserve"> de 202</w:t>
      </w:r>
      <w:r w:rsidR="00D0619F" w:rsidRPr="00090AD5">
        <w:rPr>
          <w:rFonts w:ascii="Bookman Old Style" w:eastAsia="Times New Roman" w:hAnsi="Bookman Old Style" w:cs="Times New Roman"/>
          <w:sz w:val="24"/>
          <w:szCs w:val="24"/>
          <w:lang w:val="es-ES" w:eastAsia="es-ES"/>
        </w:rPr>
        <w:t>1</w:t>
      </w:r>
      <w:r w:rsidRPr="00755FA1">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w:t>
      </w:r>
    </w:p>
    <w:p w14:paraId="33A180F8" w14:textId="77777777"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14:paraId="55DD6E5A" w14:textId="142FCCF3" w:rsidR="00755EED" w:rsidRPr="008D6A3D" w:rsidRDefault="007F3FC2" w:rsidP="00755EED">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2F2397" w:rsidRPr="00EC42F1">
        <w:rPr>
          <w:rFonts w:ascii="Bookman Old Style" w:eastAsia="Times New Roman" w:hAnsi="Bookman Old Style" w:cs="Times New Roman"/>
          <w:sz w:val="24"/>
          <w:szCs w:val="24"/>
          <w:lang w:val="es-ES" w:eastAsia="es-ES"/>
        </w:rPr>
        <w:t>20212326132971</w:t>
      </w:r>
      <w:r w:rsidRPr="00EC42F1">
        <w:rPr>
          <w:rFonts w:ascii="Bookman Old Style" w:eastAsia="Times New Roman" w:hAnsi="Bookman Old Style" w:cs="Times New Roman"/>
          <w:sz w:val="24"/>
          <w:szCs w:val="24"/>
          <w:lang w:val="es-ES" w:eastAsia="es-ES"/>
        </w:rPr>
        <w:t xml:space="preserve"> radicado CREG </w:t>
      </w:r>
      <w:r w:rsidR="00B37A80" w:rsidRPr="00EC42F1">
        <w:rPr>
          <w:rFonts w:ascii="Bookman Old Style" w:eastAsia="Times New Roman" w:hAnsi="Bookman Old Style" w:cs="Times New Roman"/>
          <w:sz w:val="24"/>
          <w:szCs w:val="24"/>
          <w:lang w:val="es-ES" w:eastAsia="es-ES"/>
        </w:rPr>
        <w:t>E-202</w:t>
      </w:r>
      <w:r w:rsidR="00B20840" w:rsidRPr="00EC42F1">
        <w:rPr>
          <w:rFonts w:ascii="Bookman Old Style" w:eastAsia="Times New Roman" w:hAnsi="Bookman Old Style" w:cs="Times New Roman"/>
          <w:sz w:val="24"/>
          <w:szCs w:val="24"/>
          <w:lang w:val="es-ES" w:eastAsia="es-ES"/>
        </w:rPr>
        <w:t>1</w:t>
      </w:r>
      <w:r w:rsidR="00B37A80" w:rsidRPr="00EC42F1">
        <w:rPr>
          <w:rFonts w:ascii="Bookman Old Style" w:eastAsia="Times New Roman" w:hAnsi="Bookman Old Style" w:cs="Times New Roman"/>
          <w:sz w:val="24"/>
          <w:szCs w:val="24"/>
          <w:lang w:val="es-ES" w:eastAsia="es-ES"/>
        </w:rPr>
        <w:t>-</w:t>
      </w:r>
      <w:r w:rsidR="00B37A80" w:rsidRPr="008D6A3D">
        <w:rPr>
          <w:rFonts w:ascii="Bookman Old Style" w:eastAsia="Times New Roman" w:hAnsi="Bookman Old Style" w:cs="Times New Roman"/>
          <w:sz w:val="24"/>
          <w:szCs w:val="24"/>
          <w:lang w:val="es-ES" w:eastAsia="es-ES"/>
        </w:rPr>
        <w:t>0</w:t>
      </w:r>
      <w:r w:rsidR="00B20840" w:rsidRPr="008D6A3D">
        <w:rPr>
          <w:rFonts w:ascii="Bookman Old Style" w:eastAsia="Times New Roman" w:hAnsi="Bookman Old Style" w:cs="Times New Roman"/>
          <w:sz w:val="24"/>
          <w:szCs w:val="24"/>
          <w:lang w:val="es-ES" w:eastAsia="es-ES"/>
        </w:rPr>
        <w:t>15480</w:t>
      </w:r>
      <w:r w:rsidR="00502FF5" w:rsidRPr="008D6A3D">
        <w:rPr>
          <w:rFonts w:ascii="Bookman Old Style" w:eastAsia="Times New Roman" w:hAnsi="Bookman Old Style" w:cs="Times New Roman"/>
          <w:sz w:val="24"/>
          <w:szCs w:val="24"/>
          <w:lang w:val="es-ES" w:eastAsia="es-ES"/>
        </w:rPr>
        <w:t xml:space="preserve"> del </w:t>
      </w:r>
      <w:r w:rsidR="003E4836" w:rsidRPr="008D6A3D">
        <w:rPr>
          <w:rFonts w:ascii="Bookman Old Style" w:eastAsia="Times New Roman" w:hAnsi="Bookman Old Style" w:cs="Times New Roman"/>
          <w:sz w:val="24"/>
          <w:szCs w:val="24"/>
          <w:lang w:val="es-ES" w:eastAsia="es-ES"/>
        </w:rPr>
        <w:t xml:space="preserve">23 </w:t>
      </w:r>
      <w:r w:rsidR="00502FF5" w:rsidRPr="008D6A3D">
        <w:rPr>
          <w:rFonts w:ascii="Bookman Old Style" w:eastAsia="Times New Roman" w:hAnsi="Bookman Old Style" w:cs="Times New Roman"/>
          <w:sz w:val="24"/>
          <w:szCs w:val="24"/>
          <w:lang w:val="es-ES" w:eastAsia="es-ES"/>
        </w:rPr>
        <w:t xml:space="preserve">de </w:t>
      </w:r>
      <w:r w:rsidR="003E4836" w:rsidRPr="008D6A3D">
        <w:rPr>
          <w:rFonts w:ascii="Bookman Old Style" w:eastAsia="Times New Roman" w:hAnsi="Bookman Old Style" w:cs="Times New Roman"/>
          <w:sz w:val="24"/>
          <w:szCs w:val="24"/>
          <w:lang w:val="es-ES" w:eastAsia="es-ES"/>
        </w:rPr>
        <w:t>diciembre de 2021</w:t>
      </w:r>
      <w:r w:rsidRPr="008D6A3D">
        <w:rPr>
          <w:rFonts w:ascii="Bookman Old Style" w:eastAsia="Times New Roman" w:hAnsi="Bookman Old Style" w:cs="Times New Roman"/>
          <w:sz w:val="24"/>
          <w:szCs w:val="24"/>
          <w:lang w:val="es-ES" w:eastAsia="es-ES"/>
        </w:rPr>
        <w:t>, la Superintendencia de Servicios Públicos Domiciliarios expuso lo siguiente par</w:t>
      </w:r>
      <w:r w:rsidR="00502FF5" w:rsidRPr="008D6A3D">
        <w:rPr>
          <w:rFonts w:ascii="Bookman Old Style" w:eastAsia="Times New Roman" w:hAnsi="Bookman Old Style" w:cs="Times New Roman"/>
          <w:sz w:val="24"/>
          <w:szCs w:val="24"/>
          <w:lang w:val="es-ES" w:eastAsia="es-ES"/>
        </w:rPr>
        <w:t>a</w:t>
      </w:r>
      <w:r w:rsidRPr="008D6A3D">
        <w:rPr>
          <w:rFonts w:ascii="Bookman Old Style" w:eastAsia="Times New Roman" w:hAnsi="Bookman Old Style" w:cs="Times New Roman"/>
          <w:sz w:val="24"/>
          <w:szCs w:val="24"/>
          <w:lang w:val="es-ES" w:eastAsia="es-ES"/>
        </w:rPr>
        <w:t xml:space="preserve"> el caso de la empresa </w:t>
      </w:r>
      <w:r w:rsidR="00B37A80" w:rsidRPr="008D6A3D">
        <w:rPr>
          <w:rFonts w:ascii="Bookman Old Style" w:eastAsia="Times New Roman" w:hAnsi="Bookman Old Style" w:cs="Times New Roman"/>
          <w:sz w:val="24"/>
          <w:szCs w:val="24"/>
          <w:lang w:val="es-ES" w:eastAsia="es-ES"/>
        </w:rPr>
        <w:t>Montagas S.A. E.S.P.</w:t>
      </w:r>
      <w:r w:rsidRPr="008D6A3D">
        <w:rPr>
          <w:rFonts w:ascii="Bookman Old Style" w:eastAsia="Times New Roman" w:hAnsi="Bookman Old Style" w:cs="Times New Roman"/>
          <w:sz w:val="24"/>
          <w:szCs w:val="24"/>
          <w:lang w:val="es-ES" w:eastAsia="es-ES"/>
        </w:rPr>
        <w:t>:</w:t>
      </w:r>
    </w:p>
    <w:p w14:paraId="2ADF5EBE" w14:textId="77777777" w:rsidR="00755EED" w:rsidRPr="008D6A3D" w:rsidRDefault="00755EED" w:rsidP="00755EED">
      <w:pPr>
        <w:spacing w:after="0" w:line="240" w:lineRule="auto"/>
        <w:ind w:left="-142" w:right="-142"/>
        <w:jc w:val="both"/>
        <w:rPr>
          <w:rFonts w:ascii="Bookman Old Style" w:eastAsia="Times New Roman" w:hAnsi="Bookman Old Style" w:cs="Times New Roman"/>
          <w:sz w:val="24"/>
          <w:szCs w:val="24"/>
          <w:lang w:val="es-ES" w:eastAsia="es-ES"/>
        </w:rPr>
      </w:pPr>
    </w:p>
    <w:p w14:paraId="3FB9E4D8" w14:textId="4FC3E019" w:rsidR="008A6867" w:rsidRPr="00504AFB" w:rsidRDefault="00D12E25" w:rsidP="00C471E7">
      <w:pPr>
        <w:spacing w:after="0" w:line="240" w:lineRule="auto"/>
        <w:ind w:left="567" w:hanging="283"/>
        <w:jc w:val="both"/>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w:t>
      </w:r>
      <w:r w:rsidR="001E78F6" w:rsidRPr="00504AFB">
        <w:rPr>
          <w:rFonts w:ascii="Bookman Old Style" w:eastAsia="Times New Roman" w:hAnsi="Bookman Old Style" w:cs="Times New Roman"/>
          <w:b/>
          <w:bCs/>
          <w:i/>
          <w:iCs/>
          <w:lang w:val="es-ES" w:eastAsia="es-ES"/>
        </w:rPr>
        <w:t>A.</w:t>
      </w:r>
      <w:r w:rsidR="001E78F6" w:rsidRPr="00504AFB">
        <w:rPr>
          <w:rFonts w:ascii="Bookman Old Style" w:eastAsia="Times New Roman" w:hAnsi="Bookman Old Style" w:cs="Times New Roman"/>
          <w:i/>
          <w:iCs/>
          <w:lang w:val="es-ES" w:eastAsia="es-ES"/>
        </w:rPr>
        <w:t xml:space="preserve"> </w:t>
      </w:r>
      <w:r w:rsidR="00F30E26" w:rsidRPr="00504AFB">
        <w:rPr>
          <w:rFonts w:ascii="Bookman Old Style" w:eastAsia="Times New Roman" w:hAnsi="Bookman Old Style" w:cs="Times New Roman"/>
          <w:i/>
          <w:iCs/>
          <w:lang w:val="es-ES" w:eastAsia="es-ES"/>
        </w:rPr>
        <w:t>En la fecha de corte de consulta de información (07 de octubre de 2021), se realizó la verificación del cargue de información efectuado por la empresa en el Sistema Único de Información – SUI, del Formato (1661) “Tanques Estacionarios Atendidos por el Distribuidor” para el segundo trimestre de 2021, encontrando que esta información se encontraba en estado “CERTIFICADA” con un total de 3.702 tanques, representando así, una capacidad total de 953.735 Galones y para el Formato (6009) “Información Técnica del Parque de Cilindros Marcados” y de la información del Sistema de Información de Cilindros Marcados – SICMA, se encontraba la siguiente relación de cilindros, con sus respectivas presentaciones.</w:t>
      </w:r>
    </w:p>
    <w:p w14:paraId="3786384F" w14:textId="2FF87B44" w:rsidR="008A6867" w:rsidRPr="00504AFB" w:rsidRDefault="00CA0B75" w:rsidP="00090AD5">
      <w:pPr>
        <w:spacing w:after="0" w:line="240" w:lineRule="auto"/>
        <w:ind w:left="567" w:right="284" w:hanging="283"/>
        <w:jc w:val="center"/>
        <w:rPr>
          <w:rFonts w:ascii="Bookman Old Style" w:eastAsia="Times New Roman" w:hAnsi="Bookman Old Style" w:cs="Times New Roman"/>
          <w:i/>
          <w:iCs/>
          <w:lang w:val="es-ES" w:eastAsia="es-ES"/>
        </w:rPr>
      </w:pPr>
      <w:r w:rsidRPr="00012E10">
        <w:rPr>
          <w:i/>
          <w:iCs/>
          <w:noProof/>
        </w:rPr>
        <w:drawing>
          <wp:inline distT="0" distB="0" distL="0" distR="0" wp14:anchorId="6A9DB6C4" wp14:editId="315CB3AC">
            <wp:extent cx="4247800" cy="2961565"/>
            <wp:effectExtent l="0" t="0" r="635" b="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pic:nvPicPr>
                  <pic:blipFill>
                    <a:blip r:embed="rId18"/>
                    <a:stretch>
                      <a:fillRect/>
                    </a:stretch>
                  </pic:blipFill>
                  <pic:spPr>
                    <a:xfrm>
                      <a:off x="0" y="0"/>
                      <a:ext cx="4254544" cy="2966267"/>
                    </a:xfrm>
                    <a:prstGeom prst="rect">
                      <a:avLst/>
                    </a:prstGeom>
                  </pic:spPr>
                </pic:pic>
              </a:graphicData>
            </a:graphic>
          </wp:inline>
        </w:drawing>
      </w:r>
    </w:p>
    <w:p w14:paraId="6C5E8CB0" w14:textId="77777777" w:rsidR="008A6867" w:rsidRPr="00504AFB" w:rsidRDefault="008A6867" w:rsidP="00090AD5">
      <w:pPr>
        <w:spacing w:after="0" w:line="240" w:lineRule="auto"/>
        <w:ind w:left="567" w:right="284" w:hanging="283"/>
        <w:jc w:val="both"/>
        <w:rPr>
          <w:rFonts w:ascii="Bookman Old Style" w:eastAsia="Times New Roman" w:hAnsi="Bookman Old Style" w:cs="Times New Roman"/>
          <w:i/>
          <w:iCs/>
          <w:lang w:val="es-ES" w:eastAsia="es-ES"/>
        </w:rPr>
      </w:pPr>
    </w:p>
    <w:p w14:paraId="0488B131" w14:textId="3DC81C04" w:rsidR="008A6867" w:rsidRPr="00504AFB" w:rsidRDefault="008A6867" w:rsidP="00C471E7">
      <w:pPr>
        <w:spacing w:after="0" w:line="240" w:lineRule="auto"/>
        <w:ind w:left="567" w:hanging="283"/>
        <w:jc w:val="both"/>
        <w:rPr>
          <w:rFonts w:ascii="Bookman Old Style" w:eastAsia="Times New Roman" w:hAnsi="Bookman Old Style" w:cs="Times New Roman"/>
          <w:i/>
          <w:iCs/>
          <w:lang w:val="es-ES" w:eastAsia="es-ES"/>
        </w:rPr>
      </w:pPr>
      <w:r w:rsidRPr="00504AFB">
        <w:rPr>
          <w:rFonts w:ascii="Bookman Old Style" w:eastAsia="Times New Roman" w:hAnsi="Bookman Old Style" w:cs="Times New Roman"/>
          <w:b/>
          <w:bCs/>
          <w:i/>
          <w:iCs/>
          <w:lang w:val="es-ES" w:eastAsia="es-ES"/>
        </w:rPr>
        <w:t>B.</w:t>
      </w:r>
      <w:r w:rsidRPr="00504AFB">
        <w:rPr>
          <w:rFonts w:ascii="Bookman Old Style" w:eastAsia="Times New Roman" w:hAnsi="Bookman Old Style" w:cs="Times New Roman"/>
          <w:i/>
          <w:iCs/>
          <w:lang w:val="es-ES" w:eastAsia="es-ES"/>
        </w:rPr>
        <w:t xml:space="preserve"> La DTGGC, procedió a verificar el día 21 de diciembre de 2021, la información que ha sido certificada por la empresa MONTAGAS S.A. E.S.P., a través del Formato C10</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“Información Tanques Estacionarios” del segundo trimestre del 2021, encontrando que</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esta certificó el pasado 15 de julio del 2021, un total de 3.702 tanques, representando</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así, una capacidad total de 953.735 Galones como fue mencionado anteriormente; y</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para el Formato (6009) “Información Técnica del Parque de Cilindros Marcados” y de la</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información del Sistema de Información de Cilindros Marcados – SICMA, se encontró la</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siguiente relación de cilindros, con sus respectivas presentaciones, en los cargues</w:t>
      </w:r>
      <w:r w:rsidR="00852307" w:rsidRPr="00504AFB">
        <w:rPr>
          <w:rFonts w:ascii="Bookman Old Style" w:eastAsia="Times New Roman" w:hAnsi="Bookman Old Style" w:cs="Times New Roman"/>
          <w:i/>
          <w:iCs/>
          <w:lang w:val="es-ES" w:eastAsia="es-ES"/>
        </w:rPr>
        <w:t xml:space="preserve"> </w:t>
      </w:r>
      <w:r w:rsidRPr="00504AFB">
        <w:rPr>
          <w:rFonts w:ascii="Bookman Old Style" w:eastAsia="Times New Roman" w:hAnsi="Bookman Old Style" w:cs="Times New Roman"/>
          <w:i/>
          <w:iCs/>
          <w:lang w:val="es-ES" w:eastAsia="es-ES"/>
        </w:rPr>
        <w:t>realizados por la empresa al SUI, hasta el mes de agosto del presente año.</w:t>
      </w:r>
    </w:p>
    <w:p w14:paraId="7957BF02" w14:textId="44FA59CE" w:rsidR="00852307" w:rsidRPr="00504AFB" w:rsidRDefault="00AD7CB7" w:rsidP="00090AD5">
      <w:pPr>
        <w:spacing w:after="0" w:line="240" w:lineRule="auto"/>
        <w:ind w:left="567" w:right="284" w:hanging="283"/>
        <w:jc w:val="center"/>
        <w:rPr>
          <w:rFonts w:ascii="Bookman Old Style" w:eastAsia="Times New Roman" w:hAnsi="Bookman Old Style" w:cs="Times New Roman"/>
          <w:i/>
          <w:iCs/>
          <w:lang w:val="es-ES" w:eastAsia="es-ES"/>
        </w:rPr>
      </w:pPr>
      <w:r w:rsidRPr="00012E10">
        <w:rPr>
          <w:i/>
          <w:iCs/>
          <w:noProof/>
        </w:rPr>
        <w:drawing>
          <wp:inline distT="0" distB="0" distL="0" distR="0" wp14:anchorId="5353FBFE" wp14:editId="4954719E">
            <wp:extent cx="4580220" cy="1169035"/>
            <wp:effectExtent l="0" t="0" r="0"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rotWithShape="1">
                    <a:blip r:embed="rId19"/>
                    <a:srcRect l="1926" b="8085"/>
                    <a:stretch/>
                  </pic:blipFill>
                  <pic:spPr bwMode="auto">
                    <a:xfrm>
                      <a:off x="0" y="0"/>
                      <a:ext cx="4584001" cy="1170000"/>
                    </a:xfrm>
                    <a:prstGeom prst="rect">
                      <a:avLst/>
                    </a:prstGeom>
                    <a:ln>
                      <a:noFill/>
                    </a:ln>
                    <a:extLst>
                      <a:ext uri="{53640926-AAD7-44D8-BBD7-CCE9431645EC}">
                        <a14:shadowObscured xmlns:a14="http://schemas.microsoft.com/office/drawing/2010/main"/>
                      </a:ext>
                    </a:extLst>
                  </pic:spPr>
                </pic:pic>
              </a:graphicData>
            </a:graphic>
          </wp:inline>
        </w:drawing>
      </w:r>
    </w:p>
    <w:p w14:paraId="124B2926" w14:textId="2A726B9A" w:rsidR="008A6867" w:rsidRPr="00504AFB" w:rsidRDefault="00AD7CB7" w:rsidP="00090AD5">
      <w:pPr>
        <w:spacing w:after="0" w:line="240" w:lineRule="auto"/>
        <w:ind w:left="567" w:right="284" w:hanging="283"/>
        <w:jc w:val="center"/>
        <w:rPr>
          <w:rFonts w:ascii="Bookman Old Style" w:eastAsia="Times New Roman" w:hAnsi="Bookman Old Style" w:cs="Times New Roman"/>
          <w:i/>
          <w:iCs/>
          <w:lang w:val="es-ES" w:eastAsia="es-ES"/>
        </w:rPr>
      </w:pPr>
      <w:r w:rsidRPr="00012E10">
        <w:rPr>
          <w:i/>
          <w:iCs/>
          <w:noProof/>
        </w:rPr>
        <w:drawing>
          <wp:inline distT="0" distB="0" distL="0" distR="0" wp14:anchorId="0296B1E4" wp14:editId="202B67E0">
            <wp:extent cx="4633546" cy="1985749"/>
            <wp:effectExtent l="0" t="0" r="0" b="0"/>
            <wp:docPr id="13" name="Imagen 1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abla&#10;&#10;Descripción generada automáticamente"/>
                    <pic:cNvPicPr/>
                  </pic:nvPicPr>
                  <pic:blipFill rotWithShape="1">
                    <a:blip r:embed="rId20"/>
                    <a:srcRect t="11292"/>
                    <a:stretch/>
                  </pic:blipFill>
                  <pic:spPr bwMode="auto">
                    <a:xfrm>
                      <a:off x="0" y="0"/>
                      <a:ext cx="4657359" cy="1995954"/>
                    </a:xfrm>
                    <a:prstGeom prst="rect">
                      <a:avLst/>
                    </a:prstGeom>
                    <a:ln>
                      <a:noFill/>
                    </a:ln>
                    <a:extLst>
                      <a:ext uri="{53640926-AAD7-44D8-BBD7-CCE9431645EC}">
                        <a14:shadowObscured xmlns:a14="http://schemas.microsoft.com/office/drawing/2010/main"/>
                      </a:ext>
                    </a:extLst>
                  </pic:spPr>
                </pic:pic>
              </a:graphicData>
            </a:graphic>
          </wp:inline>
        </w:drawing>
      </w:r>
    </w:p>
    <w:p w14:paraId="12B2D24D" w14:textId="77777777" w:rsidR="00DB1926" w:rsidRPr="00504AFB" w:rsidRDefault="00DB1926" w:rsidP="00C471E7">
      <w:pPr>
        <w:spacing w:after="0" w:line="240" w:lineRule="auto"/>
        <w:ind w:left="709"/>
        <w:jc w:val="both"/>
        <w:rPr>
          <w:rFonts w:ascii="Bookman Old Style" w:eastAsia="Times New Roman" w:hAnsi="Bookman Old Style" w:cs="Times New Roman"/>
          <w:i/>
          <w:iCs/>
          <w:lang w:val="es-ES" w:eastAsia="es-ES"/>
        </w:rPr>
      </w:pPr>
      <w:r w:rsidRPr="00504AFB">
        <w:rPr>
          <w:rFonts w:ascii="Bookman Old Style" w:eastAsia="Times New Roman" w:hAnsi="Bookman Old Style" w:cs="Times New Roman"/>
          <w:i/>
          <w:iCs/>
          <w:lang w:val="es-ES" w:eastAsia="es-ES"/>
        </w:rPr>
        <w:t>En este punto, queremos precisar que la información suministrada a la CREG en la comunicación enviada el pasado 07 de octubre de 2021, contenía 500 cilindros de capacidad “1kg”, por un error en el sistema, sin embargo, una vez revisado nuestro sistema de información, estos cilindros corresponden a la capacidad de “20 Libras”, como se detalla en la Tabla 2. Inventario de Cilindros Activos.</w:t>
      </w:r>
    </w:p>
    <w:p w14:paraId="6D5AE301" w14:textId="77777777" w:rsidR="00A65F12" w:rsidRPr="00504AFB" w:rsidRDefault="00A65F12" w:rsidP="00DB1926">
      <w:pPr>
        <w:spacing w:after="0" w:line="240" w:lineRule="auto"/>
        <w:ind w:left="709" w:right="284"/>
        <w:jc w:val="both"/>
        <w:rPr>
          <w:rFonts w:ascii="Bookman Old Style" w:eastAsia="Times New Roman" w:hAnsi="Bookman Old Style" w:cs="Times New Roman"/>
          <w:i/>
          <w:iCs/>
          <w:lang w:val="es-ES" w:eastAsia="es-ES"/>
        </w:rPr>
      </w:pPr>
    </w:p>
    <w:p w14:paraId="1B9F4737" w14:textId="781B37E1" w:rsidR="001E78F6" w:rsidRDefault="00A65F12" w:rsidP="00C471E7">
      <w:pPr>
        <w:spacing w:after="0" w:line="240" w:lineRule="auto"/>
        <w:ind w:left="284"/>
        <w:jc w:val="both"/>
        <w:rPr>
          <w:rFonts w:ascii="Bookman Old Style" w:eastAsia="Times New Roman" w:hAnsi="Bookman Old Style" w:cs="Times New Roman"/>
          <w:sz w:val="24"/>
          <w:szCs w:val="24"/>
          <w:lang w:val="es-ES" w:eastAsia="es-ES"/>
        </w:rPr>
      </w:pPr>
      <w:r w:rsidRPr="00504AFB">
        <w:rPr>
          <w:rFonts w:ascii="Bookman Old Style" w:eastAsia="Times New Roman" w:hAnsi="Bookman Old Style" w:cs="Times New Roman"/>
          <w:i/>
          <w:iCs/>
          <w:lang w:val="es-ES" w:eastAsia="es-ES"/>
        </w:rPr>
        <w:t>La anterior precisión de la empresa MONTAGAS S.A. E.S.P. fue informada a la CREG, a través del Radicado No.: 20212325944641 de fecha 13 de diciembre de 2021.</w:t>
      </w:r>
      <w:r w:rsidR="00F30E26">
        <w:rPr>
          <w:rFonts w:ascii="Bookman Old Style" w:eastAsia="Times New Roman" w:hAnsi="Bookman Old Style" w:cs="Times New Roman"/>
          <w:sz w:val="24"/>
          <w:szCs w:val="24"/>
          <w:lang w:val="es-ES" w:eastAsia="es-ES"/>
        </w:rPr>
        <w:t>”</w:t>
      </w:r>
    </w:p>
    <w:p w14:paraId="58040379" w14:textId="77777777" w:rsidR="00755EED" w:rsidRDefault="00755EED" w:rsidP="00090AD5">
      <w:pPr>
        <w:spacing w:after="0" w:line="240" w:lineRule="auto"/>
        <w:ind w:left="-142" w:right="-142"/>
        <w:jc w:val="both"/>
        <w:rPr>
          <w:rFonts w:ascii="ArialMT" w:hAnsi="ArialMT" w:cs="ArialMT"/>
          <w:color w:val="000000"/>
          <w:sz w:val="20"/>
          <w:szCs w:val="20"/>
        </w:rPr>
      </w:pPr>
    </w:p>
    <w:p w14:paraId="3CE6139C" w14:textId="28653937" w:rsidR="001D384B"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036176">
        <w:rPr>
          <w:rFonts w:ascii="Bookman Old Style" w:eastAsia="Times New Roman" w:hAnsi="Bookman Old Style" w:cs="Times New Roman"/>
          <w:sz w:val="24"/>
          <w:szCs w:val="24"/>
          <w:lang w:val="es-ES" w:eastAsia="es-ES"/>
        </w:rPr>
        <w:t>De acuerdo con lo anterior</w:t>
      </w:r>
      <w:r w:rsidR="00C471E7">
        <w:rPr>
          <w:rFonts w:ascii="Bookman Old Style" w:eastAsia="Times New Roman" w:hAnsi="Bookman Old Style" w:cs="Times New Roman"/>
          <w:sz w:val="24"/>
          <w:szCs w:val="24"/>
          <w:lang w:val="es-ES" w:eastAsia="es-ES"/>
        </w:rPr>
        <w:t>,</w:t>
      </w:r>
      <w:r w:rsidR="00156D40">
        <w:rPr>
          <w:rFonts w:ascii="Bookman Old Style" w:eastAsia="Times New Roman" w:hAnsi="Bookman Old Style" w:cs="Times New Roman"/>
          <w:sz w:val="24"/>
          <w:szCs w:val="24"/>
          <w:lang w:val="es-ES" w:eastAsia="es-ES"/>
        </w:rPr>
        <w:t xml:space="preserve"> y frente a las dos primeras peticiones del recu</w:t>
      </w:r>
      <w:r w:rsidR="00992AE0">
        <w:rPr>
          <w:rFonts w:ascii="Bookman Old Style" w:eastAsia="Times New Roman" w:hAnsi="Bookman Old Style" w:cs="Times New Roman"/>
          <w:sz w:val="24"/>
          <w:szCs w:val="24"/>
          <w:lang w:val="es-ES" w:eastAsia="es-ES"/>
        </w:rPr>
        <w:t>r</w:t>
      </w:r>
      <w:r w:rsidR="00156D40">
        <w:rPr>
          <w:rFonts w:ascii="Bookman Old Style" w:eastAsia="Times New Roman" w:hAnsi="Bookman Old Style" w:cs="Times New Roman"/>
          <w:sz w:val="24"/>
          <w:szCs w:val="24"/>
          <w:lang w:val="es-ES" w:eastAsia="es-ES"/>
        </w:rPr>
        <w:t>so de reposición</w:t>
      </w:r>
      <w:r w:rsidRPr="00036176">
        <w:rPr>
          <w:rFonts w:ascii="Bookman Old Style" w:eastAsia="Times New Roman" w:hAnsi="Bookman Old Style" w:cs="Times New Roman"/>
          <w:sz w:val="24"/>
          <w:szCs w:val="24"/>
          <w:lang w:val="es-ES" w:eastAsia="es-ES"/>
        </w:rPr>
        <w:t>, en atención a lo expuesto por parte de la Superintendencia de Servicios Públicos Domiciliarios</w:t>
      </w:r>
      <w:r w:rsidR="00156D40">
        <w:rPr>
          <w:rFonts w:ascii="Bookman Old Style" w:eastAsia="Times New Roman" w:hAnsi="Bookman Old Style" w:cs="Times New Roman"/>
          <w:sz w:val="24"/>
          <w:szCs w:val="24"/>
          <w:lang w:val="es-ES" w:eastAsia="es-ES"/>
        </w:rPr>
        <w:t>, y</w:t>
      </w:r>
      <w:r w:rsidRPr="00036176">
        <w:rPr>
          <w:rFonts w:ascii="Bookman Old Style" w:eastAsia="Times New Roman" w:hAnsi="Bookman Old Style" w:cs="Times New Roman"/>
          <w:sz w:val="24"/>
          <w:szCs w:val="24"/>
          <w:lang w:val="es-ES" w:eastAsia="es-ES"/>
        </w:rPr>
        <w:t xml:space="preserve"> como resultado del </w:t>
      </w:r>
      <w:r w:rsidRPr="00504AFB">
        <w:rPr>
          <w:rFonts w:ascii="Bookman Old Style" w:eastAsia="Times New Roman" w:hAnsi="Bookman Old Style" w:cs="Times New Roman"/>
          <w:sz w:val="24"/>
          <w:szCs w:val="24"/>
          <w:lang w:val="es-ES" w:eastAsia="es-ES"/>
        </w:rPr>
        <w:t>decreto y práctica de pruebas</w:t>
      </w:r>
      <w:r w:rsidRPr="00036176">
        <w:rPr>
          <w:rFonts w:ascii="Bookman Old Style" w:eastAsia="Times New Roman" w:hAnsi="Bookman Old Style" w:cs="Times New Roman"/>
          <w:sz w:val="24"/>
          <w:szCs w:val="24"/>
          <w:lang w:val="es-ES" w:eastAsia="es-ES"/>
        </w:rPr>
        <w:t xml:space="preserve"> llevadas a cabo por la CREG y la información reportada por dicha Entidad, se establece la procedencia de </w:t>
      </w:r>
      <w:r w:rsidR="00104D2B" w:rsidRPr="00036176">
        <w:rPr>
          <w:rFonts w:ascii="Bookman Old Style" w:eastAsia="Times New Roman" w:hAnsi="Bookman Old Style" w:cs="Times New Roman"/>
          <w:sz w:val="24"/>
          <w:szCs w:val="24"/>
          <w:lang w:val="es-ES" w:eastAsia="es-ES"/>
        </w:rPr>
        <w:t>modificar</w:t>
      </w:r>
      <w:r w:rsidR="00C07FEF">
        <w:rPr>
          <w:rFonts w:ascii="Bookman Old Style" w:eastAsia="Times New Roman" w:hAnsi="Bookman Old Style" w:cs="Times New Roman"/>
          <w:sz w:val="24"/>
          <w:szCs w:val="24"/>
          <w:lang w:val="es-ES" w:eastAsia="es-ES"/>
        </w:rPr>
        <w:t xml:space="preserve"> parcialmente</w:t>
      </w:r>
      <w:r w:rsidR="00104D2B" w:rsidRPr="00036176">
        <w:rPr>
          <w:rFonts w:ascii="Bookman Old Style" w:eastAsia="Times New Roman" w:hAnsi="Bookman Old Style" w:cs="Times New Roman"/>
          <w:sz w:val="24"/>
          <w:szCs w:val="24"/>
          <w:lang w:val="es-ES" w:eastAsia="es-ES"/>
        </w:rPr>
        <w:t xml:space="preserve"> </w:t>
      </w:r>
      <w:r w:rsidRPr="00036176">
        <w:rPr>
          <w:rFonts w:ascii="Bookman Old Style" w:eastAsia="Times New Roman" w:hAnsi="Bookman Old Style" w:cs="Times New Roman"/>
          <w:sz w:val="24"/>
          <w:szCs w:val="24"/>
          <w:lang w:val="es-ES" w:eastAsia="es-ES"/>
        </w:rPr>
        <w:t xml:space="preserve">la Resolución CREG </w:t>
      </w:r>
      <w:r w:rsidR="007710A6" w:rsidRPr="00036176">
        <w:rPr>
          <w:rFonts w:ascii="Bookman Old Style" w:eastAsia="Times New Roman" w:hAnsi="Bookman Old Style" w:cs="Times New Roman"/>
          <w:sz w:val="24"/>
          <w:szCs w:val="24"/>
          <w:lang w:val="es-ES" w:eastAsia="es-ES"/>
        </w:rPr>
        <w:t>209 de 2021</w:t>
      </w:r>
      <w:r w:rsidR="00502FF5" w:rsidRPr="00036176">
        <w:rPr>
          <w:rFonts w:ascii="Bookman Old Style" w:eastAsia="Times New Roman" w:hAnsi="Bookman Old Style" w:cs="Times New Roman"/>
          <w:sz w:val="24"/>
          <w:szCs w:val="24"/>
          <w:lang w:val="es-ES" w:eastAsia="es-ES"/>
        </w:rPr>
        <w:t xml:space="preserve"> </w:t>
      </w:r>
      <w:r w:rsidRPr="00036176">
        <w:rPr>
          <w:rFonts w:ascii="Bookman Old Style" w:eastAsia="Times New Roman" w:hAnsi="Bookman Old Style" w:cs="Times New Roman"/>
          <w:sz w:val="24"/>
          <w:szCs w:val="24"/>
          <w:lang w:val="es-ES" w:eastAsia="es-ES"/>
        </w:rPr>
        <w:t xml:space="preserve">en relación con la definición de la capacidad de compra para la empresa </w:t>
      </w:r>
      <w:r w:rsidR="00502FF5" w:rsidRPr="00036176">
        <w:rPr>
          <w:rFonts w:ascii="Bookman Old Style" w:eastAsia="Times New Roman" w:hAnsi="Bookman Old Style" w:cs="Times New Roman"/>
          <w:sz w:val="24"/>
          <w:szCs w:val="24"/>
          <w:lang w:val="es-ES" w:eastAsia="es-ES"/>
        </w:rPr>
        <w:t>Montagas</w:t>
      </w:r>
      <w:r w:rsidRPr="00036176">
        <w:rPr>
          <w:rFonts w:ascii="Bookman Old Style" w:eastAsia="Times New Roman" w:hAnsi="Bookman Old Style" w:cs="Times New Roman"/>
          <w:sz w:val="24"/>
          <w:szCs w:val="24"/>
          <w:lang w:val="es-ES" w:eastAsia="es-ES"/>
        </w:rPr>
        <w:t xml:space="preserve"> S.A. E.S.P.</w:t>
      </w:r>
      <w:r w:rsidR="00C07FEF">
        <w:rPr>
          <w:rFonts w:ascii="Bookman Old Style" w:eastAsia="Times New Roman" w:hAnsi="Bookman Old Style" w:cs="Times New Roman"/>
          <w:sz w:val="24"/>
          <w:szCs w:val="24"/>
          <w:lang w:val="es-ES" w:eastAsia="es-ES"/>
        </w:rPr>
        <w:t>, considerando</w:t>
      </w:r>
      <w:r w:rsidR="00036176">
        <w:rPr>
          <w:rFonts w:ascii="Bookman Old Style" w:eastAsia="Times New Roman" w:hAnsi="Bookman Old Style" w:cs="Times New Roman"/>
          <w:sz w:val="24"/>
          <w:szCs w:val="24"/>
          <w:lang w:val="es-ES" w:eastAsia="es-ES"/>
        </w:rPr>
        <w:t xml:space="preserve"> </w:t>
      </w:r>
      <w:r w:rsidR="00C07FEF">
        <w:rPr>
          <w:rFonts w:ascii="Bookman Old Style" w:eastAsia="Times New Roman" w:hAnsi="Bookman Old Style" w:cs="Times New Roman"/>
          <w:sz w:val="24"/>
          <w:szCs w:val="24"/>
          <w:lang w:val="es-ES" w:eastAsia="es-ES"/>
        </w:rPr>
        <w:t>l</w:t>
      </w:r>
      <w:r w:rsidR="00036176">
        <w:rPr>
          <w:rFonts w:ascii="Bookman Old Style" w:eastAsia="Times New Roman" w:hAnsi="Bookman Old Style" w:cs="Times New Roman"/>
          <w:sz w:val="24"/>
          <w:szCs w:val="24"/>
          <w:lang w:val="es-ES" w:eastAsia="es-ES"/>
        </w:rPr>
        <w:t>o expuesto por la Superintendencia en respuesta al Auto</w:t>
      </w:r>
      <w:r w:rsidR="00C07FEF">
        <w:rPr>
          <w:rFonts w:ascii="Bookman Old Style" w:eastAsia="Times New Roman" w:hAnsi="Bookman Old Style" w:cs="Times New Roman"/>
          <w:sz w:val="24"/>
          <w:szCs w:val="24"/>
          <w:lang w:val="es-ES" w:eastAsia="es-ES"/>
        </w:rPr>
        <w:t xml:space="preserve">, siendo esta la </w:t>
      </w:r>
      <w:r w:rsidR="00B83F28">
        <w:rPr>
          <w:rFonts w:ascii="Bookman Old Style" w:eastAsia="Times New Roman" w:hAnsi="Bookman Old Style" w:cs="Times New Roman"/>
          <w:sz w:val="24"/>
          <w:szCs w:val="24"/>
          <w:lang w:val="es-ES" w:eastAsia="es-ES"/>
        </w:rPr>
        <w:t>información del SUI válida a efectos de ser considerada para resolver el presente recurso de reposición</w:t>
      </w:r>
      <w:r w:rsidR="00C471E7">
        <w:rPr>
          <w:rFonts w:ascii="Bookman Old Style" w:eastAsia="Times New Roman" w:hAnsi="Bookman Old Style" w:cs="Times New Roman"/>
          <w:sz w:val="24"/>
          <w:szCs w:val="24"/>
          <w:lang w:val="es-ES" w:eastAsia="es-ES"/>
        </w:rPr>
        <w:t>,</w:t>
      </w:r>
      <w:r w:rsidR="00B83F28">
        <w:rPr>
          <w:rFonts w:ascii="Bookman Old Style" w:eastAsia="Times New Roman" w:hAnsi="Bookman Old Style" w:cs="Times New Roman"/>
          <w:sz w:val="24"/>
          <w:szCs w:val="24"/>
          <w:lang w:val="es-ES" w:eastAsia="es-ES"/>
        </w:rPr>
        <w:t xml:space="preserve"> y </w:t>
      </w:r>
      <w:r w:rsidR="001D384B">
        <w:rPr>
          <w:rFonts w:ascii="Bookman Old Style" w:eastAsia="Times New Roman" w:hAnsi="Bookman Old Style" w:cs="Times New Roman"/>
          <w:sz w:val="24"/>
          <w:szCs w:val="24"/>
          <w:lang w:val="es-ES" w:eastAsia="es-ES"/>
        </w:rPr>
        <w:t>no</w:t>
      </w:r>
      <w:r w:rsidR="00C07FEF">
        <w:rPr>
          <w:rFonts w:ascii="Bookman Old Style" w:eastAsia="Times New Roman" w:hAnsi="Bookman Old Style" w:cs="Times New Roman"/>
          <w:sz w:val="24"/>
          <w:szCs w:val="24"/>
          <w:lang w:val="es-ES" w:eastAsia="es-ES"/>
        </w:rPr>
        <w:t xml:space="preserve"> la expuesta por Montagas </w:t>
      </w:r>
      <w:r w:rsidR="001D384B">
        <w:rPr>
          <w:rFonts w:ascii="Bookman Old Style" w:eastAsia="Times New Roman" w:hAnsi="Bookman Old Style" w:cs="Times New Roman"/>
          <w:sz w:val="24"/>
          <w:szCs w:val="24"/>
          <w:lang w:val="es-ES" w:eastAsia="es-ES"/>
        </w:rPr>
        <w:t>S.A. E.S.P. en su recurso</w:t>
      </w:r>
      <w:r w:rsidR="00C07FEF">
        <w:rPr>
          <w:rFonts w:ascii="Bookman Old Style" w:eastAsia="Times New Roman" w:hAnsi="Bookman Old Style" w:cs="Times New Roman"/>
          <w:sz w:val="24"/>
          <w:szCs w:val="24"/>
          <w:lang w:val="es-ES" w:eastAsia="es-ES"/>
        </w:rPr>
        <w:t>, toda vez que la misma no se ve allí reflejada</w:t>
      </w:r>
      <w:r w:rsidR="001D384B">
        <w:rPr>
          <w:rFonts w:ascii="Bookman Old Style" w:eastAsia="Times New Roman" w:hAnsi="Bookman Old Style" w:cs="Times New Roman"/>
          <w:sz w:val="24"/>
          <w:szCs w:val="24"/>
          <w:lang w:val="es-ES" w:eastAsia="es-ES"/>
        </w:rPr>
        <w:t>.</w:t>
      </w:r>
    </w:p>
    <w:p w14:paraId="763CC2E5" w14:textId="77777777" w:rsidR="001D384B" w:rsidRDefault="001D384B" w:rsidP="0081625F">
      <w:pPr>
        <w:spacing w:after="0" w:line="240" w:lineRule="auto"/>
        <w:ind w:left="-142" w:right="-142"/>
        <w:jc w:val="both"/>
        <w:rPr>
          <w:rFonts w:ascii="Bookman Old Style" w:eastAsia="Times New Roman" w:hAnsi="Bookman Old Style" w:cs="Times New Roman"/>
          <w:sz w:val="24"/>
          <w:szCs w:val="24"/>
          <w:lang w:val="es-ES" w:eastAsia="es-ES"/>
        </w:rPr>
      </w:pPr>
    </w:p>
    <w:p w14:paraId="574778D9" w14:textId="789113A9" w:rsidR="006926B9" w:rsidRDefault="001D384B" w:rsidP="0081625F">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Finalmente, en cuanto a la modificación de la Resolución CREG 063 de 2016, correspondiente a la regulación de carácter general a través de la cual se lleva cabo la definición de la capacidad de compra, se debe tener en cuenta que </w:t>
      </w:r>
      <w:r w:rsidR="006926B9">
        <w:rPr>
          <w:rFonts w:ascii="Bookman Old Style" w:eastAsia="Times New Roman" w:hAnsi="Bookman Old Style" w:cs="Times New Roman"/>
          <w:sz w:val="24"/>
          <w:szCs w:val="24"/>
          <w:lang w:val="es-ES" w:eastAsia="es-ES"/>
        </w:rPr>
        <w:t>una actuación de carácter particular y la firmeza de la misma a través de la resolución e</w:t>
      </w:r>
      <w:r w:rsidR="008122BE">
        <w:rPr>
          <w:rFonts w:ascii="Bookman Old Style" w:eastAsia="Times New Roman" w:hAnsi="Bookman Old Style" w:cs="Times New Roman"/>
          <w:sz w:val="24"/>
          <w:szCs w:val="24"/>
          <w:lang w:val="es-ES" w:eastAsia="es-ES"/>
        </w:rPr>
        <w:t>n</w:t>
      </w:r>
      <w:r w:rsidR="006926B9">
        <w:rPr>
          <w:rFonts w:ascii="Bookman Old Style" w:eastAsia="Times New Roman" w:hAnsi="Bookman Old Style" w:cs="Times New Roman"/>
          <w:sz w:val="24"/>
          <w:szCs w:val="24"/>
          <w:lang w:val="es-ES" w:eastAsia="es-ES"/>
        </w:rPr>
        <w:t xml:space="preserve"> un recurso de reposición no corresponde </w:t>
      </w:r>
      <w:r w:rsidR="002308C1">
        <w:rPr>
          <w:rFonts w:ascii="Bookman Old Style" w:eastAsia="Times New Roman" w:hAnsi="Bookman Old Style" w:cs="Times New Roman"/>
          <w:sz w:val="24"/>
          <w:szCs w:val="24"/>
          <w:lang w:val="es-ES" w:eastAsia="es-ES"/>
        </w:rPr>
        <w:t>a</w:t>
      </w:r>
      <w:r w:rsidR="006926B9">
        <w:rPr>
          <w:rFonts w:ascii="Bookman Old Style" w:eastAsia="Times New Roman" w:hAnsi="Bookman Old Style" w:cs="Times New Roman"/>
          <w:sz w:val="24"/>
          <w:szCs w:val="24"/>
          <w:lang w:val="es-ES" w:eastAsia="es-ES"/>
        </w:rPr>
        <w:t>l escenario legal en el cual se deben llevar a cabo modificaciones a la regulación de carácter general.</w:t>
      </w:r>
    </w:p>
    <w:p w14:paraId="13B0C53E" w14:textId="77777777" w:rsidR="006926B9" w:rsidRDefault="006926B9" w:rsidP="0081625F">
      <w:pPr>
        <w:spacing w:after="0" w:line="240" w:lineRule="auto"/>
        <w:ind w:left="-142" w:right="-142"/>
        <w:jc w:val="both"/>
        <w:rPr>
          <w:rFonts w:ascii="Bookman Old Style" w:eastAsia="Times New Roman" w:hAnsi="Bookman Old Style" w:cs="Times New Roman"/>
          <w:sz w:val="24"/>
          <w:szCs w:val="24"/>
          <w:lang w:val="es-ES" w:eastAsia="es-ES"/>
        </w:rPr>
      </w:pPr>
    </w:p>
    <w:p w14:paraId="53BC103B" w14:textId="49641864" w:rsidR="00FF0A28" w:rsidRDefault="006926B9" w:rsidP="0081625F">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Adicionalmente, existen precedentes </w:t>
      </w:r>
      <w:r w:rsidR="00B34A3D">
        <w:rPr>
          <w:rFonts w:ascii="Bookman Old Style" w:eastAsia="Times New Roman" w:hAnsi="Bookman Old Style" w:cs="Times New Roman"/>
          <w:sz w:val="24"/>
          <w:szCs w:val="24"/>
          <w:lang w:val="es-ES" w:eastAsia="es-ES"/>
        </w:rPr>
        <w:t xml:space="preserve">como es el caso de las resoluciones CREG 183 a 193 de 2017, </w:t>
      </w:r>
      <w:r>
        <w:rPr>
          <w:rFonts w:ascii="Bookman Old Style" w:eastAsia="Times New Roman" w:hAnsi="Bookman Old Style" w:cs="Times New Roman"/>
          <w:sz w:val="24"/>
          <w:szCs w:val="24"/>
          <w:lang w:val="es-ES" w:eastAsia="es-ES"/>
        </w:rPr>
        <w:t>donde la Comisión</w:t>
      </w:r>
      <w:r w:rsidR="00F256A6">
        <w:rPr>
          <w:rFonts w:ascii="Bookman Old Style" w:eastAsia="Times New Roman" w:hAnsi="Bookman Old Style" w:cs="Times New Roman"/>
          <w:sz w:val="24"/>
          <w:szCs w:val="24"/>
          <w:lang w:val="es-ES" w:eastAsia="es-ES"/>
        </w:rPr>
        <w:t xml:space="preserve"> </w:t>
      </w:r>
      <w:r>
        <w:rPr>
          <w:rFonts w:ascii="Bookman Old Style" w:eastAsia="Times New Roman" w:hAnsi="Bookman Old Style" w:cs="Times New Roman"/>
          <w:sz w:val="24"/>
          <w:szCs w:val="24"/>
          <w:lang w:val="es-ES" w:eastAsia="es-ES"/>
        </w:rPr>
        <w:t>se ha pronunciado sobre este tipo de solicitudes</w:t>
      </w:r>
      <w:r w:rsidR="000F54F4">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 xml:space="preserve"> y en las cuales ha manifestado lo siguiente</w:t>
      </w:r>
      <w:r w:rsidR="000A1501">
        <w:rPr>
          <w:rFonts w:ascii="Bookman Old Style" w:eastAsia="Times New Roman" w:hAnsi="Bookman Old Style" w:cs="Times New Roman"/>
          <w:sz w:val="24"/>
          <w:szCs w:val="24"/>
          <w:lang w:val="es-ES" w:eastAsia="es-ES"/>
        </w:rPr>
        <w:t xml:space="preserve"> en relación con la aplicación y entendimiento del artículo 9 de la Resolución CREG 063 de 2016</w:t>
      </w:r>
      <w:r w:rsidR="000E3C87">
        <w:rPr>
          <w:rFonts w:ascii="Bookman Old Style" w:eastAsia="Times New Roman" w:hAnsi="Bookman Old Style" w:cs="Times New Roman"/>
          <w:sz w:val="24"/>
          <w:szCs w:val="24"/>
          <w:lang w:val="es-ES" w:eastAsia="es-ES"/>
        </w:rPr>
        <w:t>. Para el caso específico de este mismo agente, en la Resolución CREG 190 de 2017 se expuso lo siguiente</w:t>
      </w:r>
      <w:r w:rsidR="00FF0A28">
        <w:rPr>
          <w:rFonts w:ascii="Bookman Old Style" w:eastAsia="Times New Roman" w:hAnsi="Bookman Old Style" w:cs="Times New Roman"/>
          <w:sz w:val="24"/>
          <w:szCs w:val="24"/>
          <w:lang w:val="es-ES" w:eastAsia="es-ES"/>
        </w:rPr>
        <w:t>:</w:t>
      </w:r>
    </w:p>
    <w:p w14:paraId="607D2144" w14:textId="77777777" w:rsidR="00FF0A28" w:rsidRDefault="00FF0A28" w:rsidP="0081625F">
      <w:pPr>
        <w:spacing w:after="0" w:line="240" w:lineRule="auto"/>
        <w:ind w:left="-142" w:right="-142"/>
        <w:jc w:val="both"/>
        <w:rPr>
          <w:rFonts w:ascii="Bookman Old Style" w:eastAsia="Times New Roman" w:hAnsi="Bookman Old Style" w:cs="Times New Roman"/>
          <w:sz w:val="24"/>
          <w:szCs w:val="24"/>
          <w:lang w:val="es-ES" w:eastAsia="es-ES"/>
        </w:rPr>
      </w:pPr>
    </w:p>
    <w:p w14:paraId="415C7D8E" w14:textId="13B437C4" w:rsidR="00FF0A28" w:rsidRPr="00504AFB" w:rsidRDefault="00FF0A28" w:rsidP="000F54F4">
      <w:pPr>
        <w:spacing w:after="0" w:line="240" w:lineRule="auto"/>
        <w:ind w:left="284"/>
        <w:jc w:val="both"/>
        <w:rPr>
          <w:rFonts w:ascii="Bookman Old Style" w:eastAsia="Times New Roman" w:hAnsi="Bookman Old Style" w:cs="Arial"/>
          <w:i/>
          <w:iCs/>
          <w:spacing w:val="-5"/>
        </w:rPr>
      </w:pPr>
      <w:r>
        <w:rPr>
          <w:rFonts w:ascii="Bookman Old Style" w:eastAsia="Times New Roman" w:hAnsi="Bookman Old Style" w:cs="Arial"/>
          <w:i/>
          <w:iCs/>
          <w:spacing w:val="-5"/>
        </w:rPr>
        <w:t>“</w:t>
      </w:r>
      <w:r w:rsidRPr="00504AFB">
        <w:rPr>
          <w:rFonts w:ascii="Bookman Old Style" w:eastAsia="Times New Roman" w:hAnsi="Bookman Old Style" w:cs="Arial"/>
          <w:i/>
          <w:iCs/>
          <w:spacing w:val="-5"/>
        </w:rPr>
        <w:t>En relación con lo anterior, el artículo 9 de la Resolución CREG 063 de 2016, ajustado por el artículo 1 de la Resolución CREG 227 de 2016 establece lo siguiente:</w:t>
      </w:r>
    </w:p>
    <w:p w14:paraId="14498422"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p>
    <w:p w14:paraId="635ED422" w14:textId="0A13BAFD" w:rsidR="00FF0A28" w:rsidRPr="00504AFB" w:rsidRDefault="00FF0A28" w:rsidP="000F54F4">
      <w:pPr>
        <w:tabs>
          <w:tab w:val="left" w:pos="-720"/>
          <w:tab w:val="left" w:pos="1276"/>
        </w:tabs>
        <w:suppressAutoHyphens/>
        <w:overflowPunct w:val="0"/>
        <w:autoSpaceDE w:val="0"/>
        <w:spacing w:after="0" w:line="240" w:lineRule="auto"/>
        <w:ind w:left="708"/>
        <w:jc w:val="both"/>
        <w:textAlignment w:val="baseline"/>
        <w:rPr>
          <w:rFonts w:ascii="Bookman Old Style" w:eastAsia="Calibri" w:hAnsi="Bookman Old Style" w:cs="Arial"/>
          <w:i/>
          <w:iCs/>
          <w:sz w:val="20"/>
          <w:szCs w:val="20"/>
          <w:u w:val="single"/>
          <w:lang w:val="es-ES_tradnl" w:eastAsia="ar-SA"/>
        </w:rPr>
      </w:pPr>
      <w:r w:rsidRPr="00504AFB">
        <w:rPr>
          <w:rFonts w:ascii="Bookman Old Style" w:eastAsia="Calibri" w:hAnsi="Bookman Old Style" w:cs="Arial"/>
          <w:b/>
          <w:i/>
          <w:iCs/>
          <w:sz w:val="20"/>
          <w:szCs w:val="20"/>
        </w:rPr>
        <w:t xml:space="preserve">“Artículo 9. </w:t>
      </w:r>
      <w:r w:rsidRPr="00504AFB">
        <w:rPr>
          <w:rFonts w:ascii="Bookman Old Style" w:eastAsia="Calibri" w:hAnsi="Bookman Old Style" w:cs="Arial"/>
          <w:i/>
          <w:iCs/>
          <w:sz w:val="20"/>
          <w:szCs w:val="20"/>
          <w:lang w:val="es-ES_tradnl" w:eastAsia="ar-SA"/>
        </w:rPr>
        <w:t xml:space="preserve"> </w:t>
      </w:r>
      <w:r w:rsidRPr="00504AFB">
        <w:rPr>
          <w:rFonts w:ascii="Bookman Old Style" w:eastAsia="Calibri" w:hAnsi="Bookman Old Style" w:cs="Arial"/>
          <w:b/>
          <w:i/>
          <w:iCs/>
          <w:sz w:val="20"/>
          <w:szCs w:val="20"/>
          <w:lang w:val="es-ES_tradnl" w:eastAsia="ar-SA"/>
        </w:rPr>
        <w:t>Determinación y publicación de la capacidad de compra.</w:t>
      </w:r>
      <w:r w:rsidRPr="00504AFB">
        <w:rPr>
          <w:rFonts w:ascii="Bookman Old Style" w:eastAsia="Calibri" w:hAnsi="Bookman Old Style" w:cs="Arial"/>
          <w:i/>
          <w:iCs/>
          <w:sz w:val="20"/>
          <w:szCs w:val="20"/>
          <w:lang w:val="es-ES_tradnl" w:eastAsia="ar-SA"/>
        </w:rPr>
        <w:t xml:space="preserve"> Atendiendo lo dispuesto en el artículo anterior, la CREG determinará mediante acto administrativo particular y publicará mediante circular, con anterioridad al inicio de cada p</w:t>
      </w:r>
      <w:r w:rsidR="00420355">
        <w:rPr>
          <w:rFonts w:ascii="Bookman Old Style" w:eastAsia="Calibri" w:hAnsi="Bookman Old Style" w:cs="Arial"/>
          <w:i/>
          <w:iCs/>
          <w:sz w:val="20"/>
          <w:szCs w:val="20"/>
          <w:lang w:val="es-ES_tradnl" w:eastAsia="ar-SA"/>
        </w:rPr>
        <w:t>eríodo</w:t>
      </w:r>
      <w:r w:rsidRPr="00504AFB">
        <w:rPr>
          <w:rFonts w:ascii="Bookman Old Style" w:eastAsia="Calibri" w:hAnsi="Bookman Old Style" w:cs="Arial"/>
          <w:i/>
          <w:iCs/>
          <w:sz w:val="20"/>
          <w:szCs w:val="20"/>
          <w:lang w:val="es-ES_tradnl" w:eastAsia="ar-SA"/>
        </w:rPr>
        <w:t xml:space="preserve"> de compra, la capacidad de compra de cada distribuidor, </w:t>
      </w:r>
      <w:r w:rsidRPr="00504AFB">
        <w:rPr>
          <w:rFonts w:ascii="Bookman Old Style" w:eastAsia="Calibri" w:hAnsi="Bookman Old Style" w:cs="Arial"/>
          <w:i/>
          <w:iCs/>
          <w:sz w:val="20"/>
          <w:szCs w:val="20"/>
          <w:u w:val="single"/>
          <w:lang w:val="es-ES_tradnl" w:eastAsia="ar-SA"/>
        </w:rPr>
        <w:t xml:space="preserve">con información reportada al SUI, hasta el día 10 del mes correspondiente. </w:t>
      </w:r>
    </w:p>
    <w:p w14:paraId="47FCF6A4" w14:textId="77777777" w:rsidR="00FF0A28" w:rsidRPr="00504AFB" w:rsidRDefault="00FF0A28" w:rsidP="000F54F4">
      <w:pPr>
        <w:tabs>
          <w:tab w:val="left" w:pos="-720"/>
          <w:tab w:val="left" w:pos="1276"/>
        </w:tabs>
        <w:suppressAutoHyphens/>
        <w:overflowPunct w:val="0"/>
        <w:autoSpaceDE w:val="0"/>
        <w:spacing w:after="0" w:line="240" w:lineRule="auto"/>
        <w:ind w:left="708"/>
        <w:jc w:val="both"/>
        <w:textAlignment w:val="baseline"/>
        <w:rPr>
          <w:rFonts w:ascii="Bookman Old Style" w:eastAsia="Calibri" w:hAnsi="Bookman Old Style" w:cs="Arial"/>
          <w:i/>
          <w:iCs/>
          <w:sz w:val="20"/>
          <w:szCs w:val="20"/>
          <w:lang w:val="es-ES_tradnl" w:eastAsia="ar-SA"/>
        </w:rPr>
      </w:pPr>
    </w:p>
    <w:p w14:paraId="4E8EC6B2" w14:textId="3FDAF7CB" w:rsidR="00FF0A28" w:rsidRPr="00504AFB" w:rsidRDefault="00FF0A28" w:rsidP="000F54F4">
      <w:pPr>
        <w:tabs>
          <w:tab w:val="left" w:pos="-720"/>
          <w:tab w:val="left" w:pos="1276"/>
        </w:tabs>
        <w:suppressAutoHyphens/>
        <w:overflowPunct w:val="0"/>
        <w:autoSpaceDE w:val="0"/>
        <w:spacing w:after="0" w:line="240" w:lineRule="auto"/>
        <w:ind w:left="708"/>
        <w:jc w:val="both"/>
        <w:textAlignment w:val="baseline"/>
        <w:rPr>
          <w:rFonts w:ascii="Bookman Old Style" w:eastAsia="Calibri" w:hAnsi="Bookman Old Style" w:cs="Arial"/>
          <w:i/>
          <w:iCs/>
          <w:lang w:val="es-ES_tradnl" w:eastAsia="ar-SA"/>
        </w:rPr>
      </w:pPr>
      <w:r w:rsidRPr="00504AFB">
        <w:rPr>
          <w:rFonts w:ascii="Bookman Old Style" w:eastAsia="Calibri" w:hAnsi="Bookman Old Style" w:cs="Arial"/>
          <w:b/>
          <w:i/>
          <w:iCs/>
          <w:sz w:val="20"/>
          <w:szCs w:val="20"/>
          <w:lang w:val="es-ES_tradnl" w:eastAsia="ar-SA"/>
        </w:rPr>
        <w:t>Parágrafo</w:t>
      </w:r>
      <w:r w:rsidRPr="00504AFB">
        <w:rPr>
          <w:rFonts w:ascii="Bookman Old Style" w:eastAsia="Calibri" w:hAnsi="Bookman Old Style" w:cs="Arial"/>
          <w:i/>
          <w:iCs/>
          <w:sz w:val="20"/>
          <w:szCs w:val="20"/>
          <w:lang w:val="es-ES_tradnl" w:eastAsia="ar-SA"/>
        </w:rPr>
        <w:t>. En el caso de celebrar contratos con p</w:t>
      </w:r>
      <w:r w:rsidR="00420355">
        <w:rPr>
          <w:rFonts w:ascii="Bookman Old Style" w:eastAsia="Calibri" w:hAnsi="Bookman Old Style" w:cs="Arial"/>
          <w:i/>
          <w:iCs/>
          <w:sz w:val="20"/>
          <w:szCs w:val="20"/>
          <w:lang w:val="es-ES_tradnl" w:eastAsia="ar-SA"/>
        </w:rPr>
        <w:t>eríodo</w:t>
      </w:r>
      <w:r w:rsidRPr="00504AFB">
        <w:rPr>
          <w:rFonts w:ascii="Bookman Old Style" w:eastAsia="Calibri" w:hAnsi="Bookman Old Style" w:cs="Arial"/>
          <w:i/>
          <w:iCs/>
          <w:sz w:val="20"/>
          <w:szCs w:val="20"/>
          <w:lang w:val="es-ES_tradnl" w:eastAsia="ar-SA"/>
        </w:rPr>
        <w:t>s superiores a los dos siguientes publicados, se podrá solicitar a la CREG la estimación de una capacidad de compra con una vigencia superior.” (Resaltado fuera de texto</w:t>
      </w:r>
      <w:r w:rsidRPr="00504AFB">
        <w:rPr>
          <w:rFonts w:ascii="Bookman Old Style" w:eastAsia="Calibri" w:hAnsi="Bookman Old Style" w:cs="Arial"/>
          <w:i/>
          <w:iCs/>
          <w:lang w:val="es-ES_tradnl" w:eastAsia="ar-SA"/>
        </w:rPr>
        <w:t xml:space="preserve">) </w:t>
      </w:r>
    </w:p>
    <w:p w14:paraId="566981B0"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p>
    <w:p w14:paraId="28A133C7"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r w:rsidRPr="00504AFB">
        <w:rPr>
          <w:rFonts w:ascii="Bookman Old Style" w:eastAsia="Times New Roman" w:hAnsi="Bookman Old Style" w:cs="Arial"/>
          <w:i/>
          <w:iCs/>
          <w:spacing w:val="-5"/>
        </w:rPr>
        <w:t xml:space="preserve">Para efectos de dar inicio a las actuaciones administrativas con el fin de definir las capacidades de compra de los distribuidores de GLP a que hace referencia la Resolución CREG 063 de 2016, esta Comisión mediante comunicación dirigida a la Superintendencia de Servicios Públicos solicita la información oficial del Sistema Único de Información – SUI de reporte de cilindros y tanques estacionarios. </w:t>
      </w:r>
    </w:p>
    <w:p w14:paraId="4B4C0FEA"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p>
    <w:p w14:paraId="400B6DCF"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r w:rsidRPr="00504AFB">
        <w:rPr>
          <w:rFonts w:ascii="Bookman Old Style" w:eastAsia="Times New Roman" w:hAnsi="Bookman Old Style" w:cs="Arial"/>
          <w:i/>
          <w:iCs/>
          <w:spacing w:val="-5"/>
        </w:rPr>
        <w:t xml:space="preserve">De acuerdo con lo anterior, esta Comisión entiende de lo establecido en esta disposición que si la fecha en que se solicita esta información por parte de la CREG es con posterioridad al 10 del mes, en el caso particular de las actuaciones administrativas para el tercer período de compra que es el mes de agosto, sin que supere el 10 del mes siguiente (i.e. septiembre), la primera de estas fechas (i.e. agosto) se entiende como la fecha del mes correspondiente. En este sentido, dicha información para el caso de las actuaciones administrativas del tercer período recoge el reporte de la información de activos tanto de tanques estacionarios de acuerdo con lo estipulado en la circular conjunta SSPD – CREG 001 de 2004, la cual tiene como fecha límite el 25 de enero de cada año, así como el reporte de información de cilindros, la cual tiene como plazo máximo el día 15 de cada mes de acuerdo con lo establecido en la Resolución SSPD 2014300040755 de 2014. </w:t>
      </w:r>
    </w:p>
    <w:p w14:paraId="118063F6" w14:textId="77777777" w:rsidR="00FF0A28" w:rsidRPr="00504AFB" w:rsidRDefault="00FF0A28" w:rsidP="000F54F4">
      <w:pPr>
        <w:spacing w:after="0" w:line="240" w:lineRule="auto"/>
        <w:ind w:left="284"/>
        <w:jc w:val="both"/>
        <w:rPr>
          <w:rFonts w:ascii="Bookman Old Style" w:eastAsia="Times New Roman" w:hAnsi="Bookman Old Style" w:cs="Arial"/>
          <w:i/>
          <w:iCs/>
          <w:spacing w:val="-5"/>
        </w:rPr>
      </w:pPr>
    </w:p>
    <w:p w14:paraId="05878BF8" w14:textId="429E6064" w:rsidR="00FF0A28" w:rsidRPr="00504AFB" w:rsidRDefault="00FF0A28" w:rsidP="000F54F4">
      <w:pPr>
        <w:spacing w:after="0" w:line="240" w:lineRule="auto"/>
        <w:ind w:left="284"/>
        <w:jc w:val="both"/>
        <w:rPr>
          <w:rFonts w:ascii="Bookman Old Style" w:eastAsia="Times New Roman" w:hAnsi="Bookman Old Style" w:cs="Arial"/>
          <w:i/>
          <w:iCs/>
          <w:spacing w:val="-5"/>
        </w:rPr>
      </w:pPr>
      <w:r w:rsidRPr="00504AFB">
        <w:rPr>
          <w:rFonts w:ascii="Bookman Old Style" w:eastAsia="Times New Roman" w:hAnsi="Bookman Old Style" w:cs="Arial"/>
          <w:i/>
          <w:iCs/>
          <w:spacing w:val="-5"/>
        </w:rPr>
        <w:t>Esto, sin perjuicio de que dentro de la información que sea remitida a la Comisión por parte de la Superintendencia de Servicios Públicos Domiciliarios en atención a la solicitud que se realiza se incluyan modificaciones y/o ajustes al SUI que sean consideradas como ajustadas a las normas sobre reporte de información por parte de dicha superintendencia y corresponda a información válida dentro de este sistema de información. Frente a esto último, tal como lo expone la Superintendencia de Servicios Públicos Domiciliarios en sus comunicaciones, esta tuvo en cuenta la información reportada al SUI a 17 de septiembre de 2017.</w:t>
      </w:r>
      <w:r w:rsidR="000A1501">
        <w:rPr>
          <w:rFonts w:ascii="Bookman Old Style" w:eastAsia="Times New Roman" w:hAnsi="Bookman Old Style" w:cs="Arial"/>
          <w:i/>
          <w:iCs/>
          <w:spacing w:val="-5"/>
        </w:rPr>
        <w:t>”</w:t>
      </w:r>
    </w:p>
    <w:p w14:paraId="13DCDA8C" w14:textId="77777777" w:rsidR="00FF0A28" w:rsidRDefault="00FF0A28" w:rsidP="0081625F">
      <w:pPr>
        <w:spacing w:after="0" w:line="240" w:lineRule="auto"/>
        <w:ind w:left="-142" w:right="-142"/>
        <w:jc w:val="both"/>
        <w:rPr>
          <w:rFonts w:ascii="Bookman Old Style" w:eastAsia="Times New Roman" w:hAnsi="Bookman Old Style" w:cs="Times New Roman"/>
          <w:sz w:val="24"/>
          <w:szCs w:val="24"/>
          <w:lang w:val="es-ES" w:eastAsia="es-ES"/>
        </w:rPr>
      </w:pPr>
    </w:p>
    <w:p w14:paraId="64835739" w14:textId="76FFA2CA" w:rsidR="0081625F" w:rsidRPr="00082D81" w:rsidRDefault="00F773A1" w:rsidP="0081625F">
      <w:pPr>
        <w:spacing w:after="0" w:line="240" w:lineRule="auto"/>
        <w:ind w:left="-142" w:right="-142"/>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De acuerdo con lo anterior, la petición hecha en el numeral tercero del recurso de reposición es improcedente.</w:t>
      </w:r>
      <w:r w:rsidR="001D384B">
        <w:rPr>
          <w:rFonts w:ascii="Bookman Old Style" w:eastAsia="Times New Roman" w:hAnsi="Bookman Old Style" w:cs="Times New Roman"/>
          <w:sz w:val="24"/>
          <w:szCs w:val="24"/>
          <w:lang w:val="es-ES" w:eastAsia="es-ES"/>
        </w:rPr>
        <w:t xml:space="preserve"> </w:t>
      </w:r>
      <w:r w:rsidR="00B83F28">
        <w:rPr>
          <w:rFonts w:ascii="Bookman Old Style" w:eastAsia="Times New Roman" w:hAnsi="Bookman Old Style" w:cs="Times New Roman"/>
          <w:sz w:val="24"/>
          <w:szCs w:val="24"/>
          <w:lang w:val="es-ES" w:eastAsia="es-ES"/>
        </w:rPr>
        <w:t xml:space="preserve"> </w:t>
      </w:r>
      <w:r w:rsidR="0081625F" w:rsidRPr="00082D81">
        <w:rPr>
          <w:rFonts w:ascii="Bookman Old Style" w:eastAsia="Times New Roman" w:hAnsi="Bookman Old Style" w:cs="Times New Roman"/>
          <w:sz w:val="24"/>
          <w:szCs w:val="24"/>
          <w:lang w:val="es-ES" w:eastAsia="es-ES"/>
        </w:rPr>
        <w:t xml:space="preserve"> </w:t>
      </w:r>
    </w:p>
    <w:p w14:paraId="1DB60AA3" w14:textId="77777777" w:rsidR="0081625F" w:rsidRPr="00082D81"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14:paraId="6BC2DC63" w14:textId="18980D2C" w:rsidR="0081625F"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EC1D37">
        <w:rPr>
          <w:rFonts w:ascii="Bookman Old Style" w:eastAsia="Times New Roman" w:hAnsi="Bookman Old Style" w:cs="Times New Roman"/>
          <w:sz w:val="24"/>
          <w:szCs w:val="24"/>
          <w:lang w:val="es-ES" w:eastAsia="es-ES"/>
        </w:rPr>
        <w:t xml:space="preserve">La Comisión de Regulación de Energía y Gas, </w:t>
      </w:r>
      <w:r w:rsidRPr="008220D5">
        <w:rPr>
          <w:rFonts w:ascii="Bookman Old Style" w:eastAsia="Times New Roman" w:hAnsi="Bookman Old Style" w:cs="Times New Roman"/>
          <w:sz w:val="24"/>
          <w:szCs w:val="24"/>
          <w:lang w:val="es-ES" w:eastAsia="es-ES"/>
        </w:rPr>
        <w:t xml:space="preserve">en su sesión </w:t>
      </w:r>
      <w:r w:rsidRPr="00090AD5">
        <w:rPr>
          <w:rFonts w:ascii="Bookman Old Style" w:eastAsia="Times New Roman" w:hAnsi="Bookman Old Style" w:cs="Times New Roman"/>
          <w:sz w:val="24"/>
          <w:szCs w:val="24"/>
          <w:lang w:val="es-ES" w:eastAsia="es-ES"/>
        </w:rPr>
        <w:t>No.</w:t>
      </w:r>
      <w:r w:rsidR="003871E9" w:rsidRPr="00090AD5">
        <w:rPr>
          <w:rFonts w:ascii="Bookman Old Style" w:eastAsia="Times New Roman" w:hAnsi="Bookman Old Style" w:cs="Times New Roman"/>
          <w:sz w:val="24"/>
          <w:szCs w:val="24"/>
          <w:lang w:val="es-ES" w:eastAsia="es-ES"/>
        </w:rPr>
        <w:t>1144</w:t>
      </w:r>
      <w:r w:rsidRPr="00090AD5">
        <w:rPr>
          <w:rFonts w:ascii="Bookman Old Style" w:eastAsia="Times New Roman" w:hAnsi="Bookman Old Style" w:cs="Times New Roman"/>
          <w:sz w:val="24"/>
          <w:szCs w:val="24"/>
          <w:lang w:val="es-ES" w:eastAsia="es-ES"/>
        </w:rPr>
        <w:t xml:space="preserve"> del </w:t>
      </w:r>
      <w:r w:rsidR="003871E9" w:rsidRPr="00090AD5">
        <w:rPr>
          <w:rFonts w:ascii="Bookman Old Style" w:eastAsia="Times New Roman" w:hAnsi="Bookman Old Style" w:cs="Times New Roman"/>
          <w:sz w:val="24"/>
          <w:szCs w:val="24"/>
          <w:lang w:val="es-ES" w:eastAsia="es-ES"/>
        </w:rPr>
        <w:t>23</w:t>
      </w:r>
      <w:r w:rsidRPr="008220D5">
        <w:rPr>
          <w:rFonts w:ascii="Bookman Old Style" w:eastAsia="Times New Roman" w:hAnsi="Bookman Old Style" w:cs="Times New Roman"/>
          <w:sz w:val="24"/>
          <w:szCs w:val="24"/>
          <w:lang w:val="es-ES" w:eastAsia="es-ES"/>
        </w:rPr>
        <w:t xml:space="preserve"> de </w:t>
      </w:r>
      <w:r w:rsidR="003E4836" w:rsidRPr="00090AD5">
        <w:rPr>
          <w:rFonts w:ascii="Bookman Old Style" w:eastAsia="Times New Roman" w:hAnsi="Bookman Old Style" w:cs="Times New Roman"/>
          <w:sz w:val="24"/>
          <w:szCs w:val="24"/>
          <w:lang w:val="es-ES" w:eastAsia="es-ES"/>
        </w:rPr>
        <w:t>diciembre</w:t>
      </w:r>
      <w:r w:rsidR="003E4836" w:rsidRPr="008220D5">
        <w:rPr>
          <w:rFonts w:ascii="Bookman Old Style" w:eastAsia="Times New Roman" w:hAnsi="Bookman Old Style" w:cs="Times New Roman"/>
          <w:sz w:val="24"/>
          <w:szCs w:val="24"/>
          <w:lang w:val="es-ES" w:eastAsia="es-ES"/>
        </w:rPr>
        <w:t xml:space="preserve"> </w:t>
      </w:r>
      <w:r w:rsidR="00502FF5" w:rsidRPr="008220D5">
        <w:rPr>
          <w:rFonts w:ascii="Bookman Old Style" w:eastAsia="Times New Roman" w:hAnsi="Bookman Old Style" w:cs="Times New Roman"/>
          <w:sz w:val="24"/>
          <w:szCs w:val="24"/>
          <w:lang w:val="es-ES" w:eastAsia="es-ES"/>
        </w:rPr>
        <w:t>de 20</w:t>
      </w:r>
      <w:r w:rsidR="003E4836" w:rsidRPr="00090AD5">
        <w:rPr>
          <w:rFonts w:ascii="Bookman Old Style" w:eastAsia="Times New Roman" w:hAnsi="Bookman Old Style" w:cs="Times New Roman"/>
          <w:sz w:val="24"/>
          <w:szCs w:val="24"/>
          <w:lang w:val="es-ES" w:eastAsia="es-ES"/>
        </w:rPr>
        <w:t>21</w:t>
      </w:r>
      <w:r w:rsidRPr="008220D5">
        <w:rPr>
          <w:rFonts w:ascii="Bookman Old Style" w:eastAsia="Times New Roman" w:hAnsi="Bookman Old Style" w:cs="Times New Roman"/>
          <w:sz w:val="24"/>
          <w:szCs w:val="24"/>
          <w:lang w:val="es-ES" w:eastAsia="es-ES"/>
        </w:rPr>
        <w:t>, acordó expedir la presente resolución.</w:t>
      </w:r>
    </w:p>
    <w:p w14:paraId="2D8DC59E" w14:textId="77777777" w:rsidR="00082D8D" w:rsidRPr="00082D81" w:rsidRDefault="00082D8D" w:rsidP="0081625F">
      <w:pPr>
        <w:spacing w:after="0" w:line="240" w:lineRule="auto"/>
        <w:ind w:left="-142" w:right="-142"/>
        <w:jc w:val="both"/>
        <w:rPr>
          <w:rFonts w:ascii="Bookman Old Style" w:eastAsia="Times New Roman" w:hAnsi="Bookman Old Style" w:cs="Times New Roman"/>
          <w:sz w:val="24"/>
          <w:szCs w:val="24"/>
          <w:lang w:val="es-ES" w:eastAsia="es-ES"/>
        </w:rPr>
      </w:pPr>
    </w:p>
    <w:p w14:paraId="32E2F76C" w14:textId="77777777" w:rsidR="0081625F" w:rsidRPr="00082D81" w:rsidRDefault="0081625F" w:rsidP="0081625F">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14:paraId="483AA67A" w14:textId="77777777" w:rsidR="0081625F" w:rsidRPr="00082D81" w:rsidRDefault="0081625F" w:rsidP="0081625F">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b/>
          <w:spacing w:val="80"/>
          <w:sz w:val="24"/>
          <w:szCs w:val="24"/>
          <w:lang w:val="es-ES" w:eastAsia="es-ES"/>
        </w:rPr>
        <w:t>RESUELVE</w:t>
      </w:r>
      <w:r w:rsidRPr="00082D81">
        <w:rPr>
          <w:rFonts w:ascii="Bookman Old Style" w:eastAsia="Times New Roman" w:hAnsi="Bookman Old Style" w:cs="Arial"/>
          <w:sz w:val="24"/>
          <w:szCs w:val="24"/>
          <w:lang w:val="es-ES" w:eastAsia="es-ES"/>
        </w:rPr>
        <w:t>:</w:t>
      </w:r>
    </w:p>
    <w:p w14:paraId="0D1171A9" w14:textId="77777777" w:rsidR="0081625F" w:rsidRPr="00082D81" w:rsidRDefault="0081625F" w:rsidP="0081625F">
      <w:pPr>
        <w:spacing w:after="0" w:line="240" w:lineRule="auto"/>
        <w:ind w:right="-142"/>
        <w:jc w:val="both"/>
        <w:rPr>
          <w:rFonts w:ascii="Bookman Old Style" w:eastAsia="Times New Roman" w:hAnsi="Bookman Old Style" w:cs="Times New Roman"/>
          <w:sz w:val="24"/>
          <w:szCs w:val="24"/>
          <w:lang w:val="es-ES" w:eastAsia="es-ES"/>
        </w:rPr>
      </w:pPr>
    </w:p>
    <w:p w14:paraId="47729959" w14:textId="7DF96F4D" w:rsidR="00D04F2F" w:rsidRPr="00D04F2F" w:rsidRDefault="0081625F" w:rsidP="00D04F2F">
      <w:pPr>
        <w:spacing w:after="0" w:line="240" w:lineRule="auto"/>
        <w:ind w:left="-142" w:right="-142"/>
        <w:jc w:val="both"/>
        <w:rPr>
          <w:rFonts w:ascii="Bookman Old Style" w:eastAsia="Times New Roman" w:hAnsi="Bookman Old Style" w:cs="Times New Roman"/>
          <w:sz w:val="24"/>
          <w:szCs w:val="24"/>
          <w:lang w:val="es-ES" w:eastAsia="es-ES"/>
        </w:rPr>
      </w:pPr>
      <w:r w:rsidRPr="00EC1D37">
        <w:rPr>
          <w:rFonts w:ascii="Bookman Old Style" w:eastAsia="Times New Roman" w:hAnsi="Bookman Old Style" w:cs="Times New Roman"/>
          <w:b/>
          <w:sz w:val="24"/>
          <w:szCs w:val="24"/>
          <w:lang w:val="es-ES" w:eastAsia="es-ES"/>
        </w:rPr>
        <w:t>Artículo 1.</w:t>
      </w:r>
      <w:r w:rsidRPr="00EC1D37">
        <w:rPr>
          <w:rFonts w:ascii="Bookman Old Style" w:eastAsia="Times New Roman" w:hAnsi="Bookman Old Style" w:cs="Times New Roman"/>
          <w:sz w:val="24"/>
          <w:szCs w:val="24"/>
          <w:lang w:val="es-ES" w:eastAsia="es-ES"/>
        </w:rPr>
        <w:t xml:space="preserve"> </w:t>
      </w:r>
      <w:r w:rsidR="00D04F2F" w:rsidRPr="00D04F2F">
        <w:rPr>
          <w:rFonts w:ascii="Bookman Old Style" w:eastAsia="Times New Roman" w:hAnsi="Bookman Old Style" w:cs="Times New Roman"/>
          <w:sz w:val="24"/>
          <w:szCs w:val="24"/>
          <w:lang w:val="es-ES" w:eastAsia="es-ES"/>
        </w:rPr>
        <w:t xml:space="preserve">Modificar el artículo 1 de la Resolución CREG </w:t>
      </w:r>
      <w:r w:rsidR="00D04F2F">
        <w:rPr>
          <w:rFonts w:ascii="Bookman Old Style" w:eastAsia="Times New Roman" w:hAnsi="Bookman Old Style" w:cs="Times New Roman"/>
          <w:sz w:val="24"/>
          <w:szCs w:val="24"/>
          <w:lang w:val="es-ES" w:eastAsia="es-ES"/>
        </w:rPr>
        <w:t>209</w:t>
      </w:r>
      <w:r w:rsidR="00D04F2F" w:rsidRPr="00D04F2F">
        <w:rPr>
          <w:rFonts w:ascii="Bookman Old Style" w:eastAsia="Times New Roman" w:hAnsi="Bookman Old Style" w:cs="Times New Roman"/>
          <w:sz w:val="24"/>
          <w:szCs w:val="24"/>
          <w:lang w:val="es-ES" w:eastAsia="es-ES"/>
        </w:rPr>
        <w:t xml:space="preserve"> de 20</w:t>
      </w:r>
      <w:r w:rsidR="00D04F2F">
        <w:rPr>
          <w:rFonts w:ascii="Bookman Old Style" w:eastAsia="Times New Roman" w:hAnsi="Bookman Old Style" w:cs="Times New Roman"/>
          <w:sz w:val="24"/>
          <w:szCs w:val="24"/>
          <w:lang w:val="es-ES" w:eastAsia="es-ES"/>
        </w:rPr>
        <w:t>2</w:t>
      </w:r>
      <w:r w:rsidR="00D04F2F" w:rsidRPr="00D04F2F">
        <w:rPr>
          <w:rFonts w:ascii="Bookman Old Style" w:eastAsia="Times New Roman" w:hAnsi="Bookman Old Style" w:cs="Times New Roman"/>
          <w:sz w:val="24"/>
          <w:szCs w:val="24"/>
          <w:lang w:val="es-ES" w:eastAsia="es-ES"/>
        </w:rPr>
        <w:t>1 de la siguiente forma:</w:t>
      </w:r>
    </w:p>
    <w:p w14:paraId="1271CE9D" w14:textId="77777777" w:rsidR="00D04F2F" w:rsidRPr="00D04F2F" w:rsidRDefault="00D04F2F" w:rsidP="00D04F2F">
      <w:pPr>
        <w:spacing w:after="0" w:line="240" w:lineRule="auto"/>
        <w:ind w:left="-142" w:right="-142"/>
        <w:jc w:val="both"/>
        <w:rPr>
          <w:rFonts w:ascii="Bookman Old Style" w:eastAsia="Times New Roman" w:hAnsi="Bookman Old Style" w:cs="Times New Roman"/>
          <w:sz w:val="24"/>
          <w:szCs w:val="24"/>
          <w:lang w:val="es-ES" w:eastAsia="es-ES"/>
        </w:rPr>
      </w:pPr>
    </w:p>
    <w:p w14:paraId="714223FA" w14:textId="6C59D976" w:rsidR="0081625F" w:rsidRPr="008D6A3D" w:rsidRDefault="00D04F2F" w:rsidP="00BD4EAE">
      <w:pPr>
        <w:spacing w:after="0" w:line="240" w:lineRule="auto"/>
        <w:ind w:left="142" w:right="284"/>
        <w:jc w:val="both"/>
        <w:rPr>
          <w:rFonts w:ascii="Bookman Old Style" w:eastAsia="Times New Roman" w:hAnsi="Bookman Old Style" w:cs="Times New Roman"/>
          <w:sz w:val="24"/>
          <w:szCs w:val="24"/>
          <w:lang w:val="es-ES" w:eastAsia="es-ES"/>
        </w:rPr>
      </w:pPr>
      <w:r w:rsidRPr="00D04F2F">
        <w:rPr>
          <w:rFonts w:ascii="Bookman Old Style" w:eastAsia="Times New Roman" w:hAnsi="Bookman Old Style" w:cs="Times New Roman"/>
          <w:sz w:val="24"/>
          <w:szCs w:val="24"/>
          <w:lang w:val="es-ES" w:eastAsia="es-ES"/>
        </w:rPr>
        <w:t xml:space="preserve">La siguiente corresponde a la Capacidad </w:t>
      </w:r>
      <w:r w:rsidRPr="008D6A3D">
        <w:rPr>
          <w:rFonts w:ascii="Bookman Old Style" w:eastAsia="Times New Roman" w:hAnsi="Bookman Old Style" w:cs="Times New Roman"/>
          <w:sz w:val="24"/>
          <w:szCs w:val="24"/>
          <w:lang w:val="es-ES" w:eastAsia="es-ES"/>
        </w:rPr>
        <w:t xml:space="preserve">de Compra para </w:t>
      </w:r>
      <w:r w:rsidR="00706F81" w:rsidRPr="008D6A3D">
        <w:rPr>
          <w:rFonts w:ascii="Bookman Old Style" w:eastAsia="Times New Roman" w:hAnsi="Bookman Old Style" w:cs="Arial"/>
          <w:spacing w:val="-5"/>
          <w:sz w:val="24"/>
          <w:szCs w:val="24"/>
        </w:rPr>
        <w:t>Montagas S.A. E.S.P.</w:t>
      </w:r>
      <w:r w:rsidRPr="008D6A3D">
        <w:rPr>
          <w:rFonts w:ascii="Bookman Old Style" w:eastAsia="Times New Roman" w:hAnsi="Bookman Old Style" w:cs="Times New Roman"/>
          <w:sz w:val="24"/>
          <w:szCs w:val="24"/>
          <w:lang w:val="es-ES" w:eastAsia="es-ES"/>
        </w:rPr>
        <w:t>:</w:t>
      </w:r>
    </w:p>
    <w:p w14:paraId="16DA21CF" w14:textId="77777777" w:rsidR="00BD4EAE" w:rsidRPr="008D6A3D" w:rsidRDefault="00BD4EAE" w:rsidP="00D04F2F">
      <w:pPr>
        <w:spacing w:after="0" w:line="240" w:lineRule="auto"/>
        <w:ind w:left="-142" w:right="-142"/>
        <w:jc w:val="both"/>
        <w:rPr>
          <w:rFonts w:ascii="Bookman Old Style" w:eastAsia="Times New Roman" w:hAnsi="Bookman Old Style" w:cs="Times New Roman"/>
          <w:sz w:val="24"/>
          <w:szCs w:val="24"/>
          <w:lang w:val="es-ES" w:eastAsia="es-ES"/>
        </w:rPr>
      </w:pPr>
    </w:p>
    <w:tbl>
      <w:tblPr>
        <w:tblW w:w="8515" w:type="dxa"/>
        <w:jc w:val="center"/>
        <w:tblCellMar>
          <w:left w:w="70" w:type="dxa"/>
          <w:right w:w="70" w:type="dxa"/>
        </w:tblCellMar>
        <w:tblLook w:val="04A0" w:firstRow="1" w:lastRow="0" w:firstColumn="1" w:lastColumn="0" w:noHBand="0" w:noVBand="1"/>
      </w:tblPr>
      <w:tblGrid>
        <w:gridCol w:w="1348"/>
        <w:gridCol w:w="5451"/>
        <w:gridCol w:w="1716"/>
      </w:tblGrid>
      <w:tr w:rsidR="00BD4EAE" w:rsidRPr="008D6A3D" w14:paraId="3BEB1185" w14:textId="77777777" w:rsidTr="00E8426D">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50F22" w14:textId="77777777" w:rsidR="00BD4EAE" w:rsidRPr="008D6A3D" w:rsidRDefault="00BD4EAE" w:rsidP="00E8426D">
            <w:pPr>
              <w:spacing w:after="0" w:line="240" w:lineRule="auto"/>
              <w:jc w:val="center"/>
              <w:rPr>
                <w:rFonts w:ascii="Bookman Old Style" w:eastAsia="Times New Roman" w:hAnsi="Bookman Old Style" w:cs="Times New Roman"/>
                <w:b/>
                <w:bCs/>
                <w:color w:val="000000"/>
                <w:lang w:val="es-ES" w:eastAsia="es-CO"/>
              </w:rPr>
            </w:pPr>
            <w:r w:rsidRPr="008D6A3D">
              <w:rPr>
                <w:rFonts w:ascii="Bookman Old Style" w:eastAsia="Times New Roman" w:hAnsi="Bookman Old Style" w:cs="Times New Roman"/>
                <w:b/>
                <w:bCs/>
                <w:color w:val="000000"/>
                <w:lang w:val="es-ES" w:eastAsia="es-CO"/>
              </w:rPr>
              <w:t>Código SUI</w:t>
            </w:r>
          </w:p>
        </w:tc>
        <w:tc>
          <w:tcPr>
            <w:tcW w:w="5451" w:type="dxa"/>
            <w:tcBorders>
              <w:top w:val="single" w:sz="4" w:space="0" w:color="auto"/>
              <w:left w:val="nil"/>
              <w:bottom w:val="single" w:sz="4" w:space="0" w:color="auto"/>
              <w:right w:val="single" w:sz="4" w:space="0" w:color="auto"/>
            </w:tcBorders>
            <w:shd w:val="clear" w:color="auto" w:fill="auto"/>
            <w:noWrap/>
            <w:vAlign w:val="center"/>
          </w:tcPr>
          <w:p w14:paraId="699246EB" w14:textId="77777777" w:rsidR="00BD4EAE" w:rsidRPr="008D6A3D" w:rsidRDefault="00BD4EAE" w:rsidP="00E8426D">
            <w:pPr>
              <w:spacing w:after="0" w:line="240" w:lineRule="auto"/>
              <w:jc w:val="center"/>
              <w:rPr>
                <w:rFonts w:ascii="Bookman Old Style" w:eastAsia="Times New Roman" w:hAnsi="Bookman Old Style" w:cs="Times New Roman"/>
                <w:b/>
                <w:bCs/>
                <w:color w:val="000000"/>
                <w:lang w:val="es-ES" w:eastAsia="es-CO"/>
              </w:rPr>
            </w:pPr>
            <w:r w:rsidRPr="008D6A3D">
              <w:rPr>
                <w:rFonts w:ascii="Bookman Old Style" w:eastAsia="Times New Roman" w:hAnsi="Bookman Old Style" w:cs="Times New Roman"/>
                <w:b/>
                <w:bCs/>
                <w:color w:val="000000"/>
                <w:lang w:val="es-ES"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14:paraId="2BB78EB9" w14:textId="77777777" w:rsidR="00BD4EAE" w:rsidRPr="008D6A3D" w:rsidRDefault="00BD4EAE" w:rsidP="00E8426D">
            <w:pPr>
              <w:spacing w:after="0" w:line="240" w:lineRule="auto"/>
              <w:jc w:val="center"/>
              <w:rPr>
                <w:rFonts w:ascii="Bookman Old Style" w:eastAsia="Times New Roman" w:hAnsi="Bookman Old Style" w:cs="Times New Roman"/>
                <w:b/>
                <w:bCs/>
                <w:color w:val="000000"/>
                <w:lang w:val="es-ES" w:eastAsia="es-CO"/>
              </w:rPr>
            </w:pPr>
            <w:r w:rsidRPr="008D6A3D">
              <w:rPr>
                <w:rFonts w:ascii="Bookman Old Style" w:eastAsia="Times New Roman" w:hAnsi="Bookman Old Style" w:cs="Times New Roman"/>
                <w:b/>
                <w:bCs/>
                <w:color w:val="000000"/>
                <w:lang w:val="es-ES" w:eastAsia="es-CO"/>
              </w:rPr>
              <w:t xml:space="preserve">Capacidad de compra </w:t>
            </w:r>
            <m:oMath>
              <m:r>
                <m:rPr>
                  <m:sty m:val="bi"/>
                </m:rPr>
                <w:rPr>
                  <w:rFonts w:ascii="Cambria Math" w:eastAsia="Times New Roman" w:hAnsi="Cambria Math" w:cs="Times New Roman"/>
                  <w:color w:val="000000"/>
                  <w:lang w:val="es-ES" w:eastAsia="es-CO"/>
                </w:rPr>
                <m:t>C</m:t>
              </m:r>
              <m:sSub>
                <m:sSubPr>
                  <m:ctrlPr>
                    <w:rPr>
                      <w:rFonts w:ascii="Cambria Math" w:eastAsia="Times New Roman" w:hAnsi="Cambria Math" w:cs="Times New Roman"/>
                      <w:b/>
                      <w:bCs/>
                      <w:i/>
                      <w:iCs/>
                      <w:color w:val="000000"/>
                      <w:lang w:val="es-ES" w:eastAsia="es-CO"/>
                    </w:rPr>
                  </m:ctrlPr>
                </m:sSubPr>
                <m:e>
                  <m:r>
                    <m:rPr>
                      <m:sty m:val="bi"/>
                    </m:rPr>
                    <w:rPr>
                      <w:rFonts w:ascii="Cambria Math" w:eastAsia="Times New Roman" w:hAnsi="Cambria Math" w:cs="Times New Roman"/>
                      <w:color w:val="000000"/>
                      <w:lang w:val="es-ES" w:eastAsia="es-CO"/>
                    </w:rPr>
                    <m:t>C</m:t>
                  </m:r>
                </m:e>
                <m:sub>
                  <m:r>
                    <m:rPr>
                      <m:sty m:val="bi"/>
                    </m:rPr>
                    <w:rPr>
                      <w:rFonts w:ascii="Cambria Math" w:eastAsia="Times New Roman" w:hAnsi="Cambria Math" w:cs="Times New Roman"/>
                      <w:color w:val="000000"/>
                      <w:lang w:val="es-ES" w:eastAsia="es-CO"/>
                    </w:rPr>
                    <m:t>i,t</m:t>
                  </m:r>
                </m:sub>
              </m:sSub>
            </m:oMath>
          </w:p>
        </w:tc>
      </w:tr>
      <w:tr w:rsidR="00BD4EAE" w:rsidRPr="00082D81" w14:paraId="4F0C7BA1" w14:textId="77777777" w:rsidTr="00E8426D">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EBA4" w14:textId="77777777" w:rsidR="00BD4EAE" w:rsidRPr="008D6A3D" w:rsidRDefault="00BD4EAE" w:rsidP="00BD4EAE">
            <w:pPr>
              <w:spacing w:after="0"/>
              <w:jc w:val="center"/>
              <w:rPr>
                <w:rFonts w:ascii="Bookman Old Style" w:hAnsi="Bookman Old Style"/>
              </w:rPr>
            </w:pPr>
            <w:r w:rsidRPr="008D6A3D">
              <w:rPr>
                <w:rFonts w:ascii="Bookman Old Style" w:hAnsi="Bookman Old Style"/>
              </w:rPr>
              <w:t>6026</w:t>
            </w:r>
          </w:p>
        </w:tc>
        <w:tc>
          <w:tcPr>
            <w:tcW w:w="5451" w:type="dxa"/>
            <w:tcBorders>
              <w:top w:val="single" w:sz="4" w:space="0" w:color="auto"/>
              <w:left w:val="nil"/>
              <w:bottom w:val="single" w:sz="4" w:space="0" w:color="auto"/>
              <w:right w:val="single" w:sz="4" w:space="0" w:color="auto"/>
            </w:tcBorders>
            <w:shd w:val="clear" w:color="auto" w:fill="auto"/>
            <w:noWrap/>
            <w:vAlign w:val="center"/>
            <w:hideMark/>
          </w:tcPr>
          <w:p w14:paraId="185BC1A1" w14:textId="2B28DD3E" w:rsidR="00BD4EAE" w:rsidRPr="008D6A3D" w:rsidRDefault="00B9717C" w:rsidP="00BD4EAE">
            <w:pPr>
              <w:spacing w:after="0"/>
              <w:jc w:val="center"/>
              <w:rPr>
                <w:rFonts w:ascii="Bookman Old Style" w:hAnsi="Bookman Old Style"/>
                <w:lang w:val="en-US"/>
              </w:rPr>
            </w:pPr>
            <w:r w:rsidRPr="008D6A3D">
              <w:rPr>
                <w:rFonts w:ascii="Bookman Old Style" w:hAnsi="Bookman Old Style"/>
                <w:lang w:val="en-US"/>
              </w:rPr>
              <w:t>MONTAGAS SA E S 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1320092B" w14:textId="3469F7D2" w:rsidR="00BD4EAE" w:rsidRPr="008D6A3D" w:rsidRDefault="00EB08D5" w:rsidP="00EB08D5">
            <w:pPr>
              <w:spacing w:after="0"/>
              <w:ind w:right="86"/>
              <w:jc w:val="center"/>
              <w:rPr>
                <w:rFonts w:ascii="Bookman Old Style" w:hAnsi="Bookman Old Style"/>
              </w:rPr>
            </w:pPr>
            <w:r w:rsidRPr="008D6A3D">
              <w:rPr>
                <w:rFonts w:ascii="Bookman Old Style" w:hAnsi="Bookman Old Style"/>
              </w:rPr>
              <w:t>27.666.244</w:t>
            </w:r>
          </w:p>
        </w:tc>
      </w:tr>
    </w:tbl>
    <w:p w14:paraId="2B131C65" w14:textId="77777777" w:rsidR="00BD4EAE" w:rsidRDefault="00BD4EAE" w:rsidP="00D04F2F">
      <w:pPr>
        <w:spacing w:after="0" w:line="240" w:lineRule="auto"/>
        <w:ind w:left="-142" w:right="-142"/>
        <w:jc w:val="both"/>
        <w:rPr>
          <w:rFonts w:ascii="Bookman Old Style" w:eastAsia="Times New Roman" w:hAnsi="Bookman Old Style" w:cs="Times New Roman"/>
          <w:sz w:val="24"/>
          <w:szCs w:val="24"/>
          <w:lang w:val="es-ES" w:eastAsia="es-ES"/>
        </w:rPr>
      </w:pPr>
    </w:p>
    <w:p w14:paraId="08368539" w14:textId="3FFCDB5B" w:rsidR="003D78FC" w:rsidRPr="003D78FC" w:rsidRDefault="0081625F" w:rsidP="003D78FC">
      <w:pPr>
        <w:spacing w:after="0" w:line="240" w:lineRule="auto"/>
        <w:ind w:left="-142" w:right="-142"/>
        <w:jc w:val="both"/>
        <w:rPr>
          <w:rFonts w:ascii="Bookman Old Style" w:eastAsia="Times New Roman" w:hAnsi="Bookman Old Style" w:cs="Times New Roman"/>
          <w:sz w:val="24"/>
          <w:szCs w:val="24"/>
          <w:lang w:val="es-ES" w:eastAsia="es-ES"/>
        </w:rPr>
      </w:pPr>
      <w:r w:rsidRPr="00AE08C2">
        <w:rPr>
          <w:rFonts w:ascii="Bookman Old Style" w:eastAsia="Times New Roman" w:hAnsi="Bookman Old Style" w:cs="Times New Roman"/>
          <w:b/>
          <w:sz w:val="24"/>
          <w:szCs w:val="24"/>
          <w:lang w:val="es-ES" w:eastAsia="es-ES"/>
        </w:rPr>
        <w:t>Artículo 2.</w:t>
      </w:r>
      <w:r w:rsidRPr="00AE08C2">
        <w:rPr>
          <w:rFonts w:ascii="Bookman Old Style" w:eastAsia="Times New Roman" w:hAnsi="Bookman Old Style" w:cs="Times New Roman"/>
          <w:sz w:val="24"/>
          <w:szCs w:val="24"/>
          <w:lang w:val="es-ES" w:eastAsia="es-ES"/>
        </w:rPr>
        <w:t xml:space="preserve"> </w:t>
      </w:r>
      <w:r w:rsidR="003D78FC" w:rsidRPr="003D78FC">
        <w:rPr>
          <w:rFonts w:ascii="Bookman Old Style" w:eastAsia="Times New Roman" w:hAnsi="Bookman Old Style" w:cs="Times New Roman"/>
          <w:sz w:val="24"/>
          <w:szCs w:val="24"/>
          <w:lang w:val="es-ES" w:eastAsia="es-ES"/>
        </w:rPr>
        <w:t xml:space="preserve">Modificar el Anexo de la Resolución CREG </w:t>
      </w:r>
      <w:r w:rsidR="003D78FC">
        <w:rPr>
          <w:rFonts w:ascii="Bookman Old Style" w:eastAsia="Times New Roman" w:hAnsi="Bookman Old Style" w:cs="Times New Roman"/>
          <w:sz w:val="24"/>
          <w:szCs w:val="24"/>
          <w:lang w:val="es-ES" w:eastAsia="es-ES"/>
        </w:rPr>
        <w:t>209</w:t>
      </w:r>
      <w:r w:rsidR="003D78FC" w:rsidRPr="003D78FC">
        <w:rPr>
          <w:rFonts w:ascii="Bookman Old Style" w:eastAsia="Times New Roman" w:hAnsi="Bookman Old Style" w:cs="Times New Roman"/>
          <w:sz w:val="24"/>
          <w:szCs w:val="24"/>
          <w:lang w:val="es-ES" w:eastAsia="es-ES"/>
        </w:rPr>
        <w:t xml:space="preserve"> de 20</w:t>
      </w:r>
      <w:r w:rsidR="003D78FC">
        <w:rPr>
          <w:rFonts w:ascii="Bookman Old Style" w:eastAsia="Times New Roman" w:hAnsi="Bookman Old Style" w:cs="Times New Roman"/>
          <w:sz w:val="24"/>
          <w:szCs w:val="24"/>
          <w:lang w:val="es-ES" w:eastAsia="es-ES"/>
        </w:rPr>
        <w:t>2</w:t>
      </w:r>
      <w:r w:rsidR="003D78FC" w:rsidRPr="003D78FC">
        <w:rPr>
          <w:rFonts w:ascii="Bookman Old Style" w:eastAsia="Times New Roman" w:hAnsi="Bookman Old Style" w:cs="Times New Roman"/>
          <w:sz w:val="24"/>
          <w:szCs w:val="24"/>
          <w:lang w:val="es-ES" w:eastAsia="es-ES"/>
        </w:rPr>
        <w:t>1 de la siguiente forma:</w:t>
      </w:r>
    </w:p>
    <w:p w14:paraId="2EA192EE" w14:textId="77777777" w:rsidR="003D78FC" w:rsidRPr="003D78FC" w:rsidRDefault="003D78FC" w:rsidP="003D78FC">
      <w:pPr>
        <w:spacing w:after="0" w:line="240" w:lineRule="auto"/>
        <w:ind w:left="-142" w:right="-142"/>
        <w:jc w:val="both"/>
        <w:rPr>
          <w:rFonts w:ascii="Bookman Old Style" w:eastAsia="Times New Roman" w:hAnsi="Bookman Old Style" w:cs="Times New Roman"/>
          <w:sz w:val="24"/>
          <w:szCs w:val="24"/>
          <w:lang w:val="es-ES" w:eastAsia="es-ES"/>
        </w:rPr>
      </w:pPr>
    </w:p>
    <w:p w14:paraId="078E8949" w14:textId="1C7B045D" w:rsidR="003D78FC" w:rsidRPr="003D78FC" w:rsidRDefault="00EA47A1" w:rsidP="003D78FC">
      <w:pPr>
        <w:spacing w:after="0" w:line="240" w:lineRule="auto"/>
        <w:ind w:left="567" w:right="-93"/>
        <w:jc w:val="center"/>
        <w:rPr>
          <w:rFonts w:ascii="Bookman Old Style" w:eastAsia="MS Mincho" w:hAnsi="Bookman Old Style" w:cs="Arial"/>
          <w:b/>
          <w:sz w:val="24"/>
          <w:szCs w:val="24"/>
          <w:lang w:val="es-ES" w:eastAsia="es-ES"/>
        </w:rPr>
      </w:pPr>
      <w:r w:rsidRPr="00EA47A1">
        <w:rPr>
          <w:rFonts w:ascii="Bookman Old Style" w:eastAsia="MS Mincho" w:hAnsi="Bookman Old Style" w:cs="Arial"/>
          <w:b/>
          <w:sz w:val="24"/>
          <w:szCs w:val="24"/>
          <w:lang w:val="es-ES" w:eastAsia="es-ES"/>
        </w:rPr>
        <w:t>3.1 CÁLCULO Y DEFINICIÓN DE LA CAPACIDAD DE COMPRA</w:t>
      </w:r>
    </w:p>
    <w:p w14:paraId="02355A50" w14:textId="77777777" w:rsidR="003D78FC" w:rsidRPr="003D78FC" w:rsidRDefault="003D78FC" w:rsidP="003D78FC">
      <w:pPr>
        <w:spacing w:after="0" w:line="240" w:lineRule="auto"/>
        <w:ind w:left="-142" w:right="-142"/>
        <w:jc w:val="both"/>
        <w:rPr>
          <w:rFonts w:ascii="Bookman Old Style" w:eastAsia="Times New Roman" w:hAnsi="Bookman Old Style" w:cs="Times New Roman"/>
          <w:sz w:val="24"/>
          <w:szCs w:val="24"/>
          <w:lang w:val="es-ES" w:eastAsia="es-ES"/>
        </w:rPr>
      </w:pPr>
    </w:p>
    <w:p w14:paraId="53D669A8" w14:textId="77777777" w:rsidR="003D78FC" w:rsidRPr="00504AFB" w:rsidRDefault="003D78FC" w:rsidP="00EA47A1">
      <w:pPr>
        <w:spacing w:after="0" w:line="240" w:lineRule="auto"/>
        <w:ind w:left="142"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 xml:space="preserve">A continuación, se detalla el cálculo de la capacidad de compra del artículo 1 de la presente resolución. </w:t>
      </w:r>
    </w:p>
    <w:p w14:paraId="63A02D85" w14:textId="77777777" w:rsidR="003D78FC" w:rsidRPr="00504AFB" w:rsidRDefault="003D78FC" w:rsidP="00EA47A1">
      <w:pPr>
        <w:spacing w:after="0" w:line="240" w:lineRule="auto"/>
        <w:ind w:left="142" w:right="284"/>
        <w:jc w:val="both"/>
        <w:rPr>
          <w:rFonts w:ascii="Bookman Old Style" w:eastAsia="Times New Roman" w:hAnsi="Bookman Old Style" w:cs="Times New Roman"/>
          <w:lang w:val="es-ES" w:eastAsia="es-ES"/>
        </w:rPr>
      </w:pPr>
    </w:p>
    <w:p w14:paraId="12FF2FD8" w14:textId="4989A773" w:rsidR="003D78FC" w:rsidRPr="00504AFB" w:rsidRDefault="003D78FC" w:rsidP="00463DE7">
      <w:pPr>
        <w:pStyle w:val="Prrafodelista"/>
        <w:numPr>
          <w:ilvl w:val="0"/>
          <w:numId w:val="25"/>
        </w:numPr>
        <w:spacing w:after="0" w:line="240" w:lineRule="auto"/>
        <w:ind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 xml:space="preserve">De acuerdo con el parágrafo 2 del artículo 8 de la </w:t>
      </w:r>
      <w:r w:rsidR="005536DF" w:rsidRPr="00504AFB">
        <w:rPr>
          <w:rFonts w:ascii="Bookman Old Style" w:eastAsia="Times New Roman" w:hAnsi="Bookman Old Style" w:cs="Times New Roman"/>
          <w:lang w:val="es-ES" w:eastAsia="es-ES"/>
        </w:rPr>
        <w:t>R</w:t>
      </w:r>
      <w:r w:rsidRPr="00504AFB">
        <w:rPr>
          <w:rFonts w:ascii="Bookman Old Style" w:eastAsia="Times New Roman" w:hAnsi="Bookman Old Style" w:cs="Times New Roman"/>
          <w:lang w:val="es-ES" w:eastAsia="es-ES"/>
        </w:rPr>
        <w:t xml:space="preserve">esolución CREG 063 de 2016, se calcula la variable </w:t>
      </w:r>
      <m:oMath>
        <m:r>
          <w:rPr>
            <w:rFonts w:ascii="Cambria Math" w:eastAsia="Times New Roman" w:hAnsi="Cambria Math" w:cs="Times New Roman"/>
            <w:lang w:val="es-ES" w:eastAsia="es-ES"/>
          </w:rPr>
          <m:t>Cap</m:t>
        </m:r>
        <m:r>
          <m:rPr>
            <m:sty m:val="p"/>
          </m:rPr>
          <w:rPr>
            <w:rFonts w:ascii="Cambria Math" w:eastAsia="Times New Roman" w:hAnsi="Cambria Math" w:cs="Times New Roman"/>
            <w:lang w:val="es-ES" w:eastAsia="es-ES"/>
          </w:rPr>
          <m:t>.</m:t>
        </m:r>
        <m:sSub>
          <m:sSubPr>
            <m:ctrlPr>
              <w:rPr>
                <w:rFonts w:ascii="Cambria Math" w:eastAsia="Times New Roman" w:hAnsi="Cambria Math" w:cs="Times New Roman"/>
                <w:lang w:val="es-ES" w:eastAsia="es-ES"/>
              </w:rPr>
            </m:ctrlPr>
          </m:sSubPr>
          <m:e>
            <m:r>
              <m:rPr>
                <m:sty m:val="p"/>
              </m:rPr>
              <w:rPr>
                <w:rFonts w:ascii="Cambria Math" w:eastAsia="Times New Roman" w:hAnsi="Cambria Math" w:cs="Times New Roman"/>
                <w:lang w:val="es-ES" w:eastAsia="es-ES"/>
              </w:rPr>
              <m:t>1</m:t>
            </m:r>
          </m:e>
          <m:sub>
            <m:r>
              <w:rPr>
                <w:rFonts w:ascii="Cambria Math" w:eastAsia="Times New Roman" w:hAnsi="Cambria Math" w:cs="Times New Roman"/>
                <w:lang w:val="es-ES" w:eastAsia="es-ES"/>
              </w:rPr>
              <m:t>i</m:t>
            </m:r>
            <m:r>
              <m:rPr>
                <m:sty m:val="p"/>
              </m:rPr>
              <w:rPr>
                <w:rFonts w:ascii="Cambria Math" w:eastAsia="Times New Roman" w:hAnsi="Cambria Math" w:cs="Times New Roman"/>
                <w:lang w:val="es-ES" w:eastAsia="es-ES"/>
              </w:rPr>
              <m:t>,</m:t>
            </m:r>
            <m:r>
              <w:rPr>
                <w:rFonts w:ascii="Cambria Math" w:eastAsia="Times New Roman" w:hAnsi="Cambria Math" w:cs="Times New Roman"/>
                <w:lang w:val="es-ES" w:eastAsia="es-ES"/>
              </w:rPr>
              <m:t>t</m:t>
            </m:r>
          </m:sub>
        </m:sSub>
      </m:oMath>
      <w:r w:rsidRPr="00504AFB">
        <w:rPr>
          <w:rFonts w:ascii="Bookman Old Style" w:eastAsia="Times New Roman" w:hAnsi="Bookman Old Style" w:cs="Times New Roman"/>
          <w:lang w:val="es-ES" w:eastAsia="es-ES"/>
        </w:rPr>
        <w:t>, a continuación se muestra el conteo de cilindros por código de presentación para Montagas S.A. E.S.P:</w:t>
      </w:r>
    </w:p>
    <w:p w14:paraId="4F4C1577" w14:textId="77777777" w:rsidR="005031D7" w:rsidRPr="008D6A3D" w:rsidRDefault="005031D7" w:rsidP="005031D7">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tbl>
      <w:tblPr>
        <w:tblStyle w:val="Tablaconcuadrcula7"/>
        <w:tblW w:w="0" w:type="auto"/>
        <w:jc w:val="center"/>
        <w:tblLook w:val="04A0" w:firstRow="1" w:lastRow="0" w:firstColumn="1" w:lastColumn="0" w:noHBand="0" w:noVBand="1"/>
      </w:tblPr>
      <w:tblGrid>
        <w:gridCol w:w="714"/>
        <w:gridCol w:w="723"/>
        <w:gridCol w:w="567"/>
        <w:gridCol w:w="645"/>
        <w:gridCol w:w="645"/>
        <w:gridCol w:w="863"/>
        <w:gridCol w:w="723"/>
        <w:gridCol w:w="839"/>
        <w:gridCol w:w="567"/>
        <w:gridCol w:w="764"/>
        <w:gridCol w:w="871"/>
        <w:gridCol w:w="1113"/>
      </w:tblGrid>
      <w:tr w:rsidR="00973304" w:rsidRPr="008D6A3D" w14:paraId="1485DBF3" w14:textId="77777777" w:rsidTr="005031D7">
        <w:trPr>
          <w:trHeight w:val="454"/>
          <w:tblHeader/>
          <w:jc w:val="center"/>
        </w:trPr>
        <w:tc>
          <w:tcPr>
            <w:tcW w:w="714" w:type="dxa"/>
            <w:shd w:val="clear" w:color="auto" w:fill="D9D9D9" w:themeFill="background1" w:themeFillShade="D9"/>
            <w:noWrap/>
            <w:vAlign w:val="center"/>
            <w:hideMark/>
          </w:tcPr>
          <w:p w14:paraId="30F5FCB5"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Código SUI</w:t>
            </w:r>
          </w:p>
        </w:tc>
        <w:tc>
          <w:tcPr>
            <w:tcW w:w="723" w:type="dxa"/>
            <w:shd w:val="clear" w:color="auto" w:fill="D9D9D9" w:themeFill="background1" w:themeFillShade="D9"/>
            <w:noWrap/>
            <w:vAlign w:val="center"/>
            <w:hideMark/>
          </w:tcPr>
          <w:p w14:paraId="67EC7E3F"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10 lb</w:t>
            </w:r>
          </w:p>
        </w:tc>
        <w:tc>
          <w:tcPr>
            <w:tcW w:w="567" w:type="dxa"/>
            <w:shd w:val="clear" w:color="auto" w:fill="D9D9D9" w:themeFill="background1" w:themeFillShade="D9"/>
            <w:noWrap/>
            <w:vAlign w:val="center"/>
            <w:hideMark/>
          </w:tcPr>
          <w:p w14:paraId="76B43690"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15 lb</w:t>
            </w:r>
          </w:p>
        </w:tc>
        <w:tc>
          <w:tcPr>
            <w:tcW w:w="645" w:type="dxa"/>
            <w:shd w:val="clear" w:color="auto" w:fill="D9D9D9" w:themeFill="background1" w:themeFillShade="D9"/>
            <w:noWrap/>
            <w:vAlign w:val="center"/>
            <w:hideMark/>
          </w:tcPr>
          <w:p w14:paraId="7A9E1FEE"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20 lb</w:t>
            </w:r>
          </w:p>
        </w:tc>
        <w:tc>
          <w:tcPr>
            <w:tcW w:w="645" w:type="dxa"/>
            <w:shd w:val="clear" w:color="auto" w:fill="D9D9D9" w:themeFill="background1" w:themeFillShade="D9"/>
            <w:noWrap/>
            <w:vAlign w:val="center"/>
            <w:hideMark/>
          </w:tcPr>
          <w:p w14:paraId="1F3BE3C6"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24 lb</w:t>
            </w:r>
          </w:p>
        </w:tc>
        <w:tc>
          <w:tcPr>
            <w:tcW w:w="839" w:type="dxa"/>
            <w:shd w:val="clear" w:color="auto" w:fill="D9D9D9" w:themeFill="background1" w:themeFillShade="D9"/>
            <w:noWrap/>
            <w:vAlign w:val="center"/>
            <w:hideMark/>
          </w:tcPr>
          <w:p w14:paraId="579DF593"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30 lb</w:t>
            </w:r>
          </w:p>
        </w:tc>
        <w:tc>
          <w:tcPr>
            <w:tcW w:w="723" w:type="dxa"/>
            <w:shd w:val="clear" w:color="auto" w:fill="D9D9D9" w:themeFill="background1" w:themeFillShade="D9"/>
            <w:noWrap/>
            <w:vAlign w:val="center"/>
            <w:hideMark/>
          </w:tcPr>
          <w:p w14:paraId="61E2EFA7"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33 lb</w:t>
            </w:r>
          </w:p>
        </w:tc>
        <w:tc>
          <w:tcPr>
            <w:tcW w:w="839" w:type="dxa"/>
            <w:shd w:val="clear" w:color="auto" w:fill="D9D9D9" w:themeFill="background1" w:themeFillShade="D9"/>
            <w:noWrap/>
            <w:vAlign w:val="center"/>
            <w:hideMark/>
          </w:tcPr>
          <w:p w14:paraId="5A10BF0B"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40 lb</w:t>
            </w:r>
          </w:p>
        </w:tc>
        <w:tc>
          <w:tcPr>
            <w:tcW w:w="567" w:type="dxa"/>
            <w:shd w:val="clear" w:color="auto" w:fill="D9D9D9" w:themeFill="background1" w:themeFillShade="D9"/>
            <w:noWrap/>
            <w:vAlign w:val="center"/>
            <w:hideMark/>
          </w:tcPr>
          <w:p w14:paraId="4F7DFFFB"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80 lb</w:t>
            </w:r>
          </w:p>
        </w:tc>
        <w:tc>
          <w:tcPr>
            <w:tcW w:w="723" w:type="dxa"/>
            <w:shd w:val="clear" w:color="auto" w:fill="D9D9D9" w:themeFill="background1" w:themeFillShade="D9"/>
            <w:noWrap/>
            <w:vAlign w:val="center"/>
            <w:hideMark/>
          </w:tcPr>
          <w:p w14:paraId="2FD22B1C"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100 lb</w:t>
            </w:r>
          </w:p>
        </w:tc>
        <w:tc>
          <w:tcPr>
            <w:tcW w:w="839" w:type="dxa"/>
            <w:shd w:val="clear" w:color="auto" w:fill="D9D9D9" w:themeFill="background1" w:themeFillShade="D9"/>
            <w:noWrap/>
            <w:vAlign w:val="center"/>
            <w:hideMark/>
          </w:tcPr>
          <w:p w14:paraId="2CCC8C5E" w14:textId="77777777"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Conteo cilindros</w:t>
            </w:r>
          </w:p>
        </w:tc>
        <w:tc>
          <w:tcPr>
            <w:tcW w:w="995" w:type="dxa"/>
            <w:shd w:val="clear" w:color="auto" w:fill="D9D9D9" w:themeFill="background1" w:themeFillShade="D9"/>
            <w:noWrap/>
            <w:vAlign w:val="center"/>
            <w:hideMark/>
          </w:tcPr>
          <w:p w14:paraId="022B8A6E" w14:textId="77777777" w:rsidR="005647BD"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Cap.1</w:t>
            </w:r>
            <w:r w:rsidRPr="008D6A3D">
              <w:rPr>
                <w:rFonts w:ascii="Bookman Old Style" w:eastAsia="Times New Roman" w:hAnsi="Bookman Old Style" w:cs="Arial"/>
                <w:b/>
                <w:bCs/>
                <w:color w:val="000000"/>
                <w:sz w:val="16"/>
                <w:szCs w:val="16"/>
                <w:vertAlign w:val="subscript"/>
                <w:lang w:eastAsia="es-CO"/>
              </w:rPr>
              <w:t>i,t</w:t>
            </w:r>
            <w:r w:rsidRPr="008D6A3D">
              <w:rPr>
                <w:rFonts w:ascii="Bookman Old Style" w:eastAsia="Times New Roman" w:hAnsi="Bookman Old Style" w:cs="Arial"/>
                <w:b/>
                <w:bCs/>
                <w:color w:val="000000"/>
                <w:sz w:val="16"/>
                <w:szCs w:val="16"/>
                <w:lang w:eastAsia="es-CO"/>
              </w:rPr>
              <w:t xml:space="preserve"> </w:t>
            </w:r>
          </w:p>
          <w:p w14:paraId="3E31B8A8" w14:textId="7EDD12EA" w:rsidR="005031D7" w:rsidRPr="008D6A3D" w:rsidRDefault="005031D7" w:rsidP="00E8426D">
            <w:pPr>
              <w:ind w:left="-75"/>
              <w:jc w:val="center"/>
              <w:rPr>
                <w:rFonts w:ascii="Bookman Old Style" w:eastAsia="Times New Roman" w:hAnsi="Bookman Old Style" w:cs="Arial"/>
                <w:b/>
                <w:bCs/>
                <w:color w:val="000000"/>
                <w:sz w:val="16"/>
                <w:szCs w:val="16"/>
                <w:lang w:eastAsia="es-CO"/>
              </w:rPr>
            </w:pPr>
            <w:r w:rsidRPr="008D6A3D">
              <w:rPr>
                <w:rFonts w:ascii="Bookman Old Style" w:eastAsia="Times New Roman" w:hAnsi="Bookman Old Style" w:cs="Arial"/>
                <w:b/>
                <w:bCs/>
                <w:color w:val="000000"/>
                <w:sz w:val="16"/>
                <w:szCs w:val="16"/>
                <w:lang w:eastAsia="es-CO"/>
              </w:rPr>
              <w:t>(kg)</w:t>
            </w:r>
          </w:p>
        </w:tc>
      </w:tr>
      <w:tr w:rsidR="00973304" w:rsidRPr="008D6A3D" w14:paraId="20085B4D" w14:textId="77777777" w:rsidTr="00B5095E">
        <w:trPr>
          <w:trHeight w:val="340"/>
          <w:jc w:val="center"/>
        </w:trPr>
        <w:tc>
          <w:tcPr>
            <w:tcW w:w="714" w:type="dxa"/>
            <w:noWrap/>
            <w:vAlign w:val="center"/>
            <w:hideMark/>
          </w:tcPr>
          <w:p w14:paraId="6E53C7BA" w14:textId="51BC8DDC"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6026</w:t>
            </w:r>
          </w:p>
        </w:tc>
        <w:tc>
          <w:tcPr>
            <w:tcW w:w="723" w:type="dxa"/>
            <w:noWrap/>
            <w:vAlign w:val="center"/>
            <w:hideMark/>
          </w:tcPr>
          <w:p w14:paraId="1F220B3B" w14:textId="79F9D8F3" w:rsidR="00973304" w:rsidRPr="008D6A3D" w:rsidRDefault="008C43ED"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NR</w:t>
            </w:r>
          </w:p>
        </w:tc>
        <w:tc>
          <w:tcPr>
            <w:tcW w:w="567" w:type="dxa"/>
            <w:noWrap/>
            <w:vAlign w:val="center"/>
            <w:hideMark/>
          </w:tcPr>
          <w:p w14:paraId="78159632" w14:textId="4801A3B4"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500</w:t>
            </w:r>
          </w:p>
        </w:tc>
        <w:tc>
          <w:tcPr>
            <w:tcW w:w="645" w:type="dxa"/>
            <w:noWrap/>
            <w:vAlign w:val="center"/>
            <w:hideMark/>
          </w:tcPr>
          <w:p w14:paraId="6F2FEC1B" w14:textId="3E7F1F99"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506</w:t>
            </w:r>
          </w:p>
        </w:tc>
        <w:tc>
          <w:tcPr>
            <w:tcW w:w="645" w:type="dxa"/>
            <w:noWrap/>
            <w:vAlign w:val="center"/>
            <w:hideMark/>
          </w:tcPr>
          <w:p w14:paraId="1C81B009" w14:textId="7C51EDBD" w:rsidR="00973304" w:rsidRPr="008D6A3D" w:rsidRDefault="00E87273"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NR</w:t>
            </w:r>
          </w:p>
        </w:tc>
        <w:tc>
          <w:tcPr>
            <w:tcW w:w="839" w:type="dxa"/>
            <w:noWrap/>
            <w:vAlign w:val="center"/>
            <w:hideMark/>
          </w:tcPr>
          <w:p w14:paraId="364B1639" w14:textId="430B00BC"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316.518</w:t>
            </w:r>
          </w:p>
        </w:tc>
        <w:tc>
          <w:tcPr>
            <w:tcW w:w="723" w:type="dxa"/>
            <w:noWrap/>
            <w:vAlign w:val="center"/>
            <w:hideMark/>
          </w:tcPr>
          <w:p w14:paraId="79A05116" w14:textId="39D5B87D" w:rsidR="00973304" w:rsidRPr="008D6A3D" w:rsidRDefault="00E87273"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NR</w:t>
            </w:r>
          </w:p>
        </w:tc>
        <w:tc>
          <w:tcPr>
            <w:tcW w:w="839" w:type="dxa"/>
            <w:noWrap/>
            <w:vAlign w:val="center"/>
            <w:hideMark/>
          </w:tcPr>
          <w:p w14:paraId="1653A4AB" w14:textId="2875E137"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89.109</w:t>
            </w:r>
          </w:p>
        </w:tc>
        <w:tc>
          <w:tcPr>
            <w:tcW w:w="567" w:type="dxa"/>
            <w:noWrap/>
            <w:vAlign w:val="center"/>
            <w:hideMark/>
          </w:tcPr>
          <w:p w14:paraId="21E0E859" w14:textId="60756472" w:rsidR="00973304" w:rsidRPr="008D6A3D" w:rsidRDefault="00E87273"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NR</w:t>
            </w:r>
          </w:p>
        </w:tc>
        <w:tc>
          <w:tcPr>
            <w:tcW w:w="723" w:type="dxa"/>
            <w:noWrap/>
            <w:vAlign w:val="center"/>
            <w:hideMark/>
          </w:tcPr>
          <w:p w14:paraId="4C3E68F6" w14:textId="66CC03E2"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16.553</w:t>
            </w:r>
          </w:p>
        </w:tc>
        <w:tc>
          <w:tcPr>
            <w:tcW w:w="839" w:type="dxa"/>
            <w:noWrap/>
            <w:vAlign w:val="center"/>
            <w:hideMark/>
          </w:tcPr>
          <w:p w14:paraId="114D7BEA" w14:textId="18EE6883" w:rsidR="00973304" w:rsidRPr="008D6A3D" w:rsidRDefault="00973304" w:rsidP="00B5095E">
            <w:pPr>
              <w:jc w:val="center"/>
              <w:rPr>
                <w:rFonts w:ascii="Bookman Old Style" w:hAnsi="Bookman Old Style" w:cs="Arial"/>
                <w:color w:val="000000" w:themeColor="text1"/>
                <w:sz w:val="16"/>
                <w:szCs w:val="16"/>
              </w:rPr>
            </w:pPr>
            <w:r w:rsidRPr="008D6A3D">
              <w:rPr>
                <w:rFonts w:ascii="Bookman Old Style" w:hAnsi="Bookman Old Style"/>
                <w:sz w:val="16"/>
                <w:szCs w:val="16"/>
              </w:rPr>
              <w:t>423.186</w:t>
            </w:r>
          </w:p>
        </w:tc>
        <w:tc>
          <w:tcPr>
            <w:tcW w:w="995" w:type="dxa"/>
            <w:noWrap/>
            <w:vAlign w:val="center"/>
          </w:tcPr>
          <w:p w14:paraId="64976B9D" w14:textId="7DA408B1" w:rsidR="00973304" w:rsidRPr="008D6A3D" w:rsidRDefault="00B5095E" w:rsidP="00B5095E">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40.132.202</w:t>
            </w:r>
          </w:p>
        </w:tc>
      </w:tr>
    </w:tbl>
    <w:p w14:paraId="0BEA8A41" w14:textId="77777777" w:rsidR="003D78FC" w:rsidRPr="003D78FC" w:rsidRDefault="003D78FC" w:rsidP="00512278">
      <w:pPr>
        <w:spacing w:after="0" w:line="240" w:lineRule="auto"/>
        <w:ind w:left="708" w:right="284"/>
        <w:jc w:val="both"/>
        <w:rPr>
          <w:rFonts w:ascii="Bookman Old Style" w:eastAsia="Times New Roman" w:hAnsi="Bookman Old Style" w:cs="Times New Roman"/>
          <w:sz w:val="16"/>
          <w:szCs w:val="16"/>
          <w:lang w:val="es-ES" w:eastAsia="es-ES"/>
        </w:rPr>
      </w:pPr>
      <w:r w:rsidRPr="003D78FC">
        <w:rPr>
          <w:rFonts w:ascii="Bookman Old Style" w:hAnsi="Bookman Old Style" w:cs="Arial"/>
          <w:color w:val="000000" w:themeColor="text1"/>
          <w:sz w:val="16"/>
          <w:szCs w:val="16"/>
        </w:rPr>
        <w:t xml:space="preserve">NR*: No presenta registro de información en el SUI, de acuerdo con la </w:t>
      </w:r>
      <w:r w:rsidRPr="003D78FC">
        <w:rPr>
          <w:rFonts w:ascii="Bookman Old Style" w:eastAsia="Times New Roman" w:hAnsi="Bookman Old Style" w:cs="Times New Roman"/>
          <w:sz w:val="16"/>
          <w:szCs w:val="16"/>
          <w:lang w:val="es-ES" w:eastAsia="es-ES"/>
        </w:rPr>
        <w:t>información registrada al SUI, por AIC proyectos, desde 2008 hasta 2012.</w:t>
      </w:r>
    </w:p>
    <w:p w14:paraId="3FC699FC" w14:textId="77777777" w:rsidR="003D78FC" w:rsidRPr="003D78FC" w:rsidRDefault="003D78FC" w:rsidP="00EA47A1">
      <w:pPr>
        <w:spacing w:after="0" w:line="240" w:lineRule="auto"/>
        <w:ind w:left="142" w:right="284"/>
        <w:jc w:val="both"/>
        <w:rPr>
          <w:rFonts w:ascii="Bookman Old Style" w:eastAsia="Times New Roman" w:hAnsi="Bookman Old Style" w:cs="Times New Roman"/>
          <w:sz w:val="24"/>
          <w:szCs w:val="24"/>
          <w:lang w:val="es-ES" w:eastAsia="es-ES"/>
        </w:rPr>
      </w:pPr>
    </w:p>
    <w:p w14:paraId="410E1F21" w14:textId="7105560A" w:rsidR="003D78FC" w:rsidRPr="00504AFB" w:rsidRDefault="003D78FC" w:rsidP="00B90B14">
      <w:pPr>
        <w:pStyle w:val="Prrafodelista"/>
        <w:numPr>
          <w:ilvl w:val="0"/>
          <w:numId w:val="25"/>
        </w:numPr>
        <w:spacing w:after="0" w:line="240" w:lineRule="auto"/>
        <w:ind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 xml:space="preserve">De acuerdo con </w:t>
      </w:r>
      <w:r w:rsidR="00DC0BF8" w:rsidRPr="00504AFB">
        <w:rPr>
          <w:rFonts w:ascii="Bookman Old Style" w:eastAsia="Times New Roman" w:hAnsi="Bookman Old Style" w:cs="Times New Roman"/>
          <w:lang w:val="es-ES" w:eastAsia="es-ES"/>
        </w:rPr>
        <w:t xml:space="preserve">el </w:t>
      </w:r>
      <w:r w:rsidRPr="00504AFB">
        <w:rPr>
          <w:rFonts w:ascii="Bookman Old Style" w:eastAsia="Times New Roman" w:hAnsi="Bookman Old Style" w:cs="Times New Roman"/>
          <w:lang w:val="es-ES" w:eastAsia="es-ES"/>
        </w:rPr>
        <w:t xml:space="preserve">parágrafo 2 del artículo 8 de la </w:t>
      </w:r>
      <w:r w:rsidR="00DC0BF8" w:rsidRPr="00504AFB">
        <w:rPr>
          <w:rFonts w:ascii="Bookman Old Style" w:eastAsia="Times New Roman" w:hAnsi="Bookman Old Style" w:cs="Times New Roman"/>
          <w:lang w:val="es-ES" w:eastAsia="es-ES"/>
        </w:rPr>
        <w:t>R</w:t>
      </w:r>
      <w:r w:rsidRPr="00504AFB">
        <w:rPr>
          <w:rFonts w:ascii="Bookman Old Style" w:eastAsia="Times New Roman" w:hAnsi="Bookman Old Style" w:cs="Times New Roman"/>
          <w:lang w:val="es-ES" w:eastAsia="es-ES"/>
        </w:rPr>
        <w:t xml:space="preserve">esolución CREG 063 de 2016, se calcula la variable </w:t>
      </w:r>
      <m:oMath>
        <m:r>
          <w:rPr>
            <w:rFonts w:ascii="Cambria Math" w:eastAsia="Times New Roman" w:hAnsi="Cambria Math" w:cs="Times New Roman"/>
            <w:lang w:val="es-ES" w:eastAsia="es-ES"/>
          </w:rPr>
          <m:t>Cap</m:t>
        </m:r>
        <m:r>
          <m:rPr>
            <m:sty m:val="p"/>
          </m:rPr>
          <w:rPr>
            <w:rFonts w:ascii="Cambria Math" w:eastAsia="Times New Roman" w:hAnsi="Cambria Math" w:cs="Times New Roman"/>
            <w:lang w:val="es-ES" w:eastAsia="es-ES"/>
          </w:rPr>
          <m:t>.</m:t>
        </m:r>
        <m:sSub>
          <m:sSubPr>
            <m:ctrlPr>
              <w:rPr>
                <w:rFonts w:ascii="Cambria Math" w:eastAsia="Times New Roman" w:hAnsi="Cambria Math" w:cs="Times New Roman"/>
                <w:lang w:val="es-ES" w:eastAsia="es-ES"/>
              </w:rPr>
            </m:ctrlPr>
          </m:sSubPr>
          <m:e>
            <m:r>
              <m:rPr>
                <m:sty m:val="p"/>
              </m:rPr>
              <w:rPr>
                <w:rFonts w:ascii="Cambria Math" w:eastAsia="Times New Roman" w:hAnsi="Cambria Math" w:cs="Times New Roman"/>
                <w:lang w:val="es-ES" w:eastAsia="es-ES"/>
              </w:rPr>
              <m:t>2</m:t>
            </m:r>
          </m:e>
          <m:sub>
            <m:r>
              <w:rPr>
                <w:rFonts w:ascii="Cambria Math" w:eastAsia="Times New Roman" w:hAnsi="Cambria Math" w:cs="Times New Roman"/>
                <w:lang w:val="es-ES" w:eastAsia="es-ES"/>
              </w:rPr>
              <m:t>i</m:t>
            </m:r>
            <m:r>
              <m:rPr>
                <m:sty m:val="p"/>
              </m:rPr>
              <w:rPr>
                <w:rFonts w:ascii="Cambria Math" w:eastAsia="Times New Roman" w:hAnsi="Cambria Math" w:cs="Times New Roman"/>
                <w:lang w:val="es-ES" w:eastAsia="es-ES"/>
              </w:rPr>
              <m:t>,</m:t>
            </m:r>
            <m:r>
              <w:rPr>
                <w:rFonts w:ascii="Cambria Math" w:eastAsia="Times New Roman" w:hAnsi="Cambria Math" w:cs="Times New Roman"/>
                <w:lang w:val="es-ES" w:eastAsia="es-ES"/>
              </w:rPr>
              <m:t>t</m:t>
            </m:r>
          </m:sub>
        </m:sSub>
      </m:oMath>
      <w:r w:rsidRPr="00504AFB">
        <w:rPr>
          <w:rFonts w:ascii="Bookman Old Style" w:eastAsia="Times New Roman" w:hAnsi="Bookman Old Style" w:cs="Times New Roman"/>
          <w:lang w:val="es-ES" w:eastAsia="es-ES"/>
        </w:rPr>
        <w:t>, a continuación se muestra el conteo de cilindros por código de presentación para Montagas S.A. E.S.P:</w:t>
      </w:r>
    </w:p>
    <w:p w14:paraId="55CD12DF" w14:textId="77777777" w:rsidR="003D78FC" w:rsidRPr="008D6A3D" w:rsidRDefault="003D78FC" w:rsidP="00EA47A1">
      <w:pPr>
        <w:ind w:left="142" w:right="284"/>
        <w:contextualSpacing/>
        <w:jc w:val="both"/>
        <w:rPr>
          <w:rFonts w:ascii="Bookman Old Style" w:hAnsi="Bookman Old Style"/>
        </w:rPr>
      </w:pPr>
    </w:p>
    <w:tbl>
      <w:tblPr>
        <w:tblStyle w:val="Tablaconcuadrcula"/>
        <w:tblW w:w="0" w:type="auto"/>
        <w:jc w:val="center"/>
        <w:tblLayout w:type="fixed"/>
        <w:tblLook w:val="04A0" w:firstRow="1" w:lastRow="0" w:firstColumn="1" w:lastColumn="0" w:noHBand="0" w:noVBand="1"/>
      </w:tblPr>
      <w:tblGrid>
        <w:gridCol w:w="759"/>
        <w:gridCol w:w="567"/>
        <w:gridCol w:w="567"/>
        <w:gridCol w:w="567"/>
        <w:gridCol w:w="794"/>
        <w:gridCol w:w="716"/>
        <w:gridCol w:w="907"/>
        <w:gridCol w:w="821"/>
        <w:gridCol w:w="673"/>
        <w:gridCol w:w="716"/>
        <w:gridCol w:w="1008"/>
        <w:gridCol w:w="1134"/>
      </w:tblGrid>
      <w:tr w:rsidR="00385928" w:rsidRPr="008D6A3D" w14:paraId="3FC59849" w14:textId="77777777" w:rsidTr="00421D68">
        <w:trPr>
          <w:trHeight w:val="454"/>
          <w:tblHeader/>
          <w:jc w:val="center"/>
        </w:trPr>
        <w:tc>
          <w:tcPr>
            <w:tcW w:w="759" w:type="dxa"/>
            <w:shd w:val="clear" w:color="auto" w:fill="D9D9D9" w:themeFill="background1" w:themeFillShade="D9"/>
            <w:noWrap/>
            <w:vAlign w:val="center"/>
            <w:hideMark/>
          </w:tcPr>
          <w:p w14:paraId="2E7D9E16"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Código SUI</w:t>
            </w:r>
          </w:p>
        </w:tc>
        <w:tc>
          <w:tcPr>
            <w:tcW w:w="567" w:type="dxa"/>
            <w:shd w:val="clear" w:color="auto" w:fill="D9D9D9" w:themeFill="background1" w:themeFillShade="D9"/>
            <w:noWrap/>
            <w:vAlign w:val="center"/>
            <w:hideMark/>
          </w:tcPr>
          <w:p w14:paraId="2426865D"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1 kg</w:t>
            </w:r>
          </w:p>
        </w:tc>
        <w:tc>
          <w:tcPr>
            <w:tcW w:w="567" w:type="dxa"/>
            <w:shd w:val="clear" w:color="auto" w:fill="D9D9D9" w:themeFill="background1" w:themeFillShade="D9"/>
            <w:noWrap/>
            <w:vAlign w:val="center"/>
            <w:hideMark/>
          </w:tcPr>
          <w:p w14:paraId="74FD657D"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4 kg</w:t>
            </w:r>
          </w:p>
        </w:tc>
        <w:tc>
          <w:tcPr>
            <w:tcW w:w="567" w:type="dxa"/>
            <w:shd w:val="clear" w:color="auto" w:fill="D9D9D9" w:themeFill="background1" w:themeFillShade="D9"/>
            <w:noWrap/>
            <w:vAlign w:val="center"/>
            <w:hideMark/>
          </w:tcPr>
          <w:p w14:paraId="382B6618"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5 kg</w:t>
            </w:r>
          </w:p>
        </w:tc>
        <w:tc>
          <w:tcPr>
            <w:tcW w:w="794" w:type="dxa"/>
            <w:shd w:val="clear" w:color="auto" w:fill="D9D9D9" w:themeFill="background1" w:themeFillShade="D9"/>
            <w:noWrap/>
            <w:vAlign w:val="center"/>
            <w:hideMark/>
          </w:tcPr>
          <w:p w14:paraId="73F87FF5"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7 kg</w:t>
            </w:r>
          </w:p>
        </w:tc>
        <w:tc>
          <w:tcPr>
            <w:tcW w:w="716" w:type="dxa"/>
            <w:shd w:val="clear" w:color="auto" w:fill="D9D9D9" w:themeFill="background1" w:themeFillShade="D9"/>
            <w:noWrap/>
            <w:vAlign w:val="center"/>
            <w:hideMark/>
          </w:tcPr>
          <w:p w14:paraId="1F51C0A8"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9 kg</w:t>
            </w:r>
          </w:p>
        </w:tc>
        <w:tc>
          <w:tcPr>
            <w:tcW w:w="907" w:type="dxa"/>
            <w:shd w:val="clear" w:color="auto" w:fill="D9D9D9" w:themeFill="background1" w:themeFillShade="D9"/>
            <w:noWrap/>
            <w:vAlign w:val="center"/>
            <w:hideMark/>
          </w:tcPr>
          <w:p w14:paraId="1E58C12E"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15 kg</w:t>
            </w:r>
          </w:p>
        </w:tc>
        <w:tc>
          <w:tcPr>
            <w:tcW w:w="821" w:type="dxa"/>
            <w:shd w:val="clear" w:color="auto" w:fill="D9D9D9" w:themeFill="background1" w:themeFillShade="D9"/>
            <w:noWrap/>
            <w:vAlign w:val="center"/>
            <w:hideMark/>
          </w:tcPr>
          <w:p w14:paraId="4DF7B483"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18 kg</w:t>
            </w:r>
          </w:p>
        </w:tc>
        <w:tc>
          <w:tcPr>
            <w:tcW w:w="673" w:type="dxa"/>
            <w:shd w:val="clear" w:color="auto" w:fill="D9D9D9" w:themeFill="background1" w:themeFillShade="D9"/>
            <w:noWrap/>
            <w:vAlign w:val="center"/>
            <w:hideMark/>
          </w:tcPr>
          <w:p w14:paraId="32D4E546"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35 kg</w:t>
            </w:r>
          </w:p>
        </w:tc>
        <w:tc>
          <w:tcPr>
            <w:tcW w:w="716" w:type="dxa"/>
            <w:shd w:val="clear" w:color="auto" w:fill="D9D9D9" w:themeFill="background1" w:themeFillShade="D9"/>
            <w:noWrap/>
            <w:vAlign w:val="center"/>
            <w:hideMark/>
          </w:tcPr>
          <w:p w14:paraId="2C6C868C"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45 kg</w:t>
            </w:r>
          </w:p>
        </w:tc>
        <w:tc>
          <w:tcPr>
            <w:tcW w:w="1008" w:type="dxa"/>
            <w:shd w:val="clear" w:color="auto" w:fill="D9D9D9" w:themeFill="background1" w:themeFillShade="D9"/>
            <w:noWrap/>
            <w:vAlign w:val="center"/>
            <w:hideMark/>
          </w:tcPr>
          <w:p w14:paraId="5A7273B6" w14:textId="77777777"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Conteo cilindros</w:t>
            </w:r>
          </w:p>
        </w:tc>
        <w:tc>
          <w:tcPr>
            <w:tcW w:w="1134" w:type="dxa"/>
            <w:shd w:val="clear" w:color="auto" w:fill="D9D9D9" w:themeFill="background1" w:themeFillShade="D9"/>
            <w:noWrap/>
            <w:vAlign w:val="center"/>
            <w:hideMark/>
          </w:tcPr>
          <w:p w14:paraId="2249A8CA" w14:textId="77777777" w:rsidR="005647BD"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Cap.2</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w:t>
            </w:r>
          </w:p>
          <w:p w14:paraId="73CDF890" w14:textId="57E25E54" w:rsidR="00077A2E" w:rsidRPr="008D6A3D" w:rsidRDefault="00077A2E" w:rsidP="00077A2E">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r>
      <w:tr w:rsidR="00385928" w:rsidRPr="008D6A3D" w14:paraId="0CD8139A" w14:textId="77777777" w:rsidTr="00421D68">
        <w:trPr>
          <w:trHeight w:val="300"/>
          <w:jc w:val="center"/>
        </w:trPr>
        <w:tc>
          <w:tcPr>
            <w:tcW w:w="759" w:type="dxa"/>
            <w:noWrap/>
            <w:vAlign w:val="center"/>
            <w:hideMark/>
          </w:tcPr>
          <w:p w14:paraId="1A6FF89F" w14:textId="34913D06"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6026</w:t>
            </w:r>
          </w:p>
        </w:tc>
        <w:tc>
          <w:tcPr>
            <w:tcW w:w="567" w:type="dxa"/>
            <w:noWrap/>
            <w:vAlign w:val="center"/>
            <w:hideMark/>
          </w:tcPr>
          <w:p w14:paraId="54A1A5E8" w14:textId="593E1284" w:rsidR="00980CA1" w:rsidRPr="008D6A3D" w:rsidRDefault="003C66E0"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0</w:t>
            </w:r>
          </w:p>
        </w:tc>
        <w:tc>
          <w:tcPr>
            <w:tcW w:w="567" w:type="dxa"/>
            <w:noWrap/>
            <w:vAlign w:val="center"/>
            <w:hideMark/>
          </w:tcPr>
          <w:p w14:paraId="58668D52" w14:textId="01489794"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0</w:t>
            </w:r>
          </w:p>
        </w:tc>
        <w:tc>
          <w:tcPr>
            <w:tcW w:w="567" w:type="dxa"/>
            <w:noWrap/>
            <w:vAlign w:val="center"/>
            <w:hideMark/>
          </w:tcPr>
          <w:p w14:paraId="71486D09" w14:textId="654877B7"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0</w:t>
            </w:r>
          </w:p>
        </w:tc>
        <w:tc>
          <w:tcPr>
            <w:tcW w:w="794" w:type="dxa"/>
            <w:noWrap/>
            <w:vAlign w:val="center"/>
            <w:hideMark/>
          </w:tcPr>
          <w:p w14:paraId="028BE1D8" w14:textId="42E48CB1"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15.635</w:t>
            </w:r>
          </w:p>
        </w:tc>
        <w:tc>
          <w:tcPr>
            <w:tcW w:w="716" w:type="dxa"/>
            <w:noWrap/>
            <w:vAlign w:val="center"/>
            <w:hideMark/>
          </w:tcPr>
          <w:p w14:paraId="4B63BA6A" w14:textId="06A754A8"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0</w:t>
            </w:r>
          </w:p>
        </w:tc>
        <w:tc>
          <w:tcPr>
            <w:tcW w:w="907" w:type="dxa"/>
            <w:noWrap/>
            <w:vAlign w:val="center"/>
            <w:hideMark/>
          </w:tcPr>
          <w:p w14:paraId="4BF34F06" w14:textId="0722AE69"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183.155</w:t>
            </w:r>
          </w:p>
        </w:tc>
        <w:tc>
          <w:tcPr>
            <w:tcW w:w="821" w:type="dxa"/>
            <w:noWrap/>
            <w:vAlign w:val="center"/>
            <w:hideMark/>
          </w:tcPr>
          <w:p w14:paraId="502B73D8" w14:textId="317E8F23"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98.421</w:t>
            </w:r>
          </w:p>
        </w:tc>
        <w:tc>
          <w:tcPr>
            <w:tcW w:w="673" w:type="dxa"/>
            <w:noWrap/>
            <w:vAlign w:val="center"/>
            <w:hideMark/>
          </w:tcPr>
          <w:p w14:paraId="2E07F711" w14:textId="1A5ED8FB"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0</w:t>
            </w:r>
          </w:p>
        </w:tc>
        <w:tc>
          <w:tcPr>
            <w:tcW w:w="716" w:type="dxa"/>
            <w:noWrap/>
            <w:vAlign w:val="center"/>
            <w:hideMark/>
          </w:tcPr>
          <w:p w14:paraId="029E199A" w14:textId="57312213" w:rsidR="00980CA1" w:rsidRPr="008D6A3D" w:rsidRDefault="00980CA1"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7.686</w:t>
            </w:r>
          </w:p>
        </w:tc>
        <w:tc>
          <w:tcPr>
            <w:tcW w:w="1008" w:type="dxa"/>
            <w:noWrap/>
            <w:vAlign w:val="center"/>
            <w:hideMark/>
          </w:tcPr>
          <w:p w14:paraId="0648D4EF" w14:textId="3122C113" w:rsidR="00980CA1" w:rsidRPr="008D6A3D" w:rsidRDefault="004644E6"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304.897</w:t>
            </w:r>
          </w:p>
        </w:tc>
        <w:tc>
          <w:tcPr>
            <w:tcW w:w="1134" w:type="dxa"/>
            <w:noWrap/>
            <w:vAlign w:val="center"/>
            <w:hideMark/>
          </w:tcPr>
          <w:p w14:paraId="331D79D8" w14:textId="4357B3B6" w:rsidR="00980CA1" w:rsidRPr="008D6A3D" w:rsidRDefault="00CB3FD9" w:rsidP="00980CA1">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29.845.308</w:t>
            </w:r>
          </w:p>
        </w:tc>
      </w:tr>
    </w:tbl>
    <w:p w14:paraId="00014BFF" w14:textId="77777777" w:rsidR="003D78FC" w:rsidRPr="003D78FC" w:rsidRDefault="003D78FC" w:rsidP="00CB3FD9">
      <w:pPr>
        <w:spacing w:after="0" w:line="240" w:lineRule="auto"/>
        <w:ind w:left="708" w:right="284"/>
        <w:jc w:val="both"/>
        <w:rPr>
          <w:rFonts w:ascii="Bookman Old Style" w:hAnsi="Bookman Old Style" w:cs="Arial"/>
          <w:color w:val="000000" w:themeColor="text1"/>
          <w:sz w:val="16"/>
          <w:szCs w:val="16"/>
        </w:rPr>
      </w:pPr>
      <w:r w:rsidRPr="003D78FC">
        <w:rPr>
          <w:rFonts w:ascii="Bookman Old Style" w:hAnsi="Bookman Old Style" w:cs="Arial"/>
          <w:color w:val="000000" w:themeColor="text1"/>
          <w:sz w:val="16"/>
          <w:szCs w:val="16"/>
        </w:rPr>
        <w:t>NR*: No presenta registro de información, de acuerdo con la información registrada al SUI desde noviembre de 2012 hasta la fecha.</w:t>
      </w:r>
    </w:p>
    <w:p w14:paraId="7416E192" w14:textId="77777777" w:rsidR="003D78FC" w:rsidRPr="003D78FC" w:rsidRDefault="003D78FC" w:rsidP="00EA47A1">
      <w:pPr>
        <w:spacing w:after="0" w:line="240" w:lineRule="auto"/>
        <w:ind w:left="142" w:right="284"/>
        <w:jc w:val="both"/>
        <w:rPr>
          <w:rFonts w:ascii="Bookman Old Style" w:eastAsia="Times New Roman" w:hAnsi="Bookman Old Style" w:cs="Times New Roman"/>
          <w:sz w:val="24"/>
          <w:szCs w:val="24"/>
          <w:lang w:val="es-ES" w:eastAsia="es-ES"/>
        </w:rPr>
      </w:pPr>
    </w:p>
    <w:p w14:paraId="2CD88F08" w14:textId="4612B848" w:rsidR="003D78FC" w:rsidRPr="00504AFB" w:rsidRDefault="003D78FC" w:rsidP="005536DF">
      <w:pPr>
        <w:pStyle w:val="Prrafodelista"/>
        <w:numPr>
          <w:ilvl w:val="0"/>
          <w:numId w:val="25"/>
        </w:numPr>
        <w:spacing w:after="0" w:line="240" w:lineRule="auto"/>
        <w:ind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De acuerdo con</w:t>
      </w:r>
      <w:r w:rsidR="005536DF" w:rsidRPr="00504AFB">
        <w:rPr>
          <w:rFonts w:ascii="Bookman Old Style" w:eastAsia="Times New Roman" w:hAnsi="Bookman Old Style" w:cs="Times New Roman"/>
          <w:lang w:val="es-ES" w:eastAsia="es-ES"/>
        </w:rPr>
        <w:t xml:space="preserve"> el</w:t>
      </w:r>
      <w:r w:rsidRPr="00504AFB">
        <w:rPr>
          <w:rFonts w:ascii="Bookman Old Style" w:eastAsia="Times New Roman" w:hAnsi="Bookman Old Style" w:cs="Times New Roman"/>
          <w:lang w:val="es-ES" w:eastAsia="es-ES"/>
        </w:rPr>
        <w:t xml:space="preserve"> parágrafo 3 del artículo 8 de la </w:t>
      </w:r>
      <w:r w:rsidR="00CB5B83" w:rsidRPr="00504AFB">
        <w:rPr>
          <w:rFonts w:ascii="Bookman Old Style" w:eastAsia="Times New Roman" w:hAnsi="Bookman Old Style" w:cs="Times New Roman"/>
          <w:lang w:val="es-ES" w:eastAsia="es-ES"/>
        </w:rPr>
        <w:t>R</w:t>
      </w:r>
      <w:r w:rsidRPr="00504AFB">
        <w:rPr>
          <w:rFonts w:ascii="Bookman Old Style" w:eastAsia="Times New Roman" w:hAnsi="Bookman Old Style" w:cs="Times New Roman"/>
          <w:lang w:val="es-ES" w:eastAsia="es-ES"/>
        </w:rPr>
        <w:t xml:space="preserve">esolución CREG 063 de 2016, se calcula la variable </w:t>
      </w:r>
      <m:oMath>
        <m:r>
          <w:rPr>
            <w:rFonts w:ascii="Cambria Math" w:eastAsia="Times New Roman" w:hAnsi="Cambria Math" w:cs="Times New Roman"/>
            <w:lang w:val="es-ES" w:eastAsia="es-ES"/>
          </w:rPr>
          <m:t>Cap</m:t>
        </m:r>
        <m:r>
          <m:rPr>
            <m:sty m:val="p"/>
          </m:rPr>
          <w:rPr>
            <w:rFonts w:ascii="Cambria Math" w:eastAsia="Times New Roman" w:hAnsi="Cambria Math" w:cs="Times New Roman"/>
            <w:lang w:val="es-ES" w:eastAsia="es-ES"/>
          </w:rPr>
          <m:t>.</m:t>
        </m:r>
        <m:sSub>
          <m:sSubPr>
            <m:ctrlPr>
              <w:rPr>
                <w:rFonts w:ascii="Cambria Math" w:eastAsia="Times New Roman" w:hAnsi="Cambria Math" w:cs="Times New Roman"/>
                <w:lang w:val="es-ES" w:eastAsia="es-ES"/>
              </w:rPr>
            </m:ctrlPr>
          </m:sSubPr>
          <m:e>
            <m:r>
              <w:rPr>
                <w:rFonts w:ascii="Cambria Math" w:eastAsia="Times New Roman" w:hAnsi="Cambria Math" w:cs="Times New Roman"/>
                <w:lang w:val="es-ES" w:eastAsia="es-ES"/>
              </w:rPr>
              <m:t>cil</m:t>
            </m:r>
          </m:e>
          <m:sub>
            <m:r>
              <w:rPr>
                <w:rFonts w:ascii="Cambria Math" w:eastAsia="Times New Roman" w:hAnsi="Cambria Math" w:cs="Times New Roman"/>
                <w:lang w:val="es-ES" w:eastAsia="es-ES"/>
              </w:rPr>
              <m:t>i</m:t>
            </m:r>
            <m:r>
              <m:rPr>
                <m:sty m:val="p"/>
              </m:rPr>
              <w:rPr>
                <w:rFonts w:ascii="Cambria Math" w:eastAsia="Times New Roman" w:hAnsi="Cambria Math" w:cs="Times New Roman"/>
                <w:lang w:val="es-ES" w:eastAsia="es-ES"/>
              </w:rPr>
              <m:t>,</m:t>
            </m:r>
            <m:r>
              <w:rPr>
                <w:rFonts w:ascii="Cambria Math" w:eastAsia="Times New Roman" w:hAnsi="Cambria Math" w:cs="Times New Roman"/>
                <w:lang w:val="es-ES" w:eastAsia="es-ES"/>
              </w:rPr>
              <m:t>t</m:t>
            </m:r>
          </m:sub>
        </m:sSub>
      </m:oMath>
      <w:r w:rsidRPr="00504AFB">
        <w:rPr>
          <w:rFonts w:ascii="Bookman Old Style" w:eastAsia="Times New Roman" w:hAnsi="Bookman Old Style" w:cs="Times New Roman"/>
          <w:lang w:val="es-ES" w:eastAsia="es-ES"/>
        </w:rPr>
        <w:t>, a continuación se muestra el valor para Montagas S.A. E.S.P:</w:t>
      </w:r>
    </w:p>
    <w:p w14:paraId="0A837565" w14:textId="77777777" w:rsidR="00F22C2C" w:rsidRPr="008D6A3D" w:rsidRDefault="00F22C2C" w:rsidP="00F22C2C">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tbl>
      <w:tblPr>
        <w:tblStyle w:val="Tablaconcuadrcula"/>
        <w:tblW w:w="0" w:type="auto"/>
        <w:jc w:val="center"/>
        <w:tblLook w:val="04A0" w:firstRow="1" w:lastRow="0" w:firstColumn="1" w:lastColumn="0" w:noHBand="0" w:noVBand="1"/>
      </w:tblPr>
      <w:tblGrid>
        <w:gridCol w:w="846"/>
        <w:gridCol w:w="1276"/>
        <w:gridCol w:w="1304"/>
        <w:gridCol w:w="1190"/>
      </w:tblGrid>
      <w:tr w:rsidR="00F22C2C" w:rsidRPr="008D6A3D" w14:paraId="75A89067" w14:textId="77777777" w:rsidTr="00E8426D">
        <w:trPr>
          <w:trHeight w:val="567"/>
          <w:tblHeader/>
          <w:jc w:val="center"/>
        </w:trPr>
        <w:tc>
          <w:tcPr>
            <w:tcW w:w="846" w:type="dxa"/>
            <w:shd w:val="clear" w:color="auto" w:fill="D9D9D9" w:themeFill="background1" w:themeFillShade="D9"/>
            <w:noWrap/>
            <w:vAlign w:val="center"/>
            <w:hideMark/>
          </w:tcPr>
          <w:p w14:paraId="026E91AB"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Código SUI</w:t>
            </w:r>
          </w:p>
        </w:tc>
        <w:tc>
          <w:tcPr>
            <w:tcW w:w="1276" w:type="dxa"/>
            <w:shd w:val="clear" w:color="auto" w:fill="D9D9D9" w:themeFill="background1" w:themeFillShade="D9"/>
            <w:noWrap/>
            <w:vAlign w:val="center"/>
            <w:hideMark/>
          </w:tcPr>
          <w:p w14:paraId="66D6F1D5"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Cap.1</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w:t>
            </w:r>
          </w:p>
          <w:p w14:paraId="5F0878BB"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c>
          <w:tcPr>
            <w:tcW w:w="1304" w:type="dxa"/>
            <w:shd w:val="clear" w:color="auto" w:fill="D9D9D9" w:themeFill="background1" w:themeFillShade="D9"/>
            <w:noWrap/>
            <w:vAlign w:val="center"/>
            <w:hideMark/>
          </w:tcPr>
          <w:p w14:paraId="630C948B"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Cap.2</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w:t>
            </w:r>
          </w:p>
          <w:p w14:paraId="74AB86F0"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c>
          <w:tcPr>
            <w:tcW w:w="1190" w:type="dxa"/>
            <w:shd w:val="clear" w:color="auto" w:fill="D9D9D9" w:themeFill="background1" w:themeFillShade="D9"/>
            <w:noWrap/>
            <w:vAlign w:val="center"/>
            <w:hideMark/>
          </w:tcPr>
          <w:p w14:paraId="73649B59" w14:textId="77777777" w:rsidR="00F22C2C" w:rsidRPr="008D6A3D" w:rsidRDefault="00F22C2C" w:rsidP="00F22C2C">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 cil</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(kg)</w:t>
            </w:r>
          </w:p>
        </w:tc>
      </w:tr>
      <w:tr w:rsidR="009C2B5A" w:rsidRPr="008D6A3D" w14:paraId="397344CB" w14:textId="77777777" w:rsidTr="009C2B5A">
        <w:trPr>
          <w:trHeight w:val="300"/>
          <w:jc w:val="center"/>
        </w:trPr>
        <w:tc>
          <w:tcPr>
            <w:tcW w:w="846" w:type="dxa"/>
            <w:noWrap/>
            <w:vAlign w:val="center"/>
          </w:tcPr>
          <w:p w14:paraId="5EB8AEFC" w14:textId="07F837EE" w:rsidR="009C2B5A" w:rsidRPr="008D6A3D" w:rsidRDefault="009C2B5A" w:rsidP="009C2B5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6026</w:t>
            </w:r>
          </w:p>
        </w:tc>
        <w:tc>
          <w:tcPr>
            <w:tcW w:w="1276" w:type="dxa"/>
            <w:noWrap/>
            <w:vAlign w:val="center"/>
          </w:tcPr>
          <w:p w14:paraId="6E1DE537" w14:textId="66870408" w:rsidR="009C2B5A" w:rsidRPr="008D6A3D" w:rsidRDefault="00E35AA4" w:rsidP="009C2B5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40.132.202</w:t>
            </w:r>
          </w:p>
        </w:tc>
        <w:tc>
          <w:tcPr>
            <w:tcW w:w="1304" w:type="dxa"/>
            <w:noWrap/>
            <w:vAlign w:val="center"/>
          </w:tcPr>
          <w:p w14:paraId="0BEF6FDC" w14:textId="02C258AA" w:rsidR="009C2B5A" w:rsidRPr="008D6A3D" w:rsidRDefault="00E35AA4" w:rsidP="009C2B5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29.845.308</w:t>
            </w:r>
          </w:p>
        </w:tc>
        <w:tc>
          <w:tcPr>
            <w:tcW w:w="1190" w:type="dxa"/>
            <w:noWrap/>
            <w:vAlign w:val="center"/>
          </w:tcPr>
          <w:p w14:paraId="7BA30E94" w14:textId="51B1B292" w:rsidR="009C2B5A" w:rsidRPr="008D6A3D" w:rsidRDefault="00433069" w:rsidP="009C2B5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69.977.510</w:t>
            </w:r>
          </w:p>
        </w:tc>
      </w:tr>
    </w:tbl>
    <w:p w14:paraId="2F3E41C9" w14:textId="77777777" w:rsidR="00F22C2C" w:rsidRPr="003D78FC" w:rsidRDefault="00F22C2C" w:rsidP="00F22C2C">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p w14:paraId="5D3A6EDF" w14:textId="6A6491EF" w:rsidR="003D78FC" w:rsidRPr="00504AFB" w:rsidRDefault="003D78FC" w:rsidP="000B2657">
      <w:pPr>
        <w:pStyle w:val="Prrafodelista"/>
        <w:numPr>
          <w:ilvl w:val="0"/>
          <w:numId w:val="25"/>
        </w:numPr>
        <w:spacing w:after="0" w:line="240" w:lineRule="auto"/>
        <w:ind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 xml:space="preserve">De acuerdo con </w:t>
      </w:r>
      <w:r w:rsidR="000B2657" w:rsidRPr="00504AFB">
        <w:rPr>
          <w:rFonts w:ascii="Bookman Old Style" w:eastAsia="Times New Roman" w:hAnsi="Bookman Old Style" w:cs="Times New Roman"/>
          <w:lang w:val="es-ES" w:eastAsia="es-ES"/>
        </w:rPr>
        <w:t xml:space="preserve">el </w:t>
      </w:r>
      <w:r w:rsidRPr="00504AFB">
        <w:rPr>
          <w:rFonts w:ascii="Bookman Old Style" w:eastAsia="Times New Roman" w:hAnsi="Bookman Old Style" w:cs="Times New Roman"/>
          <w:lang w:val="es-ES" w:eastAsia="es-ES"/>
        </w:rPr>
        <w:t xml:space="preserve">parágrafo 3 del artículo 8 de la </w:t>
      </w:r>
      <w:r w:rsidR="003D21A3" w:rsidRPr="00504AFB">
        <w:rPr>
          <w:rFonts w:ascii="Bookman Old Style" w:eastAsia="Times New Roman" w:hAnsi="Bookman Old Style" w:cs="Times New Roman"/>
          <w:lang w:val="es-ES" w:eastAsia="es-ES"/>
        </w:rPr>
        <w:t>R</w:t>
      </w:r>
      <w:r w:rsidRPr="00504AFB">
        <w:rPr>
          <w:rFonts w:ascii="Bookman Old Style" w:eastAsia="Times New Roman" w:hAnsi="Bookman Old Style" w:cs="Times New Roman"/>
          <w:lang w:val="es-ES" w:eastAsia="es-ES"/>
        </w:rPr>
        <w:t xml:space="preserve">esolución CREG 063 de 2016, se calcula la variable </w:t>
      </w:r>
      <m:oMath>
        <m:r>
          <w:rPr>
            <w:rFonts w:ascii="Cambria Math" w:eastAsia="Times New Roman" w:hAnsi="Cambria Math" w:cs="Times New Roman"/>
            <w:lang w:val="es-ES" w:eastAsia="es-ES"/>
          </w:rPr>
          <m:t>Cap</m:t>
        </m:r>
        <m:r>
          <m:rPr>
            <m:sty m:val="p"/>
          </m:rPr>
          <w:rPr>
            <w:rFonts w:ascii="Cambria Math" w:eastAsia="Times New Roman" w:hAnsi="Cambria Math" w:cs="Times New Roman"/>
            <w:lang w:val="es-ES" w:eastAsia="es-ES"/>
          </w:rPr>
          <m:t>.</m:t>
        </m:r>
        <m:sSub>
          <m:sSubPr>
            <m:ctrlPr>
              <w:rPr>
                <w:rFonts w:ascii="Cambria Math" w:eastAsia="Times New Roman" w:hAnsi="Cambria Math" w:cs="Times New Roman"/>
                <w:lang w:val="es-ES" w:eastAsia="es-ES"/>
              </w:rPr>
            </m:ctrlPr>
          </m:sSubPr>
          <m:e>
            <m:r>
              <w:rPr>
                <w:rFonts w:ascii="Cambria Math" w:eastAsia="Times New Roman" w:hAnsi="Cambria Math" w:cs="Times New Roman"/>
                <w:lang w:val="es-ES" w:eastAsia="es-ES"/>
              </w:rPr>
              <m:t>TE</m:t>
            </m:r>
          </m:e>
          <m:sub>
            <m:r>
              <w:rPr>
                <w:rFonts w:ascii="Cambria Math" w:eastAsia="Times New Roman" w:hAnsi="Cambria Math" w:cs="Times New Roman"/>
                <w:lang w:val="es-ES" w:eastAsia="es-ES"/>
              </w:rPr>
              <m:t>i</m:t>
            </m:r>
            <m:r>
              <m:rPr>
                <m:sty m:val="p"/>
              </m:rPr>
              <w:rPr>
                <w:rFonts w:ascii="Cambria Math" w:eastAsia="Times New Roman" w:hAnsi="Cambria Math" w:cs="Times New Roman"/>
                <w:lang w:val="es-ES" w:eastAsia="es-ES"/>
              </w:rPr>
              <m:t>,</m:t>
            </m:r>
            <m:r>
              <w:rPr>
                <w:rFonts w:ascii="Cambria Math" w:eastAsia="Times New Roman" w:hAnsi="Cambria Math" w:cs="Times New Roman"/>
                <w:lang w:val="es-ES" w:eastAsia="es-ES"/>
              </w:rPr>
              <m:t>t</m:t>
            </m:r>
          </m:sub>
        </m:sSub>
      </m:oMath>
      <w:r w:rsidRPr="00504AFB">
        <w:rPr>
          <w:rFonts w:ascii="Bookman Old Style" w:eastAsia="Times New Roman" w:hAnsi="Bookman Old Style" w:cs="Times New Roman"/>
          <w:lang w:val="es-ES" w:eastAsia="es-ES"/>
        </w:rPr>
        <w:t>, donde los resultados obtenidos para Montagas S.A. E.S.P. son los siguientes:</w:t>
      </w:r>
    </w:p>
    <w:p w14:paraId="30CFEFDB" w14:textId="77777777" w:rsidR="003D21A3" w:rsidRPr="008D6A3D" w:rsidRDefault="003D21A3" w:rsidP="003D21A3">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tbl>
      <w:tblPr>
        <w:tblStyle w:val="Tablaconcuadrcula"/>
        <w:tblW w:w="0" w:type="auto"/>
        <w:jc w:val="center"/>
        <w:tblLook w:val="04A0" w:firstRow="1" w:lastRow="0" w:firstColumn="1" w:lastColumn="0" w:noHBand="0" w:noVBand="1"/>
      </w:tblPr>
      <w:tblGrid>
        <w:gridCol w:w="988"/>
        <w:gridCol w:w="1693"/>
        <w:gridCol w:w="1249"/>
        <w:gridCol w:w="1113"/>
      </w:tblGrid>
      <w:tr w:rsidR="0090355B" w:rsidRPr="008D6A3D" w14:paraId="79012BB9" w14:textId="77777777" w:rsidTr="00FB224A">
        <w:trPr>
          <w:trHeight w:val="680"/>
          <w:tblHeader/>
          <w:jc w:val="center"/>
        </w:trPr>
        <w:tc>
          <w:tcPr>
            <w:tcW w:w="988" w:type="dxa"/>
            <w:shd w:val="clear" w:color="auto" w:fill="D9D9D9" w:themeFill="background1" w:themeFillShade="D9"/>
            <w:noWrap/>
            <w:vAlign w:val="center"/>
            <w:hideMark/>
          </w:tcPr>
          <w:p w14:paraId="7508EC8B"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Código SUI</w:t>
            </w:r>
          </w:p>
        </w:tc>
        <w:tc>
          <w:tcPr>
            <w:tcW w:w="1693" w:type="dxa"/>
            <w:shd w:val="clear" w:color="auto" w:fill="D9D9D9" w:themeFill="background1" w:themeFillShade="D9"/>
            <w:noWrap/>
            <w:vAlign w:val="center"/>
            <w:hideMark/>
          </w:tcPr>
          <w:p w14:paraId="726798DD"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Capacidad</w:t>
            </w:r>
          </w:p>
          <w:p w14:paraId="0B60469B"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total (gal)</w:t>
            </w:r>
          </w:p>
        </w:tc>
        <w:tc>
          <w:tcPr>
            <w:tcW w:w="1249" w:type="dxa"/>
            <w:shd w:val="clear" w:color="auto" w:fill="D9D9D9" w:themeFill="background1" w:themeFillShade="D9"/>
            <w:vAlign w:val="center"/>
          </w:tcPr>
          <w:p w14:paraId="07816694"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Número tanques</w:t>
            </w:r>
          </w:p>
          <w:p w14:paraId="0A48ED12"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estacionarios</w:t>
            </w:r>
          </w:p>
        </w:tc>
        <w:tc>
          <w:tcPr>
            <w:tcW w:w="1038" w:type="dxa"/>
            <w:shd w:val="clear" w:color="auto" w:fill="D9D9D9" w:themeFill="background1" w:themeFillShade="D9"/>
            <w:noWrap/>
            <w:vAlign w:val="center"/>
            <w:hideMark/>
          </w:tcPr>
          <w:p w14:paraId="2ABB92F3" w14:textId="77777777" w:rsidR="0090355B" w:rsidRPr="008D6A3D" w:rsidRDefault="0090355B" w:rsidP="0090355B">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Cap.TE</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(kg)</w:t>
            </w:r>
          </w:p>
        </w:tc>
      </w:tr>
      <w:tr w:rsidR="00FB224A" w:rsidRPr="001C73F9" w14:paraId="434B68AA" w14:textId="77777777" w:rsidTr="00FB224A">
        <w:trPr>
          <w:trHeight w:val="300"/>
          <w:jc w:val="center"/>
        </w:trPr>
        <w:tc>
          <w:tcPr>
            <w:tcW w:w="988" w:type="dxa"/>
            <w:noWrap/>
            <w:vAlign w:val="center"/>
            <w:hideMark/>
          </w:tcPr>
          <w:p w14:paraId="3CF741EE" w14:textId="68824FEA" w:rsidR="00FB224A" w:rsidRPr="008D6A3D" w:rsidRDefault="00FB224A" w:rsidP="00FB224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6026</w:t>
            </w:r>
          </w:p>
        </w:tc>
        <w:tc>
          <w:tcPr>
            <w:tcW w:w="1693" w:type="dxa"/>
            <w:noWrap/>
            <w:vAlign w:val="center"/>
            <w:hideMark/>
          </w:tcPr>
          <w:p w14:paraId="74A92CB0" w14:textId="39E29A1A" w:rsidR="00FB224A" w:rsidRPr="008D6A3D" w:rsidRDefault="00EC1484" w:rsidP="00FB224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69.977.510</w:t>
            </w:r>
          </w:p>
        </w:tc>
        <w:tc>
          <w:tcPr>
            <w:tcW w:w="1249" w:type="dxa"/>
            <w:vAlign w:val="center"/>
          </w:tcPr>
          <w:p w14:paraId="192444FD" w14:textId="6B27746A" w:rsidR="00FB224A" w:rsidRPr="008D6A3D" w:rsidRDefault="00FB224A" w:rsidP="00FB224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3.702</w:t>
            </w:r>
          </w:p>
        </w:tc>
        <w:tc>
          <w:tcPr>
            <w:tcW w:w="1038" w:type="dxa"/>
            <w:noWrap/>
            <w:vAlign w:val="center"/>
            <w:hideMark/>
          </w:tcPr>
          <w:p w14:paraId="1F776ADD" w14:textId="07EAFE41" w:rsidR="00FB224A" w:rsidRPr="008D6A3D" w:rsidRDefault="00FB224A" w:rsidP="00FB224A">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12.017.061</w:t>
            </w:r>
          </w:p>
        </w:tc>
      </w:tr>
    </w:tbl>
    <w:p w14:paraId="67D0F77C" w14:textId="77777777" w:rsidR="003D21A3" w:rsidRPr="003D78FC" w:rsidRDefault="003D21A3" w:rsidP="003D21A3">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p w14:paraId="6D53FD1E" w14:textId="10ACB286" w:rsidR="003D78FC" w:rsidRPr="00504AFB" w:rsidRDefault="003D78FC" w:rsidP="0016683A">
      <w:pPr>
        <w:pStyle w:val="Prrafodelista"/>
        <w:numPr>
          <w:ilvl w:val="0"/>
          <w:numId w:val="25"/>
        </w:numPr>
        <w:spacing w:after="0" w:line="240" w:lineRule="auto"/>
        <w:ind w:right="284"/>
        <w:jc w:val="both"/>
        <w:rPr>
          <w:rFonts w:ascii="Bookman Old Style" w:eastAsia="Times New Roman" w:hAnsi="Bookman Old Style" w:cs="Times New Roman"/>
          <w:lang w:val="es-ES" w:eastAsia="es-ES"/>
        </w:rPr>
      </w:pPr>
      <w:r w:rsidRPr="00504AFB">
        <w:rPr>
          <w:rFonts w:ascii="Bookman Old Style" w:eastAsia="Times New Roman" w:hAnsi="Bookman Old Style" w:cs="Times New Roman"/>
          <w:lang w:val="es-ES" w:eastAsia="es-ES"/>
        </w:rPr>
        <w:t>De acuerdo con</w:t>
      </w:r>
      <w:r w:rsidR="0016683A" w:rsidRPr="00504AFB">
        <w:rPr>
          <w:rFonts w:ascii="Bookman Old Style" w:eastAsia="Times New Roman" w:hAnsi="Bookman Old Style" w:cs="Times New Roman"/>
          <w:lang w:val="es-ES" w:eastAsia="es-ES"/>
        </w:rPr>
        <w:t xml:space="preserve"> el</w:t>
      </w:r>
      <w:r w:rsidRPr="00504AFB">
        <w:rPr>
          <w:rFonts w:ascii="Bookman Old Style" w:eastAsia="Times New Roman" w:hAnsi="Bookman Old Style" w:cs="Times New Roman"/>
          <w:lang w:val="es-ES" w:eastAsia="es-ES"/>
        </w:rPr>
        <w:t xml:space="preserve"> parágrafo 1 del artículo 8 de la </w:t>
      </w:r>
      <w:r w:rsidR="0016683A" w:rsidRPr="00504AFB">
        <w:rPr>
          <w:rFonts w:ascii="Bookman Old Style" w:eastAsia="Times New Roman" w:hAnsi="Bookman Old Style" w:cs="Times New Roman"/>
          <w:lang w:val="es-ES" w:eastAsia="es-ES"/>
        </w:rPr>
        <w:t>R</w:t>
      </w:r>
      <w:r w:rsidRPr="00504AFB">
        <w:rPr>
          <w:rFonts w:ascii="Bookman Old Style" w:eastAsia="Times New Roman" w:hAnsi="Bookman Old Style" w:cs="Times New Roman"/>
          <w:lang w:val="es-ES" w:eastAsia="es-ES"/>
        </w:rPr>
        <w:t xml:space="preserve">esolución CREG 063 de 2016, se calcula la variable </w:t>
      </w:r>
      <m:oMath>
        <m:r>
          <w:rPr>
            <w:rFonts w:ascii="Cambria Math" w:eastAsia="Times New Roman" w:hAnsi="Cambria Math" w:cs="Times New Roman"/>
            <w:lang w:val="es-ES" w:eastAsia="es-ES"/>
          </w:rPr>
          <m:t>C</m:t>
        </m:r>
        <m:sSub>
          <m:sSubPr>
            <m:ctrlPr>
              <w:rPr>
                <w:rFonts w:ascii="Cambria Math" w:eastAsia="Times New Roman" w:hAnsi="Cambria Math" w:cs="Times New Roman"/>
                <w:lang w:val="es-ES" w:eastAsia="es-ES"/>
              </w:rPr>
            </m:ctrlPr>
          </m:sSubPr>
          <m:e>
            <m:r>
              <w:rPr>
                <w:rFonts w:ascii="Cambria Math" w:eastAsia="Times New Roman" w:hAnsi="Cambria Math" w:cs="Times New Roman"/>
                <w:lang w:val="es-ES" w:eastAsia="es-ES"/>
              </w:rPr>
              <m:t>C</m:t>
            </m:r>
          </m:e>
          <m:sub>
            <m:r>
              <w:rPr>
                <w:rFonts w:ascii="Cambria Math" w:eastAsia="Times New Roman" w:hAnsi="Cambria Math" w:cs="Times New Roman"/>
                <w:lang w:val="es-ES" w:eastAsia="es-ES"/>
              </w:rPr>
              <m:t>i</m:t>
            </m:r>
            <m:r>
              <m:rPr>
                <m:sty m:val="p"/>
              </m:rPr>
              <w:rPr>
                <w:rFonts w:ascii="Cambria Math" w:eastAsia="Times New Roman" w:hAnsi="Cambria Math" w:cs="Times New Roman"/>
                <w:lang w:val="es-ES" w:eastAsia="es-ES"/>
              </w:rPr>
              <m:t>,</m:t>
            </m:r>
            <m:r>
              <w:rPr>
                <w:rFonts w:ascii="Cambria Math" w:eastAsia="Times New Roman" w:hAnsi="Cambria Math" w:cs="Times New Roman"/>
                <w:lang w:val="es-ES" w:eastAsia="es-ES"/>
              </w:rPr>
              <m:t>t</m:t>
            </m:r>
          </m:sub>
        </m:sSub>
      </m:oMath>
      <w:r w:rsidRPr="00504AFB">
        <w:rPr>
          <w:rFonts w:ascii="Bookman Old Style" w:eastAsia="Times New Roman" w:hAnsi="Bookman Old Style" w:cs="Times New Roman"/>
          <w:lang w:val="es-ES" w:eastAsia="es-ES"/>
        </w:rPr>
        <w:t xml:space="preserve">, donde la capacidad de compra para Montagas S.A. E.S.P. corresponde a: </w:t>
      </w:r>
    </w:p>
    <w:p w14:paraId="332026D1" w14:textId="77777777" w:rsidR="003931F4" w:rsidRPr="008D6A3D" w:rsidRDefault="003931F4" w:rsidP="003931F4">
      <w:pPr>
        <w:pStyle w:val="Prrafodelista"/>
        <w:spacing w:after="0" w:line="240" w:lineRule="auto"/>
        <w:ind w:left="862" w:right="284"/>
        <w:jc w:val="both"/>
        <w:rPr>
          <w:rFonts w:ascii="Bookman Old Style" w:eastAsia="Times New Roman" w:hAnsi="Bookman Old Style" w:cs="Times New Roman"/>
          <w:sz w:val="24"/>
          <w:szCs w:val="24"/>
          <w:lang w:val="es-ES" w:eastAsia="es-ES"/>
        </w:rPr>
      </w:pPr>
    </w:p>
    <w:tbl>
      <w:tblPr>
        <w:tblStyle w:val="Tablaconcuadrcula"/>
        <w:tblW w:w="4479" w:type="dxa"/>
        <w:jc w:val="center"/>
        <w:tblLook w:val="04A0" w:firstRow="1" w:lastRow="0" w:firstColumn="1" w:lastColumn="0" w:noHBand="0" w:noVBand="1"/>
      </w:tblPr>
      <w:tblGrid>
        <w:gridCol w:w="1077"/>
        <w:gridCol w:w="1113"/>
        <w:gridCol w:w="1113"/>
        <w:gridCol w:w="1191"/>
      </w:tblGrid>
      <w:tr w:rsidR="003931F4" w:rsidRPr="008D6A3D" w14:paraId="0B4AF07D" w14:textId="77777777" w:rsidTr="00E8426D">
        <w:trPr>
          <w:trHeight w:val="454"/>
          <w:tblHeader/>
          <w:jc w:val="center"/>
        </w:trPr>
        <w:tc>
          <w:tcPr>
            <w:tcW w:w="1077" w:type="dxa"/>
            <w:shd w:val="clear" w:color="auto" w:fill="D9D9D9" w:themeFill="background1" w:themeFillShade="D9"/>
            <w:noWrap/>
            <w:vAlign w:val="center"/>
            <w:hideMark/>
          </w:tcPr>
          <w:p w14:paraId="63DD7338"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Código SUI</w:t>
            </w:r>
          </w:p>
        </w:tc>
        <w:tc>
          <w:tcPr>
            <w:tcW w:w="1194" w:type="dxa"/>
            <w:shd w:val="clear" w:color="auto" w:fill="D9D9D9" w:themeFill="background1" w:themeFillShade="D9"/>
            <w:vAlign w:val="center"/>
          </w:tcPr>
          <w:p w14:paraId="419A1FC8"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Cap.cil</w:t>
            </w:r>
            <w:r w:rsidRPr="008D6A3D">
              <w:rPr>
                <w:rFonts w:ascii="Bookman Old Style" w:hAnsi="Bookman Old Style" w:cs="Arial"/>
                <w:b/>
                <w:bCs/>
                <w:color w:val="000000"/>
                <w:sz w:val="16"/>
                <w:szCs w:val="16"/>
                <w:vertAlign w:val="subscript"/>
              </w:rPr>
              <w:t>i,t</w:t>
            </w:r>
          </w:p>
          <w:p w14:paraId="50C21FD6"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c>
          <w:tcPr>
            <w:tcW w:w="1017" w:type="dxa"/>
            <w:shd w:val="clear" w:color="auto" w:fill="D9D9D9" w:themeFill="background1" w:themeFillShade="D9"/>
            <w:vAlign w:val="center"/>
          </w:tcPr>
          <w:p w14:paraId="424C28F6"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Cap.TE</w:t>
            </w:r>
            <w:r w:rsidRPr="008D6A3D">
              <w:rPr>
                <w:rFonts w:ascii="Bookman Old Style" w:hAnsi="Bookman Old Style" w:cs="Arial"/>
                <w:b/>
                <w:bCs/>
                <w:color w:val="000000"/>
                <w:sz w:val="16"/>
                <w:szCs w:val="16"/>
                <w:vertAlign w:val="subscript"/>
              </w:rPr>
              <w:t>i,t</w:t>
            </w:r>
          </w:p>
          <w:p w14:paraId="7ECC457F"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c>
          <w:tcPr>
            <w:tcW w:w="1191" w:type="dxa"/>
            <w:shd w:val="clear" w:color="auto" w:fill="D9D9D9" w:themeFill="background1" w:themeFillShade="D9"/>
            <w:noWrap/>
            <w:vAlign w:val="center"/>
            <w:hideMark/>
          </w:tcPr>
          <w:p w14:paraId="7D931B0F"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CC</w:t>
            </w:r>
            <w:r w:rsidRPr="008D6A3D">
              <w:rPr>
                <w:rFonts w:ascii="Bookman Old Style" w:hAnsi="Bookman Old Style" w:cs="Arial"/>
                <w:b/>
                <w:bCs/>
                <w:color w:val="000000"/>
                <w:sz w:val="16"/>
                <w:szCs w:val="16"/>
                <w:vertAlign w:val="subscript"/>
              </w:rPr>
              <w:t>i,t</w:t>
            </w:r>
            <w:r w:rsidRPr="008D6A3D">
              <w:rPr>
                <w:rFonts w:ascii="Bookman Old Style" w:hAnsi="Bookman Old Style" w:cs="Arial"/>
                <w:b/>
                <w:bCs/>
                <w:color w:val="000000"/>
                <w:sz w:val="16"/>
                <w:szCs w:val="16"/>
              </w:rPr>
              <w:t xml:space="preserve"> </w:t>
            </w:r>
          </w:p>
          <w:p w14:paraId="0F820D75" w14:textId="77777777" w:rsidR="003931F4" w:rsidRPr="008D6A3D" w:rsidRDefault="003931F4" w:rsidP="003931F4">
            <w:pPr>
              <w:ind w:left="-75"/>
              <w:jc w:val="center"/>
              <w:rPr>
                <w:rFonts w:ascii="Bookman Old Style" w:hAnsi="Bookman Old Style" w:cs="Arial"/>
                <w:b/>
                <w:bCs/>
                <w:color w:val="000000"/>
                <w:sz w:val="16"/>
                <w:szCs w:val="16"/>
              </w:rPr>
            </w:pPr>
            <w:r w:rsidRPr="008D6A3D">
              <w:rPr>
                <w:rFonts w:ascii="Bookman Old Style" w:hAnsi="Bookman Old Style" w:cs="Arial"/>
                <w:b/>
                <w:bCs/>
                <w:color w:val="000000"/>
                <w:sz w:val="16"/>
                <w:szCs w:val="16"/>
              </w:rPr>
              <w:t>(kg)</w:t>
            </w:r>
          </w:p>
        </w:tc>
      </w:tr>
      <w:tr w:rsidR="00EC1484" w:rsidRPr="008D6A3D" w14:paraId="234B66FE" w14:textId="77777777" w:rsidTr="000661AA">
        <w:trPr>
          <w:trHeight w:val="300"/>
          <w:jc w:val="center"/>
        </w:trPr>
        <w:tc>
          <w:tcPr>
            <w:tcW w:w="1077" w:type="dxa"/>
            <w:noWrap/>
            <w:vAlign w:val="center"/>
          </w:tcPr>
          <w:p w14:paraId="54F89A9D" w14:textId="6453634A" w:rsidR="00EC1484" w:rsidRPr="008D6A3D" w:rsidRDefault="00EC1484" w:rsidP="00EC1484">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6026</w:t>
            </w:r>
          </w:p>
        </w:tc>
        <w:tc>
          <w:tcPr>
            <w:tcW w:w="1194" w:type="dxa"/>
            <w:vAlign w:val="center"/>
          </w:tcPr>
          <w:p w14:paraId="60506382" w14:textId="6498E72E" w:rsidR="00EC1484" w:rsidRPr="008D6A3D" w:rsidRDefault="00B06CB6" w:rsidP="00EC1484">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69.977.510</w:t>
            </w:r>
          </w:p>
        </w:tc>
        <w:tc>
          <w:tcPr>
            <w:tcW w:w="1017" w:type="dxa"/>
            <w:vAlign w:val="center"/>
          </w:tcPr>
          <w:p w14:paraId="07065057" w14:textId="341E6977" w:rsidR="00EC1484" w:rsidRPr="008D6A3D" w:rsidRDefault="00EC1484" w:rsidP="00EC1484">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12.017.061</w:t>
            </w:r>
          </w:p>
        </w:tc>
        <w:tc>
          <w:tcPr>
            <w:tcW w:w="1191" w:type="dxa"/>
            <w:noWrap/>
            <w:vAlign w:val="center"/>
          </w:tcPr>
          <w:p w14:paraId="1844D27B" w14:textId="7C7F65CA" w:rsidR="00EC1484" w:rsidRPr="008D6A3D" w:rsidRDefault="006E0888" w:rsidP="00EC1484">
            <w:pPr>
              <w:jc w:val="center"/>
              <w:rPr>
                <w:rFonts w:ascii="Bookman Old Style" w:hAnsi="Bookman Old Style" w:cs="Arial"/>
                <w:color w:val="000000" w:themeColor="text1"/>
                <w:sz w:val="16"/>
                <w:szCs w:val="16"/>
              </w:rPr>
            </w:pPr>
            <w:r w:rsidRPr="008D6A3D">
              <w:rPr>
                <w:rFonts w:ascii="Bookman Old Style" w:hAnsi="Bookman Old Style" w:cs="Arial"/>
                <w:color w:val="000000" w:themeColor="text1"/>
                <w:sz w:val="16"/>
                <w:szCs w:val="16"/>
              </w:rPr>
              <w:t>27.666.244</w:t>
            </w:r>
          </w:p>
        </w:tc>
      </w:tr>
    </w:tbl>
    <w:p w14:paraId="341E1B4E" w14:textId="77777777" w:rsidR="00F64D56" w:rsidRDefault="00F64D56" w:rsidP="0081625F">
      <w:pPr>
        <w:spacing w:after="0" w:line="240" w:lineRule="auto"/>
        <w:ind w:left="-142" w:right="-142"/>
        <w:jc w:val="both"/>
        <w:rPr>
          <w:rFonts w:ascii="Bookman Old Style" w:eastAsia="Times New Roman" w:hAnsi="Bookman Old Style" w:cs="Times New Roman"/>
          <w:b/>
          <w:sz w:val="24"/>
          <w:szCs w:val="24"/>
          <w:lang w:val="es-ES" w:eastAsia="es-ES"/>
        </w:rPr>
      </w:pPr>
    </w:p>
    <w:p w14:paraId="56E5B888" w14:textId="551B6620" w:rsidR="0081625F" w:rsidRPr="00082D81" w:rsidRDefault="0081625F" w:rsidP="0081625F">
      <w:pPr>
        <w:spacing w:after="0" w:line="240" w:lineRule="auto"/>
        <w:ind w:left="-142" w:right="-142"/>
        <w:jc w:val="both"/>
        <w:rPr>
          <w:rFonts w:ascii="Bookman Old Style" w:eastAsia="Times New Roman" w:hAnsi="Bookman Old Style" w:cs="Times New Roman"/>
          <w:sz w:val="24"/>
          <w:szCs w:val="24"/>
          <w:lang w:val="es-ES" w:eastAsia="es-ES"/>
        </w:rPr>
      </w:pPr>
      <w:r w:rsidRPr="00C35B4C">
        <w:rPr>
          <w:rFonts w:ascii="Bookman Old Style" w:eastAsia="Times New Roman" w:hAnsi="Bookman Old Style" w:cs="Times New Roman"/>
          <w:b/>
          <w:sz w:val="24"/>
          <w:szCs w:val="24"/>
          <w:lang w:val="es-ES" w:eastAsia="es-ES"/>
        </w:rPr>
        <w:t>Artículo 3.</w:t>
      </w:r>
      <w:r w:rsidRPr="00C35B4C">
        <w:rPr>
          <w:rFonts w:ascii="Bookman Old Style" w:eastAsia="Times New Roman" w:hAnsi="Bookman Old Style" w:cs="Times New Roman"/>
          <w:sz w:val="24"/>
          <w:szCs w:val="24"/>
          <w:lang w:val="es-ES" w:eastAsia="es-ES"/>
        </w:rPr>
        <w:t xml:space="preserve"> </w:t>
      </w:r>
      <w:r w:rsidR="00F716DE" w:rsidRPr="00F716DE">
        <w:rPr>
          <w:rFonts w:ascii="Bookman Old Style" w:eastAsia="Times New Roman" w:hAnsi="Bookman Old Style" w:cs="Times New Roman"/>
          <w:sz w:val="24"/>
          <w:szCs w:val="24"/>
          <w:lang w:val="es-ES" w:eastAsia="es-ES"/>
        </w:rPr>
        <w:t xml:space="preserve">La presente resolución deberá notificarse electrónicamente a </w:t>
      </w:r>
      <w:r w:rsidR="000625F1">
        <w:rPr>
          <w:rFonts w:ascii="Bookman Old Style" w:eastAsia="Times New Roman" w:hAnsi="Bookman Old Style" w:cs="Times New Roman"/>
          <w:sz w:val="24"/>
          <w:szCs w:val="24"/>
          <w:lang w:val="es-ES" w:eastAsia="es-ES"/>
        </w:rPr>
        <w:t>Montagas S.A. E.S.P.,</w:t>
      </w:r>
      <w:r w:rsidR="00F716DE" w:rsidRPr="00F716DE">
        <w:rPr>
          <w:rFonts w:ascii="Bookman Old Style" w:eastAsia="Times New Roman" w:hAnsi="Bookman Old Style" w:cs="Times New Roman"/>
          <w:sz w:val="24"/>
          <w:szCs w:val="24"/>
          <w:lang w:val="es-ES" w:eastAsia="es-ES"/>
        </w:rPr>
        <w:t xml:space="preserve"> ateniendo lo previsto en el artículo 4º del Decreto Legislativo 491 de 2020, para lo cual se tendrán en cuenta las direcciones de correo electrónico reportadas en el SUI y en el RUPS</w:t>
      </w:r>
      <w:r w:rsidR="000F54F4">
        <w:rPr>
          <w:rFonts w:ascii="Bookman Old Style" w:eastAsia="Times New Roman" w:hAnsi="Bookman Old Style" w:cs="Times New Roman"/>
          <w:sz w:val="24"/>
          <w:szCs w:val="24"/>
          <w:lang w:val="es-ES" w:eastAsia="es-ES"/>
        </w:rPr>
        <w:t>,</w:t>
      </w:r>
      <w:r w:rsidR="00F716DE" w:rsidRPr="00F716DE">
        <w:rPr>
          <w:rFonts w:ascii="Bookman Old Style" w:eastAsia="Times New Roman" w:hAnsi="Bookman Old Style" w:cs="Times New Roman"/>
          <w:sz w:val="24"/>
          <w:szCs w:val="24"/>
          <w:lang w:val="es-ES" w:eastAsia="es-ES"/>
        </w:rPr>
        <w:t xml:space="preserve"> </w:t>
      </w:r>
      <w:r w:rsidR="000F54F4">
        <w:rPr>
          <w:rFonts w:ascii="Bookman Old Style" w:eastAsia="Times New Roman" w:hAnsi="Bookman Old Style" w:cs="Times New Roman"/>
          <w:sz w:val="24"/>
          <w:szCs w:val="24"/>
          <w:lang w:val="es-ES" w:eastAsia="es-ES"/>
        </w:rPr>
        <w:t xml:space="preserve">y </w:t>
      </w:r>
      <w:r w:rsidR="00F716DE" w:rsidRPr="00F716DE">
        <w:rPr>
          <w:rFonts w:ascii="Bookman Old Style" w:eastAsia="Times New Roman" w:hAnsi="Bookman Old Style" w:cs="Times New Roman"/>
          <w:sz w:val="24"/>
          <w:szCs w:val="24"/>
          <w:lang w:val="es-ES" w:eastAsia="es-ES"/>
        </w:rPr>
        <w:t>lo previsto en el artículo 14 de la Ley 689 de 2001</w:t>
      </w:r>
      <w:r w:rsidR="00F716DE">
        <w:rPr>
          <w:rFonts w:ascii="Bookman Old Style" w:eastAsia="Times New Roman" w:hAnsi="Bookman Old Style" w:cs="Times New Roman"/>
          <w:sz w:val="24"/>
          <w:szCs w:val="24"/>
          <w:lang w:val="es-ES" w:eastAsia="es-ES"/>
        </w:rPr>
        <w:t xml:space="preserve">. </w:t>
      </w:r>
      <w:r w:rsidR="000625F1">
        <w:rPr>
          <w:rFonts w:ascii="Bookman Old Style" w:eastAsia="Times New Roman" w:hAnsi="Bookman Old Style" w:cs="Times New Roman"/>
          <w:sz w:val="24"/>
          <w:szCs w:val="24"/>
          <w:lang w:val="es-ES" w:eastAsia="es-ES"/>
        </w:rPr>
        <w:t>C</w:t>
      </w:r>
      <w:r w:rsidRPr="008D6A3D">
        <w:rPr>
          <w:rFonts w:ascii="Bookman Old Style" w:eastAsia="Times New Roman" w:hAnsi="Bookman Old Style" w:cs="Times New Roman"/>
          <w:sz w:val="24"/>
          <w:szCs w:val="24"/>
          <w:lang w:val="es-ES" w:eastAsia="es-ES"/>
        </w:rPr>
        <w:t>ontra lo aquí dispuesto no procede recurso alguno por haber finalizado la actuación administrativa correspondiente a la presentación</w:t>
      </w:r>
      <w:r w:rsidRPr="00C35B4C">
        <w:rPr>
          <w:rFonts w:ascii="Bookman Old Style" w:eastAsia="Times New Roman" w:hAnsi="Bookman Old Style" w:cs="Times New Roman"/>
          <w:sz w:val="24"/>
          <w:szCs w:val="24"/>
          <w:lang w:val="es-ES" w:eastAsia="es-ES"/>
        </w:rPr>
        <w:t xml:space="preserve"> de recursos previsto en la Ley.</w:t>
      </w:r>
    </w:p>
    <w:p w14:paraId="45E5126C" w14:textId="77777777" w:rsidR="0081625F" w:rsidRPr="00082D81" w:rsidRDefault="0081625F" w:rsidP="0081625F">
      <w:pPr>
        <w:spacing w:after="0" w:line="240" w:lineRule="auto"/>
        <w:ind w:left="567" w:right="-93"/>
        <w:jc w:val="center"/>
        <w:rPr>
          <w:rFonts w:ascii="Bookman Old Style" w:eastAsia="MS Mincho" w:hAnsi="Bookman Old Style" w:cs="Arial"/>
          <w:b/>
          <w:sz w:val="24"/>
          <w:szCs w:val="24"/>
          <w:lang w:val="es-ES" w:eastAsia="es-ES"/>
        </w:rPr>
      </w:pPr>
    </w:p>
    <w:p w14:paraId="34751DCF" w14:textId="77777777" w:rsidR="000F54F4" w:rsidRDefault="000F54F4" w:rsidP="0081625F">
      <w:pPr>
        <w:spacing w:after="0" w:line="240" w:lineRule="auto"/>
        <w:contextualSpacing/>
        <w:jc w:val="center"/>
        <w:rPr>
          <w:rFonts w:ascii="Bookman Old Style" w:eastAsia="Times New Roman" w:hAnsi="Bookman Old Style" w:cs="Times New Roman"/>
          <w:b/>
          <w:sz w:val="24"/>
          <w:szCs w:val="24"/>
          <w:lang w:val="es-ES" w:eastAsia="es-ES"/>
        </w:rPr>
      </w:pPr>
    </w:p>
    <w:p w14:paraId="2FE09F8B" w14:textId="1729AA40" w:rsidR="0081625F" w:rsidRPr="00082D81" w:rsidRDefault="0081625F" w:rsidP="0081625F">
      <w:pPr>
        <w:spacing w:after="0" w:line="240" w:lineRule="auto"/>
        <w:contextualSpacing/>
        <w:jc w:val="center"/>
        <w:rPr>
          <w:rFonts w:ascii="Bookman Old Style" w:eastAsia="Times New Roman" w:hAnsi="Bookman Old Style" w:cs="Times New Roman"/>
          <w:b/>
          <w:sz w:val="24"/>
          <w:szCs w:val="24"/>
          <w:lang w:val="es-ES" w:eastAsia="es-ES"/>
        </w:rPr>
      </w:pPr>
      <w:r w:rsidRPr="00082D81">
        <w:rPr>
          <w:rFonts w:ascii="Bookman Old Style" w:eastAsia="Times New Roman" w:hAnsi="Bookman Old Style" w:cs="Times New Roman"/>
          <w:b/>
          <w:sz w:val="24"/>
          <w:szCs w:val="24"/>
          <w:lang w:val="es-ES" w:eastAsia="es-ES"/>
        </w:rPr>
        <w:t>NOTIFÍQUESE Y CÚMPLASE</w:t>
      </w:r>
    </w:p>
    <w:p w14:paraId="5755619A" w14:textId="77777777"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14:paraId="018E2ADD" w14:textId="0B22AC3F" w:rsidR="0081625F" w:rsidRDefault="0081625F" w:rsidP="0081625F">
      <w:pPr>
        <w:spacing w:after="0" w:line="240" w:lineRule="auto"/>
        <w:contextualSpacing/>
        <w:rPr>
          <w:rFonts w:ascii="Bookman Old Style" w:eastAsia="Times New Roman" w:hAnsi="Bookman Old Style" w:cs="Times New Roman"/>
          <w:sz w:val="24"/>
          <w:szCs w:val="24"/>
          <w:lang w:val="es-ES" w:eastAsia="es-ES"/>
        </w:rPr>
      </w:pPr>
      <w:r w:rsidRPr="00082D81">
        <w:rPr>
          <w:rFonts w:ascii="Bookman Old Style" w:eastAsia="Times New Roman" w:hAnsi="Bookman Old Style" w:cs="Times New Roman"/>
          <w:sz w:val="24"/>
          <w:szCs w:val="24"/>
          <w:lang w:val="es-ES" w:eastAsia="es-ES"/>
        </w:rPr>
        <w:t>Dada en Bogotá, D.C. a,</w:t>
      </w:r>
      <w:r w:rsidR="00F67C25">
        <w:rPr>
          <w:rFonts w:ascii="Bookman Old Style" w:eastAsia="Times New Roman" w:hAnsi="Bookman Old Style" w:cs="Times New Roman"/>
          <w:sz w:val="24"/>
          <w:szCs w:val="24"/>
          <w:lang w:val="es-ES" w:eastAsia="es-ES"/>
        </w:rPr>
        <w:t xml:space="preserve">  </w:t>
      </w:r>
      <w:r w:rsidR="00F67C25" w:rsidRPr="00F67C25">
        <w:rPr>
          <w:rFonts w:ascii="Bookman Old Style" w:eastAsia="Times New Roman" w:hAnsi="Bookman Old Style" w:cs="Times New Roman"/>
          <w:b/>
          <w:bCs/>
          <w:sz w:val="24"/>
          <w:szCs w:val="24"/>
          <w:lang w:val="es-ES" w:eastAsia="es-ES"/>
        </w:rPr>
        <w:t>23 DIC. 2021</w:t>
      </w:r>
    </w:p>
    <w:p w14:paraId="3F633BFD" w14:textId="77777777" w:rsidR="00B75E78" w:rsidRDefault="00B75E78" w:rsidP="0081625F">
      <w:pPr>
        <w:spacing w:after="0" w:line="240" w:lineRule="auto"/>
        <w:contextualSpacing/>
        <w:rPr>
          <w:rFonts w:ascii="Bookman Old Style" w:eastAsia="Times New Roman" w:hAnsi="Bookman Old Style" w:cs="Times New Roman"/>
          <w:sz w:val="24"/>
          <w:szCs w:val="24"/>
          <w:lang w:val="es-ES" w:eastAsia="es-ES"/>
        </w:rPr>
      </w:pPr>
    </w:p>
    <w:p w14:paraId="55232C44" w14:textId="0C056FC2" w:rsidR="00B75E78" w:rsidRDefault="00B75E78" w:rsidP="0081625F">
      <w:pPr>
        <w:spacing w:after="0" w:line="240" w:lineRule="auto"/>
        <w:contextualSpacing/>
        <w:rPr>
          <w:rFonts w:ascii="Bookman Old Style" w:eastAsia="Times New Roman" w:hAnsi="Bookman Old Style" w:cs="Times New Roman"/>
          <w:sz w:val="24"/>
          <w:szCs w:val="24"/>
          <w:lang w:val="es-ES" w:eastAsia="es-ES"/>
        </w:rPr>
      </w:pPr>
    </w:p>
    <w:p w14:paraId="479D2BFC" w14:textId="77777777" w:rsidR="000F54F4" w:rsidRDefault="000F54F4" w:rsidP="0081625F">
      <w:pPr>
        <w:spacing w:after="0" w:line="240" w:lineRule="auto"/>
        <w:contextualSpacing/>
        <w:rPr>
          <w:rFonts w:ascii="Bookman Old Style" w:eastAsia="Times New Roman" w:hAnsi="Bookman Old Style" w:cs="Times New Roman"/>
          <w:sz w:val="24"/>
          <w:szCs w:val="24"/>
          <w:lang w:val="es-ES" w:eastAsia="es-ES"/>
        </w:rPr>
      </w:pPr>
    </w:p>
    <w:p w14:paraId="0D18FA9F" w14:textId="77777777" w:rsidR="00B75E78" w:rsidRDefault="00B75E78" w:rsidP="0081625F">
      <w:pPr>
        <w:spacing w:after="0" w:line="240" w:lineRule="auto"/>
        <w:contextualSpacing/>
        <w:rPr>
          <w:rFonts w:ascii="Bookman Old Style" w:eastAsia="Times New Roman" w:hAnsi="Bookman Old Style" w:cs="Times New Roman"/>
          <w:sz w:val="24"/>
          <w:szCs w:val="24"/>
          <w:lang w:val="es-ES" w:eastAsia="es-ES"/>
        </w:rPr>
      </w:pPr>
    </w:p>
    <w:p w14:paraId="591ECE4E" w14:textId="77777777" w:rsidR="00B75E78" w:rsidRDefault="00B75E78" w:rsidP="0081625F">
      <w:pPr>
        <w:spacing w:after="0" w:line="240" w:lineRule="auto"/>
        <w:contextualSpacing/>
        <w:rPr>
          <w:rFonts w:ascii="Bookman Old Style" w:eastAsia="Times New Roman" w:hAnsi="Bookman Old Style" w:cs="Times New Roman"/>
          <w:sz w:val="24"/>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4748"/>
        <w:gridCol w:w="123"/>
        <w:gridCol w:w="4625"/>
        <w:gridCol w:w="633"/>
      </w:tblGrid>
      <w:tr w:rsidR="00B75E78" w:rsidRPr="00B75E78" w14:paraId="3EFA7309" w14:textId="77777777" w:rsidTr="00F35B33">
        <w:trPr>
          <w:gridAfter w:val="1"/>
          <w:wAfter w:w="633" w:type="dxa"/>
          <w:jc w:val="center"/>
        </w:trPr>
        <w:tc>
          <w:tcPr>
            <w:tcW w:w="4748" w:type="dxa"/>
          </w:tcPr>
          <w:p w14:paraId="1F537DF9" w14:textId="77777777" w:rsidR="00B75E78" w:rsidRPr="00B75E78" w:rsidRDefault="00B75E78" w:rsidP="00B75E78">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B75E78">
              <w:rPr>
                <w:rFonts w:ascii="Bookman Old Style" w:eastAsia="Times New Roman" w:hAnsi="Bookman Old Style" w:cs="Arial"/>
                <w:b/>
                <w:spacing w:val="-3"/>
                <w:sz w:val="24"/>
                <w:szCs w:val="24"/>
                <w:lang w:val="es-ES" w:eastAsia="es-ES"/>
              </w:rPr>
              <w:t>DIEGO MESA PUYO</w:t>
            </w:r>
          </w:p>
          <w:p w14:paraId="61146D61" w14:textId="77777777" w:rsidR="00B75E78" w:rsidRPr="00B75E78" w:rsidRDefault="00B75E78" w:rsidP="00B75E78">
            <w:pPr>
              <w:tabs>
                <w:tab w:val="left" w:pos="-720"/>
              </w:tabs>
              <w:suppressAutoHyphens/>
              <w:spacing w:after="0" w:line="240" w:lineRule="auto"/>
              <w:jc w:val="center"/>
              <w:rPr>
                <w:rFonts w:ascii="Times New Roman" w:eastAsia="Times New Roman" w:hAnsi="Times New Roman" w:cs="Times New Roman"/>
                <w:sz w:val="24"/>
                <w:szCs w:val="24"/>
                <w:lang w:val="es-ES" w:eastAsia="es-ES"/>
              </w:rPr>
            </w:pPr>
            <w:r w:rsidRPr="00B75E78">
              <w:rPr>
                <w:rFonts w:ascii="Bookman Old Style" w:eastAsia="Times New Roman" w:hAnsi="Bookman Old Style" w:cs="Times New Roman"/>
                <w:sz w:val="24"/>
                <w:szCs w:val="24"/>
                <w:lang w:val="es-ES" w:eastAsia="es-ES"/>
              </w:rPr>
              <w:t>Ministro de Minas y Energía</w:t>
            </w:r>
            <w:r w:rsidRPr="00B75E78">
              <w:rPr>
                <w:rFonts w:ascii="Times New Roman" w:eastAsia="Times New Roman" w:hAnsi="Times New Roman" w:cs="Times New Roman"/>
                <w:sz w:val="24"/>
                <w:szCs w:val="24"/>
                <w:lang w:val="es-ES" w:eastAsia="es-ES"/>
              </w:rPr>
              <w:t xml:space="preserve"> </w:t>
            </w:r>
          </w:p>
          <w:p w14:paraId="67B51DB8" w14:textId="77777777" w:rsidR="00B75E78" w:rsidRPr="00B75E78" w:rsidRDefault="00B75E78" w:rsidP="00B75E78">
            <w:pPr>
              <w:tabs>
                <w:tab w:val="left" w:pos="-720"/>
              </w:tabs>
              <w:suppressAutoHyphens/>
              <w:spacing w:after="0" w:line="240" w:lineRule="auto"/>
              <w:jc w:val="center"/>
              <w:rPr>
                <w:rFonts w:ascii="Bookman Old Style" w:eastAsia="Times New Roman" w:hAnsi="Bookman Old Style" w:cs="Arial"/>
                <w:b/>
                <w:strike/>
                <w:spacing w:val="-3"/>
                <w:sz w:val="24"/>
                <w:szCs w:val="24"/>
                <w:lang w:val="es-ES" w:eastAsia="es-ES"/>
              </w:rPr>
            </w:pPr>
            <w:r w:rsidRPr="00B75E78">
              <w:rPr>
                <w:rFonts w:ascii="Bookman Old Style" w:eastAsia="Times New Roman" w:hAnsi="Bookman Old Style" w:cs="Times New Roman"/>
                <w:sz w:val="24"/>
                <w:szCs w:val="24"/>
                <w:lang w:val="es-ES" w:eastAsia="es-ES"/>
              </w:rPr>
              <w:t>Presidente</w:t>
            </w:r>
          </w:p>
        </w:tc>
        <w:tc>
          <w:tcPr>
            <w:tcW w:w="4748" w:type="dxa"/>
            <w:gridSpan w:val="2"/>
          </w:tcPr>
          <w:p w14:paraId="2A4202DF" w14:textId="77777777" w:rsidR="00B75E78" w:rsidRPr="00B75E78" w:rsidRDefault="00B75E78" w:rsidP="00B75E78">
            <w:pPr>
              <w:tabs>
                <w:tab w:val="left" w:pos="-720"/>
              </w:tabs>
              <w:suppressAutoHyphens/>
              <w:spacing w:after="0" w:line="240" w:lineRule="auto"/>
              <w:jc w:val="center"/>
              <w:rPr>
                <w:rFonts w:ascii="Bookman Old Style" w:eastAsia="Times New Roman" w:hAnsi="Bookman Old Style" w:cs="Arial"/>
                <w:b/>
                <w:sz w:val="24"/>
                <w:szCs w:val="24"/>
                <w:lang w:val="es-ES" w:eastAsia="es-ES"/>
              </w:rPr>
            </w:pPr>
            <w:r w:rsidRPr="00B75E78">
              <w:rPr>
                <w:rFonts w:ascii="Bookman Old Style" w:eastAsia="Times New Roman" w:hAnsi="Bookman Old Style" w:cs="Arial"/>
                <w:b/>
                <w:sz w:val="24"/>
                <w:szCs w:val="24"/>
                <w:lang w:val="es-ES" w:eastAsia="es-ES"/>
              </w:rPr>
              <w:t>JORGE ALBERTO VALENCIA MARÍN</w:t>
            </w:r>
          </w:p>
          <w:p w14:paraId="4174F57C" w14:textId="77777777" w:rsidR="00B75E78" w:rsidRPr="00B75E78" w:rsidRDefault="00B75E78" w:rsidP="00B75E78">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B75E78">
              <w:rPr>
                <w:rFonts w:ascii="Bookman Old Style" w:eastAsia="Times New Roman" w:hAnsi="Bookman Old Style" w:cs="Arial"/>
                <w:spacing w:val="-3"/>
                <w:sz w:val="24"/>
                <w:szCs w:val="24"/>
                <w:lang w:val="es-ES" w:eastAsia="es-ES"/>
              </w:rPr>
              <w:t>Director Ejecutivo</w:t>
            </w:r>
          </w:p>
        </w:tc>
      </w:tr>
      <w:tr w:rsidR="00B75E78" w:rsidRPr="00B75E78" w14:paraId="1F18EB8D" w14:textId="77777777" w:rsidTr="00F35B33">
        <w:tblPrEx>
          <w:jc w:val="right"/>
        </w:tblPrEx>
        <w:trPr>
          <w:jc w:val="right"/>
        </w:trPr>
        <w:tc>
          <w:tcPr>
            <w:tcW w:w="4871" w:type="dxa"/>
            <w:gridSpan w:val="2"/>
          </w:tcPr>
          <w:p w14:paraId="291BE3B5" w14:textId="77777777" w:rsidR="00B75E78" w:rsidRPr="00B75E78" w:rsidRDefault="00B75E78" w:rsidP="00B75E78">
            <w:pPr>
              <w:spacing w:after="0" w:line="240" w:lineRule="auto"/>
              <w:rPr>
                <w:rFonts w:ascii="Bookman Old Style" w:eastAsia="Times New Roman" w:hAnsi="Bookman Old Style" w:cs="Arial"/>
                <w:spacing w:val="-3"/>
                <w:sz w:val="24"/>
                <w:szCs w:val="24"/>
                <w:lang w:val="es-ES_tradnl" w:eastAsia="es-ES"/>
              </w:rPr>
            </w:pPr>
          </w:p>
        </w:tc>
        <w:tc>
          <w:tcPr>
            <w:tcW w:w="5258" w:type="dxa"/>
            <w:gridSpan w:val="2"/>
          </w:tcPr>
          <w:p w14:paraId="2DFB5C83" w14:textId="77777777" w:rsidR="00B75E78" w:rsidRPr="00B75E78" w:rsidRDefault="00B75E78" w:rsidP="00B75E78">
            <w:pPr>
              <w:spacing w:after="0" w:line="240" w:lineRule="auto"/>
              <w:ind w:left="567"/>
              <w:rPr>
                <w:rFonts w:ascii="Bookman Old Style" w:eastAsia="Times New Roman" w:hAnsi="Bookman Old Style" w:cs="Arial"/>
                <w:spacing w:val="-3"/>
                <w:sz w:val="24"/>
                <w:szCs w:val="24"/>
                <w:lang w:val="es-ES_tradnl" w:eastAsia="es-ES"/>
              </w:rPr>
            </w:pPr>
          </w:p>
        </w:tc>
      </w:tr>
      <w:tr w:rsidR="00B75E78" w:rsidRPr="00B75E78" w14:paraId="0386EBE8" w14:textId="77777777" w:rsidTr="00F35B33">
        <w:tblPrEx>
          <w:jc w:val="right"/>
        </w:tblPrEx>
        <w:trPr>
          <w:jc w:val="right"/>
        </w:trPr>
        <w:tc>
          <w:tcPr>
            <w:tcW w:w="4871" w:type="dxa"/>
            <w:gridSpan w:val="2"/>
          </w:tcPr>
          <w:p w14:paraId="1A115186" w14:textId="77777777" w:rsidR="00B75E78" w:rsidRPr="00B75E78" w:rsidRDefault="00B75E78" w:rsidP="00B75E78">
            <w:pPr>
              <w:spacing w:after="0" w:line="240" w:lineRule="auto"/>
              <w:ind w:left="567"/>
              <w:rPr>
                <w:rFonts w:ascii="Bookman Old Style" w:eastAsia="Times New Roman" w:hAnsi="Bookman Old Style" w:cs="Arial"/>
                <w:spacing w:val="-3"/>
                <w:sz w:val="24"/>
                <w:szCs w:val="24"/>
                <w:lang w:val="es-ES" w:eastAsia="es-ES"/>
              </w:rPr>
            </w:pPr>
          </w:p>
        </w:tc>
        <w:tc>
          <w:tcPr>
            <w:tcW w:w="5258" w:type="dxa"/>
            <w:gridSpan w:val="2"/>
          </w:tcPr>
          <w:p w14:paraId="2571383B" w14:textId="77777777" w:rsidR="00B75E78" w:rsidRPr="00B75E78" w:rsidRDefault="00B75E78" w:rsidP="00B75E78">
            <w:pPr>
              <w:spacing w:after="0" w:line="240" w:lineRule="auto"/>
              <w:ind w:left="567"/>
              <w:rPr>
                <w:rFonts w:ascii="Bookman Old Style" w:eastAsia="Times New Roman" w:hAnsi="Bookman Old Style" w:cs="Arial"/>
                <w:spacing w:val="-3"/>
                <w:sz w:val="24"/>
                <w:szCs w:val="24"/>
                <w:lang w:val="es-ES" w:eastAsia="es-ES"/>
              </w:rPr>
            </w:pPr>
          </w:p>
        </w:tc>
      </w:tr>
    </w:tbl>
    <w:p w14:paraId="58C9421E" w14:textId="77777777" w:rsidR="00B75E78" w:rsidRPr="00082D81" w:rsidRDefault="00B75E78" w:rsidP="0081625F">
      <w:pPr>
        <w:spacing w:after="0" w:line="240" w:lineRule="auto"/>
        <w:contextualSpacing/>
        <w:rPr>
          <w:rFonts w:ascii="Bookman Old Style" w:eastAsia="Times New Roman" w:hAnsi="Bookman Old Style" w:cs="Times New Roman"/>
          <w:sz w:val="24"/>
          <w:szCs w:val="24"/>
          <w:lang w:val="es-ES" w:eastAsia="es-ES"/>
        </w:rPr>
      </w:pPr>
    </w:p>
    <w:p w14:paraId="460F1290" w14:textId="77777777" w:rsidR="0081625F" w:rsidRPr="00082D81" w:rsidRDefault="0081625F" w:rsidP="0081625F">
      <w:pPr>
        <w:spacing w:after="0" w:line="240" w:lineRule="auto"/>
        <w:contextualSpacing/>
        <w:rPr>
          <w:rFonts w:ascii="Bookman Old Style" w:eastAsia="Times New Roman" w:hAnsi="Bookman Old Style" w:cs="Times New Roman"/>
          <w:sz w:val="20"/>
          <w:szCs w:val="24"/>
          <w:lang w:val="es-ES" w:eastAsia="es-ES"/>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082D8D" w14:paraId="037EB945" w14:textId="77777777" w:rsidTr="00082D8D">
        <w:trPr>
          <w:tblCellSpacing w:w="0" w:type="dxa"/>
          <w:jc w:val="center"/>
        </w:trPr>
        <w:tc>
          <w:tcPr>
            <w:tcW w:w="5033" w:type="dxa"/>
          </w:tcPr>
          <w:p w14:paraId="22587532" w14:textId="77777777" w:rsidR="00082D8D" w:rsidRDefault="00082D8D" w:rsidP="002E3F00">
            <w:pPr>
              <w:ind w:left="66"/>
              <w:jc w:val="center"/>
              <w:rPr>
                <w:rFonts w:eastAsia="Arial Unicode MS" w:cs="Arial"/>
                <w:color w:val="000000"/>
              </w:rPr>
            </w:pPr>
          </w:p>
        </w:tc>
        <w:tc>
          <w:tcPr>
            <w:tcW w:w="4465" w:type="dxa"/>
          </w:tcPr>
          <w:p w14:paraId="3694BF61" w14:textId="77777777" w:rsidR="00082D8D" w:rsidRDefault="00082D8D" w:rsidP="002E3F00">
            <w:pPr>
              <w:jc w:val="center"/>
              <w:rPr>
                <w:rFonts w:eastAsia="Arial Unicode MS" w:cs="Arial"/>
                <w:color w:val="000000"/>
              </w:rPr>
            </w:pPr>
          </w:p>
        </w:tc>
      </w:tr>
    </w:tbl>
    <w:p w14:paraId="2F96350E" w14:textId="77777777"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14:paraId="307E1B46" w14:textId="77777777" w:rsidR="0081625F" w:rsidRPr="00082D81" w:rsidRDefault="0081625F" w:rsidP="0081625F">
      <w:pPr>
        <w:spacing w:after="0" w:line="240" w:lineRule="auto"/>
        <w:contextualSpacing/>
        <w:rPr>
          <w:rFonts w:ascii="Bookman Old Style" w:eastAsia="Times New Roman" w:hAnsi="Bookman Old Style" w:cs="Times New Roman"/>
          <w:sz w:val="24"/>
          <w:szCs w:val="24"/>
          <w:lang w:val="es-ES" w:eastAsia="es-ES"/>
        </w:rPr>
      </w:pPr>
    </w:p>
    <w:p w14:paraId="6A6B2B05" w14:textId="77777777" w:rsidR="0081625F" w:rsidRDefault="0081625F" w:rsidP="000C4D78">
      <w:pPr>
        <w:spacing w:after="0" w:line="240" w:lineRule="auto"/>
        <w:ind w:right="-142"/>
        <w:jc w:val="both"/>
        <w:rPr>
          <w:rFonts w:ascii="Bookman Old Style" w:eastAsia="Times New Roman" w:hAnsi="Bookman Old Style" w:cs="Times New Roman"/>
          <w:sz w:val="24"/>
          <w:szCs w:val="24"/>
          <w:lang w:val="es-ES" w:eastAsia="es-ES"/>
        </w:rPr>
      </w:pPr>
    </w:p>
    <w:sectPr w:rsidR="0081625F" w:rsidSect="005C1BCA">
      <w:headerReference w:type="default" r:id="rId21"/>
      <w:headerReference w:type="first" r:id="rId2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5DFC" w14:textId="77777777" w:rsidR="00AB745F" w:rsidRDefault="00AB745F" w:rsidP="005C1BCA">
      <w:pPr>
        <w:spacing w:after="0" w:line="240" w:lineRule="auto"/>
      </w:pPr>
      <w:r>
        <w:separator/>
      </w:r>
    </w:p>
  </w:endnote>
  <w:endnote w:type="continuationSeparator" w:id="0">
    <w:p w14:paraId="5970CB5D" w14:textId="77777777" w:rsidR="00AB745F" w:rsidRDefault="00AB745F" w:rsidP="005C1BCA">
      <w:pPr>
        <w:spacing w:after="0" w:line="240" w:lineRule="auto"/>
      </w:pPr>
      <w:r>
        <w:continuationSeparator/>
      </w:r>
    </w:p>
  </w:endnote>
  <w:endnote w:type="continuationNotice" w:id="1">
    <w:p w14:paraId="6257F178" w14:textId="77777777" w:rsidR="00AB745F" w:rsidRDefault="00AB7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E82D" w14:textId="77777777" w:rsidR="00AB745F" w:rsidRDefault="00AB745F" w:rsidP="005C1BCA">
      <w:pPr>
        <w:spacing w:after="0" w:line="240" w:lineRule="auto"/>
      </w:pPr>
      <w:r>
        <w:separator/>
      </w:r>
    </w:p>
  </w:footnote>
  <w:footnote w:type="continuationSeparator" w:id="0">
    <w:p w14:paraId="6F7823C5" w14:textId="77777777" w:rsidR="00AB745F" w:rsidRDefault="00AB745F" w:rsidP="005C1BCA">
      <w:pPr>
        <w:spacing w:after="0" w:line="240" w:lineRule="auto"/>
      </w:pPr>
      <w:r>
        <w:continuationSeparator/>
      </w:r>
    </w:p>
  </w:footnote>
  <w:footnote w:type="continuationNotice" w:id="1">
    <w:p w14:paraId="1BCA773B" w14:textId="77777777" w:rsidR="00AB745F" w:rsidRDefault="00AB745F">
      <w:pPr>
        <w:spacing w:after="0" w:line="240" w:lineRule="auto"/>
      </w:pPr>
    </w:p>
  </w:footnote>
  <w:footnote w:id="2">
    <w:p w14:paraId="01609220" w14:textId="77777777" w:rsidR="002E3F00" w:rsidRPr="005C1BCA" w:rsidRDefault="002E3F00"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3">
    <w:p w14:paraId="70D28F51" w14:textId="77777777" w:rsidR="002E3F00" w:rsidRPr="00FD101E" w:rsidRDefault="002E3F00"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14:paraId="58D11162" w14:textId="77777777" w:rsidR="002E3F00" w:rsidRPr="00FD101E" w:rsidRDefault="002E3F00"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14:paraId="6794C4D3" w14:textId="77777777" w:rsidR="002E3F00" w:rsidRPr="00FD101E" w:rsidRDefault="002E3F0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14:paraId="514FC5E4" w14:textId="77777777" w:rsidR="002E3F00" w:rsidRPr="00FD101E" w:rsidRDefault="002E3F00"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14:paraId="7C67A39A" w14:textId="77777777" w:rsidR="002E3F00" w:rsidRPr="009962C6" w:rsidRDefault="002E3F00" w:rsidP="00DE5054">
      <w:pPr>
        <w:pStyle w:val="Textonotapie"/>
        <w:ind w:left="0"/>
        <w:jc w:val="both"/>
        <w:rPr>
          <w:rFonts w:ascii="Bookman Old Style" w:hAnsi="Bookman Old Style" w:cs="Arial"/>
          <w:sz w:val="16"/>
          <w:szCs w:val="16"/>
        </w:rPr>
      </w:pPr>
      <w:r w:rsidRPr="009962C6">
        <w:rPr>
          <w:rFonts w:ascii="Bookman Old Style" w:hAnsi="Bookman Old Style" w:cs="Arial"/>
          <w:sz w:val="16"/>
          <w:szCs w:val="16"/>
        </w:rPr>
        <w:t>a. Información del año 2003 se debe reportar a más tardar el 15 de septiembre de 2004.</w:t>
      </w:r>
    </w:p>
    <w:p w14:paraId="2EFC3ABD" w14:textId="77777777" w:rsidR="002E3F00" w:rsidRPr="00FD101E" w:rsidRDefault="002E3F00" w:rsidP="00DE5054">
      <w:pPr>
        <w:pStyle w:val="Textonotapie"/>
        <w:ind w:left="0"/>
        <w:jc w:val="both"/>
        <w:rPr>
          <w:rFonts w:ascii="Bookman Old Style" w:hAnsi="Bookman Old Style" w:cs="Arial"/>
          <w:sz w:val="16"/>
          <w:szCs w:val="16"/>
        </w:rPr>
      </w:pPr>
      <w:r w:rsidRPr="009962C6">
        <w:rPr>
          <w:rFonts w:ascii="Bookman Old Style" w:hAnsi="Bookman Old Style" w:cs="Arial"/>
          <w:sz w:val="16"/>
          <w:szCs w:val="16"/>
        </w:rPr>
        <w:t>b. La información del 2004 en adelante se debe reportar a más tardar el 25 de enero del siguiente año.”</w:t>
      </w:r>
    </w:p>
    <w:p w14:paraId="1D663ECD" w14:textId="77777777" w:rsidR="002E3F00" w:rsidRPr="00575874" w:rsidRDefault="002E3F00" w:rsidP="00DE5054">
      <w:pPr>
        <w:pStyle w:val="Textonotapie"/>
      </w:pPr>
    </w:p>
  </w:footnote>
  <w:footnote w:id="4">
    <w:p w14:paraId="768405A7" w14:textId="77777777" w:rsidR="002E3F00" w:rsidRPr="005B07AE" w:rsidRDefault="002E3F00"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5">
    <w:p w14:paraId="35C94706" w14:textId="77777777" w:rsidR="002E3F00" w:rsidRPr="00FA7CDB" w:rsidRDefault="002E3F00"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14:paraId="05B673A5" w14:textId="77777777" w:rsidR="002E3F00" w:rsidRPr="00FA7CDB" w:rsidRDefault="002E3F00"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14:paraId="437F38D7" w14:textId="77777777" w:rsidR="002E3F00" w:rsidRPr="00FA7CDB" w:rsidRDefault="002E3F00"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14:paraId="02B456EB" w14:textId="77777777" w:rsidR="002E3F00" w:rsidRPr="00FA7CDB" w:rsidRDefault="002E3F00"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14:paraId="5B771B6F" w14:textId="77777777" w:rsidR="002E3F00" w:rsidRDefault="002E3F00"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1CC4" w14:textId="77777777" w:rsidR="002E3F00" w:rsidRDefault="002E3F00" w:rsidP="001F2B83">
    <w:pPr>
      <w:pStyle w:val="Ttulo1"/>
      <w:ind w:right="6"/>
      <w:jc w:val="left"/>
      <w:rPr>
        <w:rFonts w:ascii="Bookman Old Style" w:hAnsi="Bookman Old Style" w:cs="Arial"/>
        <w:b w:val="0"/>
        <w:sz w:val="22"/>
        <w:szCs w:val="22"/>
      </w:rPr>
    </w:pPr>
  </w:p>
  <w:p w14:paraId="44345FCC" w14:textId="2C5EA827" w:rsidR="002E3F00" w:rsidRPr="00951F79" w:rsidRDefault="002E3F00"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8A0C85" w:rsidRPr="008A0C85">
      <w:rPr>
        <w:rFonts w:ascii="Bookman Old Style" w:hAnsi="Bookman Old Style" w:cs="Arial"/>
        <w:bCs/>
        <w:szCs w:val="24"/>
        <w:u w:val="single"/>
      </w:rPr>
      <w:t>236</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8A0C85" w:rsidRPr="008A0C85">
      <w:rPr>
        <w:rFonts w:ascii="Bookman Old Style" w:hAnsi="Bookman Old Style" w:cs="Arial"/>
        <w:bCs/>
        <w:szCs w:val="24"/>
        <w:u w:val="single"/>
      </w:rPr>
      <w:t>23 DIC. 2021</w:t>
    </w:r>
    <w:r w:rsidR="008A0C85">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A7270">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A7270" w:rsidRPr="000A7270">
        <w:rPr>
          <w:rFonts w:ascii="Bookman Old Style" w:hAnsi="Bookman Old Style" w:cs="Arial"/>
          <w:b w:val="0"/>
          <w:noProof/>
          <w:sz w:val="22"/>
          <w:szCs w:val="22"/>
        </w:rPr>
        <w:t>18</w:t>
      </w:r>
    </w:fldSimple>
  </w:p>
  <w:p w14:paraId="284BF1B9" w14:textId="77777777" w:rsidR="002E3F00" w:rsidRDefault="002E3F00"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F56DE9E" w14:textId="12BED779" w:rsidR="002E3F00" w:rsidRDefault="008A0C85"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8A0C85">
      <w:rPr>
        <w:rFonts w:ascii="Bookman Old Style" w:eastAsia="Times New Roman" w:hAnsi="Bookman Old Style" w:cs="Times New Roman"/>
        <w:lang w:val="es-ES" w:eastAsia="es-ES"/>
      </w:rPr>
      <w:t>Por la cual se resuelve el recurso de reposición interpuesto por Montagas S.A. E.S.P. contra la Resolución CREG 209 de 2021</w:t>
    </w:r>
  </w:p>
  <w:p w14:paraId="3E5CF2AE" w14:textId="77777777" w:rsidR="008A0C85" w:rsidRPr="008A0C85" w:rsidRDefault="008A0C85"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48D0" w14:textId="77777777" w:rsidR="002E3F00" w:rsidRDefault="002E3F00"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02172B62" w14:textId="77777777" w:rsidR="002E3F00" w:rsidRDefault="002E3F00">
    <w:pPr>
      <w:pStyle w:val="Encabezado"/>
      <w:jc w:val="center"/>
      <w:rPr>
        <w:rFonts w:ascii="Arial" w:hAnsi="Arial" w:cs="Arial"/>
        <w:spacing w:val="20"/>
        <w:sz w:val="20"/>
      </w:rPr>
    </w:pPr>
  </w:p>
  <w:p w14:paraId="4DE7FD95" w14:textId="77777777" w:rsidR="002E3F00" w:rsidRDefault="002E3F00"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3A42A76"/>
    <w:multiLevelType w:val="hybridMultilevel"/>
    <w:tmpl w:val="3A8C89B4"/>
    <w:lvl w:ilvl="0" w:tplc="578062C2">
      <w:start w:val="1"/>
      <w:numFmt w:val="decimal"/>
      <w:lvlText w:val="%1."/>
      <w:lvlJc w:val="left"/>
      <w:pPr>
        <w:ind w:left="785"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2"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46502AF5"/>
    <w:multiLevelType w:val="hybridMultilevel"/>
    <w:tmpl w:val="43B00C14"/>
    <w:lvl w:ilvl="0" w:tplc="240A0017">
      <w:start w:val="1"/>
      <w:numFmt w:val="lowerLetter"/>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B025714"/>
    <w:multiLevelType w:val="hybridMultilevel"/>
    <w:tmpl w:val="5EC05C32"/>
    <w:lvl w:ilvl="0" w:tplc="D51AC5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0" w15:restartNumberingAfterBreak="0">
    <w:nsid w:val="5B825F1B"/>
    <w:multiLevelType w:val="hybridMultilevel"/>
    <w:tmpl w:val="A5DEC314"/>
    <w:lvl w:ilvl="0" w:tplc="A874DB0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4"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92222A"/>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6"/>
  </w:num>
  <w:num w:numId="3">
    <w:abstractNumId w:val="13"/>
  </w:num>
  <w:num w:numId="4">
    <w:abstractNumId w:val="24"/>
  </w:num>
  <w:num w:numId="5">
    <w:abstractNumId w:val="14"/>
  </w:num>
  <w:num w:numId="6">
    <w:abstractNumId w:val="8"/>
  </w:num>
  <w:num w:numId="7">
    <w:abstractNumId w:val="18"/>
  </w:num>
  <w:num w:numId="8">
    <w:abstractNumId w:val="4"/>
  </w:num>
  <w:num w:numId="9">
    <w:abstractNumId w:val="9"/>
  </w:num>
  <w:num w:numId="10">
    <w:abstractNumId w:val="7"/>
  </w:num>
  <w:num w:numId="11">
    <w:abstractNumId w:val="21"/>
  </w:num>
  <w:num w:numId="12">
    <w:abstractNumId w:val="17"/>
  </w:num>
  <w:num w:numId="13">
    <w:abstractNumId w:val="22"/>
  </w:num>
  <w:num w:numId="14">
    <w:abstractNumId w:val="6"/>
  </w:num>
  <w:num w:numId="15">
    <w:abstractNumId w:val="23"/>
  </w:num>
  <w:num w:numId="16">
    <w:abstractNumId w:val="10"/>
  </w:num>
  <w:num w:numId="17">
    <w:abstractNumId w:val="5"/>
  </w:num>
  <w:num w:numId="18">
    <w:abstractNumId w:val="12"/>
  </w:num>
  <w:num w:numId="19">
    <w:abstractNumId w:val="19"/>
  </w:num>
  <w:num w:numId="20">
    <w:abstractNumId w:val="1"/>
  </w:num>
  <w:num w:numId="21">
    <w:abstractNumId w:val="16"/>
  </w:num>
  <w:num w:numId="22">
    <w:abstractNumId w:val="20"/>
  </w:num>
  <w:num w:numId="23">
    <w:abstractNumId w:val="11"/>
  </w:num>
  <w:num w:numId="24">
    <w:abstractNumId w:val="25"/>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0992"/>
    <w:rsid w:val="00002C5A"/>
    <w:rsid w:val="000068F0"/>
    <w:rsid w:val="00012E10"/>
    <w:rsid w:val="0001493D"/>
    <w:rsid w:val="00020F83"/>
    <w:rsid w:val="00024442"/>
    <w:rsid w:val="0003079D"/>
    <w:rsid w:val="00036176"/>
    <w:rsid w:val="000372E9"/>
    <w:rsid w:val="00037534"/>
    <w:rsid w:val="00040AD6"/>
    <w:rsid w:val="00046E75"/>
    <w:rsid w:val="00051855"/>
    <w:rsid w:val="00051E42"/>
    <w:rsid w:val="000524A4"/>
    <w:rsid w:val="000625F1"/>
    <w:rsid w:val="000651C3"/>
    <w:rsid w:val="000661AA"/>
    <w:rsid w:val="00074103"/>
    <w:rsid w:val="00074962"/>
    <w:rsid w:val="000768E2"/>
    <w:rsid w:val="00077A2E"/>
    <w:rsid w:val="00082D8D"/>
    <w:rsid w:val="00086996"/>
    <w:rsid w:val="00090AD5"/>
    <w:rsid w:val="00096487"/>
    <w:rsid w:val="000A1501"/>
    <w:rsid w:val="000A7270"/>
    <w:rsid w:val="000B2657"/>
    <w:rsid w:val="000B2CF1"/>
    <w:rsid w:val="000B4631"/>
    <w:rsid w:val="000B4B8F"/>
    <w:rsid w:val="000C426C"/>
    <w:rsid w:val="000C4D78"/>
    <w:rsid w:val="000D4D20"/>
    <w:rsid w:val="000D6D44"/>
    <w:rsid w:val="000D77B1"/>
    <w:rsid w:val="000D7927"/>
    <w:rsid w:val="000E3C87"/>
    <w:rsid w:val="000E43B1"/>
    <w:rsid w:val="000E7FC0"/>
    <w:rsid w:val="000F54F4"/>
    <w:rsid w:val="000F619F"/>
    <w:rsid w:val="000F74A4"/>
    <w:rsid w:val="001030F9"/>
    <w:rsid w:val="00104D2B"/>
    <w:rsid w:val="001079AA"/>
    <w:rsid w:val="00110447"/>
    <w:rsid w:val="00110DAA"/>
    <w:rsid w:val="001164AC"/>
    <w:rsid w:val="001178EC"/>
    <w:rsid w:val="00131DB0"/>
    <w:rsid w:val="001321B3"/>
    <w:rsid w:val="001544B0"/>
    <w:rsid w:val="00156D40"/>
    <w:rsid w:val="00157FC2"/>
    <w:rsid w:val="00161159"/>
    <w:rsid w:val="0016683A"/>
    <w:rsid w:val="00167E49"/>
    <w:rsid w:val="00181AF7"/>
    <w:rsid w:val="00183C32"/>
    <w:rsid w:val="001851C6"/>
    <w:rsid w:val="00185CE7"/>
    <w:rsid w:val="00193AF1"/>
    <w:rsid w:val="001976B3"/>
    <w:rsid w:val="001A0596"/>
    <w:rsid w:val="001A1203"/>
    <w:rsid w:val="001B0BF6"/>
    <w:rsid w:val="001B4CCB"/>
    <w:rsid w:val="001B5089"/>
    <w:rsid w:val="001B534B"/>
    <w:rsid w:val="001B6721"/>
    <w:rsid w:val="001C513B"/>
    <w:rsid w:val="001C606A"/>
    <w:rsid w:val="001D2917"/>
    <w:rsid w:val="001D384B"/>
    <w:rsid w:val="001E04A9"/>
    <w:rsid w:val="001E531D"/>
    <w:rsid w:val="001E5EF3"/>
    <w:rsid w:val="001E78F6"/>
    <w:rsid w:val="001F1817"/>
    <w:rsid w:val="001F2B83"/>
    <w:rsid w:val="00201D11"/>
    <w:rsid w:val="0020666C"/>
    <w:rsid w:val="0020701F"/>
    <w:rsid w:val="002071F1"/>
    <w:rsid w:val="0021001D"/>
    <w:rsid w:val="002168B9"/>
    <w:rsid w:val="00220FD1"/>
    <w:rsid w:val="00221221"/>
    <w:rsid w:val="002308C1"/>
    <w:rsid w:val="0023528E"/>
    <w:rsid w:val="002354D4"/>
    <w:rsid w:val="002360EA"/>
    <w:rsid w:val="00241706"/>
    <w:rsid w:val="00246BDD"/>
    <w:rsid w:val="00250C34"/>
    <w:rsid w:val="00251F57"/>
    <w:rsid w:val="00252FBF"/>
    <w:rsid w:val="0025381F"/>
    <w:rsid w:val="00253CDE"/>
    <w:rsid w:val="00257891"/>
    <w:rsid w:val="00260077"/>
    <w:rsid w:val="002802E6"/>
    <w:rsid w:val="00287413"/>
    <w:rsid w:val="002A164B"/>
    <w:rsid w:val="002A1FB3"/>
    <w:rsid w:val="002A3000"/>
    <w:rsid w:val="002A3B53"/>
    <w:rsid w:val="002A5F8F"/>
    <w:rsid w:val="002A6D19"/>
    <w:rsid w:val="002B612D"/>
    <w:rsid w:val="002C2E32"/>
    <w:rsid w:val="002C2F59"/>
    <w:rsid w:val="002C33EB"/>
    <w:rsid w:val="002C38BA"/>
    <w:rsid w:val="002C7D6A"/>
    <w:rsid w:val="002D0502"/>
    <w:rsid w:val="002E1EFD"/>
    <w:rsid w:val="002E37BA"/>
    <w:rsid w:val="002E3F00"/>
    <w:rsid w:val="002E47EE"/>
    <w:rsid w:val="002E48FC"/>
    <w:rsid w:val="002E5F63"/>
    <w:rsid w:val="002E785E"/>
    <w:rsid w:val="002E789E"/>
    <w:rsid w:val="002F1ADD"/>
    <w:rsid w:val="002F2397"/>
    <w:rsid w:val="002F68A3"/>
    <w:rsid w:val="002F6C3C"/>
    <w:rsid w:val="00300139"/>
    <w:rsid w:val="003076EE"/>
    <w:rsid w:val="003145E0"/>
    <w:rsid w:val="003164D9"/>
    <w:rsid w:val="0032228A"/>
    <w:rsid w:val="00322645"/>
    <w:rsid w:val="003253A2"/>
    <w:rsid w:val="00330B53"/>
    <w:rsid w:val="00331103"/>
    <w:rsid w:val="00331F35"/>
    <w:rsid w:val="0033303E"/>
    <w:rsid w:val="003347B1"/>
    <w:rsid w:val="003360A2"/>
    <w:rsid w:val="00336602"/>
    <w:rsid w:val="0033749B"/>
    <w:rsid w:val="003401B5"/>
    <w:rsid w:val="003460A5"/>
    <w:rsid w:val="00351047"/>
    <w:rsid w:val="00351A5E"/>
    <w:rsid w:val="003522EC"/>
    <w:rsid w:val="00352ADF"/>
    <w:rsid w:val="003613EA"/>
    <w:rsid w:val="003655CF"/>
    <w:rsid w:val="00370A60"/>
    <w:rsid w:val="00375683"/>
    <w:rsid w:val="00385928"/>
    <w:rsid w:val="003871E9"/>
    <w:rsid w:val="003931F4"/>
    <w:rsid w:val="00393342"/>
    <w:rsid w:val="0039378C"/>
    <w:rsid w:val="003A7645"/>
    <w:rsid w:val="003B0B7A"/>
    <w:rsid w:val="003B50DF"/>
    <w:rsid w:val="003C1360"/>
    <w:rsid w:val="003C2304"/>
    <w:rsid w:val="003C60F8"/>
    <w:rsid w:val="003C66E0"/>
    <w:rsid w:val="003D147F"/>
    <w:rsid w:val="003D171F"/>
    <w:rsid w:val="003D21A3"/>
    <w:rsid w:val="003D682B"/>
    <w:rsid w:val="003D78FC"/>
    <w:rsid w:val="003E2145"/>
    <w:rsid w:val="003E4836"/>
    <w:rsid w:val="003F59E4"/>
    <w:rsid w:val="003F7D42"/>
    <w:rsid w:val="00400D52"/>
    <w:rsid w:val="00403E9A"/>
    <w:rsid w:val="0041424B"/>
    <w:rsid w:val="00420355"/>
    <w:rsid w:val="00421D68"/>
    <w:rsid w:val="004276D1"/>
    <w:rsid w:val="00433069"/>
    <w:rsid w:val="004356C4"/>
    <w:rsid w:val="00444733"/>
    <w:rsid w:val="004455CB"/>
    <w:rsid w:val="00445C8E"/>
    <w:rsid w:val="00445CF1"/>
    <w:rsid w:val="00447FE8"/>
    <w:rsid w:val="00451FF9"/>
    <w:rsid w:val="004570FE"/>
    <w:rsid w:val="00463DE7"/>
    <w:rsid w:val="004644E6"/>
    <w:rsid w:val="00467145"/>
    <w:rsid w:val="0046738F"/>
    <w:rsid w:val="00471A67"/>
    <w:rsid w:val="00472A8F"/>
    <w:rsid w:val="004748BC"/>
    <w:rsid w:val="0047584F"/>
    <w:rsid w:val="00483542"/>
    <w:rsid w:val="004835E4"/>
    <w:rsid w:val="00493464"/>
    <w:rsid w:val="00493D5D"/>
    <w:rsid w:val="00494BE4"/>
    <w:rsid w:val="004966B0"/>
    <w:rsid w:val="004A1394"/>
    <w:rsid w:val="004A4B8D"/>
    <w:rsid w:val="004A677A"/>
    <w:rsid w:val="004A6EE0"/>
    <w:rsid w:val="004A7835"/>
    <w:rsid w:val="004B2371"/>
    <w:rsid w:val="004B5708"/>
    <w:rsid w:val="004B65F7"/>
    <w:rsid w:val="004C299E"/>
    <w:rsid w:val="004C5347"/>
    <w:rsid w:val="004D19A2"/>
    <w:rsid w:val="004F1817"/>
    <w:rsid w:val="004F21D4"/>
    <w:rsid w:val="004F245B"/>
    <w:rsid w:val="005021EF"/>
    <w:rsid w:val="00502FF5"/>
    <w:rsid w:val="005031D7"/>
    <w:rsid w:val="00504AFB"/>
    <w:rsid w:val="00505CEA"/>
    <w:rsid w:val="00506375"/>
    <w:rsid w:val="00512278"/>
    <w:rsid w:val="00513B41"/>
    <w:rsid w:val="00514D08"/>
    <w:rsid w:val="005156D7"/>
    <w:rsid w:val="00515916"/>
    <w:rsid w:val="00516A8F"/>
    <w:rsid w:val="005237A7"/>
    <w:rsid w:val="00547070"/>
    <w:rsid w:val="005536DF"/>
    <w:rsid w:val="0055674D"/>
    <w:rsid w:val="00560437"/>
    <w:rsid w:val="00560FC4"/>
    <w:rsid w:val="005647BD"/>
    <w:rsid w:val="0056639C"/>
    <w:rsid w:val="00572628"/>
    <w:rsid w:val="00575874"/>
    <w:rsid w:val="005861F7"/>
    <w:rsid w:val="00590C88"/>
    <w:rsid w:val="0059208B"/>
    <w:rsid w:val="00592FEA"/>
    <w:rsid w:val="005961AB"/>
    <w:rsid w:val="005A0389"/>
    <w:rsid w:val="005A576E"/>
    <w:rsid w:val="005B32F2"/>
    <w:rsid w:val="005B39A5"/>
    <w:rsid w:val="005B7803"/>
    <w:rsid w:val="005C1BCA"/>
    <w:rsid w:val="005D4B3E"/>
    <w:rsid w:val="005E6508"/>
    <w:rsid w:val="005F1C68"/>
    <w:rsid w:val="005F1DC0"/>
    <w:rsid w:val="005F3F22"/>
    <w:rsid w:val="0060008A"/>
    <w:rsid w:val="006029DB"/>
    <w:rsid w:val="00604BAF"/>
    <w:rsid w:val="00612755"/>
    <w:rsid w:val="00623693"/>
    <w:rsid w:val="00625C71"/>
    <w:rsid w:val="00630603"/>
    <w:rsid w:val="006441EA"/>
    <w:rsid w:val="0065138A"/>
    <w:rsid w:val="00651540"/>
    <w:rsid w:val="0065201F"/>
    <w:rsid w:val="00653D00"/>
    <w:rsid w:val="00656706"/>
    <w:rsid w:val="006673C7"/>
    <w:rsid w:val="00671E24"/>
    <w:rsid w:val="0067294D"/>
    <w:rsid w:val="00674B97"/>
    <w:rsid w:val="00677ABF"/>
    <w:rsid w:val="00677FFB"/>
    <w:rsid w:val="006800DA"/>
    <w:rsid w:val="006926B9"/>
    <w:rsid w:val="006948D9"/>
    <w:rsid w:val="00696941"/>
    <w:rsid w:val="006A25BE"/>
    <w:rsid w:val="006A5495"/>
    <w:rsid w:val="006A6D01"/>
    <w:rsid w:val="006B061D"/>
    <w:rsid w:val="006B2543"/>
    <w:rsid w:val="006B68C9"/>
    <w:rsid w:val="006C4D86"/>
    <w:rsid w:val="006C7461"/>
    <w:rsid w:val="006C7FD7"/>
    <w:rsid w:val="006D3052"/>
    <w:rsid w:val="006D6420"/>
    <w:rsid w:val="006E0888"/>
    <w:rsid w:val="006E3CAF"/>
    <w:rsid w:val="006E4CFF"/>
    <w:rsid w:val="006E73D3"/>
    <w:rsid w:val="006F0190"/>
    <w:rsid w:val="006F4984"/>
    <w:rsid w:val="006F6F8A"/>
    <w:rsid w:val="00701265"/>
    <w:rsid w:val="00706F81"/>
    <w:rsid w:val="007119D8"/>
    <w:rsid w:val="0071473B"/>
    <w:rsid w:val="00720524"/>
    <w:rsid w:val="00721E27"/>
    <w:rsid w:val="00723A63"/>
    <w:rsid w:val="007254EE"/>
    <w:rsid w:val="007310C6"/>
    <w:rsid w:val="0073140A"/>
    <w:rsid w:val="00735D6F"/>
    <w:rsid w:val="0073600E"/>
    <w:rsid w:val="00744B35"/>
    <w:rsid w:val="00755EED"/>
    <w:rsid w:val="00755FA1"/>
    <w:rsid w:val="00760851"/>
    <w:rsid w:val="0076675D"/>
    <w:rsid w:val="007710A6"/>
    <w:rsid w:val="0078006D"/>
    <w:rsid w:val="00784E27"/>
    <w:rsid w:val="00785E5C"/>
    <w:rsid w:val="007860F7"/>
    <w:rsid w:val="007917F3"/>
    <w:rsid w:val="00794E5D"/>
    <w:rsid w:val="007955E1"/>
    <w:rsid w:val="007B305F"/>
    <w:rsid w:val="007B77DB"/>
    <w:rsid w:val="007B79E1"/>
    <w:rsid w:val="007D4A88"/>
    <w:rsid w:val="007F3B34"/>
    <w:rsid w:val="007F3FC2"/>
    <w:rsid w:val="007F45BD"/>
    <w:rsid w:val="007F66B9"/>
    <w:rsid w:val="007F6CF0"/>
    <w:rsid w:val="0080052E"/>
    <w:rsid w:val="008122BE"/>
    <w:rsid w:val="00812471"/>
    <w:rsid w:val="0081625F"/>
    <w:rsid w:val="008220D5"/>
    <w:rsid w:val="00822A6A"/>
    <w:rsid w:val="008315F2"/>
    <w:rsid w:val="008347D1"/>
    <w:rsid w:val="00844B55"/>
    <w:rsid w:val="00844EAB"/>
    <w:rsid w:val="00846CC8"/>
    <w:rsid w:val="00852307"/>
    <w:rsid w:val="008540DF"/>
    <w:rsid w:val="008621E2"/>
    <w:rsid w:val="00864689"/>
    <w:rsid w:val="008745FC"/>
    <w:rsid w:val="0087487D"/>
    <w:rsid w:val="00874A55"/>
    <w:rsid w:val="0087723A"/>
    <w:rsid w:val="00881FDF"/>
    <w:rsid w:val="00886BED"/>
    <w:rsid w:val="00892686"/>
    <w:rsid w:val="008932C5"/>
    <w:rsid w:val="0089470C"/>
    <w:rsid w:val="0089512B"/>
    <w:rsid w:val="008A0C85"/>
    <w:rsid w:val="008A5019"/>
    <w:rsid w:val="008A6867"/>
    <w:rsid w:val="008C0E66"/>
    <w:rsid w:val="008C43ED"/>
    <w:rsid w:val="008C7C6D"/>
    <w:rsid w:val="008D1A97"/>
    <w:rsid w:val="008D5E7E"/>
    <w:rsid w:val="008D6A3D"/>
    <w:rsid w:val="008D72D0"/>
    <w:rsid w:val="008E0BB6"/>
    <w:rsid w:val="008E46D8"/>
    <w:rsid w:val="008F0823"/>
    <w:rsid w:val="008F2026"/>
    <w:rsid w:val="008F5C24"/>
    <w:rsid w:val="008F605F"/>
    <w:rsid w:val="008F713B"/>
    <w:rsid w:val="00900997"/>
    <w:rsid w:val="0090104C"/>
    <w:rsid w:val="00902DFA"/>
    <w:rsid w:val="00903248"/>
    <w:rsid w:val="0090355B"/>
    <w:rsid w:val="009055F7"/>
    <w:rsid w:val="00906244"/>
    <w:rsid w:val="00913A5A"/>
    <w:rsid w:val="00915380"/>
    <w:rsid w:val="00916840"/>
    <w:rsid w:val="00921ABA"/>
    <w:rsid w:val="0092233F"/>
    <w:rsid w:val="00922F32"/>
    <w:rsid w:val="009236BC"/>
    <w:rsid w:val="00926EC6"/>
    <w:rsid w:val="00933C55"/>
    <w:rsid w:val="0093522B"/>
    <w:rsid w:val="009364D0"/>
    <w:rsid w:val="00942AAE"/>
    <w:rsid w:val="00943652"/>
    <w:rsid w:val="00943864"/>
    <w:rsid w:val="00944843"/>
    <w:rsid w:val="0095007D"/>
    <w:rsid w:val="00952142"/>
    <w:rsid w:val="009625E3"/>
    <w:rsid w:val="00962A90"/>
    <w:rsid w:val="00973304"/>
    <w:rsid w:val="0097340A"/>
    <w:rsid w:val="009746FD"/>
    <w:rsid w:val="009752D3"/>
    <w:rsid w:val="009802B3"/>
    <w:rsid w:val="00980CA1"/>
    <w:rsid w:val="009813ED"/>
    <w:rsid w:val="00981490"/>
    <w:rsid w:val="00985ED6"/>
    <w:rsid w:val="00986363"/>
    <w:rsid w:val="009877A4"/>
    <w:rsid w:val="00992AE0"/>
    <w:rsid w:val="0099312F"/>
    <w:rsid w:val="009962C6"/>
    <w:rsid w:val="009A06E3"/>
    <w:rsid w:val="009A151A"/>
    <w:rsid w:val="009A682D"/>
    <w:rsid w:val="009B05E8"/>
    <w:rsid w:val="009C0053"/>
    <w:rsid w:val="009C2779"/>
    <w:rsid w:val="009C2B5A"/>
    <w:rsid w:val="009C6638"/>
    <w:rsid w:val="009C7403"/>
    <w:rsid w:val="009D53E5"/>
    <w:rsid w:val="009D7D18"/>
    <w:rsid w:val="009E166A"/>
    <w:rsid w:val="009E1AE5"/>
    <w:rsid w:val="009E2BA7"/>
    <w:rsid w:val="009E4094"/>
    <w:rsid w:val="00A0637A"/>
    <w:rsid w:val="00A10640"/>
    <w:rsid w:val="00A220CA"/>
    <w:rsid w:val="00A23502"/>
    <w:rsid w:val="00A272CE"/>
    <w:rsid w:val="00A3339E"/>
    <w:rsid w:val="00A33677"/>
    <w:rsid w:val="00A33AE7"/>
    <w:rsid w:val="00A35B73"/>
    <w:rsid w:val="00A35D46"/>
    <w:rsid w:val="00A371B3"/>
    <w:rsid w:val="00A42417"/>
    <w:rsid w:val="00A44FAD"/>
    <w:rsid w:val="00A463CC"/>
    <w:rsid w:val="00A464A9"/>
    <w:rsid w:val="00A475EA"/>
    <w:rsid w:val="00A55137"/>
    <w:rsid w:val="00A5760D"/>
    <w:rsid w:val="00A6381B"/>
    <w:rsid w:val="00A65F12"/>
    <w:rsid w:val="00A66E25"/>
    <w:rsid w:val="00A705BC"/>
    <w:rsid w:val="00A84D12"/>
    <w:rsid w:val="00A95CD7"/>
    <w:rsid w:val="00AB3505"/>
    <w:rsid w:val="00AB745F"/>
    <w:rsid w:val="00AC44B0"/>
    <w:rsid w:val="00AC7043"/>
    <w:rsid w:val="00AC7523"/>
    <w:rsid w:val="00AC7D9C"/>
    <w:rsid w:val="00AD168D"/>
    <w:rsid w:val="00AD7CB7"/>
    <w:rsid w:val="00AE08C2"/>
    <w:rsid w:val="00AE2F2A"/>
    <w:rsid w:val="00AE4E4C"/>
    <w:rsid w:val="00AE5D16"/>
    <w:rsid w:val="00AF279C"/>
    <w:rsid w:val="00AF4C82"/>
    <w:rsid w:val="00B0342D"/>
    <w:rsid w:val="00B05FD2"/>
    <w:rsid w:val="00B06CB6"/>
    <w:rsid w:val="00B17697"/>
    <w:rsid w:val="00B20840"/>
    <w:rsid w:val="00B34A3D"/>
    <w:rsid w:val="00B35717"/>
    <w:rsid w:val="00B37A80"/>
    <w:rsid w:val="00B467DB"/>
    <w:rsid w:val="00B5095E"/>
    <w:rsid w:val="00B53FFF"/>
    <w:rsid w:val="00B55FC6"/>
    <w:rsid w:val="00B57AF6"/>
    <w:rsid w:val="00B60967"/>
    <w:rsid w:val="00B753C1"/>
    <w:rsid w:val="00B75E78"/>
    <w:rsid w:val="00B80630"/>
    <w:rsid w:val="00B82361"/>
    <w:rsid w:val="00B83F28"/>
    <w:rsid w:val="00B8540F"/>
    <w:rsid w:val="00B87342"/>
    <w:rsid w:val="00B90B14"/>
    <w:rsid w:val="00B914E6"/>
    <w:rsid w:val="00B91B9E"/>
    <w:rsid w:val="00B925DB"/>
    <w:rsid w:val="00B9717C"/>
    <w:rsid w:val="00BA57DB"/>
    <w:rsid w:val="00BB2A2E"/>
    <w:rsid w:val="00BC35AA"/>
    <w:rsid w:val="00BC474A"/>
    <w:rsid w:val="00BC47D5"/>
    <w:rsid w:val="00BC4910"/>
    <w:rsid w:val="00BC74BC"/>
    <w:rsid w:val="00BD4EAE"/>
    <w:rsid w:val="00BD7BE2"/>
    <w:rsid w:val="00BE5DEF"/>
    <w:rsid w:val="00BE743B"/>
    <w:rsid w:val="00BF01FF"/>
    <w:rsid w:val="00C07FEF"/>
    <w:rsid w:val="00C125D2"/>
    <w:rsid w:val="00C139AB"/>
    <w:rsid w:val="00C149F3"/>
    <w:rsid w:val="00C230E7"/>
    <w:rsid w:val="00C31FCA"/>
    <w:rsid w:val="00C3243A"/>
    <w:rsid w:val="00C33045"/>
    <w:rsid w:val="00C33E3A"/>
    <w:rsid w:val="00C345DC"/>
    <w:rsid w:val="00C35B4C"/>
    <w:rsid w:val="00C45E87"/>
    <w:rsid w:val="00C471E7"/>
    <w:rsid w:val="00C53D56"/>
    <w:rsid w:val="00C54EB1"/>
    <w:rsid w:val="00C60EB5"/>
    <w:rsid w:val="00C7096A"/>
    <w:rsid w:val="00C73504"/>
    <w:rsid w:val="00C7422C"/>
    <w:rsid w:val="00C7688C"/>
    <w:rsid w:val="00C8557A"/>
    <w:rsid w:val="00CA077E"/>
    <w:rsid w:val="00CA0B75"/>
    <w:rsid w:val="00CA4C24"/>
    <w:rsid w:val="00CB3FD9"/>
    <w:rsid w:val="00CB5B83"/>
    <w:rsid w:val="00CC2C25"/>
    <w:rsid w:val="00CC3A96"/>
    <w:rsid w:val="00CC6E45"/>
    <w:rsid w:val="00CD60B6"/>
    <w:rsid w:val="00CD6EF8"/>
    <w:rsid w:val="00CD74B5"/>
    <w:rsid w:val="00CE502A"/>
    <w:rsid w:val="00CF4873"/>
    <w:rsid w:val="00CF5BA8"/>
    <w:rsid w:val="00D04F2F"/>
    <w:rsid w:val="00D0619F"/>
    <w:rsid w:val="00D07C49"/>
    <w:rsid w:val="00D11625"/>
    <w:rsid w:val="00D12E25"/>
    <w:rsid w:val="00D21ABE"/>
    <w:rsid w:val="00D255A6"/>
    <w:rsid w:val="00D25E8D"/>
    <w:rsid w:val="00D278E6"/>
    <w:rsid w:val="00D316EC"/>
    <w:rsid w:val="00D31ADF"/>
    <w:rsid w:val="00D41337"/>
    <w:rsid w:val="00D428CA"/>
    <w:rsid w:val="00D51504"/>
    <w:rsid w:val="00D56596"/>
    <w:rsid w:val="00D65730"/>
    <w:rsid w:val="00D67DC7"/>
    <w:rsid w:val="00D7068D"/>
    <w:rsid w:val="00D76C12"/>
    <w:rsid w:val="00D80674"/>
    <w:rsid w:val="00D93FE3"/>
    <w:rsid w:val="00DA08F9"/>
    <w:rsid w:val="00DB0978"/>
    <w:rsid w:val="00DB1926"/>
    <w:rsid w:val="00DB400F"/>
    <w:rsid w:val="00DC0BF8"/>
    <w:rsid w:val="00DC20A3"/>
    <w:rsid w:val="00DC340F"/>
    <w:rsid w:val="00DC442C"/>
    <w:rsid w:val="00DC5C95"/>
    <w:rsid w:val="00DC5E6E"/>
    <w:rsid w:val="00DC7728"/>
    <w:rsid w:val="00DD3558"/>
    <w:rsid w:val="00DE34B3"/>
    <w:rsid w:val="00DE5054"/>
    <w:rsid w:val="00DE577A"/>
    <w:rsid w:val="00DE5DBA"/>
    <w:rsid w:val="00DE6199"/>
    <w:rsid w:val="00DE6614"/>
    <w:rsid w:val="00DF37E9"/>
    <w:rsid w:val="00DF599B"/>
    <w:rsid w:val="00DF7712"/>
    <w:rsid w:val="00E00206"/>
    <w:rsid w:val="00E12213"/>
    <w:rsid w:val="00E132CB"/>
    <w:rsid w:val="00E13F6F"/>
    <w:rsid w:val="00E16F57"/>
    <w:rsid w:val="00E21664"/>
    <w:rsid w:val="00E34922"/>
    <w:rsid w:val="00E35AA4"/>
    <w:rsid w:val="00E411EE"/>
    <w:rsid w:val="00E51B9C"/>
    <w:rsid w:val="00E67198"/>
    <w:rsid w:val="00E74E79"/>
    <w:rsid w:val="00E759B6"/>
    <w:rsid w:val="00E87273"/>
    <w:rsid w:val="00E91A96"/>
    <w:rsid w:val="00EA23A0"/>
    <w:rsid w:val="00EA47A1"/>
    <w:rsid w:val="00EB023A"/>
    <w:rsid w:val="00EB08D5"/>
    <w:rsid w:val="00EB1577"/>
    <w:rsid w:val="00EB2D23"/>
    <w:rsid w:val="00EB3EAB"/>
    <w:rsid w:val="00EB559D"/>
    <w:rsid w:val="00EB6349"/>
    <w:rsid w:val="00EC1484"/>
    <w:rsid w:val="00EC1D37"/>
    <w:rsid w:val="00EC42F1"/>
    <w:rsid w:val="00EC705E"/>
    <w:rsid w:val="00EF4F1B"/>
    <w:rsid w:val="00EF5680"/>
    <w:rsid w:val="00F064F7"/>
    <w:rsid w:val="00F115E1"/>
    <w:rsid w:val="00F1179A"/>
    <w:rsid w:val="00F11960"/>
    <w:rsid w:val="00F11C71"/>
    <w:rsid w:val="00F120FB"/>
    <w:rsid w:val="00F22C2C"/>
    <w:rsid w:val="00F241E8"/>
    <w:rsid w:val="00F25206"/>
    <w:rsid w:val="00F256A6"/>
    <w:rsid w:val="00F30553"/>
    <w:rsid w:val="00F30E26"/>
    <w:rsid w:val="00F313E0"/>
    <w:rsid w:val="00F33A33"/>
    <w:rsid w:val="00F4478E"/>
    <w:rsid w:val="00F46EA4"/>
    <w:rsid w:val="00F5339F"/>
    <w:rsid w:val="00F60033"/>
    <w:rsid w:val="00F60C4E"/>
    <w:rsid w:val="00F62750"/>
    <w:rsid w:val="00F62FAE"/>
    <w:rsid w:val="00F64D56"/>
    <w:rsid w:val="00F654EA"/>
    <w:rsid w:val="00F67C25"/>
    <w:rsid w:val="00F716DE"/>
    <w:rsid w:val="00F74DD6"/>
    <w:rsid w:val="00F773A1"/>
    <w:rsid w:val="00F80DAF"/>
    <w:rsid w:val="00F80EBD"/>
    <w:rsid w:val="00F868F0"/>
    <w:rsid w:val="00F90A5E"/>
    <w:rsid w:val="00F90F7B"/>
    <w:rsid w:val="00F913D4"/>
    <w:rsid w:val="00F914EB"/>
    <w:rsid w:val="00F91CBB"/>
    <w:rsid w:val="00F92C75"/>
    <w:rsid w:val="00F93A45"/>
    <w:rsid w:val="00F94E8D"/>
    <w:rsid w:val="00FA71BF"/>
    <w:rsid w:val="00FB144D"/>
    <w:rsid w:val="00FB224A"/>
    <w:rsid w:val="00FB2E5A"/>
    <w:rsid w:val="00FB4BC2"/>
    <w:rsid w:val="00FC0FA7"/>
    <w:rsid w:val="00FC652D"/>
    <w:rsid w:val="00FC65B9"/>
    <w:rsid w:val="00FD101E"/>
    <w:rsid w:val="00FD1D83"/>
    <w:rsid w:val="00FD292F"/>
    <w:rsid w:val="00FD30C7"/>
    <w:rsid w:val="00FD65A9"/>
    <w:rsid w:val="00FD7FC1"/>
    <w:rsid w:val="00FE26C8"/>
    <w:rsid w:val="00FE517B"/>
    <w:rsid w:val="00FF0A28"/>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C02C7E"/>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1625F"/>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23528E"/>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3D78F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50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rsid w:val="000A1501"/>
    <w:rPr>
      <w:color w:val="605E5C"/>
      <w:shd w:val="clear" w:color="auto" w:fill="E1DFDD"/>
    </w:rPr>
  </w:style>
  <w:style w:type="character" w:styleId="Mencionar">
    <w:name w:val="Mention"/>
    <w:basedOn w:val="Fuentedeprrafopredeter"/>
    <w:uiPriority w:val="99"/>
    <w:unhideWhenUsed/>
    <w:rsid w:val="000A15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96294601">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26131286">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8486877">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32620149">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60558977">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759562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6974312">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es.sui.gov.co/fabricaReportes/frameSet.jsp?idreporte=sui_adm_0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reportes.sui.gov.co/fabricaReportes/frameSet.jsp?idreporte=sui_adm_028"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AB31-AF3C-44FD-BB52-DB67DC66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8215</Words>
  <Characters>45187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53296</CharactersWithSpaces>
  <SharedDoc>false</SharedDoc>
  <HLinks>
    <vt:vector size="12" baseType="variant">
      <vt:variant>
        <vt:i4>327761</vt:i4>
      </vt:variant>
      <vt:variant>
        <vt:i4>3</vt:i4>
      </vt:variant>
      <vt:variant>
        <vt:i4>0</vt:i4>
      </vt:variant>
      <vt:variant>
        <vt:i4>5</vt:i4>
      </vt:variant>
      <vt:variant>
        <vt:lpwstr>http://reportes.sui.gov.co/fabricaReportes/frameSet.jsp?idreporte=sui_adm_028</vt:lpwstr>
      </vt:variant>
      <vt:variant>
        <vt:lpwstr/>
      </vt:variant>
      <vt:variant>
        <vt:i4>327761</vt:i4>
      </vt:variant>
      <vt:variant>
        <vt:i4>0</vt:i4>
      </vt:variant>
      <vt:variant>
        <vt:i4>0</vt:i4>
      </vt:variant>
      <vt:variant>
        <vt:i4>5</vt:i4>
      </vt:variant>
      <vt:variant>
        <vt:lpwstr>http://reportes.sui.gov.co/fabricaReportes/frameSet.jsp?idreporte=sui_adm_028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2022-01-18T15:09:00Z</cp:lastPrinted>
  <dcterms:created xsi:type="dcterms:W3CDTF">2022-02-09T23:38:00Z</dcterms:created>
  <dcterms:modified xsi:type="dcterms:W3CDTF">2022-02-09T23:38:00Z</dcterms:modified>
</cp:coreProperties>
</file>