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4EC5" w:rsidRPr="00012259" w:rsidRDefault="00264DFB" w:rsidP="0040389F">
      <w:pPr>
        <w:pStyle w:val="Ttulo4"/>
        <w:tabs>
          <w:tab w:val="left" w:pos="0"/>
          <w:tab w:val="right" w:pos="9356"/>
        </w:tabs>
        <w:spacing w:before="480" w:after="240"/>
        <w:ind w:left="0"/>
        <w:rPr>
          <w:rFonts w:ascii="Bookman Old Style" w:hAnsi="Bookman Old Style"/>
          <w:b w:val="0"/>
          <w:bCs/>
          <w:noProof/>
          <w:sz w:val="24"/>
          <w:szCs w:val="24"/>
          <w:lang w:val="es-ES"/>
        </w:rPr>
      </w:pPr>
      <w:bookmarkStart w:id="0" w:name="_GoBack"/>
      <w:bookmarkEnd w:id="0"/>
      <w:r>
        <w:rPr>
          <w:rFonts w:ascii="Bookman Old Style" w:hAnsi="Bookman Old Style"/>
          <w:noProof/>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568528814" r:id="rId9"/>
        </w:object>
      </w:r>
      <w:r w:rsidR="001C4EC5" w:rsidRPr="00012259">
        <w:rPr>
          <w:rFonts w:ascii="Bookman Old Style" w:hAnsi="Bookman Old Style"/>
          <w:b w:val="0"/>
          <w:bCs/>
          <w:sz w:val="24"/>
          <w:szCs w:val="24"/>
        </w:rPr>
        <w:t>Ministerio de Minas y Energía</w:t>
      </w:r>
    </w:p>
    <w:p w:rsidR="001C4EC5" w:rsidRPr="00012259" w:rsidRDefault="001C4EC5" w:rsidP="0040389F">
      <w:pPr>
        <w:pStyle w:val="Ttulo3"/>
        <w:tabs>
          <w:tab w:val="left" w:pos="0"/>
          <w:tab w:val="right" w:pos="9356"/>
        </w:tabs>
        <w:spacing w:before="240" w:after="480"/>
        <w:ind w:left="0"/>
        <w:rPr>
          <w:rFonts w:ascii="Bookman Old Style" w:hAnsi="Bookman Old Style" w:cs="Arial"/>
          <w:spacing w:val="20"/>
          <w:szCs w:val="24"/>
        </w:rPr>
      </w:pPr>
      <w:r w:rsidRPr="00012259">
        <w:rPr>
          <w:rFonts w:ascii="Bookman Old Style" w:hAnsi="Bookman Old Style" w:cs="Arial"/>
          <w:spacing w:val="20"/>
          <w:szCs w:val="24"/>
        </w:rPr>
        <w:t>COMISIÓN DE REGULACIÓN DE ENERGÍA Y GAS</w:t>
      </w:r>
    </w:p>
    <w:p w:rsidR="001C4EC5" w:rsidRPr="00012259" w:rsidRDefault="001C4EC5" w:rsidP="0040389F">
      <w:pPr>
        <w:pStyle w:val="Ttulo5"/>
        <w:tabs>
          <w:tab w:val="left" w:pos="0"/>
          <w:tab w:val="right" w:pos="9356"/>
        </w:tabs>
        <w:spacing w:before="240" w:after="240"/>
        <w:ind w:left="0"/>
        <w:rPr>
          <w:rFonts w:ascii="Bookman Old Style" w:hAnsi="Bookman Old Style"/>
          <w:sz w:val="24"/>
          <w:szCs w:val="24"/>
        </w:rPr>
      </w:pPr>
      <w:r w:rsidRPr="00012259">
        <w:rPr>
          <w:rFonts w:ascii="Bookman Old Style" w:hAnsi="Bookman Old Style"/>
          <w:sz w:val="24"/>
          <w:szCs w:val="24"/>
        </w:rPr>
        <w:t>RESOLUCIÓN No.               DE 201</w:t>
      </w:r>
      <w:r w:rsidR="00566E87">
        <w:rPr>
          <w:rFonts w:ascii="Bookman Old Style" w:hAnsi="Bookman Old Style"/>
          <w:sz w:val="24"/>
          <w:szCs w:val="24"/>
        </w:rPr>
        <w:t>7</w:t>
      </w:r>
    </w:p>
    <w:p w:rsidR="001C4EC5" w:rsidRPr="00012259" w:rsidRDefault="001C4EC5" w:rsidP="0040389F">
      <w:pPr>
        <w:pStyle w:val="Ttulo3"/>
        <w:tabs>
          <w:tab w:val="left" w:pos="0"/>
          <w:tab w:val="right" w:pos="9356"/>
        </w:tabs>
        <w:spacing w:before="240" w:after="720"/>
        <w:ind w:left="0"/>
        <w:rPr>
          <w:rFonts w:ascii="Bookman Old Style" w:hAnsi="Bookman Old Style"/>
          <w:b w:val="0"/>
          <w:szCs w:val="24"/>
        </w:rPr>
      </w:pPr>
      <w:r w:rsidRPr="00012259">
        <w:rPr>
          <w:rFonts w:ascii="Bookman Old Style" w:hAnsi="Bookman Old Style"/>
          <w:b w:val="0"/>
          <w:szCs w:val="24"/>
        </w:rPr>
        <w:t xml:space="preserve">(       </w:t>
      </w:r>
      <w:r>
        <w:rPr>
          <w:rFonts w:ascii="Bookman Old Style" w:hAnsi="Bookman Old Style"/>
          <w:b w:val="0"/>
          <w:szCs w:val="24"/>
        </w:rPr>
        <w:t xml:space="preserve">  </w:t>
      </w:r>
      <w:r w:rsidRPr="00012259">
        <w:rPr>
          <w:rFonts w:ascii="Bookman Old Style" w:hAnsi="Bookman Old Style"/>
          <w:b w:val="0"/>
          <w:szCs w:val="24"/>
        </w:rPr>
        <w:t xml:space="preserve">                           )</w:t>
      </w:r>
    </w:p>
    <w:p w:rsidR="001C4EC5" w:rsidRPr="0031321A" w:rsidRDefault="001C4EC5" w:rsidP="0040389F">
      <w:pPr>
        <w:spacing w:before="720" w:after="480"/>
        <w:ind w:left="0"/>
        <w:jc w:val="center"/>
        <w:rPr>
          <w:rFonts w:ascii="Bookman Old Style" w:hAnsi="Bookman Old Style"/>
        </w:rPr>
      </w:pPr>
      <w:r w:rsidRPr="004B3B4B">
        <w:rPr>
          <w:rFonts w:ascii="Bookman Old Style" w:hAnsi="Bookman Old Style"/>
        </w:rPr>
        <w:t xml:space="preserve">Por la cual se ordena hacer público un proyecto de resolución de carácter general, </w:t>
      </w:r>
      <w:r w:rsidRPr="0031321A">
        <w:rPr>
          <w:rFonts w:ascii="Bookman Old Style" w:hAnsi="Bookman Old Style"/>
        </w:rPr>
        <w:t>“</w:t>
      </w:r>
      <w:r>
        <w:rPr>
          <w:rFonts w:ascii="Bookman Old Style" w:hAnsi="Bookman Old Style"/>
        </w:rPr>
        <w:t>P</w:t>
      </w:r>
      <w:r w:rsidRPr="001D507F">
        <w:rPr>
          <w:rFonts w:ascii="Bookman Old Style" w:hAnsi="Bookman Old Style"/>
        </w:rPr>
        <w:t xml:space="preserve">or la cual </w:t>
      </w:r>
      <w:r w:rsidR="004C4842">
        <w:rPr>
          <w:rFonts w:ascii="Bookman Old Style" w:hAnsi="Bookman Old Style"/>
        </w:rPr>
        <w:t>se ajusta la definición de</w:t>
      </w:r>
      <w:r w:rsidR="004C4842" w:rsidRPr="004C4842">
        <w:rPr>
          <w:rFonts w:ascii="Bookman Old Style" w:hAnsi="Bookman Old Style"/>
        </w:rPr>
        <w:t xml:space="preserve"> </w:t>
      </w:r>
      <w:r w:rsidR="004C4842" w:rsidRPr="001B06AC">
        <w:rPr>
          <w:rFonts w:ascii="Bookman Old Style" w:hAnsi="Bookman Old Style"/>
        </w:rPr>
        <w:t>Oferta de cantidades importadas disponibles para la venta en firme, oferta de CIDVF</w:t>
      </w:r>
      <w:r w:rsidR="005E2757" w:rsidRPr="001B06AC">
        <w:rPr>
          <w:rFonts w:ascii="Bookman Old Style" w:hAnsi="Bookman Old Style"/>
        </w:rPr>
        <w:t xml:space="preserve"> contenida en el artículo 3 de la Resolución CREG 114 de 2017</w:t>
      </w:r>
      <w:r w:rsidRPr="004C4842">
        <w:rPr>
          <w:rFonts w:ascii="Bookman Old Style" w:hAnsi="Bookman Old Style"/>
        </w:rPr>
        <w:t>”</w:t>
      </w:r>
    </w:p>
    <w:p w:rsidR="001C4EC5" w:rsidRPr="00646E0D" w:rsidRDefault="001C4EC5" w:rsidP="00475B35">
      <w:pPr>
        <w:spacing w:before="480" w:after="480"/>
        <w:ind w:left="0"/>
        <w:jc w:val="center"/>
        <w:rPr>
          <w:rFonts w:ascii="Bookman Old Style" w:hAnsi="Bookman Old Style" w:cs="Arial"/>
          <w:b/>
          <w:color w:val="000000"/>
        </w:rPr>
      </w:pPr>
      <w:r w:rsidRPr="00646E0D">
        <w:rPr>
          <w:rFonts w:ascii="Bookman Old Style" w:hAnsi="Bookman Old Style" w:cs="Arial"/>
          <w:b/>
          <w:color w:val="000000"/>
        </w:rPr>
        <w:t>LA COMISIÓN DE REGULACIÓN DE ENERGÍA Y GAS</w:t>
      </w:r>
    </w:p>
    <w:p w:rsidR="001C4EC5" w:rsidRPr="00646E0D" w:rsidRDefault="001C4EC5" w:rsidP="0040389F">
      <w:pPr>
        <w:spacing w:before="480" w:after="480"/>
        <w:ind w:left="0"/>
        <w:jc w:val="center"/>
        <w:rPr>
          <w:rFonts w:ascii="Bookman Old Style" w:hAnsi="Bookman Old Style" w:cs="Arial"/>
          <w:color w:val="000000"/>
        </w:rPr>
      </w:pPr>
      <w:r w:rsidRPr="00EF1E6F">
        <w:rPr>
          <w:rFonts w:ascii="Bookman Old Style" w:hAnsi="Bookman Old Style" w:cs="Arial"/>
          <w:color w:val="000000"/>
        </w:rPr>
        <w:t xml:space="preserve">En ejercicio de sus atribuciones legales, en especial las conferidas por la Ley 142 de 1994, y en desarrollo de los </w:t>
      </w:r>
      <w:r>
        <w:rPr>
          <w:rFonts w:ascii="Bookman Old Style" w:hAnsi="Bookman Old Style" w:cs="Arial"/>
          <w:color w:val="000000"/>
        </w:rPr>
        <w:t>d</w:t>
      </w:r>
      <w:r w:rsidRPr="00EF1E6F">
        <w:rPr>
          <w:rFonts w:ascii="Bookman Old Style" w:hAnsi="Bookman Old Style" w:cs="Arial"/>
          <w:color w:val="000000"/>
        </w:rPr>
        <w:t xml:space="preserve">ecretos </w:t>
      </w:r>
      <w:r>
        <w:rPr>
          <w:rFonts w:ascii="Bookman Old Style" w:hAnsi="Bookman Old Style" w:cs="Arial"/>
          <w:color w:val="000000"/>
        </w:rPr>
        <w:t xml:space="preserve">1523 y </w:t>
      </w:r>
      <w:r w:rsidRPr="00EF1E6F">
        <w:rPr>
          <w:rFonts w:ascii="Bookman Old Style" w:hAnsi="Bookman Old Style" w:cs="Arial"/>
          <w:color w:val="000000"/>
        </w:rPr>
        <w:t>2253 de 1994 y 1260 de 2013, y</w:t>
      </w:r>
    </w:p>
    <w:p w:rsidR="001C4EC5" w:rsidRPr="004B3B4B" w:rsidRDefault="001C4EC5" w:rsidP="0040389F">
      <w:pPr>
        <w:spacing w:before="480" w:after="480"/>
        <w:ind w:left="0"/>
        <w:jc w:val="center"/>
        <w:rPr>
          <w:rFonts w:ascii="Bookman Old Style" w:hAnsi="Bookman Old Style"/>
          <w:b/>
        </w:rPr>
      </w:pPr>
      <w:r w:rsidRPr="004B3B4B">
        <w:rPr>
          <w:rFonts w:ascii="Bookman Old Style" w:hAnsi="Bookman Old Style"/>
          <w:b/>
        </w:rPr>
        <w:t>C O N S I D E R A N D O  Q U E:</w:t>
      </w:r>
    </w:p>
    <w:p w:rsidR="001C4EC5" w:rsidRDefault="001C4EC5" w:rsidP="0040389F">
      <w:pPr>
        <w:spacing w:before="240" w:after="240"/>
        <w:ind w:left="0"/>
        <w:jc w:val="both"/>
        <w:rPr>
          <w:rFonts w:ascii="Bookman Old Style" w:hAnsi="Bookman Old Style" w:cs="Arial"/>
        </w:rPr>
      </w:pPr>
      <w:r w:rsidRPr="004B3B4B">
        <w:rPr>
          <w:rFonts w:ascii="Bookman Old Style" w:hAnsi="Bookman Old Style" w:cs="Arial"/>
        </w:rPr>
        <w:t>Conforme a lo dispuesto por el artículo 8 del Código de Procedimiento Administrativo y de lo Contencioso Administrativo</w:t>
      </w:r>
      <w:r>
        <w:rPr>
          <w:rFonts w:ascii="Bookman Old Style" w:hAnsi="Bookman Old Style" w:cs="Arial"/>
        </w:rPr>
        <w:t xml:space="preserve"> y a lo dispuesto por el Decreto 1078 de 2015, </w:t>
      </w:r>
      <w:r w:rsidRPr="004B3B4B">
        <w:rPr>
          <w:rFonts w:ascii="Bookman Old Style" w:hAnsi="Bookman Old Style" w:cs="Arial"/>
        </w:rPr>
        <w:t>la Comisión debe hacer público</w:t>
      </w:r>
      <w:r>
        <w:rPr>
          <w:rFonts w:ascii="Bookman Old Style" w:hAnsi="Bookman Old Style" w:cs="Arial"/>
        </w:rPr>
        <w:t>s</w:t>
      </w:r>
      <w:r w:rsidRPr="004B3B4B">
        <w:rPr>
          <w:rFonts w:ascii="Bookman Old Style" w:hAnsi="Bookman Old Style" w:cs="Arial"/>
        </w:rPr>
        <w:t xml:space="preserve"> en su página </w:t>
      </w:r>
      <w:r>
        <w:rPr>
          <w:rFonts w:ascii="Bookman Old Style" w:hAnsi="Bookman Old Style" w:cs="Arial"/>
        </w:rPr>
        <w:t>web</w:t>
      </w:r>
      <w:r w:rsidRPr="004B3B4B">
        <w:rPr>
          <w:rFonts w:ascii="Bookman Old Style" w:hAnsi="Bookman Old Style" w:cs="Arial"/>
        </w:rPr>
        <w:t xml:space="preserve"> todos los proyectos de resolución de carácter general que pretenda adoptar.</w:t>
      </w:r>
    </w:p>
    <w:p w:rsidR="004C4842" w:rsidRDefault="004C4842" w:rsidP="005E5A5B">
      <w:pPr>
        <w:spacing w:before="240" w:after="240"/>
        <w:ind w:left="0"/>
        <w:jc w:val="both"/>
        <w:rPr>
          <w:rFonts w:ascii="Bookman Old Style" w:hAnsi="Bookman Old Style"/>
        </w:rPr>
      </w:pPr>
      <w:r>
        <w:rPr>
          <w:rFonts w:ascii="Bookman Old Style" w:hAnsi="Bookman Old Style" w:cs="Arial"/>
        </w:rPr>
        <w:t xml:space="preserve">De acuerdo con lo dispuesto en el numeral 4 del artículo 33 de la Resolución CREG 039 de 2017 </w:t>
      </w:r>
      <w:r>
        <w:rPr>
          <w:rFonts w:ascii="Bookman Old Style" w:hAnsi="Bookman Old Style" w:cs="Arial"/>
          <w:i/>
        </w:rPr>
        <w:t xml:space="preserve">Por la cual se establece el reglamento interno de la Comisión de Regulación de Energía y Gas, CREG, </w:t>
      </w:r>
      <w:r w:rsidRPr="00757080">
        <w:rPr>
          <w:rFonts w:ascii="Bookman Old Style" w:hAnsi="Bookman Old Style" w:cs="Arial"/>
        </w:rPr>
        <w:t xml:space="preserve">la </w:t>
      </w:r>
      <w:r w:rsidRPr="00757080">
        <w:rPr>
          <w:rFonts w:ascii="Bookman Old Style" w:hAnsi="Bookman Old Style"/>
        </w:rPr>
        <w:t>C</w:t>
      </w:r>
      <w:r w:rsidRPr="000422D0">
        <w:rPr>
          <w:rFonts w:ascii="Bookman Old Style" w:hAnsi="Bookman Old Style"/>
        </w:rPr>
        <w:t xml:space="preserve">REG </w:t>
      </w:r>
      <w:r w:rsidR="00757080">
        <w:rPr>
          <w:rFonts w:ascii="Bookman Old Style" w:hAnsi="Bookman Old Style"/>
        </w:rPr>
        <w:t>podrá</w:t>
      </w:r>
      <w:r>
        <w:rPr>
          <w:rFonts w:ascii="Bookman Old Style" w:hAnsi="Bookman Old Style"/>
        </w:rPr>
        <w:t xml:space="preserve"> </w:t>
      </w:r>
      <w:r w:rsidRPr="000422D0">
        <w:rPr>
          <w:rFonts w:ascii="Bookman Old Style" w:hAnsi="Bookman Old Style"/>
        </w:rPr>
        <w:t>publicar proyectos específicos de regulación</w:t>
      </w:r>
      <w:r>
        <w:rPr>
          <w:rFonts w:ascii="Bookman Old Style" w:hAnsi="Bookman Old Style"/>
        </w:rPr>
        <w:t xml:space="preserve">, que se quieran expedir con una </w:t>
      </w:r>
      <w:r w:rsidRPr="000422D0">
        <w:rPr>
          <w:rFonts w:ascii="Bookman Old Style" w:hAnsi="Bookman Old Style"/>
        </w:rPr>
        <w:t xml:space="preserve">antelación </w:t>
      </w:r>
      <w:r w:rsidRPr="0058082C">
        <w:rPr>
          <w:rFonts w:ascii="Bookman Old Style" w:hAnsi="Bookman Old Style" w:cs="Arial"/>
          <w:lang w:val="es-CO" w:eastAsia="es-CO"/>
        </w:rPr>
        <w:t>a la fecha de su expedición</w:t>
      </w:r>
      <w:r w:rsidRPr="000422D0">
        <w:rPr>
          <w:rFonts w:ascii="Bookman Old Style" w:hAnsi="Bookman Old Style" w:cs="Arial"/>
          <w:lang w:val="es-CO" w:eastAsia="es-CO"/>
        </w:rPr>
        <w:t xml:space="preserve"> </w:t>
      </w:r>
      <w:r w:rsidRPr="0058082C">
        <w:rPr>
          <w:rFonts w:ascii="Bookman Old Style" w:hAnsi="Bookman Old Style" w:cs="Arial"/>
          <w:lang w:val="es-CO" w:eastAsia="es-CO"/>
        </w:rPr>
        <w:t xml:space="preserve">inferior a </w:t>
      </w:r>
      <w:r>
        <w:rPr>
          <w:rFonts w:ascii="Bookman Old Style" w:hAnsi="Bookman Old Style" w:cs="Arial"/>
          <w:lang w:val="es-CO" w:eastAsia="es-CO"/>
        </w:rPr>
        <w:t xml:space="preserve">treinta </w:t>
      </w:r>
      <w:r w:rsidRPr="0058082C">
        <w:rPr>
          <w:rFonts w:ascii="Bookman Old Style" w:hAnsi="Bookman Old Style" w:cs="Arial"/>
          <w:lang w:val="es-CO" w:eastAsia="es-CO"/>
        </w:rPr>
        <w:t>(</w:t>
      </w:r>
      <w:r>
        <w:rPr>
          <w:rFonts w:ascii="Bookman Old Style" w:hAnsi="Bookman Old Style" w:cs="Arial"/>
          <w:lang w:val="es-CO" w:eastAsia="es-CO"/>
        </w:rPr>
        <w:t>30</w:t>
      </w:r>
      <w:r w:rsidRPr="0058082C">
        <w:rPr>
          <w:rFonts w:ascii="Bookman Old Style" w:hAnsi="Bookman Old Style" w:cs="Arial"/>
          <w:lang w:val="es-CO" w:eastAsia="es-CO"/>
        </w:rPr>
        <w:t xml:space="preserve">) días </w:t>
      </w:r>
      <w:r>
        <w:rPr>
          <w:rFonts w:ascii="Bookman Old Style" w:hAnsi="Bookman Old Style" w:cs="Arial"/>
          <w:lang w:val="es-CO" w:eastAsia="es-CO"/>
        </w:rPr>
        <w:t xml:space="preserve">hábiles y </w:t>
      </w:r>
      <w:r w:rsidR="005E5A5B">
        <w:rPr>
          <w:rFonts w:ascii="Bookman Old Style" w:hAnsi="Bookman Old Style" w:cs="Arial"/>
          <w:lang w:val="es-CO" w:eastAsia="es-CO"/>
        </w:rPr>
        <w:t xml:space="preserve">disponer </w:t>
      </w:r>
      <w:r>
        <w:rPr>
          <w:rFonts w:ascii="Bookman Old Style" w:hAnsi="Bookman Old Style" w:cs="Arial"/>
          <w:lang w:val="es-CO" w:eastAsia="es-CO"/>
        </w:rPr>
        <w:t xml:space="preserve">un término para recepción de observaciones, reparos o sugerencias menor a diez (10) días hábiles, </w:t>
      </w:r>
      <w:r w:rsidR="005E5A5B">
        <w:rPr>
          <w:rFonts w:ascii="Bookman Old Style" w:hAnsi="Bookman Old Style" w:cs="Arial"/>
          <w:lang w:val="es-CO" w:eastAsia="es-CO"/>
        </w:rPr>
        <w:t xml:space="preserve">en el evento en que el </w:t>
      </w:r>
      <w:r w:rsidRPr="00C838F4">
        <w:rPr>
          <w:rFonts w:ascii="Bookman Old Style" w:hAnsi="Bookman Old Style"/>
        </w:rPr>
        <w:t xml:space="preserve">proyecto específico de regulación sea de baja complejidad, </w:t>
      </w:r>
      <w:r>
        <w:rPr>
          <w:rFonts w:ascii="Bookman Old Style" w:hAnsi="Bookman Old Style"/>
        </w:rPr>
        <w:t xml:space="preserve">como en el caso de </w:t>
      </w:r>
      <w:r w:rsidRPr="00C838F4">
        <w:rPr>
          <w:rFonts w:ascii="Bookman Old Style" w:hAnsi="Bookman Old Style"/>
        </w:rPr>
        <w:t>ajustes para precisar la</w:t>
      </w:r>
      <w:r>
        <w:rPr>
          <w:rFonts w:ascii="Bookman Old Style" w:hAnsi="Bookman Old Style"/>
        </w:rPr>
        <w:t>s</w:t>
      </w:r>
      <w:r w:rsidRPr="00C838F4">
        <w:rPr>
          <w:rFonts w:ascii="Bookman Old Style" w:hAnsi="Bookman Old Style"/>
        </w:rPr>
        <w:t xml:space="preserve"> regla</w:t>
      </w:r>
      <w:r>
        <w:rPr>
          <w:rFonts w:ascii="Bookman Old Style" w:hAnsi="Bookman Old Style"/>
        </w:rPr>
        <w:t>s vigentes, ca</w:t>
      </w:r>
      <w:r w:rsidRPr="00C838F4">
        <w:rPr>
          <w:rFonts w:ascii="Bookman Old Style" w:hAnsi="Bookman Old Style"/>
        </w:rPr>
        <w:t>mbios de cronogramas</w:t>
      </w:r>
      <w:r>
        <w:rPr>
          <w:rFonts w:ascii="Bookman Old Style" w:hAnsi="Bookman Old Style"/>
        </w:rPr>
        <w:t xml:space="preserve"> o de fechas</w:t>
      </w:r>
      <w:r w:rsidRPr="00C838F4">
        <w:rPr>
          <w:rFonts w:ascii="Bookman Old Style" w:hAnsi="Bookman Old Style"/>
        </w:rPr>
        <w:t xml:space="preserve">, correcciones de forma, entre otros. </w:t>
      </w:r>
    </w:p>
    <w:p w:rsidR="004C4842" w:rsidRPr="005E5A5B" w:rsidRDefault="005E5A5B" w:rsidP="0040389F">
      <w:pPr>
        <w:spacing w:before="240" w:after="240"/>
        <w:ind w:left="0"/>
        <w:jc w:val="both"/>
        <w:rPr>
          <w:rFonts w:ascii="Bookman Old Style" w:hAnsi="Bookman Old Style" w:cs="Arial"/>
        </w:rPr>
      </w:pPr>
      <w:r>
        <w:rPr>
          <w:rFonts w:ascii="Bookman Old Style" w:hAnsi="Bookman Old Style" w:cs="Arial"/>
        </w:rPr>
        <w:t xml:space="preserve">Teniendo en cuenta que, en este caso en específico se pone en consulta el </w:t>
      </w:r>
      <w:r w:rsidR="005E2757">
        <w:rPr>
          <w:rFonts w:ascii="Bookman Old Style" w:hAnsi="Bookman Old Style" w:cs="Arial"/>
        </w:rPr>
        <w:t xml:space="preserve">ajuste regulatorio a la </w:t>
      </w:r>
      <w:r>
        <w:rPr>
          <w:rFonts w:ascii="Bookman Old Style" w:hAnsi="Bookman Old Style" w:cs="Arial"/>
        </w:rPr>
        <w:t>definición de lo que debe entenderse como la Oferta de cantidades importadas disponibles para la venta en firme, oferta de CIDVF, con</w:t>
      </w:r>
      <w:r w:rsidR="005E2757">
        <w:rPr>
          <w:rFonts w:ascii="Bookman Old Style" w:hAnsi="Bookman Old Style" w:cs="Arial"/>
        </w:rPr>
        <w:t>templada en el artículo 3 de la Resolución CREG 114 de 2017, con</w:t>
      </w:r>
      <w:r>
        <w:rPr>
          <w:rFonts w:ascii="Bookman Old Style" w:hAnsi="Bookman Old Style" w:cs="Arial"/>
        </w:rPr>
        <w:t xml:space="preserve"> el objeto de hacerla congruente con el texto completo de la regulación, se observa que</w:t>
      </w:r>
      <w:r w:rsidR="00757080">
        <w:rPr>
          <w:rFonts w:ascii="Bookman Old Style" w:hAnsi="Bookman Old Style" w:cs="Arial"/>
        </w:rPr>
        <w:t xml:space="preserve"> el ajuste a la definición vigente, </w:t>
      </w:r>
      <w:r w:rsidR="001B06AC">
        <w:rPr>
          <w:rFonts w:ascii="Bookman Old Style" w:hAnsi="Bookman Old Style" w:cs="Arial"/>
        </w:rPr>
        <w:t xml:space="preserve">se ajusta dentro de los postulados contemplados en el numeral 4 </w:t>
      </w:r>
      <w:r>
        <w:rPr>
          <w:rFonts w:ascii="Bookman Old Style" w:hAnsi="Bookman Old Style" w:cs="Arial"/>
        </w:rPr>
        <w:t>del artículo 33 de la Resolución CREG 039 de 2017</w:t>
      </w:r>
      <w:r w:rsidR="00757080">
        <w:rPr>
          <w:rFonts w:ascii="Bookman Old Style" w:hAnsi="Bookman Old Style" w:cs="Arial"/>
        </w:rPr>
        <w:t xml:space="preserve">. </w:t>
      </w:r>
      <w:r>
        <w:rPr>
          <w:rFonts w:ascii="Bookman Old Style" w:hAnsi="Bookman Old Style" w:cs="Arial"/>
        </w:rPr>
        <w:t xml:space="preserve"> </w:t>
      </w:r>
    </w:p>
    <w:p w:rsidR="001C4EC5" w:rsidRPr="004B3B4B" w:rsidRDefault="001C4EC5" w:rsidP="0040389F">
      <w:pPr>
        <w:spacing w:before="240" w:after="240"/>
        <w:ind w:left="0"/>
        <w:jc w:val="both"/>
        <w:rPr>
          <w:rFonts w:ascii="Bookman Old Style" w:hAnsi="Bookman Old Style"/>
        </w:rPr>
      </w:pPr>
      <w:r w:rsidRPr="001513A7">
        <w:rPr>
          <w:rFonts w:ascii="Bookman Old Style" w:hAnsi="Bookman Old Style"/>
          <w:spacing w:val="-3"/>
          <w:sz w:val="25"/>
          <w:szCs w:val="25"/>
        </w:rPr>
        <w:lastRenderedPageBreak/>
        <w:t>La Comisión de Regulación de Energía y Gas, en su sesión</w:t>
      </w:r>
      <w:r w:rsidR="00FD54B3">
        <w:rPr>
          <w:rFonts w:ascii="Bookman Old Style" w:hAnsi="Bookman Old Style"/>
          <w:spacing w:val="-3"/>
          <w:sz w:val="25"/>
          <w:szCs w:val="25"/>
        </w:rPr>
        <w:t xml:space="preserve"> 805 del 2 de Octubre de 2017</w:t>
      </w:r>
      <w:r w:rsidRPr="001513A7">
        <w:rPr>
          <w:rFonts w:ascii="Bookman Old Style" w:hAnsi="Bookman Old Style"/>
          <w:spacing w:val="-3"/>
          <w:sz w:val="25"/>
          <w:szCs w:val="25"/>
        </w:rPr>
        <w:t>, acordó expedir esta resolución</w:t>
      </w:r>
      <w:r w:rsidR="00461994">
        <w:rPr>
          <w:rFonts w:ascii="Bookman Old Style" w:hAnsi="Bookman Old Style"/>
          <w:spacing w:val="-3"/>
          <w:sz w:val="25"/>
          <w:szCs w:val="25"/>
        </w:rPr>
        <w:t>.</w:t>
      </w:r>
    </w:p>
    <w:p w:rsidR="001C4EC5" w:rsidRPr="004B3B4B" w:rsidRDefault="001C4EC5" w:rsidP="00475B35">
      <w:pPr>
        <w:suppressAutoHyphens/>
        <w:spacing w:before="600" w:after="360"/>
        <w:ind w:left="0"/>
        <w:jc w:val="center"/>
        <w:rPr>
          <w:rFonts w:ascii="Bookman Old Style" w:hAnsi="Bookman Old Style"/>
          <w:spacing w:val="-3"/>
        </w:rPr>
      </w:pPr>
      <w:r w:rsidRPr="004B3B4B">
        <w:rPr>
          <w:rFonts w:ascii="Bookman Old Style" w:hAnsi="Bookman Old Style"/>
          <w:b/>
          <w:spacing w:val="-3"/>
        </w:rPr>
        <w:t>R E S U E L V E:</w:t>
      </w:r>
    </w:p>
    <w:p w:rsidR="005E5A5B" w:rsidRPr="001B06AC" w:rsidRDefault="001C4EC5" w:rsidP="005E5A5B">
      <w:pPr>
        <w:spacing w:before="720" w:after="480"/>
        <w:ind w:left="0"/>
        <w:jc w:val="both"/>
        <w:rPr>
          <w:rFonts w:ascii="Bookman Old Style" w:hAnsi="Bookman Old Style" w:cs="Arial"/>
        </w:rPr>
      </w:pPr>
      <w:r w:rsidRPr="004B3B4B">
        <w:rPr>
          <w:rFonts w:ascii="Bookman Old Style" w:hAnsi="Bookman Old Style"/>
          <w:b/>
        </w:rPr>
        <w:t>Artículo 1.</w:t>
      </w:r>
      <w:r w:rsidRPr="004B3B4B">
        <w:rPr>
          <w:rFonts w:ascii="Bookman Old Style" w:hAnsi="Bookman Old Style"/>
        </w:rPr>
        <w:t xml:space="preserve"> </w:t>
      </w:r>
      <w:r w:rsidRPr="004B3B4B">
        <w:rPr>
          <w:rFonts w:ascii="Bookman Old Style" w:hAnsi="Bookman Old Style" w:cs="Arial"/>
        </w:rPr>
        <w:t xml:space="preserve">Hágase público el proyecto de resolución </w:t>
      </w:r>
      <w:r w:rsidRPr="001B06AC">
        <w:rPr>
          <w:rFonts w:ascii="Bookman Old Style" w:hAnsi="Bookman Old Style" w:cs="Arial"/>
        </w:rPr>
        <w:t xml:space="preserve">de carácter general, </w:t>
      </w:r>
      <w:r w:rsidR="00CE3587" w:rsidRPr="001B06AC">
        <w:rPr>
          <w:rFonts w:ascii="Bookman Old Style" w:hAnsi="Bookman Old Style" w:cs="Arial"/>
        </w:rPr>
        <w:t xml:space="preserve">Por la cual se ordena hacer público un proyecto de resolución de carácter general, </w:t>
      </w:r>
      <w:r w:rsidR="005E5A5B" w:rsidRPr="001B06AC">
        <w:rPr>
          <w:rFonts w:ascii="Bookman Old Style" w:hAnsi="Bookman Old Style" w:cs="Arial"/>
        </w:rPr>
        <w:t>“Por la cual se ajusta la definición de Oferta de cantidades importadas disponibles para la venta en firme, oferta de CIDVF”</w:t>
      </w:r>
    </w:p>
    <w:p w:rsidR="001C4EC5" w:rsidRPr="0031321A" w:rsidRDefault="001C4EC5" w:rsidP="0040389F">
      <w:pPr>
        <w:spacing w:before="240" w:after="240"/>
        <w:ind w:left="0"/>
        <w:jc w:val="both"/>
        <w:rPr>
          <w:rFonts w:ascii="Bookman Old Style" w:hAnsi="Bookman Old Style" w:cs="Arial"/>
          <w:lang w:val="es-CO" w:eastAsia="es-CO"/>
        </w:rPr>
      </w:pPr>
      <w:r w:rsidRPr="004B3B4B">
        <w:rPr>
          <w:rFonts w:ascii="Bookman Old Style" w:hAnsi="Bookman Old Style"/>
          <w:b/>
        </w:rPr>
        <w:t>Artículo 2.</w:t>
      </w:r>
      <w:r w:rsidRPr="004B3B4B">
        <w:rPr>
          <w:rFonts w:ascii="Bookman Old Style" w:hAnsi="Bookman Old Style" w:cs="Arial"/>
          <w:lang w:val="es-CO" w:eastAsia="es-CO"/>
        </w:rPr>
        <w:t xml:space="preserve"> Se </w:t>
      </w:r>
      <w:r w:rsidRPr="0031321A">
        <w:rPr>
          <w:rFonts w:ascii="Bookman Old Style" w:hAnsi="Bookman Old Style" w:cs="Arial"/>
          <w:lang w:val="es-CO" w:eastAsia="es-CO"/>
        </w:rPr>
        <w:t xml:space="preserve">invita a los agentes, a los usuarios, a las autoridades locales municipales y departamentales competentes, a la Superintendencia de Servicios Públicos Domiciliarios y a la Superintendencia de Industria y Comercio, para </w:t>
      </w:r>
      <w:r w:rsidRPr="00A71942">
        <w:rPr>
          <w:rFonts w:ascii="Bookman Old Style" w:hAnsi="Bookman Old Style" w:cs="Arial"/>
          <w:lang w:val="es-CO" w:eastAsia="es-CO"/>
        </w:rPr>
        <w:t>que remitan sus observaciones o sugerencias sobre la</w:t>
      </w:r>
      <w:r w:rsidRPr="0031321A">
        <w:rPr>
          <w:rFonts w:ascii="Bookman Old Style" w:hAnsi="Bookman Old Style" w:cs="Arial"/>
          <w:color w:val="666666"/>
        </w:rPr>
        <w:t xml:space="preserve"> </w:t>
      </w:r>
      <w:r w:rsidRPr="0031321A">
        <w:rPr>
          <w:rFonts w:ascii="Bookman Old Style" w:hAnsi="Bookman Old Style" w:cs="Arial"/>
          <w:lang w:val="es-CO" w:eastAsia="es-CO"/>
        </w:rPr>
        <w:t xml:space="preserve">propuesta </w:t>
      </w:r>
      <w:r>
        <w:rPr>
          <w:rFonts w:ascii="Bookman Old Style" w:hAnsi="Bookman Old Style" w:cs="Arial"/>
          <w:lang w:val="es-CO" w:eastAsia="es-CO"/>
        </w:rPr>
        <w:t>dentro de</w:t>
      </w:r>
      <w:r w:rsidR="00B97FEC">
        <w:rPr>
          <w:rFonts w:ascii="Bookman Old Style" w:hAnsi="Bookman Old Style" w:cs="Arial"/>
          <w:lang w:val="es-CO" w:eastAsia="es-CO"/>
        </w:rPr>
        <w:t xml:space="preserve"> </w:t>
      </w:r>
      <w:r w:rsidR="005E5A5B">
        <w:rPr>
          <w:rFonts w:ascii="Bookman Old Style" w:hAnsi="Bookman Old Style" w:cs="Arial"/>
          <w:lang w:val="es-CO" w:eastAsia="es-CO"/>
        </w:rPr>
        <w:t>l</w:t>
      </w:r>
      <w:r w:rsidR="00B97FEC">
        <w:rPr>
          <w:rFonts w:ascii="Bookman Old Style" w:hAnsi="Bookman Old Style" w:cs="Arial"/>
          <w:lang w:val="es-CO" w:eastAsia="es-CO"/>
        </w:rPr>
        <w:t>os</w:t>
      </w:r>
      <w:r w:rsidR="005E5A5B">
        <w:rPr>
          <w:rFonts w:ascii="Bookman Old Style" w:hAnsi="Bookman Old Style" w:cs="Arial"/>
          <w:lang w:val="es-CO" w:eastAsia="es-CO"/>
        </w:rPr>
        <w:t xml:space="preserve"> </w:t>
      </w:r>
      <w:r w:rsidR="007E379E">
        <w:rPr>
          <w:rFonts w:ascii="Bookman Old Style" w:hAnsi="Bookman Old Style" w:cs="Arial"/>
          <w:lang w:val="es-CO" w:eastAsia="es-CO"/>
        </w:rPr>
        <w:t>tres días hábiles</w:t>
      </w:r>
      <w:r w:rsidR="005E5A5B">
        <w:rPr>
          <w:rFonts w:ascii="Bookman Old Style" w:hAnsi="Bookman Old Style" w:cs="Arial"/>
          <w:lang w:val="es-CO" w:eastAsia="es-CO"/>
        </w:rPr>
        <w:t xml:space="preserve"> siguiente</w:t>
      </w:r>
      <w:r w:rsidR="007E379E">
        <w:rPr>
          <w:rFonts w:ascii="Bookman Old Style" w:hAnsi="Bookman Old Style" w:cs="Arial"/>
          <w:lang w:val="es-CO" w:eastAsia="es-CO"/>
        </w:rPr>
        <w:t>s</w:t>
      </w:r>
      <w:r w:rsidR="005E5A5B">
        <w:rPr>
          <w:rFonts w:ascii="Bookman Old Style" w:hAnsi="Bookman Old Style" w:cs="Arial"/>
          <w:lang w:val="es-CO" w:eastAsia="es-CO"/>
        </w:rPr>
        <w:t xml:space="preserve"> </w:t>
      </w:r>
      <w:r>
        <w:rPr>
          <w:rFonts w:ascii="Bookman Old Style" w:hAnsi="Bookman Old Style" w:cs="Arial"/>
          <w:lang w:val="es-CO" w:eastAsia="es-CO"/>
        </w:rPr>
        <w:t>a la publicación de la propuesta en la página web de la CREG.</w:t>
      </w:r>
      <w:r w:rsidRPr="0031321A">
        <w:rPr>
          <w:rFonts w:ascii="Bookman Old Style" w:hAnsi="Bookman Old Style" w:cs="Arial"/>
          <w:lang w:val="es-CO" w:eastAsia="es-CO"/>
        </w:rPr>
        <w:t xml:space="preserve"> </w:t>
      </w:r>
    </w:p>
    <w:p w:rsidR="001C4EC5" w:rsidRPr="004B3B4B" w:rsidRDefault="001C4EC5" w:rsidP="0040389F">
      <w:pPr>
        <w:tabs>
          <w:tab w:val="left" w:pos="0"/>
        </w:tabs>
        <w:spacing w:before="240" w:after="240"/>
        <w:ind w:left="0"/>
        <w:jc w:val="both"/>
        <w:rPr>
          <w:rFonts w:ascii="Bookman Old Style" w:hAnsi="Bookman Old Style" w:cs="Arial"/>
        </w:rPr>
      </w:pPr>
      <w:r w:rsidRPr="004B3B4B">
        <w:rPr>
          <w:rFonts w:ascii="Bookman Old Style" w:hAnsi="Bookman Old Style" w:cs="Arial"/>
          <w:b/>
          <w:bCs/>
        </w:rPr>
        <w:t>Artículo 3</w:t>
      </w:r>
      <w:r w:rsidRPr="004B3B4B">
        <w:rPr>
          <w:rFonts w:ascii="Bookman Old Style" w:hAnsi="Bookman Old Style" w:cs="Arial"/>
          <w:b/>
        </w:rPr>
        <w:t>.</w:t>
      </w:r>
      <w:r w:rsidRPr="004B3B4B">
        <w:rPr>
          <w:rFonts w:ascii="Bookman Old Style" w:hAnsi="Bookman Old Style" w:cs="Arial"/>
        </w:rPr>
        <w:t xml:space="preserve"> Las observaciones y sugerencias sobre el proyecto deberán dirigirse </w:t>
      </w:r>
      <w:r>
        <w:rPr>
          <w:rFonts w:ascii="Bookman Old Style" w:hAnsi="Bookman Old Style" w:cs="Arial"/>
        </w:rPr>
        <w:t>en formato ‘</w:t>
      </w:r>
      <w:r w:rsidRPr="00802125">
        <w:rPr>
          <w:rFonts w:ascii="Bookman Old Style" w:hAnsi="Bookman Old Style" w:cs="Arial"/>
          <w:i/>
        </w:rPr>
        <w:t>word</w:t>
      </w:r>
      <w:r>
        <w:rPr>
          <w:rFonts w:ascii="Bookman Old Style" w:hAnsi="Bookman Old Style" w:cs="Arial"/>
        </w:rPr>
        <w:t xml:space="preserve">’ </w:t>
      </w:r>
      <w:r w:rsidRPr="004B3B4B">
        <w:rPr>
          <w:rFonts w:ascii="Bookman Old Style" w:hAnsi="Bookman Old Style" w:cs="Arial"/>
        </w:rPr>
        <w:t xml:space="preserve">a </w:t>
      </w:r>
      <w:r w:rsidR="009936DC">
        <w:rPr>
          <w:rFonts w:ascii="Bookman Old Style" w:hAnsi="Bookman Old Style" w:cs="Arial"/>
        </w:rPr>
        <w:t>Germán Castro Ferreira</w:t>
      </w:r>
      <w:r w:rsidRPr="004B3B4B">
        <w:rPr>
          <w:rFonts w:ascii="Bookman Old Style" w:hAnsi="Bookman Old Style" w:cs="Arial"/>
        </w:rPr>
        <w:t>, Director Ejecutivo de la Comisión, a la siguiente dirección: Avenida Calle 116 No. 7-15, Edificio Torre Cusezar, Interior 2, Oficina 901 o al correo electrónico creg@creg.gov.co.</w:t>
      </w:r>
    </w:p>
    <w:p w:rsidR="001C4EC5" w:rsidRPr="004B3B4B" w:rsidRDefault="001C4EC5" w:rsidP="0040389F">
      <w:pPr>
        <w:tabs>
          <w:tab w:val="left" w:pos="0"/>
        </w:tabs>
        <w:spacing w:before="240" w:after="240"/>
        <w:ind w:left="0"/>
        <w:jc w:val="both"/>
        <w:rPr>
          <w:rFonts w:ascii="Bookman Old Style" w:hAnsi="Bookman Old Style" w:cs="Arial"/>
        </w:rPr>
      </w:pPr>
      <w:r w:rsidRPr="004B3B4B">
        <w:rPr>
          <w:rFonts w:ascii="Bookman Old Style" w:hAnsi="Bookman Old Style" w:cs="Arial"/>
          <w:b/>
          <w:bCs/>
        </w:rPr>
        <w:t>Artículo 4</w:t>
      </w:r>
      <w:r w:rsidRPr="004B3B4B">
        <w:rPr>
          <w:rFonts w:ascii="Bookman Old Style" w:hAnsi="Bookman Old Style" w:cs="Arial"/>
        </w:rPr>
        <w:t>. La presente Resolución no deroga disposiciones vigentes por tratarse de un acto de trámite.</w:t>
      </w:r>
    </w:p>
    <w:p w:rsidR="001C4EC5" w:rsidRPr="004B3B4B" w:rsidRDefault="001C4EC5" w:rsidP="0040389F">
      <w:pPr>
        <w:spacing w:before="480" w:after="480"/>
        <w:ind w:left="0"/>
        <w:jc w:val="center"/>
        <w:rPr>
          <w:rFonts w:ascii="Bookman Old Style" w:hAnsi="Bookman Old Style"/>
          <w:b/>
        </w:rPr>
      </w:pPr>
      <w:r w:rsidRPr="004B3B4B">
        <w:rPr>
          <w:rFonts w:ascii="Bookman Old Style" w:hAnsi="Bookman Old Style"/>
          <w:b/>
        </w:rPr>
        <w:t>PUBLÍQUESE Y CÚMPLASE</w:t>
      </w:r>
    </w:p>
    <w:p w:rsidR="001C4EC5" w:rsidRPr="004B3B4B" w:rsidRDefault="001C4EC5" w:rsidP="001C4EC5">
      <w:pPr>
        <w:ind w:left="0"/>
        <w:rPr>
          <w:rFonts w:ascii="Bookman Old Style" w:hAnsi="Bookman Old Style"/>
        </w:rPr>
      </w:pPr>
      <w:r w:rsidRPr="004B3B4B">
        <w:rPr>
          <w:rFonts w:ascii="Bookman Old Style" w:hAnsi="Bookman Old Style"/>
        </w:rPr>
        <w:t>Dada en Bogotá, D.C.</w:t>
      </w:r>
      <w:r w:rsidR="00461994">
        <w:rPr>
          <w:rFonts w:ascii="Bookman Old Style" w:hAnsi="Bookman Old Style"/>
        </w:rPr>
        <w:t xml:space="preserve"> a</w:t>
      </w:r>
    </w:p>
    <w:p w:rsidR="001C4EC5" w:rsidRDefault="001C4EC5" w:rsidP="001C4EC5">
      <w:pPr>
        <w:ind w:left="0"/>
        <w:rPr>
          <w:rFonts w:ascii="Bookman Old Style" w:hAnsi="Bookman Old Style"/>
        </w:rPr>
      </w:pPr>
    </w:p>
    <w:p w:rsidR="001C4EC5" w:rsidRDefault="001C4EC5" w:rsidP="001C4EC5">
      <w:pPr>
        <w:ind w:left="0"/>
        <w:rPr>
          <w:rFonts w:ascii="Bookman Old Style" w:hAnsi="Bookman Old Style"/>
        </w:rPr>
      </w:pPr>
    </w:p>
    <w:p w:rsidR="00461994" w:rsidRDefault="00461994" w:rsidP="001C4EC5">
      <w:pPr>
        <w:ind w:left="0"/>
        <w:rPr>
          <w:rFonts w:ascii="Bookman Old Style" w:hAnsi="Bookman Old Style"/>
        </w:rPr>
      </w:pPr>
    </w:p>
    <w:p w:rsidR="00461994" w:rsidRDefault="00461994" w:rsidP="001C4EC5">
      <w:pPr>
        <w:ind w:left="0"/>
        <w:rPr>
          <w:rFonts w:ascii="Bookman Old Style" w:hAnsi="Bookman Old Style"/>
        </w:rPr>
      </w:pPr>
    </w:p>
    <w:p w:rsidR="001C4EC5" w:rsidRPr="00461994" w:rsidRDefault="001C4EC5" w:rsidP="001C4EC5">
      <w:pPr>
        <w:ind w:left="0" w:firstLine="709"/>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5529"/>
        <w:gridCol w:w="3969"/>
      </w:tblGrid>
      <w:tr w:rsidR="00461994" w:rsidRPr="00461994" w:rsidTr="00461994">
        <w:trPr>
          <w:tblCellSpacing w:w="0" w:type="dxa"/>
          <w:jc w:val="center"/>
        </w:trPr>
        <w:tc>
          <w:tcPr>
            <w:tcW w:w="5529" w:type="dxa"/>
            <w:hideMark/>
          </w:tcPr>
          <w:p w:rsidR="00461994" w:rsidRPr="00461994" w:rsidRDefault="00FD54B3">
            <w:pPr>
              <w:ind w:left="66"/>
              <w:jc w:val="center"/>
              <w:rPr>
                <w:rFonts w:ascii="Bookman Old Style" w:hAnsi="Bookman Old Style" w:cs="Arial"/>
                <w:b/>
                <w:spacing w:val="-3"/>
              </w:rPr>
            </w:pPr>
            <w:r>
              <w:rPr>
                <w:rFonts w:ascii="Bookman Old Style" w:hAnsi="Bookman Old Style" w:cs="Arial"/>
                <w:b/>
                <w:spacing w:val="-3"/>
              </w:rPr>
              <w:t>RUTTY PAOLA ORTIZ JARA</w:t>
            </w:r>
          </w:p>
        </w:tc>
        <w:tc>
          <w:tcPr>
            <w:tcW w:w="3969" w:type="dxa"/>
            <w:hideMark/>
          </w:tcPr>
          <w:p w:rsidR="00461994" w:rsidRPr="00461994" w:rsidRDefault="007B1C12">
            <w:pPr>
              <w:ind w:left="89"/>
              <w:jc w:val="center"/>
              <w:rPr>
                <w:rFonts w:ascii="Bookman Old Style" w:hAnsi="Bookman Old Style" w:cs="Arial"/>
                <w:b/>
                <w:spacing w:val="-3"/>
              </w:rPr>
            </w:pPr>
            <w:r>
              <w:rPr>
                <w:rFonts w:ascii="Bookman Old Style" w:hAnsi="Bookman Old Style" w:cs="Arial"/>
                <w:b/>
                <w:spacing w:val="-3"/>
              </w:rPr>
              <w:t>GERMÁN CASTRO FERREIRA</w:t>
            </w:r>
          </w:p>
        </w:tc>
      </w:tr>
      <w:tr w:rsidR="00461994" w:rsidRPr="00461994" w:rsidTr="00461994">
        <w:trPr>
          <w:tblCellSpacing w:w="0" w:type="dxa"/>
          <w:jc w:val="center"/>
        </w:trPr>
        <w:tc>
          <w:tcPr>
            <w:tcW w:w="5529" w:type="dxa"/>
            <w:hideMark/>
          </w:tcPr>
          <w:p w:rsidR="00FD54B3" w:rsidRDefault="00FD54B3" w:rsidP="009A57D3">
            <w:pPr>
              <w:ind w:left="66"/>
              <w:jc w:val="center"/>
              <w:rPr>
                <w:rFonts w:ascii="Bookman Old Style" w:hAnsi="Bookman Old Style" w:cs="Arial"/>
                <w:spacing w:val="-3"/>
              </w:rPr>
            </w:pPr>
            <w:r>
              <w:rPr>
                <w:rFonts w:ascii="Bookman Old Style" w:hAnsi="Bookman Old Style" w:cs="Arial"/>
                <w:spacing w:val="-3"/>
              </w:rPr>
              <w:t>Viceministra de Energía</w:t>
            </w:r>
          </w:p>
          <w:p w:rsidR="00461994" w:rsidRPr="00461994" w:rsidRDefault="00FD54B3" w:rsidP="009A57D3">
            <w:pPr>
              <w:ind w:left="66"/>
              <w:jc w:val="center"/>
              <w:rPr>
                <w:rFonts w:ascii="Bookman Old Style" w:eastAsia="Arial Unicode MS" w:hAnsi="Bookman Old Style" w:cs="Arial"/>
                <w:color w:val="000000"/>
              </w:rPr>
            </w:pPr>
            <w:r>
              <w:rPr>
                <w:rFonts w:ascii="Bookman Old Style" w:hAnsi="Bookman Old Style" w:cs="Arial"/>
                <w:spacing w:val="-3"/>
              </w:rPr>
              <w:t xml:space="preserve">Delegada del </w:t>
            </w:r>
            <w:r w:rsidR="00461994" w:rsidRPr="00461994">
              <w:rPr>
                <w:rFonts w:ascii="Bookman Old Style" w:hAnsi="Bookman Old Style" w:cs="Arial"/>
                <w:spacing w:val="-3"/>
              </w:rPr>
              <w:t>Ministro de Minas y Energía</w:t>
            </w:r>
          </w:p>
        </w:tc>
        <w:tc>
          <w:tcPr>
            <w:tcW w:w="3969" w:type="dxa"/>
            <w:hideMark/>
          </w:tcPr>
          <w:p w:rsidR="00461994" w:rsidRPr="00461994" w:rsidRDefault="00461994" w:rsidP="0040389F">
            <w:pPr>
              <w:ind w:left="0"/>
              <w:jc w:val="center"/>
              <w:rPr>
                <w:rFonts w:ascii="Bookman Old Style" w:eastAsia="Arial Unicode MS" w:hAnsi="Bookman Old Style" w:cs="Arial"/>
                <w:color w:val="000000"/>
              </w:rPr>
            </w:pPr>
            <w:r w:rsidRPr="00461994">
              <w:rPr>
                <w:rFonts w:ascii="Bookman Old Style" w:hAnsi="Bookman Old Style" w:cs="Arial"/>
                <w:spacing w:val="-3"/>
              </w:rPr>
              <w:t>Director Ejecutivo</w:t>
            </w:r>
          </w:p>
        </w:tc>
      </w:tr>
      <w:tr w:rsidR="00461994" w:rsidRPr="00461994" w:rsidTr="00461994">
        <w:trPr>
          <w:tblCellSpacing w:w="0" w:type="dxa"/>
          <w:jc w:val="center"/>
        </w:trPr>
        <w:tc>
          <w:tcPr>
            <w:tcW w:w="5529" w:type="dxa"/>
            <w:hideMark/>
          </w:tcPr>
          <w:p w:rsidR="00461994" w:rsidRPr="00461994" w:rsidRDefault="00461994">
            <w:pPr>
              <w:ind w:left="66"/>
              <w:jc w:val="center"/>
              <w:rPr>
                <w:rFonts w:ascii="Bookman Old Style" w:eastAsia="Arial Unicode MS" w:hAnsi="Bookman Old Style" w:cs="Arial"/>
                <w:color w:val="000000"/>
              </w:rPr>
            </w:pPr>
            <w:r w:rsidRPr="00461994">
              <w:rPr>
                <w:rFonts w:ascii="Bookman Old Style" w:hAnsi="Bookman Old Style" w:cs="Arial"/>
                <w:spacing w:val="-3"/>
              </w:rPr>
              <w:t>Presidente</w:t>
            </w:r>
          </w:p>
        </w:tc>
        <w:tc>
          <w:tcPr>
            <w:tcW w:w="3969" w:type="dxa"/>
          </w:tcPr>
          <w:p w:rsidR="00461994" w:rsidRPr="00461994" w:rsidRDefault="00461994">
            <w:pPr>
              <w:jc w:val="center"/>
              <w:rPr>
                <w:rFonts w:ascii="Bookman Old Style" w:eastAsia="Arial Unicode MS" w:hAnsi="Bookman Old Style" w:cs="Arial"/>
                <w:color w:val="000000"/>
              </w:rPr>
            </w:pPr>
          </w:p>
        </w:tc>
      </w:tr>
    </w:tbl>
    <w:p w:rsidR="001C4EC5" w:rsidRDefault="001C4EC5" w:rsidP="001C4EC5">
      <w:pPr>
        <w:ind w:left="0"/>
        <w:rPr>
          <w:rFonts w:ascii="Bookman Old Style" w:hAnsi="Bookman Old Style"/>
        </w:rPr>
      </w:pPr>
    </w:p>
    <w:tbl>
      <w:tblPr>
        <w:tblW w:w="0" w:type="auto"/>
        <w:tblInd w:w="-142" w:type="dxa"/>
        <w:tblLayout w:type="fixed"/>
        <w:tblCellMar>
          <w:left w:w="0" w:type="dxa"/>
          <w:right w:w="0" w:type="dxa"/>
        </w:tblCellMar>
        <w:tblLook w:val="04A0" w:firstRow="1" w:lastRow="0" w:firstColumn="1" w:lastColumn="0" w:noHBand="0" w:noVBand="1"/>
      </w:tblPr>
      <w:tblGrid>
        <w:gridCol w:w="4962"/>
        <w:gridCol w:w="4536"/>
      </w:tblGrid>
      <w:tr w:rsidR="001C4EC5" w:rsidRPr="00C2343E" w:rsidTr="00472C6B">
        <w:tc>
          <w:tcPr>
            <w:tcW w:w="4962" w:type="dxa"/>
          </w:tcPr>
          <w:p w:rsidR="001C4EC5" w:rsidRPr="00554289" w:rsidRDefault="001C4EC5" w:rsidP="00461994">
            <w:pPr>
              <w:ind w:left="0"/>
              <w:rPr>
                <w:rFonts w:ascii="Bookman Old Style" w:hAnsi="Bookman Old Style" w:cs="Arial"/>
              </w:rPr>
            </w:pPr>
          </w:p>
        </w:tc>
        <w:tc>
          <w:tcPr>
            <w:tcW w:w="4536" w:type="dxa"/>
          </w:tcPr>
          <w:p w:rsidR="001C4EC5" w:rsidRPr="00C2343E" w:rsidRDefault="001C4EC5" w:rsidP="00472C6B">
            <w:pPr>
              <w:snapToGrid w:val="0"/>
              <w:jc w:val="both"/>
              <w:rPr>
                <w:rFonts w:ascii="Bookman Old Style" w:hAnsi="Bookman Old Style" w:cs="Arial"/>
              </w:rPr>
            </w:pPr>
          </w:p>
        </w:tc>
      </w:tr>
    </w:tbl>
    <w:p w:rsidR="00B97FEC" w:rsidRDefault="001C4EC5" w:rsidP="00B97FEC">
      <w:pPr>
        <w:ind w:left="0"/>
        <w:jc w:val="center"/>
        <w:rPr>
          <w:rFonts w:ascii="Bookman Old Style" w:hAnsi="Bookman Old Style" w:cs="Arial"/>
          <w:color w:val="000000"/>
        </w:rPr>
      </w:pPr>
      <w:r>
        <w:rPr>
          <w:rFonts w:ascii="Bookman Old Style" w:hAnsi="Bookman Old Style" w:cs="Arial"/>
          <w:color w:val="000000"/>
        </w:rPr>
        <w:br w:type="page"/>
      </w:r>
    </w:p>
    <w:p w:rsidR="00B97FEC" w:rsidRDefault="00B97FEC" w:rsidP="00B97FEC">
      <w:pPr>
        <w:ind w:left="0"/>
        <w:jc w:val="center"/>
        <w:rPr>
          <w:rFonts w:ascii="Bookman Old Style" w:hAnsi="Bookman Old Style" w:cs="Arial"/>
          <w:color w:val="000000"/>
        </w:rPr>
      </w:pPr>
    </w:p>
    <w:p w:rsidR="001C4EC5" w:rsidRDefault="001C4EC5" w:rsidP="00B97FEC">
      <w:pPr>
        <w:ind w:left="0"/>
        <w:jc w:val="center"/>
        <w:rPr>
          <w:rFonts w:ascii="Bookman Old Style" w:hAnsi="Bookman Old Style" w:cs="Arial"/>
          <w:color w:val="000000"/>
        </w:rPr>
      </w:pPr>
      <w:r w:rsidRPr="001C4EC5">
        <w:rPr>
          <w:rFonts w:ascii="Bookman Old Style" w:hAnsi="Bookman Old Style" w:cs="Arial"/>
          <w:b/>
          <w:color w:val="000000"/>
          <w:lang w:eastAsia="es-CO"/>
        </w:rPr>
        <w:t>PROYECTO DE RESOLUCIÓN</w:t>
      </w:r>
    </w:p>
    <w:p w:rsidR="00B97FEC" w:rsidRDefault="00B97FEC" w:rsidP="00B97FEC">
      <w:pPr>
        <w:ind w:left="0"/>
        <w:jc w:val="center"/>
        <w:rPr>
          <w:rFonts w:ascii="Bookman Old Style" w:hAnsi="Bookman Old Style"/>
        </w:rPr>
      </w:pPr>
    </w:p>
    <w:p w:rsidR="005E5A5B" w:rsidRDefault="005E5A5B" w:rsidP="00B97FEC">
      <w:pPr>
        <w:ind w:left="0"/>
        <w:jc w:val="center"/>
        <w:rPr>
          <w:rFonts w:ascii="Bookman Old Style" w:hAnsi="Bookman Old Style"/>
        </w:rPr>
      </w:pPr>
      <w:r>
        <w:rPr>
          <w:rFonts w:ascii="Bookman Old Style" w:hAnsi="Bookman Old Style"/>
        </w:rPr>
        <w:t>P</w:t>
      </w:r>
      <w:r w:rsidRPr="001D507F">
        <w:rPr>
          <w:rFonts w:ascii="Bookman Old Style" w:hAnsi="Bookman Old Style"/>
        </w:rPr>
        <w:t xml:space="preserve">or la cual </w:t>
      </w:r>
      <w:r>
        <w:rPr>
          <w:rFonts w:ascii="Bookman Old Style" w:hAnsi="Bookman Old Style"/>
        </w:rPr>
        <w:t>se ajusta la definición de</w:t>
      </w:r>
      <w:r w:rsidRPr="004C4842">
        <w:rPr>
          <w:rFonts w:ascii="Bookman Old Style" w:hAnsi="Bookman Old Style"/>
        </w:rPr>
        <w:t xml:space="preserve"> </w:t>
      </w:r>
      <w:r w:rsidRPr="00B97FEC">
        <w:rPr>
          <w:rFonts w:ascii="Bookman Old Style" w:hAnsi="Bookman Old Style"/>
        </w:rPr>
        <w:t>Oferta de cantidades importadas disponibles para la venta en firme, oferta de CIDVF</w:t>
      </w:r>
      <w:r w:rsidR="00B97FEC" w:rsidRPr="00B97FEC">
        <w:rPr>
          <w:rFonts w:ascii="Bookman Old Style" w:hAnsi="Bookman Old Style"/>
        </w:rPr>
        <w:t xml:space="preserve"> contenida en el artículo 3 de la Resolución CREG 114 de 2017</w:t>
      </w:r>
    </w:p>
    <w:p w:rsidR="00B97FEC" w:rsidRPr="0031321A" w:rsidRDefault="00B97FEC" w:rsidP="00B97FEC">
      <w:pPr>
        <w:ind w:left="0"/>
        <w:jc w:val="center"/>
        <w:rPr>
          <w:rFonts w:ascii="Bookman Old Style" w:hAnsi="Bookman Old Style"/>
        </w:rPr>
      </w:pPr>
    </w:p>
    <w:p w:rsidR="001C4EC5" w:rsidRPr="00B97FEC" w:rsidRDefault="001C4EC5" w:rsidP="00B97FEC">
      <w:pPr>
        <w:ind w:left="0"/>
        <w:jc w:val="center"/>
        <w:rPr>
          <w:rFonts w:ascii="Bookman Old Style" w:hAnsi="Bookman Old Style"/>
        </w:rPr>
      </w:pPr>
    </w:p>
    <w:p w:rsidR="001C4EC5" w:rsidRPr="001C4EC5" w:rsidRDefault="001C4EC5" w:rsidP="00B97FEC">
      <w:pPr>
        <w:ind w:left="0"/>
        <w:jc w:val="center"/>
        <w:rPr>
          <w:rFonts w:ascii="Bookman Old Style" w:hAnsi="Bookman Old Style" w:cs="Arial"/>
          <w:color w:val="000000"/>
          <w:lang w:eastAsia="es-CO"/>
        </w:rPr>
      </w:pPr>
      <w:r w:rsidRPr="001C4EC5">
        <w:rPr>
          <w:rFonts w:ascii="Bookman Old Style" w:hAnsi="Bookman Old Style" w:cs="Arial"/>
          <w:b/>
          <w:bCs/>
          <w:color w:val="000000"/>
          <w:lang w:eastAsia="es-CO"/>
        </w:rPr>
        <w:t>LA COMISIÓN DE REGULACIÓN DE ENERGÍA Y GAS</w:t>
      </w:r>
    </w:p>
    <w:p w:rsidR="001C4EC5" w:rsidRDefault="001C4EC5" w:rsidP="0040389F">
      <w:pPr>
        <w:spacing w:before="480" w:after="480"/>
        <w:ind w:left="0"/>
        <w:jc w:val="center"/>
        <w:rPr>
          <w:rFonts w:ascii="Bookman Old Style" w:hAnsi="Bookman Old Style" w:cs="Arial"/>
          <w:color w:val="000000"/>
        </w:rPr>
      </w:pPr>
      <w:r w:rsidRPr="00646E0D">
        <w:rPr>
          <w:rFonts w:ascii="Bookman Old Style" w:hAnsi="Bookman Old Style" w:cs="Arial"/>
          <w:color w:val="000000"/>
        </w:rPr>
        <w:t xml:space="preserve">En ejercicio de las atribuciones constitucionales y legales, en especial las conferidas por la Ley 142 de 1994 y los </w:t>
      </w:r>
      <w:r>
        <w:rPr>
          <w:rFonts w:ascii="Bookman Old Style" w:hAnsi="Bookman Old Style" w:cs="Arial"/>
          <w:color w:val="000000"/>
        </w:rPr>
        <w:t>d</w:t>
      </w:r>
      <w:r w:rsidRPr="00646E0D">
        <w:rPr>
          <w:rFonts w:ascii="Bookman Old Style" w:hAnsi="Bookman Old Style" w:cs="Arial"/>
          <w:color w:val="000000"/>
        </w:rPr>
        <w:t>ecretos 1523 y 2253 de 1994</w:t>
      </w:r>
      <w:r>
        <w:rPr>
          <w:rFonts w:ascii="Bookman Old Style" w:hAnsi="Bookman Old Style" w:cs="Arial"/>
          <w:color w:val="000000"/>
        </w:rPr>
        <w:t xml:space="preserve"> y 1260 de 2013, y</w:t>
      </w:r>
    </w:p>
    <w:p w:rsidR="001C4EC5" w:rsidRPr="001B06AC" w:rsidRDefault="001C4EC5" w:rsidP="0040389F">
      <w:pPr>
        <w:spacing w:after="480"/>
        <w:ind w:left="0"/>
        <w:jc w:val="center"/>
        <w:rPr>
          <w:rFonts w:ascii="Bookman Old Style" w:hAnsi="Bookman Old Style" w:cs="Arial"/>
          <w:b/>
          <w:color w:val="000000"/>
        </w:rPr>
      </w:pPr>
      <w:r w:rsidRPr="001B06AC">
        <w:rPr>
          <w:rFonts w:ascii="Bookman Old Style" w:hAnsi="Bookman Old Style" w:cs="Arial"/>
          <w:b/>
          <w:color w:val="000000"/>
        </w:rPr>
        <w:t xml:space="preserve">C O N S I D E R A N D O </w:t>
      </w:r>
      <w:r w:rsidR="006962D4" w:rsidRPr="001B06AC">
        <w:rPr>
          <w:rFonts w:ascii="Bookman Old Style" w:hAnsi="Bookman Old Style" w:cs="Arial"/>
          <w:b/>
          <w:color w:val="000000"/>
        </w:rPr>
        <w:t xml:space="preserve"> </w:t>
      </w:r>
      <w:r w:rsidRPr="001B06AC">
        <w:rPr>
          <w:rFonts w:ascii="Bookman Old Style" w:hAnsi="Bookman Old Style" w:cs="Arial"/>
          <w:b/>
          <w:color w:val="000000"/>
        </w:rPr>
        <w:t xml:space="preserve"> Q U E:</w:t>
      </w:r>
    </w:p>
    <w:p w:rsidR="005E5A5B" w:rsidRPr="001B06AC" w:rsidRDefault="005E5A5B" w:rsidP="005E5A5B">
      <w:pPr>
        <w:ind w:left="0" w:right="289"/>
        <w:jc w:val="both"/>
        <w:rPr>
          <w:rFonts w:ascii="Bookman Old Style" w:hAnsi="Bookman Old Style"/>
        </w:rPr>
      </w:pPr>
      <w:r w:rsidRPr="001B06AC">
        <w:rPr>
          <w:rFonts w:ascii="Bookman Old Style" w:hAnsi="Bookman Old Style"/>
        </w:rPr>
        <w:t>La CREG el día 2 de septiembre de 2017 expidió la Resolución CREG 114 de 2017, Por la cual se ajustan algunos aspectos referentes a la comercialización del mercado mayorista de gas natural y se compila la Resolución CREG 089 de 2013 con todos sus ajustes y modificaciones.</w:t>
      </w:r>
    </w:p>
    <w:p w:rsidR="005E5A5B" w:rsidRPr="001B06AC" w:rsidRDefault="005E5A5B" w:rsidP="005E5A5B">
      <w:pPr>
        <w:ind w:left="0" w:right="289"/>
        <w:jc w:val="both"/>
        <w:rPr>
          <w:rFonts w:ascii="Bookman Old Style" w:hAnsi="Bookman Old Style"/>
        </w:rPr>
      </w:pPr>
    </w:p>
    <w:p w:rsidR="005E5A5B" w:rsidRPr="001B06AC" w:rsidRDefault="005E5A5B" w:rsidP="005E5A5B">
      <w:pPr>
        <w:ind w:left="0" w:right="289"/>
        <w:jc w:val="both"/>
        <w:rPr>
          <w:rFonts w:ascii="Bookman Old Style" w:hAnsi="Bookman Old Style"/>
        </w:rPr>
      </w:pPr>
      <w:r w:rsidRPr="001B06AC">
        <w:rPr>
          <w:rFonts w:ascii="Bookman Old Style" w:hAnsi="Bookman Old Style"/>
        </w:rPr>
        <w:t xml:space="preserve">En el texto de la mencionada resolución y de acuerdo con lo dispuesto en </w:t>
      </w:r>
      <w:r w:rsidR="00E94D8B" w:rsidRPr="001B06AC">
        <w:rPr>
          <w:rFonts w:ascii="Bookman Old Style" w:hAnsi="Bookman Old Style"/>
        </w:rPr>
        <w:t>su</w:t>
      </w:r>
      <w:r w:rsidRPr="001B06AC">
        <w:rPr>
          <w:rFonts w:ascii="Bookman Old Style" w:hAnsi="Bookman Old Style"/>
        </w:rPr>
        <w:t xml:space="preserve"> artículo 9, se hace un listado con las modalidades contractuales que son permitidas en el mercado primario, llamando la atención sobre las que hacen referencia a los contratos de suministro en firme al 95%, CF95, contratos de suministro C1 y contratos de suministro C2. </w:t>
      </w:r>
    </w:p>
    <w:p w:rsidR="00E94D8B" w:rsidRPr="001B06AC" w:rsidRDefault="00E94D8B" w:rsidP="005E5A5B">
      <w:pPr>
        <w:ind w:left="0" w:right="289"/>
        <w:jc w:val="both"/>
        <w:rPr>
          <w:rFonts w:ascii="Bookman Old Style" w:hAnsi="Bookman Old Style"/>
        </w:rPr>
      </w:pPr>
    </w:p>
    <w:p w:rsidR="00E94D8B" w:rsidRPr="001B06AC" w:rsidRDefault="00E94D8B" w:rsidP="005E5A5B">
      <w:pPr>
        <w:ind w:left="0" w:right="289"/>
        <w:jc w:val="both"/>
        <w:rPr>
          <w:rFonts w:ascii="Bookman Old Style" w:hAnsi="Bookman Old Style"/>
        </w:rPr>
      </w:pPr>
      <w:r w:rsidRPr="001B06AC">
        <w:rPr>
          <w:rFonts w:ascii="Bookman Old Style" w:hAnsi="Bookman Old Style"/>
        </w:rPr>
        <w:t>Por su parte en el artículo 3 de la Resolución CREG 114 de 2017, referente a las definiciones, se define lo que debe entenderse por Oferta de cantidades importadas disponibles para la venta en firme, oferta de CIDVF, así:</w:t>
      </w:r>
    </w:p>
    <w:p w:rsidR="005E5A5B" w:rsidRDefault="005E5A5B" w:rsidP="005E5A5B">
      <w:pPr>
        <w:ind w:left="0" w:right="289"/>
        <w:jc w:val="both"/>
        <w:rPr>
          <w:rFonts w:ascii="Bookman Old Style" w:hAnsi="Bookman Old Style"/>
          <w:sz w:val="22"/>
          <w:szCs w:val="22"/>
        </w:rPr>
      </w:pPr>
    </w:p>
    <w:p w:rsidR="00E94D8B" w:rsidRPr="00E94D8B" w:rsidRDefault="00E94D8B" w:rsidP="00E94D8B">
      <w:pPr>
        <w:pStyle w:val="ARTICULOS"/>
        <w:numPr>
          <w:ilvl w:val="0"/>
          <w:numId w:val="0"/>
        </w:numPr>
        <w:ind w:left="567" w:right="425"/>
        <w:rPr>
          <w:rFonts w:cs="Arial"/>
          <w:i/>
          <w:color w:val="000000"/>
          <w:lang w:val="es-ES"/>
        </w:rPr>
      </w:pPr>
      <w:r w:rsidRPr="00E94D8B">
        <w:rPr>
          <w:rFonts w:cs="Arial"/>
          <w:b/>
          <w:i/>
          <w:color w:val="000000"/>
          <w:lang w:val="es-ES"/>
        </w:rPr>
        <w:t>Oferta de cantidades importadas disponibles para la venta en firme, oferta de CIDVF:</w:t>
      </w:r>
      <w:r w:rsidRPr="00E94D8B">
        <w:rPr>
          <w:rFonts w:cs="Arial"/>
          <w:i/>
          <w:color w:val="000000"/>
          <w:lang w:val="es-ES"/>
        </w:rPr>
        <w:t xml:space="preserve"> cantidad diaria promedio mes de gas natural, expresada en GBTUD, por punto de entrada al SNT, </w:t>
      </w:r>
      <w:r w:rsidRPr="00E94D8B">
        <w:rPr>
          <w:rFonts w:cs="Arial"/>
          <w:bCs w:val="0"/>
          <w:i/>
          <w:color w:val="000000"/>
        </w:rPr>
        <w:t>o</w:t>
      </w:r>
      <w:r w:rsidRPr="00E94D8B">
        <w:rPr>
          <w:rFonts w:cs="Arial"/>
          <w:bCs w:val="0"/>
          <w:i/>
          <w:color w:val="000000"/>
          <w:lang w:val="es-CO"/>
        </w:rPr>
        <w:t xml:space="preserve"> por</w:t>
      </w:r>
      <w:r w:rsidRPr="00E94D8B">
        <w:rPr>
          <w:rFonts w:cs="Arial"/>
          <w:bCs w:val="0"/>
          <w:i/>
          <w:color w:val="000000"/>
        </w:rPr>
        <w:t xml:space="preserve"> punto del SNT </w:t>
      </w:r>
      <w:r w:rsidRPr="00E94D8B">
        <w:rPr>
          <w:rFonts w:cs="Arial"/>
          <w:i/>
          <w:color w:val="000000"/>
        </w:rPr>
        <w:t>que corresponda al sitio de inicio o terminación de alguno de los tramos de gasoductos definidos para efectos tarifarios</w:t>
      </w:r>
      <w:r w:rsidRPr="00E94D8B">
        <w:rPr>
          <w:rFonts w:cs="Arial"/>
          <w:i/>
          <w:color w:val="000000"/>
          <w:lang w:val="es-ES"/>
        </w:rPr>
        <w:t xml:space="preserve">, que un comercializador de gas importado está dispuesto </w:t>
      </w:r>
      <w:r w:rsidRPr="00E94D8B">
        <w:rPr>
          <w:rFonts w:cs="Arial"/>
          <w:bCs w:val="0"/>
          <w:i/>
          <w:color w:val="000000"/>
        </w:rPr>
        <w:t>a ofrecer bajo las modalidades de contrato firme, contrato de suministro con firmeza condicionada y contrato de opción de compra de gas</w:t>
      </w:r>
      <w:r w:rsidRPr="00E94D8B">
        <w:rPr>
          <w:rFonts w:cs="Arial"/>
          <w:i/>
          <w:color w:val="000000"/>
          <w:lang w:val="es-ES"/>
        </w:rPr>
        <w:t xml:space="preserve">. </w:t>
      </w:r>
      <w:r w:rsidRPr="00E94D8B">
        <w:rPr>
          <w:rFonts w:cs="Arial"/>
          <w:bCs w:val="0"/>
          <w:i/>
          <w:color w:val="000000"/>
        </w:rPr>
        <w:t xml:space="preserve">Deberá ser igual o inferior a la </w:t>
      </w:r>
      <w:r w:rsidRPr="00E94D8B">
        <w:rPr>
          <w:rFonts w:cs="Arial"/>
          <w:bCs w:val="0"/>
          <w:i/>
          <w:color w:val="000000"/>
          <w:lang w:val="es-CO"/>
        </w:rPr>
        <w:t xml:space="preserve">cantidad importada </w:t>
      </w:r>
      <w:r w:rsidRPr="00E94D8B">
        <w:rPr>
          <w:rFonts w:cs="Arial"/>
          <w:bCs w:val="0"/>
          <w:i/>
          <w:color w:val="000000"/>
        </w:rPr>
        <w:t xml:space="preserve">disponible para la venta, </w:t>
      </w:r>
      <w:r w:rsidRPr="00E94D8B">
        <w:rPr>
          <w:rFonts w:cs="Arial"/>
          <w:bCs w:val="0"/>
          <w:i/>
          <w:color w:val="000000"/>
          <w:lang w:val="es-CO"/>
        </w:rPr>
        <w:t>CI</w:t>
      </w:r>
      <w:r w:rsidRPr="00E94D8B">
        <w:rPr>
          <w:rFonts w:cs="Arial"/>
          <w:bCs w:val="0"/>
          <w:i/>
          <w:color w:val="000000"/>
        </w:rPr>
        <w:t>DV, declarada según lo señalado en el Decreto 2100 de 2011</w:t>
      </w:r>
      <w:r w:rsidRPr="00E94D8B">
        <w:rPr>
          <w:rFonts w:cs="Arial"/>
          <w:bCs w:val="0"/>
          <w:i/>
          <w:color w:val="000000"/>
          <w:lang w:val="es-CO"/>
        </w:rPr>
        <w:t xml:space="preserve"> o aquel que lo </w:t>
      </w:r>
      <w:r w:rsidRPr="00E94D8B">
        <w:rPr>
          <w:rFonts w:cs="Arial"/>
          <w:i/>
          <w:color w:val="000000"/>
          <w:lang w:val="es-ES"/>
        </w:rPr>
        <w:t>modifique o sustituya</w:t>
      </w:r>
      <w:r w:rsidRPr="00E94D8B">
        <w:rPr>
          <w:rFonts w:cs="Arial"/>
          <w:bCs w:val="0"/>
          <w:i/>
          <w:color w:val="000000"/>
        </w:rPr>
        <w:t>.</w:t>
      </w:r>
    </w:p>
    <w:p w:rsidR="005E5A5B" w:rsidRDefault="005E5A5B" w:rsidP="005E5A5B">
      <w:pPr>
        <w:ind w:left="0" w:right="289"/>
        <w:jc w:val="both"/>
        <w:rPr>
          <w:rFonts w:ascii="Bookman Old Style" w:eastAsia="Arial Unicode MS" w:hAnsi="Bookman Old Style" w:cs="Arial"/>
          <w:bCs/>
          <w:sz w:val="22"/>
          <w:szCs w:val="22"/>
        </w:rPr>
      </w:pPr>
    </w:p>
    <w:p w:rsidR="00B97FEC" w:rsidRDefault="00E94D8B" w:rsidP="005E5A5B">
      <w:pPr>
        <w:ind w:left="0" w:right="289"/>
        <w:jc w:val="both"/>
        <w:rPr>
          <w:rFonts w:ascii="Bookman Old Style" w:eastAsia="Arial Unicode MS" w:hAnsi="Bookman Old Style" w:cs="Arial"/>
          <w:bCs/>
        </w:rPr>
      </w:pPr>
      <w:r>
        <w:rPr>
          <w:rFonts w:ascii="Bookman Old Style" w:eastAsia="Arial Unicode MS" w:hAnsi="Bookman Old Style" w:cs="Arial"/>
          <w:bCs/>
        </w:rPr>
        <w:t xml:space="preserve">De la lectura de la definición se observa que en la misma se hace referencia a unas modalidades de contratos como lo son contrato firme, contratos de suministro con firmeza condicionada y contratos de opción de compra de gas, </w:t>
      </w:r>
    </w:p>
    <w:p w:rsidR="00B97FEC" w:rsidRDefault="00B97FEC" w:rsidP="005E5A5B">
      <w:pPr>
        <w:ind w:left="0" w:right="289"/>
        <w:jc w:val="both"/>
        <w:rPr>
          <w:rFonts w:ascii="Bookman Old Style" w:eastAsia="Arial Unicode MS" w:hAnsi="Bookman Old Style" w:cs="Arial"/>
          <w:bCs/>
        </w:rPr>
      </w:pPr>
    </w:p>
    <w:p w:rsidR="00B97FEC" w:rsidRDefault="00B97FEC" w:rsidP="005E5A5B">
      <w:pPr>
        <w:ind w:left="0" w:right="289"/>
        <w:jc w:val="both"/>
        <w:rPr>
          <w:rFonts w:ascii="Bookman Old Style" w:eastAsia="Arial Unicode MS" w:hAnsi="Bookman Old Style" w:cs="Arial"/>
          <w:bCs/>
        </w:rPr>
      </w:pPr>
    </w:p>
    <w:p w:rsidR="00B97FEC" w:rsidRDefault="00B97FEC" w:rsidP="005E5A5B">
      <w:pPr>
        <w:ind w:left="0" w:right="289"/>
        <w:jc w:val="both"/>
        <w:rPr>
          <w:rFonts w:ascii="Bookman Old Style" w:eastAsia="Arial Unicode MS" w:hAnsi="Bookman Old Style" w:cs="Arial"/>
          <w:bCs/>
        </w:rPr>
      </w:pPr>
    </w:p>
    <w:p w:rsidR="00E94D8B" w:rsidRDefault="00E94D8B" w:rsidP="005E5A5B">
      <w:pPr>
        <w:ind w:left="0" w:right="289"/>
        <w:jc w:val="both"/>
        <w:rPr>
          <w:rFonts w:ascii="Bookman Old Style" w:eastAsia="Arial Unicode MS" w:hAnsi="Bookman Old Style" w:cs="Arial"/>
          <w:bCs/>
        </w:rPr>
      </w:pPr>
      <w:r>
        <w:rPr>
          <w:rFonts w:ascii="Bookman Old Style" w:eastAsia="Arial Unicode MS" w:hAnsi="Bookman Old Style" w:cs="Arial"/>
          <w:bCs/>
        </w:rPr>
        <w:t xml:space="preserve">las cuales de acuerdo con lo dispuesto en el artículo 9 de la Resolución CREG 114 de 2017 en este momento ya no existen. </w:t>
      </w:r>
    </w:p>
    <w:p w:rsidR="00E94D8B" w:rsidRDefault="00E94D8B" w:rsidP="005E5A5B">
      <w:pPr>
        <w:ind w:left="0" w:right="289"/>
        <w:jc w:val="both"/>
        <w:rPr>
          <w:rFonts w:ascii="Bookman Old Style" w:eastAsia="Arial Unicode MS" w:hAnsi="Bookman Old Style" w:cs="Arial"/>
          <w:bCs/>
        </w:rPr>
      </w:pPr>
    </w:p>
    <w:p w:rsidR="00E94D8B" w:rsidRDefault="00E94D8B" w:rsidP="00E94D8B">
      <w:pPr>
        <w:pStyle w:val="ARTICULOS"/>
        <w:numPr>
          <w:ilvl w:val="0"/>
          <w:numId w:val="0"/>
        </w:numPr>
        <w:rPr>
          <w:rFonts w:cs="Arial"/>
          <w:color w:val="000000"/>
          <w:lang w:val="es-ES"/>
        </w:rPr>
      </w:pPr>
      <w:r>
        <w:rPr>
          <w:rFonts w:eastAsia="Arial Unicode MS" w:cs="Arial"/>
          <w:bCs w:val="0"/>
        </w:rPr>
        <w:t xml:space="preserve">Con base en lo anterior y con el fin de tener una congruencia respecto a la aplicabilidad de la definición de </w:t>
      </w:r>
      <w:r w:rsidRPr="00E94D8B">
        <w:rPr>
          <w:rFonts w:cs="Arial"/>
          <w:color w:val="000000"/>
          <w:lang w:val="es-ES"/>
        </w:rPr>
        <w:t>Oferta de cantidades importadas disponibles para la venta en firme, oferta de CIDVF</w:t>
      </w:r>
      <w:r>
        <w:rPr>
          <w:rFonts w:cs="Arial"/>
          <w:color w:val="000000"/>
          <w:lang w:val="es-ES"/>
        </w:rPr>
        <w:t xml:space="preserve">, se hace necesario realizar el ajuste regulatorio correspondiente. </w:t>
      </w:r>
    </w:p>
    <w:p w:rsidR="00045D3D" w:rsidRDefault="00045D3D" w:rsidP="0040389F">
      <w:pPr>
        <w:keepNext/>
        <w:suppressAutoHyphens/>
        <w:spacing w:before="480" w:after="480"/>
        <w:jc w:val="center"/>
        <w:rPr>
          <w:rFonts w:ascii="Bookman Old Style" w:hAnsi="Bookman Old Style"/>
          <w:b/>
          <w:spacing w:val="-3"/>
        </w:rPr>
      </w:pPr>
      <w:r w:rsidRPr="00C435C3">
        <w:rPr>
          <w:rFonts w:ascii="Bookman Old Style" w:hAnsi="Bookman Old Style"/>
          <w:b/>
          <w:spacing w:val="-3"/>
        </w:rPr>
        <w:t>R E S U E L V E:</w:t>
      </w:r>
    </w:p>
    <w:p w:rsidR="00E94D8B" w:rsidRDefault="00F10176" w:rsidP="00DF3CA2">
      <w:pPr>
        <w:ind w:left="0"/>
        <w:jc w:val="both"/>
        <w:rPr>
          <w:rFonts w:ascii="Bookman Old Style" w:hAnsi="Bookman Old Style"/>
        </w:rPr>
      </w:pPr>
      <w:r>
        <w:rPr>
          <w:rFonts w:ascii="Bookman Old Style" w:hAnsi="Bookman Old Style"/>
          <w:b/>
        </w:rPr>
        <w:t>Artículo</w:t>
      </w:r>
      <w:r w:rsidR="00045D3D" w:rsidRPr="002A782A">
        <w:rPr>
          <w:rFonts w:ascii="Bookman Old Style" w:hAnsi="Bookman Old Style"/>
          <w:b/>
        </w:rPr>
        <w:t xml:space="preserve"> 1. </w:t>
      </w:r>
      <w:r w:rsidR="00E94D8B">
        <w:rPr>
          <w:rFonts w:ascii="Bookman Old Style" w:hAnsi="Bookman Old Style"/>
        </w:rPr>
        <w:t xml:space="preserve">Ajustar la definición de Oferta de cantidades importadas disponibles para la venta en firme, oferta de CIDVF, así: </w:t>
      </w:r>
    </w:p>
    <w:p w:rsidR="00E94D8B" w:rsidRDefault="00E94D8B" w:rsidP="00DF3CA2">
      <w:pPr>
        <w:ind w:left="0"/>
        <w:jc w:val="both"/>
        <w:rPr>
          <w:rFonts w:ascii="Bookman Old Style" w:hAnsi="Bookman Old Style"/>
        </w:rPr>
      </w:pPr>
    </w:p>
    <w:p w:rsidR="00E94D8B" w:rsidRPr="00E94D8B" w:rsidRDefault="00E94D8B" w:rsidP="00E94D8B">
      <w:pPr>
        <w:pStyle w:val="ARTICULOS"/>
        <w:numPr>
          <w:ilvl w:val="0"/>
          <w:numId w:val="0"/>
        </w:numPr>
        <w:ind w:left="567" w:right="851"/>
        <w:rPr>
          <w:rFonts w:cs="Arial"/>
          <w:i/>
          <w:color w:val="000000"/>
          <w:sz w:val="22"/>
          <w:szCs w:val="22"/>
          <w:lang w:val="es-ES"/>
        </w:rPr>
      </w:pPr>
      <w:r w:rsidRPr="00E94D8B">
        <w:rPr>
          <w:rFonts w:cs="Arial"/>
          <w:b/>
          <w:i/>
          <w:color w:val="000000"/>
          <w:sz w:val="22"/>
          <w:szCs w:val="22"/>
          <w:lang w:val="es-ES"/>
        </w:rPr>
        <w:t>Oferta de cantidades importadas disponibles para la venta en firme, oferta de CIDVF:</w:t>
      </w:r>
      <w:r w:rsidRPr="00E94D8B">
        <w:rPr>
          <w:rFonts w:cs="Arial"/>
          <w:i/>
          <w:color w:val="000000"/>
          <w:sz w:val="22"/>
          <w:szCs w:val="22"/>
          <w:lang w:val="es-ES"/>
        </w:rPr>
        <w:t xml:space="preserve"> cantidad diaria promedio mes de gas natural, expresada en GBTUD, por punto de entrada al SNT, </w:t>
      </w:r>
      <w:r w:rsidRPr="00E94D8B">
        <w:rPr>
          <w:rFonts w:cs="Arial"/>
          <w:bCs w:val="0"/>
          <w:i/>
          <w:color w:val="000000"/>
          <w:sz w:val="22"/>
          <w:szCs w:val="22"/>
        </w:rPr>
        <w:t>o</w:t>
      </w:r>
      <w:r w:rsidRPr="00E94D8B">
        <w:rPr>
          <w:rFonts w:cs="Arial"/>
          <w:bCs w:val="0"/>
          <w:i/>
          <w:color w:val="000000"/>
          <w:sz w:val="22"/>
          <w:szCs w:val="22"/>
          <w:lang w:val="es-CO"/>
        </w:rPr>
        <w:t xml:space="preserve"> por</w:t>
      </w:r>
      <w:r w:rsidRPr="00E94D8B">
        <w:rPr>
          <w:rFonts w:cs="Arial"/>
          <w:bCs w:val="0"/>
          <w:i/>
          <w:color w:val="000000"/>
          <w:sz w:val="22"/>
          <w:szCs w:val="22"/>
        </w:rPr>
        <w:t xml:space="preserve"> punto del SNT </w:t>
      </w:r>
      <w:r w:rsidRPr="00E94D8B">
        <w:rPr>
          <w:rFonts w:cs="Arial"/>
          <w:i/>
          <w:color w:val="000000"/>
          <w:sz w:val="22"/>
          <w:szCs w:val="22"/>
        </w:rPr>
        <w:t>que corresponda al sitio de inicio o terminación de alguno de los tramos de gasoductos definidos para efectos tarifarios</w:t>
      </w:r>
      <w:r w:rsidRPr="00E94D8B">
        <w:rPr>
          <w:rFonts w:cs="Arial"/>
          <w:i/>
          <w:color w:val="000000"/>
          <w:sz w:val="22"/>
          <w:szCs w:val="22"/>
          <w:lang w:val="es-ES"/>
        </w:rPr>
        <w:t xml:space="preserve">, que un comercializador de gas importado está dispuesto </w:t>
      </w:r>
      <w:r w:rsidRPr="00E94D8B">
        <w:rPr>
          <w:rFonts w:cs="Arial"/>
          <w:bCs w:val="0"/>
          <w:i/>
          <w:color w:val="000000"/>
          <w:sz w:val="22"/>
          <w:szCs w:val="22"/>
        </w:rPr>
        <w:t xml:space="preserve">a ofrecer bajo las modalidades </w:t>
      </w:r>
      <w:r w:rsidRPr="00E94D8B">
        <w:rPr>
          <w:rFonts w:cs="Arial"/>
          <w:i/>
          <w:color w:val="000000"/>
          <w:sz w:val="22"/>
          <w:szCs w:val="22"/>
        </w:rPr>
        <w:t>que garantizan firmeza según lo dispuesto en la presente resolución</w:t>
      </w:r>
      <w:r w:rsidRPr="00E94D8B">
        <w:rPr>
          <w:rFonts w:cs="Arial"/>
          <w:i/>
          <w:color w:val="000000"/>
          <w:sz w:val="22"/>
          <w:szCs w:val="22"/>
          <w:lang w:val="es-ES"/>
        </w:rPr>
        <w:t xml:space="preserve">. </w:t>
      </w:r>
      <w:r w:rsidRPr="00E94D8B">
        <w:rPr>
          <w:rFonts w:cs="Arial"/>
          <w:bCs w:val="0"/>
          <w:i/>
          <w:color w:val="000000"/>
          <w:sz w:val="22"/>
          <w:szCs w:val="22"/>
        </w:rPr>
        <w:t xml:space="preserve">Deberá ser igual o inferior a la </w:t>
      </w:r>
      <w:r w:rsidRPr="00E94D8B">
        <w:rPr>
          <w:rFonts w:cs="Arial"/>
          <w:bCs w:val="0"/>
          <w:i/>
          <w:color w:val="000000"/>
          <w:sz w:val="22"/>
          <w:szCs w:val="22"/>
          <w:lang w:val="es-CO"/>
        </w:rPr>
        <w:t xml:space="preserve">cantidad importada </w:t>
      </w:r>
      <w:r w:rsidRPr="00E94D8B">
        <w:rPr>
          <w:rFonts w:cs="Arial"/>
          <w:bCs w:val="0"/>
          <w:i/>
          <w:color w:val="000000"/>
          <w:sz w:val="22"/>
          <w:szCs w:val="22"/>
        </w:rPr>
        <w:t xml:space="preserve">disponible para la venta, </w:t>
      </w:r>
      <w:r w:rsidRPr="00E94D8B">
        <w:rPr>
          <w:rFonts w:cs="Arial"/>
          <w:bCs w:val="0"/>
          <w:i/>
          <w:color w:val="000000"/>
          <w:sz w:val="22"/>
          <w:szCs w:val="22"/>
          <w:lang w:val="es-CO"/>
        </w:rPr>
        <w:t>CI</w:t>
      </w:r>
      <w:r w:rsidRPr="00E94D8B">
        <w:rPr>
          <w:rFonts w:cs="Arial"/>
          <w:bCs w:val="0"/>
          <w:i/>
          <w:color w:val="000000"/>
          <w:sz w:val="22"/>
          <w:szCs w:val="22"/>
        </w:rPr>
        <w:t>DV, declarada según lo señalado en el Decreto 2100 de 2011</w:t>
      </w:r>
      <w:r w:rsidRPr="00E94D8B">
        <w:rPr>
          <w:rFonts w:cs="Arial"/>
          <w:bCs w:val="0"/>
          <w:i/>
          <w:color w:val="000000"/>
          <w:sz w:val="22"/>
          <w:szCs w:val="22"/>
          <w:lang w:val="es-CO"/>
        </w:rPr>
        <w:t xml:space="preserve"> o aquel que lo </w:t>
      </w:r>
      <w:r w:rsidRPr="00E94D8B">
        <w:rPr>
          <w:rFonts w:cs="Arial"/>
          <w:i/>
          <w:color w:val="000000"/>
          <w:sz w:val="22"/>
          <w:szCs w:val="22"/>
          <w:lang w:val="es-ES"/>
        </w:rPr>
        <w:t>modifique o sustituya</w:t>
      </w:r>
      <w:r w:rsidRPr="00E94D8B">
        <w:rPr>
          <w:rFonts w:cs="Arial"/>
          <w:bCs w:val="0"/>
          <w:i/>
          <w:color w:val="000000"/>
          <w:sz w:val="22"/>
          <w:szCs w:val="22"/>
        </w:rPr>
        <w:t>.</w:t>
      </w:r>
    </w:p>
    <w:p w:rsidR="00384E02" w:rsidRPr="00595112" w:rsidRDefault="00384E02" w:rsidP="0040389F">
      <w:pPr>
        <w:spacing w:before="240" w:after="240"/>
        <w:ind w:left="0"/>
        <w:jc w:val="both"/>
        <w:rPr>
          <w:rFonts w:ascii="Bookman Old Style" w:hAnsi="Bookman Old Style"/>
          <w:sz w:val="22"/>
        </w:rPr>
      </w:pPr>
      <w:r w:rsidRPr="00595112">
        <w:rPr>
          <w:rFonts w:ascii="Bookman Old Style" w:hAnsi="Bookman Old Style"/>
          <w:b/>
        </w:rPr>
        <w:t>A</w:t>
      </w:r>
      <w:r w:rsidR="004850E6" w:rsidRPr="00595112">
        <w:rPr>
          <w:rFonts w:ascii="Bookman Old Style" w:hAnsi="Bookman Old Style"/>
          <w:b/>
        </w:rPr>
        <w:t>rtículo</w:t>
      </w:r>
      <w:r w:rsidRPr="00595112">
        <w:rPr>
          <w:rFonts w:ascii="Bookman Old Style" w:hAnsi="Bookman Old Style"/>
          <w:b/>
        </w:rPr>
        <w:t xml:space="preserve"> </w:t>
      </w:r>
      <w:r w:rsidR="00E94D8B">
        <w:rPr>
          <w:rFonts w:ascii="Bookman Old Style" w:hAnsi="Bookman Old Style"/>
          <w:b/>
        </w:rPr>
        <w:t>2</w:t>
      </w:r>
      <w:r w:rsidRPr="00595112">
        <w:rPr>
          <w:rFonts w:ascii="Bookman Old Style" w:hAnsi="Bookman Old Style"/>
          <w:b/>
        </w:rPr>
        <w:t>. V</w:t>
      </w:r>
      <w:r w:rsidR="004850E6" w:rsidRPr="00595112">
        <w:rPr>
          <w:rFonts w:ascii="Bookman Old Style" w:hAnsi="Bookman Old Style"/>
          <w:b/>
        </w:rPr>
        <w:t>igencia</w:t>
      </w:r>
      <w:r w:rsidRPr="00595112">
        <w:rPr>
          <w:rFonts w:ascii="Bookman Old Style" w:hAnsi="Bookman Old Style"/>
          <w:b/>
        </w:rPr>
        <w:t xml:space="preserve">. </w:t>
      </w:r>
      <w:r w:rsidRPr="00595112">
        <w:rPr>
          <w:rFonts w:ascii="Bookman Old Style" w:hAnsi="Bookman Old Style"/>
          <w:lang w:val="es-CO"/>
        </w:rPr>
        <w:t xml:space="preserve">La presente Resolución rige a partir de la fecha de su publicación en el </w:t>
      </w:r>
      <w:r w:rsidRPr="0040389F">
        <w:rPr>
          <w:rFonts w:ascii="Bookman Old Style" w:hAnsi="Bookman Old Style"/>
          <w:lang w:val="es-CO"/>
        </w:rPr>
        <w:t>Diario Oficial</w:t>
      </w:r>
      <w:r w:rsidRPr="00595112">
        <w:rPr>
          <w:rFonts w:ascii="Bookman Old Style" w:hAnsi="Bookman Old Style"/>
          <w:lang w:val="es-CO"/>
        </w:rPr>
        <w:t>.</w:t>
      </w:r>
    </w:p>
    <w:p w:rsidR="00045D3D" w:rsidRPr="0003274F" w:rsidRDefault="00045D3D" w:rsidP="0040389F">
      <w:pPr>
        <w:spacing w:before="480" w:after="240"/>
        <w:jc w:val="center"/>
        <w:rPr>
          <w:rFonts w:ascii="Bookman Old Style" w:hAnsi="Bookman Old Style"/>
          <w:b/>
        </w:rPr>
      </w:pPr>
      <w:r w:rsidRPr="0003274F">
        <w:rPr>
          <w:rFonts w:ascii="Bookman Old Style" w:hAnsi="Bookman Old Style"/>
          <w:b/>
        </w:rPr>
        <w:t>PU</w:t>
      </w:r>
      <w:r w:rsidR="00CA03C8" w:rsidRPr="0003274F">
        <w:rPr>
          <w:rFonts w:ascii="Bookman Old Style" w:hAnsi="Bookman Old Style"/>
          <w:b/>
        </w:rPr>
        <w:t>B</w:t>
      </w:r>
      <w:r w:rsidRPr="0003274F">
        <w:rPr>
          <w:rFonts w:ascii="Bookman Old Style" w:hAnsi="Bookman Old Style"/>
          <w:b/>
        </w:rPr>
        <w:t>LÍQUESE Y CÚMPLASE</w:t>
      </w:r>
    </w:p>
    <w:p w:rsidR="00045D3D" w:rsidRPr="00D03E61" w:rsidRDefault="00461994" w:rsidP="00045D3D">
      <w:pPr>
        <w:ind w:left="0"/>
        <w:rPr>
          <w:rFonts w:ascii="Bookman Old Style" w:hAnsi="Bookman Old Style"/>
        </w:rPr>
      </w:pPr>
      <w:r w:rsidRPr="0003274F">
        <w:rPr>
          <w:rFonts w:ascii="Bookman Old Style" w:hAnsi="Bookman Old Style"/>
        </w:rPr>
        <w:t>Firma del proyecto,</w:t>
      </w:r>
    </w:p>
    <w:p w:rsidR="00461994" w:rsidRPr="0040389F" w:rsidRDefault="00461994" w:rsidP="00045D3D">
      <w:pPr>
        <w:ind w:left="0"/>
        <w:rPr>
          <w:rFonts w:ascii="Bookman Old Style" w:hAnsi="Bookman Old Style"/>
        </w:rPr>
      </w:pPr>
    </w:p>
    <w:p w:rsidR="004850E6" w:rsidRDefault="004850E6" w:rsidP="00045D3D">
      <w:pPr>
        <w:ind w:left="0"/>
        <w:rPr>
          <w:rFonts w:ascii="Bookman Old Style" w:hAnsi="Bookman Old Style"/>
        </w:rPr>
      </w:pPr>
    </w:p>
    <w:p w:rsidR="004850E6" w:rsidRDefault="004850E6" w:rsidP="00045D3D">
      <w:pPr>
        <w:ind w:left="0"/>
        <w:rPr>
          <w:rFonts w:ascii="Bookman Old Style" w:hAnsi="Bookman Old Style"/>
        </w:rPr>
      </w:pPr>
    </w:p>
    <w:p w:rsidR="006C12A2" w:rsidRDefault="006C12A2" w:rsidP="00045D3D">
      <w:pPr>
        <w:ind w:left="0"/>
        <w:rPr>
          <w:rFonts w:ascii="Bookman Old Style" w:hAnsi="Bookman Old Style"/>
        </w:rPr>
      </w:pPr>
    </w:p>
    <w:p w:rsidR="006C12A2" w:rsidRPr="00461994" w:rsidRDefault="006C12A2" w:rsidP="006C12A2">
      <w:pPr>
        <w:ind w:left="0" w:firstLine="709"/>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5529"/>
        <w:gridCol w:w="3969"/>
      </w:tblGrid>
      <w:tr w:rsidR="006C12A2" w:rsidRPr="00461994" w:rsidTr="0004074F">
        <w:trPr>
          <w:tblCellSpacing w:w="0" w:type="dxa"/>
          <w:jc w:val="center"/>
        </w:trPr>
        <w:tc>
          <w:tcPr>
            <w:tcW w:w="5529" w:type="dxa"/>
            <w:hideMark/>
          </w:tcPr>
          <w:p w:rsidR="006C12A2" w:rsidRPr="00461994" w:rsidRDefault="00FD54B3" w:rsidP="0004074F">
            <w:pPr>
              <w:ind w:left="66"/>
              <w:jc w:val="center"/>
              <w:rPr>
                <w:rFonts w:ascii="Bookman Old Style" w:hAnsi="Bookman Old Style" w:cs="Arial"/>
                <w:b/>
                <w:spacing w:val="-3"/>
              </w:rPr>
            </w:pPr>
            <w:r>
              <w:rPr>
                <w:rFonts w:ascii="Bookman Old Style" w:hAnsi="Bookman Old Style" w:cs="Arial"/>
                <w:b/>
                <w:spacing w:val="-3"/>
              </w:rPr>
              <w:t>RUTTY PAOLA ORTÍZ JARA</w:t>
            </w:r>
          </w:p>
        </w:tc>
        <w:tc>
          <w:tcPr>
            <w:tcW w:w="3969" w:type="dxa"/>
            <w:hideMark/>
          </w:tcPr>
          <w:p w:rsidR="006C12A2" w:rsidRPr="00461994" w:rsidRDefault="006C12A2" w:rsidP="0004074F">
            <w:pPr>
              <w:ind w:left="89"/>
              <w:jc w:val="center"/>
              <w:rPr>
                <w:rFonts w:ascii="Bookman Old Style" w:hAnsi="Bookman Old Style" w:cs="Arial"/>
                <w:b/>
                <w:spacing w:val="-3"/>
              </w:rPr>
            </w:pPr>
            <w:r>
              <w:rPr>
                <w:rFonts w:ascii="Bookman Old Style" w:hAnsi="Bookman Old Style" w:cs="Arial"/>
                <w:b/>
                <w:spacing w:val="-3"/>
              </w:rPr>
              <w:t>GERMÁN CASTRO FERREIRA</w:t>
            </w:r>
          </w:p>
        </w:tc>
      </w:tr>
      <w:tr w:rsidR="006C12A2" w:rsidRPr="00461994" w:rsidTr="0004074F">
        <w:trPr>
          <w:tblCellSpacing w:w="0" w:type="dxa"/>
          <w:jc w:val="center"/>
        </w:trPr>
        <w:tc>
          <w:tcPr>
            <w:tcW w:w="5529" w:type="dxa"/>
            <w:hideMark/>
          </w:tcPr>
          <w:p w:rsidR="00FD54B3" w:rsidRDefault="00FD54B3" w:rsidP="0004074F">
            <w:pPr>
              <w:ind w:left="66"/>
              <w:jc w:val="center"/>
              <w:rPr>
                <w:rFonts w:ascii="Bookman Old Style" w:hAnsi="Bookman Old Style" w:cs="Arial"/>
                <w:spacing w:val="-3"/>
              </w:rPr>
            </w:pPr>
            <w:r>
              <w:rPr>
                <w:rFonts w:ascii="Bookman Old Style" w:hAnsi="Bookman Old Style" w:cs="Arial"/>
                <w:spacing w:val="-3"/>
              </w:rPr>
              <w:t>Viceministra de Energía</w:t>
            </w:r>
          </w:p>
          <w:p w:rsidR="006C12A2" w:rsidRPr="00461994" w:rsidRDefault="00FD54B3" w:rsidP="0004074F">
            <w:pPr>
              <w:ind w:left="66"/>
              <w:jc w:val="center"/>
              <w:rPr>
                <w:rFonts w:ascii="Bookman Old Style" w:eastAsia="Arial Unicode MS" w:hAnsi="Bookman Old Style" w:cs="Arial"/>
                <w:color w:val="000000"/>
              </w:rPr>
            </w:pPr>
            <w:r>
              <w:rPr>
                <w:rFonts w:ascii="Bookman Old Style" w:hAnsi="Bookman Old Style" w:cs="Arial"/>
                <w:spacing w:val="-3"/>
              </w:rPr>
              <w:t xml:space="preserve">Delegada del </w:t>
            </w:r>
            <w:r w:rsidR="006C12A2" w:rsidRPr="00461994">
              <w:rPr>
                <w:rFonts w:ascii="Bookman Old Style" w:hAnsi="Bookman Old Style" w:cs="Arial"/>
                <w:spacing w:val="-3"/>
              </w:rPr>
              <w:t>Ministro de Minas y Energía</w:t>
            </w:r>
          </w:p>
        </w:tc>
        <w:tc>
          <w:tcPr>
            <w:tcW w:w="3969" w:type="dxa"/>
            <w:hideMark/>
          </w:tcPr>
          <w:p w:rsidR="006C12A2" w:rsidRPr="00461994" w:rsidRDefault="006C12A2" w:rsidP="0004074F">
            <w:pPr>
              <w:ind w:left="0"/>
              <w:jc w:val="center"/>
              <w:rPr>
                <w:rFonts w:ascii="Bookman Old Style" w:eastAsia="Arial Unicode MS" w:hAnsi="Bookman Old Style" w:cs="Arial"/>
                <w:color w:val="000000"/>
              </w:rPr>
            </w:pPr>
            <w:r w:rsidRPr="00461994">
              <w:rPr>
                <w:rFonts w:ascii="Bookman Old Style" w:hAnsi="Bookman Old Style" w:cs="Arial"/>
                <w:spacing w:val="-3"/>
              </w:rPr>
              <w:t>Director Ejecutivo</w:t>
            </w:r>
          </w:p>
        </w:tc>
      </w:tr>
      <w:tr w:rsidR="006C12A2" w:rsidRPr="00461994" w:rsidTr="0004074F">
        <w:trPr>
          <w:tblCellSpacing w:w="0" w:type="dxa"/>
          <w:jc w:val="center"/>
        </w:trPr>
        <w:tc>
          <w:tcPr>
            <w:tcW w:w="5529" w:type="dxa"/>
            <w:hideMark/>
          </w:tcPr>
          <w:p w:rsidR="006C12A2" w:rsidRPr="00461994" w:rsidRDefault="006C12A2" w:rsidP="0004074F">
            <w:pPr>
              <w:ind w:left="66"/>
              <w:jc w:val="center"/>
              <w:rPr>
                <w:rFonts w:ascii="Bookman Old Style" w:eastAsia="Arial Unicode MS" w:hAnsi="Bookman Old Style" w:cs="Arial"/>
                <w:color w:val="000000"/>
              </w:rPr>
            </w:pPr>
            <w:r w:rsidRPr="00461994">
              <w:rPr>
                <w:rFonts w:ascii="Bookman Old Style" w:hAnsi="Bookman Old Style" w:cs="Arial"/>
                <w:spacing w:val="-3"/>
              </w:rPr>
              <w:t>Presidente</w:t>
            </w:r>
          </w:p>
        </w:tc>
        <w:tc>
          <w:tcPr>
            <w:tcW w:w="3969" w:type="dxa"/>
          </w:tcPr>
          <w:p w:rsidR="006C12A2" w:rsidRPr="00461994" w:rsidRDefault="006C12A2" w:rsidP="0004074F">
            <w:pPr>
              <w:jc w:val="center"/>
              <w:rPr>
                <w:rFonts w:ascii="Bookman Old Style" w:eastAsia="Arial Unicode MS" w:hAnsi="Bookman Old Style" w:cs="Arial"/>
                <w:color w:val="000000"/>
              </w:rPr>
            </w:pPr>
          </w:p>
        </w:tc>
      </w:tr>
    </w:tbl>
    <w:p w:rsidR="00045D3D" w:rsidRPr="00461994" w:rsidRDefault="00045D3D" w:rsidP="006C12A2">
      <w:pPr>
        <w:ind w:left="0"/>
        <w:rPr>
          <w:rFonts w:ascii="Bookman Old Style" w:hAnsi="Bookman Old Style"/>
        </w:rPr>
      </w:pPr>
    </w:p>
    <w:sectPr w:rsidR="00045D3D" w:rsidRPr="00461994" w:rsidSect="009B68FB">
      <w:headerReference w:type="default" r:id="rId10"/>
      <w:headerReference w:type="first" r:id="rId11"/>
      <w:type w:val="continuous"/>
      <w:pgSz w:w="12242" w:h="18722" w:code="154"/>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4DFB" w:rsidRDefault="00264DFB">
      <w:r>
        <w:separator/>
      </w:r>
    </w:p>
  </w:endnote>
  <w:endnote w:type="continuationSeparator" w:id="0">
    <w:p w:rsidR="00264DFB" w:rsidRDefault="00264D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4DFB" w:rsidRDefault="00264DFB">
      <w:r>
        <w:separator/>
      </w:r>
    </w:p>
  </w:footnote>
  <w:footnote w:type="continuationSeparator" w:id="0">
    <w:p w:rsidR="00264DFB" w:rsidRDefault="00264DF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1D4" w:rsidRDefault="00CC51D4" w:rsidP="00951F79">
    <w:pPr>
      <w:pStyle w:val="Ttulo1"/>
      <w:ind w:right="6"/>
      <w:jc w:val="left"/>
      <w:rPr>
        <w:rFonts w:ascii="Bookman Old Style" w:hAnsi="Bookman Old Style" w:cs="Arial"/>
        <w:b w:val="0"/>
        <w:sz w:val="22"/>
        <w:szCs w:val="22"/>
      </w:rPr>
    </w:pPr>
  </w:p>
  <w:p w:rsidR="0087657D" w:rsidRPr="00951F79" w:rsidRDefault="00725F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sidR="00951F79">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sidR="00886EE1">
      <w:rPr>
        <w:rFonts w:ascii="Bookman Old Style" w:hAnsi="Bookman Old Style" w:cs="Arial"/>
        <w:b w:val="0"/>
        <w:sz w:val="22"/>
        <w:szCs w:val="22"/>
      </w:rPr>
      <w:t>DE</w:t>
    </w:r>
    <w:r w:rsidR="000D26F8">
      <w:rPr>
        <w:rFonts w:ascii="Bookman Old Style" w:hAnsi="Bookman Old Style" w:cs="Arial"/>
        <w:b w:val="0"/>
        <w:sz w:val="22"/>
        <w:szCs w:val="22"/>
      </w:rPr>
      <w:t xml:space="preserve"> </w:t>
    </w:r>
    <w:r w:rsidR="00951F79">
      <w:rPr>
        <w:rFonts w:ascii="Bookman Old Style" w:hAnsi="Bookman Old Style" w:cs="Arial"/>
        <w:b w:val="0"/>
        <w:sz w:val="22"/>
        <w:szCs w:val="22"/>
      </w:rPr>
      <w:t>________________</w:t>
    </w:r>
    <w:r w:rsidR="003D076C">
      <w:rPr>
        <w:rFonts w:ascii="Bookman Old Style" w:hAnsi="Bookman Old Style" w:cs="Arial"/>
        <w:b w:val="0"/>
        <w:sz w:val="22"/>
        <w:szCs w:val="22"/>
      </w:rPr>
      <w:tab/>
    </w:r>
    <w:r w:rsidRPr="00654384">
      <w:rPr>
        <w:rFonts w:ascii="Bookman Old Style" w:hAnsi="Bookman Old Style" w:cs="Arial"/>
        <w:b w:val="0"/>
        <w:sz w:val="22"/>
        <w:szCs w:val="22"/>
      </w:rPr>
      <w:t>HOJA No.</w:t>
    </w:r>
    <w:r w:rsidR="00593C4F" w:rsidRPr="00654384">
      <w:rPr>
        <w:rFonts w:ascii="Bookman Old Style" w:hAnsi="Bookman Old Style" w:cs="Arial"/>
        <w:b w:val="0"/>
        <w:sz w:val="22"/>
        <w:szCs w:val="22"/>
      </w:rPr>
      <w:t xml:space="preserve"> </w:t>
    </w:r>
    <w:r w:rsidR="0042068C" w:rsidRPr="00654384">
      <w:rPr>
        <w:rFonts w:ascii="Bookman Old Style" w:hAnsi="Bookman Old Style" w:cs="Arial"/>
        <w:b w:val="0"/>
        <w:sz w:val="22"/>
        <w:szCs w:val="22"/>
      </w:rPr>
      <w:fldChar w:fldCharType="begin"/>
    </w:r>
    <w:r w:rsidR="00593C4F" w:rsidRPr="00654384">
      <w:rPr>
        <w:rFonts w:ascii="Bookman Old Style" w:hAnsi="Bookman Old Style" w:cs="Arial"/>
        <w:b w:val="0"/>
        <w:sz w:val="22"/>
        <w:szCs w:val="22"/>
      </w:rPr>
      <w:instrText xml:space="preserve"> PAGE   \* MERGEFORMAT </w:instrText>
    </w:r>
    <w:r w:rsidR="0042068C" w:rsidRPr="00654384">
      <w:rPr>
        <w:rFonts w:ascii="Bookman Old Style" w:hAnsi="Bookman Old Style" w:cs="Arial"/>
        <w:b w:val="0"/>
        <w:sz w:val="22"/>
        <w:szCs w:val="22"/>
      </w:rPr>
      <w:fldChar w:fldCharType="separate"/>
    </w:r>
    <w:r w:rsidR="00721CBA">
      <w:rPr>
        <w:rFonts w:ascii="Bookman Old Style" w:hAnsi="Bookman Old Style" w:cs="Arial"/>
        <w:b w:val="0"/>
        <w:noProof/>
        <w:sz w:val="22"/>
        <w:szCs w:val="22"/>
      </w:rPr>
      <w:t>4</w:t>
    </w:r>
    <w:r w:rsidR="0042068C"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264DFB">
      <w:fldChar w:fldCharType="begin"/>
    </w:r>
    <w:r w:rsidR="00264DFB">
      <w:instrText xml:space="preserve"> NUMPAGES  \* MERGEFORMAT </w:instrText>
    </w:r>
    <w:r w:rsidR="00264DFB">
      <w:fldChar w:fldCharType="separate"/>
    </w:r>
    <w:r w:rsidR="00721CBA" w:rsidRPr="00721CBA">
      <w:rPr>
        <w:rFonts w:ascii="Bookman Old Style" w:hAnsi="Bookman Old Style" w:cs="Arial"/>
        <w:b w:val="0"/>
        <w:noProof/>
        <w:sz w:val="22"/>
        <w:szCs w:val="22"/>
      </w:rPr>
      <w:t>4</w:t>
    </w:r>
    <w:r w:rsidR="00264DFB">
      <w:rPr>
        <w:rFonts w:ascii="Bookman Old Style" w:hAnsi="Bookman Old Style" w:cs="Arial"/>
        <w:b w:val="0"/>
        <w:noProof/>
        <w:sz w:val="22"/>
        <w:szCs w:val="22"/>
      </w:rPr>
      <w:fldChar w:fldCharType="end"/>
    </w:r>
  </w:p>
  <w:p w:rsidR="006F6D95" w:rsidRPr="00BF4D52" w:rsidRDefault="00A5524C" w:rsidP="00AD01E4">
    <w:pPr>
      <w:ind w:left="142" w:right="148"/>
      <w:rPr>
        <w:rFonts w:ascii="Bookman Old Style" w:hAnsi="Bookman Old Style" w:cs="Arial"/>
        <w:sz w:val="22"/>
        <w:szCs w:val="22"/>
      </w:rPr>
    </w:pPr>
    <w:r w:rsidRPr="0042068C">
      <w:rPr>
        <w:noProof/>
        <w:lang w:val="es-CO" w:eastAsia="es-CO"/>
      </w:rPr>
      <mc:AlternateContent>
        <mc:Choice Requires="wps">
          <w:drawing>
            <wp:anchor distT="0" distB="0" distL="114300" distR="114300" simplePos="0" relativeHeight="251657216" behindDoc="0" locked="0" layoutInCell="1" allowOverlap="1">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787A7B"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5E5A5B" w:rsidRPr="001B06AC" w:rsidRDefault="005E5A5B" w:rsidP="001B06AC">
    <w:pPr>
      <w:pBdr>
        <w:bottom w:val="single" w:sz="4" w:space="1" w:color="auto"/>
      </w:pBdr>
      <w:ind w:left="142" w:right="148"/>
      <w:jc w:val="center"/>
      <w:rPr>
        <w:rFonts w:ascii="Bookman Old Style" w:hAnsi="Bookman Old Style"/>
      </w:rPr>
    </w:pPr>
    <w:r w:rsidRPr="001B06AC">
      <w:rPr>
        <w:rFonts w:ascii="Bookman Old Style" w:hAnsi="Bookman Old Style"/>
      </w:rPr>
      <w:t>Por la cual se ordena hacer público un proyecto de resolución de carácter general, “Por la cual se ajusta la definición de Oferta de cantidades importadas disponibles para la venta en firme, oferta de CIDVF</w:t>
    </w:r>
    <w:r w:rsidR="005E2757" w:rsidRPr="001B06AC">
      <w:rPr>
        <w:rFonts w:ascii="Bookman Old Style" w:hAnsi="Bookman Old Style"/>
      </w:rPr>
      <w:t xml:space="preserve"> </w:t>
    </w:r>
    <w:r w:rsidR="005E2757" w:rsidRPr="001B06AC">
      <w:rPr>
        <w:rFonts w:cs="Arial"/>
        <w:color w:val="000000"/>
      </w:rPr>
      <w:t>contenida en el artículo 3 de la Resolución CREG 114 de 2017</w:t>
    </w:r>
    <w:r w:rsidRPr="001B06AC">
      <w:rPr>
        <w:rFonts w:ascii="Bookman Old Style" w:hAnsi="Bookman Old Style"/>
      </w:rPr>
      <w:t>”</w:t>
    </w:r>
  </w:p>
  <w:p w:rsidR="0044318E" w:rsidRPr="001B06AC" w:rsidRDefault="0044318E" w:rsidP="001B06AC">
    <w:pPr>
      <w:pBdr>
        <w:bottom w:val="single" w:sz="4" w:space="1" w:color="auto"/>
      </w:pBdr>
      <w:ind w:left="142" w:right="148"/>
      <w:jc w:val="center"/>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5FA4" w:rsidRDefault="00025383" w:rsidP="00025383">
    <w:pPr>
      <w:pStyle w:val="Encabezado"/>
      <w:jc w:val="both"/>
      <w:rPr>
        <w:rFonts w:ascii="Arial" w:hAnsi="Arial" w:cs="Arial"/>
        <w:spacing w:val="20"/>
        <w:sz w:val="20"/>
      </w:rPr>
    </w:pPr>
    <w:r>
      <w:rPr>
        <w:rFonts w:ascii="Arial" w:hAnsi="Arial" w:cs="Arial"/>
        <w:spacing w:val="20"/>
        <w:sz w:val="20"/>
      </w:rPr>
      <w:t xml:space="preserve">                                   </w:t>
    </w:r>
    <w:r w:rsidR="00725FA4">
      <w:rPr>
        <w:rFonts w:ascii="Arial" w:hAnsi="Arial" w:cs="Arial"/>
        <w:spacing w:val="20"/>
        <w:sz w:val="20"/>
      </w:rPr>
      <w:t>República de Colombia</w:t>
    </w:r>
  </w:p>
  <w:p w:rsidR="00725FA4" w:rsidRDefault="00725FA4">
    <w:pPr>
      <w:pStyle w:val="Encabezado"/>
      <w:jc w:val="center"/>
      <w:rPr>
        <w:rFonts w:ascii="Arial" w:hAnsi="Arial" w:cs="Arial"/>
        <w:spacing w:val="20"/>
        <w:sz w:val="20"/>
      </w:rPr>
    </w:pPr>
  </w:p>
  <w:p w:rsidR="00725FA4" w:rsidRDefault="00A5524C"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2FDEDE"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3"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5" w15:restartNumberingAfterBreak="0">
    <w:nsid w:val="05583D9F"/>
    <w:multiLevelType w:val="multilevel"/>
    <w:tmpl w:val="6DEC88DE"/>
    <w:lvl w:ilvl="0">
      <w:start w:val="6"/>
      <w:numFmt w:val="decimal"/>
      <w:lvlText w:val="%1."/>
      <w:lvlJc w:val="left"/>
      <w:pPr>
        <w:ind w:left="720" w:hanging="720"/>
      </w:pPr>
      <w:rPr>
        <w:rFonts w:hint="default"/>
      </w:rPr>
    </w:lvl>
    <w:lvl w:ilvl="1">
      <w:start w:val="3"/>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420" w:hanging="2160"/>
      </w:pPr>
      <w:rPr>
        <w:rFonts w:hint="default"/>
      </w:rPr>
    </w:lvl>
    <w:lvl w:ilvl="8">
      <w:start w:val="1"/>
      <w:numFmt w:val="decimal"/>
      <w:lvlText w:val="%1.%2.%3.%4.%5.%6.%7.%8.%9."/>
      <w:lvlJc w:val="left"/>
      <w:pPr>
        <w:ind w:left="3600" w:hanging="2160"/>
      </w:pPr>
      <w:rPr>
        <w:rFonts w:hint="default"/>
      </w:rPr>
    </w:lvl>
  </w:abstractNum>
  <w:abstractNum w:abstractNumId="6" w15:restartNumberingAfterBreak="0">
    <w:nsid w:val="06105476"/>
    <w:multiLevelType w:val="hybridMultilevel"/>
    <w:tmpl w:val="8604A7C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B7359AC"/>
    <w:multiLevelType w:val="multilevel"/>
    <w:tmpl w:val="D04C801C"/>
    <w:lvl w:ilvl="0">
      <w:start w:val="6"/>
      <w:numFmt w:val="decimal"/>
      <w:lvlText w:val="%1"/>
      <w:lvlJc w:val="left"/>
      <w:pPr>
        <w:ind w:left="645" w:hanging="645"/>
      </w:pPr>
      <w:rPr>
        <w:rFonts w:hint="default"/>
      </w:rPr>
    </w:lvl>
    <w:lvl w:ilvl="1">
      <w:start w:val="3"/>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8"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E2A1DD2"/>
    <w:multiLevelType w:val="multilevel"/>
    <w:tmpl w:val="7DF8229A"/>
    <w:lvl w:ilvl="0">
      <w:start w:val="6"/>
      <w:numFmt w:val="decimal"/>
      <w:lvlText w:val="%1."/>
      <w:lvlJc w:val="left"/>
      <w:pPr>
        <w:ind w:left="720" w:hanging="720"/>
      </w:pPr>
      <w:rPr>
        <w:rFonts w:hint="default"/>
      </w:rPr>
    </w:lvl>
    <w:lvl w:ilvl="1">
      <w:start w:val="3"/>
      <w:numFmt w:val="decimal"/>
      <w:lvlText w:val="%1.%2."/>
      <w:lvlJc w:val="left"/>
      <w:pPr>
        <w:ind w:left="900" w:hanging="720"/>
      </w:pPr>
      <w:rPr>
        <w:rFonts w:hint="default"/>
      </w:rPr>
    </w:lvl>
    <w:lvl w:ilvl="2">
      <w:start w:val="5"/>
      <w:numFmt w:val="decimal"/>
      <w:lvlText w:val="%1.%2.%3."/>
      <w:lvlJc w:val="left"/>
      <w:pPr>
        <w:ind w:left="1080" w:hanging="720"/>
      </w:pPr>
      <w:rPr>
        <w:rFonts w:hint="default"/>
        <w:b/>
      </w:rPr>
    </w:lvl>
    <w:lvl w:ilvl="3">
      <w:start w:val="1"/>
      <w:numFmt w:val="decimal"/>
      <w:lvlText w:val="%1.%2.%3.%4."/>
      <w:lvlJc w:val="left"/>
      <w:pPr>
        <w:ind w:left="1620" w:hanging="108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420" w:hanging="2160"/>
      </w:pPr>
      <w:rPr>
        <w:rFonts w:hint="default"/>
      </w:rPr>
    </w:lvl>
    <w:lvl w:ilvl="8">
      <w:start w:val="1"/>
      <w:numFmt w:val="decimal"/>
      <w:lvlText w:val="%1.%2.%3.%4.%5.%6.%7.%8.%9."/>
      <w:lvlJc w:val="left"/>
      <w:pPr>
        <w:ind w:left="3600" w:hanging="2160"/>
      </w:pPr>
      <w:rPr>
        <w:rFonts w:hint="default"/>
      </w:rPr>
    </w:lvl>
  </w:abstractNum>
  <w:abstractNum w:abstractNumId="10" w15:restartNumberingAfterBreak="0">
    <w:nsid w:val="1CAF1CB5"/>
    <w:multiLevelType w:val="hybridMultilevel"/>
    <w:tmpl w:val="07FCD0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4" w15:restartNumberingAfterBreak="0">
    <w:nsid w:val="2CD34768"/>
    <w:multiLevelType w:val="multilevel"/>
    <w:tmpl w:val="2F9281EE"/>
    <w:lvl w:ilvl="0">
      <w:start w:val="6"/>
      <w:numFmt w:val="decimal"/>
      <w:lvlText w:val="%1."/>
      <w:lvlJc w:val="left"/>
      <w:pPr>
        <w:ind w:left="720" w:hanging="720"/>
      </w:pPr>
      <w:rPr>
        <w:rFonts w:hint="default"/>
      </w:rPr>
    </w:lvl>
    <w:lvl w:ilvl="1">
      <w:start w:val="3"/>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638" w:hanging="2160"/>
      </w:pPr>
      <w:rPr>
        <w:rFonts w:hint="default"/>
      </w:rPr>
    </w:lvl>
    <w:lvl w:ilvl="8">
      <w:start w:val="1"/>
      <w:numFmt w:val="decimal"/>
      <w:lvlText w:val="%1.%2.%3.%4.%5.%6.%7.%8.%9."/>
      <w:lvlJc w:val="left"/>
      <w:pPr>
        <w:ind w:left="4992" w:hanging="2160"/>
      </w:pPr>
      <w:rPr>
        <w:rFonts w:hint="default"/>
      </w:rPr>
    </w:lvl>
  </w:abstractNum>
  <w:abstractNum w:abstractNumId="15" w15:restartNumberingAfterBreak="0">
    <w:nsid w:val="32C7386E"/>
    <w:multiLevelType w:val="multilevel"/>
    <w:tmpl w:val="0396D7E4"/>
    <w:lvl w:ilvl="0">
      <w:start w:val="6"/>
      <w:numFmt w:val="decimal"/>
      <w:lvlText w:val="%1"/>
      <w:lvlJc w:val="left"/>
      <w:pPr>
        <w:ind w:left="645" w:hanging="645"/>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2E57D6A"/>
    <w:multiLevelType w:val="multilevel"/>
    <w:tmpl w:val="1E82AE8C"/>
    <w:lvl w:ilvl="0">
      <w:start w:val="6"/>
      <w:numFmt w:val="decimal"/>
      <w:lvlText w:val="%1."/>
      <w:lvlJc w:val="left"/>
      <w:pPr>
        <w:ind w:left="480" w:hanging="48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459E112F"/>
    <w:multiLevelType w:val="hybridMultilevel"/>
    <w:tmpl w:val="770A2CC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1"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3" w15:restartNumberingAfterBreak="0">
    <w:nsid w:val="4D614E91"/>
    <w:multiLevelType w:val="multilevel"/>
    <w:tmpl w:val="E9F0465E"/>
    <w:lvl w:ilvl="0">
      <w:start w:val="1"/>
      <w:numFmt w:val="decimal"/>
      <w:pStyle w:val="Ttuloprincipal"/>
      <w:lvlText w:val="%1."/>
      <w:lvlJc w:val="left"/>
      <w:pPr>
        <w:ind w:left="720" w:hanging="360"/>
      </w:pPr>
      <w:rPr>
        <w:rFonts w:hint="default"/>
      </w:rPr>
    </w:lvl>
    <w:lvl w:ilvl="1">
      <w:start w:val="1"/>
      <w:numFmt w:val="decimal"/>
      <w:pStyle w:val="SubttuloNivel1"/>
      <w:isLgl/>
      <w:lvlText w:val="%1.%2."/>
      <w:lvlJc w:val="left"/>
      <w:pPr>
        <w:ind w:left="1080" w:hanging="720"/>
      </w:pPr>
      <w:rPr>
        <w:rFonts w:hint="default"/>
      </w:rPr>
    </w:lvl>
    <w:lvl w:ilvl="2">
      <w:start w:val="1"/>
      <w:numFmt w:val="decimal"/>
      <w:pStyle w:val="SubttuloNivel2"/>
      <w:isLgl/>
      <w:lvlText w:val="%1.%2.%3."/>
      <w:lvlJc w:val="left"/>
      <w:pPr>
        <w:ind w:left="1080" w:hanging="720"/>
      </w:pPr>
      <w:rPr>
        <w:rFonts w:hint="default"/>
      </w:rPr>
    </w:lvl>
    <w:lvl w:ilvl="3">
      <w:start w:val="1"/>
      <w:numFmt w:val="decimal"/>
      <w:pStyle w:val="SubttuloNivel3"/>
      <w:isLgl/>
      <w:lvlText w:val="%1.%2.%3.%4."/>
      <w:lvlJc w:val="left"/>
      <w:pPr>
        <w:ind w:left="1440" w:hanging="1080"/>
      </w:pPr>
      <w:rPr>
        <w:rFonts w:hint="default"/>
        <w:b/>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4" w15:restartNumberingAfterBreak="0">
    <w:nsid w:val="4E5727B9"/>
    <w:multiLevelType w:val="multilevel"/>
    <w:tmpl w:val="16AACEF4"/>
    <w:lvl w:ilvl="0">
      <w:start w:val="6"/>
      <w:numFmt w:val="decimal"/>
      <w:lvlText w:val="%1"/>
      <w:lvlJc w:val="left"/>
      <w:pPr>
        <w:ind w:left="645" w:hanging="645"/>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4F9D6FBA"/>
    <w:multiLevelType w:val="hybridMultilevel"/>
    <w:tmpl w:val="0E78897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7"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9"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0"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1"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73432BD8"/>
    <w:multiLevelType w:val="hybridMultilevel"/>
    <w:tmpl w:val="CD8859D2"/>
    <w:lvl w:ilvl="0" w:tplc="3E349DFC">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rPr>
    </w:lvl>
    <w:lvl w:ilvl="1" w:tplc="240A0019">
      <w:start w:val="1"/>
      <w:numFmt w:val="lowerLetter"/>
      <w:lvlText w:val="%2."/>
      <w:lvlJc w:val="left"/>
      <w:pPr>
        <w:ind w:left="939" w:hanging="360"/>
      </w:pPr>
    </w:lvl>
    <w:lvl w:ilvl="2" w:tplc="240A000F">
      <w:start w:val="1"/>
      <w:numFmt w:val="decimal"/>
      <w:lvlText w:val="%3."/>
      <w:lvlJc w:val="left"/>
      <w:pPr>
        <w:ind w:left="1659" w:hanging="180"/>
      </w:pPr>
    </w:lvl>
    <w:lvl w:ilvl="3" w:tplc="94AE6346">
      <w:start w:val="1"/>
      <w:numFmt w:val="upperLetter"/>
      <w:lvlText w:val="%4."/>
      <w:lvlJc w:val="left"/>
      <w:pPr>
        <w:ind w:left="2379" w:hanging="360"/>
      </w:pPr>
      <w:rPr>
        <w:rFonts w:hint="default"/>
      </w:rPr>
    </w:lvl>
    <w:lvl w:ilvl="4" w:tplc="240A0019" w:tentative="1">
      <w:start w:val="1"/>
      <w:numFmt w:val="lowerLetter"/>
      <w:lvlText w:val="%5."/>
      <w:lvlJc w:val="left"/>
      <w:pPr>
        <w:ind w:left="3099" w:hanging="360"/>
      </w:pPr>
    </w:lvl>
    <w:lvl w:ilvl="5" w:tplc="240A001B" w:tentative="1">
      <w:start w:val="1"/>
      <w:numFmt w:val="lowerRoman"/>
      <w:lvlText w:val="%6."/>
      <w:lvlJc w:val="right"/>
      <w:pPr>
        <w:ind w:left="3819" w:hanging="180"/>
      </w:pPr>
    </w:lvl>
    <w:lvl w:ilvl="6" w:tplc="240A000F" w:tentative="1">
      <w:start w:val="1"/>
      <w:numFmt w:val="decimal"/>
      <w:lvlText w:val="%7."/>
      <w:lvlJc w:val="left"/>
      <w:pPr>
        <w:ind w:left="4539" w:hanging="360"/>
      </w:pPr>
    </w:lvl>
    <w:lvl w:ilvl="7" w:tplc="240A0019" w:tentative="1">
      <w:start w:val="1"/>
      <w:numFmt w:val="lowerLetter"/>
      <w:lvlText w:val="%8."/>
      <w:lvlJc w:val="left"/>
      <w:pPr>
        <w:ind w:left="5259" w:hanging="360"/>
      </w:pPr>
    </w:lvl>
    <w:lvl w:ilvl="8" w:tplc="240A001B" w:tentative="1">
      <w:start w:val="1"/>
      <w:numFmt w:val="lowerRoman"/>
      <w:lvlText w:val="%9."/>
      <w:lvlJc w:val="right"/>
      <w:pPr>
        <w:ind w:left="5979" w:hanging="180"/>
      </w:pPr>
    </w:lvl>
  </w:abstractNum>
  <w:abstractNum w:abstractNumId="33"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4" w15:restartNumberingAfterBreak="0">
    <w:nsid w:val="7AF96D88"/>
    <w:multiLevelType w:val="hybridMultilevel"/>
    <w:tmpl w:val="89D0541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0"/>
  </w:num>
  <w:num w:numId="2">
    <w:abstractNumId w:val="8"/>
  </w:num>
  <w:num w:numId="3">
    <w:abstractNumId w:val="33"/>
  </w:num>
  <w:num w:numId="4">
    <w:abstractNumId w:val="11"/>
  </w:num>
  <w:num w:numId="5">
    <w:abstractNumId w:val="27"/>
  </w:num>
  <w:num w:numId="6">
    <w:abstractNumId w:val="4"/>
  </w:num>
  <w:num w:numId="7">
    <w:abstractNumId w:val="3"/>
  </w:num>
  <w:num w:numId="8">
    <w:abstractNumId w:val="29"/>
  </w:num>
  <w:num w:numId="9">
    <w:abstractNumId w:val="28"/>
  </w:num>
  <w:num w:numId="10">
    <w:abstractNumId w:val="21"/>
  </w:num>
  <w:num w:numId="11">
    <w:abstractNumId w:val="35"/>
  </w:num>
  <w:num w:numId="12">
    <w:abstractNumId w:val="31"/>
  </w:num>
  <w:num w:numId="13">
    <w:abstractNumId w:val="17"/>
  </w:num>
  <w:num w:numId="14">
    <w:abstractNumId w:val="2"/>
  </w:num>
  <w:num w:numId="15">
    <w:abstractNumId w:val="22"/>
  </w:num>
  <w:num w:numId="16">
    <w:abstractNumId w:val="1"/>
  </w:num>
  <w:num w:numId="17">
    <w:abstractNumId w:val="16"/>
  </w:num>
  <w:num w:numId="18">
    <w:abstractNumId w:val="0"/>
  </w:num>
  <w:num w:numId="19">
    <w:abstractNumId w:val="30"/>
  </w:num>
  <w:num w:numId="20">
    <w:abstractNumId w:val="26"/>
  </w:num>
  <w:num w:numId="21">
    <w:abstractNumId w:val="12"/>
  </w:num>
  <w:num w:numId="22">
    <w:abstractNumId w:val="13"/>
  </w:num>
  <w:num w:numId="23">
    <w:abstractNumId w:val="23"/>
  </w:num>
  <w:num w:numId="24">
    <w:abstractNumId w:val="10"/>
  </w:num>
  <w:num w:numId="25">
    <w:abstractNumId w:val="25"/>
  </w:num>
  <w:num w:numId="26">
    <w:abstractNumId w:val="23"/>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4"/>
  </w:num>
  <w:num w:numId="28">
    <w:abstractNumId w:val="23"/>
    <w:lvlOverride w:ilvl="0">
      <w:startOverride w:val="6"/>
    </w:lvlOverride>
    <w:lvlOverride w:ilvl="1">
      <w:startOverride w:val="3"/>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num>
  <w:num w:numId="30">
    <w:abstractNumId w:val="18"/>
  </w:num>
  <w:num w:numId="31">
    <w:abstractNumId w:val="15"/>
  </w:num>
  <w:num w:numId="32">
    <w:abstractNumId w:val="24"/>
  </w:num>
  <w:num w:numId="33">
    <w:abstractNumId w:val="7"/>
  </w:num>
  <w:num w:numId="34">
    <w:abstractNumId w:val="14"/>
  </w:num>
  <w:num w:numId="35">
    <w:abstractNumId w:val="9"/>
  </w:num>
  <w:num w:numId="36">
    <w:abstractNumId w:val="5"/>
  </w:num>
  <w:num w:numId="37">
    <w:abstractNumId w:val="19"/>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6AE2"/>
    <w:rsid w:val="000076A1"/>
    <w:rsid w:val="00012259"/>
    <w:rsid w:val="00025383"/>
    <w:rsid w:val="00025D64"/>
    <w:rsid w:val="0003274F"/>
    <w:rsid w:val="0003434A"/>
    <w:rsid w:val="00036A8A"/>
    <w:rsid w:val="0004074F"/>
    <w:rsid w:val="00045D3D"/>
    <w:rsid w:val="000472DC"/>
    <w:rsid w:val="00063657"/>
    <w:rsid w:val="00076680"/>
    <w:rsid w:val="00076A1D"/>
    <w:rsid w:val="0008073E"/>
    <w:rsid w:val="00091CDB"/>
    <w:rsid w:val="000A19AC"/>
    <w:rsid w:val="000B2EC9"/>
    <w:rsid w:val="000B4B0F"/>
    <w:rsid w:val="000D26F8"/>
    <w:rsid w:val="000F1E65"/>
    <w:rsid w:val="0010063F"/>
    <w:rsid w:val="00106654"/>
    <w:rsid w:val="0013526C"/>
    <w:rsid w:val="001405C6"/>
    <w:rsid w:val="00141013"/>
    <w:rsid w:val="00142AFE"/>
    <w:rsid w:val="0014536E"/>
    <w:rsid w:val="0015169C"/>
    <w:rsid w:val="001830BB"/>
    <w:rsid w:val="0018674F"/>
    <w:rsid w:val="00192CBF"/>
    <w:rsid w:val="00192FF1"/>
    <w:rsid w:val="001A2BE5"/>
    <w:rsid w:val="001A5F1B"/>
    <w:rsid w:val="001B06AC"/>
    <w:rsid w:val="001B1C22"/>
    <w:rsid w:val="001B34C6"/>
    <w:rsid w:val="001C4EC5"/>
    <w:rsid w:val="001D1921"/>
    <w:rsid w:val="001D7832"/>
    <w:rsid w:val="001E18C1"/>
    <w:rsid w:val="00210DC1"/>
    <w:rsid w:val="00211D34"/>
    <w:rsid w:val="00214F04"/>
    <w:rsid w:val="002352B9"/>
    <w:rsid w:val="002367B2"/>
    <w:rsid w:val="0024192F"/>
    <w:rsid w:val="00264DFB"/>
    <w:rsid w:val="00266CD6"/>
    <w:rsid w:val="002673AC"/>
    <w:rsid w:val="00275DAB"/>
    <w:rsid w:val="00281B74"/>
    <w:rsid w:val="00287A4A"/>
    <w:rsid w:val="002903C0"/>
    <w:rsid w:val="002931FF"/>
    <w:rsid w:val="002A782A"/>
    <w:rsid w:val="002B11E2"/>
    <w:rsid w:val="002B24B8"/>
    <w:rsid w:val="002C40DE"/>
    <w:rsid w:val="002D3AE9"/>
    <w:rsid w:val="002D4510"/>
    <w:rsid w:val="002E492C"/>
    <w:rsid w:val="002F0734"/>
    <w:rsid w:val="002F46E7"/>
    <w:rsid w:val="002F5465"/>
    <w:rsid w:val="003101DA"/>
    <w:rsid w:val="003111C3"/>
    <w:rsid w:val="00313C26"/>
    <w:rsid w:val="00314757"/>
    <w:rsid w:val="003163BC"/>
    <w:rsid w:val="003211CE"/>
    <w:rsid w:val="00334140"/>
    <w:rsid w:val="00341840"/>
    <w:rsid w:val="0035403A"/>
    <w:rsid w:val="0036394B"/>
    <w:rsid w:val="00366DB6"/>
    <w:rsid w:val="003709B5"/>
    <w:rsid w:val="003759C2"/>
    <w:rsid w:val="00384E02"/>
    <w:rsid w:val="003932D1"/>
    <w:rsid w:val="00397365"/>
    <w:rsid w:val="00397500"/>
    <w:rsid w:val="003A2629"/>
    <w:rsid w:val="003A31F6"/>
    <w:rsid w:val="003A3EA7"/>
    <w:rsid w:val="003C3447"/>
    <w:rsid w:val="003C4EC7"/>
    <w:rsid w:val="003D076C"/>
    <w:rsid w:val="003E1118"/>
    <w:rsid w:val="003E4106"/>
    <w:rsid w:val="003E78B5"/>
    <w:rsid w:val="0040389F"/>
    <w:rsid w:val="00415BAB"/>
    <w:rsid w:val="00415ED2"/>
    <w:rsid w:val="00416484"/>
    <w:rsid w:val="0042068C"/>
    <w:rsid w:val="00432A55"/>
    <w:rsid w:val="0044318E"/>
    <w:rsid w:val="00443B35"/>
    <w:rsid w:val="00443F47"/>
    <w:rsid w:val="004616BB"/>
    <w:rsid w:val="00461994"/>
    <w:rsid w:val="0047122B"/>
    <w:rsid w:val="00472C6B"/>
    <w:rsid w:val="00473B7A"/>
    <w:rsid w:val="00475B35"/>
    <w:rsid w:val="00476080"/>
    <w:rsid w:val="00480541"/>
    <w:rsid w:val="004850E6"/>
    <w:rsid w:val="004960E9"/>
    <w:rsid w:val="004A2E88"/>
    <w:rsid w:val="004A5305"/>
    <w:rsid w:val="004C4842"/>
    <w:rsid w:val="004D7634"/>
    <w:rsid w:val="004E611A"/>
    <w:rsid w:val="004F6460"/>
    <w:rsid w:val="00505FD7"/>
    <w:rsid w:val="005300D3"/>
    <w:rsid w:val="005312F8"/>
    <w:rsid w:val="00542A10"/>
    <w:rsid w:val="00544F82"/>
    <w:rsid w:val="005509D2"/>
    <w:rsid w:val="00556836"/>
    <w:rsid w:val="00566E87"/>
    <w:rsid w:val="00582816"/>
    <w:rsid w:val="00583EF3"/>
    <w:rsid w:val="00593C4F"/>
    <w:rsid w:val="005946A8"/>
    <w:rsid w:val="00595112"/>
    <w:rsid w:val="005A3C69"/>
    <w:rsid w:val="005A4407"/>
    <w:rsid w:val="005A59EF"/>
    <w:rsid w:val="005B1C7E"/>
    <w:rsid w:val="005B1F9E"/>
    <w:rsid w:val="005C6976"/>
    <w:rsid w:val="005C6F0B"/>
    <w:rsid w:val="005E1DC5"/>
    <w:rsid w:val="005E2757"/>
    <w:rsid w:val="005E5A5B"/>
    <w:rsid w:val="005F6F41"/>
    <w:rsid w:val="00625DC6"/>
    <w:rsid w:val="0064391D"/>
    <w:rsid w:val="00651821"/>
    <w:rsid w:val="00654384"/>
    <w:rsid w:val="006675CD"/>
    <w:rsid w:val="00684D9B"/>
    <w:rsid w:val="0068510A"/>
    <w:rsid w:val="00691D63"/>
    <w:rsid w:val="006962D4"/>
    <w:rsid w:val="00697556"/>
    <w:rsid w:val="006B4647"/>
    <w:rsid w:val="006B4C2B"/>
    <w:rsid w:val="006B6194"/>
    <w:rsid w:val="006B6D47"/>
    <w:rsid w:val="006C12A2"/>
    <w:rsid w:val="006C5AFE"/>
    <w:rsid w:val="006E2884"/>
    <w:rsid w:val="006F2EC8"/>
    <w:rsid w:val="006F6D95"/>
    <w:rsid w:val="00705A56"/>
    <w:rsid w:val="00706F13"/>
    <w:rsid w:val="007072E8"/>
    <w:rsid w:val="007111A8"/>
    <w:rsid w:val="0071618D"/>
    <w:rsid w:val="00716C49"/>
    <w:rsid w:val="00721CBA"/>
    <w:rsid w:val="0072346A"/>
    <w:rsid w:val="00725FA4"/>
    <w:rsid w:val="007279A6"/>
    <w:rsid w:val="00740446"/>
    <w:rsid w:val="0074313A"/>
    <w:rsid w:val="007438A9"/>
    <w:rsid w:val="0074491E"/>
    <w:rsid w:val="00757080"/>
    <w:rsid w:val="0076247A"/>
    <w:rsid w:val="00771D56"/>
    <w:rsid w:val="0077254C"/>
    <w:rsid w:val="00775964"/>
    <w:rsid w:val="007765FE"/>
    <w:rsid w:val="00794E2E"/>
    <w:rsid w:val="00795BFB"/>
    <w:rsid w:val="007B1C12"/>
    <w:rsid w:val="007B2760"/>
    <w:rsid w:val="007E31BF"/>
    <w:rsid w:val="007E379E"/>
    <w:rsid w:val="007E562F"/>
    <w:rsid w:val="007F36D4"/>
    <w:rsid w:val="00806C01"/>
    <w:rsid w:val="008148CC"/>
    <w:rsid w:val="0082038A"/>
    <w:rsid w:val="008211A4"/>
    <w:rsid w:val="00835DEA"/>
    <w:rsid w:val="0084041E"/>
    <w:rsid w:val="0084693A"/>
    <w:rsid w:val="00873150"/>
    <w:rsid w:val="0087657D"/>
    <w:rsid w:val="008807D5"/>
    <w:rsid w:val="00880832"/>
    <w:rsid w:val="00886EE1"/>
    <w:rsid w:val="0088727D"/>
    <w:rsid w:val="00897C75"/>
    <w:rsid w:val="008A3558"/>
    <w:rsid w:val="008A592D"/>
    <w:rsid w:val="008B1686"/>
    <w:rsid w:val="008B73C7"/>
    <w:rsid w:val="008C1130"/>
    <w:rsid w:val="008D18E6"/>
    <w:rsid w:val="008D7A9B"/>
    <w:rsid w:val="008E0060"/>
    <w:rsid w:val="008E6605"/>
    <w:rsid w:val="008E7091"/>
    <w:rsid w:val="008E76AC"/>
    <w:rsid w:val="008F21F6"/>
    <w:rsid w:val="00923CB3"/>
    <w:rsid w:val="00925CFC"/>
    <w:rsid w:val="00925DE0"/>
    <w:rsid w:val="00937AD1"/>
    <w:rsid w:val="00944149"/>
    <w:rsid w:val="00951F79"/>
    <w:rsid w:val="00952062"/>
    <w:rsid w:val="00963573"/>
    <w:rsid w:val="00967742"/>
    <w:rsid w:val="00967A06"/>
    <w:rsid w:val="00974AB5"/>
    <w:rsid w:val="009773A5"/>
    <w:rsid w:val="00985E3A"/>
    <w:rsid w:val="0098706D"/>
    <w:rsid w:val="009935FB"/>
    <w:rsid w:val="009936DC"/>
    <w:rsid w:val="009A57D3"/>
    <w:rsid w:val="009B68FB"/>
    <w:rsid w:val="009D6B46"/>
    <w:rsid w:val="009E0F3A"/>
    <w:rsid w:val="009F4A54"/>
    <w:rsid w:val="009F4BEC"/>
    <w:rsid w:val="009F5874"/>
    <w:rsid w:val="009F7433"/>
    <w:rsid w:val="00A25FD7"/>
    <w:rsid w:val="00A27EA4"/>
    <w:rsid w:val="00A407F8"/>
    <w:rsid w:val="00A43AFF"/>
    <w:rsid w:val="00A52BA1"/>
    <w:rsid w:val="00A5524C"/>
    <w:rsid w:val="00A7793A"/>
    <w:rsid w:val="00AA4CC7"/>
    <w:rsid w:val="00AA5E8E"/>
    <w:rsid w:val="00AB2BAD"/>
    <w:rsid w:val="00AB6CA7"/>
    <w:rsid w:val="00AC1F26"/>
    <w:rsid w:val="00AD01E4"/>
    <w:rsid w:val="00AD0858"/>
    <w:rsid w:val="00AE02E3"/>
    <w:rsid w:val="00AE7340"/>
    <w:rsid w:val="00AF1BBD"/>
    <w:rsid w:val="00B04FA3"/>
    <w:rsid w:val="00B10207"/>
    <w:rsid w:val="00B141E7"/>
    <w:rsid w:val="00B351B4"/>
    <w:rsid w:val="00B46BCA"/>
    <w:rsid w:val="00B478AA"/>
    <w:rsid w:val="00B82316"/>
    <w:rsid w:val="00B87806"/>
    <w:rsid w:val="00B87EC9"/>
    <w:rsid w:val="00B97FEC"/>
    <w:rsid w:val="00BA451F"/>
    <w:rsid w:val="00BA45B0"/>
    <w:rsid w:val="00BA5320"/>
    <w:rsid w:val="00BC38FD"/>
    <w:rsid w:val="00BE1AF9"/>
    <w:rsid w:val="00BF1F46"/>
    <w:rsid w:val="00BF4D52"/>
    <w:rsid w:val="00BF4D71"/>
    <w:rsid w:val="00C034CB"/>
    <w:rsid w:val="00C051A8"/>
    <w:rsid w:val="00C054BC"/>
    <w:rsid w:val="00C17897"/>
    <w:rsid w:val="00C409D5"/>
    <w:rsid w:val="00C435C3"/>
    <w:rsid w:val="00C44E5F"/>
    <w:rsid w:val="00C515FA"/>
    <w:rsid w:val="00C51B7C"/>
    <w:rsid w:val="00C54D2F"/>
    <w:rsid w:val="00C6234B"/>
    <w:rsid w:val="00C63EAE"/>
    <w:rsid w:val="00C73260"/>
    <w:rsid w:val="00C757FF"/>
    <w:rsid w:val="00C7629F"/>
    <w:rsid w:val="00C83248"/>
    <w:rsid w:val="00C8661B"/>
    <w:rsid w:val="00C90393"/>
    <w:rsid w:val="00CA03C8"/>
    <w:rsid w:val="00CA139A"/>
    <w:rsid w:val="00CA2899"/>
    <w:rsid w:val="00CA3A3D"/>
    <w:rsid w:val="00CA3AA6"/>
    <w:rsid w:val="00CA77FB"/>
    <w:rsid w:val="00CB379B"/>
    <w:rsid w:val="00CB5DD0"/>
    <w:rsid w:val="00CC51D4"/>
    <w:rsid w:val="00CC65DA"/>
    <w:rsid w:val="00CE3587"/>
    <w:rsid w:val="00CF21B9"/>
    <w:rsid w:val="00CF5145"/>
    <w:rsid w:val="00CF6BF9"/>
    <w:rsid w:val="00D03800"/>
    <w:rsid w:val="00D03E61"/>
    <w:rsid w:val="00D065D3"/>
    <w:rsid w:val="00D14C94"/>
    <w:rsid w:val="00D20EA4"/>
    <w:rsid w:val="00D342A6"/>
    <w:rsid w:val="00D45557"/>
    <w:rsid w:val="00D45CA6"/>
    <w:rsid w:val="00D464BF"/>
    <w:rsid w:val="00D512DA"/>
    <w:rsid w:val="00D53E26"/>
    <w:rsid w:val="00D546D1"/>
    <w:rsid w:val="00D71D3B"/>
    <w:rsid w:val="00D818D5"/>
    <w:rsid w:val="00D92394"/>
    <w:rsid w:val="00DA7FB2"/>
    <w:rsid w:val="00DB182C"/>
    <w:rsid w:val="00DD4F0E"/>
    <w:rsid w:val="00DF0BF0"/>
    <w:rsid w:val="00DF3CA2"/>
    <w:rsid w:val="00E01463"/>
    <w:rsid w:val="00E05E0A"/>
    <w:rsid w:val="00E060BE"/>
    <w:rsid w:val="00E10A18"/>
    <w:rsid w:val="00E1644E"/>
    <w:rsid w:val="00E34FE3"/>
    <w:rsid w:val="00E36565"/>
    <w:rsid w:val="00E45D2E"/>
    <w:rsid w:val="00E534CF"/>
    <w:rsid w:val="00E71485"/>
    <w:rsid w:val="00E815EE"/>
    <w:rsid w:val="00E81CB4"/>
    <w:rsid w:val="00E84D0D"/>
    <w:rsid w:val="00E8585B"/>
    <w:rsid w:val="00E87F41"/>
    <w:rsid w:val="00E94D8B"/>
    <w:rsid w:val="00E96581"/>
    <w:rsid w:val="00EA0765"/>
    <w:rsid w:val="00EA3F15"/>
    <w:rsid w:val="00EA7847"/>
    <w:rsid w:val="00EB290E"/>
    <w:rsid w:val="00EB4C2F"/>
    <w:rsid w:val="00EB7BF8"/>
    <w:rsid w:val="00EE2E6E"/>
    <w:rsid w:val="00EE41DA"/>
    <w:rsid w:val="00EE722D"/>
    <w:rsid w:val="00EF5FE4"/>
    <w:rsid w:val="00F0759E"/>
    <w:rsid w:val="00F07724"/>
    <w:rsid w:val="00F10176"/>
    <w:rsid w:val="00F10B2A"/>
    <w:rsid w:val="00F112CC"/>
    <w:rsid w:val="00F16A43"/>
    <w:rsid w:val="00F46780"/>
    <w:rsid w:val="00F512E7"/>
    <w:rsid w:val="00F55CE7"/>
    <w:rsid w:val="00F77D2D"/>
    <w:rsid w:val="00F821A3"/>
    <w:rsid w:val="00F9314A"/>
    <w:rsid w:val="00F940B2"/>
    <w:rsid w:val="00F96F5E"/>
    <w:rsid w:val="00FA6F6F"/>
    <w:rsid w:val="00FC58EF"/>
    <w:rsid w:val="00FC594E"/>
    <w:rsid w:val="00FD2CA2"/>
    <w:rsid w:val="00FD33DF"/>
    <w:rsid w:val="00FD4CE4"/>
    <w:rsid w:val="00FD54B3"/>
    <w:rsid w:val="00FE39D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18BC2FF6-AB2E-4740-B271-76135A4EF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8B73C7"/>
    <w:pPr>
      <w:keepNext/>
      <w:spacing w:before="240" w:after="60"/>
      <w:outlineLvl w:val="1"/>
    </w:pPr>
    <w:rPr>
      <w:rFonts w:ascii="Cambria" w:hAnsi="Cambria"/>
      <w:b/>
      <w:bCs/>
      <w:i/>
      <w:iCs/>
      <w:sz w:val="28"/>
      <w:szCs w:val="28"/>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Textoindependiente21">
    <w:name w:val="Texto independiente 21"/>
    <w:basedOn w:val="Normal"/>
    <w:rsid w:val="008A592D"/>
    <w:pPr>
      <w:suppressAutoHyphens/>
      <w:overflowPunct w:val="0"/>
      <w:autoSpaceDE w:val="0"/>
      <w:ind w:left="0"/>
      <w:jc w:val="both"/>
      <w:textAlignment w:val="baseline"/>
    </w:pPr>
    <w:rPr>
      <w:rFonts w:ascii="Bookman Old Style" w:hAnsi="Bookman Old Style"/>
      <w:b/>
      <w:szCs w:val="20"/>
      <w:lang w:val="es-ES_tradnl" w:eastAsia="ar-SA"/>
    </w:rPr>
  </w:style>
  <w:style w:type="paragraph" w:styleId="Textonotapie">
    <w:name w:val="footnote text"/>
    <w:aliases w:val="fn,footnote text"/>
    <w:basedOn w:val="Normal"/>
    <w:link w:val="TextonotapieCar"/>
    <w:rsid w:val="008B73C7"/>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rsid w:val="008B73C7"/>
    <w:rPr>
      <w:rFonts w:ascii="Arial" w:hAnsi="Arial"/>
      <w:lang w:val="es-ES_tradnl" w:eastAsia="x-none"/>
    </w:rPr>
  </w:style>
  <w:style w:type="paragraph" w:customStyle="1" w:styleId="Textodenotaalfinal">
    <w:name w:val="Texto de nota al final"/>
    <w:basedOn w:val="Normal"/>
    <w:rsid w:val="008B73C7"/>
    <w:pPr>
      <w:widowControl w:val="0"/>
      <w:ind w:left="0"/>
      <w:jc w:val="both"/>
    </w:pPr>
    <w:rPr>
      <w:rFonts w:ascii="Courier New" w:hAnsi="Courier New"/>
      <w:sz w:val="20"/>
      <w:szCs w:val="20"/>
      <w:lang w:val="es-ES_tradnl" w:eastAsia="es-CO"/>
    </w:rPr>
  </w:style>
  <w:style w:type="paragraph" w:customStyle="1" w:styleId="SubttuloNivel1">
    <w:name w:val="Subtítulo Nivel 1"/>
    <w:basedOn w:val="Ttulo2"/>
    <w:link w:val="SubttuloNivel1Car"/>
    <w:qFormat/>
    <w:rsid w:val="008B73C7"/>
    <w:pPr>
      <w:numPr>
        <w:ilvl w:val="1"/>
        <w:numId w:val="23"/>
      </w:numPr>
      <w:spacing w:before="360" w:after="240"/>
      <w:jc w:val="both"/>
    </w:pPr>
    <w:rPr>
      <w:rFonts w:ascii="Bookman Old Style" w:hAnsi="Bookman Old Style"/>
      <w:i w:val="0"/>
      <w:iCs w:val="0"/>
      <w:sz w:val="24"/>
      <w:szCs w:val="24"/>
    </w:rPr>
  </w:style>
  <w:style w:type="paragraph" w:customStyle="1" w:styleId="SubttuloNivel2">
    <w:name w:val="Subtítulo Nivel 2"/>
    <w:basedOn w:val="Ttulo3"/>
    <w:link w:val="SubttuloNivel2Car"/>
    <w:qFormat/>
    <w:rsid w:val="008B73C7"/>
    <w:pPr>
      <w:numPr>
        <w:ilvl w:val="2"/>
        <w:numId w:val="23"/>
      </w:numPr>
      <w:spacing w:before="240" w:after="240"/>
      <w:jc w:val="both"/>
    </w:pPr>
    <w:rPr>
      <w:rFonts w:ascii="Bookman Old Style" w:hAnsi="Bookman Old Style"/>
      <w:color w:val="auto"/>
      <w:szCs w:val="24"/>
      <w:lang w:eastAsia="x-none"/>
    </w:rPr>
  </w:style>
  <w:style w:type="character" w:customStyle="1" w:styleId="SubttuloNivel1Car">
    <w:name w:val="Subtítulo Nivel 1 Car"/>
    <w:link w:val="SubttuloNivel1"/>
    <w:rsid w:val="008B73C7"/>
    <w:rPr>
      <w:rFonts w:ascii="Bookman Old Style" w:eastAsia="Times New Roman" w:hAnsi="Bookman Old Style" w:cs="Times New Roman"/>
      <w:b/>
      <w:bCs/>
      <w:sz w:val="24"/>
      <w:szCs w:val="24"/>
      <w:lang w:val="es-ES" w:eastAsia="es-ES"/>
    </w:rPr>
  </w:style>
  <w:style w:type="paragraph" w:customStyle="1" w:styleId="Ttuloprincipal">
    <w:name w:val="Título principal"/>
    <w:basedOn w:val="Ttulo1"/>
    <w:qFormat/>
    <w:rsid w:val="008B73C7"/>
    <w:pPr>
      <w:numPr>
        <w:numId w:val="23"/>
      </w:numPr>
      <w:spacing w:before="360" w:after="480"/>
      <w:jc w:val="both"/>
    </w:pPr>
    <w:rPr>
      <w:rFonts w:ascii="Bookman Old Style" w:hAnsi="Bookman Old Style"/>
      <w:szCs w:val="24"/>
    </w:rPr>
  </w:style>
  <w:style w:type="character" w:customStyle="1" w:styleId="SubttuloNivel2Car">
    <w:name w:val="Subtítulo Nivel 2 Car"/>
    <w:link w:val="SubttuloNivel2"/>
    <w:rsid w:val="008B73C7"/>
    <w:rPr>
      <w:rFonts w:ascii="Bookman Old Style" w:hAnsi="Bookman Old Style"/>
      <w:b/>
      <w:snapToGrid w:val="0"/>
      <w:sz w:val="24"/>
      <w:szCs w:val="24"/>
      <w:lang w:val="es-ES_tradnl" w:eastAsia="x-none"/>
    </w:rPr>
  </w:style>
  <w:style w:type="paragraph" w:customStyle="1" w:styleId="Textonormal">
    <w:name w:val="Texto normal"/>
    <w:basedOn w:val="Normal"/>
    <w:link w:val="TextonormalCar"/>
    <w:qFormat/>
    <w:rsid w:val="008B73C7"/>
    <w:pPr>
      <w:tabs>
        <w:tab w:val="left" w:pos="0"/>
      </w:tabs>
      <w:suppressAutoHyphens/>
      <w:spacing w:before="240" w:after="240"/>
      <w:ind w:left="0" w:right="51"/>
      <w:jc w:val="both"/>
    </w:pPr>
    <w:rPr>
      <w:rFonts w:ascii="Bookman Old Style" w:hAnsi="Bookman Old Style"/>
      <w:spacing w:val="-3"/>
    </w:rPr>
  </w:style>
  <w:style w:type="paragraph" w:customStyle="1" w:styleId="SubttuloNivel3">
    <w:name w:val="Subtítulo Nivel 3"/>
    <w:basedOn w:val="Ttulo4"/>
    <w:qFormat/>
    <w:rsid w:val="008B73C7"/>
    <w:pPr>
      <w:numPr>
        <w:ilvl w:val="3"/>
        <w:numId w:val="23"/>
      </w:numPr>
      <w:spacing w:before="240" w:after="240"/>
      <w:jc w:val="left"/>
    </w:pPr>
    <w:rPr>
      <w:rFonts w:ascii="Bookman Old Style" w:hAnsi="Bookman Old Style" w:cs="Times New Roman"/>
      <w:sz w:val="24"/>
      <w:szCs w:val="24"/>
      <w:lang w:eastAsia="x-none"/>
    </w:rPr>
  </w:style>
  <w:style w:type="character" w:customStyle="1" w:styleId="TextonormalCar">
    <w:name w:val="Texto normal Car"/>
    <w:link w:val="Textonormal"/>
    <w:rsid w:val="008B73C7"/>
    <w:rPr>
      <w:rFonts w:ascii="Bookman Old Style" w:hAnsi="Bookman Old Style"/>
      <w:spacing w:val="-3"/>
      <w:sz w:val="24"/>
      <w:szCs w:val="24"/>
      <w:lang w:val="es-ES" w:eastAsia="es-ES"/>
    </w:rPr>
  </w:style>
  <w:style w:type="character" w:customStyle="1" w:styleId="Ttulo2Car">
    <w:name w:val="Título 2 Car"/>
    <w:link w:val="Ttulo2"/>
    <w:uiPriority w:val="9"/>
    <w:semiHidden/>
    <w:rsid w:val="008B73C7"/>
    <w:rPr>
      <w:rFonts w:ascii="Cambria" w:eastAsia="Times New Roman" w:hAnsi="Cambria" w:cs="Times New Roman"/>
      <w:b/>
      <w:bCs/>
      <w:i/>
      <w:iCs/>
      <w:sz w:val="28"/>
      <w:szCs w:val="28"/>
      <w:lang w:val="es-ES" w:eastAsia="es-ES"/>
    </w:rPr>
  </w:style>
  <w:style w:type="character" w:customStyle="1" w:styleId="spelle">
    <w:name w:val="spelle"/>
    <w:rsid w:val="007E31BF"/>
  </w:style>
  <w:style w:type="paragraph" w:customStyle="1" w:styleId="pa23">
    <w:name w:val="pa23"/>
    <w:basedOn w:val="Normal"/>
    <w:rsid w:val="00F07724"/>
    <w:pPr>
      <w:spacing w:before="100" w:beforeAutospacing="1" w:after="100" w:afterAutospacing="1"/>
      <w:ind w:left="0"/>
    </w:pPr>
    <w:rPr>
      <w:lang w:val="es-CO" w:eastAsia="es-CO"/>
    </w:rPr>
  </w:style>
  <w:style w:type="character" w:customStyle="1" w:styleId="a11">
    <w:name w:val="a11"/>
    <w:rsid w:val="00F07724"/>
  </w:style>
  <w:style w:type="paragraph" w:customStyle="1" w:styleId="pa36">
    <w:name w:val="pa36"/>
    <w:basedOn w:val="Normal"/>
    <w:rsid w:val="00F07724"/>
    <w:pPr>
      <w:spacing w:before="100" w:beforeAutospacing="1" w:after="100" w:afterAutospacing="1"/>
      <w:ind w:left="0"/>
    </w:pPr>
    <w:rPr>
      <w:lang w:val="es-CO" w:eastAsia="es-CO"/>
    </w:rPr>
  </w:style>
  <w:style w:type="character" w:styleId="Refdecomentario">
    <w:name w:val="annotation reference"/>
    <w:uiPriority w:val="99"/>
    <w:semiHidden/>
    <w:unhideWhenUsed/>
    <w:rsid w:val="00691D63"/>
    <w:rPr>
      <w:sz w:val="16"/>
      <w:szCs w:val="16"/>
    </w:rPr>
  </w:style>
  <w:style w:type="paragraph" w:styleId="Textocomentario">
    <w:name w:val="annotation text"/>
    <w:basedOn w:val="Normal"/>
    <w:link w:val="TextocomentarioCar"/>
    <w:uiPriority w:val="99"/>
    <w:semiHidden/>
    <w:unhideWhenUsed/>
    <w:rsid w:val="00691D63"/>
    <w:rPr>
      <w:sz w:val="20"/>
      <w:szCs w:val="20"/>
    </w:rPr>
  </w:style>
  <w:style w:type="character" w:customStyle="1" w:styleId="TextocomentarioCar">
    <w:name w:val="Texto comentario Car"/>
    <w:link w:val="Textocomentario"/>
    <w:uiPriority w:val="99"/>
    <w:semiHidden/>
    <w:rsid w:val="00691D63"/>
    <w:rPr>
      <w:lang w:val="es-ES" w:eastAsia="es-ES"/>
    </w:rPr>
  </w:style>
  <w:style w:type="paragraph" w:styleId="Asuntodelcomentario">
    <w:name w:val="annotation subject"/>
    <w:basedOn w:val="Textocomentario"/>
    <w:next w:val="Textocomentario"/>
    <w:link w:val="AsuntodelcomentarioCar"/>
    <w:uiPriority w:val="99"/>
    <w:semiHidden/>
    <w:unhideWhenUsed/>
    <w:rsid w:val="00691D63"/>
    <w:rPr>
      <w:b/>
      <w:bCs/>
    </w:rPr>
  </w:style>
  <w:style w:type="character" w:customStyle="1" w:styleId="AsuntodelcomentarioCar">
    <w:name w:val="Asunto del comentario Car"/>
    <w:link w:val="Asuntodelcomentario"/>
    <w:uiPriority w:val="99"/>
    <w:semiHidden/>
    <w:rsid w:val="00691D63"/>
    <w:rPr>
      <w:b/>
      <w:bCs/>
      <w:lang w:val="es-ES" w:eastAsia="es-ES"/>
    </w:rPr>
  </w:style>
  <w:style w:type="paragraph" w:styleId="Revisin">
    <w:name w:val="Revision"/>
    <w:hidden/>
    <w:uiPriority w:val="99"/>
    <w:semiHidden/>
    <w:rsid w:val="005C6F0B"/>
    <w:rPr>
      <w:sz w:val="24"/>
      <w:szCs w:val="24"/>
      <w:lang w:val="es-ES" w:eastAsia="es-ES"/>
    </w:rPr>
  </w:style>
  <w:style w:type="paragraph" w:customStyle="1" w:styleId="Default">
    <w:name w:val="Default"/>
    <w:rsid w:val="002367B2"/>
    <w:pPr>
      <w:autoSpaceDE w:val="0"/>
      <w:autoSpaceDN w:val="0"/>
      <w:adjustRightInd w:val="0"/>
    </w:pPr>
    <w:rPr>
      <w:rFonts w:ascii="Verdana" w:eastAsia="Calibri" w:hAnsi="Verdana" w:cs="Verdana"/>
      <w:color w:val="000000"/>
      <w:sz w:val="24"/>
      <w:szCs w:val="24"/>
      <w:lang w:eastAsia="en-US"/>
    </w:rPr>
  </w:style>
  <w:style w:type="paragraph" w:customStyle="1" w:styleId="ARTICULOS">
    <w:name w:val="ARTICULOS"/>
    <w:basedOn w:val="Normal"/>
    <w:link w:val="ARTICULOSCar"/>
    <w:qFormat/>
    <w:rsid w:val="00E94D8B"/>
    <w:pPr>
      <w:widowControl w:val="0"/>
      <w:numPr>
        <w:numId w:val="38"/>
      </w:numPr>
      <w:tabs>
        <w:tab w:val="left" w:pos="1559"/>
      </w:tabs>
      <w:adjustRightInd w:val="0"/>
      <w:ind w:left="0" w:firstLine="0"/>
      <w:jc w:val="both"/>
      <w:textAlignment w:val="baseline"/>
    </w:pPr>
    <w:rPr>
      <w:rFonts w:ascii="Bookman Old Style" w:hAnsi="Bookman Old Style"/>
      <w:bCs/>
      <w:lang w:val="x-none" w:eastAsia="x-none"/>
    </w:rPr>
  </w:style>
  <w:style w:type="character" w:customStyle="1" w:styleId="ARTICULOSCar">
    <w:name w:val="ARTICULOS Car"/>
    <w:link w:val="ARTICULOS"/>
    <w:rsid w:val="00E94D8B"/>
    <w:rPr>
      <w:rFonts w:ascii="Bookman Old Style" w:hAnsi="Bookman Old Style"/>
      <w:bCs/>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68351">
      <w:bodyDiv w:val="1"/>
      <w:marLeft w:val="0"/>
      <w:marRight w:val="0"/>
      <w:marTop w:val="0"/>
      <w:marBottom w:val="0"/>
      <w:divBdr>
        <w:top w:val="none" w:sz="0" w:space="0" w:color="auto"/>
        <w:left w:val="none" w:sz="0" w:space="0" w:color="auto"/>
        <w:bottom w:val="none" w:sz="0" w:space="0" w:color="auto"/>
        <w:right w:val="none" w:sz="0" w:space="0" w:color="auto"/>
      </w:divBdr>
    </w:div>
    <w:div w:id="1364937186">
      <w:bodyDiv w:val="1"/>
      <w:marLeft w:val="0"/>
      <w:marRight w:val="0"/>
      <w:marTop w:val="0"/>
      <w:marBottom w:val="0"/>
      <w:divBdr>
        <w:top w:val="none" w:sz="0" w:space="0" w:color="auto"/>
        <w:left w:val="none" w:sz="0" w:space="0" w:color="auto"/>
        <w:bottom w:val="none" w:sz="0" w:space="0" w:color="auto"/>
        <w:right w:val="none" w:sz="0" w:space="0" w:color="auto"/>
      </w:divBdr>
    </w:div>
    <w:div w:id="1389646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C3B7B3-E45B-488F-8BFB-6679390E8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4</Pages>
  <Words>1123</Words>
  <Characters>6178</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7287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Diana Patino</cp:lastModifiedBy>
  <cp:revision>2</cp:revision>
  <cp:lastPrinted>2016-10-28T19:39:00Z</cp:lastPrinted>
  <dcterms:created xsi:type="dcterms:W3CDTF">2017-10-03T14:40:00Z</dcterms:created>
  <dcterms:modified xsi:type="dcterms:W3CDTF">2017-10-03T14:40:00Z</dcterms:modified>
</cp:coreProperties>
</file>