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DC07FC" w:rsidRDefault="001907E3" w:rsidP="00313538">
      <w:pPr>
        <w:pStyle w:val="ARTICULOS"/>
        <w:jc w:val="center"/>
      </w:pPr>
      <w:bookmarkStart w:id="0" w:name="_GoBack"/>
      <w:bookmarkEnd w:id="0"/>
      <w:r>
        <w:rPr>
          <w:noProof/>
        </w:rPr>
        <w:object w:dxaOrig="1440" w:dyaOrig="1440" w14:anchorId="6E035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41922241" r:id="rId9"/>
        </w:object>
      </w:r>
    </w:p>
    <w:p w:rsidR="00CA77FB" w:rsidRPr="00DC07FC" w:rsidRDefault="00CA77FB" w:rsidP="00313538">
      <w:pPr>
        <w:pStyle w:val="ARTICULOS"/>
        <w:jc w:val="center"/>
        <w:rPr>
          <w:b/>
          <w:noProof/>
          <w:lang w:val="es-ES"/>
        </w:rPr>
      </w:pPr>
      <w:r w:rsidRPr="00DC07FC">
        <w:t>Ministerio de Minas y Energía</w:t>
      </w:r>
    </w:p>
    <w:p w:rsidR="00CA77FB" w:rsidRPr="00DC07FC" w:rsidRDefault="00CA77FB" w:rsidP="00313538">
      <w:pPr>
        <w:pStyle w:val="ARTICULOS"/>
        <w:jc w:val="center"/>
        <w:rPr>
          <w:b/>
        </w:rPr>
      </w:pPr>
    </w:p>
    <w:p w:rsidR="00CA77FB" w:rsidRPr="00DC07FC" w:rsidRDefault="00CA77FB" w:rsidP="00313538">
      <w:pPr>
        <w:pStyle w:val="ARTICULOS"/>
        <w:jc w:val="center"/>
        <w:rPr>
          <w:b/>
        </w:rPr>
      </w:pPr>
      <w:r w:rsidRPr="00DC07FC">
        <w:rPr>
          <w:b/>
        </w:rPr>
        <w:t>COMISIÓN DE REGULACIÓN DE ENERGÍA Y GAS</w:t>
      </w:r>
    </w:p>
    <w:p w:rsidR="00CA77FB" w:rsidRPr="00DC07FC" w:rsidRDefault="00CA77FB" w:rsidP="00313538">
      <w:pPr>
        <w:pStyle w:val="ARTICULOS"/>
        <w:jc w:val="center"/>
        <w:rPr>
          <w:b/>
        </w:rPr>
      </w:pPr>
    </w:p>
    <w:p w:rsidR="00CA77FB" w:rsidRPr="00DC07FC" w:rsidRDefault="00CA77FB" w:rsidP="00313538">
      <w:pPr>
        <w:pStyle w:val="ARTICULOS"/>
        <w:jc w:val="center"/>
        <w:rPr>
          <w:b/>
        </w:rPr>
      </w:pPr>
    </w:p>
    <w:p w:rsidR="00CA77FB" w:rsidRPr="00DC07FC" w:rsidRDefault="00CA77FB" w:rsidP="004C1136">
      <w:pPr>
        <w:pStyle w:val="Ttulo5"/>
        <w:tabs>
          <w:tab w:val="left" w:pos="0"/>
          <w:tab w:val="right" w:pos="9356"/>
        </w:tabs>
        <w:ind w:left="0"/>
        <w:contextualSpacing/>
        <w:rPr>
          <w:rFonts w:ascii="Bookman Old Style" w:hAnsi="Bookman Old Style"/>
          <w:sz w:val="24"/>
          <w:szCs w:val="24"/>
        </w:rPr>
      </w:pPr>
      <w:r w:rsidRPr="00DC07FC">
        <w:rPr>
          <w:rFonts w:ascii="Bookman Old Style" w:hAnsi="Bookman Old Style"/>
          <w:sz w:val="24"/>
          <w:szCs w:val="24"/>
        </w:rPr>
        <w:t xml:space="preserve">RESOLUCIÓN No. </w:t>
      </w:r>
      <w:r w:rsidR="00795BFB" w:rsidRPr="00DC07FC">
        <w:rPr>
          <w:rFonts w:ascii="Bookman Old Style" w:hAnsi="Bookman Old Style"/>
          <w:sz w:val="24"/>
          <w:szCs w:val="24"/>
        </w:rPr>
        <w:t xml:space="preserve">                  </w:t>
      </w:r>
      <w:r w:rsidRPr="00DC07FC">
        <w:rPr>
          <w:rFonts w:ascii="Bookman Old Style" w:hAnsi="Bookman Old Style"/>
          <w:sz w:val="24"/>
          <w:szCs w:val="24"/>
        </w:rPr>
        <w:t>DE 20</w:t>
      </w:r>
      <w:r w:rsidR="00795BFB" w:rsidRPr="00DC07FC">
        <w:rPr>
          <w:rFonts w:ascii="Bookman Old Style" w:hAnsi="Bookman Old Style"/>
          <w:sz w:val="24"/>
          <w:szCs w:val="24"/>
        </w:rPr>
        <w:t>1</w:t>
      </w:r>
      <w:r w:rsidR="005E08C0" w:rsidRPr="00DC07FC">
        <w:rPr>
          <w:rFonts w:ascii="Bookman Old Style" w:hAnsi="Bookman Old Style"/>
          <w:sz w:val="24"/>
          <w:szCs w:val="24"/>
        </w:rPr>
        <w:t>6</w:t>
      </w:r>
    </w:p>
    <w:p w:rsidR="00CA77FB" w:rsidRPr="00DC07FC" w:rsidRDefault="00CA77FB" w:rsidP="004C1136">
      <w:pPr>
        <w:tabs>
          <w:tab w:val="left" w:pos="0"/>
          <w:tab w:val="right" w:pos="9356"/>
        </w:tabs>
        <w:ind w:left="0"/>
        <w:contextualSpacing/>
        <w:jc w:val="center"/>
        <w:rPr>
          <w:rFonts w:ascii="Bookman Old Style" w:hAnsi="Bookman Old Style" w:cs="Arial"/>
          <w:b/>
          <w:snapToGrid w:val="0"/>
          <w:color w:val="000000"/>
          <w:lang w:val="es-ES_tradnl"/>
        </w:rPr>
      </w:pPr>
    </w:p>
    <w:p w:rsidR="00CA77FB" w:rsidRPr="00DC07FC" w:rsidRDefault="00CA77FB" w:rsidP="004C1136">
      <w:pPr>
        <w:pStyle w:val="Ttulo3"/>
        <w:tabs>
          <w:tab w:val="left" w:pos="0"/>
          <w:tab w:val="right" w:pos="9356"/>
        </w:tabs>
        <w:ind w:left="0"/>
        <w:contextualSpacing/>
        <w:rPr>
          <w:rFonts w:ascii="Bookman Old Style" w:hAnsi="Bookman Old Style"/>
          <w:b w:val="0"/>
          <w:szCs w:val="24"/>
        </w:rPr>
      </w:pPr>
      <w:r w:rsidRPr="00DC07FC">
        <w:rPr>
          <w:rFonts w:ascii="Bookman Old Style" w:hAnsi="Bookman Old Style"/>
          <w:b w:val="0"/>
          <w:szCs w:val="24"/>
        </w:rPr>
        <w:t>(                                  )</w:t>
      </w:r>
    </w:p>
    <w:p w:rsidR="00CA77FB" w:rsidRPr="00DC07FC" w:rsidRDefault="00CA77FB" w:rsidP="004C1136">
      <w:pPr>
        <w:tabs>
          <w:tab w:val="left" w:pos="0"/>
          <w:tab w:val="right" w:pos="9356"/>
        </w:tabs>
        <w:ind w:left="0"/>
        <w:contextualSpacing/>
        <w:jc w:val="center"/>
        <w:rPr>
          <w:rFonts w:ascii="Bookman Old Style" w:hAnsi="Bookman Old Style"/>
          <w:lang w:val="es-ES_tradnl"/>
        </w:rPr>
      </w:pPr>
    </w:p>
    <w:p w:rsidR="00137891" w:rsidRDefault="00137891" w:rsidP="004C1136">
      <w:pPr>
        <w:ind w:left="0"/>
        <w:contextualSpacing/>
        <w:jc w:val="center"/>
        <w:rPr>
          <w:rFonts w:ascii="Bookman Old Style" w:hAnsi="Bookman Old Style"/>
        </w:rPr>
      </w:pPr>
    </w:p>
    <w:p w:rsidR="00137891" w:rsidRDefault="00137891" w:rsidP="00D73152">
      <w:pPr>
        <w:ind w:left="0" w:right="51"/>
        <w:contextualSpacing/>
        <w:jc w:val="center"/>
        <w:rPr>
          <w:rFonts w:ascii="Bookman Old Style" w:hAnsi="Bookman Old Style"/>
        </w:rPr>
      </w:pPr>
    </w:p>
    <w:p w:rsidR="00045D3D" w:rsidRPr="00D73152" w:rsidRDefault="00B065D2" w:rsidP="00D73152">
      <w:pPr>
        <w:ind w:left="0" w:right="51"/>
        <w:contextualSpacing/>
        <w:jc w:val="center"/>
        <w:rPr>
          <w:rFonts w:ascii="Bookman Old Style" w:hAnsi="Bookman Old Style"/>
        </w:rPr>
      </w:pPr>
      <w:r w:rsidRPr="00DC07FC">
        <w:rPr>
          <w:rFonts w:ascii="Bookman Old Style" w:hAnsi="Bookman Old Style"/>
        </w:rPr>
        <w:t xml:space="preserve">Por la cual se ordena hacer público un proyecto de resolución de carácter general, </w:t>
      </w:r>
      <w:r w:rsidRPr="00D73152">
        <w:rPr>
          <w:rFonts w:ascii="Bookman Old Style" w:hAnsi="Bookman Old Style"/>
        </w:rPr>
        <w:t xml:space="preserve">“Por la cual se </w:t>
      </w:r>
      <w:r w:rsidR="00015F16" w:rsidRPr="00D73152">
        <w:rPr>
          <w:rFonts w:ascii="Bookman Old Style" w:hAnsi="Bookman Old Style"/>
        </w:rPr>
        <w:t xml:space="preserve">establece el reglamento de </w:t>
      </w:r>
      <w:r w:rsidRPr="00D73152">
        <w:rPr>
          <w:rFonts w:ascii="Bookman Old Style" w:hAnsi="Bookman Old Style"/>
        </w:rPr>
        <w:t>comercializac</w:t>
      </w:r>
      <w:r w:rsidR="00371720" w:rsidRPr="00D73152">
        <w:rPr>
          <w:rFonts w:ascii="Bookman Old Style" w:hAnsi="Bookman Old Style"/>
        </w:rPr>
        <w:t>ión mayorista de gas licuado de</w:t>
      </w:r>
      <w:r w:rsidRPr="00D73152">
        <w:rPr>
          <w:rFonts w:ascii="Bookman Old Style" w:hAnsi="Bookman Old Style"/>
        </w:rPr>
        <w:t xml:space="preserve"> petróleo y </w:t>
      </w:r>
      <w:r w:rsidR="00015F16" w:rsidRPr="00D73152">
        <w:rPr>
          <w:rFonts w:ascii="Bookman Old Style" w:hAnsi="Bookman Old Style"/>
        </w:rPr>
        <w:t xml:space="preserve">se dictan </w:t>
      </w:r>
      <w:r w:rsidRPr="00D73152">
        <w:rPr>
          <w:rFonts w:ascii="Bookman Old Style" w:hAnsi="Bookman Old Style"/>
        </w:rPr>
        <w:t>otras disposiciones”</w:t>
      </w:r>
    </w:p>
    <w:p w:rsidR="00B065D2" w:rsidRPr="00DC07FC" w:rsidRDefault="00B065D2" w:rsidP="00657027">
      <w:pPr>
        <w:ind w:left="0"/>
        <w:contextualSpacing/>
        <w:rPr>
          <w:rFonts w:ascii="Bookman Old Style" w:hAnsi="Bookman Old Style"/>
        </w:rPr>
      </w:pPr>
    </w:p>
    <w:p w:rsidR="00045D3D" w:rsidRPr="00DC07FC" w:rsidRDefault="00045D3D" w:rsidP="00657027">
      <w:pPr>
        <w:ind w:left="0" w:right="51"/>
        <w:contextualSpacing/>
        <w:rPr>
          <w:rFonts w:ascii="Bookman Old Style" w:hAnsi="Bookman Old Style"/>
        </w:rPr>
      </w:pPr>
    </w:p>
    <w:p w:rsidR="00045D3D" w:rsidRPr="00DC07FC" w:rsidRDefault="00697C65" w:rsidP="004C1136">
      <w:pPr>
        <w:ind w:right="51"/>
        <w:contextualSpacing/>
        <w:jc w:val="center"/>
        <w:rPr>
          <w:rFonts w:ascii="Bookman Old Style" w:hAnsi="Bookman Old Style"/>
          <w:b/>
        </w:rPr>
      </w:pPr>
      <w:r w:rsidRPr="00DC07FC">
        <w:rPr>
          <w:rFonts w:ascii="Bookman Old Style" w:hAnsi="Bookman Old Style"/>
          <w:b/>
        </w:rPr>
        <w:t xml:space="preserve">LA COMISIÓN DE REGULACIÓN DE </w:t>
      </w:r>
      <w:r w:rsidR="00045D3D" w:rsidRPr="00DC07FC">
        <w:rPr>
          <w:rFonts w:ascii="Bookman Old Style" w:hAnsi="Bookman Old Style"/>
          <w:b/>
        </w:rPr>
        <w:t>ENERGÍA Y GAS</w:t>
      </w:r>
    </w:p>
    <w:p w:rsidR="00045D3D" w:rsidRPr="00DC07FC" w:rsidRDefault="00045D3D" w:rsidP="004C1136">
      <w:pPr>
        <w:ind w:left="0" w:right="51"/>
        <w:contextualSpacing/>
        <w:rPr>
          <w:rFonts w:ascii="Bookman Old Style" w:hAnsi="Bookman Old Style"/>
        </w:rPr>
      </w:pPr>
    </w:p>
    <w:p w:rsidR="00045D3D" w:rsidRPr="00DC07FC" w:rsidRDefault="00045D3D" w:rsidP="004C1136">
      <w:pPr>
        <w:ind w:left="0" w:right="51"/>
        <w:contextualSpacing/>
        <w:rPr>
          <w:rFonts w:ascii="Bookman Old Style" w:hAnsi="Bookman Old Style"/>
        </w:rPr>
      </w:pPr>
    </w:p>
    <w:p w:rsidR="00045D3D" w:rsidRPr="00DC07FC" w:rsidRDefault="001B5A52" w:rsidP="00A2310E">
      <w:pPr>
        <w:pStyle w:val="ARTICULOS"/>
        <w:jc w:val="center"/>
        <w:rPr>
          <w:b/>
        </w:rPr>
      </w:pPr>
      <w:r w:rsidRPr="00DC07FC">
        <w:t>En ejercicio de sus atribuciones constitucionales y legales, en especial las conferidas por las leyes 142 y 143 de 1994, y en desarrollo de los decretos 1524 y 2253 de 1994 y 1260 de 2013.</w:t>
      </w:r>
    </w:p>
    <w:p w:rsidR="00045D3D" w:rsidRPr="00DC07FC" w:rsidRDefault="00045D3D" w:rsidP="00657027">
      <w:pPr>
        <w:ind w:left="0" w:right="51"/>
        <w:contextualSpacing/>
        <w:rPr>
          <w:rFonts w:ascii="Bookman Old Style" w:hAnsi="Bookman Old Style"/>
        </w:rPr>
      </w:pPr>
    </w:p>
    <w:p w:rsidR="00045D3D" w:rsidRPr="00DC07FC" w:rsidRDefault="00045D3D" w:rsidP="00657027">
      <w:pPr>
        <w:ind w:left="0" w:right="51"/>
        <w:contextualSpacing/>
        <w:rPr>
          <w:rFonts w:ascii="Bookman Old Style" w:hAnsi="Bookman Old Style"/>
        </w:rPr>
      </w:pPr>
    </w:p>
    <w:p w:rsidR="00045D3D" w:rsidRPr="00DC07FC" w:rsidRDefault="00045D3D" w:rsidP="004C1136">
      <w:pPr>
        <w:ind w:right="51"/>
        <w:contextualSpacing/>
        <w:jc w:val="center"/>
        <w:rPr>
          <w:rFonts w:ascii="Bookman Old Style" w:hAnsi="Bookman Old Style"/>
          <w:b/>
        </w:rPr>
      </w:pPr>
      <w:r w:rsidRPr="00DC07FC">
        <w:rPr>
          <w:rFonts w:ascii="Bookman Old Style" w:hAnsi="Bookman Old Style"/>
          <w:b/>
        </w:rPr>
        <w:t>C O N S I D E R A N D O</w:t>
      </w:r>
      <w:r w:rsidR="00137891">
        <w:rPr>
          <w:rFonts w:ascii="Bookman Old Style" w:hAnsi="Bookman Old Style"/>
          <w:b/>
        </w:rPr>
        <w:t xml:space="preserve"> </w:t>
      </w:r>
      <w:r w:rsidRPr="00DC07FC">
        <w:rPr>
          <w:rFonts w:ascii="Bookman Old Style" w:hAnsi="Bookman Old Style"/>
          <w:b/>
        </w:rPr>
        <w:t xml:space="preserve">  Q U E:</w:t>
      </w:r>
    </w:p>
    <w:p w:rsidR="00045D3D" w:rsidRPr="00DC07FC" w:rsidRDefault="00045D3D" w:rsidP="004C1136">
      <w:pPr>
        <w:ind w:right="51"/>
        <w:contextualSpacing/>
        <w:jc w:val="center"/>
        <w:rPr>
          <w:rFonts w:ascii="Bookman Old Style" w:hAnsi="Bookman Old Style"/>
          <w:b/>
        </w:rPr>
      </w:pPr>
    </w:p>
    <w:p w:rsidR="00045D3D" w:rsidRPr="00DC07FC" w:rsidRDefault="00045D3D" w:rsidP="005A1404">
      <w:pPr>
        <w:ind w:left="0"/>
        <w:contextualSpacing/>
        <w:rPr>
          <w:rFonts w:ascii="Bookman Old Style" w:hAnsi="Bookman Old Style"/>
          <w:b/>
        </w:rPr>
      </w:pPr>
    </w:p>
    <w:p w:rsidR="00657027" w:rsidRPr="00DC07FC" w:rsidRDefault="00657027" w:rsidP="00657027">
      <w:pPr>
        <w:ind w:left="0"/>
        <w:jc w:val="both"/>
        <w:rPr>
          <w:rFonts w:ascii="Bookman Old Style" w:hAnsi="Bookman Old Style" w:cs="Arial"/>
        </w:rPr>
      </w:pPr>
      <w:r w:rsidRPr="00DC07FC">
        <w:rPr>
          <w:rFonts w:ascii="Bookman Old Style" w:hAnsi="Bookman Old Style" w:cs="Arial"/>
        </w:rPr>
        <w:t>Conforme a lo dispuesto por el artículo 8 del Código de Procedimiento Administrativo y de lo Contencioso Administrativo y el artículo 9 del Decreto 2696 de 2004</w:t>
      </w:r>
      <w:r w:rsidRPr="00DC07FC">
        <w:rPr>
          <w:rFonts w:ascii="Bookman Old Style" w:hAnsi="Bookman Old Style" w:cs="Arial"/>
          <w:vertAlign w:val="superscript"/>
        </w:rPr>
        <w:footnoteReference w:id="1"/>
      </w:r>
      <w:r w:rsidRPr="00DC07FC">
        <w:rPr>
          <w:rFonts w:ascii="Bookman Old Style" w:hAnsi="Bookman Old Style" w:cs="Arial"/>
        </w:rPr>
        <w:t xml:space="preserve"> la Comisión debe hacer públicos en su portal WEB todos los proyectos de resolución de carácter general que pretenda adoptar.</w:t>
      </w:r>
    </w:p>
    <w:p w:rsidR="00657027" w:rsidRPr="00DC07FC" w:rsidRDefault="00657027" w:rsidP="00657027">
      <w:pPr>
        <w:ind w:left="0"/>
        <w:jc w:val="both"/>
        <w:rPr>
          <w:rFonts w:ascii="Bookman Old Style" w:hAnsi="Bookman Old Style" w:cs="Arial"/>
        </w:rPr>
      </w:pPr>
    </w:p>
    <w:p w:rsidR="00657027" w:rsidRPr="00DC07FC" w:rsidRDefault="00657027" w:rsidP="00657027">
      <w:pPr>
        <w:ind w:left="0"/>
        <w:jc w:val="both"/>
        <w:rPr>
          <w:rFonts w:ascii="Bookman Old Style" w:hAnsi="Bookman Old Style" w:cs="Arial"/>
          <w:b/>
          <w:bCs/>
          <w:color w:val="000000" w:themeColor="text1"/>
          <w:lang w:eastAsia="es-CO"/>
        </w:rPr>
      </w:pPr>
      <w:r w:rsidRPr="00DC07FC">
        <w:rPr>
          <w:rFonts w:ascii="Bookman Old Style" w:hAnsi="Bookman Old Style"/>
        </w:rPr>
        <w:t>La Comisión de Regulación de Energía y Gas, en la sesi</w:t>
      </w:r>
      <w:r w:rsidR="00A24E5E">
        <w:rPr>
          <w:rFonts w:ascii="Bookman Old Style" w:hAnsi="Bookman Old Style"/>
        </w:rPr>
        <w:t>ón</w:t>
      </w:r>
      <w:r w:rsidRPr="00DC07FC">
        <w:rPr>
          <w:rFonts w:ascii="Bookman Old Style" w:hAnsi="Bookman Old Style"/>
        </w:rPr>
        <w:t xml:space="preserve"> No. 727 del 25 de julio de 2016, aprobó hacer público el proyecto de resolución “</w:t>
      </w:r>
      <w:r w:rsidR="00015F16" w:rsidRPr="00DC07FC">
        <w:rPr>
          <w:rFonts w:ascii="Bookman Old Style" w:hAnsi="Bookman Old Style" w:cs="Arial"/>
          <w:color w:val="000000"/>
        </w:rPr>
        <w:t>Por la cual se establece el reglamento de comercializac</w:t>
      </w:r>
      <w:r w:rsidR="00371720" w:rsidRPr="00DC07FC">
        <w:rPr>
          <w:rFonts w:ascii="Bookman Old Style" w:hAnsi="Bookman Old Style" w:cs="Arial"/>
          <w:color w:val="000000"/>
        </w:rPr>
        <w:t>ión mayorista de gas licuado de</w:t>
      </w:r>
      <w:r w:rsidR="00015F16" w:rsidRPr="00DC07FC">
        <w:rPr>
          <w:rFonts w:ascii="Bookman Old Style" w:hAnsi="Bookman Old Style" w:cs="Arial"/>
          <w:color w:val="000000"/>
        </w:rPr>
        <w:t xml:space="preserve"> petróleo y se dictan otras disposiciones</w:t>
      </w:r>
      <w:r w:rsidRPr="00DC07FC">
        <w:rPr>
          <w:rFonts w:ascii="Bookman Old Style" w:hAnsi="Bookman Old Style" w:cs="Arial"/>
          <w:color w:val="000000" w:themeColor="text1"/>
          <w:lang w:eastAsia="es-CO"/>
        </w:rPr>
        <w:t>”.</w:t>
      </w:r>
    </w:p>
    <w:p w:rsidR="00045D3D" w:rsidRPr="00DC07FC" w:rsidRDefault="00045D3D" w:rsidP="004C1136">
      <w:pPr>
        <w:ind w:left="0"/>
        <w:contextualSpacing/>
        <w:rPr>
          <w:rFonts w:ascii="Bookman Old Style" w:hAnsi="Bookman Old Style"/>
        </w:rPr>
      </w:pPr>
    </w:p>
    <w:p w:rsidR="00045D3D" w:rsidRPr="00DC07FC" w:rsidRDefault="00045D3D" w:rsidP="004C1136">
      <w:pPr>
        <w:suppressAutoHyphens/>
        <w:contextualSpacing/>
        <w:jc w:val="center"/>
        <w:rPr>
          <w:rFonts w:ascii="Bookman Old Style" w:hAnsi="Bookman Old Style"/>
          <w:b/>
          <w:spacing w:val="-3"/>
        </w:rPr>
      </w:pPr>
    </w:p>
    <w:p w:rsidR="00045D3D" w:rsidRPr="00DC07FC" w:rsidRDefault="00045D3D" w:rsidP="004C1136">
      <w:pPr>
        <w:suppressAutoHyphens/>
        <w:contextualSpacing/>
        <w:jc w:val="center"/>
        <w:rPr>
          <w:rFonts w:ascii="Bookman Old Style" w:hAnsi="Bookman Old Style"/>
          <w:spacing w:val="-3"/>
        </w:rPr>
      </w:pPr>
      <w:r w:rsidRPr="00DC07FC">
        <w:rPr>
          <w:rFonts w:ascii="Bookman Old Style" w:hAnsi="Bookman Old Style"/>
          <w:b/>
          <w:spacing w:val="-3"/>
        </w:rPr>
        <w:t>R E S U E L V E:</w:t>
      </w:r>
    </w:p>
    <w:p w:rsidR="00045D3D" w:rsidRPr="00DC07FC" w:rsidRDefault="00045D3D" w:rsidP="004C1136">
      <w:pPr>
        <w:contextualSpacing/>
        <w:jc w:val="center"/>
        <w:rPr>
          <w:rFonts w:ascii="Bookman Old Style" w:hAnsi="Bookman Old Style"/>
        </w:rPr>
      </w:pPr>
    </w:p>
    <w:p w:rsidR="00657027" w:rsidRPr="00DC07FC" w:rsidRDefault="00657027" w:rsidP="004C1136">
      <w:pPr>
        <w:contextualSpacing/>
        <w:jc w:val="center"/>
        <w:rPr>
          <w:rFonts w:ascii="Bookman Old Style" w:hAnsi="Bookman Old Style"/>
        </w:rPr>
      </w:pPr>
    </w:p>
    <w:p w:rsidR="00045D3D" w:rsidRPr="00DC07FC" w:rsidRDefault="00045D3D" w:rsidP="004C1136">
      <w:pPr>
        <w:ind w:left="0"/>
        <w:contextualSpacing/>
        <w:jc w:val="both"/>
        <w:rPr>
          <w:rFonts w:ascii="Bookman Old Style" w:hAnsi="Bookman Old Style"/>
        </w:rPr>
      </w:pPr>
      <w:r w:rsidRPr="00DC07FC">
        <w:rPr>
          <w:rFonts w:ascii="Bookman Old Style" w:hAnsi="Bookman Old Style"/>
          <w:b/>
        </w:rPr>
        <w:t>ARTÍCULO 1.</w:t>
      </w:r>
      <w:r w:rsidRPr="00DC07FC">
        <w:rPr>
          <w:rFonts w:ascii="Bookman Old Style" w:hAnsi="Bookman Old Style"/>
        </w:rPr>
        <w:t xml:space="preserve"> </w:t>
      </w:r>
      <w:r w:rsidR="00112A5B" w:rsidRPr="00DC07FC">
        <w:rPr>
          <w:rFonts w:ascii="Bookman Old Style" w:hAnsi="Bookman Old Style"/>
        </w:rPr>
        <w:t>Hágase</w:t>
      </w:r>
      <w:r w:rsidR="00657027" w:rsidRPr="00DC07FC">
        <w:rPr>
          <w:rFonts w:ascii="Bookman Old Style" w:hAnsi="Bookman Old Style"/>
        </w:rPr>
        <w:t xml:space="preserve"> </w:t>
      </w:r>
      <w:r w:rsidR="00657027" w:rsidRPr="00DC07FC">
        <w:rPr>
          <w:rFonts w:ascii="Bookman Old Style" w:hAnsi="Bookman Old Style" w:cs="Arial"/>
        </w:rPr>
        <w:t>público el proyecto de resolución</w:t>
      </w:r>
      <w:r w:rsidR="00657027" w:rsidRPr="00DC07FC">
        <w:rPr>
          <w:rFonts w:ascii="Bookman Old Style" w:hAnsi="Bookman Old Style"/>
        </w:rPr>
        <w:t>, “</w:t>
      </w:r>
      <w:r w:rsidR="00015F16" w:rsidRPr="00DC07FC">
        <w:rPr>
          <w:rFonts w:ascii="Bookman Old Style" w:hAnsi="Bookman Old Style" w:cs="Arial"/>
          <w:color w:val="000000"/>
        </w:rPr>
        <w:t>Por la cual se establece el reglamento de comercializac</w:t>
      </w:r>
      <w:r w:rsidR="00371720" w:rsidRPr="00DC07FC">
        <w:rPr>
          <w:rFonts w:ascii="Bookman Old Style" w:hAnsi="Bookman Old Style" w:cs="Arial"/>
          <w:color w:val="000000"/>
        </w:rPr>
        <w:t>ión mayorista de gas licuado de</w:t>
      </w:r>
      <w:r w:rsidR="00015F16" w:rsidRPr="00DC07FC">
        <w:rPr>
          <w:rFonts w:ascii="Bookman Old Style" w:hAnsi="Bookman Old Style" w:cs="Arial"/>
          <w:color w:val="000000"/>
        </w:rPr>
        <w:t xml:space="preserve"> petróleo y se dictan otras disposiciones</w:t>
      </w:r>
      <w:r w:rsidR="00657027" w:rsidRPr="00DC07FC">
        <w:rPr>
          <w:rFonts w:ascii="Bookman Old Style" w:hAnsi="Bookman Old Style" w:cs="Arial"/>
          <w:color w:val="000000" w:themeColor="text1"/>
          <w:lang w:eastAsia="es-CO"/>
        </w:rPr>
        <w:t>”.</w:t>
      </w:r>
    </w:p>
    <w:p w:rsidR="00ED30C0" w:rsidRPr="00DC07FC" w:rsidRDefault="00ED30C0" w:rsidP="004C1136">
      <w:pPr>
        <w:ind w:left="0"/>
        <w:contextualSpacing/>
        <w:rPr>
          <w:rFonts w:ascii="Bookman Old Style" w:hAnsi="Bookman Old Style"/>
        </w:rPr>
      </w:pPr>
    </w:p>
    <w:p w:rsidR="009704C6" w:rsidRPr="00DC07FC" w:rsidRDefault="00045D3D" w:rsidP="009704C6">
      <w:pPr>
        <w:ind w:left="0"/>
        <w:jc w:val="both"/>
        <w:rPr>
          <w:rFonts w:ascii="Bookman Old Style" w:hAnsi="Bookman Old Style"/>
          <w:sz w:val="22"/>
        </w:rPr>
      </w:pPr>
      <w:r w:rsidRPr="00DC07FC">
        <w:rPr>
          <w:rFonts w:ascii="Bookman Old Style" w:hAnsi="Bookman Old Style"/>
          <w:b/>
        </w:rPr>
        <w:t>ARTÍCULO 2.</w:t>
      </w:r>
      <w:r w:rsidR="00673576" w:rsidRPr="00DC07FC">
        <w:rPr>
          <w:rFonts w:ascii="Bookman Old Style" w:hAnsi="Bookman Old Style"/>
          <w:i/>
        </w:rPr>
        <w:t xml:space="preserve"> </w:t>
      </w:r>
      <w:r w:rsidR="009704C6" w:rsidRPr="00DC07FC">
        <w:rPr>
          <w:rFonts w:ascii="Bookman Old Style" w:hAnsi="Bookman Old Style" w:cs="Arial"/>
          <w:lang w:val="es-CO" w:eastAsia="es-CO"/>
        </w:rPr>
        <w:t xml:space="preserve">Se invita </w:t>
      </w:r>
      <w:r w:rsidR="00657027" w:rsidRPr="00DC07FC">
        <w:rPr>
          <w:rFonts w:ascii="Bookman Old Style" w:hAnsi="Bookman Old Style" w:cs="Arial"/>
          <w:lang w:val="es-CO" w:eastAsia="es-CO"/>
        </w:rPr>
        <w:t xml:space="preserve">a los agentes, a los usuarios, a las autoridades locales municipales y departamentales competentes, a la Superintendencia de Servicios Públicos Domiciliarios y a la Superintendencia de Industria y Comercio, para </w:t>
      </w:r>
      <w:r w:rsidR="00657027" w:rsidRPr="00DC07FC">
        <w:rPr>
          <w:rFonts w:ascii="Bookman Old Style" w:hAnsi="Bookman Old Style" w:cs="Arial"/>
        </w:rPr>
        <w:lastRenderedPageBreak/>
        <w:t xml:space="preserve">que remitan sus observaciones o sugerencias sobre las </w:t>
      </w:r>
      <w:r w:rsidR="00657027" w:rsidRPr="00DC07FC">
        <w:rPr>
          <w:rFonts w:ascii="Bookman Old Style" w:hAnsi="Bookman Old Style" w:cs="Arial"/>
          <w:lang w:val="es-CO" w:eastAsia="es-CO"/>
        </w:rPr>
        <w:t>propuestas contenidas en el proyecto de resolución adjunto y participen en las consultas públicas que se llevarán a cabo conforme a lo previsto en el Artículo 11, numeral 11.5 del Decreto 2696 de 2004</w:t>
      </w:r>
      <w:r w:rsidR="00657027" w:rsidRPr="00DC07FC">
        <w:rPr>
          <w:rFonts w:ascii="Bookman Old Style" w:hAnsi="Bookman Old Style" w:cs="Arial"/>
          <w:vertAlign w:val="superscript"/>
          <w:lang w:val="es-CO" w:eastAsia="es-CO"/>
        </w:rPr>
        <w:footnoteReference w:id="2"/>
      </w:r>
      <w:r w:rsidR="00657027" w:rsidRPr="00DC07FC">
        <w:rPr>
          <w:rFonts w:ascii="Bookman Old Style" w:hAnsi="Bookman Old Style" w:cs="Arial"/>
          <w:lang w:val="es-CO" w:eastAsia="es-CO"/>
        </w:rPr>
        <w:t>.</w:t>
      </w:r>
    </w:p>
    <w:p w:rsidR="009704C6" w:rsidRPr="00DC07FC" w:rsidRDefault="009704C6" w:rsidP="009704C6">
      <w:pPr>
        <w:ind w:left="0"/>
        <w:jc w:val="both"/>
        <w:rPr>
          <w:rFonts w:ascii="Bookman Old Style" w:hAnsi="Bookman Old Style"/>
          <w:b/>
        </w:rPr>
      </w:pPr>
    </w:p>
    <w:p w:rsidR="009704C6" w:rsidRPr="00DC07FC" w:rsidRDefault="009704C6" w:rsidP="009704C6">
      <w:pPr>
        <w:ind w:left="0"/>
        <w:jc w:val="both"/>
        <w:rPr>
          <w:rFonts w:ascii="Bookman Old Style" w:hAnsi="Bookman Old Style"/>
          <w:sz w:val="22"/>
        </w:rPr>
      </w:pPr>
      <w:r w:rsidRPr="00DC07FC">
        <w:rPr>
          <w:rFonts w:ascii="Bookman Old Style" w:hAnsi="Bookman Old Style"/>
          <w:b/>
        </w:rPr>
        <w:t>ARTÍCULO 3.</w:t>
      </w:r>
      <w:r w:rsidRPr="00DC07FC">
        <w:rPr>
          <w:rFonts w:ascii="Bookman Old Style" w:hAnsi="Bookman Old Style"/>
          <w:sz w:val="22"/>
        </w:rPr>
        <w:t xml:space="preserve"> </w:t>
      </w:r>
      <w:r w:rsidRPr="00DC07FC">
        <w:rPr>
          <w:rFonts w:ascii="Bookman Old Style" w:hAnsi="Bookman Old Style" w:cs="Arial"/>
          <w:lang w:val="es-CO" w:eastAsia="es-CO"/>
        </w:rPr>
        <w:t xml:space="preserve">Las </w:t>
      </w:r>
      <w:r w:rsidR="00657027" w:rsidRPr="00DC07FC">
        <w:rPr>
          <w:rFonts w:ascii="Bookman Old Style" w:hAnsi="Bookman Old Style" w:cs="Arial"/>
        </w:rPr>
        <w:t xml:space="preserve">observaciones y sugerencias sobre el proyecto deberán dirigirse en formato </w:t>
      </w:r>
      <w:r w:rsidR="00657027" w:rsidRPr="00DC07FC">
        <w:rPr>
          <w:rFonts w:ascii="Bookman Old Style" w:hAnsi="Bookman Old Style" w:cs="Arial"/>
          <w:i/>
        </w:rPr>
        <w:t>Word</w:t>
      </w:r>
      <w:r w:rsidR="00657027" w:rsidRPr="00DC07FC">
        <w:rPr>
          <w:rFonts w:ascii="Bookman Old Style" w:hAnsi="Bookman Old Style" w:cs="Arial"/>
        </w:rPr>
        <w:t xml:space="preserve"> y </w:t>
      </w:r>
      <w:proofErr w:type="spellStart"/>
      <w:r w:rsidR="00657027" w:rsidRPr="00DC07FC">
        <w:rPr>
          <w:rFonts w:ascii="Bookman Old Style" w:hAnsi="Bookman Old Style" w:cs="Arial"/>
          <w:i/>
        </w:rPr>
        <w:t>pdf</w:t>
      </w:r>
      <w:proofErr w:type="spellEnd"/>
      <w:r w:rsidR="00796DBE">
        <w:rPr>
          <w:rFonts w:ascii="Bookman Old Style" w:hAnsi="Bookman Old Style" w:cs="Arial"/>
        </w:rPr>
        <w:t xml:space="preserve"> al</w:t>
      </w:r>
      <w:r w:rsidR="00657027" w:rsidRPr="00DC07FC">
        <w:rPr>
          <w:rFonts w:ascii="Bookman Old Style" w:hAnsi="Bookman Old Style" w:cs="Arial"/>
        </w:rPr>
        <w:t xml:space="preserve"> Director Ejecutivo de la Comisión, a la siguiente dirección: Avenida Calle 116 No. 7-15, Edificio Torre </w:t>
      </w:r>
      <w:proofErr w:type="spellStart"/>
      <w:r w:rsidR="00657027" w:rsidRPr="00DC07FC">
        <w:rPr>
          <w:rFonts w:ascii="Bookman Old Style" w:hAnsi="Bookman Old Style" w:cs="Arial"/>
        </w:rPr>
        <w:t>Cusezar</w:t>
      </w:r>
      <w:proofErr w:type="spellEnd"/>
      <w:r w:rsidR="00657027" w:rsidRPr="00DC07FC">
        <w:rPr>
          <w:rFonts w:ascii="Bookman Old Style" w:hAnsi="Bookman Old Style" w:cs="Arial"/>
        </w:rPr>
        <w:t>, Interior 2, Oficina 901 o al correo electrónico creg@creg.gov.co</w:t>
      </w:r>
      <w:r w:rsidR="00371720" w:rsidRPr="00DC07FC">
        <w:rPr>
          <w:rFonts w:ascii="Bookman Old Style" w:hAnsi="Bookman Old Style" w:cs="Arial"/>
        </w:rPr>
        <w:t xml:space="preserve">, dentro de los tres (3) meses siguientes a su publicación en el </w:t>
      </w:r>
      <w:r w:rsidR="00371720" w:rsidRPr="00DC07FC">
        <w:rPr>
          <w:rFonts w:ascii="Bookman Old Style" w:hAnsi="Bookman Old Style" w:cs="Arial"/>
          <w:i/>
        </w:rPr>
        <w:t>Diario Oficial</w:t>
      </w:r>
      <w:r w:rsidR="00CE4116" w:rsidRPr="00DC07FC">
        <w:rPr>
          <w:rFonts w:ascii="Bookman Old Style" w:hAnsi="Bookman Old Style" w:cs="Arial"/>
        </w:rPr>
        <w:t xml:space="preserve"> o en la página web de la entidad.</w:t>
      </w:r>
    </w:p>
    <w:p w:rsidR="009704C6" w:rsidRPr="00DC07FC" w:rsidRDefault="009704C6" w:rsidP="00371720">
      <w:pPr>
        <w:ind w:left="0"/>
        <w:jc w:val="both"/>
        <w:rPr>
          <w:rFonts w:ascii="Bookman Old Style" w:hAnsi="Bookman Old Style"/>
          <w:sz w:val="22"/>
        </w:rPr>
      </w:pPr>
    </w:p>
    <w:p w:rsidR="009704C6" w:rsidRPr="00DC07FC" w:rsidRDefault="009704C6" w:rsidP="009704C6">
      <w:pPr>
        <w:widowControl w:val="0"/>
        <w:adjustRightInd w:val="0"/>
        <w:ind w:left="0"/>
        <w:jc w:val="both"/>
        <w:textAlignment w:val="baseline"/>
        <w:rPr>
          <w:rFonts w:ascii="Bookman Old Style" w:hAnsi="Bookman Old Style" w:cs="Arial"/>
          <w:lang w:val="es-CO" w:eastAsia="es-CO"/>
        </w:rPr>
      </w:pPr>
      <w:r w:rsidRPr="00DC07FC">
        <w:rPr>
          <w:rFonts w:ascii="Bookman Old Style" w:hAnsi="Bookman Old Style" w:cs="Arial"/>
          <w:b/>
          <w:bCs/>
          <w:lang w:val="es-CO" w:eastAsia="es-CO"/>
        </w:rPr>
        <w:t>ARTÍCULO 4</w:t>
      </w:r>
      <w:r w:rsidRPr="00DC07FC">
        <w:rPr>
          <w:rFonts w:ascii="Bookman Old Style" w:hAnsi="Bookman Old Style" w:cs="Arial"/>
          <w:lang w:val="es-CO" w:eastAsia="es-CO"/>
        </w:rPr>
        <w:t>. La presente Resolución no deroga ni modifica disposiciones vigentes por tratarse de un acto de trámite.</w:t>
      </w:r>
    </w:p>
    <w:p w:rsidR="00045D3D" w:rsidRPr="00DC07FC" w:rsidRDefault="00045D3D" w:rsidP="004C1136">
      <w:pPr>
        <w:ind w:left="0"/>
        <w:contextualSpacing/>
        <w:jc w:val="both"/>
        <w:rPr>
          <w:rFonts w:ascii="Bookman Old Style" w:hAnsi="Bookman Old Style"/>
        </w:rPr>
      </w:pPr>
    </w:p>
    <w:p w:rsidR="00045D3D" w:rsidRPr="00DC07FC" w:rsidRDefault="00045D3D" w:rsidP="004C1136">
      <w:pPr>
        <w:ind w:left="0"/>
        <w:contextualSpacing/>
        <w:rPr>
          <w:rFonts w:ascii="Bookman Old Style" w:hAnsi="Bookman Old Style"/>
        </w:rPr>
      </w:pPr>
    </w:p>
    <w:p w:rsidR="00045D3D" w:rsidRPr="00DC07FC" w:rsidRDefault="00045D3D" w:rsidP="004C1136">
      <w:pPr>
        <w:contextualSpacing/>
        <w:jc w:val="center"/>
        <w:rPr>
          <w:rFonts w:ascii="Bookman Old Style" w:hAnsi="Bookman Old Style"/>
          <w:b/>
        </w:rPr>
      </w:pPr>
      <w:r w:rsidRPr="00DC07FC">
        <w:rPr>
          <w:rFonts w:ascii="Bookman Old Style" w:hAnsi="Bookman Old Style"/>
          <w:b/>
        </w:rPr>
        <w:t>PU</w:t>
      </w:r>
      <w:r w:rsidR="00CA03C8" w:rsidRPr="00DC07FC">
        <w:rPr>
          <w:rFonts w:ascii="Bookman Old Style" w:hAnsi="Bookman Old Style"/>
          <w:b/>
        </w:rPr>
        <w:t>B</w:t>
      </w:r>
      <w:r w:rsidRPr="00DC07FC">
        <w:rPr>
          <w:rFonts w:ascii="Bookman Old Style" w:hAnsi="Bookman Old Style"/>
          <w:b/>
        </w:rPr>
        <w:t>LÍQUESE Y CÚMPLASE</w:t>
      </w:r>
    </w:p>
    <w:p w:rsidR="00045D3D" w:rsidRPr="00DC07FC" w:rsidRDefault="00045D3D" w:rsidP="004C1136">
      <w:pPr>
        <w:ind w:left="0"/>
        <w:contextualSpacing/>
        <w:rPr>
          <w:rFonts w:ascii="Bookman Old Style" w:hAnsi="Bookman Old Style"/>
        </w:rPr>
      </w:pPr>
    </w:p>
    <w:p w:rsidR="00105B37" w:rsidRPr="00DC07FC" w:rsidRDefault="00105B37" w:rsidP="004C1136">
      <w:pPr>
        <w:ind w:left="0"/>
        <w:contextualSpacing/>
        <w:rPr>
          <w:rFonts w:ascii="Bookman Old Style" w:hAnsi="Bookman Old Style"/>
        </w:rPr>
      </w:pPr>
    </w:p>
    <w:p w:rsidR="00045D3D" w:rsidRPr="00DC07FC" w:rsidRDefault="00045D3D" w:rsidP="004C1136">
      <w:pPr>
        <w:ind w:left="0"/>
        <w:contextualSpacing/>
        <w:rPr>
          <w:rFonts w:ascii="Bookman Old Style" w:hAnsi="Bookman Old Style"/>
        </w:rPr>
      </w:pPr>
      <w:r w:rsidRPr="00DC07FC">
        <w:rPr>
          <w:rFonts w:ascii="Bookman Old Style" w:hAnsi="Bookman Old Style"/>
        </w:rPr>
        <w:t>Dada en Bogotá, D.C.</w:t>
      </w:r>
      <w:r w:rsidR="00CA3AA6" w:rsidRPr="00DC07FC">
        <w:rPr>
          <w:rFonts w:ascii="Bookman Old Style" w:hAnsi="Bookman Old Style"/>
        </w:rPr>
        <w:t xml:space="preserve"> a</w:t>
      </w:r>
    </w:p>
    <w:p w:rsidR="00045D3D" w:rsidRPr="00DC07FC" w:rsidRDefault="00045D3D" w:rsidP="004C1136">
      <w:pPr>
        <w:ind w:left="0"/>
        <w:contextualSpacing/>
        <w:rPr>
          <w:rFonts w:ascii="Bookman Old Style" w:hAnsi="Bookman Old Style"/>
        </w:rPr>
      </w:pPr>
    </w:p>
    <w:p w:rsidR="00105B37" w:rsidRPr="00DC07FC" w:rsidRDefault="00105B37" w:rsidP="004C1136">
      <w:pPr>
        <w:ind w:left="0"/>
        <w:contextualSpacing/>
        <w:rPr>
          <w:rFonts w:ascii="Bookman Old Style" w:hAnsi="Bookman Old Style"/>
        </w:rPr>
      </w:pPr>
    </w:p>
    <w:p w:rsidR="00105B37" w:rsidRPr="00DC07FC" w:rsidRDefault="00105B37" w:rsidP="004C1136">
      <w:pPr>
        <w:ind w:left="0"/>
        <w:contextualSpacing/>
        <w:rPr>
          <w:rFonts w:ascii="Bookman Old Style" w:hAnsi="Bookman Old Style"/>
        </w:rPr>
      </w:pPr>
    </w:p>
    <w:p w:rsidR="00105B37" w:rsidRPr="00DC07FC" w:rsidRDefault="00105B37" w:rsidP="004C1136">
      <w:pPr>
        <w:ind w:left="0"/>
        <w:contextualSpacing/>
        <w:rPr>
          <w:rFonts w:ascii="Bookman Old Style" w:hAnsi="Bookman Old Style"/>
        </w:rPr>
      </w:pPr>
    </w:p>
    <w:p w:rsidR="00045D3D" w:rsidRPr="00DC07FC" w:rsidRDefault="00045D3D" w:rsidP="004C1136">
      <w:pPr>
        <w:ind w:left="0"/>
        <w:contextualSpacing/>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F77D2D" w:rsidRPr="00DC07FC" w:rsidTr="00C44E5F">
        <w:trPr>
          <w:jc w:val="center"/>
        </w:trPr>
        <w:tc>
          <w:tcPr>
            <w:tcW w:w="5067" w:type="dxa"/>
          </w:tcPr>
          <w:p w:rsidR="00F77D2D" w:rsidRPr="00DC07FC" w:rsidRDefault="00580EB9" w:rsidP="004C1136">
            <w:pPr>
              <w:tabs>
                <w:tab w:val="left" w:pos="-720"/>
              </w:tabs>
              <w:suppressAutoHyphens/>
              <w:ind w:left="0"/>
              <w:contextualSpacing/>
              <w:jc w:val="center"/>
              <w:rPr>
                <w:rFonts w:ascii="Bookman Old Style" w:hAnsi="Bookman Old Style" w:cs="Arial"/>
                <w:b/>
                <w:spacing w:val="-3"/>
              </w:rPr>
            </w:pPr>
            <w:r w:rsidRPr="00DC07FC">
              <w:rPr>
                <w:rFonts w:ascii="Bookman Old Style" w:hAnsi="Bookman Old Style" w:cs="Arial"/>
                <w:b/>
                <w:spacing w:val="-3"/>
              </w:rPr>
              <w:t>GERMÁ</w:t>
            </w:r>
            <w:r w:rsidR="009704C6" w:rsidRPr="00DC07FC">
              <w:rPr>
                <w:rFonts w:ascii="Bookman Old Style" w:hAnsi="Bookman Old Style" w:cs="Arial"/>
                <w:b/>
                <w:spacing w:val="-3"/>
              </w:rPr>
              <w:t>N ARCE ZAPATA</w:t>
            </w:r>
          </w:p>
          <w:p w:rsidR="009704C6" w:rsidRPr="00DC07FC" w:rsidRDefault="00F77D2D" w:rsidP="004C1136">
            <w:pPr>
              <w:tabs>
                <w:tab w:val="left" w:pos="-720"/>
              </w:tabs>
              <w:suppressAutoHyphens/>
              <w:ind w:left="0"/>
              <w:contextualSpacing/>
              <w:jc w:val="center"/>
              <w:rPr>
                <w:rFonts w:ascii="Bookman Old Style" w:hAnsi="Bookman Old Style"/>
              </w:rPr>
            </w:pPr>
            <w:r w:rsidRPr="00DC07FC">
              <w:rPr>
                <w:rFonts w:ascii="Bookman Old Style" w:hAnsi="Bookman Old Style"/>
              </w:rPr>
              <w:t xml:space="preserve">Ministro de Minas y Energía </w:t>
            </w:r>
          </w:p>
          <w:p w:rsidR="00F77D2D" w:rsidRPr="00DC07FC" w:rsidRDefault="00F77D2D" w:rsidP="004C1136">
            <w:pPr>
              <w:tabs>
                <w:tab w:val="left" w:pos="-720"/>
              </w:tabs>
              <w:suppressAutoHyphens/>
              <w:ind w:left="0"/>
              <w:contextualSpacing/>
              <w:jc w:val="center"/>
              <w:rPr>
                <w:rFonts w:ascii="Bookman Old Style" w:hAnsi="Bookman Old Style" w:cs="Arial"/>
                <w:b/>
                <w:strike/>
                <w:spacing w:val="-3"/>
              </w:rPr>
            </w:pPr>
            <w:r w:rsidRPr="00DC07FC">
              <w:rPr>
                <w:rFonts w:ascii="Bookman Old Style" w:hAnsi="Bookman Old Style"/>
              </w:rPr>
              <w:t>Presidente</w:t>
            </w:r>
          </w:p>
        </w:tc>
        <w:tc>
          <w:tcPr>
            <w:tcW w:w="4429" w:type="dxa"/>
          </w:tcPr>
          <w:p w:rsidR="00F77D2D" w:rsidRPr="00DC07FC" w:rsidRDefault="00557081" w:rsidP="004C1136">
            <w:pPr>
              <w:tabs>
                <w:tab w:val="left" w:pos="-720"/>
              </w:tabs>
              <w:suppressAutoHyphens/>
              <w:ind w:left="0"/>
              <w:contextualSpacing/>
              <w:jc w:val="center"/>
              <w:rPr>
                <w:rFonts w:ascii="Bookman Old Style" w:hAnsi="Bookman Old Style" w:cs="Arial"/>
                <w:b/>
              </w:rPr>
            </w:pPr>
            <w:r w:rsidRPr="00DC07FC">
              <w:rPr>
                <w:rFonts w:ascii="Bookman Old Style" w:hAnsi="Bookman Old Style" w:cs="Arial"/>
                <w:b/>
              </w:rPr>
              <w:t>JORGE PINTO NOLLA</w:t>
            </w:r>
          </w:p>
          <w:p w:rsidR="00F77D2D" w:rsidRPr="00DC07FC" w:rsidRDefault="00F77D2D" w:rsidP="004C1136">
            <w:pPr>
              <w:tabs>
                <w:tab w:val="left" w:pos="-720"/>
              </w:tabs>
              <w:suppressAutoHyphens/>
              <w:ind w:left="0"/>
              <w:contextualSpacing/>
              <w:jc w:val="center"/>
              <w:rPr>
                <w:rFonts w:ascii="Bookman Old Style" w:hAnsi="Bookman Old Style" w:cs="Arial"/>
                <w:b/>
                <w:spacing w:val="-3"/>
              </w:rPr>
            </w:pPr>
            <w:r w:rsidRPr="00DC07FC">
              <w:rPr>
                <w:rFonts w:ascii="Bookman Old Style" w:hAnsi="Bookman Old Style" w:cs="Arial"/>
                <w:spacing w:val="-3"/>
              </w:rPr>
              <w:t>Director Ejecutivo</w:t>
            </w:r>
          </w:p>
        </w:tc>
      </w:tr>
    </w:tbl>
    <w:p w:rsidR="00932212" w:rsidRPr="00DC07FC" w:rsidRDefault="00932212" w:rsidP="004C1136">
      <w:pPr>
        <w:ind w:left="0"/>
        <w:contextualSpacing/>
        <w:rPr>
          <w:rFonts w:ascii="Bookman Old Style" w:hAnsi="Bookman Old Style" w:cs="Arial"/>
        </w:rPr>
      </w:pPr>
      <w:r w:rsidRPr="00DC07FC">
        <w:rPr>
          <w:rFonts w:ascii="Bookman Old Style" w:hAnsi="Bookman Old Style" w:cs="Arial"/>
        </w:rPr>
        <w:br w:type="page"/>
      </w:r>
    </w:p>
    <w:p w:rsidR="005E08C0" w:rsidRPr="00DC07FC" w:rsidRDefault="005E08C0" w:rsidP="004C1136">
      <w:pPr>
        <w:ind w:left="0"/>
        <w:contextualSpacing/>
        <w:jc w:val="center"/>
        <w:rPr>
          <w:rFonts w:ascii="Bookman Old Style" w:hAnsi="Bookman Old Style" w:cs="Arial"/>
          <w:b/>
        </w:rPr>
      </w:pPr>
    </w:p>
    <w:p w:rsidR="00932212" w:rsidRPr="00DC07FC" w:rsidRDefault="00932212" w:rsidP="004C1136">
      <w:pPr>
        <w:ind w:left="0"/>
        <w:contextualSpacing/>
        <w:jc w:val="center"/>
        <w:rPr>
          <w:rFonts w:ascii="Bookman Old Style" w:hAnsi="Bookman Old Style" w:cs="Arial"/>
          <w:b/>
        </w:rPr>
      </w:pPr>
      <w:r w:rsidRPr="00DC07FC">
        <w:rPr>
          <w:rFonts w:ascii="Bookman Old Style" w:hAnsi="Bookman Old Style" w:cs="Arial"/>
          <w:b/>
        </w:rPr>
        <w:t>PROYECTO DE RESOLUCIÓN</w:t>
      </w:r>
    </w:p>
    <w:p w:rsidR="00932212" w:rsidRPr="00DC07FC" w:rsidRDefault="00932212" w:rsidP="004C1136">
      <w:pPr>
        <w:ind w:left="0"/>
        <w:contextualSpacing/>
        <w:rPr>
          <w:rFonts w:ascii="Bookman Old Style" w:hAnsi="Bookman Old Style" w:cs="Arial"/>
        </w:rPr>
      </w:pPr>
    </w:p>
    <w:p w:rsidR="00C345DB" w:rsidRPr="00DC07FC" w:rsidRDefault="00C345DB" w:rsidP="004C1136">
      <w:pPr>
        <w:ind w:left="0"/>
        <w:contextualSpacing/>
        <w:rPr>
          <w:rFonts w:ascii="Bookman Old Style" w:hAnsi="Bookman Old Style" w:cs="Arial"/>
        </w:rPr>
      </w:pPr>
    </w:p>
    <w:p w:rsidR="0075605A" w:rsidRPr="00DC07FC" w:rsidRDefault="00015F16" w:rsidP="0075605A">
      <w:pPr>
        <w:ind w:left="0"/>
        <w:jc w:val="center"/>
        <w:rPr>
          <w:rFonts w:ascii="Bookman Old Style" w:hAnsi="Bookman Old Style" w:cs="Arial"/>
          <w:color w:val="000000"/>
        </w:rPr>
      </w:pPr>
      <w:r w:rsidRPr="00DC07FC">
        <w:rPr>
          <w:rFonts w:ascii="Bookman Old Style" w:hAnsi="Bookman Old Style" w:cs="Arial"/>
          <w:color w:val="000000"/>
        </w:rPr>
        <w:t>Por la cual se establece el reglamento de comercializac</w:t>
      </w:r>
      <w:r w:rsidR="008C3F66" w:rsidRPr="00DC07FC">
        <w:rPr>
          <w:rFonts w:ascii="Bookman Old Style" w:hAnsi="Bookman Old Style" w:cs="Arial"/>
          <w:color w:val="000000"/>
        </w:rPr>
        <w:t>ión mayorista de gas licuado de</w:t>
      </w:r>
      <w:r w:rsidRPr="00DC07FC">
        <w:rPr>
          <w:rFonts w:ascii="Bookman Old Style" w:hAnsi="Bookman Old Style" w:cs="Arial"/>
          <w:color w:val="000000"/>
        </w:rPr>
        <w:t xml:space="preserve"> petróleo y se dictan otras disposiciones</w:t>
      </w:r>
    </w:p>
    <w:p w:rsidR="00932212" w:rsidRPr="00DC07FC" w:rsidRDefault="00932212" w:rsidP="004C1136">
      <w:pPr>
        <w:ind w:left="0"/>
        <w:contextualSpacing/>
        <w:rPr>
          <w:rFonts w:ascii="Bookman Old Style" w:hAnsi="Bookman Old Style"/>
        </w:rPr>
      </w:pPr>
    </w:p>
    <w:p w:rsidR="00932212" w:rsidRPr="00DC07FC" w:rsidRDefault="00932212" w:rsidP="004C1136">
      <w:pPr>
        <w:ind w:left="0"/>
        <w:contextualSpacing/>
        <w:rPr>
          <w:rFonts w:ascii="Bookman Old Style" w:hAnsi="Bookman Old Style" w:cs="Arial"/>
        </w:rPr>
      </w:pPr>
    </w:p>
    <w:p w:rsidR="0075605A" w:rsidRPr="00DC07FC" w:rsidRDefault="0075605A" w:rsidP="004C1136">
      <w:pPr>
        <w:ind w:left="0"/>
        <w:contextualSpacing/>
        <w:rPr>
          <w:rFonts w:ascii="Bookman Old Style" w:hAnsi="Bookman Old Style" w:cs="Arial"/>
        </w:rPr>
      </w:pPr>
    </w:p>
    <w:p w:rsidR="00932212" w:rsidRPr="00DC07FC" w:rsidRDefault="00932212" w:rsidP="004C1136">
      <w:pPr>
        <w:ind w:right="51"/>
        <w:contextualSpacing/>
        <w:jc w:val="center"/>
        <w:rPr>
          <w:rFonts w:ascii="Bookman Old Style" w:hAnsi="Bookman Old Style"/>
          <w:b/>
        </w:rPr>
      </w:pPr>
      <w:r w:rsidRPr="00DC07FC">
        <w:rPr>
          <w:rFonts w:ascii="Bookman Old Style" w:hAnsi="Bookman Old Style"/>
          <w:b/>
        </w:rPr>
        <w:t>LA COMISIÓN DE REGULACIÓN DE ENERGÍA Y GAS</w:t>
      </w:r>
    </w:p>
    <w:p w:rsidR="00932212" w:rsidRPr="00DC07FC" w:rsidRDefault="00932212" w:rsidP="004C1136">
      <w:pPr>
        <w:ind w:left="0" w:right="51"/>
        <w:contextualSpacing/>
        <w:rPr>
          <w:rFonts w:ascii="Bookman Old Style" w:hAnsi="Bookman Old Style"/>
        </w:rPr>
      </w:pPr>
    </w:p>
    <w:p w:rsidR="00932212" w:rsidRPr="00DC07FC" w:rsidRDefault="00932212" w:rsidP="004C1136">
      <w:pPr>
        <w:ind w:left="0" w:right="51"/>
        <w:contextualSpacing/>
        <w:rPr>
          <w:rFonts w:ascii="Bookman Old Style" w:hAnsi="Bookman Old Style"/>
        </w:rPr>
      </w:pPr>
    </w:p>
    <w:p w:rsidR="00105B37" w:rsidRPr="00DC07FC" w:rsidRDefault="00105B37" w:rsidP="00105B37">
      <w:pPr>
        <w:widowControl w:val="0"/>
        <w:adjustRightInd w:val="0"/>
        <w:ind w:left="0" w:right="-133"/>
        <w:jc w:val="both"/>
        <w:textAlignment w:val="baseline"/>
        <w:rPr>
          <w:rFonts w:ascii="Bookman Old Style" w:hAnsi="Bookman Old Style" w:cs="Arial"/>
          <w:lang w:val="es-ES_tradnl"/>
        </w:rPr>
      </w:pPr>
      <w:r w:rsidRPr="00DC07FC">
        <w:rPr>
          <w:rFonts w:ascii="Bookman Old Style" w:hAnsi="Bookman Old Style" w:cs="Arial"/>
          <w:lang w:val="es-ES_tradnl"/>
        </w:rPr>
        <w:t xml:space="preserve">En ejercicio de sus atribuciones legales, en especial las conferidas por la Ley 142 de 1994 y en desarrollo de los Decretos 2253 de 1994 y 1260 de 2013 </w:t>
      </w:r>
      <w:r w:rsidRPr="00DC07FC">
        <w:rPr>
          <w:rFonts w:ascii="Bookman Old Style" w:hAnsi="Bookman Old Style" w:cs="Arial"/>
        </w:rPr>
        <w:t>y 1260 de 2013.</w:t>
      </w:r>
    </w:p>
    <w:p w:rsidR="00932212" w:rsidRPr="00DC07FC" w:rsidRDefault="00932212" w:rsidP="004C1136">
      <w:pPr>
        <w:ind w:left="0" w:right="51"/>
        <w:contextualSpacing/>
        <w:rPr>
          <w:rFonts w:ascii="Bookman Old Style" w:hAnsi="Bookman Old Style"/>
          <w:lang w:val="es-ES_tradnl"/>
        </w:rPr>
      </w:pPr>
    </w:p>
    <w:p w:rsidR="00932212" w:rsidRPr="00DC07FC" w:rsidRDefault="00932212" w:rsidP="004C1136">
      <w:pPr>
        <w:ind w:left="0" w:right="51"/>
        <w:contextualSpacing/>
        <w:rPr>
          <w:rFonts w:ascii="Bookman Old Style" w:hAnsi="Bookman Old Style"/>
        </w:rPr>
      </w:pPr>
    </w:p>
    <w:p w:rsidR="00932212" w:rsidRPr="00DC07FC" w:rsidRDefault="00932212" w:rsidP="004C1136">
      <w:pPr>
        <w:ind w:right="51"/>
        <w:contextualSpacing/>
        <w:jc w:val="center"/>
        <w:rPr>
          <w:rFonts w:ascii="Bookman Old Style" w:hAnsi="Bookman Old Style"/>
          <w:b/>
        </w:rPr>
      </w:pPr>
      <w:r w:rsidRPr="00DC07FC">
        <w:rPr>
          <w:rFonts w:ascii="Bookman Old Style" w:hAnsi="Bookman Old Style"/>
          <w:b/>
        </w:rPr>
        <w:t>C O N S I D E R A N D O  Q U E:</w:t>
      </w:r>
    </w:p>
    <w:p w:rsidR="00932212" w:rsidRPr="00DC07FC" w:rsidRDefault="00932212" w:rsidP="004C1136">
      <w:pPr>
        <w:ind w:left="0"/>
        <w:contextualSpacing/>
        <w:jc w:val="both"/>
        <w:rPr>
          <w:rFonts w:ascii="Bookman Old Style" w:hAnsi="Bookman Old Style"/>
        </w:rPr>
      </w:pPr>
    </w:p>
    <w:p w:rsidR="00932212" w:rsidRPr="00DC07FC" w:rsidRDefault="00932212" w:rsidP="004C1136">
      <w:pPr>
        <w:ind w:left="0"/>
        <w:contextualSpacing/>
        <w:jc w:val="both"/>
        <w:rPr>
          <w:rFonts w:ascii="Bookman Old Style" w:hAnsi="Bookman Old Style"/>
        </w:rPr>
      </w:pPr>
    </w:p>
    <w:p w:rsidR="0075605A" w:rsidRPr="00DC07FC" w:rsidRDefault="0075605A" w:rsidP="0075605A">
      <w:pPr>
        <w:ind w:left="0"/>
        <w:contextualSpacing/>
        <w:jc w:val="both"/>
        <w:rPr>
          <w:rFonts w:ascii="Bookman Old Style" w:hAnsi="Bookman Old Style"/>
        </w:rPr>
      </w:pPr>
      <w:r w:rsidRPr="00DC07FC">
        <w:rPr>
          <w:rFonts w:ascii="Bookman Old Style" w:hAnsi="Bookman Old Style"/>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rsidR="0075605A" w:rsidRPr="00DC07FC" w:rsidRDefault="0075605A" w:rsidP="0075605A">
      <w:pPr>
        <w:ind w:left="0"/>
        <w:contextualSpacing/>
        <w:jc w:val="both"/>
        <w:rPr>
          <w:rFonts w:ascii="Bookman Old Style" w:hAnsi="Bookman Old Style"/>
        </w:rPr>
      </w:pPr>
    </w:p>
    <w:p w:rsidR="0075605A" w:rsidRPr="00DC07FC" w:rsidRDefault="0075605A" w:rsidP="0075605A">
      <w:pPr>
        <w:ind w:left="0"/>
        <w:contextualSpacing/>
        <w:jc w:val="both"/>
        <w:rPr>
          <w:rFonts w:ascii="Bookman Old Style" w:hAnsi="Bookman Old Style"/>
        </w:rPr>
      </w:pPr>
      <w:r w:rsidRPr="00DC07FC">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rsidR="0075605A" w:rsidRPr="00DC07FC" w:rsidRDefault="0075605A" w:rsidP="0075605A">
      <w:pPr>
        <w:ind w:left="0"/>
        <w:contextualSpacing/>
        <w:jc w:val="both"/>
        <w:rPr>
          <w:rFonts w:ascii="Bookman Old Style" w:hAnsi="Bookman Old Style"/>
        </w:rPr>
      </w:pPr>
    </w:p>
    <w:p w:rsidR="0075605A" w:rsidRPr="00DC07FC" w:rsidRDefault="0075605A" w:rsidP="0075605A">
      <w:pPr>
        <w:ind w:left="0"/>
        <w:contextualSpacing/>
        <w:jc w:val="both"/>
        <w:rPr>
          <w:rFonts w:ascii="Bookman Old Style" w:hAnsi="Bookman Old Style"/>
        </w:rPr>
      </w:pPr>
      <w:r w:rsidRPr="00DC07FC">
        <w:rPr>
          <w:rFonts w:ascii="Bookman Old Style" w:hAnsi="Bookman Old Style"/>
        </w:rPr>
        <w:t>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rsidR="0075605A" w:rsidRPr="00DC07FC" w:rsidRDefault="0075605A" w:rsidP="0075605A">
      <w:pPr>
        <w:ind w:left="0"/>
        <w:contextualSpacing/>
        <w:jc w:val="both"/>
        <w:rPr>
          <w:rFonts w:ascii="Bookman Old Style" w:hAnsi="Bookman Old Style"/>
        </w:rPr>
      </w:pPr>
    </w:p>
    <w:p w:rsidR="0075605A" w:rsidRPr="00DC07FC" w:rsidRDefault="0075605A" w:rsidP="0075605A">
      <w:pPr>
        <w:ind w:left="0"/>
        <w:jc w:val="both"/>
        <w:rPr>
          <w:rFonts w:ascii="Bookman Old Style" w:hAnsi="Bookman Old Style"/>
          <w:color w:val="000000"/>
          <w:lang w:val="es-ES_tradnl"/>
        </w:rPr>
      </w:pPr>
      <w:r w:rsidRPr="00DC07FC">
        <w:rPr>
          <w:rFonts w:ascii="Bookman Old Style" w:hAnsi="Bookman Old Style"/>
          <w:color w:val="000000"/>
          <w:lang w:val="es-ES_tradnl"/>
        </w:rPr>
        <w:t xml:space="preserve">De acuerdo con lo previsto en la Ley 142 de 1994 le corresponde a la Comisión ejercer la función de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 para lo cual puede, entre otras, proponer la adopción de las medidas necesarias para impedir abusos de posición dominante y adoptar reglas de comportamiento diferencial, según la posición de las empresas en el mercado, conforme a los artículos 73 y 74 de la Ley 142 de 1994. </w:t>
      </w:r>
    </w:p>
    <w:p w:rsidR="0075605A" w:rsidRDefault="0075605A" w:rsidP="0075605A">
      <w:pPr>
        <w:pStyle w:val="Textoindependiente2"/>
        <w:spacing w:after="0" w:line="240" w:lineRule="auto"/>
        <w:ind w:left="0"/>
        <w:jc w:val="both"/>
        <w:rPr>
          <w:rFonts w:ascii="Bookman Old Style" w:hAnsi="Bookman Old Style"/>
          <w:color w:val="000000"/>
          <w:lang w:val="es-ES_tradnl"/>
        </w:rPr>
      </w:pPr>
    </w:p>
    <w:p w:rsidR="005B21C4" w:rsidRPr="00DC07FC" w:rsidRDefault="005B21C4" w:rsidP="0075605A">
      <w:pPr>
        <w:pStyle w:val="Textoindependiente2"/>
        <w:spacing w:after="0" w:line="240" w:lineRule="auto"/>
        <w:ind w:left="0"/>
        <w:jc w:val="both"/>
        <w:rPr>
          <w:rFonts w:ascii="Bookman Old Style" w:hAnsi="Bookman Old Style"/>
          <w:color w:val="000000"/>
          <w:lang w:val="es-ES_tradnl"/>
        </w:rPr>
      </w:pPr>
    </w:p>
    <w:p w:rsidR="0075605A" w:rsidRPr="00DC07FC" w:rsidRDefault="0075605A" w:rsidP="0075605A">
      <w:pPr>
        <w:pStyle w:val="Textoindependiente2"/>
        <w:spacing w:after="0" w:line="240" w:lineRule="auto"/>
        <w:ind w:left="0"/>
        <w:jc w:val="both"/>
        <w:rPr>
          <w:rFonts w:ascii="Bookman Old Style" w:hAnsi="Bookman Old Style"/>
        </w:rPr>
      </w:pPr>
      <w:r w:rsidRPr="00DC07FC">
        <w:rPr>
          <w:rFonts w:ascii="Bookman Old Style" w:hAnsi="Bookman Old Style"/>
          <w:color w:val="000000"/>
          <w:lang w:val="es-ES_tradnl"/>
        </w:rPr>
        <w:t>El literal b) del artículo 74.1 de la Ley 142 de 1994 determina que corresponde a la CREG expedir regulaciones específicas para el uso eficiente del gas combustible por parte de los consumidores.</w:t>
      </w:r>
      <w:r w:rsidRPr="00DC07FC">
        <w:rPr>
          <w:rFonts w:ascii="Bookman Old Style" w:hAnsi="Bookman Old Style"/>
        </w:rPr>
        <w:t xml:space="preserve"> </w:t>
      </w:r>
    </w:p>
    <w:p w:rsidR="0075605A" w:rsidRPr="00DC07FC" w:rsidRDefault="0075605A" w:rsidP="0075605A">
      <w:pPr>
        <w:pStyle w:val="Textoindependiente2"/>
        <w:spacing w:after="0" w:line="240" w:lineRule="auto"/>
        <w:ind w:left="0"/>
        <w:jc w:val="both"/>
        <w:rPr>
          <w:rFonts w:ascii="Bookman Old Style" w:hAnsi="Bookman Old Style"/>
          <w:color w:val="000000"/>
          <w:lang w:val="es-ES_tradnl"/>
        </w:rPr>
      </w:pPr>
    </w:p>
    <w:p w:rsidR="0075605A" w:rsidRPr="00DC07FC" w:rsidRDefault="0075605A" w:rsidP="0075605A">
      <w:pPr>
        <w:pStyle w:val="Textoindependiente2"/>
        <w:spacing w:after="0" w:line="240" w:lineRule="auto"/>
        <w:ind w:left="0"/>
        <w:jc w:val="both"/>
        <w:rPr>
          <w:rFonts w:ascii="Bookman Old Style" w:hAnsi="Bookman Old Style"/>
          <w:color w:val="000000"/>
          <w:lang w:val="es-ES_tradnl"/>
        </w:rPr>
      </w:pPr>
      <w:r w:rsidRPr="00DC07FC">
        <w:rPr>
          <w:rFonts w:ascii="Bookman Old Style" w:hAnsi="Bookman Old Style"/>
          <w:color w:val="000000"/>
          <w:lang w:val="es-ES_tradnl"/>
        </w:rPr>
        <w:t>La Ley 401 de 1997 dispuso en el parágrafo 2 de su artículo 11 que “las competencias previstas en la Ley 142 de 1994 en lo relacionado con el servicio público domiciliario, comercial e industrial de gas combustible, sólo se predicarán en los casos en que el gas se utilice efectivamente como combustible y no como materia prima de procesos industriales petroquímicos”.</w:t>
      </w:r>
    </w:p>
    <w:p w:rsidR="0075605A" w:rsidRPr="00DC07FC" w:rsidRDefault="0075605A" w:rsidP="0075605A">
      <w:pPr>
        <w:ind w:left="0"/>
        <w:contextualSpacing/>
        <w:jc w:val="both"/>
        <w:rPr>
          <w:rFonts w:ascii="Bookman Old Style" w:hAnsi="Bookman Old Style"/>
        </w:rPr>
      </w:pPr>
    </w:p>
    <w:p w:rsidR="0075605A" w:rsidRPr="00DC07FC" w:rsidRDefault="0075605A" w:rsidP="0075605A">
      <w:pPr>
        <w:pStyle w:val="Textoindependiente2"/>
        <w:spacing w:after="0" w:line="240" w:lineRule="auto"/>
        <w:ind w:left="0"/>
        <w:jc w:val="both"/>
        <w:rPr>
          <w:rFonts w:ascii="Bookman Old Style" w:hAnsi="Bookman Old Style"/>
          <w:color w:val="000000"/>
          <w:lang w:val="es-ES_tradnl"/>
        </w:rPr>
      </w:pPr>
      <w:r w:rsidRPr="00DC07FC">
        <w:rPr>
          <w:rFonts w:ascii="Bookman Old Style" w:hAnsi="Bookman Old Style"/>
          <w:color w:val="000000"/>
          <w:lang w:val="es-ES_tradnl"/>
        </w:rPr>
        <w:t>Es por esto que, esta Comisión cuenta con una serie de atribuciones en materia tarifaria, las cuales incluye el establecer fórmulas para la fijación de las tarifas de los servicios públicos domiciliarios, en este caso el GLP, así como el establecer parámetros de conducta, la cual incluye definir los mecanismos, obligaciones, responsabilidades y prohibiciones a las cuales se deben sujetar que realizan alguna de las actividades reguladas que hacen parte de la prestación del servicio público domiciliario de gas combustible.</w:t>
      </w:r>
    </w:p>
    <w:p w:rsidR="0075605A" w:rsidRPr="00DC07FC" w:rsidRDefault="0075605A" w:rsidP="0075605A">
      <w:pPr>
        <w:ind w:left="0"/>
        <w:contextualSpacing/>
        <w:jc w:val="both"/>
        <w:rPr>
          <w:rFonts w:ascii="Bookman Old Style" w:hAnsi="Bookman Old Style"/>
          <w:lang w:val="es-CO"/>
        </w:rPr>
      </w:pPr>
    </w:p>
    <w:p w:rsidR="00D622C4" w:rsidRPr="008A2E7E" w:rsidRDefault="0075605A" w:rsidP="0075605A">
      <w:pPr>
        <w:ind w:left="0"/>
        <w:contextualSpacing/>
        <w:jc w:val="both"/>
        <w:rPr>
          <w:rFonts w:ascii="Bookman Old Style" w:hAnsi="Bookman Old Style" w:cs="Arial"/>
          <w:color w:val="000000"/>
          <w:lang w:val="es-ES_tradnl"/>
        </w:rPr>
      </w:pPr>
      <w:r w:rsidRPr="00DC07FC">
        <w:rPr>
          <w:rFonts w:ascii="Bookman Old Style" w:hAnsi="Bookman Old Style"/>
          <w:lang w:val="es-CO"/>
        </w:rPr>
        <w:t xml:space="preserve">Ahora bien, </w:t>
      </w:r>
      <w:r w:rsidRPr="00DC07FC">
        <w:rPr>
          <w:rFonts w:ascii="Bookman Old Style" w:hAnsi="Bookman Old Style"/>
          <w:color w:val="000000"/>
          <w:lang w:val="es-ES_tradnl"/>
        </w:rPr>
        <w:t xml:space="preserve">el ejercicio de las facultades regulatorias previstas en los artículos 73 y 74.1 de la Ley 142 de 1994, incluidas aquellas en materia tarifaria, debe entenderse como un mecanismo de intervención del Estado en la economía a fin de garantizar </w:t>
      </w:r>
      <w:r w:rsidR="00D622C4" w:rsidRPr="00DC07FC">
        <w:rPr>
          <w:rFonts w:ascii="Bookman Old Style" w:hAnsi="Bookman Old Style" w:cs="Arial"/>
          <w:color w:val="000000"/>
          <w:lang w:val="es-ES_tradnl"/>
        </w:rPr>
        <w:t xml:space="preserve">la efectividad </w:t>
      </w:r>
      <w:r w:rsidR="00D622C4">
        <w:rPr>
          <w:rFonts w:ascii="Bookman Old Style" w:hAnsi="Bookman Old Style" w:cs="Arial"/>
          <w:color w:val="000000"/>
          <w:lang w:val="es-ES_tradnl"/>
        </w:rPr>
        <w:t>de los principios sociales</w:t>
      </w:r>
      <w:r w:rsidR="00D622C4" w:rsidRPr="00DC07FC">
        <w:rPr>
          <w:rFonts w:ascii="Bookman Old Style" w:hAnsi="Bookman Old Style" w:cs="Arial"/>
          <w:color w:val="000000"/>
          <w:vertAlign w:val="superscript"/>
          <w:lang w:val="es-ES_tradnl"/>
        </w:rPr>
        <w:footnoteReference w:id="3"/>
      </w:r>
      <w:r w:rsidR="00D622C4" w:rsidRPr="00DC07FC">
        <w:rPr>
          <w:rFonts w:ascii="Bookman Old Style" w:hAnsi="Bookman Old Style" w:cs="Arial"/>
          <w:color w:val="000000"/>
          <w:vertAlign w:val="superscript"/>
          <w:lang w:val="es-ES_tradnl"/>
        </w:rPr>
        <w:t>,</w:t>
      </w:r>
      <w:r w:rsidR="00D622C4" w:rsidRPr="00DC07FC">
        <w:rPr>
          <w:rFonts w:ascii="Bookman Old Style" w:hAnsi="Bookman Old Style" w:cs="Arial"/>
          <w:color w:val="000000"/>
          <w:lang w:val="es-ES_tradnl"/>
        </w:rPr>
        <w:t xml:space="preserve"> el adecuado funcionamiento del mercado</w:t>
      </w:r>
      <w:r w:rsidR="00D622C4" w:rsidRPr="00DC07FC">
        <w:rPr>
          <w:rFonts w:ascii="Bookman Old Style" w:hAnsi="Bookman Old Style" w:cs="Arial"/>
          <w:color w:val="000000"/>
          <w:vertAlign w:val="superscript"/>
          <w:lang w:val="es-ES_tradnl"/>
        </w:rPr>
        <w:footnoteReference w:id="4"/>
      </w:r>
      <w:r w:rsidR="00D622C4" w:rsidRPr="00DC07FC">
        <w:rPr>
          <w:rFonts w:ascii="Bookman Old Style" w:hAnsi="Bookman Old Style" w:cs="Arial"/>
          <w:color w:val="000000"/>
          <w:lang w:val="es-ES_tradnl"/>
        </w:rPr>
        <w:t>, la prestación eficiente de los servicios, en este caso de energía eléctrica y gas combustible,</w:t>
      </w:r>
      <w:r w:rsidR="00D622C4" w:rsidRPr="00DC07FC">
        <w:rPr>
          <w:rFonts w:ascii="Bookman Old Style" w:hAnsi="Bookman Old Style" w:cs="Arial"/>
          <w:color w:val="000000"/>
          <w:vertAlign w:val="superscript"/>
          <w:lang w:val="es-ES_tradnl"/>
        </w:rPr>
        <w:footnoteReference w:id="5"/>
      </w:r>
      <w:proofErr w:type="gramStart"/>
      <w:r w:rsidR="00D622C4" w:rsidRPr="00DC07FC">
        <w:rPr>
          <w:rFonts w:ascii="Bookman Old Style" w:hAnsi="Bookman Old Style" w:cs="Arial"/>
          <w:color w:val="000000"/>
          <w:lang w:val="es-ES_tradnl"/>
        </w:rPr>
        <w:t>,</w:t>
      </w:r>
      <w:proofErr w:type="gramEnd"/>
      <w:r w:rsidR="00D622C4" w:rsidRPr="00DC07FC">
        <w:rPr>
          <w:rFonts w:ascii="Bookman Old Style" w:hAnsi="Bookman Old Style" w:cs="Arial"/>
          <w:color w:val="000000"/>
          <w:lang w:val="es-ES_tradnl"/>
        </w:rPr>
        <w:t xml:space="preserve"> así como la satisfacción del interés general. En el caso específico de GLP y de acuerdo con las condiciones actuales del mercado, estas medidas deben tener cuenta el</w:t>
      </w:r>
      <w:r w:rsidR="00D622C4" w:rsidRPr="00DC07FC">
        <w:rPr>
          <w:rFonts w:ascii="Bookman Old Style" w:hAnsi="Bookman Old Style" w:cs="Arial"/>
        </w:rPr>
        <w:t xml:space="preserve"> acceso de los usuarios a dicho servicio, así como la gestión y obtención de los recursos para asegurar su prestación.</w:t>
      </w:r>
    </w:p>
    <w:p w:rsidR="00D622C4" w:rsidRDefault="00D622C4" w:rsidP="0075605A">
      <w:pPr>
        <w:ind w:left="0"/>
        <w:contextualSpacing/>
        <w:jc w:val="both"/>
        <w:rPr>
          <w:rFonts w:ascii="Bookman Old Style" w:hAnsi="Bookman Old Style" w:cs="Arial"/>
        </w:rPr>
      </w:pPr>
    </w:p>
    <w:p w:rsidR="0075605A" w:rsidRPr="008A2E7E" w:rsidRDefault="00D622C4" w:rsidP="0075605A">
      <w:pPr>
        <w:ind w:left="0"/>
        <w:contextualSpacing/>
        <w:jc w:val="both"/>
        <w:rPr>
          <w:rFonts w:ascii="Bookman Old Style" w:eastAsia="Calibri" w:hAnsi="Bookman Old Style"/>
          <w:lang w:val="es-CO" w:eastAsia="en-US"/>
        </w:rPr>
      </w:pPr>
      <w:r>
        <w:rPr>
          <w:rFonts w:ascii="Bookman Old Style" w:hAnsi="Bookman Old Style"/>
          <w:color w:val="000000"/>
          <w:lang w:val="es-ES_tradnl"/>
        </w:rPr>
        <w:t>De acuerdo con lo anterior, las medidas adoptadas en ejercicio de la facultad</w:t>
      </w:r>
      <w:r w:rsidR="004111DA">
        <w:rPr>
          <w:rFonts w:ascii="Bookman Old Style" w:hAnsi="Bookman Old Style"/>
          <w:color w:val="000000"/>
          <w:lang w:val="es-ES_tradnl"/>
        </w:rPr>
        <w:t xml:space="preserve"> regulatoria con la que cuenta esta Comisión debe considerar la existencia de </w:t>
      </w:r>
      <w:r>
        <w:rPr>
          <w:rFonts w:ascii="Bookman Old Style" w:eastAsia="Calibri" w:hAnsi="Bookman Old Style"/>
          <w:lang w:val="es-ES_tradnl" w:eastAsia="en-US"/>
        </w:rPr>
        <w:t>una</w:t>
      </w:r>
      <w:r w:rsidRPr="00DC07FC">
        <w:rPr>
          <w:rFonts w:ascii="Bookman Old Style" w:eastAsia="Calibri" w:hAnsi="Bookman Old Style"/>
          <w:lang w:val="es-ES_tradnl" w:eastAsia="en-US"/>
        </w:rPr>
        <w:t xml:space="preserve"> convergencia entre los intereses colectivos que persigue la prestación de los servicios públicos, como por aquellos intereses de las empresas en relación con la competencia, la iniciativa privada y la libertad de empresa, entendidas como la existencia de “</w:t>
      </w:r>
      <w:r w:rsidRPr="00DC07FC">
        <w:rPr>
          <w:rFonts w:ascii="Bookman Old Style" w:eastAsia="Calibri" w:hAnsi="Bookman Old Style"/>
          <w:i/>
          <w:lang w:val="es-ES_tradnl" w:eastAsia="en-US"/>
        </w:rPr>
        <w:t>relaciones jurídicas de equilibrio entre usuarios y las empresas prestadoras de servicios públicos domiciliarios</w:t>
      </w:r>
      <w:r w:rsidR="004111DA">
        <w:rPr>
          <w:rFonts w:ascii="Bookman Old Style" w:eastAsia="Calibri" w:hAnsi="Bookman Old Style"/>
          <w:i/>
          <w:lang w:val="es-ES_tradnl" w:eastAsia="en-US"/>
        </w:rPr>
        <w:t>”.</w:t>
      </w:r>
      <w:r w:rsidR="0075605A" w:rsidRPr="00DC07FC">
        <w:rPr>
          <w:rFonts w:ascii="Bookman Old Style" w:eastAsia="Calibri" w:hAnsi="Bookman Old Style"/>
          <w:lang w:val="es-CO" w:eastAsia="en-US"/>
        </w:rPr>
        <w:t>Dicha</w:t>
      </w:r>
      <w:r w:rsidR="0075605A" w:rsidRPr="00DC07FC">
        <w:rPr>
          <w:rFonts w:ascii="Bookman Old Style" w:eastAsia="Calibri" w:hAnsi="Bookman Old Style"/>
          <w:lang w:val="es-ES_tradnl" w:eastAsia="en-US"/>
        </w:rPr>
        <w:t xml:space="preserve">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0075605A" w:rsidRPr="00DC07FC">
        <w:rPr>
          <w:rFonts w:ascii="Bookman Old Style" w:eastAsia="Calibri" w:hAnsi="Bookman Old Style"/>
          <w:vertAlign w:val="superscript"/>
          <w:lang w:val="es-ES_tradnl" w:eastAsia="en-US"/>
        </w:rPr>
        <w:footnoteReference w:id="6"/>
      </w:r>
      <w:r w:rsidR="0075605A" w:rsidRPr="00DC07FC">
        <w:rPr>
          <w:rFonts w:ascii="Bookman Old Style" w:eastAsia="Calibri" w:hAnsi="Bookman Old Style"/>
          <w:lang w:val="es-ES_tradnl" w:eastAsia="en-US"/>
        </w:rPr>
        <w:t>. Sobre este punto expone la Corte:</w:t>
      </w:r>
    </w:p>
    <w:p w:rsidR="0075605A" w:rsidRPr="00DC07FC" w:rsidRDefault="0075605A" w:rsidP="0075605A">
      <w:pPr>
        <w:ind w:left="0"/>
        <w:contextualSpacing/>
        <w:jc w:val="both"/>
        <w:rPr>
          <w:rFonts w:ascii="Bookman Old Style" w:hAnsi="Bookman Old Style"/>
          <w:lang w:val="es-CO"/>
        </w:rPr>
      </w:pPr>
    </w:p>
    <w:p w:rsidR="0075605A" w:rsidRPr="00DC07FC" w:rsidRDefault="0075605A" w:rsidP="0075605A">
      <w:pPr>
        <w:ind w:left="284" w:right="284"/>
        <w:contextualSpacing/>
        <w:jc w:val="both"/>
        <w:rPr>
          <w:rFonts w:ascii="Bookman Old Style" w:hAnsi="Bookman Old Style" w:cs="Calibri"/>
          <w:iCs/>
          <w:sz w:val="22"/>
          <w:szCs w:val="22"/>
          <w:lang w:val="es-CO" w:eastAsia="es-CO"/>
        </w:rPr>
      </w:pPr>
      <w:r w:rsidRPr="00DC07FC">
        <w:rPr>
          <w:rFonts w:ascii="Bookman Old Style" w:hAnsi="Bookman Old Style" w:cs="Calibri"/>
          <w:i/>
          <w:iCs/>
          <w:sz w:val="22"/>
          <w:szCs w:val="22"/>
          <w:lang w:val="es-CO" w:eastAsia="es-CO"/>
        </w:rPr>
        <w:t xml:space="preserve">“Los órganos de regulación han de ejercer sus competencias con miras a alcanzar los fines que justifican su existencia en un mercado inscrito dentro de un Estado </w:t>
      </w:r>
      <w:r w:rsidRPr="00DC07FC">
        <w:rPr>
          <w:rFonts w:ascii="Bookman Old Style" w:hAnsi="Bookman Old Style" w:cs="Calibri"/>
          <w:i/>
          <w:iCs/>
          <w:sz w:val="22"/>
          <w:szCs w:val="22"/>
          <w:lang w:val="es-CO" w:eastAsia="es-CO"/>
        </w:rPr>
        <w:lastRenderedPageBreak/>
        <w:t>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r w:rsidRPr="00DC07FC">
        <w:rPr>
          <w:rFonts w:ascii="Bookman Old Style" w:hAnsi="Bookman Old Style" w:cs="Calibri"/>
          <w:iCs/>
          <w:sz w:val="22"/>
          <w:szCs w:val="22"/>
          <w:lang w:val="es-CO" w:eastAsia="es-CO"/>
        </w:rPr>
        <w:t>.</w:t>
      </w:r>
    </w:p>
    <w:p w:rsidR="0075605A" w:rsidRPr="00DC07FC" w:rsidRDefault="0075605A" w:rsidP="0075605A">
      <w:pPr>
        <w:ind w:left="284" w:right="284"/>
        <w:contextualSpacing/>
        <w:jc w:val="both"/>
        <w:rPr>
          <w:rFonts w:ascii="Bookman Old Style" w:hAnsi="Bookman Old Style" w:cs="Calibri"/>
          <w:i/>
          <w:iCs/>
          <w:sz w:val="22"/>
          <w:szCs w:val="22"/>
          <w:lang w:val="es-CO" w:eastAsia="es-CO"/>
        </w:rPr>
      </w:pPr>
    </w:p>
    <w:p w:rsidR="0075605A" w:rsidRPr="00DC07FC" w:rsidRDefault="0075605A" w:rsidP="0075605A">
      <w:pPr>
        <w:ind w:left="284" w:right="284"/>
        <w:contextualSpacing/>
        <w:jc w:val="both"/>
        <w:rPr>
          <w:rFonts w:ascii="Bookman Old Style" w:hAnsi="Bookman Old Style" w:cs="Calibri"/>
          <w:sz w:val="22"/>
          <w:szCs w:val="22"/>
          <w:lang w:val="es-CO" w:eastAsia="es-CO"/>
        </w:rPr>
      </w:pPr>
      <w:r w:rsidRPr="00DC07FC">
        <w:rPr>
          <w:rFonts w:ascii="Bookman Old Style" w:hAnsi="Bookman Old Style" w:cs="Calibri"/>
          <w:i/>
          <w:iCs/>
          <w:sz w:val="22"/>
          <w:szCs w:val="22"/>
          <w:lang w:val="es-CO" w:eastAsia="es-CO"/>
        </w:rPr>
        <w:t>(</w:t>
      </w:r>
      <w:r w:rsidRPr="00DC07FC">
        <w:rPr>
          <w:rFonts w:ascii="Bookman Old Style" w:hAnsi="Bookman Old Style" w:cs="Calibri"/>
          <w:sz w:val="22"/>
          <w:szCs w:val="22"/>
          <w:lang w:val="es-CO" w:eastAsia="es-CO"/>
        </w:rPr>
        <w:t>…)</w:t>
      </w:r>
    </w:p>
    <w:p w:rsidR="0075605A" w:rsidRPr="00DC07FC" w:rsidRDefault="0075605A" w:rsidP="0075605A">
      <w:pPr>
        <w:ind w:left="284" w:right="284"/>
        <w:contextualSpacing/>
        <w:jc w:val="both"/>
        <w:rPr>
          <w:rFonts w:ascii="Bookman Old Style" w:hAnsi="Bookman Old Style" w:cs="Calibri"/>
          <w:sz w:val="22"/>
          <w:szCs w:val="22"/>
          <w:lang w:val="es-CO" w:eastAsia="es-CO"/>
        </w:rPr>
      </w:pPr>
    </w:p>
    <w:p w:rsidR="0075605A" w:rsidRPr="00DC07FC" w:rsidRDefault="0075605A" w:rsidP="0075605A">
      <w:pPr>
        <w:ind w:left="284" w:right="284"/>
        <w:contextualSpacing/>
        <w:jc w:val="both"/>
        <w:rPr>
          <w:rFonts w:ascii="Bookman Old Style" w:eastAsia="Calibri" w:hAnsi="Bookman Old Style"/>
          <w:lang w:val="es-ES_tradnl" w:eastAsia="en-US"/>
        </w:rPr>
      </w:pPr>
      <w:r w:rsidRPr="00DC07FC">
        <w:rPr>
          <w:rFonts w:ascii="Bookman Old Style" w:hAnsi="Bookman Old Style" w:cs="Calibri"/>
          <w:i/>
          <w:iCs/>
          <w:color w:val="000000"/>
          <w:sz w:val="20"/>
          <w:szCs w:val="20"/>
          <w:lang w:val="es-CO" w:eastAsia="es-CO"/>
        </w:rPr>
        <w:t>“</w:t>
      </w:r>
      <w:r w:rsidRPr="00DC07FC">
        <w:rPr>
          <w:rFonts w:ascii="Bookman Old Style" w:hAnsi="Bookman Old Style" w:cs="Calibri"/>
          <w:b/>
          <w:i/>
          <w:iCs/>
          <w:color w:val="000000"/>
          <w:sz w:val="20"/>
          <w:szCs w:val="20"/>
          <w:u w:val="single"/>
          <w:lang w:val="es-CO" w:eastAsia="es-CO"/>
        </w:rPr>
        <w:t xml:space="preserve">La regulación, en tanto que mecanismo de intervención del Estado, busca garantizar </w:t>
      </w:r>
      <w:r w:rsidRPr="00DC07FC">
        <w:rPr>
          <w:rFonts w:ascii="Bookman Old Style" w:hAnsi="Bookman Old Style" w:cs="Calibri"/>
          <w:b/>
          <w:i/>
          <w:iCs/>
          <w:sz w:val="20"/>
          <w:szCs w:val="20"/>
          <w:u w:val="single"/>
          <w:lang w:val="es-CO" w:eastAsia="es-CO"/>
        </w:rPr>
        <w:t>la efectividad de los principios sociales y el adecuado funcionamiento del mercado</w:t>
      </w:r>
      <w:r w:rsidRPr="00DC07FC">
        <w:rPr>
          <w:rFonts w:ascii="Bookman Old Style" w:hAnsi="Bookman Old Style" w:cs="Calibri"/>
          <w:i/>
          <w:iCs/>
          <w:sz w:val="20"/>
          <w:szCs w:val="20"/>
          <w:u w:val="single"/>
          <w:lang w:val="es-CO" w:eastAsia="es-CO"/>
        </w:rPr>
        <w:t xml:space="preserve"> (…)”.</w:t>
      </w:r>
      <w:r w:rsidRPr="00DC07FC">
        <w:rPr>
          <w:rFonts w:ascii="Bookman Old Style" w:hAnsi="Bookman Old Style" w:cs="Calibri"/>
          <w:i/>
          <w:iCs/>
          <w:sz w:val="20"/>
          <w:szCs w:val="20"/>
          <w:u w:val="single"/>
          <w:vertAlign w:val="superscript"/>
          <w:lang w:val="es-CO" w:eastAsia="es-CO"/>
        </w:rPr>
        <w:footnoteReference w:id="7"/>
      </w:r>
      <w:r w:rsidRPr="00DC07FC">
        <w:rPr>
          <w:rFonts w:ascii="Bookman Old Style" w:hAnsi="Bookman Old Style" w:cs="Calibri"/>
          <w:iCs/>
          <w:sz w:val="20"/>
          <w:szCs w:val="20"/>
          <w:lang w:val="es-CO" w:eastAsia="es-CO"/>
        </w:rPr>
        <w:t xml:space="preserve"> (Resaltado fuera de texto)</w:t>
      </w:r>
    </w:p>
    <w:p w:rsidR="00D622C4" w:rsidRDefault="00D622C4" w:rsidP="0075605A">
      <w:pPr>
        <w:ind w:left="0"/>
        <w:contextualSpacing/>
        <w:jc w:val="both"/>
        <w:rPr>
          <w:rFonts w:ascii="Bookman Old Style" w:hAnsi="Bookman Old Style" w:cs="Arial"/>
          <w:lang w:val="es-ES_tradnl"/>
        </w:rPr>
      </w:pPr>
    </w:p>
    <w:p w:rsidR="0075605A" w:rsidRPr="00DC07FC" w:rsidRDefault="008A2E7E" w:rsidP="0075605A">
      <w:pPr>
        <w:ind w:left="0"/>
        <w:contextualSpacing/>
        <w:jc w:val="both"/>
        <w:rPr>
          <w:rFonts w:ascii="Bookman Old Style" w:hAnsi="Bookman Old Style" w:cs="Arial"/>
          <w:lang w:val="es-CO"/>
        </w:rPr>
      </w:pPr>
      <w:r>
        <w:rPr>
          <w:rFonts w:ascii="Bookman Old Style" w:hAnsi="Bookman Old Style" w:cs="Arial"/>
          <w:lang w:val="es-ES_tradnl"/>
        </w:rPr>
        <w:t>Finalmente, se</w:t>
      </w:r>
      <w:r w:rsidR="0075605A" w:rsidRPr="00DC07FC">
        <w:rPr>
          <w:rFonts w:ascii="Bookman Old Style" w:hAnsi="Bookman Old Style" w:cs="Arial"/>
          <w:lang w:val="es-CO"/>
        </w:rPr>
        <w:t xml:space="preserve"> debe tener en cuenta que la regulación es una actividad continua que comprende el seguimiento de la evolución del sector correspondiente y que implica la adopción de diversos tipos de decisiones y actos adecuados tanto a orientar la dinámica del sector hacia los fines que la justifican en cada caso, como 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0075605A" w:rsidRPr="00DC07FC">
        <w:rPr>
          <w:rFonts w:ascii="Bookman Old Style" w:hAnsi="Bookman Old Style" w:cs="Arial"/>
          <w:vertAlign w:val="superscript"/>
          <w:lang w:val="es-CO"/>
        </w:rPr>
        <w:footnoteReference w:id="8"/>
      </w:r>
      <w:r w:rsidR="0075605A" w:rsidRPr="00DC07FC">
        <w:rPr>
          <w:rFonts w:ascii="Bookman Old Style" w:hAnsi="Bookman Old Style" w:cs="Arial"/>
          <w:lang w:val="es-CO"/>
        </w:rPr>
        <w:t>.</w:t>
      </w:r>
    </w:p>
    <w:p w:rsidR="0075605A" w:rsidRPr="00DC07FC" w:rsidRDefault="0075605A" w:rsidP="0075605A">
      <w:pPr>
        <w:ind w:left="0"/>
        <w:contextualSpacing/>
        <w:jc w:val="both"/>
        <w:rPr>
          <w:rFonts w:ascii="Bookman Old Style" w:hAnsi="Bookman Old Style"/>
          <w:lang w:val="es-CO"/>
        </w:rPr>
      </w:pPr>
    </w:p>
    <w:p w:rsidR="0075605A" w:rsidRPr="00DC07FC" w:rsidRDefault="0075605A" w:rsidP="0075605A">
      <w:pPr>
        <w:ind w:left="0"/>
        <w:contextualSpacing/>
        <w:jc w:val="both"/>
        <w:rPr>
          <w:rFonts w:ascii="Bookman Old Style" w:hAnsi="Bookman Old Style" w:cs="Arial"/>
          <w:lang w:val="es-CO"/>
        </w:rPr>
      </w:pPr>
      <w:r w:rsidRPr="00DC07FC">
        <w:rPr>
          <w:rFonts w:ascii="Bookman Old Style" w:hAnsi="Bookman Old Style" w:cs="Arial"/>
          <w:lang w:val="es-CO"/>
        </w:rPr>
        <w:t>La regulación actual de comercialización mayorista de GLP implica dos aspectos estructurales: i) la regulación del precio y ii) los mecanismos para comercialización del producto.</w:t>
      </w:r>
    </w:p>
    <w:p w:rsidR="0075605A" w:rsidRPr="00DC07FC" w:rsidRDefault="0075605A" w:rsidP="0075605A">
      <w:pPr>
        <w:ind w:left="0"/>
        <w:contextualSpacing/>
        <w:jc w:val="both"/>
        <w:rPr>
          <w:rFonts w:ascii="Bookman Old Style" w:hAnsi="Bookman Old Style" w:cs="Arial"/>
          <w:sz w:val="22"/>
          <w:szCs w:val="22"/>
          <w:lang w:val="es-CO"/>
        </w:rPr>
      </w:pPr>
    </w:p>
    <w:p w:rsidR="0075605A" w:rsidRPr="00DC07FC" w:rsidRDefault="0075605A" w:rsidP="0075605A">
      <w:pPr>
        <w:ind w:left="0"/>
        <w:contextualSpacing/>
        <w:jc w:val="both"/>
        <w:rPr>
          <w:rFonts w:ascii="Bookman Old Style" w:hAnsi="Bookman Old Style" w:cs="Arial"/>
          <w:lang w:val="es-CO"/>
        </w:rPr>
      </w:pPr>
      <w:r w:rsidRPr="00DC07FC">
        <w:rPr>
          <w:rFonts w:ascii="Bookman Old Style" w:hAnsi="Bookman Old Style" w:cs="Arial"/>
          <w:lang w:val="es-CO"/>
        </w:rPr>
        <w:t xml:space="preserve">En el caso de la primera, </w:t>
      </w:r>
      <w:r w:rsidR="004111DA">
        <w:rPr>
          <w:rFonts w:ascii="Bookman Old Style" w:hAnsi="Bookman Old Style" w:cs="Arial"/>
          <w:lang w:val="es-CO"/>
        </w:rPr>
        <w:t>esta</w:t>
      </w:r>
      <w:r w:rsidRPr="00DC07FC">
        <w:rPr>
          <w:rFonts w:ascii="Bookman Old Style" w:hAnsi="Bookman Old Style" w:cs="Arial"/>
          <w:lang w:val="es-CO"/>
        </w:rPr>
        <w:t xml:space="preserve"> se encuentra regulad</w:t>
      </w:r>
      <w:r w:rsidR="004111DA">
        <w:rPr>
          <w:rFonts w:ascii="Bookman Old Style" w:hAnsi="Bookman Old Style" w:cs="Arial"/>
          <w:lang w:val="es-CO"/>
        </w:rPr>
        <w:t>a</w:t>
      </w:r>
      <w:r w:rsidRPr="00DC07FC">
        <w:rPr>
          <w:rFonts w:ascii="Bookman Old Style" w:hAnsi="Bookman Old Style" w:cs="Arial"/>
          <w:lang w:val="es-CO"/>
        </w:rPr>
        <w:t xml:space="preserve"> en la Resolución CREG 066 de 2007, modificada por las resoluciones CREG 059 de 2008, 002 de 2009, 123 de 2010 y 095 de 2011, en donde la Comisión estableció “la regulación de precios de suministro de GLP de comercializadores mayoristas a distribuidores”. La resolución en mención señala la metodología para calcular el precio máximo regulado de suministro de GLP producido en las fuentes reguladas, mencionando adicionalmente que las demás fuentes de producción de GLP pueden fijar libremente su tarifa.</w:t>
      </w:r>
    </w:p>
    <w:p w:rsidR="0075605A" w:rsidRPr="00DC07FC" w:rsidRDefault="0075605A" w:rsidP="0075605A">
      <w:pPr>
        <w:ind w:left="0"/>
        <w:contextualSpacing/>
        <w:jc w:val="both"/>
        <w:rPr>
          <w:rFonts w:ascii="Bookman Old Style" w:hAnsi="Bookman Old Style" w:cs="Arial"/>
          <w:sz w:val="22"/>
          <w:szCs w:val="22"/>
        </w:rPr>
      </w:pPr>
    </w:p>
    <w:p w:rsidR="0075605A" w:rsidRPr="00DC07FC" w:rsidRDefault="0075605A" w:rsidP="0075605A">
      <w:pPr>
        <w:ind w:left="0"/>
        <w:contextualSpacing/>
        <w:jc w:val="both"/>
        <w:rPr>
          <w:rFonts w:ascii="Bookman Old Style" w:hAnsi="Bookman Old Style"/>
        </w:rPr>
      </w:pPr>
      <w:r w:rsidRPr="00DC07FC">
        <w:rPr>
          <w:rFonts w:ascii="Bookman Old Style" w:hAnsi="Bookman Old Style"/>
        </w:rPr>
        <w:t xml:space="preserve">Las medidas adoptadas en la Resolución CREG 066 de 2007 se expidieron, por parte de la CREG, con el fin de brindar las señales necesarias para la promoción de la competencia en la comercialización mayorista, que permitieran que en un futuro se llegara a la desregulación del precio de suministro de GLP, así como a garantizar la oferta de producto dentro de la prestación del servicio público domiciliario, diferenciando la posición de cada agente comercializador mayorista </w:t>
      </w:r>
      <w:r w:rsidRPr="00DC07FC">
        <w:rPr>
          <w:rFonts w:ascii="Bookman Old Style" w:hAnsi="Bookman Old Style"/>
        </w:rPr>
        <w:lastRenderedPageBreak/>
        <w:t>en el mercado</w:t>
      </w:r>
      <w:r w:rsidRPr="00DC07FC">
        <w:rPr>
          <w:rStyle w:val="Refdenotaalpie"/>
          <w:rFonts w:ascii="Bookman Old Style" w:hAnsi="Bookman Old Style"/>
        </w:rPr>
        <w:footnoteReference w:id="9"/>
      </w:r>
      <w:r w:rsidRPr="00DC07FC">
        <w:rPr>
          <w:rFonts w:ascii="Bookman Old Style" w:hAnsi="Bookman Old Style"/>
        </w:rPr>
        <w:t>. Lo anterior, en concordancia con los fines previstos en la Ley 142 de 1994</w:t>
      </w:r>
      <w:r w:rsidRPr="00DC07FC">
        <w:rPr>
          <w:rStyle w:val="Refdenotaalpie"/>
          <w:rFonts w:ascii="Bookman Old Style" w:hAnsi="Bookman Old Style"/>
        </w:rPr>
        <w:footnoteReference w:id="10"/>
      </w:r>
      <w:r w:rsidRPr="00DC07FC">
        <w:rPr>
          <w:rFonts w:ascii="Bookman Old Style" w:hAnsi="Bookman Old Style"/>
        </w:rPr>
        <w:t>.</w:t>
      </w:r>
    </w:p>
    <w:p w:rsidR="0075605A" w:rsidRPr="00DC07FC" w:rsidRDefault="0075605A" w:rsidP="0075605A">
      <w:pPr>
        <w:ind w:left="0"/>
        <w:contextualSpacing/>
        <w:jc w:val="both"/>
        <w:rPr>
          <w:rFonts w:ascii="Bookman Old Style" w:hAnsi="Bookman Old Style" w:cs="Arial"/>
          <w:sz w:val="22"/>
          <w:szCs w:val="22"/>
        </w:rPr>
      </w:pPr>
    </w:p>
    <w:p w:rsidR="0075605A" w:rsidRPr="00DC07FC" w:rsidRDefault="0075605A" w:rsidP="0075605A">
      <w:pPr>
        <w:ind w:left="0"/>
        <w:contextualSpacing/>
        <w:jc w:val="both"/>
        <w:rPr>
          <w:rFonts w:ascii="Bookman Old Style" w:hAnsi="Bookman Old Style"/>
          <w:lang w:val="es-CO"/>
        </w:rPr>
      </w:pPr>
      <w:r w:rsidRPr="00DC07FC">
        <w:rPr>
          <w:rFonts w:ascii="Bookman Old Style" w:hAnsi="Bookman Old Style"/>
        </w:rPr>
        <w:t>D</w:t>
      </w:r>
      <w:r w:rsidRPr="00DC07FC">
        <w:rPr>
          <w:rFonts w:ascii="Bookman Old Style" w:hAnsi="Bookman Old Style"/>
          <w:lang w:val="es-CO"/>
        </w:rPr>
        <w:t>entro del trámite de consulta de la regulación que se habría de adoptar para la definición de la remuneración del producto, en las resoluciones CREG 066 de 2002, 072 de 2005, 066 de 2007 y el Documento CREG 034 de 2007, se estableció por parte de la CREG la necesidad de adoptar una metodología en la cual se habría de remunerar al productor con base en el costo de oportunidad</w:t>
      </w:r>
      <w:r w:rsidRPr="00DC07FC">
        <w:rPr>
          <w:rStyle w:val="Refdenotaalpie"/>
          <w:rFonts w:ascii="Bookman Old Style" w:hAnsi="Bookman Old Style"/>
          <w:lang w:val="es-CO"/>
        </w:rPr>
        <w:footnoteReference w:id="11"/>
      </w:r>
      <w:r w:rsidRPr="00DC07FC">
        <w:rPr>
          <w:rFonts w:ascii="Bookman Old Style" w:hAnsi="Bookman Old Style"/>
          <w:lang w:val="es-CO"/>
        </w:rPr>
        <w:t xml:space="preserve">, en este caso, de acceder al mercado externo. Lo anterior se hizo con el fin de </w:t>
      </w:r>
      <w:r w:rsidR="004111DA">
        <w:rPr>
          <w:rFonts w:ascii="Bookman Old Style" w:hAnsi="Bookman Old Style"/>
          <w:lang w:val="es-CO"/>
        </w:rPr>
        <w:t>incentivar el suministro de GLP con destino a</w:t>
      </w:r>
      <w:r w:rsidR="004111DA" w:rsidRPr="00DC07FC">
        <w:rPr>
          <w:rFonts w:ascii="Bookman Old Style" w:hAnsi="Bookman Old Style"/>
          <w:lang w:val="es-CO"/>
        </w:rPr>
        <w:t xml:space="preserve"> </w:t>
      </w:r>
      <w:r w:rsidRPr="00DC07FC">
        <w:rPr>
          <w:rFonts w:ascii="Bookman Old Style" w:hAnsi="Bookman Old Style"/>
          <w:lang w:val="es-CO"/>
        </w:rPr>
        <w:t xml:space="preserve">la demanda interna (esto bajo la consideración que la capacidad de producción es suficiente para atender el mercado doméstico, sin necesidad de acudir sistemáticamente a la importación de combustible), trasladando la eficiencia del mercado externo al mercado doméstico, de acuerdo con la remuneración, a través de precios internacionales. </w:t>
      </w:r>
      <w:r w:rsidRPr="00DC07FC">
        <w:rPr>
          <w:rFonts w:ascii="Bookman Old Style" w:hAnsi="Bookman Old Style"/>
        </w:rPr>
        <w:t xml:space="preserve"> </w:t>
      </w:r>
    </w:p>
    <w:p w:rsidR="0075605A" w:rsidRPr="00DC07FC" w:rsidRDefault="0075605A" w:rsidP="0075605A">
      <w:pPr>
        <w:ind w:left="0"/>
        <w:contextualSpacing/>
        <w:jc w:val="both"/>
        <w:rPr>
          <w:rFonts w:ascii="Bookman Old Style" w:hAnsi="Bookman Old Style"/>
        </w:rPr>
      </w:pPr>
    </w:p>
    <w:p w:rsidR="0075605A" w:rsidRPr="00DC07FC" w:rsidRDefault="0075605A" w:rsidP="0075605A">
      <w:pPr>
        <w:ind w:left="0"/>
        <w:contextualSpacing/>
        <w:jc w:val="both"/>
        <w:rPr>
          <w:rFonts w:ascii="Bookman Old Style" w:hAnsi="Bookman Old Style"/>
        </w:rPr>
      </w:pPr>
      <w:r w:rsidRPr="00DC07FC">
        <w:rPr>
          <w:rFonts w:ascii="Bookman Old Style" w:hAnsi="Bookman Old Style"/>
        </w:rPr>
        <w:t>P</w:t>
      </w:r>
      <w:r w:rsidRPr="00DC07FC">
        <w:rPr>
          <w:rFonts w:ascii="Bookman Old Style" w:hAnsi="Bookman Old Style"/>
          <w:lang w:val="es-CO"/>
        </w:rPr>
        <w:t xml:space="preserve">ara el caso del producto proveniente de </w:t>
      </w:r>
      <w:proofErr w:type="spellStart"/>
      <w:r w:rsidRPr="00DC07FC">
        <w:rPr>
          <w:rFonts w:ascii="Bookman Old Style" w:hAnsi="Bookman Old Style"/>
          <w:lang w:val="es-CO"/>
        </w:rPr>
        <w:t>Cusiana</w:t>
      </w:r>
      <w:proofErr w:type="spellEnd"/>
      <w:r w:rsidRPr="00DC07FC">
        <w:rPr>
          <w:rFonts w:ascii="Bookman Old Style" w:hAnsi="Bookman Old Style"/>
          <w:lang w:val="es-CO"/>
        </w:rPr>
        <w:t xml:space="preserve">, dentro de estos antecedentes se debe tener en cuenta que la CREG, mediante Resolución CREG 123 de 2010, amplió el régimen de libertad regulada para las todas las fuentes, así como las nuevas fuentes de suministro del GLP comercializadas por Ecopetrol. A partir de dicha decisión, se estableció que el precio máximo regulado de suministro del GLP producido en el campo de </w:t>
      </w:r>
      <w:proofErr w:type="spellStart"/>
      <w:r w:rsidRPr="00DC07FC">
        <w:rPr>
          <w:rFonts w:ascii="Bookman Old Style" w:hAnsi="Bookman Old Style"/>
          <w:lang w:val="es-CO"/>
        </w:rPr>
        <w:t>Cusiana</w:t>
      </w:r>
      <w:proofErr w:type="spellEnd"/>
      <w:r w:rsidRPr="00DC07FC">
        <w:rPr>
          <w:rFonts w:ascii="Bookman Old Style" w:hAnsi="Bookman Old Style"/>
          <w:lang w:val="es-CO"/>
        </w:rPr>
        <w:t xml:space="preserve"> sería determinado aplicando lo dispuesto en el artículo 3 de la Resolución CREG 066 de 2007, el cual corresponde al</w:t>
      </w:r>
      <w:r w:rsidRPr="00DC07FC">
        <w:rPr>
          <w:rFonts w:ascii="Bookman Old Style" w:hAnsi="Bookman Old Style"/>
        </w:rPr>
        <w:t xml:space="preserve"> </w:t>
      </w:r>
      <w:r w:rsidRPr="00DC07FC">
        <w:rPr>
          <w:rFonts w:ascii="Bookman Old Style" w:hAnsi="Bookman Old Style"/>
          <w:lang w:val="es-CO"/>
        </w:rPr>
        <w:t xml:space="preserve">precio máximo regulado de suministro de GLP producido en la refinería de Barrancabermeja y en el campo de </w:t>
      </w:r>
      <w:proofErr w:type="spellStart"/>
      <w:r w:rsidRPr="00DC07FC">
        <w:rPr>
          <w:rFonts w:ascii="Bookman Old Style" w:hAnsi="Bookman Old Style"/>
          <w:lang w:val="es-CO"/>
        </w:rPr>
        <w:t>Apiay</w:t>
      </w:r>
      <w:proofErr w:type="spellEnd"/>
      <w:r w:rsidRPr="00DC07FC">
        <w:rPr>
          <w:rStyle w:val="Refdenotaalpie"/>
          <w:rFonts w:ascii="Bookman Old Style" w:hAnsi="Bookman Old Style"/>
          <w:lang w:val="es-CO"/>
        </w:rPr>
        <w:footnoteReference w:id="12"/>
      </w:r>
      <w:r w:rsidRPr="00DC07FC">
        <w:rPr>
          <w:rFonts w:ascii="Bookman Old Style" w:hAnsi="Bookman Old Style"/>
          <w:lang w:val="es-CO"/>
        </w:rPr>
        <w:t>.</w:t>
      </w:r>
    </w:p>
    <w:p w:rsidR="0075605A" w:rsidRPr="00DC07FC" w:rsidRDefault="0075605A" w:rsidP="0075605A">
      <w:pPr>
        <w:ind w:left="0"/>
        <w:contextualSpacing/>
        <w:jc w:val="both"/>
        <w:rPr>
          <w:rFonts w:ascii="Bookman Old Style" w:hAnsi="Bookman Old Style"/>
        </w:rPr>
      </w:pPr>
    </w:p>
    <w:p w:rsidR="004111DA" w:rsidRDefault="0075605A" w:rsidP="0075605A">
      <w:pPr>
        <w:ind w:left="0"/>
        <w:contextualSpacing/>
        <w:jc w:val="both"/>
        <w:rPr>
          <w:rFonts w:ascii="Bookman Old Style" w:hAnsi="Bookman Old Style"/>
          <w:lang w:val="es-CO"/>
        </w:rPr>
      </w:pPr>
      <w:r w:rsidRPr="00DC07FC">
        <w:rPr>
          <w:rFonts w:ascii="Bookman Old Style" w:hAnsi="Bookman Old Style"/>
          <w:lang w:val="es-CO"/>
        </w:rPr>
        <w:t xml:space="preserve">Ahora bien, como parte de las medidas </w:t>
      </w:r>
      <w:r w:rsidR="00DD1364">
        <w:rPr>
          <w:rFonts w:ascii="Bookman Old Style" w:hAnsi="Bookman Old Style"/>
          <w:lang w:val="es-CO"/>
        </w:rPr>
        <w:t>establecidas</w:t>
      </w:r>
      <w:r w:rsidRPr="00DC07FC">
        <w:rPr>
          <w:rFonts w:ascii="Bookman Old Style" w:hAnsi="Bookman Old Style"/>
          <w:lang w:val="es-CO"/>
        </w:rPr>
        <w:t xml:space="preserve"> en la Resolución CREG 066 de 2007 y </w:t>
      </w:r>
      <w:r w:rsidR="00DD1364">
        <w:rPr>
          <w:rFonts w:ascii="Bookman Old Style" w:hAnsi="Bookman Old Style"/>
          <w:lang w:val="es-CO"/>
        </w:rPr>
        <w:t xml:space="preserve">con </w:t>
      </w:r>
      <w:r w:rsidRPr="00DC07FC">
        <w:rPr>
          <w:rFonts w:ascii="Bookman Old Style" w:hAnsi="Bookman Old Style"/>
          <w:lang w:val="es-CO"/>
        </w:rPr>
        <w:t xml:space="preserve">la adopción de esta metodología, la CREG advirtió dentro del proceso de consulta la posibilidad de analizar la condición de valor de referencia, tomada como costo de oportunidad, como parte de la revisión de las condiciones del balance entre oferta y demanda, ante la evidencia de algún evento que la afectara dicho balance y la señal de precio. </w:t>
      </w:r>
    </w:p>
    <w:p w:rsidR="0075605A" w:rsidRPr="00DC07FC" w:rsidRDefault="0075605A" w:rsidP="0075605A">
      <w:pPr>
        <w:ind w:left="0"/>
        <w:contextualSpacing/>
        <w:jc w:val="both"/>
        <w:rPr>
          <w:rFonts w:ascii="Bookman Old Style" w:hAnsi="Bookman Old Style"/>
          <w:sz w:val="32"/>
          <w:lang w:val="es-CO"/>
        </w:rPr>
      </w:pPr>
    </w:p>
    <w:p w:rsidR="0075605A" w:rsidRPr="00DC07FC" w:rsidRDefault="004111DA" w:rsidP="0075605A">
      <w:pPr>
        <w:ind w:left="0"/>
        <w:contextualSpacing/>
        <w:jc w:val="both"/>
        <w:rPr>
          <w:rFonts w:ascii="Bookman Old Style" w:hAnsi="Bookman Old Style"/>
          <w:lang w:val="es-CO"/>
        </w:rPr>
      </w:pPr>
      <w:r>
        <w:rPr>
          <w:rFonts w:ascii="Bookman Old Style" w:hAnsi="Bookman Old Style"/>
          <w:lang w:val="es-CO"/>
        </w:rPr>
        <w:t>En este sentido, l</w:t>
      </w:r>
      <w:r w:rsidR="0075605A" w:rsidRPr="00DC07FC">
        <w:rPr>
          <w:rFonts w:ascii="Bookman Old Style" w:hAnsi="Bookman Old Style"/>
          <w:lang w:val="es-CO"/>
        </w:rPr>
        <w:t xml:space="preserve">a CREG expidió las resoluciones CREG 079 de 2015 y 065 de 2016 mediante las cuales se adoptaron medidas regulatorias como parte de la actualización del balance oferta demanda del gas licuado de petróleo para las fuentes con precio regulado. Lo anterior, toda vez que le corresponde expedir a esta Comisión las medidas regulatorias oportunas que brinden señales de precio </w:t>
      </w:r>
      <w:r w:rsidR="0075605A" w:rsidRPr="00DC07FC">
        <w:rPr>
          <w:rFonts w:ascii="Bookman Old Style" w:hAnsi="Bookman Old Style"/>
          <w:lang w:val="es-CO"/>
        </w:rPr>
        <w:lastRenderedPageBreak/>
        <w:t xml:space="preserve">eficiente, en especial las asociadas a la escasez, que aseguren el suministro de GLP para el servicio público domiciliario, dando cumplimiento a los fines y criterios previstos en la Ley 142 de 1994, así como de los objetivos perseguidos por la regulación. </w:t>
      </w:r>
    </w:p>
    <w:p w:rsidR="0075605A" w:rsidRPr="00DC07FC" w:rsidRDefault="0075605A" w:rsidP="0075605A">
      <w:pPr>
        <w:tabs>
          <w:tab w:val="left" w:pos="0"/>
          <w:tab w:val="right" w:pos="9356"/>
        </w:tabs>
        <w:ind w:left="0"/>
        <w:contextualSpacing/>
        <w:rPr>
          <w:rFonts w:ascii="Bookman Old Style" w:hAnsi="Bookman Old Style" w:cs="Arial"/>
          <w:sz w:val="22"/>
          <w:szCs w:val="22"/>
          <w:lang w:val="es-CO"/>
        </w:rPr>
      </w:pPr>
    </w:p>
    <w:p w:rsidR="0075605A" w:rsidRPr="00DC07FC" w:rsidRDefault="0075605A" w:rsidP="0075605A">
      <w:pPr>
        <w:ind w:left="0"/>
        <w:contextualSpacing/>
        <w:jc w:val="both"/>
        <w:rPr>
          <w:rFonts w:ascii="Bookman Old Style" w:hAnsi="Bookman Old Style"/>
          <w:lang w:val="es-CO"/>
        </w:rPr>
      </w:pPr>
      <w:r w:rsidRPr="00DC07FC">
        <w:rPr>
          <w:rFonts w:ascii="Bookman Old Style" w:hAnsi="Bookman Old Style"/>
          <w:lang w:val="es-CO"/>
        </w:rPr>
        <w:t xml:space="preserve">Ahora bien, igualmente atendiendo las competencias con las que cuenta esta Comisión, como parte de la definición de parámetros de conducta y la forma como los agentes desarrollan sus operaciones en el mercado mayorista de GLP, dentro de las medidas regulatorias expedidas, en este caso, a efectos de llevar a cabo la comercialización mayorista de GLP, se establecieron aquellas relacionadas con los mecanismos para la asignación del producto, las obligaciones, responsabilidades y demás elementos para la participación en el mercado mayorista de GLP. </w:t>
      </w:r>
    </w:p>
    <w:p w:rsidR="00137891" w:rsidRDefault="00137891" w:rsidP="0075605A">
      <w:pPr>
        <w:ind w:left="0"/>
        <w:contextualSpacing/>
        <w:jc w:val="both"/>
        <w:rPr>
          <w:rFonts w:ascii="Bookman Old Style" w:hAnsi="Bookman Old Style"/>
          <w:lang w:val="es-CO"/>
        </w:rPr>
      </w:pPr>
    </w:p>
    <w:p w:rsidR="0075605A" w:rsidRPr="00DC07FC" w:rsidRDefault="004111DA" w:rsidP="0075605A">
      <w:pPr>
        <w:ind w:left="0"/>
        <w:contextualSpacing/>
        <w:jc w:val="both"/>
        <w:rPr>
          <w:rFonts w:ascii="Bookman Old Style" w:hAnsi="Bookman Old Style"/>
          <w:lang w:val="es-CO"/>
        </w:rPr>
      </w:pPr>
      <w:r>
        <w:rPr>
          <w:rFonts w:ascii="Bookman Old Style" w:hAnsi="Bookman Old Style"/>
          <w:lang w:val="es-CO"/>
        </w:rPr>
        <w:t>En desarrollo de lo anterior</w:t>
      </w:r>
      <w:r w:rsidR="0075605A" w:rsidRPr="00DC07FC">
        <w:rPr>
          <w:rFonts w:ascii="Bookman Old Style" w:hAnsi="Bookman Old Style"/>
          <w:lang w:val="es-CO"/>
        </w:rPr>
        <w:t xml:space="preserve"> la CREG expidió la Resolución CREG 053 de 2011, reglamento de comercialización mayorista de GLP, modificado a su vez por las Resoluciones CREG 168 de 2011, 154 de 2014, 019 de 2015 y 065 de 2016, mediante el cual se definieron, entre otros: i) los requisitos de los comercializadores mayoristas y de las obligaciones de vendedores y compradores; ii) obligaciones generales, en relación con la entrega, manejo, oferta, venta, continuidad en el suministro y manejo por parte de los comercializadores mayoristas y las obligaciones por parte de los compradores de GLP; iii) contratos de suministro en firme de GLP, eventos de incumplimiento y eventos de compensación, y; iv) los mecanismos para la compra y venta del producto al por mayor y el acceso al producto por parte de los diferentes agentes de la cadena. </w:t>
      </w:r>
    </w:p>
    <w:p w:rsidR="0075605A" w:rsidRPr="00DC07FC" w:rsidRDefault="0075605A" w:rsidP="0075605A">
      <w:pPr>
        <w:ind w:left="0"/>
        <w:contextualSpacing/>
        <w:jc w:val="both"/>
        <w:rPr>
          <w:rFonts w:ascii="Bookman Old Style" w:hAnsi="Bookman Old Style"/>
          <w:lang w:val="es-CO"/>
        </w:rPr>
      </w:pPr>
    </w:p>
    <w:p w:rsidR="0075605A" w:rsidRPr="00DC07FC" w:rsidRDefault="0075605A" w:rsidP="0075605A">
      <w:pPr>
        <w:ind w:left="0"/>
        <w:contextualSpacing/>
        <w:jc w:val="both"/>
        <w:rPr>
          <w:rFonts w:ascii="Bookman Old Style" w:hAnsi="Bookman Old Style" w:cs="Arial"/>
          <w:sz w:val="22"/>
          <w:szCs w:val="22"/>
          <w:lang w:val="es-CO"/>
        </w:rPr>
      </w:pPr>
      <w:r w:rsidRPr="00DC07FC">
        <w:rPr>
          <w:rFonts w:ascii="Bookman Old Style" w:hAnsi="Bookman Old Style"/>
          <w:lang w:val="es-CO"/>
        </w:rPr>
        <w:t>En el mencionado reglamento se estableció que el acceso al producto que se encuentra con precio regulado se realizaría mediante ofertas públicas de cantidades, OPC, llevadas a cabo por el respectivo comercializador mayorista. El diseño de este mecanismo para asignar el producto con precio regulado, mediante la aplicación del reglamento de comercialización mayorista de GLP, se hizo a fin de garantizar en dicha asignación condiciones transparentes y no discriminatorias, poder contar permanentemente con una adecuada estimación del balance entre oferta y demanda, así como dar la posibilidad a los compradores de contar con una imagen integrada de toda la oferta disponible para tener la posibilidad de hacer ofertas de compra con información completa.</w:t>
      </w:r>
    </w:p>
    <w:p w:rsidR="0075605A" w:rsidRPr="00DC07FC" w:rsidRDefault="0075605A" w:rsidP="0075605A">
      <w:pPr>
        <w:ind w:left="0"/>
        <w:contextualSpacing/>
        <w:jc w:val="both"/>
        <w:rPr>
          <w:rFonts w:ascii="Bookman Old Style" w:hAnsi="Bookman Old Style"/>
          <w:lang w:val="es-CO"/>
        </w:rPr>
      </w:pPr>
    </w:p>
    <w:p w:rsidR="0075605A" w:rsidRPr="00DC07FC" w:rsidRDefault="0075605A" w:rsidP="0075605A">
      <w:pPr>
        <w:ind w:left="0"/>
        <w:contextualSpacing/>
        <w:jc w:val="both"/>
        <w:rPr>
          <w:rFonts w:ascii="Bookman Old Style" w:hAnsi="Bookman Old Style"/>
          <w:lang w:val="es-CO"/>
        </w:rPr>
      </w:pPr>
      <w:r w:rsidRPr="00DC07FC">
        <w:rPr>
          <w:rFonts w:ascii="Bookman Old Style" w:hAnsi="Bookman Old Style"/>
          <w:lang w:val="es-CO"/>
        </w:rPr>
        <w:t xml:space="preserve">Así mismo, dentro de los fines y objetivos perseguidos por la regulación en materia de comercialización mayorista a través de dicho reglamento, se encuentran los previstos en el artículo 3 de la Resolución CREG 053 de 2011, cuando establece que el acceso al producto no se debe convertir en una barrera para la competencia en la distribución y comercialización minorista de GLP o en una ventaja para aumentar la posición dominante de algún agente. Se busca una asignación del producto: i) justa, en igualdad de oportunidades de compra para todos los interesados; ii) transparente, para hacer claros los resultados de la asignación; iii) eficiente, reflejando la disponibilidad a pagar por parte de la demanda. </w:t>
      </w:r>
    </w:p>
    <w:p w:rsidR="0075605A" w:rsidRPr="00DC07FC" w:rsidRDefault="0075605A" w:rsidP="0075605A">
      <w:pPr>
        <w:ind w:left="0"/>
        <w:contextualSpacing/>
        <w:jc w:val="both"/>
        <w:rPr>
          <w:rFonts w:ascii="Bookman Old Style" w:hAnsi="Bookman Old Style" w:cs="Arial"/>
          <w:sz w:val="22"/>
          <w:szCs w:val="22"/>
          <w:lang w:val="es-CO"/>
        </w:rPr>
      </w:pPr>
    </w:p>
    <w:p w:rsidR="0075605A" w:rsidRPr="00DC07FC" w:rsidRDefault="0075605A" w:rsidP="0075605A">
      <w:pPr>
        <w:ind w:left="0"/>
        <w:contextualSpacing/>
        <w:jc w:val="both"/>
        <w:rPr>
          <w:rFonts w:ascii="Bookman Old Style" w:hAnsi="Bookman Old Style"/>
          <w:lang w:val="es-CO"/>
        </w:rPr>
      </w:pPr>
      <w:r w:rsidRPr="00DC07FC">
        <w:rPr>
          <w:rFonts w:ascii="Bookman Old Style" w:hAnsi="Bookman Old Style"/>
          <w:lang w:val="es-CO"/>
        </w:rPr>
        <w:t xml:space="preserve">Finalmente, la aplicación del reglamento permite evidenciar y conocer de manera adecuada, así como en un mayor grado de realidad, el resultado del balance </w:t>
      </w:r>
      <w:r w:rsidRPr="00DC07FC">
        <w:rPr>
          <w:rFonts w:ascii="Bookman Old Style" w:hAnsi="Bookman Old Style"/>
          <w:lang w:val="es-CO"/>
        </w:rPr>
        <w:lastRenderedPageBreak/>
        <w:t xml:space="preserve">entre oferta y demanda de GLP. Esto, toda vez que mediante dicha regulación se busca dar igual oportunidad a todos los agentes interesados en adquirir el producto nacional regulado para atender su demanda, sea esta residencial, comercial o industrial. De acuerdo con la aplicación de este mecanismo, se </w:t>
      </w:r>
      <w:r w:rsidR="00606C4D">
        <w:rPr>
          <w:rFonts w:ascii="Bookman Old Style" w:hAnsi="Bookman Old Style"/>
          <w:lang w:val="es-CO"/>
        </w:rPr>
        <w:t xml:space="preserve">han venido </w:t>
      </w:r>
      <w:r w:rsidRPr="00DC07FC">
        <w:rPr>
          <w:rFonts w:ascii="Bookman Old Style" w:hAnsi="Bookman Old Style"/>
          <w:lang w:val="es-CO"/>
        </w:rPr>
        <w:t xml:space="preserve">realizando OPC </w:t>
      </w:r>
      <w:r w:rsidR="00606C4D">
        <w:rPr>
          <w:rFonts w:ascii="Bookman Old Style" w:hAnsi="Bookman Old Style"/>
          <w:lang w:val="es-CO"/>
        </w:rPr>
        <w:t xml:space="preserve">por parte de los comercializadores mayoristas de precio regulado </w:t>
      </w:r>
      <w:r w:rsidRPr="00DC07FC">
        <w:rPr>
          <w:rFonts w:ascii="Bookman Old Style" w:hAnsi="Bookman Old Style"/>
          <w:lang w:val="es-CO"/>
        </w:rPr>
        <w:t>desde del 1º de octubre de 2011</w:t>
      </w:r>
      <w:r w:rsidR="00606C4D">
        <w:rPr>
          <w:rFonts w:ascii="Bookman Old Style" w:hAnsi="Bookman Old Style"/>
          <w:lang w:val="es-CO"/>
        </w:rPr>
        <w:t xml:space="preserve"> hasta la expedición de la presente propuesta regulatoria.  </w:t>
      </w:r>
    </w:p>
    <w:p w:rsidR="00606C4D" w:rsidRDefault="00606C4D" w:rsidP="0075605A">
      <w:pPr>
        <w:ind w:left="0"/>
        <w:contextualSpacing/>
        <w:jc w:val="both"/>
        <w:rPr>
          <w:rFonts w:ascii="Bookman Old Style" w:hAnsi="Bookman Old Style"/>
          <w:lang w:val="es-CO"/>
        </w:rPr>
      </w:pPr>
    </w:p>
    <w:p w:rsidR="0075605A" w:rsidRPr="00DC07FC" w:rsidRDefault="004111DA" w:rsidP="0075605A">
      <w:pPr>
        <w:ind w:left="0"/>
        <w:contextualSpacing/>
        <w:jc w:val="both"/>
        <w:rPr>
          <w:rFonts w:ascii="Bookman Old Style" w:hAnsi="Bookman Old Style"/>
          <w:lang w:val="es-CO"/>
        </w:rPr>
      </w:pPr>
      <w:r>
        <w:rPr>
          <w:rFonts w:ascii="Bookman Old Style" w:hAnsi="Bookman Old Style"/>
          <w:lang w:val="es-CO"/>
        </w:rPr>
        <w:t>Así mismo, la</w:t>
      </w:r>
      <w:r w:rsidR="0075605A" w:rsidRPr="00DC07FC">
        <w:rPr>
          <w:rFonts w:ascii="Bookman Old Style" w:hAnsi="Bookman Old Style"/>
          <w:lang w:val="es-CO"/>
        </w:rPr>
        <w:t xml:space="preserve"> regulación en materia de comercialización mayorista ha sido coherente con el esquema regulatorio establecido para las demás actividades que hacen parte de la prestación del servicio público domiciliario de GLP, como es el caso del transporte por ductos, la distribución y comercialización minorista, atendiendo entre otros el esquema de marca, el cual implica la incorporación de responsabilidades y obligaciones claras por parte de las empresas, los derechos con los que cuentan los usuarios, así como la prestación del servicio a través de un parque de cilindros marcados propiedad de los distribuidores a fin de garantizar la calidad del servicio y la seguridad de la ciudadanía en general, como parte de una estructura basada en la formalización para la prestación del servicio dentro de toda la cadena.</w:t>
      </w:r>
    </w:p>
    <w:p w:rsidR="0075605A" w:rsidRPr="00DC07FC" w:rsidRDefault="0075605A" w:rsidP="0075605A">
      <w:pPr>
        <w:ind w:left="0"/>
        <w:contextualSpacing/>
        <w:jc w:val="both"/>
        <w:rPr>
          <w:rFonts w:ascii="Bookman Old Style" w:hAnsi="Bookman Old Style"/>
          <w:lang w:val="es-CO"/>
        </w:rPr>
      </w:pPr>
    </w:p>
    <w:p w:rsidR="0075605A" w:rsidRPr="00DC07FC" w:rsidRDefault="0075605A" w:rsidP="0075605A">
      <w:pPr>
        <w:ind w:left="0"/>
        <w:contextualSpacing/>
        <w:jc w:val="both"/>
        <w:rPr>
          <w:rFonts w:ascii="Bookman Old Style" w:hAnsi="Bookman Old Style"/>
          <w:lang w:val="es-CO"/>
        </w:rPr>
      </w:pPr>
      <w:r w:rsidRPr="00DC07FC">
        <w:rPr>
          <w:rFonts w:ascii="Bookman Old Style" w:hAnsi="Bookman Old Style"/>
          <w:lang w:val="es-CO"/>
        </w:rPr>
        <w:t xml:space="preserve">En este sentido, la aplicación de la regulación prevista actualmente ha permitido llevar a cabo una evaluación y seguimiento del mercado, estableciendo las condiciones actuales en que este se encuentra, de la misma forma que identificando la forma en que interactúan los agentes de la comercialización mayorista de GLP, así los comportamientos que estos desarrollan. Igualmente, deben considerar aspectos en materia de política en materia de servicios públicos domiciliarios definidos entre otros en el </w:t>
      </w:r>
      <w:r w:rsidR="00606C4D">
        <w:rPr>
          <w:rFonts w:ascii="Bookman Old Style" w:hAnsi="Bookman Old Style"/>
          <w:lang w:val="es-CO"/>
        </w:rPr>
        <w:t xml:space="preserve">Decreto </w:t>
      </w:r>
      <w:r w:rsidRPr="00DC07FC">
        <w:rPr>
          <w:rFonts w:ascii="Bookman Old Style" w:hAnsi="Bookman Old Style"/>
          <w:lang w:val="es-CO"/>
        </w:rPr>
        <w:t>2251 de 2015.</w:t>
      </w:r>
    </w:p>
    <w:p w:rsidR="0075605A" w:rsidRPr="00DC07FC" w:rsidRDefault="0075605A" w:rsidP="0075605A">
      <w:pPr>
        <w:ind w:left="0"/>
        <w:contextualSpacing/>
        <w:jc w:val="both"/>
        <w:rPr>
          <w:rFonts w:ascii="Bookman Old Style" w:hAnsi="Bookman Old Style"/>
          <w:lang w:val="es-CO"/>
        </w:rPr>
      </w:pPr>
    </w:p>
    <w:p w:rsidR="0075605A" w:rsidRPr="00DC07FC" w:rsidRDefault="004111DA" w:rsidP="0075605A">
      <w:pPr>
        <w:ind w:left="0"/>
        <w:contextualSpacing/>
        <w:jc w:val="both"/>
        <w:rPr>
          <w:rFonts w:ascii="Bookman Old Style" w:hAnsi="Bookman Old Style"/>
          <w:lang w:val="es-CO"/>
        </w:rPr>
      </w:pPr>
      <w:r>
        <w:rPr>
          <w:rFonts w:ascii="Bookman Old Style" w:hAnsi="Bookman Old Style"/>
          <w:lang w:val="es-CO"/>
        </w:rPr>
        <w:t>Esto</w:t>
      </w:r>
      <w:r w:rsidR="0075605A" w:rsidRPr="00DC07FC">
        <w:rPr>
          <w:rFonts w:ascii="Bookman Old Style" w:hAnsi="Bookman Old Style"/>
          <w:lang w:val="es-CO"/>
        </w:rPr>
        <w:t>, a efectos de identificar los objetivos que debe perseguir el nuevo marco regulatorio que defina los criterios generales para la remuneración de la actividad de comercialización mayorista de gas licuado del petróleo, así como los aspectos comerciales del mercado mayorista de gas licuado del petróleo en el marco de la Ley 142 de 1994, de los cuales hacen parte: i) promover la competencia en el mercado mayorista de GLP, evitando favorecimientos a las condiciones monopólicas que allí se presenten, haciendo que las mismas se realicen de manera eficiente, limitando un posible abuso de dicha condición; ii) mejorar la trazabilidad del componente G dentro del costo unitario de prestación del servicio (CU); iii) facilitar la liquidez en los contratos de suministro dentro del mercado mayorista de GLP; iv) contar con transparencia en el proceso de formación de precios; v) ser eficiente en la asignación de cantidades de GLP, incluyendo desde el punto de vista geográfico; vi) contar con un mayor nivel de información transaccional y operativa del mercado mayorista de GLP; vii) orientar los comportamientos de los agentes, dentro de los fines perseguidos en materia de servicios públicos domiciliarios, de acuerdo con lo previsto en la Ley 142 de 1994, y; ix) facilitar y equilibrar las relaciones contractuales entre los agentes, estableciendo el contenido mínimo para los contratos de suministro previstos en la regulación.</w:t>
      </w:r>
    </w:p>
    <w:p w:rsidR="0075605A" w:rsidRPr="00DC07FC" w:rsidRDefault="0075605A" w:rsidP="0075605A">
      <w:pPr>
        <w:ind w:left="0"/>
        <w:contextualSpacing/>
        <w:jc w:val="both"/>
        <w:rPr>
          <w:rFonts w:ascii="Bookman Old Style" w:hAnsi="Bookman Old Style"/>
          <w:lang w:val="es-CO"/>
        </w:rPr>
      </w:pPr>
    </w:p>
    <w:p w:rsidR="0075605A" w:rsidRPr="00DC07FC" w:rsidRDefault="0075605A" w:rsidP="0075605A">
      <w:pPr>
        <w:ind w:left="0"/>
        <w:contextualSpacing/>
        <w:jc w:val="both"/>
        <w:rPr>
          <w:rFonts w:ascii="Bookman Old Style" w:eastAsiaTheme="minorHAnsi" w:hAnsi="Bookman Old Style" w:cs="Arial"/>
          <w:lang w:val="es-CO" w:eastAsia="en-US"/>
        </w:rPr>
      </w:pPr>
      <w:r w:rsidRPr="00DC07FC">
        <w:rPr>
          <w:rFonts w:ascii="Bookman Old Style" w:eastAsiaTheme="minorHAnsi" w:hAnsi="Bookman Old Style" w:cs="Arial"/>
          <w:lang w:val="es-CO" w:eastAsia="en-US"/>
        </w:rPr>
        <w:t xml:space="preserve">Mediante la Resolución CREG 113 de 2013 se dio inicio al proceso administrativo para determinar las bases conceptuales que deberían sustentar un nuevo </w:t>
      </w:r>
      <w:r w:rsidRPr="00DC07FC">
        <w:rPr>
          <w:rFonts w:ascii="Bookman Old Style" w:eastAsiaTheme="minorHAnsi" w:hAnsi="Bookman Old Style" w:cs="Arial"/>
          <w:lang w:val="es-CO" w:eastAsia="en-US"/>
        </w:rPr>
        <w:lastRenderedPageBreak/>
        <w:t xml:space="preserve">reglamento de comercialización mayorista de gas licuado de petróleo (GLP), así como la revisión de la metodología mediante la que se determina el precio máximo de suministro de dicho combustible </w:t>
      </w:r>
      <w:r w:rsidRPr="00DC07FC">
        <w:rPr>
          <w:rFonts w:ascii="Bookman Old Style" w:eastAsiaTheme="minorHAnsi" w:hAnsi="Bookman Old Style" w:cs="Arial"/>
          <w:lang w:eastAsia="en-US"/>
        </w:rPr>
        <w:t>para el siguiente período tarifario.</w:t>
      </w:r>
      <w:r w:rsidRPr="00DC07FC">
        <w:rPr>
          <w:rFonts w:ascii="Bookman Old Style" w:eastAsiaTheme="minorHAnsi" w:hAnsi="Bookman Old Style" w:cs="Arial"/>
          <w:lang w:val="es-CO" w:eastAsia="en-US"/>
        </w:rPr>
        <w:t xml:space="preserve"> </w:t>
      </w:r>
    </w:p>
    <w:p w:rsidR="0075605A" w:rsidRPr="00DC07FC" w:rsidRDefault="0075605A" w:rsidP="0075605A">
      <w:pPr>
        <w:ind w:left="0"/>
        <w:contextualSpacing/>
        <w:jc w:val="both"/>
        <w:rPr>
          <w:rFonts w:ascii="Bookman Old Style" w:eastAsiaTheme="minorHAnsi" w:hAnsi="Bookman Old Style" w:cs="Arial"/>
          <w:lang w:val="es-CO" w:eastAsia="en-US"/>
        </w:rPr>
      </w:pPr>
    </w:p>
    <w:p w:rsidR="0075605A" w:rsidRPr="00DC07FC" w:rsidRDefault="0075605A" w:rsidP="0075605A">
      <w:pPr>
        <w:ind w:left="0"/>
        <w:contextualSpacing/>
        <w:jc w:val="both"/>
        <w:rPr>
          <w:rFonts w:ascii="Bookman Old Style" w:eastAsiaTheme="minorHAnsi" w:hAnsi="Bookman Old Style" w:cs="Arial"/>
          <w:lang w:val="es-CO" w:eastAsia="en-US"/>
        </w:rPr>
      </w:pPr>
      <w:r w:rsidRPr="00DC07FC">
        <w:rPr>
          <w:rFonts w:ascii="Bookman Old Style" w:eastAsiaTheme="minorHAnsi" w:hAnsi="Bookman Old Style" w:cs="Arial"/>
          <w:lang w:val="es-CO" w:eastAsia="en-US"/>
        </w:rPr>
        <w:t>Teniendo en cuenta las bases metodológicas y los objetivos descritos en la Resolución CREG 113 de 2013, así como las perspectivas del mercado de GLP a mediano y largo plazo, la CREG elaboró y publicó el Documento CREG 078 de 2014 en el que propone a los agentes interesados un nuevo esquema de comercialización mayorista de GLP, así como una metodología de remuneración del suministro.</w:t>
      </w:r>
    </w:p>
    <w:p w:rsidR="0075605A" w:rsidRPr="00DC07FC" w:rsidRDefault="0075605A" w:rsidP="0075605A">
      <w:pPr>
        <w:ind w:left="0"/>
        <w:contextualSpacing/>
        <w:jc w:val="both"/>
        <w:rPr>
          <w:rFonts w:ascii="Bookman Old Style" w:eastAsiaTheme="minorHAnsi" w:hAnsi="Bookman Old Style" w:cs="Arial"/>
          <w:lang w:val="es-CO" w:eastAsia="en-US"/>
        </w:rPr>
      </w:pPr>
    </w:p>
    <w:p w:rsidR="0075605A" w:rsidRPr="00DC07FC" w:rsidRDefault="00B65747" w:rsidP="0075605A">
      <w:pPr>
        <w:ind w:left="0"/>
        <w:contextualSpacing/>
        <w:jc w:val="both"/>
        <w:rPr>
          <w:rFonts w:ascii="Bookman Old Style" w:eastAsiaTheme="minorHAnsi" w:hAnsi="Bookman Old Style" w:cs="Arial"/>
          <w:lang w:val="es-CO" w:eastAsia="en-US"/>
        </w:rPr>
      </w:pPr>
      <w:r>
        <w:rPr>
          <w:rFonts w:ascii="Bookman Old Style" w:eastAsiaTheme="minorHAnsi" w:hAnsi="Bookman Old Style" w:cs="Arial"/>
          <w:lang w:val="es-CO" w:eastAsia="en-US"/>
        </w:rPr>
        <w:t>En la</w:t>
      </w:r>
      <w:r w:rsidRPr="00DC07FC">
        <w:rPr>
          <w:rFonts w:ascii="Bookman Old Style" w:eastAsiaTheme="minorHAnsi" w:hAnsi="Bookman Old Style" w:cs="Arial"/>
          <w:lang w:val="es-CO" w:eastAsia="en-US"/>
        </w:rPr>
        <w:t xml:space="preserve"> </w:t>
      </w:r>
      <w:r w:rsidR="0075605A" w:rsidRPr="00DC07FC">
        <w:rPr>
          <w:rFonts w:ascii="Bookman Old Style" w:eastAsiaTheme="minorHAnsi" w:hAnsi="Bookman Old Style" w:cs="Arial"/>
          <w:lang w:val="es-CO" w:eastAsia="en-US"/>
        </w:rPr>
        <w:t xml:space="preserve">propuesta del reglamento de comercialización consignada en el Documento CREG 078 de 2014 se </w:t>
      </w:r>
      <w:r w:rsidR="004111DA">
        <w:rPr>
          <w:rFonts w:ascii="Bookman Old Style" w:eastAsiaTheme="minorHAnsi" w:hAnsi="Bookman Old Style" w:cs="Arial"/>
          <w:lang w:val="es-CO" w:eastAsia="en-US"/>
        </w:rPr>
        <w:t>propusieron entre otros aspectos a tratar como parte de la expedición de la nueva metodología, aquellos</w:t>
      </w:r>
      <w:r w:rsidR="0075605A" w:rsidRPr="00DC07FC">
        <w:rPr>
          <w:rFonts w:ascii="Bookman Old Style" w:eastAsiaTheme="minorHAnsi" w:hAnsi="Bookman Old Style" w:cs="Arial"/>
          <w:lang w:val="es-CO" w:eastAsia="en-US"/>
        </w:rPr>
        <w:t xml:space="preserve"> relacionados con: i) el fomento a la competencia dentro de la comercialización mayorista; ii) transparencia en el proceso de formación de precios y eficiencia en la asignación de cantidades, entre otros, mediante </w:t>
      </w:r>
      <w:r w:rsidR="0075605A" w:rsidRPr="00DC07FC">
        <w:rPr>
          <w:rFonts w:ascii="Bookman Old Style" w:eastAsiaTheme="minorHAnsi" w:hAnsi="Bookman Old Style" w:cs="Arial"/>
          <w:lang w:eastAsia="en-US"/>
        </w:rPr>
        <w:t>la configuración de mecanismos de comercialización centralizados de compra de GLP</w:t>
      </w:r>
      <w:r w:rsidR="0075605A" w:rsidRPr="00DC07FC">
        <w:rPr>
          <w:rFonts w:ascii="Bookman Old Style" w:eastAsiaTheme="minorHAnsi" w:hAnsi="Bookman Old Style" w:cs="Arial"/>
          <w:vertAlign w:val="superscript"/>
          <w:lang w:eastAsia="en-US"/>
        </w:rPr>
        <w:footnoteReference w:id="13"/>
      </w:r>
      <w:r w:rsidR="0075605A" w:rsidRPr="00DC07FC">
        <w:rPr>
          <w:rFonts w:ascii="Bookman Old Style" w:eastAsiaTheme="minorHAnsi" w:hAnsi="Bookman Old Style" w:cs="Arial"/>
          <w:lang w:eastAsia="en-US"/>
        </w:rPr>
        <w:t xml:space="preserve">; ii) contar con un mayor nivel de información transaccional y operativa del mercado, entre otros, advirtiendo la necesidad de </w:t>
      </w:r>
      <w:r w:rsidR="0075605A" w:rsidRPr="00DC07FC">
        <w:rPr>
          <w:rFonts w:ascii="Bookman Old Style" w:eastAsiaTheme="minorHAnsi" w:hAnsi="Bookman Old Style" w:cs="Arial"/>
          <w:lang w:val="es-CO" w:eastAsia="en-US"/>
        </w:rPr>
        <w:t xml:space="preserve">que exista un sistema centralizado de información </w:t>
      </w:r>
      <w:r w:rsidR="0075605A" w:rsidRPr="00DC07FC">
        <w:rPr>
          <w:rFonts w:ascii="Bookman Old Style" w:eastAsiaTheme="minorHAnsi" w:hAnsi="Bookman Old Style" w:cs="Arial"/>
          <w:lang w:eastAsia="en-US"/>
        </w:rPr>
        <w:t>que facilite las negociaciones y las transacciones en el mercado mayorista de GLP</w:t>
      </w:r>
      <w:r w:rsidR="0075605A" w:rsidRPr="00DC07FC">
        <w:rPr>
          <w:rFonts w:ascii="Bookman Old Style" w:eastAsiaTheme="minorHAnsi" w:hAnsi="Bookman Old Style" w:cs="Arial"/>
          <w:vertAlign w:val="superscript"/>
          <w:lang w:eastAsia="en-US"/>
        </w:rPr>
        <w:footnoteReference w:id="14"/>
      </w:r>
      <w:r w:rsidR="0075605A" w:rsidRPr="00DC07FC">
        <w:rPr>
          <w:rFonts w:ascii="Bookman Old Style" w:eastAsiaTheme="minorHAnsi" w:hAnsi="Bookman Old Style" w:cs="Arial"/>
          <w:lang w:eastAsia="en-US"/>
        </w:rPr>
        <w:t xml:space="preserve">. </w:t>
      </w:r>
    </w:p>
    <w:p w:rsidR="0075605A" w:rsidRPr="00DC07FC" w:rsidRDefault="0075605A" w:rsidP="0075605A">
      <w:pPr>
        <w:ind w:left="0"/>
        <w:contextualSpacing/>
        <w:jc w:val="both"/>
        <w:rPr>
          <w:rFonts w:ascii="Bookman Old Style" w:eastAsiaTheme="minorHAnsi" w:hAnsi="Bookman Old Style" w:cs="Arial"/>
          <w:lang w:val="es-CO" w:eastAsia="en-US"/>
        </w:rPr>
      </w:pPr>
    </w:p>
    <w:p w:rsidR="0075605A" w:rsidRPr="00DC07FC" w:rsidRDefault="0075605A" w:rsidP="0075605A">
      <w:pPr>
        <w:ind w:left="0"/>
        <w:contextualSpacing/>
        <w:jc w:val="both"/>
        <w:rPr>
          <w:rFonts w:ascii="Bookman Old Style" w:eastAsiaTheme="minorHAnsi" w:hAnsi="Bookman Old Style" w:cs="Arial"/>
          <w:lang w:val="es-CO" w:eastAsia="en-US"/>
        </w:rPr>
      </w:pPr>
      <w:r w:rsidRPr="00DC07FC">
        <w:rPr>
          <w:rFonts w:ascii="Bookman Old Style" w:eastAsiaTheme="minorHAnsi" w:hAnsi="Bookman Old Style" w:cs="Arial"/>
          <w:lang w:val="es-CO" w:eastAsia="en-US"/>
        </w:rPr>
        <w:t>Como parte de los estudios necesarios para definir la nueva metodología y el impacto que estas alternativas podían tener en el mercado de GLP, la Comisión contrató</w:t>
      </w:r>
      <w:r w:rsidR="00B65747">
        <w:rPr>
          <w:rFonts w:ascii="Bookman Old Style" w:eastAsiaTheme="minorHAnsi" w:hAnsi="Bookman Old Style" w:cs="Arial"/>
          <w:lang w:val="es-CO" w:eastAsia="en-US"/>
        </w:rPr>
        <w:t xml:space="preserve"> como</w:t>
      </w:r>
      <w:r w:rsidRPr="00DC07FC">
        <w:rPr>
          <w:rFonts w:ascii="Bookman Old Style" w:eastAsiaTheme="minorHAnsi" w:hAnsi="Bookman Old Style" w:cs="Arial"/>
          <w:lang w:val="es-CO" w:eastAsia="en-US"/>
        </w:rPr>
        <w:t xml:space="preserve"> consultor a la firma Estudios Energéticos. Como resultado de dicho estudio, la CREG recibió por parte de la firma consultora recomendaciones</w:t>
      </w:r>
      <w:r w:rsidR="00B65747">
        <w:rPr>
          <w:rFonts w:ascii="Bookman Old Style" w:eastAsiaTheme="minorHAnsi" w:hAnsi="Bookman Old Style" w:cs="Arial"/>
          <w:lang w:val="es-CO" w:eastAsia="en-US"/>
        </w:rPr>
        <w:t xml:space="preserve"> en los siguientes asuntos:</w:t>
      </w:r>
      <w:r w:rsidRPr="00DC07FC">
        <w:rPr>
          <w:rFonts w:ascii="Bookman Old Style" w:eastAsiaTheme="minorHAnsi" w:hAnsi="Bookman Old Style" w:cs="Arial"/>
          <w:lang w:val="es-CO" w:eastAsia="en-US"/>
        </w:rPr>
        <w:t xml:space="preserve"> </w:t>
      </w:r>
      <w:r w:rsidR="00B65747">
        <w:rPr>
          <w:rFonts w:ascii="Bookman Old Style" w:eastAsiaTheme="minorHAnsi" w:hAnsi="Bookman Old Style" w:cs="Arial"/>
          <w:lang w:val="es-CO" w:eastAsia="en-US"/>
        </w:rPr>
        <w:t xml:space="preserve">i) </w:t>
      </w:r>
      <w:r w:rsidRPr="00DC07FC">
        <w:rPr>
          <w:rFonts w:ascii="Bookman Old Style" w:eastAsiaTheme="minorHAnsi" w:hAnsi="Bookman Old Style" w:cs="Arial"/>
          <w:lang w:val="es-CO" w:eastAsia="en-US"/>
        </w:rPr>
        <w:t>definición de los agentes</w:t>
      </w:r>
      <w:r w:rsidR="00320084">
        <w:rPr>
          <w:rFonts w:ascii="Bookman Old Style" w:eastAsiaTheme="minorHAnsi" w:hAnsi="Bookman Old Style" w:cs="Arial"/>
          <w:lang w:val="es-CO" w:eastAsia="en-US"/>
        </w:rPr>
        <w:t xml:space="preserve"> que intervienen en</w:t>
      </w:r>
      <w:r w:rsidRPr="00DC07FC">
        <w:rPr>
          <w:rFonts w:ascii="Bookman Old Style" w:eastAsiaTheme="minorHAnsi" w:hAnsi="Bookman Old Style" w:cs="Arial"/>
          <w:lang w:val="es-CO" w:eastAsia="en-US"/>
        </w:rPr>
        <w:t xml:space="preserve"> la comercialización mayorista</w:t>
      </w:r>
      <w:r w:rsidR="00320084">
        <w:rPr>
          <w:rFonts w:ascii="Bookman Old Style" w:eastAsiaTheme="minorHAnsi" w:hAnsi="Bookman Old Style" w:cs="Arial"/>
          <w:lang w:val="es-CO" w:eastAsia="en-US"/>
        </w:rPr>
        <w:t>; ii)</w:t>
      </w:r>
      <w:r w:rsidRPr="00DC07FC">
        <w:rPr>
          <w:rFonts w:ascii="Bookman Old Style" w:eastAsiaTheme="minorHAnsi" w:hAnsi="Bookman Old Style" w:cs="Arial"/>
          <w:lang w:val="es-CO" w:eastAsia="en-US"/>
        </w:rPr>
        <w:t xml:space="preserve"> los aspectos comerciales y mecanismos de intercambio del mercado primario y secundario</w:t>
      </w:r>
      <w:r w:rsidR="00320084">
        <w:rPr>
          <w:rFonts w:ascii="Bookman Old Style" w:eastAsiaTheme="minorHAnsi" w:hAnsi="Bookman Old Style" w:cs="Arial"/>
          <w:lang w:val="es-CO" w:eastAsia="en-US"/>
        </w:rPr>
        <w:t xml:space="preserve">; iii) </w:t>
      </w:r>
      <w:r w:rsidRPr="00DC07FC">
        <w:rPr>
          <w:rFonts w:ascii="Bookman Old Style" w:eastAsiaTheme="minorHAnsi" w:hAnsi="Bookman Old Style" w:cs="Arial"/>
          <w:lang w:val="es-CO" w:eastAsia="en-US"/>
        </w:rPr>
        <w:t>estructura del sistema de información integrado del esquema</w:t>
      </w:r>
      <w:r w:rsidR="00320084">
        <w:rPr>
          <w:rFonts w:ascii="Bookman Old Style" w:eastAsiaTheme="minorHAnsi" w:hAnsi="Bookman Old Style" w:cs="Arial"/>
          <w:lang w:val="es-CO" w:eastAsia="en-US"/>
        </w:rPr>
        <w:t xml:space="preserve"> e; iv)</w:t>
      </w:r>
      <w:r w:rsidRPr="00DC07FC">
        <w:rPr>
          <w:rFonts w:ascii="Bookman Old Style" w:eastAsiaTheme="minorHAnsi" w:hAnsi="Bookman Old Style" w:cs="Arial"/>
          <w:lang w:val="es-CO" w:eastAsia="en-US"/>
        </w:rPr>
        <w:t xml:space="preserve"> identificación de las actividades que debería llevar a cabo el administrador/gestor del esquema de comercialización mayorista de GLP.</w:t>
      </w:r>
    </w:p>
    <w:p w:rsidR="0075605A" w:rsidRPr="00DC07FC" w:rsidRDefault="0075605A" w:rsidP="0075605A">
      <w:pPr>
        <w:ind w:left="0"/>
        <w:contextualSpacing/>
        <w:jc w:val="both"/>
        <w:rPr>
          <w:rFonts w:ascii="Bookman Old Style" w:eastAsiaTheme="minorHAnsi" w:hAnsi="Bookman Old Style" w:cs="Arial"/>
          <w:lang w:val="es-CO" w:eastAsia="en-US"/>
        </w:rPr>
      </w:pPr>
    </w:p>
    <w:p w:rsidR="0075605A" w:rsidRPr="00DC07FC" w:rsidRDefault="0075605A" w:rsidP="0075605A">
      <w:pPr>
        <w:ind w:left="0"/>
        <w:contextualSpacing/>
        <w:jc w:val="both"/>
        <w:rPr>
          <w:rFonts w:ascii="Bookman Old Style" w:eastAsiaTheme="minorHAnsi" w:hAnsi="Bookman Old Style" w:cs="Arial"/>
          <w:lang w:val="es-CO" w:eastAsia="en-US"/>
        </w:rPr>
      </w:pPr>
      <w:r w:rsidRPr="00DC07FC">
        <w:rPr>
          <w:rFonts w:ascii="Bookman Old Style" w:eastAsiaTheme="minorHAnsi" w:hAnsi="Bookman Old Style" w:cs="Arial"/>
          <w:lang w:val="es-CO" w:eastAsia="en-US"/>
        </w:rPr>
        <w:t xml:space="preserve">El Gobierno Nacional en cabeza del Ministerio de Minas y Energía </w:t>
      </w:r>
      <w:r w:rsidR="00606C4D">
        <w:rPr>
          <w:rFonts w:ascii="Bookman Old Style" w:eastAsiaTheme="minorHAnsi" w:hAnsi="Bookman Old Style" w:cs="Arial"/>
          <w:lang w:val="es-CO" w:eastAsia="en-US"/>
        </w:rPr>
        <w:t>expidió</w:t>
      </w:r>
      <w:r w:rsidRPr="00DC07FC">
        <w:rPr>
          <w:rFonts w:ascii="Bookman Old Style" w:eastAsiaTheme="minorHAnsi" w:hAnsi="Bookman Old Style" w:cs="Arial"/>
          <w:lang w:val="es-CO" w:eastAsia="en-US"/>
        </w:rPr>
        <w:t xml:space="preserve"> el Decreto 2251 de 2015, el cual establece que la CREG debe realizar los ajustes necesarios en la regulación vigente para asegurar el acceso prioritario para la demanda nacional, incentivar la competencia y motivar la formación de precios eficientes de GLP con el fin de asegurar el suministro para la demanda nacional. Así mismo, se adoptan una serie de lineamientos en materia de abastecimiento de GLP, los cuales deben ser acordes con los mecanismos de comercialización y las señales de precio que establezca la regulación.</w:t>
      </w:r>
    </w:p>
    <w:p w:rsidR="0075605A" w:rsidRPr="00DC07FC" w:rsidRDefault="0075605A" w:rsidP="0075605A">
      <w:pPr>
        <w:ind w:left="0"/>
        <w:contextualSpacing/>
        <w:jc w:val="both"/>
        <w:rPr>
          <w:rFonts w:ascii="Bookman Old Style" w:eastAsiaTheme="minorHAnsi" w:hAnsi="Bookman Old Style" w:cs="Arial"/>
          <w:lang w:val="es-CO" w:eastAsia="en-US"/>
        </w:rPr>
      </w:pPr>
    </w:p>
    <w:p w:rsidR="005B21C4" w:rsidRDefault="005B21C4" w:rsidP="0075605A">
      <w:pPr>
        <w:ind w:left="0"/>
        <w:contextualSpacing/>
        <w:jc w:val="both"/>
        <w:rPr>
          <w:rFonts w:ascii="Bookman Old Style" w:eastAsiaTheme="minorHAnsi" w:hAnsi="Bookman Old Style" w:cs="Arial"/>
          <w:lang w:val="es-CO" w:eastAsia="en-US"/>
        </w:rPr>
      </w:pPr>
    </w:p>
    <w:p w:rsidR="005B21C4" w:rsidRDefault="005B21C4" w:rsidP="0075605A">
      <w:pPr>
        <w:ind w:left="0"/>
        <w:contextualSpacing/>
        <w:jc w:val="both"/>
        <w:rPr>
          <w:rFonts w:ascii="Bookman Old Style" w:eastAsiaTheme="minorHAnsi" w:hAnsi="Bookman Old Style" w:cs="Arial"/>
          <w:lang w:val="es-CO" w:eastAsia="en-US"/>
        </w:rPr>
      </w:pPr>
    </w:p>
    <w:p w:rsidR="0075605A" w:rsidRPr="00DC07FC" w:rsidRDefault="0075605A" w:rsidP="0075605A">
      <w:pPr>
        <w:ind w:left="0"/>
        <w:contextualSpacing/>
        <w:jc w:val="both"/>
        <w:rPr>
          <w:rFonts w:ascii="Bookman Old Style" w:eastAsiaTheme="minorHAnsi" w:hAnsi="Bookman Old Style" w:cs="Arial"/>
          <w:lang w:val="es-CO" w:eastAsia="en-US"/>
        </w:rPr>
      </w:pPr>
      <w:r w:rsidRPr="00DC07FC">
        <w:rPr>
          <w:rFonts w:ascii="Bookman Old Style" w:eastAsiaTheme="minorHAnsi" w:hAnsi="Bookman Old Style" w:cs="Arial"/>
          <w:lang w:val="es-CO" w:eastAsia="en-US"/>
        </w:rPr>
        <w:t>Como parte de la reglamentación de estas medidas, el Ministerio de Minas y Energía expidió la Resolución 4 0694 de 2016, por la cual se establece el procedimiento para realizar la</w:t>
      </w:r>
      <w:r w:rsidR="00320084">
        <w:rPr>
          <w:rFonts w:ascii="Bookman Old Style" w:eastAsiaTheme="minorHAnsi" w:hAnsi="Bookman Old Style" w:cs="Arial"/>
          <w:lang w:val="es-CO" w:eastAsia="en-US"/>
        </w:rPr>
        <w:t>s</w:t>
      </w:r>
      <w:r w:rsidRPr="00DC07FC">
        <w:rPr>
          <w:rFonts w:ascii="Bookman Old Style" w:eastAsiaTheme="minorHAnsi" w:hAnsi="Bookman Old Style" w:cs="Arial"/>
          <w:lang w:val="es-CO" w:eastAsia="en-US"/>
        </w:rPr>
        <w:t xml:space="preserve"> declaraci</w:t>
      </w:r>
      <w:r w:rsidR="00320084">
        <w:rPr>
          <w:rFonts w:ascii="Bookman Old Style" w:eastAsiaTheme="minorHAnsi" w:hAnsi="Bookman Old Style" w:cs="Arial"/>
          <w:lang w:val="es-CO" w:eastAsia="en-US"/>
        </w:rPr>
        <w:t>ones</w:t>
      </w:r>
      <w:r w:rsidRPr="00DC07FC">
        <w:rPr>
          <w:rFonts w:ascii="Bookman Old Style" w:eastAsiaTheme="minorHAnsi" w:hAnsi="Bookman Old Style" w:cs="Arial"/>
          <w:lang w:val="es-CO" w:eastAsia="en-US"/>
        </w:rPr>
        <w:t xml:space="preserve"> de GLP</w:t>
      </w:r>
      <w:r w:rsidR="00320084">
        <w:rPr>
          <w:rFonts w:ascii="Bookman Old Style" w:eastAsiaTheme="minorHAnsi" w:hAnsi="Bookman Old Style" w:cs="Arial"/>
          <w:lang w:val="es-CO" w:eastAsia="en-US"/>
        </w:rPr>
        <w:t xml:space="preserve"> por parte de los agentes comercializadores mayoristas</w:t>
      </w:r>
      <w:r w:rsidRPr="00DC07FC">
        <w:rPr>
          <w:rFonts w:ascii="Bookman Old Style" w:eastAsiaTheme="minorHAnsi" w:hAnsi="Bookman Old Style" w:cs="Arial"/>
          <w:lang w:val="es-CO" w:eastAsia="en-US"/>
        </w:rPr>
        <w:t>.</w:t>
      </w:r>
    </w:p>
    <w:p w:rsidR="0075605A" w:rsidRPr="00DC07FC" w:rsidRDefault="0075605A" w:rsidP="0075605A">
      <w:pPr>
        <w:ind w:left="0"/>
        <w:contextualSpacing/>
        <w:jc w:val="both"/>
        <w:rPr>
          <w:rFonts w:ascii="Bookman Old Style" w:eastAsiaTheme="minorHAnsi" w:hAnsi="Bookman Old Style" w:cs="Arial"/>
          <w:lang w:val="es-CO" w:eastAsia="en-US"/>
        </w:rPr>
      </w:pPr>
    </w:p>
    <w:p w:rsidR="0075605A" w:rsidRPr="00DC07FC" w:rsidRDefault="0075605A" w:rsidP="0075605A">
      <w:pPr>
        <w:ind w:left="0"/>
        <w:contextualSpacing/>
        <w:jc w:val="both"/>
        <w:rPr>
          <w:rFonts w:ascii="Bookman Old Style" w:eastAsiaTheme="minorHAnsi" w:hAnsi="Bookman Old Style" w:cs="Arial"/>
          <w:lang w:val="es-CO" w:eastAsia="en-US"/>
        </w:rPr>
      </w:pPr>
      <w:r w:rsidRPr="00DC07FC">
        <w:rPr>
          <w:rFonts w:ascii="Bookman Old Style" w:eastAsiaTheme="minorHAnsi" w:hAnsi="Bookman Old Style" w:cs="Arial"/>
          <w:lang w:val="es-CO" w:eastAsia="en-US"/>
        </w:rPr>
        <w:t>Finalmente, se debe tener en cuenta que en el artículo 126 de la Ley 142 de 1994 se establece, entre otros aspectos, que “las fórmulas tarifarias tendrán una vigencia de cinco años, salvo que antes haya acuerdo entre la empresa de servicios públicos y la comisión para modificarlas o prorrogarlas por un período igual”. Con base en esta disposición, y al considerar que las fórmulas establecidas en la metodología de la Resolución CREG 066 de 2007 han cumplido el plazo allí previsto, así como una vez puesto en conocimiento las bases metodológicas y una vez elaborados los estudios necesarios, le corresponde a esta Comisión someter a consulta de los agentes y demás interesados el proyecto de resolución de carácter general, “</w:t>
      </w:r>
      <w:r w:rsidR="00320084" w:rsidRPr="00320084">
        <w:rPr>
          <w:rFonts w:ascii="Bookman Old Style" w:eastAsiaTheme="minorHAnsi" w:hAnsi="Bookman Old Style" w:cs="Arial"/>
          <w:lang w:val="es-CO" w:eastAsia="en-US"/>
        </w:rPr>
        <w:t>Por la cual se establece el reglamento de comercialización mayorista de gas licuado de petróleo y se dictan otras disposiciones”</w:t>
      </w:r>
      <w:r w:rsidR="00320084">
        <w:rPr>
          <w:rFonts w:ascii="Bookman Old Style" w:eastAsiaTheme="minorHAnsi" w:hAnsi="Bookman Old Style" w:cs="Arial"/>
          <w:lang w:val="es-CO" w:eastAsia="en-US"/>
        </w:rPr>
        <w:t>.</w:t>
      </w:r>
    </w:p>
    <w:p w:rsidR="0075605A" w:rsidRPr="00DC07FC" w:rsidRDefault="0075605A" w:rsidP="0075605A">
      <w:pPr>
        <w:ind w:left="0"/>
        <w:contextualSpacing/>
        <w:jc w:val="both"/>
        <w:rPr>
          <w:rFonts w:ascii="Bookman Old Style" w:eastAsiaTheme="minorHAnsi" w:hAnsi="Bookman Old Style" w:cs="Arial"/>
          <w:lang w:val="es-CO" w:eastAsia="en-US"/>
        </w:rPr>
      </w:pPr>
    </w:p>
    <w:p w:rsidR="0075605A" w:rsidRPr="00DC07FC" w:rsidRDefault="0075605A" w:rsidP="0075605A">
      <w:pPr>
        <w:spacing w:after="220"/>
        <w:ind w:left="0"/>
        <w:jc w:val="both"/>
        <w:rPr>
          <w:rFonts w:ascii="Bookman Old Style" w:hAnsi="Bookman Old Style" w:cs="Arial"/>
          <w:spacing w:val="-5"/>
          <w:lang w:val="es-CO" w:eastAsia="en-US"/>
        </w:rPr>
      </w:pPr>
      <w:r w:rsidRPr="00DC07FC">
        <w:rPr>
          <w:rFonts w:ascii="Bookman Old Style" w:hAnsi="Bookman Old Style" w:cs="Arial"/>
          <w:spacing w:val="-5"/>
          <w:lang w:val="es-CO" w:eastAsia="en-US"/>
        </w:rPr>
        <w:t>Es por esto que, como fruto del análisis del marco regulatorio actual, los estudios llevados a cabo por la CREG y los lineamientos de política sobre el abastecimiento de GLP, la CREG considera importante que dentro de la remuneración del precio de GLP</w:t>
      </w:r>
      <w:r w:rsidR="00320084">
        <w:rPr>
          <w:rFonts w:ascii="Bookman Old Style" w:hAnsi="Bookman Old Style" w:cs="Arial"/>
          <w:spacing w:val="-5"/>
          <w:lang w:val="es-CO" w:eastAsia="en-US"/>
        </w:rPr>
        <w:t>,</w:t>
      </w:r>
      <w:r w:rsidRPr="00DC07FC">
        <w:rPr>
          <w:rFonts w:ascii="Bookman Old Style" w:hAnsi="Bookman Old Style" w:cs="Arial"/>
          <w:spacing w:val="-5"/>
          <w:lang w:val="es-CO" w:eastAsia="en-US"/>
        </w:rPr>
        <w:t xml:space="preserve"> los aspectos comerciales y los mecanismos que se definen dentro de la comercialización mayorista se debe</w:t>
      </w:r>
      <w:r w:rsidR="00D23CC8">
        <w:rPr>
          <w:rFonts w:ascii="Bookman Old Style" w:hAnsi="Bookman Old Style" w:cs="Arial"/>
          <w:spacing w:val="-5"/>
          <w:lang w:val="es-CO" w:eastAsia="en-US"/>
        </w:rPr>
        <w:t>n</w:t>
      </w:r>
      <w:r w:rsidRPr="00DC07FC">
        <w:rPr>
          <w:rFonts w:ascii="Bookman Old Style" w:hAnsi="Bookman Old Style" w:cs="Arial"/>
          <w:spacing w:val="-5"/>
          <w:lang w:val="es-CO" w:eastAsia="en-US"/>
        </w:rPr>
        <w:t xml:space="preserve"> contar con herramientas que permitan dar cumplimiento a los objetivos y finalidades planteadas, entre otros con respecto a</w:t>
      </w:r>
      <w:r w:rsidR="004111DA">
        <w:rPr>
          <w:rFonts w:ascii="Bookman Old Style" w:hAnsi="Bookman Old Style" w:cs="Arial"/>
          <w:spacing w:val="-5"/>
          <w:lang w:val="es-CO" w:eastAsia="en-US"/>
        </w:rPr>
        <w:t>: i)</w:t>
      </w:r>
      <w:r w:rsidRPr="00DC07FC">
        <w:rPr>
          <w:rFonts w:ascii="Bookman Old Style" w:hAnsi="Bookman Old Style" w:cs="Arial"/>
          <w:spacing w:val="-5"/>
          <w:lang w:val="es-CO" w:eastAsia="en-US"/>
        </w:rPr>
        <w:t xml:space="preserve"> </w:t>
      </w:r>
      <w:r w:rsidRPr="00DC07FC">
        <w:rPr>
          <w:rFonts w:ascii="Bookman Old Style" w:hAnsi="Bookman Old Style" w:cs="Arial"/>
          <w:spacing w:val="-5"/>
          <w:lang w:eastAsia="en-US"/>
        </w:rPr>
        <w:t>alcanzar una asignación eficiente del GLP</w:t>
      </w:r>
      <w:r w:rsidR="004111DA">
        <w:rPr>
          <w:rFonts w:ascii="Bookman Old Style" w:hAnsi="Bookman Old Style" w:cs="Arial"/>
          <w:spacing w:val="-5"/>
          <w:lang w:eastAsia="en-US"/>
        </w:rPr>
        <w:t>; ii)</w:t>
      </w:r>
      <w:r w:rsidRPr="00DC07FC">
        <w:rPr>
          <w:rFonts w:ascii="Bookman Old Style" w:hAnsi="Bookman Old Style" w:cs="Arial"/>
          <w:spacing w:val="-5"/>
          <w:lang w:eastAsia="en-US"/>
        </w:rPr>
        <w:t xml:space="preserve"> obtener una formación transparente y estable precio de suministro en el mediano y largo plazo</w:t>
      </w:r>
      <w:r w:rsidR="004111DA">
        <w:rPr>
          <w:rFonts w:ascii="Bookman Old Style" w:hAnsi="Bookman Old Style" w:cs="Arial"/>
          <w:spacing w:val="-5"/>
          <w:lang w:eastAsia="en-US"/>
        </w:rPr>
        <w:t>; iii</w:t>
      </w:r>
      <w:r w:rsidR="00D23CC8">
        <w:rPr>
          <w:rFonts w:ascii="Bookman Old Style" w:hAnsi="Bookman Old Style" w:cs="Arial"/>
          <w:spacing w:val="-5"/>
          <w:lang w:val="es-CO" w:eastAsia="en-US"/>
        </w:rPr>
        <w:t>)</w:t>
      </w:r>
      <w:r w:rsidRPr="00DC07FC">
        <w:rPr>
          <w:rFonts w:ascii="Bookman Old Style" w:hAnsi="Bookman Old Style" w:cs="Arial"/>
          <w:spacing w:val="-5"/>
          <w:lang w:val="es-CO" w:eastAsia="en-US"/>
        </w:rPr>
        <w:t xml:space="preserve"> mejorar trazabilidad del componente de suministro en la tarifa al usuario final y</w:t>
      </w:r>
      <w:r w:rsidR="004111DA">
        <w:rPr>
          <w:rFonts w:ascii="Bookman Old Style" w:hAnsi="Bookman Old Style" w:cs="Arial"/>
          <w:spacing w:val="-5"/>
          <w:lang w:val="es-CO" w:eastAsia="en-US"/>
        </w:rPr>
        <w:t xml:space="preserve">; </w:t>
      </w:r>
      <w:r w:rsidR="00D23CC8">
        <w:rPr>
          <w:rFonts w:ascii="Bookman Old Style" w:hAnsi="Bookman Old Style" w:cs="Arial"/>
          <w:spacing w:val="-5"/>
          <w:lang w:val="es-CO" w:eastAsia="en-US"/>
        </w:rPr>
        <w:t>i</w:t>
      </w:r>
      <w:r w:rsidR="004111DA">
        <w:rPr>
          <w:rFonts w:ascii="Bookman Old Style" w:hAnsi="Bookman Old Style" w:cs="Arial"/>
          <w:spacing w:val="-5"/>
          <w:lang w:val="es-CO" w:eastAsia="en-US"/>
        </w:rPr>
        <w:t>v)</w:t>
      </w:r>
      <w:r w:rsidRPr="00DC07FC">
        <w:rPr>
          <w:rFonts w:ascii="Bookman Old Style" w:hAnsi="Bookman Old Style" w:cs="Arial"/>
          <w:spacing w:val="-5"/>
          <w:lang w:val="es-CO" w:eastAsia="en-US"/>
        </w:rPr>
        <w:t xml:space="preserve"> promover la competencia en esta actividad, facilitando la entrada de nuevos agentes, tanto en la oferta como en la demanda.</w:t>
      </w:r>
    </w:p>
    <w:p w:rsidR="0075605A" w:rsidRPr="00DC07FC" w:rsidRDefault="0075605A" w:rsidP="0075605A">
      <w:pPr>
        <w:ind w:left="0"/>
        <w:contextualSpacing/>
        <w:jc w:val="both"/>
        <w:rPr>
          <w:rFonts w:ascii="Bookman Old Style" w:eastAsiaTheme="minorHAnsi" w:hAnsi="Bookman Old Style" w:cs="Arial"/>
          <w:lang w:val="es-CO" w:eastAsia="en-US"/>
        </w:rPr>
      </w:pPr>
      <w:r w:rsidRPr="00DC07FC">
        <w:rPr>
          <w:rFonts w:ascii="Bookman Old Style" w:eastAsiaTheme="minorHAnsi" w:hAnsi="Bookman Old Style" w:cs="Arial"/>
          <w:lang w:val="es-CO" w:eastAsia="en-US"/>
        </w:rPr>
        <w:t xml:space="preserve">En este documento la CREG presenta una propuesta regulatoria para regular la comercialización mayorista de GLP y la discusión de cada uno de sus componentes, para lo cual se analizan los aspectos relevantes a considerar </w:t>
      </w:r>
      <w:r w:rsidR="00D23CC8">
        <w:rPr>
          <w:rFonts w:ascii="Bookman Old Style" w:eastAsiaTheme="minorHAnsi" w:hAnsi="Bookman Old Style" w:cs="Arial"/>
          <w:lang w:val="es-CO" w:eastAsia="en-US"/>
        </w:rPr>
        <w:t xml:space="preserve">con </w:t>
      </w:r>
      <w:r w:rsidRPr="00DC07FC">
        <w:rPr>
          <w:rFonts w:ascii="Bookman Old Style" w:eastAsiaTheme="minorHAnsi" w:hAnsi="Bookman Old Style" w:cs="Arial"/>
          <w:lang w:val="es-CO" w:eastAsia="en-US"/>
        </w:rPr>
        <w:t xml:space="preserve">a efectos de establecer </w:t>
      </w:r>
      <w:r w:rsidR="00D23CC8">
        <w:rPr>
          <w:rFonts w:ascii="Bookman Old Style" w:eastAsiaTheme="minorHAnsi" w:hAnsi="Bookman Old Style" w:cs="Arial"/>
          <w:lang w:val="es-CO" w:eastAsia="en-US"/>
        </w:rPr>
        <w:t xml:space="preserve">el mecanismo </w:t>
      </w:r>
      <w:r w:rsidRPr="00DC07FC">
        <w:rPr>
          <w:rFonts w:ascii="Bookman Old Style" w:eastAsiaTheme="minorHAnsi" w:hAnsi="Bookman Old Style" w:cs="Arial"/>
          <w:lang w:val="es-CO" w:eastAsia="en-US"/>
        </w:rPr>
        <w:t>de remuneración de la actividad de comercialización mayorista de GLP</w:t>
      </w:r>
      <w:r w:rsidR="00D23CC8">
        <w:rPr>
          <w:rFonts w:ascii="Bookman Old Style" w:eastAsiaTheme="minorHAnsi" w:hAnsi="Bookman Old Style" w:cs="Arial"/>
          <w:lang w:val="es-CO" w:eastAsia="en-US"/>
        </w:rPr>
        <w:t xml:space="preserve">, </w:t>
      </w:r>
      <w:r w:rsidRPr="00DC07FC">
        <w:rPr>
          <w:rFonts w:ascii="Bookman Old Style" w:eastAsiaTheme="minorHAnsi" w:hAnsi="Bookman Old Style" w:cs="Arial"/>
          <w:lang w:val="es-CO" w:eastAsia="en-US"/>
        </w:rPr>
        <w:t>reglamentar los aspectos comerciales del mercado mayorista de gas licuado del petróleo</w:t>
      </w:r>
      <w:r w:rsidR="00D23CC8">
        <w:rPr>
          <w:rFonts w:ascii="Bookman Old Style" w:eastAsiaTheme="minorHAnsi" w:hAnsi="Bookman Old Style" w:cs="Arial"/>
          <w:lang w:val="es-CO" w:eastAsia="en-US"/>
        </w:rPr>
        <w:t xml:space="preserve"> y</w:t>
      </w:r>
      <w:r w:rsidRPr="00DC07FC">
        <w:rPr>
          <w:rFonts w:ascii="Bookman Old Style" w:eastAsiaTheme="minorHAnsi" w:hAnsi="Bookman Old Style" w:cs="Arial"/>
          <w:lang w:val="es-CO" w:eastAsia="en-US"/>
        </w:rPr>
        <w:t xml:space="preserve"> evaluar aspectos adicionales</w:t>
      </w:r>
      <w:r w:rsidR="00D23CC8">
        <w:rPr>
          <w:rFonts w:ascii="Bookman Old Style" w:eastAsiaTheme="minorHAnsi" w:hAnsi="Bookman Old Style" w:cs="Arial"/>
          <w:lang w:val="es-CO" w:eastAsia="en-US"/>
        </w:rPr>
        <w:t>,</w:t>
      </w:r>
      <w:r w:rsidRPr="00DC07FC">
        <w:rPr>
          <w:rFonts w:ascii="Bookman Old Style" w:eastAsiaTheme="minorHAnsi" w:hAnsi="Bookman Old Style" w:cs="Arial"/>
          <w:lang w:val="es-CO" w:eastAsia="en-US"/>
        </w:rPr>
        <w:t xml:space="preserve"> entre otros, </w:t>
      </w:r>
      <w:r w:rsidR="00D23CC8">
        <w:rPr>
          <w:rFonts w:ascii="Bookman Old Style" w:eastAsiaTheme="minorHAnsi" w:hAnsi="Bookman Old Style" w:cs="Arial"/>
          <w:lang w:val="es-CO" w:eastAsia="en-US"/>
        </w:rPr>
        <w:t xml:space="preserve">relacionados </w:t>
      </w:r>
      <w:r w:rsidRPr="00DC07FC">
        <w:rPr>
          <w:rFonts w:ascii="Bookman Old Style" w:eastAsiaTheme="minorHAnsi" w:hAnsi="Bookman Old Style" w:cs="Arial"/>
          <w:lang w:val="es-CO" w:eastAsia="en-US"/>
        </w:rPr>
        <w:t>con los mecanismos para la formación de precios eficientes del GLP y estos como incentivos para garantizar la atención</w:t>
      </w:r>
      <w:r w:rsidR="00371720" w:rsidRPr="00DC07FC">
        <w:rPr>
          <w:rFonts w:ascii="Bookman Old Style" w:eastAsiaTheme="minorHAnsi" w:hAnsi="Bookman Old Style" w:cs="Arial"/>
          <w:lang w:val="es-CO" w:eastAsia="en-US"/>
        </w:rPr>
        <w:t xml:space="preserve"> de la demanda nacional de GLP.</w:t>
      </w:r>
    </w:p>
    <w:p w:rsidR="0075605A" w:rsidRPr="00DC07FC" w:rsidRDefault="0075605A" w:rsidP="0075605A">
      <w:pPr>
        <w:ind w:left="0"/>
        <w:contextualSpacing/>
        <w:jc w:val="both"/>
        <w:rPr>
          <w:rFonts w:ascii="Bookman Old Style" w:eastAsiaTheme="minorHAnsi" w:hAnsi="Bookman Old Style" w:cs="Arial"/>
          <w:lang w:val="es-CO" w:eastAsia="en-US"/>
        </w:rPr>
      </w:pPr>
    </w:p>
    <w:p w:rsidR="0075605A" w:rsidRPr="00DC07FC" w:rsidRDefault="0075605A" w:rsidP="0075605A">
      <w:pPr>
        <w:ind w:left="0"/>
        <w:contextualSpacing/>
        <w:jc w:val="both"/>
        <w:rPr>
          <w:rFonts w:ascii="Bookman Old Style" w:eastAsiaTheme="minorHAnsi" w:hAnsi="Bookman Old Style" w:cs="Arial"/>
          <w:lang w:val="es-CO" w:eastAsia="en-US"/>
        </w:rPr>
      </w:pPr>
      <w:r w:rsidRPr="00DC07FC">
        <w:rPr>
          <w:rFonts w:ascii="Bookman Old Style" w:eastAsiaTheme="minorHAnsi" w:hAnsi="Bookman Old Style" w:cs="Arial"/>
          <w:lang w:val="es-CO" w:eastAsia="en-US"/>
        </w:rPr>
        <w:t xml:space="preserve">Igualmente, </w:t>
      </w:r>
      <w:r w:rsidR="00D23CC8">
        <w:rPr>
          <w:rFonts w:ascii="Bookman Old Style" w:eastAsiaTheme="minorHAnsi" w:hAnsi="Bookman Old Style" w:cs="Arial"/>
          <w:lang w:val="es-CO" w:eastAsia="en-US"/>
        </w:rPr>
        <w:t xml:space="preserve">se busca </w:t>
      </w:r>
      <w:r w:rsidRPr="00DC07FC">
        <w:rPr>
          <w:rFonts w:ascii="Bookman Old Style" w:eastAsiaTheme="minorHAnsi" w:hAnsi="Bookman Old Style" w:cs="Arial"/>
          <w:lang w:val="es-CO" w:eastAsia="en-US"/>
        </w:rPr>
        <w:t xml:space="preserve">que las herramientas que aquí se exponen </w:t>
      </w:r>
      <w:r w:rsidR="00D23CC8">
        <w:rPr>
          <w:rFonts w:ascii="Bookman Old Style" w:eastAsiaTheme="minorHAnsi" w:hAnsi="Bookman Old Style" w:cs="Arial"/>
          <w:lang w:val="es-CO" w:eastAsia="en-US"/>
        </w:rPr>
        <w:t>deben ser</w:t>
      </w:r>
      <w:r w:rsidRPr="00DC07FC">
        <w:rPr>
          <w:rFonts w:ascii="Bookman Old Style" w:eastAsiaTheme="minorHAnsi" w:hAnsi="Bookman Old Style" w:cs="Arial"/>
          <w:lang w:val="es-CO" w:eastAsia="en-US"/>
        </w:rPr>
        <w:t xml:space="preserve"> coherentes y concordantes con la estructura de prestación del servicio de GLP y las demás actividades que de este hacen parte, el marco del esquema de marca en que se sustenta la atención al usuario final, así como de las demás herramientas regulatorias adoptadas a fin de mantener y preservar dicho esquema, entre otras, las previstas en la Resolución CREG 063 de 2016.</w:t>
      </w:r>
    </w:p>
    <w:p w:rsidR="0075605A" w:rsidRPr="00DC07FC" w:rsidRDefault="0075605A" w:rsidP="0075605A">
      <w:pPr>
        <w:ind w:left="0"/>
        <w:contextualSpacing/>
        <w:jc w:val="both"/>
        <w:rPr>
          <w:rFonts w:ascii="Bookman Old Style" w:eastAsiaTheme="minorHAnsi" w:hAnsi="Bookman Old Style" w:cs="Arial"/>
          <w:lang w:val="es-CO" w:eastAsia="en-US"/>
        </w:rPr>
      </w:pPr>
    </w:p>
    <w:p w:rsidR="0075605A" w:rsidRPr="00DC07FC" w:rsidRDefault="0075605A" w:rsidP="0075605A">
      <w:pPr>
        <w:ind w:left="0"/>
        <w:contextualSpacing/>
        <w:jc w:val="both"/>
        <w:rPr>
          <w:rFonts w:ascii="Bookman Old Style" w:eastAsiaTheme="minorHAnsi" w:hAnsi="Bookman Old Style" w:cs="Arial"/>
          <w:lang w:val="es-CO" w:eastAsia="en-US"/>
        </w:rPr>
      </w:pPr>
      <w:r w:rsidRPr="00DC07FC">
        <w:rPr>
          <w:rFonts w:ascii="Bookman Old Style" w:eastAsiaTheme="minorHAnsi" w:hAnsi="Bookman Old Style" w:cs="Arial"/>
          <w:lang w:val="es-CO" w:eastAsia="en-US"/>
        </w:rPr>
        <w:t xml:space="preserve">Lo anterior, teniendo en cuenta los análisis que la Comisión realizó internamente de acuerdo con la situación actual del mercado de GLP, las experiencias y resultados de la aplicación de las resoluciones CREG 066 de 2007 y 053 de 2011, </w:t>
      </w:r>
      <w:r w:rsidRPr="00DC07FC">
        <w:rPr>
          <w:rFonts w:ascii="Bookman Old Style" w:eastAsiaTheme="minorHAnsi" w:hAnsi="Bookman Old Style" w:cs="Arial"/>
          <w:lang w:val="es-CO" w:eastAsia="en-US"/>
        </w:rPr>
        <w:lastRenderedPageBreak/>
        <w:t>los resultados del estudio contratado con Estudios Energéticos, así como los comentarios y propuestas presentadas por los agentes tanto al Documento CREG 078 de 2014, como en su participación en los talleres de socialización de los resultados del estudio de consultoría.</w:t>
      </w:r>
    </w:p>
    <w:p w:rsidR="00546FD1" w:rsidRDefault="00546FD1" w:rsidP="004C1136">
      <w:pPr>
        <w:suppressAutoHyphens/>
        <w:ind w:left="0"/>
        <w:contextualSpacing/>
        <w:rPr>
          <w:rFonts w:ascii="Bookman Old Style" w:hAnsi="Bookman Old Style"/>
          <w:spacing w:val="-3"/>
        </w:rPr>
      </w:pPr>
    </w:p>
    <w:p w:rsidR="00E51D3F" w:rsidRDefault="00E51D3F" w:rsidP="004C1136">
      <w:pPr>
        <w:suppressAutoHyphens/>
        <w:ind w:left="0"/>
        <w:contextualSpacing/>
        <w:rPr>
          <w:rFonts w:ascii="Bookman Old Style" w:hAnsi="Bookman Old Style"/>
          <w:spacing w:val="-3"/>
        </w:rPr>
      </w:pPr>
    </w:p>
    <w:p w:rsidR="00932212" w:rsidRPr="00DC07FC" w:rsidRDefault="00932212" w:rsidP="004C1136">
      <w:pPr>
        <w:suppressAutoHyphens/>
        <w:contextualSpacing/>
        <w:jc w:val="center"/>
        <w:rPr>
          <w:rFonts w:ascii="Bookman Old Style" w:hAnsi="Bookman Old Style"/>
          <w:spacing w:val="-3"/>
        </w:rPr>
      </w:pPr>
      <w:r w:rsidRPr="00DC07FC">
        <w:rPr>
          <w:rFonts w:ascii="Bookman Old Style" w:hAnsi="Bookman Old Style"/>
          <w:b/>
          <w:spacing w:val="-3"/>
        </w:rPr>
        <w:t>R E S U E L V E:</w:t>
      </w:r>
    </w:p>
    <w:p w:rsidR="00932212" w:rsidRPr="00DC07FC" w:rsidRDefault="00932212" w:rsidP="004C1136">
      <w:pPr>
        <w:ind w:left="0"/>
        <w:contextualSpacing/>
        <w:rPr>
          <w:rFonts w:ascii="Bookman Old Style" w:hAnsi="Bookman Old Style"/>
        </w:rPr>
      </w:pPr>
    </w:p>
    <w:p w:rsidR="00546FD1" w:rsidRPr="00DC07FC" w:rsidRDefault="00546FD1" w:rsidP="004C1136">
      <w:pPr>
        <w:ind w:left="0"/>
        <w:contextualSpacing/>
        <w:rPr>
          <w:rFonts w:ascii="Bookman Old Style" w:hAnsi="Bookman Old Style"/>
        </w:rPr>
      </w:pPr>
    </w:p>
    <w:p w:rsidR="00546FD1" w:rsidRPr="00DC07FC" w:rsidRDefault="007869E4" w:rsidP="004C1136">
      <w:pPr>
        <w:pStyle w:val="Ttulo1"/>
        <w:contextualSpacing/>
        <w:rPr>
          <w:szCs w:val="24"/>
        </w:rPr>
      </w:pPr>
      <w:r w:rsidRPr="00DC07FC">
        <w:rPr>
          <w:szCs w:val="24"/>
        </w:rPr>
        <w:t>TÍTULO I</w:t>
      </w:r>
    </w:p>
    <w:p w:rsidR="00546FD1" w:rsidRPr="00DC07FC" w:rsidRDefault="007869E4" w:rsidP="004C1136">
      <w:pPr>
        <w:pStyle w:val="Ttulo1"/>
        <w:contextualSpacing/>
        <w:rPr>
          <w:szCs w:val="24"/>
        </w:rPr>
      </w:pPr>
      <w:r w:rsidRPr="00DC07FC">
        <w:rPr>
          <w:szCs w:val="24"/>
        </w:rPr>
        <w:t>DISPOSICIONES GENERALES</w:t>
      </w:r>
    </w:p>
    <w:p w:rsidR="00546FD1" w:rsidRPr="00DC07FC" w:rsidRDefault="00546FD1" w:rsidP="004C1136">
      <w:pPr>
        <w:ind w:left="0"/>
        <w:contextualSpacing/>
        <w:jc w:val="both"/>
        <w:rPr>
          <w:rFonts w:ascii="Bookman Old Style" w:hAnsi="Bookman Old Style" w:cs="Arial"/>
        </w:rPr>
      </w:pPr>
    </w:p>
    <w:p w:rsidR="00552922" w:rsidRPr="00DC07FC" w:rsidRDefault="00ED6D6E" w:rsidP="00D444D6">
      <w:pPr>
        <w:pStyle w:val="ARTICULOS"/>
        <w:numPr>
          <w:ilvl w:val="0"/>
          <w:numId w:val="2"/>
        </w:numPr>
        <w:tabs>
          <w:tab w:val="left" w:pos="1701"/>
        </w:tabs>
        <w:ind w:left="0" w:firstLine="0"/>
        <w:contextualSpacing/>
        <w:outlineLvl w:val="2"/>
        <w:rPr>
          <w:rFonts w:cs="Arial"/>
          <w:color w:val="000000" w:themeColor="text1"/>
        </w:rPr>
      </w:pPr>
      <w:r w:rsidRPr="00DC07FC">
        <w:rPr>
          <w:rFonts w:cs="Arial"/>
          <w:b/>
          <w:color w:val="000000" w:themeColor="text1"/>
        </w:rPr>
        <w:t>OBJETO</w:t>
      </w:r>
      <w:r w:rsidR="00552922" w:rsidRPr="00DC07FC">
        <w:rPr>
          <w:rFonts w:cs="Arial"/>
          <w:b/>
          <w:color w:val="000000" w:themeColor="text1"/>
          <w:lang w:val="es-CO"/>
        </w:rPr>
        <w:t>.</w:t>
      </w:r>
      <w:r w:rsidRPr="00DC07FC">
        <w:rPr>
          <w:rFonts w:cs="Arial"/>
          <w:b/>
          <w:color w:val="000000" w:themeColor="text1"/>
        </w:rPr>
        <w:t xml:space="preserve"> </w:t>
      </w:r>
      <w:r w:rsidR="00371720" w:rsidRPr="00DC07FC">
        <w:rPr>
          <w:rFonts w:cs="Arial"/>
          <w:color w:val="000000" w:themeColor="text1"/>
          <w:lang w:val="es-CO"/>
        </w:rPr>
        <w:t xml:space="preserve">Regular </w:t>
      </w:r>
      <w:r w:rsidR="00546FD1" w:rsidRPr="00DC07FC">
        <w:rPr>
          <w:rFonts w:cs="Arial"/>
          <w:color w:val="000000" w:themeColor="text1"/>
        </w:rPr>
        <w:t>aspectos comerciales del mercado mayorista de gas licuado de petróleo</w:t>
      </w:r>
      <w:r w:rsidR="0022220B" w:rsidRPr="00DC07FC">
        <w:rPr>
          <w:rFonts w:cs="Arial"/>
          <w:color w:val="000000" w:themeColor="text1"/>
        </w:rPr>
        <w:t>, GLP</w:t>
      </w:r>
      <w:r w:rsidR="000429F5" w:rsidRPr="00DC07FC">
        <w:rPr>
          <w:rFonts w:cs="Arial"/>
          <w:color w:val="000000" w:themeColor="text1"/>
        </w:rPr>
        <w:t>, que es utilizado como combustible</w:t>
      </w:r>
      <w:r w:rsidR="00580EB9" w:rsidRPr="00DC07FC">
        <w:rPr>
          <w:rFonts w:cs="Arial"/>
          <w:color w:val="000000" w:themeColor="text1"/>
        </w:rPr>
        <w:t>.</w:t>
      </w:r>
    </w:p>
    <w:p w:rsidR="00552922" w:rsidRPr="00DC07FC" w:rsidRDefault="00552922" w:rsidP="00DA5BF2">
      <w:pPr>
        <w:pStyle w:val="ARTICULOS"/>
      </w:pPr>
    </w:p>
    <w:p w:rsidR="00546FD1" w:rsidRPr="00DC07FC" w:rsidRDefault="00552922" w:rsidP="00D444D6">
      <w:pPr>
        <w:pStyle w:val="ARTICULOS"/>
        <w:numPr>
          <w:ilvl w:val="0"/>
          <w:numId w:val="2"/>
        </w:numPr>
        <w:tabs>
          <w:tab w:val="left" w:pos="1701"/>
        </w:tabs>
        <w:ind w:left="0" w:firstLine="0"/>
        <w:contextualSpacing/>
        <w:outlineLvl w:val="2"/>
        <w:rPr>
          <w:rFonts w:cs="Arial"/>
          <w:color w:val="000000" w:themeColor="text1"/>
        </w:rPr>
      </w:pPr>
      <w:r w:rsidRPr="00DC07FC">
        <w:rPr>
          <w:rFonts w:cs="Arial"/>
          <w:b/>
          <w:color w:val="000000" w:themeColor="text1"/>
          <w:lang w:val="es-CO"/>
        </w:rPr>
        <w:t xml:space="preserve">FINALIDADES Y OBJETIVOS. </w:t>
      </w:r>
      <w:r w:rsidR="00B90758" w:rsidRPr="00DC07FC">
        <w:rPr>
          <w:rFonts w:cs="Arial"/>
          <w:color w:val="000000" w:themeColor="text1"/>
        </w:rPr>
        <w:t>Las empresas sujetas al presente reglamento tendrán en cuenta</w:t>
      </w:r>
      <w:r w:rsidR="000B50E3" w:rsidRPr="00DC07FC">
        <w:rPr>
          <w:rFonts w:cs="Arial"/>
          <w:color w:val="000000" w:themeColor="text1"/>
          <w:lang w:val="es-CO"/>
        </w:rPr>
        <w:t>,</w:t>
      </w:r>
      <w:r w:rsidR="00B90758" w:rsidRPr="00DC07FC">
        <w:rPr>
          <w:rFonts w:cs="Arial"/>
          <w:color w:val="000000" w:themeColor="text1"/>
        </w:rPr>
        <w:t xml:space="preserve"> al momento de su aplicación e interpretación</w:t>
      </w:r>
      <w:r w:rsidR="00B22F27" w:rsidRPr="00DC07FC">
        <w:rPr>
          <w:rFonts w:cs="Arial"/>
          <w:color w:val="000000" w:themeColor="text1"/>
        </w:rPr>
        <w:t>,</w:t>
      </w:r>
      <w:r w:rsidR="00B90758" w:rsidRPr="00DC07FC">
        <w:rPr>
          <w:rFonts w:cs="Arial"/>
          <w:color w:val="000000" w:themeColor="text1"/>
        </w:rPr>
        <w:t xml:space="preserve"> que los objetivos del mismo, con relación a la compra y venta de GLP al por mayor</w:t>
      </w:r>
      <w:r w:rsidR="00305AD4" w:rsidRPr="00DC07FC">
        <w:rPr>
          <w:rFonts w:cs="Arial"/>
          <w:color w:val="000000" w:themeColor="text1"/>
          <w:lang w:val="es-CO"/>
        </w:rPr>
        <w:t xml:space="preserve"> y a granel</w:t>
      </w:r>
      <w:r w:rsidR="00B90758" w:rsidRPr="00DC07FC">
        <w:rPr>
          <w:rFonts w:cs="Arial"/>
          <w:color w:val="000000" w:themeColor="text1"/>
        </w:rPr>
        <w:t>, son:</w:t>
      </w:r>
    </w:p>
    <w:p w:rsidR="00D121CA" w:rsidRPr="00DC07FC" w:rsidRDefault="00D121CA" w:rsidP="00DC07FC">
      <w:pPr>
        <w:ind w:left="0"/>
        <w:rPr>
          <w:rFonts w:ascii="Bookman Old Style" w:hAnsi="Bookman Old Style" w:cs="Arial"/>
          <w:color w:val="000000" w:themeColor="text1"/>
        </w:rPr>
      </w:pPr>
    </w:p>
    <w:p w:rsidR="00D121CA" w:rsidRDefault="00DC07FC" w:rsidP="00D121CA">
      <w:pPr>
        <w:pStyle w:val="ARTICULOS"/>
        <w:tabs>
          <w:tab w:val="left" w:pos="1701"/>
        </w:tabs>
        <w:contextualSpacing/>
        <w:outlineLvl w:val="2"/>
        <w:rPr>
          <w:rFonts w:cs="Arial"/>
          <w:color w:val="000000" w:themeColor="text1"/>
          <w:lang w:val="es-CO"/>
        </w:rPr>
      </w:pPr>
      <w:r>
        <w:rPr>
          <w:rFonts w:cs="Arial"/>
          <w:b/>
          <w:color w:val="000000" w:themeColor="text1"/>
          <w:lang w:val="es-CO"/>
        </w:rPr>
        <w:t>a. Promover</w:t>
      </w:r>
      <w:r w:rsidR="00D121CA" w:rsidRPr="00DC07FC">
        <w:rPr>
          <w:rFonts w:cs="Arial"/>
          <w:b/>
          <w:color w:val="000000" w:themeColor="text1"/>
          <w:lang w:val="es-CO"/>
        </w:rPr>
        <w:t xml:space="preserve"> la competencia</w:t>
      </w:r>
      <w:r>
        <w:rPr>
          <w:rFonts w:cs="Arial"/>
          <w:b/>
          <w:color w:val="000000" w:themeColor="text1"/>
          <w:lang w:val="es-CO"/>
        </w:rPr>
        <w:t xml:space="preserve"> en mercado mayorista</w:t>
      </w:r>
      <w:r w:rsidR="008C15FF">
        <w:rPr>
          <w:rFonts w:cs="Arial"/>
          <w:b/>
          <w:color w:val="000000" w:themeColor="text1"/>
          <w:lang w:val="es-CO"/>
        </w:rPr>
        <w:t xml:space="preserve">, </w:t>
      </w:r>
      <w:r w:rsidR="00D121CA" w:rsidRPr="00DC07FC">
        <w:rPr>
          <w:rFonts w:cs="Arial"/>
          <w:color w:val="000000" w:themeColor="text1"/>
          <w:lang w:val="es-CO"/>
        </w:rPr>
        <w:t>la entrada de nuevos agentes y limitar el uso de la posición dominante de cualquier agente, mediante mecanismos de acceso que permitan que la asignación del producto sea en condiciones justas, transparentes y eficientes, en igualdad de oportunidades de compra para todos los interesados.</w:t>
      </w:r>
    </w:p>
    <w:p w:rsidR="008C15FF" w:rsidRPr="00DC07FC" w:rsidRDefault="008C15FF" w:rsidP="0081321F">
      <w:pPr>
        <w:pStyle w:val="ARTICULOS"/>
      </w:pPr>
    </w:p>
    <w:p w:rsidR="00D121CA" w:rsidRPr="00054627" w:rsidRDefault="008C15FF" w:rsidP="00D121CA">
      <w:pPr>
        <w:pStyle w:val="ARTICULOS"/>
        <w:tabs>
          <w:tab w:val="left" w:pos="1701"/>
        </w:tabs>
        <w:contextualSpacing/>
        <w:outlineLvl w:val="2"/>
        <w:rPr>
          <w:rFonts w:cs="Arial"/>
          <w:color w:val="000000" w:themeColor="text1"/>
          <w:lang w:val="es-CO"/>
        </w:rPr>
      </w:pPr>
      <w:r>
        <w:rPr>
          <w:rFonts w:cs="Arial"/>
          <w:b/>
          <w:color w:val="000000" w:themeColor="text1"/>
          <w:lang w:val="es-CO"/>
        </w:rPr>
        <w:t>b</w:t>
      </w:r>
      <w:r w:rsidR="00D121CA" w:rsidRPr="00DC07FC">
        <w:rPr>
          <w:rFonts w:cs="Arial"/>
          <w:b/>
          <w:color w:val="000000" w:themeColor="text1"/>
          <w:lang w:val="es-CO"/>
        </w:rPr>
        <w:t xml:space="preserve">. </w:t>
      </w:r>
      <w:r w:rsidR="008B4016">
        <w:rPr>
          <w:rFonts w:cs="Arial"/>
          <w:b/>
          <w:color w:val="000000" w:themeColor="text1"/>
          <w:lang w:val="es-CO"/>
        </w:rPr>
        <w:t>Mantener la transparencia</w:t>
      </w:r>
      <w:r w:rsidR="00D121CA" w:rsidRPr="00DC07FC">
        <w:rPr>
          <w:rFonts w:cs="Arial"/>
          <w:b/>
          <w:color w:val="000000" w:themeColor="text1"/>
        </w:rPr>
        <w:t xml:space="preserve"> en el proceso de formación de precios</w:t>
      </w:r>
      <w:r w:rsidR="008B4016">
        <w:rPr>
          <w:rFonts w:cs="Arial"/>
          <w:b/>
          <w:color w:val="000000" w:themeColor="text1"/>
          <w:lang w:val="es-CO"/>
        </w:rPr>
        <w:t xml:space="preserve"> de suministro, </w:t>
      </w:r>
      <w:r w:rsidR="00054627">
        <w:rPr>
          <w:rFonts w:cs="Arial"/>
          <w:color w:val="000000" w:themeColor="text1"/>
          <w:lang w:val="es-CO"/>
        </w:rPr>
        <w:t xml:space="preserve">al implementar los </w:t>
      </w:r>
      <w:r w:rsidR="009F7F28">
        <w:rPr>
          <w:rFonts w:cs="Arial"/>
          <w:color w:val="000000" w:themeColor="text1"/>
          <w:lang w:val="es-CO"/>
        </w:rPr>
        <w:t>mecanismos de comercialización que se definen en este reglamento</w:t>
      </w:r>
      <w:r w:rsidR="00054627">
        <w:rPr>
          <w:rFonts w:cs="Arial"/>
          <w:color w:val="000000" w:themeColor="text1"/>
          <w:lang w:val="es-CO"/>
        </w:rPr>
        <w:t>. L</w:t>
      </w:r>
      <w:r w:rsidR="00D121CA" w:rsidRPr="00DC07FC">
        <w:rPr>
          <w:rFonts w:cs="Arial"/>
          <w:color w:val="000000" w:themeColor="text1"/>
        </w:rPr>
        <w:t xml:space="preserve">a formación de los precios </w:t>
      </w:r>
      <w:r w:rsidR="009F7F28">
        <w:rPr>
          <w:rFonts w:cs="Arial"/>
          <w:color w:val="000000" w:themeColor="text1"/>
          <w:lang w:val="es-CO"/>
        </w:rPr>
        <w:t xml:space="preserve">es </w:t>
      </w:r>
      <w:r w:rsidR="00D121CA" w:rsidRPr="00DC07FC">
        <w:rPr>
          <w:rFonts w:cs="Arial"/>
          <w:color w:val="000000" w:themeColor="text1"/>
        </w:rPr>
        <w:t xml:space="preserve">explícita y pública para todas las partes </w:t>
      </w:r>
      <w:r w:rsidR="00D121CA" w:rsidRPr="00DC07FC">
        <w:rPr>
          <w:rFonts w:cs="Arial"/>
          <w:color w:val="000000" w:themeColor="text1"/>
          <w:lang w:val="es-CO"/>
        </w:rPr>
        <w:t>que particip</w:t>
      </w:r>
      <w:r w:rsidR="009F7F28">
        <w:rPr>
          <w:rFonts w:cs="Arial"/>
          <w:color w:val="000000" w:themeColor="text1"/>
          <w:lang w:val="es-CO"/>
        </w:rPr>
        <w:t>a</w:t>
      </w:r>
      <w:r w:rsidR="00D121CA" w:rsidRPr="00DC07FC">
        <w:rPr>
          <w:rFonts w:cs="Arial"/>
          <w:color w:val="000000" w:themeColor="text1"/>
          <w:lang w:val="es-CO"/>
        </w:rPr>
        <w:t>n en el mercado</w:t>
      </w:r>
      <w:r w:rsidR="00054627">
        <w:rPr>
          <w:rFonts w:cs="Arial"/>
          <w:color w:val="000000" w:themeColor="text1"/>
          <w:lang w:val="es-CO"/>
        </w:rPr>
        <w:t xml:space="preserve">, se apoya en </w:t>
      </w:r>
      <w:r w:rsidR="00D121CA" w:rsidRPr="00DC07FC">
        <w:rPr>
          <w:rFonts w:cs="Arial"/>
          <w:color w:val="000000" w:themeColor="text1"/>
          <w:lang w:val="es-CO"/>
        </w:rPr>
        <w:t xml:space="preserve">un </w:t>
      </w:r>
      <w:r w:rsidR="00D121CA" w:rsidRPr="00DC07FC">
        <w:rPr>
          <w:rFonts w:cs="Arial"/>
          <w:color w:val="000000" w:themeColor="text1"/>
        </w:rPr>
        <w:t xml:space="preserve">sistema de información </w:t>
      </w:r>
      <w:r w:rsidR="009F7F28">
        <w:rPr>
          <w:rFonts w:cs="Arial"/>
          <w:color w:val="000000" w:themeColor="text1"/>
          <w:lang w:val="es-CO"/>
        </w:rPr>
        <w:t>integrada del</w:t>
      </w:r>
      <w:r w:rsidR="00D121CA" w:rsidRPr="00DC07FC">
        <w:rPr>
          <w:rFonts w:cs="Arial"/>
          <w:color w:val="000000" w:themeColor="text1"/>
        </w:rPr>
        <w:t xml:space="preserve"> mercado mayorista de GLP</w:t>
      </w:r>
      <w:r w:rsidR="00054627">
        <w:rPr>
          <w:rFonts w:cs="Arial"/>
          <w:color w:val="000000" w:themeColor="text1"/>
          <w:lang w:val="es-CO"/>
        </w:rPr>
        <w:t xml:space="preserve"> y facilita la t</w:t>
      </w:r>
      <w:r w:rsidR="00054627" w:rsidRPr="00054627">
        <w:rPr>
          <w:rFonts w:cs="Arial"/>
          <w:color w:val="000000" w:themeColor="text1"/>
          <w:lang w:val="es-CO"/>
        </w:rPr>
        <w:t xml:space="preserve">razabilidad de la componente G en el costo unitario </w:t>
      </w:r>
      <w:r w:rsidR="00054627">
        <w:rPr>
          <w:rFonts w:cs="Arial"/>
          <w:color w:val="000000" w:themeColor="text1"/>
          <w:lang w:val="es-CO"/>
        </w:rPr>
        <w:t xml:space="preserve">de </w:t>
      </w:r>
      <w:r w:rsidR="00054627" w:rsidRPr="00054627">
        <w:rPr>
          <w:rFonts w:cs="Arial"/>
          <w:color w:val="000000" w:themeColor="text1"/>
          <w:lang w:val="es-CO"/>
        </w:rPr>
        <w:t>prestación del servicio (CU).</w:t>
      </w:r>
    </w:p>
    <w:p w:rsidR="00E37038" w:rsidRPr="00054627" w:rsidRDefault="00E37038" w:rsidP="0081321F">
      <w:pPr>
        <w:pStyle w:val="ARTICULOS"/>
        <w:rPr>
          <w:lang w:val="es-CO"/>
        </w:rPr>
      </w:pPr>
    </w:p>
    <w:p w:rsidR="00E37038" w:rsidRPr="00DC07FC" w:rsidRDefault="008B4016" w:rsidP="00E37038">
      <w:pPr>
        <w:pStyle w:val="ARTICULOS"/>
        <w:tabs>
          <w:tab w:val="left" w:pos="1701"/>
        </w:tabs>
        <w:contextualSpacing/>
        <w:outlineLvl w:val="2"/>
        <w:rPr>
          <w:rFonts w:cs="Arial"/>
          <w:color w:val="000000" w:themeColor="text1"/>
          <w:lang w:val="es-CO"/>
        </w:rPr>
      </w:pPr>
      <w:r>
        <w:rPr>
          <w:rFonts w:cs="Arial"/>
          <w:b/>
          <w:color w:val="000000" w:themeColor="text1"/>
          <w:lang w:val="es-CO"/>
        </w:rPr>
        <w:t>c</w:t>
      </w:r>
      <w:r w:rsidR="00E37038" w:rsidRPr="00DC07FC">
        <w:rPr>
          <w:rFonts w:cs="Arial"/>
          <w:b/>
          <w:color w:val="000000" w:themeColor="text1"/>
          <w:lang w:val="es-CO"/>
        </w:rPr>
        <w:t xml:space="preserve">. </w:t>
      </w:r>
      <w:r>
        <w:rPr>
          <w:rFonts w:cs="Arial"/>
          <w:b/>
          <w:color w:val="000000" w:themeColor="text1"/>
          <w:lang w:val="es-CO"/>
        </w:rPr>
        <w:t xml:space="preserve">Mitigar ineficiencias </w:t>
      </w:r>
      <w:r w:rsidR="00E37038" w:rsidRPr="00DC07FC">
        <w:rPr>
          <w:rFonts w:cs="Arial"/>
          <w:b/>
          <w:color w:val="000000" w:themeColor="text1"/>
          <w:lang w:val="es-CO"/>
        </w:rPr>
        <w:t>en la asignación de cantidades de GLP</w:t>
      </w:r>
      <w:r>
        <w:rPr>
          <w:rFonts w:cs="Arial"/>
          <w:b/>
          <w:color w:val="000000" w:themeColor="text1"/>
          <w:lang w:val="es-CO"/>
        </w:rPr>
        <w:t xml:space="preserve">, </w:t>
      </w:r>
      <w:r w:rsidRPr="008B4016">
        <w:rPr>
          <w:rFonts w:cs="Arial"/>
          <w:color w:val="000000" w:themeColor="text1"/>
          <w:lang w:val="es-CO"/>
        </w:rPr>
        <w:t>mediante</w:t>
      </w:r>
      <w:r>
        <w:rPr>
          <w:rFonts w:cs="Arial"/>
          <w:color w:val="000000" w:themeColor="text1"/>
          <w:lang w:val="es-CO"/>
        </w:rPr>
        <w:t xml:space="preserve"> </w:t>
      </w:r>
      <w:r w:rsidR="00E37038" w:rsidRPr="00DC07FC">
        <w:rPr>
          <w:rFonts w:cs="Arial"/>
          <w:color w:val="000000" w:themeColor="text1"/>
          <w:lang w:val="es-CO"/>
        </w:rPr>
        <w:t xml:space="preserve">mecanismos </w:t>
      </w:r>
      <w:r>
        <w:rPr>
          <w:rFonts w:cs="Arial"/>
          <w:color w:val="000000" w:themeColor="text1"/>
          <w:lang w:val="es-CO"/>
        </w:rPr>
        <w:t xml:space="preserve">de comercialización </w:t>
      </w:r>
      <w:r w:rsidR="00E37038" w:rsidRPr="00DC07FC">
        <w:rPr>
          <w:rFonts w:cs="Arial"/>
          <w:color w:val="000000" w:themeColor="text1"/>
          <w:lang w:val="es-CO"/>
        </w:rPr>
        <w:t xml:space="preserve">que </w:t>
      </w:r>
      <w:r>
        <w:rPr>
          <w:rFonts w:cs="Arial"/>
          <w:color w:val="000000" w:themeColor="text1"/>
          <w:lang w:val="es-CO"/>
        </w:rPr>
        <w:t>le permitan a la demanda incorporar en sus decisiones de compra la ubicación geográfica de las fuentes de suministro de GLP</w:t>
      </w:r>
      <w:r w:rsidR="00E37038" w:rsidRPr="00DC07FC">
        <w:rPr>
          <w:rFonts w:cs="Arial"/>
          <w:color w:val="000000" w:themeColor="text1"/>
          <w:lang w:val="es-CO"/>
        </w:rPr>
        <w:t>.</w:t>
      </w:r>
    </w:p>
    <w:p w:rsidR="00E37038" w:rsidRPr="00DC07FC" w:rsidRDefault="00E37038" w:rsidP="0081321F">
      <w:pPr>
        <w:pStyle w:val="ARTICULOS"/>
      </w:pPr>
    </w:p>
    <w:p w:rsidR="00E37038" w:rsidRPr="00DC07FC" w:rsidRDefault="00252D23" w:rsidP="00D121CA">
      <w:pPr>
        <w:pStyle w:val="ARTICULOS"/>
        <w:tabs>
          <w:tab w:val="left" w:pos="1701"/>
        </w:tabs>
        <w:contextualSpacing/>
        <w:outlineLvl w:val="2"/>
        <w:rPr>
          <w:rFonts w:cs="Arial"/>
          <w:color w:val="000000" w:themeColor="text1"/>
          <w:lang w:val="es-CO"/>
        </w:rPr>
      </w:pPr>
      <w:r>
        <w:rPr>
          <w:rFonts w:cs="Arial"/>
          <w:b/>
          <w:color w:val="000000" w:themeColor="text1"/>
          <w:lang w:val="es-CO"/>
        </w:rPr>
        <w:t>d</w:t>
      </w:r>
      <w:r w:rsidR="00E37038" w:rsidRPr="008B4016">
        <w:rPr>
          <w:rFonts w:cs="Arial"/>
          <w:b/>
          <w:color w:val="000000" w:themeColor="text1"/>
          <w:lang w:val="es-CO"/>
        </w:rPr>
        <w:t xml:space="preserve">. </w:t>
      </w:r>
      <w:r w:rsidR="008B4016">
        <w:rPr>
          <w:rFonts w:cs="Arial"/>
          <w:b/>
          <w:color w:val="000000" w:themeColor="text1"/>
          <w:lang w:val="es-CO"/>
        </w:rPr>
        <w:t>Facilitar y mejorar la toma de decisiones</w:t>
      </w:r>
      <w:r>
        <w:rPr>
          <w:rFonts w:cs="Arial"/>
          <w:b/>
          <w:color w:val="000000" w:themeColor="text1"/>
          <w:lang w:val="es-CO"/>
        </w:rPr>
        <w:t>,</w:t>
      </w:r>
      <w:r w:rsidR="008B4016">
        <w:rPr>
          <w:rFonts w:cs="Arial"/>
          <w:b/>
          <w:color w:val="000000" w:themeColor="text1"/>
          <w:lang w:val="es-CO"/>
        </w:rPr>
        <w:t xml:space="preserve"> </w:t>
      </w:r>
      <w:r>
        <w:rPr>
          <w:rFonts w:cs="Arial"/>
          <w:b/>
          <w:color w:val="000000" w:themeColor="text1"/>
          <w:lang w:val="es-CO"/>
        </w:rPr>
        <w:t>tanto de los</w:t>
      </w:r>
      <w:r w:rsidR="008B4016">
        <w:rPr>
          <w:rFonts w:cs="Arial"/>
          <w:b/>
          <w:color w:val="000000" w:themeColor="text1"/>
          <w:lang w:val="es-CO"/>
        </w:rPr>
        <w:t xml:space="preserve"> agentes</w:t>
      </w:r>
      <w:r>
        <w:rPr>
          <w:rFonts w:cs="Arial"/>
          <w:b/>
          <w:color w:val="000000" w:themeColor="text1"/>
          <w:lang w:val="es-CO"/>
        </w:rPr>
        <w:t xml:space="preserve"> participantes en el mercado mayorista de GLP, como de los entes encargados de la política pública, la planeación, la regulación</w:t>
      </w:r>
      <w:r w:rsidR="008B4016">
        <w:rPr>
          <w:rFonts w:cs="Arial"/>
          <w:b/>
          <w:color w:val="000000" w:themeColor="text1"/>
          <w:lang w:val="es-CO"/>
        </w:rPr>
        <w:t xml:space="preserve"> y </w:t>
      </w:r>
      <w:r>
        <w:rPr>
          <w:rFonts w:cs="Arial"/>
          <w:b/>
          <w:color w:val="000000" w:themeColor="text1"/>
          <w:lang w:val="es-CO"/>
        </w:rPr>
        <w:t>el seguimiento y control</w:t>
      </w:r>
      <w:r w:rsidR="008B4016">
        <w:rPr>
          <w:rFonts w:cs="Arial"/>
          <w:b/>
          <w:color w:val="000000" w:themeColor="text1"/>
          <w:lang w:val="es-CO"/>
        </w:rPr>
        <w:t>,</w:t>
      </w:r>
      <w:r w:rsidR="008B4016" w:rsidRPr="00252D23">
        <w:rPr>
          <w:rFonts w:cs="Arial"/>
          <w:color w:val="000000" w:themeColor="text1"/>
          <w:lang w:val="es-CO"/>
        </w:rPr>
        <w:t xml:space="preserve"> </w:t>
      </w:r>
      <w:r w:rsidRPr="00252D23">
        <w:rPr>
          <w:rFonts w:cs="Arial"/>
          <w:color w:val="000000" w:themeColor="text1"/>
          <w:lang w:val="es-CO"/>
        </w:rPr>
        <w:t>mediante la implementación de herramientas t</w:t>
      </w:r>
      <w:r>
        <w:rPr>
          <w:rFonts w:cs="Arial"/>
          <w:color w:val="000000" w:themeColor="text1"/>
          <w:lang w:val="es-CO"/>
        </w:rPr>
        <w:t>ecnoló</w:t>
      </w:r>
      <w:r w:rsidRPr="00252D23">
        <w:rPr>
          <w:rFonts w:cs="Arial"/>
          <w:color w:val="000000" w:themeColor="text1"/>
          <w:lang w:val="es-CO"/>
        </w:rPr>
        <w:t>g</w:t>
      </w:r>
      <w:r>
        <w:rPr>
          <w:rFonts w:cs="Arial"/>
          <w:color w:val="000000" w:themeColor="text1"/>
          <w:lang w:val="es-CO"/>
        </w:rPr>
        <w:t>i</w:t>
      </w:r>
      <w:r w:rsidRPr="00252D23">
        <w:rPr>
          <w:rFonts w:cs="Arial"/>
          <w:color w:val="000000" w:themeColor="text1"/>
          <w:lang w:val="es-CO"/>
        </w:rPr>
        <w:t xml:space="preserve">cas </w:t>
      </w:r>
      <w:r>
        <w:rPr>
          <w:rFonts w:cs="Arial"/>
          <w:color w:val="000000" w:themeColor="text1"/>
          <w:lang w:val="es-CO"/>
        </w:rPr>
        <w:t xml:space="preserve">que integren la </w:t>
      </w:r>
      <w:r w:rsidR="00E37038" w:rsidRPr="008B4016">
        <w:rPr>
          <w:rFonts w:cs="Arial"/>
          <w:color w:val="000000" w:themeColor="text1"/>
          <w:lang w:val="es-CO"/>
        </w:rPr>
        <w:t>información transaccional y operativa del mercado mayorista de GLP</w:t>
      </w:r>
      <w:r>
        <w:rPr>
          <w:rFonts w:cs="Arial"/>
          <w:color w:val="000000" w:themeColor="text1"/>
          <w:lang w:val="es-CO"/>
        </w:rPr>
        <w:t>.</w:t>
      </w:r>
    </w:p>
    <w:p w:rsidR="00E37038" w:rsidRPr="00DC07FC" w:rsidRDefault="00E37038" w:rsidP="0081321F">
      <w:pPr>
        <w:pStyle w:val="ARTICULOS"/>
      </w:pPr>
    </w:p>
    <w:p w:rsidR="00E37038" w:rsidRPr="00DC07FC" w:rsidRDefault="00E52BD4" w:rsidP="00D121CA">
      <w:pPr>
        <w:pStyle w:val="ARTICULOS"/>
        <w:tabs>
          <w:tab w:val="left" w:pos="1701"/>
        </w:tabs>
        <w:contextualSpacing/>
        <w:outlineLvl w:val="2"/>
        <w:rPr>
          <w:rFonts w:cs="Arial"/>
          <w:color w:val="000000" w:themeColor="text1"/>
          <w:lang w:val="es-CO"/>
        </w:rPr>
      </w:pPr>
      <w:r>
        <w:rPr>
          <w:rFonts w:cs="Arial"/>
          <w:b/>
          <w:color w:val="000000" w:themeColor="text1"/>
          <w:lang w:val="es-CO"/>
        </w:rPr>
        <w:t>e</w:t>
      </w:r>
      <w:r w:rsidR="00E37038" w:rsidRPr="00DC07FC">
        <w:rPr>
          <w:rFonts w:cs="Arial"/>
          <w:b/>
          <w:color w:val="000000" w:themeColor="text1"/>
          <w:lang w:val="es-CO"/>
        </w:rPr>
        <w:t xml:space="preserve">. Orientar </w:t>
      </w:r>
      <w:r w:rsidR="00F40C06">
        <w:rPr>
          <w:rFonts w:cs="Arial"/>
          <w:b/>
          <w:color w:val="000000" w:themeColor="text1"/>
          <w:lang w:val="es-CO"/>
        </w:rPr>
        <w:t>el comportamiento</w:t>
      </w:r>
      <w:r w:rsidR="00E37038" w:rsidRPr="00DC07FC">
        <w:rPr>
          <w:rFonts w:cs="Arial"/>
          <w:b/>
          <w:color w:val="000000" w:themeColor="text1"/>
          <w:lang w:val="es-CO"/>
        </w:rPr>
        <w:t xml:space="preserve"> de los agentes, dentro de los fines perseguidos </w:t>
      </w:r>
      <w:r w:rsidR="00973F6E" w:rsidRPr="00DC07FC">
        <w:rPr>
          <w:rFonts w:cs="Arial"/>
          <w:b/>
          <w:color w:val="000000" w:themeColor="text1"/>
          <w:lang w:val="es-CO"/>
        </w:rPr>
        <w:t>por la Ley 142 de 1994</w:t>
      </w:r>
      <w:r w:rsidR="00F40C06">
        <w:rPr>
          <w:rFonts w:cs="Arial"/>
          <w:b/>
          <w:color w:val="000000" w:themeColor="text1"/>
          <w:lang w:val="es-CO"/>
        </w:rPr>
        <w:t>,</w:t>
      </w:r>
      <w:r w:rsidR="00E37038" w:rsidRPr="00DC07FC">
        <w:rPr>
          <w:rFonts w:cs="Arial"/>
          <w:color w:val="000000" w:themeColor="text1"/>
          <w:lang w:val="es-CO"/>
        </w:rPr>
        <w:t xml:space="preserve"> en relación con la prestación eficiente del servicio p</w:t>
      </w:r>
      <w:r w:rsidR="0007720C">
        <w:rPr>
          <w:rFonts w:cs="Arial"/>
          <w:color w:val="000000" w:themeColor="text1"/>
          <w:lang w:val="es-CO"/>
        </w:rPr>
        <w:t>úblico domiciliario de GLP,</w:t>
      </w:r>
      <w:r w:rsidR="00973F6E" w:rsidRPr="00DC07FC">
        <w:rPr>
          <w:rFonts w:cs="Arial"/>
          <w:color w:val="000000" w:themeColor="text1"/>
          <w:lang w:val="es-CO"/>
        </w:rPr>
        <w:t xml:space="preserve"> evitando </w:t>
      </w:r>
      <w:r w:rsidR="00E37038" w:rsidRPr="00DC07FC">
        <w:rPr>
          <w:rFonts w:cs="Arial"/>
          <w:color w:val="000000" w:themeColor="text1"/>
          <w:lang w:val="es-CO"/>
        </w:rPr>
        <w:t>que se presenten conductas que afecten la regulación y la prestación de este servicio público</w:t>
      </w:r>
      <w:r w:rsidR="00973F6E" w:rsidRPr="00DC07FC">
        <w:rPr>
          <w:rFonts w:cs="Arial"/>
          <w:color w:val="000000" w:themeColor="text1"/>
          <w:lang w:val="es-CO"/>
        </w:rPr>
        <w:t xml:space="preserve"> de manera formal</w:t>
      </w:r>
      <w:r w:rsidR="00E37038" w:rsidRPr="00DC07FC">
        <w:rPr>
          <w:rFonts w:cs="Arial"/>
          <w:color w:val="000000" w:themeColor="text1"/>
          <w:lang w:val="es-CO"/>
        </w:rPr>
        <w:t>.</w:t>
      </w:r>
    </w:p>
    <w:p w:rsidR="00973F6E" w:rsidRDefault="00973F6E" w:rsidP="0081321F">
      <w:pPr>
        <w:pStyle w:val="ARTICULOS"/>
        <w:rPr>
          <w:lang w:val="es-CO"/>
        </w:rPr>
      </w:pPr>
    </w:p>
    <w:p w:rsidR="005B21C4" w:rsidRPr="0007720C" w:rsidRDefault="005B21C4" w:rsidP="0081321F">
      <w:pPr>
        <w:pStyle w:val="ARTICULOS"/>
        <w:rPr>
          <w:lang w:val="es-CO"/>
        </w:rPr>
      </w:pPr>
    </w:p>
    <w:p w:rsidR="00973F6E" w:rsidRPr="00DC07FC" w:rsidRDefault="00E52BD4" w:rsidP="00D121CA">
      <w:pPr>
        <w:pStyle w:val="ARTICULOS"/>
        <w:tabs>
          <w:tab w:val="left" w:pos="1701"/>
        </w:tabs>
        <w:contextualSpacing/>
        <w:outlineLvl w:val="2"/>
        <w:rPr>
          <w:rFonts w:cs="Arial"/>
          <w:color w:val="000000" w:themeColor="text1"/>
          <w:lang w:val="es-CO"/>
        </w:rPr>
      </w:pPr>
      <w:r>
        <w:rPr>
          <w:rFonts w:cs="Arial"/>
          <w:b/>
          <w:color w:val="000000" w:themeColor="text1"/>
          <w:lang w:val="es-CO"/>
        </w:rPr>
        <w:t>f</w:t>
      </w:r>
      <w:r w:rsidR="00973F6E" w:rsidRPr="00DC07FC">
        <w:rPr>
          <w:rFonts w:cs="Arial"/>
          <w:b/>
          <w:color w:val="000000" w:themeColor="text1"/>
          <w:lang w:val="es-CO"/>
        </w:rPr>
        <w:t>. F</w:t>
      </w:r>
      <w:r w:rsidR="00E37038" w:rsidRPr="00DC07FC">
        <w:rPr>
          <w:rFonts w:cs="Arial"/>
          <w:b/>
          <w:color w:val="000000" w:themeColor="text1"/>
          <w:lang w:val="es-CO"/>
        </w:rPr>
        <w:t xml:space="preserve">acilitar y equilibrar las relaciones </w:t>
      </w:r>
      <w:r w:rsidR="00973F6E" w:rsidRPr="00DC07FC">
        <w:rPr>
          <w:rFonts w:cs="Arial"/>
          <w:b/>
          <w:color w:val="000000" w:themeColor="text1"/>
          <w:lang w:val="es-CO"/>
        </w:rPr>
        <w:t>contractuales entre los agentes</w:t>
      </w:r>
      <w:r w:rsidR="0007720C">
        <w:rPr>
          <w:rFonts w:cs="Arial"/>
          <w:b/>
          <w:color w:val="000000" w:themeColor="text1"/>
          <w:lang w:val="es-CO"/>
        </w:rPr>
        <w:t>,</w:t>
      </w:r>
      <w:r w:rsidR="0007720C" w:rsidRPr="0007720C">
        <w:rPr>
          <w:rFonts w:cs="Arial"/>
          <w:color w:val="000000" w:themeColor="text1"/>
          <w:lang w:val="es-CO"/>
        </w:rPr>
        <w:t xml:space="preserve"> </w:t>
      </w:r>
      <w:r w:rsidR="00973F6E" w:rsidRPr="00DC07FC">
        <w:rPr>
          <w:rFonts w:cs="Arial"/>
          <w:color w:val="000000" w:themeColor="text1"/>
          <w:lang w:val="es-CO"/>
        </w:rPr>
        <w:t>limitar el uso de la posición dominante de cualquier agente, así como generar un mayor nivel de liquidez en el mercado</w:t>
      </w:r>
      <w:r w:rsidR="0007720C">
        <w:rPr>
          <w:rFonts w:cs="Arial"/>
          <w:color w:val="000000" w:themeColor="text1"/>
          <w:lang w:val="es-CO"/>
        </w:rPr>
        <w:t xml:space="preserve"> mayorista, estableciendo </w:t>
      </w:r>
      <w:r w:rsidR="0007720C" w:rsidRPr="00DC07FC">
        <w:rPr>
          <w:rFonts w:cs="Arial"/>
          <w:color w:val="000000" w:themeColor="text1"/>
          <w:lang w:val="es-CO"/>
        </w:rPr>
        <w:t xml:space="preserve">el contenido mínimo para los contratos de suministro </w:t>
      </w:r>
      <w:r w:rsidR="0007720C">
        <w:rPr>
          <w:rFonts w:cs="Arial"/>
          <w:color w:val="000000" w:themeColor="text1"/>
          <w:lang w:val="es-CO"/>
        </w:rPr>
        <w:t>de GLP</w:t>
      </w:r>
      <w:r w:rsidR="00973F6E" w:rsidRPr="00DC07FC">
        <w:rPr>
          <w:rFonts w:cs="Arial"/>
          <w:color w:val="000000" w:themeColor="text1"/>
          <w:lang w:val="es-CO"/>
        </w:rPr>
        <w:t>.</w:t>
      </w:r>
    </w:p>
    <w:p w:rsidR="00B90758" w:rsidRDefault="00B90758" w:rsidP="004C1136">
      <w:pPr>
        <w:pStyle w:val="ARTICULOS"/>
        <w:contextualSpacing/>
        <w:rPr>
          <w:lang w:val="es-ES"/>
        </w:rPr>
      </w:pPr>
    </w:p>
    <w:p w:rsidR="0048346D" w:rsidRPr="00DC07FC" w:rsidRDefault="00ED6D6E" w:rsidP="00D444D6">
      <w:pPr>
        <w:pStyle w:val="ARTICULOS"/>
        <w:numPr>
          <w:ilvl w:val="0"/>
          <w:numId w:val="2"/>
        </w:numPr>
        <w:tabs>
          <w:tab w:val="left" w:pos="1701"/>
        </w:tabs>
        <w:ind w:left="0" w:firstLine="0"/>
        <w:contextualSpacing/>
        <w:outlineLvl w:val="2"/>
        <w:rPr>
          <w:rFonts w:cs="Arial"/>
          <w:color w:val="000000" w:themeColor="text1"/>
        </w:rPr>
      </w:pPr>
      <w:r w:rsidRPr="00DC07FC">
        <w:rPr>
          <w:rFonts w:cs="Arial"/>
          <w:b/>
          <w:color w:val="000000" w:themeColor="text1"/>
        </w:rPr>
        <w:t>ÁMBITO DE APLICACIÓN</w:t>
      </w:r>
      <w:r w:rsidR="0048346D" w:rsidRPr="00DC07FC">
        <w:rPr>
          <w:rFonts w:cs="Arial"/>
          <w:b/>
          <w:color w:val="000000" w:themeColor="text1"/>
        </w:rPr>
        <w:t xml:space="preserve">. </w:t>
      </w:r>
      <w:r w:rsidR="0048346D" w:rsidRPr="00DC07FC">
        <w:rPr>
          <w:rFonts w:cs="Arial"/>
          <w:color w:val="000000" w:themeColor="text1"/>
        </w:rPr>
        <w:t xml:space="preserve">La presente resolución aplica </w:t>
      </w:r>
      <w:r w:rsidR="00D43A9B" w:rsidRPr="00DC07FC">
        <w:rPr>
          <w:rFonts w:cs="Arial"/>
          <w:color w:val="000000" w:themeColor="text1"/>
        </w:rPr>
        <w:t xml:space="preserve">a </w:t>
      </w:r>
      <w:r w:rsidR="008C32B3" w:rsidRPr="00DC07FC">
        <w:rPr>
          <w:rFonts w:cs="Arial"/>
          <w:color w:val="000000" w:themeColor="text1"/>
        </w:rPr>
        <w:t>los agentes que</w:t>
      </w:r>
      <w:r w:rsidR="00D43A9B" w:rsidRPr="00DC07FC">
        <w:rPr>
          <w:rFonts w:cs="Arial"/>
          <w:color w:val="000000" w:themeColor="text1"/>
        </w:rPr>
        <w:t>, estando organizado</w:t>
      </w:r>
      <w:r w:rsidR="008C32B3" w:rsidRPr="00DC07FC">
        <w:rPr>
          <w:rFonts w:cs="Arial"/>
          <w:color w:val="000000" w:themeColor="text1"/>
        </w:rPr>
        <w:t>s en alguna de las formas dispuestas por el Título I de la Ley 142 de 1994, ejerzan la actividad de comercialización mayorista de GLP, con destino al servicio público domiciliario</w:t>
      </w:r>
      <w:r w:rsidR="002C53A6" w:rsidRPr="00DC07FC">
        <w:rPr>
          <w:rFonts w:cs="Arial"/>
          <w:color w:val="000000" w:themeColor="text1"/>
          <w:lang w:val="es-CO"/>
        </w:rPr>
        <w:t xml:space="preserve"> o como gas combustible</w:t>
      </w:r>
      <w:r w:rsidR="008C32B3" w:rsidRPr="00DC07FC">
        <w:rPr>
          <w:rFonts w:cs="Arial"/>
          <w:color w:val="000000" w:themeColor="text1"/>
        </w:rPr>
        <w:t>. También aplica a distribuidores o usuarios no regulados cuando compran GLP en el mercado mayorista</w:t>
      </w:r>
      <w:r w:rsidR="00DB78C5" w:rsidRPr="00DC07FC">
        <w:rPr>
          <w:rFonts w:cs="Arial"/>
          <w:color w:val="000000" w:themeColor="text1"/>
          <w:lang w:val="es-CO"/>
        </w:rPr>
        <w:t>, en las condiciones previstas en la presente resolución</w:t>
      </w:r>
      <w:r w:rsidR="0048346D" w:rsidRPr="00DC07FC">
        <w:rPr>
          <w:rFonts w:cs="Arial"/>
          <w:color w:val="000000" w:themeColor="text1"/>
        </w:rPr>
        <w:t>.</w:t>
      </w:r>
    </w:p>
    <w:p w:rsidR="004B612C" w:rsidRPr="0077694E" w:rsidRDefault="004B612C" w:rsidP="004C1136">
      <w:pPr>
        <w:ind w:left="0"/>
        <w:contextualSpacing/>
        <w:jc w:val="both"/>
        <w:rPr>
          <w:rFonts w:ascii="Bookman Old Style" w:hAnsi="Bookman Old Style" w:cs="Arial"/>
          <w:lang w:val="x-none"/>
        </w:rPr>
      </w:pPr>
    </w:p>
    <w:p w:rsidR="0048346D" w:rsidRPr="00DC07FC" w:rsidRDefault="00ED6D6E" w:rsidP="00D444D6">
      <w:pPr>
        <w:pStyle w:val="ARTICULOS"/>
        <w:numPr>
          <w:ilvl w:val="0"/>
          <w:numId w:val="2"/>
        </w:numPr>
        <w:tabs>
          <w:tab w:val="left" w:pos="1701"/>
        </w:tabs>
        <w:ind w:left="0" w:firstLine="0"/>
        <w:contextualSpacing/>
        <w:outlineLvl w:val="2"/>
        <w:rPr>
          <w:rFonts w:cs="Arial"/>
          <w:color w:val="000000" w:themeColor="text1"/>
        </w:rPr>
      </w:pPr>
      <w:bookmarkStart w:id="1" w:name="_Ref462922265"/>
      <w:r w:rsidRPr="00DC07FC">
        <w:rPr>
          <w:rFonts w:cs="Arial"/>
          <w:b/>
          <w:color w:val="000000" w:themeColor="text1"/>
        </w:rPr>
        <w:t>DEFINICIONES</w:t>
      </w:r>
      <w:r w:rsidR="005B513C" w:rsidRPr="00DC07FC">
        <w:rPr>
          <w:rFonts w:cs="Arial"/>
          <w:b/>
          <w:color w:val="000000" w:themeColor="text1"/>
        </w:rPr>
        <w:t xml:space="preserve">. </w:t>
      </w:r>
      <w:r w:rsidR="0048346D" w:rsidRPr="00DC07FC">
        <w:rPr>
          <w:rFonts w:cs="Arial"/>
          <w:color w:val="000000" w:themeColor="text1"/>
        </w:rPr>
        <w:t>Para la interpretación y aplicación de esta resolución se tendrán en cuenta las siguientes definiciones, además de las contenidas en la Ley 142 de 1994, los decretos del Gobierno Nacional y las resoluciones de la CREG.</w:t>
      </w:r>
      <w:bookmarkEnd w:id="1"/>
    </w:p>
    <w:p w:rsidR="00BB73B0" w:rsidRPr="00DC07FC" w:rsidRDefault="00BB73B0" w:rsidP="004C1136">
      <w:pPr>
        <w:pStyle w:val="ARTICULOS"/>
        <w:contextualSpacing/>
        <w:rPr>
          <w:lang w:val="es-CO"/>
        </w:rPr>
      </w:pPr>
    </w:p>
    <w:p w:rsidR="005B513C" w:rsidRPr="00DC07FC" w:rsidRDefault="005B513C" w:rsidP="004C1136">
      <w:pPr>
        <w:pStyle w:val="ARTICULOS"/>
        <w:contextualSpacing/>
        <w:rPr>
          <w:lang w:val="es-CO"/>
        </w:rPr>
      </w:pPr>
      <w:r w:rsidRPr="00DC07FC">
        <w:rPr>
          <w:b/>
          <w:lang w:val="es-CO"/>
        </w:rPr>
        <w:t>Agentes:</w:t>
      </w:r>
      <w:r w:rsidRPr="00DC07FC">
        <w:rPr>
          <w:lang w:val="es-CO"/>
        </w:rPr>
        <w:t xml:space="preserve"> </w:t>
      </w:r>
      <w:r w:rsidR="00A2666B" w:rsidRPr="00DC07FC">
        <w:rPr>
          <w:lang w:val="es-CO"/>
        </w:rPr>
        <w:t>Personas</w:t>
      </w:r>
      <w:r w:rsidR="00A2666B" w:rsidRPr="00DC07FC">
        <w:rPr>
          <w:rFonts w:cs="Arial"/>
          <w:color w:val="000000" w:themeColor="text1"/>
          <w:lang w:val="es-ES"/>
        </w:rPr>
        <w:t xml:space="preserve"> jurídicas entre las cuales se dan las relaciones operativas y comerciales de compra y venta de </w:t>
      </w:r>
      <w:r w:rsidR="00010B50" w:rsidRPr="00DC07FC">
        <w:rPr>
          <w:rFonts w:cs="Arial"/>
          <w:color w:val="000000" w:themeColor="text1"/>
          <w:lang w:val="es-ES"/>
        </w:rPr>
        <w:t>GLP</w:t>
      </w:r>
      <w:r w:rsidR="00A2666B" w:rsidRPr="00DC07FC">
        <w:rPr>
          <w:rFonts w:cs="Arial"/>
          <w:color w:val="000000" w:themeColor="text1"/>
          <w:lang w:val="es-ES"/>
        </w:rPr>
        <w:t>. Son agentes del mercado mayorista los comercializadores mayoristas, los distribuidores y los usuarios no regulados.</w:t>
      </w:r>
    </w:p>
    <w:p w:rsidR="00612A8A" w:rsidRPr="00DC07FC" w:rsidRDefault="00612A8A" w:rsidP="004C1136">
      <w:pPr>
        <w:pStyle w:val="ARTICULOS"/>
        <w:contextualSpacing/>
        <w:rPr>
          <w:lang w:val="es-CO"/>
        </w:rPr>
      </w:pPr>
    </w:p>
    <w:p w:rsidR="00E66BF9" w:rsidRPr="00DC07FC" w:rsidRDefault="00E66BF9" w:rsidP="004C1136">
      <w:pPr>
        <w:pStyle w:val="ARTICULOS"/>
        <w:contextualSpacing/>
        <w:rPr>
          <w:lang w:val="es-CO"/>
        </w:rPr>
      </w:pPr>
      <w:r w:rsidRPr="00DC07FC">
        <w:rPr>
          <w:b/>
          <w:lang w:val="es-CO"/>
        </w:rPr>
        <w:t>Almacenamiento</w:t>
      </w:r>
      <w:r w:rsidR="007F644B" w:rsidRPr="00DC07FC">
        <w:rPr>
          <w:b/>
          <w:lang w:val="es-CO"/>
        </w:rPr>
        <w:t xml:space="preserve"> de GLP</w:t>
      </w:r>
      <w:r w:rsidRPr="00DC07FC">
        <w:rPr>
          <w:b/>
          <w:lang w:val="es-CO"/>
        </w:rPr>
        <w:t>:</w:t>
      </w:r>
      <w:r w:rsidRPr="00DC07FC">
        <w:rPr>
          <w:lang w:val="es-CO"/>
        </w:rPr>
        <w:t xml:space="preserve"> </w:t>
      </w:r>
      <w:r w:rsidR="00512373" w:rsidRPr="00DC07FC">
        <w:rPr>
          <w:lang w:val="es-CO"/>
        </w:rPr>
        <w:t xml:space="preserve">Servicio auxiliar de </w:t>
      </w:r>
      <w:r w:rsidR="0025579D" w:rsidRPr="00DC07FC">
        <w:rPr>
          <w:lang w:val="es-CO"/>
        </w:rPr>
        <w:t>la comercialización mayorista de GLP</w:t>
      </w:r>
      <w:r w:rsidR="00EA698A" w:rsidRPr="00DC07FC">
        <w:rPr>
          <w:lang w:val="es-CO"/>
        </w:rPr>
        <w:t>,</w:t>
      </w:r>
      <w:r w:rsidR="0025579D" w:rsidRPr="00DC07FC">
        <w:rPr>
          <w:lang w:val="es-CO"/>
        </w:rPr>
        <w:t xml:space="preserve"> </w:t>
      </w:r>
      <w:r w:rsidRPr="00DC07FC">
        <w:rPr>
          <w:lang w:val="es-CO"/>
        </w:rPr>
        <w:t>que consiste en almacenar GLP</w:t>
      </w:r>
      <w:r w:rsidR="00EA698A" w:rsidRPr="00DC07FC">
        <w:rPr>
          <w:lang w:val="es-CO"/>
        </w:rPr>
        <w:t>,</w:t>
      </w:r>
      <w:r w:rsidRPr="00DC07FC">
        <w:rPr>
          <w:lang w:val="es-CO"/>
        </w:rPr>
        <w:t xml:space="preserve"> </w:t>
      </w:r>
      <w:r w:rsidR="00F40DC9" w:rsidRPr="00DC07FC">
        <w:rPr>
          <w:lang w:val="es-CO"/>
        </w:rPr>
        <w:t xml:space="preserve">al por mayor y </w:t>
      </w:r>
      <w:r w:rsidRPr="00DC07FC">
        <w:rPr>
          <w:lang w:val="es-CO"/>
        </w:rPr>
        <w:t>a granel</w:t>
      </w:r>
      <w:r w:rsidR="00EA698A" w:rsidRPr="00DC07FC">
        <w:rPr>
          <w:lang w:val="es-CO"/>
        </w:rPr>
        <w:t>,</w:t>
      </w:r>
      <w:r w:rsidRPr="00DC07FC">
        <w:rPr>
          <w:lang w:val="es-CO"/>
        </w:rPr>
        <w:t xml:space="preserve"> para </w:t>
      </w:r>
      <w:r w:rsidR="007F644B" w:rsidRPr="00DC07FC">
        <w:rPr>
          <w:lang w:val="es-CO"/>
        </w:rPr>
        <w:t xml:space="preserve">facilitar </w:t>
      </w:r>
      <w:r w:rsidRPr="00DC07FC">
        <w:rPr>
          <w:lang w:val="es-CO"/>
        </w:rPr>
        <w:t xml:space="preserve">la operación </w:t>
      </w:r>
      <w:r w:rsidR="00EA698A" w:rsidRPr="00DC07FC">
        <w:rPr>
          <w:lang w:val="es-CO"/>
        </w:rPr>
        <w:t>logística de los comercializadores mayoristas</w:t>
      </w:r>
      <w:r w:rsidR="007F644B" w:rsidRPr="00DC07FC">
        <w:rPr>
          <w:lang w:val="es-CO"/>
        </w:rPr>
        <w:t xml:space="preserve"> y </w:t>
      </w:r>
      <w:r w:rsidRPr="00DC07FC">
        <w:rPr>
          <w:lang w:val="es-CO"/>
        </w:rPr>
        <w:t xml:space="preserve">garantizar la entrega oportuna y confiable del producto </w:t>
      </w:r>
      <w:r w:rsidR="00EA698A" w:rsidRPr="00DC07FC">
        <w:rPr>
          <w:lang w:val="es-CO"/>
        </w:rPr>
        <w:t>a sus compradores</w:t>
      </w:r>
      <w:r w:rsidRPr="00DC07FC">
        <w:rPr>
          <w:lang w:val="es-CO"/>
        </w:rPr>
        <w:t>.</w:t>
      </w:r>
    </w:p>
    <w:p w:rsidR="0007024B" w:rsidRPr="00DC07FC" w:rsidRDefault="0007024B" w:rsidP="0007024B">
      <w:pPr>
        <w:pStyle w:val="ARTICULOS"/>
        <w:contextualSpacing/>
        <w:rPr>
          <w:rFonts w:cs="Arial"/>
          <w:bCs w:val="0"/>
          <w:color w:val="000000" w:themeColor="text1"/>
          <w:lang w:val="es-CO"/>
        </w:rPr>
      </w:pPr>
    </w:p>
    <w:p w:rsidR="0007024B" w:rsidRPr="00DC07FC" w:rsidRDefault="0007024B" w:rsidP="0007024B">
      <w:pPr>
        <w:pStyle w:val="ARTICULOS"/>
        <w:contextualSpacing/>
        <w:rPr>
          <w:lang w:val="es-CO"/>
        </w:rPr>
      </w:pPr>
      <w:r>
        <w:rPr>
          <w:rFonts w:cs="Arial"/>
          <w:b/>
          <w:bCs w:val="0"/>
          <w:color w:val="000000" w:themeColor="text1"/>
          <w:lang w:val="es-CO"/>
        </w:rPr>
        <w:t xml:space="preserve">Cantidades a importar </w:t>
      </w:r>
      <w:r w:rsidRPr="00DC07FC">
        <w:rPr>
          <w:rFonts w:cs="Arial"/>
          <w:b/>
          <w:bCs w:val="0"/>
          <w:color w:val="000000" w:themeColor="text1"/>
          <w:lang w:val="es-CO"/>
        </w:rPr>
        <w:t>disponible</w:t>
      </w:r>
      <w:r>
        <w:rPr>
          <w:rFonts w:cs="Arial"/>
          <w:b/>
          <w:bCs w:val="0"/>
          <w:color w:val="000000" w:themeColor="text1"/>
          <w:lang w:val="es-CO"/>
        </w:rPr>
        <w:t>s</w:t>
      </w:r>
      <w:r w:rsidRPr="00DC07FC">
        <w:rPr>
          <w:rFonts w:cs="Arial"/>
          <w:b/>
          <w:bCs w:val="0"/>
          <w:color w:val="000000" w:themeColor="text1"/>
          <w:lang w:val="es-CO"/>
        </w:rPr>
        <w:t xml:space="preserve"> para la venta</w:t>
      </w:r>
      <w:r>
        <w:rPr>
          <w:rFonts w:cs="Arial"/>
          <w:b/>
          <w:bCs w:val="0"/>
          <w:color w:val="000000" w:themeColor="text1"/>
          <w:lang w:val="es-CO"/>
        </w:rPr>
        <w:t xml:space="preserve"> - CIDV</w:t>
      </w:r>
      <w:r w:rsidRPr="00DC07FC">
        <w:rPr>
          <w:rFonts w:cs="Arial"/>
          <w:b/>
          <w:bCs w:val="0"/>
          <w:color w:val="000000" w:themeColor="text1"/>
          <w:lang w:val="es-CO"/>
        </w:rPr>
        <w:t>:</w:t>
      </w:r>
      <w:r w:rsidRPr="00DC07FC">
        <w:rPr>
          <w:rFonts w:cs="Arial"/>
          <w:bCs w:val="0"/>
          <w:color w:val="000000" w:themeColor="text1"/>
          <w:lang w:val="es-CO"/>
        </w:rPr>
        <w:t xml:space="preserve"> </w:t>
      </w:r>
      <w:r>
        <w:rPr>
          <w:rFonts w:cs="Arial"/>
          <w:bCs w:val="0"/>
          <w:color w:val="000000" w:themeColor="text1"/>
          <w:lang w:val="es-CO"/>
        </w:rPr>
        <w:t>C</w:t>
      </w:r>
      <w:r w:rsidRPr="00DC07FC">
        <w:rPr>
          <w:rFonts w:cs="Arial"/>
          <w:bCs w:val="0"/>
          <w:color w:val="000000" w:themeColor="text1"/>
          <w:lang w:val="es-CO"/>
        </w:rPr>
        <w:t>antidad</w:t>
      </w:r>
      <w:r>
        <w:rPr>
          <w:rFonts w:cs="Arial"/>
          <w:bCs w:val="0"/>
          <w:color w:val="000000" w:themeColor="text1"/>
          <w:lang w:val="es-CO"/>
        </w:rPr>
        <w:t>es</w:t>
      </w:r>
      <w:r w:rsidRPr="00DC07FC">
        <w:rPr>
          <w:rFonts w:cs="Arial"/>
          <w:bCs w:val="0"/>
          <w:color w:val="000000" w:themeColor="text1"/>
        </w:rPr>
        <w:t xml:space="preserve"> </w:t>
      </w:r>
      <w:r>
        <w:rPr>
          <w:rFonts w:cs="Arial"/>
          <w:bCs w:val="0"/>
          <w:color w:val="000000" w:themeColor="text1"/>
          <w:lang w:val="es-CO"/>
        </w:rPr>
        <w:t>de GLP a las que se hace referencia en el artículo 3 de la Resolución 4 0694 de 2016 del Ministerio de Minas y Energía, o aquella que la modifique o sustituya.</w:t>
      </w:r>
    </w:p>
    <w:p w:rsidR="003C3ED3" w:rsidRPr="00DC07FC" w:rsidRDefault="003C3ED3" w:rsidP="003C3ED3">
      <w:pPr>
        <w:pStyle w:val="ARTICULOS"/>
        <w:contextualSpacing/>
        <w:rPr>
          <w:lang w:val="es-CO"/>
        </w:rPr>
      </w:pPr>
    </w:p>
    <w:p w:rsidR="006661A2" w:rsidRPr="00F36E71" w:rsidRDefault="003C3ED3" w:rsidP="006661A2">
      <w:pPr>
        <w:pStyle w:val="ARTICULOS"/>
        <w:contextualSpacing/>
        <w:rPr>
          <w:rFonts w:cs="Arial"/>
          <w:bCs w:val="0"/>
          <w:color w:val="000000" w:themeColor="text1"/>
          <w:lang w:val="es-ES"/>
        </w:rPr>
      </w:pPr>
      <w:r w:rsidRPr="006661A2">
        <w:rPr>
          <w:rFonts w:cs="Arial"/>
          <w:b/>
          <w:bCs w:val="0"/>
          <w:color w:val="000000" w:themeColor="text1"/>
          <w:lang w:val="es-CO"/>
        </w:rPr>
        <w:t xml:space="preserve">Cantidades a importar </w:t>
      </w:r>
      <w:r w:rsidRPr="006661A2">
        <w:rPr>
          <w:rFonts w:cs="Arial"/>
          <w:b/>
          <w:bCs w:val="0"/>
          <w:color w:val="000000" w:themeColor="text1"/>
        </w:rPr>
        <w:t>disponible para la venta en firme</w:t>
      </w:r>
      <w:r w:rsidRPr="006661A2">
        <w:rPr>
          <w:rFonts w:cs="Arial"/>
          <w:b/>
          <w:bCs w:val="0"/>
          <w:color w:val="000000" w:themeColor="text1"/>
          <w:lang w:val="es-CO"/>
        </w:rPr>
        <w:t xml:space="preserve"> - CIDVF</w:t>
      </w:r>
      <w:r w:rsidRPr="006661A2">
        <w:rPr>
          <w:rFonts w:cs="Arial"/>
          <w:b/>
          <w:bCs w:val="0"/>
          <w:color w:val="000000" w:themeColor="text1"/>
        </w:rPr>
        <w:t>:</w:t>
      </w:r>
      <w:r w:rsidRPr="006661A2">
        <w:rPr>
          <w:rFonts w:cs="Arial"/>
          <w:bCs w:val="0"/>
          <w:color w:val="000000" w:themeColor="text1"/>
        </w:rPr>
        <w:t xml:space="preserve"> </w:t>
      </w:r>
      <w:r w:rsidR="006661A2" w:rsidRPr="006661A2">
        <w:rPr>
          <w:rFonts w:cs="Arial"/>
          <w:bCs w:val="0"/>
          <w:color w:val="000000" w:themeColor="text1"/>
          <w:lang w:val="es-CO"/>
        </w:rPr>
        <w:t>Cantidad</w:t>
      </w:r>
      <w:r w:rsidR="006661A2" w:rsidRPr="006661A2">
        <w:rPr>
          <w:rFonts w:cs="Arial"/>
          <w:bCs w:val="0"/>
          <w:color w:val="000000" w:themeColor="text1"/>
        </w:rPr>
        <w:t xml:space="preserve"> promedio </w:t>
      </w:r>
      <w:r w:rsidR="006661A2" w:rsidRPr="006661A2">
        <w:rPr>
          <w:rFonts w:cs="Arial"/>
          <w:bCs w:val="0"/>
          <w:color w:val="000000" w:themeColor="text1"/>
          <w:lang w:val="es-CO"/>
        </w:rPr>
        <w:t xml:space="preserve">al </w:t>
      </w:r>
      <w:r w:rsidR="006661A2" w:rsidRPr="006661A2">
        <w:rPr>
          <w:rFonts w:cs="Arial"/>
          <w:bCs w:val="0"/>
          <w:color w:val="000000" w:themeColor="text1"/>
        </w:rPr>
        <w:t xml:space="preserve">mes de </w:t>
      </w:r>
      <w:r w:rsidR="006661A2" w:rsidRPr="006661A2">
        <w:rPr>
          <w:rFonts w:cs="Arial"/>
          <w:bCs w:val="0"/>
          <w:color w:val="000000" w:themeColor="text1"/>
          <w:lang w:val="es-CO"/>
        </w:rPr>
        <w:t>GLP importado</w:t>
      </w:r>
      <w:r w:rsidR="006661A2" w:rsidRPr="006661A2">
        <w:rPr>
          <w:rFonts w:cs="Arial"/>
          <w:bCs w:val="0"/>
          <w:color w:val="000000" w:themeColor="text1"/>
        </w:rPr>
        <w:t xml:space="preserve">, expresada en KGD, por </w:t>
      </w:r>
      <w:r w:rsidR="006661A2" w:rsidRPr="006661A2">
        <w:rPr>
          <w:rFonts w:cs="Arial"/>
          <w:bCs w:val="0"/>
          <w:color w:val="000000" w:themeColor="text1"/>
          <w:lang w:val="es-CO"/>
        </w:rPr>
        <w:t>punto de entrega</w:t>
      </w:r>
      <w:r w:rsidR="006661A2" w:rsidRPr="006661A2">
        <w:rPr>
          <w:rFonts w:cs="Arial"/>
          <w:bCs w:val="0"/>
          <w:color w:val="000000" w:themeColor="text1"/>
        </w:rPr>
        <w:t xml:space="preserve">, </w:t>
      </w:r>
      <w:r w:rsidR="006661A2" w:rsidRPr="006661A2">
        <w:rPr>
          <w:rFonts w:cs="Arial"/>
          <w:bCs w:val="0"/>
          <w:color w:val="000000" w:themeColor="text1"/>
          <w:lang w:val="es-CO"/>
        </w:rPr>
        <w:t xml:space="preserve">de la </w:t>
      </w:r>
      <w:r w:rsidR="006661A2" w:rsidRPr="006661A2">
        <w:rPr>
          <w:rFonts w:cs="Arial"/>
          <w:bCs w:val="0"/>
          <w:color w:val="000000" w:themeColor="text1"/>
        </w:rPr>
        <w:t xml:space="preserve">que </w:t>
      </w:r>
      <w:r w:rsidR="006661A2" w:rsidRPr="006661A2">
        <w:rPr>
          <w:rFonts w:cs="Arial"/>
          <w:bCs w:val="0"/>
          <w:color w:val="000000" w:themeColor="text1"/>
          <w:lang w:val="es-CO"/>
        </w:rPr>
        <w:t xml:space="preserve">dispone un </w:t>
      </w:r>
      <w:r w:rsidR="006661A2" w:rsidRPr="006661A2">
        <w:rPr>
          <w:rFonts w:cs="Arial"/>
          <w:bCs w:val="0"/>
          <w:color w:val="000000" w:themeColor="text1"/>
        </w:rPr>
        <w:t xml:space="preserve">comercializador de oferta </w:t>
      </w:r>
      <w:r w:rsidR="006661A2" w:rsidRPr="006661A2">
        <w:rPr>
          <w:rFonts w:cs="Arial"/>
          <w:bCs w:val="0"/>
          <w:color w:val="000000" w:themeColor="text1"/>
          <w:lang w:val="es-CO"/>
        </w:rPr>
        <w:t xml:space="preserve">para destinar al servicio público domiciliario de GLP o como gas combustible, ofrecido </w:t>
      </w:r>
      <w:r w:rsidR="006661A2" w:rsidRPr="006661A2">
        <w:rPr>
          <w:rFonts w:cs="Arial"/>
          <w:bCs w:val="0"/>
          <w:color w:val="000000" w:themeColor="text1"/>
        </w:rPr>
        <w:t>bajo la modalidad de contrato firme</w:t>
      </w:r>
      <w:r w:rsidR="006661A2" w:rsidRPr="006661A2">
        <w:rPr>
          <w:rFonts w:cs="Arial"/>
          <w:bCs w:val="0"/>
          <w:color w:val="000000" w:themeColor="text1"/>
          <w:lang w:val="es-CO"/>
        </w:rPr>
        <w:t xml:space="preserve"> en el mecanismo de subasta de GLP</w:t>
      </w:r>
      <w:r w:rsidR="006661A2" w:rsidRPr="006661A2">
        <w:rPr>
          <w:rFonts w:cs="Arial"/>
          <w:bCs w:val="0"/>
          <w:color w:val="000000" w:themeColor="text1"/>
        </w:rPr>
        <w:t>.</w:t>
      </w:r>
    </w:p>
    <w:p w:rsidR="003C3ED3" w:rsidRPr="00DC07FC" w:rsidRDefault="003C3ED3" w:rsidP="004C1136">
      <w:pPr>
        <w:pStyle w:val="ARTICULOS"/>
        <w:contextualSpacing/>
        <w:rPr>
          <w:lang w:val="es-ES"/>
        </w:rPr>
      </w:pPr>
    </w:p>
    <w:p w:rsidR="00991159" w:rsidRPr="00DC07FC" w:rsidRDefault="00991159" w:rsidP="004C1136">
      <w:pPr>
        <w:pStyle w:val="ARTICULOS"/>
        <w:contextualSpacing/>
        <w:rPr>
          <w:lang w:val="es-CO"/>
        </w:rPr>
      </w:pPr>
      <w:r w:rsidRPr="00DC07FC">
        <w:rPr>
          <w:b/>
          <w:lang w:val="es-CO"/>
        </w:rPr>
        <w:t>Comercialización mayorista de GLP:</w:t>
      </w:r>
      <w:r w:rsidRPr="00DC07FC">
        <w:rPr>
          <w:lang w:val="es-CO"/>
        </w:rPr>
        <w:t xml:space="preserve"> Actividad consistente en la compra y venta de GLP</w:t>
      </w:r>
      <w:r w:rsidR="006D7BF5" w:rsidRPr="00DC07FC">
        <w:rPr>
          <w:lang w:val="es-CO"/>
        </w:rPr>
        <w:t>,</w:t>
      </w:r>
      <w:r w:rsidR="007C6EBB" w:rsidRPr="00DC07FC">
        <w:rPr>
          <w:lang w:val="es-CO"/>
        </w:rPr>
        <w:t xml:space="preserve"> al por mayor y a granel</w:t>
      </w:r>
      <w:r w:rsidR="000A2407" w:rsidRPr="00DC07FC">
        <w:rPr>
          <w:lang w:val="es-CO"/>
        </w:rPr>
        <w:t>,</w:t>
      </w:r>
      <w:r w:rsidRPr="00DC07FC">
        <w:rPr>
          <w:lang w:val="es-CO"/>
        </w:rPr>
        <w:t xml:space="preserve"> </w:t>
      </w:r>
      <w:r w:rsidR="000A2407" w:rsidRPr="00DC07FC">
        <w:rPr>
          <w:lang w:val="es-CO"/>
        </w:rPr>
        <w:t xml:space="preserve">producido </w:t>
      </w:r>
      <w:r w:rsidR="00910A8A" w:rsidRPr="00DC07FC">
        <w:rPr>
          <w:lang w:val="es-CO"/>
        </w:rPr>
        <w:t xml:space="preserve">en el territorio nacional </w:t>
      </w:r>
      <w:r w:rsidR="000A2407" w:rsidRPr="00DC07FC">
        <w:rPr>
          <w:lang w:val="es-CO"/>
        </w:rPr>
        <w:t>o importado</w:t>
      </w:r>
      <w:r w:rsidRPr="00DC07FC">
        <w:rPr>
          <w:lang w:val="es-CO"/>
        </w:rPr>
        <w:t xml:space="preserve">, con destino al </w:t>
      </w:r>
      <w:r w:rsidR="000A2407" w:rsidRPr="00DC07FC">
        <w:rPr>
          <w:lang w:val="es-CO"/>
        </w:rPr>
        <w:t>s</w:t>
      </w:r>
      <w:r w:rsidRPr="00DC07FC">
        <w:rPr>
          <w:lang w:val="es-CO"/>
        </w:rPr>
        <w:t xml:space="preserve">ervicio </w:t>
      </w:r>
      <w:r w:rsidR="000A2407" w:rsidRPr="00DC07FC">
        <w:rPr>
          <w:lang w:val="es-CO"/>
        </w:rPr>
        <w:t>p</w:t>
      </w:r>
      <w:r w:rsidRPr="00DC07FC">
        <w:rPr>
          <w:lang w:val="es-CO"/>
        </w:rPr>
        <w:t xml:space="preserve">úblico </w:t>
      </w:r>
      <w:r w:rsidR="000A2407" w:rsidRPr="00DC07FC">
        <w:rPr>
          <w:lang w:val="es-CO"/>
        </w:rPr>
        <w:t>d</w:t>
      </w:r>
      <w:r w:rsidRPr="00DC07FC">
        <w:rPr>
          <w:lang w:val="es-CO"/>
        </w:rPr>
        <w:t xml:space="preserve">omiciliario </w:t>
      </w:r>
      <w:r w:rsidR="009457E7" w:rsidRPr="00DC07FC">
        <w:rPr>
          <w:lang w:val="es-CO"/>
        </w:rPr>
        <w:t xml:space="preserve">o </w:t>
      </w:r>
      <w:r w:rsidRPr="00DC07FC">
        <w:rPr>
          <w:lang w:val="es-CO"/>
        </w:rPr>
        <w:t xml:space="preserve">de </w:t>
      </w:r>
      <w:r w:rsidR="000A2407" w:rsidRPr="00DC07FC">
        <w:rPr>
          <w:lang w:val="es-CO"/>
        </w:rPr>
        <w:t>g</w:t>
      </w:r>
      <w:r w:rsidRPr="00DC07FC">
        <w:rPr>
          <w:lang w:val="es-CO"/>
        </w:rPr>
        <w:t xml:space="preserve">as </w:t>
      </w:r>
      <w:r w:rsidR="000A2407" w:rsidRPr="00DC07FC">
        <w:rPr>
          <w:lang w:val="es-CO"/>
        </w:rPr>
        <w:t>c</w:t>
      </w:r>
      <w:r w:rsidRPr="00DC07FC">
        <w:rPr>
          <w:lang w:val="es-CO"/>
        </w:rPr>
        <w:t>ombustible.</w:t>
      </w:r>
    </w:p>
    <w:p w:rsidR="00EE2700" w:rsidRPr="00DC07FC" w:rsidRDefault="00EE2700" w:rsidP="004C1136">
      <w:pPr>
        <w:pStyle w:val="ARTICULOS"/>
        <w:contextualSpacing/>
        <w:rPr>
          <w:lang w:val="es-CO"/>
        </w:rPr>
      </w:pPr>
    </w:p>
    <w:p w:rsidR="000A2407" w:rsidRPr="00DC07FC" w:rsidRDefault="000A2407" w:rsidP="004C1136">
      <w:pPr>
        <w:pStyle w:val="ARTICULOS"/>
        <w:contextualSpacing/>
        <w:rPr>
          <w:rFonts w:cs="Arial"/>
          <w:bCs w:val="0"/>
          <w:color w:val="000000" w:themeColor="text1"/>
          <w:lang w:val="es-ES"/>
        </w:rPr>
      </w:pPr>
      <w:r w:rsidRPr="00DC07FC">
        <w:rPr>
          <w:rFonts w:cs="Arial"/>
          <w:b/>
          <w:bCs w:val="0"/>
          <w:color w:val="000000" w:themeColor="text1"/>
          <w:lang w:val="es-ES"/>
        </w:rPr>
        <w:t xml:space="preserve">Comercializador de demanda: </w:t>
      </w:r>
      <w:r w:rsidR="00432528" w:rsidRPr="00DC07FC">
        <w:rPr>
          <w:lang w:val="es-CO"/>
        </w:rPr>
        <w:t>Agente</w:t>
      </w:r>
      <w:r w:rsidRPr="00DC07FC">
        <w:rPr>
          <w:lang w:val="es-CO"/>
        </w:rPr>
        <w:t xml:space="preserve"> </w:t>
      </w:r>
      <w:r w:rsidRPr="00DC07FC">
        <w:rPr>
          <w:rFonts w:cs="Arial"/>
          <w:bCs w:val="0"/>
          <w:color w:val="000000" w:themeColor="text1"/>
          <w:lang w:val="es-ES"/>
        </w:rPr>
        <w:t xml:space="preserve">participante en el mercado mayorista que </w:t>
      </w:r>
      <w:r w:rsidR="00432528" w:rsidRPr="00DC07FC">
        <w:rPr>
          <w:rFonts w:cs="Arial"/>
          <w:color w:val="000000" w:themeColor="text1"/>
          <w:lang w:eastAsia="es-CO"/>
        </w:rPr>
        <w:t xml:space="preserve">compra </w:t>
      </w:r>
      <w:r w:rsidR="00432528" w:rsidRPr="00DC07FC">
        <w:rPr>
          <w:rFonts w:cs="Arial"/>
          <w:color w:val="000000" w:themeColor="text1"/>
          <w:lang w:val="es-CO" w:eastAsia="es-CO"/>
        </w:rPr>
        <w:t>GLP</w:t>
      </w:r>
      <w:r w:rsidR="00FE5E2E" w:rsidRPr="00DC07FC">
        <w:rPr>
          <w:rFonts w:cs="Arial"/>
          <w:color w:val="000000" w:themeColor="text1"/>
          <w:lang w:val="es-CO" w:eastAsia="es-CO"/>
        </w:rPr>
        <w:t>,</w:t>
      </w:r>
      <w:r w:rsidR="00432528" w:rsidRPr="00DC07FC">
        <w:rPr>
          <w:rFonts w:cs="Arial"/>
          <w:color w:val="000000" w:themeColor="text1"/>
          <w:lang w:val="es-CO" w:eastAsia="es-CO"/>
        </w:rPr>
        <w:t xml:space="preserve"> </w:t>
      </w:r>
      <w:r w:rsidR="00432528" w:rsidRPr="00DC07FC">
        <w:rPr>
          <w:rFonts w:cs="Arial"/>
          <w:color w:val="000000" w:themeColor="text1"/>
          <w:lang w:eastAsia="es-CO"/>
        </w:rPr>
        <w:t>al por mayor</w:t>
      </w:r>
      <w:r w:rsidR="00C51F2E" w:rsidRPr="00DC07FC">
        <w:rPr>
          <w:rFonts w:cs="Arial"/>
          <w:color w:val="000000" w:themeColor="text1"/>
          <w:lang w:val="es-CO" w:eastAsia="es-CO"/>
        </w:rPr>
        <w:t xml:space="preserve"> y a granel</w:t>
      </w:r>
      <w:r w:rsidR="00432528" w:rsidRPr="00DC07FC">
        <w:rPr>
          <w:rFonts w:cs="Arial"/>
          <w:color w:val="000000" w:themeColor="text1"/>
          <w:lang w:val="es-CO" w:eastAsia="es-CO"/>
        </w:rPr>
        <w:t xml:space="preserve">, </w:t>
      </w:r>
      <w:r w:rsidR="00432528" w:rsidRPr="00DC07FC">
        <w:rPr>
          <w:rFonts w:cs="Arial"/>
          <w:color w:val="000000" w:themeColor="text1"/>
          <w:lang w:eastAsia="es-CO"/>
        </w:rPr>
        <w:t xml:space="preserve">con destino a </w:t>
      </w:r>
      <w:r w:rsidR="003F053F" w:rsidRPr="00DC07FC">
        <w:rPr>
          <w:rFonts w:cs="Arial"/>
          <w:color w:val="000000" w:themeColor="text1"/>
          <w:lang w:val="es-CO" w:eastAsia="es-CO"/>
        </w:rPr>
        <w:t xml:space="preserve">comercializadores </w:t>
      </w:r>
      <w:r w:rsidR="00432528" w:rsidRPr="00DC07FC">
        <w:rPr>
          <w:rFonts w:cs="Arial"/>
          <w:color w:val="000000" w:themeColor="text1"/>
          <w:lang w:val="es-CO" w:eastAsia="es-CO"/>
        </w:rPr>
        <w:t>mayorista</w:t>
      </w:r>
      <w:r w:rsidR="003F053F" w:rsidRPr="00DC07FC">
        <w:rPr>
          <w:rFonts w:cs="Arial"/>
          <w:color w:val="000000" w:themeColor="text1"/>
          <w:lang w:val="es-CO" w:eastAsia="es-CO"/>
        </w:rPr>
        <w:t>s</w:t>
      </w:r>
      <w:r w:rsidR="009457E7" w:rsidRPr="00DC07FC">
        <w:rPr>
          <w:rFonts w:cs="Arial"/>
          <w:color w:val="000000" w:themeColor="text1"/>
          <w:lang w:val="es-CO" w:eastAsia="es-CO"/>
        </w:rPr>
        <w:t>,</w:t>
      </w:r>
      <w:r w:rsidR="00512373" w:rsidRPr="00DC07FC">
        <w:rPr>
          <w:rFonts w:cs="Arial"/>
          <w:color w:val="000000" w:themeColor="text1"/>
          <w:lang w:val="es-CO" w:eastAsia="es-CO"/>
        </w:rPr>
        <w:t xml:space="preserve"> </w:t>
      </w:r>
      <w:r w:rsidR="00432528" w:rsidRPr="00DC07FC">
        <w:rPr>
          <w:rFonts w:cs="Arial"/>
          <w:color w:val="000000" w:themeColor="text1"/>
          <w:lang w:val="es-CO" w:eastAsia="es-CO"/>
        </w:rPr>
        <w:t>distribuidores</w:t>
      </w:r>
      <w:r w:rsidR="00512373" w:rsidRPr="00DC07FC">
        <w:rPr>
          <w:rFonts w:cs="Arial"/>
          <w:color w:val="000000" w:themeColor="text1"/>
          <w:lang w:val="es-CO" w:eastAsia="es-CO"/>
        </w:rPr>
        <w:t xml:space="preserve"> </w:t>
      </w:r>
      <w:r w:rsidR="00432528" w:rsidRPr="00DC07FC">
        <w:rPr>
          <w:rFonts w:cs="Arial"/>
          <w:color w:val="000000" w:themeColor="text1"/>
          <w:lang w:eastAsia="es-CO"/>
        </w:rPr>
        <w:t xml:space="preserve">o usuarios </w:t>
      </w:r>
      <w:r w:rsidR="00432528" w:rsidRPr="00DC07FC">
        <w:rPr>
          <w:rFonts w:cs="Arial"/>
          <w:color w:val="000000" w:themeColor="text1"/>
          <w:lang w:val="es-CO" w:eastAsia="es-CO"/>
        </w:rPr>
        <w:t>no regulados.</w:t>
      </w:r>
    </w:p>
    <w:p w:rsidR="00CE1C67" w:rsidRPr="00DC07FC" w:rsidRDefault="00CE1C67" w:rsidP="004C1136">
      <w:pPr>
        <w:pStyle w:val="ARTICULOS"/>
        <w:contextualSpacing/>
        <w:rPr>
          <w:lang w:val="es-ES"/>
        </w:rPr>
      </w:pPr>
    </w:p>
    <w:p w:rsidR="00A71804" w:rsidRPr="00DC07FC" w:rsidRDefault="00A71804" w:rsidP="004C1136">
      <w:pPr>
        <w:pStyle w:val="ARTICULOS"/>
        <w:contextualSpacing/>
        <w:rPr>
          <w:rFonts w:cs="Arial"/>
          <w:b/>
          <w:color w:val="000000" w:themeColor="text1"/>
          <w:lang w:val="es-ES"/>
        </w:rPr>
      </w:pPr>
      <w:r w:rsidRPr="00DC07FC">
        <w:rPr>
          <w:rFonts w:cs="Arial"/>
          <w:b/>
          <w:color w:val="000000" w:themeColor="text1"/>
          <w:lang w:val="es-ES"/>
        </w:rPr>
        <w:t>Comercializador de oferta:</w:t>
      </w:r>
      <w:r w:rsidRPr="00DC07FC">
        <w:rPr>
          <w:rFonts w:cs="Arial"/>
          <w:color w:val="000000" w:themeColor="text1"/>
          <w:lang w:val="es-ES"/>
        </w:rPr>
        <w:t xml:space="preserve"> </w:t>
      </w:r>
      <w:r w:rsidR="00D41AAD" w:rsidRPr="00DC07FC">
        <w:rPr>
          <w:rFonts w:cs="Arial"/>
          <w:color w:val="000000" w:themeColor="text1"/>
          <w:lang w:val="es-ES"/>
        </w:rPr>
        <w:t xml:space="preserve">Agente participante </w:t>
      </w:r>
      <w:r w:rsidRPr="00DC07FC">
        <w:rPr>
          <w:rFonts w:cs="Arial"/>
          <w:color w:val="000000" w:themeColor="text1"/>
          <w:lang w:val="es-ES"/>
        </w:rPr>
        <w:t xml:space="preserve">en el mercado </w:t>
      </w:r>
      <w:r w:rsidR="00D9496C" w:rsidRPr="00DC07FC">
        <w:rPr>
          <w:rFonts w:cs="Arial"/>
          <w:color w:val="000000" w:themeColor="text1"/>
          <w:lang w:val="es-ES"/>
        </w:rPr>
        <w:t>mayorista que vende</w:t>
      </w:r>
      <w:r w:rsidR="00CA42CA" w:rsidRPr="00DC07FC">
        <w:rPr>
          <w:rFonts w:cs="Arial"/>
          <w:color w:val="000000" w:themeColor="text1"/>
          <w:lang w:val="es-ES"/>
        </w:rPr>
        <w:t xml:space="preserve"> directamente</w:t>
      </w:r>
      <w:r w:rsidR="00FE5E2E" w:rsidRPr="00DC07FC">
        <w:rPr>
          <w:rFonts w:cs="Arial"/>
          <w:color w:val="000000" w:themeColor="text1"/>
          <w:lang w:val="es-ES"/>
        </w:rPr>
        <w:t>,</w:t>
      </w:r>
      <w:r w:rsidR="00D9496C" w:rsidRPr="00DC07FC">
        <w:rPr>
          <w:rFonts w:cs="Arial"/>
          <w:color w:val="000000" w:themeColor="text1"/>
          <w:lang w:val="es-ES"/>
        </w:rPr>
        <w:t xml:space="preserve"> al por mayor </w:t>
      </w:r>
      <w:r w:rsidR="00C51F2E" w:rsidRPr="00DC07FC">
        <w:rPr>
          <w:rFonts w:cs="Arial"/>
          <w:color w:val="000000" w:themeColor="text1"/>
          <w:lang w:val="es-ES"/>
        </w:rPr>
        <w:t>y a gran</w:t>
      </w:r>
      <w:r w:rsidR="00C17007" w:rsidRPr="00DC07FC">
        <w:rPr>
          <w:rFonts w:cs="Arial"/>
          <w:color w:val="000000" w:themeColor="text1"/>
          <w:lang w:val="es-ES"/>
        </w:rPr>
        <w:t>el</w:t>
      </w:r>
      <w:r w:rsidR="00FE5E2E" w:rsidRPr="00DC07FC">
        <w:rPr>
          <w:rFonts w:cs="Arial"/>
          <w:color w:val="000000" w:themeColor="text1"/>
          <w:lang w:val="es-ES"/>
        </w:rPr>
        <w:t>,</w:t>
      </w:r>
      <w:r w:rsidR="00C17007" w:rsidRPr="00DC07FC">
        <w:rPr>
          <w:rFonts w:cs="Arial"/>
          <w:color w:val="000000" w:themeColor="text1"/>
          <w:lang w:val="es-ES"/>
        </w:rPr>
        <w:t xml:space="preserve"> </w:t>
      </w:r>
      <w:r w:rsidR="005B6699" w:rsidRPr="00DC07FC">
        <w:rPr>
          <w:rFonts w:cs="Arial"/>
          <w:color w:val="000000" w:themeColor="text1"/>
          <w:lang w:val="es-ES"/>
        </w:rPr>
        <w:t xml:space="preserve">el </w:t>
      </w:r>
      <w:r w:rsidR="00CA42CA" w:rsidRPr="00DC07FC">
        <w:rPr>
          <w:rFonts w:cs="Arial"/>
          <w:color w:val="000000" w:themeColor="text1"/>
          <w:lang w:val="es-ES"/>
        </w:rPr>
        <w:t>GLP que produce o importa</w:t>
      </w:r>
      <w:r w:rsidR="00466F1B" w:rsidRPr="00DC07FC">
        <w:rPr>
          <w:rFonts w:cs="Arial"/>
          <w:color w:val="000000" w:themeColor="text1"/>
          <w:lang w:val="es-ES"/>
        </w:rPr>
        <w:t>.</w:t>
      </w:r>
    </w:p>
    <w:p w:rsidR="00EE2700" w:rsidRPr="00DC07FC" w:rsidRDefault="00EE2700" w:rsidP="004C1136">
      <w:pPr>
        <w:pStyle w:val="ARTICULOS"/>
        <w:contextualSpacing/>
        <w:rPr>
          <w:lang w:val="es-ES"/>
        </w:rPr>
      </w:pPr>
    </w:p>
    <w:p w:rsidR="000E5528" w:rsidRDefault="00EE2700" w:rsidP="004C1136">
      <w:pPr>
        <w:pStyle w:val="ARTICULOS"/>
        <w:contextualSpacing/>
        <w:rPr>
          <w:lang w:val="es-CO"/>
        </w:rPr>
      </w:pPr>
      <w:r w:rsidRPr="00DC07FC">
        <w:rPr>
          <w:b/>
          <w:lang w:val="es-CO"/>
        </w:rPr>
        <w:t>Comercializador mayorista de GLP:</w:t>
      </w:r>
      <w:r w:rsidRPr="00DC07FC">
        <w:rPr>
          <w:lang w:val="es-CO"/>
        </w:rPr>
        <w:t xml:space="preserve"> Empresa de servicios públ</w:t>
      </w:r>
      <w:r w:rsidR="00CA42CA" w:rsidRPr="00DC07FC">
        <w:rPr>
          <w:lang w:val="es-CO"/>
        </w:rPr>
        <w:t>icos, salvo lo dispuesto en el a</w:t>
      </w:r>
      <w:r w:rsidRPr="00DC07FC">
        <w:rPr>
          <w:lang w:val="es-CO"/>
        </w:rPr>
        <w:t xml:space="preserve">rtículo 15.2 de la Ley 142 de 1994, cuya actividad es la </w:t>
      </w:r>
      <w:r w:rsidRPr="00DC07FC">
        <w:rPr>
          <w:lang w:val="es-CO"/>
        </w:rPr>
        <w:lastRenderedPageBreak/>
        <w:t>comercializació</w:t>
      </w:r>
      <w:r w:rsidR="000A2407" w:rsidRPr="00DC07FC">
        <w:rPr>
          <w:lang w:val="es-CO"/>
        </w:rPr>
        <w:t xml:space="preserve">n mayorista de GLP a </w:t>
      </w:r>
      <w:r w:rsidR="00FE5E2E" w:rsidRPr="00DC07FC">
        <w:rPr>
          <w:lang w:val="es-CO"/>
        </w:rPr>
        <w:t xml:space="preserve">otros comercializadores mayoristas de GLP, </w:t>
      </w:r>
      <w:r w:rsidR="000A2407" w:rsidRPr="00DC07FC">
        <w:rPr>
          <w:lang w:val="es-CO"/>
        </w:rPr>
        <w:t>distribuidores</w:t>
      </w:r>
      <w:r w:rsidRPr="00DC07FC">
        <w:rPr>
          <w:lang w:val="es-CO"/>
        </w:rPr>
        <w:t xml:space="preserve"> y usuarios no regulados.</w:t>
      </w:r>
      <w:r w:rsidR="00597547" w:rsidRPr="00DC07FC">
        <w:rPr>
          <w:lang w:val="es-CO"/>
        </w:rPr>
        <w:t xml:space="preserve"> Son comercializadores mayoristas los comercializadores de demanda y los comercializadores de oferta.</w:t>
      </w:r>
    </w:p>
    <w:p w:rsidR="00137891" w:rsidRDefault="00137891" w:rsidP="004C1136">
      <w:pPr>
        <w:pStyle w:val="ARTICULOS"/>
        <w:contextualSpacing/>
        <w:rPr>
          <w:lang w:val="es-CO"/>
        </w:rPr>
      </w:pPr>
    </w:p>
    <w:p w:rsidR="00EE2700" w:rsidRPr="00DC07FC" w:rsidRDefault="00EE2700" w:rsidP="004C1136">
      <w:pPr>
        <w:pStyle w:val="ARTICULOS"/>
        <w:contextualSpacing/>
        <w:rPr>
          <w:lang w:val="es-CO"/>
        </w:rPr>
      </w:pPr>
      <w:r w:rsidRPr="00DC07FC">
        <w:rPr>
          <w:b/>
          <w:lang w:val="es-CO"/>
        </w:rPr>
        <w:t>Contrato de suministro:</w:t>
      </w:r>
      <w:r w:rsidRPr="00DC07FC">
        <w:rPr>
          <w:lang w:val="es-CO"/>
        </w:rPr>
        <w:t xml:space="preserve"> </w:t>
      </w:r>
      <w:r w:rsidR="00120BD1" w:rsidRPr="00DC07FC">
        <w:rPr>
          <w:lang w:val="es-CO"/>
        </w:rPr>
        <w:t>Negocio jurídico</w:t>
      </w:r>
      <w:r w:rsidR="003B34F3" w:rsidRPr="00DC07FC">
        <w:rPr>
          <w:lang w:val="es-CO"/>
        </w:rPr>
        <w:t xml:space="preserve">, reflejado en un documento </w:t>
      </w:r>
      <w:r w:rsidRPr="00DC07FC">
        <w:rPr>
          <w:lang w:val="es-CO"/>
        </w:rPr>
        <w:t>escrito</w:t>
      </w:r>
      <w:r w:rsidR="003B34F3" w:rsidRPr="00DC07FC">
        <w:rPr>
          <w:lang w:val="es-CO"/>
        </w:rPr>
        <w:t>, que es</w:t>
      </w:r>
      <w:r w:rsidRPr="00DC07FC">
        <w:rPr>
          <w:lang w:val="es-CO"/>
        </w:rPr>
        <w:t xml:space="preserve"> celebrado entre un </w:t>
      </w:r>
      <w:r w:rsidR="00B73B5C" w:rsidRPr="00DC07FC">
        <w:rPr>
          <w:lang w:val="es-CO"/>
        </w:rPr>
        <w:t>c</w:t>
      </w:r>
      <w:r w:rsidRPr="00DC07FC">
        <w:rPr>
          <w:lang w:val="es-CO"/>
        </w:rPr>
        <w:t xml:space="preserve">omercializador </w:t>
      </w:r>
      <w:r w:rsidR="00B73B5C" w:rsidRPr="00DC07FC">
        <w:rPr>
          <w:lang w:val="es-CO"/>
        </w:rPr>
        <w:t>m</w:t>
      </w:r>
      <w:r w:rsidRPr="00DC07FC">
        <w:rPr>
          <w:lang w:val="es-CO"/>
        </w:rPr>
        <w:t xml:space="preserve">ayorista y </w:t>
      </w:r>
      <w:r w:rsidR="00B73B5C" w:rsidRPr="00DC07FC">
        <w:rPr>
          <w:lang w:val="es-CO"/>
        </w:rPr>
        <w:t>otro comercializador mayorista</w:t>
      </w:r>
      <w:r w:rsidR="00C51F2E" w:rsidRPr="00DC07FC">
        <w:rPr>
          <w:lang w:val="es-CO"/>
        </w:rPr>
        <w:t>,</w:t>
      </w:r>
      <w:r w:rsidR="00B73B5C" w:rsidRPr="00DC07FC">
        <w:rPr>
          <w:lang w:val="es-CO"/>
        </w:rPr>
        <w:t xml:space="preserve"> </w:t>
      </w:r>
      <w:r w:rsidRPr="00DC07FC">
        <w:rPr>
          <w:lang w:val="es-CO"/>
        </w:rPr>
        <w:t xml:space="preserve">un </w:t>
      </w:r>
      <w:r w:rsidR="00B73B5C" w:rsidRPr="00DC07FC">
        <w:rPr>
          <w:lang w:val="es-CO"/>
        </w:rPr>
        <w:t>d</w:t>
      </w:r>
      <w:r w:rsidRPr="00DC07FC">
        <w:rPr>
          <w:lang w:val="es-CO"/>
        </w:rPr>
        <w:t xml:space="preserve">istribuidor o un </w:t>
      </w:r>
      <w:r w:rsidR="00B73B5C" w:rsidRPr="00DC07FC">
        <w:rPr>
          <w:lang w:val="es-CO"/>
        </w:rPr>
        <w:t>u</w:t>
      </w:r>
      <w:r w:rsidRPr="00DC07FC">
        <w:rPr>
          <w:lang w:val="es-CO"/>
        </w:rPr>
        <w:t xml:space="preserve">suario </w:t>
      </w:r>
      <w:r w:rsidR="00B73B5C" w:rsidRPr="00DC07FC">
        <w:rPr>
          <w:lang w:val="es-CO"/>
        </w:rPr>
        <w:t>n</w:t>
      </w:r>
      <w:r w:rsidRPr="00DC07FC">
        <w:rPr>
          <w:lang w:val="es-CO"/>
        </w:rPr>
        <w:t xml:space="preserve">o </w:t>
      </w:r>
      <w:r w:rsidR="00B73B5C" w:rsidRPr="00DC07FC">
        <w:rPr>
          <w:lang w:val="es-CO"/>
        </w:rPr>
        <w:t>r</w:t>
      </w:r>
      <w:r w:rsidRPr="00DC07FC">
        <w:rPr>
          <w:lang w:val="es-CO"/>
        </w:rPr>
        <w:t>egulado, para la venta por parte del primero y la compra por parte del segundo, d</w:t>
      </w:r>
      <w:r w:rsidR="00C51F2E" w:rsidRPr="00DC07FC">
        <w:rPr>
          <w:lang w:val="es-CO"/>
        </w:rPr>
        <w:t>e GLP al por mayor y a granel</w:t>
      </w:r>
      <w:r w:rsidR="000F154A" w:rsidRPr="00DC07FC">
        <w:rPr>
          <w:lang w:val="es-CO"/>
        </w:rPr>
        <w:t>, de acuerdo con lo dispuesto en esta resolución</w:t>
      </w:r>
      <w:r w:rsidR="00C51F2E" w:rsidRPr="00DC07FC">
        <w:rPr>
          <w:lang w:val="es-CO"/>
        </w:rPr>
        <w:t>.</w:t>
      </w:r>
      <w:r w:rsidR="00904339" w:rsidRPr="00DC07FC">
        <w:rPr>
          <w:lang w:val="es-CO"/>
        </w:rPr>
        <w:t xml:space="preserve"> El contrato de suministro estará sometido a l</w:t>
      </w:r>
      <w:r w:rsidR="00877B28" w:rsidRPr="00DC07FC">
        <w:rPr>
          <w:lang w:val="es-CO"/>
        </w:rPr>
        <w:t>a regulación que expida la CREG y</w:t>
      </w:r>
      <w:r w:rsidR="00904339" w:rsidRPr="00DC07FC">
        <w:rPr>
          <w:lang w:val="es-CO"/>
        </w:rPr>
        <w:t xml:space="preserve"> a las normas pertinentes de la Ley 142 de 1994 y del derecho privado.</w:t>
      </w:r>
    </w:p>
    <w:p w:rsidR="00E66BF9" w:rsidRPr="00DC07FC" w:rsidRDefault="00E66BF9" w:rsidP="004C1136">
      <w:pPr>
        <w:pStyle w:val="ARTICULOS"/>
        <w:contextualSpacing/>
        <w:rPr>
          <w:lang w:val="es-CO"/>
        </w:rPr>
      </w:pPr>
    </w:p>
    <w:p w:rsidR="00120BD1" w:rsidRPr="00DC07FC" w:rsidRDefault="00E66BF9" w:rsidP="004C1136">
      <w:pPr>
        <w:pStyle w:val="ARTICULOS"/>
        <w:contextualSpacing/>
        <w:rPr>
          <w:lang w:val="es-ES"/>
        </w:rPr>
      </w:pPr>
      <w:r w:rsidRPr="00DC07FC">
        <w:rPr>
          <w:b/>
          <w:lang w:val="es-ES"/>
        </w:rPr>
        <w:t>Contrato firme:</w:t>
      </w:r>
      <w:r w:rsidR="000F154A" w:rsidRPr="00DC07FC">
        <w:rPr>
          <w:lang w:val="es-ES"/>
        </w:rPr>
        <w:t xml:space="preserve"> </w:t>
      </w:r>
      <w:r w:rsidR="0008024D" w:rsidRPr="00DC07FC">
        <w:rPr>
          <w:lang w:val="es-ES"/>
        </w:rPr>
        <w:t>Contrato en el que el vendedor se compromete a entregar y el comprador se compromete a recibir una cantidad de GLP, garantizada mensualmente, durante el periodo pactado en el contrato</w:t>
      </w:r>
      <w:r w:rsidRPr="00DC07FC">
        <w:rPr>
          <w:lang w:val="es-ES"/>
        </w:rPr>
        <w:t>.</w:t>
      </w:r>
    </w:p>
    <w:p w:rsidR="00120BD1" w:rsidRPr="00DC07FC" w:rsidRDefault="00120BD1" w:rsidP="004C1136">
      <w:pPr>
        <w:pStyle w:val="ARTICULOS"/>
        <w:contextualSpacing/>
        <w:rPr>
          <w:lang w:val="es-ES"/>
        </w:rPr>
      </w:pPr>
    </w:p>
    <w:p w:rsidR="00991159" w:rsidRPr="00DC07FC" w:rsidRDefault="00991159" w:rsidP="004C1136">
      <w:pPr>
        <w:pStyle w:val="ARTICULOS"/>
        <w:contextualSpacing/>
        <w:rPr>
          <w:lang w:val="es-CO"/>
        </w:rPr>
      </w:pPr>
      <w:r w:rsidRPr="00DC07FC">
        <w:rPr>
          <w:b/>
          <w:lang w:val="es-CO"/>
        </w:rPr>
        <w:t>Distribuidor de GLP:</w:t>
      </w:r>
      <w:r w:rsidRPr="00DC07FC">
        <w:rPr>
          <w:lang w:val="es-CO"/>
        </w:rPr>
        <w:t xml:space="preserve"> </w:t>
      </w:r>
      <w:r w:rsidR="00010B50" w:rsidRPr="00DC07FC">
        <w:rPr>
          <w:lang w:val="es-CO"/>
        </w:rPr>
        <w:t>E</w:t>
      </w:r>
      <w:r w:rsidRPr="00DC07FC">
        <w:rPr>
          <w:lang w:val="es-CO"/>
        </w:rPr>
        <w:t>mpresa de servicios públicos domiciliarios que</w:t>
      </w:r>
      <w:r w:rsidR="008334C7">
        <w:rPr>
          <w:lang w:val="es-CO"/>
        </w:rPr>
        <w:t>,</w:t>
      </w:r>
      <w:r w:rsidRPr="00DC07FC">
        <w:rPr>
          <w:lang w:val="es-CO"/>
        </w:rPr>
        <w:t xml:space="preserve"> cumpliendo con</w:t>
      </w:r>
      <w:r w:rsidR="000F154A" w:rsidRPr="00DC07FC">
        <w:rPr>
          <w:lang w:val="es-CO"/>
        </w:rPr>
        <w:t xml:space="preserve"> los requisitos exigidos en la r</w:t>
      </w:r>
      <w:r w:rsidRPr="00DC07FC">
        <w:rPr>
          <w:lang w:val="es-CO"/>
        </w:rPr>
        <w:t>egulación, realiza la actividad de distribución de GLP</w:t>
      </w:r>
      <w:r w:rsidR="000F154A" w:rsidRPr="00DC07FC">
        <w:rPr>
          <w:lang w:val="es-CO"/>
        </w:rPr>
        <w:t xml:space="preserve"> en los términos de la Resolución CREG 023 de 2008, o aquella que la modifique o sustituya</w:t>
      </w:r>
      <w:r w:rsidRPr="00DC07FC">
        <w:rPr>
          <w:lang w:val="es-CO"/>
        </w:rPr>
        <w:t>.</w:t>
      </w:r>
    </w:p>
    <w:p w:rsidR="00EE2700" w:rsidRPr="00DC07FC" w:rsidRDefault="00EE2700" w:rsidP="004C1136">
      <w:pPr>
        <w:pStyle w:val="ARTICULOS"/>
        <w:contextualSpacing/>
        <w:rPr>
          <w:lang w:val="es-CO"/>
        </w:rPr>
      </w:pPr>
    </w:p>
    <w:p w:rsidR="00612A8A" w:rsidRPr="00DC07FC" w:rsidRDefault="004B0D9C" w:rsidP="004C1136">
      <w:pPr>
        <w:pStyle w:val="ARTICULOS"/>
        <w:contextualSpacing/>
        <w:rPr>
          <w:lang w:val="es-CO"/>
        </w:rPr>
      </w:pPr>
      <w:r w:rsidRPr="00DC07FC">
        <w:rPr>
          <w:b/>
          <w:lang w:val="es-CO"/>
        </w:rPr>
        <w:t>Eventos de fuerza mayor o caso fortuito</w:t>
      </w:r>
      <w:r w:rsidR="00612A8A" w:rsidRPr="00DC07FC">
        <w:rPr>
          <w:b/>
          <w:lang w:val="es-CO"/>
        </w:rPr>
        <w:t>:</w:t>
      </w:r>
      <w:r w:rsidR="00612A8A" w:rsidRPr="00DC07FC">
        <w:rPr>
          <w:lang w:val="es-CO"/>
        </w:rPr>
        <w:t xml:space="preserve"> </w:t>
      </w:r>
      <w:r w:rsidR="00010B50" w:rsidRPr="00DC07FC">
        <w:rPr>
          <w:lang w:val="es-CO"/>
        </w:rPr>
        <w:t>E</w:t>
      </w:r>
      <w:r w:rsidR="00612A8A" w:rsidRPr="00DC07FC">
        <w:rPr>
          <w:lang w:val="es-CO"/>
        </w:rPr>
        <w:t xml:space="preserve">ventos que de acuerdo con los artículos 64 del Código Civil y 992 del Código de Comercio, o aquellos que los modifiquen o sustituyan, eximen de la responsabilidad por incumplimiento parcial o total de obligaciones contractuales, si el mismo se deriva de ellos. Dichos </w:t>
      </w:r>
      <w:r w:rsidRPr="00DC07FC">
        <w:rPr>
          <w:lang w:val="es-CO"/>
        </w:rPr>
        <w:t>eventos deben ser imprevisibles e</w:t>
      </w:r>
      <w:r w:rsidR="00612A8A" w:rsidRPr="00DC07FC">
        <w:rPr>
          <w:lang w:val="es-CO"/>
        </w:rPr>
        <w:t xml:space="preserve"> irresistibles</w:t>
      </w:r>
      <w:r w:rsidR="008334C7">
        <w:rPr>
          <w:lang w:val="es-CO"/>
        </w:rPr>
        <w:t>.</w:t>
      </w:r>
    </w:p>
    <w:p w:rsidR="004B0D9C" w:rsidRPr="00DC07FC" w:rsidRDefault="004B0D9C" w:rsidP="004C1136">
      <w:pPr>
        <w:pStyle w:val="ARTICULOS"/>
        <w:contextualSpacing/>
        <w:rPr>
          <w:lang w:val="es-CO"/>
        </w:rPr>
      </w:pPr>
    </w:p>
    <w:p w:rsidR="00A71804" w:rsidRPr="00DC07FC" w:rsidRDefault="00612A8A" w:rsidP="004C1136">
      <w:pPr>
        <w:pStyle w:val="ARTICULOS"/>
        <w:contextualSpacing/>
        <w:rPr>
          <w:lang w:val="es-CO"/>
        </w:rPr>
      </w:pPr>
      <w:r w:rsidRPr="00DC07FC">
        <w:rPr>
          <w:b/>
          <w:lang w:val="es-CO"/>
        </w:rPr>
        <w:t>Eventos eximentes de responsabilidad:</w:t>
      </w:r>
      <w:r w:rsidRPr="00DC07FC">
        <w:rPr>
          <w:lang w:val="es-CO"/>
        </w:rPr>
        <w:t xml:space="preserve"> </w:t>
      </w:r>
      <w:r w:rsidR="00010B50" w:rsidRPr="00DC07FC">
        <w:rPr>
          <w:lang w:val="es-CO"/>
        </w:rPr>
        <w:t>E</w:t>
      </w:r>
      <w:r w:rsidRPr="00DC07FC">
        <w:rPr>
          <w:lang w:val="es-CO"/>
        </w:rPr>
        <w:t xml:space="preserve">ventos taxativamente establecidos en la presente </w:t>
      </w:r>
      <w:r w:rsidR="00FF5121" w:rsidRPr="00DC07FC">
        <w:rPr>
          <w:lang w:val="es-CO"/>
        </w:rPr>
        <w:t>r</w:t>
      </w:r>
      <w:r w:rsidRPr="00DC07FC">
        <w:rPr>
          <w:lang w:val="es-CO"/>
        </w:rPr>
        <w:t>esolución, distintos a los eventos de fuerza mayor</w:t>
      </w:r>
      <w:r w:rsidR="004B0D9C" w:rsidRPr="00DC07FC">
        <w:rPr>
          <w:lang w:val="es-CO"/>
        </w:rPr>
        <w:t xml:space="preserve"> o</w:t>
      </w:r>
      <w:r w:rsidRPr="00DC07FC">
        <w:rPr>
          <w:lang w:val="es-CO"/>
        </w:rPr>
        <w:t xml:space="preserve"> caso fortuito, que eximen de responsabilidad a los participantes del mercado por incumplimiento parcial o total de obligaciones contractuales, si éste se deriva de ellos, por estar razonablemente fuera de control de la parte que lo alega pese a la oportuna diligencia y cuidado debidos por dicha parte para prevenir o impedir su acaeci</w:t>
      </w:r>
      <w:r w:rsidR="004F3263" w:rsidRPr="00DC07FC">
        <w:rPr>
          <w:lang w:val="es-CO"/>
        </w:rPr>
        <w:t>miento o los efectos del mismo.</w:t>
      </w:r>
    </w:p>
    <w:p w:rsidR="00E66BF9" w:rsidRPr="00DC07FC" w:rsidRDefault="00E66BF9" w:rsidP="004C1136">
      <w:pPr>
        <w:pStyle w:val="ARTICULOS"/>
        <w:contextualSpacing/>
        <w:rPr>
          <w:lang w:val="es-CO"/>
        </w:rPr>
      </w:pPr>
    </w:p>
    <w:p w:rsidR="00E66BF9" w:rsidRPr="00DC07FC" w:rsidRDefault="00E66BF9" w:rsidP="004C1136">
      <w:pPr>
        <w:pStyle w:val="ARTICULOS"/>
        <w:contextualSpacing/>
        <w:rPr>
          <w:lang w:val="es-ES"/>
        </w:rPr>
      </w:pPr>
      <w:r w:rsidRPr="00DC07FC">
        <w:rPr>
          <w:b/>
          <w:lang w:val="es-ES"/>
        </w:rPr>
        <w:t>Gas licuado de petróleo (GLP):</w:t>
      </w:r>
      <w:r w:rsidRPr="00DC07FC">
        <w:rPr>
          <w:lang w:val="es-ES"/>
        </w:rPr>
        <w:t xml:space="preserve"> </w:t>
      </w:r>
      <w:r w:rsidR="00010B50" w:rsidRPr="00DC07FC">
        <w:rPr>
          <w:lang w:val="es-ES"/>
        </w:rPr>
        <w:t>M</w:t>
      </w:r>
      <w:r w:rsidRPr="00DC07FC">
        <w:rPr>
          <w:lang w:val="es-ES"/>
        </w:rPr>
        <w:t xml:space="preserve">ezcla de hidrocarburos extraídos del procesamiento del gas natural o del petróleo, gaseosos en condiciones atmosféricas, que se licuan fácilmente por enfriamiento o compresión. El GLP está constituido principalmente por propano y butano y </w:t>
      </w:r>
      <w:r w:rsidR="001424F8" w:rsidRPr="00DC07FC">
        <w:rPr>
          <w:lang w:val="es-ES"/>
        </w:rPr>
        <w:t xml:space="preserve">debe cumplir </w:t>
      </w:r>
      <w:r w:rsidRPr="00DC07FC">
        <w:rPr>
          <w:lang w:val="es-ES"/>
        </w:rPr>
        <w:t>con las especificaciones de calidad contenidas en la norma NTC-2303 o aquellas que la modifiquen o sustituyan.</w:t>
      </w:r>
    </w:p>
    <w:p w:rsidR="00E66BF9" w:rsidRPr="00DC07FC" w:rsidRDefault="00E66BF9" w:rsidP="004C1136">
      <w:pPr>
        <w:pStyle w:val="ARTICULOS"/>
        <w:contextualSpacing/>
        <w:rPr>
          <w:lang w:val="es-CO"/>
        </w:rPr>
      </w:pPr>
    </w:p>
    <w:p w:rsidR="00A71804" w:rsidRPr="00DC07FC" w:rsidRDefault="00A71804" w:rsidP="004C1136">
      <w:pPr>
        <w:pStyle w:val="ARTICULOS"/>
        <w:contextualSpacing/>
        <w:rPr>
          <w:rFonts w:cs="Arial"/>
          <w:b/>
          <w:color w:val="000000" w:themeColor="text1"/>
          <w:lang w:val="es-ES"/>
        </w:rPr>
      </w:pPr>
      <w:r w:rsidRPr="00DC07FC">
        <w:rPr>
          <w:rFonts w:cs="Arial"/>
          <w:b/>
          <w:color w:val="000000" w:themeColor="text1"/>
          <w:lang w:val="es-ES"/>
        </w:rPr>
        <w:t>Gestor</w:t>
      </w:r>
      <w:r w:rsidR="00F43E9B" w:rsidRPr="00DC07FC">
        <w:rPr>
          <w:rFonts w:cs="Arial"/>
          <w:b/>
          <w:color w:val="000000" w:themeColor="text1"/>
          <w:lang w:val="es-ES"/>
        </w:rPr>
        <w:t xml:space="preserve"> del mercado</w:t>
      </w:r>
      <w:r w:rsidR="001424F8" w:rsidRPr="00DC07FC">
        <w:rPr>
          <w:rFonts w:cs="Arial"/>
          <w:b/>
          <w:color w:val="000000" w:themeColor="text1"/>
          <w:lang w:val="es-ES"/>
        </w:rPr>
        <w:t xml:space="preserve"> de GLP</w:t>
      </w:r>
      <w:r w:rsidRPr="00DC07FC">
        <w:rPr>
          <w:rFonts w:cs="Arial"/>
          <w:b/>
          <w:color w:val="000000" w:themeColor="text1"/>
          <w:lang w:val="es-ES"/>
        </w:rPr>
        <w:t>:</w:t>
      </w:r>
      <w:r w:rsidRPr="00DC07FC">
        <w:rPr>
          <w:rFonts w:cs="Arial"/>
          <w:color w:val="000000" w:themeColor="text1"/>
          <w:lang w:val="es-ES"/>
        </w:rPr>
        <w:t xml:space="preserve"> </w:t>
      </w:r>
      <w:r w:rsidR="00A2666B" w:rsidRPr="00DC07FC">
        <w:rPr>
          <w:rFonts w:cs="Arial"/>
          <w:color w:val="000000" w:themeColor="text1"/>
          <w:lang w:val="es-ES"/>
        </w:rPr>
        <w:t>R</w:t>
      </w:r>
      <w:r w:rsidRPr="00DC07FC">
        <w:rPr>
          <w:rFonts w:cs="Arial"/>
          <w:color w:val="000000" w:themeColor="text1"/>
          <w:lang w:val="es-ES"/>
        </w:rPr>
        <w:t xml:space="preserve">esponsable de la prestación de los servicios de gestión del mercado </w:t>
      </w:r>
      <w:r w:rsidR="00D62EF4" w:rsidRPr="00DC07FC">
        <w:rPr>
          <w:rFonts w:cs="Arial"/>
          <w:color w:val="000000" w:themeColor="text1"/>
          <w:lang w:val="es-ES"/>
        </w:rPr>
        <w:t>mayorista de GLP</w:t>
      </w:r>
      <w:r w:rsidRPr="00DC07FC">
        <w:rPr>
          <w:rFonts w:cs="Arial"/>
          <w:color w:val="000000" w:themeColor="text1"/>
          <w:lang w:val="es-ES"/>
        </w:rPr>
        <w:t>, en los</w:t>
      </w:r>
      <w:r w:rsidR="00D62EF4" w:rsidRPr="00DC07FC">
        <w:rPr>
          <w:rFonts w:cs="Arial"/>
          <w:color w:val="000000" w:themeColor="text1"/>
          <w:lang w:val="es-ES"/>
        </w:rPr>
        <w:t xml:space="preserve"> términos establecidos en esta r</w:t>
      </w:r>
      <w:r w:rsidRPr="00DC07FC">
        <w:rPr>
          <w:rFonts w:cs="Arial"/>
          <w:color w:val="000000" w:themeColor="text1"/>
          <w:lang w:val="es-ES"/>
        </w:rPr>
        <w:t>esolución.</w:t>
      </w:r>
    </w:p>
    <w:p w:rsidR="00EE2700" w:rsidRPr="00DC07FC" w:rsidRDefault="00EE2700" w:rsidP="004C1136">
      <w:pPr>
        <w:pStyle w:val="ARTICULOS"/>
        <w:contextualSpacing/>
        <w:rPr>
          <w:lang w:val="es-ES"/>
        </w:rPr>
      </w:pPr>
    </w:p>
    <w:p w:rsidR="00991159" w:rsidRPr="00DC07FC" w:rsidRDefault="00991159" w:rsidP="004C1136">
      <w:pPr>
        <w:pStyle w:val="ARTICULOS"/>
        <w:contextualSpacing/>
        <w:rPr>
          <w:lang w:val="es-CO"/>
        </w:rPr>
      </w:pPr>
      <w:r w:rsidRPr="00DC07FC">
        <w:rPr>
          <w:b/>
          <w:lang w:val="es-CO"/>
        </w:rPr>
        <w:t>Mercado mayorista de GLP:</w:t>
      </w:r>
      <w:r w:rsidR="00250DF9" w:rsidRPr="00DC07FC">
        <w:rPr>
          <w:lang w:val="es-CO"/>
        </w:rPr>
        <w:t xml:space="preserve"> </w:t>
      </w:r>
      <w:r w:rsidR="00010B50" w:rsidRPr="00DC07FC">
        <w:rPr>
          <w:lang w:val="es-CO"/>
        </w:rPr>
        <w:t xml:space="preserve">Conjunto de transacciones a través de las cuales </w:t>
      </w:r>
      <w:r w:rsidR="00250DF9" w:rsidRPr="00DC07FC">
        <w:rPr>
          <w:lang w:val="es-CO"/>
        </w:rPr>
        <w:t>los agentes</w:t>
      </w:r>
      <w:r w:rsidR="00DD7453" w:rsidRPr="00DC07FC">
        <w:rPr>
          <w:lang w:val="es-CO"/>
        </w:rPr>
        <w:t>,</w:t>
      </w:r>
      <w:r w:rsidR="00250DF9" w:rsidRPr="00DC07FC">
        <w:rPr>
          <w:lang w:val="es-CO"/>
        </w:rPr>
        <w:t xml:space="preserve"> definidos en esta resolución</w:t>
      </w:r>
      <w:r w:rsidR="00DD7453" w:rsidRPr="00DC07FC">
        <w:rPr>
          <w:lang w:val="es-CO"/>
        </w:rPr>
        <w:t>,</w:t>
      </w:r>
      <w:r w:rsidR="00250DF9" w:rsidRPr="00DC07FC">
        <w:rPr>
          <w:lang w:val="es-CO"/>
        </w:rPr>
        <w:t xml:space="preserve"> compran y venden GLP </w:t>
      </w:r>
      <w:r w:rsidR="00010B50" w:rsidRPr="00DC07FC">
        <w:rPr>
          <w:lang w:val="es-CO"/>
        </w:rPr>
        <w:t xml:space="preserve">al por mayor y a granel, </w:t>
      </w:r>
      <w:r w:rsidR="00250DF9" w:rsidRPr="00DC07FC">
        <w:rPr>
          <w:lang w:val="es-CO"/>
        </w:rPr>
        <w:t>con destino al servicio público domiciliario</w:t>
      </w:r>
      <w:r w:rsidR="00020488" w:rsidRPr="00DC07FC">
        <w:rPr>
          <w:lang w:val="es-CO"/>
        </w:rPr>
        <w:t xml:space="preserve"> o gas combustible</w:t>
      </w:r>
      <w:r w:rsidR="00250DF9" w:rsidRPr="00DC07FC">
        <w:rPr>
          <w:lang w:val="es-CO"/>
        </w:rPr>
        <w:t>.</w:t>
      </w:r>
    </w:p>
    <w:p w:rsidR="00E66BF9" w:rsidRDefault="00E66BF9" w:rsidP="004C1136">
      <w:pPr>
        <w:pStyle w:val="ARTICULOS"/>
        <w:contextualSpacing/>
        <w:rPr>
          <w:lang w:val="es-CO"/>
        </w:rPr>
      </w:pPr>
    </w:p>
    <w:p w:rsidR="005B21C4" w:rsidRPr="00DC07FC" w:rsidRDefault="005B21C4" w:rsidP="004C1136">
      <w:pPr>
        <w:pStyle w:val="ARTICULOS"/>
        <w:contextualSpacing/>
        <w:rPr>
          <w:lang w:val="es-CO"/>
        </w:rPr>
      </w:pPr>
    </w:p>
    <w:p w:rsidR="00B37041" w:rsidRPr="00DC07FC" w:rsidRDefault="00B37041" w:rsidP="00B37041">
      <w:pPr>
        <w:pStyle w:val="ARTICULOS"/>
        <w:contextualSpacing/>
        <w:rPr>
          <w:lang w:val="es-CO"/>
        </w:rPr>
      </w:pPr>
      <w:r w:rsidRPr="00DC07FC">
        <w:rPr>
          <w:b/>
          <w:lang w:val="es-CO"/>
        </w:rPr>
        <w:t>Mercado primario de GLP:</w:t>
      </w:r>
      <w:r w:rsidRPr="00DC07FC">
        <w:rPr>
          <w:lang w:val="es-CO"/>
        </w:rPr>
        <w:t xml:space="preserve"> Conjunto de transacciones a través de las cuales los </w:t>
      </w:r>
      <w:r w:rsidR="00C0213E" w:rsidRPr="00DC07FC">
        <w:rPr>
          <w:lang w:val="es-CO"/>
        </w:rPr>
        <w:t xml:space="preserve">comercializadores </w:t>
      </w:r>
      <w:r w:rsidR="002515B1" w:rsidRPr="00DC07FC">
        <w:rPr>
          <w:lang w:val="es-CO"/>
        </w:rPr>
        <w:t xml:space="preserve">de oferta </w:t>
      </w:r>
      <w:r w:rsidR="00F75A59" w:rsidRPr="00DC07FC">
        <w:rPr>
          <w:lang w:val="es-CO"/>
        </w:rPr>
        <w:t xml:space="preserve">ofrecen e </w:t>
      </w:r>
      <w:r w:rsidR="00D366EA" w:rsidRPr="00DC07FC">
        <w:rPr>
          <w:lang w:val="es-CO"/>
        </w:rPr>
        <w:t xml:space="preserve">incorporan </w:t>
      </w:r>
      <w:r w:rsidR="008A334C" w:rsidRPr="00DC07FC">
        <w:rPr>
          <w:lang w:val="es-CO"/>
        </w:rPr>
        <w:t>producto</w:t>
      </w:r>
      <w:r w:rsidR="00C0213E" w:rsidRPr="00DC07FC">
        <w:rPr>
          <w:lang w:val="es-CO"/>
        </w:rPr>
        <w:t xml:space="preserve">, </w:t>
      </w:r>
      <w:r w:rsidR="00C0213E" w:rsidRPr="00DC07FC">
        <w:rPr>
          <w:rFonts w:cs="Arial"/>
          <w:color w:val="000000" w:themeColor="text1"/>
          <w:lang w:val="es-ES"/>
        </w:rPr>
        <w:t xml:space="preserve">producido o importado por ellos o </w:t>
      </w:r>
      <w:r w:rsidR="00D366EA" w:rsidRPr="00DC07FC">
        <w:rPr>
          <w:rFonts w:cs="Arial"/>
          <w:color w:val="000000" w:themeColor="text1"/>
          <w:lang w:val="es-ES"/>
        </w:rPr>
        <w:t xml:space="preserve">por </w:t>
      </w:r>
      <w:r w:rsidR="00C0213E" w:rsidRPr="00DC07FC">
        <w:rPr>
          <w:rFonts w:cs="Arial"/>
          <w:color w:val="000000" w:themeColor="text1"/>
          <w:lang w:val="es-ES"/>
        </w:rPr>
        <w:t>terceros,</w:t>
      </w:r>
      <w:r w:rsidR="008A334C" w:rsidRPr="00DC07FC">
        <w:rPr>
          <w:lang w:val="es-CO"/>
        </w:rPr>
        <w:t xml:space="preserve"> </w:t>
      </w:r>
      <w:r w:rsidR="00020488" w:rsidRPr="00DC07FC">
        <w:rPr>
          <w:lang w:val="es-CO"/>
        </w:rPr>
        <w:t>con destino al servicio público domiciliario o gas combustible</w:t>
      </w:r>
      <w:r w:rsidRPr="00DC07FC">
        <w:rPr>
          <w:lang w:val="es-CO"/>
        </w:rPr>
        <w:t>.</w:t>
      </w:r>
    </w:p>
    <w:p w:rsidR="00C0213E" w:rsidRPr="00DC07FC" w:rsidRDefault="00C0213E" w:rsidP="004C1136">
      <w:pPr>
        <w:pStyle w:val="ARTICULOS"/>
        <w:contextualSpacing/>
        <w:rPr>
          <w:lang w:val="es-CO"/>
        </w:rPr>
      </w:pPr>
    </w:p>
    <w:p w:rsidR="00B37041" w:rsidRPr="00DC07FC" w:rsidRDefault="00B37041" w:rsidP="00B37041">
      <w:pPr>
        <w:pStyle w:val="ARTICULOS"/>
        <w:contextualSpacing/>
        <w:rPr>
          <w:lang w:val="es-CO"/>
        </w:rPr>
      </w:pPr>
      <w:r w:rsidRPr="00DC07FC">
        <w:rPr>
          <w:b/>
          <w:lang w:val="es-CO"/>
        </w:rPr>
        <w:t>Mercado secundario de GLP:</w:t>
      </w:r>
      <w:r w:rsidRPr="00DC07FC">
        <w:rPr>
          <w:lang w:val="es-CO"/>
        </w:rPr>
        <w:t xml:space="preserve"> Conjunto de transacciones a través de las cuales los </w:t>
      </w:r>
      <w:r w:rsidR="008A1A85" w:rsidRPr="00DC07FC">
        <w:rPr>
          <w:lang w:val="es-CO"/>
        </w:rPr>
        <w:t xml:space="preserve">agentes </w:t>
      </w:r>
      <w:r w:rsidRPr="00DC07FC">
        <w:rPr>
          <w:lang w:val="es-CO"/>
        </w:rPr>
        <w:t xml:space="preserve">compran y venden, al por mayor y a granel, producto que </w:t>
      </w:r>
      <w:r w:rsidR="00276EA2" w:rsidRPr="00DC07FC">
        <w:rPr>
          <w:lang w:val="es-CO"/>
        </w:rPr>
        <w:t xml:space="preserve">fue ofrecido mediante </w:t>
      </w:r>
      <w:r w:rsidR="008334C7">
        <w:rPr>
          <w:lang w:val="es-CO"/>
        </w:rPr>
        <w:t xml:space="preserve">la </w:t>
      </w:r>
      <w:r w:rsidR="00276EA2" w:rsidRPr="00DC07FC">
        <w:rPr>
          <w:lang w:val="es-CO"/>
        </w:rPr>
        <w:t>subasta</w:t>
      </w:r>
      <w:r w:rsidR="008334C7">
        <w:rPr>
          <w:lang w:val="es-CO"/>
        </w:rPr>
        <w:t xml:space="preserve"> de GLP o</w:t>
      </w:r>
      <w:r w:rsidR="00276EA2" w:rsidRPr="00DC07FC">
        <w:rPr>
          <w:lang w:val="es-CO"/>
        </w:rPr>
        <w:t xml:space="preserve"> </w:t>
      </w:r>
      <w:r w:rsidR="00F75A59" w:rsidRPr="00DC07FC">
        <w:rPr>
          <w:lang w:val="es-CO"/>
        </w:rPr>
        <w:t xml:space="preserve">el mecanismo de asignación administrada </w:t>
      </w:r>
      <w:r w:rsidR="00276EA2" w:rsidRPr="00DC07FC">
        <w:rPr>
          <w:lang w:val="es-CO"/>
        </w:rPr>
        <w:t xml:space="preserve">y no fue adjudicado </w:t>
      </w:r>
      <w:r w:rsidR="007E78B2" w:rsidRPr="00DC07FC">
        <w:rPr>
          <w:lang w:val="es-CO"/>
        </w:rPr>
        <w:t xml:space="preserve">en </w:t>
      </w:r>
      <w:r w:rsidR="00F75A59" w:rsidRPr="00DC07FC">
        <w:rPr>
          <w:lang w:val="es-CO"/>
        </w:rPr>
        <w:t>ninguno de ellos</w:t>
      </w:r>
      <w:r w:rsidR="007E78B2" w:rsidRPr="00DC07FC">
        <w:rPr>
          <w:lang w:val="es-CO"/>
        </w:rPr>
        <w:t xml:space="preserve"> </w:t>
      </w:r>
      <w:r w:rsidR="00276EA2" w:rsidRPr="00DC07FC">
        <w:rPr>
          <w:lang w:val="es-CO"/>
        </w:rPr>
        <w:t xml:space="preserve">o que </w:t>
      </w:r>
      <w:r w:rsidRPr="00DC07FC">
        <w:rPr>
          <w:lang w:val="es-CO"/>
        </w:rPr>
        <w:t xml:space="preserve">ya ha </w:t>
      </w:r>
      <w:r w:rsidR="008A1A85" w:rsidRPr="00DC07FC">
        <w:rPr>
          <w:lang w:val="es-CO"/>
        </w:rPr>
        <w:t xml:space="preserve">sido </w:t>
      </w:r>
      <w:r w:rsidR="00FC28C2" w:rsidRPr="00DC07FC">
        <w:rPr>
          <w:lang w:val="es-CO"/>
        </w:rPr>
        <w:t xml:space="preserve">incorporado </w:t>
      </w:r>
      <w:r w:rsidRPr="00DC07FC">
        <w:rPr>
          <w:lang w:val="es-CO"/>
        </w:rPr>
        <w:t xml:space="preserve">a la cadena </w:t>
      </w:r>
      <w:r w:rsidR="00020488" w:rsidRPr="00DC07FC">
        <w:rPr>
          <w:lang w:val="es-CO"/>
        </w:rPr>
        <w:t>con destino al servicio público domiciliario o gas combustible</w:t>
      </w:r>
      <w:r w:rsidRPr="00DC07FC">
        <w:rPr>
          <w:lang w:val="es-CO"/>
        </w:rPr>
        <w:t>.</w:t>
      </w:r>
    </w:p>
    <w:p w:rsidR="00DD5227" w:rsidRPr="00DC07FC" w:rsidRDefault="00DD5227" w:rsidP="004C1136">
      <w:pPr>
        <w:pStyle w:val="ARTICULOS"/>
        <w:contextualSpacing/>
        <w:rPr>
          <w:rFonts w:cs="Arial"/>
          <w:bCs w:val="0"/>
          <w:color w:val="000000" w:themeColor="text1"/>
          <w:lang w:val="es-CO"/>
        </w:rPr>
      </w:pPr>
    </w:p>
    <w:p w:rsidR="00DD5227" w:rsidRPr="00DC07FC" w:rsidRDefault="00DD5227" w:rsidP="004C1136">
      <w:pPr>
        <w:pStyle w:val="ARTICULOS"/>
        <w:contextualSpacing/>
        <w:rPr>
          <w:lang w:val="es-CO"/>
        </w:rPr>
      </w:pPr>
      <w:r w:rsidRPr="00DC07FC">
        <w:rPr>
          <w:rFonts w:cs="Arial"/>
          <w:b/>
          <w:bCs w:val="0"/>
          <w:color w:val="000000" w:themeColor="text1"/>
          <w:lang w:val="es-CO"/>
        </w:rPr>
        <w:t>Producto total disponible para la venta</w:t>
      </w:r>
      <w:r w:rsidR="0007024B">
        <w:rPr>
          <w:rFonts w:cs="Arial"/>
          <w:b/>
          <w:bCs w:val="0"/>
          <w:color w:val="000000" w:themeColor="text1"/>
          <w:lang w:val="es-CO"/>
        </w:rPr>
        <w:t xml:space="preserve"> - PTDV</w:t>
      </w:r>
      <w:r w:rsidRPr="00DC07FC">
        <w:rPr>
          <w:rFonts w:cs="Arial"/>
          <w:b/>
          <w:bCs w:val="0"/>
          <w:color w:val="000000" w:themeColor="text1"/>
          <w:lang w:val="es-CO"/>
        </w:rPr>
        <w:t>:</w:t>
      </w:r>
      <w:r w:rsidRPr="00DC07FC">
        <w:rPr>
          <w:rFonts w:cs="Arial"/>
          <w:bCs w:val="0"/>
          <w:color w:val="000000" w:themeColor="text1"/>
          <w:lang w:val="es-CO"/>
        </w:rPr>
        <w:t xml:space="preserve"> </w:t>
      </w:r>
      <w:r w:rsidR="0007024B">
        <w:rPr>
          <w:rFonts w:cs="Arial"/>
          <w:bCs w:val="0"/>
          <w:color w:val="000000" w:themeColor="text1"/>
          <w:lang w:val="es-CO"/>
        </w:rPr>
        <w:t>C</w:t>
      </w:r>
      <w:r w:rsidRPr="00DC07FC">
        <w:rPr>
          <w:rFonts w:cs="Arial"/>
          <w:bCs w:val="0"/>
          <w:color w:val="000000" w:themeColor="text1"/>
          <w:lang w:val="es-CO"/>
        </w:rPr>
        <w:t>antidad</w:t>
      </w:r>
      <w:r w:rsidR="0007024B">
        <w:rPr>
          <w:rFonts w:cs="Arial"/>
          <w:bCs w:val="0"/>
          <w:color w:val="000000" w:themeColor="text1"/>
          <w:lang w:val="es-CO"/>
        </w:rPr>
        <w:t>es</w:t>
      </w:r>
      <w:r w:rsidRPr="00DC07FC">
        <w:rPr>
          <w:rFonts w:cs="Arial"/>
          <w:bCs w:val="0"/>
          <w:color w:val="000000" w:themeColor="text1"/>
        </w:rPr>
        <w:t xml:space="preserve"> </w:t>
      </w:r>
      <w:r w:rsidR="0007024B">
        <w:rPr>
          <w:rFonts w:cs="Arial"/>
          <w:bCs w:val="0"/>
          <w:color w:val="000000" w:themeColor="text1"/>
          <w:lang w:val="es-CO"/>
        </w:rPr>
        <w:t>de GLP a las que se hace referencia en el artículo 3 de la Resolución 4 0694 de 2016 del Ministerio de Minas y Energía, o aquella que la modifique o sustituya.</w:t>
      </w:r>
    </w:p>
    <w:p w:rsidR="003C3ED3" w:rsidRPr="00DC07FC" w:rsidRDefault="003C3ED3" w:rsidP="003C3ED3">
      <w:pPr>
        <w:pStyle w:val="ARTICULOS"/>
        <w:contextualSpacing/>
        <w:rPr>
          <w:lang w:val="es-CO"/>
        </w:rPr>
      </w:pPr>
    </w:p>
    <w:p w:rsidR="003C3ED3" w:rsidRPr="00F36E71" w:rsidRDefault="003C3ED3" w:rsidP="003C3ED3">
      <w:pPr>
        <w:pStyle w:val="ARTICULOS"/>
        <w:contextualSpacing/>
        <w:rPr>
          <w:rFonts w:cs="Arial"/>
          <w:bCs w:val="0"/>
          <w:color w:val="000000" w:themeColor="text1"/>
          <w:lang w:val="es-ES"/>
        </w:rPr>
      </w:pPr>
      <w:r w:rsidRPr="006661A2">
        <w:rPr>
          <w:rFonts w:cs="Arial"/>
          <w:b/>
          <w:bCs w:val="0"/>
          <w:color w:val="000000" w:themeColor="text1"/>
          <w:lang w:val="es-CO"/>
        </w:rPr>
        <w:t xml:space="preserve">Producto </w:t>
      </w:r>
      <w:r w:rsidRPr="006661A2">
        <w:rPr>
          <w:rFonts w:cs="Arial"/>
          <w:b/>
          <w:bCs w:val="0"/>
          <w:color w:val="000000" w:themeColor="text1"/>
        </w:rPr>
        <w:t>total disponible para la venta en firme</w:t>
      </w:r>
      <w:r w:rsidRPr="006661A2">
        <w:rPr>
          <w:rFonts w:cs="Arial"/>
          <w:b/>
          <w:bCs w:val="0"/>
          <w:color w:val="000000" w:themeColor="text1"/>
          <w:lang w:val="es-CO"/>
        </w:rPr>
        <w:t xml:space="preserve"> - PTDVF</w:t>
      </w:r>
      <w:r w:rsidRPr="006661A2">
        <w:rPr>
          <w:rFonts w:cs="Arial"/>
          <w:b/>
          <w:bCs w:val="0"/>
          <w:color w:val="000000" w:themeColor="text1"/>
        </w:rPr>
        <w:t>:</w:t>
      </w:r>
      <w:r w:rsidRPr="006661A2">
        <w:rPr>
          <w:rFonts w:cs="Arial"/>
          <w:bCs w:val="0"/>
          <w:color w:val="000000" w:themeColor="text1"/>
        </w:rPr>
        <w:t xml:space="preserve"> </w:t>
      </w:r>
      <w:r w:rsidRPr="006661A2">
        <w:rPr>
          <w:rFonts w:cs="Arial"/>
          <w:bCs w:val="0"/>
          <w:color w:val="000000" w:themeColor="text1"/>
          <w:lang w:val="es-CO"/>
        </w:rPr>
        <w:t>Cantidad</w:t>
      </w:r>
      <w:r w:rsidRPr="006661A2">
        <w:rPr>
          <w:rFonts w:cs="Arial"/>
          <w:bCs w:val="0"/>
          <w:color w:val="000000" w:themeColor="text1"/>
        </w:rPr>
        <w:t xml:space="preserve"> promedio </w:t>
      </w:r>
      <w:r w:rsidR="007129E1" w:rsidRPr="006661A2">
        <w:rPr>
          <w:rFonts w:cs="Arial"/>
          <w:bCs w:val="0"/>
          <w:color w:val="000000" w:themeColor="text1"/>
          <w:lang w:val="es-CO"/>
        </w:rPr>
        <w:t xml:space="preserve">al </w:t>
      </w:r>
      <w:r w:rsidRPr="006661A2">
        <w:rPr>
          <w:rFonts w:cs="Arial"/>
          <w:bCs w:val="0"/>
          <w:color w:val="000000" w:themeColor="text1"/>
        </w:rPr>
        <w:t xml:space="preserve">mes de </w:t>
      </w:r>
      <w:r w:rsidRPr="006661A2">
        <w:rPr>
          <w:rFonts w:cs="Arial"/>
          <w:bCs w:val="0"/>
          <w:color w:val="000000" w:themeColor="text1"/>
          <w:lang w:val="es-CO"/>
        </w:rPr>
        <w:t>GLP</w:t>
      </w:r>
      <w:r w:rsidR="007129E1" w:rsidRPr="006661A2">
        <w:rPr>
          <w:rFonts w:cs="Arial"/>
          <w:bCs w:val="0"/>
          <w:color w:val="000000" w:themeColor="text1"/>
          <w:lang w:val="es-CO"/>
        </w:rPr>
        <w:t xml:space="preserve"> de producción nacional</w:t>
      </w:r>
      <w:r w:rsidRPr="006661A2">
        <w:rPr>
          <w:rFonts w:cs="Arial"/>
          <w:bCs w:val="0"/>
          <w:color w:val="000000" w:themeColor="text1"/>
        </w:rPr>
        <w:t xml:space="preserve">, expresada en KGD, por </w:t>
      </w:r>
      <w:r w:rsidRPr="006661A2">
        <w:rPr>
          <w:rFonts w:cs="Arial"/>
          <w:bCs w:val="0"/>
          <w:color w:val="000000" w:themeColor="text1"/>
          <w:lang w:val="es-CO"/>
        </w:rPr>
        <w:t>punto de entrega</w:t>
      </w:r>
      <w:r w:rsidRPr="006661A2">
        <w:rPr>
          <w:rFonts w:cs="Arial"/>
          <w:bCs w:val="0"/>
          <w:color w:val="000000" w:themeColor="text1"/>
        </w:rPr>
        <w:t xml:space="preserve">, </w:t>
      </w:r>
      <w:r w:rsidRPr="006661A2">
        <w:rPr>
          <w:rFonts w:cs="Arial"/>
          <w:bCs w:val="0"/>
          <w:color w:val="000000" w:themeColor="text1"/>
          <w:lang w:val="es-CO"/>
        </w:rPr>
        <w:t xml:space="preserve">de la </w:t>
      </w:r>
      <w:r w:rsidRPr="006661A2">
        <w:rPr>
          <w:rFonts w:cs="Arial"/>
          <w:bCs w:val="0"/>
          <w:color w:val="000000" w:themeColor="text1"/>
        </w:rPr>
        <w:t xml:space="preserve">que </w:t>
      </w:r>
      <w:r w:rsidRPr="006661A2">
        <w:rPr>
          <w:rFonts w:cs="Arial"/>
          <w:bCs w:val="0"/>
          <w:color w:val="000000" w:themeColor="text1"/>
          <w:lang w:val="es-CO"/>
        </w:rPr>
        <w:t xml:space="preserve">dispone un </w:t>
      </w:r>
      <w:r w:rsidRPr="006661A2">
        <w:rPr>
          <w:rFonts w:cs="Arial"/>
          <w:bCs w:val="0"/>
          <w:color w:val="000000" w:themeColor="text1"/>
        </w:rPr>
        <w:t xml:space="preserve">comercializador de oferta </w:t>
      </w:r>
      <w:r w:rsidRPr="006661A2">
        <w:rPr>
          <w:rFonts w:cs="Arial"/>
          <w:bCs w:val="0"/>
          <w:color w:val="000000" w:themeColor="text1"/>
          <w:lang w:val="es-CO"/>
        </w:rPr>
        <w:t>para destinar al servicio público domiciliario de GLP</w:t>
      </w:r>
      <w:r w:rsidR="007129E1" w:rsidRPr="006661A2">
        <w:rPr>
          <w:rFonts w:cs="Arial"/>
          <w:bCs w:val="0"/>
          <w:color w:val="000000" w:themeColor="text1"/>
          <w:lang w:val="es-CO"/>
        </w:rPr>
        <w:t xml:space="preserve"> o como gas combustible</w:t>
      </w:r>
      <w:r w:rsidRPr="006661A2">
        <w:rPr>
          <w:rFonts w:cs="Arial"/>
          <w:bCs w:val="0"/>
          <w:color w:val="000000" w:themeColor="text1"/>
          <w:lang w:val="es-CO"/>
        </w:rPr>
        <w:t xml:space="preserve">, ofrecido </w:t>
      </w:r>
      <w:r w:rsidRPr="006661A2">
        <w:rPr>
          <w:rFonts w:cs="Arial"/>
          <w:bCs w:val="0"/>
          <w:color w:val="000000" w:themeColor="text1"/>
        </w:rPr>
        <w:t>bajo la modalidad de contrato firme</w:t>
      </w:r>
      <w:r w:rsidR="007129E1" w:rsidRPr="006661A2">
        <w:rPr>
          <w:rFonts w:cs="Arial"/>
          <w:bCs w:val="0"/>
          <w:color w:val="000000" w:themeColor="text1"/>
          <w:lang w:val="es-CO"/>
        </w:rPr>
        <w:t xml:space="preserve"> en el mecanismo de subasta de GLP</w:t>
      </w:r>
      <w:r w:rsidR="00F36E71" w:rsidRPr="006661A2">
        <w:rPr>
          <w:rFonts w:cs="Arial"/>
          <w:bCs w:val="0"/>
          <w:color w:val="000000" w:themeColor="text1"/>
        </w:rPr>
        <w:t>.</w:t>
      </w:r>
    </w:p>
    <w:p w:rsidR="003C3ED3" w:rsidRPr="00DC07FC" w:rsidRDefault="003C3ED3" w:rsidP="004C1136">
      <w:pPr>
        <w:pStyle w:val="ARTICULOS"/>
        <w:contextualSpacing/>
        <w:rPr>
          <w:lang w:val="es-CO"/>
        </w:rPr>
      </w:pPr>
    </w:p>
    <w:p w:rsidR="001C203A" w:rsidRPr="00DC07FC" w:rsidRDefault="00D96F85" w:rsidP="004C1136">
      <w:pPr>
        <w:pStyle w:val="ARTICULOS"/>
        <w:contextualSpacing/>
        <w:rPr>
          <w:lang w:val="es-CO"/>
        </w:rPr>
      </w:pPr>
      <w:r w:rsidRPr="00DC07FC">
        <w:rPr>
          <w:b/>
          <w:lang w:val="es-CO"/>
        </w:rPr>
        <w:t>Punto de almacenamiento del comercializador mayorista:</w:t>
      </w:r>
      <w:r w:rsidRPr="00DC07FC">
        <w:rPr>
          <w:lang w:val="es-CO"/>
        </w:rPr>
        <w:t xml:space="preserve"> </w:t>
      </w:r>
      <w:r w:rsidR="001C203A" w:rsidRPr="00DC07FC">
        <w:rPr>
          <w:lang w:val="es-CO"/>
        </w:rPr>
        <w:t>Infraestructura dedicada al almacenamiento de GLP</w:t>
      </w:r>
      <w:r w:rsidR="00054FE2" w:rsidRPr="00DC07FC">
        <w:rPr>
          <w:lang w:val="es-CO"/>
        </w:rPr>
        <w:t>,</w:t>
      </w:r>
      <w:r w:rsidR="001C203A" w:rsidRPr="00DC07FC">
        <w:rPr>
          <w:lang w:val="es-CO"/>
        </w:rPr>
        <w:t xml:space="preserve"> que conserva las características del producto por periodos prolongados de tiempo</w:t>
      </w:r>
      <w:r w:rsidR="007F644B" w:rsidRPr="00DC07FC">
        <w:rPr>
          <w:lang w:val="es-CO"/>
        </w:rPr>
        <w:t>, facilita la operación logística y l</w:t>
      </w:r>
      <w:r w:rsidR="001C203A" w:rsidRPr="00DC07FC">
        <w:rPr>
          <w:lang w:val="es-CO"/>
        </w:rPr>
        <w:t xml:space="preserve">e permite al comercializador mayorista respaldar su operación </w:t>
      </w:r>
      <w:r w:rsidR="007F644B" w:rsidRPr="00DC07FC">
        <w:rPr>
          <w:lang w:val="es-CO"/>
        </w:rPr>
        <w:t>comercial</w:t>
      </w:r>
      <w:r w:rsidR="001C203A" w:rsidRPr="00DC07FC">
        <w:rPr>
          <w:lang w:val="es-CO"/>
        </w:rPr>
        <w:t>.</w:t>
      </w:r>
    </w:p>
    <w:p w:rsidR="001C203A" w:rsidRPr="00DC07FC" w:rsidRDefault="001C203A" w:rsidP="004C1136">
      <w:pPr>
        <w:pStyle w:val="ARTICULOS"/>
        <w:contextualSpacing/>
        <w:rPr>
          <w:lang w:val="es-CO"/>
        </w:rPr>
      </w:pPr>
    </w:p>
    <w:p w:rsidR="0099713C" w:rsidRDefault="0099713C" w:rsidP="0099713C">
      <w:pPr>
        <w:pStyle w:val="ARTICULOS"/>
        <w:contextualSpacing/>
        <w:rPr>
          <w:lang w:val="es-CO"/>
        </w:rPr>
      </w:pPr>
      <w:r w:rsidRPr="00DC07FC">
        <w:rPr>
          <w:b/>
          <w:lang w:val="es-CO"/>
        </w:rPr>
        <w:t>Punto de entrega del comercializador mayorista:</w:t>
      </w:r>
      <w:r w:rsidRPr="00DC07FC">
        <w:rPr>
          <w:lang w:val="es-CO"/>
        </w:rPr>
        <w:t xml:space="preserve"> </w:t>
      </w:r>
      <w:r w:rsidR="00DE26BC">
        <w:rPr>
          <w:lang w:val="es-CO"/>
        </w:rPr>
        <w:t>Conjunto de i</w:t>
      </w:r>
      <w:r w:rsidRPr="00DC07FC">
        <w:rPr>
          <w:lang w:val="es-CO"/>
        </w:rPr>
        <w:t>nstalaciones para el manejo y la entrega de GLP, con las que cuenta u opera el comercializador mayorista</w:t>
      </w:r>
      <w:r>
        <w:rPr>
          <w:lang w:val="es-CO"/>
        </w:rPr>
        <w:t xml:space="preserve">, en las cuales se realiza </w:t>
      </w:r>
      <w:r w:rsidRPr="00DC07FC">
        <w:rPr>
          <w:lang w:val="es-CO"/>
        </w:rPr>
        <w:t xml:space="preserve">la entrega del producto a </w:t>
      </w:r>
      <w:proofErr w:type="spellStart"/>
      <w:r w:rsidRPr="00DC07FC">
        <w:rPr>
          <w:lang w:val="es-CO"/>
        </w:rPr>
        <w:t>carrotanque</w:t>
      </w:r>
      <w:proofErr w:type="spellEnd"/>
      <w:r>
        <w:rPr>
          <w:lang w:val="es-CO"/>
        </w:rPr>
        <w:t>.</w:t>
      </w:r>
      <w:r w:rsidR="00343909">
        <w:rPr>
          <w:lang w:val="es-CO"/>
        </w:rPr>
        <w:t xml:space="preserve"> </w:t>
      </w:r>
      <w:r>
        <w:rPr>
          <w:lang w:val="es-CO"/>
        </w:rPr>
        <w:t>Adicionalmente</w:t>
      </w:r>
      <w:r w:rsidR="00092BC9">
        <w:rPr>
          <w:lang w:val="es-CO"/>
        </w:rPr>
        <w:t xml:space="preserve">, siempre que el comprador así lo prefiera y el conjunto de instalaciones así lo permitan, </w:t>
      </w:r>
      <w:r>
        <w:rPr>
          <w:lang w:val="es-CO"/>
        </w:rPr>
        <w:t xml:space="preserve">el comercializador mayorista puede </w:t>
      </w:r>
      <w:r w:rsidR="00481492">
        <w:rPr>
          <w:lang w:val="es-CO"/>
        </w:rPr>
        <w:t xml:space="preserve">efectuar la </w:t>
      </w:r>
      <w:r>
        <w:rPr>
          <w:lang w:val="es-CO"/>
        </w:rPr>
        <w:t xml:space="preserve">entrega de producto </w:t>
      </w:r>
      <w:r w:rsidR="00343909">
        <w:rPr>
          <w:lang w:val="es-CO"/>
        </w:rPr>
        <w:t xml:space="preserve">a través de </w:t>
      </w:r>
      <w:r w:rsidR="00481492">
        <w:rPr>
          <w:lang w:val="es-CO"/>
        </w:rPr>
        <w:t xml:space="preserve">un punto de </w:t>
      </w:r>
      <w:r w:rsidR="00343909">
        <w:rPr>
          <w:lang w:val="es-CO"/>
        </w:rPr>
        <w:t>recibo del transportador, de</w:t>
      </w:r>
      <w:r w:rsidR="00DE26BC">
        <w:rPr>
          <w:lang w:val="es-CO"/>
        </w:rPr>
        <w:t xml:space="preserve"> un</w:t>
      </w:r>
      <w:r w:rsidR="00343909">
        <w:rPr>
          <w:lang w:val="es-CO"/>
        </w:rPr>
        <w:t xml:space="preserve"> </w:t>
      </w:r>
      <w:r>
        <w:rPr>
          <w:lang w:val="es-CO"/>
        </w:rPr>
        <w:t xml:space="preserve">muelle </w:t>
      </w:r>
      <w:r w:rsidR="00343909">
        <w:rPr>
          <w:lang w:val="es-CO"/>
        </w:rPr>
        <w:t>o de o</w:t>
      </w:r>
      <w:r>
        <w:rPr>
          <w:lang w:val="es-CO"/>
        </w:rPr>
        <w:t>tro tipo de facilidades</w:t>
      </w:r>
      <w:r w:rsidR="00343909" w:rsidRPr="00343909">
        <w:rPr>
          <w:lang w:val="es-CO"/>
        </w:rPr>
        <w:t xml:space="preserve"> </w:t>
      </w:r>
      <w:r w:rsidR="00343909" w:rsidRPr="00DC07FC">
        <w:rPr>
          <w:lang w:val="es-CO"/>
        </w:rPr>
        <w:t>para la entrega de GLP a medios de transporte diferentes al terrestre</w:t>
      </w:r>
      <w:r w:rsidR="00343909">
        <w:rPr>
          <w:lang w:val="es-CO"/>
        </w:rPr>
        <w:t xml:space="preserve">. </w:t>
      </w:r>
      <w:r w:rsidRPr="00DC07FC">
        <w:rPr>
          <w:lang w:val="es-CO"/>
        </w:rPr>
        <w:t xml:space="preserve">Los puntos de entrega </w:t>
      </w:r>
      <w:r>
        <w:rPr>
          <w:lang w:val="es-CO"/>
        </w:rPr>
        <w:t xml:space="preserve">deben </w:t>
      </w:r>
      <w:r w:rsidRPr="00DC07FC">
        <w:rPr>
          <w:lang w:val="es-CO"/>
        </w:rPr>
        <w:t>estar ubicados en un punto de producción, en un punto de importación o en un punto de almacenamiento</w:t>
      </w:r>
      <w:r>
        <w:rPr>
          <w:lang w:val="es-CO"/>
        </w:rPr>
        <w:t xml:space="preserve"> del comercializador mayorista.</w:t>
      </w:r>
    </w:p>
    <w:p w:rsidR="0099713C" w:rsidRDefault="0099713C" w:rsidP="004C1136">
      <w:pPr>
        <w:pStyle w:val="ARTICULOS"/>
        <w:contextualSpacing/>
        <w:rPr>
          <w:lang w:val="es-CO"/>
        </w:rPr>
      </w:pPr>
    </w:p>
    <w:p w:rsidR="0084551D" w:rsidRPr="00DC07FC" w:rsidRDefault="0084551D" w:rsidP="0084551D">
      <w:pPr>
        <w:pStyle w:val="ARTICULOS"/>
        <w:contextualSpacing/>
        <w:rPr>
          <w:lang w:val="es-CO"/>
        </w:rPr>
      </w:pPr>
      <w:r w:rsidRPr="00DC07FC">
        <w:rPr>
          <w:b/>
          <w:lang w:val="es-CO"/>
        </w:rPr>
        <w:t>Punto de entrega del transportador:</w:t>
      </w:r>
      <w:r w:rsidRPr="00DC07FC">
        <w:rPr>
          <w:lang w:val="es-CO"/>
        </w:rPr>
        <w:t xml:space="preserve"> Punto físico del sistema de transporte en el cual existe una válvula de corte y un equipo de medición, asociados a las instalaciones del transportador, y que le permiten realizar la entrega de GLP acorde con un contrato de transporte que respalda dicha operación.</w:t>
      </w:r>
    </w:p>
    <w:p w:rsidR="0084551D" w:rsidRPr="00DC07FC" w:rsidRDefault="0084551D" w:rsidP="004C1136">
      <w:pPr>
        <w:pStyle w:val="ARTICULOS"/>
        <w:contextualSpacing/>
        <w:rPr>
          <w:lang w:val="es-CO"/>
        </w:rPr>
      </w:pPr>
    </w:p>
    <w:p w:rsidR="004766D6" w:rsidRPr="00DC07FC" w:rsidRDefault="00EE2700" w:rsidP="004C1136">
      <w:pPr>
        <w:pStyle w:val="ARTICULOS"/>
        <w:contextualSpacing/>
        <w:rPr>
          <w:lang w:val="es-CO"/>
        </w:rPr>
      </w:pPr>
      <w:r w:rsidRPr="00DC07FC">
        <w:rPr>
          <w:b/>
          <w:lang w:val="es-CO"/>
        </w:rPr>
        <w:t>Punto de importación:</w:t>
      </w:r>
      <w:r w:rsidRPr="00DC07FC">
        <w:rPr>
          <w:lang w:val="es-CO"/>
        </w:rPr>
        <w:t xml:space="preserve"> </w:t>
      </w:r>
      <w:r w:rsidR="004766D6" w:rsidRPr="00DC07FC">
        <w:rPr>
          <w:lang w:val="es-CO"/>
        </w:rPr>
        <w:t>Terminales, infraestructura e instalaciones terrestres y acuáticas, acondicionadas para el desarrollo de actividades portuarias y adecuadas para el manejo de GLP.</w:t>
      </w:r>
    </w:p>
    <w:p w:rsidR="00EE2700" w:rsidRPr="00DC07FC" w:rsidRDefault="00EE2700" w:rsidP="004C1136">
      <w:pPr>
        <w:pStyle w:val="ARTICULOS"/>
        <w:contextualSpacing/>
        <w:rPr>
          <w:lang w:val="es-CO"/>
        </w:rPr>
      </w:pPr>
    </w:p>
    <w:p w:rsidR="00991159" w:rsidRDefault="00991159" w:rsidP="004C1136">
      <w:pPr>
        <w:pStyle w:val="ARTICULOS"/>
        <w:contextualSpacing/>
        <w:rPr>
          <w:lang w:val="es-CO"/>
        </w:rPr>
      </w:pPr>
      <w:r w:rsidRPr="00DC07FC">
        <w:rPr>
          <w:b/>
          <w:lang w:val="es-CO"/>
        </w:rPr>
        <w:t>Punto de producción:</w:t>
      </w:r>
      <w:r w:rsidRPr="00DC07FC">
        <w:rPr>
          <w:lang w:val="es-CO"/>
        </w:rPr>
        <w:t xml:space="preserve"> </w:t>
      </w:r>
      <w:r w:rsidR="006B28F9" w:rsidRPr="00DC07FC">
        <w:rPr>
          <w:lang w:val="es-CO"/>
        </w:rPr>
        <w:t xml:space="preserve">Cualquiera de las </w:t>
      </w:r>
      <w:r w:rsidRPr="00DC07FC">
        <w:rPr>
          <w:lang w:val="es-CO"/>
        </w:rPr>
        <w:t>fuente</w:t>
      </w:r>
      <w:r w:rsidR="006B28F9" w:rsidRPr="00DC07FC">
        <w:rPr>
          <w:lang w:val="es-CO"/>
        </w:rPr>
        <w:t>s</w:t>
      </w:r>
      <w:r w:rsidRPr="00DC07FC">
        <w:rPr>
          <w:lang w:val="es-CO"/>
        </w:rPr>
        <w:t xml:space="preserve"> de producción nacional</w:t>
      </w:r>
      <w:r w:rsidR="006B28F9" w:rsidRPr="00DC07FC">
        <w:rPr>
          <w:lang w:val="es-CO"/>
        </w:rPr>
        <w:t xml:space="preserve"> de GLP</w:t>
      </w:r>
      <w:r w:rsidR="00BD1E4E" w:rsidRPr="00DC07FC">
        <w:rPr>
          <w:lang w:val="es-CO"/>
        </w:rPr>
        <w:t>.</w:t>
      </w:r>
    </w:p>
    <w:p w:rsidR="005B21C4" w:rsidRDefault="005B21C4" w:rsidP="004C1136">
      <w:pPr>
        <w:pStyle w:val="ARTICULOS"/>
        <w:contextualSpacing/>
        <w:rPr>
          <w:lang w:val="es-CO"/>
        </w:rPr>
      </w:pPr>
    </w:p>
    <w:p w:rsidR="005B21C4" w:rsidRPr="00DC07FC" w:rsidRDefault="005B21C4" w:rsidP="004C1136">
      <w:pPr>
        <w:pStyle w:val="ARTICULOS"/>
        <w:contextualSpacing/>
        <w:rPr>
          <w:lang w:val="es-CO"/>
        </w:rPr>
      </w:pPr>
    </w:p>
    <w:p w:rsidR="00EE2700" w:rsidRPr="00DC07FC" w:rsidRDefault="00EE2700" w:rsidP="004C1136">
      <w:pPr>
        <w:pStyle w:val="ARTICULOS"/>
        <w:contextualSpacing/>
        <w:rPr>
          <w:lang w:val="es-CO"/>
        </w:rPr>
      </w:pPr>
    </w:p>
    <w:p w:rsidR="00991159" w:rsidRPr="00DC07FC" w:rsidRDefault="00991159" w:rsidP="004C1136">
      <w:pPr>
        <w:pStyle w:val="ARTICULOS"/>
        <w:contextualSpacing/>
        <w:rPr>
          <w:lang w:val="es-CO"/>
        </w:rPr>
      </w:pPr>
      <w:r w:rsidRPr="00DC07FC">
        <w:rPr>
          <w:b/>
          <w:lang w:val="es-CO"/>
        </w:rPr>
        <w:t>Punto de recibo del transportador:</w:t>
      </w:r>
      <w:r w:rsidRPr="00DC07FC">
        <w:rPr>
          <w:lang w:val="es-CO"/>
        </w:rPr>
        <w:t xml:space="preserve"> Punto físico del sistema de transporte en el cual existe una válvula de corte y un equipo de medición, asociados a las instalaciones del transportador, y que le permiten recibir el GLP para llevarlo a un punto de entrega de su sistema de transporte, acorde con un contrato de transporte que respalda esta operación.</w:t>
      </w:r>
    </w:p>
    <w:p w:rsidR="00E66BF9" w:rsidRPr="00DC07FC" w:rsidRDefault="00E66BF9" w:rsidP="004C1136">
      <w:pPr>
        <w:pStyle w:val="ARTICULOS"/>
        <w:contextualSpacing/>
        <w:rPr>
          <w:lang w:val="es-CO"/>
        </w:rPr>
      </w:pPr>
    </w:p>
    <w:p w:rsidR="00991159" w:rsidRPr="00DC07FC" w:rsidRDefault="00991159" w:rsidP="004C1136">
      <w:pPr>
        <w:pStyle w:val="ARTICULOS"/>
        <w:contextualSpacing/>
        <w:rPr>
          <w:lang w:val="es-CO"/>
        </w:rPr>
      </w:pPr>
      <w:r w:rsidRPr="00DC07FC">
        <w:rPr>
          <w:b/>
          <w:lang w:val="es-CO"/>
        </w:rPr>
        <w:t>Sistema de transporte de GLP:</w:t>
      </w:r>
      <w:r w:rsidRPr="00DC07FC">
        <w:rPr>
          <w:lang w:val="es-CO"/>
        </w:rPr>
        <w:t xml:space="preserve"> Conjunto de ductos y todos los activos asociados a su operación necesarios para realizar el transporte de GLP entre un punto de recibo y un punto de entrega del transportador, los cuales se remuneran con los cargos regulados establecidos por la CREG.</w:t>
      </w:r>
    </w:p>
    <w:p w:rsidR="00E66BF9" w:rsidRPr="00DC07FC" w:rsidRDefault="00E66BF9" w:rsidP="004C1136">
      <w:pPr>
        <w:pStyle w:val="ARTICULOS"/>
        <w:contextualSpacing/>
        <w:rPr>
          <w:lang w:val="es-CO"/>
        </w:rPr>
      </w:pPr>
    </w:p>
    <w:p w:rsidR="00FE3983" w:rsidRPr="00DC07FC" w:rsidRDefault="00FE3983" w:rsidP="004C1136">
      <w:pPr>
        <w:pStyle w:val="ARTICULOS"/>
        <w:contextualSpacing/>
        <w:rPr>
          <w:lang w:val="es-CO"/>
        </w:rPr>
      </w:pPr>
      <w:r w:rsidRPr="00DC07FC">
        <w:rPr>
          <w:rFonts w:cs="Arial"/>
          <w:b/>
          <w:color w:val="000000" w:themeColor="text1"/>
          <w:lang w:val="es-ES"/>
        </w:rPr>
        <w:t>Sistema de Información del Mercado Mayorista de GLP – SIM</w:t>
      </w:r>
      <w:r w:rsidR="00D855A1" w:rsidRPr="00DC07FC">
        <w:rPr>
          <w:rFonts w:cs="Arial"/>
          <w:b/>
          <w:color w:val="000000" w:themeColor="text1"/>
          <w:lang w:val="es-ES"/>
        </w:rPr>
        <w:t>M</w:t>
      </w:r>
      <w:r w:rsidRPr="00DC07FC">
        <w:rPr>
          <w:rFonts w:cs="Arial"/>
          <w:b/>
          <w:color w:val="000000" w:themeColor="text1"/>
          <w:lang w:val="es-ES"/>
        </w:rPr>
        <w:t>:</w:t>
      </w:r>
      <w:r w:rsidRPr="00DC07FC">
        <w:rPr>
          <w:rFonts w:cs="Arial"/>
          <w:color w:val="000000" w:themeColor="text1"/>
          <w:lang w:val="es-ES"/>
        </w:rPr>
        <w:t xml:space="preserve"> Sistema de información a través del cual el gestor del mercado</w:t>
      </w:r>
      <w:r w:rsidR="00BD1E4E" w:rsidRPr="00DC07FC">
        <w:rPr>
          <w:rFonts w:cs="Arial"/>
          <w:color w:val="000000" w:themeColor="text1"/>
          <w:lang w:val="es-ES"/>
        </w:rPr>
        <w:t xml:space="preserve"> de GLP</w:t>
      </w:r>
      <w:r w:rsidRPr="00DC07FC">
        <w:rPr>
          <w:rFonts w:cs="Arial"/>
          <w:color w:val="000000" w:themeColor="text1"/>
          <w:lang w:val="es-ES"/>
        </w:rPr>
        <w:t xml:space="preserve"> despliega información transaccional y operativa que haya sido recopilada, verificada y publicada conforme a los lineamientos de la presente resolución. Permite a los agentes intercambiar información para la compra y venta de GLP, con el propósito de facilitar, publicitar y dar transparencia a las negociaciones del mercado mayorista.</w:t>
      </w:r>
    </w:p>
    <w:p w:rsidR="008C4F91" w:rsidRPr="00DC07FC" w:rsidRDefault="008C4F91" w:rsidP="004C1136">
      <w:pPr>
        <w:ind w:left="0"/>
        <w:contextualSpacing/>
        <w:jc w:val="both"/>
        <w:rPr>
          <w:rFonts w:ascii="Bookman Old Style" w:hAnsi="Bookman Old Style"/>
          <w:lang w:val="es-CO"/>
        </w:rPr>
      </w:pPr>
    </w:p>
    <w:p w:rsidR="008C4F91" w:rsidRPr="00DC07FC" w:rsidRDefault="008C4F91" w:rsidP="004C1136">
      <w:pPr>
        <w:pStyle w:val="Textoindependiente21"/>
        <w:widowControl/>
        <w:tabs>
          <w:tab w:val="left" w:pos="-720"/>
          <w:tab w:val="left" w:pos="426"/>
          <w:tab w:val="left" w:pos="8789"/>
          <w:tab w:val="left" w:pos="9072"/>
        </w:tabs>
        <w:suppressAutoHyphens/>
        <w:contextualSpacing/>
        <w:rPr>
          <w:rFonts w:ascii="Bookman Old Style" w:hAnsi="Bookman Old Style" w:cs="Arial"/>
          <w:sz w:val="24"/>
          <w:szCs w:val="24"/>
        </w:rPr>
      </w:pPr>
      <w:r w:rsidRPr="00DC07FC">
        <w:rPr>
          <w:rFonts w:ascii="Bookman Old Style" w:hAnsi="Bookman Old Style" w:cs="Arial"/>
          <w:b/>
          <w:bCs/>
          <w:sz w:val="24"/>
          <w:szCs w:val="24"/>
        </w:rPr>
        <w:t>Tanque estacionario:</w:t>
      </w:r>
      <w:r w:rsidRPr="00DC07FC">
        <w:rPr>
          <w:rFonts w:ascii="Bookman Old Style" w:hAnsi="Bookman Old Style" w:cs="Arial"/>
          <w:sz w:val="24"/>
          <w:szCs w:val="24"/>
        </w:rPr>
        <w:t xml:space="preserve"> Recipiente utilizado en la prestación del servicio público domiciliario de GLP, con capacidad superior a 46 </w:t>
      </w:r>
      <w:r w:rsidR="00180962" w:rsidRPr="00DC07FC">
        <w:rPr>
          <w:rFonts w:ascii="Bookman Old Style" w:hAnsi="Bookman Old Style" w:cs="Arial"/>
          <w:sz w:val="24"/>
          <w:szCs w:val="24"/>
        </w:rPr>
        <w:t>KG</w:t>
      </w:r>
      <w:r w:rsidRPr="00DC07FC">
        <w:rPr>
          <w:rFonts w:ascii="Bookman Old Style" w:hAnsi="Bookman Old Style" w:cs="Arial"/>
          <w:sz w:val="24"/>
          <w:szCs w:val="24"/>
        </w:rPr>
        <w:t xml:space="preserve"> de GLP, para almacenamiento de este combustible en las instalaciones del usuario final, que puede ser de Tipo 1 o Tipo 2 y que cumple con lo previsto en el reglamento técnico vigente expedido por el MME.</w:t>
      </w:r>
    </w:p>
    <w:p w:rsidR="00F01480" w:rsidRPr="00DC07FC" w:rsidRDefault="00F01480" w:rsidP="004C1136">
      <w:pPr>
        <w:pStyle w:val="ARTICULOS"/>
        <w:contextualSpacing/>
        <w:rPr>
          <w:lang w:val="es-CO"/>
        </w:rPr>
      </w:pPr>
    </w:p>
    <w:p w:rsidR="00612A8A" w:rsidRPr="00DC07FC" w:rsidRDefault="00612A8A" w:rsidP="004C1136">
      <w:pPr>
        <w:pStyle w:val="ARTICULOS"/>
        <w:contextualSpacing/>
        <w:rPr>
          <w:lang w:val="es-CO"/>
        </w:rPr>
      </w:pPr>
      <w:r w:rsidRPr="00DC07FC">
        <w:rPr>
          <w:b/>
          <w:lang w:val="es-CO"/>
        </w:rPr>
        <w:t>Transportador de GLP:</w:t>
      </w:r>
      <w:r w:rsidRPr="00DC07FC">
        <w:rPr>
          <w:lang w:val="es-CO"/>
        </w:rPr>
        <w:t xml:space="preserve"> Empresa de servicios públicos domicilia</w:t>
      </w:r>
      <w:r w:rsidR="00BD1E4E" w:rsidRPr="00DC07FC">
        <w:rPr>
          <w:lang w:val="es-CO"/>
        </w:rPr>
        <w:t>rios, salvo lo dispuesto en el a</w:t>
      </w:r>
      <w:r w:rsidRPr="00DC07FC">
        <w:rPr>
          <w:lang w:val="es-CO"/>
        </w:rPr>
        <w:t xml:space="preserve">rtículo 15.2 de la Ley 142 de 1994, que realiza la </w:t>
      </w:r>
      <w:r w:rsidR="0055649F">
        <w:rPr>
          <w:lang w:val="es-CO"/>
        </w:rPr>
        <w:t>actividad de transporte de GLP.</w:t>
      </w:r>
    </w:p>
    <w:p w:rsidR="00555A6C" w:rsidRPr="00DC07FC" w:rsidRDefault="00555A6C" w:rsidP="004C1136">
      <w:pPr>
        <w:ind w:left="0"/>
        <w:contextualSpacing/>
        <w:jc w:val="both"/>
        <w:rPr>
          <w:rFonts w:ascii="Bookman Old Style" w:hAnsi="Bookman Old Style" w:cs="Arial"/>
          <w:lang w:val="es-CO"/>
        </w:rPr>
      </w:pPr>
    </w:p>
    <w:p w:rsidR="00A90EAC" w:rsidRPr="00DC07FC" w:rsidRDefault="00A90EAC" w:rsidP="004C1136">
      <w:pPr>
        <w:ind w:left="0"/>
        <w:contextualSpacing/>
        <w:jc w:val="both"/>
        <w:rPr>
          <w:rFonts w:ascii="Bookman Old Style" w:hAnsi="Bookman Old Style" w:cs="Arial"/>
        </w:rPr>
      </w:pPr>
      <w:r w:rsidRPr="00DC07FC">
        <w:rPr>
          <w:rFonts w:ascii="Bookman Old Style" w:hAnsi="Bookman Old Style" w:cs="Arial"/>
          <w:b/>
          <w:lang w:val="es-CO"/>
        </w:rPr>
        <w:t>Usu</w:t>
      </w:r>
      <w:r w:rsidR="004A13D2" w:rsidRPr="00DC07FC">
        <w:rPr>
          <w:rFonts w:ascii="Bookman Old Style" w:hAnsi="Bookman Old Style" w:cs="Arial"/>
          <w:b/>
          <w:lang w:val="es-CO"/>
        </w:rPr>
        <w:t xml:space="preserve">ario no regulado: </w:t>
      </w:r>
      <w:r w:rsidR="00010B50" w:rsidRPr="00DC07FC">
        <w:rPr>
          <w:rFonts w:ascii="Bookman Old Style" w:hAnsi="Bookman Old Style" w:cs="Arial"/>
          <w:lang w:eastAsia="es-CO"/>
        </w:rPr>
        <w:t>U</w:t>
      </w:r>
      <w:r w:rsidR="004A13D2" w:rsidRPr="00DC07FC">
        <w:rPr>
          <w:rFonts w:ascii="Bookman Old Style" w:hAnsi="Bookman Old Style" w:cs="Arial"/>
        </w:rPr>
        <w:t xml:space="preserve">suario que </w:t>
      </w:r>
      <w:r w:rsidR="00D801F7" w:rsidRPr="00DC07FC">
        <w:rPr>
          <w:rFonts w:ascii="Bookman Old Style" w:hAnsi="Bookman Old Style" w:cs="Arial"/>
        </w:rPr>
        <w:t xml:space="preserve">corresponde a la misma persona natural o </w:t>
      </w:r>
      <w:r w:rsidR="00D801F7" w:rsidRPr="0084581F">
        <w:rPr>
          <w:rFonts w:ascii="Bookman Old Style" w:hAnsi="Bookman Old Style" w:cs="Arial"/>
        </w:rPr>
        <w:t xml:space="preserve">jurídica, que tiene suscrito un contrato </w:t>
      </w:r>
      <w:r w:rsidR="007E54ED" w:rsidRPr="0084581F">
        <w:rPr>
          <w:rFonts w:ascii="Bookman Old Style" w:hAnsi="Bookman Old Style" w:cs="Arial"/>
        </w:rPr>
        <w:t>de suministro con un comercializador mayorista en los términos del</w:t>
      </w:r>
      <w:r w:rsidR="00996491">
        <w:rPr>
          <w:rFonts w:ascii="Bookman Old Style" w:hAnsi="Bookman Old Style" w:cs="Arial"/>
        </w:rPr>
        <w:t xml:space="preserve"> artículo 6 </w:t>
      </w:r>
      <w:r w:rsidR="007E54ED" w:rsidRPr="0084581F">
        <w:rPr>
          <w:rFonts w:ascii="Bookman Old Style" w:hAnsi="Bookman Old Style" w:cs="Arial"/>
        </w:rPr>
        <w:t>de la presente resolución</w:t>
      </w:r>
      <w:r w:rsidR="00D801F7" w:rsidRPr="0084581F">
        <w:rPr>
          <w:rFonts w:ascii="Bookman Old Style" w:hAnsi="Bookman Old Style" w:cs="Arial"/>
        </w:rPr>
        <w:t xml:space="preserve">, que </w:t>
      </w:r>
      <w:r w:rsidR="00B36EB3" w:rsidRPr="0084581F">
        <w:rPr>
          <w:rFonts w:ascii="Bookman Old Style" w:hAnsi="Bookman Old Style" w:cs="Arial"/>
        </w:rPr>
        <w:t xml:space="preserve">consume un promedio diario </w:t>
      </w:r>
      <w:r w:rsidR="009C3229" w:rsidRPr="0084581F">
        <w:rPr>
          <w:rFonts w:ascii="Bookman Old Style" w:hAnsi="Bookman Old Style" w:cs="Arial"/>
        </w:rPr>
        <w:t xml:space="preserve">de GLP, </w:t>
      </w:r>
      <w:r w:rsidR="00B36EB3" w:rsidRPr="0084581F">
        <w:rPr>
          <w:rFonts w:ascii="Bookman Old Style" w:hAnsi="Bookman Old Style" w:cs="Arial"/>
        </w:rPr>
        <w:t>mayor o igual a</w:t>
      </w:r>
      <w:r w:rsidR="009C3229" w:rsidRPr="0084581F">
        <w:rPr>
          <w:rFonts w:ascii="Bookman Old Style" w:hAnsi="Bookman Old Style" w:cs="Arial"/>
        </w:rPr>
        <w:t>l mínimo establecido en esta resolución</w:t>
      </w:r>
      <w:r w:rsidR="00B36EB3" w:rsidRPr="0084581F">
        <w:rPr>
          <w:rFonts w:ascii="Bookman Old Style" w:hAnsi="Bookman Old Style" w:cs="Arial"/>
        </w:rPr>
        <w:t xml:space="preserve">, medido </w:t>
      </w:r>
      <w:r w:rsidR="004A13D2" w:rsidRPr="0084581F">
        <w:rPr>
          <w:rFonts w:ascii="Bookman Old Style" w:hAnsi="Bookman Old Style" w:cs="Arial"/>
        </w:rPr>
        <w:t>en un solo predio</w:t>
      </w:r>
      <w:r w:rsidR="00D801F7" w:rsidRPr="0084581F">
        <w:rPr>
          <w:rFonts w:ascii="Bookman Old Style" w:hAnsi="Bookman Old Style" w:cs="Arial"/>
        </w:rPr>
        <w:t xml:space="preserve"> o inmueble</w:t>
      </w:r>
      <w:r w:rsidR="004A13D2" w:rsidRPr="0084581F">
        <w:rPr>
          <w:rFonts w:ascii="Bookman Old Style" w:hAnsi="Bookman Old Style" w:cs="Arial"/>
        </w:rPr>
        <w:t>, o en predios</w:t>
      </w:r>
      <w:r w:rsidR="00D801F7" w:rsidRPr="0084581F">
        <w:rPr>
          <w:rFonts w:ascii="Bookman Old Style" w:hAnsi="Bookman Old Style" w:cs="Arial"/>
        </w:rPr>
        <w:t xml:space="preserve"> o inmuebles</w:t>
      </w:r>
      <w:r w:rsidR="004A13D2" w:rsidRPr="0084581F">
        <w:rPr>
          <w:rFonts w:ascii="Bookman Old Style" w:hAnsi="Bookman Old Style" w:cs="Arial"/>
        </w:rPr>
        <w:t xml:space="preserve"> contiguos, </w:t>
      </w:r>
      <w:r w:rsidR="000A4E97" w:rsidRPr="0084581F">
        <w:rPr>
          <w:rFonts w:ascii="Bookman Old Style" w:hAnsi="Bookman Old Style" w:cs="Arial"/>
        </w:rPr>
        <w:t>en uno o varios tanques estacionarios</w:t>
      </w:r>
      <w:r w:rsidR="004A13D2" w:rsidRPr="0084581F">
        <w:rPr>
          <w:rFonts w:ascii="Bookman Old Style" w:hAnsi="Bookman Old Style" w:cs="Arial"/>
        </w:rPr>
        <w:t>. Independientemente de su</w:t>
      </w:r>
      <w:r w:rsidR="004A13D2" w:rsidRPr="00DC07FC">
        <w:rPr>
          <w:rFonts w:ascii="Bookman Old Style" w:hAnsi="Bookman Old Style" w:cs="Arial"/>
        </w:rPr>
        <w:t xml:space="preserve"> consumo, también es un </w:t>
      </w:r>
      <w:r w:rsidR="000A4E97" w:rsidRPr="00DC07FC">
        <w:rPr>
          <w:rFonts w:ascii="Bookman Old Style" w:hAnsi="Bookman Old Style" w:cs="Arial"/>
        </w:rPr>
        <w:t xml:space="preserve">UNR </w:t>
      </w:r>
      <w:r w:rsidR="004A13D2" w:rsidRPr="00DC07FC">
        <w:rPr>
          <w:rFonts w:ascii="Bookman Old Style" w:hAnsi="Bookman Old Style" w:cs="Arial"/>
        </w:rPr>
        <w:t>la empresa que utiliza GLP como combustible para generar energía eléctrica</w:t>
      </w:r>
      <w:r w:rsidR="00860F42" w:rsidRPr="00DC07FC">
        <w:rPr>
          <w:rFonts w:ascii="Bookman Old Style" w:hAnsi="Bookman Old Style" w:cs="Arial"/>
        </w:rPr>
        <w:t>.</w:t>
      </w:r>
    </w:p>
    <w:p w:rsidR="004B0D9C" w:rsidRPr="00DC07FC" w:rsidRDefault="004B0D9C" w:rsidP="004C1136">
      <w:pPr>
        <w:ind w:left="0"/>
        <w:contextualSpacing/>
        <w:jc w:val="both"/>
        <w:rPr>
          <w:rFonts w:ascii="Bookman Old Style" w:hAnsi="Bookman Old Style" w:cs="Arial"/>
        </w:rPr>
      </w:pPr>
    </w:p>
    <w:p w:rsidR="004B0D9C" w:rsidRPr="00DC07FC" w:rsidRDefault="00C6175D" w:rsidP="004B0D9C">
      <w:pPr>
        <w:pStyle w:val="ARTICULOS"/>
        <w:ind w:left="1" w:right="142"/>
        <w:rPr>
          <w:b/>
          <w:lang w:val="es-CO"/>
        </w:rPr>
      </w:pPr>
      <w:r w:rsidRPr="00DC07FC">
        <w:rPr>
          <w:b/>
          <w:lang w:val="es-ES"/>
        </w:rPr>
        <w:t>Variación</w:t>
      </w:r>
      <w:r w:rsidR="004B0D9C" w:rsidRPr="00DC07FC">
        <w:rPr>
          <w:b/>
          <w:lang w:val="es-ES"/>
        </w:rPr>
        <w:t xml:space="preserve">: </w:t>
      </w:r>
      <w:r w:rsidR="004B0D9C" w:rsidRPr="00DC07FC">
        <w:rPr>
          <w:lang w:val="es-ES"/>
        </w:rPr>
        <w:t xml:space="preserve">Valor absoluto de la diferencia entre la cantidad de GLP nominada y aprobada durante el ciclo de nominación, y la cantidad recibida y/o entregada en los puntos de </w:t>
      </w:r>
      <w:r w:rsidR="002425E5" w:rsidRPr="00DC07FC">
        <w:rPr>
          <w:lang w:val="es-ES"/>
        </w:rPr>
        <w:t>entrega del comercializador mayorista</w:t>
      </w:r>
      <w:r w:rsidR="004B0D9C" w:rsidRPr="00DC07FC">
        <w:rPr>
          <w:lang w:val="es-ES"/>
        </w:rPr>
        <w:t>.</w:t>
      </w:r>
    </w:p>
    <w:p w:rsidR="003D2B1A" w:rsidRDefault="003D2B1A" w:rsidP="004C1136">
      <w:pPr>
        <w:ind w:left="0"/>
        <w:contextualSpacing/>
        <w:jc w:val="both"/>
        <w:rPr>
          <w:rFonts w:ascii="Bookman Old Style" w:hAnsi="Bookman Old Style" w:cs="Arial"/>
        </w:rPr>
      </w:pPr>
    </w:p>
    <w:p w:rsidR="00580711" w:rsidRPr="00DC07FC" w:rsidRDefault="00580711" w:rsidP="004C1136">
      <w:pPr>
        <w:ind w:left="0"/>
        <w:contextualSpacing/>
        <w:jc w:val="both"/>
        <w:rPr>
          <w:rFonts w:ascii="Bookman Old Style" w:hAnsi="Bookman Old Style" w:cs="Arial"/>
        </w:rPr>
      </w:pPr>
    </w:p>
    <w:p w:rsidR="0048346D" w:rsidRPr="00DC07FC" w:rsidRDefault="00555A6C" w:rsidP="00D444D6">
      <w:pPr>
        <w:pStyle w:val="ARTICULOS"/>
        <w:numPr>
          <w:ilvl w:val="0"/>
          <w:numId w:val="2"/>
        </w:numPr>
        <w:tabs>
          <w:tab w:val="left" w:pos="1701"/>
        </w:tabs>
        <w:ind w:left="0" w:firstLine="0"/>
        <w:contextualSpacing/>
        <w:outlineLvl w:val="2"/>
        <w:rPr>
          <w:rFonts w:cs="Arial"/>
          <w:color w:val="000000" w:themeColor="text1"/>
        </w:rPr>
      </w:pPr>
      <w:r w:rsidRPr="00DC07FC">
        <w:rPr>
          <w:rFonts w:cs="Arial"/>
          <w:b/>
          <w:color w:val="000000" w:themeColor="text1"/>
        </w:rPr>
        <w:t>SIGLAS.</w:t>
      </w:r>
      <w:r w:rsidR="00603C27" w:rsidRPr="00DC07FC">
        <w:rPr>
          <w:rFonts w:cs="Arial"/>
          <w:b/>
          <w:color w:val="000000" w:themeColor="text1"/>
        </w:rPr>
        <w:t xml:space="preserve"> </w:t>
      </w:r>
      <w:r w:rsidR="00603C27" w:rsidRPr="00DC07FC">
        <w:rPr>
          <w:rFonts w:cs="Arial"/>
          <w:color w:val="000000" w:themeColor="text1"/>
        </w:rPr>
        <w:t>Para</w:t>
      </w:r>
      <w:r w:rsidR="005B513C" w:rsidRPr="00DC07FC">
        <w:rPr>
          <w:rFonts w:cs="Arial"/>
          <w:color w:val="000000" w:themeColor="text1"/>
        </w:rPr>
        <w:t xml:space="preserve"> efectos de la presente resolución se tendrán en cuenta las siguientes siglas:</w:t>
      </w:r>
    </w:p>
    <w:p w:rsidR="0048346D" w:rsidRPr="00DC07FC" w:rsidRDefault="0048346D" w:rsidP="004C1136">
      <w:pPr>
        <w:ind w:left="0"/>
        <w:contextualSpacing/>
        <w:jc w:val="both"/>
        <w:rPr>
          <w:rFonts w:ascii="Bookman Old Style" w:hAnsi="Bookman Old Style"/>
          <w:lang w:val="x-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8"/>
        <w:gridCol w:w="7782"/>
      </w:tblGrid>
      <w:tr w:rsidR="00596295" w:rsidRPr="00DC07FC" w:rsidTr="005A140B">
        <w:trPr>
          <w:trHeight w:val="340"/>
        </w:trPr>
        <w:tc>
          <w:tcPr>
            <w:tcW w:w="1276" w:type="dxa"/>
            <w:vAlign w:val="center"/>
          </w:tcPr>
          <w:p w:rsidR="00596295" w:rsidRPr="00DC07FC" w:rsidRDefault="00596295" w:rsidP="004C1136">
            <w:pPr>
              <w:pStyle w:val="ARTICULOS"/>
              <w:contextualSpacing/>
              <w:rPr>
                <w:b/>
                <w:color w:val="000000" w:themeColor="text1"/>
                <w:lang w:val="es-ES"/>
              </w:rPr>
            </w:pPr>
            <w:r w:rsidRPr="00DC07FC">
              <w:rPr>
                <w:b/>
                <w:color w:val="000000" w:themeColor="text1"/>
                <w:lang w:val="es-ES"/>
              </w:rPr>
              <w:t>BTU</w:t>
            </w:r>
          </w:p>
        </w:tc>
        <w:tc>
          <w:tcPr>
            <w:tcW w:w="298" w:type="dxa"/>
            <w:vAlign w:val="center"/>
          </w:tcPr>
          <w:p w:rsidR="00596295" w:rsidRPr="00DC07FC" w:rsidRDefault="00596295" w:rsidP="004C1136">
            <w:pPr>
              <w:pStyle w:val="ARTICULOS"/>
              <w:contextualSpacing/>
              <w:rPr>
                <w:b/>
                <w:color w:val="000000" w:themeColor="text1"/>
                <w:lang w:val="es-ES"/>
              </w:rPr>
            </w:pPr>
            <w:r w:rsidRPr="00DC07FC">
              <w:rPr>
                <w:b/>
                <w:color w:val="000000" w:themeColor="text1"/>
                <w:lang w:val="es-ES"/>
              </w:rPr>
              <w:t>:</w:t>
            </w:r>
          </w:p>
        </w:tc>
        <w:tc>
          <w:tcPr>
            <w:tcW w:w="7782" w:type="dxa"/>
            <w:vAlign w:val="center"/>
          </w:tcPr>
          <w:p w:rsidR="00596295" w:rsidRPr="00DC07FC" w:rsidRDefault="00596295" w:rsidP="004C1136">
            <w:pPr>
              <w:pStyle w:val="ARTICULOS"/>
              <w:contextualSpacing/>
              <w:rPr>
                <w:color w:val="000000" w:themeColor="text1"/>
                <w:lang w:val="es-ES"/>
              </w:rPr>
            </w:pPr>
            <w:r w:rsidRPr="00DC07FC">
              <w:rPr>
                <w:color w:val="000000" w:themeColor="text1"/>
                <w:lang w:val="es-ES"/>
              </w:rPr>
              <w:t xml:space="preserve">Abreviatura de </w:t>
            </w:r>
            <w:r w:rsidRPr="00DC07FC">
              <w:rPr>
                <w:i/>
                <w:color w:val="000000" w:themeColor="text1"/>
                <w:lang w:val="es-ES"/>
              </w:rPr>
              <w:t xml:space="preserve">British </w:t>
            </w:r>
            <w:proofErr w:type="spellStart"/>
            <w:r w:rsidRPr="00DC07FC">
              <w:rPr>
                <w:i/>
                <w:color w:val="000000" w:themeColor="text1"/>
                <w:lang w:val="es-ES"/>
              </w:rPr>
              <w:t>Thermal</w:t>
            </w:r>
            <w:proofErr w:type="spellEnd"/>
            <w:r w:rsidRPr="00DC07FC">
              <w:rPr>
                <w:i/>
                <w:color w:val="000000" w:themeColor="text1"/>
                <w:lang w:val="es-ES"/>
              </w:rPr>
              <w:t xml:space="preserve"> </w:t>
            </w:r>
            <w:proofErr w:type="spellStart"/>
            <w:r w:rsidRPr="00DC07FC">
              <w:rPr>
                <w:i/>
                <w:color w:val="000000" w:themeColor="text1"/>
                <w:lang w:val="es-ES"/>
              </w:rPr>
              <w:t>Unit</w:t>
            </w:r>
            <w:proofErr w:type="spellEnd"/>
            <w:r w:rsidRPr="00DC07FC">
              <w:rPr>
                <w:color w:val="000000" w:themeColor="text1"/>
                <w:lang w:val="es-ES"/>
              </w:rPr>
              <w:t>.</w:t>
            </w:r>
          </w:p>
        </w:tc>
      </w:tr>
      <w:tr w:rsidR="00596295" w:rsidRPr="00DC07FC" w:rsidTr="005A140B">
        <w:trPr>
          <w:trHeight w:val="340"/>
        </w:trPr>
        <w:tc>
          <w:tcPr>
            <w:tcW w:w="1276" w:type="dxa"/>
            <w:vAlign w:val="center"/>
          </w:tcPr>
          <w:p w:rsidR="00596295" w:rsidRPr="00DC07FC" w:rsidRDefault="00023080" w:rsidP="004C1136">
            <w:pPr>
              <w:pStyle w:val="ARTICULOS"/>
              <w:contextualSpacing/>
              <w:rPr>
                <w:b/>
                <w:color w:val="000000" w:themeColor="text1"/>
                <w:lang w:val="es-ES"/>
              </w:rPr>
            </w:pPr>
            <w:r>
              <w:rPr>
                <w:b/>
                <w:color w:val="000000" w:themeColor="text1"/>
                <w:lang w:val="es-ES"/>
              </w:rPr>
              <w:t>CIDV</w:t>
            </w:r>
          </w:p>
        </w:tc>
        <w:tc>
          <w:tcPr>
            <w:tcW w:w="298" w:type="dxa"/>
            <w:vAlign w:val="center"/>
          </w:tcPr>
          <w:p w:rsidR="00596295" w:rsidRPr="00DC07FC" w:rsidRDefault="00596295" w:rsidP="004C1136">
            <w:pPr>
              <w:pStyle w:val="ARTICULOS"/>
              <w:contextualSpacing/>
              <w:rPr>
                <w:b/>
                <w:color w:val="000000" w:themeColor="text1"/>
                <w:lang w:val="es-ES"/>
              </w:rPr>
            </w:pPr>
            <w:r w:rsidRPr="00DC07FC">
              <w:rPr>
                <w:b/>
                <w:color w:val="000000" w:themeColor="text1"/>
                <w:lang w:val="es-ES"/>
              </w:rPr>
              <w:t>:</w:t>
            </w:r>
          </w:p>
        </w:tc>
        <w:tc>
          <w:tcPr>
            <w:tcW w:w="7782" w:type="dxa"/>
            <w:vAlign w:val="center"/>
          </w:tcPr>
          <w:p w:rsidR="00596295" w:rsidRPr="00DC07FC" w:rsidRDefault="00596295" w:rsidP="00C4664C">
            <w:pPr>
              <w:pStyle w:val="ARTICULOS"/>
              <w:contextualSpacing/>
              <w:rPr>
                <w:b/>
                <w:color w:val="000000" w:themeColor="text1"/>
                <w:lang w:val="es-ES"/>
              </w:rPr>
            </w:pPr>
            <w:r w:rsidRPr="00DC07FC">
              <w:rPr>
                <w:color w:val="000000" w:themeColor="text1"/>
                <w:lang w:val="es-ES"/>
              </w:rPr>
              <w:t xml:space="preserve">Cantidades </w:t>
            </w:r>
            <w:r w:rsidR="00023080">
              <w:rPr>
                <w:color w:val="000000" w:themeColor="text1"/>
                <w:lang w:val="es-ES"/>
              </w:rPr>
              <w:t>a importar</w:t>
            </w:r>
            <w:r w:rsidR="00C4664C">
              <w:rPr>
                <w:color w:val="000000" w:themeColor="text1"/>
                <w:lang w:val="es-ES"/>
              </w:rPr>
              <w:t xml:space="preserve"> disponibles para la venta</w:t>
            </w:r>
            <w:r w:rsidRPr="00DC07FC">
              <w:rPr>
                <w:color w:val="000000" w:themeColor="text1"/>
                <w:lang w:val="es-ES"/>
              </w:rPr>
              <w:t>.</w:t>
            </w:r>
          </w:p>
        </w:tc>
      </w:tr>
      <w:tr w:rsidR="00E93EF1" w:rsidRPr="00DC07FC" w:rsidTr="005A140B">
        <w:trPr>
          <w:trHeight w:val="340"/>
        </w:trPr>
        <w:tc>
          <w:tcPr>
            <w:tcW w:w="1276" w:type="dxa"/>
            <w:vAlign w:val="center"/>
          </w:tcPr>
          <w:p w:rsidR="00E93EF1" w:rsidRPr="00DC07FC" w:rsidRDefault="00E93EF1" w:rsidP="004C1136">
            <w:pPr>
              <w:pStyle w:val="ARTICULOS"/>
              <w:contextualSpacing/>
              <w:rPr>
                <w:b/>
                <w:color w:val="000000" w:themeColor="text1"/>
                <w:lang w:val="es-ES"/>
              </w:rPr>
            </w:pPr>
            <w:r w:rsidRPr="00DC07FC">
              <w:rPr>
                <w:b/>
                <w:color w:val="000000" w:themeColor="text1"/>
                <w:lang w:val="es-ES"/>
              </w:rPr>
              <w:t>COP</w:t>
            </w:r>
          </w:p>
        </w:tc>
        <w:tc>
          <w:tcPr>
            <w:tcW w:w="298" w:type="dxa"/>
            <w:vAlign w:val="center"/>
          </w:tcPr>
          <w:p w:rsidR="00E93EF1" w:rsidRPr="00DC07FC" w:rsidRDefault="00E93EF1" w:rsidP="004C1136">
            <w:pPr>
              <w:pStyle w:val="ARTICULOS"/>
              <w:contextualSpacing/>
              <w:rPr>
                <w:b/>
                <w:color w:val="000000" w:themeColor="text1"/>
                <w:lang w:val="es-ES"/>
              </w:rPr>
            </w:pPr>
            <w:r w:rsidRPr="00DC07FC">
              <w:rPr>
                <w:b/>
                <w:color w:val="000000" w:themeColor="text1"/>
                <w:lang w:val="es-ES"/>
              </w:rPr>
              <w:t>:</w:t>
            </w:r>
          </w:p>
        </w:tc>
        <w:tc>
          <w:tcPr>
            <w:tcW w:w="7782" w:type="dxa"/>
            <w:vAlign w:val="center"/>
          </w:tcPr>
          <w:p w:rsidR="00E93EF1" w:rsidRPr="00DC07FC" w:rsidRDefault="00A1595C" w:rsidP="004C1136">
            <w:pPr>
              <w:pStyle w:val="ARTICULOS"/>
              <w:contextualSpacing/>
              <w:rPr>
                <w:color w:val="000000" w:themeColor="text1"/>
                <w:lang w:val="es-ES"/>
              </w:rPr>
            </w:pPr>
            <w:r w:rsidRPr="00DC07FC">
              <w:rPr>
                <w:color w:val="000000" w:themeColor="text1"/>
                <w:lang w:val="es-ES"/>
              </w:rPr>
              <w:t>Unidad m</w:t>
            </w:r>
            <w:r w:rsidR="00E93EF1" w:rsidRPr="00DC07FC">
              <w:rPr>
                <w:color w:val="000000" w:themeColor="text1"/>
                <w:lang w:val="es-ES"/>
              </w:rPr>
              <w:t>one</w:t>
            </w:r>
            <w:r w:rsidRPr="00DC07FC">
              <w:rPr>
                <w:color w:val="000000" w:themeColor="text1"/>
                <w:lang w:val="es-ES"/>
              </w:rPr>
              <w:t>taria</w:t>
            </w:r>
            <w:r w:rsidR="00E93EF1" w:rsidRPr="00DC07FC">
              <w:rPr>
                <w:color w:val="000000" w:themeColor="text1"/>
                <w:lang w:val="es-ES"/>
              </w:rPr>
              <w:t xml:space="preserve"> de curso legal en Colombia.</w:t>
            </w:r>
          </w:p>
        </w:tc>
      </w:tr>
      <w:tr w:rsidR="00596295" w:rsidRPr="00DC07FC" w:rsidTr="005A140B">
        <w:trPr>
          <w:trHeight w:val="340"/>
        </w:trPr>
        <w:tc>
          <w:tcPr>
            <w:tcW w:w="1276" w:type="dxa"/>
            <w:vAlign w:val="center"/>
          </w:tcPr>
          <w:p w:rsidR="00596295" w:rsidRPr="00DC07FC" w:rsidRDefault="00596295" w:rsidP="004C1136">
            <w:pPr>
              <w:pStyle w:val="ARTICULOS"/>
              <w:contextualSpacing/>
              <w:rPr>
                <w:b/>
                <w:color w:val="000000" w:themeColor="text1"/>
                <w:lang w:val="es-ES"/>
              </w:rPr>
            </w:pPr>
            <w:r w:rsidRPr="00DC07FC">
              <w:rPr>
                <w:b/>
                <w:color w:val="000000" w:themeColor="text1"/>
                <w:lang w:val="es-ES"/>
              </w:rPr>
              <w:lastRenderedPageBreak/>
              <w:t>CREG</w:t>
            </w:r>
          </w:p>
        </w:tc>
        <w:tc>
          <w:tcPr>
            <w:tcW w:w="298" w:type="dxa"/>
            <w:vAlign w:val="center"/>
          </w:tcPr>
          <w:p w:rsidR="00596295" w:rsidRPr="00DC07FC" w:rsidRDefault="00596295" w:rsidP="004C1136">
            <w:pPr>
              <w:pStyle w:val="ARTICULOS"/>
              <w:contextualSpacing/>
              <w:rPr>
                <w:color w:val="000000" w:themeColor="text1"/>
                <w:lang w:val="es-ES"/>
              </w:rPr>
            </w:pPr>
            <w:r w:rsidRPr="00DC07FC">
              <w:rPr>
                <w:b/>
                <w:color w:val="000000" w:themeColor="text1"/>
                <w:lang w:val="es-ES"/>
              </w:rPr>
              <w:t>:</w:t>
            </w:r>
          </w:p>
        </w:tc>
        <w:tc>
          <w:tcPr>
            <w:tcW w:w="7782" w:type="dxa"/>
            <w:vAlign w:val="center"/>
          </w:tcPr>
          <w:p w:rsidR="00596295" w:rsidRPr="00DC07FC" w:rsidRDefault="00596295" w:rsidP="004C1136">
            <w:pPr>
              <w:pStyle w:val="ARTICULOS"/>
              <w:contextualSpacing/>
              <w:rPr>
                <w:b/>
                <w:color w:val="000000" w:themeColor="text1"/>
                <w:lang w:val="es-ES"/>
              </w:rPr>
            </w:pPr>
            <w:r w:rsidRPr="00DC07FC">
              <w:rPr>
                <w:color w:val="000000" w:themeColor="text1"/>
                <w:lang w:val="es-ES"/>
              </w:rPr>
              <w:t>Comisión de Regulación de Energía y Gas.</w:t>
            </w:r>
          </w:p>
        </w:tc>
      </w:tr>
      <w:tr w:rsidR="00596295" w:rsidRPr="00DC07FC" w:rsidTr="005A140B">
        <w:trPr>
          <w:trHeight w:val="340"/>
        </w:trPr>
        <w:tc>
          <w:tcPr>
            <w:tcW w:w="1276" w:type="dxa"/>
            <w:vAlign w:val="center"/>
          </w:tcPr>
          <w:p w:rsidR="00596295" w:rsidRPr="00DC07FC" w:rsidRDefault="00596295" w:rsidP="004C1136">
            <w:pPr>
              <w:pStyle w:val="ARTICULOS"/>
              <w:contextualSpacing/>
              <w:rPr>
                <w:b/>
                <w:color w:val="000000" w:themeColor="text1"/>
                <w:lang w:val="es-ES"/>
              </w:rPr>
            </w:pPr>
            <w:r w:rsidRPr="00DC07FC">
              <w:rPr>
                <w:b/>
                <w:color w:val="000000" w:themeColor="text1"/>
                <w:lang w:val="es-ES"/>
              </w:rPr>
              <w:t>KG</w:t>
            </w:r>
          </w:p>
        </w:tc>
        <w:tc>
          <w:tcPr>
            <w:tcW w:w="298" w:type="dxa"/>
            <w:vAlign w:val="center"/>
          </w:tcPr>
          <w:p w:rsidR="00596295" w:rsidRPr="00DC07FC" w:rsidRDefault="00596295" w:rsidP="004C1136">
            <w:pPr>
              <w:pStyle w:val="ARTICULOS"/>
              <w:contextualSpacing/>
              <w:rPr>
                <w:b/>
                <w:color w:val="000000" w:themeColor="text1"/>
                <w:lang w:val="es-ES"/>
              </w:rPr>
            </w:pPr>
            <w:r w:rsidRPr="00DC07FC">
              <w:rPr>
                <w:b/>
                <w:color w:val="000000" w:themeColor="text1"/>
                <w:lang w:val="es-ES"/>
              </w:rPr>
              <w:t>:</w:t>
            </w:r>
          </w:p>
        </w:tc>
        <w:tc>
          <w:tcPr>
            <w:tcW w:w="7782" w:type="dxa"/>
            <w:vAlign w:val="center"/>
          </w:tcPr>
          <w:p w:rsidR="00596295" w:rsidRPr="00DC07FC" w:rsidRDefault="00596295" w:rsidP="004C1136">
            <w:pPr>
              <w:pStyle w:val="ARTICULOS"/>
              <w:contextualSpacing/>
              <w:rPr>
                <w:b/>
                <w:color w:val="000000" w:themeColor="text1"/>
                <w:lang w:val="es-ES"/>
              </w:rPr>
            </w:pPr>
            <w:r w:rsidRPr="00DC07FC">
              <w:rPr>
                <w:color w:val="000000" w:themeColor="text1"/>
                <w:lang w:val="es-ES"/>
              </w:rPr>
              <w:t>Kilogramo.</w:t>
            </w:r>
          </w:p>
        </w:tc>
      </w:tr>
      <w:tr w:rsidR="00F278EF" w:rsidRPr="00DC07FC" w:rsidTr="005A140B">
        <w:trPr>
          <w:trHeight w:val="340"/>
        </w:trPr>
        <w:tc>
          <w:tcPr>
            <w:tcW w:w="1276" w:type="dxa"/>
            <w:vAlign w:val="center"/>
          </w:tcPr>
          <w:p w:rsidR="00F278EF" w:rsidRPr="00DC07FC" w:rsidRDefault="00F278EF" w:rsidP="0080004D">
            <w:pPr>
              <w:pStyle w:val="ARTICULOS"/>
              <w:contextualSpacing/>
              <w:rPr>
                <w:b/>
                <w:color w:val="000000" w:themeColor="text1"/>
                <w:lang w:val="es-ES"/>
              </w:rPr>
            </w:pPr>
            <w:r w:rsidRPr="00DC07FC">
              <w:rPr>
                <w:b/>
                <w:color w:val="000000" w:themeColor="text1"/>
                <w:lang w:val="es-ES"/>
              </w:rPr>
              <w:t>KGD</w:t>
            </w:r>
          </w:p>
        </w:tc>
        <w:tc>
          <w:tcPr>
            <w:tcW w:w="298" w:type="dxa"/>
            <w:vAlign w:val="center"/>
          </w:tcPr>
          <w:p w:rsidR="00F278EF" w:rsidRPr="00DC07FC" w:rsidRDefault="00F278EF" w:rsidP="0080004D">
            <w:pPr>
              <w:pStyle w:val="ARTICULOS"/>
              <w:contextualSpacing/>
              <w:rPr>
                <w:b/>
                <w:color w:val="000000" w:themeColor="text1"/>
                <w:lang w:val="es-ES"/>
              </w:rPr>
            </w:pPr>
            <w:r w:rsidRPr="00DC07FC">
              <w:rPr>
                <w:b/>
                <w:color w:val="000000" w:themeColor="text1"/>
                <w:lang w:val="es-ES"/>
              </w:rPr>
              <w:t>:</w:t>
            </w:r>
          </w:p>
        </w:tc>
        <w:tc>
          <w:tcPr>
            <w:tcW w:w="7782" w:type="dxa"/>
            <w:vAlign w:val="center"/>
          </w:tcPr>
          <w:p w:rsidR="00F278EF" w:rsidRPr="00DC07FC" w:rsidRDefault="00F278EF" w:rsidP="0080004D">
            <w:pPr>
              <w:pStyle w:val="ARTICULOS"/>
              <w:contextualSpacing/>
              <w:rPr>
                <w:b/>
                <w:color w:val="000000" w:themeColor="text1"/>
                <w:lang w:val="es-ES"/>
              </w:rPr>
            </w:pPr>
            <w:r w:rsidRPr="00DC07FC">
              <w:rPr>
                <w:color w:val="000000" w:themeColor="text1"/>
                <w:lang w:val="es-ES"/>
              </w:rPr>
              <w:t>Kilogramos por día.</w:t>
            </w:r>
          </w:p>
        </w:tc>
      </w:tr>
      <w:tr w:rsidR="00F278EF" w:rsidRPr="00DC07FC" w:rsidTr="005A140B">
        <w:trPr>
          <w:trHeight w:val="340"/>
        </w:trPr>
        <w:tc>
          <w:tcPr>
            <w:tcW w:w="1276" w:type="dxa"/>
            <w:vAlign w:val="center"/>
          </w:tcPr>
          <w:p w:rsidR="00F278EF" w:rsidRPr="00DC07FC" w:rsidRDefault="00F278EF" w:rsidP="00544C67">
            <w:pPr>
              <w:pStyle w:val="ARTICULOS"/>
              <w:contextualSpacing/>
              <w:rPr>
                <w:b/>
                <w:color w:val="000000" w:themeColor="text1"/>
                <w:lang w:val="es-ES"/>
              </w:rPr>
            </w:pPr>
            <w:r w:rsidRPr="00DC07FC">
              <w:rPr>
                <w:b/>
                <w:color w:val="000000" w:themeColor="text1"/>
                <w:lang w:val="es-ES"/>
              </w:rPr>
              <w:t>MOD</w:t>
            </w:r>
          </w:p>
        </w:tc>
        <w:tc>
          <w:tcPr>
            <w:tcW w:w="298" w:type="dxa"/>
            <w:vAlign w:val="center"/>
          </w:tcPr>
          <w:p w:rsidR="00F278EF" w:rsidRPr="00DC07FC" w:rsidRDefault="003D29E1" w:rsidP="004C1136">
            <w:pPr>
              <w:pStyle w:val="ARTICULOS"/>
              <w:contextualSpacing/>
              <w:rPr>
                <w:b/>
                <w:color w:val="000000" w:themeColor="text1"/>
                <w:lang w:val="es-ES"/>
              </w:rPr>
            </w:pPr>
            <w:r>
              <w:rPr>
                <w:b/>
                <w:color w:val="000000" w:themeColor="text1"/>
                <w:lang w:val="es-ES"/>
              </w:rPr>
              <w:t>:</w:t>
            </w:r>
          </w:p>
        </w:tc>
        <w:tc>
          <w:tcPr>
            <w:tcW w:w="7782" w:type="dxa"/>
            <w:vAlign w:val="center"/>
          </w:tcPr>
          <w:p w:rsidR="00F278EF" w:rsidRPr="00DC07FC" w:rsidRDefault="00F278EF" w:rsidP="00544C67">
            <w:pPr>
              <w:pStyle w:val="ARTICULOS"/>
              <w:contextualSpacing/>
              <w:rPr>
                <w:color w:val="000000" w:themeColor="text1"/>
                <w:lang w:val="es-ES"/>
              </w:rPr>
            </w:pPr>
            <w:r w:rsidRPr="00DC07FC">
              <w:rPr>
                <w:color w:val="000000" w:themeColor="text1"/>
                <w:lang w:val="es-ES"/>
              </w:rPr>
              <w:t>Módulo de ofertas y demandas de GLP del SIMM</w:t>
            </w:r>
            <w:r w:rsidR="00C4664C">
              <w:rPr>
                <w:color w:val="000000" w:themeColor="text1"/>
                <w:lang w:val="es-ES"/>
              </w:rPr>
              <w:t>.</w:t>
            </w:r>
          </w:p>
        </w:tc>
      </w:tr>
      <w:tr w:rsidR="00596295" w:rsidRPr="00DC07FC" w:rsidTr="005A140B">
        <w:trPr>
          <w:trHeight w:val="340"/>
        </w:trPr>
        <w:tc>
          <w:tcPr>
            <w:tcW w:w="1276" w:type="dxa"/>
            <w:vAlign w:val="center"/>
          </w:tcPr>
          <w:p w:rsidR="00596295" w:rsidRPr="00DC07FC" w:rsidRDefault="00596295" w:rsidP="00C4664C">
            <w:pPr>
              <w:pStyle w:val="ARTICULOS"/>
              <w:contextualSpacing/>
              <w:rPr>
                <w:b/>
                <w:color w:val="000000" w:themeColor="text1"/>
                <w:lang w:val="es-ES"/>
              </w:rPr>
            </w:pPr>
            <w:r w:rsidRPr="00DC07FC">
              <w:rPr>
                <w:b/>
                <w:color w:val="000000" w:themeColor="text1"/>
                <w:lang w:val="es-ES"/>
              </w:rPr>
              <w:t>PTDV</w:t>
            </w:r>
          </w:p>
        </w:tc>
        <w:tc>
          <w:tcPr>
            <w:tcW w:w="298" w:type="dxa"/>
            <w:vAlign w:val="center"/>
          </w:tcPr>
          <w:p w:rsidR="00596295" w:rsidRPr="00DC07FC" w:rsidRDefault="00596295" w:rsidP="004C1136">
            <w:pPr>
              <w:pStyle w:val="ARTICULOS"/>
              <w:contextualSpacing/>
              <w:rPr>
                <w:b/>
                <w:color w:val="000000" w:themeColor="text1"/>
                <w:lang w:val="es-ES"/>
              </w:rPr>
            </w:pPr>
            <w:r w:rsidRPr="00DC07FC">
              <w:rPr>
                <w:b/>
                <w:color w:val="000000" w:themeColor="text1"/>
                <w:lang w:val="es-ES"/>
              </w:rPr>
              <w:t>:</w:t>
            </w:r>
          </w:p>
        </w:tc>
        <w:tc>
          <w:tcPr>
            <w:tcW w:w="7782" w:type="dxa"/>
            <w:vAlign w:val="center"/>
          </w:tcPr>
          <w:p w:rsidR="00596295" w:rsidRPr="00DC07FC" w:rsidRDefault="00734B9F" w:rsidP="004C1136">
            <w:pPr>
              <w:pStyle w:val="ARTICULOS"/>
              <w:contextualSpacing/>
              <w:rPr>
                <w:color w:val="000000" w:themeColor="text1"/>
                <w:lang w:val="es-ES"/>
              </w:rPr>
            </w:pPr>
            <w:r w:rsidRPr="00DC07FC">
              <w:rPr>
                <w:color w:val="000000" w:themeColor="text1"/>
                <w:lang w:val="es-ES"/>
              </w:rPr>
              <w:t>P</w:t>
            </w:r>
            <w:r w:rsidR="00596295" w:rsidRPr="00DC07FC">
              <w:rPr>
                <w:color w:val="000000" w:themeColor="text1"/>
                <w:lang w:val="es-ES"/>
              </w:rPr>
              <w:t>roduc</w:t>
            </w:r>
            <w:r w:rsidR="00C4664C">
              <w:rPr>
                <w:color w:val="000000" w:themeColor="text1"/>
                <w:lang w:val="es-ES"/>
              </w:rPr>
              <w:t>ción</w:t>
            </w:r>
            <w:r w:rsidRPr="00DC07FC">
              <w:rPr>
                <w:color w:val="000000" w:themeColor="text1"/>
                <w:lang w:val="es-ES"/>
              </w:rPr>
              <w:t xml:space="preserve"> </w:t>
            </w:r>
            <w:r w:rsidR="00596295" w:rsidRPr="00DC07FC">
              <w:rPr>
                <w:color w:val="000000" w:themeColor="text1"/>
                <w:lang w:val="es-ES"/>
              </w:rPr>
              <w:t>total disponible para la venta.</w:t>
            </w:r>
          </w:p>
        </w:tc>
      </w:tr>
      <w:tr w:rsidR="000416E5" w:rsidRPr="00DC07FC" w:rsidTr="005A140B">
        <w:trPr>
          <w:trHeight w:val="340"/>
        </w:trPr>
        <w:tc>
          <w:tcPr>
            <w:tcW w:w="1276" w:type="dxa"/>
            <w:vAlign w:val="center"/>
          </w:tcPr>
          <w:p w:rsidR="000416E5" w:rsidRPr="00DC07FC" w:rsidRDefault="000416E5" w:rsidP="004C1136">
            <w:pPr>
              <w:pStyle w:val="ARTICULOS"/>
              <w:contextualSpacing/>
              <w:rPr>
                <w:b/>
                <w:color w:val="000000" w:themeColor="text1"/>
                <w:lang w:val="es-ES"/>
              </w:rPr>
            </w:pPr>
            <w:r w:rsidRPr="00DC07FC">
              <w:rPr>
                <w:b/>
                <w:color w:val="000000" w:themeColor="text1"/>
                <w:lang w:val="es-ES"/>
              </w:rPr>
              <w:t>RUPS</w:t>
            </w:r>
          </w:p>
        </w:tc>
        <w:tc>
          <w:tcPr>
            <w:tcW w:w="298" w:type="dxa"/>
            <w:vAlign w:val="center"/>
          </w:tcPr>
          <w:p w:rsidR="000416E5" w:rsidRPr="00DC07FC" w:rsidRDefault="000416E5" w:rsidP="004C1136">
            <w:pPr>
              <w:pStyle w:val="ARTICULOS"/>
              <w:contextualSpacing/>
              <w:rPr>
                <w:b/>
                <w:color w:val="000000" w:themeColor="text1"/>
                <w:lang w:val="es-ES"/>
              </w:rPr>
            </w:pPr>
            <w:r w:rsidRPr="00DC07FC">
              <w:rPr>
                <w:b/>
                <w:color w:val="000000" w:themeColor="text1"/>
                <w:lang w:val="es-ES"/>
              </w:rPr>
              <w:t>:</w:t>
            </w:r>
          </w:p>
        </w:tc>
        <w:tc>
          <w:tcPr>
            <w:tcW w:w="7782" w:type="dxa"/>
            <w:vAlign w:val="center"/>
          </w:tcPr>
          <w:p w:rsidR="000416E5" w:rsidRPr="00DC07FC" w:rsidRDefault="000416E5" w:rsidP="004C1136">
            <w:pPr>
              <w:pStyle w:val="ARTICULOS"/>
              <w:contextualSpacing/>
              <w:rPr>
                <w:color w:val="000000" w:themeColor="text1"/>
                <w:lang w:val="es-ES"/>
              </w:rPr>
            </w:pPr>
            <w:r w:rsidRPr="00DC07FC">
              <w:rPr>
                <w:color w:val="000000" w:themeColor="text1"/>
                <w:lang w:val="es-ES"/>
              </w:rPr>
              <w:t>Registro único de prestadores de servicios públicos.</w:t>
            </w:r>
          </w:p>
        </w:tc>
      </w:tr>
      <w:tr w:rsidR="00596295" w:rsidRPr="00DC07FC" w:rsidTr="005A140B">
        <w:trPr>
          <w:trHeight w:val="340"/>
        </w:trPr>
        <w:tc>
          <w:tcPr>
            <w:tcW w:w="1276" w:type="dxa"/>
            <w:vAlign w:val="center"/>
          </w:tcPr>
          <w:p w:rsidR="00596295" w:rsidRPr="00DC07FC" w:rsidRDefault="00596295" w:rsidP="004C1136">
            <w:pPr>
              <w:pStyle w:val="ARTICULOS"/>
              <w:contextualSpacing/>
              <w:rPr>
                <w:b/>
                <w:color w:val="000000" w:themeColor="text1"/>
                <w:lang w:val="es-CO"/>
              </w:rPr>
            </w:pPr>
            <w:r w:rsidRPr="00DC07FC">
              <w:rPr>
                <w:b/>
                <w:color w:val="000000" w:themeColor="text1"/>
              </w:rPr>
              <w:t>SSPD</w:t>
            </w:r>
          </w:p>
        </w:tc>
        <w:tc>
          <w:tcPr>
            <w:tcW w:w="298" w:type="dxa"/>
            <w:vAlign w:val="center"/>
          </w:tcPr>
          <w:p w:rsidR="00596295" w:rsidRPr="00DC07FC" w:rsidRDefault="00596295" w:rsidP="004C1136">
            <w:pPr>
              <w:pStyle w:val="ARTICULOS"/>
              <w:contextualSpacing/>
              <w:rPr>
                <w:b/>
                <w:color w:val="000000" w:themeColor="text1"/>
              </w:rPr>
            </w:pPr>
            <w:r w:rsidRPr="00DC07FC">
              <w:rPr>
                <w:b/>
                <w:color w:val="000000" w:themeColor="text1"/>
              </w:rPr>
              <w:t>:</w:t>
            </w:r>
          </w:p>
        </w:tc>
        <w:tc>
          <w:tcPr>
            <w:tcW w:w="7782" w:type="dxa"/>
            <w:vAlign w:val="center"/>
          </w:tcPr>
          <w:p w:rsidR="00596295" w:rsidRPr="00DC07FC" w:rsidRDefault="00596295" w:rsidP="004C1136">
            <w:pPr>
              <w:pStyle w:val="ARTICULOS"/>
              <w:contextualSpacing/>
              <w:rPr>
                <w:lang w:val="es-CO"/>
              </w:rPr>
            </w:pPr>
            <w:r w:rsidRPr="00DC07FC">
              <w:rPr>
                <w:lang w:val="es-CO"/>
              </w:rPr>
              <w:t>Superintendencia de Servicios Públicos Domiciliarios.</w:t>
            </w:r>
          </w:p>
        </w:tc>
      </w:tr>
      <w:tr w:rsidR="00596295" w:rsidRPr="00DC07FC" w:rsidTr="005A140B">
        <w:trPr>
          <w:trHeight w:val="340"/>
        </w:trPr>
        <w:tc>
          <w:tcPr>
            <w:tcW w:w="1276" w:type="dxa"/>
            <w:vAlign w:val="center"/>
          </w:tcPr>
          <w:p w:rsidR="00596295" w:rsidRPr="00DC07FC" w:rsidRDefault="00596295" w:rsidP="004C1136">
            <w:pPr>
              <w:ind w:left="0"/>
              <w:contextualSpacing/>
              <w:jc w:val="both"/>
              <w:rPr>
                <w:rFonts w:ascii="Bookman Old Style" w:hAnsi="Bookman Old Style"/>
                <w:b/>
                <w:color w:val="000000" w:themeColor="text1"/>
              </w:rPr>
            </w:pPr>
            <w:r w:rsidRPr="00DC07FC">
              <w:rPr>
                <w:rFonts w:ascii="Bookman Old Style" w:hAnsi="Bookman Old Style"/>
                <w:b/>
                <w:color w:val="000000" w:themeColor="text1"/>
              </w:rPr>
              <w:t>SIC</w:t>
            </w:r>
          </w:p>
        </w:tc>
        <w:tc>
          <w:tcPr>
            <w:tcW w:w="298" w:type="dxa"/>
            <w:vAlign w:val="center"/>
          </w:tcPr>
          <w:p w:rsidR="00596295" w:rsidRPr="00DC07FC" w:rsidRDefault="00596295" w:rsidP="004C1136">
            <w:pPr>
              <w:ind w:left="0"/>
              <w:contextualSpacing/>
              <w:jc w:val="both"/>
              <w:rPr>
                <w:rFonts w:ascii="Bookman Old Style" w:hAnsi="Bookman Old Style"/>
                <w:b/>
                <w:color w:val="000000" w:themeColor="text1"/>
              </w:rPr>
            </w:pPr>
            <w:r w:rsidRPr="00DC07FC">
              <w:rPr>
                <w:rFonts w:ascii="Bookman Old Style" w:hAnsi="Bookman Old Style"/>
                <w:b/>
                <w:color w:val="000000" w:themeColor="text1"/>
              </w:rPr>
              <w:t>:</w:t>
            </w:r>
          </w:p>
        </w:tc>
        <w:tc>
          <w:tcPr>
            <w:tcW w:w="7782" w:type="dxa"/>
            <w:vAlign w:val="center"/>
          </w:tcPr>
          <w:p w:rsidR="00596295" w:rsidRPr="00DC07FC" w:rsidRDefault="00596295" w:rsidP="004C1136">
            <w:pPr>
              <w:ind w:left="0"/>
              <w:contextualSpacing/>
              <w:jc w:val="both"/>
              <w:rPr>
                <w:rFonts w:ascii="Bookman Old Style" w:hAnsi="Bookman Old Style"/>
                <w:lang w:val="es-CO"/>
              </w:rPr>
            </w:pPr>
            <w:r w:rsidRPr="00DC07FC">
              <w:rPr>
                <w:rFonts w:ascii="Bookman Old Style" w:hAnsi="Bookman Old Style"/>
                <w:lang w:val="es-CO"/>
              </w:rPr>
              <w:t>Superintendencia de Industria y Comercio.</w:t>
            </w:r>
          </w:p>
        </w:tc>
      </w:tr>
      <w:tr w:rsidR="000416E5" w:rsidRPr="00DC07FC" w:rsidTr="005A140B">
        <w:trPr>
          <w:trHeight w:val="340"/>
        </w:trPr>
        <w:tc>
          <w:tcPr>
            <w:tcW w:w="1276" w:type="dxa"/>
            <w:vAlign w:val="center"/>
          </w:tcPr>
          <w:p w:rsidR="000416E5" w:rsidRPr="00DC07FC" w:rsidRDefault="000416E5" w:rsidP="004C1136">
            <w:pPr>
              <w:ind w:left="0"/>
              <w:contextualSpacing/>
              <w:jc w:val="both"/>
              <w:rPr>
                <w:rFonts w:ascii="Bookman Old Style" w:hAnsi="Bookman Old Style"/>
                <w:b/>
                <w:color w:val="000000" w:themeColor="text1"/>
              </w:rPr>
            </w:pPr>
            <w:r w:rsidRPr="00DC07FC">
              <w:rPr>
                <w:rFonts w:ascii="Bookman Old Style" w:hAnsi="Bookman Old Style"/>
                <w:b/>
                <w:color w:val="000000" w:themeColor="text1"/>
              </w:rPr>
              <w:t>SUI</w:t>
            </w:r>
          </w:p>
        </w:tc>
        <w:tc>
          <w:tcPr>
            <w:tcW w:w="298" w:type="dxa"/>
            <w:vAlign w:val="center"/>
          </w:tcPr>
          <w:p w:rsidR="000416E5" w:rsidRPr="00DC07FC" w:rsidRDefault="000416E5" w:rsidP="004C1136">
            <w:pPr>
              <w:ind w:left="0"/>
              <w:contextualSpacing/>
              <w:jc w:val="both"/>
              <w:rPr>
                <w:rFonts w:ascii="Bookman Old Style" w:hAnsi="Bookman Old Style"/>
                <w:b/>
                <w:color w:val="000000" w:themeColor="text1"/>
              </w:rPr>
            </w:pPr>
            <w:r w:rsidRPr="00DC07FC">
              <w:rPr>
                <w:rFonts w:ascii="Bookman Old Style" w:hAnsi="Bookman Old Style"/>
                <w:b/>
                <w:color w:val="000000" w:themeColor="text1"/>
              </w:rPr>
              <w:t>:</w:t>
            </w:r>
          </w:p>
        </w:tc>
        <w:tc>
          <w:tcPr>
            <w:tcW w:w="7782" w:type="dxa"/>
            <w:vAlign w:val="center"/>
          </w:tcPr>
          <w:p w:rsidR="000416E5" w:rsidRPr="00DC07FC" w:rsidRDefault="000416E5" w:rsidP="004C1136">
            <w:pPr>
              <w:ind w:left="0"/>
              <w:contextualSpacing/>
              <w:jc w:val="both"/>
              <w:rPr>
                <w:rFonts w:ascii="Bookman Old Style" w:hAnsi="Bookman Old Style"/>
                <w:lang w:val="es-CO"/>
              </w:rPr>
            </w:pPr>
            <w:r w:rsidRPr="00DC07FC">
              <w:rPr>
                <w:rFonts w:ascii="Bookman Old Style" w:hAnsi="Bookman Old Style"/>
                <w:lang w:val="es-CO"/>
              </w:rPr>
              <w:t>Sistema único de información de servicios públicos.</w:t>
            </w:r>
          </w:p>
        </w:tc>
      </w:tr>
      <w:tr w:rsidR="00596295" w:rsidRPr="00DC07FC" w:rsidTr="005A140B">
        <w:trPr>
          <w:trHeight w:val="340"/>
        </w:trPr>
        <w:tc>
          <w:tcPr>
            <w:tcW w:w="1276" w:type="dxa"/>
            <w:vAlign w:val="center"/>
          </w:tcPr>
          <w:p w:rsidR="00596295" w:rsidRPr="00DC07FC" w:rsidRDefault="002420A4" w:rsidP="004C1136">
            <w:pPr>
              <w:ind w:left="0"/>
              <w:contextualSpacing/>
              <w:jc w:val="both"/>
              <w:rPr>
                <w:rFonts w:ascii="Bookman Old Style" w:hAnsi="Bookman Old Style"/>
                <w:b/>
                <w:lang w:val="es-CO"/>
              </w:rPr>
            </w:pPr>
            <w:r w:rsidRPr="00DC07FC">
              <w:rPr>
                <w:rFonts w:ascii="Bookman Old Style" w:hAnsi="Bookman Old Style"/>
                <w:b/>
                <w:lang w:val="es-CO"/>
              </w:rPr>
              <w:t>SIMM</w:t>
            </w:r>
          </w:p>
        </w:tc>
        <w:tc>
          <w:tcPr>
            <w:tcW w:w="298" w:type="dxa"/>
            <w:vAlign w:val="center"/>
          </w:tcPr>
          <w:p w:rsidR="00596295" w:rsidRPr="00DC07FC" w:rsidRDefault="00596295" w:rsidP="004C1136">
            <w:pPr>
              <w:ind w:left="0"/>
              <w:contextualSpacing/>
              <w:jc w:val="both"/>
              <w:rPr>
                <w:rFonts w:ascii="Bookman Old Style" w:hAnsi="Bookman Old Style"/>
                <w:lang w:val="es-CO"/>
              </w:rPr>
            </w:pPr>
            <w:r w:rsidRPr="00DC07FC">
              <w:rPr>
                <w:rFonts w:ascii="Bookman Old Style" w:hAnsi="Bookman Old Style"/>
                <w:b/>
                <w:lang w:val="es-CO"/>
              </w:rPr>
              <w:t>:</w:t>
            </w:r>
          </w:p>
        </w:tc>
        <w:tc>
          <w:tcPr>
            <w:tcW w:w="7782" w:type="dxa"/>
            <w:vAlign w:val="center"/>
          </w:tcPr>
          <w:p w:rsidR="00596295" w:rsidRPr="00DC07FC" w:rsidRDefault="00596295" w:rsidP="004C1136">
            <w:pPr>
              <w:ind w:left="0"/>
              <w:contextualSpacing/>
              <w:jc w:val="both"/>
              <w:rPr>
                <w:rFonts w:ascii="Bookman Old Style" w:hAnsi="Bookman Old Style"/>
                <w:b/>
                <w:color w:val="000000" w:themeColor="text1"/>
              </w:rPr>
            </w:pPr>
            <w:r w:rsidRPr="00DC07FC">
              <w:rPr>
                <w:rFonts w:ascii="Bookman Old Style" w:hAnsi="Bookman Old Style"/>
                <w:lang w:val="es-CO"/>
              </w:rPr>
              <w:t>Sistema de información del Mercado Mayorista de GLP.</w:t>
            </w:r>
          </w:p>
        </w:tc>
      </w:tr>
      <w:tr w:rsidR="00596295" w:rsidRPr="00DC07FC" w:rsidTr="005A140B">
        <w:trPr>
          <w:trHeight w:val="340"/>
        </w:trPr>
        <w:tc>
          <w:tcPr>
            <w:tcW w:w="1276" w:type="dxa"/>
            <w:vAlign w:val="center"/>
          </w:tcPr>
          <w:p w:rsidR="00596295" w:rsidRPr="00DC07FC" w:rsidRDefault="00596295" w:rsidP="004C1136">
            <w:pPr>
              <w:ind w:left="0"/>
              <w:contextualSpacing/>
              <w:jc w:val="both"/>
              <w:rPr>
                <w:rFonts w:ascii="Bookman Old Style" w:hAnsi="Bookman Old Style"/>
                <w:b/>
                <w:color w:val="000000" w:themeColor="text1"/>
              </w:rPr>
            </w:pPr>
            <w:r w:rsidRPr="00DC07FC">
              <w:rPr>
                <w:rFonts w:ascii="Bookman Old Style" w:hAnsi="Bookman Old Style"/>
                <w:b/>
                <w:color w:val="000000" w:themeColor="text1"/>
              </w:rPr>
              <w:t>UNR</w:t>
            </w:r>
          </w:p>
        </w:tc>
        <w:tc>
          <w:tcPr>
            <w:tcW w:w="298" w:type="dxa"/>
            <w:vAlign w:val="center"/>
          </w:tcPr>
          <w:p w:rsidR="00596295" w:rsidRPr="00DC07FC" w:rsidRDefault="00596295" w:rsidP="004C1136">
            <w:pPr>
              <w:ind w:left="0"/>
              <w:contextualSpacing/>
              <w:jc w:val="both"/>
              <w:rPr>
                <w:rFonts w:ascii="Bookman Old Style" w:hAnsi="Bookman Old Style"/>
                <w:b/>
                <w:color w:val="000000" w:themeColor="text1"/>
              </w:rPr>
            </w:pPr>
            <w:r w:rsidRPr="00DC07FC">
              <w:rPr>
                <w:rFonts w:ascii="Bookman Old Style" w:hAnsi="Bookman Old Style"/>
                <w:b/>
                <w:color w:val="000000" w:themeColor="text1"/>
              </w:rPr>
              <w:t>:</w:t>
            </w:r>
          </w:p>
        </w:tc>
        <w:tc>
          <w:tcPr>
            <w:tcW w:w="7782" w:type="dxa"/>
            <w:vAlign w:val="center"/>
          </w:tcPr>
          <w:p w:rsidR="00596295" w:rsidRPr="00DC07FC" w:rsidRDefault="00596295" w:rsidP="004C1136">
            <w:pPr>
              <w:ind w:left="0"/>
              <w:contextualSpacing/>
              <w:jc w:val="both"/>
              <w:rPr>
                <w:rFonts w:ascii="Bookman Old Style" w:hAnsi="Bookman Old Style"/>
                <w:color w:val="000000" w:themeColor="text1"/>
              </w:rPr>
            </w:pPr>
            <w:r w:rsidRPr="00DC07FC">
              <w:rPr>
                <w:rFonts w:ascii="Bookman Old Style" w:hAnsi="Bookman Old Style"/>
                <w:color w:val="000000" w:themeColor="text1"/>
              </w:rPr>
              <w:t>Usuario no regulado.</w:t>
            </w:r>
          </w:p>
        </w:tc>
      </w:tr>
      <w:tr w:rsidR="00596295" w:rsidRPr="00DC07FC" w:rsidTr="005A140B">
        <w:trPr>
          <w:trHeight w:val="340"/>
        </w:trPr>
        <w:tc>
          <w:tcPr>
            <w:tcW w:w="1276" w:type="dxa"/>
            <w:vAlign w:val="center"/>
          </w:tcPr>
          <w:p w:rsidR="00596295" w:rsidRPr="00DC07FC" w:rsidRDefault="00596295" w:rsidP="004C1136">
            <w:pPr>
              <w:ind w:left="0"/>
              <w:contextualSpacing/>
              <w:jc w:val="both"/>
              <w:rPr>
                <w:rFonts w:ascii="Bookman Old Style" w:hAnsi="Bookman Old Style"/>
                <w:b/>
                <w:color w:val="000000" w:themeColor="text1"/>
              </w:rPr>
            </w:pPr>
            <w:r w:rsidRPr="00DC07FC">
              <w:rPr>
                <w:rFonts w:ascii="Bookman Old Style" w:hAnsi="Bookman Old Style"/>
                <w:b/>
                <w:color w:val="000000" w:themeColor="text1"/>
              </w:rPr>
              <w:t>UPME</w:t>
            </w:r>
          </w:p>
        </w:tc>
        <w:tc>
          <w:tcPr>
            <w:tcW w:w="298" w:type="dxa"/>
            <w:vAlign w:val="center"/>
          </w:tcPr>
          <w:p w:rsidR="00596295" w:rsidRPr="00DC07FC" w:rsidRDefault="00596295" w:rsidP="004C1136">
            <w:pPr>
              <w:ind w:left="0"/>
              <w:contextualSpacing/>
              <w:jc w:val="both"/>
              <w:rPr>
                <w:rFonts w:ascii="Bookman Old Style" w:hAnsi="Bookman Old Style"/>
                <w:color w:val="000000" w:themeColor="text1"/>
              </w:rPr>
            </w:pPr>
            <w:r w:rsidRPr="00DC07FC">
              <w:rPr>
                <w:rFonts w:ascii="Bookman Old Style" w:hAnsi="Bookman Old Style"/>
                <w:b/>
                <w:color w:val="000000" w:themeColor="text1"/>
              </w:rPr>
              <w:t>:</w:t>
            </w:r>
          </w:p>
        </w:tc>
        <w:tc>
          <w:tcPr>
            <w:tcW w:w="7782" w:type="dxa"/>
            <w:vAlign w:val="center"/>
          </w:tcPr>
          <w:p w:rsidR="00596295" w:rsidRPr="00DC07FC" w:rsidRDefault="00596295" w:rsidP="004C1136">
            <w:pPr>
              <w:ind w:left="0"/>
              <w:contextualSpacing/>
              <w:jc w:val="both"/>
              <w:rPr>
                <w:rFonts w:ascii="Bookman Old Style" w:hAnsi="Bookman Old Style" w:cs="Arial"/>
              </w:rPr>
            </w:pPr>
            <w:r w:rsidRPr="00DC07FC">
              <w:rPr>
                <w:rFonts w:ascii="Bookman Old Style" w:hAnsi="Bookman Old Style"/>
                <w:color w:val="000000" w:themeColor="text1"/>
              </w:rPr>
              <w:t>Unidad de Planeación Minero Energética.</w:t>
            </w:r>
          </w:p>
        </w:tc>
      </w:tr>
    </w:tbl>
    <w:p w:rsidR="0081321F" w:rsidRDefault="0081321F" w:rsidP="0081321F">
      <w:pPr>
        <w:pStyle w:val="ARTICULOS"/>
      </w:pPr>
    </w:p>
    <w:p w:rsidR="005A140B" w:rsidRPr="00DC07FC" w:rsidRDefault="005A140B" w:rsidP="0081321F">
      <w:pPr>
        <w:pStyle w:val="ARTICULOS"/>
      </w:pPr>
    </w:p>
    <w:p w:rsidR="00C72708" w:rsidRPr="00DC07FC" w:rsidRDefault="007869E4" w:rsidP="004C1136">
      <w:pPr>
        <w:pStyle w:val="Ttulo1"/>
        <w:contextualSpacing/>
        <w:rPr>
          <w:szCs w:val="24"/>
        </w:rPr>
      </w:pPr>
      <w:r w:rsidRPr="00DC07FC">
        <w:rPr>
          <w:szCs w:val="24"/>
        </w:rPr>
        <w:t>TÍTULO II</w:t>
      </w:r>
    </w:p>
    <w:p w:rsidR="00C72708" w:rsidRPr="00DC07FC" w:rsidRDefault="007869E4" w:rsidP="004C1136">
      <w:pPr>
        <w:pStyle w:val="Ttulo1"/>
        <w:contextualSpacing/>
        <w:rPr>
          <w:szCs w:val="24"/>
        </w:rPr>
      </w:pPr>
      <w:r w:rsidRPr="00DC07FC">
        <w:rPr>
          <w:szCs w:val="24"/>
        </w:rPr>
        <w:t>CONTRATO DE SUMINISTRO DE GLP</w:t>
      </w:r>
    </w:p>
    <w:p w:rsidR="00555A6C" w:rsidRPr="00DC07FC" w:rsidRDefault="00555A6C" w:rsidP="004C1136">
      <w:pPr>
        <w:ind w:left="0"/>
        <w:contextualSpacing/>
        <w:jc w:val="both"/>
        <w:rPr>
          <w:rFonts w:ascii="Bookman Old Style" w:hAnsi="Bookman Old Style" w:cs="Arial"/>
        </w:rPr>
      </w:pPr>
    </w:p>
    <w:p w:rsidR="003E2A28" w:rsidRPr="00DC07FC" w:rsidRDefault="00555A6C" w:rsidP="00D444D6">
      <w:pPr>
        <w:pStyle w:val="ARTICULOS"/>
        <w:numPr>
          <w:ilvl w:val="0"/>
          <w:numId w:val="2"/>
        </w:numPr>
        <w:tabs>
          <w:tab w:val="left" w:pos="1701"/>
        </w:tabs>
        <w:ind w:left="0" w:firstLine="0"/>
        <w:contextualSpacing/>
        <w:outlineLvl w:val="2"/>
        <w:rPr>
          <w:rFonts w:cs="Arial"/>
          <w:color w:val="000000" w:themeColor="text1"/>
        </w:rPr>
      </w:pPr>
      <w:bookmarkStart w:id="2" w:name="_Ref462912758"/>
      <w:bookmarkStart w:id="3" w:name="_Ref441154467"/>
      <w:r w:rsidRPr="00DC07FC">
        <w:rPr>
          <w:rFonts w:cs="Arial"/>
          <w:b/>
          <w:color w:val="000000" w:themeColor="text1"/>
        </w:rPr>
        <w:t>MODALIDAD DE CONTRATOS PERMITIDA</w:t>
      </w:r>
      <w:r w:rsidR="00F01480" w:rsidRPr="00DC07FC">
        <w:rPr>
          <w:rFonts w:cs="Arial"/>
          <w:b/>
          <w:color w:val="000000" w:themeColor="text1"/>
        </w:rPr>
        <w:t>:</w:t>
      </w:r>
      <w:r w:rsidR="00CB7933" w:rsidRPr="00DC07FC">
        <w:rPr>
          <w:rFonts w:cs="Arial"/>
          <w:b/>
          <w:color w:val="000000" w:themeColor="text1"/>
        </w:rPr>
        <w:t xml:space="preserve"> </w:t>
      </w:r>
      <w:r w:rsidR="00CB7933" w:rsidRPr="00DC07FC">
        <w:rPr>
          <w:rFonts w:cs="Arial"/>
          <w:color w:val="000000" w:themeColor="text1"/>
        </w:rPr>
        <w:t xml:space="preserve">En el mercado mayorista de GLP sólo podrán pactarse contratos bajo la modalidad </w:t>
      </w:r>
      <w:bookmarkStart w:id="4" w:name="_Ref329186455"/>
      <w:r w:rsidR="00CB7933" w:rsidRPr="00DC07FC">
        <w:rPr>
          <w:rFonts w:cs="Arial"/>
          <w:color w:val="000000" w:themeColor="text1"/>
        </w:rPr>
        <w:t>firme</w:t>
      </w:r>
      <w:r w:rsidR="003E2A28" w:rsidRPr="00DC07FC">
        <w:rPr>
          <w:rFonts w:cs="Arial"/>
          <w:color w:val="000000" w:themeColor="text1"/>
        </w:rPr>
        <w:t>.</w:t>
      </w:r>
      <w:bookmarkEnd w:id="2"/>
    </w:p>
    <w:bookmarkEnd w:id="3"/>
    <w:bookmarkEnd w:id="4"/>
    <w:p w:rsidR="00CB7933" w:rsidRPr="00DC07FC" w:rsidRDefault="00CB7933" w:rsidP="004C1136">
      <w:pPr>
        <w:pStyle w:val="ARTICULOS"/>
        <w:contextualSpacing/>
        <w:rPr>
          <w:color w:val="000000" w:themeColor="text1"/>
          <w:lang w:val="es-ES"/>
        </w:rPr>
      </w:pPr>
    </w:p>
    <w:p w:rsidR="00CB7933" w:rsidRPr="00DC07FC" w:rsidRDefault="004D21A5" w:rsidP="004C1136">
      <w:pPr>
        <w:pStyle w:val="ARTICULOS"/>
        <w:contextualSpacing/>
        <w:rPr>
          <w:rFonts w:cs="Arial"/>
          <w:color w:val="000000" w:themeColor="text1"/>
          <w:lang w:val="es-ES"/>
        </w:rPr>
      </w:pPr>
      <w:r w:rsidRPr="00DC07FC">
        <w:rPr>
          <w:rFonts w:cs="Arial"/>
          <w:b/>
          <w:color w:val="000000" w:themeColor="text1"/>
          <w:lang w:val="es-ES"/>
        </w:rPr>
        <w:t xml:space="preserve">PARÁGRAFO </w:t>
      </w:r>
      <w:r w:rsidR="000200AE" w:rsidRPr="00DC07FC">
        <w:rPr>
          <w:rFonts w:cs="Arial"/>
          <w:b/>
          <w:color w:val="000000" w:themeColor="text1"/>
          <w:lang w:val="es-ES"/>
        </w:rPr>
        <w:t>1</w:t>
      </w:r>
      <w:r w:rsidR="00CB7933" w:rsidRPr="00DC07FC">
        <w:rPr>
          <w:rFonts w:cs="Arial"/>
          <w:b/>
          <w:color w:val="000000" w:themeColor="text1"/>
          <w:lang w:val="es-ES"/>
        </w:rPr>
        <w:t>.</w:t>
      </w:r>
      <w:r w:rsidR="00CB7933" w:rsidRPr="00DC07FC">
        <w:rPr>
          <w:rFonts w:cs="Arial"/>
          <w:color w:val="000000" w:themeColor="text1"/>
          <w:lang w:val="es-ES"/>
        </w:rPr>
        <w:t xml:space="preserve"> </w:t>
      </w:r>
      <w:r w:rsidR="00CB7933" w:rsidRPr="00DC07FC">
        <w:rPr>
          <w:rFonts w:cs="Arial"/>
          <w:color w:val="000000" w:themeColor="text1"/>
        </w:rPr>
        <w:t xml:space="preserve">Los contratos que se pacten en el mercado </w:t>
      </w:r>
      <w:r w:rsidR="00F470F7" w:rsidRPr="00DC07FC">
        <w:rPr>
          <w:rFonts w:cs="Arial"/>
          <w:color w:val="000000" w:themeColor="text1"/>
          <w:lang w:val="es-CO"/>
        </w:rPr>
        <w:t xml:space="preserve">mayorista de GLP </w:t>
      </w:r>
      <w:r w:rsidR="00CB7933" w:rsidRPr="00DC07FC">
        <w:rPr>
          <w:rFonts w:cs="Arial"/>
          <w:color w:val="000000" w:themeColor="text1"/>
        </w:rPr>
        <w:t>deberán ser escritos, sin perjuicio de su naturaleza consensual</w:t>
      </w:r>
      <w:r w:rsidR="004B32BD" w:rsidRPr="00DC07FC">
        <w:rPr>
          <w:rFonts w:cs="Arial"/>
          <w:color w:val="000000" w:themeColor="text1"/>
          <w:lang w:val="es-ES"/>
        </w:rPr>
        <w:t>.</w:t>
      </w:r>
    </w:p>
    <w:p w:rsidR="00CB7933" w:rsidRPr="00DC07FC" w:rsidRDefault="00CB7933" w:rsidP="004C1136">
      <w:pPr>
        <w:pStyle w:val="ARTICULOS"/>
        <w:contextualSpacing/>
        <w:rPr>
          <w:rFonts w:cs="Arial"/>
          <w:color w:val="000000" w:themeColor="text1"/>
          <w:lang w:val="es-ES"/>
        </w:rPr>
      </w:pPr>
    </w:p>
    <w:p w:rsidR="00CB7933" w:rsidRPr="00DC07FC" w:rsidRDefault="004D21A5" w:rsidP="004C1136">
      <w:pPr>
        <w:pStyle w:val="ARTICULOS"/>
        <w:contextualSpacing/>
        <w:rPr>
          <w:rFonts w:cs="Arial"/>
          <w:color w:val="000000" w:themeColor="text1"/>
          <w:lang w:val="es-ES"/>
        </w:rPr>
      </w:pPr>
      <w:r w:rsidRPr="00DC07FC">
        <w:rPr>
          <w:rFonts w:cs="Arial"/>
          <w:b/>
          <w:color w:val="000000" w:themeColor="text1"/>
          <w:lang w:val="es-ES"/>
        </w:rPr>
        <w:t xml:space="preserve">PARÁGRAFO </w:t>
      </w:r>
      <w:r w:rsidR="000200AE" w:rsidRPr="00DC07FC">
        <w:rPr>
          <w:rFonts w:cs="Arial"/>
          <w:b/>
          <w:color w:val="000000" w:themeColor="text1"/>
          <w:lang w:val="es-ES"/>
        </w:rPr>
        <w:t>2</w:t>
      </w:r>
      <w:r w:rsidR="00CB7933" w:rsidRPr="00DC07FC">
        <w:rPr>
          <w:rFonts w:cs="Arial"/>
          <w:b/>
          <w:color w:val="000000" w:themeColor="text1"/>
          <w:lang w:val="es-ES"/>
        </w:rPr>
        <w:t xml:space="preserve">. </w:t>
      </w:r>
      <w:r w:rsidR="00CB7933" w:rsidRPr="00DC07FC">
        <w:rPr>
          <w:rFonts w:cs="Arial"/>
          <w:color w:val="000000" w:themeColor="text1"/>
          <w:lang w:val="es-ES"/>
        </w:rPr>
        <w:t xml:space="preserve">Todos los contratos del mercado </w:t>
      </w:r>
      <w:r w:rsidR="004A72A7" w:rsidRPr="00DC07FC">
        <w:rPr>
          <w:rFonts w:cs="Arial"/>
          <w:color w:val="000000" w:themeColor="text1"/>
          <w:lang w:val="es-ES"/>
        </w:rPr>
        <w:t xml:space="preserve">mayorista </w:t>
      </w:r>
      <w:r w:rsidR="00CB7933" w:rsidRPr="00DC07FC">
        <w:rPr>
          <w:rFonts w:cs="Arial"/>
          <w:color w:val="000000" w:themeColor="text1"/>
          <w:lang w:val="es-ES"/>
        </w:rPr>
        <w:t>serán de entrega física.</w:t>
      </w:r>
    </w:p>
    <w:p w:rsidR="00CB7933" w:rsidRPr="00DC07FC" w:rsidRDefault="00CB7933" w:rsidP="004C1136">
      <w:pPr>
        <w:pStyle w:val="ARTICULOS"/>
        <w:contextualSpacing/>
        <w:rPr>
          <w:rFonts w:cs="Arial"/>
          <w:color w:val="000000" w:themeColor="text1"/>
          <w:lang w:val="es-ES"/>
        </w:rPr>
      </w:pPr>
    </w:p>
    <w:p w:rsidR="003E2A28" w:rsidRPr="00DC07FC" w:rsidRDefault="004D21A5" w:rsidP="004C1136">
      <w:pPr>
        <w:pStyle w:val="ARTICULOS"/>
        <w:tabs>
          <w:tab w:val="left" w:pos="1560"/>
        </w:tabs>
        <w:contextualSpacing/>
        <w:rPr>
          <w:rFonts w:cs="Arial"/>
          <w:color w:val="000000" w:themeColor="text1"/>
          <w:lang w:val="es-ES"/>
        </w:rPr>
      </w:pPr>
      <w:r w:rsidRPr="00DC07FC">
        <w:rPr>
          <w:rFonts w:cs="Arial"/>
          <w:b/>
          <w:color w:val="000000" w:themeColor="text1"/>
          <w:lang w:val="es-ES"/>
        </w:rPr>
        <w:t xml:space="preserve">PARÁGRAFO </w:t>
      </w:r>
      <w:r w:rsidR="000200AE" w:rsidRPr="00DC07FC">
        <w:rPr>
          <w:rFonts w:cs="Arial"/>
          <w:b/>
          <w:color w:val="000000" w:themeColor="text1"/>
          <w:lang w:val="es-ES"/>
        </w:rPr>
        <w:t>3</w:t>
      </w:r>
      <w:r w:rsidR="003E2A28" w:rsidRPr="00DC07FC">
        <w:rPr>
          <w:rFonts w:cs="Arial"/>
          <w:b/>
          <w:color w:val="000000" w:themeColor="text1"/>
          <w:lang w:val="es-ES"/>
        </w:rPr>
        <w:t xml:space="preserve">. </w:t>
      </w:r>
      <w:r w:rsidR="003E2A28" w:rsidRPr="00DC07FC">
        <w:rPr>
          <w:rFonts w:cs="Arial"/>
          <w:color w:val="000000" w:themeColor="text1"/>
          <w:lang w:val="es-ES"/>
        </w:rPr>
        <w:t xml:space="preserve">Los contratos de suministro de </w:t>
      </w:r>
      <w:r w:rsidR="000200AE" w:rsidRPr="00DC07FC">
        <w:rPr>
          <w:rFonts w:cs="Arial"/>
          <w:color w:val="000000" w:themeColor="text1"/>
          <w:lang w:val="es-ES"/>
        </w:rPr>
        <w:t xml:space="preserve">GLP, </w:t>
      </w:r>
      <w:r w:rsidR="003E2A28" w:rsidRPr="00DC07FC">
        <w:rPr>
          <w:rFonts w:cs="Arial"/>
          <w:color w:val="000000" w:themeColor="text1"/>
          <w:lang w:val="es-ES"/>
        </w:rPr>
        <w:t>que se encuentren en ejecución a la entrada en vigencia de la presente resolución</w:t>
      </w:r>
      <w:r w:rsidR="000200AE" w:rsidRPr="00DC07FC">
        <w:rPr>
          <w:rFonts w:cs="Arial"/>
          <w:color w:val="000000" w:themeColor="text1"/>
          <w:lang w:val="es-ES"/>
        </w:rPr>
        <w:t>,</w:t>
      </w:r>
      <w:r w:rsidR="003E2A28" w:rsidRPr="00DC07FC">
        <w:rPr>
          <w:rFonts w:cs="Arial"/>
          <w:color w:val="000000" w:themeColor="text1"/>
          <w:lang w:val="es-ES"/>
        </w:rPr>
        <w:t xml:space="preserve"> continuarán rigiendo hasta la fecha de ter</w:t>
      </w:r>
      <w:r w:rsidR="000200AE" w:rsidRPr="00DC07FC">
        <w:rPr>
          <w:rFonts w:cs="Arial"/>
          <w:color w:val="000000" w:themeColor="text1"/>
          <w:lang w:val="es-ES"/>
        </w:rPr>
        <w:t>minación pactada en los mismos.</w:t>
      </w:r>
    </w:p>
    <w:p w:rsidR="001769A6" w:rsidRPr="00DC07FC" w:rsidRDefault="001769A6" w:rsidP="004C1136">
      <w:pPr>
        <w:pStyle w:val="ARTICULOS"/>
        <w:tabs>
          <w:tab w:val="left" w:pos="1560"/>
        </w:tabs>
        <w:contextualSpacing/>
        <w:rPr>
          <w:rFonts w:cs="Arial"/>
          <w:color w:val="000000" w:themeColor="text1"/>
          <w:lang w:val="es-ES"/>
        </w:rPr>
      </w:pPr>
    </w:p>
    <w:p w:rsidR="001769A6" w:rsidRPr="00DC07FC" w:rsidRDefault="001769A6" w:rsidP="001769A6">
      <w:pPr>
        <w:pStyle w:val="ARTICULOS"/>
        <w:contextualSpacing/>
        <w:rPr>
          <w:lang w:val="es-ES"/>
        </w:rPr>
      </w:pPr>
      <w:r w:rsidRPr="00DC07FC">
        <w:rPr>
          <w:rFonts w:cs="Arial"/>
          <w:b/>
          <w:lang w:val="es-CO"/>
        </w:rPr>
        <w:t xml:space="preserve">PARÁGRAFO 4. </w:t>
      </w:r>
      <w:r w:rsidRPr="00DC07FC">
        <w:rPr>
          <w:lang w:val="es-ES"/>
        </w:rPr>
        <w:t xml:space="preserve">No está permitido </w:t>
      </w:r>
      <w:r w:rsidR="00865B7C" w:rsidRPr="00DC07FC">
        <w:rPr>
          <w:lang w:val="es-ES"/>
        </w:rPr>
        <w:t xml:space="preserve">incluir </w:t>
      </w:r>
      <w:r w:rsidRPr="00DC07FC">
        <w:rPr>
          <w:lang w:val="es-ES"/>
        </w:rPr>
        <w:t>dentro del clausulado del contrato de suministro cláusulas que limiten o restrinjan la entrega del 100% del producto por fuera de los eventos eximentes de responsabilidad previstos en la regulación. Este tipo de conductas se considerarán como prácticas restrictivas de la competencia.</w:t>
      </w:r>
    </w:p>
    <w:p w:rsidR="003E2A28" w:rsidRPr="00DC07FC" w:rsidRDefault="003E2A28" w:rsidP="004C1136">
      <w:pPr>
        <w:pStyle w:val="ARTICULOS"/>
        <w:contextualSpacing/>
        <w:rPr>
          <w:rFonts w:cs="Arial"/>
          <w:color w:val="000000" w:themeColor="text1"/>
          <w:lang w:val="es-ES"/>
        </w:rPr>
      </w:pPr>
    </w:p>
    <w:p w:rsidR="00CB7933" w:rsidRPr="00DC07FC" w:rsidRDefault="004D21A5" w:rsidP="00D444D6">
      <w:pPr>
        <w:pStyle w:val="ARTICULOS"/>
        <w:numPr>
          <w:ilvl w:val="0"/>
          <w:numId w:val="2"/>
        </w:numPr>
        <w:tabs>
          <w:tab w:val="left" w:pos="1701"/>
        </w:tabs>
        <w:ind w:left="0" w:firstLine="0"/>
        <w:contextualSpacing/>
        <w:outlineLvl w:val="2"/>
        <w:rPr>
          <w:rFonts w:cs="Arial"/>
          <w:color w:val="000000" w:themeColor="text1"/>
        </w:rPr>
      </w:pPr>
      <w:bookmarkStart w:id="5" w:name="_Ref334521040"/>
      <w:bookmarkStart w:id="6" w:name="_Ref355712251"/>
      <w:bookmarkStart w:id="7" w:name="_Ref441155233"/>
      <w:r w:rsidRPr="00DC07FC">
        <w:rPr>
          <w:b/>
          <w:lang w:val="es-CO"/>
        </w:rPr>
        <w:t xml:space="preserve">REQUISITOS </w:t>
      </w:r>
      <w:r w:rsidRPr="00DC07FC">
        <w:rPr>
          <w:rFonts w:cs="Arial"/>
          <w:b/>
          <w:color w:val="000000" w:themeColor="text1"/>
        </w:rPr>
        <w:t xml:space="preserve">MÍNIMOS DE LOS CONTRATOS DE </w:t>
      </w:r>
      <w:r w:rsidRPr="0084581F">
        <w:rPr>
          <w:rFonts w:cs="Arial"/>
          <w:b/>
          <w:color w:val="000000" w:themeColor="text1"/>
        </w:rPr>
        <w:t>SUMINISTRO.</w:t>
      </w:r>
      <w:r w:rsidR="00CB7933" w:rsidRPr="0084581F">
        <w:rPr>
          <w:rFonts w:cs="Arial"/>
          <w:color w:val="000000" w:themeColor="text1"/>
        </w:rPr>
        <w:t xml:space="preserve"> Los contratos referidos en el</w:t>
      </w:r>
      <w:r w:rsidR="00996491">
        <w:rPr>
          <w:rFonts w:cs="Arial"/>
          <w:color w:val="000000" w:themeColor="text1"/>
          <w:lang w:val="es-CO"/>
        </w:rPr>
        <w:t xml:space="preserve"> artículo 6</w:t>
      </w:r>
      <w:r w:rsidR="00055B13" w:rsidRPr="0084581F">
        <w:rPr>
          <w:rFonts w:cs="Arial"/>
          <w:color w:val="000000" w:themeColor="text1"/>
          <w:lang w:val="es-CO"/>
        </w:rPr>
        <w:t xml:space="preserve"> </w:t>
      </w:r>
      <w:r w:rsidR="00CB7933" w:rsidRPr="0084581F">
        <w:rPr>
          <w:rFonts w:cs="Arial"/>
          <w:color w:val="000000" w:themeColor="text1"/>
        </w:rPr>
        <w:t xml:space="preserve">de la presente </w:t>
      </w:r>
      <w:r w:rsidR="00ED01D4" w:rsidRPr="0084581F">
        <w:rPr>
          <w:rFonts w:cs="Arial"/>
          <w:color w:val="000000" w:themeColor="text1"/>
        </w:rPr>
        <w:t>r</w:t>
      </w:r>
      <w:r w:rsidR="00CB7933" w:rsidRPr="0084581F">
        <w:rPr>
          <w:rFonts w:cs="Arial"/>
          <w:color w:val="000000" w:themeColor="text1"/>
        </w:rPr>
        <w:t xml:space="preserve">esolución deberán cumplir </w:t>
      </w:r>
      <w:r w:rsidR="00ED01D4" w:rsidRPr="0084581F">
        <w:rPr>
          <w:rFonts w:cs="Arial"/>
          <w:color w:val="000000" w:themeColor="text1"/>
        </w:rPr>
        <w:t xml:space="preserve">con </w:t>
      </w:r>
      <w:r w:rsidR="00CB7933" w:rsidRPr="0084581F">
        <w:rPr>
          <w:rFonts w:cs="Arial"/>
          <w:color w:val="000000" w:themeColor="text1"/>
        </w:rPr>
        <w:t>los requisitos que se establecen en el presente capítulo y</w:t>
      </w:r>
      <w:r w:rsidR="00CB7933" w:rsidRPr="00DC07FC">
        <w:rPr>
          <w:rFonts w:cs="Arial"/>
          <w:color w:val="000000" w:themeColor="text1"/>
        </w:rPr>
        <w:t xml:space="preserve"> los mismos deberán estar en su clausulado.</w:t>
      </w:r>
      <w:bookmarkEnd w:id="5"/>
      <w:bookmarkEnd w:id="6"/>
      <w:r w:rsidR="00CB7933" w:rsidRPr="00DC07FC">
        <w:rPr>
          <w:rFonts w:cs="Arial"/>
          <w:color w:val="000000" w:themeColor="text1"/>
        </w:rPr>
        <w:t xml:space="preserve"> El contrato de suministro deberá contener como mínimo lo siguiente:</w:t>
      </w:r>
      <w:bookmarkEnd w:id="7"/>
    </w:p>
    <w:p w:rsidR="00CB7933" w:rsidRPr="00DC07FC" w:rsidRDefault="00CB7933" w:rsidP="00D57CC5">
      <w:pPr>
        <w:pStyle w:val="ARTICULOS"/>
      </w:pPr>
    </w:p>
    <w:p w:rsidR="00CB7933" w:rsidRPr="00DC07FC" w:rsidRDefault="00CB7933" w:rsidP="00901EFF">
      <w:pPr>
        <w:pStyle w:val="ARTICULOS"/>
        <w:numPr>
          <w:ilvl w:val="1"/>
          <w:numId w:val="7"/>
        </w:numPr>
        <w:ind w:left="567" w:hanging="567"/>
        <w:contextualSpacing/>
        <w:rPr>
          <w:color w:val="000000" w:themeColor="text1"/>
          <w:lang w:val="es-ES"/>
        </w:rPr>
      </w:pPr>
      <w:r w:rsidRPr="00DC07FC">
        <w:rPr>
          <w:color w:val="000000" w:themeColor="text1"/>
          <w:lang w:val="es-ES"/>
        </w:rPr>
        <w:t>Nom</w:t>
      </w:r>
      <w:r w:rsidR="00857EB1" w:rsidRPr="00DC07FC">
        <w:rPr>
          <w:color w:val="000000" w:themeColor="text1"/>
          <w:lang w:val="es-ES"/>
        </w:rPr>
        <w:t>bre de las partes contratantes.</w:t>
      </w:r>
    </w:p>
    <w:p w:rsidR="005E33B8" w:rsidRPr="00DC07FC" w:rsidRDefault="00CB7933" w:rsidP="00901EFF">
      <w:pPr>
        <w:pStyle w:val="ARTICULOS"/>
        <w:numPr>
          <w:ilvl w:val="1"/>
          <w:numId w:val="7"/>
        </w:numPr>
        <w:ind w:left="567" w:hanging="567"/>
        <w:contextualSpacing/>
        <w:rPr>
          <w:color w:val="000000" w:themeColor="text1"/>
          <w:lang w:val="es-ES"/>
        </w:rPr>
      </w:pPr>
      <w:r w:rsidRPr="00DC07FC">
        <w:rPr>
          <w:color w:val="000000" w:themeColor="text1"/>
          <w:lang w:val="es-ES"/>
        </w:rPr>
        <w:t>Período de ejecución del contrato</w:t>
      </w:r>
      <w:r w:rsidR="00857EB1" w:rsidRPr="00DC07FC">
        <w:rPr>
          <w:color w:val="000000" w:themeColor="text1"/>
          <w:lang w:val="es-ES"/>
        </w:rPr>
        <w:t>.</w:t>
      </w:r>
    </w:p>
    <w:p w:rsidR="00CB7933" w:rsidRPr="00DC07FC" w:rsidRDefault="00CB7933" w:rsidP="00901EFF">
      <w:pPr>
        <w:pStyle w:val="ARTICULOS"/>
        <w:numPr>
          <w:ilvl w:val="1"/>
          <w:numId w:val="7"/>
        </w:numPr>
        <w:ind w:left="567" w:hanging="567"/>
        <w:contextualSpacing/>
        <w:rPr>
          <w:color w:val="000000" w:themeColor="text1"/>
          <w:lang w:val="es-ES"/>
        </w:rPr>
      </w:pPr>
      <w:r w:rsidRPr="00DC07FC">
        <w:rPr>
          <w:color w:val="000000" w:themeColor="text1"/>
          <w:lang w:val="es-ES"/>
        </w:rPr>
        <w:t xml:space="preserve">Cantidades </w:t>
      </w:r>
      <w:r w:rsidR="005E33B8" w:rsidRPr="00DC07FC">
        <w:rPr>
          <w:color w:val="000000" w:themeColor="text1"/>
          <w:lang w:val="es-ES"/>
        </w:rPr>
        <w:t xml:space="preserve">de </w:t>
      </w:r>
      <w:r w:rsidRPr="00DC07FC">
        <w:rPr>
          <w:color w:val="000000" w:themeColor="text1"/>
          <w:lang w:val="es-ES"/>
        </w:rPr>
        <w:t>GLP contratadas, e</w:t>
      </w:r>
      <w:r w:rsidR="00857EB1" w:rsidRPr="00DC07FC">
        <w:rPr>
          <w:color w:val="000000" w:themeColor="text1"/>
          <w:lang w:val="es-ES"/>
        </w:rPr>
        <w:t>xpresadas en kilogramos por día.</w:t>
      </w:r>
    </w:p>
    <w:p w:rsidR="00CC5913" w:rsidRPr="00DC07FC" w:rsidRDefault="005E33B8" w:rsidP="00901EFF">
      <w:pPr>
        <w:pStyle w:val="ARTICULOS"/>
        <w:numPr>
          <w:ilvl w:val="1"/>
          <w:numId w:val="7"/>
        </w:numPr>
        <w:ind w:left="567" w:hanging="567"/>
        <w:contextualSpacing/>
        <w:rPr>
          <w:color w:val="000000" w:themeColor="text1"/>
          <w:lang w:val="es-ES"/>
        </w:rPr>
      </w:pPr>
      <w:r w:rsidRPr="00DC07FC">
        <w:rPr>
          <w:color w:val="000000" w:themeColor="text1"/>
          <w:lang w:val="es-ES"/>
        </w:rPr>
        <w:t>Valor total del contrato</w:t>
      </w:r>
      <w:r w:rsidR="00CC5913" w:rsidRPr="00DC07FC">
        <w:rPr>
          <w:color w:val="000000" w:themeColor="text1"/>
          <w:lang w:val="es-ES"/>
        </w:rPr>
        <w:t>.</w:t>
      </w:r>
    </w:p>
    <w:p w:rsidR="005E33B8" w:rsidRDefault="00CC5913" w:rsidP="00901EFF">
      <w:pPr>
        <w:pStyle w:val="ARTICULOS"/>
        <w:numPr>
          <w:ilvl w:val="1"/>
          <w:numId w:val="7"/>
        </w:numPr>
        <w:ind w:left="567" w:hanging="567"/>
        <w:contextualSpacing/>
        <w:rPr>
          <w:color w:val="000000" w:themeColor="text1"/>
          <w:lang w:val="es-ES"/>
        </w:rPr>
      </w:pPr>
      <w:r w:rsidRPr="00143C44">
        <w:rPr>
          <w:color w:val="000000" w:themeColor="text1"/>
          <w:lang w:val="es-ES"/>
        </w:rPr>
        <w:t>P</w:t>
      </w:r>
      <w:r w:rsidR="005E33B8" w:rsidRPr="00143C44">
        <w:rPr>
          <w:color w:val="000000" w:themeColor="text1"/>
          <w:lang w:val="es-ES"/>
        </w:rPr>
        <w:t xml:space="preserve">recio </w:t>
      </w:r>
      <w:r w:rsidR="000A7474" w:rsidRPr="00143C44">
        <w:rPr>
          <w:color w:val="000000" w:themeColor="text1"/>
          <w:lang w:val="es-ES"/>
        </w:rPr>
        <w:t xml:space="preserve">de suministro </w:t>
      </w:r>
      <w:r w:rsidR="005E33B8" w:rsidRPr="00143C44">
        <w:rPr>
          <w:color w:val="000000" w:themeColor="text1"/>
          <w:lang w:val="es-ES"/>
        </w:rPr>
        <w:t>de</w:t>
      </w:r>
      <w:r w:rsidR="000A7474" w:rsidRPr="00143C44">
        <w:rPr>
          <w:color w:val="000000" w:themeColor="text1"/>
          <w:lang w:val="es-ES"/>
        </w:rPr>
        <w:t>l</w:t>
      </w:r>
      <w:r w:rsidR="005E33B8" w:rsidRPr="00143C44">
        <w:rPr>
          <w:color w:val="000000" w:themeColor="text1"/>
          <w:lang w:val="es-ES"/>
        </w:rPr>
        <w:t xml:space="preserve"> GLP</w:t>
      </w:r>
      <w:r w:rsidR="008A2E7E">
        <w:rPr>
          <w:color w:val="000000" w:themeColor="text1"/>
          <w:lang w:val="es-ES"/>
        </w:rPr>
        <w:t xml:space="preserve"> en los términos de</w:t>
      </w:r>
      <w:r w:rsidR="00DF4CD9">
        <w:rPr>
          <w:color w:val="000000" w:themeColor="text1"/>
          <w:lang w:val="es-ES"/>
        </w:rPr>
        <w:t xml:space="preserve"> </w:t>
      </w:r>
      <w:r w:rsidR="008A2E7E">
        <w:rPr>
          <w:color w:val="000000" w:themeColor="text1"/>
          <w:lang w:val="es-ES"/>
        </w:rPr>
        <w:t>l</w:t>
      </w:r>
      <w:r w:rsidR="00DF4CD9">
        <w:rPr>
          <w:color w:val="000000" w:themeColor="text1"/>
          <w:lang w:val="es-ES"/>
        </w:rPr>
        <w:t xml:space="preserve">os artículos 26 y 31 </w:t>
      </w:r>
      <w:r w:rsidRPr="00143C44">
        <w:rPr>
          <w:color w:val="000000" w:themeColor="text1"/>
          <w:lang w:val="es-ES"/>
        </w:rPr>
        <w:t>de esta resolución</w:t>
      </w:r>
      <w:r w:rsidR="005E33B8" w:rsidRPr="00143C44">
        <w:rPr>
          <w:color w:val="000000" w:themeColor="text1"/>
          <w:lang w:val="es-ES"/>
        </w:rPr>
        <w:t xml:space="preserve">, </w:t>
      </w:r>
      <w:r w:rsidR="000A7474" w:rsidRPr="00143C44">
        <w:rPr>
          <w:color w:val="000000" w:themeColor="text1"/>
          <w:lang w:val="es-ES"/>
        </w:rPr>
        <w:t xml:space="preserve">expresado </w:t>
      </w:r>
      <w:r w:rsidR="005E33B8" w:rsidRPr="00143C44">
        <w:rPr>
          <w:color w:val="000000" w:themeColor="text1"/>
          <w:lang w:val="es-ES"/>
        </w:rPr>
        <w:t>en pesos por kilogramo.</w:t>
      </w:r>
    </w:p>
    <w:p w:rsidR="005B21C4" w:rsidRPr="00143C44" w:rsidRDefault="005B21C4" w:rsidP="005B21C4">
      <w:pPr>
        <w:pStyle w:val="ARTICULOS"/>
        <w:ind w:left="567"/>
        <w:contextualSpacing/>
        <w:rPr>
          <w:color w:val="000000" w:themeColor="text1"/>
          <w:lang w:val="es-ES"/>
        </w:rPr>
      </w:pPr>
    </w:p>
    <w:p w:rsidR="00CC5913" w:rsidRPr="00143C44" w:rsidRDefault="004600D2" w:rsidP="00901EFF">
      <w:pPr>
        <w:pStyle w:val="ARTICULOS"/>
        <w:numPr>
          <w:ilvl w:val="1"/>
          <w:numId w:val="7"/>
        </w:numPr>
        <w:ind w:left="567" w:hanging="567"/>
        <w:contextualSpacing/>
        <w:rPr>
          <w:color w:val="000000" w:themeColor="text1"/>
          <w:lang w:val="es-ES"/>
        </w:rPr>
      </w:pPr>
      <w:r w:rsidRPr="00143C44">
        <w:rPr>
          <w:color w:val="000000" w:themeColor="text1"/>
          <w:lang w:val="es-ES"/>
        </w:rPr>
        <w:t xml:space="preserve">Margen </w:t>
      </w:r>
      <w:r w:rsidR="00CC5913" w:rsidRPr="00143C44">
        <w:rPr>
          <w:color w:val="000000" w:themeColor="text1"/>
          <w:lang w:val="es-ES"/>
        </w:rPr>
        <w:t>de comercialización</w:t>
      </w:r>
      <w:r w:rsidRPr="00143C44">
        <w:rPr>
          <w:color w:val="000000" w:themeColor="text1"/>
          <w:lang w:val="es-ES"/>
        </w:rPr>
        <w:t xml:space="preserve"> mayo</w:t>
      </w:r>
      <w:r w:rsidR="00143C44" w:rsidRPr="00143C44">
        <w:rPr>
          <w:color w:val="000000" w:themeColor="text1"/>
          <w:lang w:val="es-ES"/>
        </w:rPr>
        <w:t>rista</w:t>
      </w:r>
      <w:r w:rsidR="00CC5913" w:rsidRPr="00143C44">
        <w:rPr>
          <w:color w:val="000000" w:themeColor="text1"/>
          <w:lang w:val="es-ES"/>
        </w:rPr>
        <w:t>, en los casos que aplique, expresado en pesos por kilogramo.</w:t>
      </w:r>
    </w:p>
    <w:p w:rsidR="00CB7933" w:rsidRPr="00DC07FC" w:rsidRDefault="00ED01D4" w:rsidP="00901EFF">
      <w:pPr>
        <w:pStyle w:val="ARTICULOS"/>
        <w:numPr>
          <w:ilvl w:val="1"/>
          <w:numId w:val="7"/>
        </w:numPr>
        <w:ind w:left="567" w:hanging="567"/>
        <w:contextualSpacing/>
        <w:rPr>
          <w:color w:val="000000" w:themeColor="text1"/>
          <w:lang w:val="es-ES"/>
        </w:rPr>
      </w:pPr>
      <w:r w:rsidRPr="00DC07FC">
        <w:rPr>
          <w:color w:val="000000" w:themeColor="text1"/>
          <w:lang w:val="es-ES"/>
        </w:rPr>
        <w:t xml:space="preserve">Tiempos, </w:t>
      </w:r>
      <w:r w:rsidR="005E33B8" w:rsidRPr="00DC07FC">
        <w:rPr>
          <w:color w:val="000000" w:themeColor="text1"/>
          <w:lang w:val="es-ES"/>
        </w:rPr>
        <w:t xml:space="preserve">puntos </w:t>
      </w:r>
      <w:r w:rsidR="00CB7933" w:rsidRPr="00DC07FC">
        <w:rPr>
          <w:color w:val="000000" w:themeColor="text1"/>
          <w:lang w:val="es-ES"/>
        </w:rPr>
        <w:t xml:space="preserve">y cantidades de entrega y </w:t>
      </w:r>
      <w:r w:rsidR="005E33B8" w:rsidRPr="00DC07FC">
        <w:rPr>
          <w:color w:val="000000" w:themeColor="text1"/>
          <w:lang w:val="es-ES"/>
        </w:rPr>
        <w:t xml:space="preserve">de </w:t>
      </w:r>
      <w:r w:rsidR="00CB7933" w:rsidRPr="00DC07FC">
        <w:rPr>
          <w:color w:val="000000" w:themeColor="text1"/>
          <w:lang w:val="es-ES"/>
        </w:rPr>
        <w:t>recibo</w:t>
      </w:r>
      <w:r w:rsidR="000200AE" w:rsidRPr="00DC07FC">
        <w:rPr>
          <w:color w:val="000000" w:themeColor="text1"/>
          <w:lang w:val="es-ES"/>
        </w:rPr>
        <w:t>.</w:t>
      </w:r>
    </w:p>
    <w:p w:rsidR="005E33B8" w:rsidRDefault="00CB7933" w:rsidP="00901EFF">
      <w:pPr>
        <w:pStyle w:val="ARTICULOS"/>
        <w:numPr>
          <w:ilvl w:val="1"/>
          <w:numId w:val="7"/>
        </w:numPr>
        <w:ind w:left="567" w:hanging="567"/>
        <w:contextualSpacing/>
        <w:rPr>
          <w:color w:val="000000" w:themeColor="text1"/>
          <w:lang w:val="es-ES"/>
        </w:rPr>
      </w:pPr>
      <w:r w:rsidRPr="00DC07FC">
        <w:rPr>
          <w:color w:val="000000" w:themeColor="text1"/>
          <w:lang w:val="es-ES"/>
        </w:rPr>
        <w:t>Procedimientos de entrega y recibo del GLP, los cuales deben ser coordinados con los procedimientos de nominación de transporte por ductos cuando la entrega se ha pactado en un punto de recibo del transportador</w:t>
      </w:r>
      <w:r w:rsidR="00C63048" w:rsidRPr="00DC07FC">
        <w:rPr>
          <w:color w:val="000000" w:themeColor="text1"/>
          <w:lang w:val="es-ES"/>
        </w:rPr>
        <w:t>.</w:t>
      </w:r>
    </w:p>
    <w:p w:rsidR="00CB7933" w:rsidRPr="00DC07FC" w:rsidRDefault="00F1037E" w:rsidP="00901EFF">
      <w:pPr>
        <w:pStyle w:val="ARTICULOS"/>
        <w:numPr>
          <w:ilvl w:val="1"/>
          <w:numId w:val="7"/>
        </w:numPr>
        <w:ind w:left="567" w:hanging="567"/>
        <w:contextualSpacing/>
        <w:rPr>
          <w:color w:val="000000" w:themeColor="text1"/>
          <w:lang w:val="es-ES"/>
        </w:rPr>
      </w:pPr>
      <w:r w:rsidRPr="00DC07FC">
        <w:rPr>
          <w:color w:val="000000" w:themeColor="text1"/>
          <w:lang w:val="es-ES"/>
        </w:rPr>
        <w:t>P</w:t>
      </w:r>
      <w:r w:rsidR="00CB7933" w:rsidRPr="00DC07FC">
        <w:rPr>
          <w:color w:val="000000" w:themeColor="text1"/>
          <w:lang w:val="es-ES"/>
        </w:rPr>
        <w:t>rocedimientos de nominación</w:t>
      </w:r>
      <w:r w:rsidRPr="00DC07FC">
        <w:rPr>
          <w:color w:val="000000" w:themeColor="text1"/>
          <w:lang w:val="es-ES"/>
        </w:rPr>
        <w:t xml:space="preserve">, los cuales </w:t>
      </w:r>
      <w:r w:rsidR="00CB7933" w:rsidRPr="00DC07FC">
        <w:rPr>
          <w:color w:val="000000" w:themeColor="text1"/>
          <w:lang w:val="es-ES"/>
        </w:rPr>
        <w:t>deben establecer las variaciones en las cantidades de prod</w:t>
      </w:r>
      <w:r w:rsidRPr="00DC07FC">
        <w:rPr>
          <w:color w:val="000000" w:themeColor="text1"/>
          <w:lang w:val="es-ES"/>
        </w:rPr>
        <w:t>ucto entregadas o recibidas, y</w:t>
      </w:r>
      <w:r w:rsidR="00CB7933" w:rsidRPr="00DC07FC">
        <w:rPr>
          <w:color w:val="000000" w:themeColor="text1"/>
          <w:lang w:val="es-ES"/>
        </w:rPr>
        <w:t xml:space="preserve"> las variaciones en los tiempos de entrega o recibo, que en ningún caso se consideran incumplimiento por parte de alguno de los involucrados</w:t>
      </w:r>
      <w:r w:rsidRPr="00DC07FC">
        <w:rPr>
          <w:color w:val="000000" w:themeColor="text1"/>
          <w:lang w:val="es-ES"/>
        </w:rPr>
        <w:t>, considerando que las cantidades reales de entrega del producto</w:t>
      </w:r>
      <w:r w:rsidR="00A452C0" w:rsidRPr="00DC07FC">
        <w:rPr>
          <w:color w:val="000000" w:themeColor="text1"/>
          <w:lang w:val="es-ES"/>
        </w:rPr>
        <w:t>, dentro del ciclo de nominación,</w:t>
      </w:r>
      <w:r w:rsidRPr="00DC07FC">
        <w:rPr>
          <w:color w:val="000000" w:themeColor="text1"/>
          <w:lang w:val="es-ES"/>
        </w:rPr>
        <w:t xml:space="preserve"> pueden ser flexibles, de acuerdo a las necesidades de las partes.</w:t>
      </w:r>
      <w:r w:rsidR="00F768E3" w:rsidRPr="00DC07FC">
        <w:rPr>
          <w:color w:val="000000" w:themeColor="text1"/>
          <w:lang w:val="es-ES"/>
        </w:rPr>
        <w:t xml:space="preserve"> Lo anterior si</w:t>
      </w:r>
      <w:r w:rsidR="00EF0EDC" w:rsidRPr="00DC07FC">
        <w:rPr>
          <w:color w:val="000000" w:themeColor="text1"/>
          <w:lang w:val="es-ES"/>
        </w:rPr>
        <w:t>n</w:t>
      </w:r>
      <w:r w:rsidR="00F768E3" w:rsidRPr="00DC07FC">
        <w:rPr>
          <w:color w:val="000000" w:themeColor="text1"/>
          <w:lang w:val="es-ES"/>
        </w:rPr>
        <w:t xml:space="preserve"> perju</w:t>
      </w:r>
      <w:r w:rsidR="00EF0EDC" w:rsidRPr="00DC07FC">
        <w:rPr>
          <w:color w:val="000000" w:themeColor="text1"/>
          <w:lang w:val="es-ES"/>
        </w:rPr>
        <w:t>i</w:t>
      </w:r>
      <w:r w:rsidR="00F768E3" w:rsidRPr="00DC07FC">
        <w:rPr>
          <w:color w:val="000000" w:themeColor="text1"/>
          <w:lang w:val="es-ES"/>
        </w:rPr>
        <w:t>cio del cumplimiento de la entrega total de producto, según la modalidad de contrato permitida para los contratos de suministro.</w:t>
      </w:r>
    </w:p>
    <w:p w:rsidR="00CB7933" w:rsidRPr="00DC07FC" w:rsidRDefault="00CB7933" w:rsidP="00901EFF">
      <w:pPr>
        <w:pStyle w:val="ARTICULOS"/>
        <w:numPr>
          <w:ilvl w:val="1"/>
          <w:numId w:val="7"/>
        </w:numPr>
        <w:ind w:left="567" w:hanging="567"/>
        <w:contextualSpacing/>
        <w:rPr>
          <w:color w:val="000000" w:themeColor="text1"/>
          <w:lang w:val="es-ES"/>
        </w:rPr>
      </w:pPr>
      <w:r w:rsidRPr="00DC07FC">
        <w:rPr>
          <w:color w:val="000000" w:themeColor="text1"/>
          <w:lang w:val="es-ES"/>
        </w:rPr>
        <w:t>Procedimientos objetivos de medición y de reclamos que garanticen la participación de los agentes en los mismos y respeten el derecho de controversia de la información de la contraparte.</w:t>
      </w:r>
    </w:p>
    <w:p w:rsidR="00CB7933" w:rsidRPr="00DC07FC" w:rsidRDefault="00CB7933" w:rsidP="00901EFF">
      <w:pPr>
        <w:pStyle w:val="ARTICULOS"/>
        <w:numPr>
          <w:ilvl w:val="1"/>
          <w:numId w:val="7"/>
        </w:numPr>
        <w:ind w:left="567" w:hanging="567"/>
        <w:contextualSpacing/>
        <w:rPr>
          <w:color w:val="000000" w:themeColor="text1"/>
          <w:lang w:val="es-ES"/>
        </w:rPr>
      </w:pPr>
      <w:r w:rsidRPr="00DC07FC">
        <w:rPr>
          <w:color w:val="000000" w:themeColor="text1"/>
          <w:lang w:val="es-ES"/>
        </w:rPr>
        <w:t>Procedimientos aplicables para la verificación de la calidad del producto reportada por el vendedor al comprador.</w:t>
      </w:r>
    </w:p>
    <w:p w:rsidR="00CB7933" w:rsidRPr="00DC07FC" w:rsidRDefault="00857EB1" w:rsidP="00901EFF">
      <w:pPr>
        <w:pStyle w:val="ARTICULOS"/>
        <w:numPr>
          <w:ilvl w:val="1"/>
          <w:numId w:val="7"/>
        </w:numPr>
        <w:ind w:left="567" w:hanging="567"/>
        <w:contextualSpacing/>
        <w:rPr>
          <w:color w:val="000000" w:themeColor="text1"/>
          <w:lang w:val="es-ES"/>
        </w:rPr>
      </w:pPr>
      <w:r w:rsidRPr="00DC07FC">
        <w:rPr>
          <w:color w:val="000000" w:themeColor="text1"/>
          <w:lang w:val="es-ES"/>
        </w:rPr>
        <w:t xml:space="preserve">Formas y garantías de pago. </w:t>
      </w:r>
      <w:r w:rsidR="00CB7933" w:rsidRPr="00DC07FC">
        <w:rPr>
          <w:color w:val="000000" w:themeColor="text1"/>
          <w:lang w:val="es-ES"/>
        </w:rPr>
        <w:t>L</w:t>
      </w:r>
      <w:r w:rsidRPr="00DC07FC">
        <w:rPr>
          <w:color w:val="000000" w:themeColor="text1"/>
          <w:lang w:val="es-ES"/>
        </w:rPr>
        <w:t xml:space="preserve">as garantías de pago deben ser </w:t>
      </w:r>
      <w:r w:rsidR="00CB7933" w:rsidRPr="00DC07FC">
        <w:rPr>
          <w:color w:val="000000" w:themeColor="text1"/>
          <w:lang w:val="es-ES"/>
        </w:rPr>
        <w:t>equivalentes para todos los compradores frente a una misma valoración del riesgo.</w:t>
      </w:r>
    </w:p>
    <w:p w:rsidR="00CB7933" w:rsidRPr="00DC07FC" w:rsidRDefault="00CB7933" w:rsidP="00901EFF">
      <w:pPr>
        <w:pStyle w:val="ARTICULOS"/>
        <w:numPr>
          <w:ilvl w:val="1"/>
          <w:numId w:val="7"/>
        </w:numPr>
        <w:ind w:left="567" w:hanging="567"/>
        <w:contextualSpacing/>
        <w:rPr>
          <w:color w:val="000000" w:themeColor="text1"/>
          <w:lang w:val="es-ES"/>
        </w:rPr>
      </w:pPr>
      <w:r w:rsidRPr="00DC07FC">
        <w:rPr>
          <w:color w:val="000000" w:themeColor="text1"/>
          <w:lang w:val="es-ES"/>
        </w:rPr>
        <w:t>Procedimientos de facturación y pago ágiles y acordes con las necesidades y características de la operación, de tal manera que no afecten las entregas o recibos del producto contratado.</w:t>
      </w:r>
    </w:p>
    <w:p w:rsidR="005002EB" w:rsidRPr="00CE255F" w:rsidRDefault="005002EB" w:rsidP="00901EFF">
      <w:pPr>
        <w:pStyle w:val="ARTICULOS"/>
        <w:numPr>
          <w:ilvl w:val="1"/>
          <w:numId w:val="7"/>
        </w:numPr>
        <w:ind w:left="567" w:hanging="567"/>
        <w:contextualSpacing/>
        <w:rPr>
          <w:color w:val="000000" w:themeColor="text1"/>
          <w:lang w:val="es-ES"/>
        </w:rPr>
      </w:pPr>
      <w:r w:rsidRPr="00DC07FC">
        <w:rPr>
          <w:color w:val="000000" w:themeColor="text1"/>
          <w:lang w:val="es-ES"/>
        </w:rPr>
        <w:t>Cláusula de selección del punto de entrega</w:t>
      </w:r>
      <w:r w:rsidR="00974FE7" w:rsidRPr="00DC07FC">
        <w:rPr>
          <w:color w:val="000000" w:themeColor="text1"/>
          <w:lang w:val="es-ES"/>
        </w:rPr>
        <w:t xml:space="preserve">, cuando exista, además de </w:t>
      </w:r>
      <w:r w:rsidR="003531B2" w:rsidRPr="00DC07FC">
        <w:rPr>
          <w:color w:val="000000" w:themeColor="text1"/>
          <w:lang w:val="es-ES"/>
        </w:rPr>
        <w:t xml:space="preserve">facilidad de entrega de </w:t>
      </w:r>
      <w:r w:rsidR="00974FE7" w:rsidRPr="00DC07FC">
        <w:rPr>
          <w:color w:val="000000" w:themeColor="text1"/>
          <w:lang w:val="es-ES"/>
        </w:rPr>
        <w:t xml:space="preserve">producto a </w:t>
      </w:r>
      <w:proofErr w:type="spellStart"/>
      <w:r w:rsidR="009C58D1" w:rsidRPr="00DC07FC">
        <w:rPr>
          <w:color w:val="000000" w:themeColor="text1"/>
          <w:lang w:val="es-ES"/>
        </w:rPr>
        <w:t>carrotanques</w:t>
      </w:r>
      <w:proofErr w:type="spellEnd"/>
      <w:r w:rsidR="00974FE7" w:rsidRPr="00DC07FC">
        <w:rPr>
          <w:color w:val="000000" w:themeColor="text1"/>
          <w:lang w:val="es-ES"/>
        </w:rPr>
        <w:t xml:space="preserve">, otro tipo de facilidades </w:t>
      </w:r>
      <w:r w:rsidR="00974FE7" w:rsidRPr="00CE255F">
        <w:rPr>
          <w:color w:val="000000" w:themeColor="text1"/>
          <w:lang w:val="es-ES"/>
        </w:rPr>
        <w:t>para la entrega</w:t>
      </w:r>
      <w:r w:rsidRPr="00CE255F">
        <w:rPr>
          <w:color w:val="000000" w:themeColor="text1"/>
          <w:lang w:val="es-ES"/>
        </w:rPr>
        <w:t>.</w:t>
      </w:r>
    </w:p>
    <w:p w:rsidR="00CB7933" w:rsidRPr="00CE255F" w:rsidRDefault="00CB7933" w:rsidP="00901EFF">
      <w:pPr>
        <w:pStyle w:val="ARTICULOS"/>
        <w:numPr>
          <w:ilvl w:val="1"/>
          <w:numId w:val="7"/>
        </w:numPr>
        <w:ind w:left="567" w:hanging="567"/>
        <w:contextualSpacing/>
        <w:rPr>
          <w:color w:val="000000" w:themeColor="text1"/>
          <w:lang w:val="es-ES"/>
        </w:rPr>
      </w:pPr>
      <w:r w:rsidRPr="00CE255F">
        <w:rPr>
          <w:color w:val="000000" w:themeColor="text1"/>
          <w:lang w:val="es-ES"/>
        </w:rPr>
        <w:t>Cláusulas de incumplimiento de las condiciones de entrega y recibo del producto</w:t>
      </w:r>
      <w:r w:rsidR="000A7474" w:rsidRPr="00CE255F">
        <w:rPr>
          <w:color w:val="000000" w:themeColor="text1"/>
          <w:lang w:val="es-ES"/>
        </w:rPr>
        <w:t>,</w:t>
      </w:r>
      <w:r w:rsidRPr="00CE255F">
        <w:rPr>
          <w:color w:val="000000" w:themeColor="text1"/>
          <w:lang w:val="es-ES"/>
        </w:rPr>
        <w:t xml:space="preserve"> en la forma como se dispone en el </w:t>
      </w:r>
      <w:r w:rsidR="00DF4CD9">
        <w:rPr>
          <w:color w:val="000000" w:themeColor="text1"/>
          <w:lang w:val="es-ES"/>
        </w:rPr>
        <w:t>artículo 10</w:t>
      </w:r>
      <w:r w:rsidR="00055B13" w:rsidRPr="00CE255F">
        <w:rPr>
          <w:color w:val="000000" w:themeColor="text1"/>
          <w:lang w:val="es-ES"/>
        </w:rPr>
        <w:t xml:space="preserve"> </w:t>
      </w:r>
      <w:r w:rsidRPr="00CE255F">
        <w:rPr>
          <w:color w:val="000000" w:themeColor="text1"/>
          <w:lang w:val="es-ES"/>
        </w:rPr>
        <w:t xml:space="preserve">de esta resolución y las respectivas compensaciones de las </w:t>
      </w:r>
      <w:r w:rsidR="000A7474" w:rsidRPr="00CE255F">
        <w:rPr>
          <w:color w:val="000000" w:themeColor="text1"/>
          <w:lang w:val="es-ES"/>
        </w:rPr>
        <w:t xml:space="preserve">que </w:t>
      </w:r>
      <w:r w:rsidRPr="00CE255F">
        <w:rPr>
          <w:color w:val="000000" w:themeColor="text1"/>
          <w:lang w:val="es-ES"/>
        </w:rPr>
        <w:t xml:space="preserve">tratan </w:t>
      </w:r>
      <w:r w:rsidR="00055B13" w:rsidRPr="00CE255F">
        <w:rPr>
          <w:color w:val="000000" w:themeColor="text1"/>
          <w:lang w:val="es-ES"/>
        </w:rPr>
        <w:t>l</w:t>
      </w:r>
      <w:r w:rsidR="00DF4CD9">
        <w:rPr>
          <w:color w:val="000000" w:themeColor="text1"/>
          <w:lang w:val="es-ES"/>
        </w:rPr>
        <w:t>os artículos 11</w:t>
      </w:r>
      <w:r w:rsidRPr="00CE255F">
        <w:rPr>
          <w:color w:val="000000" w:themeColor="text1"/>
          <w:lang w:val="es-ES"/>
        </w:rPr>
        <w:t xml:space="preserve"> y</w:t>
      </w:r>
      <w:r w:rsidR="00857EB1" w:rsidRPr="00CE255F">
        <w:rPr>
          <w:color w:val="000000" w:themeColor="text1"/>
          <w:lang w:val="es-ES"/>
        </w:rPr>
        <w:t xml:space="preserve"> </w:t>
      </w:r>
      <w:r w:rsidR="00DF4CD9">
        <w:rPr>
          <w:color w:val="000000" w:themeColor="text1"/>
          <w:lang w:val="es-ES"/>
        </w:rPr>
        <w:t>12</w:t>
      </w:r>
      <w:r w:rsidRPr="00CE255F">
        <w:rPr>
          <w:color w:val="000000" w:themeColor="text1"/>
          <w:lang w:val="es-ES"/>
        </w:rPr>
        <w:t xml:space="preserve">, en las cuales se deben especificar las tarifas de almacenamiento aplicables para los casos de demora en la entrega o en el recibo de producto. </w:t>
      </w:r>
    </w:p>
    <w:p w:rsidR="00CB7933" w:rsidRPr="00CE255F" w:rsidRDefault="00CB7933" w:rsidP="00901EFF">
      <w:pPr>
        <w:pStyle w:val="ARTICULOS"/>
        <w:numPr>
          <w:ilvl w:val="1"/>
          <w:numId w:val="7"/>
        </w:numPr>
        <w:ind w:left="567" w:hanging="567"/>
        <w:contextualSpacing/>
        <w:rPr>
          <w:color w:val="000000" w:themeColor="text1"/>
          <w:lang w:val="es-ES"/>
        </w:rPr>
      </w:pPr>
      <w:r w:rsidRPr="00CE255F">
        <w:rPr>
          <w:color w:val="000000" w:themeColor="text1"/>
          <w:lang w:val="es-ES"/>
        </w:rPr>
        <w:t>Cláusulas de incumplimiento del contrato de suministro.</w:t>
      </w:r>
    </w:p>
    <w:p w:rsidR="00CB7933" w:rsidRPr="00CE255F" w:rsidRDefault="00CB7933" w:rsidP="00901EFF">
      <w:pPr>
        <w:pStyle w:val="ARTICULOS"/>
        <w:numPr>
          <w:ilvl w:val="1"/>
          <w:numId w:val="7"/>
        </w:numPr>
        <w:ind w:left="567" w:hanging="567"/>
        <w:contextualSpacing/>
        <w:rPr>
          <w:color w:val="000000" w:themeColor="text1"/>
          <w:lang w:val="es-ES"/>
        </w:rPr>
      </w:pPr>
      <w:r w:rsidRPr="00CE255F">
        <w:rPr>
          <w:color w:val="000000" w:themeColor="text1"/>
          <w:lang w:val="es-ES"/>
        </w:rPr>
        <w:t>Cláusula de ajuste regulatorio.</w:t>
      </w:r>
    </w:p>
    <w:p w:rsidR="00CB7933" w:rsidRPr="00CE255F" w:rsidRDefault="007C767B" w:rsidP="00901EFF">
      <w:pPr>
        <w:pStyle w:val="ARTICULOS"/>
        <w:numPr>
          <w:ilvl w:val="1"/>
          <w:numId w:val="7"/>
        </w:numPr>
        <w:ind w:left="567" w:hanging="567"/>
        <w:contextualSpacing/>
        <w:rPr>
          <w:color w:val="000000" w:themeColor="text1"/>
          <w:lang w:val="es-ES"/>
        </w:rPr>
      </w:pPr>
      <w:r w:rsidRPr="00CE255F">
        <w:rPr>
          <w:color w:val="000000" w:themeColor="text1"/>
          <w:lang w:val="es-ES"/>
        </w:rPr>
        <w:t>Eventos de fuerza mayor o</w:t>
      </w:r>
      <w:r w:rsidR="00CB7933" w:rsidRPr="00CE255F">
        <w:rPr>
          <w:color w:val="000000" w:themeColor="text1"/>
          <w:lang w:val="es-ES"/>
        </w:rPr>
        <w:t xml:space="preserve"> caso fortuito</w:t>
      </w:r>
      <w:r w:rsidRPr="00CE255F">
        <w:rPr>
          <w:color w:val="000000" w:themeColor="text1"/>
          <w:lang w:val="es-ES"/>
        </w:rPr>
        <w:t xml:space="preserve"> y el procedimiento para informar la ocurrencia del </w:t>
      </w:r>
      <w:r w:rsidR="004139B1" w:rsidRPr="00CE255F">
        <w:rPr>
          <w:color w:val="000000" w:themeColor="text1"/>
          <w:lang w:val="es-ES"/>
        </w:rPr>
        <w:t>evento</w:t>
      </w:r>
      <w:r w:rsidR="00F32A71">
        <w:rPr>
          <w:color w:val="000000" w:themeColor="text1"/>
          <w:lang w:val="es-ES"/>
        </w:rPr>
        <w:t xml:space="preserve">, </w:t>
      </w:r>
      <w:r w:rsidR="00F32A71" w:rsidRPr="00CE255F">
        <w:rPr>
          <w:color w:val="000000" w:themeColor="text1"/>
          <w:lang w:val="es-ES"/>
        </w:rPr>
        <w:t>en los términos del</w:t>
      </w:r>
      <w:r w:rsidR="00DF4CD9">
        <w:rPr>
          <w:color w:val="000000" w:themeColor="text1"/>
          <w:lang w:val="es-ES"/>
        </w:rPr>
        <w:t xml:space="preserve"> artículo 8 </w:t>
      </w:r>
      <w:r w:rsidR="00F32A71" w:rsidRPr="00CE255F">
        <w:rPr>
          <w:color w:val="000000" w:themeColor="text1"/>
          <w:lang w:val="es-ES"/>
        </w:rPr>
        <w:t>de esta resolución</w:t>
      </w:r>
      <w:r w:rsidRPr="00CE255F">
        <w:rPr>
          <w:color w:val="000000" w:themeColor="text1"/>
          <w:lang w:val="es-ES"/>
        </w:rPr>
        <w:t>.</w:t>
      </w:r>
    </w:p>
    <w:p w:rsidR="00CB7933" w:rsidRPr="00CE255F" w:rsidRDefault="00CB7933" w:rsidP="00901EFF">
      <w:pPr>
        <w:pStyle w:val="ARTICULOS"/>
        <w:numPr>
          <w:ilvl w:val="1"/>
          <w:numId w:val="7"/>
        </w:numPr>
        <w:ind w:left="567" w:hanging="567"/>
        <w:contextualSpacing/>
        <w:rPr>
          <w:color w:val="000000" w:themeColor="text1"/>
          <w:lang w:val="es-ES"/>
        </w:rPr>
      </w:pPr>
      <w:bookmarkStart w:id="8" w:name="_Ref441154971"/>
      <w:r w:rsidRPr="00CE255F">
        <w:rPr>
          <w:color w:val="000000" w:themeColor="text1"/>
          <w:lang w:val="es-ES"/>
        </w:rPr>
        <w:t>Eventos eximentes de responsabilidad</w:t>
      </w:r>
      <w:bookmarkEnd w:id="8"/>
      <w:r w:rsidR="00F32A71">
        <w:rPr>
          <w:color w:val="000000" w:themeColor="text1"/>
          <w:lang w:val="es-ES"/>
        </w:rPr>
        <w:t>,</w:t>
      </w:r>
      <w:r w:rsidR="00CC34CC" w:rsidRPr="00CE255F">
        <w:rPr>
          <w:color w:val="000000" w:themeColor="text1"/>
          <w:lang w:val="es-ES"/>
        </w:rPr>
        <w:t xml:space="preserve"> en los términos del</w:t>
      </w:r>
      <w:r w:rsidR="00DF4CD9">
        <w:rPr>
          <w:color w:val="000000" w:themeColor="text1"/>
          <w:lang w:val="es-ES"/>
        </w:rPr>
        <w:t xml:space="preserve"> artículo 9 </w:t>
      </w:r>
      <w:r w:rsidR="00CC34CC" w:rsidRPr="00CE255F">
        <w:rPr>
          <w:color w:val="000000" w:themeColor="text1"/>
          <w:lang w:val="es-ES"/>
        </w:rPr>
        <w:t>de esta resolución.</w:t>
      </w:r>
    </w:p>
    <w:p w:rsidR="00CB7933" w:rsidRPr="00DC07FC" w:rsidRDefault="00CB7933" w:rsidP="00901EFF">
      <w:pPr>
        <w:pStyle w:val="ARTICULOS"/>
        <w:numPr>
          <w:ilvl w:val="1"/>
          <w:numId w:val="7"/>
        </w:numPr>
        <w:ind w:left="567" w:hanging="567"/>
        <w:contextualSpacing/>
      </w:pPr>
      <w:r w:rsidRPr="00CE255F">
        <w:rPr>
          <w:color w:val="000000" w:themeColor="text1"/>
          <w:lang w:val="es-ES"/>
        </w:rPr>
        <w:t>Mecanismos de solución</w:t>
      </w:r>
      <w:r w:rsidRPr="00DC07FC">
        <w:rPr>
          <w:color w:val="000000" w:themeColor="text1"/>
          <w:lang w:val="es-ES"/>
        </w:rPr>
        <w:t xml:space="preserve"> de controversias.</w:t>
      </w:r>
    </w:p>
    <w:p w:rsidR="00CB7933" w:rsidRPr="00DC07FC" w:rsidRDefault="00CB7933" w:rsidP="004C1136">
      <w:pPr>
        <w:ind w:left="0"/>
        <w:contextualSpacing/>
        <w:rPr>
          <w:rFonts w:ascii="Bookman Old Style" w:hAnsi="Bookman Old Style" w:cs="Arial"/>
          <w:lang w:val="es-CO"/>
        </w:rPr>
      </w:pPr>
    </w:p>
    <w:p w:rsidR="00CB7933" w:rsidRPr="00DC07FC" w:rsidRDefault="00BC0C25" w:rsidP="00D57CC5">
      <w:pPr>
        <w:ind w:left="0"/>
        <w:contextualSpacing/>
        <w:jc w:val="both"/>
        <w:rPr>
          <w:rFonts w:ascii="Bookman Old Style" w:hAnsi="Bookman Old Style" w:cs="Arial"/>
          <w:lang w:val="es-CO"/>
        </w:rPr>
      </w:pPr>
      <w:r w:rsidRPr="00DC07FC">
        <w:rPr>
          <w:rFonts w:ascii="Bookman Old Style" w:hAnsi="Bookman Old Style" w:cs="Arial"/>
          <w:b/>
          <w:lang w:val="es-CO"/>
        </w:rPr>
        <w:t xml:space="preserve">PARÁGRAFO </w:t>
      </w:r>
      <w:r w:rsidR="00CB7933" w:rsidRPr="00DC07FC">
        <w:rPr>
          <w:rFonts w:ascii="Bookman Old Style" w:hAnsi="Bookman Old Style" w:cs="Arial"/>
          <w:b/>
          <w:lang w:val="es-CO"/>
        </w:rPr>
        <w:t xml:space="preserve">1. </w:t>
      </w:r>
      <w:r w:rsidR="00CB7933" w:rsidRPr="00DC07FC">
        <w:rPr>
          <w:rFonts w:ascii="Bookman Old Style" w:hAnsi="Bookman Old Style" w:cs="Arial"/>
          <w:lang w:val="es-CO"/>
        </w:rPr>
        <w:t>Es responsabilidad de los compradores celebrar los respectivos contratos de transporte</w:t>
      </w:r>
      <w:r w:rsidR="000A7474" w:rsidRPr="00DC07FC">
        <w:rPr>
          <w:rFonts w:ascii="Bookman Old Style" w:hAnsi="Bookman Old Style" w:cs="Arial"/>
          <w:lang w:val="es-CO"/>
        </w:rPr>
        <w:t>,</w:t>
      </w:r>
      <w:r w:rsidR="00CB7933" w:rsidRPr="00DC07FC">
        <w:rPr>
          <w:rFonts w:ascii="Bookman Old Style" w:hAnsi="Bookman Old Style" w:cs="Arial"/>
          <w:lang w:val="es-CO"/>
        </w:rPr>
        <w:t xml:space="preserve"> de conformidad con lo establecido en la Resolución CREG 092 de 2009, o aquella</w:t>
      </w:r>
      <w:r w:rsidR="00831F95" w:rsidRPr="00DC07FC">
        <w:rPr>
          <w:rFonts w:ascii="Bookman Old Style" w:hAnsi="Bookman Old Style" w:cs="Arial"/>
          <w:lang w:val="es-CO"/>
        </w:rPr>
        <w:t>s</w:t>
      </w:r>
      <w:r w:rsidR="00CB7933" w:rsidRPr="00DC07FC">
        <w:rPr>
          <w:rFonts w:ascii="Bookman Old Style" w:hAnsi="Bookman Old Style" w:cs="Arial"/>
          <w:lang w:val="es-CO"/>
        </w:rPr>
        <w:t xml:space="preserve"> que la modifique</w:t>
      </w:r>
      <w:r w:rsidR="00831F95" w:rsidRPr="00DC07FC">
        <w:rPr>
          <w:rFonts w:ascii="Bookman Old Style" w:hAnsi="Bookman Old Style" w:cs="Arial"/>
          <w:lang w:val="es-CO"/>
        </w:rPr>
        <w:t xml:space="preserve">n </w:t>
      </w:r>
      <w:r w:rsidR="00CB7933" w:rsidRPr="00DC07FC">
        <w:rPr>
          <w:rFonts w:ascii="Bookman Old Style" w:hAnsi="Bookman Old Style" w:cs="Arial"/>
          <w:lang w:val="es-CO"/>
        </w:rPr>
        <w:t>o sustituya</w:t>
      </w:r>
      <w:r w:rsidR="00831F95" w:rsidRPr="00DC07FC">
        <w:rPr>
          <w:rFonts w:ascii="Bookman Old Style" w:hAnsi="Bookman Old Style" w:cs="Arial"/>
          <w:lang w:val="es-CO"/>
        </w:rPr>
        <w:t>n</w:t>
      </w:r>
      <w:r w:rsidR="00CB7933" w:rsidRPr="00DC07FC">
        <w:rPr>
          <w:rFonts w:ascii="Bookman Old Style" w:hAnsi="Bookman Old Style" w:cs="Arial"/>
          <w:lang w:val="es-CO"/>
        </w:rPr>
        <w:t xml:space="preserve">, </w:t>
      </w:r>
      <w:r w:rsidR="00831F95" w:rsidRPr="00DC07FC">
        <w:rPr>
          <w:rFonts w:ascii="Bookman Old Style" w:hAnsi="Bookman Old Style" w:cs="Arial"/>
          <w:lang w:val="es-CO"/>
        </w:rPr>
        <w:t>cuando seleccione en</w:t>
      </w:r>
      <w:r w:rsidR="00CB7933" w:rsidRPr="00DC07FC">
        <w:rPr>
          <w:rFonts w:ascii="Bookman Old Style" w:hAnsi="Bookman Old Style" w:cs="Arial"/>
          <w:lang w:val="es-CO"/>
        </w:rPr>
        <w:t xml:space="preserve"> el contrato de suministro </w:t>
      </w:r>
      <w:r w:rsidR="00831F95" w:rsidRPr="00DC07FC">
        <w:rPr>
          <w:rFonts w:ascii="Bookman Old Style" w:hAnsi="Bookman Old Style" w:cs="Arial"/>
          <w:lang w:val="es-CO"/>
        </w:rPr>
        <w:t xml:space="preserve">como </w:t>
      </w:r>
      <w:r w:rsidR="00CB7933" w:rsidRPr="00DC07FC">
        <w:rPr>
          <w:rFonts w:ascii="Bookman Old Style" w:hAnsi="Bookman Old Style" w:cs="Arial"/>
          <w:lang w:val="es-CO"/>
        </w:rPr>
        <w:t>punto de entrega del producto</w:t>
      </w:r>
      <w:r w:rsidR="00831F95" w:rsidRPr="00DC07FC">
        <w:rPr>
          <w:rFonts w:ascii="Bookman Old Style" w:hAnsi="Bookman Old Style" w:cs="Arial"/>
          <w:lang w:val="es-CO"/>
        </w:rPr>
        <w:t xml:space="preserve"> un punto de entrada al sistema de transporte</w:t>
      </w:r>
      <w:r w:rsidR="00CB7933" w:rsidRPr="00DC07FC">
        <w:rPr>
          <w:rFonts w:ascii="Bookman Old Style" w:hAnsi="Bookman Old Style" w:cs="Arial"/>
          <w:lang w:val="es-CO"/>
        </w:rPr>
        <w:t>.</w:t>
      </w:r>
    </w:p>
    <w:p w:rsidR="00CB7933" w:rsidRDefault="00CB7933" w:rsidP="004C1136">
      <w:pPr>
        <w:ind w:left="0"/>
        <w:contextualSpacing/>
        <w:rPr>
          <w:rFonts w:ascii="Bookman Old Style" w:hAnsi="Bookman Old Style" w:cs="Arial"/>
        </w:rPr>
      </w:pPr>
    </w:p>
    <w:p w:rsidR="005B21C4" w:rsidRDefault="005B21C4" w:rsidP="004C1136">
      <w:pPr>
        <w:ind w:left="0"/>
        <w:contextualSpacing/>
        <w:rPr>
          <w:rFonts w:ascii="Bookman Old Style" w:hAnsi="Bookman Old Style" w:cs="Arial"/>
        </w:rPr>
      </w:pPr>
    </w:p>
    <w:p w:rsidR="005B21C4" w:rsidRPr="00DC07FC" w:rsidRDefault="005B21C4" w:rsidP="004C1136">
      <w:pPr>
        <w:ind w:left="0"/>
        <w:contextualSpacing/>
        <w:rPr>
          <w:rFonts w:ascii="Bookman Old Style" w:hAnsi="Bookman Old Style" w:cs="Arial"/>
        </w:rPr>
      </w:pPr>
    </w:p>
    <w:p w:rsidR="00CB7933" w:rsidRDefault="00BC0C25" w:rsidP="004C1136">
      <w:pPr>
        <w:ind w:left="0"/>
        <w:contextualSpacing/>
        <w:jc w:val="both"/>
        <w:rPr>
          <w:rFonts w:ascii="Bookman Old Style" w:hAnsi="Bookman Old Style" w:cs="Arial"/>
          <w:lang w:val="es-CO"/>
        </w:rPr>
      </w:pPr>
      <w:r w:rsidRPr="00DC07FC">
        <w:rPr>
          <w:rFonts w:ascii="Bookman Old Style" w:hAnsi="Bookman Old Style" w:cs="Arial"/>
          <w:b/>
          <w:lang w:val="es-CO"/>
        </w:rPr>
        <w:t xml:space="preserve">PARÁGRAFO </w:t>
      </w:r>
      <w:r w:rsidR="00CB7933" w:rsidRPr="00DC07FC">
        <w:rPr>
          <w:rFonts w:ascii="Bookman Old Style" w:hAnsi="Bookman Old Style" w:cs="Arial"/>
          <w:b/>
          <w:lang w:val="es-CO"/>
        </w:rPr>
        <w:t xml:space="preserve">2. </w:t>
      </w:r>
      <w:r w:rsidR="00CB7933" w:rsidRPr="00DC07FC">
        <w:rPr>
          <w:rFonts w:ascii="Bookman Old Style" w:hAnsi="Bookman Old Style" w:cs="Arial"/>
          <w:lang w:val="es-CO"/>
        </w:rPr>
        <w:t xml:space="preserve">Cuando distribuidores </w:t>
      </w:r>
      <w:r w:rsidRPr="00DC07FC">
        <w:rPr>
          <w:rFonts w:ascii="Bookman Old Style" w:hAnsi="Bookman Old Style" w:cs="Arial"/>
          <w:lang w:val="es-CO"/>
        </w:rPr>
        <w:t>o usuarios no regulados autorice</w:t>
      </w:r>
      <w:r w:rsidR="00CB7933" w:rsidRPr="00DC07FC">
        <w:rPr>
          <w:rFonts w:ascii="Bookman Old Style" w:hAnsi="Bookman Old Style" w:cs="Arial"/>
          <w:lang w:val="es-CO"/>
        </w:rPr>
        <w:t>n a comercializadores de demanda</w:t>
      </w:r>
      <w:r w:rsidR="00BD259C" w:rsidRPr="00DC07FC">
        <w:rPr>
          <w:rFonts w:ascii="Bookman Old Style" w:hAnsi="Bookman Old Style" w:cs="Arial"/>
          <w:lang w:val="es-CO"/>
        </w:rPr>
        <w:t>,</w:t>
      </w:r>
      <w:r w:rsidR="00CB7933" w:rsidRPr="00DC07FC">
        <w:rPr>
          <w:rFonts w:ascii="Bookman Old Style" w:hAnsi="Bookman Old Style" w:cs="Arial"/>
          <w:lang w:val="es-CO"/>
        </w:rPr>
        <w:t xml:space="preserve"> para que </w:t>
      </w:r>
      <w:r w:rsidRPr="00DC07FC">
        <w:rPr>
          <w:rFonts w:ascii="Bookman Old Style" w:hAnsi="Bookman Old Style" w:cs="Arial"/>
          <w:lang w:val="es-CO"/>
        </w:rPr>
        <w:t xml:space="preserve">los representen como compradores en </w:t>
      </w:r>
      <w:r w:rsidRPr="002022D8">
        <w:rPr>
          <w:rFonts w:ascii="Bookman Old Style" w:hAnsi="Bookman Old Style" w:cs="Arial"/>
          <w:lang w:val="es-CO"/>
        </w:rPr>
        <w:t xml:space="preserve">una </w:t>
      </w:r>
      <w:r w:rsidR="00CB7933" w:rsidRPr="002022D8">
        <w:rPr>
          <w:rFonts w:ascii="Bookman Old Style" w:hAnsi="Bookman Old Style" w:cs="Arial"/>
          <w:lang w:val="es-CO"/>
        </w:rPr>
        <w:t xml:space="preserve">subasta, esta autorización debe quedar </w:t>
      </w:r>
      <w:r w:rsidR="00831F95" w:rsidRPr="002022D8">
        <w:rPr>
          <w:rFonts w:ascii="Bookman Old Style" w:hAnsi="Bookman Old Style" w:cs="Arial"/>
          <w:lang w:val="es-CO"/>
        </w:rPr>
        <w:t xml:space="preserve">explícita </w:t>
      </w:r>
      <w:r w:rsidR="00CB7933" w:rsidRPr="002022D8">
        <w:rPr>
          <w:rFonts w:ascii="Bookman Old Style" w:hAnsi="Bookman Old Style" w:cs="Arial"/>
          <w:lang w:val="es-CO"/>
        </w:rPr>
        <w:t xml:space="preserve">en el contrato de suministro, especificando </w:t>
      </w:r>
      <w:r w:rsidR="00BD259C" w:rsidRPr="002022D8">
        <w:rPr>
          <w:rFonts w:ascii="Bookman Old Style" w:hAnsi="Bookman Old Style" w:cs="Arial"/>
          <w:lang w:val="es-CO"/>
        </w:rPr>
        <w:t>los puntos de entrega del producto</w:t>
      </w:r>
      <w:r w:rsidR="00CB7933" w:rsidRPr="002022D8">
        <w:rPr>
          <w:rFonts w:ascii="Bookman Old Style" w:hAnsi="Bookman Old Style" w:cs="Arial"/>
          <w:lang w:val="es-CO"/>
        </w:rPr>
        <w:t xml:space="preserve"> en l</w:t>
      </w:r>
      <w:r w:rsidR="00BD259C" w:rsidRPr="002022D8">
        <w:rPr>
          <w:rFonts w:ascii="Bookman Old Style" w:hAnsi="Bookman Old Style" w:cs="Arial"/>
          <w:lang w:val="es-CO"/>
        </w:rPr>
        <w:t>o</w:t>
      </w:r>
      <w:r w:rsidR="00CB7933" w:rsidRPr="002022D8">
        <w:rPr>
          <w:rFonts w:ascii="Bookman Old Style" w:hAnsi="Bookman Old Style" w:cs="Arial"/>
          <w:lang w:val="es-CO"/>
        </w:rPr>
        <w:t>s cuales se</w:t>
      </w:r>
      <w:r w:rsidR="00CB7933" w:rsidRPr="00DC07FC">
        <w:rPr>
          <w:rFonts w:ascii="Bookman Old Style" w:hAnsi="Bookman Old Style" w:cs="Arial"/>
          <w:lang w:val="es-CO"/>
        </w:rPr>
        <w:t xml:space="preserve"> autoriza al comercializador de demanda a comprar </w:t>
      </w:r>
      <w:r w:rsidRPr="00DC07FC">
        <w:rPr>
          <w:rFonts w:ascii="Bookman Old Style" w:hAnsi="Bookman Old Style" w:cs="Arial"/>
          <w:lang w:val="es-CO"/>
        </w:rPr>
        <w:t xml:space="preserve">producto </w:t>
      </w:r>
      <w:r w:rsidR="00CB7933" w:rsidRPr="00DC07FC">
        <w:rPr>
          <w:rFonts w:ascii="Bookman Old Style" w:hAnsi="Bookman Old Style" w:cs="Arial"/>
          <w:lang w:val="es-CO"/>
        </w:rPr>
        <w:t>en su representación.</w:t>
      </w:r>
    </w:p>
    <w:p w:rsidR="00606C4D" w:rsidRPr="00DC07FC" w:rsidRDefault="00606C4D" w:rsidP="004C1136">
      <w:pPr>
        <w:ind w:left="0"/>
        <w:contextualSpacing/>
        <w:jc w:val="both"/>
        <w:rPr>
          <w:rFonts w:ascii="Bookman Old Style" w:hAnsi="Bookman Old Style" w:cs="Arial"/>
          <w:lang w:val="es-CO"/>
        </w:rPr>
      </w:pPr>
    </w:p>
    <w:p w:rsidR="00CB7933" w:rsidRPr="00DC07FC" w:rsidRDefault="004B0D9C" w:rsidP="00D444D6">
      <w:pPr>
        <w:pStyle w:val="ARTICULOS"/>
        <w:numPr>
          <w:ilvl w:val="0"/>
          <w:numId w:val="2"/>
        </w:numPr>
        <w:tabs>
          <w:tab w:val="left" w:pos="1701"/>
        </w:tabs>
        <w:ind w:left="0" w:firstLine="0"/>
        <w:contextualSpacing/>
        <w:outlineLvl w:val="2"/>
        <w:rPr>
          <w:rFonts w:cs="Arial"/>
          <w:color w:val="000000" w:themeColor="text1"/>
        </w:rPr>
      </w:pPr>
      <w:bookmarkStart w:id="9" w:name="_Ref330309544"/>
      <w:r w:rsidRPr="00DC07FC">
        <w:rPr>
          <w:rFonts w:cs="Arial"/>
          <w:b/>
          <w:color w:val="000000" w:themeColor="text1"/>
        </w:rPr>
        <w:t>EVENTOS DE FUERZA MAYOR</w:t>
      </w:r>
      <w:r w:rsidRPr="00DC07FC">
        <w:rPr>
          <w:rFonts w:cs="Arial"/>
          <w:b/>
          <w:color w:val="000000" w:themeColor="text1"/>
          <w:lang w:val="es-CO"/>
        </w:rPr>
        <w:t xml:space="preserve"> O</w:t>
      </w:r>
      <w:r w:rsidR="00857EB1" w:rsidRPr="00DC07FC">
        <w:rPr>
          <w:rFonts w:cs="Arial"/>
          <w:b/>
          <w:color w:val="000000" w:themeColor="text1"/>
        </w:rPr>
        <w:t xml:space="preserve"> CASO FORTUITO.</w:t>
      </w:r>
      <w:r w:rsidR="00CB7933" w:rsidRPr="00DC07FC">
        <w:rPr>
          <w:rFonts w:cs="Arial"/>
          <w:b/>
          <w:color w:val="000000" w:themeColor="text1"/>
        </w:rPr>
        <w:t xml:space="preserve"> </w:t>
      </w:r>
      <w:r w:rsidR="00CB7933" w:rsidRPr="00DC07FC">
        <w:rPr>
          <w:rFonts w:cs="Arial"/>
          <w:color w:val="000000" w:themeColor="text1"/>
        </w:rPr>
        <w:t xml:space="preserve">En la </w:t>
      </w:r>
      <w:r w:rsidR="00CB7933" w:rsidRPr="00025530">
        <w:rPr>
          <w:rFonts w:cs="Arial"/>
          <w:color w:val="000000" w:themeColor="text1"/>
        </w:rPr>
        <w:t>ejecución de los contratos referidos en el</w:t>
      </w:r>
      <w:r w:rsidR="00C72255">
        <w:rPr>
          <w:rFonts w:cs="Arial"/>
          <w:color w:val="000000" w:themeColor="text1"/>
          <w:lang w:val="es-CO"/>
        </w:rPr>
        <w:t xml:space="preserve"> artículo 6 </w:t>
      </w:r>
      <w:r w:rsidR="00CB7933" w:rsidRPr="00025530">
        <w:rPr>
          <w:rFonts w:cs="Arial"/>
          <w:color w:val="000000" w:themeColor="text1"/>
        </w:rPr>
        <w:t xml:space="preserve">de la presente </w:t>
      </w:r>
      <w:r w:rsidR="00AB4B95" w:rsidRPr="00025530">
        <w:rPr>
          <w:rFonts w:cs="Arial"/>
          <w:color w:val="000000" w:themeColor="text1"/>
        </w:rPr>
        <w:t>r</w:t>
      </w:r>
      <w:r w:rsidR="00CB7933" w:rsidRPr="00025530">
        <w:rPr>
          <w:rFonts w:cs="Arial"/>
          <w:color w:val="000000" w:themeColor="text1"/>
        </w:rPr>
        <w:t>esolución</w:t>
      </w:r>
      <w:r w:rsidR="00CB7933" w:rsidRPr="00DC07FC">
        <w:rPr>
          <w:rFonts w:cs="Arial"/>
          <w:color w:val="000000" w:themeColor="text1"/>
        </w:rPr>
        <w:t xml:space="preserve"> ninguna de las partes será responsable frente a la otra por el incumplimiento de las obligaciones contraídas por ellas, incluyendo demoras, daños por pérdidas, reclamos o demandas de cualquier naturaleza, cuando dicho incumplimiento, parcial o total, se produzca por causas y circunstancias que se deban a un evento de fuerza mayor</w:t>
      </w:r>
      <w:r w:rsidRPr="00DC07FC">
        <w:rPr>
          <w:rFonts w:cs="Arial"/>
          <w:color w:val="000000" w:themeColor="text1"/>
          <w:lang w:val="es-CO"/>
        </w:rPr>
        <w:t xml:space="preserve"> o</w:t>
      </w:r>
      <w:r w:rsidR="00CB7933" w:rsidRPr="00DC07FC">
        <w:rPr>
          <w:rFonts w:cs="Arial"/>
          <w:color w:val="000000" w:themeColor="text1"/>
        </w:rPr>
        <w:t xml:space="preserve"> caso fortuito, según lo definido por la ley colombiana.</w:t>
      </w:r>
      <w:bookmarkEnd w:id="9"/>
    </w:p>
    <w:p w:rsidR="00CB7933" w:rsidRPr="00DC07FC" w:rsidRDefault="00CB7933" w:rsidP="004C1136">
      <w:pPr>
        <w:pStyle w:val="Default"/>
        <w:contextualSpacing/>
        <w:jc w:val="both"/>
        <w:rPr>
          <w:rFonts w:ascii="Bookman Old Style" w:eastAsia="Times New Roman" w:hAnsi="Bookman Old Style" w:cs="Arial"/>
          <w:bCs/>
          <w:color w:val="000000" w:themeColor="text1"/>
          <w:lang w:val="es-ES" w:eastAsia="x-none"/>
        </w:rPr>
      </w:pPr>
    </w:p>
    <w:p w:rsidR="00CB7933" w:rsidRPr="00DC07FC" w:rsidRDefault="00CB7933" w:rsidP="004C1136">
      <w:pPr>
        <w:pStyle w:val="Default"/>
        <w:contextualSpacing/>
        <w:jc w:val="both"/>
        <w:rPr>
          <w:rFonts w:ascii="Bookman Old Style" w:eastAsia="Times New Roman" w:hAnsi="Bookman Old Style" w:cs="Arial"/>
          <w:bCs/>
          <w:color w:val="000000" w:themeColor="text1"/>
          <w:lang w:val="es-ES" w:eastAsia="x-none"/>
        </w:rPr>
      </w:pPr>
      <w:r w:rsidRPr="00DC07FC">
        <w:rPr>
          <w:rFonts w:ascii="Bookman Old Style" w:eastAsia="Times New Roman" w:hAnsi="Bookman Old Style" w:cs="Arial"/>
          <w:bCs/>
          <w:color w:val="000000" w:themeColor="text1"/>
          <w:lang w:val="es-ES" w:eastAsia="x-none"/>
        </w:rPr>
        <w:t>La ocurrencia de un evento de fuerza mayor</w:t>
      </w:r>
      <w:r w:rsidR="004B0D9C" w:rsidRPr="00DC07FC">
        <w:rPr>
          <w:rFonts w:ascii="Bookman Old Style" w:eastAsia="Times New Roman" w:hAnsi="Bookman Old Style" w:cs="Arial"/>
          <w:bCs/>
          <w:color w:val="000000" w:themeColor="text1"/>
          <w:lang w:val="es-ES" w:eastAsia="x-none"/>
        </w:rPr>
        <w:t xml:space="preserve"> o</w:t>
      </w:r>
      <w:r w:rsidRPr="00DC07FC">
        <w:rPr>
          <w:rFonts w:ascii="Bookman Old Style" w:eastAsia="Times New Roman" w:hAnsi="Bookman Old Style" w:cs="Arial"/>
          <w:bCs/>
          <w:color w:val="000000" w:themeColor="text1"/>
          <w:lang w:val="es-ES" w:eastAsia="x-none"/>
        </w:rPr>
        <w:t xml:space="preserve"> caso fortuito no exonerará ni liberará a las partes, en ningún caso, del cumplimiento de las obligaciones causadas con anterioridad a la ocurrencia de los hechos a los que se refiere este artículo.</w:t>
      </w:r>
      <w:r w:rsidR="007C767B" w:rsidRPr="00DC07FC">
        <w:rPr>
          <w:rFonts w:ascii="Bookman Old Style" w:eastAsia="Times New Roman" w:hAnsi="Bookman Old Style" w:cs="Arial"/>
          <w:bCs/>
          <w:color w:val="000000" w:themeColor="text1"/>
          <w:lang w:val="es-ES" w:eastAsia="x-none"/>
        </w:rPr>
        <w:t xml:space="preserve"> Incluidas las nominaciones y solicitudes de entrega realizadas por parte de los compradores.</w:t>
      </w:r>
    </w:p>
    <w:p w:rsidR="00CB7933" w:rsidRPr="00DC07FC" w:rsidRDefault="00CB7933" w:rsidP="004C1136">
      <w:pPr>
        <w:pStyle w:val="ARTICULOS"/>
        <w:tabs>
          <w:tab w:val="left" w:pos="1701"/>
        </w:tabs>
        <w:contextualSpacing/>
        <w:rPr>
          <w:rFonts w:cs="Arial"/>
          <w:color w:val="000000" w:themeColor="text1"/>
          <w:lang w:val="es-ES"/>
        </w:rPr>
      </w:pPr>
    </w:p>
    <w:p w:rsidR="00857EB1" w:rsidRPr="00DC07FC" w:rsidRDefault="00AB4B95" w:rsidP="00B87EF7">
      <w:pPr>
        <w:pStyle w:val="ARTICULOS"/>
        <w:contextualSpacing/>
        <w:rPr>
          <w:rFonts w:cs="Arial"/>
          <w:color w:val="000000" w:themeColor="text1"/>
          <w:lang w:val="es-CO"/>
        </w:rPr>
      </w:pPr>
      <w:r w:rsidRPr="00DC07FC">
        <w:rPr>
          <w:rFonts w:cs="Arial"/>
          <w:b/>
          <w:color w:val="000000" w:themeColor="text1"/>
          <w:lang w:val="es-ES"/>
        </w:rPr>
        <w:t>PARÁGRAFO</w:t>
      </w:r>
      <w:r w:rsidR="00CB7933" w:rsidRPr="00DC07FC">
        <w:rPr>
          <w:rFonts w:cs="Arial"/>
          <w:b/>
          <w:color w:val="000000" w:themeColor="text1"/>
          <w:lang w:val="es-ES"/>
        </w:rPr>
        <w:t>.</w:t>
      </w:r>
      <w:r w:rsidR="00CB7933" w:rsidRPr="00DC07FC">
        <w:rPr>
          <w:rFonts w:cs="Arial"/>
          <w:color w:val="000000" w:themeColor="text1"/>
          <w:lang w:val="es-ES"/>
        </w:rPr>
        <w:t xml:space="preserve"> </w:t>
      </w:r>
      <w:r w:rsidR="00CB7933" w:rsidRPr="00DC07FC">
        <w:rPr>
          <w:rFonts w:cs="Arial"/>
          <w:color w:val="000000" w:themeColor="text1"/>
        </w:rPr>
        <w:t>La obligación de los compradores de pagar el servicio de suministro del gas</w:t>
      </w:r>
      <w:r w:rsidR="00CB7933" w:rsidRPr="00DC07FC">
        <w:rPr>
          <w:rFonts w:cs="Arial"/>
          <w:color w:val="000000" w:themeColor="text1"/>
          <w:lang w:val="es-CO"/>
        </w:rPr>
        <w:t xml:space="preserve"> licuado de petróleo</w:t>
      </w:r>
      <w:r w:rsidR="00CB7933" w:rsidRPr="00DC07FC">
        <w:rPr>
          <w:rFonts w:cs="Arial"/>
          <w:color w:val="000000" w:themeColor="text1"/>
        </w:rPr>
        <w:t xml:space="preserve"> contratado y la obligación de los </w:t>
      </w:r>
      <w:r w:rsidRPr="00DC07FC">
        <w:rPr>
          <w:rFonts w:cs="Arial"/>
          <w:color w:val="000000" w:themeColor="text1"/>
          <w:lang w:val="es-CO"/>
        </w:rPr>
        <w:t xml:space="preserve">vendedores </w:t>
      </w:r>
      <w:r w:rsidR="00CB7933" w:rsidRPr="00DC07FC">
        <w:rPr>
          <w:rFonts w:cs="Arial"/>
          <w:color w:val="000000" w:themeColor="text1"/>
        </w:rPr>
        <w:t xml:space="preserve">de </w:t>
      </w:r>
      <w:r w:rsidRPr="00DC07FC">
        <w:rPr>
          <w:rFonts w:cs="Arial"/>
          <w:color w:val="000000" w:themeColor="text1"/>
          <w:lang w:val="es-CO"/>
        </w:rPr>
        <w:t xml:space="preserve">entregar el producto </w:t>
      </w:r>
      <w:r w:rsidRPr="00DC07FC">
        <w:rPr>
          <w:rFonts w:cs="Arial"/>
          <w:color w:val="000000" w:themeColor="text1"/>
        </w:rPr>
        <w:t>contratad</w:t>
      </w:r>
      <w:r w:rsidRPr="00DC07FC">
        <w:rPr>
          <w:rFonts w:cs="Arial"/>
          <w:color w:val="000000" w:themeColor="text1"/>
          <w:lang w:val="es-CO"/>
        </w:rPr>
        <w:t>o</w:t>
      </w:r>
      <w:r w:rsidR="00CB7933" w:rsidRPr="00DC07FC">
        <w:rPr>
          <w:rFonts w:cs="Arial"/>
          <w:color w:val="000000" w:themeColor="text1"/>
        </w:rPr>
        <w:t xml:space="preserve"> se suspenderán durante los </w:t>
      </w:r>
      <w:r w:rsidR="004139B1" w:rsidRPr="00DC07FC">
        <w:rPr>
          <w:color w:val="000000" w:themeColor="text1"/>
          <w:lang w:val="es-ES"/>
        </w:rPr>
        <w:t>eventos de fuerza mayor o</w:t>
      </w:r>
      <w:r w:rsidR="00CB7933" w:rsidRPr="00DC07FC">
        <w:rPr>
          <w:color w:val="000000" w:themeColor="text1"/>
          <w:lang w:val="es-ES"/>
        </w:rPr>
        <w:t xml:space="preserve"> caso fortuito</w:t>
      </w:r>
      <w:r w:rsidR="00CB7933" w:rsidRPr="00DC07FC">
        <w:rPr>
          <w:rFonts w:cs="Arial"/>
          <w:color w:val="000000" w:themeColor="text1"/>
        </w:rPr>
        <w:t>. En caso de que no se afecte la capacidad total de suministro el comprador deberá pagar la cantidad que</w:t>
      </w:r>
      <w:r w:rsidRPr="00DC07FC">
        <w:rPr>
          <w:rFonts w:cs="Arial"/>
          <w:color w:val="000000" w:themeColor="text1"/>
        </w:rPr>
        <w:t xml:space="preserve"> efectivamente le fue entregada</w:t>
      </w:r>
      <w:r w:rsidR="00CB7933" w:rsidRPr="00DC07FC">
        <w:rPr>
          <w:rFonts w:cs="Arial"/>
          <w:color w:val="000000" w:themeColor="text1"/>
          <w:lang w:val="es-CO"/>
        </w:rPr>
        <w:t>.</w:t>
      </w:r>
      <w:bookmarkStart w:id="10" w:name="_Ref334521083"/>
    </w:p>
    <w:p w:rsidR="00B87EF7" w:rsidRPr="00DC07FC" w:rsidRDefault="00B87EF7" w:rsidP="00B87EF7">
      <w:pPr>
        <w:pStyle w:val="ARTICULOS"/>
        <w:contextualSpacing/>
        <w:rPr>
          <w:rFonts w:cs="Arial"/>
          <w:b/>
          <w:color w:val="000000" w:themeColor="text1"/>
        </w:rPr>
      </w:pPr>
    </w:p>
    <w:p w:rsidR="00CB7933" w:rsidRPr="00DC07FC" w:rsidRDefault="00857EB1" w:rsidP="00D444D6">
      <w:pPr>
        <w:pStyle w:val="ARTICULOS"/>
        <w:numPr>
          <w:ilvl w:val="0"/>
          <w:numId w:val="2"/>
        </w:numPr>
        <w:tabs>
          <w:tab w:val="left" w:pos="1701"/>
        </w:tabs>
        <w:ind w:left="0" w:firstLine="0"/>
        <w:contextualSpacing/>
        <w:outlineLvl w:val="2"/>
        <w:rPr>
          <w:rFonts w:cs="Arial"/>
          <w:color w:val="000000" w:themeColor="text1"/>
        </w:rPr>
      </w:pPr>
      <w:bookmarkStart w:id="11" w:name="_Ref462923027"/>
      <w:r w:rsidRPr="003E7AB6">
        <w:rPr>
          <w:rFonts w:cs="Arial"/>
          <w:b/>
          <w:color w:val="000000" w:themeColor="text1"/>
        </w:rPr>
        <w:t>EVENTOS EXIMENTES DE RESPONSABILIDAD</w:t>
      </w:r>
      <w:r w:rsidR="00CB7933" w:rsidRPr="003E7AB6">
        <w:rPr>
          <w:rFonts w:cs="Arial"/>
          <w:b/>
          <w:color w:val="000000" w:themeColor="text1"/>
        </w:rPr>
        <w:t xml:space="preserve">. </w:t>
      </w:r>
      <w:r w:rsidR="00CB7933" w:rsidRPr="003E7AB6">
        <w:rPr>
          <w:rFonts w:cs="Arial"/>
          <w:color w:val="000000" w:themeColor="text1"/>
        </w:rPr>
        <w:t>Por evento eximente de responsabilidad se entenderá lo establecido en el</w:t>
      </w:r>
      <w:r w:rsidR="00C72255">
        <w:rPr>
          <w:rFonts w:cs="Arial"/>
          <w:color w:val="000000" w:themeColor="text1"/>
          <w:lang w:val="es-CO"/>
        </w:rPr>
        <w:t xml:space="preserve"> artículo 4 </w:t>
      </w:r>
      <w:r w:rsidR="00CB7933" w:rsidRPr="003E7AB6">
        <w:rPr>
          <w:rFonts w:cs="Arial"/>
          <w:color w:val="000000" w:themeColor="text1"/>
        </w:rPr>
        <w:t xml:space="preserve">de la presente </w:t>
      </w:r>
      <w:r w:rsidR="006B7E45" w:rsidRPr="003E7AB6">
        <w:rPr>
          <w:rFonts w:cs="Arial"/>
          <w:color w:val="000000" w:themeColor="text1"/>
        </w:rPr>
        <w:t>r</w:t>
      </w:r>
      <w:r w:rsidR="00CB7933" w:rsidRPr="003E7AB6">
        <w:rPr>
          <w:rFonts w:cs="Arial"/>
          <w:color w:val="000000" w:themeColor="text1"/>
        </w:rPr>
        <w:t>esolución.</w:t>
      </w:r>
      <w:bookmarkEnd w:id="10"/>
      <w:r w:rsidR="00522116" w:rsidRPr="003E7AB6">
        <w:rPr>
          <w:rFonts w:cs="Arial"/>
          <w:color w:val="000000" w:themeColor="text1"/>
        </w:rPr>
        <w:t xml:space="preserve"> </w:t>
      </w:r>
      <w:r w:rsidR="00CB7933" w:rsidRPr="003E7AB6">
        <w:rPr>
          <w:rFonts w:cs="Arial"/>
          <w:color w:val="000000" w:themeColor="text1"/>
        </w:rPr>
        <w:t xml:space="preserve">En los contratos a </w:t>
      </w:r>
      <w:r w:rsidR="00FF5121" w:rsidRPr="003E7AB6">
        <w:rPr>
          <w:rFonts w:cs="Arial"/>
          <w:color w:val="000000" w:themeColor="text1"/>
        </w:rPr>
        <w:t xml:space="preserve">los </w:t>
      </w:r>
      <w:r w:rsidR="00CB7933" w:rsidRPr="003E7AB6">
        <w:rPr>
          <w:rFonts w:cs="Arial"/>
          <w:color w:val="000000" w:themeColor="text1"/>
        </w:rPr>
        <w:t>que se refiere el</w:t>
      </w:r>
      <w:r w:rsidR="00C72255">
        <w:rPr>
          <w:rFonts w:cs="Arial"/>
          <w:color w:val="000000" w:themeColor="text1"/>
          <w:lang w:val="es-CO"/>
        </w:rPr>
        <w:t xml:space="preserve"> artículo 6</w:t>
      </w:r>
      <w:r w:rsidR="00CB7933" w:rsidRPr="003E7AB6">
        <w:rPr>
          <w:rFonts w:cs="Arial"/>
          <w:color w:val="000000" w:themeColor="text1"/>
        </w:rPr>
        <w:t xml:space="preserve"> de la presente </w:t>
      </w:r>
      <w:r w:rsidR="00163DB8" w:rsidRPr="003E7AB6">
        <w:rPr>
          <w:rFonts w:cs="Arial"/>
          <w:color w:val="000000" w:themeColor="text1"/>
        </w:rPr>
        <w:t>r</w:t>
      </w:r>
      <w:r w:rsidR="00CB7933" w:rsidRPr="003E7AB6">
        <w:rPr>
          <w:rFonts w:cs="Arial"/>
          <w:color w:val="000000" w:themeColor="text1"/>
        </w:rPr>
        <w:t>esolución, únicamente podrán ser pactados los siguientes eventos</w:t>
      </w:r>
      <w:r w:rsidR="00CB7933" w:rsidRPr="00DC07FC">
        <w:rPr>
          <w:rFonts w:cs="Arial"/>
          <w:color w:val="000000" w:themeColor="text1"/>
        </w:rPr>
        <w:t xml:space="preserve"> eximentes de responsabilidad:</w:t>
      </w:r>
      <w:bookmarkEnd w:id="11"/>
    </w:p>
    <w:p w:rsidR="00CB7933" w:rsidRPr="00DC07FC" w:rsidRDefault="00CB7933" w:rsidP="004C1136">
      <w:pPr>
        <w:pStyle w:val="ARTICULOS"/>
        <w:tabs>
          <w:tab w:val="left" w:pos="1560"/>
        </w:tabs>
        <w:contextualSpacing/>
        <w:rPr>
          <w:rFonts w:cs="Arial"/>
          <w:color w:val="000000" w:themeColor="text1"/>
        </w:rPr>
      </w:pPr>
    </w:p>
    <w:p w:rsidR="00CB7933" w:rsidRPr="00DC07FC" w:rsidRDefault="008936F3" w:rsidP="00901EFF">
      <w:pPr>
        <w:pStyle w:val="ARTICULOS"/>
        <w:numPr>
          <w:ilvl w:val="1"/>
          <w:numId w:val="8"/>
        </w:numPr>
        <w:ind w:left="567" w:hanging="567"/>
        <w:contextualSpacing/>
        <w:rPr>
          <w:color w:val="000000" w:themeColor="text1"/>
          <w:lang w:val="es-ES"/>
        </w:rPr>
      </w:pPr>
      <w:bookmarkStart w:id="12" w:name="_Ref330889076"/>
      <w:r w:rsidRPr="00DC07FC">
        <w:rPr>
          <w:color w:val="000000" w:themeColor="text1"/>
          <w:lang w:val="es-ES"/>
        </w:rPr>
        <w:t>I</w:t>
      </w:r>
      <w:r w:rsidR="00CB7933" w:rsidRPr="00DC07FC">
        <w:rPr>
          <w:color w:val="000000" w:themeColor="text1"/>
          <w:lang w:val="es-ES"/>
        </w:rPr>
        <w:t xml:space="preserve">mposibilidad parcial o total para la operación y funcionamiento de las instalaciones o infraestructura para la producción, manejo, entrega o recibo del </w:t>
      </w:r>
      <w:r w:rsidR="00DF21A9" w:rsidRPr="00DC07FC">
        <w:rPr>
          <w:color w:val="000000" w:themeColor="text1"/>
          <w:lang w:val="es-ES"/>
        </w:rPr>
        <w:t>GLP</w:t>
      </w:r>
      <w:r w:rsidR="00740A63" w:rsidRPr="00DC07FC">
        <w:rPr>
          <w:color w:val="000000" w:themeColor="text1"/>
          <w:lang w:val="es-ES"/>
        </w:rPr>
        <w:t>,</w:t>
      </w:r>
      <w:r w:rsidR="00DF21A9" w:rsidRPr="00DC07FC">
        <w:rPr>
          <w:color w:val="000000" w:themeColor="text1"/>
          <w:lang w:val="es-ES"/>
        </w:rPr>
        <w:t xml:space="preserve"> </w:t>
      </w:r>
      <w:r w:rsidR="00740A63" w:rsidRPr="00DC07FC">
        <w:rPr>
          <w:color w:val="000000" w:themeColor="text1"/>
          <w:lang w:val="es-ES"/>
        </w:rPr>
        <w:t xml:space="preserve">ocasionado </w:t>
      </w:r>
      <w:r w:rsidR="00CB7933" w:rsidRPr="00DC07FC">
        <w:rPr>
          <w:color w:val="000000" w:themeColor="text1"/>
          <w:lang w:val="es-ES"/>
        </w:rPr>
        <w:t>por ataques o sabotajes terroristas o guerrilleros o las alteraciones graves del orden público, que directa o indirectamente contribuyan o resulten en la imposibilidad de alguna de las partes para cumplir con sus obligaciones.</w:t>
      </w:r>
      <w:bookmarkEnd w:id="12"/>
    </w:p>
    <w:p w:rsidR="00CB7933" w:rsidRPr="00DC07FC" w:rsidRDefault="00CB7933" w:rsidP="004C1136">
      <w:pPr>
        <w:pStyle w:val="ARTICULOS"/>
        <w:ind w:left="567"/>
        <w:contextualSpacing/>
        <w:rPr>
          <w:color w:val="000000" w:themeColor="text1"/>
          <w:lang w:val="es-ES"/>
        </w:rPr>
      </w:pPr>
    </w:p>
    <w:p w:rsidR="00CB7933" w:rsidRPr="00DC07FC" w:rsidRDefault="00CB7933" w:rsidP="00901EFF">
      <w:pPr>
        <w:pStyle w:val="ARTICULOS"/>
        <w:numPr>
          <w:ilvl w:val="1"/>
          <w:numId w:val="8"/>
        </w:numPr>
        <w:ind w:left="567" w:hanging="567"/>
        <w:contextualSpacing/>
        <w:rPr>
          <w:color w:val="000000" w:themeColor="text1"/>
          <w:lang w:val="es-ES"/>
        </w:rPr>
      </w:pPr>
      <w:bookmarkStart w:id="13" w:name="_Ref330889079"/>
      <w:r w:rsidRPr="00DC07FC">
        <w:rPr>
          <w:color w:val="000000" w:themeColor="text1"/>
          <w:lang w:val="es-ES"/>
        </w:rPr>
        <w:t>Cesación ilegal de actividades, cuando esos actos contribuyan o resulten en la imposibilidad de cualquiera de las partes para cumplir con sus obligaciones.</w:t>
      </w:r>
      <w:bookmarkEnd w:id="13"/>
    </w:p>
    <w:p w:rsidR="00CB7933" w:rsidRPr="00DC07FC" w:rsidRDefault="00CB7933" w:rsidP="004C1136">
      <w:pPr>
        <w:pStyle w:val="ARTICULOS"/>
        <w:ind w:left="567"/>
        <w:contextualSpacing/>
        <w:rPr>
          <w:color w:val="000000" w:themeColor="text1"/>
          <w:lang w:val="es-ES"/>
        </w:rPr>
      </w:pPr>
    </w:p>
    <w:p w:rsidR="00645240" w:rsidRDefault="00BE0006" w:rsidP="00901EFF">
      <w:pPr>
        <w:pStyle w:val="ARTICULOS"/>
        <w:numPr>
          <w:ilvl w:val="1"/>
          <w:numId w:val="8"/>
        </w:numPr>
        <w:ind w:left="567" w:hanging="567"/>
        <w:contextualSpacing/>
        <w:rPr>
          <w:color w:val="000000" w:themeColor="text1"/>
          <w:lang w:val="es-ES"/>
        </w:rPr>
      </w:pPr>
      <w:r w:rsidRPr="00DC07FC">
        <w:rPr>
          <w:color w:val="000000" w:themeColor="text1"/>
          <w:lang w:val="es-ES"/>
        </w:rPr>
        <w:t>No recibir</w:t>
      </w:r>
      <w:r w:rsidR="00645240" w:rsidRPr="00DC07FC">
        <w:rPr>
          <w:color w:val="000000" w:themeColor="text1"/>
          <w:lang w:val="es-ES"/>
        </w:rPr>
        <w:t xml:space="preserve"> </w:t>
      </w:r>
      <w:r w:rsidR="00AC05D6" w:rsidRPr="00DC07FC">
        <w:rPr>
          <w:color w:val="000000" w:themeColor="text1"/>
          <w:lang w:val="es-ES"/>
        </w:rPr>
        <w:t xml:space="preserve">el </w:t>
      </w:r>
      <w:r w:rsidR="00645240" w:rsidRPr="00DC07FC">
        <w:rPr>
          <w:color w:val="000000" w:themeColor="text1"/>
          <w:lang w:val="es-ES"/>
        </w:rPr>
        <w:t>GLP</w:t>
      </w:r>
      <w:r w:rsidR="00AC05D6" w:rsidRPr="00DC07FC">
        <w:rPr>
          <w:color w:val="000000" w:themeColor="text1"/>
          <w:lang w:val="es-ES"/>
        </w:rPr>
        <w:t xml:space="preserve">, </w:t>
      </w:r>
      <w:r w:rsidR="00DE19C7" w:rsidRPr="00DC07FC">
        <w:rPr>
          <w:color w:val="000000" w:themeColor="text1"/>
          <w:lang w:val="es-ES"/>
        </w:rPr>
        <w:t xml:space="preserve">cuando el producto </w:t>
      </w:r>
      <w:r w:rsidR="00645240" w:rsidRPr="00DC07FC">
        <w:rPr>
          <w:color w:val="000000" w:themeColor="text1"/>
          <w:lang w:val="es-ES"/>
        </w:rPr>
        <w:t>no se ajuste a la norma de calidad en la regulación vigente.</w:t>
      </w:r>
    </w:p>
    <w:p w:rsidR="005B21C4" w:rsidRDefault="005B21C4" w:rsidP="005B21C4">
      <w:pPr>
        <w:pStyle w:val="Prrafodelista"/>
        <w:rPr>
          <w:color w:val="000000" w:themeColor="text1"/>
          <w:lang w:val="es-ES"/>
        </w:rPr>
      </w:pPr>
    </w:p>
    <w:p w:rsidR="005B21C4" w:rsidRDefault="005B21C4" w:rsidP="005B21C4">
      <w:pPr>
        <w:pStyle w:val="ARTICULOS"/>
        <w:ind w:left="567"/>
        <w:contextualSpacing/>
        <w:rPr>
          <w:color w:val="000000" w:themeColor="text1"/>
          <w:lang w:val="es-ES"/>
        </w:rPr>
      </w:pPr>
    </w:p>
    <w:p w:rsidR="005B21C4" w:rsidRPr="00DC07FC" w:rsidRDefault="005B21C4" w:rsidP="005B21C4">
      <w:pPr>
        <w:pStyle w:val="ARTICULOS"/>
        <w:ind w:left="567"/>
        <w:contextualSpacing/>
        <w:rPr>
          <w:color w:val="000000" w:themeColor="text1"/>
          <w:lang w:val="es-ES"/>
        </w:rPr>
      </w:pPr>
    </w:p>
    <w:p w:rsidR="00CB7933" w:rsidRPr="00DC07FC" w:rsidRDefault="00CB7933" w:rsidP="004C1136">
      <w:pPr>
        <w:pStyle w:val="ARTICULOS"/>
        <w:ind w:left="1134" w:hanging="567"/>
        <w:contextualSpacing/>
        <w:rPr>
          <w:color w:val="000000" w:themeColor="text1"/>
          <w:lang w:val="es-ES"/>
        </w:rPr>
      </w:pPr>
    </w:p>
    <w:p w:rsidR="00CB7933" w:rsidRPr="00DC07FC" w:rsidRDefault="00CB7933" w:rsidP="00901EFF">
      <w:pPr>
        <w:pStyle w:val="ARTICULOS"/>
        <w:numPr>
          <w:ilvl w:val="1"/>
          <w:numId w:val="8"/>
        </w:numPr>
        <w:ind w:left="567" w:hanging="567"/>
        <w:contextualSpacing/>
        <w:rPr>
          <w:color w:val="000000" w:themeColor="text1"/>
          <w:lang w:val="es-ES"/>
        </w:rPr>
      </w:pPr>
      <w:r w:rsidRPr="003E7AB6">
        <w:rPr>
          <w:color w:val="000000" w:themeColor="text1"/>
          <w:lang w:val="es-ES"/>
        </w:rPr>
        <w:t xml:space="preserve">Cuando por causas imputables a una de las partes no se haya realizado el registro </w:t>
      </w:r>
      <w:r w:rsidR="007D132A" w:rsidRPr="003E7AB6">
        <w:rPr>
          <w:color w:val="000000" w:themeColor="text1"/>
          <w:lang w:val="es-ES"/>
        </w:rPr>
        <w:t xml:space="preserve">del contrato de acuerdo a lo establecido en el </w:t>
      </w:r>
      <w:r w:rsidR="00DF21A9" w:rsidRPr="003E7AB6">
        <w:rPr>
          <w:color w:val="000000" w:themeColor="text1"/>
          <w:lang w:val="es-ES"/>
        </w:rPr>
        <w:t>anexo 2</w:t>
      </w:r>
      <w:r w:rsidR="007D132A" w:rsidRPr="003E7AB6">
        <w:rPr>
          <w:color w:val="000000" w:themeColor="text1"/>
          <w:lang w:val="es-ES"/>
        </w:rPr>
        <w:t xml:space="preserve"> de la presente resolución</w:t>
      </w:r>
      <w:r w:rsidRPr="003E7AB6">
        <w:rPr>
          <w:color w:val="000000" w:themeColor="text1"/>
          <w:lang w:val="es-ES"/>
        </w:rPr>
        <w:t xml:space="preserve">. En este caso la no entrega </w:t>
      </w:r>
      <w:r w:rsidR="00442C90" w:rsidRPr="003E7AB6">
        <w:rPr>
          <w:color w:val="000000" w:themeColor="text1"/>
          <w:lang w:val="es-ES"/>
        </w:rPr>
        <w:t xml:space="preserve">o recibo </w:t>
      </w:r>
      <w:r w:rsidRPr="003E7AB6">
        <w:rPr>
          <w:color w:val="000000" w:themeColor="text1"/>
          <w:lang w:val="es-ES"/>
        </w:rPr>
        <w:t xml:space="preserve">del </w:t>
      </w:r>
      <w:r w:rsidR="00442C90" w:rsidRPr="003E7AB6">
        <w:rPr>
          <w:color w:val="000000" w:themeColor="text1"/>
          <w:lang w:val="es-ES"/>
        </w:rPr>
        <w:t>GLP,</w:t>
      </w:r>
      <w:r w:rsidRPr="003E7AB6">
        <w:rPr>
          <w:color w:val="000000" w:themeColor="text1"/>
          <w:lang w:val="es-ES"/>
        </w:rPr>
        <w:t xml:space="preserve"> debido a la</w:t>
      </w:r>
      <w:r w:rsidRPr="00DC07FC">
        <w:rPr>
          <w:color w:val="000000" w:themeColor="text1"/>
          <w:lang w:val="es-ES"/>
        </w:rPr>
        <w:t xml:space="preserve"> inexistencia del registro</w:t>
      </w:r>
      <w:r w:rsidR="00442C90" w:rsidRPr="00DC07FC">
        <w:rPr>
          <w:color w:val="000000" w:themeColor="text1"/>
          <w:lang w:val="es-ES"/>
        </w:rPr>
        <w:t>,</w:t>
      </w:r>
      <w:r w:rsidRPr="00DC07FC">
        <w:rPr>
          <w:color w:val="000000" w:themeColor="text1"/>
          <w:lang w:val="es-ES"/>
        </w:rPr>
        <w:t xml:space="preserve"> serán consideradas como eventos eximentes de responsabilidad para la otra parte.</w:t>
      </w:r>
    </w:p>
    <w:p w:rsidR="00CB7933" w:rsidRPr="00DC07FC" w:rsidRDefault="00CB7933" w:rsidP="004C1136">
      <w:pPr>
        <w:widowControl w:val="0"/>
        <w:ind w:left="357" w:hanging="357"/>
        <w:contextualSpacing/>
        <w:jc w:val="both"/>
        <w:rPr>
          <w:rFonts w:ascii="Bookman Old Style" w:hAnsi="Bookman Old Style" w:cs="Arial"/>
          <w:color w:val="000000" w:themeColor="text1"/>
        </w:rPr>
      </w:pPr>
    </w:p>
    <w:p w:rsidR="00CB7933" w:rsidRPr="00DC07FC" w:rsidRDefault="0096494C" w:rsidP="004C1136">
      <w:pPr>
        <w:widowControl w:val="0"/>
        <w:ind w:left="0"/>
        <w:contextualSpacing/>
        <w:jc w:val="both"/>
        <w:rPr>
          <w:rFonts w:ascii="Bookman Old Style" w:hAnsi="Bookman Old Style" w:cs="Arial"/>
          <w:b/>
          <w:color w:val="000000" w:themeColor="text1"/>
        </w:rPr>
      </w:pPr>
      <w:r w:rsidRPr="00DC07FC">
        <w:rPr>
          <w:rFonts w:ascii="Bookman Old Style" w:hAnsi="Bookman Old Style" w:cs="Arial"/>
          <w:b/>
          <w:color w:val="000000" w:themeColor="text1"/>
        </w:rPr>
        <w:t>PARÁGRAFO</w:t>
      </w:r>
      <w:r w:rsidR="00CB7933" w:rsidRPr="00DC07FC">
        <w:rPr>
          <w:rFonts w:ascii="Bookman Old Style" w:hAnsi="Bookman Old Style" w:cs="Arial"/>
          <w:b/>
          <w:color w:val="000000" w:themeColor="text1"/>
        </w:rPr>
        <w:t xml:space="preserve">. </w:t>
      </w:r>
      <w:r w:rsidR="00CB7933" w:rsidRPr="00DC07FC">
        <w:rPr>
          <w:rFonts w:ascii="Bookman Old Style" w:hAnsi="Bookman Old Style" w:cs="Arial"/>
          <w:color w:val="000000" w:themeColor="text1"/>
        </w:rPr>
        <w:t xml:space="preserve">La obligación de los compradores de pagar el servicio de suministro del </w:t>
      </w:r>
      <w:r w:rsidR="00442C90" w:rsidRPr="00DC07FC">
        <w:rPr>
          <w:rFonts w:ascii="Bookman Old Style" w:hAnsi="Bookman Old Style" w:cs="Arial"/>
          <w:color w:val="000000" w:themeColor="text1"/>
        </w:rPr>
        <w:t xml:space="preserve">GLP </w:t>
      </w:r>
      <w:r w:rsidR="00CB7933" w:rsidRPr="00DC07FC">
        <w:rPr>
          <w:rFonts w:ascii="Bookman Old Style" w:hAnsi="Bookman Old Style" w:cs="Arial"/>
          <w:color w:val="000000" w:themeColor="text1"/>
        </w:rPr>
        <w:t xml:space="preserve">contratado se suspenderá durante los eventos eximentes de responsabilidad. En caso de que no se afecte la capacidad total de suministro el comprador deberá pagar la cantidad que </w:t>
      </w:r>
      <w:r w:rsidR="00442C90" w:rsidRPr="00DC07FC">
        <w:rPr>
          <w:rFonts w:ascii="Bookman Old Style" w:hAnsi="Bookman Old Style" w:cs="Arial"/>
          <w:color w:val="000000" w:themeColor="text1"/>
        </w:rPr>
        <w:t>efectivamente le fue entregada.</w:t>
      </w:r>
    </w:p>
    <w:p w:rsidR="00CB7933" w:rsidRPr="00DC07FC" w:rsidRDefault="00CB7933" w:rsidP="004C1136">
      <w:pPr>
        <w:pStyle w:val="ARTICULOS"/>
        <w:contextualSpacing/>
        <w:rPr>
          <w:bCs w:val="0"/>
          <w:color w:val="000000" w:themeColor="text1"/>
          <w:lang w:val="es-ES"/>
        </w:rPr>
      </w:pPr>
    </w:p>
    <w:p w:rsidR="00CB7933" w:rsidRPr="00DC07FC" w:rsidRDefault="00442C90" w:rsidP="00D444D6">
      <w:pPr>
        <w:pStyle w:val="ARTICULOS"/>
        <w:numPr>
          <w:ilvl w:val="0"/>
          <w:numId w:val="2"/>
        </w:numPr>
        <w:tabs>
          <w:tab w:val="left" w:pos="1701"/>
        </w:tabs>
        <w:ind w:left="0" w:firstLine="0"/>
        <w:contextualSpacing/>
        <w:outlineLvl w:val="2"/>
        <w:rPr>
          <w:rFonts w:cs="Arial"/>
          <w:color w:val="000000" w:themeColor="text1"/>
        </w:rPr>
      </w:pPr>
      <w:bookmarkStart w:id="14" w:name="_Ref334521088"/>
      <w:r w:rsidRPr="00DC07FC">
        <w:rPr>
          <w:rFonts w:cs="Arial"/>
          <w:b/>
          <w:color w:val="000000" w:themeColor="text1"/>
        </w:rPr>
        <w:t>INCUMPLIMIENTO EN LAS CONDICIONES DE ENTREGA Y RECIBO DEL PRODUCTO.</w:t>
      </w:r>
      <w:r w:rsidR="00CB7933" w:rsidRPr="00DC07FC">
        <w:rPr>
          <w:rFonts w:cs="Arial"/>
          <w:b/>
          <w:color w:val="000000" w:themeColor="text1"/>
        </w:rPr>
        <w:t xml:space="preserve"> </w:t>
      </w:r>
      <w:r w:rsidR="00CB7933" w:rsidRPr="00DC07FC">
        <w:rPr>
          <w:rFonts w:cs="Arial"/>
          <w:color w:val="000000" w:themeColor="text1"/>
        </w:rPr>
        <w:t>Para efectos regulatorios se considera que se incumplen los contratos referidos en el</w:t>
      </w:r>
      <w:r w:rsidR="00C72255">
        <w:rPr>
          <w:rFonts w:cs="Arial"/>
          <w:color w:val="000000" w:themeColor="text1"/>
          <w:lang w:val="es-CO"/>
        </w:rPr>
        <w:t xml:space="preserve"> artículo 6</w:t>
      </w:r>
      <w:r w:rsidR="00CB7933" w:rsidRPr="00DC07FC">
        <w:rPr>
          <w:rFonts w:cs="Arial"/>
          <w:color w:val="000000" w:themeColor="text1"/>
        </w:rPr>
        <w:t xml:space="preserve"> de la presente </w:t>
      </w:r>
      <w:r w:rsidR="000F17D4" w:rsidRPr="00DC07FC">
        <w:rPr>
          <w:rFonts w:cs="Arial"/>
          <w:color w:val="000000" w:themeColor="text1"/>
        </w:rPr>
        <w:t>r</w:t>
      </w:r>
      <w:r w:rsidR="00CB7933" w:rsidRPr="00DC07FC">
        <w:rPr>
          <w:rFonts w:cs="Arial"/>
          <w:color w:val="000000" w:themeColor="text1"/>
        </w:rPr>
        <w:t>esolución en las siguientes situaciones:</w:t>
      </w:r>
      <w:bookmarkEnd w:id="14"/>
    </w:p>
    <w:p w:rsidR="00CB7933" w:rsidRPr="00DC07FC" w:rsidRDefault="00CB7933" w:rsidP="004C1136">
      <w:pPr>
        <w:pStyle w:val="ARTICULOS"/>
        <w:tabs>
          <w:tab w:val="left" w:pos="1560"/>
        </w:tabs>
        <w:contextualSpacing/>
        <w:rPr>
          <w:rFonts w:cs="Arial"/>
          <w:color w:val="000000" w:themeColor="text1"/>
          <w:lang w:val="es-ES"/>
        </w:rPr>
      </w:pPr>
    </w:p>
    <w:p w:rsidR="00CB7933" w:rsidRPr="00DC07FC" w:rsidRDefault="00CB7933" w:rsidP="00901EFF">
      <w:pPr>
        <w:pStyle w:val="ARTICULOS"/>
        <w:numPr>
          <w:ilvl w:val="1"/>
          <w:numId w:val="11"/>
        </w:numPr>
        <w:tabs>
          <w:tab w:val="left" w:pos="1560"/>
        </w:tabs>
        <w:contextualSpacing/>
        <w:rPr>
          <w:rFonts w:cs="Arial"/>
          <w:color w:val="000000" w:themeColor="text1"/>
          <w:lang w:val="es-ES"/>
        </w:rPr>
      </w:pPr>
      <w:r w:rsidRPr="00DC07FC">
        <w:rPr>
          <w:rFonts w:cs="Arial"/>
          <w:color w:val="000000" w:themeColor="text1"/>
          <w:lang w:val="es-ES"/>
        </w:rPr>
        <w:t>Se considera un incumplimiento en</w:t>
      </w:r>
      <w:r w:rsidR="00DF0803" w:rsidRPr="00DC07FC">
        <w:rPr>
          <w:rFonts w:cs="Arial"/>
          <w:color w:val="000000" w:themeColor="text1"/>
          <w:lang w:val="es-ES"/>
        </w:rPr>
        <w:t xml:space="preserve"> las condiciones de entrega del</w:t>
      </w:r>
      <w:r w:rsidRPr="00DC07FC">
        <w:rPr>
          <w:rFonts w:cs="Arial"/>
          <w:color w:val="000000" w:themeColor="text1"/>
          <w:lang w:val="es-ES"/>
        </w:rPr>
        <w:t xml:space="preserve"> producto, por parte del vendedor, la modificación de los </w:t>
      </w:r>
      <w:r w:rsidR="00D2131F" w:rsidRPr="00DC07FC">
        <w:rPr>
          <w:rFonts w:cs="Arial"/>
          <w:color w:val="000000" w:themeColor="text1"/>
          <w:lang w:val="es-ES"/>
        </w:rPr>
        <w:t xml:space="preserve">puntos </w:t>
      </w:r>
      <w:r w:rsidRPr="00DC07FC">
        <w:rPr>
          <w:rFonts w:cs="Arial"/>
          <w:color w:val="000000" w:themeColor="text1"/>
          <w:lang w:val="es-ES"/>
        </w:rPr>
        <w:t xml:space="preserve">de entrega pactados en el contrato, la </w:t>
      </w:r>
      <w:r w:rsidR="00581C2E" w:rsidRPr="00DC07FC">
        <w:rPr>
          <w:rFonts w:cs="Arial"/>
          <w:color w:val="000000" w:themeColor="text1"/>
          <w:lang w:val="es-ES"/>
        </w:rPr>
        <w:t xml:space="preserve">entrega de </w:t>
      </w:r>
      <w:r w:rsidRPr="00DC07FC">
        <w:rPr>
          <w:rFonts w:cs="Arial"/>
          <w:color w:val="000000" w:themeColor="text1"/>
          <w:lang w:val="es-ES"/>
        </w:rPr>
        <w:t xml:space="preserve">cantidades diferentes a las pactadas en el contrato </w:t>
      </w:r>
      <w:r w:rsidRPr="00FD0BA4">
        <w:rPr>
          <w:rFonts w:cs="Arial"/>
          <w:color w:val="000000" w:themeColor="text1"/>
          <w:lang w:val="es-ES"/>
        </w:rPr>
        <w:t>y el mayor tiempo de entrega con respecto al tiempo máximo pactado en el contrato, sea cual sea el origen de la causa de dichos incumplimientos, co</w:t>
      </w:r>
      <w:r w:rsidR="00DF0803" w:rsidRPr="00FD0BA4">
        <w:rPr>
          <w:rFonts w:cs="Arial"/>
          <w:color w:val="000000" w:themeColor="text1"/>
          <w:lang w:val="es-ES"/>
        </w:rPr>
        <w:t xml:space="preserve">n excepción de las situaciones </w:t>
      </w:r>
      <w:r w:rsidRPr="00FD0BA4">
        <w:rPr>
          <w:rFonts w:cs="Arial"/>
          <w:color w:val="000000" w:themeColor="text1"/>
          <w:lang w:val="es-ES"/>
        </w:rPr>
        <w:t>establecidas en el</w:t>
      </w:r>
      <w:r w:rsidR="00C72255">
        <w:rPr>
          <w:rFonts w:cs="Arial"/>
          <w:color w:val="000000" w:themeColor="text1"/>
          <w:lang w:val="es-ES"/>
        </w:rPr>
        <w:t xml:space="preserve"> </w:t>
      </w:r>
      <w:r w:rsidR="00C72255">
        <w:rPr>
          <w:rFonts w:cs="Arial"/>
          <w:color w:val="000000" w:themeColor="text1"/>
          <w:lang w:val="es-CO"/>
        </w:rPr>
        <w:t xml:space="preserve">artículo 8 y artículo 9 </w:t>
      </w:r>
      <w:r w:rsidRPr="00FD0BA4">
        <w:rPr>
          <w:rFonts w:cs="Arial"/>
          <w:color w:val="000000" w:themeColor="text1"/>
          <w:lang w:val="es-ES"/>
        </w:rPr>
        <w:t>de esta resolución. También se considera un incumplimiento</w:t>
      </w:r>
      <w:r w:rsidR="00C07D02" w:rsidRPr="00FD0BA4">
        <w:rPr>
          <w:rFonts w:cs="Arial"/>
          <w:color w:val="000000" w:themeColor="text1"/>
          <w:lang w:val="es-ES"/>
        </w:rPr>
        <w:t>,</w:t>
      </w:r>
      <w:r w:rsidRPr="00FD0BA4">
        <w:rPr>
          <w:rFonts w:cs="Arial"/>
          <w:color w:val="000000" w:themeColor="text1"/>
          <w:lang w:val="es-ES"/>
        </w:rPr>
        <w:t xml:space="preserve"> en las condiciones de</w:t>
      </w:r>
      <w:r w:rsidRPr="00DC07FC">
        <w:rPr>
          <w:rFonts w:cs="Arial"/>
          <w:color w:val="000000" w:themeColor="text1"/>
          <w:lang w:val="es-ES"/>
        </w:rPr>
        <w:t xml:space="preserve"> entrega del producto por parte del vendedor</w:t>
      </w:r>
      <w:r w:rsidR="00C07D02" w:rsidRPr="00DC07FC">
        <w:rPr>
          <w:rFonts w:cs="Arial"/>
          <w:color w:val="000000" w:themeColor="text1"/>
          <w:lang w:val="es-ES"/>
        </w:rPr>
        <w:t>,</w:t>
      </w:r>
      <w:r w:rsidRPr="00DC07FC">
        <w:rPr>
          <w:rFonts w:cs="Arial"/>
          <w:color w:val="000000" w:themeColor="text1"/>
          <w:lang w:val="es-ES"/>
        </w:rPr>
        <w:t xml:space="preserve"> la no entrega de los reportes de calidad y de caracterización del GLP suministrado, en las condiciones previstas en los </w:t>
      </w:r>
      <w:r w:rsidRPr="00FD0BA4">
        <w:rPr>
          <w:rFonts w:cs="Arial"/>
          <w:color w:val="000000" w:themeColor="text1"/>
          <w:lang w:val="es-ES"/>
        </w:rPr>
        <w:t xml:space="preserve">literales </w:t>
      </w:r>
      <w:r w:rsidR="00713814" w:rsidRPr="00FD0BA4">
        <w:rPr>
          <w:rFonts w:cs="Arial"/>
          <w:color w:val="000000" w:themeColor="text1"/>
          <w:lang w:val="es-ES"/>
        </w:rPr>
        <w:t>e</w:t>
      </w:r>
      <w:r w:rsidRPr="00FD0BA4">
        <w:rPr>
          <w:rFonts w:cs="Arial"/>
          <w:color w:val="000000" w:themeColor="text1"/>
          <w:lang w:val="es-ES"/>
        </w:rPr>
        <w:t xml:space="preserve"> y </w:t>
      </w:r>
      <w:r w:rsidR="00713814" w:rsidRPr="00FD0BA4">
        <w:rPr>
          <w:rFonts w:cs="Arial"/>
          <w:color w:val="000000" w:themeColor="text1"/>
          <w:lang w:val="es-ES"/>
        </w:rPr>
        <w:t>f</w:t>
      </w:r>
      <w:r w:rsidR="005268C8" w:rsidRPr="00FD0BA4">
        <w:rPr>
          <w:rFonts w:cs="Arial"/>
          <w:color w:val="000000" w:themeColor="text1"/>
          <w:lang w:val="es-ES"/>
        </w:rPr>
        <w:t>,</w:t>
      </w:r>
      <w:r w:rsidRPr="00FD0BA4">
        <w:rPr>
          <w:rFonts w:cs="Arial"/>
          <w:color w:val="000000" w:themeColor="text1"/>
          <w:lang w:val="es-ES"/>
        </w:rPr>
        <w:t xml:space="preserve"> del </w:t>
      </w:r>
      <w:r w:rsidR="005268C8" w:rsidRPr="00FD0BA4">
        <w:rPr>
          <w:rFonts w:cs="Arial"/>
          <w:color w:val="000000" w:themeColor="text1"/>
          <w:lang w:val="es-ES"/>
        </w:rPr>
        <w:t>numeral 3, del</w:t>
      </w:r>
      <w:r w:rsidR="00473C49">
        <w:rPr>
          <w:rFonts w:cs="Arial"/>
          <w:color w:val="000000" w:themeColor="text1"/>
          <w:lang w:val="es-ES"/>
        </w:rPr>
        <w:t xml:space="preserve"> </w:t>
      </w:r>
      <w:r w:rsidR="00473C49">
        <w:rPr>
          <w:rFonts w:cs="Arial"/>
          <w:color w:val="000000" w:themeColor="text1"/>
          <w:lang w:val="es-CO"/>
        </w:rPr>
        <w:t>artículo 14</w:t>
      </w:r>
      <w:r w:rsidR="00B208D8" w:rsidRPr="00FD0BA4">
        <w:rPr>
          <w:rFonts w:cs="Arial"/>
          <w:color w:val="000000" w:themeColor="text1"/>
          <w:lang w:val="es-ES"/>
        </w:rPr>
        <w:t xml:space="preserve"> </w:t>
      </w:r>
      <w:r w:rsidRPr="00FD0BA4">
        <w:rPr>
          <w:rFonts w:cs="Arial"/>
          <w:color w:val="000000" w:themeColor="text1"/>
          <w:lang w:val="es-ES"/>
        </w:rPr>
        <w:t>de esta resolución</w:t>
      </w:r>
      <w:r w:rsidRPr="00DC07FC">
        <w:rPr>
          <w:rFonts w:cs="Arial"/>
          <w:color w:val="000000" w:themeColor="text1"/>
          <w:lang w:val="es-ES"/>
        </w:rPr>
        <w:t>.</w:t>
      </w:r>
    </w:p>
    <w:p w:rsidR="00CB7933" w:rsidRPr="00DC07FC" w:rsidRDefault="00CB7933" w:rsidP="004C1136">
      <w:pPr>
        <w:pStyle w:val="ARTICULOS"/>
        <w:tabs>
          <w:tab w:val="left" w:pos="1560"/>
        </w:tabs>
        <w:contextualSpacing/>
        <w:rPr>
          <w:rFonts w:cs="Arial"/>
          <w:color w:val="000000" w:themeColor="text1"/>
          <w:lang w:val="es-ES"/>
        </w:rPr>
      </w:pPr>
    </w:p>
    <w:p w:rsidR="00CB7933" w:rsidRPr="00DC07FC" w:rsidRDefault="00CB7933" w:rsidP="00901EFF">
      <w:pPr>
        <w:pStyle w:val="ARTICULOS"/>
        <w:numPr>
          <w:ilvl w:val="1"/>
          <w:numId w:val="11"/>
        </w:numPr>
        <w:tabs>
          <w:tab w:val="left" w:pos="1560"/>
        </w:tabs>
        <w:contextualSpacing/>
        <w:rPr>
          <w:rFonts w:cs="Arial"/>
          <w:b/>
          <w:color w:val="000000" w:themeColor="text1"/>
          <w:lang w:val="es-ES"/>
        </w:rPr>
      </w:pPr>
      <w:r w:rsidRPr="00DC07FC">
        <w:rPr>
          <w:rFonts w:cs="Arial"/>
          <w:color w:val="000000" w:themeColor="text1"/>
          <w:lang w:val="es-ES"/>
        </w:rPr>
        <w:t>Se considera un incumplimiento e</w:t>
      </w:r>
      <w:r w:rsidR="00DF0803" w:rsidRPr="00DC07FC">
        <w:rPr>
          <w:rFonts w:cs="Arial"/>
          <w:color w:val="000000" w:themeColor="text1"/>
          <w:lang w:val="es-ES"/>
        </w:rPr>
        <w:t>n las condiciones de recibo del</w:t>
      </w:r>
      <w:r w:rsidRPr="00DC07FC">
        <w:rPr>
          <w:rFonts w:cs="Arial"/>
          <w:color w:val="000000" w:themeColor="text1"/>
          <w:lang w:val="es-ES"/>
        </w:rPr>
        <w:t xml:space="preserve"> producto, por parte del comprador, el no recibo del producto en los tiempos máximos pactados en el contrato o el recibo </w:t>
      </w:r>
      <w:r w:rsidR="00581C2E" w:rsidRPr="00DC07FC">
        <w:rPr>
          <w:rFonts w:cs="Arial"/>
          <w:color w:val="000000" w:themeColor="text1"/>
          <w:lang w:val="es-ES"/>
        </w:rPr>
        <w:t xml:space="preserve">de </w:t>
      </w:r>
      <w:r w:rsidRPr="00DC07FC">
        <w:rPr>
          <w:rFonts w:cs="Arial"/>
          <w:color w:val="000000" w:themeColor="text1"/>
          <w:lang w:val="es-ES"/>
        </w:rPr>
        <w:t xml:space="preserve">cantidades diferentes a las </w:t>
      </w:r>
      <w:r w:rsidR="002C7D6F" w:rsidRPr="00DC07FC">
        <w:rPr>
          <w:rFonts w:cs="Arial"/>
          <w:color w:val="000000" w:themeColor="text1"/>
          <w:lang w:val="es-ES"/>
        </w:rPr>
        <w:t xml:space="preserve">cantidades firmes </w:t>
      </w:r>
      <w:r w:rsidRPr="00DC07FC">
        <w:rPr>
          <w:rFonts w:cs="Arial"/>
          <w:color w:val="000000" w:themeColor="text1"/>
          <w:lang w:val="es-ES"/>
        </w:rPr>
        <w:t>pactadas en el contrato, sea cual s</w:t>
      </w:r>
      <w:r w:rsidR="00DF0803" w:rsidRPr="00DC07FC">
        <w:rPr>
          <w:rFonts w:cs="Arial"/>
          <w:color w:val="000000" w:themeColor="text1"/>
          <w:lang w:val="es-ES"/>
        </w:rPr>
        <w:t>ea el origen de la causa de ese</w:t>
      </w:r>
      <w:r w:rsidRPr="00DC07FC">
        <w:rPr>
          <w:rFonts w:cs="Arial"/>
          <w:color w:val="000000" w:themeColor="text1"/>
          <w:lang w:val="es-ES"/>
        </w:rPr>
        <w:t xml:space="preserve"> incumplimiento, con </w:t>
      </w:r>
      <w:r w:rsidRPr="00FD0BA4">
        <w:rPr>
          <w:rFonts w:cs="Arial"/>
          <w:color w:val="000000" w:themeColor="text1"/>
          <w:lang w:val="es-ES"/>
        </w:rPr>
        <w:t>excepción de las situaciones establecidas en l</w:t>
      </w:r>
      <w:r w:rsidR="00535182">
        <w:rPr>
          <w:rFonts w:cs="Arial"/>
          <w:color w:val="000000" w:themeColor="text1"/>
          <w:lang w:val="es-ES"/>
        </w:rPr>
        <w:t>os</w:t>
      </w:r>
      <w:r w:rsidR="00473C49">
        <w:rPr>
          <w:rFonts w:cs="Arial"/>
          <w:color w:val="000000" w:themeColor="text1"/>
          <w:lang w:val="es-ES"/>
        </w:rPr>
        <w:t xml:space="preserve"> </w:t>
      </w:r>
      <w:r w:rsidR="00473C49">
        <w:rPr>
          <w:rFonts w:cs="Arial"/>
          <w:color w:val="000000" w:themeColor="text1"/>
          <w:lang w:val="es-CO"/>
        </w:rPr>
        <w:t>artículo</w:t>
      </w:r>
      <w:r w:rsidR="00535182">
        <w:rPr>
          <w:rFonts w:cs="Arial"/>
          <w:color w:val="000000" w:themeColor="text1"/>
          <w:lang w:val="es-CO"/>
        </w:rPr>
        <w:t>s</w:t>
      </w:r>
      <w:r w:rsidR="00473C49">
        <w:rPr>
          <w:rFonts w:cs="Arial"/>
          <w:color w:val="000000" w:themeColor="text1"/>
          <w:lang w:val="es-CO"/>
        </w:rPr>
        <w:t xml:space="preserve"> 8 y 9 </w:t>
      </w:r>
      <w:r w:rsidR="002C7D6F" w:rsidRPr="00FD0BA4">
        <w:rPr>
          <w:rFonts w:cs="Arial"/>
          <w:color w:val="000000" w:themeColor="text1"/>
          <w:lang w:val="es-ES"/>
        </w:rPr>
        <w:t>de esta</w:t>
      </w:r>
      <w:r w:rsidR="002C7D6F" w:rsidRPr="00DC07FC">
        <w:rPr>
          <w:rFonts w:cs="Arial"/>
          <w:color w:val="000000" w:themeColor="text1"/>
          <w:lang w:val="es-ES"/>
        </w:rPr>
        <w:t xml:space="preserve"> resolución</w:t>
      </w:r>
      <w:r w:rsidRPr="00DC07FC">
        <w:rPr>
          <w:rFonts w:cs="Arial"/>
          <w:color w:val="000000" w:themeColor="text1"/>
          <w:lang w:val="es-ES"/>
        </w:rPr>
        <w:t>.</w:t>
      </w:r>
    </w:p>
    <w:p w:rsidR="00CB7933" w:rsidRPr="00DC07FC" w:rsidRDefault="00CB7933" w:rsidP="0096494C">
      <w:pPr>
        <w:pStyle w:val="ARTICULOS"/>
        <w:tabs>
          <w:tab w:val="left" w:pos="1560"/>
        </w:tabs>
        <w:contextualSpacing/>
        <w:rPr>
          <w:rFonts w:cs="Arial"/>
          <w:color w:val="000000" w:themeColor="text1"/>
          <w:lang w:val="es-ES"/>
        </w:rPr>
      </w:pPr>
    </w:p>
    <w:p w:rsidR="00CB7933" w:rsidRPr="00DC07FC" w:rsidRDefault="00F91858" w:rsidP="00D444D6">
      <w:pPr>
        <w:pStyle w:val="ARTICULOS"/>
        <w:numPr>
          <w:ilvl w:val="0"/>
          <w:numId w:val="2"/>
        </w:numPr>
        <w:tabs>
          <w:tab w:val="left" w:pos="1701"/>
        </w:tabs>
        <w:ind w:left="0" w:firstLine="0"/>
        <w:contextualSpacing/>
        <w:outlineLvl w:val="2"/>
        <w:rPr>
          <w:rFonts w:cs="Arial"/>
          <w:color w:val="000000" w:themeColor="text1"/>
        </w:rPr>
      </w:pPr>
      <w:bookmarkStart w:id="15" w:name="_Ref441154559"/>
      <w:r w:rsidRPr="00DC07FC">
        <w:rPr>
          <w:rFonts w:cs="Arial"/>
          <w:b/>
          <w:color w:val="000000" w:themeColor="text1"/>
        </w:rPr>
        <w:t>COMPENSACIÓN POR INCUMPLIMIENTO EN LAS CONDICIONES DE ENTREGA DEL PRODUCTO.</w:t>
      </w:r>
      <w:r w:rsidR="00CB7933" w:rsidRPr="00DC07FC">
        <w:rPr>
          <w:rFonts w:cs="Arial"/>
          <w:b/>
          <w:color w:val="000000" w:themeColor="text1"/>
        </w:rPr>
        <w:t xml:space="preserve"> </w:t>
      </w:r>
      <w:r w:rsidR="00CB7933" w:rsidRPr="00DC07FC">
        <w:rPr>
          <w:rFonts w:cs="Arial"/>
          <w:color w:val="000000" w:themeColor="text1"/>
        </w:rPr>
        <w:t>El vendedor que incumpla las condiciones de ent</w:t>
      </w:r>
      <w:r w:rsidR="00CB7933" w:rsidRPr="00FD0BA4">
        <w:rPr>
          <w:rFonts w:cs="Arial"/>
          <w:color w:val="000000" w:themeColor="text1"/>
        </w:rPr>
        <w:t>rega del producto, de acuerdo con lo establecido en el</w:t>
      </w:r>
      <w:r w:rsidR="00674FDA">
        <w:rPr>
          <w:rFonts w:cs="Arial"/>
          <w:color w:val="000000" w:themeColor="text1"/>
          <w:lang w:val="es-CO"/>
        </w:rPr>
        <w:t xml:space="preserve"> artículo 10 </w:t>
      </w:r>
      <w:r w:rsidR="00CB7933" w:rsidRPr="00FD0BA4">
        <w:rPr>
          <w:rFonts w:cs="Arial"/>
          <w:color w:val="000000" w:themeColor="text1"/>
        </w:rPr>
        <w:t>de esta resolución, deberá compensar al comprador en alguna de las siguientes formas.</w:t>
      </w:r>
      <w:bookmarkEnd w:id="15"/>
    </w:p>
    <w:p w:rsidR="00CB7933" w:rsidRPr="00DC07FC" w:rsidRDefault="00CB7933" w:rsidP="004C1136">
      <w:pPr>
        <w:ind w:left="0"/>
        <w:contextualSpacing/>
        <w:jc w:val="both"/>
        <w:rPr>
          <w:rFonts w:ascii="Bookman Old Style" w:hAnsi="Bookman Old Style" w:cs="Arial"/>
        </w:rPr>
      </w:pPr>
    </w:p>
    <w:p w:rsidR="00CB7933" w:rsidRPr="00DC07FC" w:rsidRDefault="00CB7933" w:rsidP="00901EFF">
      <w:pPr>
        <w:pStyle w:val="Prrafodelista"/>
        <w:numPr>
          <w:ilvl w:val="1"/>
          <w:numId w:val="12"/>
        </w:numPr>
        <w:ind w:left="426" w:hanging="426"/>
        <w:contextualSpacing/>
        <w:jc w:val="both"/>
        <w:rPr>
          <w:rFonts w:ascii="Bookman Old Style" w:hAnsi="Bookman Old Style" w:cs="Arial"/>
          <w:sz w:val="24"/>
          <w:szCs w:val="24"/>
        </w:rPr>
      </w:pPr>
      <w:r w:rsidRPr="00DC07FC">
        <w:rPr>
          <w:rFonts w:ascii="Bookman Old Style" w:hAnsi="Bookman Old Style" w:cs="Arial"/>
          <w:sz w:val="24"/>
          <w:szCs w:val="24"/>
        </w:rPr>
        <w:t xml:space="preserve">Compensación por demora en la entrega: </w:t>
      </w:r>
      <w:r w:rsidR="00155C4F" w:rsidRPr="00DC07FC">
        <w:rPr>
          <w:rFonts w:ascii="Bookman Old Style" w:hAnsi="Bookman Old Style" w:cs="Arial"/>
          <w:sz w:val="24"/>
          <w:szCs w:val="24"/>
        </w:rPr>
        <w:t>P</w:t>
      </w:r>
      <w:r w:rsidRPr="00DC07FC">
        <w:rPr>
          <w:rFonts w:ascii="Bookman Old Style" w:hAnsi="Bookman Old Style" w:cs="Arial"/>
          <w:sz w:val="24"/>
          <w:szCs w:val="24"/>
        </w:rPr>
        <w:t>agar al comprador la tarifa diaria de almacenamiento pactada</w:t>
      </w:r>
      <w:r w:rsidR="00DB1986" w:rsidRPr="00DC07FC">
        <w:rPr>
          <w:rFonts w:ascii="Bookman Old Style" w:hAnsi="Bookman Old Style" w:cs="Arial"/>
          <w:sz w:val="24"/>
          <w:szCs w:val="24"/>
        </w:rPr>
        <w:t xml:space="preserve"> para estos efectos,</w:t>
      </w:r>
      <w:r w:rsidRPr="00DC07FC">
        <w:rPr>
          <w:rFonts w:ascii="Bookman Old Style" w:hAnsi="Bookman Old Style" w:cs="Arial"/>
          <w:sz w:val="24"/>
          <w:szCs w:val="24"/>
        </w:rPr>
        <w:t xml:space="preserve"> por cada </w:t>
      </w:r>
      <w:r w:rsidR="00A554B1" w:rsidRPr="00DC07FC">
        <w:rPr>
          <w:rFonts w:ascii="Bookman Old Style" w:hAnsi="Bookman Old Style" w:cs="Arial"/>
          <w:sz w:val="24"/>
          <w:szCs w:val="24"/>
        </w:rPr>
        <w:t xml:space="preserve">KG </w:t>
      </w:r>
      <w:r w:rsidRPr="00DC07FC">
        <w:rPr>
          <w:rFonts w:ascii="Bookman Old Style" w:hAnsi="Bookman Old Style" w:cs="Arial"/>
          <w:sz w:val="24"/>
          <w:szCs w:val="24"/>
        </w:rPr>
        <w:t xml:space="preserve">de GLP no entregado y por cada día de </w:t>
      </w:r>
      <w:r w:rsidR="004A6E4B" w:rsidRPr="00DC07FC">
        <w:rPr>
          <w:rFonts w:ascii="Bookman Old Style" w:hAnsi="Bookman Old Style" w:cs="Arial"/>
          <w:sz w:val="24"/>
          <w:szCs w:val="24"/>
        </w:rPr>
        <w:t xml:space="preserve">demora en la </w:t>
      </w:r>
      <w:r w:rsidRPr="00DC07FC">
        <w:rPr>
          <w:rFonts w:ascii="Bookman Old Style" w:hAnsi="Bookman Old Style" w:cs="Arial"/>
          <w:sz w:val="24"/>
          <w:szCs w:val="24"/>
        </w:rPr>
        <w:t>entrega</w:t>
      </w:r>
      <w:r w:rsidR="00DB1986" w:rsidRPr="00DC07FC">
        <w:rPr>
          <w:rFonts w:ascii="Bookman Old Style" w:hAnsi="Bookman Old Style" w:cs="Arial"/>
          <w:sz w:val="24"/>
          <w:szCs w:val="24"/>
        </w:rPr>
        <w:t>,</w:t>
      </w:r>
      <w:r w:rsidRPr="00DC07FC">
        <w:rPr>
          <w:rFonts w:ascii="Bookman Old Style" w:hAnsi="Bookman Old Style" w:cs="Arial"/>
          <w:sz w:val="24"/>
          <w:szCs w:val="24"/>
        </w:rPr>
        <w:t xml:space="preserve"> desde la fecha en que se genera el incumplimiento</w:t>
      </w:r>
      <w:r w:rsidR="00DB1986" w:rsidRPr="00DC07FC">
        <w:rPr>
          <w:rFonts w:ascii="Bookman Old Style" w:hAnsi="Bookman Old Style" w:cs="Arial"/>
          <w:sz w:val="24"/>
          <w:szCs w:val="24"/>
        </w:rPr>
        <w:t>,</w:t>
      </w:r>
      <w:r w:rsidRPr="00DC07FC">
        <w:rPr>
          <w:rFonts w:ascii="Bookman Old Style" w:hAnsi="Bookman Old Style" w:cs="Arial"/>
          <w:sz w:val="24"/>
          <w:szCs w:val="24"/>
        </w:rPr>
        <w:t xml:space="preserve"> hasta la fecha real de entrega. Esta compensación solo podrá darse si el vendedor informa</w:t>
      </w:r>
      <w:r w:rsidR="00155C4F" w:rsidRPr="00DC07FC">
        <w:rPr>
          <w:rFonts w:ascii="Bookman Old Style" w:hAnsi="Bookman Old Style" w:cs="Arial"/>
          <w:sz w:val="24"/>
          <w:szCs w:val="24"/>
        </w:rPr>
        <w:t>,</w:t>
      </w:r>
      <w:r w:rsidRPr="00DC07FC">
        <w:rPr>
          <w:rFonts w:ascii="Bookman Old Style" w:hAnsi="Bookman Old Style" w:cs="Arial"/>
          <w:sz w:val="24"/>
          <w:szCs w:val="24"/>
        </w:rPr>
        <w:t xml:space="preserve"> </w:t>
      </w:r>
      <w:r w:rsidR="002C29C6" w:rsidRPr="00DC07FC">
        <w:rPr>
          <w:rFonts w:ascii="Bookman Old Style" w:hAnsi="Bookman Old Style" w:cs="Arial"/>
          <w:sz w:val="24"/>
          <w:szCs w:val="24"/>
        </w:rPr>
        <w:t>dentro de las veinticuatro (24) horas siguientes al incumplimiento</w:t>
      </w:r>
      <w:r w:rsidR="00155C4F" w:rsidRPr="00DC07FC">
        <w:rPr>
          <w:rFonts w:ascii="Bookman Old Style" w:hAnsi="Bookman Old Style" w:cs="Arial"/>
          <w:sz w:val="24"/>
          <w:szCs w:val="24"/>
        </w:rPr>
        <w:t>,</w:t>
      </w:r>
      <w:r w:rsidR="002C29C6" w:rsidRPr="00DC07FC">
        <w:rPr>
          <w:rFonts w:ascii="Bookman Old Style" w:hAnsi="Bookman Old Style" w:cs="Arial"/>
          <w:sz w:val="24"/>
          <w:szCs w:val="24"/>
        </w:rPr>
        <w:t xml:space="preserve"> </w:t>
      </w:r>
      <w:r w:rsidRPr="00DC07FC">
        <w:rPr>
          <w:rFonts w:ascii="Bookman Old Style" w:hAnsi="Bookman Old Style" w:cs="Arial"/>
          <w:sz w:val="24"/>
          <w:szCs w:val="24"/>
        </w:rPr>
        <w:t>el tiempo en el cual podrá entregar la cantidad de GLP incumplida.</w:t>
      </w:r>
    </w:p>
    <w:p w:rsidR="00CB7933" w:rsidRPr="00DC07FC" w:rsidRDefault="00CB7933" w:rsidP="004C1136">
      <w:pPr>
        <w:pStyle w:val="Prrafodelista"/>
        <w:ind w:left="426"/>
        <w:contextualSpacing/>
        <w:jc w:val="both"/>
        <w:rPr>
          <w:rFonts w:ascii="Bookman Old Style" w:hAnsi="Bookman Old Style" w:cs="Arial"/>
          <w:sz w:val="24"/>
          <w:szCs w:val="24"/>
        </w:rPr>
      </w:pPr>
    </w:p>
    <w:p w:rsidR="00CB7933" w:rsidRPr="00DC07FC" w:rsidRDefault="00CB7933" w:rsidP="00901EFF">
      <w:pPr>
        <w:pStyle w:val="Prrafodelista"/>
        <w:numPr>
          <w:ilvl w:val="1"/>
          <w:numId w:val="12"/>
        </w:numPr>
        <w:ind w:left="426" w:hanging="426"/>
        <w:contextualSpacing/>
        <w:jc w:val="both"/>
        <w:rPr>
          <w:rFonts w:ascii="Bookman Old Style" w:hAnsi="Bookman Old Style" w:cs="Arial"/>
          <w:sz w:val="24"/>
          <w:szCs w:val="24"/>
        </w:rPr>
      </w:pPr>
      <w:r w:rsidRPr="00DC07FC">
        <w:rPr>
          <w:rFonts w:ascii="Bookman Old Style" w:hAnsi="Bookman Old Style" w:cs="Arial"/>
          <w:sz w:val="24"/>
          <w:szCs w:val="24"/>
        </w:rPr>
        <w:lastRenderedPageBreak/>
        <w:t xml:space="preserve">Compensación por </w:t>
      </w:r>
      <w:r w:rsidR="00791D5C" w:rsidRPr="00DC07FC">
        <w:rPr>
          <w:rFonts w:ascii="Bookman Old Style" w:hAnsi="Bookman Old Style" w:cs="Arial"/>
          <w:sz w:val="24"/>
          <w:szCs w:val="24"/>
        </w:rPr>
        <w:t>no</w:t>
      </w:r>
      <w:r w:rsidRPr="00DC07FC">
        <w:rPr>
          <w:rFonts w:ascii="Bookman Old Style" w:hAnsi="Bookman Old Style" w:cs="Arial"/>
          <w:sz w:val="24"/>
          <w:szCs w:val="24"/>
        </w:rPr>
        <w:t xml:space="preserve"> entrega: Pagar al comprador la cantidad de GLP no entregad</w:t>
      </w:r>
      <w:r w:rsidR="00277C87" w:rsidRPr="00DC07FC">
        <w:rPr>
          <w:rFonts w:ascii="Bookman Old Style" w:hAnsi="Bookman Old Style" w:cs="Arial"/>
          <w:sz w:val="24"/>
          <w:szCs w:val="24"/>
        </w:rPr>
        <w:t>a</w:t>
      </w:r>
      <w:r w:rsidRPr="00DC07FC">
        <w:rPr>
          <w:rFonts w:ascii="Bookman Old Style" w:hAnsi="Bookman Old Style" w:cs="Arial"/>
          <w:sz w:val="24"/>
          <w:szCs w:val="24"/>
        </w:rPr>
        <w:t>, medid</w:t>
      </w:r>
      <w:r w:rsidR="00277C87" w:rsidRPr="00DC07FC">
        <w:rPr>
          <w:rFonts w:ascii="Bookman Old Style" w:hAnsi="Bookman Old Style" w:cs="Arial"/>
          <w:sz w:val="24"/>
          <w:szCs w:val="24"/>
        </w:rPr>
        <w:t>a</w:t>
      </w:r>
      <w:r w:rsidRPr="00DC07FC">
        <w:rPr>
          <w:rFonts w:ascii="Bookman Old Style" w:hAnsi="Bookman Old Style" w:cs="Arial"/>
          <w:sz w:val="24"/>
          <w:szCs w:val="24"/>
        </w:rPr>
        <w:t xml:space="preserve"> en función de las cantidades diarias incumplidas y los tiempos máximos de entrega pactados, </w:t>
      </w:r>
      <w:r w:rsidR="00155C4F" w:rsidRPr="00DC07FC">
        <w:rPr>
          <w:rFonts w:ascii="Bookman Old Style" w:hAnsi="Bookman Old Style" w:cs="Arial"/>
          <w:sz w:val="24"/>
          <w:szCs w:val="24"/>
        </w:rPr>
        <w:t>valorad</w:t>
      </w:r>
      <w:r w:rsidR="00277C87" w:rsidRPr="00DC07FC">
        <w:rPr>
          <w:rFonts w:ascii="Bookman Old Style" w:hAnsi="Bookman Old Style" w:cs="Arial"/>
          <w:sz w:val="24"/>
          <w:szCs w:val="24"/>
        </w:rPr>
        <w:t>a</w:t>
      </w:r>
      <w:r w:rsidR="00155C4F" w:rsidRPr="00DC07FC">
        <w:rPr>
          <w:rFonts w:ascii="Bookman Old Style" w:hAnsi="Bookman Old Style" w:cs="Arial"/>
          <w:sz w:val="24"/>
          <w:szCs w:val="24"/>
        </w:rPr>
        <w:t xml:space="preserve"> al precio del contrato.</w:t>
      </w:r>
      <w:r w:rsidR="00256CE6" w:rsidRPr="00DC07FC">
        <w:rPr>
          <w:rFonts w:ascii="Bookman Old Style" w:hAnsi="Bookman Old Style" w:cs="Arial"/>
          <w:sz w:val="24"/>
          <w:szCs w:val="24"/>
        </w:rPr>
        <w:t xml:space="preserve"> En caso de que la no entrega del producto le genere al comprador incumplimiento en el contrato de transporte por ductos, además se deberá reconocer el valor del transporte por la cantidad de GLP incumplida.</w:t>
      </w:r>
    </w:p>
    <w:p w:rsidR="00CB7933" w:rsidRPr="00DC07FC" w:rsidRDefault="00CB7933" w:rsidP="004C1136">
      <w:pPr>
        <w:ind w:left="0"/>
        <w:contextualSpacing/>
        <w:jc w:val="both"/>
        <w:rPr>
          <w:rFonts w:ascii="Bookman Old Style" w:hAnsi="Bookman Old Style" w:cs="Arial"/>
          <w:lang w:val="es-CO"/>
        </w:rPr>
      </w:pPr>
    </w:p>
    <w:p w:rsidR="00CB7933" w:rsidRPr="00DC07FC" w:rsidRDefault="00EB568F" w:rsidP="004C1136">
      <w:pPr>
        <w:ind w:left="0"/>
        <w:contextualSpacing/>
        <w:jc w:val="both"/>
        <w:rPr>
          <w:rFonts w:ascii="Bookman Old Style" w:hAnsi="Bookman Old Style" w:cs="Arial"/>
        </w:rPr>
      </w:pPr>
      <w:r w:rsidRPr="00DC07FC">
        <w:rPr>
          <w:rFonts w:ascii="Bookman Old Style" w:hAnsi="Bookman Old Style" w:cs="Arial"/>
          <w:b/>
        </w:rPr>
        <w:t>PARÁGRAFO 1.</w:t>
      </w:r>
      <w:r w:rsidR="00CB7933" w:rsidRPr="00DC07FC">
        <w:rPr>
          <w:rFonts w:ascii="Bookman Old Style" w:hAnsi="Bookman Old Style" w:cs="Arial"/>
        </w:rPr>
        <w:t xml:space="preserve"> Corresponderá al comprador, de manera voluntaria, escoger la compensación más conven</w:t>
      </w:r>
      <w:r w:rsidR="00256CE6" w:rsidRPr="00DC07FC">
        <w:rPr>
          <w:rFonts w:ascii="Bookman Old Style" w:hAnsi="Bookman Old Style" w:cs="Arial"/>
        </w:rPr>
        <w:t>iente para su situación.</w:t>
      </w:r>
      <w:r w:rsidR="00CB7933" w:rsidRPr="00DC07FC">
        <w:rPr>
          <w:rFonts w:ascii="Bookman Old Style" w:hAnsi="Bookman Old Style" w:cs="Arial"/>
        </w:rPr>
        <w:t xml:space="preserve"> Si escogida la opción de compensación por la demora en la entrega, el vendedor vuelve a incumplir la entrega en la nueva fecha pactada, además de la compensación por demora</w:t>
      </w:r>
      <w:r w:rsidR="00256CE6" w:rsidRPr="00DC07FC">
        <w:rPr>
          <w:rFonts w:ascii="Bookman Old Style" w:hAnsi="Bookman Old Style" w:cs="Arial"/>
        </w:rPr>
        <w:t>,</w:t>
      </w:r>
      <w:r w:rsidR="00CB7933" w:rsidRPr="00DC07FC">
        <w:rPr>
          <w:rFonts w:ascii="Bookman Old Style" w:hAnsi="Bookman Old Style" w:cs="Arial"/>
        </w:rPr>
        <w:t xml:space="preserve"> deberá de manera inmediata aplicar la compensación por no</w:t>
      </w:r>
      <w:r w:rsidR="00256CE6" w:rsidRPr="00DC07FC">
        <w:rPr>
          <w:rFonts w:ascii="Bookman Old Style" w:hAnsi="Bookman Old Style" w:cs="Arial"/>
        </w:rPr>
        <w:t xml:space="preserve"> entrega del producto.</w:t>
      </w:r>
    </w:p>
    <w:p w:rsidR="00CB7933" w:rsidRPr="00DC07FC" w:rsidRDefault="00CB7933" w:rsidP="004C1136">
      <w:pPr>
        <w:ind w:left="0"/>
        <w:contextualSpacing/>
        <w:jc w:val="both"/>
        <w:rPr>
          <w:rFonts w:ascii="Bookman Old Style" w:hAnsi="Bookman Old Style" w:cs="Arial"/>
        </w:rPr>
      </w:pPr>
    </w:p>
    <w:p w:rsidR="00CB7933" w:rsidRPr="00DC07FC" w:rsidRDefault="006F0EA3" w:rsidP="004C1136">
      <w:pPr>
        <w:ind w:left="0"/>
        <w:contextualSpacing/>
        <w:jc w:val="both"/>
        <w:rPr>
          <w:rFonts w:ascii="Bookman Old Style" w:hAnsi="Bookman Old Style" w:cs="Arial"/>
        </w:rPr>
      </w:pPr>
      <w:r w:rsidRPr="00DC07FC">
        <w:rPr>
          <w:rFonts w:ascii="Bookman Old Style" w:hAnsi="Bookman Old Style" w:cs="Arial"/>
          <w:b/>
        </w:rPr>
        <w:t xml:space="preserve">PARÁGRAFO </w:t>
      </w:r>
      <w:r w:rsidR="00CB7933" w:rsidRPr="00DC07FC">
        <w:rPr>
          <w:rFonts w:ascii="Bookman Old Style" w:hAnsi="Bookman Old Style" w:cs="Arial"/>
          <w:b/>
        </w:rPr>
        <w:t>2.</w:t>
      </w:r>
      <w:r w:rsidR="00CB7933" w:rsidRPr="00DC07FC">
        <w:rPr>
          <w:rFonts w:ascii="Bookman Old Style" w:hAnsi="Bookman Old Style" w:cs="Arial"/>
        </w:rPr>
        <w:t xml:space="preserve"> Para el caso de</w:t>
      </w:r>
      <w:r w:rsidR="00206EF4" w:rsidRPr="00DC07FC">
        <w:rPr>
          <w:rFonts w:ascii="Bookman Old Style" w:hAnsi="Bookman Old Style" w:cs="Arial"/>
        </w:rPr>
        <w:t xml:space="preserve"> los contratos de suministro resultantes de la subasta de GLP, los comercializadores de oferta </w:t>
      </w:r>
      <w:r w:rsidR="00CB7933" w:rsidRPr="00DC07FC">
        <w:rPr>
          <w:rFonts w:ascii="Bookman Old Style" w:hAnsi="Bookman Old Style" w:cs="Arial"/>
        </w:rPr>
        <w:t>debe</w:t>
      </w:r>
      <w:r w:rsidR="00206EF4" w:rsidRPr="00DC07FC">
        <w:rPr>
          <w:rFonts w:ascii="Bookman Old Style" w:hAnsi="Bookman Old Style" w:cs="Arial"/>
        </w:rPr>
        <w:t xml:space="preserve">rán incluir dentro de su contrato proforma </w:t>
      </w:r>
      <w:r w:rsidR="00CB7933" w:rsidRPr="00DC07FC">
        <w:rPr>
          <w:rFonts w:ascii="Bookman Old Style" w:hAnsi="Bookman Old Style" w:cs="Arial"/>
        </w:rPr>
        <w:t xml:space="preserve">la tarifa diaria de almacenamiento </w:t>
      </w:r>
      <w:r w:rsidR="00206EF4" w:rsidRPr="00DC07FC">
        <w:rPr>
          <w:rFonts w:ascii="Bookman Old Style" w:hAnsi="Bookman Old Style" w:cs="Arial"/>
        </w:rPr>
        <w:t xml:space="preserve">por </w:t>
      </w:r>
      <w:r w:rsidR="00A554B1" w:rsidRPr="00DC07FC">
        <w:rPr>
          <w:rFonts w:ascii="Bookman Old Style" w:hAnsi="Bookman Old Style" w:cs="Arial"/>
        </w:rPr>
        <w:t xml:space="preserve">KG </w:t>
      </w:r>
      <w:r w:rsidR="00CB7933" w:rsidRPr="00DC07FC">
        <w:rPr>
          <w:rFonts w:ascii="Bookman Old Style" w:hAnsi="Bookman Old Style" w:cs="Arial"/>
        </w:rPr>
        <w:t xml:space="preserve">que </w:t>
      </w:r>
      <w:r w:rsidR="00206EF4" w:rsidRPr="00DC07FC">
        <w:rPr>
          <w:rFonts w:ascii="Bookman Old Style" w:hAnsi="Bookman Old Style" w:cs="Arial"/>
        </w:rPr>
        <w:t xml:space="preserve">se </w:t>
      </w:r>
      <w:r w:rsidR="00CB7933" w:rsidRPr="00DC07FC">
        <w:rPr>
          <w:rFonts w:ascii="Bookman Old Style" w:hAnsi="Bookman Old Style" w:cs="Arial"/>
        </w:rPr>
        <w:t>aplicará para estos efectos.</w:t>
      </w:r>
      <w:r w:rsidR="00E2167A" w:rsidRPr="00DC07FC">
        <w:rPr>
          <w:rFonts w:ascii="Bookman Old Style" w:hAnsi="Bookman Old Style" w:cs="Arial"/>
        </w:rPr>
        <w:t xml:space="preserve"> Para el caso de los contratos de suministro del mercado secundario, los comercializadores de oferta o los comercializadores de demanda que actúen como vendedores deberán anunciar</w:t>
      </w:r>
      <w:r w:rsidR="004A6E4B" w:rsidRPr="00DC07FC">
        <w:rPr>
          <w:rFonts w:ascii="Bookman Old Style" w:hAnsi="Bookman Old Style" w:cs="Arial"/>
        </w:rPr>
        <w:t>, de manera conjunta con su oferta,</w:t>
      </w:r>
      <w:r w:rsidR="001B2221" w:rsidRPr="00DC07FC">
        <w:rPr>
          <w:rFonts w:ascii="Bookman Old Style" w:hAnsi="Bookman Old Style" w:cs="Arial"/>
        </w:rPr>
        <w:t xml:space="preserve"> </w:t>
      </w:r>
      <w:r w:rsidR="00E2167A" w:rsidRPr="00DC07FC">
        <w:rPr>
          <w:rFonts w:ascii="Bookman Old Style" w:hAnsi="Bookman Old Style" w:cs="Arial"/>
        </w:rPr>
        <w:t xml:space="preserve">la tarifa diaria de almacenamiento por </w:t>
      </w:r>
      <w:r w:rsidR="00A554B1" w:rsidRPr="00DC07FC">
        <w:rPr>
          <w:rFonts w:ascii="Bookman Old Style" w:hAnsi="Bookman Old Style" w:cs="Arial"/>
        </w:rPr>
        <w:t xml:space="preserve">KG </w:t>
      </w:r>
      <w:r w:rsidR="00E2167A" w:rsidRPr="00DC07FC">
        <w:rPr>
          <w:rFonts w:ascii="Bookman Old Style" w:hAnsi="Bookman Old Style" w:cs="Arial"/>
        </w:rPr>
        <w:t xml:space="preserve">que se aplicará para estos efectos. </w:t>
      </w:r>
      <w:r w:rsidR="00CB7933" w:rsidRPr="00DC07FC">
        <w:rPr>
          <w:rFonts w:ascii="Bookman Old Style" w:hAnsi="Bookman Old Style" w:cs="Arial"/>
        </w:rPr>
        <w:t xml:space="preserve">Cuando se trate de la entrega de GLP </w:t>
      </w:r>
      <w:r w:rsidR="001B2221" w:rsidRPr="00DC07FC">
        <w:rPr>
          <w:rFonts w:ascii="Bookman Old Style" w:hAnsi="Bookman Old Style" w:cs="Arial"/>
        </w:rPr>
        <w:t>de contratos de suministro deri</w:t>
      </w:r>
      <w:r w:rsidR="00895D99" w:rsidRPr="00DC07FC">
        <w:rPr>
          <w:rFonts w:ascii="Bookman Old Style" w:hAnsi="Bookman Old Style" w:cs="Arial"/>
        </w:rPr>
        <w:t>v</w:t>
      </w:r>
      <w:r w:rsidR="001B2221" w:rsidRPr="00DC07FC">
        <w:rPr>
          <w:rFonts w:ascii="Bookman Old Style" w:hAnsi="Bookman Old Style" w:cs="Arial"/>
        </w:rPr>
        <w:t>ados de proyectos para el desarrollo de nueva oferta</w:t>
      </w:r>
      <w:r w:rsidR="00CB7933" w:rsidRPr="00DC07FC">
        <w:rPr>
          <w:rFonts w:ascii="Bookman Old Style" w:hAnsi="Bookman Old Style" w:cs="Arial"/>
        </w:rPr>
        <w:t xml:space="preserve">, </w:t>
      </w:r>
      <w:r w:rsidR="00E2167A" w:rsidRPr="00DC07FC">
        <w:rPr>
          <w:rFonts w:ascii="Bookman Old Style" w:hAnsi="Bookman Old Style" w:cs="Arial"/>
        </w:rPr>
        <w:t xml:space="preserve">la </w:t>
      </w:r>
      <w:r w:rsidR="00CB7933" w:rsidRPr="00DC07FC">
        <w:rPr>
          <w:rFonts w:ascii="Bookman Old Style" w:hAnsi="Bookman Old Style" w:cs="Arial"/>
        </w:rPr>
        <w:t>tarifa diaria de almacenamiento será libremente acordada entre las partes.</w:t>
      </w:r>
      <w:r w:rsidR="00E2167A" w:rsidRPr="00DC07FC">
        <w:rPr>
          <w:rFonts w:ascii="Bookman Old Style" w:hAnsi="Bookman Old Style" w:cs="Arial"/>
        </w:rPr>
        <w:t xml:space="preserve"> La tarifa anunciada </w:t>
      </w:r>
      <w:r w:rsidR="00E2167A" w:rsidRPr="00FD0BA4">
        <w:rPr>
          <w:rFonts w:ascii="Bookman Old Style" w:hAnsi="Bookman Old Style" w:cs="Arial"/>
        </w:rPr>
        <w:t xml:space="preserve">se aplicará de manera simétrica cuando se trate del caso correspondiente al </w:t>
      </w:r>
      <w:r w:rsidR="003D1139" w:rsidRPr="00FD0BA4">
        <w:rPr>
          <w:rFonts w:ascii="Bookman Old Style" w:hAnsi="Bookman Old Style" w:cs="Arial"/>
        </w:rPr>
        <w:t xml:space="preserve">literal </w:t>
      </w:r>
      <w:r w:rsidR="00E2167A" w:rsidRPr="00FD0BA4">
        <w:rPr>
          <w:rFonts w:ascii="Bookman Old Style" w:hAnsi="Bookman Old Style" w:cs="Arial"/>
        </w:rPr>
        <w:t>a del</w:t>
      </w:r>
      <w:r w:rsidR="00674FDA">
        <w:rPr>
          <w:rFonts w:ascii="Bookman Old Style" w:hAnsi="Bookman Old Style" w:cs="Arial"/>
        </w:rPr>
        <w:t xml:space="preserve"> </w:t>
      </w:r>
      <w:r w:rsidR="00674FDA" w:rsidRPr="00674FDA">
        <w:rPr>
          <w:rFonts w:ascii="Bookman Old Style" w:hAnsi="Bookman Old Style" w:cs="Arial"/>
        </w:rPr>
        <w:t>artículo 12</w:t>
      </w:r>
      <w:r w:rsidR="00E2167A" w:rsidRPr="00FD0BA4">
        <w:rPr>
          <w:rFonts w:ascii="Bookman Old Style" w:hAnsi="Bookman Old Style" w:cs="Arial"/>
        </w:rPr>
        <w:t xml:space="preserve"> de esta resolución.</w:t>
      </w:r>
    </w:p>
    <w:p w:rsidR="00CB7933" w:rsidRPr="00DC07FC" w:rsidRDefault="00CB7933" w:rsidP="004C1136">
      <w:pPr>
        <w:ind w:left="0"/>
        <w:contextualSpacing/>
        <w:jc w:val="both"/>
        <w:rPr>
          <w:rFonts w:ascii="Bookman Old Style" w:hAnsi="Bookman Old Style" w:cs="Arial"/>
        </w:rPr>
      </w:pPr>
    </w:p>
    <w:p w:rsidR="00CB7933" w:rsidRPr="00DC07FC" w:rsidRDefault="00F172EE" w:rsidP="004C1136">
      <w:pPr>
        <w:ind w:left="0"/>
        <w:contextualSpacing/>
        <w:jc w:val="both"/>
        <w:rPr>
          <w:rFonts w:ascii="Bookman Old Style" w:hAnsi="Bookman Old Style" w:cs="Arial"/>
        </w:rPr>
      </w:pPr>
      <w:r w:rsidRPr="00DC07FC">
        <w:rPr>
          <w:rFonts w:ascii="Bookman Old Style" w:hAnsi="Bookman Old Style" w:cs="Arial"/>
          <w:b/>
        </w:rPr>
        <w:t xml:space="preserve">PARÁGRAFO </w:t>
      </w:r>
      <w:r w:rsidR="00CB7933" w:rsidRPr="00DC07FC">
        <w:rPr>
          <w:rFonts w:ascii="Bookman Old Style" w:hAnsi="Bookman Old Style" w:cs="Arial"/>
          <w:b/>
        </w:rPr>
        <w:t>3.</w:t>
      </w:r>
      <w:r w:rsidR="00CB7933" w:rsidRPr="00DC07FC">
        <w:rPr>
          <w:rFonts w:ascii="Bookman Old Style" w:hAnsi="Bookman Old Style" w:cs="Arial"/>
        </w:rPr>
        <w:t xml:space="preserve"> La compensación deberá ser pagada</w:t>
      </w:r>
      <w:r w:rsidR="00774C4E" w:rsidRPr="00DC07FC">
        <w:rPr>
          <w:rFonts w:ascii="Bookman Old Style" w:hAnsi="Bookman Old Style" w:cs="Arial"/>
        </w:rPr>
        <w:t>,</w:t>
      </w:r>
      <w:r w:rsidR="00CB7933" w:rsidRPr="00DC07FC">
        <w:rPr>
          <w:rFonts w:ascii="Bookman Old Style" w:hAnsi="Bookman Old Style" w:cs="Arial"/>
        </w:rPr>
        <w:t xml:space="preserve"> por el vendedor al comprador</w:t>
      </w:r>
      <w:r w:rsidR="00774C4E" w:rsidRPr="00DC07FC">
        <w:rPr>
          <w:rFonts w:ascii="Bookman Old Style" w:hAnsi="Bookman Old Style" w:cs="Arial"/>
        </w:rPr>
        <w:t>,</w:t>
      </w:r>
      <w:r w:rsidR="00CB7933" w:rsidRPr="00DC07FC">
        <w:rPr>
          <w:rFonts w:ascii="Bookman Old Style" w:hAnsi="Bookman Old Style" w:cs="Arial"/>
        </w:rPr>
        <w:t xml:space="preserve"> a más tardar dentro del mes sigui</w:t>
      </w:r>
      <w:r w:rsidR="0096494C" w:rsidRPr="00DC07FC">
        <w:rPr>
          <w:rFonts w:ascii="Bookman Old Style" w:hAnsi="Bookman Old Style" w:cs="Arial"/>
        </w:rPr>
        <w:t>ente al día en que se causó, sin perjuicio de los intereses de mora.</w:t>
      </w:r>
    </w:p>
    <w:p w:rsidR="00CB7933" w:rsidRPr="00DC07FC" w:rsidRDefault="00CB7933" w:rsidP="004C1136">
      <w:pPr>
        <w:ind w:left="0"/>
        <w:contextualSpacing/>
        <w:jc w:val="both"/>
        <w:rPr>
          <w:rFonts w:ascii="Bookman Old Style" w:hAnsi="Bookman Old Style" w:cs="Arial"/>
        </w:rPr>
      </w:pPr>
    </w:p>
    <w:p w:rsidR="00CB7933" w:rsidRPr="00DC07FC" w:rsidRDefault="00F172EE" w:rsidP="004C1136">
      <w:pPr>
        <w:ind w:left="0"/>
        <w:contextualSpacing/>
        <w:jc w:val="both"/>
        <w:rPr>
          <w:rFonts w:ascii="Bookman Old Style" w:hAnsi="Bookman Old Style" w:cs="Arial"/>
          <w:lang w:eastAsia="es-CO"/>
        </w:rPr>
      </w:pPr>
      <w:r w:rsidRPr="00DC07FC">
        <w:rPr>
          <w:rFonts w:ascii="Bookman Old Style" w:hAnsi="Bookman Old Style" w:cs="Arial"/>
          <w:b/>
        </w:rPr>
        <w:t xml:space="preserve">PARÁGRAFO </w:t>
      </w:r>
      <w:r w:rsidR="00CB7933" w:rsidRPr="00DC07FC">
        <w:rPr>
          <w:rFonts w:ascii="Bookman Old Style" w:hAnsi="Bookman Old Style" w:cs="Arial"/>
          <w:b/>
        </w:rPr>
        <w:t>4</w:t>
      </w:r>
      <w:r w:rsidR="0096494C" w:rsidRPr="00DC07FC">
        <w:rPr>
          <w:rFonts w:ascii="Bookman Old Style" w:hAnsi="Bookman Old Style" w:cs="Arial"/>
          <w:b/>
        </w:rPr>
        <w:t>.</w:t>
      </w:r>
      <w:r w:rsidR="00CB7933" w:rsidRPr="00DC07FC">
        <w:rPr>
          <w:rFonts w:ascii="Bookman Old Style" w:hAnsi="Bookman Old Style" w:cs="Arial"/>
        </w:rPr>
        <w:t xml:space="preserve"> Sin perjuicio del pago de la compensación, el incumplimiento en la entrega del producto podrá dar lugar a la terminación del co</w:t>
      </w:r>
      <w:r w:rsidR="00774C4E" w:rsidRPr="00DC07FC">
        <w:rPr>
          <w:rFonts w:ascii="Bookman Old Style" w:hAnsi="Bookman Old Style" w:cs="Arial"/>
        </w:rPr>
        <w:t>ntrato por parte del comprador.</w:t>
      </w:r>
    </w:p>
    <w:p w:rsidR="00506DD2" w:rsidRPr="00DC07FC" w:rsidRDefault="00506DD2" w:rsidP="004C1136">
      <w:pPr>
        <w:ind w:left="0"/>
        <w:contextualSpacing/>
        <w:jc w:val="both"/>
        <w:rPr>
          <w:rFonts w:ascii="Bookman Old Style" w:hAnsi="Bookman Old Style" w:cs="Arial"/>
        </w:rPr>
      </w:pPr>
    </w:p>
    <w:p w:rsidR="00BD1E4E" w:rsidRPr="00DC07FC" w:rsidRDefault="0096494C" w:rsidP="00826258">
      <w:pPr>
        <w:ind w:left="0"/>
        <w:contextualSpacing/>
        <w:jc w:val="both"/>
        <w:rPr>
          <w:rFonts w:ascii="Bookman Old Style" w:hAnsi="Bookman Old Style" w:cs="Arial"/>
        </w:rPr>
      </w:pPr>
      <w:r w:rsidRPr="00DC07FC">
        <w:rPr>
          <w:rFonts w:ascii="Bookman Old Style" w:hAnsi="Bookman Old Style" w:cs="Arial"/>
          <w:b/>
        </w:rPr>
        <w:t xml:space="preserve">PARÁGRAFO 5. </w:t>
      </w:r>
      <w:r w:rsidRPr="00DC07FC">
        <w:rPr>
          <w:rFonts w:ascii="Bookman Old Style" w:hAnsi="Bookman Old Style" w:cs="Arial"/>
        </w:rPr>
        <w:t xml:space="preserve">La tarifa </w:t>
      </w:r>
      <w:r w:rsidR="00473F2E" w:rsidRPr="00DC07FC">
        <w:rPr>
          <w:rFonts w:ascii="Bookman Old Style" w:hAnsi="Bookman Old Style" w:cs="Arial"/>
        </w:rPr>
        <w:t xml:space="preserve">diaria </w:t>
      </w:r>
      <w:r w:rsidRPr="00DC07FC">
        <w:rPr>
          <w:rFonts w:ascii="Bookman Old Style" w:hAnsi="Bookman Old Style" w:cs="Arial"/>
        </w:rPr>
        <w:t xml:space="preserve">de almacenamiento para efectos del pago de la compensación a la que hace referencia el presente artículo corresponderá </w:t>
      </w:r>
      <w:r w:rsidR="00826258" w:rsidRPr="00DC07FC">
        <w:rPr>
          <w:rFonts w:ascii="Bookman Old Style" w:hAnsi="Bookman Old Style" w:cs="Arial"/>
        </w:rPr>
        <w:t>al valor pactado entre las partes y no hará parte de la tarifa al usuario final.</w:t>
      </w:r>
    </w:p>
    <w:p w:rsidR="00BD1E4E" w:rsidRPr="00DC07FC" w:rsidRDefault="00BD1E4E" w:rsidP="004C1136">
      <w:pPr>
        <w:ind w:left="0"/>
        <w:contextualSpacing/>
        <w:jc w:val="both"/>
        <w:rPr>
          <w:rFonts w:ascii="Bookman Old Style" w:hAnsi="Bookman Old Style" w:cs="Arial"/>
        </w:rPr>
      </w:pPr>
    </w:p>
    <w:p w:rsidR="00CB7933" w:rsidRPr="00FD0BA4" w:rsidRDefault="00506DD2" w:rsidP="00D444D6">
      <w:pPr>
        <w:pStyle w:val="ARTICULOS"/>
        <w:numPr>
          <w:ilvl w:val="0"/>
          <w:numId w:val="2"/>
        </w:numPr>
        <w:tabs>
          <w:tab w:val="left" w:pos="1701"/>
        </w:tabs>
        <w:ind w:left="0" w:firstLine="0"/>
        <w:contextualSpacing/>
        <w:outlineLvl w:val="2"/>
        <w:rPr>
          <w:rFonts w:cs="Arial"/>
          <w:color w:val="000000" w:themeColor="text1"/>
        </w:rPr>
      </w:pPr>
      <w:bookmarkStart w:id="16" w:name="_Ref441154625"/>
      <w:r w:rsidRPr="00DC07FC">
        <w:rPr>
          <w:rFonts w:cs="Arial"/>
          <w:b/>
          <w:color w:val="000000" w:themeColor="text1"/>
        </w:rPr>
        <w:t>COMPENSACIÓN POR INCUMPLIMIENTO EN LAS CONDICIONES DE RECIBO DEL PRODUCTO.</w:t>
      </w:r>
      <w:r w:rsidR="00CB7933" w:rsidRPr="00DC07FC">
        <w:rPr>
          <w:rFonts w:cs="Arial"/>
          <w:b/>
          <w:color w:val="000000" w:themeColor="text1"/>
        </w:rPr>
        <w:t xml:space="preserve"> </w:t>
      </w:r>
      <w:r w:rsidR="00CB7933" w:rsidRPr="00DC07FC">
        <w:rPr>
          <w:rFonts w:cs="Arial"/>
          <w:color w:val="000000" w:themeColor="text1"/>
        </w:rPr>
        <w:t xml:space="preserve">El comprador que incumpla las condiciones de recibo del producto, de acuerdo con lo establecido </w:t>
      </w:r>
      <w:r w:rsidR="00CB7933" w:rsidRPr="00FD0BA4">
        <w:rPr>
          <w:rFonts w:cs="Arial"/>
          <w:color w:val="000000" w:themeColor="text1"/>
        </w:rPr>
        <w:t>en el</w:t>
      </w:r>
      <w:r w:rsidR="00674FDA">
        <w:rPr>
          <w:rFonts w:cs="Arial"/>
          <w:color w:val="000000" w:themeColor="text1"/>
          <w:lang w:val="es-CO"/>
        </w:rPr>
        <w:t xml:space="preserve"> artículo  10 </w:t>
      </w:r>
      <w:r w:rsidR="00CB7933" w:rsidRPr="00FD0BA4">
        <w:rPr>
          <w:rFonts w:cs="Arial"/>
          <w:color w:val="000000" w:themeColor="text1"/>
        </w:rPr>
        <w:t>de esta resolución, deberá compensar al vendedor en alguna de las siguientes formas.</w:t>
      </w:r>
      <w:bookmarkEnd w:id="16"/>
    </w:p>
    <w:p w:rsidR="00CB7933" w:rsidRPr="00DC07FC" w:rsidRDefault="00CB7933" w:rsidP="004C1136">
      <w:pPr>
        <w:pStyle w:val="ARTICULOS"/>
        <w:tabs>
          <w:tab w:val="left" w:pos="1560"/>
        </w:tabs>
        <w:contextualSpacing/>
        <w:rPr>
          <w:rFonts w:cs="Arial"/>
          <w:b/>
          <w:color w:val="000000" w:themeColor="text1"/>
          <w:lang w:val="es-ES"/>
        </w:rPr>
      </w:pPr>
    </w:p>
    <w:p w:rsidR="00CB7933" w:rsidRPr="00DC07FC" w:rsidRDefault="00CB7933" w:rsidP="00901EFF">
      <w:pPr>
        <w:pStyle w:val="Prrafodelista"/>
        <w:numPr>
          <w:ilvl w:val="0"/>
          <w:numId w:val="13"/>
        </w:numPr>
        <w:ind w:left="426" w:hanging="426"/>
        <w:contextualSpacing/>
        <w:jc w:val="both"/>
        <w:rPr>
          <w:rFonts w:ascii="Bookman Old Style" w:hAnsi="Bookman Old Style" w:cs="Arial"/>
          <w:sz w:val="24"/>
          <w:szCs w:val="24"/>
        </w:rPr>
      </w:pPr>
      <w:r w:rsidRPr="00DC07FC">
        <w:rPr>
          <w:rFonts w:ascii="Bookman Old Style" w:hAnsi="Bookman Old Style" w:cs="Arial"/>
          <w:sz w:val="24"/>
          <w:szCs w:val="24"/>
        </w:rPr>
        <w:t xml:space="preserve">Compensación por demora en el recibo: Pagar al vendedor la tarifa diaria de almacenamiento </w:t>
      </w:r>
      <w:r w:rsidR="00277C87" w:rsidRPr="00DC07FC">
        <w:rPr>
          <w:rFonts w:ascii="Bookman Old Style" w:hAnsi="Bookman Old Style" w:cs="Arial"/>
          <w:sz w:val="24"/>
          <w:szCs w:val="24"/>
        </w:rPr>
        <w:t xml:space="preserve">pactada </w:t>
      </w:r>
      <w:r w:rsidRPr="00DC07FC">
        <w:rPr>
          <w:rFonts w:ascii="Bookman Old Style" w:hAnsi="Bookman Old Style" w:cs="Arial"/>
          <w:sz w:val="24"/>
          <w:szCs w:val="24"/>
        </w:rPr>
        <w:t xml:space="preserve">para estos efectos, </w:t>
      </w:r>
      <w:r w:rsidR="00277C87" w:rsidRPr="00DC07FC">
        <w:rPr>
          <w:rFonts w:ascii="Bookman Old Style" w:hAnsi="Bookman Old Style" w:cs="Arial"/>
          <w:sz w:val="24"/>
          <w:szCs w:val="24"/>
        </w:rPr>
        <w:t xml:space="preserve">por cada </w:t>
      </w:r>
      <w:r w:rsidR="00A554B1" w:rsidRPr="00DC07FC">
        <w:rPr>
          <w:rFonts w:ascii="Bookman Old Style" w:hAnsi="Bookman Old Style" w:cs="Arial"/>
          <w:sz w:val="24"/>
          <w:szCs w:val="24"/>
        </w:rPr>
        <w:t xml:space="preserve">KG </w:t>
      </w:r>
      <w:r w:rsidR="00277C87" w:rsidRPr="00DC07FC">
        <w:rPr>
          <w:rFonts w:ascii="Bookman Old Style" w:hAnsi="Bookman Old Style" w:cs="Arial"/>
          <w:sz w:val="24"/>
          <w:szCs w:val="24"/>
        </w:rPr>
        <w:t xml:space="preserve">de GLP no recibido y por cada día de demora en el recibo, </w:t>
      </w:r>
      <w:r w:rsidRPr="00DC07FC">
        <w:rPr>
          <w:rFonts w:ascii="Bookman Old Style" w:hAnsi="Bookman Old Style" w:cs="Arial"/>
          <w:sz w:val="24"/>
          <w:szCs w:val="24"/>
        </w:rPr>
        <w:t>desde la fecha en que se genera el incumplimiento</w:t>
      </w:r>
      <w:r w:rsidR="00277C87" w:rsidRPr="00DC07FC">
        <w:rPr>
          <w:rFonts w:ascii="Bookman Old Style" w:hAnsi="Bookman Old Style" w:cs="Arial"/>
          <w:sz w:val="24"/>
          <w:szCs w:val="24"/>
        </w:rPr>
        <w:t>,</w:t>
      </w:r>
      <w:r w:rsidRPr="00DC07FC">
        <w:rPr>
          <w:rFonts w:ascii="Bookman Old Style" w:hAnsi="Bookman Old Style" w:cs="Arial"/>
          <w:sz w:val="24"/>
          <w:szCs w:val="24"/>
        </w:rPr>
        <w:t xml:space="preserve"> hasta la fecha real de recibo, sin exceder el tiempo máximo admisible que anuncie el vendedor</w:t>
      </w:r>
      <w:r w:rsidR="00277C87" w:rsidRPr="00DC07FC">
        <w:rPr>
          <w:rFonts w:ascii="Bookman Old Style" w:hAnsi="Bookman Old Style" w:cs="Arial"/>
          <w:sz w:val="24"/>
          <w:szCs w:val="24"/>
        </w:rPr>
        <w:t>.</w:t>
      </w:r>
      <w:r w:rsidRPr="00DC07FC">
        <w:rPr>
          <w:rFonts w:ascii="Bookman Old Style" w:hAnsi="Bookman Old Style" w:cs="Arial"/>
          <w:sz w:val="24"/>
          <w:szCs w:val="24"/>
        </w:rPr>
        <w:t xml:space="preserve"> Esta compensación solo podrá darse si </w:t>
      </w:r>
      <w:r w:rsidRPr="00DC07FC">
        <w:rPr>
          <w:rFonts w:ascii="Bookman Old Style" w:hAnsi="Bookman Old Style" w:cs="Arial"/>
          <w:sz w:val="24"/>
          <w:szCs w:val="24"/>
        </w:rPr>
        <w:lastRenderedPageBreak/>
        <w:t>el vendedor anuncia que t</w:t>
      </w:r>
      <w:r w:rsidR="00277C87" w:rsidRPr="00DC07FC">
        <w:rPr>
          <w:rFonts w:ascii="Bookman Old Style" w:hAnsi="Bookman Old Style" w:cs="Arial"/>
          <w:sz w:val="24"/>
          <w:szCs w:val="24"/>
        </w:rPr>
        <w:t>iene la capacidad para mantener</w:t>
      </w:r>
      <w:r w:rsidRPr="00DC07FC">
        <w:rPr>
          <w:rFonts w:ascii="Bookman Old Style" w:hAnsi="Bookman Old Style" w:cs="Arial"/>
          <w:sz w:val="24"/>
          <w:szCs w:val="24"/>
        </w:rPr>
        <w:t xml:space="preserve"> almacenado el producto no recibido y el tiempo máximo posible de almacenamiento.</w:t>
      </w:r>
    </w:p>
    <w:p w:rsidR="00CB7933" w:rsidRPr="00DC07FC" w:rsidRDefault="00CB7933" w:rsidP="004C1136">
      <w:pPr>
        <w:pStyle w:val="Prrafodelista"/>
        <w:ind w:left="426"/>
        <w:contextualSpacing/>
        <w:jc w:val="both"/>
        <w:rPr>
          <w:rFonts w:ascii="Bookman Old Style" w:hAnsi="Bookman Old Style" w:cs="Arial"/>
          <w:sz w:val="24"/>
          <w:szCs w:val="24"/>
        </w:rPr>
      </w:pPr>
    </w:p>
    <w:p w:rsidR="00CB7933" w:rsidRPr="00DC07FC" w:rsidRDefault="00CB7933" w:rsidP="00901EFF">
      <w:pPr>
        <w:pStyle w:val="Prrafodelista"/>
        <w:numPr>
          <w:ilvl w:val="0"/>
          <w:numId w:val="13"/>
        </w:numPr>
        <w:ind w:left="426" w:hanging="426"/>
        <w:contextualSpacing/>
        <w:jc w:val="both"/>
        <w:rPr>
          <w:rFonts w:ascii="Bookman Old Style" w:hAnsi="Bookman Old Style" w:cs="Arial"/>
          <w:sz w:val="24"/>
          <w:szCs w:val="24"/>
        </w:rPr>
      </w:pPr>
      <w:r w:rsidRPr="00DC07FC">
        <w:rPr>
          <w:rFonts w:ascii="Bookman Old Style" w:hAnsi="Bookman Old Style" w:cs="Arial"/>
          <w:sz w:val="24"/>
          <w:szCs w:val="24"/>
        </w:rPr>
        <w:t>Compensación por no recibo: Pagar al vendedor la cantidad de GLP</w:t>
      </w:r>
      <w:r w:rsidR="00277C87" w:rsidRPr="00DC07FC">
        <w:rPr>
          <w:rFonts w:ascii="Bookman Old Style" w:hAnsi="Bookman Old Style" w:cs="Arial"/>
          <w:sz w:val="24"/>
          <w:szCs w:val="24"/>
        </w:rPr>
        <w:t xml:space="preserve"> no recibida, medida</w:t>
      </w:r>
      <w:r w:rsidRPr="00DC07FC">
        <w:rPr>
          <w:rFonts w:ascii="Bookman Old Style" w:hAnsi="Bookman Old Style" w:cs="Arial"/>
          <w:sz w:val="24"/>
          <w:szCs w:val="24"/>
        </w:rPr>
        <w:t xml:space="preserve"> en función de las cantidades diarias incumplidas y los tiempos máximos de recibo pactados, valorad</w:t>
      </w:r>
      <w:r w:rsidR="00277C87" w:rsidRPr="00DC07FC">
        <w:rPr>
          <w:rFonts w:ascii="Bookman Old Style" w:hAnsi="Bookman Old Style" w:cs="Arial"/>
          <w:sz w:val="24"/>
          <w:szCs w:val="24"/>
        </w:rPr>
        <w:t>a</w:t>
      </w:r>
      <w:r w:rsidRPr="00DC07FC">
        <w:rPr>
          <w:rFonts w:ascii="Bookman Old Style" w:hAnsi="Bookman Old Style" w:cs="Arial"/>
          <w:sz w:val="24"/>
          <w:szCs w:val="24"/>
        </w:rPr>
        <w:t xml:space="preserve"> al precio </w:t>
      </w:r>
      <w:r w:rsidR="00277C87" w:rsidRPr="00DC07FC">
        <w:rPr>
          <w:rFonts w:ascii="Bookman Old Style" w:hAnsi="Bookman Old Style" w:cs="Arial"/>
          <w:sz w:val="24"/>
          <w:szCs w:val="24"/>
        </w:rPr>
        <w:t>del contrato. En caso de que el no recibo del producto le genere al vendedor incumplimiento en el contrato de transporte por ductos, además se deberá reconocer el valor del transporte por la cantidad de GLP incumplida.</w:t>
      </w:r>
    </w:p>
    <w:p w:rsidR="00CB7933" w:rsidRPr="00DC07FC" w:rsidRDefault="00CB7933" w:rsidP="004C1136">
      <w:pPr>
        <w:ind w:left="0"/>
        <w:contextualSpacing/>
        <w:jc w:val="both"/>
        <w:rPr>
          <w:rFonts w:ascii="Bookman Old Style" w:hAnsi="Bookman Old Style" w:cs="Arial"/>
        </w:rPr>
      </w:pPr>
    </w:p>
    <w:p w:rsidR="00CB7933" w:rsidRPr="00DC07FC" w:rsidRDefault="00774C4E" w:rsidP="004C1136">
      <w:pPr>
        <w:ind w:left="0"/>
        <w:contextualSpacing/>
        <w:jc w:val="both"/>
        <w:rPr>
          <w:rFonts w:ascii="Bookman Old Style" w:hAnsi="Bookman Old Style" w:cs="Arial"/>
        </w:rPr>
      </w:pPr>
      <w:r w:rsidRPr="00DC07FC">
        <w:rPr>
          <w:rFonts w:ascii="Bookman Old Style" w:hAnsi="Bookman Old Style" w:cs="Arial"/>
          <w:b/>
        </w:rPr>
        <w:t xml:space="preserve">PARÁGRAFO </w:t>
      </w:r>
      <w:r w:rsidR="00277C87" w:rsidRPr="00DC07FC">
        <w:rPr>
          <w:rFonts w:ascii="Bookman Old Style" w:hAnsi="Bookman Old Style" w:cs="Arial"/>
          <w:b/>
        </w:rPr>
        <w:t xml:space="preserve">1. </w:t>
      </w:r>
      <w:r w:rsidR="00CB7933" w:rsidRPr="00DC07FC">
        <w:rPr>
          <w:rFonts w:ascii="Bookman Old Style" w:hAnsi="Bookman Old Style" w:cs="Arial"/>
        </w:rPr>
        <w:t>Corresponderá al vendedor, de manera voluntaria, escoger la compensación más conveniente para su situación. Si escogida la opción de compensación por la demora en el recibo, el comprador vuelve a incumplir el recibo del producto en la fecha máxima admisible, además de la compensación por demora</w:t>
      </w:r>
      <w:r w:rsidRPr="00DC07FC">
        <w:rPr>
          <w:rFonts w:ascii="Bookman Old Style" w:hAnsi="Bookman Old Style" w:cs="Arial"/>
        </w:rPr>
        <w:t>,</w:t>
      </w:r>
      <w:r w:rsidR="00CB7933" w:rsidRPr="00DC07FC">
        <w:rPr>
          <w:rFonts w:ascii="Bookman Old Style" w:hAnsi="Bookman Old Style" w:cs="Arial"/>
        </w:rPr>
        <w:t xml:space="preserve"> deberá de manera inmediata aplicar la compensac</w:t>
      </w:r>
      <w:r w:rsidRPr="00DC07FC">
        <w:rPr>
          <w:rFonts w:ascii="Bookman Old Style" w:hAnsi="Bookman Old Style" w:cs="Arial"/>
        </w:rPr>
        <w:t>ión por no recibo del producto.</w:t>
      </w:r>
    </w:p>
    <w:p w:rsidR="00CB7933" w:rsidRPr="00DC07FC" w:rsidRDefault="00CB7933" w:rsidP="004C1136">
      <w:pPr>
        <w:ind w:left="0"/>
        <w:contextualSpacing/>
        <w:jc w:val="both"/>
        <w:rPr>
          <w:rFonts w:ascii="Bookman Old Style" w:hAnsi="Bookman Old Style" w:cs="Arial"/>
        </w:rPr>
      </w:pPr>
    </w:p>
    <w:p w:rsidR="00CB7933" w:rsidRPr="00DC07FC" w:rsidRDefault="00774C4E" w:rsidP="004C1136">
      <w:pPr>
        <w:ind w:left="0"/>
        <w:contextualSpacing/>
        <w:jc w:val="both"/>
        <w:rPr>
          <w:rFonts w:ascii="Bookman Old Style" w:hAnsi="Bookman Old Style" w:cs="Arial"/>
        </w:rPr>
      </w:pPr>
      <w:r w:rsidRPr="00DC07FC">
        <w:rPr>
          <w:rFonts w:ascii="Bookman Old Style" w:hAnsi="Bookman Old Style" w:cs="Arial"/>
          <w:b/>
        </w:rPr>
        <w:t xml:space="preserve">PARÁGRAFO </w:t>
      </w:r>
      <w:r w:rsidR="00CB7933" w:rsidRPr="00DC07FC">
        <w:rPr>
          <w:rFonts w:ascii="Bookman Old Style" w:hAnsi="Bookman Old Style" w:cs="Arial"/>
          <w:b/>
        </w:rPr>
        <w:t>2.</w:t>
      </w:r>
      <w:r w:rsidR="00CB7933" w:rsidRPr="00DC07FC">
        <w:rPr>
          <w:rFonts w:ascii="Bookman Old Style" w:hAnsi="Bookman Old Style" w:cs="Arial"/>
        </w:rPr>
        <w:t xml:space="preserve"> La compensación deberá ser pagada</w:t>
      </w:r>
      <w:r w:rsidRPr="00DC07FC">
        <w:rPr>
          <w:rFonts w:ascii="Bookman Old Style" w:hAnsi="Bookman Old Style" w:cs="Arial"/>
        </w:rPr>
        <w:t>,</w:t>
      </w:r>
      <w:r w:rsidR="00CB7933" w:rsidRPr="00DC07FC">
        <w:rPr>
          <w:rFonts w:ascii="Bookman Old Style" w:hAnsi="Bookman Old Style" w:cs="Arial"/>
        </w:rPr>
        <w:t xml:space="preserve"> por el comprador al vendedor</w:t>
      </w:r>
      <w:r w:rsidRPr="00DC07FC">
        <w:rPr>
          <w:rFonts w:ascii="Bookman Old Style" w:hAnsi="Bookman Old Style" w:cs="Arial"/>
        </w:rPr>
        <w:t>,</w:t>
      </w:r>
      <w:r w:rsidR="00CB7933" w:rsidRPr="00DC07FC">
        <w:rPr>
          <w:rFonts w:ascii="Bookman Old Style" w:hAnsi="Bookman Old Style" w:cs="Arial"/>
        </w:rPr>
        <w:t xml:space="preserve"> a más tardar dentro del mes siguiente al día en que se causó. </w:t>
      </w:r>
    </w:p>
    <w:p w:rsidR="00CB7933" w:rsidRPr="00DC07FC" w:rsidRDefault="00CB7933" w:rsidP="004C1136">
      <w:pPr>
        <w:ind w:left="0"/>
        <w:contextualSpacing/>
        <w:jc w:val="both"/>
        <w:rPr>
          <w:rFonts w:ascii="Bookman Old Style" w:hAnsi="Bookman Old Style" w:cs="Arial"/>
        </w:rPr>
      </w:pPr>
    </w:p>
    <w:p w:rsidR="00CB7933" w:rsidRPr="00DC07FC" w:rsidRDefault="00774C4E" w:rsidP="004C1136">
      <w:pPr>
        <w:ind w:left="0"/>
        <w:contextualSpacing/>
        <w:jc w:val="both"/>
        <w:rPr>
          <w:rFonts w:ascii="Bookman Old Style" w:hAnsi="Bookman Old Style" w:cs="Arial"/>
          <w:lang w:eastAsia="es-CO"/>
        </w:rPr>
      </w:pPr>
      <w:r w:rsidRPr="00DC07FC">
        <w:rPr>
          <w:rFonts w:ascii="Bookman Old Style" w:hAnsi="Bookman Old Style" w:cs="Arial"/>
          <w:b/>
        </w:rPr>
        <w:t xml:space="preserve">PARÁGRAFO </w:t>
      </w:r>
      <w:r w:rsidR="00CB7933" w:rsidRPr="00DC07FC">
        <w:rPr>
          <w:rFonts w:ascii="Bookman Old Style" w:hAnsi="Bookman Old Style" w:cs="Arial"/>
          <w:b/>
        </w:rPr>
        <w:t>3</w:t>
      </w:r>
      <w:r w:rsidR="00CB7933" w:rsidRPr="00DC07FC">
        <w:rPr>
          <w:rFonts w:ascii="Bookman Old Style" w:hAnsi="Bookman Old Style" w:cs="Arial"/>
        </w:rPr>
        <w:t>. Sin perjuicio del pago de la compensación, el incumplimiento en el recibo del producto podrá dar lugar a la terminación del c</w:t>
      </w:r>
      <w:r w:rsidRPr="00DC07FC">
        <w:rPr>
          <w:rFonts w:ascii="Bookman Old Style" w:hAnsi="Bookman Old Style" w:cs="Arial"/>
        </w:rPr>
        <w:t>ontrato por parte del vendedor.</w:t>
      </w:r>
    </w:p>
    <w:p w:rsidR="00FE1A03" w:rsidRPr="00DC07FC" w:rsidRDefault="00FE1A03" w:rsidP="004C1136">
      <w:pPr>
        <w:ind w:left="0"/>
        <w:contextualSpacing/>
        <w:jc w:val="both"/>
        <w:rPr>
          <w:rFonts w:ascii="Bookman Old Style" w:hAnsi="Bookman Old Style"/>
          <w:lang w:val="es-CO"/>
        </w:rPr>
      </w:pPr>
    </w:p>
    <w:p w:rsidR="00473F2E" w:rsidRPr="00DC07FC" w:rsidRDefault="00473F2E" w:rsidP="00473F2E">
      <w:pPr>
        <w:ind w:left="0"/>
        <w:contextualSpacing/>
        <w:jc w:val="both"/>
        <w:rPr>
          <w:rFonts w:ascii="Bookman Old Style" w:hAnsi="Bookman Old Style" w:cs="Arial"/>
        </w:rPr>
      </w:pPr>
      <w:r w:rsidRPr="00DC07FC">
        <w:rPr>
          <w:rFonts w:ascii="Bookman Old Style" w:hAnsi="Bookman Old Style" w:cs="Arial"/>
          <w:b/>
        </w:rPr>
        <w:t xml:space="preserve">PARÁGRAFO 4. </w:t>
      </w:r>
      <w:r w:rsidRPr="00DC07FC">
        <w:rPr>
          <w:rFonts w:ascii="Bookman Old Style" w:hAnsi="Bookman Old Style" w:cs="Arial"/>
        </w:rPr>
        <w:t>La tarifa diaria de almacenamiento para efectos del pago de la compensación a la que hace referencia el presente artículo corresponderá al valor pactado entre las partes y no hará parte de la tarifa al usuario final.</w:t>
      </w:r>
    </w:p>
    <w:p w:rsidR="00473F2E" w:rsidRPr="00DC07FC" w:rsidRDefault="00473F2E" w:rsidP="004C1136">
      <w:pPr>
        <w:ind w:left="0"/>
        <w:contextualSpacing/>
        <w:jc w:val="both"/>
        <w:rPr>
          <w:rFonts w:ascii="Bookman Old Style" w:hAnsi="Bookman Old Style"/>
        </w:rPr>
      </w:pPr>
    </w:p>
    <w:p w:rsidR="00C63048" w:rsidRPr="00DC07FC" w:rsidRDefault="00C63048" w:rsidP="004C1136">
      <w:pPr>
        <w:ind w:left="0"/>
        <w:contextualSpacing/>
        <w:jc w:val="both"/>
        <w:rPr>
          <w:rFonts w:ascii="Bookman Old Style" w:hAnsi="Bookman Old Style"/>
          <w:lang w:val="es-CO"/>
        </w:rPr>
      </w:pPr>
    </w:p>
    <w:p w:rsidR="00C63048" w:rsidRPr="00DC07FC" w:rsidRDefault="00C63048" w:rsidP="00D57CC5">
      <w:pPr>
        <w:pStyle w:val="Ttulo1"/>
        <w:contextualSpacing/>
        <w:rPr>
          <w:szCs w:val="24"/>
        </w:rPr>
      </w:pPr>
      <w:r w:rsidRPr="00DC07FC">
        <w:rPr>
          <w:szCs w:val="24"/>
        </w:rPr>
        <w:t xml:space="preserve">TÍTULO </w:t>
      </w:r>
      <w:r w:rsidR="006F7549" w:rsidRPr="00DC07FC">
        <w:rPr>
          <w:szCs w:val="24"/>
        </w:rPr>
        <w:t>III</w:t>
      </w:r>
    </w:p>
    <w:p w:rsidR="00C63048" w:rsidRPr="00DC07FC" w:rsidRDefault="00C63048" w:rsidP="00D57CC5">
      <w:pPr>
        <w:pStyle w:val="Ttulo1"/>
        <w:contextualSpacing/>
        <w:rPr>
          <w:szCs w:val="24"/>
        </w:rPr>
      </w:pPr>
      <w:r w:rsidRPr="00DC07FC">
        <w:rPr>
          <w:szCs w:val="24"/>
        </w:rPr>
        <w:t>REQUISITOS Y OBLIGACIONES DE LOS AGENTES</w:t>
      </w:r>
    </w:p>
    <w:p w:rsidR="00C63048" w:rsidRPr="00DC07FC" w:rsidRDefault="00C63048" w:rsidP="004C1136">
      <w:pPr>
        <w:ind w:left="0"/>
        <w:contextualSpacing/>
        <w:jc w:val="both"/>
        <w:rPr>
          <w:rFonts w:ascii="Bookman Old Style" w:hAnsi="Bookman Old Style"/>
          <w:lang w:val="es-CO"/>
        </w:rPr>
      </w:pPr>
    </w:p>
    <w:p w:rsidR="00C345DB" w:rsidRPr="00DC07FC" w:rsidRDefault="00C345DB" w:rsidP="004C1136">
      <w:pPr>
        <w:ind w:left="0"/>
        <w:contextualSpacing/>
        <w:jc w:val="both"/>
        <w:rPr>
          <w:rFonts w:ascii="Bookman Old Style" w:hAnsi="Bookman Old Style"/>
          <w:lang w:val="es-CO"/>
        </w:rPr>
      </w:pPr>
    </w:p>
    <w:p w:rsidR="00C63048" w:rsidRPr="00DC07FC" w:rsidRDefault="0094685C" w:rsidP="00D444D6">
      <w:pPr>
        <w:pStyle w:val="ARTICULOS"/>
        <w:numPr>
          <w:ilvl w:val="0"/>
          <w:numId w:val="2"/>
        </w:numPr>
        <w:tabs>
          <w:tab w:val="left" w:pos="1701"/>
        </w:tabs>
        <w:ind w:left="0" w:firstLine="0"/>
        <w:contextualSpacing/>
        <w:outlineLvl w:val="2"/>
        <w:rPr>
          <w:rFonts w:cs="Arial"/>
          <w:color w:val="000000" w:themeColor="text1"/>
        </w:rPr>
      </w:pPr>
      <w:bookmarkStart w:id="17" w:name="_Ref462924680"/>
      <w:r w:rsidRPr="00DC07FC">
        <w:rPr>
          <w:rFonts w:cs="Arial"/>
          <w:b/>
          <w:color w:val="000000" w:themeColor="text1"/>
        </w:rPr>
        <w:t>REQUISITOS PARA LA OPERACIÓN DE COMERCIALIZADORES MAYORISTAS DE GLP.</w:t>
      </w:r>
      <w:r w:rsidR="00C63048" w:rsidRPr="00DC07FC">
        <w:rPr>
          <w:rFonts w:cs="Arial"/>
          <w:b/>
          <w:color w:val="000000" w:themeColor="text1"/>
        </w:rPr>
        <w:t xml:space="preserve"> </w:t>
      </w:r>
      <w:r w:rsidR="006D7BF5" w:rsidRPr="00DC07FC">
        <w:rPr>
          <w:rFonts w:cs="Arial"/>
          <w:color w:val="000000" w:themeColor="text1"/>
        </w:rPr>
        <w:t>Para</w:t>
      </w:r>
      <w:r w:rsidR="00C63048" w:rsidRPr="00DC07FC">
        <w:rPr>
          <w:rFonts w:cs="Arial"/>
          <w:color w:val="000000" w:themeColor="text1"/>
        </w:rPr>
        <w:t xml:space="preserve"> desarrollar la actividad de comercialización mayorista </w:t>
      </w:r>
      <w:r w:rsidR="006D7BF5" w:rsidRPr="00DC07FC">
        <w:rPr>
          <w:rFonts w:cs="Arial"/>
          <w:color w:val="000000" w:themeColor="text1"/>
        </w:rPr>
        <w:t>de GLP</w:t>
      </w:r>
      <w:r w:rsidR="00C63048" w:rsidRPr="00DC07FC">
        <w:rPr>
          <w:rFonts w:cs="Arial"/>
          <w:color w:val="000000" w:themeColor="text1"/>
        </w:rPr>
        <w:t xml:space="preserve">, los comercializadores </w:t>
      </w:r>
      <w:r w:rsidRPr="00DC07FC">
        <w:rPr>
          <w:rFonts w:cs="Arial"/>
          <w:color w:val="000000" w:themeColor="text1"/>
        </w:rPr>
        <w:t xml:space="preserve">mayoristas </w:t>
      </w:r>
      <w:r w:rsidR="00C63048" w:rsidRPr="00DC07FC">
        <w:rPr>
          <w:rFonts w:cs="Arial"/>
          <w:color w:val="000000" w:themeColor="text1"/>
        </w:rPr>
        <w:t>deberán cumplir los siguientes requisitos:</w:t>
      </w:r>
      <w:bookmarkEnd w:id="17"/>
    </w:p>
    <w:p w:rsidR="00C63048" w:rsidRPr="00DC07FC" w:rsidRDefault="00C63048" w:rsidP="004C1136">
      <w:pPr>
        <w:ind w:left="0"/>
        <w:contextualSpacing/>
        <w:jc w:val="both"/>
        <w:rPr>
          <w:rFonts w:ascii="Bookman Old Style" w:hAnsi="Bookman Old Style"/>
          <w:lang w:val="es-CO"/>
        </w:rPr>
      </w:pPr>
    </w:p>
    <w:p w:rsidR="00C63048" w:rsidRPr="00DC07FC" w:rsidRDefault="00C63048" w:rsidP="00901EFF">
      <w:pPr>
        <w:pStyle w:val="Prrafodelista"/>
        <w:numPr>
          <w:ilvl w:val="0"/>
          <w:numId w:val="16"/>
        </w:numPr>
        <w:ind w:left="360"/>
        <w:contextualSpacing/>
        <w:jc w:val="both"/>
        <w:rPr>
          <w:rFonts w:ascii="Bookman Old Style" w:hAnsi="Bookman Old Style"/>
          <w:sz w:val="24"/>
          <w:szCs w:val="24"/>
        </w:rPr>
      </w:pPr>
      <w:r w:rsidRPr="00DC07FC">
        <w:rPr>
          <w:rFonts w:ascii="Bookman Old Style" w:hAnsi="Bookman Old Style"/>
          <w:sz w:val="24"/>
          <w:szCs w:val="24"/>
        </w:rPr>
        <w:t xml:space="preserve">Constituirse en alguna de las formas previstas en el artículo 15 de la Ley </w:t>
      </w:r>
      <w:r w:rsidR="005F1B83" w:rsidRPr="00DC07FC">
        <w:rPr>
          <w:rFonts w:ascii="Bookman Old Style" w:hAnsi="Bookman Old Style"/>
          <w:sz w:val="24"/>
          <w:szCs w:val="24"/>
        </w:rPr>
        <w:t xml:space="preserve">142 </w:t>
      </w:r>
      <w:r w:rsidR="006D7BF5" w:rsidRPr="00DC07FC">
        <w:rPr>
          <w:rFonts w:ascii="Bookman Old Style" w:hAnsi="Bookman Old Style"/>
          <w:sz w:val="24"/>
          <w:szCs w:val="24"/>
        </w:rPr>
        <w:t>de 1994.</w:t>
      </w:r>
      <w:r w:rsidRPr="00DC07FC">
        <w:rPr>
          <w:rFonts w:ascii="Bookman Old Style" w:hAnsi="Bookman Old Style"/>
          <w:sz w:val="24"/>
          <w:szCs w:val="24"/>
        </w:rPr>
        <w:t xml:space="preserve"> </w:t>
      </w:r>
      <w:r w:rsidR="006D7BF5" w:rsidRPr="00DC07FC">
        <w:rPr>
          <w:rFonts w:ascii="Bookman Old Style" w:hAnsi="Bookman Old Style"/>
          <w:sz w:val="24"/>
          <w:szCs w:val="24"/>
        </w:rPr>
        <w:t>Estar debidamente registrado</w:t>
      </w:r>
      <w:r w:rsidRPr="00DC07FC">
        <w:rPr>
          <w:rFonts w:ascii="Bookman Old Style" w:hAnsi="Bookman Old Style"/>
          <w:sz w:val="24"/>
          <w:szCs w:val="24"/>
        </w:rPr>
        <w:t xml:space="preserve">s ante la </w:t>
      </w:r>
      <w:r w:rsidR="004D13CD" w:rsidRPr="00DC07FC">
        <w:rPr>
          <w:rFonts w:ascii="Bookman Old Style" w:hAnsi="Bookman Old Style"/>
          <w:sz w:val="24"/>
          <w:szCs w:val="24"/>
        </w:rPr>
        <w:t>SSPD</w:t>
      </w:r>
      <w:r w:rsidR="00F40C43" w:rsidRPr="00DC07FC">
        <w:rPr>
          <w:rFonts w:ascii="Bookman Old Style" w:hAnsi="Bookman Old Style"/>
          <w:sz w:val="24"/>
          <w:szCs w:val="24"/>
        </w:rPr>
        <w:t xml:space="preserve"> y h</w:t>
      </w:r>
      <w:r w:rsidRPr="00DC07FC">
        <w:rPr>
          <w:rFonts w:ascii="Bookman Old Style" w:hAnsi="Bookman Old Style"/>
          <w:sz w:val="24"/>
          <w:szCs w:val="24"/>
        </w:rPr>
        <w:t xml:space="preserve">aber informado del inicio de sus actividades a la </w:t>
      </w:r>
      <w:r w:rsidR="004D13CD" w:rsidRPr="00DC07FC">
        <w:rPr>
          <w:rFonts w:ascii="Bookman Old Style" w:hAnsi="Bookman Old Style"/>
          <w:sz w:val="24"/>
          <w:szCs w:val="24"/>
        </w:rPr>
        <w:t>CREG</w:t>
      </w:r>
      <w:r w:rsidRPr="00DC07FC">
        <w:rPr>
          <w:rFonts w:ascii="Bookman Old Style" w:hAnsi="Bookman Old Style"/>
          <w:sz w:val="24"/>
          <w:szCs w:val="24"/>
        </w:rPr>
        <w:t>.</w:t>
      </w:r>
    </w:p>
    <w:p w:rsidR="00C63048" w:rsidRPr="00DC07FC" w:rsidRDefault="00691DB6" w:rsidP="00901EFF">
      <w:pPr>
        <w:pStyle w:val="Prrafodelista"/>
        <w:numPr>
          <w:ilvl w:val="0"/>
          <w:numId w:val="16"/>
        </w:numPr>
        <w:ind w:left="360"/>
        <w:contextualSpacing/>
        <w:jc w:val="both"/>
        <w:rPr>
          <w:rFonts w:ascii="Bookman Old Style" w:hAnsi="Bookman Old Style"/>
          <w:sz w:val="24"/>
          <w:szCs w:val="24"/>
        </w:rPr>
      </w:pPr>
      <w:r>
        <w:rPr>
          <w:rFonts w:ascii="Bookman Old Style" w:hAnsi="Bookman Old Style"/>
          <w:sz w:val="24"/>
          <w:szCs w:val="24"/>
        </w:rPr>
        <w:t xml:space="preserve">Operar </w:t>
      </w:r>
      <w:r w:rsidR="00C63048" w:rsidRPr="00DC07FC">
        <w:rPr>
          <w:rFonts w:ascii="Bookman Old Style" w:hAnsi="Bookman Old Style"/>
          <w:sz w:val="24"/>
          <w:szCs w:val="24"/>
        </w:rPr>
        <w:t>los puntos de entrega</w:t>
      </w:r>
      <w:r w:rsidR="00D96F85" w:rsidRPr="00DC07FC">
        <w:rPr>
          <w:rFonts w:ascii="Bookman Old Style" w:hAnsi="Bookman Old Style"/>
          <w:sz w:val="24"/>
          <w:szCs w:val="24"/>
        </w:rPr>
        <w:t>,</w:t>
      </w:r>
      <w:r w:rsidR="00C63048" w:rsidRPr="00DC07FC">
        <w:rPr>
          <w:rFonts w:ascii="Bookman Old Style" w:hAnsi="Bookman Old Style"/>
          <w:sz w:val="24"/>
          <w:szCs w:val="24"/>
        </w:rPr>
        <w:t xml:space="preserve"> acordados en los contratos de suministro para entregar el producto</w:t>
      </w:r>
      <w:r w:rsidR="002E45E4" w:rsidRPr="00DC07FC">
        <w:rPr>
          <w:rFonts w:ascii="Bookman Old Style" w:hAnsi="Bookman Old Style"/>
          <w:sz w:val="24"/>
          <w:szCs w:val="24"/>
        </w:rPr>
        <w:t xml:space="preserve">, dándole siempre la opción al comprador de recibir el producto en </w:t>
      </w:r>
      <w:proofErr w:type="spellStart"/>
      <w:r w:rsidR="009C58D1" w:rsidRPr="00DC07FC">
        <w:rPr>
          <w:rFonts w:ascii="Bookman Old Style" w:hAnsi="Bookman Old Style"/>
          <w:sz w:val="24"/>
          <w:szCs w:val="24"/>
        </w:rPr>
        <w:t>carrotanques</w:t>
      </w:r>
      <w:proofErr w:type="spellEnd"/>
      <w:r w:rsidR="002E45E4" w:rsidRPr="00DC07FC">
        <w:rPr>
          <w:rFonts w:ascii="Bookman Old Style" w:hAnsi="Bookman Old Style"/>
          <w:sz w:val="24"/>
          <w:szCs w:val="24"/>
        </w:rPr>
        <w:t xml:space="preserve">. </w:t>
      </w:r>
      <w:r w:rsidR="00C63048" w:rsidRPr="00DC07FC">
        <w:rPr>
          <w:rFonts w:ascii="Bookman Old Style" w:hAnsi="Bookman Old Style"/>
          <w:sz w:val="24"/>
          <w:szCs w:val="24"/>
        </w:rPr>
        <w:t>Haber registrado estas instalaciones en los aplicativos que para el efecto disponga el SUI.</w:t>
      </w:r>
    </w:p>
    <w:p w:rsidR="00C63048" w:rsidRPr="00DC07FC" w:rsidRDefault="00C63048" w:rsidP="00901EFF">
      <w:pPr>
        <w:pStyle w:val="Prrafodelista"/>
        <w:numPr>
          <w:ilvl w:val="0"/>
          <w:numId w:val="16"/>
        </w:numPr>
        <w:ind w:left="360"/>
        <w:contextualSpacing/>
        <w:jc w:val="both"/>
        <w:rPr>
          <w:rFonts w:ascii="Bookman Old Style" w:hAnsi="Bookman Old Style"/>
          <w:sz w:val="24"/>
          <w:szCs w:val="24"/>
        </w:rPr>
      </w:pPr>
      <w:r w:rsidRPr="00DC07FC">
        <w:rPr>
          <w:rFonts w:ascii="Bookman Old Style" w:hAnsi="Bookman Old Style"/>
          <w:sz w:val="24"/>
          <w:szCs w:val="24"/>
        </w:rPr>
        <w:t>Para cada un</w:t>
      </w:r>
      <w:r w:rsidR="00F40C43" w:rsidRPr="00DC07FC">
        <w:rPr>
          <w:rFonts w:ascii="Bookman Old Style" w:hAnsi="Bookman Old Style"/>
          <w:sz w:val="24"/>
          <w:szCs w:val="24"/>
        </w:rPr>
        <w:t>o</w:t>
      </w:r>
      <w:r w:rsidRPr="00DC07FC">
        <w:rPr>
          <w:rFonts w:ascii="Bookman Old Style" w:hAnsi="Bookman Old Style"/>
          <w:sz w:val="24"/>
          <w:szCs w:val="24"/>
        </w:rPr>
        <w:t xml:space="preserve"> de los puntos de entrega </w:t>
      </w:r>
      <w:r w:rsidR="00691DB6">
        <w:rPr>
          <w:rFonts w:ascii="Bookman Old Style" w:hAnsi="Bookman Old Style"/>
          <w:sz w:val="24"/>
          <w:szCs w:val="24"/>
        </w:rPr>
        <w:t>que opere</w:t>
      </w:r>
      <w:r w:rsidRPr="00DC07FC">
        <w:rPr>
          <w:rFonts w:ascii="Bookman Old Style" w:hAnsi="Bookman Old Style"/>
          <w:sz w:val="24"/>
          <w:szCs w:val="24"/>
        </w:rPr>
        <w:t>, contar con las certificaciones de conformidad exigidas en los reglamentos técnicos del MME</w:t>
      </w:r>
      <w:r w:rsidR="002810D4" w:rsidRPr="00DC07FC">
        <w:rPr>
          <w:rFonts w:ascii="Bookman Old Style" w:hAnsi="Bookman Old Style"/>
          <w:sz w:val="24"/>
          <w:szCs w:val="24"/>
        </w:rPr>
        <w:t xml:space="preserve"> </w:t>
      </w:r>
      <w:r w:rsidRPr="00DC07FC">
        <w:rPr>
          <w:rFonts w:ascii="Bookman Old Style" w:hAnsi="Bookman Old Style"/>
          <w:sz w:val="24"/>
          <w:szCs w:val="24"/>
        </w:rPr>
        <w:t>o las condiciones que allí se especifiquen</w:t>
      </w:r>
      <w:r w:rsidR="00585799" w:rsidRPr="00DC07FC">
        <w:rPr>
          <w:rFonts w:ascii="Bookman Old Style" w:hAnsi="Bookman Old Style"/>
          <w:sz w:val="24"/>
          <w:szCs w:val="24"/>
        </w:rPr>
        <w:t>,</w:t>
      </w:r>
      <w:r w:rsidRPr="00DC07FC">
        <w:rPr>
          <w:rFonts w:ascii="Bookman Old Style" w:hAnsi="Bookman Old Style"/>
          <w:sz w:val="24"/>
          <w:szCs w:val="24"/>
        </w:rPr>
        <w:t xml:space="preserve"> mientras se obtienen las ce</w:t>
      </w:r>
      <w:r w:rsidR="00585799" w:rsidRPr="00DC07FC">
        <w:rPr>
          <w:rFonts w:ascii="Bookman Old Style" w:hAnsi="Bookman Old Style"/>
          <w:sz w:val="24"/>
          <w:szCs w:val="24"/>
        </w:rPr>
        <w:t>rtificaciones correspondientes.</w:t>
      </w:r>
    </w:p>
    <w:p w:rsidR="00F40C43" w:rsidRPr="00DC07FC" w:rsidRDefault="00C63048" w:rsidP="00901EFF">
      <w:pPr>
        <w:pStyle w:val="Prrafodelista"/>
        <w:numPr>
          <w:ilvl w:val="0"/>
          <w:numId w:val="16"/>
        </w:numPr>
        <w:ind w:left="360"/>
        <w:contextualSpacing/>
        <w:jc w:val="both"/>
        <w:rPr>
          <w:rFonts w:ascii="Bookman Old Style" w:hAnsi="Bookman Old Style"/>
          <w:sz w:val="24"/>
          <w:szCs w:val="24"/>
        </w:rPr>
      </w:pPr>
      <w:r w:rsidRPr="00DC07FC">
        <w:rPr>
          <w:rFonts w:ascii="Bookman Old Style" w:hAnsi="Bookman Old Style"/>
          <w:sz w:val="24"/>
          <w:szCs w:val="24"/>
        </w:rPr>
        <w:lastRenderedPageBreak/>
        <w:t xml:space="preserve">Mantener pólizas de responsabilidad civil extracontractual, expedidas por compañías de seguros establecidas legalmente en el país, que cubran los daños </w:t>
      </w:r>
      <w:r w:rsidR="004D13CD" w:rsidRPr="00DC07FC">
        <w:rPr>
          <w:rFonts w:ascii="Bookman Old Style" w:hAnsi="Bookman Old Style"/>
          <w:sz w:val="24"/>
          <w:szCs w:val="24"/>
        </w:rPr>
        <w:t xml:space="preserve">que el desarrollo de sus actividades le causen </w:t>
      </w:r>
      <w:r w:rsidRPr="00DC07FC">
        <w:rPr>
          <w:rFonts w:ascii="Bookman Old Style" w:hAnsi="Bookman Old Style"/>
          <w:sz w:val="24"/>
          <w:szCs w:val="24"/>
        </w:rPr>
        <w:t>a terceros. Estas pólizas deberán mantenerse vigentes y cubrir cada uno de los puntos de entrega de los cuales disponga, en un monto mínimo de 1</w:t>
      </w:r>
      <w:r w:rsidR="00585799" w:rsidRPr="00DC07FC">
        <w:rPr>
          <w:rFonts w:ascii="Bookman Old Style" w:hAnsi="Bookman Old Style"/>
          <w:sz w:val="24"/>
          <w:szCs w:val="24"/>
        </w:rPr>
        <w:t>,</w:t>
      </w:r>
      <w:r w:rsidRPr="00DC07FC">
        <w:rPr>
          <w:rFonts w:ascii="Bookman Old Style" w:hAnsi="Bookman Old Style"/>
          <w:sz w:val="24"/>
          <w:szCs w:val="24"/>
        </w:rPr>
        <w:t xml:space="preserve">600 SMMLV para cada instalación. En todo caso, el cubrimiento de estas pólizas debe responder a la evaluación real del riesgo por parte del comercializador </w:t>
      </w:r>
      <w:r w:rsidR="004D13CD" w:rsidRPr="00DC07FC">
        <w:rPr>
          <w:rFonts w:ascii="Bookman Old Style" w:hAnsi="Bookman Old Style"/>
          <w:sz w:val="24"/>
          <w:szCs w:val="24"/>
        </w:rPr>
        <w:t>mayorista</w:t>
      </w:r>
      <w:r w:rsidRPr="00DC07FC">
        <w:rPr>
          <w:rFonts w:ascii="Bookman Old Style" w:hAnsi="Bookman Old Style"/>
          <w:sz w:val="24"/>
          <w:szCs w:val="24"/>
        </w:rPr>
        <w:t>.</w:t>
      </w:r>
    </w:p>
    <w:p w:rsidR="00606C4D" w:rsidRPr="00DC07FC" w:rsidRDefault="00606C4D" w:rsidP="00F40C43">
      <w:pPr>
        <w:pStyle w:val="Prrafodelista"/>
        <w:ind w:left="360"/>
        <w:contextualSpacing/>
        <w:jc w:val="both"/>
        <w:rPr>
          <w:rFonts w:ascii="Bookman Old Style" w:hAnsi="Bookman Old Style"/>
          <w:sz w:val="24"/>
          <w:szCs w:val="24"/>
        </w:rPr>
      </w:pPr>
    </w:p>
    <w:p w:rsidR="00C63048" w:rsidRPr="00DC07FC" w:rsidRDefault="00B075EF" w:rsidP="00D444D6">
      <w:pPr>
        <w:pStyle w:val="ARTICULOS"/>
        <w:numPr>
          <w:ilvl w:val="0"/>
          <w:numId w:val="2"/>
        </w:numPr>
        <w:tabs>
          <w:tab w:val="left" w:pos="1701"/>
        </w:tabs>
        <w:ind w:left="0" w:firstLine="0"/>
        <w:contextualSpacing/>
        <w:outlineLvl w:val="2"/>
        <w:rPr>
          <w:rFonts w:cs="Arial"/>
          <w:b/>
          <w:color w:val="000000" w:themeColor="text1"/>
        </w:rPr>
      </w:pPr>
      <w:bookmarkStart w:id="18" w:name="_Ref462923284"/>
      <w:r w:rsidRPr="00DC07FC">
        <w:rPr>
          <w:rFonts w:cs="Arial"/>
          <w:b/>
          <w:color w:val="000000" w:themeColor="text1"/>
        </w:rPr>
        <w:t xml:space="preserve">OBLIGACIONES DE LOS COMERCIALIZADORES </w:t>
      </w:r>
      <w:r w:rsidR="00CA0969" w:rsidRPr="00DC07FC">
        <w:rPr>
          <w:rFonts w:cs="Arial"/>
          <w:b/>
          <w:color w:val="000000" w:themeColor="text1"/>
        </w:rPr>
        <w:t>MAYORISTAS.</w:t>
      </w:r>
      <w:bookmarkEnd w:id="18"/>
    </w:p>
    <w:p w:rsidR="00615FEC" w:rsidRPr="00DC07FC" w:rsidRDefault="00615FEC" w:rsidP="004C1136">
      <w:pPr>
        <w:ind w:left="0"/>
        <w:contextualSpacing/>
        <w:jc w:val="both"/>
        <w:rPr>
          <w:rFonts w:ascii="Bookman Old Style" w:hAnsi="Bookman Old Style"/>
          <w:lang w:val="es-CO"/>
        </w:rPr>
      </w:pPr>
    </w:p>
    <w:p w:rsidR="00615FEC" w:rsidRPr="00DC07FC" w:rsidRDefault="00615FEC" w:rsidP="00901EFF">
      <w:pPr>
        <w:pStyle w:val="Prrafodelista"/>
        <w:numPr>
          <w:ilvl w:val="0"/>
          <w:numId w:val="20"/>
        </w:numPr>
        <w:contextualSpacing/>
        <w:jc w:val="both"/>
        <w:rPr>
          <w:rFonts w:ascii="Bookman Old Style" w:hAnsi="Bookman Old Style"/>
          <w:sz w:val="24"/>
          <w:szCs w:val="24"/>
        </w:rPr>
      </w:pPr>
      <w:r w:rsidRPr="00DC07FC">
        <w:rPr>
          <w:rFonts w:ascii="Bookman Old Style" w:hAnsi="Bookman Old Style"/>
          <w:sz w:val="24"/>
          <w:szCs w:val="24"/>
        </w:rPr>
        <w:t>Es obligación de los comercializadores mayoristas, previo a la suscripción de un contrato de suministro:</w:t>
      </w:r>
    </w:p>
    <w:p w:rsidR="00615FEC" w:rsidRPr="00DC07FC" w:rsidRDefault="00615FEC" w:rsidP="004C1136">
      <w:pPr>
        <w:ind w:left="0"/>
        <w:contextualSpacing/>
        <w:jc w:val="both"/>
        <w:rPr>
          <w:rFonts w:ascii="Bookman Old Style" w:hAnsi="Bookman Old Style"/>
          <w:lang w:val="es-CO"/>
        </w:rPr>
      </w:pPr>
    </w:p>
    <w:p w:rsidR="00615FEC" w:rsidRPr="00FD0BA4" w:rsidRDefault="00615FEC" w:rsidP="00901EFF">
      <w:pPr>
        <w:pStyle w:val="Prrafodelista"/>
        <w:numPr>
          <w:ilvl w:val="0"/>
          <w:numId w:val="17"/>
        </w:numPr>
        <w:ind w:left="720"/>
        <w:contextualSpacing/>
        <w:jc w:val="both"/>
        <w:rPr>
          <w:rFonts w:ascii="Bookman Old Style" w:hAnsi="Bookman Old Style"/>
          <w:sz w:val="24"/>
          <w:szCs w:val="24"/>
        </w:rPr>
      </w:pPr>
      <w:r w:rsidRPr="00FD0BA4">
        <w:rPr>
          <w:rFonts w:ascii="Bookman Old Style" w:hAnsi="Bookman Old Style"/>
          <w:sz w:val="24"/>
          <w:szCs w:val="24"/>
        </w:rPr>
        <w:t>Verificar a través del SUI que los comercializadores mayoristas, a los que vende</w:t>
      </w:r>
      <w:r w:rsidR="004312C3" w:rsidRPr="00FD0BA4">
        <w:rPr>
          <w:rFonts w:ascii="Bookman Old Style" w:hAnsi="Bookman Old Style"/>
          <w:sz w:val="24"/>
          <w:szCs w:val="24"/>
        </w:rPr>
        <w:t xml:space="preserve"> GLP</w:t>
      </w:r>
      <w:r w:rsidRPr="00FD0BA4">
        <w:rPr>
          <w:rFonts w:ascii="Bookman Old Style" w:hAnsi="Bookman Old Style"/>
          <w:sz w:val="24"/>
          <w:szCs w:val="24"/>
        </w:rPr>
        <w:t>, cumplen los requisitos establecidos en el</w:t>
      </w:r>
      <w:r w:rsidR="00674FDA">
        <w:rPr>
          <w:rFonts w:ascii="Bookman Old Style" w:hAnsi="Bookman Old Style"/>
          <w:sz w:val="24"/>
          <w:szCs w:val="24"/>
        </w:rPr>
        <w:t xml:space="preserve"> artículo 13</w:t>
      </w:r>
      <w:r w:rsidRPr="00FD0BA4">
        <w:rPr>
          <w:rFonts w:ascii="Bookman Old Style" w:hAnsi="Bookman Old Style"/>
          <w:sz w:val="24"/>
          <w:szCs w:val="24"/>
        </w:rPr>
        <w:t xml:space="preserve"> de esta resolución o aquellas que la modifiquen, complementen o sustituyan.</w:t>
      </w:r>
    </w:p>
    <w:p w:rsidR="00615FEC" w:rsidRPr="00DC07FC" w:rsidRDefault="004312C3" w:rsidP="00901EFF">
      <w:pPr>
        <w:pStyle w:val="Prrafodelista"/>
        <w:numPr>
          <w:ilvl w:val="0"/>
          <w:numId w:val="17"/>
        </w:numPr>
        <w:ind w:left="720"/>
        <w:contextualSpacing/>
        <w:jc w:val="both"/>
        <w:rPr>
          <w:rFonts w:ascii="Bookman Old Style" w:hAnsi="Bookman Old Style" w:cs="Arial"/>
          <w:sz w:val="24"/>
          <w:szCs w:val="24"/>
        </w:rPr>
      </w:pPr>
      <w:r w:rsidRPr="00DC07FC">
        <w:rPr>
          <w:rFonts w:ascii="Bookman Old Style" w:hAnsi="Bookman Old Style"/>
          <w:sz w:val="24"/>
          <w:szCs w:val="24"/>
        </w:rPr>
        <w:t>Verificar a</w:t>
      </w:r>
      <w:r w:rsidR="00615FEC" w:rsidRPr="00DC07FC">
        <w:rPr>
          <w:rFonts w:ascii="Bookman Old Style" w:hAnsi="Bookman Old Style"/>
          <w:sz w:val="24"/>
          <w:szCs w:val="24"/>
        </w:rPr>
        <w:t xml:space="preserve"> través del SUI que los distribuidores</w:t>
      </w:r>
      <w:r w:rsidRPr="00DC07FC">
        <w:rPr>
          <w:rFonts w:ascii="Bookman Old Style" w:hAnsi="Bookman Old Style"/>
          <w:sz w:val="24"/>
          <w:szCs w:val="24"/>
        </w:rPr>
        <w:t>, a los que vende GLP,</w:t>
      </w:r>
      <w:r w:rsidR="00615FEC" w:rsidRPr="00DC07FC">
        <w:rPr>
          <w:rFonts w:ascii="Bookman Old Style" w:hAnsi="Bookman Old Style"/>
          <w:sz w:val="24"/>
          <w:szCs w:val="24"/>
        </w:rPr>
        <w:t xml:space="preserve"> cumplen los requisitos establecidos en la Resolución CREG 023 de 2008, o aquellas que la modifiquen, complementen o sustituyan.</w:t>
      </w:r>
      <w:r w:rsidR="00FD0BA4">
        <w:rPr>
          <w:rFonts w:ascii="Bookman Old Style" w:hAnsi="Bookman Old Style"/>
          <w:sz w:val="24"/>
          <w:szCs w:val="24"/>
        </w:rPr>
        <w:t xml:space="preserve"> </w:t>
      </w:r>
      <w:r w:rsidR="00615FEC" w:rsidRPr="00DC07FC">
        <w:rPr>
          <w:rFonts w:ascii="Bookman Old Style" w:hAnsi="Bookman Old Style" w:cs="Arial"/>
          <w:sz w:val="24"/>
          <w:szCs w:val="24"/>
        </w:rPr>
        <w:t>Cuando se trate de distribuidores de GLP por redes</w:t>
      </w:r>
      <w:r w:rsidRPr="00DC07FC">
        <w:rPr>
          <w:rFonts w:ascii="Bookman Old Style" w:hAnsi="Bookman Old Style" w:cs="Arial"/>
          <w:sz w:val="24"/>
          <w:szCs w:val="24"/>
        </w:rPr>
        <w:t>, verificar</w:t>
      </w:r>
      <w:r w:rsidR="00615FEC" w:rsidRPr="00DC07FC">
        <w:rPr>
          <w:rFonts w:ascii="Bookman Old Style" w:hAnsi="Bookman Old Style" w:cs="Arial"/>
          <w:sz w:val="24"/>
          <w:szCs w:val="24"/>
        </w:rPr>
        <w:t xml:space="preserve"> que estos cumplen los requisitos dispuestos en la normatividad vigente aplicable a la distribución de gas combustible por redes.</w:t>
      </w:r>
    </w:p>
    <w:p w:rsidR="00615FEC" w:rsidRPr="00DC07FC" w:rsidRDefault="004312C3" w:rsidP="00901EFF">
      <w:pPr>
        <w:pStyle w:val="Prrafodelista"/>
        <w:numPr>
          <w:ilvl w:val="0"/>
          <w:numId w:val="17"/>
        </w:numPr>
        <w:ind w:left="709"/>
        <w:contextualSpacing/>
        <w:jc w:val="both"/>
        <w:rPr>
          <w:rFonts w:ascii="Bookman Old Style" w:hAnsi="Bookman Old Style"/>
          <w:sz w:val="24"/>
          <w:szCs w:val="24"/>
        </w:rPr>
      </w:pPr>
      <w:r w:rsidRPr="00DC07FC">
        <w:rPr>
          <w:rFonts w:ascii="Bookman Old Style" w:hAnsi="Bookman Old Style"/>
          <w:sz w:val="24"/>
          <w:szCs w:val="24"/>
        </w:rPr>
        <w:t>Verificar a través del SUI q</w:t>
      </w:r>
      <w:r w:rsidR="00615FEC" w:rsidRPr="00DC07FC">
        <w:rPr>
          <w:rFonts w:ascii="Bookman Old Style" w:hAnsi="Bookman Old Style"/>
          <w:sz w:val="24"/>
          <w:szCs w:val="24"/>
        </w:rPr>
        <w:t>ue los usuarios no regulados</w:t>
      </w:r>
      <w:r w:rsidRPr="00DC07FC">
        <w:rPr>
          <w:rFonts w:ascii="Bookman Old Style" w:hAnsi="Bookman Old Style"/>
          <w:sz w:val="24"/>
          <w:szCs w:val="24"/>
        </w:rPr>
        <w:t>, a los que vende GLP,</w:t>
      </w:r>
      <w:r w:rsidR="00615FEC" w:rsidRPr="00DC07FC">
        <w:rPr>
          <w:rFonts w:ascii="Bookman Old Style" w:hAnsi="Bookman Old Style"/>
          <w:sz w:val="24"/>
          <w:szCs w:val="24"/>
        </w:rPr>
        <w:t xml:space="preserve"> cumplen los requisitos exigidos e</w:t>
      </w:r>
      <w:r w:rsidR="00615FEC" w:rsidRPr="00FD0BA4">
        <w:rPr>
          <w:rFonts w:ascii="Bookman Old Style" w:hAnsi="Bookman Old Style"/>
          <w:sz w:val="24"/>
          <w:szCs w:val="24"/>
        </w:rPr>
        <w:t>n el</w:t>
      </w:r>
      <w:r w:rsidR="00674FDA">
        <w:rPr>
          <w:rFonts w:ascii="Bookman Old Style" w:hAnsi="Bookman Old Style"/>
          <w:sz w:val="24"/>
          <w:szCs w:val="24"/>
        </w:rPr>
        <w:t xml:space="preserve"> artículo 17</w:t>
      </w:r>
      <w:r w:rsidR="00615FEC" w:rsidRPr="00FD0BA4">
        <w:rPr>
          <w:rFonts w:ascii="Bookman Old Style" w:hAnsi="Bookman Old Style"/>
          <w:sz w:val="24"/>
          <w:szCs w:val="24"/>
        </w:rPr>
        <w:t xml:space="preserve"> de esta resolución</w:t>
      </w:r>
      <w:r w:rsidR="00922B1B" w:rsidRPr="00FD0BA4">
        <w:rPr>
          <w:rFonts w:ascii="Bookman Old Style" w:hAnsi="Bookman Old Style"/>
          <w:sz w:val="24"/>
          <w:szCs w:val="24"/>
        </w:rPr>
        <w:t>,</w:t>
      </w:r>
      <w:r w:rsidR="00615FEC" w:rsidRPr="00FD0BA4">
        <w:rPr>
          <w:rFonts w:ascii="Bookman Old Style" w:hAnsi="Bookman Old Style"/>
          <w:sz w:val="24"/>
          <w:szCs w:val="24"/>
        </w:rPr>
        <w:t xml:space="preserve"> o aquellas que la modifiquen, complementen o sustituyan</w:t>
      </w:r>
      <w:r w:rsidR="00922B1B" w:rsidRPr="00FD0BA4">
        <w:rPr>
          <w:rFonts w:ascii="Bookman Old Style" w:hAnsi="Bookman Old Style"/>
          <w:sz w:val="24"/>
          <w:szCs w:val="24"/>
        </w:rPr>
        <w:t>; y que las cantidades de GLP solicitadas por el U</w:t>
      </w:r>
      <w:r w:rsidR="00922B1B" w:rsidRPr="00DC07FC">
        <w:rPr>
          <w:rFonts w:ascii="Bookman Old Style" w:hAnsi="Bookman Old Style"/>
          <w:sz w:val="24"/>
          <w:szCs w:val="24"/>
        </w:rPr>
        <w:t>NR son acordes con su consumo</w:t>
      </w:r>
      <w:r w:rsidR="00615FEC" w:rsidRPr="00DC07FC">
        <w:rPr>
          <w:rFonts w:ascii="Bookman Old Style" w:hAnsi="Bookman Old Style"/>
          <w:sz w:val="24"/>
          <w:szCs w:val="24"/>
        </w:rPr>
        <w:t>.</w:t>
      </w:r>
    </w:p>
    <w:p w:rsidR="00615FEC" w:rsidRPr="00DC07FC" w:rsidRDefault="00615FEC" w:rsidP="004C1136">
      <w:pPr>
        <w:ind w:left="0"/>
        <w:contextualSpacing/>
        <w:jc w:val="both"/>
        <w:rPr>
          <w:rFonts w:ascii="Bookman Old Style" w:hAnsi="Bookman Old Style"/>
          <w:lang w:val="es-CO"/>
        </w:rPr>
      </w:pPr>
    </w:p>
    <w:p w:rsidR="00CA0969" w:rsidRPr="00DC07FC" w:rsidRDefault="00CA0969" w:rsidP="00901EFF">
      <w:pPr>
        <w:pStyle w:val="Prrafodelista"/>
        <w:numPr>
          <w:ilvl w:val="0"/>
          <w:numId w:val="20"/>
        </w:numPr>
        <w:contextualSpacing/>
        <w:jc w:val="both"/>
        <w:rPr>
          <w:rFonts w:ascii="Bookman Old Style" w:hAnsi="Bookman Old Style"/>
          <w:sz w:val="24"/>
          <w:szCs w:val="24"/>
        </w:rPr>
      </w:pPr>
      <w:r w:rsidRPr="00DC07FC">
        <w:rPr>
          <w:rFonts w:ascii="Bookman Old Style" w:hAnsi="Bookman Old Style"/>
          <w:sz w:val="24"/>
          <w:szCs w:val="24"/>
        </w:rPr>
        <w:t>Es obligación de los comercializadores mayoristas, al ofrecer y vender GLP:</w:t>
      </w:r>
    </w:p>
    <w:p w:rsidR="00CA0969" w:rsidRPr="00DC07FC" w:rsidRDefault="00CA0969" w:rsidP="004C1136">
      <w:pPr>
        <w:ind w:left="0"/>
        <w:contextualSpacing/>
        <w:jc w:val="both"/>
        <w:rPr>
          <w:rFonts w:ascii="Bookman Old Style" w:hAnsi="Bookman Old Style"/>
          <w:lang w:val="es-CO"/>
        </w:rPr>
      </w:pPr>
    </w:p>
    <w:p w:rsidR="00C63048" w:rsidRPr="00DC07FC" w:rsidRDefault="00C63048" w:rsidP="00901EFF">
      <w:pPr>
        <w:pStyle w:val="Prrafodelista"/>
        <w:numPr>
          <w:ilvl w:val="0"/>
          <w:numId w:val="19"/>
        </w:numPr>
        <w:contextualSpacing/>
        <w:jc w:val="both"/>
        <w:rPr>
          <w:rFonts w:ascii="Bookman Old Style" w:hAnsi="Bookman Old Style"/>
          <w:sz w:val="24"/>
          <w:szCs w:val="24"/>
        </w:rPr>
      </w:pPr>
      <w:r w:rsidRPr="00DC07FC">
        <w:rPr>
          <w:rFonts w:ascii="Bookman Old Style" w:hAnsi="Bookman Old Style"/>
          <w:sz w:val="24"/>
          <w:szCs w:val="24"/>
        </w:rPr>
        <w:t>Abstenerse de ofrecer y vender GLP</w:t>
      </w:r>
      <w:r w:rsidR="00B075EF" w:rsidRPr="00DC07FC">
        <w:rPr>
          <w:rFonts w:ascii="Bookman Old Style" w:hAnsi="Bookman Old Style"/>
          <w:sz w:val="24"/>
          <w:szCs w:val="24"/>
        </w:rPr>
        <w:t xml:space="preserve">, cuyo destino es el </w:t>
      </w:r>
      <w:r w:rsidRPr="00DC07FC">
        <w:rPr>
          <w:rFonts w:ascii="Bookman Old Style" w:hAnsi="Bookman Old Style"/>
          <w:sz w:val="24"/>
          <w:szCs w:val="24"/>
        </w:rPr>
        <w:t>servicio público domiciliario</w:t>
      </w:r>
      <w:r w:rsidR="00B075EF" w:rsidRPr="00DC07FC">
        <w:rPr>
          <w:rFonts w:ascii="Bookman Old Style" w:hAnsi="Bookman Old Style"/>
          <w:sz w:val="24"/>
          <w:szCs w:val="24"/>
        </w:rPr>
        <w:t>,</w:t>
      </w:r>
      <w:r w:rsidRPr="00DC07FC">
        <w:rPr>
          <w:rFonts w:ascii="Bookman Old Style" w:hAnsi="Bookman Old Style"/>
          <w:sz w:val="24"/>
          <w:szCs w:val="24"/>
        </w:rPr>
        <w:t xml:space="preserve"> a comercializadores </w:t>
      </w:r>
      <w:r w:rsidR="00B075EF" w:rsidRPr="00DC07FC">
        <w:rPr>
          <w:rFonts w:ascii="Bookman Old Style" w:hAnsi="Bookman Old Style"/>
          <w:sz w:val="24"/>
          <w:szCs w:val="24"/>
        </w:rPr>
        <w:t>mayoristas</w:t>
      </w:r>
      <w:r w:rsidRPr="00DC07FC">
        <w:rPr>
          <w:rFonts w:ascii="Bookman Old Style" w:hAnsi="Bookman Old Style"/>
          <w:sz w:val="24"/>
          <w:szCs w:val="24"/>
        </w:rPr>
        <w:t>, distribuidores o usuarios no regulados que no cumplen los requisitos establecidos en la regulación.</w:t>
      </w:r>
    </w:p>
    <w:p w:rsidR="00B075EF" w:rsidRPr="00FD0BA4" w:rsidRDefault="00C63048" w:rsidP="00901EFF">
      <w:pPr>
        <w:pStyle w:val="Prrafodelista"/>
        <w:numPr>
          <w:ilvl w:val="0"/>
          <w:numId w:val="19"/>
        </w:numPr>
        <w:contextualSpacing/>
        <w:jc w:val="both"/>
        <w:rPr>
          <w:rFonts w:ascii="Bookman Old Style" w:hAnsi="Bookman Old Style"/>
          <w:sz w:val="24"/>
          <w:szCs w:val="24"/>
        </w:rPr>
      </w:pPr>
      <w:r w:rsidRPr="00DC07FC">
        <w:rPr>
          <w:rFonts w:ascii="Bookman Old Style" w:hAnsi="Bookman Old Style"/>
          <w:sz w:val="24"/>
          <w:szCs w:val="24"/>
        </w:rPr>
        <w:t>Vender el producto a través de contratos de suministro</w:t>
      </w:r>
      <w:r w:rsidR="00B075EF" w:rsidRPr="00DC07FC">
        <w:rPr>
          <w:rFonts w:ascii="Bookman Old Style" w:hAnsi="Bookman Old Style"/>
          <w:sz w:val="24"/>
          <w:szCs w:val="24"/>
        </w:rPr>
        <w:t>,</w:t>
      </w:r>
      <w:r w:rsidRPr="00DC07FC">
        <w:rPr>
          <w:rFonts w:ascii="Bookman Old Style" w:hAnsi="Bookman Old Style"/>
          <w:sz w:val="24"/>
          <w:szCs w:val="24"/>
        </w:rPr>
        <w:t xml:space="preserve"> en los cuales se deben pactar condiciones que garanticen la confiabilidad, oportunidad y calidad del producto</w:t>
      </w:r>
      <w:r w:rsidR="00B075EF" w:rsidRPr="00DC07FC">
        <w:rPr>
          <w:rFonts w:ascii="Bookman Old Style" w:hAnsi="Bookman Old Style"/>
          <w:sz w:val="24"/>
          <w:szCs w:val="24"/>
        </w:rPr>
        <w:t>,</w:t>
      </w:r>
      <w:r w:rsidRPr="00DC07FC">
        <w:rPr>
          <w:rFonts w:ascii="Bookman Old Style" w:hAnsi="Bookman Old Style"/>
          <w:sz w:val="24"/>
          <w:szCs w:val="24"/>
        </w:rPr>
        <w:t xml:space="preserve"> previstas en la regulación, especificando como mínimo las condiciones establecidas en </w:t>
      </w:r>
      <w:r w:rsidRPr="00FD0BA4">
        <w:rPr>
          <w:rFonts w:ascii="Bookman Old Style" w:hAnsi="Bookman Old Style"/>
          <w:sz w:val="24"/>
          <w:szCs w:val="24"/>
        </w:rPr>
        <w:t>el</w:t>
      </w:r>
      <w:r w:rsidR="00674FDA">
        <w:rPr>
          <w:rFonts w:ascii="Bookman Old Style" w:hAnsi="Bookman Old Style"/>
          <w:sz w:val="24"/>
          <w:szCs w:val="24"/>
        </w:rPr>
        <w:t xml:space="preserve"> artículo 7</w:t>
      </w:r>
      <w:r w:rsidR="00992531" w:rsidRPr="00FD0BA4">
        <w:rPr>
          <w:rFonts w:ascii="Bookman Old Style" w:hAnsi="Bookman Old Style"/>
          <w:sz w:val="24"/>
          <w:szCs w:val="24"/>
        </w:rPr>
        <w:t xml:space="preserve"> </w:t>
      </w:r>
      <w:r w:rsidRPr="00FD0BA4">
        <w:rPr>
          <w:rFonts w:ascii="Bookman Old Style" w:hAnsi="Bookman Old Style"/>
          <w:sz w:val="24"/>
          <w:szCs w:val="24"/>
        </w:rPr>
        <w:t>de esta resolución</w:t>
      </w:r>
      <w:r w:rsidR="00B075EF" w:rsidRPr="00FD0BA4">
        <w:rPr>
          <w:rFonts w:ascii="Bookman Old Style" w:hAnsi="Bookman Old Style"/>
          <w:sz w:val="24"/>
          <w:szCs w:val="24"/>
        </w:rPr>
        <w:t>.</w:t>
      </w:r>
    </w:p>
    <w:p w:rsidR="00C63048" w:rsidRPr="00DC07FC" w:rsidRDefault="00B075EF" w:rsidP="00901EFF">
      <w:pPr>
        <w:pStyle w:val="Prrafodelista"/>
        <w:numPr>
          <w:ilvl w:val="0"/>
          <w:numId w:val="19"/>
        </w:numPr>
        <w:contextualSpacing/>
        <w:jc w:val="both"/>
        <w:rPr>
          <w:rFonts w:ascii="Bookman Old Style" w:hAnsi="Bookman Old Style"/>
          <w:sz w:val="24"/>
          <w:szCs w:val="24"/>
        </w:rPr>
      </w:pPr>
      <w:r w:rsidRPr="00FD0BA4">
        <w:rPr>
          <w:rFonts w:ascii="Bookman Old Style" w:hAnsi="Bookman Old Style"/>
          <w:sz w:val="24"/>
          <w:szCs w:val="24"/>
        </w:rPr>
        <w:t xml:space="preserve">Abstenerse </w:t>
      </w:r>
      <w:r w:rsidR="00C63048" w:rsidRPr="00FD0BA4">
        <w:rPr>
          <w:rFonts w:ascii="Bookman Old Style" w:hAnsi="Bookman Old Style"/>
          <w:sz w:val="24"/>
          <w:szCs w:val="24"/>
        </w:rPr>
        <w:t>de incluir</w:t>
      </w:r>
      <w:r w:rsidR="00CA0969" w:rsidRPr="00FD0BA4">
        <w:rPr>
          <w:rFonts w:ascii="Bookman Old Style" w:hAnsi="Bookman Old Style"/>
          <w:sz w:val="24"/>
          <w:szCs w:val="24"/>
        </w:rPr>
        <w:t>, en los contratos d</w:t>
      </w:r>
      <w:r w:rsidR="00CA0969" w:rsidRPr="00DC07FC">
        <w:rPr>
          <w:rFonts w:ascii="Bookman Old Style" w:hAnsi="Bookman Old Style"/>
          <w:sz w:val="24"/>
          <w:szCs w:val="24"/>
        </w:rPr>
        <w:t>e suministro,</w:t>
      </w:r>
      <w:r w:rsidR="00C63048" w:rsidRPr="00DC07FC">
        <w:rPr>
          <w:rFonts w:ascii="Bookman Old Style" w:hAnsi="Bookman Old Style"/>
          <w:sz w:val="24"/>
          <w:szCs w:val="24"/>
        </w:rPr>
        <w:t xml:space="preserve"> cláusulas de abuso de posición dominante</w:t>
      </w:r>
      <w:r w:rsidRPr="00DC07FC">
        <w:rPr>
          <w:rFonts w:ascii="Bookman Old Style" w:hAnsi="Bookman Old Style"/>
          <w:sz w:val="24"/>
          <w:szCs w:val="24"/>
        </w:rPr>
        <w:t>,</w:t>
      </w:r>
      <w:r w:rsidR="00C63048" w:rsidRPr="00DC07FC">
        <w:rPr>
          <w:rFonts w:ascii="Bookman Old Style" w:hAnsi="Bookman Old Style"/>
          <w:sz w:val="24"/>
          <w:szCs w:val="24"/>
        </w:rPr>
        <w:t xml:space="preserve"> como las indicadas en el artículo 13 de la Ley 142 de 1994.</w:t>
      </w:r>
    </w:p>
    <w:p w:rsidR="00DE2F22" w:rsidRPr="00DC07FC" w:rsidRDefault="00DE2F22" w:rsidP="00901EFF">
      <w:pPr>
        <w:pStyle w:val="Prrafodelista"/>
        <w:numPr>
          <w:ilvl w:val="0"/>
          <w:numId w:val="19"/>
        </w:numPr>
        <w:contextualSpacing/>
        <w:jc w:val="both"/>
        <w:rPr>
          <w:rFonts w:ascii="Bookman Old Style" w:hAnsi="Bookman Old Style"/>
          <w:sz w:val="24"/>
          <w:szCs w:val="24"/>
        </w:rPr>
      </w:pPr>
      <w:r w:rsidRPr="00DC07FC">
        <w:rPr>
          <w:rFonts w:ascii="Bookman Old Style" w:hAnsi="Bookman Old Style"/>
          <w:sz w:val="24"/>
          <w:szCs w:val="24"/>
        </w:rPr>
        <w:t xml:space="preserve">Abstenerse de ofrecer y vender GLP a un distribuidor o usuario no regulado cuando, de manera directa o a través de la representación de otro comercializador de demanda, dicha oferta o venta lleve a estos agentes a exceder su capacidad </w:t>
      </w:r>
      <w:r w:rsidR="005E0EE6" w:rsidRPr="00DC07FC">
        <w:rPr>
          <w:rFonts w:ascii="Bookman Old Style" w:hAnsi="Bookman Old Style"/>
          <w:sz w:val="24"/>
          <w:szCs w:val="24"/>
        </w:rPr>
        <w:t xml:space="preserve">disponible </w:t>
      </w:r>
      <w:r w:rsidRPr="00DC07FC">
        <w:rPr>
          <w:rFonts w:ascii="Bookman Old Style" w:hAnsi="Bookman Old Style"/>
          <w:sz w:val="24"/>
          <w:szCs w:val="24"/>
        </w:rPr>
        <w:t xml:space="preserve">de compra, de acuerdo con lo previsto en </w:t>
      </w:r>
      <w:r w:rsidR="00144358">
        <w:rPr>
          <w:rFonts w:ascii="Bookman Old Style" w:hAnsi="Bookman Old Style"/>
          <w:sz w:val="24"/>
          <w:szCs w:val="24"/>
        </w:rPr>
        <w:t>la Resolución CREG 063 de 2016, o aquella que la modifique o sustituya</w:t>
      </w:r>
      <w:r w:rsidRPr="00DC07FC">
        <w:rPr>
          <w:rFonts w:ascii="Bookman Old Style" w:hAnsi="Bookman Old Style"/>
          <w:sz w:val="24"/>
          <w:szCs w:val="24"/>
        </w:rPr>
        <w:t>.</w:t>
      </w:r>
    </w:p>
    <w:p w:rsidR="00C63048" w:rsidRPr="00DC07FC" w:rsidRDefault="00C63048" w:rsidP="004C1136">
      <w:pPr>
        <w:ind w:left="0"/>
        <w:contextualSpacing/>
        <w:jc w:val="both"/>
        <w:rPr>
          <w:rFonts w:ascii="Bookman Old Style" w:hAnsi="Bookman Old Style"/>
          <w:lang w:val="es-CO"/>
        </w:rPr>
      </w:pPr>
    </w:p>
    <w:p w:rsidR="00CA0969" w:rsidRPr="00DC07FC" w:rsidRDefault="00CA0969" w:rsidP="00901EFF">
      <w:pPr>
        <w:pStyle w:val="Prrafodelista"/>
        <w:numPr>
          <w:ilvl w:val="0"/>
          <w:numId w:val="20"/>
        </w:numPr>
        <w:contextualSpacing/>
        <w:jc w:val="both"/>
        <w:rPr>
          <w:rFonts w:ascii="Bookman Old Style" w:hAnsi="Bookman Old Style"/>
          <w:sz w:val="24"/>
          <w:szCs w:val="24"/>
        </w:rPr>
      </w:pPr>
      <w:r w:rsidRPr="00DC07FC">
        <w:rPr>
          <w:rFonts w:ascii="Bookman Old Style" w:hAnsi="Bookman Old Style"/>
          <w:sz w:val="24"/>
          <w:szCs w:val="24"/>
        </w:rPr>
        <w:t>Es obligación de los comercializadores mayoristas</w:t>
      </w:r>
      <w:r w:rsidR="006B466C" w:rsidRPr="00DC07FC">
        <w:rPr>
          <w:rFonts w:ascii="Bookman Old Style" w:hAnsi="Bookman Old Style"/>
          <w:sz w:val="24"/>
          <w:szCs w:val="24"/>
        </w:rPr>
        <w:t>,</w:t>
      </w:r>
      <w:r w:rsidRPr="00DC07FC">
        <w:rPr>
          <w:rFonts w:ascii="Bookman Old Style" w:hAnsi="Bookman Old Style"/>
          <w:sz w:val="24"/>
          <w:szCs w:val="24"/>
        </w:rPr>
        <w:t xml:space="preserve"> en la entrega, manejo y medición del GLP:</w:t>
      </w:r>
    </w:p>
    <w:p w:rsidR="00C63048" w:rsidRPr="00DC07FC" w:rsidRDefault="00C63048" w:rsidP="004C1136">
      <w:pPr>
        <w:ind w:left="0"/>
        <w:contextualSpacing/>
        <w:jc w:val="both"/>
        <w:rPr>
          <w:rFonts w:ascii="Bookman Old Style" w:hAnsi="Bookman Old Style"/>
          <w:lang w:val="es-CO"/>
        </w:rPr>
      </w:pPr>
    </w:p>
    <w:p w:rsidR="003531B2" w:rsidRPr="00DC07FC" w:rsidRDefault="003531B2" w:rsidP="00901EFF">
      <w:pPr>
        <w:pStyle w:val="Prrafodelista"/>
        <w:numPr>
          <w:ilvl w:val="0"/>
          <w:numId w:val="21"/>
        </w:numPr>
        <w:ind w:right="170"/>
        <w:contextualSpacing/>
        <w:jc w:val="both"/>
        <w:rPr>
          <w:rFonts w:ascii="Bookman Old Style" w:hAnsi="Bookman Old Style" w:cs="Arial"/>
          <w:sz w:val="24"/>
          <w:szCs w:val="24"/>
        </w:rPr>
      </w:pPr>
      <w:r w:rsidRPr="00DC07FC">
        <w:rPr>
          <w:rFonts w:ascii="Bookman Old Style" w:hAnsi="Bookman Old Style" w:cs="Arial"/>
          <w:sz w:val="24"/>
          <w:szCs w:val="24"/>
        </w:rPr>
        <w:lastRenderedPageBreak/>
        <w:t>Entregar el GLP de acuerdo con las condiciones pactadas en los contratos de suministro.</w:t>
      </w:r>
    </w:p>
    <w:p w:rsidR="003531B2" w:rsidRPr="00DC07FC" w:rsidRDefault="003531B2" w:rsidP="00901EFF">
      <w:pPr>
        <w:pStyle w:val="Prrafodelista"/>
        <w:numPr>
          <w:ilvl w:val="0"/>
          <w:numId w:val="21"/>
        </w:numPr>
        <w:ind w:right="170"/>
        <w:contextualSpacing/>
        <w:jc w:val="both"/>
        <w:rPr>
          <w:rFonts w:ascii="Bookman Old Style" w:hAnsi="Bookman Old Style" w:cs="Arial"/>
          <w:sz w:val="24"/>
          <w:szCs w:val="24"/>
        </w:rPr>
      </w:pPr>
      <w:r w:rsidRPr="00DC07FC">
        <w:rPr>
          <w:rFonts w:ascii="Bookman Old Style" w:hAnsi="Bookman Old Style" w:cs="Arial"/>
          <w:sz w:val="24"/>
          <w:szCs w:val="24"/>
        </w:rPr>
        <w:t xml:space="preserve">Entregar el </w:t>
      </w:r>
      <w:r w:rsidR="002B6B87" w:rsidRPr="00DC07FC">
        <w:rPr>
          <w:rFonts w:ascii="Bookman Old Style" w:hAnsi="Bookman Old Style" w:cs="Arial"/>
          <w:sz w:val="24"/>
          <w:szCs w:val="24"/>
        </w:rPr>
        <w:t xml:space="preserve">GLP </w:t>
      </w:r>
      <w:r w:rsidRPr="00DC07FC">
        <w:rPr>
          <w:rFonts w:ascii="Bookman Old Style" w:hAnsi="Bookman Old Style" w:cs="Arial"/>
          <w:sz w:val="24"/>
          <w:szCs w:val="24"/>
        </w:rPr>
        <w:t>en el punto de entrega seleccionado por el comprador y establecido en el contrato de suministro.</w:t>
      </w:r>
      <w:r w:rsidR="00EA3C0A" w:rsidRPr="00DC07FC">
        <w:rPr>
          <w:rFonts w:ascii="Bookman Old Style" w:hAnsi="Bookman Old Style" w:cs="Arial"/>
          <w:sz w:val="24"/>
          <w:szCs w:val="24"/>
        </w:rPr>
        <w:t xml:space="preserve"> </w:t>
      </w:r>
    </w:p>
    <w:p w:rsidR="00C63048" w:rsidRPr="00DC07FC" w:rsidRDefault="00C63048" w:rsidP="00901EFF">
      <w:pPr>
        <w:pStyle w:val="Prrafodelista"/>
        <w:numPr>
          <w:ilvl w:val="0"/>
          <w:numId w:val="21"/>
        </w:numPr>
        <w:ind w:right="170"/>
        <w:contextualSpacing/>
        <w:jc w:val="both"/>
        <w:rPr>
          <w:rFonts w:ascii="Bookman Old Style" w:hAnsi="Bookman Old Style" w:cs="Arial"/>
          <w:sz w:val="24"/>
          <w:szCs w:val="24"/>
        </w:rPr>
      </w:pPr>
      <w:r w:rsidRPr="00DC07FC">
        <w:rPr>
          <w:rFonts w:ascii="Bookman Old Style" w:hAnsi="Bookman Old Style" w:cs="Arial"/>
          <w:sz w:val="24"/>
          <w:szCs w:val="24"/>
        </w:rPr>
        <w:t>Garantizar la disponibilidad de todos los medios físicos y logísticos para hacer la entrega del producto en cada uno de los puntos de entrega pactados en los contratos de suministro, correctamente medido, siendo así responsable de que la medición se haga de manera precisa y de que los equipos se encuentren adecuadamente mantenidos para tal fin.</w:t>
      </w:r>
    </w:p>
    <w:p w:rsidR="00137891" w:rsidRPr="00606C4D" w:rsidRDefault="003D6024" w:rsidP="00606C4D">
      <w:pPr>
        <w:pStyle w:val="Prrafodelista"/>
        <w:numPr>
          <w:ilvl w:val="0"/>
          <w:numId w:val="21"/>
        </w:numPr>
        <w:ind w:right="170"/>
        <w:contextualSpacing/>
        <w:jc w:val="both"/>
        <w:rPr>
          <w:rFonts w:ascii="Bookman Old Style" w:hAnsi="Bookman Old Style" w:cs="Arial"/>
          <w:sz w:val="24"/>
          <w:szCs w:val="24"/>
        </w:rPr>
      </w:pPr>
      <w:r w:rsidRPr="00DC07FC">
        <w:rPr>
          <w:rFonts w:ascii="Bookman Old Style" w:hAnsi="Bookman Old Style" w:cs="Arial"/>
          <w:sz w:val="24"/>
          <w:szCs w:val="24"/>
        </w:rPr>
        <w:t>Acogerse a lo dispuesto, en materia de medición del producto, en el Código de Medida de GLP.</w:t>
      </w:r>
    </w:p>
    <w:p w:rsidR="00C63048" w:rsidRPr="00DC07FC" w:rsidRDefault="00C63048" w:rsidP="00901EFF">
      <w:pPr>
        <w:pStyle w:val="Prrafodelista"/>
        <w:numPr>
          <w:ilvl w:val="0"/>
          <w:numId w:val="21"/>
        </w:numPr>
        <w:ind w:right="170"/>
        <w:contextualSpacing/>
        <w:jc w:val="both"/>
        <w:rPr>
          <w:rFonts w:ascii="Bookman Old Style" w:hAnsi="Bookman Old Style" w:cs="Arial"/>
          <w:sz w:val="24"/>
          <w:szCs w:val="24"/>
        </w:rPr>
      </w:pPr>
      <w:r w:rsidRPr="00DC07FC">
        <w:rPr>
          <w:rFonts w:ascii="Bookman Old Style" w:hAnsi="Bookman Old Style" w:cs="Arial"/>
          <w:sz w:val="24"/>
          <w:szCs w:val="24"/>
        </w:rPr>
        <w:t>Entregar únicamente producto cuya calidad cumpla con las especificaciones técnicas establecidas en la regulación vigente y demostrar esta situación a sus compradores en cada entrega, cumpliendo con las normas aplicables. Esta información debe ser suministrada al comprador en el momento de entrega del producto.</w:t>
      </w:r>
    </w:p>
    <w:p w:rsidR="00A45E45" w:rsidRPr="00FD0BA4" w:rsidRDefault="00A45E45" w:rsidP="00901EFF">
      <w:pPr>
        <w:pStyle w:val="Prrafodelista"/>
        <w:numPr>
          <w:ilvl w:val="0"/>
          <w:numId w:val="21"/>
        </w:numPr>
        <w:ind w:right="170"/>
        <w:contextualSpacing/>
        <w:jc w:val="both"/>
        <w:rPr>
          <w:rFonts w:ascii="Bookman Old Style" w:hAnsi="Bookman Old Style" w:cs="Arial"/>
          <w:sz w:val="24"/>
          <w:szCs w:val="24"/>
        </w:rPr>
      </w:pPr>
      <w:r w:rsidRPr="007A6614">
        <w:rPr>
          <w:rFonts w:ascii="Bookman Old Style" w:hAnsi="Bookman Old Style" w:cs="Arial"/>
          <w:sz w:val="24"/>
          <w:szCs w:val="24"/>
        </w:rPr>
        <w:t xml:space="preserve">Abstenerse de entregar o recibir producto de contratos de suministro que no se encuentren debidamente registrados ante el gestor del mercado mayorista de GLP, en los </w:t>
      </w:r>
      <w:r w:rsidRPr="00FD0BA4">
        <w:rPr>
          <w:rFonts w:ascii="Bookman Old Style" w:hAnsi="Bookman Old Style" w:cs="Arial"/>
          <w:sz w:val="24"/>
          <w:szCs w:val="24"/>
        </w:rPr>
        <w:t>términos del anexo 2 de esta resolución.</w:t>
      </w:r>
    </w:p>
    <w:p w:rsidR="0051263A" w:rsidRPr="00DC07FC" w:rsidRDefault="0051263A" w:rsidP="004C1136">
      <w:pPr>
        <w:ind w:left="0"/>
        <w:contextualSpacing/>
        <w:jc w:val="both"/>
        <w:rPr>
          <w:rFonts w:ascii="Bookman Old Style" w:hAnsi="Bookman Old Style"/>
          <w:lang w:val="es-CO"/>
        </w:rPr>
      </w:pPr>
    </w:p>
    <w:p w:rsidR="0051263A" w:rsidRPr="00DC07FC" w:rsidRDefault="0051263A" w:rsidP="00901EFF">
      <w:pPr>
        <w:pStyle w:val="Prrafodelista"/>
        <w:numPr>
          <w:ilvl w:val="0"/>
          <w:numId w:val="20"/>
        </w:numPr>
        <w:contextualSpacing/>
        <w:jc w:val="both"/>
        <w:rPr>
          <w:rFonts w:ascii="Bookman Old Style" w:hAnsi="Bookman Old Style"/>
          <w:sz w:val="24"/>
          <w:szCs w:val="24"/>
        </w:rPr>
      </w:pPr>
      <w:r w:rsidRPr="00DC07FC">
        <w:rPr>
          <w:rFonts w:ascii="Bookman Old Style" w:hAnsi="Bookman Old Style"/>
          <w:sz w:val="24"/>
          <w:szCs w:val="24"/>
        </w:rPr>
        <w:t>Es obligación de los comercializadores mayoristas</w:t>
      </w:r>
      <w:r w:rsidR="006B466C" w:rsidRPr="00DC07FC">
        <w:rPr>
          <w:rFonts w:ascii="Bookman Old Style" w:hAnsi="Bookman Old Style"/>
          <w:sz w:val="24"/>
          <w:szCs w:val="24"/>
        </w:rPr>
        <w:t>,</w:t>
      </w:r>
      <w:r w:rsidRPr="00DC07FC">
        <w:rPr>
          <w:rFonts w:ascii="Bookman Old Style" w:hAnsi="Bookman Old Style"/>
          <w:sz w:val="24"/>
          <w:szCs w:val="24"/>
        </w:rPr>
        <w:t xml:space="preserve"> </w:t>
      </w:r>
      <w:r w:rsidR="00A452C0" w:rsidRPr="00DC07FC">
        <w:rPr>
          <w:rFonts w:ascii="Bookman Old Style" w:hAnsi="Bookman Old Style"/>
          <w:sz w:val="24"/>
          <w:szCs w:val="24"/>
        </w:rPr>
        <w:t xml:space="preserve">en relación con </w:t>
      </w:r>
      <w:r w:rsidRPr="00DC07FC">
        <w:rPr>
          <w:rFonts w:ascii="Bookman Old Style" w:hAnsi="Bookman Old Style"/>
          <w:sz w:val="24"/>
          <w:szCs w:val="24"/>
        </w:rPr>
        <w:t>la continuidad del suministro:</w:t>
      </w:r>
    </w:p>
    <w:p w:rsidR="0051263A" w:rsidRPr="00DC07FC" w:rsidRDefault="0051263A" w:rsidP="004C1136">
      <w:pPr>
        <w:ind w:left="0"/>
        <w:contextualSpacing/>
        <w:jc w:val="both"/>
        <w:rPr>
          <w:rFonts w:ascii="Bookman Old Style" w:hAnsi="Bookman Old Style"/>
          <w:lang w:val="es-CO"/>
        </w:rPr>
      </w:pPr>
    </w:p>
    <w:p w:rsidR="009B2A17" w:rsidRPr="00FD0BA4" w:rsidRDefault="009B2A17" w:rsidP="00901EFF">
      <w:pPr>
        <w:pStyle w:val="Prrafodelista"/>
        <w:numPr>
          <w:ilvl w:val="0"/>
          <w:numId w:val="22"/>
        </w:numPr>
        <w:contextualSpacing/>
        <w:jc w:val="both"/>
        <w:rPr>
          <w:rFonts w:ascii="Bookman Old Style" w:hAnsi="Bookman Old Style"/>
          <w:sz w:val="24"/>
          <w:szCs w:val="24"/>
        </w:rPr>
      </w:pPr>
      <w:r w:rsidRPr="00DC07FC">
        <w:rPr>
          <w:rFonts w:ascii="Bookman Old Style" w:hAnsi="Bookman Old Style"/>
          <w:sz w:val="24"/>
          <w:szCs w:val="24"/>
        </w:rPr>
        <w:t>Garantizar la entrega de las cantidades de</w:t>
      </w:r>
      <w:r w:rsidR="000D0B11" w:rsidRPr="00DC07FC">
        <w:rPr>
          <w:rFonts w:ascii="Bookman Old Style" w:hAnsi="Bookman Old Style"/>
          <w:sz w:val="24"/>
          <w:szCs w:val="24"/>
        </w:rPr>
        <w:t xml:space="preserve"> GLP contratadas por los comprado</w:t>
      </w:r>
      <w:r w:rsidR="00A452C0" w:rsidRPr="00DC07FC">
        <w:rPr>
          <w:rFonts w:ascii="Bookman Old Style" w:hAnsi="Bookman Old Style"/>
          <w:sz w:val="24"/>
          <w:szCs w:val="24"/>
        </w:rPr>
        <w:t>re</w:t>
      </w:r>
      <w:r w:rsidR="000D0B11" w:rsidRPr="00DC07FC">
        <w:rPr>
          <w:rFonts w:ascii="Bookman Old Style" w:hAnsi="Bookman Old Style"/>
          <w:sz w:val="24"/>
          <w:szCs w:val="24"/>
        </w:rPr>
        <w:t>s</w:t>
      </w:r>
      <w:r w:rsidR="00A452C0" w:rsidRPr="00DC07FC">
        <w:rPr>
          <w:rFonts w:ascii="Bookman Old Style" w:hAnsi="Bookman Old Style"/>
          <w:sz w:val="24"/>
          <w:szCs w:val="24"/>
        </w:rPr>
        <w:t>. Las variaciones máximas establecidas</w:t>
      </w:r>
      <w:r w:rsidR="00100172" w:rsidRPr="00DC07FC">
        <w:rPr>
          <w:rFonts w:ascii="Bookman Old Style" w:hAnsi="Bookman Old Style"/>
          <w:sz w:val="24"/>
          <w:szCs w:val="24"/>
        </w:rPr>
        <w:t xml:space="preserve"> en el contrato de suministro</w:t>
      </w:r>
      <w:r w:rsidR="00A452C0" w:rsidRPr="00DC07FC">
        <w:rPr>
          <w:rFonts w:ascii="Bookman Old Style" w:hAnsi="Bookman Old Style"/>
          <w:sz w:val="24"/>
          <w:szCs w:val="24"/>
        </w:rPr>
        <w:t xml:space="preserve">, en cantidades y tiempo, que </w:t>
      </w:r>
      <w:r w:rsidR="00100172" w:rsidRPr="00DC07FC">
        <w:rPr>
          <w:rFonts w:ascii="Bookman Old Style" w:hAnsi="Bookman Old Style"/>
          <w:sz w:val="24"/>
          <w:szCs w:val="24"/>
        </w:rPr>
        <w:t xml:space="preserve">no </w:t>
      </w:r>
      <w:r w:rsidR="00A452C0" w:rsidRPr="00DC07FC">
        <w:rPr>
          <w:rFonts w:ascii="Bookman Old Style" w:hAnsi="Bookman Old Style"/>
          <w:sz w:val="24"/>
          <w:szCs w:val="24"/>
        </w:rPr>
        <w:t>se consideran in</w:t>
      </w:r>
      <w:r w:rsidR="00100172" w:rsidRPr="00DC07FC">
        <w:rPr>
          <w:rFonts w:ascii="Bookman Old Style" w:hAnsi="Bookman Old Style"/>
          <w:sz w:val="24"/>
          <w:szCs w:val="24"/>
        </w:rPr>
        <w:t>cumplimiento por parte de alguna</w:t>
      </w:r>
      <w:r w:rsidR="00A452C0" w:rsidRPr="00DC07FC">
        <w:rPr>
          <w:rFonts w:ascii="Bookman Old Style" w:hAnsi="Bookman Old Style"/>
          <w:sz w:val="24"/>
          <w:szCs w:val="24"/>
        </w:rPr>
        <w:t xml:space="preserve"> de </w:t>
      </w:r>
      <w:r w:rsidR="00100172" w:rsidRPr="00DC07FC">
        <w:rPr>
          <w:rFonts w:ascii="Bookman Old Style" w:hAnsi="Bookman Old Style"/>
          <w:sz w:val="24"/>
          <w:szCs w:val="24"/>
        </w:rPr>
        <w:t>las partes</w:t>
      </w:r>
      <w:r w:rsidR="00A452C0" w:rsidRPr="00DC07FC">
        <w:rPr>
          <w:rFonts w:ascii="Bookman Old Style" w:hAnsi="Bookman Old Style"/>
          <w:sz w:val="24"/>
          <w:szCs w:val="24"/>
        </w:rPr>
        <w:t xml:space="preserve">, hacen referencia al proceso de nominación y condiciones en la entrega y recibo de producto. En ningún caso se refieren a la modalidad del contrato de suministro, la cual es firme, </w:t>
      </w:r>
      <w:r w:rsidR="00A452C0" w:rsidRPr="00FD0BA4">
        <w:rPr>
          <w:rFonts w:ascii="Bookman Old Style" w:hAnsi="Bookman Old Style"/>
          <w:sz w:val="24"/>
          <w:szCs w:val="24"/>
        </w:rPr>
        <w:t>según lo establecido en el</w:t>
      </w:r>
      <w:r w:rsidR="00674FDA">
        <w:rPr>
          <w:rFonts w:ascii="Bookman Old Style" w:hAnsi="Bookman Old Style"/>
          <w:sz w:val="24"/>
          <w:szCs w:val="24"/>
        </w:rPr>
        <w:t xml:space="preserve"> artículo 6 </w:t>
      </w:r>
      <w:r w:rsidR="00A452C0" w:rsidRPr="00FD0BA4">
        <w:rPr>
          <w:rFonts w:ascii="Bookman Old Style" w:hAnsi="Bookman Old Style"/>
          <w:sz w:val="24"/>
          <w:szCs w:val="24"/>
        </w:rPr>
        <w:t>de esta resolución.</w:t>
      </w:r>
    </w:p>
    <w:p w:rsidR="009B2A17" w:rsidRPr="00DC07FC" w:rsidRDefault="009B2A17" w:rsidP="00901EFF">
      <w:pPr>
        <w:pStyle w:val="Prrafodelista"/>
        <w:numPr>
          <w:ilvl w:val="0"/>
          <w:numId w:val="22"/>
        </w:numPr>
        <w:contextualSpacing/>
        <w:jc w:val="both"/>
        <w:rPr>
          <w:rFonts w:ascii="Bookman Old Style" w:hAnsi="Bookman Old Style"/>
          <w:sz w:val="24"/>
          <w:szCs w:val="24"/>
        </w:rPr>
      </w:pPr>
      <w:r w:rsidRPr="00DC07FC">
        <w:rPr>
          <w:rFonts w:ascii="Bookman Old Style" w:hAnsi="Bookman Old Style"/>
          <w:sz w:val="24"/>
          <w:szCs w:val="24"/>
        </w:rPr>
        <w:t>Compensar a los compradores afectados por incumplimientos en las condiciones de entrega, en los tér</w:t>
      </w:r>
      <w:r w:rsidRPr="00FD0BA4">
        <w:rPr>
          <w:rFonts w:ascii="Bookman Old Style" w:hAnsi="Bookman Old Style"/>
          <w:sz w:val="24"/>
          <w:szCs w:val="24"/>
        </w:rPr>
        <w:t>minos establecidos en los</w:t>
      </w:r>
      <w:r w:rsidR="00674FDA">
        <w:rPr>
          <w:rFonts w:ascii="Bookman Old Style" w:hAnsi="Bookman Old Style"/>
          <w:sz w:val="24"/>
          <w:szCs w:val="24"/>
        </w:rPr>
        <w:t xml:space="preserve"> artículos 10 y 11</w:t>
      </w:r>
      <w:r w:rsidRPr="00FD0BA4">
        <w:rPr>
          <w:rFonts w:ascii="Bookman Old Style" w:hAnsi="Bookman Old Style"/>
          <w:sz w:val="24"/>
          <w:szCs w:val="24"/>
        </w:rPr>
        <w:t xml:space="preserve"> de esta resolución, s</w:t>
      </w:r>
      <w:r w:rsidRPr="00DC07FC">
        <w:rPr>
          <w:rFonts w:ascii="Bookman Old Style" w:hAnsi="Bookman Old Style"/>
          <w:sz w:val="24"/>
          <w:szCs w:val="24"/>
        </w:rPr>
        <w:t>in perjuicio de las acciones que puede adelantar la SSPD dentro del ámbito de su competencia.</w:t>
      </w:r>
    </w:p>
    <w:p w:rsidR="009B2A17" w:rsidRPr="00FD0BA4" w:rsidRDefault="00C937D4" w:rsidP="00901EFF">
      <w:pPr>
        <w:pStyle w:val="Prrafodelista"/>
        <w:numPr>
          <w:ilvl w:val="0"/>
          <w:numId w:val="22"/>
        </w:numPr>
        <w:contextualSpacing/>
        <w:jc w:val="both"/>
        <w:rPr>
          <w:rFonts w:ascii="Bookman Old Style" w:hAnsi="Bookman Old Style"/>
          <w:sz w:val="24"/>
          <w:szCs w:val="24"/>
        </w:rPr>
      </w:pPr>
      <w:r w:rsidRPr="00DC07FC">
        <w:rPr>
          <w:rFonts w:ascii="Bookman Old Style" w:hAnsi="Bookman Old Style"/>
          <w:sz w:val="24"/>
          <w:szCs w:val="24"/>
        </w:rPr>
        <w:t>I</w:t>
      </w:r>
      <w:r w:rsidR="009B2A17" w:rsidRPr="00DC07FC">
        <w:rPr>
          <w:rFonts w:ascii="Bookman Old Style" w:hAnsi="Bookman Old Style"/>
          <w:sz w:val="24"/>
          <w:szCs w:val="24"/>
        </w:rPr>
        <w:t>nformar de manera inmediata a la SSPD, a la CREG y al M</w:t>
      </w:r>
      <w:r w:rsidR="00604857" w:rsidRPr="00DC07FC">
        <w:rPr>
          <w:rFonts w:ascii="Bookman Old Style" w:hAnsi="Bookman Old Style"/>
          <w:sz w:val="24"/>
          <w:szCs w:val="24"/>
        </w:rPr>
        <w:t>ME</w:t>
      </w:r>
      <w:r w:rsidR="006A747D" w:rsidRPr="00DC07FC">
        <w:rPr>
          <w:rFonts w:ascii="Bookman Old Style" w:hAnsi="Bookman Old Style"/>
          <w:sz w:val="24"/>
          <w:szCs w:val="24"/>
        </w:rPr>
        <w:t xml:space="preserve"> </w:t>
      </w:r>
      <w:r w:rsidR="00604857" w:rsidRPr="00DC07FC">
        <w:rPr>
          <w:rFonts w:ascii="Bookman Old Style" w:hAnsi="Bookman Old Style"/>
          <w:sz w:val="24"/>
          <w:szCs w:val="24"/>
        </w:rPr>
        <w:t>si existen</w:t>
      </w:r>
      <w:r w:rsidR="009B2A17" w:rsidRPr="00DC07FC">
        <w:rPr>
          <w:rFonts w:ascii="Bookman Old Style" w:hAnsi="Bookman Old Style"/>
          <w:sz w:val="24"/>
          <w:szCs w:val="24"/>
        </w:rPr>
        <w:t xml:space="preserve"> causas que le generen imposibilidad de cumplir las condiciones de entrega del producto pactadas en sus contratos de suministro y que pueden causar desabastecimiento</w:t>
      </w:r>
      <w:r w:rsidR="006A747D" w:rsidRPr="00DC07FC">
        <w:rPr>
          <w:rFonts w:ascii="Bookman Old Style" w:hAnsi="Bookman Old Style"/>
          <w:sz w:val="24"/>
          <w:szCs w:val="24"/>
        </w:rPr>
        <w:t>,</w:t>
      </w:r>
      <w:r w:rsidR="009B2A17" w:rsidRPr="00DC07FC">
        <w:rPr>
          <w:rFonts w:ascii="Bookman Old Style" w:hAnsi="Bookman Old Style"/>
          <w:sz w:val="24"/>
          <w:szCs w:val="24"/>
        </w:rPr>
        <w:t xml:space="preserve"> </w:t>
      </w:r>
      <w:r w:rsidR="00FC0A4A" w:rsidRPr="00DC07FC">
        <w:rPr>
          <w:rFonts w:ascii="Bookman Old Style" w:hAnsi="Bookman Old Style"/>
          <w:sz w:val="24"/>
          <w:szCs w:val="24"/>
        </w:rPr>
        <w:t>de acu</w:t>
      </w:r>
      <w:r w:rsidR="00FC0A4A" w:rsidRPr="00FD0BA4">
        <w:rPr>
          <w:rFonts w:ascii="Bookman Old Style" w:hAnsi="Bookman Old Style"/>
          <w:sz w:val="24"/>
          <w:szCs w:val="24"/>
        </w:rPr>
        <w:t>erdo con lo señalado en el Decreto 2251 de 2015</w:t>
      </w:r>
      <w:r w:rsidRPr="00FD0BA4">
        <w:rPr>
          <w:rFonts w:ascii="Bookman Old Style" w:hAnsi="Bookman Old Style"/>
          <w:sz w:val="24"/>
          <w:szCs w:val="24"/>
        </w:rPr>
        <w:t xml:space="preserve">, sin perjuicio de lo dispuesto en los </w:t>
      </w:r>
      <w:r w:rsidR="00FC0A4A" w:rsidRPr="00FD0BA4">
        <w:rPr>
          <w:rFonts w:ascii="Bookman Old Style" w:hAnsi="Bookman Old Style"/>
          <w:sz w:val="24"/>
          <w:szCs w:val="24"/>
        </w:rPr>
        <w:t xml:space="preserve">artículos </w:t>
      </w:r>
      <w:r w:rsidRPr="00FD0BA4">
        <w:rPr>
          <w:rFonts w:ascii="Bookman Old Style" w:hAnsi="Bookman Old Style"/>
          <w:sz w:val="24"/>
          <w:szCs w:val="24"/>
        </w:rPr>
        <w:t>8</w:t>
      </w:r>
      <w:r w:rsidR="00FC0A4A" w:rsidRPr="00FD0BA4">
        <w:rPr>
          <w:rFonts w:ascii="Bookman Old Style" w:hAnsi="Bookman Old Style"/>
          <w:sz w:val="24"/>
          <w:szCs w:val="24"/>
        </w:rPr>
        <w:t>,</w:t>
      </w:r>
      <w:r w:rsidRPr="00FD0BA4">
        <w:rPr>
          <w:rFonts w:ascii="Bookman Old Style" w:hAnsi="Bookman Old Style"/>
          <w:sz w:val="24"/>
          <w:szCs w:val="24"/>
        </w:rPr>
        <w:t xml:space="preserve"> 9</w:t>
      </w:r>
      <w:r w:rsidR="00FC0A4A" w:rsidRPr="00FD0BA4">
        <w:rPr>
          <w:rFonts w:ascii="Bookman Old Style" w:hAnsi="Bookman Old Style"/>
          <w:sz w:val="24"/>
          <w:szCs w:val="24"/>
        </w:rPr>
        <w:t xml:space="preserve"> y 10</w:t>
      </w:r>
      <w:r w:rsidRPr="00FD0BA4">
        <w:rPr>
          <w:rFonts w:ascii="Bookman Old Style" w:hAnsi="Bookman Old Style"/>
          <w:sz w:val="24"/>
          <w:szCs w:val="24"/>
        </w:rPr>
        <w:t xml:space="preserve"> de esta resolución.</w:t>
      </w:r>
    </w:p>
    <w:p w:rsidR="00A047D4" w:rsidRPr="00DC07FC" w:rsidRDefault="00A047D4" w:rsidP="004C1136">
      <w:pPr>
        <w:ind w:left="0"/>
        <w:contextualSpacing/>
        <w:jc w:val="both"/>
        <w:rPr>
          <w:rFonts w:ascii="Bookman Old Style" w:hAnsi="Bookman Old Style"/>
          <w:lang w:val="es-CO"/>
        </w:rPr>
      </w:pPr>
    </w:p>
    <w:p w:rsidR="00A047D4" w:rsidRPr="00DC07FC" w:rsidRDefault="00A047D4" w:rsidP="00901EFF">
      <w:pPr>
        <w:pStyle w:val="Prrafodelista"/>
        <w:numPr>
          <w:ilvl w:val="0"/>
          <w:numId w:val="20"/>
        </w:numPr>
        <w:contextualSpacing/>
        <w:jc w:val="both"/>
        <w:rPr>
          <w:rFonts w:ascii="Bookman Old Style" w:hAnsi="Bookman Old Style"/>
          <w:sz w:val="24"/>
          <w:szCs w:val="24"/>
        </w:rPr>
      </w:pPr>
      <w:r w:rsidRPr="00DC07FC">
        <w:rPr>
          <w:rFonts w:ascii="Bookman Old Style" w:hAnsi="Bookman Old Style"/>
          <w:sz w:val="24"/>
          <w:szCs w:val="24"/>
        </w:rPr>
        <w:t>Es obligación de los comercializadores mayoristas</w:t>
      </w:r>
      <w:r w:rsidR="006B466C" w:rsidRPr="00DC07FC">
        <w:rPr>
          <w:rFonts w:ascii="Bookman Old Style" w:hAnsi="Bookman Old Style"/>
          <w:sz w:val="24"/>
          <w:szCs w:val="24"/>
        </w:rPr>
        <w:t>,</w:t>
      </w:r>
      <w:r w:rsidRPr="00DC07FC">
        <w:rPr>
          <w:rFonts w:ascii="Bookman Old Style" w:hAnsi="Bookman Old Style"/>
          <w:sz w:val="24"/>
          <w:szCs w:val="24"/>
        </w:rPr>
        <w:t xml:space="preserve"> en relación </w:t>
      </w:r>
      <w:r w:rsidR="00C937D4" w:rsidRPr="00DC07FC">
        <w:rPr>
          <w:rFonts w:ascii="Bookman Old Style" w:hAnsi="Bookman Old Style"/>
          <w:sz w:val="24"/>
          <w:szCs w:val="24"/>
        </w:rPr>
        <w:t>con el suministro de información</w:t>
      </w:r>
      <w:r w:rsidRPr="00DC07FC">
        <w:rPr>
          <w:rFonts w:ascii="Bookman Old Style" w:hAnsi="Bookman Old Style"/>
          <w:sz w:val="24"/>
          <w:szCs w:val="24"/>
        </w:rPr>
        <w:t>:</w:t>
      </w:r>
    </w:p>
    <w:p w:rsidR="00C937D4" w:rsidRPr="00DC07FC" w:rsidRDefault="00C937D4" w:rsidP="004C1136">
      <w:pPr>
        <w:ind w:left="0"/>
        <w:contextualSpacing/>
        <w:jc w:val="both"/>
        <w:rPr>
          <w:rFonts w:ascii="Bookman Old Style" w:hAnsi="Bookman Old Style"/>
          <w:lang w:val="es-CO"/>
        </w:rPr>
      </w:pPr>
    </w:p>
    <w:p w:rsidR="00C937D4" w:rsidRPr="00DC07FC" w:rsidRDefault="00C937D4" w:rsidP="00901EFF">
      <w:pPr>
        <w:pStyle w:val="Prrafodelista"/>
        <w:numPr>
          <w:ilvl w:val="0"/>
          <w:numId w:val="23"/>
        </w:numPr>
        <w:contextualSpacing/>
        <w:jc w:val="both"/>
        <w:rPr>
          <w:rFonts w:ascii="Bookman Old Style" w:hAnsi="Bookman Old Style"/>
          <w:sz w:val="24"/>
          <w:szCs w:val="24"/>
        </w:rPr>
      </w:pPr>
      <w:r w:rsidRPr="00DC07FC">
        <w:rPr>
          <w:rFonts w:ascii="Bookman Old Style" w:hAnsi="Bookman Old Style"/>
          <w:sz w:val="24"/>
          <w:szCs w:val="24"/>
        </w:rPr>
        <w:t xml:space="preserve">Reportar al SUI las cantidades de GLP contratadas y disponibles para contratar en cada punto de </w:t>
      </w:r>
      <w:r w:rsidR="00EA6586" w:rsidRPr="00DC07FC">
        <w:rPr>
          <w:rFonts w:ascii="Bookman Old Style" w:hAnsi="Bookman Old Style"/>
          <w:sz w:val="24"/>
          <w:szCs w:val="24"/>
        </w:rPr>
        <w:t>entrega del comercializador mayorista</w:t>
      </w:r>
      <w:r w:rsidRPr="00DC07FC">
        <w:rPr>
          <w:rFonts w:ascii="Bookman Old Style" w:hAnsi="Bookman Old Style"/>
          <w:sz w:val="24"/>
          <w:szCs w:val="24"/>
        </w:rPr>
        <w:t>, en los formatos y condiciones que para</w:t>
      </w:r>
      <w:r w:rsidR="00EA6586" w:rsidRPr="00DC07FC">
        <w:rPr>
          <w:rFonts w:ascii="Bookman Old Style" w:hAnsi="Bookman Old Style"/>
          <w:sz w:val="24"/>
          <w:szCs w:val="24"/>
        </w:rPr>
        <w:t xml:space="preserve"> el efecto allí se establezcan.</w:t>
      </w:r>
    </w:p>
    <w:p w:rsidR="00C937D4" w:rsidRPr="00DC07FC" w:rsidRDefault="00C937D4" w:rsidP="00901EFF">
      <w:pPr>
        <w:pStyle w:val="Prrafodelista"/>
        <w:numPr>
          <w:ilvl w:val="0"/>
          <w:numId w:val="23"/>
        </w:numPr>
        <w:contextualSpacing/>
        <w:jc w:val="both"/>
        <w:rPr>
          <w:rFonts w:ascii="Bookman Old Style" w:hAnsi="Bookman Old Style"/>
          <w:sz w:val="24"/>
          <w:szCs w:val="24"/>
        </w:rPr>
      </w:pPr>
      <w:r w:rsidRPr="00DC07FC">
        <w:rPr>
          <w:rFonts w:ascii="Bookman Old Style" w:hAnsi="Bookman Old Style"/>
          <w:sz w:val="24"/>
          <w:szCs w:val="24"/>
        </w:rPr>
        <w:t xml:space="preserve">Reportar al SUI la información solicitada respecto de los reportes comerciales, de calidad del producto y de activos disponibles para la </w:t>
      </w:r>
      <w:r w:rsidRPr="00DC07FC">
        <w:rPr>
          <w:rFonts w:ascii="Bookman Old Style" w:hAnsi="Bookman Old Style"/>
          <w:sz w:val="24"/>
          <w:szCs w:val="24"/>
        </w:rPr>
        <w:lastRenderedPageBreak/>
        <w:t>entrega y suministro de GLP a sus compradores, a través de los formatos y aplicacione</w:t>
      </w:r>
      <w:r w:rsidR="00EA6586" w:rsidRPr="00DC07FC">
        <w:rPr>
          <w:rFonts w:ascii="Bookman Old Style" w:hAnsi="Bookman Old Style"/>
          <w:sz w:val="24"/>
          <w:szCs w:val="24"/>
        </w:rPr>
        <w:t>s desarrolladas para el efecto.</w:t>
      </w:r>
    </w:p>
    <w:p w:rsidR="00C937D4" w:rsidRPr="00CB1C4E" w:rsidRDefault="00C937D4" w:rsidP="00901EFF">
      <w:pPr>
        <w:pStyle w:val="Prrafodelista"/>
        <w:numPr>
          <w:ilvl w:val="0"/>
          <w:numId w:val="23"/>
        </w:numPr>
        <w:contextualSpacing/>
        <w:jc w:val="both"/>
        <w:rPr>
          <w:rFonts w:ascii="Bookman Old Style" w:hAnsi="Bookman Old Style"/>
          <w:sz w:val="24"/>
          <w:szCs w:val="24"/>
        </w:rPr>
      </w:pPr>
      <w:r w:rsidRPr="00DC07FC">
        <w:rPr>
          <w:rFonts w:ascii="Bookman Old Style" w:hAnsi="Bookman Old Style"/>
          <w:sz w:val="24"/>
          <w:szCs w:val="24"/>
        </w:rPr>
        <w:t xml:space="preserve">Reportar al SUI la información correspondiente a los usuarios no regulados a </w:t>
      </w:r>
      <w:r w:rsidRPr="00CB1C4E">
        <w:rPr>
          <w:rFonts w:ascii="Bookman Old Style" w:hAnsi="Bookman Old Style"/>
          <w:sz w:val="24"/>
          <w:szCs w:val="24"/>
        </w:rPr>
        <w:t xml:space="preserve">los </w:t>
      </w:r>
      <w:r w:rsidR="00CA6B76" w:rsidRPr="00CB1C4E">
        <w:rPr>
          <w:rFonts w:ascii="Bookman Old Style" w:hAnsi="Bookman Old Style"/>
          <w:sz w:val="24"/>
          <w:szCs w:val="24"/>
        </w:rPr>
        <w:t>cuales les suministra producto.</w:t>
      </w:r>
    </w:p>
    <w:p w:rsidR="00CA6B76" w:rsidRDefault="00CA6B76" w:rsidP="00901EFF">
      <w:pPr>
        <w:pStyle w:val="Prrafodelista"/>
        <w:numPr>
          <w:ilvl w:val="0"/>
          <w:numId w:val="23"/>
        </w:numPr>
        <w:contextualSpacing/>
        <w:jc w:val="both"/>
        <w:rPr>
          <w:rFonts w:ascii="Bookman Old Style" w:hAnsi="Bookman Old Style"/>
          <w:sz w:val="24"/>
          <w:szCs w:val="24"/>
        </w:rPr>
      </w:pPr>
      <w:r w:rsidRPr="00CB1C4E">
        <w:rPr>
          <w:rFonts w:ascii="Bookman Old Style" w:hAnsi="Bookman Old Style"/>
          <w:sz w:val="24"/>
          <w:szCs w:val="24"/>
        </w:rPr>
        <w:t xml:space="preserve">Reportar, a través del SIMM, la información descrita en el anexo </w:t>
      </w:r>
      <w:r w:rsidR="00F40C43" w:rsidRPr="00CB1C4E">
        <w:rPr>
          <w:rFonts w:ascii="Bookman Old Style" w:hAnsi="Bookman Old Style"/>
          <w:sz w:val="24"/>
          <w:szCs w:val="24"/>
        </w:rPr>
        <w:t>2</w:t>
      </w:r>
      <w:r w:rsidR="007F447A" w:rsidRPr="00CB1C4E">
        <w:rPr>
          <w:rFonts w:ascii="Bookman Old Style" w:hAnsi="Bookman Old Style"/>
          <w:sz w:val="24"/>
          <w:szCs w:val="24"/>
        </w:rPr>
        <w:t xml:space="preserve"> </w:t>
      </w:r>
      <w:r w:rsidRPr="00CB1C4E">
        <w:rPr>
          <w:rFonts w:ascii="Bookman Old Style" w:hAnsi="Bookman Old Style"/>
          <w:sz w:val="24"/>
          <w:szCs w:val="24"/>
        </w:rPr>
        <w:t>de esta resolución.</w:t>
      </w:r>
    </w:p>
    <w:p w:rsidR="005D7F3D" w:rsidRPr="00CB1C4E" w:rsidRDefault="005D7F3D" w:rsidP="005D7F3D">
      <w:pPr>
        <w:pStyle w:val="Prrafodelista"/>
        <w:numPr>
          <w:ilvl w:val="0"/>
          <w:numId w:val="23"/>
        </w:numPr>
        <w:contextualSpacing/>
        <w:jc w:val="both"/>
        <w:rPr>
          <w:rFonts w:ascii="Bookman Old Style" w:hAnsi="Bookman Old Style"/>
          <w:sz w:val="24"/>
          <w:szCs w:val="24"/>
        </w:rPr>
      </w:pPr>
      <w:r w:rsidRPr="00CB1C4E">
        <w:rPr>
          <w:rFonts w:ascii="Bookman Old Style" w:hAnsi="Bookman Old Style"/>
          <w:sz w:val="24"/>
          <w:szCs w:val="24"/>
        </w:rPr>
        <w:t>Registrar ante el gestor del mercado mayorista de GLP los contratos de suministro que suscriban</w:t>
      </w:r>
      <w:r w:rsidR="00BF5C85" w:rsidRPr="00CB1C4E">
        <w:rPr>
          <w:rFonts w:ascii="Bookman Old Style" w:hAnsi="Bookman Old Style"/>
          <w:sz w:val="24"/>
          <w:szCs w:val="24"/>
        </w:rPr>
        <w:t xml:space="preserve">, </w:t>
      </w:r>
      <w:r w:rsidR="00BF5C85" w:rsidRPr="00CB1C4E">
        <w:rPr>
          <w:rFonts w:ascii="Bookman Old Style" w:hAnsi="Bookman Old Style" w:cs="Arial"/>
          <w:sz w:val="24"/>
          <w:szCs w:val="24"/>
        </w:rPr>
        <w:t>en los términos del anexo 2 de esta resolución.</w:t>
      </w:r>
    </w:p>
    <w:p w:rsidR="005A3300" w:rsidRPr="00DC07FC" w:rsidRDefault="005A3300" w:rsidP="004C1136">
      <w:pPr>
        <w:ind w:left="0" w:right="170"/>
        <w:contextualSpacing/>
        <w:jc w:val="both"/>
        <w:rPr>
          <w:rFonts w:ascii="Bookman Old Style" w:hAnsi="Bookman Old Style" w:cs="Arial"/>
        </w:rPr>
      </w:pPr>
    </w:p>
    <w:p w:rsidR="0069293F" w:rsidRPr="00DC07FC" w:rsidRDefault="006B466C" w:rsidP="00D444D6">
      <w:pPr>
        <w:pStyle w:val="ARTICULOS"/>
        <w:numPr>
          <w:ilvl w:val="0"/>
          <w:numId w:val="2"/>
        </w:numPr>
        <w:tabs>
          <w:tab w:val="left" w:pos="1701"/>
        </w:tabs>
        <w:ind w:left="0" w:firstLine="0"/>
        <w:contextualSpacing/>
        <w:outlineLvl w:val="2"/>
        <w:rPr>
          <w:rFonts w:cs="Arial"/>
          <w:b/>
          <w:color w:val="000000" w:themeColor="text1"/>
        </w:rPr>
      </w:pPr>
      <w:r w:rsidRPr="00DC07FC">
        <w:rPr>
          <w:rFonts w:cs="Arial"/>
          <w:b/>
          <w:color w:val="000000" w:themeColor="text1"/>
        </w:rPr>
        <w:t xml:space="preserve">OBLIGACIONES PARTICULARES </w:t>
      </w:r>
      <w:r w:rsidR="00BC2806" w:rsidRPr="00DC07FC">
        <w:rPr>
          <w:rFonts w:cs="Arial"/>
          <w:b/>
          <w:color w:val="000000" w:themeColor="text1"/>
        </w:rPr>
        <w:t xml:space="preserve">Y REGLAS DE PARTICIPACIÓN </w:t>
      </w:r>
      <w:r w:rsidRPr="00DC07FC">
        <w:rPr>
          <w:rFonts w:cs="Arial"/>
          <w:b/>
          <w:color w:val="000000" w:themeColor="text1"/>
        </w:rPr>
        <w:t>DE LOS COMERCIALIZADORES DE OFERTA</w:t>
      </w:r>
      <w:r w:rsidR="0069293F" w:rsidRPr="00DC07FC">
        <w:rPr>
          <w:rFonts w:cs="Arial"/>
          <w:b/>
          <w:color w:val="000000" w:themeColor="text1"/>
        </w:rPr>
        <w:t>:</w:t>
      </w:r>
    </w:p>
    <w:p w:rsidR="0069293F" w:rsidRPr="00DC07FC" w:rsidRDefault="0069293F" w:rsidP="004C1136">
      <w:pPr>
        <w:ind w:left="0"/>
        <w:contextualSpacing/>
        <w:jc w:val="both"/>
        <w:rPr>
          <w:rFonts w:ascii="Bookman Old Style" w:hAnsi="Bookman Old Style"/>
          <w:lang w:val="es-CO"/>
        </w:rPr>
      </w:pPr>
    </w:p>
    <w:p w:rsidR="00BC2806" w:rsidRPr="00DC07FC" w:rsidRDefault="00BC2806" w:rsidP="00901EFF">
      <w:pPr>
        <w:pStyle w:val="Prrafodelista"/>
        <w:numPr>
          <w:ilvl w:val="0"/>
          <w:numId w:val="33"/>
        </w:numPr>
        <w:contextualSpacing/>
        <w:jc w:val="both"/>
        <w:rPr>
          <w:rFonts w:ascii="Bookman Old Style" w:hAnsi="Bookman Old Style"/>
          <w:sz w:val="24"/>
          <w:szCs w:val="24"/>
        </w:rPr>
      </w:pPr>
      <w:r w:rsidRPr="00DC07FC">
        <w:rPr>
          <w:rFonts w:ascii="Bookman Old Style" w:hAnsi="Bookman Old Style"/>
          <w:sz w:val="24"/>
          <w:szCs w:val="24"/>
        </w:rPr>
        <w:t>Son obligaciones particulares de los comercializadores de oferta:</w:t>
      </w:r>
    </w:p>
    <w:p w:rsidR="00BC2806" w:rsidRPr="00DC07FC" w:rsidRDefault="00BC2806" w:rsidP="004C1136">
      <w:pPr>
        <w:ind w:left="0"/>
        <w:contextualSpacing/>
        <w:jc w:val="both"/>
        <w:rPr>
          <w:rFonts w:ascii="Bookman Old Style" w:hAnsi="Bookman Old Style"/>
          <w:lang w:val="es-CO"/>
        </w:rPr>
      </w:pPr>
    </w:p>
    <w:p w:rsidR="0069293F" w:rsidRPr="00DC07FC" w:rsidRDefault="0069293F" w:rsidP="00901EFF">
      <w:pPr>
        <w:pStyle w:val="Prrafodelista"/>
        <w:numPr>
          <w:ilvl w:val="0"/>
          <w:numId w:val="18"/>
        </w:numPr>
        <w:ind w:left="709"/>
        <w:contextualSpacing/>
        <w:jc w:val="both"/>
        <w:rPr>
          <w:rFonts w:ascii="Bookman Old Style" w:hAnsi="Bookman Old Style"/>
          <w:sz w:val="24"/>
          <w:szCs w:val="24"/>
        </w:rPr>
      </w:pPr>
      <w:r w:rsidRPr="00DC07FC">
        <w:rPr>
          <w:rFonts w:ascii="Bookman Old Style" w:hAnsi="Bookman Old Style"/>
          <w:sz w:val="24"/>
          <w:szCs w:val="24"/>
        </w:rPr>
        <w:t>Abstenerse de asumir compromisos de exportación sin haber ofrecido previamente al mercado primar</w:t>
      </w:r>
      <w:r w:rsidR="006738E3" w:rsidRPr="00DC07FC">
        <w:rPr>
          <w:rFonts w:ascii="Bookman Old Style" w:hAnsi="Bookman Old Style"/>
          <w:sz w:val="24"/>
          <w:szCs w:val="24"/>
        </w:rPr>
        <w:t>io todo el GLP</w:t>
      </w:r>
      <w:r w:rsidR="0026420B">
        <w:rPr>
          <w:rFonts w:ascii="Bookman Old Style" w:hAnsi="Bookman Old Style"/>
          <w:sz w:val="24"/>
          <w:szCs w:val="24"/>
        </w:rPr>
        <w:t xml:space="preserve"> </w:t>
      </w:r>
      <w:r w:rsidR="006738E3" w:rsidRPr="00DC07FC">
        <w:rPr>
          <w:rFonts w:ascii="Bookman Old Style" w:hAnsi="Bookman Old Style"/>
          <w:sz w:val="24"/>
          <w:szCs w:val="24"/>
        </w:rPr>
        <w:t>del que disponen.</w:t>
      </w:r>
    </w:p>
    <w:p w:rsidR="0069293F" w:rsidRPr="00DC07FC" w:rsidRDefault="0069293F" w:rsidP="00901EFF">
      <w:pPr>
        <w:pStyle w:val="Prrafodelista"/>
        <w:numPr>
          <w:ilvl w:val="0"/>
          <w:numId w:val="18"/>
        </w:numPr>
        <w:ind w:left="709"/>
        <w:contextualSpacing/>
        <w:jc w:val="both"/>
        <w:rPr>
          <w:rFonts w:ascii="Bookman Old Style" w:hAnsi="Bookman Old Style"/>
          <w:sz w:val="24"/>
          <w:szCs w:val="24"/>
        </w:rPr>
      </w:pPr>
      <w:r w:rsidRPr="00DC07FC">
        <w:rPr>
          <w:rFonts w:ascii="Bookman Old Style" w:hAnsi="Bookman Old Style"/>
          <w:sz w:val="24"/>
          <w:szCs w:val="24"/>
        </w:rPr>
        <w:t xml:space="preserve">Ofrecer la totalidad del GLP </w:t>
      </w:r>
      <w:r w:rsidR="006F51E1" w:rsidRPr="00DC07FC">
        <w:rPr>
          <w:rFonts w:ascii="Bookman Old Style" w:hAnsi="Bookman Old Style"/>
          <w:sz w:val="24"/>
          <w:szCs w:val="24"/>
        </w:rPr>
        <w:t>disponible, pro</w:t>
      </w:r>
      <w:r w:rsidR="006F51E1" w:rsidRPr="00CB1C4E">
        <w:rPr>
          <w:rFonts w:ascii="Bookman Old Style" w:hAnsi="Bookman Old Style"/>
          <w:sz w:val="24"/>
          <w:szCs w:val="24"/>
        </w:rPr>
        <w:t xml:space="preserve">ducido en el territorio nacional, </w:t>
      </w:r>
      <w:r w:rsidRPr="00CB1C4E">
        <w:rPr>
          <w:rFonts w:ascii="Bookman Old Style" w:hAnsi="Bookman Old Style"/>
          <w:sz w:val="24"/>
          <w:szCs w:val="24"/>
        </w:rPr>
        <w:t xml:space="preserve">a través de </w:t>
      </w:r>
      <w:r w:rsidR="006F51E1" w:rsidRPr="00CB1C4E">
        <w:rPr>
          <w:rFonts w:ascii="Bookman Old Style" w:hAnsi="Bookman Old Style"/>
          <w:sz w:val="24"/>
          <w:szCs w:val="24"/>
        </w:rPr>
        <w:t xml:space="preserve">la </w:t>
      </w:r>
      <w:r w:rsidRPr="00CB1C4E">
        <w:rPr>
          <w:rFonts w:ascii="Bookman Old Style" w:hAnsi="Bookman Old Style"/>
          <w:sz w:val="24"/>
          <w:szCs w:val="24"/>
        </w:rPr>
        <w:t>subasta, de la cual trata el</w:t>
      </w:r>
      <w:r w:rsidR="007A4AC0">
        <w:rPr>
          <w:rFonts w:ascii="Bookman Old Style" w:hAnsi="Bookman Old Style"/>
          <w:sz w:val="24"/>
          <w:szCs w:val="24"/>
        </w:rPr>
        <w:t xml:space="preserve"> artículo 25</w:t>
      </w:r>
      <w:r w:rsidR="006F51E1" w:rsidRPr="00CB1C4E">
        <w:rPr>
          <w:rFonts w:ascii="Bookman Old Style" w:hAnsi="Bookman Old Style"/>
          <w:sz w:val="24"/>
          <w:szCs w:val="24"/>
        </w:rPr>
        <w:t xml:space="preserve">, en las </w:t>
      </w:r>
      <w:r w:rsidRPr="00CB1C4E">
        <w:rPr>
          <w:rFonts w:ascii="Bookman Old Style" w:hAnsi="Bookman Old Style"/>
          <w:sz w:val="24"/>
          <w:szCs w:val="24"/>
        </w:rPr>
        <w:t xml:space="preserve">condiciones establecidas en el </w:t>
      </w:r>
      <w:r w:rsidR="00A07C61" w:rsidRPr="00CB1C4E">
        <w:rPr>
          <w:rFonts w:ascii="Bookman Old Style" w:hAnsi="Bookman Old Style"/>
          <w:sz w:val="24"/>
          <w:szCs w:val="24"/>
        </w:rPr>
        <w:t xml:space="preserve">anexo </w:t>
      </w:r>
      <w:r w:rsidR="006F51E1" w:rsidRPr="00CB1C4E">
        <w:rPr>
          <w:rFonts w:ascii="Bookman Old Style" w:hAnsi="Bookman Old Style"/>
          <w:sz w:val="24"/>
          <w:szCs w:val="24"/>
        </w:rPr>
        <w:t>1</w:t>
      </w:r>
      <w:r w:rsidRPr="00CB1C4E">
        <w:rPr>
          <w:rFonts w:ascii="Bookman Old Style" w:hAnsi="Bookman Old Style"/>
          <w:sz w:val="24"/>
          <w:szCs w:val="24"/>
        </w:rPr>
        <w:t xml:space="preserve"> de esta </w:t>
      </w:r>
      <w:r w:rsidR="00D13F9D" w:rsidRPr="00CB1C4E">
        <w:rPr>
          <w:rFonts w:ascii="Bookman Old Style" w:hAnsi="Bookman Old Style"/>
          <w:sz w:val="24"/>
          <w:szCs w:val="24"/>
        </w:rPr>
        <w:t>r</w:t>
      </w:r>
      <w:r w:rsidR="00783BFF" w:rsidRPr="00CB1C4E">
        <w:rPr>
          <w:rFonts w:ascii="Bookman Old Style" w:hAnsi="Bookman Old Style"/>
          <w:sz w:val="24"/>
          <w:szCs w:val="24"/>
        </w:rPr>
        <w:t>esoluci</w:t>
      </w:r>
      <w:r w:rsidR="00783BFF" w:rsidRPr="00DC07FC">
        <w:rPr>
          <w:rFonts w:ascii="Bookman Old Style" w:hAnsi="Bookman Old Style"/>
          <w:sz w:val="24"/>
          <w:szCs w:val="24"/>
        </w:rPr>
        <w:t>ón.</w:t>
      </w:r>
    </w:p>
    <w:p w:rsidR="00BC2806" w:rsidRPr="00DC07FC" w:rsidRDefault="00BC2806" w:rsidP="00BC2806">
      <w:pPr>
        <w:pStyle w:val="ARTICULOS"/>
        <w:contextualSpacing/>
        <w:rPr>
          <w:bCs w:val="0"/>
          <w:lang w:val="es-CO" w:eastAsia="es-ES"/>
        </w:rPr>
      </w:pPr>
    </w:p>
    <w:p w:rsidR="00BC2806" w:rsidRPr="00DC07FC" w:rsidRDefault="00BC2806" w:rsidP="00901EFF">
      <w:pPr>
        <w:pStyle w:val="Prrafodelista"/>
        <w:numPr>
          <w:ilvl w:val="0"/>
          <w:numId w:val="33"/>
        </w:numPr>
        <w:contextualSpacing/>
        <w:jc w:val="both"/>
        <w:rPr>
          <w:rFonts w:ascii="Bookman Old Style" w:hAnsi="Bookman Old Style"/>
          <w:sz w:val="24"/>
          <w:szCs w:val="24"/>
        </w:rPr>
      </w:pPr>
      <w:r w:rsidRPr="00DC07FC">
        <w:rPr>
          <w:rFonts w:ascii="Bookman Old Style" w:hAnsi="Bookman Old Style"/>
          <w:sz w:val="24"/>
          <w:szCs w:val="24"/>
        </w:rPr>
        <w:t xml:space="preserve">En desarrollo de la actividad de comercialización mayorista, los comercializadores de oferta </w:t>
      </w:r>
      <w:r w:rsidR="00DB1077" w:rsidRPr="00DC07FC">
        <w:rPr>
          <w:rFonts w:ascii="Bookman Old Style" w:hAnsi="Bookman Old Style"/>
          <w:sz w:val="24"/>
          <w:szCs w:val="24"/>
        </w:rPr>
        <w:t xml:space="preserve">únicamente </w:t>
      </w:r>
      <w:r w:rsidRPr="00DC07FC">
        <w:rPr>
          <w:rFonts w:ascii="Bookman Old Style" w:hAnsi="Bookman Old Style"/>
          <w:sz w:val="24"/>
          <w:szCs w:val="24"/>
        </w:rPr>
        <w:t>podrán:</w:t>
      </w:r>
    </w:p>
    <w:p w:rsidR="00BC2806" w:rsidRPr="00DC07FC" w:rsidRDefault="00BC2806" w:rsidP="00BC2806">
      <w:pPr>
        <w:pStyle w:val="ARTICULOS"/>
        <w:contextualSpacing/>
        <w:rPr>
          <w:lang w:val="es-CO"/>
        </w:rPr>
      </w:pPr>
    </w:p>
    <w:p w:rsidR="00BC2806" w:rsidRPr="00DC07FC" w:rsidRDefault="00BC2806" w:rsidP="00901EFF">
      <w:pPr>
        <w:pStyle w:val="Prrafodelista"/>
        <w:numPr>
          <w:ilvl w:val="0"/>
          <w:numId w:val="36"/>
        </w:numPr>
        <w:ind w:left="709"/>
        <w:contextualSpacing/>
        <w:jc w:val="both"/>
        <w:rPr>
          <w:rFonts w:ascii="Bookman Old Style" w:hAnsi="Bookman Old Style"/>
          <w:sz w:val="24"/>
          <w:szCs w:val="24"/>
        </w:rPr>
      </w:pPr>
      <w:r w:rsidRPr="00DC07FC">
        <w:rPr>
          <w:rFonts w:ascii="Bookman Old Style" w:hAnsi="Bookman Old Style"/>
          <w:sz w:val="24"/>
          <w:szCs w:val="24"/>
        </w:rPr>
        <w:t xml:space="preserve">Ofrecer GLP en el mercado primario a través de los mecanismos de comercialización establecidos en </w:t>
      </w:r>
      <w:r w:rsidR="006F51E1" w:rsidRPr="00DC07FC">
        <w:rPr>
          <w:rFonts w:ascii="Bookman Old Style" w:hAnsi="Bookman Old Style"/>
          <w:sz w:val="24"/>
          <w:szCs w:val="24"/>
        </w:rPr>
        <w:t>e</w:t>
      </w:r>
      <w:r w:rsidRPr="00DC07FC">
        <w:rPr>
          <w:rFonts w:ascii="Bookman Old Style" w:hAnsi="Bookman Old Style"/>
          <w:sz w:val="24"/>
          <w:szCs w:val="24"/>
        </w:rPr>
        <w:t>l</w:t>
      </w:r>
      <w:r w:rsidR="007A4AC0">
        <w:rPr>
          <w:rFonts w:ascii="Bookman Old Style" w:hAnsi="Bookman Old Style"/>
          <w:sz w:val="24"/>
          <w:szCs w:val="24"/>
        </w:rPr>
        <w:t xml:space="preserve"> artículo 21</w:t>
      </w:r>
      <w:r w:rsidR="00F97D9E">
        <w:rPr>
          <w:rFonts w:ascii="Bookman Old Style" w:hAnsi="Bookman Old Style"/>
          <w:sz w:val="24"/>
          <w:szCs w:val="24"/>
        </w:rPr>
        <w:t xml:space="preserve"> </w:t>
      </w:r>
      <w:r w:rsidR="006F51E1" w:rsidRPr="00DC07FC">
        <w:rPr>
          <w:rFonts w:ascii="Bookman Old Style" w:hAnsi="Bookman Old Style"/>
          <w:sz w:val="24"/>
          <w:szCs w:val="24"/>
        </w:rPr>
        <w:t>de esta resolución</w:t>
      </w:r>
      <w:r w:rsidRPr="00DC07FC">
        <w:rPr>
          <w:rFonts w:ascii="Bookman Old Style" w:hAnsi="Bookman Old Style"/>
          <w:sz w:val="24"/>
          <w:szCs w:val="24"/>
        </w:rPr>
        <w:t>.</w:t>
      </w:r>
    </w:p>
    <w:p w:rsidR="00BC2806" w:rsidRPr="00DC07FC" w:rsidRDefault="00BC2806" w:rsidP="00901EFF">
      <w:pPr>
        <w:pStyle w:val="Prrafodelista"/>
        <w:numPr>
          <w:ilvl w:val="0"/>
          <w:numId w:val="36"/>
        </w:numPr>
        <w:ind w:left="709"/>
        <w:contextualSpacing/>
        <w:jc w:val="both"/>
        <w:rPr>
          <w:rFonts w:ascii="Bookman Old Style" w:hAnsi="Bookman Old Style"/>
          <w:sz w:val="24"/>
          <w:szCs w:val="24"/>
        </w:rPr>
      </w:pPr>
      <w:r w:rsidRPr="00DC07FC">
        <w:rPr>
          <w:rFonts w:ascii="Bookman Old Style" w:hAnsi="Bookman Old Style"/>
          <w:sz w:val="24"/>
          <w:szCs w:val="24"/>
        </w:rPr>
        <w:t xml:space="preserve">Importar GLP para el servicio público domiciliario, cuando sus ventas en el mercado primario, expresadas en KG, representen menos del 20% de las ventas al mercado primario de los comercializadores de oferta de GLP, según el reporte de información al </w:t>
      </w:r>
      <w:r w:rsidR="001413AE" w:rsidRPr="00DC07FC">
        <w:rPr>
          <w:rFonts w:ascii="Bookman Old Style" w:hAnsi="Bookman Old Style"/>
          <w:sz w:val="24"/>
          <w:szCs w:val="24"/>
        </w:rPr>
        <w:t>SIMM</w:t>
      </w:r>
      <w:r w:rsidRPr="00DC07FC">
        <w:rPr>
          <w:rFonts w:ascii="Bookman Old Style" w:hAnsi="Bookman Old Style"/>
          <w:sz w:val="24"/>
          <w:szCs w:val="24"/>
        </w:rPr>
        <w:t xml:space="preserve"> de los últimos seis (6) meses.</w:t>
      </w:r>
    </w:p>
    <w:p w:rsidR="00BC2806" w:rsidRPr="00DC07FC" w:rsidRDefault="00BC2806" w:rsidP="00901EFF">
      <w:pPr>
        <w:pStyle w:val="Prrafodelista"/>
        <w:numPr>
          <w:ilvl w:val="0"/>
          <w:numId w:val="36"/>
        </w:numPr>
        <w:ind w:left="709"/>
        <w:contextualSpacing/>
        <w:jc w:val="both"/>
        <w:rPr>
          <w:rFonts w:ascii="Bookman Old Style" w:hAnsi="Bookman Old Style"/>
          <w:sz w:val="24"/>
          <w:szCs w:val="24"/>
        </w:rPr>
      </w:pPr>
      <w:r w:rsidRPr="00DC07FC">
        <w:rPr>
          <w:rFonts w:ascii="Bookman Old Style" w:hAnsi="Bookman Old Style"/>
          <w:sz w:val="24"/>
          <w:szCs w:val="24"/>
        </w:rPr>
        <w:t xml:space="preserve">Importar o comprar en el mercado secundario el GLP que requieran para cubrir desbalances </w:t>
      </w:r>
      <w:r w:rsidR="00EB798C" w:rsidRPr="00DC07FC">
        <w:rPr>
          <w:rFonts w:ascii="Bookman Old Style" w:hAnsi="Bookman Old Style"/>
          <w:sz w:val="24"/>
          <w:szCs w:val="24"/>
          <w:lang w:val="es-ES"/>
        </w:rPr>
        <w:t>que les puedan generar incumplimiento en sus obligaciones de suministro de GLP del mercado primario</w:t>
      </w:r>
      <w:r w:rsidRPr="00DC07FC">
        <w:rPr>
          <w:rFonts w:ascii="Bookman Old Style" w:hAnsi="Bookman Old Style"/>
          <w:sz w:val="24"/>
          <w:szCs w:val="24"/>
        </w:rPr>
        <w:t>.</w:t>
      </w:r>
    </w:p>
    <w:p w:rsidR="00BC2806" w:rsidRDefault="00BC2806" w:rsidP="00901EFF">
      <w:pPr>
        <w:pStyle w:val="Prrafodelista"/>
        <w:numPr>
          <w:ilvl w:val="0"/>
          <w:numId w:val="36"/>
        </w:numPr>
        <w:ind w:left="709"/>
        <w:contextualSpacing/>
        <w:jc w:val="both"/>
        <w:rPr>
          <w:rFonts w:ascii="Bookman Old Style" w:hAnsi="Bookman Old Style"/>
          <w:sz w:val="24"/>
          <w:szCs w:val="24"/>
        </w:rPr>
      </w:pPr>
      <w:r w:rsidRPr="00DC07FC">
        <w:rPr>
          <w:rFonts w:ascii="Bookman Old Style" w:hAnsi="Bookman Old Style"/>
          <w:sz w:val="24"/>
          <w:szCs w:val="24"/>
        </w:rPr>
        <w:t>Ofrecer en el mercado secundario el GLP</w:t>
      </w:r>
      <w:r w:rsidR="00F92BDA">
        <w:rPr>
          <w:rFonts w:ascii="Bookman Old Style" w:hAnsi="Bookman Old Style"/>
          <w:sz w:val="24"/>
          <w:szCs w:val="24"/>
        </w:rPr>
        <w:t xml:space="preserve"> </w:t>
      </w:r>
      <w:r w:rsidRPr="00DC07FC">
        <w:rPr>
          <w:rFonts w:ascii="Bookman Old Style" w:hAnsi="Bookman Old Style"/>
          <w:sz w:val="24"/>
          <w:szCs w:val="24"/>
        </w:rPr>
        <w:t xml:space="preserve">que habiendo sido </w:t>
      </w:r>
      <w:r w:rsidR="00AE746D" w:rsidRPr="00DC07FC">
        <w:rPr>
          <w:rFonts w:ascii="Bookman Old Style" w:hAnsi="Bookman Old Style"/>
          <w:sz w:val="24"/>
          <w:szCs w:val="24"/>
        </w:rPr>
        <w:t xml:space="preserve">ofrecido </w:t>
      </w:r>
      <w:r w:rsidR="00F92BDA">
        <w:rPr>
          <w:rFonts w:ascii="Bookman Old Style" w:hAnsi="Bookman Old Style"/>
          <w:sz w:val="24"/>
          <w:szCs w:val="24"/>
        </w:rPr>
        <w:t xml:space="preserve">a través de los mecanismos de </w:t>
      </w:r>
      <w:r w:rsidR="00AE746D" w:rsidRPr="00DC07FC">
        <w:rPr>
          <w:rFonts w:ascii="Bookman Old Style" w:hAnsi="Bookman Old Style"/>
          <w:sz w:val="24"/>
          <w:szCs w:val="24"/>
        </w:rPr>
        <w:t>subasta</w:t>
      </w:r>
      <w:r w:rsidRPr="00DC07FC">
        <w:rPr>
          <w:rFonts w:ascii="Bookman Old Style" w:hAnsi="Bookman Old Style"/>
          <w:sz w:val="24"/>
          <w:szCs w:val="24"/>
        </w:rPr>
        <w:t xml:space="preserve"> </w:t>
      </w:r>
      <w:r w:rsidR="00F92BDA">
        <w:rPr>
          <w:rFonts w:ascii="Bookman Old Style" w:hAnsi="Bookman Old Style"/>
          <w:sz w:val="24"/>
          <w:szCs w:val="24"/>
        </w:rPr>
        <w:t xml:space="preserve">de GLP o de asignación administrada </w:t>
      </w:r>
      <w:r w:rsidRPr="00DC07FC">
        <w:rPr>
          <w:rFonts w:ascii="Bookman Old Style" w:hAnsi="Bookman Old Style"/>
          <w:sz w:val="24"/>
          <w:szCs w:val="24"/>
        </w:rPr>
        <w:t>no fue adjudicado.</w:t>
      </w:r>
    </w:p>
    <w:p w:rsidR="00F97D9E" w:rsidRPr="00DC07FC" w:rsidRDefault="00F97D9E" w:rsidP="00901EFF">
      <w:pPr>
        <w:pStyle w:val="Prrafodelista"/>
        <w:numPr>
          <w:ilvl w:val="0"/>
          <w:numId w:val="36"/>
        </w:numPr>
        <w:ind w:left="709"/>
        <w:contextualSpacing/>
        <w:jc w:val="both"/>
        <w:rPr>
          <w:rFonts w:ascii="Bookman Old Style" w:hAnsi="Bookman Old Style"/>
          <w:sz w:val="24"/>
          <w:szCs w:val="24"/>
        </w:rPr>
      </w:pPr>
      <w:r w:rsidRPr="00DC07FC">
        <w:rPr>
          <w:rFonts w:ascii="Bookman Old Style" w:hAnsi="Bookman Old Style"/>
          <w:sz w:val="24"/>
          <w:szCs w:val="24"/>
        </w:rPr>
        <w:t>Ofrecer en el mercado secundario el GLP</w:t>
      </w:r>
      <w:r>
        <w:rPr>
          <w:rFonts w:ascii="Bookman Old Style" w:hAnsi="Bookman Old Style"/>
          <w:sz w:val="24"/>
          <w:szCs w:val="24"/>
        </w:rPr>
        <w:t xml:space="preserve"> proveniente de proyectos para el desarrollo de nueva oferta, según lo previsto en el literal d. del artículo 23 de esta resolución</w:t>
      </w:r>
      <w:r w:rsidRPr="00DC07FC">
        <w:rPr>
          <w:rFonts w:ascii="Bookman Old Style" w:hAnsi="Bookman Old Style"/>
          <w:sz w:val="24"/>
          <w:szCs w:val="24"/>
        </w:rPr>
        <w:t>.</w:t>
      </w:r>
    </w:p>
    <w:p w:rsidR="00BC2806" w:rsidRPr="00DC07FC" w:rsidRDefault="00BC2806" w:rsidP="00BC2806">
      <w:pPr>
        <w:pStyle w:val="ARTICULOS"/>
        <w:contextualSpacing/>
        <w:rPr>
          <w:lang w:val="es-CO"/>
        </w:rPr>
      </w:pPr>
    </w:p>
    <w:p w:rsidR="00BC2806" w:rsidRPr="00DC07FC" w:rsidRDefault="00BC2806" w:rsidP="00BC2806">
      <w:pPr>
        <w:ind w:left="0"/>
        <w:contextualSpacing/>
        <w:jc w:val="both"/>
        <w:rPr>
          <w:rFonts w:ascii="Bookman Old Style" w:hAnsi="Bookman Old Style"/>
        </w:rPr>
      </w:pPr>
      <w:r w:rsidRPr="00DC07FC">
        <w:rPr>
          <w:rFonts w:ascii="Bookman Old Style" w:hAnsi="Bookman Old Style"/>
          <w:b/>
          <w:lang w:val="es-CO"/>
        </w:rPr>
        <w:t>PARÁGRAFO</w:t>
      </w:r>
      <w:r w:rsidR="002B627B" w:rsidRPr="00DC07FC">
        <w:rPr>
          <w:rFonts w:ascii="Bookman Old Style" w:hAnsi="Bookman Old Style"/>
          <w:b/>
          <w:lang w:val="es-CO"/>
        </w:rPr>
        <w:t xml:space="preserve"> 1</w:t>
      </w:r>
      <w:r w:rsidRPr="00DC07FC">
        <w:rPr>
          <w:rFonts w:ascii="Bookman Old Style" w:hAnsi="Bookman Old Style"/>
          <w:b/>
          <w:lang w:val="es-CO"/>
        </w:rPr>
        <w:t>.</w:t>
      </w:r>
      <w:r w:rsidRPr="00DC07FC">
        <w:rPr>
          <w:rFonts w:ascii="Bookman Old Style" w:hAnsi="Bookman Old Style"/>
          <w:lang w:val="es-CO"/>
        </w:rPr>
        <w:t xml:space="preserve"> Hasta tanto </w:t>
      </w:r>
      <w:r w:rsidR="00011891" w:rsidRPr="00DC07FC">
        <w:rPr>
          <w:rFonts w:ascii="Bookman Old Style" w:hAnsi="Bookman Old Style"/>
          <w:lang w:val="es-CO"/>
        </w:rPr>
        <w:t>se lleve a cabo la implementación d</w:t>
      </w:r>
      <w:r w:rsidRPr="00DC07FC">
        <w:rPr>
          <w:rFonts w:ascii="Bookman Old Style" w:hAnsi="Bookman Old Style"/>
          <w:lang w:val="es-CO"/>
        </w:rPr>
        <w:t xml:space="preserve">el reporte de la información </w:t>
      </w:r>
      <w:r w:rsidR="00011891" w:rsidRPr="00DC07FC">
        <w:rPr>
          <w:rFonts w:ascii="Bookman Old Style" w:hAnsi="Bookman Old Style"/>
          <w:lang w:val="es-CO"/>
        </w:rPr>
        <w:t xml:space="preserve">al SIMM </w:t>
      </w:r>
      <w:r w:rsidRPr="00DC07FC">
        <w:rPr>
          <w:rFonts w:ascii="Bookman Old Style" w:hAnsi="Bookman Old Style"/>
          <w:lang w:val="es-CO"/>
        </w:rPr>
        <w:t>que permita determinar la participación del comercializador de oferta en las ventas del mercado primario</w:t>
      </w:r>
      <w:r w:rsidR="00011891" w:rsidRPr="00DC07FC">
        <w:rPr>
          <w:rFonts w:ascii="Bookman Old Style" w:hAnsi="Bookman Old Style"/>
          <w:lang w:val="es-CO"/>
        </w:rPr>
        <w:t>,</w:t>
      </w:r>
      <w:r w:rsidRPr="00DC07FC">
        <w:rPr>
          <w:rFonts w:ascii="Bookman Old Style" w:hAnsi="Bookman Old Style"/>
          <w:lang w:val="es-CO"/>
        </w:rPr>
        <w:t xml:space="preserve"> el cálculo se llevará a cabo a partir del reporte de ventas de comercializadores mayoristas</w:t>
      </w:r>
      <w:r w:rsidR="00011891" w:rsidRPr="00DC07FC">
        <w:rPr>
          <w:rFonts w:ascii="Bookman Old Style" w:hAnsi="Bookman Old Style"/>
        </w:rPr>
        <w:t xml:space="preserve"> en </w:t>
      </w:r>
      <w:r w:rsidR="00011891" w:rsidRPr="00DC07FC">
        <w:rPr>
          <w:rFonts w:ascii="Bookman Old Style" w:hAnsi="Bookman Old Style"/>
          <w:lang w:val="es-CO"/>
        </w:rPr>
        <w:t>el SUI.</w:t>
      </w:r>
    </w:p>
    <w:p w:rsidR="002B627B" w:rsidRPr="00DC07FC" w:rsidRDefault="002B627B" w:rsidP="00BC2806">
      <w:pPr>
        <w:ind w:left="0"/>
        <w:contextualSpacing/>
        <w:jc w:val="both"/>
        <w:rPr>
          <w:rFonts w:ascii="Bookman Old Style" w:hAnsi="Bookman Old Style"/>
        </w:rPr>
      </w:pPr>
    </w:p>
    <w:p w:rsidR="002B627B" w:rsidRDefault="002B627B" w:rsidP="002B627B">
      <w:pPr>
        <w:ind w:left="0"/>
        <w:jc w:val="both"/>
        <w:rPr>
          <w:rFonts w:ascii="Bookman Old Style" w:hAnsi="Bookman Old Style" w:cs="Arial"/>
        </w:rPr>
      </w:pPr>
      <w:r w:rsidRPr="00DC07FC">
        <w:rPr>
          <w:rFonts w:ascii="Bookman Old Style" w:hAnsi="Bookman Old Style"/>
          <w:b/>
          <w:lang w:val="es-CO"/>
        </w:rPr>
        <w:t>PARÁGRAFO 2.</w:t>
      </w:r>
      <w:r w:rsidR="00451163" w:rsidRPr="00DC07FC">
        <w:rPr>
          <w:rFonts w:ascii="Bookman Old Style" w:hAnsi="Bookman Old Style"/>
          <w:b/>
          <w:lang w:val="es-CO"/>
        </w:rPr>
        <w:t xml:space="preserve"> </w:t>
      </w:r>
      <w:r w:rsidRPr="00DC07FC">
        <w:rPr>
          <w:rFonts w:ascii="Bookman Old Style" w:hAnsi="Bookman Old Style" w:cs="Arial"/>
        </w:rPr>
        <w:t xml:space="preserve">Cuando el punto de entrega del comercializador de oferta corresponda a un punto de entrega del transportador, es este comercializador de oferta el responsable por el transporte y la integridad del producto hasta el punto en donde es posible la entrega del mismo a un </w:t>
      </w:r>
      <w:proofErr w:type="spellStart"/>
      <w:r w:rsidRPr="00DC07FC">
        <w:rPr>
          <w:rFonts w:ascii="Bookman Old Style" w:hAnsi="Bookman Old Style" w:cs="Arial"/>
        </w:rPr>
        <w:t>c</w:t>
      </w:r>
      <w:r w:rsidR="009C58D1" w:rsidRPr="00DC07FC">
        <w:rPr>
          <w:rFonts w:ascii="Bookman Old Style" w:hAnsi="Bookman Old Style" w:cs="Arial"/>
        </w:rPr>
        <w:t>arrotanque</w:t>
      </w:r>
      <w:proofErr w:type="spellEnd"/>
      <w:r w:rsidRPr="00DC07FC">
        <w:rPr>
          <w:rFonts w:ascii="Bookman Old Style" w:hAnsi="Bookman Old Style" w:cs="Arial"/>
        </w:rPr>
        <w:t>.</w:t>
      </w:r>
    </w:p>
    <w:p w:rsidR="005B21C4" w:rsidRDefault="005B21C4" w:rsidP="002B627B">
      <w:pPr>
        <w:ind w:left="0"/>
        <w:jc w:val="both"/>
        <w:rPr>
          <w:rFonts w:ascii="Bookman Old Style" w:hAnsi="Bookman Old Style" w:cs="Arial"/>
        </w:rPr>
      </w:pPr>
    </w:p>
    <w:p w:rsidR="005B21C4" w:rsidRPr="00DC07FC" w:rsidRDefault="005B21C4" w:rsidP="002B627B">
      <w:pPr>
        <w:ind w:left="0"/>
        <w:jc w:val="both"/>
        <w:rPr>
          <w:rFonts w:ascii="Bookman Old Style" w:hAnsi="Bookman Old Style" w:cs="Arial"/>
        </w:rPr>
      </w:pPr>
    </w:p>
    <w:p w:rsidR="002B627B" w:rsidRPr="00DC07FC" w:rsidRDefault="002B627B" w:rsidP="00BC2806">
      <w:pPr>
        <w:ind w:left="0"/>
        <w:contextualSpacing/>
        <w:jc w:val="both"/>
        <w:rPr>
          <w:rFonts w:ascii="Bookman Old Style" w:hAnsi="Bookman Old Style"/>
        </w:rPr>
      </w:pPr>
    </w:p>
    <w:p w:rsidR="0096494C" w:rsidRPr="00DC07FC" w:rsidRDefault="0096494C" w:rsidP="0096494C">
      <w:pPr>
        <w:pStyle w:val="ARTICULOS"/>
        <w:tabs>
          <w:tab w:val="left" w:pos="1560"/>
        </w:tabs>
        <w:contextualSpacing/>
        <w:rPr>
          <w:rFonts w:cs="Arial"/>
          <w:color w:val="000000" w:themeColor="text1"/>
          <w:lang w:val="es-ES"/>
        </w:rPr>
      </w:pPr>
      <w:r w:rsidRPr="00DC07FC">
        <w:rPr>
          <w:rFonts w:cs="Arial"/>
          <w:b/>
          <w:color w:val="000000" w:themeColor="text1"/>
          <w:lang w:val="es-ES"/>
        </w:rPr>
        <w:t>PARÁGRAFO 3.</w:t>
      </w:r>
      <w:r w:rsidRPr="00DC07FC">
        <w:rPr>
          <w:rFonts w:cs="Arial"/>
          <w:color w:val="000000" w:themeColor="text1"/>
          <w:lang w:val="es-ES"/>
        </w:rPr>
        <w:t xml:space="preserve"> Los comercializadores de oferta deberán acotar </w:t>
      </w:r>
      <w:r w:rsidRPr="00DC07FC">
        <w:rPr>
          <w:rFonts w:cs="Arial"/>
          <w:color w:val="000000" w:themeColor="text1"/>
        </w:rPr>
        <w:t>la cantidad de</w:t>
      </w:r>
      <w:r w:rsidRPr="00DC07FC">
        <w:rPr>
          <w:rFonts w:cs="Arial"/>
          <w:color w:val="000000" w:themeColor="text1"/>
          <w:lang w:val="es-CO"/>
        </w:rPr>
        <w:t xml:space="preserve"> </w:t>
      </w:r>
      <w:r w:rsidRPr="00DC07FC">
        <w:rPr>
          <w:rFonts w:cs="Arial"/>
          <w:color w:val="000000" w:themeColor="text1"/>
        </w:rPr>
        <w:t>GLP a suministrar</w:t>
      </w:r>
      <w:r w:rsidRPr="00DC07FC">
        <w:rPr>
          <w:rFonts w:cs="Arial"/>
          <w:color w:val="000000" w:themeColor="text1"/>
          <w:lang w:val="es-CO"/>
        </w:rPr>
        <w:t xml:space="preserve"> </w:t>
      </w:r>
      <w:r w:rsidRPr="00DC07FC">
        <w:rPr>
          <w:rFonts w:cs="Arial"/>
          <w:color w:val="000000" w:themeColor="text1"/>
          <w:lang w:val="es-ES"/>
        </w:rPr>
        <w:t>a las cantidades contratadas. El suministro de cantidades de GLP por encima de las contratadas podrá ser considerado por las autoridades competentes como una práctica contraria a la libre competencia.</w:t>
      </w:r>
    </w:p>
    <w:p w:rsidR="00BC2806" w:rsidRPr="00DC07FC" w:rsidRDefault="00BC2806" w:rsidP="004C1136">
      <w:pPr>
        <w:ind w:left="0"/>
        <w:contextualSpacing/>
        <w:jc w:val="both"/>
        <w:rPr>
          <w:rFonts w:ascii="Bookman Old Style" w:hAnsi="Bookman Old Style"/>
        </w:rPr>
      </w:pPr>
    </w:p>
    <w:p w:rsidR="0069293F" w:rsidRPr="00DC07FC" w:rsidRDefault="00AD2419" w:rsidP="00D444D6">
      <w:pPr>
        <w:pStyle w:val="ARTICULOS"/>
        <w:numPr>
          <w:ilvl w:val="0"/>
          <w:numId w:val="2"/>
        </w:numPr>
        <w:tabs>
          <w:tab w:val="left" w:pos="1701"/>
        </w:tabs>
        <w:ind w:left="0" w:firstLine="0"/>
        <w:contextualSpacing/>
        <w:outlineLvl w:val="2"/>
        <w:rPr>
          <w:rFonts w:cs="Arial"/>
          <w:b/>
          <w:color w:val="000000" w:themeColor="text1"/>
        </w:rPr>
      </w:pPr>
      <w:r w:rsidRPr="00DC07FC">
        <w:rPr>
          <w:rFonts w:cs="Arial"/>
          <w:b/>
          <w:color w:val="000000" w:themeColor="text1"/>
        </w:rPr>
        <w:t xml:space="preserve">OBLIGACIONES PARTICULARES </w:t>
      </w:r>
      <w:r w:rsidR="0047702D" w:rsidRPr="00DC07FC">
        <w:rPr>
          <w:rFonts w:cs="Arial"/>
          <w:b/>
          <w:color w:val="000000" w:themeColor="text1"/>
        </w:rPr>
        <w:t xml:space="preserve">Y REGLAS DE PARTICIPACIÓN </w:t>
      </w:r>
      <w:r w:rsidRPr="00DC07FC">
        <w:rPr>
          <w:rFonts w:cs="Arial"/>
          <w:b/>
          <w:color w:val="000000" w:themeColor="text1"/>
        </w:rPr>
        <w:t>DE LOS COMERCIALIZADORES DE DEMANDA</w:t>
      </w:r>
      <w:r w:rsidR="0069293F" w:rsidRPr="00DC07FC">
        <w:rPr>
          <w:rFonts w:cs="Arial"/>
          <w:b/>
          <w:color w:val="000000" w:themeColor="text1"/>
        </w:rPr>
        <w:t>:</w:t>
      </w:r>
    </w:p>
    <w:p w:rsidR="00407DC8" w:rsidRPr="00DC07FC" w:rsidRDefault="00407DC8" w:rsidP="00407DC8">
      <w:pPr>
        <w:ind w:left="0"/>
        <w:contextualSpacing/>
        <w:jc w:val="both"/>
        <w:rPr>
          <w:rFonts w:ascii="Bookman Old Style" w:hAnsi="Bookman Old Style"/>
          <w:lang w:val="es-CO"/>
        </w:rPr>
      </w:pPr>
    </w:p>
    <w:p w:rsidR="00407DC8" w:rsidRPr="00DC07FC" w:rsidRDefault="00407DC8" w:rsidP="00901EFF">
      <w:pPr>
        <w:pStyle w:val="Prrafodelista"/>
        <w:numPr>
          <w:ilvl w:val="0"/>
          <w:numId w:val="34"/>
        </w:numPr>
        <w:contextualSpacing/>
        <w:jc w:val="both"/>
        <w:rPr>
          <w:rFonts w:ascii="Bookman Old Style" w:hAnsi="Bookman Old Style"/>
          <w:sz w:val="24"/>
          <w:szCs w:val="24"/>
        </w:rPr>
      </w:pPr>
      <w:r w:rsidRPr="00DC07FC">
        <w:rPr>
          <w:rFonts w:ascii="Bookman Old Style" w:hAnsi="Bookman Old Style"/>
          <w:sz w:val="24"/>
          <w:szCs w:val="24"/>
        </w:rPr>
        <w:t xml:space="preserve">Son obligaciones particulares de los comercializadores de </w:t>
      </w:r>
      <w:r w:rsidR="00937532" w:rsidRPr="00DC07FC">
        <w:rPr>
          <w:rFonts w:ascii="Bookman Old Style" w:hAnsi="Bookman Old Style"/>
          <w:sz w:val="24"/>
          <w:szCs w:val="24"/>
        </w:rPr>
        <w:t>demanda</w:t>
      </w:r>
      <w:r w:rsidRPr="00DC07FC">
        <w:rPr>
          <w:rFonts w:ascii="Bookman Old Style" w:hAnsi="Bookman Old Style"/>
          <w:sz w:val="24"/>
          <w:szCs w:val="24"/>
        </w:rPr>
        <w:t>:</w:t>
      </w:r>
    </w:p>
    <w:p w:rsidR="0047702D" w:rsidRPr="00DC07FC" w:rsidRDefault="0047702D" w:rsidP="004C1136">
      <w:pPr>
        <w:ind w:left="0"/>
        <w:contextualSpacing/>
        <w:jc w:val="both"/>
        <w:rPr>
          <w:rFonts w:ascii="Bookman Old Style" w:hAnsi="Bookman Old Style"/>
          <w:lang w:val="es-CO"/>
        </w:rPr>
      </w:pPr>
    </w:p>
    <w:p w:rsidR="00137891" w:rsidRPr="00606C4D" w:rsidRDefault="006B0BAB" w:rsidP="00606C4D">
      <w:pPr>
        <w:pStyle w:val="Prrafodelista"/>
        <w:numPr>
          <w:ilvl w:val="0"/>
          <w:numId w:val="24"/>
        </w:numPr>
        <w:ind w:left="709"/>
        <w:contextualSpacing/>
        <w:jc w:val="both"/>
        <w:rPr>
          <w:rFonts w:ascii="Bookman Old Style" w:hAnsi="Bookman Old Style"/>
          <w:sz w:val="24"/>
          <w:szCs w:val="24"/>
        </w:rPr>
      </w:pPr>
      <w:r w:rsidRPr="00DC07FC">
        <w:rPr>
          <w:rFonts w:ascii="Bookman Old Style" w:hAnsi="Bookman Old Style"/>
          <w:sz w:val="24"/>
          <w:szCs w:val="24"/>
        </w:rPr>
        <w:t>Publicar las condiciones bajo las cuales representan a distribuidores y UNR.</w:t>
      </w:r>
    </w:p>
    <w:p w:rsidR="006D70E6" w:rsidRPr="00DC07FC" w:rsidRDefault="002A6176" w:rsidP="00901EFF">
      <w:pPr>
        <w:pStyle w:val="Prrafodelista"/>
        <w:numPr>
          <w:ilvl w:val="0"/>
          <w:numId w:val="24"/>
        </w:numPr>
        <w:ind w:left="709"/>
        <w:contextualSpacing/>
        <w:jc w:val="both"/>
        <w:rPr>
          <w:rFonts w:ascii="Bookman Old Style" w:hAnsi="Bookman Old Style"/>
          <w:sz w:val="24"/>
          <w:szCs w:val="24"/>
        </w:rPr>
      </w:pPr>
      <w:r w:rsidRPr="00DC07FC">
        <w:rPr>
          <w:rFonts w:ascii="Bookman Old Style" w:hAnsi="Bookman Old Style"/>
          <w:sz w:val="24"/>
          <w:szCs w:val="24"/>
        </w:rPr>
        <w:t xml:space="preserve">Publicar </w:t>
      </w:r>
      <w:r w:rsidR="00CB3911" w:rsidRPr="00DC07FC">
        <w:rPr>
          <w:rFonts w:ascii="Bookman Old Style" w:hAnsi="Bookman Old Style"/>
          <w:sz w:val="24"/>
          <w:szCs w:val="24"/>
        </w:rPr>
        <w:t xml:space="preserve">el precio máximo a trasladar a distribuidores, discriminando cada uno de los componentes del mismo, en función del GLP adquirido en el mercado primario y secundario, así como su </w:t>
      </w:r>
      <w:r w:rsidR="006B0BAB" w:rsidRPr="00DC07FC">
        <w:rPr>
          <w:rFonts w:ascii="Bookman Old Style" w:hAnsi="Bookman Old Style"/>
          <w:sz w:val="24"/>
          <w:szCs w:val="24"/>
        </w:rPr>
        <w:t>margen de comercialización</w:t>
      </w:r>
      <w:r w:rsidRPr="00DC07FC">
        <w:rPr>
          <w:rFonts w:ascii="Bookman Old Style" w:hAnsi="Bookman Old Style"/>
          <w:sz w:val="24"/>
          <w:szCs w:val="24"/>
        </w:rPr>
        <w:t>.</w:t>
      </w:r>
    </w:p>
    <w:p w:rsidR="006C0F2A" w:rsidRPr="00DC07FC" w:rsidRDefault="006C0F2A" w:rsidP="00901EFF">
      <w:pPr>
        <w:pStyle w:val="Prrafodelista"/>
        <w:numPr>
          <w:ilvl w:val="0"/>
          <w:numId w:val="24"/>
        </w:numPr>
        <w:ind w:left="709"/>
        <w:contextualSpacing/>
        <w:jc w:val="both"/>
        <w:rPr>
          <w:rFonts w:ascii="Bookman Old Style" w:hAnsi="Bookman Old Style"/>
          <w:sz w:val="24"/>
          <w:szCs w:val="24"/>
        </w:rPr>
      </w:pPr>
      <w:r w:rsidRPr="00DC07FC">
        <w:rPr>
          <w:rFonts w:ascii="Bookman Old Style" w:hAnsi="Bookman Old Style"/>
          <w:sz w:val="24"/>
          <w:szCs w:val="24"/>
        </w:rPr>
        <w:t>Destinar el producto que adquieren en el mercado mayorista a la prestación del servicio público domiciliario de GLP.</w:t>
      </w:r>
    </w:p>
    <w:p w:rsidR="00407DC8" w:rsidRPr="00DC07FC" w:rsidRDefault="00407DC8" w:rsidP="00407DC8">
      <w:pPr>
        <w:pStyle w:val="ARTICULOS"/>
        <w:contextualSpacing/>
        <w:rPr>
          <w:bCs w:val="0"/>
          <w:lang w:val="es-CO" w:eastAsia="es-ES"/>
        </w:rPr>
      </w:pPr>
    </w:p>
    <w:p w:rsidR="00407DC8" w:rsidRPr="00DC07FC" w:rsidRDefault="00407DC8" w:rsidP="00901EFF">
      <w:pPr>
        <w:pStyle w:val="Prrafodelista"/>
        <w:numPr>
          <w:ilvl w:val="0"/>
          <w:numId w:val="34"/>
        </w:numPr>
        <w:contextualSpacing/>
        <w:jc w:val="both"/>
        <w:rPr>
          <w:rFonts w:ascii="Bookman Old Style" w:hAnsi="Bookman Old Style"/>
          <w:sz w:val="24"/>
          <w:szCs w:val="24"/>
        </w:rPr>
      </w:pPr>
      <w:r w:rsidRPr="00DC07FC">
        <w:rPr>
          <w:rFonts w:ascii="Bookman Old Style" w:hAnsi="Bookman Old Style"/>
          <w:sz w:val="24"/>
          <w:szCs w:val="24"/>
        </w:rPr>
        <w:t xml:space="preserve">En desarrollo de la actividad de comercialización mayorista, los comercializadores de </w:t>
      </w:r>
      <w:r w:rsidR="006F51E1" w:rsidRPr="00DC07FC">
        <w:rPr>
          <w:rFonts w:ascii="Bookman Old Style" w:hAnsi="Bookman Old Style"/>
          <w:sz w:val="24"/>
          <w:szCs w:val="24"/>
        </w:rPr>
        <w:t xml:space="preserve">demanda </w:t>
      </w:r>
      <w:r w:rsidR="00665573" w:rsidRPr="00DC07FC">
        <w:rPr>
          <w:rFonts w:ascii="Bookman Old Style" w:hAnsi="Bookman Old Style"/>
          <w:sz w:val="24"/>
          <w:szCs w:val="24"/>
        </w:rPr>
        <w:t xml:space="preserve">únicamente </w:t>
      </w:r>
      <w:r w:rsidRPr="00DC07FC">
        <w:rPr>
          <w:rFonts w:ascii="Bookman Old Style" w:hAnsi="Bookman Old Style"/>
          <w:sz w:val="24"/>
          <w:szCs w:val="24"/>
        </w:rPr>
        <w:t>podrán:</w:t>
      </w:r>
    </w:p>
    <w:p w:rsidR="0047702D" w:rsidRPr="00DC07FC" w:rsidRDefault="0047702D" w:rsidP="0047702D">
      <w:pPr>
        <w:pStyle w:val="ARTICULOS"/>
        <w:contextualSpacing/>
        <w:rPr>
          <w:lang w:val="es-CO"/>
        </w:rPr>
      </w:pPr>
    </w:p>
    <w:p w:rsidR="0047702D" w:rsidRPr="00DC07FC" w:rsidRDefault="005416AF" w:rsidP="00901EFF">
      <w:pPr>
        <w:pStyle w:val="Prrafodelista"/>
        <w:numPr>
          <w:ilvl w:val="0"/>
          <w:numId w:val="35"/>
        </w:numPr>
        <w:ind w:left="709"/>
        <w:contextualSpacing/>
        <w:jc w:val="both"/>
        <w:rPr>
          <w:rFonts w:ascii="Bookman Old Style" w:hAnsi="Bookman Old Style"/>
          <w:sz w:val="24"/>
          <w:szCs w:val="24"/>
        </w:rPr>
      </w:pPr>
      <w:r w:rsidRPr="00DC07FC">
        <w:rPr>
          <w:rFonts w:ascii="Bookman Old Style" w:hAnsi="Bookman Old Style"/>
          <w:sz w:val="24"/>
          <w:szCs w:val="24"/>
        </w:rPr>
        <w:t>R</w:t>
      </w:r>
      <w:r w:rsidR="0047702D" w:rsidRPr="00DC07FC">
        <w:rPr>
          <w:rFonts w:ascii="Bookman Old Style" w:hAnsi="Bookman Old Style"/>
          <w:sz w:val="24"/>
          <w:szCs w:val="24"/>
        </w:rPr>
        <w:t>epresentar a distribuidores y UNR en la subasta del mercado primario.</w:t>
      </w:r>
    </w:p>
    <w:p w:rsidR="0047702D" w:rsidRPr="00DC07FC" w:rsidRDefault="0047702D" w:rsidP="00901EFF">
      <w:pPr>
        <w:pStyle w:val="Prrafodelista"/>
        <w:numPr>
          <w:ilvl w:val="0"/>
          <w:numId w:val="35"/>
        </w:numPr>
        <w:ind w:left="709"/>
        <w:contextualSpacing/>
        <w:jc w:val="both"/>
        <w:rPr>
          <w:rFonts w:ascii="Bookman Old Style" w:hAnsi="Bookman Old Style"/>
          <w:sz w:val="24"/>
          <w:szCs w:val="24"/>
        </w:rPr>
      </w:pPr>
      <w:r w:rsidRPr="00DC07FC">
        <w:rPr>
          <w:rFonts w:ascii="Bookman Old Style" w:hAnsi="Bookman Old Style"/>
          <w:sz w:val="24"/>
          <w:szCs w:val="24"/>
        </w:rPr>
        <w:t>Solicitar en la subasta del mercado primario producto que no</w:t>
      </w:r>
      <w:r w:rsidR="001C12AD" w:rsidRPr="00DC07FC">
        <w:rPr>
          <w:rFonts w:ascii="Bookman Old Style" w:hAnsi="Bookman Old Style"/>
          <w:sz w:val="24"/>
          <w:szCs w:val="24"/>
        </w:rPr>
        <w:t xml:space="preserve"> sea ofrecido por ellos mismos,</w:t>
      </w:r>
      <w:r w:rsidRPr="00DC07FC">
        <w:rPr>
          <w:rFonts w:ascii="Bookman Old Style" w:hAnsi="Bookman Old Style"/>
          <w:sz w:val="24"/>
          <w:szCs w:val="24"/>
        </w:rPr>
        <w:t xml:space="preserve"> por un comercializador de oferta en el que tengan un interés económico, directa o indirectamente, superior al 30%</w:t>
      </w:r>
      <w:r w:rsidR="001C12AD" w:rsidRPr="00DC07FC">
        <w:rPr>
          <w:rFonts w:ascii="Bookman Old Style" w:hAnsi="Bookman Old Style"/>
          <w:sz w:val="24"/>
          <w:szCs w:val="24"/>
        </w:rPr>
        <w:t>, o por un comercializador de oferta que, directa o indirectamente, tenga un interés económico superior al 30% en dicho comercializador de demanda.</w:t>
      </w:r>
    </w:p>
    <w:p w:rsidR="00E81E28" w:rsidRPr="00DC07FC" w:rsidRDefault="00E81E28" w:rsidP="00901EFF">
      <w:pPr>
        <w:pStyle w:val="Prrafodelista"/>
        <w:numPr>
          <w:ilvl w:val="0"/>
          <w:numId w:val="35"/>
        </w:numPr>
        <w:ind w:left="709"/>
        <w:contextualSpacing/>
        <w:jc w:val="both"/>
        <w:rPr>
          <w:rFonts w:ascii="Bookman Old Style" w:hAnsi="Bookman Old Style"/>
          <w:sz w:val="24"/>
          <w:szCs w:val="24"/>
        </w:rPr>
      </w:pPr>
      <w:r w:rsidRPr="00DC07FC">
        <w:rPr>
          <w:rFonts w:ascii="Bookman Old Style" w:hAnsi="Bookman Old Style"/>
          <w:sz w:val="24"/>
          <w:szCs w:val="24"/>
        </w:rPr>
        <w:t>Representar a distribuidores y UNR en el mercado secundario.</w:t>
      </w:r>
    </w:p>
    <w:p w:rsidR="0047702D" w:rsidRDefault="0047702D" w:rsidP="0047702D">
      <w:pPr>
        <w:ind w:left="0"/>
        <w:contextualSpacing/>
        <w:jc w:val="both"/>
        <w:rPr>
          <w:rFonts w:ascii="Bookman Old Style" w:hAnsi="Bookman Old Style"/>
          <w:lang w:val="es-CO"/>
        </w:rPr>
      </w:pPr>
    </w:p>
    <w:p w:rsidR="00606C4D" w:rsidRPr="00DC07FC" w:rsidRDefault="00606C4D" w:rsidP="0047702D">
      <w:pPr>
        <w:ind w:left="0"/>
        <w:contextualSpacing/>
        <w:jc w:val="both"/>
        <w:rPr>
          <w:rFonts w:ascii="Bookman Old Style" w:hAnsi="Bookman Old Style"/>
          <w:lang w:val="es-CO"/>
        </w:rPr>
      </w:pPr>
    </w:p>
    <w:p w:rsidR="00652055" w:rsidRPr="00DC07FC" w:rsidRDefault="00652055" w:rsidP="00D444D6">
      <w:pPr>
        <w:pStyle w:val="ARTICULOS"/>
        <w:numPr>
          <w:ilvl w:val="0"/>
          <w:numId w:val="2"/>
        </w:numPr>
        <w:tabs>
          <w:tab w:val="left" w:pos="1701"/>
        </w:tabs>
        <w:ind w:left="0" w:firstLine="0"/>
        <w:contextualSpacing/>
        <w:outlineLvl w:val="2"/>
        <w:rPr>
          <w:rFonts w:cs="Arial"/>
          <w:color w:val="000000" w:themeColor="text1"/>
        </w:rPr>
      </w:pPr>
      <w:bookmarkStart w:id="19" w:name="_Ref462924761"/>
      <w:r w:rsidRPr="00DC07FC">
        <w:rPr>
          <w:rFonts w:cs="Arial"/>
          <w:b/>
          <w:color w:val="000000" w:themeColor="text1"/>
        </w:rPr>
        <w:t xml:space="preserve">REQUISITOS </w:t>
      </w:r>
      <w:r w:rsidR="003D30F9" w:rsidRPr="00DC07FC">
        <w:rPr>
          <w:rFonts w:cs="Arial"/>
          <w:b/>
          <w:color w:val="000000" w:themeColor="text1"/>
        </w:rPr>
        <w:t xml:space="preserve">Y OBLIGACIONES </w:t>
      </w:r>
      <w:r w:rsidR="007A1BFA" w:rsidRPr="00DC07FC">
        <w:rPr>
          <w:rFonts w:cs="Arial"/>
          <w:b/>
          <w:color w:val="000000" w:themeColor="text1"/>
        </w:rPr>
        <w:t xml:space="preserve">PARA </w:t>
      </w:r>
      <w:r w:rsidRPr="00DC07FC">
        <w:rPr>
          <w:rFonts w:cs="Arial"/>
          <w:b/>
          <w:color w:val="000000" w:themeColor="text1"/>
        </w:rPr>
        <w:t xml:space="preserve">LOS USUARIOS NO REGULADOS. </w:t>
      </w:r>
      <w:r w:rsidRPr="00DC07FC">
        <w:rPr>
          <w:rFonts w:cs="Arial"/>
          <w:color w:val="000000" w:themeColor="text1"/>
        </w:rPr>
        <w:t xml:space="preserve">Para participar </w:t>
      </w:r>
      <w:r w:rsidR="007A1BFA" w:rsidRPr="00DC07FC">
        <w:rPr>
          <w:rFonts w:cs="Arial"/>
          <w:color w:val="000000" w:themeColor="text1"/>
        </w:rPr>
        <w:t xml:space="preserve">directamente </w:t>
      </w:r>
      <w:r w:rsidRPr="00DC07FC">
        <w:rPr>
          <w:rFonts w:cs="Arial"/>
          <w:color w:val="000000" w:themeColor="text1"/>
        </w:rPr>
        <w:t xml:space="preserve">en </w:t>
      </w:r>
      <w:r w:rsidR="007A1BFA" w:rsidRPr="00DC07FC">
        <w:rPr>
          <w:rFonts w:cs="Arial"/>
          <w:color w:val="000000" w:themeColor="text1"/>
        </w:rPr>
        <w:t xml:space="preserve">el mercado mayorista de GLP </w:t>
      </w:r>
      <w:r w:rsidRPr="00DC07FC">
        <w:rPr>
          <w:rFonts w:cs="Arial"/>
          <w:color w:val="000000" w:themeColor="text1"/>
        </w:rPr>
        <w:t xml:space="preserve">el </w:t>
      </w:r>
      <w:r w:rsidR="007A1BFA" w:rsidRPr="00DC07FC">
        <w:rPr>
          <w:rFonts w:cs="Arial"/>
          <w:color w:val="000000" w:themeColor="text1"/>
        </w:rPr>
        <w:t xml:space="preserve">UNR </w:t>
      </w:r>
      <w:r w:rsidRPr="00DC07FC">
        <w:rPr>
          <w:rFonts w:cs="Arial"/>
          <w:color w:val="000000" w:themeColor="text1"/>
        </w:rPr>
        <w:t>debe:</w:t>
      </w:r>
      <w:bookmarkEnd w:id="19"/>
    </w:p>
    <w:p w:rsidR="00652055" w:rsidRPr="00DC07FC" w:rsidRDefault="00652055" w:rsidP="004C1136">
      <w:pPr>
        <w:pStyle w:val="ARTICULOS"/>
        <w:contextualSpacing/>
        <w:rPr>
          <w:lang w:val="es-CO"/>
        </w:rPr>
      </w:pPr>
    </w:p>
    <w:p w:rsidR="00652055" w:rsidRPr="00DC07FC" w:rsidRDefault="00324E7C" w:rsidP="00901EFF">
      <w:pPr>
        <w:numPr>
          <w:ilvl w:val="0"/>
          <w:numId w:val="15"/>
        </w:numPr>
        <w:ind w:left="426" w:hanging="426"/>
        <w:contextualSpacing/>
        <w:jc w:val="both"/>
        <w:rPr>
          <w:rFonts w:ascii="Bookman Old Style" w:hAnsi="Bookman Old Style" w:cs="Arial"/>
        </w:rPr>
      </w:pPr>
      <w:r w:rsidRPr="00DC07FC">
        <w:rPr>
          <w:rFonts w:ascii="Bookman Old Style" w:hAnsi="Bookman Old Style" w:cs="Arial"/>
        </w:rPr>
        <w:t xml:space="preserve">Mantener un </w:t>
      </w:r>
      <w:r w:rsidR="00652055" w:rsidRPr="00DC07FC">
        <w:rPr>
          <w:rFonts w:ascii="Bookman Old Style" w:hAnsi="Bookman Old Style" w:cs="Arial"/>
        </w:rPr>
        <w:t>consumo de combustible promedio</w:t>
      </w:r>
      <w:r w:rsidR="00DA65FF" w:rsidRPr="00DC07FC">
        <w:rPr>
          <w:rFonts w:ascii="Bookman Old Style" w:hAnsi="Bookman Old Style" w:cs="Arial"/>
        </w:rPr>
        <w:t xml:space="preserve"> diario</w:t>
      </w:r>
      <w:r w:rsidRPr="00DC07FC">
        <w:rPr>
          <w:rFonts w:ascii="Bookman Old Style" w:hAnsi="Bookman Old Style" w:cs="Arial"/>
        </w:rPr>
        <w:t xml:space="preserve">, durante </w:t>
      </w:r>
      <w:r w:rsidR="00652055" w:rsidRPr="00DC07FC">
        <w:rPr>
          <w:rFonts w:ascii="Bookman Old Style" w:hAnsi="Bookman Old Style" w:cs="Arial"/>
        </w:rPr>
        <w:t xml:space="preserve">los últimos </w:t>
      </w:r>
      <w:r w:rsidR="00665573" w:rsidRPr="00DC07FC">
        <w:rPr>
          <w:rFonts w:ascii="Bookman Old Style" w:hAnsi="Bookman Old Style" w:cs="Arial"/>
        </w:rPr>
        <w:t>doce</w:t>
      </w:r>
      <w:r w:rsidRPr="00DC07FC">
        <w:rPr>
          <w:rFonts w:ascii="Bookman Old Style" w:hAnsi="Bookman Old Style" w:cs="Arial"/>
        </w:rPr>
        <w:t xml:space="preserve"> (</w:t>
      </w:r>
      <w:r w:rsidR="00665573" w:rsidRPr="00DC07FC">
        <w:rPr>
          <w:rFonts w:ascii="Bookman Old Style" w:hAnsi="Bookman Old Style" w:cs="Arial"/>
        </w:rPr>
        <w:t>12</w:t>
      </w:r>
      <w:r w:rsidRPr="00DC07FC">
        <w:rPr>
          <w:rFonts w:ascii="Bookman Old Style" w:hAnsi="Bookman Old Style" w:cs="Arial"/>
        </w:rPr>
        <w:t xml:space="preserve">) </w:t>
      </w:r>
      <w:r w:rsidR="00652055" w:rsidRPr="00DC07FC">
        <w:rPr>
          <w:rFonts w:ascii="Bookman Old Style" w:hAnsi="Bookman Old Style" w:cs="Arial"/>
        </w:rPr>
        <w:t>meses</w:t>
      </w:r>
      <w:r w:rsidR="00E84109" w:rsidRPr="00DC07FC">
        <w:rPr>
          <w:rFonts w:ascii="Bookman Old Style" w:hAnsi="Bookman Old Style" w:cs="Arial"/>
          <w:lang w:val="es-CO"/>
        </w:rPr>
        <w:t>,</w:t>
      </w:r>
      <w:r w:rsidR="00E84109" w:rsidRPr="00DC07FC">
        <w:rPr>
          <w:rFonts w:ascii="Bookman Old Style" w:hAnsi="Bookman Old Style" w:cs="Arial"/>
        </w:rPr>
        <w:t xml:space="preserve"> mayor o igual </w:t>
      </w:r>
      <w:r w:rsidR="00665573" w:rsidRPr="00DC07FC">
        <w:rPr>
          <w:rFonts w:ascii="Bookman Old Style" w:hAnsi="Bookman Old Style" w:cs="Arial"/>
        </w:rPr>
        <w:t xml:space="preserve">a </w:t>
      </w:r>
      <w:r w:rsidR="00FA26F2" w:rsidRPr="00DC07FC">
        <w:rPr>
          <w:rFonts w:ascii="Bookman Old Style" w:hAnsi="Bookman Old Style" w:cs="Arial"/>
        </w:rPr>
        <w:t>1</w:t>
      </w:r>
      <w:r w:rsidR="00E94712" w:rsidRPr="00DC07FC">
        <w:rPr>
          <w:rFonts w:ascii="Bookman Old Style" w:hAnsi="Bookman Old Style" w:cs="Arial"/>
        </w:rPr>
        <w:t>,</w:t>
      </w:r>
      <w:r w:rsidR="00FA26F2" w:rsidRPr="00DC07FC">
        <w:rPr>
          <w:rFonts w:ascii="Bookman Old Style" w:hAnsi="Bookman Old Style" w:cs="Arial"/>
        </w:rPr>
        <w:t>0</w:t>
      </w:r>
      <w:r w:rsidR="00DA65FF" w:rsidRPr="00DC07FC">
        <w:rPr>
          <w:rFonts w:ascii="Bookman Old Style" w:hAnsi="Bookman Old Style" w:cs="Arial"/>
        </w:rPr>
        <w:t>00 KGD</w:t>
      </w:r>
      <w:r w:rsidR="00665573" w:rsidRPr="00DC07FC">
        <w:rPr>
          <w:rFonts w:ascii="Bookman Old Style" w:hAnsi="Bookman Old Style" w:cs="Arial"/>
        </w:rPr>
        <w:t xml:space="preserve">, </w:t>
      </w:r>
      <w:r w:rsidR="00675BD8" w:rsidRPr="00DC07FC">
        <w:rPr>
          <w:rFonts w:ascii="Bookman Old Style" w:hAnsi="Bookman Old Style" w:cs="Arial"/>
        </w:rPr>
        <w:t xml:space="preserve">medido </w:t>
      </w:r>
      <w:r w:rsidR="00987307" w:rsidRPr="00DC07FC">
        <w:rPr>
          <w:rFonts w:ascii="Bookman Old Style" w:hAnsi="Bookman Old Style" w:cs="Arial"/>
        </w:rPr>
        <w:t xml:space="preserve">según </w:t>
      </w:r>
      <w:r w:rsidR="00665573" w:rsidRPr="00DC07FC">
        <w:rPr>
          <w:rFonts w:ascii="Bookman Old Style" w:hAnsi="Bookman Old Style" w:cs="Arial"/>
        </w:rPr>
        <w:t xml:space="preserve">definición </w:t>
      </w:r>
      <w:r w:rsidR="00987307" w:rsidRPr="00DC07FC">
        <w:rPr>
          <w:rFonts w:ascii="Bookman Old Style" w:hAnsi="Bookman Old Style" w:cs="Arial"/>
        </w:rPr>
        <w:t>d</w:t>
      </w:r>
      <w:r w:rsidR="00FE3305" w:rsidRPr="00DC07FC">
        <w:rPr>
          <w:rFonts w:ascii="Bookman Old Style" w:hAnsi="Bookman Old Style" w:cs="Arial"/>
        </w:rPr>
        <w:t xml:space="preserve">el artículo 4 de </w:t>
      </w:r>
      <w:r w:rsidR="00665573" w:rsidRPr="00DC07FC">
        <w:rPr>
          <w:rFonts w:ascii="Bookman Old Style" w:hAnsi="Bookman Old Style" w:cs="Arial"/>
        </w:rPr>
        <w:t>la presente resolución</w:t>
      </w:r>
      <w:r w:rsidR="00314108" w:rsidRPr="00DC07FC">
        <w:rPr>
          <w:rFonts w:ascii="Bookman Old Style" w:hAnsi="Bookman Old Style" w:cs="Arial"/>
          <w:lang w:val="es-CO"/>
        </w:rPr>
        <w:t xml:space="preserve">. El cumplimiento de este requisito se verificará </w:t>
      </w:r>
      <w:r w:rsidR="006A2919" w:rsidRPr="00DC07FC">
        <w:rPr>
          <w:rFonts w:ascii="Bookman Old Style" w:hAnsi="Bookman Old Style" w:cs="Arial"/>
          <w:lang w:val="es-CO"/>
        </w:rPr>
        <w:t xml:space="preserve">a partir del </w:t>
      </w:r>
      <w:r w:rsidRPr="00DC07FC">
        <w:rPr>
          <w:rFonts w:ascii="Bookman Old Style" w:hAnsi="Bookman Old Style" w:cs="Arial"/>
        </w:rPr>
        <w:t xml:space="preserve">reporte de ventas al SUI </w:t>
      </w:r>
      <w:r w:rsidR="00314108" w:rsidRPr="00DC07FC">
        <w:rPr>
          <w:rFonts w:ascii="Bookman Old Style" w:hAnsi="Bookman Old Style" w:cs="Arial"/>
        </w:rPr>
        <w:t xml:space="preserve">que hagan </w:t>
      </w:r>
      <w:r w:rsidRPr="00DC07FC">
        <w:rPr>
          <w:rFonts w:ascii="Bookman Old Style" w:hAnsi="Bookman Old Style" w:cs="Arial"/>
        </w:rPr>
        <w:t>los distribuidores o comercializadores mayoristas que lo atiendan</w:t>
      </w:r>
      <w:r w:rsidR="00314108" w:rsidRPr="00DC07FC">
        <w:rPr>
          <w:rFonts w:ascii="Bookman Old Style" w:hAnsi="Bookman Old Style" w:cs="Arial"/>
        </w:rPr>
        <w:t>.</w:t>
      </w:r>
      <w:r w:rsidR="006E6108" w:rsidRPr="00DC07FC">
        <w:rPr>
          <w:rFonts w:ascii="Bookman Old Style" w:hAnsi="Bookman Old Style" w:cs="Arial"/>
        </w:rPr>
        <w:t xml:space="preserve"> Un UNR perderá esta condición cuando su consumo se reduzca por debajo del límite establecido por la CREG en el promedio de </w:t>
      </w:r>
      <w:r w:rsidR="00665573" w:rsidRPr="00DC07FC">
        <w:rPr>
          <w:rFonts w:ascii="Bookman Old Style" w:hAnsi="Bookman Old Style" w:cs="Arial"/>
        </w:rPr>
        <w:t>doce</w:t>
      </w:r>
      <w:r w:rsidR="006E6108" w:rsidRPr="00DC07FC">
        <w:rPr>
          <w:rFonts w:ascii="Bookman Old Style" w:hAnsi="Bookman Old Style" w:cs="Arial"/>
        </w:rPr>
        <w:t xml:space="preserve"> (</w:t>
      </w:r>
      <w:r w:rsidR="00665573" w:rsidRPr="00DC07FC">
        <w:rPr>
          <w:rFonts w:ascii="Bookman Old Style" w:hAnsi="Bookman Old Style" w:cs="Arial"/>
        </w:rPr>
        <w:t>12</w:t>
      </w:r>
      <w:r w:rsidR="006E6108" w:rsidRPr="00DC07FC">
        <w:rPr>
          <w:rFonts w:ascii="Bookman Old Style" w:hAnsi="Bookman Old Style" w:cs="Arial"/>
        </w:rPr>
        <w:t>) meses consecutivos de consumo.</w:t>
      </w:r>
    </w:p>
    <w:p w:rsidR="000547E4" w:rsidRPr="00DC07FC" w:rsidRDefault="00665573" w:rsidP="00901EFF">
      <w:pPr>
        <w:numPr>
          <w:ilvl w:val="0"/>
          <w:numId w:val="15"/>
        </w:numPr>
        <w:ind w:left="426" w:hanging="426"/>
        <w:contextualSpacing/>
        <w:jc w:val="both"/>
        <w:rPr>
          <w:rFonts w:ascii="Bookman Old Style" w:hAnsi="Bookman Old Style" w:cs="Arial"/>
        </w:rPr>
      </w:pPr>
      <w:r w:rsidRPr="00DC07FC">
        <w:rPr>
          <w:rFonts w:ascii="Bookman Old Style" w:hAnsi="Bookman Old Style" w:cs="Arial"/>
        </w:rPr>
        <w:t>Comprar el GLP, a granel y al por mayor, únicamente a comercializadores mayoristas legalmente establecidos, a través de contratos de sumi</w:t>
      </w:r>
      <w:r w:rsidR="00A320F9" w:rsidRPr="00DC07FC">
        <w:rPr>
          <w:rFonts w:ascii="Bookman Old Style" w:hAnsi="Bookman Old Style" w:cs="Arial"/>
        </w:rPr>
        <w:t>nistro con sujeción a lo establecido en el Título II de la presente resolución</w:t>
      </w:r>
      <w:r w:rsidRPr="00DC07FC">
        <w:rPr>
          <w:rFonts w:ascii="Bookman Old Style" w:hAnsi="Bookman Old Style" w:cs="Arial"/>
        </w:rPr>
        <w:t>.</w:t>
      </w:r>
    </w:p>
    <w:p w:rsidR="00652055" w:rsidRPr="00DC07FC" w:rsidRDefault="00652055" w:rsidP="00901EFF">
      <w:pPr>
        <w:numPr>
          <w:ilvl w:val="0"/>
          <w:numId w:val="15"/>
        </w:numPr>
        <w:ind w:left="426" w:hanging="426"/>
        <w:contextualSpacing/>
        <w:jc w:val="both"/>
        <w:rPr>
          <w:rFonts w:ascii="Bookman Old Style" w:hAnsi="Bookman Old Style" w:cs="Arial"/>
        </w:rPr>
      </w:pPr>
      <w:r w:rsidRPr="00DC07FC">
        <w:rPr>
          <w:rFonts w:ascii="Bookman Old Style" w:hAnsi="Bookman Old Style" w:cs="Arial"/>
        </w:rPr>
        <w:t>Identificar los tanques estacionarios que utilizará para el recibo y manejo del GLP</w:t>
      </w:r>
      <w:r w:rsidR="00BB0B5E" w:rsidRPr="00DC07FC">
        <w:rPr>
          <w:rFonts w:ascii="Bookman Old Style" w:hAnsi="Bookman Old Style" w:cs="Arial"/>
        </w:rPr>
        <w:t>,</w:t>
      </w:r>
      <w:r w:rsidRPr="00DC07FC">
        <w:rPr>
          <w:rFonts w:ascii="Bookman Old Style" w:hAnsi="Bookman Old Style" w:cs="Arial"/>
        </w:rPr>
        <w:t xml:space="preserve"> así como las instalaciones que se servirán de este combustible. </w:t>
      </w:r>
      <w:r w:rsidR="001B3D5D" w:rsidRPr="00DC07FC">
        <w:rPr>
          <w:rFonts w:ascii="Bookman Old Style" w:hAnsi="Bookman Old Style" w:cs="Arial"/>
        </w:rPr>
        <w:t>Tanto l</w:t>
      </w:r>
      <w:r w:rsidRPr="00DC07FC">
        <w:rPr>
          <w:rFonts w:ascii="Bookman Old Style" w:hAnsi="Bookman Old Style" w:cs="Arial"/>
        </w:rPr>
        <w:t>os tanques estacionarios</w:t>
      </w:r>
      <w:r w:rsidR="00BB0B5E" w:rsidRPr="00DC07FC">
        <w:rPr>
          <w:rFonts w:ascii="Bookman Old Style" w:hAnsi="Bookman Old Style" w:cs="Arial"/>
        </w:rPr>
        <w:t>,</w:t>
      </w:r>
      <w:r w:rsidRPr="00DC07FC">
        <w:rPr>
          <w:rFonts w:ascii="Bookman Old Style" w:hAnsi="Bookman Old Style" w:cs="Arial"/>
        </w:rPr>
        <w:t xml:space="preserve"> como sus conexiones </w:t>
      </w:r>
      <w:r w:rsidR="00987307" w:rsidRPr="00DC07FC">
        <w:rPr>
          <w:rFonts w:ascii="Bookman Old Style" w:hAnsi="Bookman Old Style" w:cs="Arial"/>
        </w:rPr>
        <w:t xml:space="preserve">y </w:t>
      </w:r>
      <w:r w:rsidRPr="00DC07FC">
        <w:rPr>
          <w:rFonts w:ascii="Bookman Old Style" w:hAnsi="Bookman Old Style" w:cs="Arial"/>
        </w:rPr>
        <w:t>las instalaciones que se servirán del GLP</w:t>
      </w:r>
      <w:r w:rsidR="00BB0B5E" w:rsidRPr="00DC07FC">
        <w:rPr>
          <w:rFonts w:ascii="Bookman Old Style" w:hAnsi="Bookman Old Style" w:cs="Arial"/>
        </w:rPr>
        <w:t>,</w:t>
      </w:r>
      <w:r w:rsidRPr="00DC07FC">
        <w:rPr>
          <w:rFonts w:ascii="Bookman Old Style" w:hAnsi="Bookman Old Style" w:cs="Arial"/>
        </w:rPr>
        <w:t xml:space="preserve"> deben estar certificados bajo la reglamentación técnica </w:t>
      </w:r>
      <w:r w:rsidRPr="00DC07FC">
        <w:rPr>
          <w:rFonts w:ascii="Bookman Old Style" w:hAnsi="Bookman Old Style" w:cs="Arial"/>
        </w:rPr>
        <w:lastRenderedPageBreak/>
        <w:t>vigente que hayan establecido las autoridades competentes</w:t>
      </w:r>
      <w:r w:rsidR="00987307" w:rsidRPr="00DC07FC">
        <w:rPr>
          <w:rFonts w:ascii="Bookman Old Style" w:hAnsi="Bookman Old Style" w:cs="Arial"/>
        </w:rPr>
        <w:t>.</w:t>
      </w:r>
      <w:r w:rsidRPr="00DC07FC">
        <w:rPr>
          <w:rFonts w:ascii="Bookman Old Style" w:hAnsi="Bookman Old Style" w:cs="Arial"/>
        </w:rPr>
        <w:t xml:space="preserve"> </w:t>
      </w:r>
      <w:r w:rsidR="00987307" w:rsidRPr="00DC07FC">
        <w:rPr>
          <w:rFonts w:ascii="Bookman Old Style" w:hAnsi="Bookman Old Style" w:cs="Arial"/>
        </w:rPr>
        <w:t>Los</w:t>
      </w:r>
      <w:r w:rsidRPr="00DC07FC">
        <w:rPr>
          <w:rFonts w:ascii="Bookman Old Style" w:hAnsi="Bookman Old Style" w:cs="Arial"/>
        </w:rPr>
        <w:t xml:space="preserve"> permisos requeridos por las autoridades para su operaci</w:t>
      </w:r>
      <w:r w:rsidR="00BB0B5E" w:rsidRPr="00DC07FC">
        <w:rPr>
          <w:rFonts w:ascii="Bookman Old Style" w:hAnsi="Bookman Old Style" w:cs="Arial"/>
        </w:rPr>
        <w:t>ón</w:t>
      </w:r>
      <w:r w:rsidR="00987307" w:rsidRPr="00DC07FC">
        <w:rPr>
          <w:rFonts w:ascii="Bookman Old Style" w:hAnsi="Bookman Old Style" w:cs="Arial"/>
        </w:rPr>
        <w:t xml:space="preserve"> debe</w:t>
      </w:r>
      <w:r w:rsidR="00D079FF" w:rsidRPr="00DC07FC">
        <w:rPr>
          <w:rFonts w:ascii="Bookman Old Style" w:hAnsi="Bookman Old Style" w:cs="Arial"/>
        </w:rPr>
        <w:t xml:space="preserve"> mantenerse vigentes</w:t>
      </w:r>
      <w:r w:rsidR="00BB0B5E" w:rsidRPr="00DC07FC">
        <w:rPr>
          <w:rFonts w:ascii="Bookman Old Style" w:hAnsi="Bookman Old Style" w:cs="Arial"/>
        </w:rPr>
        <w:t>.</w:t>
      </w:r>
    </w:p>
    <w:p w:rsidR="00652055" w:rsidRPr="00DC07FC" w:rsidRDefault="00652055" w:rsidP="00901EFF">
      <w:pPr>
        <w:numPr>
          <w:ilvl w:val="0"/>
          <w:numId w:val="15"/>
        </w:numPr>
        <w:ind w:left="426"/>
        <w:contextualSpacing/>
        <w:jc w:val="both"/>
        <w:rPr>
          <w:rFonts w:ascii="Bookman Old Style" w:hAnsi="Bookman Old Style" w:cs="Arial"/>
        </w:rPr>
      </w:pPr>
      <w:r w:rsidRPr="00DC07FC">
        <w:rPr>
          <w:rFonts w:ascii="Bookman Old Style" w:hAnsi="Bookman Old Style" w:cs="Arial"/>
        </w:rPr>
        <w:t>Contratar el servicio de entrega del producto en sus instalaciones con un distribuidor de GLP</w:t>
      </w:r>
      <w:r w:rsidR="00BB0B5E" w:rsidRPr="00DC07FC">
        <w:rPr>
          <w:rFonts w:ascii="Bookman Old Style" w:hAnsi="Bookman Old Style" w:cs="Arial"/>
        </w:rPr>
        <w:t>,</w:t>
      </w:r>
      <w:r w:rsidRPr="00DC07FC">
        <w:rPr>
          <w:rFonts w:ascii="Bookman Old Style" w:hAnsi="Bookman Old Style" w:cs="Arial"/>
        </w:rPr>
        <w:t xml:space="preserve"> registrado ante la SSPD, </w:t>
      </w:r>
      <w:r w:rsidR="00375831" w:rsidRPr="00DC07FC">
        <w:rPr>
          <w:rFonts w:ascii="Bookman Old Style" w:hAnsi="Bookman Old Style" w:cs="Arial"/>
        </w:rPr>
        <w:t>escogido libremente por él, quie</w:t>
      </w:r>
      <w:r w:rsidRPr="00DC07FC">
        <w:rPr>
          <w:rFonts w:ascii="Bookman Old Style" w:hAnsi="Bookman Old Style" w:cs="Arial"/>
        </w:rPr>
        <w:t xml:space="preserve">n asume para este </w:t>
      </w:r>
      <w:r w:rsidR="00375831" w:rsidRPr="00DC07FC">
        <w:rPr>
          <w:rFonts w:ascii="Bookman Old Style" w:hAnsi="Bookman Old Style" w:cs="Arial"/>
        </w:rPr>
        <w:t xml:space="preserve">UNR </w:t>
      </w:r>
      <w:r w:rsidRPr="00DC07FC">
        <w:rPr>
          <w:rFonts w:ascii="Bookman Old Style" w:hAnsi="Bookman Old Style" w:cs="Arial"/>
        </w:rPr>
        <w:t>todas las obligaciones para la atención de usuarios establecidas en la Resolución CREG 023 de 2008</w:t>
      </w:r>
      <w:r w:rsidR="00375831" w:rsidRPr="00DC07FC">
        <w:rPr>
          <w:rFonts w:ascii="Bookman Old Style" w:hAnsi="Bookman Old Style" w:cs="Arial"/>
        </w:rPr>
        <w:t>, o</w:t>
      </w:r>
      <w:r w:rsidRPr="00DC07FC">
        <w:rPr>
          <w:rFonts w:ascii="Bookman Old Style" w:hAnsi="Bookman Old Style" w:cs="Arial"/>
        </w:rPr>
        <w:t xml:space="preserve"> aquellas que la modifiqu</w:t>
      </w:r>
      <w:r w:rsidR="00375831" w:rsidRPr="00DC07FC">
        <w:rPr>
          <w:rFonts w:ascii="Bookman Old Style" w:hAnsi="Bookman Old Style" w:cs="Arial"/>
        </w:rPr>
        <w:t xml:space="preserve">en, complementen o sustituyan. </w:t>
      </w:r>
      <w:r w:rsidR="00C72739" w:rsidRPr="00DC07FC">
        <w:rPr>
          <w:rFonts w:ascii="Bookman Old Style" w:hAnsi="Bookman Old Style" w:cs="Arial"/>
        </w:rPr>
        <w:t xml:space="preserve">Para UNR atendidos por un distribuidor de GLP por redes aplica lo dispuesto en la regulación vigente sobre la materia. </w:t>
      </w:r>
      <w:r w:rsidRPr="00DC07FC">
        <w:rPr>
          <w:rFonts w:ascii="Bookman Old Style" w:hAnsi="Bookman Old Style" w:cs="Arial"/>
        </w:rPr>
        <w:t xml:space="preserve">Será este distribuidor el encargado y responsable de recibir del comercializador </w:t>
      </w:r>
      <w:r w:rsidR="00375831" w:rsidRPr="00DC07FC">
        <w:rPr>
          <w:rFonts w:ascii="Bookman Old Style" w:hAnsi="Bookman Old Style" w:cs="Arial"/>
        </w:rPr>
        <w:t xml:space="preserve">mayorista </w:t>
      </w:r>
      <w:r w:rsidRPr="00DC07FC">
        <w:rPr>
          <w:rFonts w:ascii="Bookman Old Style" w:hAnsi="Bookman Old Style" w:cs="Arial"/>
        </w:rPr>
        <w:t xml:space="preserve">el producto comprado por el </w:t>
      </w:r>
      <w:r w:rsidR="00375831" w:rsidRPr="00DC07FC">
        <w:rPr>
          <w:rFonts w:ascii="Bookman Old Style" w:hAnsi="Bookman Old Style" w:cs="Arial"/>
        </w:rPr>
        <w:t>UNR</w:t>
      </w:r>
      <w:r w:rsidRPr="00DC07FC">
        <w:rPr>
          <w:rFonts w:ascii="Bookman Old Style" w:hAnsi="Bookman Old Style" w:cs="Arial"/>
        </w:rPr>
        <w:t>.</w:t>
      </w:r>
    </w:p>
    <w:p w:rsidR="0008333F" w:rsidRDefault="0008333F" w:rsidP="00901EFF">
      <w:pPr>
        <w:numPr>
          <w:ilvl w:val="0"/>
          <w:numId w:val="15"/>
        </w:numPr>
        <w:ind w:left="426" w:hanging="426"/>
        <w:contextualSpacing/>
        <w:jc w:val="both"/>
        <w:rPr>
          <w:rFonts w:ascii="Bookman Old Style" w:hAnsi="Bookman Old Style" w:cs="Arial"/>
        </w:rPr>
      </w:pPr>
      <w:r w:rsidRPr="00DC07FC">
        <w:rPr>
          <w:rFonts w:ascii="Bookman Old Style" w:hAnsi="Bookman Old Style" w:cs="Arial"/>
        </w:rPr>
        <w:t>Utilizar el GLP comprado como UNR únicamente para su propio consumo como gas combustible.</w:t>
      </w:r>
    </w:p>
    <w:p w:rsidR="00236F83" w:rsidRPr="00DC07FC" w:rsidRDefault="00236F83" w:rsidP="004C1136">
      <w:pPr>
        <w:pStyle w:val="ARTICULOS"/>
        <w:contextualSpacing/>
        <w:rPr>
          <w:lang w:val="es-CO"/>
        </w:rPr>
      </w:pPr>
    </w:p>
    <w:p w:rsidR="0008333F" w:rsidRPr="00DC07FC" w:rsidRDefault="0008333F" w:rsidP="004C1136">
      <w:pPr>
        <w:pStyle w:val="ARTICULOS"/>
        <w:contextualSpacing/>
        <w:rPr>
          <w:lang w:val="es-CO"/>
        </w:rPr>
      </w:pPr>
      <w:r w:rsidRPr="00DC07FC">
        <w:rPr>
          <w:b/>
          <w:lang w:val="es-CO"/>
        </w:rPr>
        <w:t>PARÁGRAFO 1.</w:t>
      </w:r>
      <w:r w:rsidRPr="00DC07FC">
        <w:rPr>
          <w:lang w:val="es-CO"/>
        </w:rPr>
        <w:t xml:space="preserve"> </w:t>
      </w:r>
      <w:r w:rsidRPr="00DC07FC">
        <w:rPr>
          <w:rFonts w:cs="Arial"/>
        </w:rPr>
        <w:t>En los</w:t>
      </w:r>
      <w:r w:rsidRPr="00DC07FC">
        <w:rPr>
          <w:rFonts w:cs="Arial"/>
          <w:lang w:val="es-CO"/>
        </w:rPr>
        <w:t xml:space="preserve"> contratos </w:t>
      </w:r>
      <w:r w:rsidRPr="00DC07FC">
        <w:rPr>
          <w:rFonts w:cs="Arial"/>
        </w:rPr>
        <w:t xml:space="preserve">de </w:t>
      </w:r>
      <w:r w:rsidRPr="00DC07FC">
        <w:rPr>
          <w:rFonts w:cs="Arial"/>
          <w:lang w:val="es-CO"/>
        </w:rPr>
        <w:t xml:space="preserve">suministro </w:t>
      </w:r>
      <w:r w:rsidRPr="00DC07FC">
        <w:rPr>
          <w:rFonts w:cs="Arial"/>
        </w:rPr>
        <w:t xml:space="preserve">firmados entre el </w:t>
      </w:r>
      <w:r w:rsidRPr="00DC07FC">
        <w:rPr>
          <w:rFonts w:cs="Arial"/>
          <w:lang w:val="es-CO"/>
        </w:rPr>
        <w:t xml:space="preserve">comercializador mayorista </w:t>
      </w:r>
      <w:r w:rsidRPr="00DC07FC">
        <w:rPr>
          <w:rFonts w:cs="Arial"/>
        </w:rPr>
        <w:t xml:space="preserve">y un </w:t>
      </w:r>
      <w:r w:rsidRPr="00DC07FC">
        <w:rPr>
          <w:rFonts w:cs="Arial"/>
          <w:lang w:val="es-CO"/>
        </w:rPr>
        <w:t>UNR</w:t>
      </w:r>
      <w:r w:rsidRPr="00DC07FC">
        <w:rPr>
          <w:rFonts w:cs="Arial"/>
        </w:rPr>
        <w:t xml:space="preserve">, o en los contratos de prestación del servicio firmados entre un </w:t>
      </w:r>
      <w:r w:rsidRPr="00DC07FC">
        <w:rPr>
          <w:rFonts w:cs="Arial"/>
          <w:lang w:val="es-CO"/>
        </w:rPr>
        <w:t xml:space="preserve">distribuidor de GLP </w:t>
      </w:r>
      <w:r w:rsidRPr="00DC07FC">
        <w:rPr>
          <w:rFonts w:cs="Arial"/>
        </w:rPr>
        <w:t xml:space="preserve">y un </w:t>
      </w:r>
      <w:r w:rsidRPr="00DC07FC">
        <w:rPr>
          <w:rFonts w:cs="Arial"/>
          <w:lang w:val="es-CO"/>
        </w:rPr>
        <w:t>UNR</w:t>
      </w:r>
      <w:r w:rsidRPr="00DC07FC">
        <w:rPr>
          <w:rFonts w:cs="Arial"/>
        </w:rPr>
        <w:t xml:space="preserve">, se deben prever los </w:t>
      </w:r>
      <w:r w:rsidR="00033D42" w:rsidRPr="00DC07FC">
        <w:rPr>
          <w:rFonts w:cs="Arial"/>
          <w:lang w:val="es-CO"/>
        </w:rPr>
        <w:t xml:space="preserve">eventos de terminación del contrato </w:t>
      </w:r>
      <w:r w:rsidRPr="00DC07FC">
        <w:rPr>
          <w:rFonts w:cs="Arial"/>
        </w:rPr>
        <w:t>y las condiciones bajo las cuales el segundo regresará sus excedentes al primero. En caso de que</w:t>
      </w:r>
      <w:r w:rsidR="00033D42" w:rsidRPr="00DC07FC">
        <w:rPr>
          <w:rFonts w:cs="Arial"/>
          <w:lang w:val="es-CO"/>
        </w:rPr>
        <w:t xml:space="preserve"> el UNR quiera </w:t>
      </w:r>
      <w:r w:rsidRPr="00DC07FC">
        <w:rPr>
          <w:rFonts w:cs="Arial"/>
        </w:rPr>
        <w:t xml:space="preserve">negociar el GLP excedente con otros agentes de la cadena, es decir otros </w:t>
      </w:r>
      <w:r w:rsidRPr="00DC07FC">
        <w:rPr>
          <w:rFonts w:cs="Arial"/>
          <w:lang w:val="es-CO"/>
        </w:rPr>
        <w:t>comercializadores mayorista</w:t>
      </w:r>
      <w:r w:rsidR="00033D42" w:rsidRPr="00DC07FC">
        <w:rPr>
          <w:rFonts w:cs="Arial"/>
          <w:lang w:val="es-CO"/>
        </w:rPr>
        <w:t>s</w:t>
      </w:r>
      <w:r w:rsidRPr="00DC07FC">
        <w:rPr>
          <w:rFonts w:cs="Arial"/>
        </w:rPr>
        <w:t xml:space="preserve">, otros </w:t>
      </w:r>
      <w:r w:rsidRPr="00DC07FC">
        <w:rPr>
          <w:rFonts w:cs="Arial"/>
          <w:lang w:val="es-CO"/>
        </w:rPr>
        <w:t xml:space="preserve">distribuidores </w:t>
      </w:r>
      <w:r w:rsidRPr="00DC07FC">
        <w:rPr>
          <w:rFonts w:cs="Arial"/>
        </w:rPr>
        <w:t xml:space="preserve">u otros </w:t>
      </w:r>
      <w:r w:rsidRPr="00DC07FC">
        <w:rPr>
          <w:rFonts w:cs="Arial"/>
          <w:lang w:val="es-CO"/>
        </w:rPr>
        <w:t>UNR</w:t>
      </w:r>
      <w:r w:rsidRPr="00DC07FC">
        <w:rPr>
          <w:rFonts w:cs="Arial"/>
        </w:rPr>
        <w:t>, deberá</w:t>
      </w:r>
      <w:r w:rsidR="007B6E66" w:rsidRPr="00DC07FC">
        <w:rPr>
          <w:rFonts w:cs="Arial"/>
          <w:lang w:val="es-CO"/>
        </w:rPr>
        <w:t xml:space="preserve"> constituirse como</w:t>
      </w:r>
      <w:r w:rsidR="00776643" w:rsidRPr="00DC07FC">
        <w:rPr>
          <w:rFonts w:cs="Arial"/>
          <w:lang w:val="es-CO"/>
        </w:rPr>
        <w:t xml:space="preserve"> comercializador mayorista</w:t>
      </w:r>
      <w:r w:rsidRPr="00DC07FC">
        <w:rPr>
          <w:rFonts w:cs="Arial"/>
        </w:rPr>
        <w:t>.</w:t>
      </w:r>
    </w:p>
    <w:p w:rsidR="0008333F" w:rsidRPr="00DC07FC" w:rsidRDefault="0008333F" w:rsidP="004C1136">
      <w:pPr>
        <w:pStyle w:val="ARTICULOS"/>
        <w:contextualSpacing/>
        <w:rPr>
          <w:lang w:val="es-CO"/>
        </w:rPr>
      </w:pPr>
    </w:p>
    <w:p w:rsidR="00EC52A8" w:rsidRPr="00DC07FC" w:rsidRDefault="00EC52A8" w:rsidP="004C1136">
      <w:pPr>
        <w:pStyle w:val="ARTICULOS"/>
        <w:contextualSpacing/>
        <w:rPr>
          <w:lang w:val="es-CO"/>
        </w:rPr>
      </w:pPr>
      <w:r w:rsidRPr="00DC07FC">
        <w:rPr>
          <w:b/>
          <w:lang w:val="es-CO"/>
        </w:rPr>
        <w:t>PARÁGRAFO 2.</w:t>
      </w:r>
      <w:r w:rsidRPr="00DC07FC">
        <w:rPr>
          <w:lang w:val="es-CO"/>
        </w:rPr>
        <w:t xml:space="preserve"> Las empresas que utilicen el GLP como combustible para generar energía eléctrica </w:t>
      </w:r>
      <w:r w:rsidR="00BC7DE0" w:rsidRPr="00DC07FC">
        <w:rPr>
          <w:lang w:val="es-CO"/>
        </w:rPr>
        <w:t xml:space="preserve">están </w:t>
      </w:r>
      <w:r w:rsidRPr="00DC07FC">
        <w:rPr>
          <w:lang w:val="es-CO"/>
        </w:rPr>
        <w:t xml:space="preserve">exentas de dar cumplimiento al </w:t>
      </w:r>
      <w:r w:rsidRPr="00DC07FC">
        <w:rPr>
          <w:rFonts w:cs="Arial"/>
          <w:lang w:val="es-CO"/>
        </w:rPr>
        <w:t xml:space="preserve">requisito establecido en </w:t>
      </w:r>
      <w:r w:rsidRPr="00DC07FC">
        <w:rPr>
          <w:lang w:val="es-CO"/>
        </w:rPr>
        <w:t>el literal a del presente artículo</w:t>
      </w:r>
      <w:r w:rsidRPr="00DC07FC">
        <w:rPr>
          <w:rFonts w:cs="Arial"/>
        </w:rPr>
        <w:t>.</w:t>
      </w:r>
      <w:r w:rsidR="005C2742" w:rsidRPr="00DC07FC">
        <w:rPr>
          <w:rFonts w:cs="Arial"/>
          <w:lang w:val="es-CO"/>
        </w:rPr>
        <w:t xml:space="preserve"> Sin perjuicio de lo anterior</w:t>
      </w:r>
      <w:r w:rsidR="00BC2FFD" w:rsidRPr="00DC07FC">
        <w:rPr>
          <w:rFonts w:cs="Arial"/>
          <w:lang w:val="es-CO"/>
        </w:rPr>
        <w:t xml:space="preserve"> y antes de participar de los mecanismos de comercializa</w:t>
      </w:r>
      <w:r w:rsidR="00BC2FFD" w:rsidRPr="002621D9">
        <w:rPr>
          <w:rFonts w:cs="Arial"/>
          <w:lang w:val="es-CO"/>
        </w:rPr>
        <w:t>ción del mercado mayorista</w:t>
      </w:r>
      <w:r w:rsidR="00C36762" w:rsidRPr="002621D9">
        <w:rPr>
          <w:rFonts w:cs="Arial"/>
          <w:lang w:val="es-CO"/>
        </w:rPr>
        <w:t>,</w:t>
      </w:r>
      <w:r w:rsidR="00BC2FFD" w:rsidRPr="002621D9">
        <w:rPr>
          <w:rFonts w:cs="Arial"/>
          <w:lang w:val="es-CO"/>
        </w:rPr>
        <w:t xml:space="preserve"> el UNR deberá acreditar ante el gestor del mercado de GLP</w:t>
      </w:r>
      <w:r w:rsidR="005C2742" w:rsidRPr="002621D9">
        <w:rPr>
          <w:rFonts w:cs="Arial"/>
          <w:lang w:val="es-CO"/>
        </w:rPr>
        <w:t>: i) para el caso de las empresas generadoras y comercializadoras de energía eléctrica</w:t>
      </w:r>
      <w:r w:rsidR="00BC2FFD" w:rsidRPr="002621D9">
        <w:rPr>
          <w:rFonts w:cs="Arial"/>
          <w:lang w:val="es-CO"/>
        </w:rPr>
        <w:t>,</w:t>
      </w:r>
      <w:r w:rsidR="005C2742" w:rsidRPr="002621D9">
        <w:rPr>
          <w:rFonts w:cs="Arial"/>
          <w:lang w:val="es-CO"/>
        </w:rPr>
        <w:t xml:space="preserve"> que </w:t>
      </w:r>
      <w:r w:rsidR="00974380" w:rsidRPr="002621D9">
        <w:rPr>
          <w:rFonts w:cs="Arial"/>
          <w:lang w:val="es-CO"/>
        </w:rPr>
        <w:t xml:space="preserve">las mismas </w:t>
      </w:r>
      <w:r w:rsidR="005C2742" w:rsidRPr="002621D9">
        <w:rPr>
          <w:rFonts w:cs="Arial"/>
          <w:lang w:val="es-CO"/>
        </w:rPr>
        <w:t xml:space="preserve">realizan </w:t>
      </w:r>
      <w:r w:rsidR="00974380" w:rsidRPr="002621D9">
        <w:rPr>
          <w:rFonts w:cs="Arial"/>
          <w:lang w:val="es-CO"/>
        </w:rPr>
        <w:t xml:space="preserve">estas </w:t>
      </w:r>
      <w:r w:rsidR="005C2742" w:rsidRPr="002621D9">
        <w:rPr>
          <w:rFonts w:cs="Arial"/>
          <w:lang w:val="es-CO"/>
        </w:rPr>
        <w:t>actividad</w:t>
      </w:r>
      <w:r w:rsidR="00BC2FFD" w:rsidRPr="002621D9">
        <w:rPr>
          <w:rFonts w:cs="Arial"/>
          <w:lang w:val="es-CO"/>
        </w:rPr>
        <w:t xml:space="preserve">es </w:t>
      </w:r>
      <w:r w:rsidR="005C2742" w:rsidRPr="002621D9">
        <w:rPr>
          <w:rFonts w:cs="Arial"/>
          <w:lang w:val="es-CO"/>
        </w:rPr>
        <w:t>de acuerdo con la información del SUI y del RUPS</w:t>
      </w:r>
      <w:r w:rsidR="00BC2FFD" w:rsidRPr="002621D9">
        <w:rPr>
          <w:rFonts w:cs="Arial"/>
          <w:lang w:val="es-CO"/>
        </w:rPr>
        <w:t xml:space="preserve"> así como el reporte de ventas de energía eléctrica </w:t>
      </w:r>
      <w:r w:rsidR="00974380" w:rsidRPr="002621D9">
        <w:rPr>
          <w:rFonts w:cs="Arial"/>
          <w:lang w:val="es-CO"/>
        </w:rPr>
        <w:t xml:space="preserve">ante </w:t>
      </w:r>
      <w:r w:rsidR="00BC2FFD" w:rsidRPr="002621D9">
        <w:rPr>
          <w:rFonts w:cs="Arial"/>
          <w:lang w:val="es-CO"/>
        </w:rPr>
        <w:t>el SUI</w:t>
      </w:r>
      <w:r w:rsidR="005C2742" w:rsidRPr="002621D9">
        <w:rPr>
          <w:rFonts w:cs="Arial"/>
          <w:lang w:val="es-CO"/>
        </w:rPr>
        <w:t xml:space="preserve">, </w:t>
      </w:r>
      <w:r w:rsidR="00BC2FFD" w:rsidRPr="002621D9">
        <w:rPr>
          <w:rFonts w:cs="Arial"/>
          <w:lang w:val="es-CO"/>
        </w:rPr>
        <w:t xml:space="preserve">ii) para el productor marginal, el contrato que tenga con un comercializador para la venta de excedentes de energía y, </w:t>
      </w:r>
      <w:r w:rsidR="005C2742" w:rsidRPr="002621D9">
        <w:rPr>
          <w:rFonts w:cs="Arial"/>
          <w:lang w:val="es-CO"/>
        </w:rPr>
        <w:t>i</w:t>
      </w:r>
      <w:r w:rsidR="00BC2FFD" w:rsidRPr="002621D9">
        <w:rPr>
          <w:rFonts w:cs="Arial"/>
          <w:lang w:val="es-CO"/>
        </w:rPr>
        <w:t>i</w:t>
      </w:r>
      <w:r w:rsidR="005C2742" w:rsidRPr="002621D9">
        <w:rPr>
          <w:rFonts w:cs="Arial"/>
          <w:lang w:val="es-CO"/>
        </w:rPr>
        <w:t xml:space="preserve">i) para el caso de los </w:t>
      </w:r>
      <w:proofErr w:type="spellStart"/>
      <w:r w:rsidR="005C2742" w:rsidRPr="002621D9">
        <w:rPr>
          <w:rFonts w:cs="Arial"/>
          <w:lang w:val="es-CO"/>
        </w:rPr>
        <w:t>autogeneradores</w:t>
      </w:r>
      <w:proofErr w:type="spellEnd"/>
      <w:r w:rsidR="00974380" w:rsidRPr="002621D9">
        <w:rPr>
          <w:rFonts w:cs="Arial"/>
          <w:lang w:val="es-CO"/>
        </w:rPr>
        <w:t>,</w:t>
      </w:r>
      <w:r w:rsidR="00BC2FFD" w:rsidRPr="002621D9">
        <w:rPr>
          <w:rFonts w:cs="Arial"/>
          <w:lang w:val="es-CO"/>
        </w:rPr>
        <w:t xml:space="preserve"> el registro de la frontera comercial en calidad de </w:t>
      </w:r>
      <w:proofErr w:type="spellStart"/>
      <w:r w:rsidR="00BC2FFD" w:rsidRPr="002621D9">
        <w:rPr>
          <w:rFonts w:cs="Arial"/>
          <w:lang w:val="es-CO"/>
        </w:rPr>
        <w:t>autogenerador</w:t>
      </w:r>
      <w:proofErr w:type="spellEnd"/>
      <w:r w:rsidR="00BC2FFD" w:rsidRPr="002621D9">
        <w:rPr>
          <w:rFonts w:cs="Arial"/>
          <w:lang w:val="es-CO"/>
        </w:rPr>
        <w:t>.</w:t>
      </w:r>
    </w:p>
    <w:p w:rsidR="00EC52A8" w:rsidRPr="00DC07FC" w:rsidRDefault="00EC52A8" w:rsidP="004C1136">
      <w:pPr>
        <w:pStyle w:val="ARTICULOS"/>
        <w:contextualSpacing/>
        <w:rPr>
          <w:lang w:val="es-CO"/>
        </w:rPr>
      </w:pPr>
    </w:p>
    <w:p w:rsidR="00236F83" w:rsidRPr="002621D9" w:rsidRDefault="00236F83" w:rsidP="004C1136">
      <w:pPr>
        <w:pStyle w:val="ARTICULOS"/>
        <w:contextualSpacing/>
        <w:rPr>
          <w:lang w:val="es-CO"/>
        </w:rPr>
      </w:pPr>
      <w:r w:rsidRPr="00DC07FC">
        <w:rPr>
          <w:b/>
          <w:lang w:val="es-CO"/>
        </w:rPr>
        <w:t>PARÁGRAFO</w:t>
      </w:r>
      <w:r w:rsidR="0008333F" w:rsidRPr="00DC07FC">
        <w:rPr>
          <w:b/>
          <w:lang w:val="es-CO"/>
        </w:rPr>
        <w:t xml:space="preserve"> </w:t>
      </w:r>
      <w:r w:rsidR="00EC52A8" w:rsidRPr="00DC07FC">
        <w:rPr>
          <w:b/>
          <w:lang w:val="es-CO"/>
        </w:rPr>
        <w:t>3</w:t>
      </w:r>
      <w:r w:rsidRPr="00DC07FC">
        <w:rPr>
          <w:b/>
          <w:lang w:val="es-CO"/>
        </w:rPr>
        <w:t>.</w:t>
      </w:r>
      <w:r w:rsidRPr="00DC07FC">
        <w:rPr>
          <w:lang w:val="es-CO"/>
        </w:rPr>
        <w:t xml:space="preserve"> </w:t>
      </w:r>
      <w:r w:rsidR="000F7306" w:rsidRPr="00DC07FC">
        <w:rPr>
          <w:lang w:val="es-CO"/>
        </w:rPr>
        <w:t xml:space="preserve">Hasta tanto la SSPD </w:t>
      </w:r>
      <w:r w:rsidR="008501BD" w:rsidRPr="00DC07FC">
        <w:rPr>
          <w:lang w:val="es-CO"/>
        </w:rPr>
        <w:t xml:space="preserve">establezca los </w:t>
      </w:r>
      <w:r w:rsidR="00375831" w:rsidRPr="00DC07FC">
        <w:rPr>
          <w:lang w:val="es-CO"/>
        </w:rPr>
        <w:t xml:space="preserve">formatos </w:t>
      </w:r>
      <w:r w:rsidR="008501BD" w:rsidRPr="00DC07FC">
        <w:rPr>
          <w:lang w:val="es-CO"/>
        </w:rPr>
        <w:t xml:space="preserve">y condiciones para el reporte de </w:t>
      </w:r>
      <w:r w:rsidR="006E6108" w:rsidRPr="00DC07FC">
        <w:rPr>
          <w:lang w:val="es-CO"/>
        </w:rPr>
        <w:t xml:space="preserve">la </w:t>
      </w:r>
      <w:r w:rsidR="008501BD" w:rsidRPr="00DC07FC">
        <w:rPr>
          <w:lang w:val="es-CO"/>
        </w:rPr>
        <w:t>información que permita determinar la calidad de UNR</w:t>
      </w:r>
      <w:r w:rsidR="00375831" w:rsidRPr="00DC07FC">
        <w:rPr>
          <w:lang w:val="es-CO"/>
        </w:rPr>
        <w:t xml:space="preserve"> a través del SUI,</w:t>
      </w:r>
      <w:r w:rsidR="008501BD" w:rsidRPr="00DC07FC">
        <w:rPr>
          <w:lang w:val="es-CO"/>
        </w:rPr>
        <w:t xml:space="preserve"> los usuarios podrán certificar su </w:t>
      </w:r>
      <w:r w:rsidR="000F7306" w:rsidRPr="00DC07FC">
        <w:rPr>
          <w:lang w:val="es-CO"/>
        </w:rPr>
        <w:t>condición de U</w:t>
      </w:r>
      <w:r w:rsidR="008501BD" w:rsidRPr="00DC07FC">
        <w:rPr>
          <w:lang w:val="es-CO"/>
        </w:rPr>
        <w:t>NR mediante</w:t>
      </w:r>
      <w:r w:rsidR="000F7306" w:rsidRPr="00DC07FC">
        <w:rPr>
          <w:rFonts w:cs="Arial"/>
          <w:lang w:val="es-CO"/>
        </w:rPr>
        <w:t xml:space="preserve"> </w:t>
      </w:r>
      <w:r w:rsidR="008501BD" w:rsidRPr="00DC07FC">
        <w:rPr>
          <w:rFonts w:cs="Arial"/>
          <w:lang w:val="es-CO"/>
        </w:rPr>
        <w:t xml:space="preserve">documento </w:t>
      </w:r>
      <w:r w:rsidR="007B6E66" w:rsidRPr="00DC07FC">
        <w:rPr>
          <w:rFonts w:cs="Arial"/>
          <w:lang w:val="es-CO"/>
        </w:rPr>
        <w:t xml:space="preserve">suscrito </w:t>
      </w:r>
      <w:r w:rsidRPr="00DC07FC">
        <w:rPr>
          <w:rFonts w:cs="Arial"/>
        </w:rPr>
        <w:t>por el representante legal y por el revisor fiscal</w:t>
      </w:r>
      <w:r w:rsidR="006E6108" w:rsidRPr="00DC07FC">
        <w:rPr>
          <w:rFonts w:cs="Arial"/>
          <w:lang w:val="es-CO"/>
        </w:rPr>
        <w:t xml:space="preserve">, o el contador en caso </w:t>
      </w:r>
      <w:r w:rsidR="006E6108" w:rsidRPr="002621D9">
        <w:rPr>
          <w:rFonts w:cs="Arial"/>
          <w:lang w:val="es-CO"/>
        </w:rPr>
        <w:t xml:space="preserve">de no tener un revisor fiscal, en donde </w:t>
      </w:r>
      <w:r w:rsidR="007B6E66" w:rsidRPr="002621D9">
        <w:rPr>
          <w:rFonts w:cs="Arial"/>
          <w:lang w:val="es-CO"/>
        </w:rPr>
        <w:t xml:space="preserve">bajo la gravedad de juramento se manifieste </w:t>
      </w:r>
      <w:r w:rsidR="006E6108" w:rsidRPr="002621D9">
        <w:rPr>
          <w:rFonts w:cs="Arial"/>
          <w:lang w:val="es-CO"/>
        </w:rPr>
        <w:t xml:space="preserve">el cumplimiento del </w:t>
      </w:r>
      <w:r w:rsidR="004A4CEF" w:rsidRPr="002621D9">
        <w:rPr>
          <w:rFonts w:cs="Arial"/>
          <w:lang w:val="es-CO"/>
        </w:rPr>
        <w:t>requisito</w:t>
      </w:r>
      <w:r w:rsidR="006E6108" w:rsidRPr="002621D9">
        <w:rPr>
          <w:rFonts w:cs="Arial"/>
          <w:lang w:val="es-CO"/>
        </w:rPr>
        <w:t xml:space="preserve"> establecido en </w:t>
      </w:r>
      <w:r w:rsidR="006E6108" w:rsidRPr="002621D9">
        <w:rPr>
          <w:lang w:val="es-CO"/>
        </w:rPr>
        <w:t>el literal a del presente artículo</w:t>
      </w:r>
      <w:r w:rsidRPr="002621D9">
        <w:rPr>
          <w:rFonts w:cs="Arial"/>
        </w:rPr>
        <w:t>.</w:t>
      </w:r>
    </w:p>
    <w:p w:rsidR="00381441" w:rsidRPr="002621D9" w:rsidRDefault="00381441" w:rsidP="004C1136">
      <w:pPr>
        <w:ind w:left="0"/>
        <w:contextualSpacing/>
        <w:jc w:val="both"/>
        <w:rPr>
          <w:rFonts w:ascii="Bookman Old Style" w:hAnsi="Bookman Old Style"/>
          <w:lang w:val="es-CO"/>
        </w:rPr>
      </w:pPr>
    </w:p>
    <w:p w:rsidR="005E3760" w:rsidRPr="002621D9" w:rsidRDefault="005E3760" w:rsidP="0097696A">
      <w:pPr>
        <w:pStyle w:val="ARTICULOS"/>
      </w:pPr>
      <w:r w:rsidRPr="002621D9">
        <w:rPr>
          <w:b/>
        </w:rPr>
        <w:t>PARÁGRAFO 4.</w:t>
      </w:r>
      <w:r w:rsidRPr="002621D9">
        <w:t xml:space="preserve"> La CREG podrá modificar el valor del límite de consumo definido en el literal a de este artículo cuando lo considere conveniente.</w:t>
      </w:r>
    </w:p>
    <w:p w:rsidR="007B6E66" w:rsidRPr="002621D9" w:rsidRDefault="007B6E66" w:rsidP="0097696A">
      <w:pPr>
        <w:pStyle w:val="ARTICULOS"/>
      </w:pPr>
    </w:p>
    <w:p w:rsidR="00381441" w:rsidRDefault="007B6E66" w:rsidP="0097696A">
      <w:pPr>
        <w:pStyle w:val="ARTICULOS"/>
        <w:rPr>
          <w:rFonts w:cs="Arial"/>
          <w:color w:val="000000" w:themeColor="text1"/>
        </w:rPr>
      </w:pPr>
      <w:r w:rsidRPr="002621D9">
        <w:rPr>
          <w:b/>
          <w:lang w:eastAsia="es-ES"/>
        </w:rPr>
        <w:t>PARÁGRAFO 5.</w:t>
      </w:r>
      <w:r w:rsidRPr="002621D9">
        <w:rPr>
          <w:lang w:eastAsia="es-ES"/>
        </w:rPr>
        <w:t xml:space="preserve"> </w:t>
      </w:r>
      <w:r w:rsidR="00381441" w:rsidRPr="002621D9">
        <w:rPr>
          <w:rFonts w:cs="Arial"/>
          <w:color w:val="000000" w:themeColor="text1"/>
        </w:rPr>
        <w:t xml:space="preserve">Un UNR </w:t>
      </w:r>
      <w:r w:rsidR="009676C8" w:rsidRPr="002621D9">
        <w:rPr>
          <w:rFonts w:cs="Arial"/>
          <w:color w:val="000000" w:themeColor="text1"/>
        </w:rPr>
        <w:t>podrá</w:t>
      </w:r>
      <w:r w:rsidR="00381441" w:rsidRPr="002621D9">
        <w:rPr>
          <w:rFonts w:cs="Arial"/>
          <w:color w:val="000000" w:themeColor="text1"/>
        </w:rPr>
        <w:t xml:space="preserve"> </w:t>
      </w:r>
      <w:r w:rsidR="009676C8" w:rsidRPr="002621D9">
        <w:rPr>
          <w:rFonts w:cs="Arial"/>
          <w:color w:val="000000" w:themeColor="text1"/>
        </w:rPr>
        <w:t xml:space="preserve">voluntariamente </w:t>
      </w:r>
      <w:r w:rsidR="00381441" w:rsidRPr="002621D9">
        <w:rPr>
          <w:rFonts w:cs="Arial"/>
          <w:color w:val="000000" w:themeColor="text1"/>
        </w:rPr>
        <w:t xml:space="preserve">constituirse como tal </w:t>
      </w:r>
      <w:r w:rsidR="009676C8" w:rsidRPr="002621D9">
        <w:rPr>
          <w:rFonts w:cs="Arial"/>
          <w:color w:val="000000" w:themeColor="text1"/>
        </w:rPr>
        <w:t>y participar en el</w:t>
      </w:r>
      <w:r w:rsidR="009676C8" w:rsidRPr="00DC07FC">
        <w:rPr>
          <w:rFonts w:cs="Arial"/>
          <w:color w:val="000000" w:themeColor="text1"/>
        </w:rPr>
        <w:t xml:space="preserve"> mercado mayorista de GLP en las condiciones previstas en la presente resolución.</w:t>
      </w:r>
    </w:p>
    <w:p w:rsidR="005B21C4" w:rsidRDefault="005B21C4" w:rsidP="0097696A">
      <w:pPr>
        <w:pStyle w:val="ARTICULOS"/>
        <w:rPr>
          <w:rFonts w:cs="Arial"/>
          <w:color w:val="000000" w:themeColor="text1"/>
        </w:rPr>
      </w:pPr>
    </w:p>
    <w:p w:rsidR="005B21C4" w:rsidRPr="00DC07FC" w:rsidRDefault="005B21C4" w:rsidP="0097696A">
      <w:pPr>
        <w:pStyle w:val="ARTICULOS"/>
        <w:rPr>
          <w:rFonts w:cs="Arial"/>
          <w:color w:val="000000" w:themeColor="text1"/>
        </w:rPr>
      </w:pPr>
    </w:p>
    <w:p w:rsidR="007F32E0" w:rsidRPr="00DC07FC" w:rsidRDefault="007F32E0" w:rsidP="004C1136">
      <w:pPr>
        <w:ind w:left="0"/>
        <w:contextualSpacing/>
        <w:jc w:val="both"/>
        <w:rPr>
          <w:rFonts w:ascii="Bookman Old Style" w:hAnsi="Bookman Old Style"/>
          <w:lang w:val="x-none"/>
        </w:rPr>
      </w:pPr>
    </w:p>
    <w:p w:rsidR="007F32E0" w:rsidRDefault="007F32E0" w:rsidP="00D444D6">
      <w:pPr>
        <w:pStyle w:val="ARTICULOS"/>
        <w:numPr>
          <w:ilvl w:val="0"/>
          <w:numId w:val="2"/>
        </w:numPr>
        <w:tabs>
          <w:tab w:val="left" w:pos="1701"/>
        </w:tabs>
        <w:ind w:left="0" w:firstLine="0"/>
        <w:contextualSpacing/>
        <w:outlineLvl w:val="2"/>
        <w:rPr>
          <w:rFonts w:cs="Arial"/>
          <w:color w:val="000000" w:themeColor="text1"/>
        </w:rPr>
      </w:pPr>
      <w:r w:rsidRPr="00DC07FC">
        <w:rPr>
          <w:rFonts w:cs="Arial"/>
          <w:b/>
          <w:color w:val="000000" w:themeColor="text1"/>
        </w:rPr>
        <w:t xml:space="preserve">OBLIGACIONES DE LOS COMPRADORES DE GLP. </w:t>
      </w:r>
      <w:r w:rsidRPr="00DC07FC">
        <w:rPr>
          <w:rFonts w:cs="Arial"/>
          <w:color w:val="000000" w:themeColor="text1"/>
        </w:rPr>
        <w:t xml:space="preserve">Además de las obligaciones específicas que define la regulación para cada uno de los agentes compradores, los comercializadores mayoristas, distribuidores y </w:t>
      </w:r>
      <w:r w:rsidR="00E93B60" w:rsidRPr="00DC07FC">
        <w:rPr>
          <w:rFonts w:cs="Arial"/>
          <w:color w:val="000000" w:themeColor="text1"/>
        </w:rPr>
        <w:t xml:space="preserve">UNR </w:t>
      </w:r>
      <w:r w:rsidRPr="00DC07FC">
        <w:rPr>
          <w:rFonts w:cs="Arial"/>
          <w:color w:val="000000" w:themeColor="text1"/>
        </w:rPr>
        <w:t>tendrán las siguientes obligaciones generales, respecto de la compra del producto, en el mercado mayorista de GLP.</w:t>
      </w:r>
    </w:p>
    <w:p w:rsidR="007F32E0" w:rsidRPr="00DC07FC" w:rsidRDefault="007F32E0" w:rsidP="004C1136">
      <w:pPr>
        <w:pStyle w:val="ARTICULOS"/>
        <w:contextualSpacing/>
        <w:rPr>
          <w:lang w:val="es-CO"/>
        </w:rPr>
      </w:pPr>
    </w:p>
    <w:p w:rsidR="007F32E0" w:rsidRPr="00DC07FC" w:rsidRDefault="007F32E0" w:rsidP="00901EFF">
      <w:pPr>
        <w:pStyle w:val="Prrafodelista"/>
        <w:numPr>
          <w:ilvl w:val="0"/>
          <w:numId w:val="25"/>
        </w:numPr>
        <w:ind w:left="426" w:hanging="426"/>
        <w:contextualSpacing/>
        <w:jc w:val="both"/>
        <w:rPr>
          <w:rFonts w:ascii="Bookman Old Style" w:hAnsi="Bookman Old Style"/>
          <w:sz w:val="24"/>
          <w:szCs w:val="24"/>
        </w:rPr>
      </w:pPr>
      <w:r w:rsidRPr="00DC07FC">
        <w:rPr>
          <w:rFonts w:ascii="Bookman Old Style" w:hAnsi="Bookman Old Style"/>
          <w:sz w:val="24"/>
          <w:szCs w:val="24"/>
        </w:rPr>
        <w:t>Verificar que el comercializador mayorista a quien le compra el producto cumple los requisitos exigidos por la regulación para el ejercicio de la actividad. En el caso de un UNR, verificar además que el distribuidor que lo atiende cumple con los requisitos establecidos en la regulación para el ejercicio de la actividad.</w:t>
      </w:r>
    </w:p>
    <w:p w:rsidR="007F32E0" w:rsidRPr="002621D9" w:rsidRDefault="007F32E0" w:rsidP="00901EFF">
      <w:pPr>
        <w:pStyle w:val="Prrafodelista"/>
        <w:numPr>
          <w:ilvl w:val="0"/>
          <w:numId w:val="25"/>
        </w:numPr>
        <w:ind w:left="426" w:hanging="426"/>
        <w:contextualSpacing/>
        <w:jc w:val="both"/>
        <w:rPr>
          <w:rFonts w:ascii="Bookman Old Style" w:hAnsi="Bookman Old Style"/>
          <w:sz w:val="24"/>
          <w:szCs w:val="24"/>
        </w:rPr>
      </w:pPr>
      <w:r w:rsidRPr="00DC07FC">
        <w:rPr>
          <w:rFonts w:ascii="Bookman Old Style" w:hAnsi="Bookman Old Style"/>
          <w:sz w:val="24"/>
          <w:szCs w:val="24"/>
        </w:rPr>
        <w:t xml:space="preserve">Recibir las cantidades de GLP contratadas, de acuerdo con las condiciones pactadas en los contratos de suministro y dentro de los plazos máximos </w:t>
      </w:r>
      <w:r w:rsidRPr="002621D9">
        <w:rPr>
          <w:rFonts w:ascii="Bookman Old Style" w:hAnsi="Bookman Old Style"/>
          <w:sz w:val="24"/>
          <w:szCs w:val="24"/>
        </w:rPr>
        <w:t xml:space="preserve">previamente pactados en dichos contratos, </w:t>
      </w:r>
      <w:r w:rsidR="00E93B60" w:rsidRPr="002621D9">
        <w:rPr>
          <w:rFonts w:ascii="Bookman Old Style" w:hAnsi="Bookman Old Style"/>
          <w:sz w:val="24"/>
          <w:szCs w:val="24"/>
        </w:rPr>
        <w:t xml:space="preserve">considerando </w:t>
      </w:r>
      <w:r w:rsidRPr="002621D9">
        <w:rPr>
          <w:rFonts w:ascii="Bookman Old Style" w:hAnsi="Bookman Old Style"/>
          <w:sz w:val="24"/>
          <w:szCs w:val="24"/>
        </w:rPr>
        <w:t>las causales de incumplimiento establecidas en el</w:t>
      </w:r>
      <w:r w:rsidR="00885992">
        <w:rPr>
          <w:rFonts w:ascii="Bookman Old Style" w:hAnsi="Bookman Old Style"/>
          <w:sz w:val="24"/>
          <w:szCs w:val="24"/>
        </w:rPr>
        <w:t xml:space="preserve"> artículo 10</w:t>
      </w:r>
      <w:r w:rsidRPr="002621D9">
        <w:rPr>
          <w:rFonts w:ascii="Bookman Old Style" w:hAnsi="Bookman Old Style"/>
          <w:sz w:val="24"/>
          <w:szCs w:val="24"/>
        </w:rPr>
        <w:t xml:space="preserve"> de esta resolución.</w:t>
      </w:r>
    </w:p>
    <w:p w:rsidR="002A6176" w:rsidRPr="002621D9" w:rsidRDefault="007F32E0" w:rsidP="00901EFF">
      <w:pPr>
        <w:pStyle w:val="Prrafodelista"/>
        <w:numPr>
          <w:ilvl w:val="0"/>
          <w:numId w:val="25"/>
        </w:numPr>
        <w:ind w:left="426" w:hanging="426"/>
        <w:contextualSpacing/>
        <w:jc w:val="both"/>
        <w:rPr>
          <w:rFonts w:ascii="Bookman Old Style" w:hAnsi="Bookman Old Style"/>
          <w:sz w:val="24"/>
          <w:szCs w:val="24"/>
        </w:rPr>
      </w:pPr>
      <w:r w:rsidRPr="002621D9">
        <w:rPr>
          <w:rFonts w:ascii="Bookman Old Style" w:hAnsi="Bookman Old Style"/>
          <w:sz w:val="24"/>
          <w:szCs w:val="24"/>
        </w:rPr>
        <w:t xml:space="preserve">Compensar al vendedor por el incumplimiento en las condiciones de recibo del producto en los términos establecidos en </w:t>
      </w:r>
      <w:r w:rsidR="002A6176" w:rsidRPr="002621D9">
        <w:rPr>
          <w:rFonts w:ascii="Bookman Old Style" w:hAnsi="Bookman Old Style"/>
          <w:sz w:val="24"/>
          <w:szCs w:val="24"/>
        </w:rPr>
        <w:t xml:space="preserve">los </w:t>
      </w:r>
      <w:r w:rsidRPr="002621D9">
        <w:rPr>
          <w:rFonts w:ascii="Bookman Old Style" w:hAnsi="Bookman Old Style"/>
          <w:sz w:val="24"/>
          <w:szCs w:val="24"/>
        </w:rPr>
        <w:t>artículo</w:t>
      </w:r>
      <w:r w:rsidR="002A6176" w:rsidRPr="002621D9">
        <w:rPr>
          <w:rFonts w:ascii="Bookman Old Style" w:hAnsi="Bookman Old Style"/>
          <w:sz w:val="24"/>
          <w:szCs w:val="24"/>
        </w:rPr>
        <w:t>s</w:t>
      </w:r>
      <w:r w:rsidRPr="002621D9">
        <w:rPr>
          <w:rFonts w:ascii="Bookman Old Style" w:hAnsi="Bookman Old Style"/>
          <w:sz w:val="24"/>
          <w:szCs w:val="24"/>
        </w:rPr>
        <w:t xml:space="preserve"> </w:t>
      </w:r>
      <w:r w:rsidR="006D50F5" w:rsidRPr="002621D9">
        <w:rPr>
          <w:rFonts w:ascii="Bookman Old Style" w:hAnsi="Bookman Old Style"/>
          <w:sz w:val="24"/>
          <w:szCs w:val="24"/>
        </w:rPr>
        <w:t>10</w:t>
      </w:r>
      <w:r w:rsidRPr="002621D9">
        <w:rPr>
          <w:rFonts w:ascii="Bookman Old Style" w:hAnsi="Bookman Old Style"/>
          <w:sz w:val="24"/>
          <w:szCs w:val="24"/>
        </w:rPr>
        <w:t xml:space="preserve"> y </w:t>
      </w:r>
      <w:r w:rsidR="002A6176" w:rsidRPr="002621D9">
        <w:rPr>
          <w:rFonts w:ascii="Bookman Old Style" w:hAnsi="Bookman Old Style"/>
          <w:sz w:val="24"/>
          <w:szCs w:val="24"/>
        </w:rPr>
        <w:t>1</w:t>
      </w:r>
      <w:r w:rsidR="006D50F5" w:rsidRPr="002621D9">
        <w:rPr>
          <w:rFonts w:ascii="Bookman Old Style" w:hAnsi="Bookman Old Style"/>
          <w:sz w:val="24"/>
          <w:szCs w:val="24"/>
        </w:rPr>
        <w:t>2</w:t>
      </w:r>
      <w:r w:rsidRPr="002621D9">
        <w:rPr>
          <w:rFonts w:ascii="Bookman Old Style" w:hAnsi="Bookman Old Style"/>
          <w:sz w:val="24"/>
          <w:szCs w:val="24"/>
        </w:rPr>
        <w:t xml:space="preserve"> de esta resolución.</w:t>
      </w:r>
    </w:p>
    <w:p w:rsidR="008370DE" w:rsidRPr="00DC07FC" w:rsidRDefault="000064F6" w:rsidP="00901EFF">
      <w:pPr>
        <w:pStyle w:val="Prrafodelista"/>
        <w:numPr>
          <w:ilvl w:val="0"/>
          <w:numId w:val="25"/>
        </w:numPr>
        <w:ind w:left="426" w:hanging="426"/>
        <w:contextualSpacing/>
        <w:jc w:val="both"/>
        <w:rPr>
          <w:rFonts w:ascii="Bookman Old Style" w:hAnsi="Bookman Old Style"/>
          <w:sz w:val="24"/>
          <w:szCs w:val="24"/>
        </w:rPr>
      </w:pPr>
      <w:r w:rsidRPr="002621D9">
        <w:rPr>
          <w:rFonts w:ascii="Bookman Old Style" w:hAnsi="Bookman Old Style"/>
          <w:sz w:val="24"/>
          <w:szCs w:val="24"/>
        </w:rPr>
        <w:t>En el</w:t>
      </w:r>
      <w:r w:rsidRPr="00DC07FC">
        <w:rPr>
          <w:rFonts w:ascii="Bookman Old Style" w:hAnsi="Bookman Old Style"/>
          <w:sz w:val="24"/>
          <w:szCs w:val="24"/>
        </w:rPr>
        <w:t xml:space="preserve"> caso de los distribuidores</w:t>
      </w:r>
      <w:r w:rsidR="00C36762" w:rsidRPr="00DC07FC">
        <w:rPr>
          <w:rFonts w:ascii="Bookman Old Style" w:hAnsi="Bookman Old Style"/>
          <w:sz w:val="24"/>
          <w:szCs w:val="24"/>
        </w:rPr>
        <w:t>,</w:t>
      </w:r>
      <w:r w:rsidR="006D50F5" w:rsidRPr="00DC07FC">
        <w:rPr>
          <w:rFonts w:ascii="Bookman Old Style" w:hAnsi="Bookman Old Style"/>
          <w:sz w:val="24"/>
          <w:szCs w:val="24"/>
        </w:rPr>
        <w:t xml:space="preserve"> abstenerse de realizar compras de GLP</w:t>
      </w:r>
      <w:r w:rsidR="00C36762" w:rsidRPr="00DC07FC">
        <w:rPr>
          <w:rFonts w:ascii="Bookman Old Style" w:hAnsi="Bookman Old Style"/>
          <w:sz w:val="24"/>
          <w:szCs w:val="24"/>
        </w:rPr>
        <w:t>, directamente o a través de un comercializador mayorista,</w:t>
      </w:r>
      <w:r w:rsidR="006D50F5" w:rsidRPr="00DC07FC">
        <w:rPr>
          <w:rFonts w:ascii="Bookman Old Style" w:hAnsi="Bookman Old Style"/>
          <w:sz w:val="24"/>
          <w:szCs w:val="24"/>
        </w:rPr>
        <w:t xml:space="preserve"> que </w:t>
      </w:r>
      <w:r w:rsidR="00C36762" w:rsidRPr="00DC07FC">
        <w:rPr>
          <w:rFonts w:ascii="Bookman Old Style" w:hAnsi="Bookman Old Style"/>
          <w:sz w:val="24"/>
          <w:szCs w:val="24"/>
        </w:rPr>
        <w:t xml:space="preserve">lo lleven a exceder </w:t>
      </w:r>
      <w:r w:rsidR="006D50F5" w:rsidRPr="00DC07FC">
        <w:rPr>
          <w:rFonts w:ascii="Bookman Old Style" w:hAnsi="Bookman Old Style"/>
          <w:sz w:val="24"/>
          <w:szCs w:val="24"/>
        </w:rPr>
        <w:t xml:space="preserve">su capacidad </w:t>
      </w:r>
      <w:r w:rsidR="00C36762" w:rsidRPr="00DC07FC">
        <w:rPr>
          <w:rFonts w:ascii="Bookman Old Style" w:hAnsi="Bookman Old Style"/>
          <w:sz w:val="24"/>
          <w:szCs w:val="24"/>
        </w:rPr>
        <w:t>disponible</w:t>
      </w:r>
      <w:r w:rsidR="00144358">
        <w:rPr>
          <w:rFonts w:ascii="Bookman Old Style" w:hAnsi="Bookman Old Style"/>
          <w:sz w:val="24"/>
          <w:szCs w:val="24"/>
        </w:rPr>
        <w:t>,</w:t>
      </w:r>
      <w:r w:rsidR="00C36762" w:rsidRPr="00DC07FC">
        <w:rPr>
          <w:rFonts w:ascii="Bookman Old Style" w:hAnsi="Bookman Old Style"/>
          <w:sz w:val="24"/>
          <w:szCs w:val="24"/>
        </w:rPr>
        <w:t xml:space="preserve"> </w:t>
      </w:r>
      <w:r w:rsidR="00144358">
        <w:rPr>
          <w:rFonts w:ascii="Bookman Old Style" w:hAnsi="Bookman Old Style"/>
          <w:sz w:val="24"/>
          <w:szCs w:val="24"/>
        </w:rPr>
        <w:t xml:space="preserve">según </w:t>
      </w:r>
      <w:r w:rsidR="00144358" w:rsidRPr="00DC07FC">
        <w:rPr>
          <w:rFonts w:ascii="Bookman Old Style" w:hAnsi="Bookman Old Style"/>
          <w:sz w:val="24"/>
          <w:szCs w:val="24"/>
        </w:rPr>
        <w:t xml:space="preserve">lo previsto en </w:t>
      </w:r>
      <w:r w:rsidR="00144358">
        <w:rPr>
          <w:rFonts w:ascii="Bookman Old Style" w:hAnsi="Bookman Old Style"/>
          <w:sz w:val="24"/>
          <w:szCs w:val="24"/>
        </w:rPr>
        <w:t>la Resolución CREG 063 de 2016, o aquella que la modifique o sustituya</w:t>
      </w:r>
      <w:r w:rsidR="006D50F5" w:rsidRPr="00DC07FC">
        <w:rPr>
          <w:rFonts w:ascii="Bookman Old Style" w:hAnsi="Bookman Old Style"/>
          <w:sz w:val="24"/>
          <w:szCs w:val="24"/>
        </w:rPr>
        <w:t>.</w:t>
      </w:r>
    </w:p>
    <w:p w:rsidR="002D4528" w:rsidRPr="002621D9" w:rsidRDefault="002D4528" w:rsidP="002D4528">
      <w:pPr>
        <w:pStyle w:val="Prrafodelista"/>
        <w:numPr>
          <w:ilvl w:val="0"/>
          <w:numId w:val="25"/>
        </w:numPr>
        <w:ind w:left="426" w:hanging="426"/>
        <w:contextualSpacing/>
        <w:jc w:val="both"/>
        <w:rPr>
          <w:rFonts w:ascii="Bookman Old Style" w:hAnsi="Bookman Old Style"/>
          <w:sz w:val="24"/>
          <w:szCs w:val="24"/>
        </w:rPr>
      </w:pPr>
      <w:r w:rsidRPr="002D4528">
        <w:rPr>
          <w:rFonts w:ascii="Bookman Old Style" w:hAnsi="Bookman Old Style" w:cs="Arial"/>
          <w:sz w:val="24"/>
          <w:szCs w:val="24"/>
        </w:rPr>
        <w:t xml:space="preserve">Abstenerse de recibir producto de contratos de suministro que no se encuentren debidamente registrados ante el gestor del mercado mayorista de GLP, en los términos </w:t>
      </w:r>
      <w:r w:rsidRPr="002621D9">
        <w:rPr>
          <w:rFonts w:ascii="Bookman Old Style" w:hAnsi="Bookman Old Style" w:cs="Arial"/>
          <w:sz w:val="24"/>
          <w:szCs w:val="24"/>
        </w:rPr>
        <w:t>del anexo 2 de esta resolución.</w:t>
      </w:r>
    </w:p>
    <w:p w:rsidR="00A45E45" w:rsidRPr="002621D9" w:rsidRDefault="00A45E45" w:rsidP="00901EFF">
      <w:pPr>
        <w:pStyle w:val="Prrafodelista"/>
        <w:numPr>
          <w:ilvl w:val="0"/>
          <w:numId w:val="25"/>
        </w:numPr>
        <w:ind w:left="426" w:hanging="426"/>
        <w:contextualSpacing/>
        <w:jc w:val="both"/>
        <w:rPr>
          <w:rFonts w:ascii="Bookman Old Style" w:hAnsi="Bookman Old Style"/>
          <w:sz w:val="24"/>
          <w:szCs w:val="24"/>
        </w:rPr>
      </w:pPr>
      <w:r w:rsidRPr="002621D9">
        <w:rPr>
          <w:rFonts w:ascii="Bookman Old Style" w:hAnsi="Bookman Old Style"/>
          <w:sz w:val="24"/>
          <w:szCs w:val="24"/>
        </w:rPr>
        <w:t>Registrar ante el gestor del mercado mayorista de GLP los contratos de suministro que suscriban</w:t>
      </w:r>
      <w:r w:rsidR="00740607" w:rsidRPr="002621D9">
        <w:rPr>
          <w:rFonts w:ascii="Bookman Old Style" w:hAnsi="Bookman Old Style"/>
          <w:sz w:val="24"/>
          <w:szCs w:val="24"/>
        </w:rPr>
        <w:t xml:space="preserve">, </w:t>
      </w:r>
      <w:r w:rsidR="00740607" w:rsidRPr="002621D9">
        <w:rPr>
          <w:rFonts w:ascii="Bookman Old Style" w:hAnsi="Bookman Old Style" w:cs="Arial"/>
          <w:sz w:val="24"/>
          <w:szCs w:val="24"/>
        </w:rPr>
        <w:t>en los términos del anexo 2 de esta resolución</w:t>
      </w:r>
      <w:r w:rsidRPr="002621D9">
        <w:rPr>
          <w:rFonts w:ascii="Bookman Old Style" w:hAnsi="Bookman Old Style"/>
          <w:sz w:val="24"/>
          <w:szCs w:val="24"/>
        </w:rPr>
        <w:t>.</w:t>
      </w:r>
    </w:p>
    <w:p w:rsidR="00465EB1" w:rsidRDefault="00465EB1" w:rsidP="004C1136">
      <w:pPr>
        <w:ind w:left="0"/>
        <w:contextualSpacing/>
        <w:jc w:val="both"/>
        <w:rPr>
          <w:rFonts w:ascii="Bookman Old Style" w:hAnsi="Bookman Old Style"/>
          <w:lang w:val="es-CO"/>
        </w:rPr>
      </w:pPr>
    </w:p>
    <w:p w:rsidR="00F2074C" w:rsidRDefault="00F2074C" w:rsidP="004C1136">
      <w:pPr>
        <w:ind w:left="0"/>
        <w:contextualSpacing/>
        <w:jc w:val="both"/>
        <w:rPr>
          <w:rFonts w:ascii="Bookman Old Style" w:hAnsi="Bookman Old Style"/>
          <w:lang w:val="es-CO"/>
        </w:rPr>
      </w:pPr>
    </w:p>
    <w:p w:rsidR="00F2074C" w:rsidRPr="00DC07FC" w:rsidRDefault="00F2074C" w:rsidP="004C1136">
      <w:pPr>
        <w:ind w:left="0"/>
        <w:contextualSpacing/>
        <w:jc w:val="both"/>
        <w:rPr>
          <w:rFonts w:ascii="Bookman Old Style" w:hAnsi="Bookman Old Style"/>
          <w:lang w:val="es-CO"/>
        </w:rPr>
      </w:pPr>
    </w:p>
    <w:p w:rsidR="00C72708" w:rsidRPr="00DC07FC" w:rsidRDefault="001B04E6" w:rsidP="00E442C5">
      <w:pPr>
        <w:pStyle w:val="Ttulo1"/>
        <w:contextualSpacing/>
        <w:rPr>
          <w:szCs w:val="24"/>
        </w:rPr>
      </w:pPr>
      <w:r w:rsidRPr="00DC07FC">
        <w:rPr>
          <w:szCs w:val="24"/>
        </w:rPr>
        <w:t>TÍTULO IV</w:t>
      </w:r>
    </w:p>
    <w:p w:rsidR="00C72708" w:rsidRPr="00DC07FC" w:rsidRDefault="00D15D10" w:rsidP="00E442C5">
      <w:pPr>
        <w:pStyle w:val="Ttulo1"/>
        <w:contextualSpacing/>
        <w:rPr>
          <w:b w:val="0"/>
        </w:rPr>
      </w:pPr>
      <w:r w:rsidRPr="00DC07FC">
        <w:rPr>
          <w:szCs w:val="24"/>
        </w:rPr>
        <w:t>ASPECTOS COMERCIALES DEL MERCADO PRIMARIO</w:t>
      </w:r>
    </w:p>
    <w:p w:rsidR="002B627B" w:rsidRPr="00DC07FC" w:rsidRDefault="002B627B" w:rsidP="004C1136">
      <w:pPr>
        <w:ind w:left="0"/>
        <w:contextualSpacing/>
        <w:jc w:val="both"/>
        <w:rPr>
          <w:rFonts w:ascii="Bookman Old Style" w:hAnsi="Bookman Old Style"/>
          <w:lang w:val="es-CO"/>
        </w:rPr>
      </w:pPr>
    </w:p>
    <w:p w:rsidR="00C345DB" w:rsidRPr="00DC07FC" w:rsidRDefault="00C345DB" w:rsidP="004C1136">
      <w:pPr>
        <w:ind w:left="0"/>
        <w:contextualSpacing/>
        <w:jc w:val="both"/>
        <w:rPr>
          <w:rFonts w:ascii="Bookman Old Style" w:hAnsi="Bookman Old Style"/>
          <w:lang w:val="es-CO"/>
        </w:rPr>
      </w:pPr>
    </w:p>
    <w:p w:rsidR="00B615FC" w:rsidRPr="00DC07FC" w:rsidRDefault="00AD25CB" w:rsidP="00D444D6">
      <w:pPr>
        <w:pStyle w:val="ARTICULOS"/>
        <w:numPr>
          <w:ilvl w:val="0"/>
          <w:numId w:val="2"/>
        </w:numPr>
        <w:tabs>
          <w:tab w:val="left" w:pos="1701"/>
        </w:tabs>
        <w:ind w:left="0" w:firstLine="0"/>
        <w:contextualSpacing/>
        <w:outlineLvl w:val="2"/>
        <w:rPr>
          <w:rFonts w:cs="Arial"/>
          <w:bCs w:val="0"/>
          <w:color w:val="000000" w:themeColor="text1"/>
        </w:rPr>
      </w:pPr>
      <w:bookmarkStart w:id="20" w:name="_Ref440968292"/>
      <w:r w:rsidRPr="00DC07FC">
        <w:rPr>
          <w:rFonts w:cs="Arial"/>
          <w:b/>
          <w:color w:val="000000" w:themeColor="text1"/>
        </w:rPr>
        <w:t>VENDEDORES</w:t>
      </w:r>
      <w:r w:rsidRPr="00DC07FC">
        <w:rPr>
          <w:rFonts w:cs="Arial"/>
          <w:b/>
        </w:rPr>
        <w:t xml:space="preserve"> DE GLP EN EL MERCADO PRIMARIO.</w:t>
      </w:r>
      <w:r w:rsidR="00B615FC" w:rsidRPr="00DC07FC">
        <w:rPr>
          <w:rFonts w:cs="Arial"/>
        </w:rPr>
        <w:t xml:space="preserve"> </w:t>
      </w:r>
      <w:bookmarkEnd w:id="20"/>
      <w:r w:rsidR="00D0512E" w:rsidRPr="00DC07FC">
        <w:rPr>
          <w:rFonts w:cs="Arial"/>
          <w:lang w:val="es-CO"/>
        </w:rPr>
        <w:t xml:space="preserve">Son </w:t>
      </w:r>
      <w:r w:rsidR="004117C2" w:rsidRPr="00DC07FC">
        <w:rPr>
          <w:rFonts w:cs="Arial"/>
          <w:lang w:val="es-CO"/>
        </w:rPr>
        <w:t>vendedores de GLP en el mercado primario l</w:t>
      </w:r>
      <w:r w:rsidR="00B615FC" w:rsidRPr="00DC07FC">
        <w:rPr>
          <w:rFonts w:cs="Arial"/>
          <w:color w:val="000000" w:themeColor="text1"/>
          <w:lang w:val="es-ES"/>
        </w:rPr>
        <w:t>os comercializadores de oferta.</w:t>
      </w:r>
    </w:p>
    <w:p w:rsidR="00B615FC" w:rsidRPr="00DC07FC" w:rsidRDefault="00B615FC" w:rsidP="004C1136">
      <w:pPr>
        <w:ind w:left="0"/>
        <w:contextualSpacing/>
        <w:jc w:val="both"/>
        <w:rPr>
          <w:rFonts w:ascii="Bookman Old Style" w:hAnsi="Bookman Old Style"/>
          <w:lang w:val="x-none"/>
        </w:rPr>
      </w:pPr>
    </w:p>
    <w:p w:rsidR="00D15D10" w:rsidRPr="00DC07FC" w:rsidRDefault="00AD25CB" w:rsidP="00D444D6">
      <w:pPr>
        <w:pStyle w:val="ARTICULOS"/>
        <w:numPr>
          <w:ilvl w:val="0"/>
          <w:numId w:val="2"/>
        </w:numPr>
        <w:tabs>
          <w:tab w:val="left" w:pos="1701"/>
        </w:tabs>
        <w:ind w:left="0" w:firstLine="0"/>
        <w:contextualSpacing/>
        <w:outlineLvl w:val="2"/>
        <w:rPr>
          <w:rFonts w:cs="Arial"/>
          <w:b/>
          <w:bCs w:val="0"/>
          <w:color w:val="000000" w:themeColor="text1"/>
        </w:rPr>
      </w:pPr>
      <w:bookmarkStart w:id="21" w:name="_Ref440968147"/>
      <w:r w:rsidRPr="00DC07FC">
        <w:rPr>
          <w:rFonts w:cs="Arial"/>
          <w:b/>
          <w:color w:val="000000" w:themeColor="text1"/>
          <w:lang w:val="es-CO"/>
        </w:rPr>
        <w:t>COMPRADORES</w:t>
      </w:r>
      <w:r w:rsidRPr="00DC07FC">
        <w:rPr>
          <w:rFonts w:cs="Arial"/>
          <w:b/>
        </w:rPr>
        <w:t xml:space="preserve"> DE GLP EN EL MERCADO PRIMARIO</w:t>
      </w:r>
      <w:r w:rsidR="00D15D10" w:rsidRPr="00DC07FC">
        <w:rPr>
          <w:rFonts w:cs="Arial"/>
          <w:b/>
        </w:rPr>
        <w:t>.</w:t>
      </w:r>
      <w:r w:rsidR="00D15D10" w:rsidRPr="00DC07FC">
        <w:rPr>
          <w:rFonts w:cs="Arial"/>
        </w:rPr>
        <w:t xml:space="preserve"> </w:t>
      </w:r>
      <w:r w:rsidR="00D0512E" w:rsidRPr="00DC07FC">
        <w:rPr>
          <w:rFonts w:cs="Arial"/>
          <w:lang w:val="es-CO"/>
        </w:rPr>
        <w:t>Son compradores de GLP en el mercado primario:</w:t>
      </w:r>
      <w:bookmarkEnd w:id="21"/>
    </w:p>
    <w:p w:rsidR="00D15D10" w:rsidRPr="00DC07FC" w:rsidRDefault="00D15D10" w:rsidP="004C1136">
      <w:pPr>
        <w:ind w:left="0"/>
        <w:contextualSpacing/>
        <w:jc w:val="both"/>
        <w:rPr>
          <w:rFonts w:ascii="Bookman Old Style" w:hAnsi="Bookman Old Style" w:cs="Arial"/>
          <w:color w:val="000000" w:themeColor="text1"/>
          <w:lang w:val="x-none"/>
        </w:rPr>
      </w:pPr>
    </w:p>
    <w:p w:rsidR="00D15D10" w:rsidRPr="00DC07FC" w:rsidRDefault="00A822BB" w:rsidP="00901EFF">
      <w:pPr>
        <w:numPr>
          <w:ilvl w:val="0"/>
          <w:numId w:val="14"/>
        </w:numPr>
        <w:tabs>
          <w:tab w:val="left" w:pos="426"/>
        </w:tabs>
        <w:ind w:left="426" w:hanging="426"/>
        <w:contextualSpacing/>
        <w:jc w:val="both"/>
        <w:rPr>
          <w:rFonts w:ascii="Bookman Old Style" w:hAnsi="Bookman Old Style" w:cs="Arial"/>
        </w:rPr>
      </w:pPr>
      <w:r w:rsidRPr="00DC07FC">
        <w:rPr>
          <w:rFonts w:ascii="Bookman Old Style" w:hAnsi="Bookman Old Style" w:cs="Arial"/>
        </w:rPr>
        <w:t>Los c</w:t>
      </w:r>
      <w:r w:rsidR="00D15D10" w:rsidRPr="00DC07FC">
        <w:rPr>
          <w:rFonts w:ascii="Bookman Old Style" w:hAnsi="Bookman Old Style" w:cs="Arial"/>
        </w:rPr>
        <w:t xml:space="preserve">omercializadores de demanda que hayan sido expresamente autorizados, </w:t>
      </w:r>
      <w:r w:rsidR="00F47D43" w:rsidRPr="00DC07FC">
        <w:rPr>
          <w:rFonts w:ascii="Bookman Old Style" w:hAnsi="Bookman Old Style" w:cs="Arial"/>
        </w:rPr>
        <w:t xml:space="preserve">mediante un </w:t>
      </w:r>
      <w:r w:rsidR="00CE2455" w:rsidRPr="00DC07FC">
        <w:rPr>
          <w:rFonts w:ascii="Bookman Old Style" w:hAnsi="Bookman Old Style" w:cs="Arial"/>
        </w:rPr>
        <w:t>c</w:t>
      </w:r>
      <w:r w:rsidR="00F47D43" w:rsidRPr="00DC07FC">
        <w:rPr>
          <w:rFonts w:ascii="Bookman Old Style" w:hAnsi="Bookman Old Style" w:cs="Arial"/>
        </w:rPr>
        <w:t>ontrato</w:t>
      </w:r>
      <w:r w:rsidR="00D15D10" w:rsidRPr="00DC07FC">
        <w:rPr>
          <w:rFonts w:ascii="Bookman Old Style" w:hAnsi="Bookman Old Style" w:cs="Arial"/>
        </w:rPr>
        <w:t xml:space="preserve"> de </w:t>
      </w:r>
      <w:r w:rsidR="009160CB" w:rsidRPr="00DC07FC">
        <w:rPr>
          <w:rFonts w:ascii="Bookman Old Style" w:hAnsi="Bookman Old Style" w:cs="Arial"/>
        </w:rPr>
        <w:t>suministro</w:t>
      </w:r>
      <w:r w:rsidR="00D15D10" w:rsidRPr="00DC07FC">
        <w:rPr>
          <w:rFonts w:ascii="Bookman Old Style" w:hAnsi="Bookman Old Style" w:cs="Arial"/>
        </w:rPr>
        <w:t xml:space="preserve">, </w:t>
      </w:r>
      <w:r w:rsidRPr="00DC07FC">
        <w:rPr>
          <w:rFonts w:ascii="Bookman Old Style" w:hAnsi="Bookman Old Style" w:cs="Arial"/>
        </w:rPr>
        <w:t xml:space="preserve">para representar a </w:t>
      </w:r>
      <w:r w:rsidR="00CE2455" w:rsidRPr="00DC07FC">
        <w:rPr>
          <w:rFonts w:ascii="Bookman Old Style" w:hAnsi="Bookman Old Style" w:cs="Arial"/>
        </w:rPr>
        <w:t>d</w:t>
      </w:r>
      <w:r w:rsidR="00D15D10" w:rsidRPr="00DC07FC">
        <w:rPr>
          <w:rFonts w:ascii="Bookman Old Style" w:hAnsi="Bookman Old Style" w:cs="Arial"/>
        </w:rPr>
        <w:t>istribuidores</w:t>
      </w:r>
      <w:r w:rsidR="00CD583E" w:rsidRPr="00DC07FC">
        <w:rPr>
          <w:rFonts w:ascii="Bookman Old Style" w:hAnsi="Bookman Old Style" w:cs="Arial"/>
        </w:rPr>
        <w:t xml:space="preserve"> de GLP</w:t>
      </w:r>
      <w:r w:rsidR="00D15D10" w:rsidRPr="00DC07FC">
        <w:rPr>
          <w:rFonts w:ascii="Bookman Old Style" w:hAnsi="Bookman Old Style" w:cs="Arial"/>
        </w:rPr>
        <w:t xml:space="preserve"> </w:t>
      </w:r>
      <w:r w:rsidR="00AD25CB" w:rsidRPr="00DC07FC">
        <w:rPr>
          <w:rFonts w:ascii="Bookman Old Style" w:hAnsi="Bookman Old Style" w:cs="Arial"/>
        </w:rPr>
        <w:t>o</w:t>
      </w:r>
      <w:r w:rsidR="00D15D10" w:rsidRPr="00DC07FC">
        <w:rPr>
          <w:rFonts w:ascii="Bookman Old Style" w:hAnsi="Bookman Old Style" w:cs="Arial"/>
        </w:rPr>
        <w:t xml:space="preserve"> </w:t>
      </w:r>
      <w:r w:rsidR="00AD25CB" w:rsidRPr="00DC07FC">
        <w:rPr>
          <w:rFonts w:ascii="Bookman Old Style" w:hAnsi="Bookman Old Style" w:cs="Arial"/>
        </w:rPr>
        <w:t>UNR</w:t>
      </w:r>
      <w:r w:rsidR="00D15D10" w:rsidRPr="00DC07FC">
        <w:rPr>
          <w:rFonts w:ascii="Bookman Old Style" w:hAnsi="Bookman Old Style" w:cs="Arial"/>
        </w:rPr>
        <w:t xml:space="preserve"> </w:t>
      </w:r>
      <w:r w:rsidRPr="00DC07FC">
        <w:rPr>
          <w:rFonts w:ascii="Bookman Old Style" w:hAnsi="Bookman Old Style" w:cs="Arial"/>
        </w:rPr>
        <w:t xml:space="preserve">en los procesos de </w:t>
      </w:r>
      <w:r w:rsidR="00D15D10" w:rsidRPr="00DC07FC">
        <w:rPr>
          <w:rFonts w:ascii="Bookman Old Style" w:hAnsi="Bookman Old Style" w:cs="Arial"/>
        </w:rPr>
        <w:t xml:space="preserve">compra </w:t>
      </w:r>
      <w:r w:rsidRPr="00DC07FC">
        <w:rPr>
          <w:rFonts w:ascii="Bookman Old Style" w:hAnsi="Bookman Old Style" w:cs="Arial"/>
        </w:rPr>
        <w:t>d</w:t>
      </w:r>
      <w:r w:rsidR="00D15D10" w:rsidRPr="00DC07FC">
        <w:rPr>
          <w:rFonts w:ascii="Bookman Old Style" w:hAnsi="Bookman Old Style" w:cs="Arial"/>
        </w:rPr>
        <w:t>e</w:t>
      </w:r>
      <w:r w:rsidRPr="00DC07FC">
        <w:rPr>
          <w:rFonts w:ascii="Bookman Old Style" w:hAnsi="Bookman Old Style" w:cs="Arial"/>
        </w:rPr>
        <w:t xml:space="preserve"> </w:t>
      </w:r>
      <w:r w:rsidR="00D15D10" w:rsidRPr="00DC07FC">
        <w:rPr>
          <w:rFonts w:ascii="Bookman Old Style" w:hAnsi="Bookman Old Style" w:cs="Arial"/>
        </w:rPr>
        <w:t xml:space="preserve">producto en el mercado </w:t>
      </w:r>
      <w:r w:rsidR="00796922" w:rsidRPr="00DC07FC">
        <w:rPr>
          <w:rFonts w:ascii="Bookman Old Style" w:hAnsi="Bookman Old Style" w:cs="Arial"/>
        </w:rPr>
        <w:t xml:space="preserve">mayorista </w:t>
      </w:r>
      <w:r w:rsidR="00D15D10" w:rsidRPr="00DC07FC">
        <w:rPr>
          <w:rFonts w:ascii="Bookman Old Style" w:hAnsi="Bookman Old Style" w:cs="Arial"/>
        </w:rPr>
        <w:t>de GLP</w:t>
      </w:r>
      <w:r w:rsidR="00CE2455" w:rsidRPr="00DC07FC">
        <w:rPr>
          <w:rFonts w:ascii="Bookman Old Style" w:hAnsi="Bookman Old Style" w:cs="Arial"/>
        </w:rPr>
        <w:t>.</w:t>
      </w:r>
    </w:p>
    <w:p w:rsidR="00D15D10" w:rsidRPr="00A621E1" w:rsidRDefault="00D15D10" w:rsidP="00901EFF">
      <w:pPr>
        <w:numPr>
          <w:ilvl w:val="0"/>
          <w:numId w:val="14"/>
        </w:numPr>
        <w:tabs>
          <w:tab w:val="left" w:pos="426"/>
        </w:tabs>
        <w:ind w:left="426" w:hanging="426"/>
        <w:contextualSpacing/>
        <w:jc w:val="both"/>
        <w:rPr>
          <w:rFonts w:ascii="Bookman Old Style" w:hAnsi="Bookman Old Style" w:cs="Arial"/>
        </w:rPr>
      </w:pPr>
      <w:r w:rsidRPr="00DC07FC">
        <w:rPr>
          <w:rFonts w:ascii="Bookman Old Style" w:hAnsi="Bookman Old Style" w:cs="Arial"/>
        </w:rPr>
        <w:t xml:space="preserve">Los </w:t>
      </w:r>
      <w:r w:rsidR="00CB669E" w:rsidRPr="00DC07FC">
        <w:rPr>
          <w:rFonts w:ascii="Bookman Old Style" w:hAnsi="Bookman Old Style" w:cs="Arial"/>
        </w:rPr>
        <w:t>d</w:t>
      </w:r>
      <w:r w:rsidR="00AD25CB" w:rsidRPr="00DC07FC">
        <w:rPr>
          <w:rFonts w:ascii="Bookman Old Style" w:hAnsi="Bookman Old Style" w:cs="Arial"/>
        </w:rPr>
        <w:t>istribuidores de GLP</w:t>
      </w:r>
      <w:r w:rsidR="00796922" w:rsidRPr="00DC07FC">
        <w:rPr>
          <w:rFonts w:ascii="Bookman Old Style" w:hAnsi="Bookman Old Style" w:cs="Arial"/>
        </w:rPr>
        <w:t>,</w:t>
      </w:r>
      <w:r w:rsidR="00AD25CB" w:rsidRPr="00DC07FC">
        <w:rPr>
          <w:rFonts w:ascii="Bookman Old Style" w:hAnsi="Bookman Old Style" w:cs="Arial"/>
        </w:rPr>
        <w:t xml:space="preserve"> a quienes el comercializador de oferta haya identificado como tales, en cumplimiento de las obligaciones que se </w:t>
      </w:r>
      <w:r w:rsidR="00AD25CB" w:rsidRPr="00A621E1">
        <w:rPr>
          <w:rFonts w:ascii="Bookman Old Style" w:hAnsi="Bookman Old Style" w:cs="Arial"/>
        </w:rPr>
        <w:t xml:space="preserve">establecen en el </w:t>
      </w:r>
      <w:r w:rsidR="001B04E6" w:rsidRPr="00A621E1">
        <w:rPr>
          <w:rFonts w:ascii="Bookman Old Style" w:hAnsi="Bookman Old Style" w:cs="Arial"/>
        </w:rPr>
        <w:t>literal b del numeral 1 del artículo 1</w:t>
      </w:r>
      <w:r w:rsidR="00CA5D8A" w:rsidRPr="00A621E1">
        <w:rPr>
          <w:rFonts w:ascii="Bookman Old Style" w:hAnsi="Bookman Old Style" w:cs="Arial"/>
        </w:rPr>
        <w:t>4</w:t>
      </w:r>
      <w:r w:rsidR="00AD25CB" w:rsidRPr="00A621E1">
        <w:rPr>
          <w:rFonts w:ascii="Bookman Old Style" w:hAnsi="Bookman Old Style" w:cs="Arial"/>
        </w:rPr>
        <w:t xml:space="preserve"> de esta resolución.</w:t>
      </w:r>
    </w:p>
    <w:p w:rsidR="00D15D10" w:rsidRPr="00DC07FC" w:rsidRDefault="00D15D10" w:rsidP="00901EFF">
      <w:pPr>
        <w:numPr>
          <w:ilvl w:val="0"/>
          <w:numId w:val="14"/>
        </w:numPr>
        <w:tabs>
          <w:tab w:val="left" w:pos="426"/>
        </w:tabs>
        <w:ind w:left="426" w:hanging="426"/>
        <w:contextualSpacing/>
        <w:jc w:val="both"/>
        <w:rPr>
          <w:rFonts w:ascii="Bookman Old Style" w:hAnsi="Bookman Old Style" w:cs="Arial"/>
        </w:rPr>
      </w:pPr>
      <w:bookmarkStart w:id="22" w:name="_Ref440968168"/>
      <w:r w:rsidRPr="00A621E1">
        <w:rPr>
          <w:rFonts w:ascii="Bookman Old Style" w:hAnsi="Bookman Old Style" w:cs="Arial"/>
        </w:rPr>
        <w:t xml:space="preserve">Los </w:t>
      </w:r>
      <w:r w:rsidR="00AD25CB" w:rsidRPr="00A621E1">
        <w:rPr>
          <w:rFonts w:ascii="Bookman Old Style" w:hAnsi="Bookman Old Style" w:cs="Arial"/>
        </w:rPr>
        <w:t>UNR</w:t>
      </w:r>
      <w:r w:rsidR="00796922" w:rsidRPr="00A621E1">
        <w:rPr>
          <w:rFonts w:ascii="Bookman Old Style" w:hAnsi="Bookman Old Style" w:cs="Arial"/>
        </w:rPr>
        <w:t>,</w:t>
      </w:r>
      <w:r w:rsidR="00CB669E" w:rsidRPr="00A621E1">
        <w:rPr>
          <w:rFonts w:ascii="Bookman Old Style" w:hAnsi="Bookman Old Style" w:cs="Arial"/>
        </w:rPr>
        <w:t xml:space="preserve"> a quienes el c</w:t>
      </w:r>
      <w:r w:rsidRPr="00A621E1">
        <w:rPr>
          <w:rFonts w:ascii="Bookman Old Style" w:hAnsi="Bookman Old Style" w:cs="Arial"/>
        </w:rPr>
        <w:t xml:space="preserve">omercializador de </w:t>
      </w:r>
      <w:r w:rsidR="00CB669E" w:rsidRPr="00A621E1">
        <w:rPr>
          <w:rFonts w:ascii="Bookman Old Style" w:hAnsi="Bookman Old Style" w:cs="Arial"/>
        </w:rPr>
        <w:t xml:space="preserve">oferta </w:t>
      </w:r>
      <w:r w:rsidRPr="00A621E1">
        <w:rPr>
          <w:rFonts w:ascii="Bookman Old Style" w:hAnsi="Bookman Old Style" w:cs="Arial"/>
        </w:rPr>
        <w:t xml:space="preserve">haya identificado como tales, en cumplimiento de las obligaciones que se establecen en </w:t>
      </w:r>
      <w:r w:rsidR="00AD25CB" w:rsidRPr="00A621E1">
        <w:rPr>
          <w:rFonts w:ascii="Bookman Old Style" w:hAnsi="Bookman Old Style" w:cs="Arial"/>
        </w:rPr>
        <w:t xml:space="preserve">el literal c del </w:t>
      </w:r>
      <w:r w:rsidR="00AD25CB" w:rsidRPr="00A621E1">
        <w:rPr>
          <w:rFonts w:ascii="Bookman Old Style" w:hAnsi="Bookman Old Style" w:cs="Arial"/>
        </w:rPr>
        <w:lastRenderedPageBreak/>
        <w:t>numeral 1 del artículo 1</w:t>
      </w:r>
      <w:r w:rsidR="00CA5D8A" w:rsidRPr="00A621E1">
        <w:rPr>
          <w:rFonts w:ascii="Bookman Old Style" w:hAnsi="Bookman Old Style" w:cs="Arial"/>
        </w:rPr>
        <w:t>4</w:t>
      </w:r>
      <w:r w:rsidR="00AD25CB" w:rsidRPr="00A621E1">
        <w:rPr>
          <w:rFonts w:ascii="Bookman Old Style" w:hAnsi="Bookman Old Style" w:cs="Arial"/>
        </w:rPr>
        <w:t xml:space="preserve"> de</w:t>
      </w:r>
      <w:r w:rsidR="00AD25CB" w:rsidRPr="00DC07FC">
        <w:rPr>
          <w:rFonts w:ascii="Bookman Old Style" w:hAnsi="Bookman Old Style" w:cs="Arial"/>
        </w:rPr>
        <w:t xml:space="preserve"> </w:t>
      </w:r>
      <w:r w:rsidRPr="00DC07FC">
        <w:rPr>
          <w:rFonts w:ascii="Bookman Old Style" w:hAnsi="Bookman Old Style" w:cs="Arial"/>
        </w:rPr>
        <w:t xml:space="preserve">esta resolución y que voluntariamente decidan </w:t>
      </w:r>
      <w:r w:rsidR="00796922" w:rsidRPr="00DC07FC">
        <w:rPr>
          <w:rFonts w:ascii="Bookman Old Style" w:hAnsi="Bookman Old Style" w:cs="Arial"/>
        </w:rPr>
        <w:t>participar en el mercado mayorista de GLP</w:t>
      </w:r>
      <w:r w:rsidRPr="00DC07FC">
        <w:rPr>
          <w:rFonts w:ascii="Bookman Old Style" w:hAnsi="Bookman Old Style" w:cs="Arial"/>
        </w:rPr>
        <w:t>.</w:t>
      </w:r>
      <w:bookmarkEnd w:id="22"/>
    </w:p>
    <w:p w:rsidR="0069163A" w:rsidRPr="00DC07FC" w:rsidRDefault="0069163A" w:rsidP="00546174">
      <w:pPr>
        <w:ind w:left="0"/>
        <w:contextualSpacing/>
        <w:jc w:val="both"/>
        <w:rPr>
          <w:rFonts w:ascii="Bookman Old Style" w:hAnsi="Bookman Old Style" w:cs="Arial"/>
        </w:rPr>
      </w:pPr>
    </w:p>
    <w:p w:rsidR="00546174" w:rsidRPr="00DC07FC" w:rsidRDefault="00546174" w:rsidP="00D444D6">
      <w:pPr>
        <w:pStyle w:val="ARTICULOS"/>
        <w:numPr>
          <w:ilvl w:val="0"/>
          <w:numId w:val="2"/>
        </w:numPr>
        <w:tabs>
          <w:tab w:val="left" w:pos="1701"/>
        </w:tabs>
        <w:ind w:left="0" w:firstLine="0"/>
        <w:contextualSpacing/>
        <w:outlineLvl w:val="2"/>
        <w:rPr>
          <w:color w:val="000000" w:themeColor="text1"/>
          <w:lang w:val="es-ES"/>
        </w:rPr>
      </w:pPr>
      <w:bookmarkStart w:id="23" w:name="_Ref463874687"/>
      <w:bookmarkStart w:id="24" w:name="_Ref355962425"/>
      <w:r w:rsidRPr="00DC07FC">
        <w:rPr>
          <w:rFonts w:cs="Arial"/>
          <w:b/>
          <w:color w:val="000000" w:themeColor="text1"/>
          <w:lang w:val="es-ES"/>
        </w:rPr>
        <w:t>MECANISMOS DE COMERCIALIZACIÓN DEL MERCADO PRIMARIO DE GLP.</w:t>
      </w:r>
      <w:r w:rsidRPr="00DC07FC">
        <w:rPr>
          <w:rFonts w:cs="Arial"/>
          <w:color w:val="000000" w:themeColor="text1"/>
          <w:lang w:val="es-ES"/>
        </w:rPr>
        <w:t xml:space="preserve"> Los mecanismos</w:t>
      </w:r>
      <w:r w:rsidRPr="00DC07FC">
        <w:rPr>
          <w:color w:val="000000" w:themeColor="text1"/>
          <w:lang w:val="es-ES"/>
        </w:rPr>
        <w:t xml:space="preserve"> de comercialización del mercado primario de GLP son:</w:t>
      </w:r>
      <w:bookmarkEnd w:id="23"/>
    </w:p>
    <w:p w:rsidR="007B5119" w:rsidRPr="00DC07FC" w:rsidRDefault="007B5119" w:rsidP="00EE4563">
      <w:pPr>
        <w:pStyle w:val="ARTICULOS"/>
      </w:pPr>
    </w:p>
    <w:p w:rsidR="007E4A8A" w:rsidRPr="00A621E1" w:rsidRDefault="007E4A8A" w:rsidP="00901EFF">
      <w:pPr>
        <w:pStyle w:val="ARTICULOS"/>
        <w:numPr>
          <w:ilvl w:val="1"/>
          <w:numId w:val="45"/>
        </w:numPr>
        <w:ind w:left="567" w:hanging="567"/>
        <w:contextualSpacing/>
        <w:rPr>
          <w:color w:val="000000" w:themeColor="text1"/>
          <w:lang w:val="es-ES"/>
        </w:rPr>
      </w:pPr>
      <w:r w:rsidRPr="00A621E1">
        <w:rPr>
          <w:color w:val="000000" w:themeColor="text1"/>
          <w:lang w:val="es-ES"/>
        </w:rPr>
        <w:t>Negociación directa de contratos bilaterales de suministro de GLP, para GLP importado o para GLP que provenga de proyecto</w:t>
      </w:r>
      <w:r w:rsidR="00124C08" w:rsidRPr="00A621E1">
        <w:rPr>
          <w:color w:val="000000" w:themeColor="text1"/>
          <w:lang w:val="es-ES"/>
        </w:rPr>
        <w:t>s</w:t>
      </w:r>
      <w:r w:rsidRPr="00A621E1">
        <w:rPr>
          <w:color w:val="000000" w:themeColor="text1"/>
          <w:lang w:val="es-ES"/>
        </w:rPr>
        <w:t xml:space="preserve"> para el desarrollo de nueva oferta, en los términos de los artículos 2</w:t>
      </w:r>
      <w:r w:rsidR="00A621E1" w:rsidRPr="00A621E1">
        <w:rPr>
          <w:color w:val="000000" w:themeColor="text1"/>
          <w:lang w:val="es-ES"/>
        </w:rPr>
        <w:t>2</w:t>
      </w:r>
      <w:r w:rsidRPr="00A621E1">
        <w:rPr>
          <w:color w:val="000000" w:themeColor="text1"/>
          <w:lang w:val="es-ES"/>
        </w:rPr>
        <w:t xml:space="preserve"> y 2</w:t>
      </w:r>
      <w:r w:rsidR="00A621E1" w:rsidRPr="00A621E1">
        <w:rPr>
          <w:color w:val="000000" w:themeColor="text1"/>
          <w:lang w:val="es-ES"/>
        </w:rPr>
        <w:t>3</w:t>
      </w:r>
      <w:r w:rsidRPr="00A621E1">
        <w:rPr>
          <w:color w:val="000000" w:themeColor="text1"/>
          <w:lang w:val="es-ES"/>
        </w:rPr>
        <w:t xml:space="preserve"> de esta resolución.</w:t>
      </w:r>
    </w:p>
    <w:p w:rsidR="00546174" w:rsidRPr="00A621E1" w:rsidRDefault="004E2129" w:rsidP="00901EFF">
      <w:pPr>
        <w:pStyle w:val="ARTICULOS"/>
        <w:numPr>
          <w:ilvl w:val="1"/>
          <w:numId w:val="45"/>
        </w:numPr>
        <w:ind w:left="567" w:hanging="567"/>
        <w:contextualSpacing/>
        <w:rPr>
          <w:color w:val="000000" w:themeColor="text1"/>
          <w:lang w:val="es-ES"/>
        </w:rPr>
      </w:pPr>
      <w:r w:rsidRPr="00A621E1">
        <w:rPr>
          <w:color w:val="000000" w:themeColor="text1"/>
          <w:lang w:val="es-ES"/>
        </w:rPr>
        <w:t>S</w:t>
      </w:r>
      <w:r w:rsidR="00546174" w:rsidRPr="00A621E1">
        <w:rPr>
          <w:color w:val="000000" w:themeColor="text1"/>
          <w:lang w:val="es-ES"/>
        </w:rPr>
        <w:t xml:space="preserve">ubasta de GLP, </w:t>
      </w:r>
      <w:bookmarkEnd w:id="24"/>
      <w:r w:rsidR="00DC638B" w:rsidRPr="00A621E1">
        <w:rPr>
          <w:color w:val="000000" w:themeColor="text1"/>
          <w:lang w:val="es-ES"/>
        </w:rPr>
        <w:t>en los términos de</w:t>
      </w:r>
      <w:r w:rsidR="00546174" w:rsidRPr="00A621E1">
        <w:rPr>
          <w:color w:val="000000" w:themeColor="text1"/>
          <w:lang w:val="es-ES"/>
        </w:rPr>
        <w:t xml:space="preserve">l </w:t>
      </w:r>
      <w:r w:rsidR="00C60017" w:rsidRPr="00A621E1">
        <w:rPr>
          <w:color w:val="000000" w:themeColor="text1"/>
          <w:lang w:val="es-ES"/>
        </w:rPr>
        <w:t>artículo 2</w:t>
      </w:r>
      <w:r w:rsidR="00A621E1" w:rsidRPr="00A621E1">
        <w:rPr>
          <w:color w:val="000000" w:themeColor="text1"/>
          <w:lang w:val="es-ES"/>
        </w:rPr>
        <w:t>4</w:t>
      </w:r>
      <w:r w:rsidR="00C60017" w:rsidRPr="00A621E1">
        <w:rPr>
          <w:color w:val="000000" w:themeColor="text1"/>
          <w:lang w:val="es-ES"/>
        </w:rPr>
        <w:t xml:space="preserve"> y el </w:t>
      </w:r>
      <w:r w:rsidR="00546174" w:rsidRPr="00A621E1">
        <w:rPr>
          <w:color w:val="000000" w:themeColor="text1"/>
          <w:lang w:val="es-ES"/>
        </w:rPr>
        <w:t xml:space="preserve">anexo </w:t>
      </w:r>
      <w:r w:rsidR="00DC638B" w:rsidRPr="00A621E1">
        <w:rPr>
          <w:color w:val="000000" w:themeColor="text1"/>
          <w:lang w:val="es-ES"/>
        </w:rPr>
        <w:t>1</w:t>
      </w:r>
      <w:r w:rsidR="00546174" w:rsidRPr="00A621E1">
        <w:rPr>
          <w:color w:val="000000" w:themeColor="text1"/>
          <w:lang w:val="es-ES"/>
        </w:rPr>
        <w:t xml:space="preserve"> de esta resolución.</w:t>
      </w:r>
    </w:p>
    <w:p w:rsidR="004E2129" w:rsidRPr="00DC07FC" w:rsidRDefault="004E2129" w:rsidP="00901EFF">
      <w:pPr>
        <w:pStyle w:val="ARTICULOS"/>
        <w:numPr>
          <w:ilvl w:val="1"/>
          <w:numId w:val="45"/>
        </w:numPr>
        <w:ind w:left="567" w:hanging="567"/>
        <w:contextualSpacing/>
        <w:rPr>
          <w:color w:val="000000" w:themeColor="text1"/>
          <w:lang w:val="es-ES"/>
        </w:rPr>
      </w:pPr>
      <w:r w:rsidRPr="00A621E1">
        <w:rPr>
          <w:color w:val="000000" w:themeColor="text1"/>
          <w:lang w:val="es-ES"/>
        </w:rPr>
        <w:t>Asignación administrada de GLP, en los términos del artículo 2</w:t>
      </w:r>
      <w:r w:rsidR="00A621E1" w:rsidRPr="00A621E1">
        <w:rPr>
          <w:color w:val="000000" w:themeColor="text1"/>
          <w:lang w:val="es-ES"/>
        </w:rPr>
        <w:t>5</w:t>
      </w:r>
      <w:r w:rsidRPr="00A621E1">
        <w:rPr>
          <w:color w:val="000000" w:themeColor="text1"/>
          <w:lang w:val="es-ES"/>
        </w:rPr>
        <w:t xml:space="preserve"> de esta resolución</w:t>
      </w:r>
      <w:r w:rsidRPr="00DC07FC">
        <w:rPr>
          <w:color w:val="000000" w:themeColor="text1"/>
          <w:lang w:val="es-ES"/>
        </w:rPr>
        <w:t>.</w:t>
      </w:r>
    </w:p>
    <w:p w:rsidR="00971ADA" w:rsidRDefault="00971ADA" w:rsidP="00D623BC">
      <w:pPr>
        <w:pStyle w:val="ARTICULOS"/>
      </w:pPr>
      <w:bookmarkStart w:id="25" w:name="_Ref329356848"/>
    </w:p>
    <w:p w:rsidR="00137891" w:rsidRPr="00DC07FC" w:rsidRDefault="00137891" w:rsidP="00D623BC">
      <w:pPr>
        <w:pStyle w:val="ARTICULOS"/>
      </w:pPr>
    </w:p>
    <w:p w:rsidR="00971ADA" w:rsidRPr="00DC07FC" w:rsidRDefault="00971ADA" w:rsidP="00D444D6">
      <w:pPr>
        <w:pStyle w:val="ARTICULOS"/>
        <w:numPr>
          <w:ilvl w:val="0"/>
          <w:numId w:val="2"/>
        </w:numPr>
        <w:tabs>
          <w:tab w:val="left" w:pos="1701"/>
        </w:tabs>
        <w:ind w:left="0" w:firstLine="0"/>
        <w:contextualSpacing/>
        <w:outlineLvl w:val="2"/>
        <w:rPr>
          <w:rFonts w:cs="Arial"/>
        </w:rPr>
      </w:pPr>
      <w:r w:rsidRPr="00DC07FC">
        <w:rPr>
          <w:rFonts w:cs="Arial"/>
          <w:b/>
          <w:color w:val="000000" w:themeColor="text1"/>
          <w:lang w:val="es-ES"/>
        </w:rPr>
        <w:t>CONDICIONES GENERALES PARA LA COMERCIALIZACIÓN DE GLP IMPORTADO</w:t>
      </w:r>
      <w:r w:rsidR="004F15BF" w:rsidRPr="00DC07FC">
        <w:rPr>
          <w:rFonts w:cs="Arial"/>
          <w:b/>
          <w:color w:val="000000" w:themeColor="text1"/>
          <w:lang w:val="es-ES"/>
        </w:rPr>
        <w:t xml:space="preserve"> CON DESTINO AL SERVICIO PÚBLICO DOMICILIARIO.</w:t>
      </w:r>
      <w:r w:rsidR="0061569A" w:rsidRPr="00DC07FC">
        <w:rPr>
          <w:rFonts w:cs="Arial"/>
          <w:b/>
          <w:color w:val="000000" w:themeColor="text1"/>
          <w:lang w:val="es-ES"/>
        </w:rPr>
        <w:t xml:space="preserve"> </w:t>
      </w:r>
      <w:r w:rsidR="0061569A" w:rsidRPr="00DC07FC">
        <w:rPr>
          <w:rFonts w:cs="Arial"/>
          <w:color w:val="000000" w:themeColor="text1"/>
          <w:lang w:val="es-ES"/>
        </w:rPr>
        <w:t>La comercialización de GLP, con destino al servicio público domiciliario, que provenga de importaciones y no sea ofrecido al mercado primario a través del mecanismo de subasta, deberá efectuarse bajo las siguientes condiciones:</w:t>
      </w:r>
    </w:p>
    <w:p w:rsidR="00642190" w:rsidRPr="00DC07FC" w:rsidRDefault="00642190" w:rsidP="004C1136">
      <w:pPr>
        <w:ind w:left="0"/>
        <w:contextualSpacing/>
        <w:jc w:val="both"/>
        <w:rPr>
          <w:rFonts w:ascii="Bookman Old Style" w:hAnsi="Bookman Old Style" w:cs="Arial"/>
          <w:lang w:val="x-none"/>
        </w:rPr>
      </w:pPr>
    </w:p>
    <w:p w:rsidR="00141DBA" w:rsidRPr="00DC07FC" w:rsidRDefault="00141DBA" w:rsidP="00901EFF">
      <w:pPr>
        <w:numPr>
          <w:ilvl w:val="0"/>
          <w:numId w:val="46"/>
        </w:numPr>
        <w:ind w:left="426" w:hanging="426"/>
        <w:contextualSpacing/>
        <w:jc w:val="both"/>
        <w:rPr>
          <w:rFonts w:ascii="Bookman Old Style" w:hAnsi="Bookman Old Style" w:cs="Arial"/>
        </w:rPr>
      </w:pPr>
      <w:r w:rsidRPr="00E47A9C">
        <w:rPr>
          <w:rFonts w:ascii="Bookman Old Style" w:hAnsi="Bookman Old Style" w:cs="Arial"/>
        </w:rPr>
        <w:t>Los vendedores y compradores</w:t>
      </w:r>
      <w:r w:rsidR="001F6C1D" w:rsidRPr="00E47A9C">
        <w:rPr>
          <w:rFonts w:ascii="Bookman Old Style" w:hAnsi="Bookman Old Style" w:cs="Arial"/>
        </w:rPr>
        <w:t>,</w:t>
      </w:r>
      <w:r w:rsidRPr="00E47A9C">
        <w:rPr>
          <w:rFonts w:ascii="Bookman Old Style" w:hAnsi="Bookman Old Style" w:cs="Arial"/>
        </w:rPr>
        <w:t xml:space="preserve"> a los que se hace referencia en los artículos 19 y 20 de esta resolución</w:t>
      </w:r>
      <w:r w:rsidR="001F6C1D" w:rsidRPr="00E47A9C">
        <w:rPr>
          <w:rFonts w:ascii="Bookman Old Style" w:hAnsi="Bookman Old Style" w:cs="Arial"/>
        </w:rPr>
        <w:t>,</w:t>
      </w:r>
      <w:r w:rsidRPr="00E47A9C">
        <w:rPr>
          <w:rFonts w:ascii="Bookman Old Style" w:hAnsi="Bookman Old Style" w:cs="Arial"/>
        </w:rPr>
        <w:t xml:space="preserve"> podrán negociar directamente la compraventa de GLP importado. En estas negociaciones sólo se podrán pactar contratos sujetos a lo dispuesto en el Título II de la presente resolución. Las partes acordarán libremente el plazo</w:t>
      </w:r>
      <w:r w:rsidRPr="00DC07FC">
        <w:rPr>
          <w:rFonts w:ascii="Bookman Old Style" w:hAnsi="Bookman Old Style" w:cs="Arial"/>
        </w:rPr>
        <w:t xml:space="preserve"> y cantidades del GLP que se comercialice mediante estas negociaciones directas.</w:t>
      </w:r>
    </w:p>
    <w:p w:rsidR="00642190" w:rsidRPr="00DC07FC" w:rsidRDefault="00141DBA" w:rsidP="00901EFF">
      <w:pPr>
        <w:numPr>
          <w:ilvl w:val="0"/>
          <w:numId w:val="46"/>
        </w:numPr>
        <w:ind w:left="426" w:hanging="426"/>
        <w:contextualSpacing/>
        <w:jc w:val="both"/>
        <w:rPr>
          <w:rFonts w:ascii="Bookman Old Style" w:hAnsi="Bookman Old Style" w:cs="Arial"/>
        </w:rPr>
      </w:pPr>
      <w:r w:rsidRPr="00E47A9C">
        <w:rPr>
          <w:rFonts w:ascii="Bookman Old Style" w:hAnsi="Bookman Old Style" w:cs="Arial"/>
        </w:rPr>
        <w:t>De manera pre</w:t>
      </w:r>
      <w:r w:rsidR="00714AFF" w:rsidRPr="00E47A9C">
        <w:rPr>
          <w:rFonts w:ascii="Bookman Old Style" w:hAnsi="Bookman Old Style" w:cs="Arial"/>
        </w:rPr>
        <w:t>via a la celebración de los</w:t>
      </w:r>
      <w:r w:rsidR="001F6C1D" w:rsidRPr="00E47A9C">
        <w:rPr>
          <w:rFonts w:ascii="Bookman Old Style" w:hAnsi="Bookman Old Style" w:cs="Arial"/>
        </w:rPr>
        <w:t xml:space="preserve"> contratos de suministro de GLP</w:t>
      </w:r>
      <w:r w:rsidR="009F33C2" w:rsidRPr="00E47A9C">
        <w:rPr>
          <w:rFonts w:ascii="Bookman Old Style" w:hAnsi="Bookman Old Style" w:cs="Arial"/>
        </w:rPr>
        <w:t>,</w:t>
      </w:r>
      <w:r w:rsidR="00714AFF" w:rsidRPr="00E47A9C">
        <w:rPr>
          <w:rFonts w:ascii="Bookman Old Style" w:hAnsi="Bookman Old Style" w:cs="Arial"/>
        </w:rPr>
        <w:t xml:space="preserve"> </w:t>
      </w:r>
      <w:r w:rsidR="0069547D" w:rsidRPr="00E47A9C">
        <w:rPr>
          <w:rFonts w:ascii="Bookman Old Style" w:hAnsi="Bookman Old Style" w:cs="Arial"/>
        </w:rPr>
        <w:t>el comercializador de oferta deberá publicar</w:t>
      </w:r>
      <w:r w:rsidR="009F33C2" w:rsidRPr="00E47A9C">
        <w:rPr>
          <w:rFonts w:ascii="Bookman Old Style" w:hAnsi="Bookman Old Style" w:cs="Arial"/>
        </w:rPr>
        <w:t>,</w:t>
      </w:r>
      <w:r w:rsidR="0069547D" w:rsidRPr="00E47A9C">
        <w:rPr>
          <w:rFonts w:ascii="Bookman Old Style" w:hAnsi="Bookman Old Style" w:cs="Arial"/>
        </w:rPr>
        <w:t xml:space="preserve"> </w:t>
      </w:r>
      <w:r w:rsidR="009F33C2" w:rsidRPr="00E47A9C">
        <w:rPr>
          <w:rFonts w:ascii="Bookman Old Style" w:hAnsi="Bookman Old Style" w:cs="Arial"/>
        </w:rPr>
        <w:t xml:space="preserve">a través del </w:t>
      </w:r>
      <w:r w:rsidR="002420A4" w:rsidRPr="00E47A9C">
        <w:rPr>
          <w:rFonts w:ascii="Bookman Old Style" w:hAnsi="Bookman Old Style" w:cs="Arial"/>
        </w:rPr>
        <w:t>SIMM</w:t>
      </w:r>
      <w:r w:rsidR="009F33C2" w:rsidRPr="00E47A9C">
        <w:rPr>
          <w:rFonts w:ascii="Bookman Old Style" w:hAnsi="Bookman Old Style" w:cs="Arial"/>
        </w:rPr>
        <w:t>, las condiciones bajo las cuales ofrecerá el GLP importado, en los términos definidos en el a</w:t>
      </w:r>
      <w:r w:rsidR="009B433D" w:rsidRPr="00E47A9C">
        <w:rPr>
          <w:rFonts w:ascii="Bookman Old Style" w:hAnsi="Bookman Old Style" w:cs="Arial"/>
        </w:rPr>
        <w:t>nex</w:t>
      </w:r>
      <w:r w:rsidR="009F33C2" w:rsidRPr="00E47A9C">
        <w:rPr>
          <w:rFonts w:ascii="Bookman Old Style" w:hAnsi="Bookman Old Style" w:cs="Arial"/>
        </w:rPr>
        <w:t xml:space="preserve">o </w:t>
      </w:r>
      <w:r w:rsidR="009B433D" w:rsidRPr="00E47A9C">
        <w:rPr>
          <w:rFonts w:ascii="Bookman Old Style" w:hAnsi="Bookman Old Style" w:cs="Arial"/>
        </w:rPr>
        <w:t>2</w:t>
      </w:r>
      <w:r w:rsidR="009F33C2" w:rsidRPr="00E47A9C">
        <w:rPr>
          <w:rFonts w:ascii="Bookman Old Style" w:hAnsi="Bookman Old Style" w:cs="Arial"/>
        </w:rPr>
        <w:t xml:space="preserve"> de</w:t>
      </w:r>
      <w:r w:rsidR="009F33C2" w:rsidRPr="00DC07FC">
        <w:rPr>
          <w:rFonts w:ascii="Bookman Old Style" w:hAnsi="Bookman Old Style" w:cs="Arial"/>
        </w:rPr>
        <w:t xml:space="preserve"> esta resolución.</w:t>
      </w:r>
    </w:p>
    <w:p w:rsidR="00B94DA6" w:rsidRPr="00DC07FC" w:rsidRDefault="00137730" w:rsidP="00901EFF">
      <w:pPr>
        <w:numPr>
          <w:ilvl w:val="0"/>
          <w:numId w:val="46"/>
        </w:numPr>
        <w:contextualSpacing/>
        <w:jc w:val="both"/>
        <w:rPr>
          <w:rFonts w:ascii="Bookman Old Style" w:hAnsi="Bookman Old Style" w:cs="Arial"/>
        </w:rPr>
      </w:pPr>
      <w:r w:rsidRPr="00DC07FC">
        <w:rPr>
          <w:rFonts w:ascii="Bookman Old Style" w:hAnsi="Bookman Old Style" w:cs="Arial"/>
        </w:rPr>
        <w:t xml:space="preserve">El día </w:t>
      </w:r>
      <w:r w:rsidR="00B94DA6" w:rsidRPr="00DC07FC">
        <w:rPr>
          <w:rFonts w:ascii="Bookman Old Style" w:hAnsi="Bookman Old Style" w:cs="Arial"/>
        </w:rPr>
        <w:t xml:space="preserve">de terminación de los contratos de suministro de GLP importado, que no sea comercializado mediante el mecanismo de subasta, deberá coincidir con </w:t>
      </w:r>
      <w:r w:rsidRPr="00DC07FC">
        <w:rPr>
          <w:rFonts w:ascii="Bookman Old Style" w:hAnsi="Bookman Old Style" w:cs="Arial"/>
        </w:rPr>
        <w:t>un 30 de junio o un 31 de diciembre.</w:t>
      </w:r>
    </w:p>
    <w:p w:rsidR="00642190" w:rsidRPr="00DC07FC" w:rsidRDefault="001B141D" w:rsidP="00901EFF">
      <w:pPr>
        <w:numPr>
          <w:ilvl w:val="0"/>
          <w:numId w:val="46"/>
        </w:numPr>
        <w:ind w:left="426" w:hanging="426"/>
        <w:contextualSpacing/>
        <w:jc w:val="both"/>
        <w:rPr>
          <w:rFonts w:ascii="Bookman Old Style" w:hAnsi="Bookman Old Style" w:cs="Arial"/>
        </w:rPr>
      </w:pPr>
      <w:r w:rsidRPr="00DC07FC">
        <w:rPr>
          <w:rFonts w:ascii="Bookman Old Style" w:hAnsi="Bookman Old Style" w:cs="Arial"/>
        </w:rPr>
        <w:t xml:space="preserve">Todos los contratos de suministro de GLP importado, que tenga como destino el servicio público domiciliario, </w:t>
      </w:r>
      <w:r w:rsidR="00642190" w:rsidRPr="00DC07FC">
        <w:rPr>
          <w:rFonts w:ascii="Bookman Old Style" w:hAnsi="Bookman Old Style" w:cs="Arial"/>
        </w:rPr>
        <w:t>deberán ser registrados ante el gestor del mercado</w:t>
      </w:r>
      <w:r w:rsidR="00706F99" w:rsidRPr="00DC07FC">
        <w:rPr>
          <w:rFonts w:ascii="Bookman Old Style" w:hAnsi="Bookman Old Style" w:cs="Arial"/>
        </w:rPr>
        <w:t xml:space="preserve"> d</w:t>
      </w:r>
      <w:r w:rsidR="00706F99" w:rsidRPr="00E47A9C">
        <w:rPr>
          <w:rFonts w:ascii="Bookman Old Style" w:hAnsi="Bookman Old Style" w:cs="Arial"/>
        </w:rPr>
        <w:t>e GLP</w:t>
      </w:r>
      <w:r w:rsidRPr="00E47A9C">
        <w:rPr>
          <w:rFonts w:ascii="Bookman Old Style" w:hAnsi="Bookman Old Style" w:cs="Arial"/>
        </w:rPr>
        <w:t>,</w:t>
      </w:r>
      <w:r w:rsidR="00642190" w:rsidRPr="00E47A9C">
        <w:rPr>
          <w:rFonts w:ascii="Bookman Old Style" w:hAnsi="Bookman Old Style" w:cs="Arial"/>
        </w:rPr>
        <w:t xml:space="preserve"> de conformidad con lo dispuesto en el </w:t>
      </w:r>
      <w:r w:rsidRPr="00E47A9C">
        <w:rPr>
          <w:rFonts w:ascii="Bookman Old Style" w:hAnsi="Bookman Old Style" w:cs="Arial"/>
        </w:rPr>
        <w:t>a</w:t>
      </w:r>
      <w:r w:rsidR="00642190" w:rsidRPr="00E47A9C">
        <w:rPr>
          <w:rFonts w:ascii="Bookman Old Style" w:hAnsi="Bookman Old Style" w:cs="Arial"/>
        </w:rPr>
        <w:t xml:space="preserve">nexo </w:t>
      </w:r>
      <w:r w:rsidR="009B433D" w:rsidRPr="00E47A9C">
        <w:rPr>
          <w:rFonts w:ascii="Bookman Old Style" w:hAnsi="Bookman Old Style" w:cs="Arial"/>
        </w:rPr>
        <w:t>2</w:t>
      </w:r>
      <w:r w:rsidR="00642190" w:rsidRPr="00E47A9C">
        <w:rPr>
          <w:rFonts w:ascii="Bookman Old Style" w:hAnsi="Bookman Old Style" w:cs="Arial"/>
        </w:rPr>
        <w:t xml:space="preserve"> de esta </w:t>
      </w:r>
      <w:r w:rsidRPr="00E47A9C">
        <w:rPr>
          <w:rFonts w:ascii="Bookman Old Style" w:hAnsi="Bookman Old Style" w:cs="Arial"/>
        </w:rPr>
        <w:t>r</w:t>
      </w:r>
      <w:r w:rsidR="00642190" w:rsidRPr="00E47A9C">
        <w:rPr>
          <w:rFonts w:ascii="Bookman Old Style" w:hAnsi="Bookman Old Style" w:cs="Arial"/>
        </w:rPr>
        <w:t>esolución.</w:t>
      </w:r>
    </w:p>
    <w:p w:rsidR="00642190" w:rsidRPr="00DC07FC" w:rsidRDefault="00642190" w:rsidP="00642190">
      <w:pPr>
        <w:ind w:left="0"/>
        <w:contextualSpacing/>
        <w:jc w:val="both"/>
        <w:rPr>
          <w:rFonts w:ascii="Bookman Old Style" w:hAnsi="Bookman Old Style" w:cs="Arial"/>
          <w:highlight w:val="lightGray"/>
        </w:rPr>
      </w:pPr>
    </w:p>
    <w:p w:rsidR="00971ADA" w:rsidRPr="00DC07FC" w:rsidRDefault="00971ADA" w:rsidP="00D444D6">
      <w:pPr>
        <w:pStyle w:val="ARTICULOS"/>
        <w:numPr>
          <w:ilvl w:val="0"/>
          <w:numId w:val="2"/>
        </w:numPr>
        <w:tabs>
          <w:tab w:val="left" w:pos="1701"/>
        </w:tabs>
        <w:ind w:left="0" w:firstLine="0"/>
        <w:contextualSpacing/>
        <w:outlineLvl w:val="2"/>
        <w:rPr>
          <w:rFonts w:cs="Arial"/>
          <w:caps/>
        </w:rPr>
      </w:pPr>
      <w:r w:rsidRPr="00DC07FC">
        <w:rPr>
          <w:rFonts w:cs="Arial"/>
          <w:b/>
          <w:color w:val="000000" w:themeColor="text1"/>
          <w:lang w:val="es-ES"/>
        </w:rPr>
        <w:t>CONDICIONES GENERALES PARA LA COMERCIALIZACIÓN DE GLP PROVENIENTE DE PROYECTOS PARA EL DESARROLLO DE NUEVA OFERTA.</w:t>
      </w:r>
      <w:r w:rsidR="009A5823" w:rsidRPr="00DC07FC">
        <w:rPr>
          <w:rFonts w:cs="Arial"/>
          <w:b/>
          <w:color w:val="000000" w:themeColor="text1"/>
          <w:lang w:val="es-ES"/>
        </w:rPr>
        <w:t xml:space="preserve"> </w:t>
      </w:r>
      <w:r w:rsidR="009A5823" w:rsidRPr="00DC07FC">
        <w:rPr>
          <w:rFonts w:cs="Arial"/>
          <w:color w:val="000000" w:themeColor="text1"/>
          <w:lang w:val="es-ES"/>
        </w:rPr>
        <w:t>La comercialización de GLP, con destino al servicio público domiciliario, que provenga de proyectos para el desarrollo de nueva oferta deberá efectuarse bajo las siguientes condiciones:</w:t>
      </w:r>
    </w:p>
    <w:p w:rsidR="00971ADA" w:rsidRPr="00DC07FC" w:rsidRDefault="00971ADA" w:rsidP="00971ADA">
      <w:pPr>
        <w:ind w:left="0"/>
        <w:contextualSpacing/>
        <w:jc w:val="both"/>
        <w:rPr>
          <w:rFonts w:ascii="Bookman Old Style" w:hAnsi="Bookman Old Style" w:cs="Arial"/>
          <w:highlight w:val="lightGray"/>
          <w:lang w:val="x-none"/>
        </w:rPr>
      </w:pPr>
    </w:p>
    <w:p w:rsidR="000D4502" w:rsidRPr="00DC07FC" w:rsidRDefault="000760D7" w:rsidP="00901EFF">
      <w:pPr>
        <w:numPr>
          <w:ilvl w:val="0"/>
          <w:numId w:val="47"/>
        </w:numPr>
        <w:ind w:left="426" w:hanging="426"/>
        <w:contextualSpacing/>
        <w:jc w:val="both"/>
        <w:rPr>
          <w:rFonts w:ascii="Bookman Old Style" w:hAnsi="Bookman Old Style" w:cs="Arial"/>
        </w:rPr>
      </w:pPr>
      <w:r w:rsidRPr="00DC07FC">
        <w:rPr>
          <w:rFonts w:ascii="Bookman Old Style" w:hAnsi="Bookman Old Style" w:cs="Arial"/>
        </w:rPr>
        <w:t xml:space="preserve">El desarrollo de nueva oferta corresponde a proyectos de inversión que incrementan la capacidad de </w:t>
      </w:r>
      <w:r w:rsidR="00144358">
        <w:rPr>
          <w:rFonts w:ascii="Bookman Old Style" w:hAnsi="Bookman Old Style" w:cs="Arial"/>
        </w:rPr>
        <w:t xml:space="preserve">oferta o producción de </w:t>
      </w:r>
      <w:r w:rsidRPr="00DC07FC">
        <w:rPr>
          <w:rFonts w:ascii="Bookman Old Style" w:hAnsi="Bookman Old Style" w:cs="Arial"/>
        </w:rPr>
        <w:t>una facilidad existente o desarrollan una nueva.</w:t>
      </w:r>
    </w:p>
    <w:p w:rsidR="000D4502" w:rsidRPr="00DC07FC" w:rsidRDefault="000D4502" w:rsidP="00901EFF">
      <w:pPr>
        <w:numPr>
          <w:ilvl w:val="0"/>
          <w:numId w:val="47"/>
        </w:numPr>
        <w:ind w:left="426" w:hanging="426"/>
        <w:contextualSpacing/>
        <w:jc w:val="both"/>
        <w:rPr>
          <w:rFonts w:ascii="Bookman Old Style" w:hAnsi="Bookman Old Style" w:cs="Arial"/>
        </w:rPr>
      </w:pPr>
      <w:r w:rsidRPr="00DC07FC">
        <w:rPr>
          <w:rFonts w:ascii="Bookman Old Style" w:hAnsi="Bookman Old Style" w:cs="Arial"/>
        </w:rPr>
        <w:lastRenderedPageBreak/>
        <w:t>El comercializador de oferta, de manera previa a la comercialización de GLP proveniente de un proyecto para el desarrollo de nueva oferta, deberá solicitar autorización expresa de la CREG para ofrecer dicho producto, soportando, entre otros, el valor de las inversiones a efectuar, las garantías asociadas al proyecto y al cumplimiento de los posibles contratos de suministro y la cantidad adicional de GLP producto de las inversiones, en el caso en el que ya exista la facilidad, o la producción estimada en caso de que sea una nueva.</w:t>
      </w:r>
    </w:p>
    <w:p w:rsidR="00137891" w:rsidRPr="00606C4D" w:rsidRDefault="00BD4D99" w:rsidP="00606C4D">
      <w:pPr>
        <w:numPr>
          <w:ilvl w:val="0"/>
          <w:numId w:val="47"/>
        </w:numPr>
        <w:ind w:left="426" w:hanging="426"/>
        <w:contextualSpacing/>
        <w:jc w:val="both"/>
        <w:rPr>
          <w:rFonts w:ascii="Bookman Old Style" w:hAnsi="Bookman Old Style" w:cs="Arial"/>
        </w:rPr>
      </w:pPr>
      <w:r w:rsidRPr="00DC07FC">
        <w:rPr>
          <w:rFonts w:ascii="Bookman Old Style" w:hAnsi="Bookman Old Style" w:cs="Arial"/>
        </w:rPr>
        <w:t xml:space="preserve">Los </w:t>
      </w:r>
      <w:r w:rsidR="000D4502" w:rsidRPr="00DC07FC">
        <w:rPr>
          <w:rFonts w:ascii="Bookman Old Style" w:hAnsi="Bookman Old Style" w:cs="Arial"/>
        </w:rPr>
        <w:t>vended</w:t>
      </w:r>
      <w:r w:rsidR="000D4502" w:rsidRPr="00E47A9C">
        <w:rPr>
          <w:rFonts w:ascii="Bookman Old Style" w:hAnsi="Bookman Old Style" w:cs="Arial"/>
        </w:rPr>
        <w:t xml:space="preserve">ores </w:t>
      </w:r>
      <w:r w:rsidRPr="00E47A9C">
        <w:rPr>
          <w:rFonts w:ascii="Bookman Old Style" w:hAnsi="Bookman Old Style" w:cs="Arial"/>
        </w:rPr>
        <w:t>y compradores</w:t>
      </w:r>
      <w:r w:rsidR="000D4502" w:rsidRPr="00E47A9C">
        <w:rPr>
          <w:rFonts w:ascii="Bookman Old Style" w:hAnsi="Bookman Old Style" w:cs="Arial"/>
        </w:rPr>
        <w:t xml:space="preserve">, </w:t>
      </w:r>
      <w:r w:rsidRPr="00E47A9C">
        <w:rPr>
          <w:rFonts w:ascii="Bookman Old Style" w:hAnsi="Bookman Old Style" w:cs="Arial"/>
        </w:rPr>
        <w:t>a los que se hace referencia en los artículos 19 y 20 de esta resolución</w:t>
      </w:r>
      <w:r w:rsidR="000D4502" w:rsidRPr="00E47A9C">
        <w:rPr>
          <w:rFonts w:ascii="Bookman Old Style" w:hAnsi="Bookman Old Style" w:cs="Arial"/>
        </w:rPr>
        <w:t>,</w:t>
      </w:r>
      <w:r w:rsidRPr="00E47A9C">
        <w:rPr>
          <w:rFonts w:ascii="Bookman Old Style" w:hAnsi="Bookman Old Style" w:cs="Arial"/>
        </w:rPr>
        <w:t xml:space="preserve"> podrán negociar directamente la compraventa de GLP</w:t>
      </w:r>
      <w:r w:rsidR="000D4502" w:rsidRPr="00E47A9C">
        <w:rPr>
          <w:rFonts w:ascii="Bookman Old Style" w:hAnsi="Bookman Old Style" w:cs="Arial"/>
        </w:rPr>
        <w:t xml:space="preserve"> que p</w:t>
      </w:r>
      <w:r w:rsidR="000D4502" w:rsidRPr="00DC07FC">
        <w:rPr>
          <w:rFonts w:ascii="Bookman Old Style" w:hAnsi="Bookman Old Style" w:cs="Arial"/>
        </w:rPr>
        <w:t>rovenga de proyectos para el desarrollo de nueva oferta, cuya comercialización haya sido autorizada por la CREG</w:t>
      </w:r>
      <w:r w:rsidRPr="00DC07FC">
        <w:rPr>
          <w:rFonts w:ascii="Bookman Old Style" w:hAnsi="Bookman Old Style" w:cs="Arial"/>
        </w:rPr>
        <w:t>. En estas negociaciones sólo se podrán pactar contratos sujetos a lo dispuesto en el Título II de la presente resolución. Las partes acordarán libremente el plazo y cantidades del GLP que se comercialice mediante estas negociaciones directas.</w:t>
      </w:r>
    </w:p>
    <w:p w:rsidR="0062179E" w:rsidRPr="00081285" w:rsidRDefault="0062179E" w:rsidP="00901EFF">
      <w:pPr>
        <w:numPr>
          <w:ilvl w:val="0"/>
          <w:numId w:val="47"/>
        </w:numPr>
        <w:ind w:left="426" w:hanging="426"/>
        <w:contextualSpacing/>
        <w:jc w:val="both"/>
        <w:rPr>
          <w:rFonts w:ascii="Bookman Old Style" w:hAnsi="Bookman Old Style" w:cs="Arial"/>
        </w:rPr>
      </w:pPr>
      <w:r w:rsidRPr="00DC07FC">
        <w:rPr>
          <w:rFonts w:ascii="Bookman Old Style" w:hAnsi="Bookman Old Style" w:cs="Arial"/>
        </w:rPr>
        <w:t>El GLP proveniente de un proyecto para el desarrollo de nueva oferta podrá comercializarse bajo lo dispuesto en este artículo durante todo el plazo de ejecución del proyecto. Una vez el proyecto permita contar con la mayor oferta de G</w:t>
      </w:r>
      <w:r w:rsidRPr="00081285">
        <w:rPr>
          <w:rFonts w:ascii="Bookman Old Style" w:hAnsi="Bookman Old Style" w:cs="Arial"/>
        </w:rPr>
        <w:t>LP, el producto deberá ofrecerse atendiendo lo dispuesto en los artículos 2</w:t>
      </w:r>
      <w:r w:rsidR="00B2700E" w:rsidRPr="00081285">
        <w:rPr>
          <w:rFonts w:ascii="Bookman Old Style" w:hAnsi="Bookman Old Style" w:cs="Arial"/>
        </w:rPr>
        <w:t>4</w:t>
      </w:r>
      <w:r w:rsidRPr="00081285">
        <w:rPr>
          <w:rFonts w:ascii="Bookman Old Style" w:hAnsi="Bookman Old Style" w:cs="Arial"/>
        </w:rPr>
        <w:t xml:space="preserve"> y </w:t>
      </w:r>
      <w:r w:rsidR="00B2700E" w:rsidRPr="00081285">
        <w:rPr>
          <w:rFonts w:ascii="Bookman Old Style" w:hAnsi="Bookman Old Style" w:cs="Arial"/>
        </w:rPr>
        <w:t>25</w:t>
      </w:r>
      <w:r w:rsidRPr="00081285">
        <w:rPr>
          <w:rFonts w:ascii="Bookman Old Style" w:hAnsi="Bookman Old Style" w:cs="Arial"/>
        </w:rPr>
        <w:t xml:space="preserve"> de esta resolución, cuando se trate de GLP de producción nacional, o lo dispuesto en el artículo 2</w:t>
      </w:r>
      <w:r w:rsidR="00B2700E" w:rsidRPr="00081285">
        <w:rPr>
          <w:rFonts w:ascii="Bookman Old Style" w:hAnsi="Bookman Old Style" w:cs="Arial"/>
        </w:rPr>
        <w:t>2</w:t>
      </w:r>
      <w:r w:rsidRPr="00081285">
        <w:rPr>
          <w:rFonts w:ascii="Bookman Old Style" w:hAnsi="Bookman Old Style" w:cs="Arial"/>
        </w:rPr>
        <w:t xml:space="preserve"> de esta resolución</w:t>
      </w:r>
      <w:r w:rsidR="00725CE9" w:rsidRPr="00081285">
        <w:rPr>
          <w:rFonts w:ascii="Bookman Old Style" w:hAnsi="Bookman Old Style" w:cs="Arial"/>
        </w:rPr>
        <w:t>,</w:t>
      </w:r>
      <w:r w:rsidRPr="00081285">
        <w:rPr>
          <w:rFonts w:ascii="Bookman Old Style" w:hAnsi="Bookman Old Style" w:cs="Arial"/>
        </w:rPr>
        <w:t xml:space="preserve"> si el proyecto desarrollado corresponde a un punto de importación.</w:t>
      </w:r>
      <w:r w:rsidR="00B56C6A" w:rsidRPr="00081285">
        <w:rPr>
          <w:rFonts w:ascii="Bookman Old Style" w:hAnsi="Bookman Old Style" w:cs="Arial"/>
        </w:rPr>
        <w:t xml:space="preserve"> Cuando la entrada a producción</w:t>
      </w:r>
      <w:r w:rsidR="00B56C6A" w:rsidRPr="00DC07FC">
        <w:rPr>
          <w:rFonts w:ascii="Bookman Old Style" w:hAnsi="Bookman Old Style" w:cs="Arial"/>
        </w:rPr>
        <w:t xml:space="preserve"> no coincida con la fecha de inicio de los contratos que resultan del mecanismo de subasta, el GLP no comprometido en contratos </w:t>
      </w:r>
      <w:r w:rsidR="00DA0870" w:rsidRPr="00DC07FC">
        <w:rPr>
          <w:rFonts w:ascii="Bookman Old Style" w:hAnsi="Bookman Old Style" w:cs="Arial"/>
        </w:rPr>
        <w:t>de suministro</w:t>
      </w:r>
      <w:r w:rsidR="0061363A" w:rsidRPr="00DC07FC">
        <w:rPr>
          <w:rFonts w:ascii="Bookman Old Style" w:hAnsi="Bookman Old Style" w:cs="Arial"/>
        </w:rPr>
        <w:t>,</w:t>
      </w:r>
      <w:r w:rsidR="00DA0870" w:rsidRPr="00DC07FC">
        <w:rPr>
          <w:rFonts w:ascii="Bookman Old Style" w:hAnsi="Bookman Old Style" w:cs="Arial"/>
        </w:rPr>
        <w:t xml:space="preserve"> </w:t>
      </w:r>
      <w:r w:rsidR="00B56C6A" w:rsidRPr="00081285">
        <w:rPr>
          <w:rFonts w:ascii="Bookman Old Style" w:hAnsi="Bookman Old Style" w:cs="Arial"/>
        </w:rPr>
        <w:t>suscritos durante el periodo de desarrollo del proyecto, podrá comercializarse en el mercado secundario, de acuerdo con lo previsto en el artículo 30 de esta resolución.</w:t>
      </w:r>
    </w:p>
    <w:p w:rsidR="009F33C2" w:rsidRPr="00081285" w:rsidRDefault="009F33C2" w:rsidP="00901EFF">
      <w:pPr>
        <w:numPr>
          <w:ilvl w:val="0"/>
          <w:numId w:val="47"/>
        </w:numPr>
        <w:ind w:left="426" w:hanging="426"/>
        <w:contextualSpacing/>
        <w:jc w:val="both"/>
        <w:rPr>
          <w:rFonts w:ascii="Bookman Old Style" w:hAnsi="Bookman Old Style" w:cs="Arial"/>
        </w:rPr>
      </w:pPr>
      <w:r w:rsidRPr="00081285">
        <w:rPr>
          <w:rFonts w:ascii="Bookman Old Style" w:hAnsi="Bookman Old Style" w:cs="Arial"/>
        </w:rPr>
        <w:t>De manera</w:t>
      </w:r>
      <w:r w:rsidRPr="00DC07FC">
        <w:rPr>
          <w:rFonts w:ascii="Bookman Old Style" w:hAnsi="Bookman Old Style" w:cs="Arial"/>
        </w:rPr>
        <w:t xml:space="preserve"> previa a la celebración de los contratos de suministro de GLP que resulten de proyectos para el </w:t>
      </w:r>
      <w:r w:rsidRPr="00081285">
        <w:rPr>
          <w:rFonts w:ascii="Bookman Old Style" w:hAnsi="Bookman Old Style" w:cs="Arial"/>
        </w:rPr>
        <w:t xml:space="preserve">desarrollo de nueva oferta, el comercializador de oferta deberá publicar, a través del </w:t>
      </w:r>
      <w:r w:rsidR="002420A4" w:rsidRPr="00081285">
        <w:rPr>
          <w:rFonts w:ascii="Bookman Old Style" w:hAnsi="Bookman Old Style" w:cs="Arial"/>
        </w:rPr>
        <w:t>SIMM</w:t>
      </w:r>
      <w:r w:rsidRPr="00081285">
        <w:rPr>
          <w:rFonts w:ascii="Bookman Old Style" w:hAnsi="Bookman Old Style" w:cs="Arial"/>
        </w:rPr>
        <w:t xml:space="preserve">, las condiciones bajo las cuales </w:t>
      </w:r>
      <w:r w:rsidR="00A165DB" w:rsidRPr="00081285">
        <w:rPr>
          <w:rFonts w:ascii="Bookman Old Style" w:hAnsi="Bookman Old Style" w:cs="Arial"/>
        </w:rPr>
        <w:t xml:space="preserve">comercializará </w:t>
      </w:r>
      <w:r w:rsidR="001F6C1D" w:rsidRPr="00081285">
        <w:rPr>
          <w:rFonts w:ascii="Bookman Old Style" w:hAnsi="Bookman Old Style" w:cs="Arial"/>
        </w:rPr>
        <w:t xml:space="preserve">el mencionado </w:t>
      </w:r>
      <w:r w:rsidRPr="00081285">
        <w:rPr>
          <w:rFonts w:ascii="Bookman Old Style" w:hAnsi="Bookman Old Style" w:cs="Arial"/>
        </w:rPr>
        <w:t xml:space="preserve">GLP, </w:t>
      </w:r>
      <w:r w:rsidR="00A165DB" w:rsidRPr="00081285">
        <w:rPr>
          <w:rFonts w:ascii="Bookman Old Style" w:hAnsi="Bookman Old Style" w:cs="Arial"/>
        </w:rPr>
        <w:t xml:space="preserve">de conformidad con lo dispuesto </w:t>
      </w:r>
      <w:r w:rsidRPr="00081285">
        <w:rPr>
          <w:rFonts w:ascii="Bookman Old Style" w:hAnsi="Bookman Old Style" w:cs="Arial"/>
        </w:rPr>
        <w:t xml:space="preserve">en el </w:t>
      </w:r>
      <w:r w:rsidR="00806B1B" w:rsidRPr="00081285">
        <w:rPr>
          <w:rFonts w:ascii="Bookman Old Style" w:hAnsi="Bookman Old Style" w:cs="Arial"/>
        </w:rPr>
        <w:t>anexo 2</w:t>
      </w:r>
      <w:r w:rsidRPr="00081285">
        <w:rPr>
          <w:rFonts w:ascii="Bookman Old Style" w:hAnsi="Bookman Old Style" w:cs="Arial"/>
        </w:rPr>
        <w:t xml:space="preserve"> de esta resolución.</w:t>
      </w:r>
    </w:p>
    <w:p w:rsidR="00C154F3" w:rsidRPr="00081285" w:rsidRDefault="00532252" w:rsidP="00901EFF">
      <w:pPr>
        <w:numPr>
          <w:ilvl w:val="0"/>
          <w:numId w:val="47"/>
        </w:numPr>
        <w:ind w:left="426" w:hanging="426"/>
        <w:contextualSpacing/>
        <w:jc w:val="both"/>
        <w:rPr>
          <w:rFonts w:ascii="Bookman Old Style" w:hAnsi="Bookman Old Style" w:cs="Arial"/>
        </w:rPr>
      </w:pPr>
      <w:r w:rsidRPr="00081285">
        <w:rPr>
          <w:rFonts w:ascii="Bookman Old Style" w:hAnsi="Bookman Old Style" w:cs="Arial"/>
        </w:rPr>
        <w:t xml:space="preserve">El día </w:t>
      </w:r>
      <w:r w:rsidR="00B94DA6" w:rsidRPr="00081285">
        <w:rPr>
          <w:rFonts w:ascii="Bookman Old Style" w:hAnsi="Bookman Old Style" w:cs="Arial"/>
        </w:rPr>
        <w:t xml:space="preserve">de terminación de </w:t>
      </w:r>
      <w:r w:rsidR="00C154F3" w:rsidRPr="00081285">
        <w:rPr>
          <w:rFonts w:ascii="Bookman Old Style" w:hAnsi="Bookman Old Style" w:cs="Arial"/>
        </w:rPr>
        <w:t xml:space="preserve">los contratos de suministro </w:t>
      </w:r>
      <w:r w:rsidR="00725CE9" w:rsidRPr="00081285">
        <w:rPr>
          <w:rFonts w:ascii="Bookman Old Style" w:hAnsi="Bookman Old Style" w:cs="Arial"/>
        </w:rPr>
        <w:t xml:space="preserve">de GLP </w:t>
      </w:r>
      <w:r w:rsidR="00B94DA6" w:rsidRPr="00081285">
        <w:rPr>
          <w:rFonts w:ascii="Bookman Old Style" w:hAnsi="Bookman Old Style" w:cs="Arial"/>
        </w:rPr>
        <w:t>de proyectos para el desarrollo de nueva oferta</w:t>
      </w:r>
      <w:r w:rsidR="00CE5A27" w:rsidRPr="00081285">
        <w:rPr>
          <w:rFonts w:ascii="Bookman Old Style" w:hAnsi="Bookman Old Style" w:cs="Arial"/>
        </w:rPr>
        <w:t>,</w:t>
      </w:r>
      <w:r w:rsidR="00B94DA6" w:rsidRPr="00081285">
        <w:rPr>
          <w:rFonts w:ascii="Bookman Old Style" w:hAnsi="Bookman Old Style" w:cs="Arial"/>
        </w:rPr>
        <w:t xml:space="preserve"> </w:t>
      </w:r>
      <w:r w:rsidRPr="00081285">
        <w:rPr>
          <w:rFonts w:ascii="Bookman Old Style" w:hAnsi="Bookman Old Style" w:cs="Arial"/>
        </w:rPr>
        <w:t>deberá coincidir con un 30 de junio o un 31 de diciembre.</w:t>
      </w:r>
    </w:p>
    <w:p w:rsidR="00BD4D99" w:rsidRPr="00081285" w:rsidRDefault="00BD4D99" w:rsidP="00901EFF">
      <w:pPr>
        <w:numPr>
          <w:ilvl w:val="0"/>
          <w:numId w:val="47"/>
        </w:numPr>
        <w:ind w:left="426" w:hanging="426"/>
        <w:contextualSpacing/>
        <w:jc w:val="both"/>
        <w:rPr>
          <w:rFonts w:ascii="Bookman Old Style" w:hAnsi="Bookman Old Style"/>
          <w:b/>
        </w:rPr>
      </w:pPr>
      <w:r w:rsidRPr="00081285">
        <w:rPr>
          <w:rFonts w:ascii="Bookman Old Style" w:hAnsi="Bookman Old Style" w:cs="Arial"/>
        </w:rPr>
        <w:t xml:space="preserve">Todos los contratos de suministro de GLP </w:t>
      </w:r>
      <w:r w:rsidR="00B611E6" w:rsidRPr="00081285">
        <w:rPr>
          <w:rFonts w:ascii="Bookman Old Style" w:hAnsi="Bookman Old Style" w:cs="Arial"/>
        </w:rPr>
        <w:t>que resulten de proyectos para el desarrollo de nueva oferta</w:t>
      </w:r>
      <w:r w:rsidRPr="00081285">
        <w:rPr>
          <w:rFonts w:ascii="Bookman Old Style" w:hAnsi="Bookman Old Style" w:cs="Arial"/>
        </w:rPr>
        <w:t>, deberán ser registrados ante el gestor del mercado</w:t>
      </w:r>
      <w:r w:rsidR="00AD349B" w:rsidRPr="00081285">
        <w:rPr>
          <w:rFonts w:ascii="Bookman Old Style" w:hAnsi="Bookman Old Style" w:cs="Arial"/>
        </w:rPr>
        <w:t xml:space="preserve"> de GLP</w:t>
      </w:r>
      <w:r w:rsidRPr="00081285">
        <w:rPr>
          <w:rFonts w:ascii="Bookman Old Style" w:hAnsi="Bookman Old Style" w:cs="Arial"/>
        </w:rPr>
        <w:t xml:space="preserve">, de conformidad con lo dispuesto en el anexo </w:t>
      </w:r>
      <w:r w:rsidR="00806B1B" w:rsidRPr="00081285">
        <w:rPr>
          <w:rFonts w:ascii="Bookman Old Style" w:hAnsi="Bookman Old Style" w:cs="Arial"/>
        </w:rPr>
        <w:t>2</w:t>
      </w:r>
      <w:r w:rsidRPr="00081285">
        <w:rPr>
          <w:rFonts w:ascii="Bookman Old Style" w:hAnsi="Bookman Old Style" w:cs="Arial"/>
        </w:rPr>
        <w:t xml:space="preserve"> de esta resolución.</w:t>
      </w:r>
    </w:p>
    <w:p w:rsidR="004F15BF" w:rsidRPr="00DC07FC" w:rsidRDefault="004F15BF" w:rsidP="00971ADA">
      <w:pPr>
        <w:ind w:left="0"/>
        <w:contextualSpacing/>
        <w:jc w:val="both"/>
        <w:rPr>
          <w:rFonts w:ascii="Bookman Old Style" w:hAnsi="Bookman Old Style" w:cs="Arial"/>
          <w:lang w:val="es-CO"/>
        </w:rPr>
      </w:pPr>
    </w:p>
    <w:p w:rsidR="00806B1B" w:rsidRPr="00DC07FC" w:rsidRDefault="00806B1B" w:rsidP="00971ADA">
      <w:pPr>
        <w:ind w:left="0"/>
        <w:contextualSpacing/>
        <w:jc w:val="both"/>
        <w:rPr>
          <w:rFonts w:ascii="Bookman Old Style" w:hAnsi="Bookman Old Style" w:cs="Arial"/>
          <w:lang w:val="es-CO"/>
        </w:rPr>
      </w:pPr>
      <w:r w:rsidRPr="00DC07FC">
        <w:rPr>
          <w:rFonts w:ascii="Bookman Old Style" w:hAnsi="Bookman Old Style" w:cs="Arial"/>
          <w:b/>
          <w:lang w:val="es-CO"/>
        </w:rPr>
        <w:t>PARÁGRAFO:</w:t>
      </w:r>
      <w:r w:rsidRPr="00DC07FC">
        <w:rPr>
          <w:rFonts w:ascii="Bookman Old Style" w:hAnsi="Bookman Old Style" w:cs="Arial"/>
          <w:lang w:val="es-CO"/>
        </w:rPr>
        <w:t xml:space="preserve"> La CREG determinará </w:t>
      </w:r>
      <w:r w:rsidR="002267F7" w:rsidRPr="00DC07FC">
        <w:rPr>
          <w:rFonts w:ascii="Bookman Old Style" w:hAnsi="Bookman Old Style" w:cs="Arial"/>
          <w:lang w:val="es-CO"/>
        </w:rPr>
        <w:t xml:space="preserve">cuales </w:t>
      </w:r>
      <w:r w:rsidRPr="00DC07FC">
        <w:rPr>
          <w:rFonts w:ascii="Bookman Old Style" w:hAnsi="Bookman Old Style" w:cs="Arial"/>
          <w:lang w:val="es-CO"/>
        </w:rPr>
        <w:t xml:space="preserve">proyectos </w:t>
      </w:r>
      <w:r w:rsidR="002267F7" w:rsidRPr="00DC07FC">
        <w:rPr>
          <w:rFonts w:ascii="Bookman Old Style" w:hAnsi="Bookman Old Style" w:cs="Arial"/>
          <w:lang w:val="es-CO"/>
        </w:rPr>
        <w:t xml:space="preserve">podrán ser considerados </w:t>
      </w:r>
      <w:r w:rsidRPr="00DC07FC">
        <w:rPr>
          <w:rFonts w:ascii="Bookman Old Style" w:hAnsi="Bookman Old Style" w:cs="Arial"/>
          <w:lang w:val="es-CO"/>
        </w:rPr>
        <w:t>para el desarrollo de nueva oferta</w:t>
      </w:r>
      <w:r w:rsidR="00AD349B" w:rsidRPr="00DC07FC">
        <w:rPr>
          <w:rFonts w:ascii="Bookman Old Style" w:hAnsi="Bookman Old Style" w:cs="Arial"/>
          <w:lang w:val="es-CO"/>
        </w:rPr>
        <w:t>, atendiendo</w:t>
      </w:r>
      <w:r w:rsidR="00F9372B" w:rsidRPr="00DC07FC">
        <w:rPr>
          <w:rFonts w:ascii="Bookman Old Style" w:hAnsi="Bookman Old Style" w:cs="Arial"/>
          <w:lang w:val="es-CO"/>
        </w:rPr>
        <w:t>,</w:t>
      </w:r>
      <w:r w:rsidR="00AD349B" w:rsidRPr="00DC07FC">
        <w:rPr>
          <w:rFonts w:ascii="Bookman Old Style" w:hAnsi="Bookman Old Style" w:cs="Arial"/>
          <w:lang w:val="es-CO"/>
        </w:rPr>
        <w:t xml:space="preserve"> entre otros</w:t>
      </w:r>
      <w:r w:rsidR="00F9372B" w:rsidRPr="00DC07FC">
        <w:rPr>
          <w:rFonts w:ascii="Bookman Old Style" w:hAnsi="Bookman Old Style" w:cs="Arial"/>
          <w:lang w:val="es-CO"/>
        </w:rPr>
        <w:t>,</w:t>
      </w:r>
      <w:r w:rsidR="00AD349B" w:rsidRPr="00DC07FC">
        <w:rPr>
          <w:rFonts w:ascii="Bookman Old Style" w:hAnsi="Bookman Old Style" w:cs="Arial"/>
          <w:lang w:val="es-CO"/>
        </w:rPr>
        <w:t xml:space="preserve"> la reglamentación que para el efecto expida el Ministerio de Minas y Energía en relación con las declaraciones de producción que incluyan valores históricos y esperados, ventas y consumos propios</w:t>
      </w:r>
      <w:r w:rsidR="001326C9" w:rsidRPr="00DC07FC">
        <w:rPr>
          <w:rFonts w:ascii="Bookman Old Style" w:hAnsi="Bookman Old Style" w:cs="Arial"/>
          <w:lang w:val="es-CO"/>
        </w:rPr>
        <w:t xml:space="preserve">. Dichos proyectos </w:t>
      </w:r>
      <w:r w:rsidR="002267F7" w:rsidRPr="00DC07FC">
        <w:rPr>
          <w:rFonts w:ascii="Bookman Old Style" w:hAnsi="Bookman Old Style" w:cs="Arial"/>
          <w:lang w:val="es-CO"/>
        </w:rPr>
        <w:t xml:space="preserve">deberán incrementar la capacidad </w:t>
      </w:r>
      <w:r w:rsidR="00144358">
        <w:rPr>
          <w:rFonts w:ascii="Bookman Old Style" w:hAnsi="Bookman Old Style" w:cs="Arial"/>
          <w:lang w:val="es-CO"/>
        </w:rPr>
        <w:t xml:space="preserve">de oferta o producción de GLP </w:t>
      </w:r>
      <w:r w:rsidR="002267F7" w:rsidRPr="00DC07FC">
        <w:rPr>
          <w:rFonts w:ascii="Bookman Old Style" w:hAnsi="Bookman Old Style" w:cs="Arial"/>
          <w:lang w:val="es-CO"/>
        </w:rPr>
        <w:t>de una facilidad existente o desarrollar una nueva.</w:t>
      </w:r>
    </w:p>
    <w:p w:rsidR="0074380E" w:rsidRDefault="0074380E" w:rsidP="0074380E">
      <w:pPr>
        <w:ind w:left="0"/>
        <w:contextualSpacing/>
        <w:jc w:val="both"/>
        <w:rPr>
          <w:rFonts w:ascii="Bookman Old Style" w:hAnsi="Bookman Old Style"/>
          <w:lang w:val="es-CO"/>
        </w:rPr>
      </w:pPr>
    </w:p>
    <w:p w:rsidR="007E4A8A" w:rsidRPr="00DC07FC" w:rsidRDefault="007E4A8A" w:rsidP="007E4A8A">
      <w:pPr>
        <w:pStyle w:val="ARTICULOS"/>
        <w:numPr>
          <w:ilvl w:val="0"/>
          <w:numId w:val="2"/>
        </w:numPr>
        <w:tabs>
          <w:tab w:val="left" w:pos="1701"/>
        </w:tabs>
        <w:ind w:left="0" w:firstLine="0"/>
        <w:contextualSpacing/>
        <w:outlineLvl w:val="2"/>
        <w:rPr>
          <w:rFonts w:cs="Arial"/>
          <w:caps/>
        </w:rPr>
      </w:pPr>
      <w:bookmarkStart w:id="26" w:name="_Ref462925867"/>
      <w:r w:rsidRPr="00DC07FC">
        <w:rPr>
          <w:rFonts w:cs="Arial"/>
          <w:b/>
          <w:color w:val="000000" w:themeColor="text1"/>
          <w:lang w:val="es-ES"/>
        </w:rPr>
        <w:t>CONDICIONES GENERALES PARA LA SUBASTA DE GLP.</w:t>
      </w:r>
      <w:r w:rsidRPr="00DC07FC">
        <w:rPr>
          <w:rFonts w:cs="Arial"/>
          <w:color w:val="000000" w:themeColor="text1"/>
          <w:lang w:val="es-ES"/>
        </w:rPr>
        <w:t xml:space="preserve"> </w:t>
      </w:r>
      <w:r w:rsidRPr="00DC07FC">
        <w:t xml:space="preserve">Las condiciones generales para la </w:t>
      </w:r>
      <w:r w:rsidRPr="00DC07FC">
        <w:rPr>
          <w:lang w:val="es-CO"/>
        </w:rPr>
        <w:t xml:space="preserve">participación y realización de la subasta </w:t>
      </w:r>
      <w:r w:rsidRPr="00DC07FC">
        <w:t xml:space="preserve">de GLP </w:t>
      </w:r>
      <w:r w:rsidRPr="00DC07FC">
        <w:rPr>
          <w:lang w:val="es-CO"/>
        </w:rPr>
        <w:t>del mercado primario</w:t>
      </w:r>
      <w:r w:rsidRPr="00DC07FC">
        <w:t xml:space="preserve"> serán las siguientes</w:t>
      </w:r>
      <w:r w:rsidRPr="00DC07FC">
        <w:rPr>
          <w:caps/>
        </w:rPr>
        <w:t>:</w:t>
      </w:r>
      <w:bookmarkEnd w:id="26"/>
    </w:p>
    <w:p w:rsidR="007E4A8A" w:rsidRPr="00DC07FC" w:rsidRDefault="007E4A8A" w:rsidP="007E4A8A">
      <w:pPr>
        <w:ind w:left="0"/>
        <w:contextualSpacing/>
        <w:rPr>
          <w:rFonts w:ascii="Bookman Old Style" w:hAnsi="Bookman Old Style" w:cs="Arial"/>
          <w:highlight w:val="lightGray"/>
          <w:lang w:val="es-CO"/>
        </w:rPr>
      </w:pPr>
    </w:p>
    <w:p w:rsidR="007E4A8A" w:rsidRPr="00DC07FC" w:rsidRDefault="007E4A8A" w:rsidP="007E4A8A">
      <w:pPr>
        <w:numPr>
          <w:ilvl w:val="0"/>
          <w:numId w:val="39"/>
        </w:numPr>
        <w:ind w:left="426" w:hanging="426"/>
        <w:contextualSpacing/>
        <w:jc w:val="both"/>
        <w:rPr>
          <w:rFonts w:ascii="Bookman Old Style" w:hAnsi="Bookman Old Style" w:cs="Arial"/>
        </w:rPr>
      </w:pPr>
      <w:r w:rsidRPr="00DC07FC">
        <w:rPr>
          <w:rFonts w:ascii="Bookman Old Style" w:hAnsi="Bookman Old Style" w:cs="Arial"/>
        </w:rPr>
        <w:lastRenderedPageBreak/>
        <w:t xml:space="preserve">La participación de los compradores en la subasta es voluntaria, sin perjuicio de la obligación regulatoria que les exige a los distribuidores de GLP mantener contratos de suministro que garanticen la prestación del servicio de forma regular y </w:t>
      </w:r>
      <w:proofErr w:type="gramStart"/>
      <w:r w:rsidRPr="00DC07FC">
        <w:rPr>
          <w:rFonts w:ascii="Bookman Old Style" w:hAnsi="Bookman Old Style" w:cs="Arial"/>
        </w:rPr>
        <w:t>continua</w:t>
      </w:r>
      <w:proofErr w:type="gramEnd"/>
      <w:r w:rsidRPr="00DC07FC">
        <w:rPr>
          <w:rFonts w:ascii="Bookman Old Style" w:hAnsi="Bookman Old Style" w:cs="Arial"/>
        </w:rPr>
        <w:t>.</w:t>
      </w:r>
    </w:p>
    <w:p w:rsidR="007E4A8A" w:rsidRDefault="007E4A8A" w:rsidP="007E4A8A">
      <w:pPr>
        <w:numPr>
          <w:ilvl w:val="0"/>
          <w:numId w:val="39"/>
        </w:numPr>
        <w:ind w:left="426" w:hanging="426"/>
        <w:contextualSpacing/>
        <w:jc w:val="both"/>
        <w:rPr>
          <w:rFonts w:ascii="Bookman Old Style" w:hAnsi="Bookman Old Style" w:cs="Arial"/>
        </w:rPr>
      </w:pPr>
      <w:r w:rsidRPr="00DC07FC">
        <w:rPr>
          <w:rFonts w:ascii="Bookman Old Style" w:hAnsi="Bookman Old Style" w:cs="Arial"/>
        </w:rPr>
        <w:t xml:space="preserve">Los compradores interesados en participar en la subasta deberán presentar </w:t>
      </w:r>
      <w:r w:rsidRPr="00423EEE">
        <w:rPr>
          <w:rFonts w:ascii="Bookman Old Style" w:hAnsi="Bookman Old Style" w:cs="Arial"/>
        </w:rPr>
        <w:t>las acreditaciones, la información y las garantías previstas en el reglamento de la subasta que se encuentra en el anexo 1 de esta resolución.</w:t>
      </w:r>
    </w:p>
    <w:p w:rsidR="007E4A8A" w:rsidRPr="00423EEE" w:rsidRDefault="007E4A8A" w:rsidP="007E4A8A">
      <w:pPr>
        <w:numPr>
          <w:ilvl w:val="0"/>
          <w:numId w:val="39"/>
        </w:numPr>
        <w:ind w:left="426" w:hanging="426"/>
        <w:contextualSpacing/>
        <w:jc w:val="both"/>
        <w:rPr>
          <w:rFonts w:ascii="Bookman Old Style" w:hAnsi="Bookman Old Style" w:cs="Arial"/>
        </w:rPr>
      </w:pPr>
      <w:r w:rsidRPr="00423EEE">
        <w:rPr>
          <w:rFonts w:ascii="Bookman Old Style" w:hAnsi="Bookman Old Style" w:cs="Arial"/>
        </w:rPr>
        <w:t>Podrán participar los comercializadores mayoristas.</w:t>
      </w:r>
    </w:p>
    <w:p w:rsidR="007E4A8A" w:rsidRPr="00DC07FC" w:rsidRDefault="007E4A8A" w:rsidP="007E4A8A">
      <w:pPr>
        <w:numPr>
          <w:ilvl w:val="0"/>
          <w:numId w:val="39"/>
        </w:numPr>
        <w:ind w:left="426" w:hanging="426"/>
        <w:contextualSpacing/>
        <w:jc w:val="both"/>
        <w:rPr>
          <w:rFonts w:ascii="Bookman Old Style" w:hAnsi="Bookman Old Style" w:cs="Arial"/>
        </w:rPr>
      </w:pPr>
      <w:r w:rsidRPr="00423EEE">
        <w:rPr>
          <w:rFonts w:ascii="Bookman Old Style" w:hAnsi="Bookman Old Style" w:cs="Arial"/>
        </w:rPr>
        <w:t>Podrá participar el UNR que demuestre su condición en los términos del artículo 17 de esta resolución. Si en el desarrollo de la subasta la cantidad total demandada por un UNR es menor a 1,000 KGD, este participante será</w:t>
      </w:r>
      <w:r w:rsidRPr="00DC07FC">
        <w:rPr>
          <w:rFonts w:ascii="Bookman Old Style" w:hAnsi="Bookman Old Style" w:cs="Arial"/>
        </w:rPr>
        <w:t xml:space="preserve"> retirado de la subasta sin que le sea asignado producto.</w:t>
      </w:r>
    </w:p>
    <w:p w:rsidR="007E4A8A" w:rsidRPr="00DC07FC" w:rsidRDefault="007E4A8A" w:rsidP="007E4A8A">
      <w:pPr>
        <w:numPr>
          <w:ilvl w:val="0"/>
          <w:numId w:val="39"/>
        </w:numPr>
        <w:ind w:left="426" w:hanging="426"/>
        <w:contextualSpacing/>
        <w:jc w:val="both"/>
        <w:rPr>
          <w:rFonts w:ascii="Bookman Old Style" w:hAnsi="Bookman Old Style" w:cs="Arial"/>
        </w:rPr>
      </w:pPr>
      <w:r w:rsidRPr="00DC07FC">
        <w:rPr>
          <w:rFonts w:ascii="Bookman Old Style" w:hAnsi="Bookman Old Style" w:cs="Arial"/>
        </w:rPr>
        <w:t>Podrá participar el distribuidor de GLP que demuestre ventas promedio mayores o iguales a 5,000 KGD. Si en el desarrollo de la subasta la cantidad total demandada por un distribuidor es menor a 5,000 KGD, este participante será retirado de la subasta sin que le sea asignado producto.</w:t>
      </w:r>
    </w:p>
    <w:p w:rsidR="007E4A8A" w:rsidRPr="00DC07FC" w:rsidRDefault="007E4A8A" w:rsidP="007E4A8A">
      <w:pPr>
        <w:numPr>
          <w:ilvl w:val="0"/>
          <w:numId w:val="39"/>
        </w:numPr>
        <w:ind w:left="426" w:hanging="426"/>
        <w:contextualSpacing/>
        <w:jc w:val="both"/>
        <w:rPr>
          <w:rFonts w:ascii="Bookman Old Style" w:hAnsi="Bookman Old Style" w:cs="Arial"/>
        </w:rPr>
      </w:pPr>
      <w:r w:rsidRPr="00DC07FC">
        <w:rPr>
          <w:rFonts w:ascii="Bookman Old Style" w:hAnsi="Bookman Old Style" w:cs="Arial"/>
        </w:rPr>
        <w:t>Los comercializadores de demanda que participen en la subasta deberán informar previamente al gestor del mercado de GLP, con copia a la SSPD y a la CREG, los nombres de los distribuidores de GLP y de los UNR para los cuales están comprando el GLP, lo cual debe ser respaldado con los respectivos contratos de suministro celebrados con ellos.</w:t>
      </w:r>
    </w:p>
    <w:p w:rsidR="007E4A8A" w:rsidRPr="00DC07FC" w:rsidRDefault="007E4A8A" w:rsidP="007E4A8A">
      <w:pPr>
        <w:numPr>
          <w:ilvl w:val="0"/>
          <w:numId w:val="39"/>
        </w:numPr>
        <w:ind w:left="426" w:hanging="426"/>
        <w:contextualSpacing/>
        <w:jc w:val="both"/>
        <w:rPr>
          <w:rFonts w:ascii="Bookman Old Style" w:hAnsi="Bookman Old Style" w:cs="Arial"/>
        </w:rPr>
      </w:pPr>
      <w:r w:rsidRPr="00DC07FC">
        <w:rPr>
          <w:rFonts w:ascii="Bookman Old Style" w:hAnsi="Bookman Old Style" w:cs="Arial"/>
        </w:rPr>
        <w:t>Los comercializadores de demanda que representan a distribuidores de GLP y UNR en la subasta deben vender el producto asignado a sus representados en las condiciones y precio pactados en el contrato de suministro. En todo caso, deberán mantener a disposición de la SSPD la información que demuestre que el GLP comprado en la subasta se destinó a atender la demanda de quienes lo autorizaron.</w:t>
      </w:r>
    </w:p>
    <w:p w:rsidR="007E4A8A" w:rsidRPr="00DC07FC" w:rsidRDefault="007E4A8A" w:rsidP="007E4A8A">
      <w:pPr>
        <w:pStyle w:val="ARTICULOS"/>
        <w:numPr>
          <w:ilvl w:val="0"/>
          <w:numId w:val="39"/>
        </w:numPr>
        <w:ind w:left="426" w:hanging="426"/>
      </w:pPr>
      <w:r w:rsidRPr="00DC07FC">
        <w:t>El vendedor se obliga a vender al precio de cierre de la subasta y a entregar las cantidades que le sean adjudicadas en el proceso de la subasta.</w:t>
      </w:r>
    </w:p>
    <w:p w:rsidR="007E4A8A" w:rsidRPr="00DC07FC" w:rsidRDefault="007E4A8A" w:rsidP="007E4A8A">
      <w:pPr>
        <w:numPr>
          <w:ilvl w:val="0"/>
          <w:numId w:val="39"/>
        </w:numPr>
        <w:ind w:left="426" w:hanging="426"/>
        <w:contextualSpacing/>
        <w:jc w:val="both"/>
        <w:rPr>
          <w:rFonts w:ascii="Bookman Old Style" w:hAnsi="Bookman Old Style" w:cs="Arial"/>
        </w:rPr>
      </w:pPr>
      <w:r w:rsidRPr="00DC07FC">
        <w:rPr>
          <w:rFonts w:ascii="Bookman Old Style" w:hAnsi="Bookman Old Style" w:cs="Arial"/>
        </w:rPr>
        <w:t>El comprador se obliga a pagar al precio de cierre de la subasta y a recibir las cantidades que le sean adjudicadas en el proceso de la subasta.</w:t>
      </w:r>
    </w:p>
    <w:p w:rsidR="007E4A8A" w:rsidRPr="00423EEE" w:rsidRDefault="007E4A8A" w:rsidP="007E4A8A">
      <w:pPr>
        <w:numPr>
          <w:ilvl w:val="0"/>
          <w:numId w:val="39"/>
        </w:numPr>
        <w:ind w:left="426" w:hanging="426"/>
        <w:contextualSpacing/>
        <w:jc w:val="both"/>
        <w:rPr>
          <w:rFonts w:ascii="Bookman Old Style" w:hAnsi="Bookman Old Style" w:cs="Arial"/>
        </w:rPr>
      </w:pPr>
      <w:r w:rsidRPr="00423EEE">
        <w:rPr>
          <w:rFonts w:ascii="Bookman Old Style" w:hAnsi="Bookman Old Style" w:cs="Arial"/>
        </w:rPr>
        <w:t xml:space="preserve">El resultado de la subasta se debe reflejar de manera inmediata en contratos de suministro, ajustados a los términos </w:t>
      </w:r>
      <w:r w:rsidR="00423EEE" w:rsidRPr="00423EEE">
        <w:rPr>
          <w:rFonts w:ascii="Bookman Old Style" w:hAnsi="Bookman Old Style" w:cs="Arial"/>
        </w:rPr>
        <w:t>definidos</w:t>
      </w:r>
      <w:r w:rsidRPr="00423EEE">
        <w:rPr>
          <w:rFonts w:ascii="Bookman Old Style" w:hAnsi="Bookman Old Style" w:cs="Arial"/>
        </w:rPr>
        <w:t xml:space="preserve"> en el artículo 7 de esta resolución.</w:t>
      </w:r>
      <w:r w:rsidR="004A2CDB" w:rsidRPr="00423EEE">
        <w:rPr>
          <w:rFonts w:ascii="Bookman Old Style" w:hAnsi="Bookman Old Style" w:cs="Arial"/>
        </w:rPr>
        <w:t xml:space="preserve"> Los contratos de suministro entre un comercializador de demanda y sus representados en la subasta, que sean espejo de las asignaciones resultantes de la misma, también son considerados contratos del mercado primario.</w:t>
      </w:r>
    </w:p>
    <w:p w:rsidR="007E4A8A" w:rsidRPr="00423EEE" w:rsidRDefault="007E4A8A" w:rsidP="007E4A8A">
      <w:pPr>
        <w:numPr>
          <w:ilvl w:val="0"/>
          <w:numId w:val="39"/>
        </w:numPr>
        <w:ind w:left="426" w:hanging="426"/>
        <w:contextualSpacing/>
        <w:jc w:val="both"/>
        <w:rPr>
          <w:rFonts w:ascii="Bookman Old Style" w:hAnsi="Bookman Old Style" w:cs="Arial"/>
        </w:rPr>
      </w:pPr>
      <w:r w:rsidRPr="00423EEE">
        <w:rPr>
          <w:rFonts w:ascii="Bookman Old Style" w:hAnsi="Bookman Old Style" w:cs="Arial"/>
        </w:rPr>
        <w:t>Todos los contratos de suministro de GLP resultantes de la subasta deberán ser registrados ante el gestor del mercado de GLP, de conformidad con lo dispuesto en el anexo 2 de esta resolución.</w:t>
      </w:r>
    </w:p>
    <w:p w:rsidR="007E4A8A" w:rsidRPr="00423EEE" w:rsidRDefault="007E4A8A" w:rsidP="007E4A8A">
      <w:pPr>
        <w:ind w:left="0"/>
        <w:contextualSpacing/>
        <w:jc w:val="both"/>
        <w:rPr>
          <w:rFonts w:ascii="Bookman Old Style" w:hAnsi="Bookman Old Style" w:cs="Arial"/>
          <w:lang w:val="es-CO"/>
        </w:rPr>
      </w:pPr>
    </w:p>
    <w:p w:rsidR="007E4A8A" w:rsidRPr="00DC07FC" w:rsidRDefault="007E4A8A" w:rsidP="007E4A8A">
      <w:pPr>
        <w:ind w:left="0"/>
        <w:contextualSpacing/>
        <w:jc w:val="both"/>
        <w:rPr>
          <w:rFonts w:ascii="Bookman Old Style" w:hAnsi="Bookman Old Style" w:cs="Arial"/>
          <w:lang w:val="es-CO"/>
        </w:rPr>
      </w:pPr>
      <w:r w:rsidRPr="00423EEE">
        <w:rPr>
          <w:rFonts w:ascii="Bookman Old Style" w:hAnsi="Bookman Old Style" w:cs="Arial"/>
          <w:b/>
          <w:lang w:val="es-CO"/>
        </w:rPr>
        <w:t>PA</w:t>
      </w:r>
      <w:r w:rsidRPr="00DC07FC">
        <w:rPr>
          <w:rFonts w:ascii="Bookman Old Style" w:hAnsi="Bookman Old Style" w:cs="Arial"/>
          <w:b/>
          <w:lang w:val="es-CO"/>
        </w:rPr>
        <w:t>RÁGRAFO 1.</w:t>
      </w:r>
      <w:r w:rsidRPr="00DC07FC">
        <w:rPr>
          <w:rFonts w:ascii="Bookman Old Style" w:hAnsi="Bookman Old Style" w:cs="Arial"/>
          <w:lang w:val="es-CO"/>
        </w:rPr>
        <w:t xml:space="preserve"> El promedio histórico de ventas de los distribuidores, para efectos de la participación en la subasta, se calculará a partir de la información de cantidades de GLP vendidas a usuarios directamente, en tanques estacionarios o redes de tubería, o a través de sus comercializadores minoristas, en cilindros, para los seis (6) meses inmediatamente anteriores al mes en el que se realiza la subasta.</w:t>
      </w:r>
    </w:p>
    <w:p w:rsidR="007E4A8A" w:rsidRPr="00DC07FC" w:rsidRDefault="007E4A8A" w:rsidP="007E4A8A">
      <w:pPr>
        <w:pStyle w:val="ARTICULOS"/>
        <w:rPr>
          <w:lang w:val="es-ES"/>
        </w:rPr>
      </w:pPr>
    </w:p>
    <w:p w:rsidR="007E4A8A" w:rsidRPr="00DC07FC" w:rsidRDefault="007E4A8A" w:rsidP="007E4A8A">
      <w:pPr>
        <w:pStyle w:val="ARTICULOS"/>
        <w:numPr>
          <w:ilvl w:val="0"/>
          <w:numId w:val="2"/>
        </w:numPr>
        <w:tabs>
          <w:tab w:val="left" w:pos="1701"/>
        </w:tabs>
        <w:ind w:left="0" w:firstLine="0"/>
        <w:contextualSpacing/>
        <w:outlineLvl w:val="2"/>
        <w:rPr>
          <w:rFonts w:cs="Arial"/>
        </w:rPr>
      </w:pPr>
      <w:bookmarkStart w:id="27" w:name="_Ref462925154"/>
      <w:r w:rsidRPr="00DC07FC">
        <w:rPr>
          <w:rFonts w:cs="Arial"/>
          <w:b/>
          <w:color w:val="000000" w:themeColor="text1"/>
          <w:lang w:val="es-ES"/>
        </w:rPr>
        <w:t>CONDICIONES GENERALES PARA LA ASIGNACIÓN ADMINISTRADA DE GLP.</w:t>
      </w:r>
      <w:r w:rsidRPr="00DC07FC">
        <w:rPr>
          <w:rFonts w:cs="Arial"/>
          <w:color w:val="000000" w:themeColor="text1"/>
          <w:lang w:val="es-ES"/>
        </w:rPr>
        <w:t xml:space="preserve"> Los comercializadores de oferta que </w:t>
      </w:r>
      <w:r w:rsidRPr="00DC07FC">
        <w:rPr>
          <w:rFonts w:cs="Arial"/>
          <w:lang w:val="es-CO"/>
        </w:rPr>
        <w:t xml:space="preserve">presenten </w:t>
      </w:r>
      <w:r w:rsidRPr="00DC07FC">
        <w:rPr>
          <w:rFonts w:cs="Arial"/>
        </w:rPr>
        <w:lastRenderedPageBreak/>
        <w:t xml:space="preserve">disponibilidad de </w:t>
      </w:r>
      <w:r w:rsidRPr="00DC07FC">
        <w:rPr>
          <w:rFonts w:cs="Arial"/>
          <w:lang w:val="es-CO"/>
        </w:rPr>
        <w:t>GLP de producción nacional</w:t>
      </w:r>
      <w:r w:rsidRPr="00DC07FC">
        <w:rPr>
          <w:rFonts w:cs="Arial"/>
        </w:rPr>
        <w:t xml:space="preserve">, no </w:t>
      </w:r>
      <w:r w:rsidRPr="00DC07FC">
        <w:rPr>
          <w:rFonts w:cs="Arial"/>
          <w:lang w:val="es-CO"/>
        </w:rPr>
        <w:t>ofrecido mediante el mecanismo de subasta</w:t>
      </w:r>
      <w:r w:rsidRPr="00DC07FC">
        <w:rPr>
          <w:rFonts w:cs="Arial"/>
        </w:rPr>
        <w:t xml:space="preserve">, durante el período de ejecución de </w:t>
      </w:r>
      <w:proofErr w:type="spellStart"/>
      <w:r w:rsidR="00E82F78" w:rsidRPr="00DC07FC">
        <w:rPr>
          <w:rFonts w:cs="Arial"/>
          <w:lang w:val="es-CO"/>
        </w:rPr>
        <w:t>l</w:t>
      </w:r>
      <w:r w:rsidR="00E82F78" w:rsidRPr="00DC07FC">
        <w:rPr>
          <w:rFonts w:cs="Arial"/>
        </w:rPr>
        <w:t>os</w:t>
      </w:r>
      <w:proofErr w:type="spellEnd"/>
      <w:r w:rsidRPr="00DC07FC">
        <w:rPr>
          <w:rFonts w:cs="Arial"/>
        </w:rPr>
        <w:t xml:space="preserve"> contratos resultantes de </w:t>
      </w:r>
      <w:r w:rsidRPr="00DC07FC">
        <w:rPr>
          <w:rFonts w:cs="Arial"/>
          <w:lang w:val="es-CO"/>
        </w:rPr>
        <w:t>la misma</w:t>
      </w:r>
      <w:r w:rsidRPr="00DC07FC">
        <w:rPr>
          <w:rFonts w:cs="Arial"/>
        </w:rPr>
        <w:t xml:space="preserve">, podrán </w:t>
      </w:r>
      <w:r w:rsidRPr="00DC07FC">
        <w:rPr>
          <w:rFonts w:cs="Arial"/>
          <w:lang w:val="es-CO"/>
        </w:rPr>
        <w:t>comercializar dicho GLP bajo las siguientes condiciones:</w:t>
      </w:r>
      <w:bookmarkEnd w:id="27"/>
    </w:p>
    <w:p w:rsidR="007E4A8A" w:rsidRPr="00DC07FC" w:rsidRDefault="007E4A8A" w:rsidP="007E4A8A">
      <w:pPr>
        <w:pStyle w:val="ARTICULOS"/>
      </w:pPr>
    </w:p>
    <w:p w:rsidR="00B21B7F" w:rsidRPr="00B21B7F" w:rsidRDefault="00B21B7F" w:rsidP="007E4A8A">
      <w:pPr>
        <w:numPr>
          <w:ilvl w:val="0"/>
          <w:numId w:val="40"/>
        </w:numPr>
        <w:ind w:left="426" w:hanging="426"/>
        <w:contextualSpacing/>
        <w:jc w:val="both"/>
        <w:rPr>
          <w:rFonts w:ascii="Bookman Old Style" w:hAnsi="Bookman Old Style" w:cs="Arial"/>
        </w:rPr>
      </w:pPr>
      <w:r>
        <w:rPr>
          <w:rFonts w:ascii="Bookman Old Style" w:hAnsi="Bookman Old Style" w:cs="Arial"/>
        </w:rPr>
        <w:t xml:space="preserve">La cantidad </w:t>
      </w:r>
      <w:r w:rsidR="00E82F78">
        <w:rPr>
          <w:rFonts w:ascii="Bookman Old Style" w:hAnsi="Bookman Old Style" w:cs="Arial"/>
        </w:rPr>
        <w:t>ofrecida mediante este mecanismo debe ser igual o menor a la diferencia entre la PTDV y la PTDVF vigentes al momento de efectuarse la oferta.</w:t>
      </w:r>
    </w:p>
    <w:p w:rsidR="007E4A8A" w:rsidRPr="00DC07FC" w:rsidRDefault="007E4A8A" w:rsidP="007E4A8A">
      <w:pPr>
        <w:numPr>
          <w:ilvl w:val="0"/>
          <w:numId w:val="40"/>
        </w:numPr>
        <w:ind w:left="426" w:hanging="426"/>
        <w:contextualSpacing/>
        <w:jc w:val="both"/>
        <w:rPr>
          <w:rFonts w:ascii="Bookman Old Style" w:hAnsi="Bookman Old Style" w:cs="Arial"/>
        </w:rPr>
      </w:pPr>
      <w:r w:rsidRPr="00DC07FC">
        <w:rPr>
          <w:rFonts w:ascii="Bookman Old Style" w:hAnsi="Bookman Old Style" w:cs="Arial"/>
          <w:lang w:val="es-CO"/>
        </w:rPr>
        <w:t>E</w:t>
      </w:r>
      <w:r w:rsidRPr="00DC07FC">
        <w:rPr>
          <w:rFonts w:ascii="Bookman Old Style" w:hAnsi="Bookman Old Style" w:cs="Arial"/>
        </w:rPr>
        <w:t xml:space="preserve">l comercializador de oferta, en una primera ronda, deberá ofrecer </w:t>
      </w:r>
      <w:r w:rsidR="00E82F78">
        <w:rPr>
          <w:rFonts w:ascii="Bookman Old Style" w:hAnsi="Bookman Old Style" w:cs="Arial"/>
        </w:rPr>
        <w:t xml:space="preserve">el </w:t>
      </w:r>
      <w:r w:rsidRPr="00DC07FC">
        <w:rPr>
          <w:rFonts w:ascii="Bookman Old Style" w:hAnsi="Bookman Old Style" w:cs="Arial"/>
        </w:rPr>
        <w:t>producto a todos los compradores, en la proporción en la que les fue adjudicado GLP en la subasta. Así mismo, los compradores deberán informar las cantidades que están dispuestos a comprar, considerando la anterior oferta</w:t>
      </w:r>
      <w:r w:rsidR="00D360EF">
        <w:rPr>
          <w:rFonts w:ascii="Bookman Old Style" w:hAnsi="Bookman Old Style" w:cs="Arial"/>
        </w:rPr>
        <w:t xml:space="preserve"> y su capacidad disponible de compra en ese momento</w:t>
      </w:r>
      <w:r w:rsidR="00496D7B">
        <w:rPr>
          <w:rFonts w:ascii="Bookman Old Style" w:hAnsi="Bookman Old Style" w:cs="Arial"/>
        </w:rPr>
        <w:t xml:space="preserve">, </w:t>
      </w:r>
      <w:r w:rsidR="00496D7B" w:rsidRPr="00DC07FC">
        <w:rPr>
          <w:rFonts w:ascii="Bookman Old Style" w:hAnsi="Bookman Old Style"/>
        </w:rPr>
        <w:t xml:space="preserve">de acuerdo con lo previsto en </w:t>
      </w:r>
      <w:r w:rsidR="00496D7B">
        <w:rPr>
          <w:rFonts w:ascii="Bookman Old Style" w:hAnsi="Bookman Old Style"/>
        </w:rPr>
        <w:t>la Resolución CREG 063 de 2016, o aquella que la modifique o sustituya</w:t>
      </w:r>
      <w:r w:rsidRPr="00DC07FC">
        <w:rPr>
          <w:rFonts w:ascii="Bookman Old Style" w:hAnsi="Bookman Old Style" w:cs="Arial"/>
        </w:rPr>
        <w:t>.</w:t>
      </w:r>
    </w:p>
    <w:p w:rsidR="007E4A8A" w:rsidRPr="00DC07FC" w:rsidRDefault="007E4A8A" w:rsidP="007E4A8A">
      <w:pPr>
        <w:numPr>
          <w:ilvl w:val="0"/>
          <w:numId w:val="40"/>
        </w:numPr>
        <w:ind w:left="426" w:hanging="426"/>
        <w:contextualSpacing/>
        <w:jc w:val="both"/>
        <w:rPr>
          <w:rFonts w:ascii="Bookman Old Style" w:hAnsi="Bookman Old Style" w:cs="Arial"/>
        </w:rPr>
      </w:pPr>
      <w:r w:rsidRPr="00DC07FC">
        <w:rPr>
          <w:rFonts w:ascii="Bookman Old Style" w:hAnsi="Bookman Old Style" w:cs="Arial"/>
        </w:rPr>
        <w:t>Surtido el procedimiento del literal anterior, de presentarse un exceso de oferta, deberán efectuarse rondas adicionales ofreciendo el exceso de disponibilidad a los compradores que hayan demandado la totalidad del producto que les fue ofrecido en la ronda anterior. La oferta siempre deberá hacerse de forma proporcional a las cantidades adjudicadas de GLP en la subasta, considerando</w:t>
      </w:r>
      <w:r w:rsidR="00D360EF">
        <w:rPr>
          <w:rFonts w:ascii="Bookman Old Style" w:hAnsi="Bookman Old Style" w:cs="Arial"/>
        </w:rPr>
        <w:t xml:space="preserve"> solo a </w:t>
      </w:r>
      <w:r w:rsidRPr="00DC07FC">
        <w:rPr>
          <w:rFonts w:ascii="Bookman Old Style" w:hAnsi="Bookman Old Style" w:cs="Arial"/>
        </w:rPr>
        <w:t xml:space="preserve">los compradores </w:t>
      </w:r>
      <w:r w:rsidR="00941630">
        <w:rPr>
          <w:rFonts w:ascii="Bookman Old Style" w:hAnsi="Bookman Old Style" w:cs="Arial"/>
        </w:rPr>
        <w:t>restantes</w:t>
      </w:r>
      <w:r w:rsidRPr="00DC07FC">
        <w:rPr>
          <w:rFonts w:ascii="Bookman Old Style" w:hAnsi="Bookman Old Style" w:cs="Arial"/>
        </w:rPr>
        <w:t>. Deberán hacerse tantas rondas como sea necesario para eliminar el exceso de oferta o que no haya posibles compradores. Una vez surtido este proceso, si persiste el exceso de oferta, el mismo podrá ser ofrecido en el mercado secundario.</w:t>
      </w:r>
    </w:p>
    <w:p w:rsidR="007E4A8A" w:rsidRPr="00423EEE" w:rsidRDefault="007E4A8A" w:rsidP="007E4A8A">
      <w:pPr>
        <w:numPr>
          <w:ilvl w:val="0"/>
          <w:numId w:val="40"/>
        </w:numPr>
        <w:ind w:left="426" w:hanging="426"/>
        <w:contextualSpacing/>
        <w:jc w:val="both"/>
        <w:rPr>
          <w:rFonts w:ascii="Bookman Old Style" w:hAnsi="Bookman Old Style" w:cs="Arial"/>
        </w:rPr>
      </w:pPr>
      <w:r w:rsidRPr="00DC07FC">
        <w:rPr>
          <w:rFonts w:ascii="Bookman Old Style" w:hAnsi="Bookman Old Style" w:cs="Arial"/>
        </w:rPr>
        <w:t xml:space="preserve">De manera </w:t>
      </w:r>
      <w:r w:rsidRPr="00423EEE">
        <w:rPr>
          <w:rFonts w:ascii="Bookman Old Style" w:hAnsi="Bookman Old Style" w:cs="Arial"/>
        </w:rPr>
        <w:t>previa a la celebración de los contratos de suministro de GLP que resulten de la asignación administrada, el comercializador de oferta deberá publicar, a través del SIMM, la cantidad y plazo bajo los cuales ofrecerá la mayor disponibilidad de GLP, en los términos definidos en el anexo 2 de esta resolución.</w:t>
      </w:r>
    </w:p>
    <w:p w:rsidR="007E4A8A" w:rsidRPr="00423EEE" w:rsidRDefault="007E4A8A" w:rsidP="007E4A8A">
      <w:pPr>
        <w:numPr>
          <w:ilvl w:val="0"/>
          <w:numId w:val="40"/>
        </w:numPr>
        <w:ind w:left="426" w:hanging="426"/>
        <w:contextualSpacing/>
        <w:jc w:val="both"/>
        <w:rPr>
          <w:rFonts w:ascii="Bookman Old Style" w:hAnsi="Bookman Old Style" w:cs="Arial"/>
        </w:rPr>
      </w:pPr>
      <w:r w:rsidRPr="00423EEE">
        <w:rPr>
          <w:rFonts w:ascii="Bookman Old Style" w:hAnsi="Bookman Old Style" w:cs="Arial"/>
        </w:rPr>
        <w:t>El plazo de los contratos de suministro resultantes de un proceso de asignación administrada deberá ser como mínimo de un (1) mes. La fecha máxima de terminación de los contratos deberá corresponder a un (1) día antes del inicio de ejecución de los contratos que resulten de la siguiente subasta.</w:t>
      </w:r>
    </w:p>
    <w:p w:rsidR="007E4A8A" w:rsidRPr="00423EEE" w:rsidRDefault="007E4A8A" w:rsidP="007E4A8A">
      <w:pPr>
        <w:numPr>
          <w:ilvl w:val="0"/>
          <w:numId w:val="40"/>
        </w:numPr>
        <w:ind w:left="426" w:hanging="426"/>
        <w:contextualSpacing/>
        <w:jc w:val="both"/>
        <w:rPr>
          <w:rFonts w:ascii="Bookman Old Style" w:hAnsi="Bookman Old Style" w:cs="Arial"/>
        </w:rPr>
      </w:pPr>
      <w:r w:rsidRPr="00423EEE">
        <w:rPr>
          <w:rFonts w:ascii="Bookman Old Style" w:hAnsi="Bookman Old Style" w:cs="Arial"/>
        </w:rPr>
        <w:t>Todos los contratos de suministro de GLP resultantes de la asignación administrada deberán ser registrados ante el gestor del mercado de GLP, de conformidad con lo dispuesto en el anexo 2 de esta resolución.</w:t>
      </w:r>
    </w:p>
    <w:p w:rsidR="007E4A8A" w:rsidRPr="00DC07FC" w:rsidRDefault="007E4A8A" w:rsidP="0074380E">
      <w:pPr>
        <w:ind w:left="0"/>
        <w:contextualSpacing/>
        <w:jc w:val="both"/>
        <w:rPr>
          <w:rFonts w:ascii="Bookman Old Style" w:hAnsi="Bookman Old Style"/>
          <w:lang w:val="es-CO"/>
        </w:rPr>
      </w:pPr>
    </w:p>
    <w:p w:rsidR="0074380E" w:rsidRPr="00423EEE" w:rsidRDefault="0074380E" w:rsidP="0074380E">
      <w:pPr>
        <w:pStyle w:val="ARTICULOS"/>
        <w:numPr>
          <w:ilvl w:val="0"/>
          <w:numId w:val="2"/>
        </w:numPr>
        <w:tabs>
          <w:tab w:val="left" w:pos="1701"/>
        </w:tabs>
        <w:ind w:left="0" w:firstLine="0"/>
        <w:contextualSpacing/>
        <w:outlineLvl w:val="2"/>
        <w:rPr>
          <w:rFonts w:cs="Arial"/>
          <w:color w:val="000000" w:themeColor="text1"/>
          <w:lang w:val="es-ES"/>
        </w:rPr>
      </w:pPr>
      <w:bookmarkStart w:id="28" w:name="_Ref463873570"/>
      <w:r w:rsidRPr="00DC07FC">
        <w:rPr>
          <w:rFonts w:cs="Arial"/>
          <w:b/>
          <w:color w:val="000000" w:themeColor="text1"/>
          <w:lang w:val="es-ES"/>
        </w:rPr>
        <w:t xml:space="preserve">PRECIO DE </w:t>
      </w:r>
      <w:r w:rsidR="00E24014">
        <w:rPr>
          <w:rFonts w:cs="Arial"/>
          <w:b/>
          <w:color w:val="000000" w:themeColor="text1"/>
          <w:lang w:val="es-ES"/>
        </w:rPr>
        <w:t xml:space="preserve">SUMINISTRO DE </w:t>
      </w:r>
      <w:r w:rsidRPr="00DC07FC">
        <w:rPr>
          <w:rFonts w:cs="Arial"/>
          <w:b/>
          <w:color w:val="000000" w:themeColor="text1"/>
          <w:lang w:val="es-ES"/>
        </w:rPr>
        <w:t xml:space="preserve">LOS CONTRATOS DEL MERCADO PRIMARIO DE GLP. </w:t>
      </w:r>
      <w:r w:rsidRPr="00DC07FC">
        <w:rPr>
          <w:rFonts w:cs="Arial"/>
          <w:color w:val="000000" w:themeColor="text1"/>
          <w:lang w:val="es-ES"/>
        </w:rPr>
        <w:t xml:space="preserve">El precio de </w:t>
      </w:r>
      <w:r w:rsidR="00E24014">
        <w:rPr>
          <w:rFonts w:cs="Arial"/>
          <w:color w:val="000000" w:themeColor="text1"/>
          <w:lang w:val="es-ES"/>
        </w:rPr>
        <w:t xml:space="preserve">suministro, de </w:t>
      </w:r>
      <w:r w:rsidRPr="00DC07FC">
        <w:rPr>
          <w:rFonts w:cs="Arial"/>
          <w:color w:val="000000" w:themeColor="text1"/>
          <w:lang w:val="es-ES"/>
        </w:rPr>
        <w:t xml:space="preserve">los contratos </w:t>
      </w:r>
      <w:r w:rsidRPr="00423EEE">
        <w:rPr>
          <w:rFonts w:cs="Arial"/>
          <w:color w:val="000000" w:themeColor="text1"/>
          <w:lang w:val="es-ES"/>
        </w:rPr>
        <w:t>resultantes de los mecanismos de comercialización de los que trata el artículo 21 de esta resolución, será:</w:t>
      </w:r>
      <w:bookmarkEnd w:id="28"/>
    </w:p>
    <w:p w:rsidR="0074380E" w:rsidRPr="00DC07FC" w:rsidRDefault="0074380E" w:rsidP="0074380E">
      <w:pPr>
        <w:ind w:left="0"/>
        <w:contextualSpacing/>
        <w:jc w:val="both"/>
        <w:rPr>
          <w:rFonts w:ascii="Bookman Old Style" w:hAnsi="Bookman Old Style" w:cs="Arial"/>
          <w:highlight w:val="lightGray"/>
        </w:rPr>
      </w:pPr>
    </w:p>
    <w:p w:rsidR="0074380E" w:rsidRPr="00DC07FC" w:rsidRDefault="0074380E" w:rsidP="00901EFF">
      <w:pPr>
        <w:numPr>
          <w:ilvl w:val="0"/>
          <w:numId w:val="48"/>
        </w:numPr>
        <w:ind w:left="426" w:hanging="426"/>
        <w:contextualSpacing/>
        <w:jc w:val="both"/>
        <w:rPr>
          <w:rFonts w:ascii="Bookman Old Style" w:hAnsi="Bookman Old Style" w:cs="Arial"/>
        </w:rPr>
      </w:pPr>
      <w:r w:rsidRPr="00DC07FC">
        <w:rPr>
          <w:rFonts w:ascii="Bookman Old Style" w:hAnsi="Bookman Old Style" w:cs="Arial"/>
        </w:rPr>
        <w:t>En el caso de los contratos de GLP importado, que no fue comercializado mediante el mecanismo de subasta, el precio</w:t>
      </w:r>
      <w:r w:rsidR="00E24014">
        <w:rPr>
          <w:rFonts w:ascii="Bookman Old Style" w:hAnsi="Bookman Old Style" w:cs="Arial"/>
        </w:rPr>
        <w:t xml:space="preserve"> de suministro</w:t>
      </w:r>
      <w:r w:rsidRPr="00DC07FC">
        <w:rPr>
          <w:rFonts w:ascii="Bookman Old Style" w:hAnsi="Bookman Old Style" w:cs="Arial"/>
        </w:rPr>
        <w:t>, expresado en COP por KG, será el que definan libremente las partes.</w:t>
      </w:r>
    </w:p>
    <w:p w:rsidR="0074380E" w:rsidRDefault="0074380E" w:rsidP="00901EFF">
      <w:pPr>
        <w:numPr>
          <w:ilvl w:val="0"/>
          <w:numId w:val="48"/>
        </w:numPr>
        <w:ind w:left="426" w:hanging="426"/>
        <w:contextualSpacing/>
        <w:jc w:val="both"/>
        <w:rPr>
          <w:rFonts w:ascii="Bookman Old Style" w:hAnsi="Bookman Old Style" w:cs="Arial"/>
        </w:rPr>
      </w:pPr>
      <w:r w:rsidRPr="00DC07FC">
        <w:rPr>
          <w:rFonts w:ascii="Bookman Old Style" w:hAnsi="Bookman Old Style" w:cs="Arial"/>
        </w:rPr>
        <w:t>En el caso de los contratos de GLP proveniente de proyectos para el desarrollo de nueva oferta, el precio</w:t>
      </w:r>
      <w:r w:rsidR="00E24014">
        <w:rPr>
          <w:rFonts w:ascii="Bookman Old Style" w:hAnsi="Bookman Old Style" w:cs="Arial"/>
        </w:rPr>
        <w:t xml:space="preserve"> de suministro</w:t>
      </w:r>
      <w:r w:rsidRPr="00DC07FC">
        <w:rPr>
          <w:rFonts w:ascii="Bookman Old Style" w:hAnsi="Bookman Old Style" w:cs="Arial"/>
        </w:rPr>
        <w:t>, expresado en COP por KG, será el que definan libremente las partes.</w:t>
      </w:r>
    </w:p>
    <w:p w:rsidR="007E4A8A" w:rsidRPr="00DC07FC" w:rsidRDefault="007E4A8A" w:rsidP="007E4A8A">
      <w:pPr>
        <w:numPr>
          <w:ilvl w:val="0"/>
          <w:numId w:val="48"/>
        </w:numPr>
        <w:ind w:left="426" w:hanging="426"/>
        <w:contextualSpacing/>
        <w:jc w:val="both"/>
        <w:rPr>
          <w:rFonts w:ascii="Bookman Old Style" w:hAnsi="Bookman Old Style" w:cs="Arial"/>
        </w:rPr>
      </w:pPr>
      <w:r w:rsidRPr="00DC07FC">
        <w:rPr>
          <w:rFonts w:ascii="Bookman Old Style" w:hAnsi="Bookman Old Style" w:cs="Arial"/>
        </w:rPr>
        <w:lastRenderedPageBreak/>
        <w:t xml:space="preserve">En el caso de los contratos resultantes de la subasta de GLP, el precio </w:t>
      </w:r>
      <w:r>
        <w:rPr>
          <w:rFonts w:ascii="Bookman Old Style" w:hAnsi="Bookman Old Style" w:cs="Arial"/>
        </w:rPr>
        <w:t>suministro</w:t>
      </w:r>
      <w:r w:rsidRPr="00DC07FC">
        <w:rPr>
          <w:rFonts w:ascii="Bookman Old Style" w:hAnsi="Bookman Old Style" w:cs="Arial"/>
        </w:rPr>
        <w:t>, expresado en COP por KG, corresponderá al precio de cierre del producto para la respectiva subasta.</w:t>
      </w:r>
    </w:p>
    <w:p w:rsidR="007E4A8A" w:rsidRPr="00DC07FC" w:rsidRDefault="007E4A8A" w:rsidP="007E4A8A">
      <w:pPr>
        <w:numPr>
          <w:ilvl w:val="0"/>
          <w:numId w:val="48"/>
        </w:numPr>
        <w:ind w:left="426" w:hanging="426"/>
        <w:contextualSpacing/>
        <w:jc w:val="both"/>
        <w:rPr>
          <w:rFonts w:ascii="Bookman Old Style" w:hAnsi="Bookman Old Style" w:cs="Arial"/>
        </w:rPr>
      </w:pPr>
      <w:r w:rsidRPr="00DC07FC">
        <w:rPr>
          <w:rFonts w:ascii="Bookman Old Style" w:hAnsi="Bookman Old Style" w:cs="Arial"/>
        </w:rPr>
        <w:t xml:space="preserve">En el caso de los contratos resultantes de un proceso de asignación administrada, el precio </w:t>
      </w:r>
      <w:r>
        <w:rPr>
          <w:rFonts w:ascii="Bookman Old Style" w:hAnsi="Bookman Old Style" w:cs="Arial"/>
        </w:rPr>
        <w:t>de suministro</w:t>
      </w:r>
      <w:r w:rsidRPr="00DC07FC">
        <w:rPr>
          <w:rFonts w:ascii="Bookman Old Style" w:hAnsi="Bookman Old Style" w:cs="Arial"/>
        </w:rPr>
        <w:t>, expresado en COP por KG, corresponderá al precio de reserva, con el que se ofreció dicho producto en la última subasta celebrada, menos el menor de los siguientes dos valores: i) la diferencia entre el precio de cierre de dicho producto en la subasta y su precio de reserva; ii) la mitad del precio de reserva. Si el contrato corresponde a un producto cuyo punto de entrega no fue uno de los ofrecidos en la subasta, el precio del contrato se calculará considerando el menor precio de reserva de todos los productos ofrecidos en la última subasta de GLP celebrada.</w:t>
      </w:r>
    </w:p>
    <w:p w:rsidR="00137891" w:rsidRPr="00DC07FC" w:rsidRDefault="00137891" w:rsidP="0074380E">
      <w:pPr>
        <w:ind w:left="0"/>
        <w:contextualSpacing/>
        <w:jc w:val="both"/>
        <w:rPr>
          <w:rFonts w:ascii="Bookman Old Style" w:hAnsi="Bookman Old Style"/>
          <w:lang w:val="es-CO"/>
        </w:rPr>
      </w:pPr>
    </w:p>
    <w:p w:rsidR="0074380E" w:rsidRPr="00DC07FC" w:rsidRDefault="0074380E" w:rsidP="0074380E">
      <w:pPr>
        <w:pStyle w:val="ARTICULOS"/>
        <w:tabs>
          <w:tab w:val="left" w:pos="1560"/>
        </w:tabs>
        <w:rPr>
          <w:lang w:val="es-CO"/>
        </w:rPr>
      </w:pPr>
      <w:r w:rsidRPr="00DC07FC">
        <w:rPr>
          <w:rFonts w:cs="Arial"/>
          <w:b/>
          <w:color w:val="000000" w:themeColor="text1"/>
          <w:lang w:val="es-ES"/>
        </w:rPr>
        <w:t>PARÁGRAFO</w:t>
      </w:r>
      <w:r w:rsidR="00E24014">
        <w:rPr>
          <w:rFonts w:cs="Arial"/>
          <w:b/>
          <w:color w:val="000000" w:themeColor="text1"/>
          <w:lang w:val="es-ES"/>
        </w:rPr>
        <w:t xml:space="preserve"> 1</w:t>
      </w:r>
      <w:r w:rsidRPr="00DC07FC">
        <w:rPr>
          <w:rFonts w:cs="Arial"/>
          <w:b/>
          <w:color w:val="000000" w:themeColor="text1"/>
          <w:lang w:val="es-ES"/>
        </w:rPr>
        <w:t>.</w:t>
      </w:r>
      <w:r w:rsidRPr="00DC07FC">
        <w:rPr>
          <w:rFonts w:cs="Arial"/>
          <w:color w:val="000000" w:themeColor="text1"/>
          <w:lang w:val="es-ES"/>
        </w:rPr>
        <w:t xml:space="preserve"> Las partes no podrán acordar modificaciones al precio inicial del contrato. Los descuentos, o aquellas modificaciones al precio inicial del contrato durante su vigencia, podrán ser </w:t>
      </w:r>
      <w:r w:rsidR="006C4447" w:rsidRPr="00DC07FC">
        <w:rPr>
          <w:rFonts w:cs="Arial"/>
          <w:color w:val="000000" w:themeColor="text1"/>
          <w:lang w:val="es-ES"/>
        </w:rPr>
        <w:t>considerados</w:t>
      </w:r>
      <w:r w:rsidRPr="00DC07FC">
        <w:rPr>
          <w:rFonts w:cs="Arial"/>
          <w:color w:val="000000" w:themeColor="text1"/>
          <w:lang w:val="es-ES"/>
        </w:rPr>
        <w:t xml:space="preserve"> </w:t>
      </w:r>
      <w:r w:rsidRPr="00DC07FC">
        <w:t>por la autoridad competente como una práctica contraria a la libre competencia.</w:t>
      </w:r>
    </w:p>
    <w:p w:rsidR="0074380E" w:rsidRDefault="0074380E" w:rsidP="00971ADA">
      <w:pPr>
        <w:ind w:left="0"/>
        <w:contextualSpacing/>
        <w:jc w:val="both"/>
        <w:rPr>
          <w:rFonts w:ascii="Bookman Old Style" w:hAnsi="Bookman Old Style" w:cs="Arial"/>
          <w:lang w:val="es-CO"/>
        </w:rPr>
      </w:pPr>
    </w:p>
    <w:p w:rsidR="00E24014" w:rsidRPr="00DC07FC" w:rsidRDefault="00E24014" w:rsidP="00E24014">
      <w:pPr>
        <w:pStyle w:val="ARTICULOS"/>
        <w:contextualSpacing/>
        <w:rPr>
          <w:lang w:val="es-CO"/>
        </w:rPr>
      </w:pPr>
      <w:r w:rsidRPr="00E24014">
        <w:rPr>
          <w:b/>
        </w:rPr>
        <w:t>PARÁGRAFO 2.</w:t>
      </w:r>
      <w:r>
        <w:rPr>
          <w:lang w:val="es-CO"/>
        </w:rPr>
        <w:t xml:space="preserve"> </w:t>
      </w:r>
      <w:r w:rsidRPr="00E24014">
        <w:rPr>
          <w:lang w:val="es-CO"/>
        </w:rPr>
        <w:t>Los costos asociados al manejo, transporte, disposición, trasiego y otro tipo de actividades requeridas para la entrega del GLP en el punto de entrega del comercializador mayorista, se entienden remuneradas en el precio de suministro.</w:t>
      </w:r>
    </w:p>
    <w:p w:rsidR="00E24014" w:rsidRPr="00DC07FC" w:rsidRDefault="00E24014" w:rsidP="00971ADA">
      <w:pPr>
        <w:ind w:left="0"/>
        <w:contextualSpacing/>
        <w:jc w:val="both"/>
        <w:rPr>
          <w:rFonts w:ascii="Bookman Old Style" w:hAnsi="Bookman Old Style" w:cs="Arial"/>
          <w:lang w:val="es-CO"/>
        </w:rPr>
      </w:pPr>
    </w:p>
    <w:p w:rsidR="00A43C79" w:rsidRPr="00DC07FC" w:rsidRDefault="00A43C79" w:rsidP="00971ADA">
      <w:pPr>
        <w:ind w:left="0"/>
        <w:contextualSpacing/>
        <w:jc w:val="both"/>
        <w:rPr>
          <w:rFonts w:ascii="Bookman Old Style" w:hAnsi="Bookman Old Style" w:cs="Arial"/>
          <w:lang w:val="es-CO"/>
        </w:rPr>
      </w:pPr>
    </w:p>
    <w:bookmarkEnd w:id="25"/>
    <w:p w:rsidR="00C72708" w:rsidRPr="00DC07FC" w:rsidRDefault="00DD431A" w:rsidP="00DE555D">
      <w:pPr>
        <w:pStyle w:val="Ttulo1"/>
        <w:contextualSpacing/>
        <w:rPr>
          <w:szCs w:val="24"/>
        </w:rPr>
      </w:pPr>
      <w:r w:rsidRPr="00DC07FC">
        <w:rPr>
          <w:szCs w:val="24"/>
        </w:rPr>
        <w:t>TÍTULO V</w:t>
      </w:r>
    </w:p>
    <w:p w:rsidR="00C72708" w:rsidRPr="00DC07FC" w:rsidRDefault="00DD431A" w:rsidP="00DE555D">
      <w:pPr>
        <w:pStyle w:val="Ttulo1"/>
        <w:contextualSpacing/>
        <w:rPr>
          <w:b w:val="0"/>
        </w:rPr>
      </w:pPr>
      <w:r w:rsidRPr="00DC07FC">
        <w:rPr>
          <w:szCs w:val="24"/>
        </w:rPr>
        <w:t>ASPECTOS COMERCIALES DEL MERCADO SECUNDARIO</w:t>
      </w:r>
    </w:p>
    <w:p w:rsidR="00C72708" w:rsidRPr="00DC07FC" w:rsidRDefault="00C72708" w:rsidP="004C1136">
      <w:pPr>
        <w:ind w:left="0"/>
        <w:contextualSpacing/>
        <w:jc w:val="both"/>
        <w:rPr>
          <w:rFonts w:ascii="Bookman Old Style" w:hAnsi="Bookman Old Style"/>
          <w:lang w:val="es-CO"/>
        </w:rPr>
      </w:pPr>
    </w:p>
    <w:p w:rsidR="00C345DB" w:rsidRPr="00DC07FC" w:rsidRDefault="00C345DB" w:rsidP="004C1136">
      <w:pPr>
        <w:ind w:left="0"/>
        <w:contextualSpacing/>
        <w:jc w:val="both"/>
        <w:rPr>
          <w:rFonts w:ascii="Bookman Old Style" w:hAnsi="Bookman Old Style"/>
          <w:lang w:val="es-CO"/>
        </w:rPr>
      </w:pPr>
    </w:p>
    <w:p w:rsidR="009D2826" w:rsidRPr="00DC07FC" w:rsidRDefault="009D2826" w:rsidP="00D444D6">
      <w:pPr>
        <w:pStyle w:val="ARTICULOS"/>
        <w:numPr>
          <w:ilvl w:val="0"/>
          <w:numId w:val="2"/>
        </w:numPr>
        <w:tabs>
          <w:tab w:val="left" w:pos="1701"/>
        </w:tabs>
        <w:ind w:left="0" w:firstLine="0"/>
        <w:contextualSpacing/>
        <w:outlineLvl w:val="2"/>
        <w:rPr>
          <w:rFonts w:cs="Arial"/>
          <w:color w:val="000000" w:themeColor="text1"/>
          <w:lang w:val="es-ES"/>
        </w:rPr>
      </w:pPr>
      <w:bookmarkStart w:id="29" w:name="_Ref440978195"/>
      <w:bookmarkStart w:id="30" w:name="_Ref361222167"/>
      <w:bookmarkStart w:id="31" w:name="_Ref334546690"/>
      <w:r w:rsidRPr="00DC07FC">
        <w:rPr>
          <w:rFonts w:cs="Arial"/>
          <w:b/>
          <w:color w:val="000000" w:themeColor="text1"/>
          <w:lang w:val="es-ES"/>
        </w:rPr>
        <w:t xml:space="preserve">VENDEDORES DE GLP EN EL MERCADO SECUNDARIO. </w:t>
      </w:r>
      <w:r w:rsidRPr="00DC07FC">
        <w:rPr>
          <w:rFonts w:cs="Arial"/>
          <w:color w:val="000000" w:themeColor="text1"/>
          <w:lang w:val="es-ES"/>
        </w:rPr>
        <w:t>Son vendedores de GLP en el mercado secundario:</w:t>
      </w:r>
      <w:bookmarkEnd w:id="29"/>
    </w:p>
    <w:p w:rsidR="009D2826" w:rsidRPr="00DC07FC" w:rsidRDefault="009D2826" w:rsidP="009D2826">
      <w:pPr>
        <w:ind w:left="0"/>
        <w:contextualSpacing/>
        <w:jc w:val="both"/>
        <w:rPr>
          <w:rFonts w:ascii="Bookman Old Style" w:hAnsi="Bookman Old Style" w:cs="Arial"/>
          <w:color w:val="000000" w:themeColor="text1"/>
          <w:lang w:val="x-none"/>
        </w:rPr>
      </w:pPr>
    </w:p>
    <w:p w:rsidR="009D2826" w:rsidRPr="00611071" w:rsidRDefault="009D2826" w:rsidP="00901EFF">
      <w:pPr>
        <w:numPr>
          <w:ilvl w:val="0"/>
          <w:numId w:val="37"/>
        </w:numPr>
        <w:tabs>
          <w:tab w:val="left" w:pos="426"/>
        </w:tabs>
        <w:ind w:left="426" w:hanging="426"/>
        <w:contextualSpacing/>
        <w:jc w:val="both"/>
        <w:rPr>
          <w:rFonts w:ascii="Bookman Old Style" w:hAnsi="Bookman Old Style" w:cs="Arial"/>
        </w:rPr>
      </w:pPr>
      <w:r w:rsidRPr="00611071">
        <w:rPr>
          <w:rFonts w:ascii="Bookman Old Style" w:hAnsi="Bookman Old Style" w:cs="Arial"/>
        </w:rPr>
        <w:t xml:space="preserve">Los comercializadores de demanda que ofrecen producto </w:t>
      </w:r>
      <w:r w:rsidR="00B54826" w:rsidRPr="00611071">
        <w:rPr>
          <w:rFonts w:ascii="Bookman Old Style" w:hAnsi="Bookman Old Style" w:cs="Arial"/>
        </w:rPr>
        <w:t>cuyo origen corresponde a excedentes de UNR, en los términos del parágrafo 1 del artículo 17 de esta resolución</w:t>
      </w:r>
      <w:r w:rsidRPr="00611071">
        <w:rPr>
          <w:rFonts w:ascii="Bookman Old Style" w:hAnsi="Bookman Old Style" w:cs="Arial"/>
        </w:rPr>
        <w:t>.</w:t>
      </w:r>
    </w:p>
    <w:p w:rsidR="00C014C4" w:rsidRPr="00611071" w:rsidRDefault="00C014C4" w:rsidP="00901EFF">
      <w:pPr>
        <w:numPr>
          <w:ilvl w:val="0"/>
          <w:numId w:val="37"/>
        </w:numPr>
        <w:tabs>
          <w:tab w:val="left" w:pos="426"/>
        </w:tabs>
        <w:ind w:left="426" w:hanging="426"/>
        <w:contextualSpacing/>
        <w:jc w:val="both"/>
        <w:rPr>
          <w:rFonts w:ascii="Bookman Old Style" w:hAnsi="Bookman Old Style" w:cs="Arial"/>
        </w:rPr>
      </w:pPr>
      <w:r w:rsidRPr="00611071">
        <w:rPr>
          <w:rFonts w:ascii="Bookman Old Style" w:hAnsi="Bookman Old Style" w:cs="Arial"/>
        </w:rPr>
        <w:t xml:space="preserve">Los comercializadores de demanda que </w:t>
      </w:r>
      <w:r w:rsidR="00482FF7" w:rsidRPr="00611071">
        <w:rPr>
          <w:rFonts w:ascii="Bookman Old Style" w:hAnsi="Bookman Old Style" w:cs="Arial"/>
        </w:rPr>
        <w:t>representen a distribuidores</w:t>
      </w:r>
      <w:r w:rsidR="00512D23" w:rsidRPr="00611071">
        <w:rPr>
          <w:rFonts w:ascii="Bookman Old Style" w:hAnsi="Bookman Old Style" w:cs="Arial"/>
        </w:rPr>
        <w:t xml:space="preserve"> con excedentes de producto que resulten </w:t>
      </w:r>
      <w:r w:rsidR="00124C08" w:rsidRPr="00611071">
        <w:rPr>
          <w:rFonts w:ascii="Bookman Old Style" w:hAnsi="Bookman Old Style" w:cs="Arial"/>
        </w:rPr>
        <w:t xml:space="preserve">en la </w:t>
      </w:r>
      <w:r w:rsidR="00512D23" w:rsidRPr="00611071">
        <w:rPr>
          <w:rFonts w:ascii="Bookman Old Style" w:hAnsi="Bookman Old Style" w:cs="Arial"/>
        </w:rPr>
        <w:t>ejecución de contratos de suministro originados en el mercado primario</w:t>
      </w:r>
      <w:r w:rsidR="00482FF7" w:rsidRPr="00611071">
        <w:rPr>
          <w:rFonts w:ascii="Bookman Old Style" w:hAnsi="Bookman Old Style" w:cs="Arial"/>
        </w:rPr>
        <w:t>.</w:t>
      </w:r>
    </w:p>
    <w:p w:rsidR="009407E2" w:rsidRPr="00611071" w:rsidRDefault="009407E2" w:rsidP="00901EFF">
      <w:pPr>
        <w:numPr>
          <w:ilvl w:val="0"/>
          <w:numId w:val="37"/>
        </w:numPr>
        <w:tabs>
          <w:tab w:val="left" w:pos="426"/>
        </w:tabs>
        <w:ind w:left="426" w:hanging="426"/>
        <w:contextualSpacing/>
        <w:jc w:val="both"/>
        <w:rPr>
          <w:rFonts w:ascii="Bookman Old Style" w:hAnsi="Bookman Old Style" w:cs="Arial"/>
        </w:rPr>
      </w:pPr>
      <w:r w:rsidRPr="00DC07FC">
        <w:rPr>
          <w:rFonts w:ascii="Bookman Old Style" w:hAnsi="Bookman Old Style" w:cs="Arial"/>
        </w:rPr>
        <w:t>Los comercializadores de oferta que ofrecen producto proveniente de un proyecto para el desarrollo de nue</w:t>
      </w:r>
      <w:r w:rsidRPr="00611071">
        <w:rPr>
          <w:rFonts w:ascii="Bookman Old Style" w:hAnsi="Bookman Old Style" w:cs="Arial"/>
        </w:rPr>
        <w:t>va oferta, en el caso definido en el literal d. del artículo 23 de esta resolución.</w:t>
      </w:r>
    </w:p>
    <w:p w:rsidR="009D2826" w:rsidRPr="00DC07FC" w:rsidRDefault="009D2826" w:rsidP="00901EFF">
      <w:pPr>
        <w:numPr>
          <w:ilvl w:val="0"/>
          <w:numId w:val="37"/>
        </w:numPr>
        <w:tabs>
          <w:tab w:val="left" w:pos="426"/>
        </w:tabs>
        <w:ind w:left="426" w:hanging="426"/>
        <w:contextualSpacing/>
        <w:jc w:val="both"/>
        <w:rPr>
          <w:rFonts w:ascii="Bookman Old Style" w:hAnsi="Bookman Old Style" w:cs="Arial"/>
        </w:rPr>
      </w:pPr>
      <w:r w:rsidRPr="00611071">
        <w:rPr>
          <w:rFonts w:ascii="Bookman Old Style" w:hAnsi="Bookman Old Style" w:cs="Arial"/>
        </w:rPr>
        <w:t>Los comercializadores de oferta</w:t>
      </w:r>
      <w:r w:rsidRPr="00DC07FC">
        <w:rPr>
          <w:rFonts w:ascii="Bookman Old Style" w:hAnsi="Bookman Old Style" w:cs="Arial"/>
        </w:rPr>
        <w:t xml:space="preserve"> que ofrecen producto declarado y no adjudicado a través del mecanismo de subasta</w:t>
      </w:r>
      <w:r w:rsidR="00611071">
        <w:rPr>
          <w:rFonts w:ascii="Bookman Old Style" w:hAnsi="Bookman Old Style" w:cs="Arial"/>
        </w:rPr>
        <w:t xml:space="preserve"> de GLP</w:t>
      </w:r>
      <w:r w:rsidRPr="00DC07FC">
        <w:rPr>
          <w:rFonts w:ascii="Bookman Old Style" w:hAnsi="Bookman Old Style" w:cs="Arial"/>
        </w:rPr>
        <w:t>.</w:t>
      </w:r>
    </w:p>
    <w:p w:rsidR="00F866DA" w:rsidRPr="00611071" w:rsidRDefault="00F866DA" w:rsidP="00901EFF">
      <w:pPr>
        <w:numPr>
          <w:ilvl w:val="0"/>
          <w:numId w:val="37"/>
        </w:numPr>
        <w:tabs>
          <w:tab w:val="left" w:pos="426"/>
        </w:tabs>
        <w:ind w:left="426" w:hanging="426"/>
        <w:contextualSpacing/>
        <w:jc w:val="both"/>
        <w:rPr>
          <w:rFonts w:ascii="Bookman Old Style" w:hAnsi="Bookman Old Style" w:cs="Arial"/>
        </w:rPr>
      </w:pPr>
      <w:r w:rsidRPr="00DC07FC">
        <w:rPr>
          <w:rFonts w:ascii="Bookman Old Style" w:hAnsi="Bookman Old Style" w:cs="Arial"/>
        </w:rPr>
        <w:t>Los comercializadores de oferta con producto no adjud</w:t>
      </w:r>
      <w:r w:rsidRPr="00611071">
        <w:rPr>
          <w:rFonts w:ascii="Bookman Old Style" w:hAnsi="Bookman Old Style" w:cs="Arial"/>
        </w:rPr>
        <w:t>icado a través del mecanismo de asignación administrad</w:t>
      </w:r>
      <w:r w:rsidR="009407E2" w:rsidRPr="00611071">
        <w:rPr>
          <w:rFonts w:ascii="Bookman Old Style" w:hAnsi="Bookman Old Style" w:cs="Arial"/>
        </w:rPr>
        <w:t>a</w:t>
      </w:r>
      <w:r w:rsidRPr="00611071">
        <w:rPr>
          <w:rFonts w:ascii="Bookman Old Style" w:hAnsi="Bookman Old Style" w:cs="Arial"/>
        </w:rPr>
        <w:t xml:space="preserve">, en el caso definido en el literal </w:t>
      </w:r>
      <w:r w:rsidR="000114EE" w:rsidRPr="00611071">
        <w:rPr>
          <w:rFonts w:ascii="Bookman Old Style" w:hAnsi="Bookman Old Style" w:cs="Arial"/>
        </w:rPr>
        <w:t>c</w:t>
      </w:r>
      <w:r w:rsidRPr="00611071">
        <w:rPr>
          <w:rFonts w:ascii="Bookman Old Style" w:hAnsi="Bookman Old Style" w:cs="Arial"/>
        </w:rPr>
        <w:t>. del artículo 2</w:t>
      </w:r>
      <w:r w:rsidR="009407E2" w:rsidRPr="00611071">
        <w:rPr>
          <w:rFonts w:ascii="Bookman Old Style" w:hAnsi="Bookman Old Style" w:cs="Arial"/>
        </w:rPr>
        <w:t>5</w:t>
      </w:r>
      <w:r w:rsidRPr="00611071">
        <w:rPr>
          <w:rFonts w:ascii="Bookman Old Style" w:hAnsi="Bookman Old Style" w:cs="Arial"/>
        </w:rPr>
        <w:t xml:space="preserve"> de esta resolución.</w:t>
      </w:r>
    </w:p>
    <w:bookmarkEnd w:id="30"/>
    <w:bookmarkEnd w:id="31"/>
    <w:p w:rsidR="00DD431A" w:rsidRPr="00DC07FC" w:rsidRDefault="00DD431A" w:rsidP="00DD431A">
      <w:pPr>
        <w:ind w:left="0"/>
        <w:contextualSpacing/>
        <w:jc w:val="both"/>
        <w:rPr>
          <w:rFonts w:ascii="Bookman Old Style" w:hAnsi="Bookman Old Style"/>
          <w:lang w:val="es-CO"/>
        </w:rPr>
      </w:pPr>
    </w:p>
    <w:p w:rsidR="00DD431A" w:rsidRPr="00DC07FC" w:rsidRDefault="009D2826" w:rsidP="00D444D6">
      <w:pPr>
        <w:pStyle w:val="ARTICULOS"/>
        <w:numPr>
          <w:ilvl w:val="0"/>
          <w:numId w:val="2"/>
        </w:numPr>
        <w:tabs>
          <w:tab w:val="left" w:pos="1701"/>
        </w:tabs>
        <w:ind w:left="0" w:firstLine="0"/>
        <w:contextualSpacing/>
        <w:outlineLvl w:val="2"/>
        <w:rPr>
          <w:rFonts w:cs="Arial"/>
          <w:b/>
          <w:color w:val="000000" w:themeColor="text1"/>
          <w:lang w:val="es-ES"/>
        </w:rPr>
      </w:pPr>
      <w:bookmarkStart w:id="32" w:name="_Ref440978190"/>
      <w:bookmarkStart w:id="33" w:name="_Ref334546692"/>
      <w:r w:rsidRPr="00DC07FC">
        <w:rPr>
          <w:rFonts w:cs="Arial"/>
          <w:b/>
          <w:color w:val="000000" w:themeColor="text1"/>
          <w:lang w:val="es-ES"/>
        </w:rPr>
        <w:t>COMPRADORES DE GLP EN EL MERCADO SECUNDARIO.</w:t>
      </w:r>
      <w:r w:rsidR="00DD431A" w:rsidRPr="00DC07FC">
        <w:rPr>
          <w:rFonts w:cs="Arial"/>
          <w:b/>
          <w:color w:val="000000" w:themeColor="text1"/>
          <w:lang w:val="es-ES"/>
        </w:rPr>
        <w:t xml:space="preserve"> </w:t>
      </w:r>
      <w:r w:rsidRPr="00DC07FC">
        <w:rPr>
          <w:rFonts w:cs="Arial"/>
          <w:color w:val="000000" w:themeColor="text1"/>
          <w:lang w:val="es-ES"/>
        </w:rPr>
        <w:t xml:space="preserve">Son </w:t>
      </w:r>
      <w:r w:rsidR="00DD431A" w:rsidRPr="00DC07FC">
        <w:rPr>
          <w:rFonts w:cs="Arial"/>
          <w:color w:val="000000" w:themeColor="text1"/>
          <w:lang w:val="es-ES"/>
        </w:rPr>
        <w:t xml:space="preserve">compradores </w:t>
      </w:r>
      <w:r w:rsidRPr="00DC07FC">
        <w:rPr>
          <w:rFonts w:cs="Arial"/>
          <w:color w:val="000000" w:themeColor="text1"/>
          <w:lang w:val="es-ES"/>
        </w:rPr>
        <w:t xml:space="preserve">de GLP </w:t>
      </w:r>
      <w:r w:rsidR="00DE5017" w:rsidRPr="00DC07FC">
        <w:rPr>
          <w:rFonts w:cs="Arial"/>
          <w:color w:val="000000" w:themeColor="text1"/>
          <w:lang w:val="es-ES"/>
        </w:rPr>
        <w:t xml:space="preserve">en </w:t>
      </w:r>
      <w:r w:rsidR="00DD431A" w:rsidRPr="00DC07FC">
        <w:rPr>
          <w:rFonts w:cs="Arial"/>
          <w:color w:val="000000" w:themeColor="text1"/>
          <w:lang w:val="es-ES"/>
        </w:rPr>
        <w:t>el mercado secundario</w:t>
      </w:r>
      <w:r w:rsidRPr="00DC07FC">
        <w:rPr>
          <w:rFonts w:cs="Arial"/>
          <w:color w:val="000000" w:themeColor="text1"/>
          <w:lang w:val="es-ES"/>
        </w:rPr>
        <w:t>:</w:t>
      </w:r>
      <w:bookmarkEnd w:id="32"/>
    </w:p>
    <w:p w:rsidR="009D2826" w:rsidRPr="00DC07FC" w:rsidRDefault="009D2826" w:rsidP="009D2826">
      <w:pPr>
        <w:ind w:left="0"/>
        <w:contextualSpacing/>
        <w:jc w:val="both"/>
        <w:rPr>
          <w:rFonts w:ascii="Bookman Old Style" w:hAnsi="Bookman Old Style" w:cs="Arial"/>
          <w:color w:val="000000" w:themeColor="text1"/>
        </w:rPr>
      </w:pPr>
    </w:p>
    <w:p w:rsidR="00FC7267" w:rsidRDefault="00FC7267" w:rsidP="00901EFF">
      <w:pPr>
        <w:numPr>
          <w:ilvl w:val="0"/>
          <w:numId w:val="38"/>
        </w:numPr>
        <w:tabs>
          <w:tab w:val="left" w:pos="426"/>
        </w:tabs>
        <w:ind w:left="426" w:hanging="426"/>
        <w:contextualSpacing/>
        <w:jc w:val="both"/>
        <w:rPr>
          <w:rFonts w:ascii="Bookman Old Style" w:hAnsi="Bookman Old Style" w:cs="Arial"/>
        </w:rPr>
      </w:pPr>
      <w:r w:rsidRPr="00DC07FC">
        <w:rPr>
          <w:rFonts w:ascii="Bookman Old Style" w:hAnsi="Bookman Old Style" w:cs="Arial"/>
        </w:rPr>
        <w:lastRenderedPageBreak/>
        <w:t xml:space="preserve">Los comercializadores de oferta que requieren producto para cubrir desbalances </w:t>
      </w:r>
      <w:r w:rsidR="00EB798C" w:rsidRPr="00DC07FC">
        <w:rPr>
          <w:rFonts w:ascii="Bookman Old Style" w:hAnsi="Bookman Old Style" w:cs="Arial"/>
        </w:rPr>
        <w:t>que les puedan generar incumplimiento en sus obligaciones de suministro de GLP del mercado primario.</w:t>
      </w:r>
    </w:p>
    <w:p w:rsidR="00C97867" w:rsidRPr="00DC07FC" w:rsidRDefault="00C97867" w:rsidP="00C97867">
      <w:pPr>
        <w:tabs>
          <w:tab w:val="left" w:pos="426"/>
        </w:tabs>
        <w:ind w:left="426"/>
        <w:contextualSpacing/>
        <w:jc w:val="both"/>
        <w:rPr>
          <w:rFonts w:ascii="Bookman Old Style" w:hAnsi="Bookman Old Style" w:cs="Arial"/>
        </w:rPr>
      </w:pPr>
    </w:p>
    <w:p w:rsidR="009D2826" w:rsidRPr="006A415C" w:rsidRDefault="009D2826" w:rsidP="00901EFF">
      <w:pPr>
        <w:numPr>
          <w:ilvl w:val="0"/>
          <w:numId w:val="38"/>
        </w:numPr>
        <w:tabs>
          <w:tab w:val="left" w:pos="426"/>
        </w:tabs>
        <w:ind w:left="426" w:hanging="426"/>
        <w:contextualSpacing/>
        <w:jc w:val="both"/>
        <w:rPr>
          <w:rFonts w:ascii="Bookman Old Style" w:hAnsi="Bookman Old Style" w:cs="Arial"/>
        </w:rPr>
      </w:pPr>
      <w:r w:rsidRPr="00DC07FC">
        <w:rPr>
          <w:rFonts w:ascii="Bookman Old Style" w:hAnsi="Bookman Old Style" w:cs="Arial"/>
        </w:rPr>
        <w:t xml:space="preserve">Los distribuidores de GLP, a quienes el comercializador </w:t>
      </w:r>
      <w:r w:rsidR="00DE5017" w:rsidRPr="00DC07FC">
        <w:rPr>
          <w:rFonts w:ascii="Bookman Old Style" w:hAnsi="Bookman Old Style" w:cs="Arial"/>
        </w:rPr>
        <w:t>mayorista</w:t>
      </w:r>
      <w:r w:rsidRPr="00DC07FC">
        <w:rPr>
          <w:rFonts w:ascii="Bookman Old Style" w:hAnsi="Bookman Old Style" w:cs="Arial"/>
        </w:rPr>
        <w:t xml:space="preserve"> haya identificado como tales, en </w:t>
      </w:r>
      <w:r w:rsidRPr="006A415C">
        <w:rPr>
          <w:rFonts w:ascii="Bookman Old Style" w:hAnsi="Bookman Old Style" w:cs="Arial"/>
        </w:rPr>
        <w:t>cumplimiento de las obligaciones que se establecen en el literal b del numeral 1 del artículo 1</w:t>
      </w:r>
      <w:r w:rsidR="006A415C" w:rsidRPr="006A415C">
        <w:rPr>
          <w:rFonts w:ascii="Bookman Old Style" w:hAnsi="Bookman Old Style" w:cs="Arial"/>
        </w:rPr>
        <w:t>4</w:t>
      </w:r>
      <w:r w:rsidRPr="006A415C">
        <w:rPr>
          <w:rFonts w:ascii="Bookman Old Style" w:hAnsi="Bookman Old Style" w:cs="Arial"/>
        </w:rPr>
        <w:t xml:space="preserve"> de esta resolución.</w:t>
      </w:r>
    </w:p>
    <w:p w:rsidR="009D2826" w:rsidRPr="00DC07FC" w:rsidRDefault="009D2826" w:rsidP="00901EFF">
      <w:pPr>
        <w:numPr>
          <w:ilvl w:val="0"/>
          <w:numId w:val="38"/>
        </w:numPr>
        <w:tabs>
          <w:tab w:val="left" w:pos="426"/>
        </w:tabs>
        <w:ind w:left="426" w:hanging="426"/>
        <w:contextualSpacing/>
        <w:jc w:val="both"/>
        <w:rPr>
          <w:rFonts w:ascii="Bookman Old Style" w:hAnsi="Bookman Old Style" w:cs="Arial"/>
        </w:rPr>
      </w:pPr>
      <w:r w:rsidRPr="006A415C">
        <w:rPr>
          <w:rFonts w:ascii="Bookman Old Style" w:hAnsi="Bookman Old Style" w:cs="Arial"/>
        </w:rPr>
        <w:t xml:space="preserve">Los UNR, a quienes el comercializador </w:t>
      </w:r>
      <w:r w:rsidR="00DE5017" w:rsidRPr="006A415C">
        <w:rPr>
          <w:rFonts w:ascii="Bookman Old Style" w:hAnsi="Bookman Old Style" w:cs="Arial"/>
        </w:rPr>
        <w:t xml:space="preserve">mayorista </w:t>
      </w:r>
      <w:r w:rsidRPr="006A415C">
        <w:rPr>
          <w:rFonts w:ascii="Bookman Old Style" w:hAnsi="Bookman Old Style" w:cs="Arial"/>
        </w:rPr>
        <w:t>haya identificado como tales, en cumplimiento de las obligaciones que se establecen en el literal c del numeral 1 del artículo 1</w:t>
      </w:r>
      <w:r w:rsidR="006A415C" w:rsidRPr="006A415C">
        <w:rPr>
          <w:rFonts w:ascii="Bookman Old Style" w:hAnsi="Bookman Old Style" w:cs="Arial"/>
        </w:rPr>
        <w:t>4</w:t>
      </w:r>
      <w:r w:rsidRPr="006A415C">
        <w:rPr>
          <w:rFonts w:ascii="Bookman Old Style" w:hAnsi="Bookman Old Style" w:cs="Arial"/>
        </w:rPr>
        <w:t xml:space="preserve"> de esta resolución y que voluntariamente decidan participar en el mercad</w:t>
      </w:r>
      <w:r w:rsidRPr="00DC07FC">
        <w:rPr>
          <w:rFonts w:ascii="Bookman Old Style" w:hAnsi="Bookman Old Style" w:cs="Arial"/>
        </w:rPr>
        <w:t>o mayorista de GLP.</w:t>
      </w:r>
    </w:p>
    <w:bookmarkEnd w:id="33"/>
    <w:p w:rsidR="009D2826" w:rsidRPr="00DC07FC" w:rsidRDefault="009D2826" w:rsidP="00DD431A">
      <w:pPr>
        <w:pStyle w:val="ARTICULOS"/>
        <w:tabs>
          <w:tab w:val="left" w:pos="1560"/>
        </w:tabs>
        <w:rPr>
          <w:rFonts w:cs="Arial"/>
          <w:color w:val="000000" w:themeColor="text1"/>
          <w:lang w:val="es-ES"/>
        </w:rPr>
      </w:pPr>
    </w:p>
    <w:p w:rsidR="001F6C1D" w:rsidRPr="006A415C" w:rsidRDefault="00CC2413" w:rsidP="00D444D6">
      <w:pPr>
        <w:pStyle w:val="ARTICULOS"/>
        <w:numPr>
          <w:ilvl w:val="0"/>
          <w:numId w:val="2"/>
        </w:numPr>
        <w:tabs>
          <w:tab w:val="left" w:pos="1701"/>
        </w:tabs>
        <w:ind w:left="0" w:firstLine="0"/>
        <w:contextualSpacing/>
        <w:outlineLvl w:val="2"/>
        <w:rPr>
          <w:rFonts w:cs="Arial"/>
          <w:color w:val="000000" w:themeColor="text1"/>
          <w:lang w:val="es-ES"/>
        </w:rPr>
      </w:pPr>
      <w:bookmarkStart w:id="34" w:name="_Ref440978702"/>
      <w:r w:rsidRPr="00DC07FC">
        <w:rPr>
          <w:rFonts w:cs="Arial"/>
          <w:b/>
          <w:color w:val="000000" w:themeColor="text1"/>
          <w:lang w:val="es-ES"/>
        </w:rPr>
        <w:t>MECANISMO DE COMERCIALIZACIÓN DEL MERCADO SECUNDARIO DE GLP.</w:t>
      </w:r>
      <w:r w:rsidR="00DD431A" w:rsidRPr="00DC07FC">
        <w:rPr>
          <w:rFonts w:cs="Arial"/>
          <w:b/>
          <w:color w:val="000000" w:themeColor="text1"/>
          <w:lang w:val="es-ES"/>
        </w:rPr>
        <w:t xml:space="preserve"> </w:t>
      </w:r>
      <w:r w:rsidR="00DD431A" w:rsidRPr="00DC07FC">
        <w:rPr>
          <w:rFonts w:cs="Arial"/>
          <w:color w:val="000000" w:themeColor="text1"/>
          <w:lang w:val="es-ES"/>
        </w:rPr>
        <w:t xml:space="preserve">El mecanismo de comercialización del mercado secundario </w:t>
      </w:r>
      <w:r w:rsidR="001F6C1D" w:rsidRPr="00DC07FC">
        <w:rPr>
          <w:rFonts w:cs="Arial"/>
          <w:color w:val="000000" w:themeColor="text1"/>
          <w:lang w:val="es-ES"/>
        </w:rPr>
        <w:t>será la n</w:t>
      </w:r>
      <w:r w:rsidR="001F6C1D" w:rsidRPr="006A415C">
        <w:rPr>
          <w:rFonts w:cs="Arial"/>
          <w:color w:val="000000" w:themeColor="text1"/>
          <w:lang w:val="es-ES"/>
        </w:rPr>
        <w:t>egociación directa de contratos bilaterales de suministro de GLP, en los términos del artículo 30 de esta resolución.</w:t>
      </w:r>
    </w:p>
    <w:bookmarkEnd w:id="34"/>
    <w:p w:rsidR="00500F4A" w:rsidRPr="00DC07FC" w:rsidRDefault="00500F4A" w:rsidP="005E4CFE">
      <w:pPr>
        <w:pStyle w:val="ARTICULOS"/>
      </w:pPr>
    </w:p>
    <w:p w:rsidR="00500F4A" w:rsidRPr="00DC07FC" w:rsidRDefault="00500F4A" w:rsidP="00D444D6">
      <w:pPr>
        <w:pStyle w:val="ARTICULOS"/>
        <w:numPr>
          <w:ilvl w:val="0"/>
          <w:numId w:val="2"/>
        </w:numPr>
        <w:tabs>
          <w:tab w:val="left" w:pos="1701"/>
        </w:tabs>
        <w:ind w:left="0" w:firstLine="0"/>
        <w:contextualSpacing/>
        <w:outlineLvl w:val="2"/>
        <w:rPr>
          <w:rFonts w:cs="Arial"/>
          <w:caps/>
        </w:rPr>
      </w:pPr>
      <w:r w:rsidRPr="00DC07FC">
        <w:rPr>
          <w:rFonts w:cs="Arial"/>
          <w:b/>
          <w:color w:val="000000" w:themeColor="text1"/>
          <w:lang w:val="es-ES"/>
        </w:rPr>
        <w:t>CONDICIONES GENERALES PARA LA COMERCIALIZACIÓN DE GLP EN EL MERCADO SECUNDARIO.</w:t>
      </w:r>
      <w:r w:rsidRPr="00DC07FC">
        <w:rPr>
          <w:rFonts w:cs="Arial"/>
          <w:color w:val="000000" w:themeColor="text1"/>
          <w:lang w:val="es-ES"/>
        </w:rPr>
        <w:t xml:space="preserve"> </w:t>
      </w:r>
      <w:r w:rsidRPr="00DC07FC">
        <w:t xml:space="preserve">Las condiciones generales para la </w:t>
      </w:r>
      <w:r w:rsidRPr="00DC07FC">
        <w:rPr>
          <w:lang w:val="es-CO"/>
        </w:rPr>
        <w:t xml:space="preserve">comercialización de </w:t>
      </w:r>
      <w:r w:rsidRPr="00DC07FC">
        <w:t xml:space="preserve">GLP </w:t>
      </w:r>
      <w:r w:rsidRPr="00DC07FC">
        <w:rPr>
          <w:lang w:val="es-CO"/>
        </w:rPr>
        <w:t xml:space="preserve">en el mercado secundario </w:t>
      </w:r>
      <w:r w:rsidRPr="00DC07FC">
        <w:t>serán las siguientes</w:t>
      </w:r>
      <w:r w:rsidRPr="00DC07FC">
        <w:rPr>
          <w:caps/>
        </w:rPr>
        <w:t>:</w:t>
      </w:r>
    </w:p>
    <w:p w:rsidR="001F6C1D" w:rsidRPr="006A415C" w:rsidRDefault="001F6C1D" w:rsidP="00500F4A">
      <w:pPr>
        <w:ind w:left="0"/>
        <w:contextualSpacing/>
        <w:rPr>
          <w:rFonts w:ascii="Bookman Old Style" w:hAnsi="Bookman Old Style" w:cs="Arial"/>
          <w:lang w:val="es-CO"/>
        </w:rPr>
      </w:pPr>
    </w:p>
    <w:p w:rsidR="00500F4A" w:rsidRPr="00DC07FC" w:rsidRDefault="00500F4A" w:rsidP="00901EFF">
      <w:pPr>
        <w:pStyle w:val="ARTICULOS"/>
        <w:numPr>
          <w:ilvl w:val="0"/>
          <w:numId w:val="49"/>
        </w:numPr>
        <w:rPr>
          <w:b/>
        </w:rPr>
      </w:pPr>
      <w:r w:rsidRPr="006A415C">
        <w:t>Los vendedores y compradores</w:t>
      </w:r>
      <w:r w:rsidR="001F6C1D" w:rsidRPr="006A415C">
        <w:t>,</w:t>
      </w:r>
      <w:r w:rsidRPr="006A415C">
        <w:t xml:space="preserve"> a los que se hace referencia en los artículos 27 y 28 de esta resolución</w:t>
      </w:r>
      <w:r w:rsidR="001F6C1D" w:rsidRPr="006A415C">
        <w:t>,</w:t>
      </w:r>
      <w:r w:rsidRPr="006A415C">
        <w:t xml:space="preserve"> podrán negociar directamente la compraventa de GLP en el mercado secundario. En estas negociaciones sólo se podrán pactar</w:t>
      </w:r>
      <w:r w:rsidRPr="00DC07FC">
        <w:t xml:space="preserve"> contratos sujetos a lo dispuesto en el Título II de la presente resolución. Las partes acordarán libremente el plazo y cantidades del GLP que se comercialice mediante estas negociaciones directas.</w:t>
      </w:r>
    </w:p>
    <w:p w:rsidR="00500F4A" w:rsidRPr="00CB1A27" w:rsidRDefault="00500F4A" w:rsidP="00901EFF">
      <w:pPr>
        <w:pStyle w:val="ARTICULOS"/>
        <w:numPr>
          <w:ilvl w:val="0"/>
          <w:numId w:val="49"/>
        </w:numPr>
        <w:rPr>
          <w:b/>
        </w:rPr>
      </w:pPr>
      <w:r w:rsidRPr="00DC07FC">
        <w:t xml:space="preserve">De manera </w:t>
      </w:r>
      <w:r w:rsidRPr="00CB1A27">
        <w:t xml:space="preserve">previa a la celebración de los contratos de suministro de GLP, el comercializador </w:t>
      </w:r>
      <w:r w:rsidR="001F6C1D" w:rsidRPr="00CB1A27">
        <w:t xml:space="preserve">mayorista </w:t>
      </w:r>
      <w:r w:rsidRPr="00CB1A27">
        <w:t xml:space="preserve">deberá publicar, a través del </w:t>
      </w:r>
      <w:r w:rsidR="002420A4" w:rsidRPr="00CB1A27">
        <w:t>SIMM</w:t>
      </w:r>
      <w:r w:rsidRPr="00CB1A27">
        <w:t>, la cantidad y plazo bajo los cuales ofrecerá el GLP en el mercado secundario, en los términos definidos en el a</w:t>
      </w:r>
      <w:r w:rsidR="00060890" w:rsidRPr="00CB1A27">
        <w:t>nexo 2</w:t>
      </w:r>
      <w:r w:rsidRPr="00CB1A27">
        <w:t xml:space="preserve"> de esta resolución.</w:t>
      </w:r>
    </w:p>
    <w:p w:rsidR="00500F4A" w:rsidRPr="00CB1A27" w:rsidRDefault="00500F4A" w:rsidP="00901EFF">
      <w:pPr>
        <w:pStyle w:val="ARTICULOS"/>
        <w:numPr>
          <w:ilvl w:val="0"/>
          <w:numId w:val="49"/>
        </w:numPr>
        <w:rPr>
          <w:b/>
        </w:rPr>
      </w:pPr>
      <w:r w:rsidRPr="00CB1A27">
        <w:t>El plazo de los contratos de suministro del mercado secundario deberá ser como mínimo de un (1) mes. La fecha máxima de terminación de los contratos deberá corresponder a un (1) día antes del inicio de ejecución de los contratos que resulten de la siguiente subasta.</w:t>
      </w:r>
    </w:p>
    <w:p w:rsidR="00500F4A" w:rsidRPr="00CB1A27" w:rsidRDefault="00500F4A" w:rsidP="00901EFF">
      <w:pPr>
        <w:pStyle w:val="ARTICULOS"/>
        <w:numPr>
          <w:ilvl w:val="0"/>
          <w:numId w:val="49"/>
        </w:numPr>
        <w:rPr>
          <w:b/>
        </w:rPr>
      </w:pPr>
      <w:r w:rsidRPr="00CB1A27">
        <w:t xml:space="preserve">Todos los contratos de suministro de GLP del mercado secundario deberán ser registrados ante el gestor del mercado, de conformidad con lo dispuesto en el </w:t>
      </w:r>
      <w:r w:rsidR="00410AA9" w:rsidRPr="00CB1A27">
        <w:t>anexo 2</w:t>
      </w:r>
      <w:r w:rsidRPr="00CB1A27">
        <w:t xml:space="preserve"> de esta resolución.</w:t>
      </w:r>
    </w:p>
    <w:p w:rsidR="00500F4A" w:rsidRPr="00DC07FC" w:rsidRDefault="00500F4A" w:rsidP="00DD431A">
      <w:pPr>
        <w:ind w:left="0"/>
        <w:contextualSpacing/>
        <w:jc w:val="both"/>
        <w:rPr>
          <w:rFonts w:ascii="Bookman Old Style" w:hAnsi="Bookman Old Style"/>
        </w:rPr>
      </w:pPr>
    </w:p>
    <w:p w:rsidR="00DD431A" w:rsidRPr="00CB1A27" w:rsidRDefault="00CA11B8" w:rsidP="00D444D6">
      <w:pPr>
        <w:pStyle w:val="ARTICULOS"/>
        <w:numPr>
          <w:ilvl w:val="0"/>
          <w:numId w:val="2"/>
        </w:numPr>
        <w:tabs>
          <w:tab w:val="left" w:pos="1701"/>
        </w:tabs>
        <w:ind w:left="0" w:firstLine="0"/>
        <w:contextualSpacing/>
        <w:outlineLvl w:val="2"/>
        <w:rPr>
          <w:rFonts w:cs="Arial"/>
          <w:color w:val="000000" w:themeColor="text1"/>
          <w:lang w:val="es-ES"/>
        </w:rPr>
      </w:pPr>
      <w:bookmarkStart w:id="35" w:name="_Ref463873594"/>
      <w:r w:rsidRPr="00DC07FC">
        <w:rPr>
          <w:rFonts w:cs="Arial"/>
          <w:b/>
          <w:color w:val="000000" w:themeColor="text1"/>
          <w:lang w:val="es-ES"/>
        </w:rPr>
        <w:t xml:space="preserve">PRECIO </w:t>
      </w:r>
      <w:r w:rsidR="005150FE" w:rsidRPr="00DC07FC">
        <w:rPr>
          <w:rFonts w:cs="Arial"/>
          <w:b/>
          <w:color w:val="000000" w:themeColor="text1"/>
          <w:lang w:val="es-ES"/>
        </w:rPr>
        <w:t>DE</w:t>
      </w:r>
      <w:r w:rsidRPr="00DC07FC">
        <w:rPr>
          <w:rFonts w:cs="Arial"/>
          <w:b/>
          <w:color w:val="000000" w:themeColor="text1"/>
          <w:lang w:val="es-ES"/>
        </w:rPr>
        <w:t xml:space="preserve"> </w:t>
      </w:r>
      <w:r w:rsidR="008E658C">
        <w:rPr>
          <w:rFonts w:cs="Arial"/>
          <w:b/>
          <w:color w:val="000000" w:themeColor="text1"/>
          <w:lang w:val="es-ES"/>
        </w:rPr>
        <w:t xml:space="preserve">SUMINISTRO DE </w:t>
      </w:r>
      <w:r w:rsidRPr="00DC07FC">
        <w:rPr>
          <w:rFonts w:cs="Arial"/>
          <w:b/>
          <w:color w:val="000000" w:themeColor="text1"/>
          <w:lang w:val="es-ES"/>
        </w:rPr>
        <w:t>LOS CONTRATOS DEL MERCADO SECUNDARIO DE GLP.</w:t>
      </w:r>
      <w:r w:rsidR="00DD431A" w:rsidRPr="00DC07FC">
        <w:rPr>
          <w:rFonts w:cs="Arial"/>
          <w:b/>
          <w:color w:val="000000" w:themeColor="text1"/>
          <w:lang w:val="es-ES"/>
        </w:rPr>
        <w:t xml:space="preserve"> </w:t>
      </w:r>
      <w:r w:rsidR="00DD431A" w:rsidRPr="00DC07FC">
        <w:rPr>
          <w:rFonts w:cs="Arial"/>
          <w:color w:val="000000" w:themeColor="text1"/>
          <w:lang w:val="es-ES"/>
        </w:rPr>
        <w:t xml:space="preserve">El precio de </w:t>
      </w:r>
      <w:r w:rsidR="008E5DD0">
        <w:rPr>
          <w:rFonts w:cs="Arial"/>
          <w:color w:val="000000" w:themeColor="text1"/>
          <w:lang w:val="es-ES"/>
        </w:rPr>
        <w:t xml:space="preserve">suministro de </w:t>
      </w:r>
      <w:r w:rsidR="00DD431A" w:rsidRPr="00DC07FC">
        <w:rPr>
          <w:rFonts w:cs="Arial"/>
          <w:color w:val="000000" w:themeColor="text1"/>
          <w:lang w:val="es-ES"/>
        </w:rPr>
        <w:t>los contratos de GLP</w:t>
      </w:r>
      <w:r w:rsidR="00D805F4" w:rsidRPr="00DC07FC">
        <w:rPr>
          <w:rFonts w:cs="Arial"/>
          <w:color w:val="000000" w:themeColor="text1"/>
          <w:lang w:val="es-ES"/>
        </w:rPr>
        <w:t>,</w:t>
      </w:r>
      <w:r w:rsidR="00DD431A" w:rsidRPr="00DC07FC">
        <w:rPr>
          <w:rFonts w:cs="Arial"/>
          <w:color w:val="000000" w:themeColor="text1"/>
          <w:lang w:val="es-ES"/>
        </w:rPr>
        <w:t xml:space="preserve"> negociados mediante el mecanismo de comercialización del mercado secundario</w:t>
      </w:r>
      <w:r w:rsidR="00172E78" w:rsidRPr="00DC07FC">
        <w:rPr>
          <w:rFonts w:cs="Arial"/>
          <w:color w:val="000000" w:themeColor="text1"/>
          <w:lang w:val="es-ES"/>
        </w:rPr>
        <w:t>,</w:t>
      </w:r>
      <w:r w:rsidR="00DD431A" w:rsidRPr="00DC07FC">
        <w:rPr>
          <w:rFonts w:cs="Arial"/>
          <w:color w:val="000000" w:themeColor="text1"/>
          <w:lang w:val="es-ES"/>
        </w:rPr>
        <w:t xml:space="preserve"> de</w:t>
      </w:r>
      <w:r w:rsidR="00D805F4" w:rsidRPr="00DC07FC">
        <w:rPr>
          <w:rFonts w:cs="Arial"/>
          <w:color w:val="000000" w:themeColor="text1"/>
          <w:lang w:val="es-ES"/>
        </w:rPr>
        <w:t>l</w:t>
      </w:r>
      <w:r w:rsidR="00DD431A" w:rsidRPr="00DC07FC">
        <w:rPr>
          <w:rFonts w:cs="Arial"/>
          <w:color w:val="000000" w:themeColor="text1"/>
          <w:lang w:val="es-ES"/>
        </w:rPr>
        <w:t xml:space="preserve"> que </w:t>
      </w:r>
      <w:r w:rsidR="00DD431A" w:rsidRPr="00CB1A27">
        <w:rPr>
          <w:rFonts w:cs="Arial"/>
          <w:color w:val="000000" w:themeColor="text1"/>
          <w:lang w:val="es-ES"/>
        </w:rPr>
        <w:t xml:space="preserve">trata el </w:t>
      </w:r>
      <w:r w:rsidR="00D805F4" w:rsidRPr="00CB1A27">
        <w:rPr>
          <w:rFonts w:cs="Arial"/>
          <w:color w:val="000000" w:themeColor="text1"/>
          <w:lang w:val="es-ES"/>
        </w:rPr>
        <w:t xml:space="preserve">artículo 29 </w:t>
      </w:r>
      <w:r w:rsidR="00DD431A" w:rsidRPr="00CB1A27">
        <w:rPr>
          <w:rFonts w:cs="Arial"/>
          <w:color w:val="000000" w:themeColor="text1"/>
          <w:lang w:val="es-ES"/>
        </w:rPr>
        <w:t xml:space="preserve">de esta </w:t>
      </w:r>
      <w:r w:rsidR="00D805F4" w:rsidRPr="00CB1A27">
        <w:rPr>
          <w:rFonts w:cs="Arial"/>
          <w:color w:val="000000" w:themeColor="text1"/>
          <w:lang w:val="es-ES"/>
        </w:rPr>
        <w:t>r</w:t>
      </w:r>
      <w:r w:rsidR="00DD431A" w:rsidRPr="00CB1A27">
        <w:rPr>
          <w:rFonts w:cs="Arial"/>
          <w:color w:val="000000" w:themeColor="text1"/>
          <w:lang w:val="es-ES"/>
        </w:rPr>
        <w:t>esolución</w:t>
      </w:r>
      <w:r w:rsidR="00D805F4" w:rsidRPr="00CB1A27">
        <w:rPr>
          <w:rFonts w:cs="Arial"/>
          <w:color w:val="000000" w:themeColor="text1"/>
          <w:lang w:val="es-ES"/>
        </w:rPr>
        <w:t>, expresado en COP por KG, será el que definan libremente las partes.</w:t>
      </w:r>
      <w:bookmarkEnd w:id="35"/>
    </w:p>
    <w:p w:rsidR="00D805F4" w:rsidRPr="00DC07FC" w:rsidRDefault="00D805F4" w:rsidP="004914E4">
      <w:pPr>
        <w:pStyle w:val="ARTICULOS"/>
      </w:pPr>
    </w:p>
    <w:p w:rsidR="00D805F4" w:rsidRPr="00DC07FC" w:rsidRDefault="00D805F4" w:rsidP="00D805F4">
      <w:pPr>
        <w:pStyle w:val="ARTICULOS"/>
        <w:tabs>
          <w:tab w:val="left" w:pos="1560"/>
        </w:tabs>
        <w:rPr>
          <w:lang w:val="es-CO"/>
        </w:rPr>
      </w:pPr>
      <w:r w:rsidRPr="00DC07FC">
        <w:rPr>
          <w:rFonts w:cs="Arial"/>
          <w:b/>
          <w:color w:val="000000" w:themeColor="text1"/>
          <w:lang w:val="es-ES"/>
        </w:rPr>
        <w:t>PARÁGRAFO</w:t>
      </w:r>
      <w:r w:rsidR="008E5DD0">
        <w:rPr>
          <w:rFonts w:cs="Arial"/>
          <w:b/>
          <w:color w:val="000000" w:themeColor="text1"/>
          <w:lang w:val="es-ES"/>
        </w:rPr>
        <w:t xml:space="preserve"> 1</w:t>
      </w:r>
      <w:r w:rsidRPr="00DC07FC">
        <w:rPr>
          <w:rFonts w:cs="Arial"/>
          <w:b/>
          <w:color w:val="000000" w:themeColor="text1"/>
          <w:lang w:val="es-ES"/>
        </w:rPr>
        <w:t>.</w:t>
      </w:r>
      <w:r w:rsidRPr="00DC07FC">
        <w:rPr>
          <w:rFonts w:cs="Arial"/>
          <w:color w:val="000000" w:themeColor="text1"/>
          <w:lang w:val="es-ES"/>
        </w:rPr>
        <w:t xml:space="preserve"> Las partes no podrán acordar modificaciones al precio inicial del contrato. Los descuentos se considerarán como una modificación al precio inicial del contrato. </w:t>
      </w:r>
      <w:r w:rsidRPr="00DC07FC">
        <w:t>La modificación del precio del contrato podrá ser considerada por la autoridad competente como una práctica contraria a la libre competencia.</w:t>
      </w:r>
    </w:p>
    <w:p w:rsidR="00144136" w:rsidRDefault="00144136" w:rsidP="00144136">
      <w:pPr>
        <w:pStyle w:val="ARTICULOS"/>
        <w:tabs>
          <w:tab w:val="left" w:pos="1560"/>
        </w:tabs>
        <w:rPr>
          <w:rFonts w:cs="Arial"/>
          <w:color w:val="000000" w:themeColor="text1"/>
          <w:lang w:val="es-CO"/>
        </w:rPr>
      </w:pPr>
    </w:p>
    <w:p w:rsidR="008E5DD0" w:rsidRPr="00DC07FC" w:rsidRDefault="008E5DD0" w:rsidP="008E5DD0">
      <w:pPr>
        <w:pStyle w:val="ARTICULOS"/>
        <w:contextualSpacing/>
        <w:rPr>
          <w:lang w:val="es-CO"/>
        </w:rPr>
      </w:pPr>
      <w:r w:rsidRPr="00E24014">
        <w:rPr>
          <w:b/>
        </w:rPr>
        <w:t>PARÁGRAFO 2.</w:t>
      </w:r>
      <w:r>
        <w:rPr>
          <w:lang w:val="es-CO"/>
        </w:rPr>
        <w:t xml:space="preserve"> </w:t>
      </w:r>
      <w:r w:rsidRPr="00E24014">
        <w:rPr>
          <w:lang w:val="es-CO"/>
        </w:rPr>
        <w:t>Los costos asociados al manejo, transporte, disposición, trasiego y otro tipo de actividades requeridas para la entrega del GLP en el punto de entrega del comercializador mayorista, se entienden remuneradas en el precio de suministro.</w:t>
      </w:r>
    </w:p>
    <w:p w:rsidR="008E5DD0" w:rsidRDefault="008E5DD0" w:rsidP="00144136">
      <w:pPr>
        <w:pStyle w:val="ARTICULOS"/>
        <w:tabs>
          <w:tab w:val="left" w:pos="1560"/>
        </w:tabs>
        <w:rPr>
          <w:rFonts w:cs="Arial"/>
          <w:color w:val="000000" w:themeColor="text1"/>
          <w:lang w:val="es-CO"/>
        </w:rPr>
      </w:pPr>
    </w:p>
    <w:p w:rsidR="0074380E" w:rsidRPr="00DC07FC" w:rsidRDefault="0074380E" w:rsidP="0074380E">
      <w:pPr>
        <w:pStyle w:val="ARTICULOS"/>
      </w:pPr>
    </w:p>
    <w:p w:rsidR="0074380E" w:rsidRPr="00DC07FC" w:rsidRDefault="0074380E" w:rsidP="0074380E">
      <w:pPr>
        <w:pStyle w:val="Ttulo1"/>
        <w:contextualSpacing/>
        <w:rPr>
          <w:szCs w:val="24"/>
        </w:rPr>
      </w:pPr>
      <w:r w:rsidRPr="00DC07FC">
        <w:rPr>
          <w:szCs w:val="24"/>
        </w:rPr>
        <w:t>TÍTULO VI</w:t>
      </w:r>
    </w:p>
    <w:p w:rsidR="00D4415D" w:rsidRPr="00DC07FC" w:rsidRDefault="003A129E" w:rsidP="00DE555D">
      <w:pPr>
        <w:pStyle w:val="Ttulo1"/>
        <w:contextualSpacing/>
        <w:rPr>
          <w:b w:val="0"/>
        </w:rPr>
      </w:pPr>
      <w:r w:rsidRPr="00DC07FC">
        <w:rPr>
          <w:szCs w:val="24"/>
        </w:rPr>
        <w:t>GESTOR DEL MERCADO</w:t>
      </w:r>
    </w:p>
    <w:p w:rsidR="00D4415D" w:rsidRPr="00DC07FC" w:rsidRDefault="00D4415D" w:rsidP="004C1136">
      <w:pPr>
        <w:ind w:left="0"/>
        <w:contextualSpacing/>
        <w:jc w:val="both"/>
        <w:rPr>
          <w:rFonts w:ascii="Bookman Old Style" w:hAnsi="Bookman Old Style"/>
          <w:lang w:val="es-CO"/>
        </w:rPr>
      </w:pPr>
    </w:p>
    <w:p w:rsidR="00C345DB" w:rsidRPr="00DC07FC" w:rsidRDefault="00C345DB" w:rsidP="004C1136">
      <w:pPr>
        <w:ind w:left="0"/>
        <w:contextualSpacing/>
        <w:jc w:val="both"/>
        <w:rPr>
          <w:rFonts w:ascii="Bookman Old Style" w:hAnsi="Bookman Old Style"/>
          <w:lang w:val="es-CO"/>
        </w:rPr>
      </w:pPr>
    </w:p>
    <w:p w:rsidR="00E31C18" w:rsidRPr="00DC07FC" w:rsidRDefault="00E31C18" w:rsidP="00D444D6">
      <w:pPr>
        <w:pStyle w:val="ARTICULOS"/>
        <w:numPr>
          <w:ilvl w:val="0"/>
          <w:numId w:val="2"/>
        </w:numPr>
        <w:tabs>
          <w:tab w:val="left" w:pos="1701"/>
        </w:tabs>
        <w:ind w:left="0" w:firstLine="0"/>
        <w:contextualSpacing/>
        <w:outlineLvl w:val="2"/>
        <w:rPr>
          <w:rFonts w:cs="Arial"/>
          <w:color w:val="000000" w:themeColor="text1"/>
          <w:lang w:val="es-ES"/>
        </w:rPr>
      </w:pPr>
      <w:bookmarkStart w:id="36" w:name="_Ref330310840"/>
      <w:bookmarkStart w:id="37" w:name="_Ref330828080"/>
      <w:r w:rsidRPr="00DC07FC">
        <w:rPr>
          <w:rFonts w:cs="Arial"/>
          <w:b/>
          <w:color w:val="000000" w:themeColor="text1"/>
          <w:lang w:val="es-ES"/>
        </w:rPr>
        <w:t xml:space="preserve">SERVICIOS A CARGO DEL GESTOR DEL MERCADO. </w:t>
      </w:r>
      <w:r w:rsidRPr="00DC07FC">
        <w:rPr>
          <w:rFonts w:cs="Arial"/>
          <w:color w:val="000000" w:themeColor="text1"/>
          <w:lang w:val="es-ES"/>
        </w:rPr>
        <w:t>El gestor del mercado prestará los siguientes servicios:</w:t>
      </w:r>
      <w:bookmarkEnd w:id="36"/>
      <w:bookmarkEnd w:id="37"/>
    </w:p>
    <w:p w:rsidR="00E31C18" w:rsidRDefault="00E31C18" w:rsidP="00E31C18">
      <w:pPr>
        <w:pStyle w:val="ARTICULOS"/>
        <w:rPr>
          <w:rFonts w:cs="Arial"/>
          <w:color w:val="000000" w:themeColor="text1"/>
          <w:lang w:val="es-ES"/>
        </w:rPr>
      </w:pPr>
    </w:p>
    <w:p w:rsidR="00137891" w:rsidRPr="00DC07FC" w:rsidRDefault="00137891" w:rsidP="00E31C18">
      <w:pPr>
        <w:pStyle w:val="ARTICULOS"/>
        <w:rPr>
          <w:rFonts w:cs="Arial"/>
          <w:color w:val="000000" w:themeColor="text1"/>
          <w:lang w:val="es-ES"/>
        </w:rPr>
      </w:pPr>
    </w:p>
    <w:p w:rsidR="00E31C18" w:rsidRPr="002E06D0" w:rsidRDefault="00E31C18" w:rsidP="00901EFF">
      <w:pPr>
        <w:pStyle w:val="ARTICULOS"/>
        <w:numPr>
          <w:ilvl w:val="1"/>
          <w:numId w:val="42"/>
        </w:numPr>
        <w:ind w:left="567" w:hanging="567"/>
        <w:rPr>
          <w:color w:val="000000" w:themeColor="text1"/>
          <w:lang w:val="es-ES"/>
        </w:rPr>
      </w:pPr>
      <w:bookmarkStart w:id="38" w:name="_Ref329102676"/>
      <w:r w:rsidRPr="002E06D0">
        <w:rPr>
          <w:color w:val="000000" w:themeColor="text1"/>
          <w:lang w:val="es-ES"/>
        </w:rPr>
        <w:t xml:space="preserve">Diseño, </w:t>
      </w:r>
      <w:r w:rsidR="00085802" w:rsidRPr="002E06D0">
        <w:rPr>
          <w:color w:val="000000" w:themeColor="text1"/>
          <w:lang w:val="es-ES"/>
        </w:rPr>
        <w:t xml:space="preserve">implementación </w:t>
      </w:r>
      <w:r w:rsidRPr="002E06D0">
        <w:rPr>
          <w:color w:val="000000" w:themeColor="text1"/>
          <w:lang w:val="es-ES"/>
        </w:rPr>
        <w:t xml:space="preserve">y administración del Sistema de Información del Mercado Mayorista de GLP </w:t>
      </w:r>
      <w:r w:rsidR="00C91C28" w:rsidRPr="002E06D0">
        <w:rPr>
          <w:color w:val="000000" w:themeColor="text1"/>
          <w:lang w:val="es-ES"/>
        </w:rPr>
        <w:t>–</w:t>
      </w:r>
      <w:r w:rsidRPr="002E06D0">
        <w:rPr>
          <w:color w:val="000000" w:themeColor="text1"/>
          <w:lang w:val="es-ES"/>
        </w:rPr>
        <w:t xml:space="preserve"> </w:t>
      </w:r>
      <w:r w:rsidR="002420A4" w:rsidRPr="002E06D0">
        <w:rPr>
          <w:color w:val="000000" w:themeColor="text1"/>
          <w:lang w:val="es-ES"/>
        </w:rPr>
        <w:t>SIMM</w:t>
      </w:r>
      <w:r w:rsidR="00C91C28" w:rsidRPr="002E06D0">
        <w:rPr>
          <w:color w:val="000000" w:themeColor="text1"/>
          <w:lang w:val="es-ES"/>
        </w:rPr>
        <w:t>.</w:t>
      </w:r>
    </w:p>
    <w:p w:rsidR="00E31C18" w:rsidRPr="002E06D0" w:rsidRDefault="00E31C18" w:rsidP="00E31C18">
      <w:pPr>
        <w:pStyle w:val="ARTICULOS"/>
        <w:ind w:left="567"/>
        <w:rPr>
          <w:color w:val="000000" w:themeColor="text1"/>
          <w:lang w:val="es-ES"/>
        </w:rPr>
      </w:pPr>
    </w:p>
    <w:p w:rsidR="00E31C18" w:rsidRPr="00DC07FC" w:rsidRDefault="00E31C18" w:rsidP="00E31C18">
      <w:pPr>
        <w:pStyle w:val="ARTICULOS"/>
        <w:ind w:left="567"/>
        <w:rPr>
          <w:rFonts w:cs="Arial"/>
          <w:color w:val="000000" w:themeColor="text1"/>
          <w:lang w:val="es-ES"/>
        </w:rPr>
      </w:pPr>
      <w:r w:rsidRPr="002E06D0">
        <w:rPr>
          <w:color w:val="000000" w:themeColor="text1"/>
          <w:lang w:val="es-ES"/>
        </w:rPr>
        <w:t xml:space="preserve">El gestor del mercado deberá diseñar, </w:t>
      </w:r>
      <w:r w:rsidR="00F757B3" w:rsidRPr="002E06D0">
        <w:rPr>
          <w:color w:val="000000" w:themeColor="text1"/>
          <w:lang w:val="es-ES"/>
        </w:rPr>
        <w:t xml:space="preserve">implementar </w:t>
      </w:r>
      <w:r w:rsidRPr="002E06D0">
        <w:rPr>
          <w:color w:val="000000" w:themeColor="text1"/>
          <w:lang w:val="es-ES"/>
        </w:rPr>
        <w:t xml:space="preserve">y administrar el </w:t>
      </w:r>
      <w:r w:rsidR="002420A4" w:rsidRPr="002E06D0">
        <w:rPr>
          <w:color w:val="000000" w:themeColor="text1"/>
          <w:lang w:val="es-ES"/>
        </w:rPr>
        <w:t>SIMM</w:t>
      </w:r>
      <w:r w:rsidRPr="002E06D0">
        <w:rPr>
          <w:color w:val="000000" w:themeColor="text1"/>
          <w:lang w:val="es-ES"/>
        </w:rPr>
        <w:t xml:space="preserve">, que deberá </w:t>
      </w:r>
      <w:bookmarkEnd w:id="38"/>
      <w:r w:rsidR="00F757B3" w:rsidRPr="002E06D0">
        <w:rPr>
          <w:rFonts w:cs="Arial"/>
          <w:color w:val="000000" w:themeColor="text1"/>
          <w:lang w:val="es-ES"/>
        </w:rPr>
        <w:t xml:space="preserve">estar disponible </w:t>
      </w:r>
      <w:r w:rsidRPr="002E06D0">
        <w:rPr>
          <w:rFonts w:cs="Arial"/>
          <w:color w:val="000000" w:themeColor="text1"/>
          <w:lang w:val="es-ES"/>
        </w:rPr>
        <w:t xml:space="preserve">en su página web. </w:t>
      </w:r>
      <w:r w:rsidR="00F757B3" w:rsidRPr="002E06D0">
        <w:rPr>
          <w:rFonts w:cs="Arial"/>
          <w:color w:val="000000" w:themeColor="text1"/>
          <w:lang w:val="es-ES"/>
        </w:rPr>
        <w:t xml:space="preserve">El </w:t>
      </w:r>
      <w:r w:rsidR="002420A4" w:rsidRPr="002E06D0">
        <w:rPr>
          <w:rFonts w:cs="Arial"/>
          <w:color w:val="000000" w:themeColor="text1"/>
          <w:lang w:val="es-ES"/>
        </w:rPr>
        <w:t>SIMM</w:t>
      </w:r>
      <w:r w:rsidR="00F757B3" w:rsidRPr="002E06D0">
        <w:rPr>
          <w:rFonts w:cs="Arial"/>
          <w:color w:val="000000" w:themeColor="text1"/>
          <w:lang w:val="es-ES"/>
        </w:rPr>
        <w:t xml:space="preserve"> será la principal herramienta para que </w:t>
      </w:r>
      <w:r w:rsidRPr="002E06D0">
        <w:rPr>
          <w:rFonts w:cs="Arial"/>
          <w:color w:val="000000" w:themeColor="text1"/>
          <w:lang w:val="es-ES"/>
        </w:rPr>
        <w:t>el gestor del mercado prest</w:t>
      </w:r>
      <w:r w:rsidR="00F757B3" w:rsidRPr="002E06D0">
        <w:rPr>
          <w:rFonts w:cs="Arial"/>
          <w:color w:val="000000" w:themeColor="text1"/>
          <w:lang w:val="es-ES"/>
        </w:rPr>
        <w:t xml:space="preserve">e </w:t>
      </w:r>
      <w:r w:rsidRPr="002E06D0">
        <w:rPr>
          <w:rFonts w:cs="Arial"/>
          <w:color w:val="000000" w:themeColor="text1"/>
          <w:lang w:val="es-ES"/>
        </w:rPr>
        <w:t xml:space="preserve">los servicios especificados en los numerales </w:t>
      </w:r>
      <w:r w:rsidR="00C11DD3" w:rsidRPr="002E06D0">
        <w:rPr>
          <w:rFonts w:cs="Arial"/>
          <w:color w:val="000000" w:themeColor="text1"/>
          <w:lang w:val="es-ES"/>
        </w:rPr>
        <w:t xml:space="preserve">2, 3, 4 y 5 </w:t>
      </w:r>
      <w:r w:rsidRPr="002E06D0">
        <w:rPr>
          <w:rFonts w:cs="Arial"/>
          <w:color w:val="000000" w:themeColor="text1"/>
          <w:lang w:val="es-ES"/>
        </w:rPr>
        <w:t>del presente artículo.</w:t>
      </w:r>
    </w:p>
    <w:p w:rsidR="00E31C18" w:rsidRPr="00DC07FC" w:rsidRDefault="00E31C18" w:rsidP="00E31C18">
      <w:pPr>
        <w:pStyle w:val="Prrafodelista"/>
        <w:ind w:left="567"/>
        <w:rPr>
          <w:rFonts w:ascii="Bookman Old Style" w:hAnsi="Bookman Old Style" w:cs="Arial"/>
          <w:color w:val="000000" w:themeColor="text1"/>
          <w:sz w:val="24"/>
          <w:szCs w:val="24"/>
          <w:lang w:val="es-ES"/>
        </w:rPr>
      </w:pPr>
    </w:p>
    <w:p w:rsidR="00E31C18" w:rsidRPr="00DC07FC" w:rsidRDefault="00085802" w:rsidP="00901EFF">
      <w:pPr>
        <w:pStyle w:val="ARTICULOS"/>
        <w:numPr>
          <w:ilvl w:val="1"/>
          <w:numId w:val="42"/>
        </w:numPr>
        <w:ind w:left="567" w:hanging="567"/>
        <w:rPr>
          <w:rFonts w:cs="Arial"/>
          <w:color w:val="000000" w:themeColor="text1"/>
          <w:lang w:val="es-ES"/>
        </w:rPr>
      </w:pPr>
      <w:bookmarkStart w:id="39" w:name="_Ref334598563"/>
      <w:bookmarkStart w:id="40" w:name="_Ref330308583"/>
      <w:bookmarkStart w:id="41" w:name="_Ref329103585"/>
      <w:r w:rsidRPr="00DC07FC">
        <w:rPr>
          <w:rFonts w:cs="Arial"/>
          <w:color w:val="000000" w:themeColor="text1"/>
          <w:lang w:val="es-ES"/>
        </w:rPr>
        <w:t>Gestión de la</w:t>
      </w:r>
      <w:r w:rsidR="00E31C18" w:rsidRPr="00DC07FC">
        <w:rPr>
          <w:rFonts w:cs="Arial"/>
          <w:color w:val="000000" w:themeColor="text1"/>
          <w:lang w:val="es-ES"/>
        </w:rPr>
        <w:t xml:space="preserve"> información transaccional y operativa.</w:t>
      </w:r>
      <w:bookmarkEnd w:id="39"/>
    </w:p>
    <w:p w:rsidR="00E31C18" w:rsidRPr="00DC07FC" w:rsidRDefault="00E31C18" w:rsidP="00E31C18">
      <w:pPr>
        <w:pStyle w:val="ARTICULOS"/>
        <w:ind w:left="567"/>
        <w:rPr>
          <w:rFonts w:cs="Arial"/>
          <w:color w:val="000000" w:themeColor="text1"/>
          <w:lang w:val="es-ES"/>
        </w:rPr>
      </w:pPr>
    </w:p>
    <w:p w:rsidR="00E31C18" w:rsidRPr="00DC07FC" w:rsidRDefault="00E31C18" w:rsidP="00E31C18">
      <w:pPr>
        <w:pStyle w:val="ARTICULOS"/>
        <w:ind w:left="567"/>
        <w:rPr>
          <w:rFonts w:cs="Arial"/>
          <w:color w:val="000000" w:themeColor="text1"/>
          <w:lang w:val="es-ES"/>
        </w:rPr>
      </w:pPr>
      <w:r w:rsidRPr="00DC07FC">
        <w:rPr>
          <w:rFonts w:cs="Arial"/>
          <w:color w:val="000000" w:themeColor="text1"/>
          <w:lang w:val="es-ES"/>
        </w:rPr>
        <w:t>El gestor del mercado deberá:</w:t>
      </w:r>
      <w:bookmarkEnd w:id="40"/>
    </w:p>
    <w:p w:rsidR="00E31C18" w:rsidRPr="00DC07FC" w:rsidRDefault="00E31C18" w:rsidP="00E31C18">
      <w:pPr>
        <w:pStyle w:val="ARTICULOS"/>
        <w:ind w:left="567"/>
        <w:rPr>
          <w:rFonts w:cs="Arial"/>
          <w:color w:val="000000" w:themeColor="text1"/>
          <w:lang w:val="es-ES"/>
        </w:rPr>
      </w:pPr>
    </w:p>
    <w:p w:rsidR="00E31C18" w:rsidRPr="002E06D0" w:rsidRDefault="00E31C18" w:rsidP="00901EFF">
      <w:pPr>
        <w:numPr>
          <w:ilvl w:val="0"/>
          <w:numId w:val="41"/>
        </w:numPr>
        <w:autoSpaceDE w:val="0"/>
        <w:autoSpaceDN w:val="0"/>
        <w:adjustRightInd w:val="0"/>
        <w:ind w:left="1134" w:hanging="567"/>
        <w:jc w:val="both"/>
        <w:rPr>
          <w:rFonts w:ascii="Bookman Old Style" w:hAnsi="Bookman Old Style" w:cs="Arial"/>
          <w:color w:val="000000" w:themeColor="text1"/>
        </w:rPr>
      </w:pPr>
      <w:r w:rsidRPr="00DC07FC">
        <w:rPr>
          <w:rFonts w:ascii="Bookman Old Style" w:hAnsi="Bookman Old Style" w:cs="Arial"/>
          <w:color w:val="000000" w:themeColor="text1"/>
        </w:rPr>
        <w:t xml:space="preserve">Recopilar, verificar, publicar y conservar la información sobre el </w:t>
      </w:r>
      <w:r w:rsidRPr="002E06D0">
        <w:rPr>
          <w:rFonts w:ascii="Bookman Old Style" w:hAnsi="Bookman Old Style" w:cs="Arial"/>
          <w:color w:val="000000" w:themeColor="text1"/>
        </w:rPr>
        <w:t xml:space="preserve">resultado de las negociaciones realizadas en </w:t>
      </w:r>
      <w:r w:rsidR="00C91C28" w:rsidRPr="002E06D0">
        <w:rPr>
          <w:rFonts w:ascii="Bookman Old Style" w:hAnsi="Bookman Old Style" w:cs="Arial"/>
          <w:color w:val="000000" w:themeColor="text1"/>
        </w:rPr>
        <w:t xml:space="preserve">los </w:t>
      </w:r>
      <w:r w:rsidRPr="002E06D0">
        <w:rPr>
          <w:rFonts w:ascii="Bookman Old Style" w:hAnsi="Bookman Old Style" w:cs="Arial"/>
          <w:color w:val="000000" w:themeColor="text1"/>
        </w:rPr>
        <w:t>mercado</w:t>
      </w:r>
      <w:r w:rsidR="00C91C28" w:rsidRPr="002E06D0">
        <w:rPr>
          <w:rFonts w:ascii="Bookman Old Style" w:hAnsi="Bookman Old Style" w:cs="Arial"/>
          <w:color w:val="000000" w:themeColor="text1"/>
        </w:rPr>
        <w:t>s</w:t>
      </w:r>
      <w:r w:rsidRPr="002E06D0">
        <w:rPr>
          <w:rFonts w:ascii="Bookman Old Style" w:hAnsi="Bookman Old Style" w:cs="Arial"/>
          <w:color w:val="000000" w:themeColor="text1"/>
        </w:rPr>
        <w:t xml:space="preserve"> primario y secundario, </w:t>
      </w:r>
      <w:r w:rsidR="00C11DD3" w:rsidRPr="002E06D0">
        <w:rPr>
          <w:rFonts w:ascii="Bookman Old Style" w:hAnsi="Bookman Old Style" w:cs="Arial"/>
          <w:color w:val="000000" w:themeColor="text1"/>
        </w:rPr>
        <w:t>de conformidad con el an</w:t>
      </w:r>
      <w:r w:rsidRPr="002E06D0">
        <w:rPr>
          <w:rFonts w:ascii="Bookman Old Style" w:hAnsi="Bookman Old Style" w:cs="Arial"/>
          <w:color w:val="000000" w:themeColor="text1"/>
        </w:rPr>
        <w:t xml:space="preserve">exo 2 de esta </w:t>
      </w:r>
      <w:r w:rsidR="00C11DD3" w:rsidRPr="002E06D0">
        <w:rPr>
          <w:rFonts w:ascii="Bookman Old Style" w:hAnsi="Bookman Old Style" w:cs="Arial"/>
          <w:color w:val="000000" w:themeColor="text1"/>
        </w:rPr>
        <w:t>r</w:t>
      </w:r>
      <w:r w:rsidRPr="002E06D0">
        <w:rPr>
          <w:rFonts w:ascii="Bookman Old Style" w:hAnsi="Bookman Old Style" w:cs="Arial"/>
          <w:color w:val="000000" w:themeColor="text1"/>
        </w:rPr>
        <w:t>esolución.</w:t>
      </w:r>
    </w:p>
    <w:p w:rsidR="00E31C18" w:rsidRPr="002E06D0" w:rsidRDefault="00E31C18" w:rsidP="00901EFF">
      <w:pPr>
        <w:numPr>
          <w:ilvl w:val="0"/>
          <w:numId w:val="41"/>
        </w:numPr>
        <w:autoSpaceDE w:val="0"/>
        <w:autoSpaceDN w:val="0"/>
        <w:adjustRightInd w:val="0"/>
        <w:ind w:left="1134" w:hanging="567"/>
        <w:jc w:val="both"/>
        <w:rPr>
          <w:rFonts w:ascii="Bookman Old Style" w:hAnsi="Bookman Old Style" w:cs="Arial"/>
          <w:color w:val="000000" w:themeColor="text1"/>
        </w:rPr>
      </w:pPr>
      <w:r w:rsidRPr="002E06D0">
        <w:rPr>
          <w:rFonts w:ascii="Bookman Old Style" w:hAnsi="Bookman Old Style" w:cs="Arial"/>
          <w:color w:val="000000" w:themeColor="text1"/>
        </w:rPr>
        <w:t xml:space="preserve">Recopilar, verificar, publicar y conservar la información operativa del sector de </w:t>
      </w:r>
      <w:r w:rsidR="00C11DD3" w:rsidRPr="002E06D0">
        <w:rPr>
          <w:rFonts w:ascii="Bookman Old Style" w:hAnsi="Bookman Old Style" w:cs="Arial"/>
          <w:color w:val="000000" w:themeColor="text1"/>
        </w:rPr>
        <w:t>GLP</w:t>
      </w:r>
      <w:r w:rsidRPr="002E06D0">
        <w:rPr>
          <w:rFonts w:ascii="Bookman Old Style" w:hAnsi="Bookman Old Style" w:cs="Arial"/>
          <w:color w:val="000000" w:themeColor="text1"/>
        </w:rPr>
        <w:t xml:space="preserve">, </w:t>
      </w:r>
      <w:r w:rsidR="00C11DD3" w:rsidRPr="002E06D0">
        <w:rPr>
          <w:rFonts w:ascii="Bookman Old Style" w:hAnsi="Bookman Old Style" w:cs="Arial"/>
          <w:color w:val="000000" w:themeColor="text1"/>
        </w:rPr>
        <w:t>de conformidad con el a</w:t>
      </w:r>
      <w:r w:rsidRPr="002E06D0">
        <w:rPr>
          <w:rFonts w:ascii="Bookman Old Style" w:hAnsi="Bookman Old Style" w:cs="Arial"/>
          <w:color w:val="000000" w:themeColor="text1"/>
        </w:rPr>
        <w:t xml:space="preserve">nexo 2 de esta </w:t>
      </w:r>
      <w:r w:rsidR="00C11DD3" w:rsidRPr="002E06D0">
        <w:rPr>
          <w:rFonts w:ascii="Bookman Old Style" w:hAnsi="Bookman Old Style" w:cs="Arial"/>
          <w:color w:val="000000" w:themeColor="text1"/>
        </w:rPr>
        <w:t>r</w:t>
      </w:r>
      <w:r w:rsidRPr="002E06D0">
        <w:rPr>
          <w:rFonts w:ascii="Bookman Old Style" w:hAnsi="Bookman Old Style" w:cs="Arial"/>
          <w:color w:val="000000" w:themeColor="text1"/>
        </w:rPr>
        <w:t>esolución.</w:t>
      </w:r>
    </w:p>
    <w:p w:rsidR="00E777A8" w:rsidRDefault="00F9075D" w:rsidP="00E777A8">
      <w:pPr>
        <w:numPr>
          <w:ilvl w:val="0"/>
          <w:numId w:val="41"/>
        </w:numPr>
        <w:autoSpaceDE w:val="0"/>
        <w:autoSpaceDN w:val="0"/>
        <w:adjustRightInd w:val="0"/>
        <w:ind w:left="1134" w:hanging="567"/>
        <w:jc w:val="both"/>
        <w:rPr>
          <w:rFonts w:ascii="Bookman Old Style" w:hAnsi="Bookman Old Style" w:cs="Arial"/>
          <w:color w:val="000000" w:themeColor="text1"/>
        </w:rPr>
      </w:pPr>
      <w:r w:rsidRPr="002E06D0">
        <w:rPr>
          <w:rFonts w:ascii="Bookman Old Style" w:hAnsi="Bookman Old Style" w:cs="Arial"/>
          <w:color w:val="000000" w:themeColor="text1"/>
        </w:rPr>
        <w:t>P</w:t>
      </w:r>
      <w:r w:rsidR="00E777A8" w:rsidRPr="002E06D0">
        <w:rPr>
          <w:rFonts w:ascii="Bookman Old Style" w:hAnsi="Bookman Old Style" w:cs="Arial"/>
          <w:color w:val="000000" w:themeColor="text1"/>
        </w:rPr>
        <w:t>ublicar</w:t>
      </w:r>
      <w:r w:rsidR="00053207" w:rsidRPr="002E06D0">
        <w:rPr>
          <w:rFonts w:ascii="Bookman Old Style" w:hAnsi="Bookman Old Style" w:cs="Arial"/>
          <w:color w:val="000000" w:themeColor="text1"/>
        </w:rPr>
        <w:t>, en los términos del artículo 9 de la Resolución CREG 063 de</w:t>
      </w:r>
      <w:r w:rsidR="00053207" w:rsidRPr="00E777A8">
        <w:rPr>
          <w:rFonts w:ascii="Bookman Old Style" w:hAnsi="Bookman Old Style" w:cs="Arial"/>
          <w:color w:val="000000" w:themeColor="text1"/>
        </w:rPr>
        <w:t xml:space="preserve"> 2016</w:t>
      </w:r>
      <w:r w:rsidR="00053207">
        <w:rPr>
          <w:rFonts w:ascii="Bookman Old Style" w:hAnsi="Bookman Old Style" w:cs="Arial"/>
          <w:color w:val="000000" w:themeColor="text1"/>
        </w:rPr>
        <w:t xml:space="preserve">, o aquella que la modifique o sustituya, </w:t>
      </w:r>
      <w:r w:rsidR="00E777A8" w:rsidRPr="00E777A8">
        <w:rPr>
          <w:rFonts w:ascii="Bookman Old Style" w:hAnsi="Bookman Old Style" w:cs="Arial"/>
          <w:color w:val="000000" w:themeColor="text1"/>
        </w:rPr>
        <w:t>la información de capacidad de compra</w:t>
      </w:r>
      <w:r w:rsidR="00053207">
        <w:rPr>
          <w:rFonts w:ascii="Bookman Old Style" w:hAnsi="Bookman Old Style" w:cs="Arial"/>
          <w:color w:val="000000" w:themeColor="text1"/>
        </w:rPr>
        <w:t>s que es</w:t>
      </w:r>
      <w:r w:rsidR="00E777A8" w:rsidRPr="00E777A8">
        <w:rPr>
          <w:rFonts w:ascii="Bookman Old Style" w:hAnsi="Bookman Old Style" w:cs="Arial"/>
          <w:color w:val="000000" w:themeColor="text1"/>
        </w:rPr>
        <w:t xml:space="preserve"> </w:t>
      </w:r>
      <w:r>
        <w:rPr>
          <w:rFonts w:ascii="Bookman Old Style" w:hAnsi="Bookman Old Style" w:cs="Arial"/>
          <w:color w:val="000000" w:themeColor="text1"/>
        </w:rPr>
        <w:t>calculada y determinada por la CREG</w:t>
      </w:r>
      <w:r w:rsidR="00053207">
        <w:rPr>
          <w:rFonts w:ascii="Bookman Old Style" w:hAnsi="Bookman Old Style" w:cs="Arial"/>
          <w:color w:val="000000" w:themeColor="text1"/>
        </w:rPr>
        <w:t>.</w:t>
      </w:r>
    </w:p>
    <w:p w:rsidR="00F9075D" w:rsidRPr="00DC07FC" w:rsidRDefault="00053207" w:rsidP="00E777A8">
      <w:pPr>
        <w:numPr>
          <w:ilvl w:val="0"/>
          <w:numId w:val="41"/>
        </w:numPr>
        <w:autoSpaceDE w:val="0"/>
        <w:autoSpaceDN w:val="0"/>
        <w:adjustRightInd w:val="0"/>
        <w:ind w:left="1134" w:hanging="567"/>
        <w:jc w:val="both"/>
        <w:rPr>
          <w:rFonts w:ascii="Bookman Old Style" w:hAnsi="Bookman Old Style" w:cs="Arial"/>
          <w:color w:val="000000" w:themeColor="text1"/>
        </w:rPr>
      </w:pPr>
      <w:r>
        <w:rPr>
          <w:rFonts w:ascii="Bookman Old Style" w:hAnsi="Bookman Old Style" w:cs="Arial"/>
          <w:color w:val="000000" w:themeColor="text1"/>
        </w:rPr>
        <w:t xml:space="preserve">Calcular, actualizar y publicar la capacidad disponible de compra, </w:t>
      </w:r>
      <w:r w:rsidRPr="00E777A8">
        <w:rPr>
          <w:rFonts w:ascii="Bookman Old Style" w:hAnsi="Bookman Old Style" w:cs="Arial"/>
          <w:color w:val="000000" w:themeColor="text1"/>
        </w:rPr>
        <w:t xml:space="preserve">en los términos del artículo </w:t>
      </w:r>
      <w:r>
        <w:rPr>
          <w:rFonts w:ascii="Bookman Old Style" w:hAnsi="Bookman Old Style" w:cs="Arial"/>
          <w:color w:val="000000" w:themeColor="text1"/>
        </w:rPr>
        <w:t xml:space="preserve">8 </w:t>
      </w:r>
      <w:r w:rsidRPr="00E777A8">
        <w:rPr>
          <w:rFonts w:ascii="Bookman Old Style" w:hAnsi="Bookman Old Style" w:cs="Arial"/>
          <w:color w:val="000000" w:themeColor="text1"/>
        </w:rPr>
        <w:t>de la Resolución CREG 063 de 2016</w:t>
      </w:r>
      <w:r>
        <w:rPr>
          <w:rFonts w:ascii="Bookman Old Style" w:hAnsi="Bookman Old Style" w:cs="Arial"/>
          <w:color w:val="000000" w:themeColor="text1"/>
        </w:rPr>
        <w:t>, o aquella que la modifique o sustituya.</w:t>
      </w:r>
      <w:r w:rsidR="003F4F48">
        <w:rPr>
          <w:rFonts w:ascii="Bookman Old Style" w:hAnsi="Bookman Old Style" w:cs="Arial"/>
          <w:color w:val="000000" w:themeColor="text1"/>
        </w:rPr>
        <w:t xml:space="preserve"> La capacidad disponible de compra se actualiza con el registr</w:t>
      </w:r>
      <w:r w:rsidR="00AD672D">
        <w:rPr>
          <w:rFonts w:ascii="Bookman Old Style" w:hAnsi="Bookman Old Style" w:cs="Arial"/>
          <w:color w:val="000000" w:themeColor="text1"/>
        </w:rPr>
        <w:t>o de cada contrato</w:t>
      </w:r>
      <w:r w:rsidR="003F4F48">
        <w:rPr>
          <w:rFonts w:ascii="Bookman Old Style" w:hAnsi="Bookman Old Style" w:cs="Arial"/>
          <w:color w:val="000000" w:themeColor="text1"/>
        </w:rPr>
        <w:t>.</w:t>
      </w:r>
    </w:p>
    <w:p w:rsidR="00C11DD3" w:rsidRPr="00DC07FC" w:rsidRDefault="00C11DD3" w:rsidP="00901EFF">
      <w:pPr>
        <w:numPr>
          <w:ilvl w:val="0"/>
          <w:numId w:val="41"/>
        </w:numPr>
        <w:autoSpaceDE w:val="0"/>
        <w:autoSpaceDN w:val="0"/>
        <w:adjustRightInd w:val="0"/>
        <w:ind w:left="1134" w:hanging="567"/>
        <w:jc w:val="both"/>
        <w:rPr>
          <w:rFonts w:ascii="Bookman Old Style" w:hAnsi="Bookman Old Style" w:cs="Arial"/>
          <w:color w:val="000000" w:themeColor="text1"/>
        </w:rPr>
      </w:pPr>
      <w:r w:rsidRPr="00DC07FC">
        <w:rPr>
          <w:rFonts w:ascii="Bookman Old Style" w:hAnsi="Bookman Old Style" w:cs="Arial"/>
          <w:color w:val="000000" w:themeColor="text1"/>
        </w:rPr>
        <w:t>Implementar un sistema de gestión de información, según las mejores prácticas de la industria</w:t>
      </w:r>
      <w:r w:rsidR="009871EF" w:rsidRPr="00DC07FC">
        <w:rPr>
          <w:rFonts w:ascii="Bookman Old Style" w:hAnsi="Bookman Old Style" w:cs="Arial"/>
          <w:color w:val="000000" w:themeColor="text1"/>
        </w:rPr>
        <w:t>, que permita, entre otros, garantizar la integridad, disponibilidad y confidencialidad de la información.</w:t>
      </w:r>
    </w:p>
    <w:bookmarkEnd w:id="41"/>
    <w:p w:rsidR="00E31C18" w:rsidRPr="00DC07FC" w:rsidRDefault="00E31C18" w:rsidP="00E31C18">
      <w:pPr>
        <w:pStyle w:val="ARTICULOS"/>
        <w:ind w:left="567"/>
        <w:rPr>
          <w:rFonts w:cs="Arial"/>
          <w:color w:val="000000" w:themeColor="text1"/>
          <w:lang w:val="es-ES"/>
        </w:rPr>
      </w:pPr>
    </w:p>
    <w:p w:rsidR="00E31C18" w:rsidRPr="00DC07FC" w:rsidRDefault="00E31C18" w:rsidP="00901EFF">
      <w:pPr>
        <w:pStyle w:val="ARTICULOS"/>
        <w:numPr>
          <w:ilvl w:val="1"/>
          <w:numId w:val="42"/>
        </w:numPr>
        <w:ind w:left="567" w:hanging="567"/>
        <w:rPr>
          <w:rFonts w:cs="Arial"/>
          <w:color w:val="000000" w:themeColor="text1"/>
          <w:lang w:val="es-ES"/>
        </w:rPr>
      </w:pPr>
      <w:bookmarkStart w:id="42" w:name="_Ref329103688"/>
      <w:bookmarkStart w:id="43" w:name="_Ref330308595"/>
      <w:bookmarkStart w:id="44" w:name="_Ref330372242"/>
      <w:r w:rsidRPr="00DC07FC">
        <w:rPr>
          <w:rFonts w:cs="Arial"/>
          <w:color w:val="000000" w:themeColor="text1"/>
          <w:lang w:val="es-ES"/>
        </w:rPr>
        <w:t>Gestión de</w:t>
      </w:r>
      <w:r w:rsidR="00CE5635" w:rsidRPr="00DC07FC">
        <w:rPr>
          <w:rFonts w:cs="Arial"/>
          <w:color w:val="000000" w:themeColor="text1"/>
          <w:lang w:val="es-ES"/>
        </w:rPr>
        <w:t xml:space="preserve"> </w:t>
      </w:r>
      <w:r w:rsidRPr="00DC07FC">
        <w:rPr>
          <w:rFonts w:cs="Arial"/>
          <w:color w:val="000000" w:themeColor="text1"/>
          <w:lang w:val="es-ES"/>
        </w:rPr>
        <w:t>l</w:t>
      </w:r>
      <w:r w:rsidR="00CE5635" w:rsidRPr="00DC07FC">
        <w:rPr>
          <w:rFonts w:cs="Arial"/>
          <w:color w:val="000000" w:themeColor="text1"/>
          <w:lang w:val="es-ES"/>
        </w:rPr>
        <w:t xml:space="preserve">os </w:t>
      </w:r>
      <w:r w:rsidRPr="00DC07FC">
        <w:rPr>
          <w:rFonts w:cs="Arial"/>
          <w:color w:val="000000" w:themeColor="text1"/>
          <w:lang w:val="es-ES"/>
        </w:rPr>
        <w:t>mecanismo</w:t>
      </w:r>
      <w:r w:rsidR="00CE5635" w:rsidRPr="00DC07FC">
        <w:rPr>
          <w:rFonts w:cs="Arial"/>
          <w:color w:val="000000" w:themeColor="text1"/>
          <w:lang w:val="es-ES"/>
        </w:rPr>
        <w:t>s de comercialización de GLP en el mercado mayorista</w:t>
      </w:r>
      <w:bookmarkEnd w:id="42"/>
      <w:r w:rsidR="00CE5635" w:rsidRPr="00DC07FC">
        <w:rPr>
          <w:rFonts w:cs="Arial"/>
          <w:color w:val="000000" w:themeColor="text1"/>
          <w:lang w:val="es-ES"/>
        </w:rPr>
        <w:t>.</w:t>
      </w:r>
    </w:p>
    <w:p w:rsidR="00E31C18" w:rsidRPr="00DC07FC" w:rsidRDefault="00E31C18" w:rsidP="00E31C18">
      <w:pPr>
        <w:pStyle w:val="ARTICULOS"/>
        <w:ind w:left="567"/>
        <w:rPr>
          <w:rFonts w:cs="Arial"/>
          <w:color w:val="000000" w:themeColor="text1"/>
          <w:lang w:val="es-ES"/>
        </w:rPr>
      </w:pPr>
    </w:p>
    <w:p w:rsidR="00F757B3" w:rsidRPr="00DC07FC" w:rsidRDefault="00F757B3" w:rsidP="00E31C18">
      <w:pPr>
        <w:pStyle w:val="ARTICULOS"/>
        <w:ind w:left="567"/>
        <w:rPr>
          <w:rFonts w:cs="Arial"/>
          <w:color w:val="000000" w:themeColor="text1"/>
          <w:lang w:val="es-ES"/>
        </w:rPr>
      </w:pPr>
      <w:r w:rsidRPr="00DC07FC">
        <w:rPr>
          <w:rFonts w:cs="Arial"/>
          <w:color w:val="000000" w:themeColor="text1"/>
          <w:lang w:val="es-ES"/>
        </w:rPr>
        <w:t>El gestor del mercado diseñará e implementará los procesos requeridos para el adecuado funcionamiento de los diferentes mecanismos de comercialización del producto en el mercado mayorista de GLP, de conformidad con lo dispuesto en este reglamento. E</w:t>
      </w:r>
      <w:r w:rsidR="002A36B9" w:rsidRPr="00DC07FC">
        <w:rPr>
          <w:rFonts w:cs="Arial"/>
          <w:color w:val="000000" w:themeColor="text1"/>
          <w:lang w:val="es-ES"/>
        </w:rPr>
        <w:t>n este sentido, e</w:t>
      </w:r>
      <w:r w:rsidRPr="00DC07FC">
        <w:rPr>
          <w:rFonts w:cs="Arial"/>
          <w:color w:val="000000" w:themeColor="text1"/>
          <w:lang w:val="es-ES"/>
        </w:rPr>
        <w:t xml:space="preserve">l gestor </w:t>
      </w:r>
      <w:r w:rsidRPr="00DC07FC">
        <w:rPr>
          <w:rFonts w:cs="Arial"/>
          <w:color w:val="000000" w:themeColor="text1"/>
          <w:lang w:val="es-ES"/>
        </w:rPr>
        <w:lastRenderedPageBreak/>
        <w:t>del mercado deberá, entre otros:</w:t>
      </w:r>
    </w:p>
    <w:p w:rsidR="00F757B3" w:rsidRPr="00DC07FC" w:rsidRDefault="00F757B3" w:rsidP="00E31C18">
      <w:pPr>
        <w:pStyle w:val="ARTICULOS"/>
        <w:ind w:left="567"/>
        <w:rPr>
          <w:rFonts w:cs="Arial"/>
          <w:color w:val="000000" w:themeColor="text1"/>
          <w:lang w:val="es-ES"/>
        </w:rPr>
      </w:pPr>
    </w:p>
    <w:p w:rsidR="00C91C28" w:rsidRDefault="002A36B9" w:rsidP="00901EFF">
      <w:pPr>
        <w:numPr>
          <w:ilvl w:val="0"/>
          <w:numId w:val="43"/>
        </w:numPr>
        <w:autoSpaceDE w:val="0"/>
        <w:autoSpaceDN w:val="0"/>
        <w:adjustRightInd w:val="0"/>
        <w:ind w:left="1134" w:hanging="567"/>
        <w:jc w:val="both"/>
        <w:rPr>
          <w:rFonts w:ascii="Bookman Old Style" w:hAnsi="Bookman Old Style" w:cs="Arial"/>
          <w:color w:val="000000" w:themeColor="text1"/>
        </w:rPr>
      </w:pPr>
      <w:r w:rsidRPr="002E06D0">
        <w:rPr>
          <w:rFonts w:ascii="Bookman Old Style" w:hAnsi="Bookman Old Style" w:cs="Arial"/>
          <w:color w:val="000000" w:themeColor="text1"/>
        </w:rPr>
        <w:t>Para el mecanismo de n</w:t>
      </w:r>
      <w:r w:rsidR="00F757B3" w:rsidRPr="002E06D0">
        <w:rPr>
          <w:rFonts w:ascii="Bookman Old Style" w:hAnsi="Bookman Old Style" w:cs="Arial"/>
          <w:color w:val="000000" w:themeColor="text1"/>
        </w:rPr>
        <w:t xml:space="preserve">egociación directa de contratos bilaterales: </w:t>
      </w:r>
      <w:r w:rsidR="00447371" w:rsidRPr="002E06D0">
        <w:rPr>
          <w:rFonts w:ascii="Bookman Old Style" w:hAnsi="Bookman Old Style" w:cs="Arial"/>
          <w:color w:val="000000" w:themeColor="text1"/>
        </w:rPr>
        <w:t xml:space="preserve">Recibir y publicar las ofertas y demandas a través del </w:t>
      </w:r>
      <w:r w:rsidR="002420A4" w:rsidRPr="002E06D0">
        <w:rPr>
          <w:rFonts w:ascii="Bookman Old Style" w:hAnsi="Bookman Old Style" w:cs="Arial"/>
          <w:color w:val="000000" w:themeColor="text1"/>
        </w:rPr>
        <w:t>SIMM</w:t>
      </w:r>
      <w:r w:rsidR="00447371" w:rsidRPr="002E06D0">
        <w:rPr>
          <w:rFonts w:ascii="Bookman Old Style" w:hAnsi="Bookman Old Style" w:cs="Arial"/>
          <w:color w:val="000000" w:themeColor="text1"/>
        </w:rPr>
        <w:t>.</w:t>
      </w:r>
    </w:p>
    <w:p w:rsidR="00A67D96" w:rsidRPr="002E06D0" w:rsidRDefault="00A67D96" w:rsidP="00A67D96">
      <w:pPr>
        <w:autoSpaceDE w:val="0"/>
        <w:autoSpaceDN w:val="0"/>
        <w:adjustRightInd w:val="0"/>
        <w:ind w:left="1134"/>
        <w:jc w:val="both"/>
        <w:rPr>
          <w:rFonts w:ascii="Bookman Old Style" w:hAnsi="Bookman Old Style" w:cs="Arial"/>
          <w:color w:val="000000" w:themeColor="text1"/>
        </w:rPr>
      </w:pPr>
    </w:p>
    <w:p w:rsidR="00784357" w:rsidRDefault="00784357" w:rsidP="00784357">
      <w:pPr>
        <w:numPr>
          <w:ilvl w:val="0"/>
          <w:numId w:val="43"/>
        </w:numPr>
        <w:autoSpaceDE w:val="0"/>
        <w:autoSpaceDN w:val="0"/>
        <w:adjustRightInd w:val="0"/>
        <w:ind w:left="1134" w:hanging="567"/>
        <w:jc w:val="both"/>
        <w:rPr>
          <w:rFonts w:ascii="Bookman Old Style" w:hAnsi="Bookman Old Style" w:cs="Arial"/>
          <w:color w:val="000000" w:themeColor="text1"/>
        </w:rPr>
      </w:pPr>
      <w:r w:rsidRPr="002E06D0">
        <w:rPr>
          <w:rFonts w:ascii="Bookman Old Style" w:hAnsi="Bookman Old Style" w:cs="Arial"/>
          <w:color w:val="000000" w:themeColor="text1"/>
        </w:rPr>
        <w:t>Para el mecanismo de subasta: Contratar al subastador o hacer sus veces; contratar al auditor; definir y publicar el cronograma de cada</w:t>
      </w:r>
      <w:r w:rsidRPr="00DC07FC">
        <w:rPr>
          <w:rFonts w:ascii="Bookman Old Style" w:hAnsi="Bookman Old Style" w:cs="Arial"/>
          <w:color w:val="000000" w:themeColor="text1"/>
        </w:rPr>
        <w:t xml:space="preserve"> subasta, de conformidad con lo establecido en este reglamento; efectuar las pruebas al sistema de subasta; acreditar como compradores o vendedores habilitados a quienes lo soliciten y cumplan requisitos; solicitar y recibir las ofertas de producto de los </w:t>
      </w:r>
      <w:r w:rsidRPr="00F40F25">
        <w:rPr>
          <w:rFonts w:ascii="Bookman Old Style" w:hAnsi="Bookman Old Style" w:cs="Arial"/>
          <w:color w:val="000000" w:themeColor="text1"/>
        </w:rPr>
        <w:t>comercializadores de oferta; solicitar y recibir la demanda de producto de los compradores; emitir los certificados de asignación</w:t>
      </w:r>
      <w:r w:rsidR="004A2CDB" w:rsidRPr="00F40F25">
        <w:rPr>
          <w:rFonts w:ascii="Bookman Old Style" w:hAnsi="Bookman Old Style" w:cs="Arial"/>
          <w:color w:val="000000" w:themeColor="text1"/>
        </w:rPr>
        <w:t>, tanto para quienes participan directamente como para aquellos que lo hacen a través de un comercializador de demanda</w:t>
      </w:r>
      <w:r w:rsidRPr="00F40F25">
        <w:rPr>
          <w:rFonts w:ascii="Bookman Old Style" w:hAnsi="Bookman Old Style" w:cs="Arial"/>
          <w:color w:val="000000" w:themeColor="text1"/>
        </w:rPr>
        <w:t>; determinar las partes de los contratos de suministro.</w:t>
      </w:r>
    </w:p>
    <w:p w:rsidR="00AC3CCE" w:rsidRPr="00AC3CCE" w:rsidRDefault="00AC3CCE" w:rsidP="00AC3CCE">
      <w:pPr>
        <w:autoSpaceDE w:val="0"/>
        <w:autoSpaceDN w:val="0"/>
        <w:adjustRightInd w:val="0"/>
        <w:ind w:left="0"/>
        <w:jc w:val="both"/>
        <w:rPr>
          <w:rFonts w:ascii="Bookman Old Style" w:hAnsi="Bookman Old Style" w:cs="Arial"/>
          <w:color w:val="000000" w:themeColor="text1"/>
          <w:sz w:val="16"/>
        </w:rPr>
      </w:pPr>
    </w:p>
    <w:p w:rsidR="00784357" w:rsidRPr="00F40F25" w:rsidRDefault="00784357" w:rsidP="00784357">
      <w:pPr>
        <w:numPr>
          <w:ilvl w:val="0"/>
          <w:numId w:val="43"/>
        </w:numPr>
        <w:autoSpaceDE w:val="0"/>
        <w:autoSpaceDN w:val="0"/>
        <w:adjustRightInd w:val="0"/>
        <w:ind w:left="1134" w:hanging="567"/>
        <w:jc w:val="both"/>
        <w:rPr>
          <w:rFonts w:ascii="Bookman Old Style" w:hAnsi="Bookman Old Style" w:cs="Arial"/>
          <w:color w:val="000000" w:themeColor="text1"/>
        </w:rPr>
      </w:pPr>
      <w:r w:rsidRPr="00F40F25">
        <w:rPr>
          <w:rFonts w:ascii="Bookman Old Style" w:hAnsi="Bookman Old Style" w:cs="Arial"/>
          <w:color w:val="000000" w:themeColor="text1"/>
        </w:rPr>
        <w:t>Para el mecanismo de asignación administrada: Recibir y publicar las ofertas a través del SIMM; solicitar y recibir la demanda de producto de los compradores; emitir los certificados de asignación; determinar las partes de los contratos de suministro.</w:t>
      </w:r>
    </w:p>
    <w:p w:rsidR="00C91C28" w:rsidRPr="00AC3CCE" w:rsidRDefault="00C91C28" w:rsidP="00E31C18">
      <w:pPr>
        <w:pStyle w:val="ARTICULOS"/>
        <w:ind w:left="567"/>
        <w:rPr>
          <w:rFonts w:cs="Arial"/>
          <w:color w:val="000000" w:themeColor="text1"/>
          <w:sz w:val="18"/>
          <w:lang w:val="es-ES"/>
        </w:rPr>
      </w:pPr>
    </w:p>
    <w:bookmarkEnd w:id="43"/>
    <w:bookmarkEnd w:id="44"/>
    <w:p w:rsidR="00CE5635" w:rsidRPr="00F40F25" w:rsidRDefault="00CE5635" w:rsidP="00901EFF">
      <w:pPr>
        <w:pStyle w:val="ARTICULOS"/>
        <w:numPr>
          <w:ilvl w:val="1"/>
          <w:numId w:val="42"/>
        </w:numPr>
        <w:ind w:left="567" w:hanging="567"/>
        <w:rPr>
          <w:rFonts w:cs="Arial"/>
          <w:color w:val="000000" w:themeColor="text1"/>
          <w:lang w:val="es-ES"/>
        </w:rPr>
      </w:pPr>
      <w:r w:rsidRPr="00F40F25">
        <w:rPr>
          <w:rFonts w:cs="Arial"/>
          <w:color w:val="000000" w:themeColor="text1"/>
          <w:lang w:val="es-ES"/>
        </w:rPr>
        <w:t>Registro de contratos.</w:t>
      </w:r>
    </w:p>
    <w:p w:rsidR="00CE5635" w:rsidRPr="00AC3CCE" w:rsidRDefault="00CE5635" w:rsidP="00CE5635">
      <w:pPr>
        <w:pStyle w:val="ARTICULOS"/>
        <w:ind w:left="567"/>
        <w:rPr>
          <w:rFonts w:cs="Arial"/>
          <w:color w:val="000000" w:themeColor="text1"/>
          <w:sz w:val="20"/>
          <w:lang w:val="es-ES"/>
        </w:rPr>
      </w:pPr>
    </w:p>
    <w:p w:rsidR="00CE5635" w:rsidRPr="00F40F25" w:rsidRDefault="00CE5635" w:rsidP="00CE5635">
      <w:pPr>
        <w:pStyle w:val="ARTICULOS"/>
        <w:ind w:left="567"/>
        <w:rPr>
          <w:rFonts w:cs="Arial"/>
          <w:color w:val="000000" w:themeColor="text1"/>
          <w:lang w:val="es-ES"/>
        </w:rPr>
      </w:pPr>
      <w:r w:rsidRPr="00F40F25">
        <w:rPr>
          <w:rFonts w:cs="Arial"/>
          <w:color w:val="000000" w:themeColor="text1"/>
          <w:lang w:val="es-ES"/>
        </w:rPr>
        <w:t xml:space="preserve">En desarrollo de este servicio, el gestor del mercado </w:t>
      </w:r>
      <w:r w:rsidR="00F14660" w:rsidRPr="00F40F25">
        <w:rPr>
          <w:color w:val="000000" w:themeColor="text1"/>
        </w:rPr>
        <w:t xml:space="preserve">llevará un registro de los contratos de suministro de </w:t>
      </w:r>
      <w:r w:rsidR="00F14660" w:rsidRPr="00F40F25">
        <w:rPr>
          <w:color w:val="000000" w:themeColor="text1"/>
          <w:lang w:val="es-CO"/>
        </w:rPr>
        <w:t xml:space="preserve">GLP </w:t>
      </w:r>
      <w:r w:rsidR="00F14660" w:rsidRPr="00F40F25">
        <w:rPr>
          <w:color w:val="000000" w:themeColor="text1"/>
        </w:rPr>
        <w:t xml:space="preserve">que se suscriban en el mercado </w:t>
      </w:r>
      <w:r w:rsidR="00F14660" w:rsidRPr="00F40F25">
        <w:rPr>
          <w:color w:val="000000" w:themeColor="text1"/>
          <w:lang w:val="es-CO"/>
        </w:rPr>
        <w:t xml:space="preserve">mayorista, de </w:t>
      </w:r>
      <w:r w:rsidR="00F14660" w:rsidRPr="00F40F25">
        <w:rPr>
          <w:rFonts w:cs="Arial"/>
          <w:color w:val="000000" w:themeColor="text1"/>
        </w:rPr>
        <w:t>conformidad con el anexo 2 de esta resolución</w:t>
      </w:r>
      <w:r w:rsidR="00F14660" w:rsidRPr="00F40F25">
        <w:rPr>
          <w:color w:val="000000" w:themeColor="text1"/>
        </w:rPr>
        <w:t>.</w:t>
      </w:r>
    </w:p>
    <w:p w:rsidR="00CE5635" w:rsidRPr="00F40F25" w:rsidRDefault="00CE5635" w:rsidP="00E31C18">
      <w:pPr>
        <w:pStyle w:val="Prrafodelista"/>
        <w:ind w:left="567"/>
        <w:rPr>
          <w:rFonts w:ascii="Bookman Old Style" w:hAnsi="Bookman Old Style" w:cs="Arial"/>
          <w:color w:val="000000" w:themeColor="text1"/>
          <w:sz w:val="24"/>
          <w:szCs w:val="24"/>
          <w:lang w:val="es-ES"/>
        </w:rPr>
      </w:pPr>
    </w:p>
    <w:p w:rsidR="00E31C18" w:rsidRPr="00DC07FC" w:rsidRDefault="00E31C18" w:rsidP="00901EFF">
      <w:pPr>
        <w:pStyle w:val="ARTICULOS"/>
        <w:numPr>
          <w:ilvl w:val="1"/>
          <w:numId w:val="42"/>
        </w:numPr>
        <w:ind w:left="567" w:hanging="567"/>
        <w:rPr>
          <w:rFonts w:cs="Arial"/>
          <w:color w:val="000000" w:themeColor="text1"/>
          <w:lang w:val="es-ES"/>
        </w:rPr>
      </w:pPr>
      <w:bookmarkStart w:id="45" w:name="_Ref327544645"/>
      <w:bookmarkStart w:id="46" w:name="_Ref329102680"/>
      <w:bookmarkStart w:id="47" w:name="_Ref355280462"/>
      <w:r w:rsidRPr="00F40F25">
        <w:rPr>
          <w:rFonts w:cs="Arial"/>
          <w:color w:val="000000" w:themeColor="text1"/>
          <w:lang w:val="es-ES"/>
        </w:rPr>
        <w:t>Repo</w:t>
      </w:r>
      <w:r w:rsidRPr="00DC07FC">
        <w:rPr>
          <w:rFonts w:cs="Arial"/>
          <w:color w:val="000000" w:themeColor="text1"/>
          <w:lang w:val="es-ES"/>
        </w:rPr>
        <w:t xml:space="preserve">rte de información para el seguimiento del </w:t>
      </w:r>
      <w:bookmarkEnd w:id="45"/>
      <w:r w:rsidRPr="00DC07FC">
        <w:rPr>
          <w:rFonts w:cs="Arial"/>
          <w:color w:val="000000" w:themeColor="text1"/>
          <w:lang w:val="es-ES"/>
        </w:rPr>
        <w:t xml:space="preserve">mercado mayorista </w:t>
      </w:r>
      <w:r w:rsidR="00BA3659" w:rsidRPr="00DC07FC">
        <w:rPr>
          <w:rFonts w:cs="Arial"/>
          <w:color w:val="000000" w:themeColor="text1"/>
          <w:lang w:val="es-ES"/>
        </w:rPr>
        <w:t xml:space="preserve">de </w:t>
      </w:r>
      <w:r w:rsidR="00732518" w:rsidRPr="00DC07FC">
        <w:rPr>
          <w:rFonts w:cs="Arial"/>
          <w:color w:val="000000" w:themeColor="text1"/>
          <w:lang w:val="es-ES"/>
        </w:rPr>
        <w:t>GLP</w:t>
      </w:r>
      <w:r w:rsidRPr="00DC07FC">
        <w:rPr>
          <w:rFonts w:cs="Arial"/>
          <w:color w:val="000000" w:themeColor="text1"/>
          <w:lang w:val="es-ES"/>
        </w:rPr>
        <w:t>.</w:t>
      </w:r>
      <w:bookmarkEnd w:id="46"/>
      <w:bookmarkEnd w:id="47"/>
    </w:p>
    <w:p w:rsidR="00E31C18" w:rsidRPr="00DC07FC" w:rsidRDefault="00E31C18" w:rsidP="00E31C18">
      <w:pPr>
        <w:pStyle w:val="ARTICULOS"/>
        <w:ind w:left="567"/>
        <w:rPr>
          <w:rFonts w:cs="Arial"/>
          <w:color w:val="000000" w:themeColor="text1"/>
          <w:lang w:val="es-ES"/>
        </w:rPr>
      </w:pPr>
    </w:p>
    <w:p w:rsidR="00E31C18" w:rsidRPr="00DC07FC" w:rsidRDefault="00E31C18" w:rsidP="00E31C18">
      <w:pPr>
        <w:pStyle w:val="ARTICULOS"/>
        <w:ind w:left="567"/>
        <w:rPr>
          <w:rFonts w:cs="Arial"/>
          <w:color w:val="000000" w:themeColor="text1"/>
          <w:lang w:val="es-ES"/>
        </w:rPr>
      </w:pPr>
      <w:r w:rsidRPr="00DC07FC">
        <w:rPr>
          <w:rFonts w:cs="Arial"/>
          <w:color w:val="000000" w:themeColor="text1"/>
          <w:lang w:val="es-ES"/>
        </w:rPr>
        <w:t xml:space="preserve">En desarrollo de este servicio, el gestor del mercado pondrá a disposición de las entidades competentes la información transaccional y operativa que las mismas le soliciten para efectos de la regulación, inspección, vigilancia y control del mercado mayorista de </w:t>
      </w:r>
      <w:r w:rsidR="00732518" w:rsidRPr="00DC07FC">
        <w:rPr>
          <w:rFonts w:cs="Arial"/>
          <w:color w:val="000000" w:themeColor="text1"/>
          <w:lang w:val="es-ES"/>
        </w:rPr>
        <w:t>GLP</w:t>
      </w:r>
      <w:r w:rsidRPr="00DC07FC">
        <w:rPr>
          <w:rFonts w:cs="Arial"/>
          <w:color w:val="000000" w:themeColor="text1"/>
          <w:lang w:val="es-ES"/>
        </w:rPr>
        <w:t>. La entrega de esta información no dará lugar a cobro alguno por parte del gestor del mercado.</w:t>
      </w:r>
    </w:p>
    <w:p w:rsidR="007E260D" w:rsidRPr="00AC3CCE" w:rsidRDefault="007E260D" w:rsidP="00E31C18">
      <w:pPr>
        <w:pStyle w:val="ARTICULOS"/>
        <w:ind w:left="567"/>
        <w:rPr>
          <w:rFonts w:cs="Arial"/>
          <w:color w:val="000000" w:themeColor="text1"/>
          <w:sz w:val="20"/>
          <w:lang w:val="es-ES"/>
        </w:rPr>
      </w:pPr>
    </w:p>
    <w:p w:rsidR="002519E7" w:rsidRPr="00E85AA4" w:rsidRDefault="002519E7" w:rsidP="002519E7">
      <w:pPr>
        <w:jc w:val="both"/>
        <w:rPr>
          <w:rFonts w:ascii="Bookman Old Style" w:hAnsi="Bookman Old Style" w:cs="Arial"/>
          <w:bCs/>
          <w:color w:val="000000" w:themeColor="text1"/>
          <w:lang w:eastAsia="x-none"/>
        </w:rPr>
      </w:pPr>
      <w:r w:rsidRPr="00E85AA4">
        <w:rPr>
          <w:rFonts w:ascii="Bookman Old Style" w:hAnsi="Bookman Old Style" w:cs="Arial"/>
          <w:bCs/>
          <w:color w:val="000000" w:themeColor="text1"/>
          <w:lang w:eastAsia="x-none"/>
        </w:rPr>
        <w:t>Como parte de este servicio, el gestor del mercado publicará a través del SIMM la información que se señala en los numerales 1, 2, 3 y 4 del anexo 2 de esta resolución. Cualquier persona podrá acceder, sin costo alguno, a esta información agregada y publicada por el gestor del mercado. El gestor del mercado podrá prestar otros servicios de información que podrán dar lugar a su cobro.</w:t>
      </w:r>
    </w:p>
    <w:p w:rsidR="002519E7" w:rsidRDefault="002519E7" w:rsidP="00E31C18">
      <w:pPr>
        <w:pStyle w:val="ARTICULOS"/>
        <w:rPr>
          <w:rFonts w:cs="Arial"/>
          <w:color w:val="000000" w:themeColor="text1"/>
          <w:sz w:val="18"/>
          <w:lang w:val="es-ES"/>
        </w:rPr>
      </w:pPr>
    </w:p>
    <w:p w:rsidR="002519E7" w:rsidRDefault="002519E7" w:rsidP="00E31C18">
      <w:pPr>
        <w:pStyle w:val="ARTICULOS"/>
        <w:rPr>
          <w:rFonts w:cs="Arial"/>
          <w:color w:val="000000" w:themeColor="text1"/>
          <w:sz w:val="18"/>
          <w:lang w:val="es-ES"/>
        </w:rPr>
      </w:pPr>
    </w:p>
    <w:p w:rsidR="00E31C18" w:rsidRPr="00DC07FC" w:rsidRDefault="00E31C18" w:rsidP="00E31C18">
      <w:pPr>
        <w:pStyle w:val="ARTICULOS"/>
        <w:rPr>
          <w:rFonts w:cs="Arial"/>
          <w:color w:val="000000" w:themeColor="text1"/>
        </w:rPr>
      </w:pPr>
      <w:r w:rsidRPr="00DC07FC">
        <w:rPr>
          <w:rFonts w:cs="Arial"/>
          <w:b/>
          <w:color w:val="000000" w:themeColor="text1"/>
          <w:lang w:val="es-ES"/>
        </w:rPr>
        <w:t>P</w:t>
      </w:r>
      <w:r w:rsidR="009D4B04" w:rsidRPr="00DC07FC">
        <w:rPr>
          <w:rFonts w:cs="Arial"/>
          <w:b/>
          <w:color w:val="000000" w:themeColor="text1"/>
          <w:lang w:val="es-ES"/>
        </w:rPr>
        <w:t>ARÁGRAFO</w:t>
      </w:r>
      <w:r w:rsidRPr="00DC07FC">
        <w:rPr>
          <w:rFonts w:cs="Arial"/>
          <w:b/>
          <w:color w:val="000000" w:themeColor="text1"/>
          <w:lang w:val="es-ES"/>
        </w:rPr>
        <w:t xml:space="preserve"> 1. </w:t>
      </w:r>
      <w:r w:rsidRPr="00DC07FC">
        <w:rPr>
          <w:rFonts w:cs="Arial"/>
          <w:color w:val="000000" w:themeColor="text1"/>
        </w:rPr>
        <w:t>Todos los part</w:t>
      </w:r>
      <w:r w:rsidRPr="004E387B">
        <w:rPr>
          <w:rFonts w:cs="Arial"/>
          <w:color w:val="000000" w:themeColor="text1"/>
        </w:rPr>
        <w:t xml:space="preserve">icipantes del mercado están obligados a </w:t>
      </w:r>
      <w:r w:rsidRPr="004E387B">
        <w:rPr>
          <w:rFonts w:cs="Arial"/>
          <w:color w:val="000000" w:themeColor="text1"/>
          <w:lang w:val="es-CO"/>
        </w:rPr>
        <w:t>declarar</w:t>
      </w:r>
      <w:r w:rsidRPr="004E387B">
        <w:rPr>
          <w:rFonts w:cs="Arial"/>
          <w:color w:val="000000" w:themeColor="text1"/>
        </w:rPr>
        <w:t xml:space="preserve"> la información </w:t>
      </w:r>
      <w:r w:rsidR="0026195D" w:rsidRPr="004E387B">
        <w:rPr>
          <w:rFonts w:cs="Arial"/>
          <w:color w:val="000000" w:themeColor="text1"/>
          <w:lang w:val="es-CO"/>
        </w:rPr>
        <w:t>requerida, de conformidad con</w:t>
      </w:r>
      <w:r w:rsidRPr="004E387B">
        <w:rPr>
          <w:rFonts w:cs="Arial"/>
          <w:color w:val="000000" w:themeColor="text1"/>
        </w:rPr>
        <w:t xml:space="preserve"> </w:t>
      </w:r>
      <w:proofErr w:type="spellStart"/>
      <w:r w:rsidR="004E387B">
        <w:rPr>
          <w:rFonts w:cs="Arial"/>
          <w:color w:val="000000" w:themeColor="text1"/>
          <w:lang w:val="es-CO"/>
        </w:rPr>
        <w:t>el</w:t>
      </w:r>
      <w:proofErr w:type="spellEnd"/>
      <w:r w:rsidR="004E387B">
        <w:rPr>
          <w:rFonts w:cs="Arial"/>
          <w:color w:val="000000" w:themeColor="text1"/>
          <w:lang w:val="es-CO"/>
        </w:rPr>
        <w:t xml:space="preserve"> </w:t>
      </w:r>
      <w:r w:rsidR="0026195D" w:rsidRPr="004E387B">
        <w:rPr>
          <w:rFonts w:cs="Arial"/>
          <w:color w:val="000000" w:themeColor="text1"/>
          <w:lang w:val="es-CO"/>
        </w:rPr>
        <w:t>a</w:t>
      </w:r>
      <w:r w:rsidRPr="004E387B">
        <w:rPr>
          <w:rFonts w:cs="Arial"/>
          <w:color w:val="000000" w:themeColor="text1"/>
        </w:rPr>
        <w:t xml:space="preserve">nexo </w:t>
      </w:r>
      <w:r w:rsidRPr="004E387B">
        <w:rPr>
          <w:rFonts w:cs="Arial"/>
          <w:color w:val="000000" w:themeColor="text1"/>
          <w:lang w:val="es-CO"/>
        </w:rPr>
        <w:t>2</w:t>
      </w:r>
      <w:r w:rsidR="0026195D" w:rsidRPr="004E387B">
        <w:rPr>
          <w:rFonts w:cs="Arial"/>
          <w:color w:val="000000" w:themeColor="text1"/>
        </w:rPr>
        <w:t xml:space="preserve"> de </w:t>
      </w:r>
      <w:r w:rsidR="0026195D" w:rsidRPr="004E387B">
        <w:rPr>
          <w:rFonts w:cs="Arial"/>
          <w:color w:val="000000" w:themeColor="text1"/>
          <w:lang w:val="es-CO"/>
        </w:rPr>
        <w:t>esta</w:t>
      </w:r>
      <w:r w:rsidR="0026195D" w:rsidRPr="004E387B">
        <w:rPr>
          <w:rFonts w:cs="Arial"/>
          <w:color w:val="000000" w:themeColor="text1"/>
        </w:rPr>
        <w:t xml:space="preserve"> </w:t>
      </w:r>
      <w:r w:rsidR="0026195D" w:rsidRPr="004E387B">
        <w:rPr>
          <w:rFonts w:cs="Arial"/>
          <w:color w:val="000000" w:themeColor="text1"/>
          <w:lang w:val="es-CO"/>
        </w:rPr>
        <w:t>re</w:t>
      </w:r>
      <w:r w:rsidRPr="004E387B">
        <w:rPr>
          <w:rFonts w:cs="Arial"/>
          <w:color w:val="000000" w:themeColor="text1"/>
        </w:rPr>
        <w:t xml:space="preserve">solución. Dicha información deberá ser </w:t>
      </w:r>
      <w:r w:rsidRPr="004E387B">
        <w:rPr>
          <w:rFonts w:cs="Arial"/>
          <w:color w:val="000000" w:themeColor="text1"/>
          <w:lang w:val="es-CO"/>
        </w:rPr>
        <w:t>declarada</w:t>
      </w:r>
      <w:r w:rsidRPr="004E387B">
        <w:rPr>
          <w:rFonts w:cs="Arial"/>
          <w:color w:val="000000" w:themeColor="text1"/>
        </w:rPr>
        <w:t xml:space="preserve"> de manera completa, ordenada y exhaustiva, de acuerdo con los</w:t>
      </w:r>
      <w:r w:rsidRPr="00DC07FC">
        <w:rPr>
          <w:rFonts w:cs="Arial"/>
          <w:color w:val="000000" w:themeColor="text1"/>
        </w:rPr>
        <w:t xml:space="preserve"> formatos que establezca el gestor del mercado. En consecuencia, ninguna cláusula de confidencialidad en los contratos celebrados entre los participantes del mercado será oponible al gestor del mercado</w:t>
      </w:r>
      <w:r w:rsidRPr="00DC07FC">
        <w:rPr>
          <w:rFonts w:cs="Arial"/>
          <w:color w:val="000000" w:themeColor="text1"/>
          <w:lang w:val="es-CO"/>
        </w:rPr>
        <w:t>, pero éste deberá dar el manejo que corresponda a la información que revista carácter reservado</w:t>
      </w:r>
      <w:r w:rsidRPr="00DC07FC">
        <w:rPr>
          <w:rFonts w:cs="Arial"/>
          <w:color w:val="000000" w:themeColor="text1"/>
        </w:rPr>
        <w:t>.</w:t>
      </w:r>
    </w:p>
    <w:p w:rsidR="00E31C18" w:rsidRDefault="00E31C18" w:rsidP="00E31C18">
      <w:pPr>
        <w:pStyle w:val="ARTICULOS"/>
        <w:rPr>
          <w:rFonts w:cs="Arial"/>
          <w:color w:val="000000" w:themeColor="text1"/>
        </w:rPr>
      </w:pPr>
    </w:p>
    <w:p w:rsidR="00E31C18" w:rsidRPr="00DC07FC" w:rsidRDefault="00E31C18" w:rsidP="00E31C18">
      <w:pPr>
        <w:pStyle w:val="ARTICULOS"/>
        <w:rPr>
          <w:rFonts w:cs="Arial"/>
          <w:b/>
          <w:color w:val="000000" w:themeColor="text1"/>
          <w:lang w:val="es-ES"/>
        </w:rPr>
      </w:pPr>
      <w:r w:rsidRPr="004E387B">
        <w:rPr>
          <w:rFonts w:cs="Arial"/>
          <w:b/>
          <w:color w:val="000000" w:themeColor="text1"/>
          <w:lang w:val="es-CO"/>
        </w:rPr>
        <w:t>P</w:t>
      </w:r>
      <w:r w:rsidR="009D4B04" w:rsidRPr="004E387B">
        <w:rPr>
          <w:rFonts w:cs="Arial"/>
          <w:b/>
          <w:color w:val="000000" w:themeColor="text1"/>
          <w:lang w:val="es-CO"/>
        </w:rPr>
        <w:t>ARÁGRAFO</w:t>
      </w:r>
      <w:r w:rsidRPr="004E387B">
        <w:rPr>
          <w:rFonts w:cs="Arial"/>
          <w:b/>
          <w:color w:val="000000" w:themeColor="text1"/>
          <w:lang w:val="es-CO"/>
        </w:rPr>
        <w:t xml:space="preserve"> 2. </w:t>
      </w:r>
      <w:r w:rsidRPr="004E387B">
        <w:rPr>
          <w:rFonts w:cs="Arial"/>
          <w:color w:val="000000" w:themeColor="text1"/>
          <w:lang w:val="es-ES"/>
        </w:rPr>
        <w:t xml:space="preserve">La no declaración al gestor del mercado de la información señalada en el </w:t>
      </w:r>
      <w:r w:rsidR="0026195D" w:rsidRPr="004E387B">
        <w:rPr>
          <w:rFonts w:cs="Arial"/>
          <w:color w:val="000000" w:themeColor="text1"/>
          <w:lang w:val="es-CO"/>
        </w:rPr>
        <w:t>a</w:t>
      </w:r>
      <w:r w:rsidRPr="004E387B">
        <w:rPr>
          <w:rFonts w:cs="Arial"/>
          <w:color w:val="000000" w:themeColor="text1"/>
          <w:lang w:val="es-CO"/>
        </w:rPr>
        <w:t xml:space="preserve">nexo 2 </w:t>
      </w:r>
      <w:r w:rsidRPr="004E387B">
        <w:rPr>
          <w:rFonts w:cs="Arial"/>
          <w:color w:val="000000" w:themeColor="text1"/>
          <w:lang w:val="es-ES"/>
        </w:rPr>
        <w:t xml:space="preserve">de esta </w:t>
      </w:r>
      <w:r w:rsidR="0026195D" w:rsidRPr="004E387B">
        <w:rPr>
          <w:rFonts w:cs="Arial"/>
          <w:color w:val="000000" w:themeColor="text1"/>
          <w:lang w:val="es-ES"/>
        </w:rPr>
        <w:t>r</w:t>
      </w:r>
      <w:r w:rsidRPr="004E387B">
        <w:rPr>
          <w:rFonts w:cs="Arial"/>
          <w:color w:val="000000" w:themeColor="text1"/>
          <w:lang w:val="es-ES"/>
        </w:rPr>
        <w:t>esolución podrá ser considerada por la autoridad competente como una práctica contraria a la</w:t>
      </w:r>
      <w:r w:rsidRPr="00DC07FC">
        <w:rPr>
          <w:rFonts w:cs="Arial"/>
          <w:color w:val="000000" w:themeColor="text1"/>
          <w:lang w:val="es-ES"/>
        </w:rPr>
        <w:t xml:space="preserve"> libre competencia. Igual consideración se podrá dar a la declaración reiterada de dicha información de manera inconsistente. Lo anterior sin perjuicio de la responsabilidad derivada de la posible falla en la prestación del servicio que se cause por la no declaración de esta información.</w:t>
      </w:r>
    </w:p>
    <w:p w:rsidR="00E31C18" w:rsidRPr="00DC07FC" w:rsidRDefault="00E31C18" w:rsidP="00E31C18">
      <w:pPr>
        <w:pStyle w:val="ARTICULOS"/>
        <w:rPr>
          <w:rFonts w:cs="Arial"/>
          <w:color w:val="000000" w:themeColor="text1"/>
          <w:lang w:val="es-ES"/>
        </w:rPr>
      </w:pPr>
    </w:p>
    <w:p w:rsidR="00E31C18" w:rsidRPr="00DC07FC" w:rsidRDefault="00E31C18" w:rsidP="00E31C18">
      <w:pPr>
        <w:pStyle w:val="ARTICULOS"/>
        <w:rPr>
          <w:rFonts w:cs="Arial"/>
          <w:color w:val="000000" w:themeColor="text1"/>
          <w:lang w:val="es-ES"/>
        </w:rPr>
      </w:pPr>
      <w:r w:rsidRPr="00DC07FC">
        <w:rPr>
          <w:rFonts w:cs="Arial"/>
          <w:b/>
          <w:color w:val="000000" w:themeColor="text1"/>
          <w:lang w:val="es-ES"/>
        </w:rPr>
        <w:t>P</w:t>
      </w:r>
      <w:r w:rsidR="007B680E" w:rsidRPr="00DC07FC">
        <w:rPr>
          <w:rFonts w:cs="Arial"/>
          <w:b/>
          <w:color w:val="000000" w:themeColor="text1"/>
          <w:lang w:val="es-ES"/>
        </w:rPr>
        <w:t xml:space="preserve">ARÁGRAFO </w:t>
      </w:r>
      <w:r w:rsidRPr="00DC07FC">
        <w:rPr>
          <w:rFonts w:cs="Arial"/>
          <w:b/>
          <w:color w:val="000000" w:themeColor="text1"/>
          <w:lang w:val="es-ES"/>
        </w:rPr>
        <w:t xml:space="preserve">3. </w:t>
      </w:r>
      <w:r w:rsidRPr="00DC07FC">
        <w:rPr>
          <w:rFonts w:cs="Arial"/>
          <w:color w:val="000000" w:themeColor="text1"/>
          <w:lang w:val="es-ES"/>
        </w:rPr>
        <w:t xml:space="preserve">El gestor del mercado no tendrá </w:t>
      </w:r>
      <w:r w:rsidR="00406A91" w:rsidRPr="00DC07FC">
        <w:rPr>
          <w:rFonts w:cs="Arial"/>
          <w:color w:val="000000" w:themeColor="text1"/>
          <w:lang w:val="es-ES"/>
        </w:rPr>
        <w:t xml:space="preserve">la </w:t>
      </w:r>
      <w:r w:rsidRPr="00DC07FC">
        <w:rPr>
          <w:rFonts w:cs="Arial"/>
          <w:color w:val="000000" w:themeColor="text1"/>
          <w:lang w:val="es-ES"/>
        </w:rPr>
        <w:t xml:space="preserve">competencia </w:t>
      </w:r>
      <w:r w:rsidR="00406A91" w:rsidRPr="00DC07FC">
        <w:rPr>
          <w:rFonts w:cs="Arial"/>
          <w:color w:val="000000" w:themeColor="text1"/>
          <w:lang w:val="es-ES"/>
        </w:rPr>
        <w:t xml:space="preserve">para </w:t>
      </w:r>
      <w:r w:rsidRPr="00DC07FC">
        <w:rPr>
          <w:rFonts w:cs="Arial"/>
          <w:color w:val="000000" w:themeColor="text1"/>
          <w:lang w:val="es-ES"/>
        </w:rPr>
        <w:t>determinar la ocurrencia de casos de ejercicio de poder de mercado, prácticas contrarias a la libre competencia o similares. Tampoco tendrá potestades para sancionar comportamientos de los participantes del mercado.</w:t>
      </w:r>
    </w:p>
    <w:p w:rsidR="00F37881" w:rsidRDefault="00F37881" w:rsidP="00E31C18">
      <w:pPr>
        <w:pStyle w:val="ARTICULOS"/>
        <w:rPr>
          <w:rFonts w:cs="Arial"/>
          <w:color w:val="000000" w:themeColor="text1"/>
          <w:lang w:val="es-ES"/>
        </w:rPr>
      </w:pPr>
    </w:p>
    <w:p w:rsidR="00137891" w:rsidRPr="00DC07FC" w:rsidRDefault="00137891" w:rsidP="00E31C18">
      <w:pPr>
        <w:pStyle w:val="ARTICULOS"/>
        <w:rPr>
          <w:rFonts w:cs="Arial"/>
          <w:color w:val="000000" w:themeColor="text1"/>
          <w:lang w:val="es-ES"/>
        </w:rPr>
      </w:pPr>
    </w:p>
    <w:p w:rsidR="00F37881" w:rsidRPr="004E387B" w:rsidRDefault="00F37881" w:rsidP="00D444D6">
      <w:pPr>
        <w:pStyle w:val="ARTICULOS"/>
        <w:numPr>
          <w:ilvl w:val="0"/>
          <w:numId w:val="2"/>
        </w:numPr>
        <w:tabs>
          <w:tab w:val="left" w:pos="1701"/>
        </w:tabs>
        <w:ind w:left="0" w:firstLine="0"/>
        <w:contextualSpacing/>
        <w:outlineLvl w:val="2"/>
        <w:rPr>
          <w:rFonts w:cs="Arial"/>
          <w:color w:val="000000" w:themeColor="text1"/>
          <w:lang w:val="es-ES"/>
        </w:rPr>
      </w:pPr>
      <w:r w:rsidRPr="004E387B">
        <w:rPr>
          <w:rFonts w:cs="Arial"/>
          <w:b/>
          <w:color w:val="000000" w:themeColor="text1"/>
          <w:lang w:val="es-ES"/>
        </w:rPr>
        <w:t xml:space="preserve">OBLIGACIONES DEL GESTOR EN EL REGISTRO DE CONTRATOS. </w:t>
      </w:r>
      <w:r w:rsidRPr="004E387B">
        <w:rPr>
          <w:rFonts w:cs="Arial"/>
          <w:color w:val="000000" w:themeColor="text1"/>
          <w:lang w:val="es-ES"/>
        </w:rPr>
        <w:t xml:space="preserve">Es obligación del gestor, como requisito </w:t>
      </w:r>
      <w:r w:rsidR="000416E5" w:rsidRPr="004E387B">
        <w:rPr>
          <w:rFonts w:cs="Arial"/>
          <w:color w:val="000000" w:themeColor="text1"/>
          <w:lang w:val="es-ES"/>
        </w:rPr>
        <w:t>previo a</w:t>
      </w:r>
      <w:r w:rsidRPr="004E387B">
        <w:rPr>
          <w:rFonts w:cs="Arial"/>
          <w:color w:val="000000" w:themeColor="text1"/>
          <w:lang w:val="es-ES"/>
        </w:rPr>
        <w:t>l registro de los contratos,</w:t>
      </w:r>
      <w:r w:rsidR="00AB4541" w:rsidRPr="004E387B">
        <w:rPr>
          <w:rFonts w:cs="Arial"/>
          <w:color w:val="000000" w:themeColor="text1"/>
          <w:lang w:val="es-ES"/>
        </w:rPr>
        <w:t xml:space="preserve"> </w:t>
      </w:r>
      <w:r w:rsidRPr="004E387B">
        <w:rPr>
          <w:rFonts w:cs="Arial"/>
          <w:color w:val="000000" w:themeColor="text1"/>
          <w:lang w:val="es-ES"/>
        </w:rPr>
        <w:t>verificar</w:t>
      </w:r>
      <w:r w:rsidR="00DE56F7" w:rsidRPr="004E387B">
        <w:rPr>
          <w:rFonts w:cs="Arial"/>
          <w:color w:val="000000" w:themeColor="text1"/>
          <w:lang w:val="es-ES"/>
        </w:rPr>
        <w:t xml:space="preserve"> de conformidad con el anexo 2</w:t>
      </w:r>
      <w:r w:rsidR="00AB4541" w:rsidRPr="004E387B">
        <w:rPr>
          <w:rFonts w:cs="Arial"/>
          <w:color w:val="000000" w:themeColor="text1"/>
          <w:lang w:val="es-ES"/>
        </w:rPr>
        <w:t xml:space="preserve"> de esta resolución</w:t>
      </w:r>
      <w:r w:rsidRPr="004E387B">
        <w:rPr>
          <w:rFonts w:cs="Arial"/>
          <w:color w:val="000000" w:themeColor="text1"/>
          <w:lang w:val="es-ES"/>
        </w:rPr>
        <w:t>:</w:t>
      </w:r>
    </w:p>
    <w:p w:rsidR="00F37881" w:rsidRPr="004E387B" w:rsidRDefault="00F37881" w:rsidP="00F37881">
      <w:pPr>
        <w:ind w:left="0"/>
        <w:contextualSpacing/>
        <w:jc w:val="both"/>
        <w:rPr>
          <w:rFonts w:ascii="Bookman Old Style" w:hAnsi="Bookman Old Style"/>
        </w:rPr>
      </w:pPr>
    </w:p>
    <w:p w:rsidR="002C0271" w:rsidRPr="004E387B" w:rsidRDefault="002C0271" w:rsidP="002C0271">
      <w:pPr>
        <w:pStyle w:val="ARTICULOS"/>
        <w:numPr>
          <w:ilvl w:val="1"/>
          <w:numId w:val="83"/>
        </w:numPr>
        <w:ind w:left="567" w:hanging="567"/>
        <w:rPr>
          <w:rFonts w:cs="Arial"/>
          <w:color w:val="000000" w:themeColor="text1"/>
          <w:lang w:val="es-ES"/>
        </w:rPr>
      </w:pPr>
      <w:r w:rsidRPr="004E387B">
        <w:rPr>
          <w:rFonts w:cs="Arial"/>
          <w:color w:val="000000" w:themeColor="text1"/>
          <w:lang w:val="es-ES"/>
        </w:rPr>
        <w:t>En relación con las partes del contrato:</w:t>
      </w:r>
    </w:p>
    <w:p w:rsidR="002C0271" w:rsidRDefault="002C0271" w:rsidP="00F37881">
      <w:pPr>
        <w:ind w:left="0"/>
        <w:contextualSpacing/>
        <w:jc w:val="both"/>
        <w:rPr>
          <w:rFonts w:ascii="Bookman Old Style" w:hAnsi="Bookman Old Style"/>
        </w:rPr>
      </w:pPr>
    </w:p>
    <w:p w:rsidR="002C0271" w:rsidRPr="00000873" w:rsidRDefault="002C0271" w:rsidP="002C0271">
      <w:pPr>
        <w:numPr>
          <w:ilvl w:val="0"/>
          <w:numId w:val="84"/>
        </w:numPr>
        <w:autoSpaceDE w:val="0"/>
        <w:autoSpaceDN w:val="0"/>
        <w:adjustRightInd w:val="0"/>
        <w:ind w:left="1134" w:hanging="567"/>
        <w:jc w:val="both"/>
        <w:rPr>
          <w:rFonts w:ascii="Bookman Old Style" w:hAnsi="Bookman Old Style" w:cs="Arial"/>
          <w:color w:val="000000" w:themeColor="text1"/>
        </w:rPr>
      </w:pPr>
      <w:r w:rsidRPr="00000873">
        <w:rPr>
          <w:rFonts w:ascii="Bookman Old Style" w:hAnsi="Bookman Old Style" w:cs="Arial"/>
          <w:color w:val="000000" w:themeColor="text1"/>
        </w:rPr>
        <w:t>A través del SUI, que los comercializadores mayoristas cumplen los requisitos establecidos en el artículo 13 de esta resolución o aquellas que la modifiquen, complementen o sustituyan.</w:t>
      </w:r>
    </w:p>
    <w:p w:rsidR="002C0271" w:rsidRPr="00000873" w:rsidRDefault="002C0271" w:rsidP="002C0271">
      <w:pPr>
        <w:numPr>
          <w:ilvl w:val="0"/>
          <w:numId w:val="84"/>
        </w:numPr>
        <w:autoSpaceDE w:val="0"/>
        <w:autoSpaceDN w:val="0"/>
        <w:adjustRightInd w:val="0"/>
        <w:ind w:left="1134" w:hanging="567"/>
        <w:jc w:val="both"/>
        <w:rPr>
          <w:rFonts w:ascii="Bookman Old Style" w:hAnsi="Bookman Old Style" w:cs="Arial"/>
          <w:color w:val="000000" w:themeColor="text1"/>
        </w:rPr>
      </w:pPr>
      <w:r w:rsidRPr="00000873">
        <w:rPr>
          <w:rFonts w:ascii="Bookman Old Style" w:hAnsi="Bookman Old Style" w:cs="Arial"/>
          <w:color w:val="000000" w:themeColor="text1"/>
        </w:rPr>
        <w:t>Que los distribuidores se encuentran inscritos o activos en el SUI o en el RUPS</w:t>
      </w:r>
      <w:r w:rsidR="00901FDC" w:rsidRPr="00000873">
        <w:rPr>
          <w:rFonts w:ascii="Bookman Old Style" w:hAnsi="Bookman Old Style" w:cs="Arial"/>
          <w:color w:val="000000" w:themeColor="text1"/>
        </w:rPr>
        <w:t xml:space="preserve"> y cumplen con los requisitos </w:t>
      </w:r>
      <w:r w:rsidR="00000873" w:rsidRPr="00000873">
        <w:rPr>
          <w:rFonts w:ascii="Bookman Old Style" w:hAnsi="Bookman Old Style" w:cs="Arial"/>
          <w:color w:val="000000" w:themeColor="text1"/>
        </w:rPr>
        <w:t xml:space="preserve">para su operación, </w:t>
      </w:r>
      <w:r w:rsidR="00901FDC" w:rsidRPr="00000873">
        <w:rPr>
          <w:rFonts w:ascii="Bookman Old Style" w:hAnsi="Bookman Old Style" w:cs="Arial"/>
          <w:color w:val="000000" w:themeColor="text1"/>
        </w:rPr>
        <w:t>establecidos en la Resolución CREG 023 de 2009.</w:t>
      </w:r>
    </w:p>
    <w:p w:rsidR="002C0271" w:rsidRPr="00000873" w:rsidRDefault="002C0271" w:rsidP="002C0271">
      <w:pPr>
        <w:numPr>
          <w:ilvl w:val="0"/>
          <w:numId w:val="84"/>
        </w:numPr>
        <w:autoSpaceDE w:val="0"/>
        <w:autoSpaceDN w:val="0"/>
        <w:adjustRightInd w:val="0"/>
        <w:ind w:left="1134" w:hanging="567"/>
        <w:jc w:val="both"/>
        <w:rPr>
          <w:rFonts w:ascii="Bookman Old Style" w:hAnsi="Bookman Old Style" w:cs="Arial"/>
          <w:color w:val="000000" w:themeColor="text1"/>
        </w:rPr>
      </w:pPr>
      <w:r w:rsidRPr="00000873">
        <w:rPr>
          <w:rFonts w:ascii="Bookman Old Style" w:hAnsi="Bookman Old Style" w:cs="Arial"/>
          <w:color w:val="000000" w:themeColor="text1"/>
        </w:rPr>
        <w:t>Que los usuarios no regulados cumplen los requisitos exigidos en el artículo 17 de esta resolución o aquellas que la modifiquen, complementen o sustituyan.</w:t>
      </w:r>
    </w:p>
    <w:p w:rsidR="000A39AC" w:rsidRPr="00DC07FC" w:rsidRDefault="000A39AC" w:rsidP="002C0271">
      <w:pPr>
        <w:numPr>
          <w:ilvl w:val="0"/>
          <w:numId w:val="84"/>
        </w:numPr>
        <w:autoSpaceDE w:val="0"/>
        <w:autoSpaceDN w:val="0"/>
        <w:adjustRightInd w:val="0"/>
        <w:ind w:left="1134" w:hanging="567"/>
        <w:jc w:val="both"/>
        <w:rPr>
          <w:rFonts w:ascii="Bookman Old Style" w:hAnsi="Bookman Old Style" w:cs="Arial"/>
          <w:color w:val="000000" w:themeColor="text1"/>
        </w:rPr>
      </w:pPr>
      <w:r>
        <w:rPr>
          <w:rFonts w:ascii="Bookman Old Style" w:hAnsi="Bookman Old Style" w:cs="Arial"/>
          <w:color w:val="000000" w:themeColor="text1"/>
        </w:rPr>
        <w:t xml:space="preserve">Cuando el comprador corresponda a un UNR, que existe el contrato de prestación de servicio entre dicho UNR y un distribuidor, para el transporte del GLP </w:t>
      </w:r>
      <w:r w:rsidR="002B2709">
        <w:rPr>
          <w:rFonts w:ascii="Bookman Old Style" w:hAnsi="Bookman Old Style" w:cs="Arial"/>
          <w:color w:val="000000" w:themeColor="text1"/>
        </w:rPr>
        <w:t>objeto del contrato de suministro.</w:t>
      </w:r>
    </w:p>
    <w:p w:rsidR="006277DE" w:rsidRPr="00341AA1" w:rsidRDefault="006277DE" w:rsidP="006277DE">
      <w:pPr>
        <w:ind w:left="0"/>
        <w:contextualSpacing/>
        <w:jc w:val="both"/>
        <w:rPr>
          <w:rFonts w:ascii="Bookman Old Style" w:hAnsi="Bookman Old Style"/>
        </w:rPr>
      </w:pPr>
    </w:p>
    <w:p w:rsidR="006277DE" w:rsidRPr="00DC07FC" w:rsidRDefault="006277DE" w:rsidP="006277DE">
      <w:pPr>
        <w:pStyle w:val="ARTICULOS"/>
        <w:numPr>
          <w:ilvl w:val="1"/>
          <w:numId w:val="83"/>
        </w:numPr>
        <w:ind w:left="567" w:hanging="567"/>
        <w:rPr>
          <w:rFonts w:cs="Arial"/>
          <w:color w:val="000000" w:themeColor="text1"/>
          <w:lang w:val="es-ES"/>
        </w:rPr>
      </w:pPr>
      <w:r>
        <w:rPr>
          <w:rFonts w:cs="Arial"/>
          <w:color w:val="000000" w:themeColor="text1"/>
          <w:lang w:val="es-ES"/>
        </w:rPr>
        <w:t>En relación con el contrato:</w:t>
      </w:r>
    </w:p>
    <w:p w:rsidR="006277DE" w:rsidRDefault="006277DE" w:rsidP="006277DE">
      <w:pPr>
        <w:ind w:left="0"/>
        <w:contextualSpacing/>
        <w:jc w:val="both"/>
        <w:rPr>
          <w:rFonts w:ascii="Bookman Old Style" w:hAnsi="Bookman Old Style"/>
        </w:rPr>
      </w:pPr>
    </w:p>
    <w:p w:rsidR="000A39AC" w:rsidRPr="00FB5809" w:rsidRDefault="00341AA1" w:rsidP="006277DE">
      <w:pPr>
        <w:numPr>
          <w:ilvl w:val="0"/>
          <w:numId w:val="85"/>
        </w:numPr>
        <w:autoSpaceDE w:val="0"/>
        <w:autoSpaceDN w:val="0"/>
        <w:adjustRightInd w:val="0"/>
        <w:ind w:left="1134" w:hanging="567"/>
        <w:jc w:val="both"/>
        <w:rPr>
          <w:rFonts w:ascii="Bookman Old Style" w:hAnsi="Bookman Old Style" w:cs="Arial"/>
          <w:color w:val="000000" w:themeColor="text1"/>
        </w:rPr>
      </w:pPr>
      <w:r w:rsidRPr="00FB5809">
        <w:rPr>
          <w:rFonts w:ascii="Bookman Old Style" w:hAnsi="Bookman Old Style" w:cs="Arial"/>
          <w:color w:val="000000" w:themeColor="text1"/>
        </w:rPr>
        <w:t>Que l</w:t>
      </w:r>
      <w:r w:rsidR="000A39AC" w:rsidRPr="00FB5809">
        <w:rPr>
          <w:rFonts w:ascii="Bookman Old Style" w:hAnsi="Bookman Old Style" w:cs="Arial"/>
          <w:color w:val="000000" w:themeColor="text1"/>
        </w:rPr>
        <w:t>a modalidad del contrato corresponde a una de las permitidas en este reglamento.</w:t>
      </w:r>
    </w:p>
    <w:p w:rsidR="00FB1F65" w:rsidRPr="00FB5809" w:rsidRDefault="00FB1F65" w:rsidP="006277DE">
      <w:pPr>
        <w:numPr>
          <w:ilvl w:val="0"/>
          <w:numId w:val="85"/>
        </w:numPr>
        <w:autoSpaceDE w:val="0"/>
        <w:autoSpaceDN w:val="0"/>
        <w:adjustRightInd w:val="0"/>
        <w:ind w:left="1134" w:hanging="567"/>
        <w:jc w:val="both"/>
        <w:rPr>
          <w:rFonts w:ascii="Bookman Old Style" w:hAnsi="Bookman Old Style" w:cs="Arial"/>
          <w:color w:val="000000" w:themeColor="text1"/>
        </w:rPr>
      </w:pPr>
      <w:r w:rsidRPr="00FB5809">
        <w:rPr>
          <w:rFonts w:ascii="Bookman Old Style" w:hAnsi="Bookman Old Style" w:cs="Arial"/>
          <w:color w:val="000000" w:themeColor="text1"/>
        </w:rPr>
        <w:t>Que es resultado de alguno de los mecanismos de comercialización definidos en este reglamento.</w:t>
      </w:r>
    </w:p>
    <w:p w:rsidR="006277DE" w:rsidRPr="00FB5809" w:rsidRDefault="00341AA1" w:rsidP="006277DE">
      <w:pPr>
        <w:numPr>
          <w:ilvl w:val="0"/>
          <w:numId w:val="85"/>
        </w:numPr>
        <w:autoSpaceDE w:val="0"/>
        <w:autoSpaceDN w:val="0"/>
        <w:adjustRightInd w:val="0"/>
        <w:ind w:left="1134" w:hanging="567"/>
        <w:jc w:val="both"/>
        <w:rPr>
          <w:rFonts w:ascii="Bookman Old Style" w:hAnsi="Bookman Old Style" w:cs="Arial"/>
          <w:color w:val="000000" w:themeColor="text1"/>
        </w:rPr>
      </w:pPr>
      <w:r w:rsidRPr="00FB5809">
        <w:rPr>
          <w:rFonts w:ascii="Bookman Old Style" w:hAnsi="Bookman Old Style" w:cs="Arial"/>
          <w:color w:val="000000" w:themeColor="text1"/>
        </w:rPr>
        <w:t>Que l</w:t>
      </w:r>
      <w:r w:rsidR="006277DE" w:rsidRPr="00FB5809">
        <w:rPr>
          <w:rFonts w:ascii="Bookman Old Style" w:hAnsi="Bookman Old Style" w:cs="Arial"/>
          <w:color w:val="000000" w:themeColor="text1"/>
        </w:rPr>
        <w:t>a fecha de terminación corresponde a una de las definidas en este reglamento.</w:t>
      </w:r>
    </w:p>
    <w:p w:rsidR="006277DE" w:rsidRPr="00FB5809" w:rsidRDefault="00341AA1" w:rsidP="006277DE">
      <w:pPr>
        <w:numPr>
          <w:ilvl w:val="0"/>
          <w:numId w:val="85"/>
        </w:numPr>
        <w:autoSpaceDE w:val="0"/>
        <w:autoSpaceDN w:val="0"/>
        <w:adjustRightInd w:val="0"/>
        <w:ind w:left="1134" w:hanging="567"/>
        <w:jc w:val="both"/>
        <w:rPr>
          <w:rFonts w:ascii="Bookman Old Style" w:hAnsi="Bookman Old Style" w:cs="Arial"/>
          <w:color w:val="000000" w:themeColor="text1"/>
        </w:rPr>
      </w:pPr>
      <w:r w:rsidRPr="00FB5809">
        <w:rPr>
          <w:rFonts w:ascii="Bookman Old Style" w:hAnsi="Bookman Old Style" w:cs="Arial"/>
          <w:color w:val="000000" w:themeColor="text1"/>
        </w:rPr>
        <w:t>Que c</w:t>
      </w:r>
      <w:r w:rsidR="000A39AC" w:rsidRPr="00FB5809">
        <w:rPr>
          <w:rFonts w:ascii="Bookman Old Style" w:hAnsi="Bookman Old Style" w:cs="Arial"/>
          <w:color w:val="000000" w:themeColor="text1"/>
        </w:rPr>
        <w:t>umple con los requisitos mínimos establecidos en el artículo 7 de esta resolución.</w:t>
      </w:r>
    </w:p>
    <w:p w:rsidR="006277DE" w:rsidRDefault="006277DE" w:rsidP="006277DE">
      <w:pPr>
        <w:ind w:left="0"/>
        <w:contextualSpacing/>
        <w:jc w:val="both"/>
        <w:rPr>
          <w:rFonts w:ascii="Bookman Old Style" w:hAnsi="Bookman Old Style"/>
          <w:lang w:val="es-CO"/>
        </w:rPr>
      </w:pPr>
    </w:p>
    <w:p w:rsidR="006277DE" w:rsidRPr="00DC07FC" w:rsidRDefault="006277DE" w:rsidP="006277DE">
      <w:pPr>
        <w:pStyle w:val="ARTICULOS"/>
        <w:numPr>
          <w:ilvl w:val="1"/>
          <w:numId w:val="83"/>
        </w:numPr>
        <w:ind w:left="567" w:hanging="567"/>
        <w:rPr>
          <w:rFonts w:cs="Arial"/>
          <w:color w:val="000000" w:themeColor="text1"/>
          <w:lang w:val="es-ES"/>
        </w:rPr>
      </w:pPr>
      <w:r>
        <w:rPr>
          <w:rFonts w:cs="Arial"/>
          <w:color w:val="000000" w:themeColor="text1"/>
          <w:lang w:val="es-ES"/>
        </w:rPr>
        <w:t>En relación con las cantidades contratadas:</w:t>
      </w:r>
    </w:p>
    <w:p w:rsidR="006277DE" w:rsidRDefault="006277DE" w:rsidP="006277DE">
      <w:pPr>
        <w:ind w:left="0"/>
        <w:contextualSpacing/>
        <w:jc w:val="both"/>
        <w:rPr>
          <w:rFonts w:ascii="Bookman Old Style" w:hAnsi="Bookman Old Style"/>
        </w:rPr>
      </w:pPr>
    </w:p>
    <w:p w:rsidR="00CE7AA4" w:rsidRDefault="00FB5809" w:rsidP="006277DE">
      <w:pPr>
        <w:numPr>
          <w:ilvl w:val="0"/>
          <w:numId w:val="86"/>
        </w:numPr>
        <w:autoSpaceDE w:val="0"/>
        <w:autoSpaceDN w:val="0"/>
        <w:adjustRightInd w:val="0"/>
        <w:ind w:left="1134" w:hanging="567"/>
        <w:jc w:val="both"/>
        <w:rPr>
          <w:rFonts w:ascii="Bookman Old Style" w:hAnsi="Bookman Old Style" w:cs="Arial"/>
          <w:color w:val="000000" w:themeColor="text1"/>
        </w:rPr>
      </w:pPr>
      <w:r>
        <w:rPr>
          <w:rFonts w:ascii="Bookman Old Style" w:hAnsi="Bookman Old Style" w:cs="Arial"/>
          <w:color w:val="000000" w:themeColor="text1"/>
        </w:rPr>
        <w:t>Que la cantidad contratada</w:t>
      </w:r>
      <w:r w:rsidR="00CE7AA4">
        <w:rPr>
          <w:rFonts w:ascii="Bookman Old Style" w:hAnsi="Bookman Old Style" w:cs="Arial"/>
          <w:color w:val="000000" w:themeColor="text1"/>
        </w:rPr>
        <w:t xml:space="preserve"> </w:t>
      </w:r>
      <w:r>
        <w:rPr>
          <w:rFonts w:ascii="Bookman Old Style" w:hAnsi="Bookman Old Style" w:cs="Arial"/>
          <w:color w:val="000000" w:themeColor="text1"/>
        </w:rPr>
        <w:t>es menor</w:t>
      </w:r>
      <w:r w:rsidR="00CE7AA4">
        <w:rPr>
          <w:rFonts w:ascii="Bookman Old Style" w:hAnsi="Bookman Old Style" w:cs="Arial"/>
          <w:color w:val="000000" w:themeColor="text1"/>
        </w:rPr>
        <w:t xml:space="preserve"> </w:t>
      </w:r>
      <w:r>
        <w:rPr>
          <w:rFonts w:ascii="Bookman Old Style" w:hAnsi="Bookman Old Style" w:cs="Arial"/>
          <w:color w:val="000000" w:themeColor="text1"/>
        </w:rPr>
        <w:t xml:space="preserve">o igual </w:t>
      </w:r>
      <w:r w:rsidR="00CE7AA4">
        <w:rPr>
          <w:rFonts w:ascii="Bookman Old Style" w:hAnsi="Bookman Old Style" w:cs="Arial"/>
          <w:color w:val="000000" w:themeColor="text1"/>
        </w:rPr>
        <w:t>a la capacidad disponible de compra de la parte compradora, cuando aplique.</w:t>
      </w:r>
    </w:p>
    <w:p w:rsidR="009A0D4D" w:rsidRPr="005F6D60" w:rsidRDefault="009A0D4D" w:rsidP="006277DE">
      <w:pPr>
        <w:numPr>
          <w:ilvl w:val="0"/>
          <w:numId w:val="86"/>
        </w:numPr>
        <w:autoSpaceDE w:val="0"/>
        <w:autoSpaceDN w:val="0"/>
        <w:adjustRightInd w:val="0"/>
        <w:ind w:left="1134" w:hanging="567"/>
        <w:jc w:val="both"/>
        <w:rPr>
          <w:rFonts w:ascii="Bookman Old Style" w:hAnsi="Bookman Old Style" w:cs="Arial"/>
          <w:color w:val="000000" w:themeColor="text1"/>
        </w:rPr>
      </w:pPr>
      <w:r>
        <w:rPr>
          <w:rFonts w:ascii="Bookman Old Style" w:hAnsi="Bookman Old Style" w:cs="Arial"/>
          <w:color w:val="000000" w:themeColor="text1"/>
        </w:rPr>
        <w:lastRenderedPageBreak/>
        <w:t xml:space="preserve">Cuando el vendedor </w:t>
      </w:r>
      <w:r w:rsidR="00F3095D">
        <w:rPr>
          <w:rFonts w:ascii="Bookman Old Style" w:hAnsi="Bookman Old Style" w:cs="Arial"/>
          <w:color w:val="000000" w:themeColor="text1"/>
        </w:rPr>
        <w:t xml:space="preserve">es </w:t>
      </w:r>
      <w:r>
        <w:rPr>
          <w:rFonts w:ascii="Bookman Old Style" w:hAnsi="Bookman Old Style" w:cs="Arial"/>
          <w:color w:val="000000" w:themeColor="text1"/>
        </w:rPr>
        <w:t xml:space="preserve">un comercializador de demanda y </w:t>
      </w:r>
      <w:r w:rsidR="00F3095D">
        <w:rPr>
          <w:rFonts w:ascii="Bookman Old Style" w:hAnsi="Bookman Old Style" w:cs="Arial"/>
          <w:color w:val="000000" w:themeColor="text1"/>
        </w:rPr>
        <w:t>el contrato no corresponde</w:t>
      </w:r>
      <w:r>
        <w:rPr>
          <w:rFonts w:ascii="Bookman Old Style" w:hAnsi="Bookman Old Style" w:cs="Arial"/>
          <w:color w:val="000000" w:themeColor="text1"/>
        </w:rPr>
        <w:t xml:space="preserve"> a aquellos que resulten de rep</w:t>
      </w:r>
      <w:r w:rsidRPr="005F6D60">
        <w:rPr>
          <w:rFonts w:ascii="Bookman Old Style" w:hAnsi="Bookman Old Style" w:cs="Arial"/>
          <w:color w:val="000000" w:themeColor="text1"/>
        </w:rPr>
        <w:t xml:space="preserve">resentar a un agente en la subasta de GLP, </w:t>
      </w:r>
      <w:r w:rsidR="00FB5809" w:rsidRPr="005F6D60">
        <w:rPr>
          <w:rFonts w:ascii="Bookman Old Style" w:hAnsi="Bookman Old Style" w:cs="Arial"/>
          <w:color w:val="000000" w:themeColor="text1"/>
        </w:rPr>
        <w:t>que la</w:t>
      </w:r>
      <w:r w:rsidR="00F3095D" w:rsidRPr="005F6D60">
        <w:rPr>
          <w:rFonts w:ascii="Bookman Old Style" w:hAnsi="Bookman Old Style" w:cs="Arial"/>
          <w:color w:val="000000" w:themeColor="text1"/>
        </w:rPr>
        <w:t xml:space="preserve"> </w:t>
      </w:r>
      <w:r w:rsidR="00FB5809" w:rsidRPr="005F6D60">
        <w:rPr>
          <w:rFonts w:ascii="Bookman Old Style" w:hAnsi="Bookman Old Style" w:cs="Arial"/>
          <w:color w:val="000000" w:themeColor="text1"/>
        </w:rPr>
        <w:t>cantidad</w:t>
      </w:r>
      <w:r w:rsidRPr="005F6D60">
        <w:rPr>
          <w:rFonts w:ascii="Bookman Old Style" w:hAnsi="Bookman Old Style" w:cs="Arial"/>
          <w:color w:val="000000" w:themeColor="text1"/>
        </w:rPr>
        <w:t xml:space="preserve"> </w:t>
      </w:r>
      <w:r w:rsidR="00FB5809" w:rsidRPr="005F6D60">
        <w:rPr>
          <w:rFonts w:ascii="Bookman Old Style" w:hAnsi="Bookman Old Style" w:cs="Arial"/>
          <w:color w:val="000000" w:themeColor="text1"/>
        </w:rPr>
        <w:t>contratada</w:t>
      </w:r>
      <w:r w:rsidR="00F3095D" w:rsidRPr="005F6D60">
        <w:rPr>
          <w:rFonts w:ascii="Bookman Old Style" w:hAnsi="Bookman Old Style" w:cs="Arial"/>
          <w:color w:val="000000" w:themeColor="text1"/>
        </w:rPr>
        <w:t xml:space="preserve"> </w:t>
      </w:r>
      <w:r w:rsidRPr="005F6D60">
        <w:rPr>
          <w:rFonts w:ascii="Bookman Old Style" w:hAnsi="Bookman Old Style" w:cs="Arial"/>
          <w:color w:val="000000" w:themeColor="text1"/>
        </w:rPr>
        <w:t>proce</w:t>
      </w:r>
      <w:r w:rsidR="00FB5809" w:rsidRPr="005F6D60">
        <w:rPr>
          <w:rFonts w:ascii="Bookman Old Style" w:hAnsi="Bookman Old Style" w:cs="Arial"/>
          <w:color w:val="000000" w:themeColor="text1"/>
        </w:rPr>
        <w:t>de</w:t>
      </w:r>
      <w:r w:rsidRPr="005F6D60">
        <w:rPr>
          <w:rFonts w:ascii="Bookman Old Style" w:hAnsi="Bookman Old Style" w:cs="Arial"/>
          <w:color w:val="000000" w:themeColor="text1"/>
        </w:rPr>
        <w:t xml:space="preserve"> de alguno de los casos previstos en los literales a.</w:t>
      </w:r>
      <w:r w:rsidR="00E20019">
        <w:rPr>
          <w:rFonts w:ascii="Bookman Old Style" w:hAnsi="Bookman Old Style" w:cs="Arial"/>
          <w:color w:val="000000" w:themeColor="text1"/>
        </w:rPr>
        <w:t xml:space="preserve"> y</w:t>
      </w:r>
      <w:r w:rsidRPr="005F6D60">
        <w:rPr>
          <w:rFonts w:ascii="Bookman Old Style" w:hAnsi="Bookman Old Style" w:cs="Arial"/>
          <w:color w:val="000000" w:themeColor="text1"/>
        </w:rPr>
        <w:t xml:space="preserve"> b., del artículo 27 de esta resolución.</w:t>
      </w:r>
    </w:p>
    <w:p w:rsidR="00ED0021" w:rsidRDefault="00341AA1" w:rsidP="00DF7027">
      <w:pPr>
        <w:numPr>
          <w:ilvl w:val="0"/>
          <w:numId w:val="86"/>
        </w:numPr>
        <w:autoSpaceDE w:val="0"/>
        <w:autoSpaceDN w:val="0"/>
        <w:adjustRightInd w:val="0"/>
        <w:ind w:left="1134" w:hanging="567"/>
        <w:jc w:val="both"/>
        <w:rPr>
          <w:rFonts w:ascii="Bookman Old Style" w:hAnsi="Bookman Old Style" w:cs="Arial"/>
          <w:color w:val="000000" w:themeColor="text1"/>
        </w:rPr>
      </w:pPr>
      <w:r w:rsidRPr="005F6D60">
        <w:rPr>
          <w:rFonts w:ascii="Bookman Old Style" w:hAnsi="Bookman Old Style" w:cs="Arial"/>
          <w:color w:val="000000" w:themeColor="text1"/>
        </w:rPr>
        <w:t xml:space="preserve">Cuando </w:t>
      </w:r>
      <w:r w:rsidR="00ED0021" w:rsidRPr="005F6D60">
        <w:rPr>
          <w:rFonts w:ascii="Bookman Old Style" w:hAnsi="Bookman Old Style" w:cs="Arial"/>
          <w:color w:val="000000" w:themeColor="text1"/>
        </w:rPr>
        <w:t xml:space="preserve">el vendedor </w:t>
      </w:r>
      <w:r w:rsidR="00F3095D" w:rsidRPr="005F6D60">
        <w:rPr>
          <w:rFonts w:ascii="Bookman Old Style" w:hAnsi="Bookman Old Style" w:cs="Arial"/>
          <w:color w:val="000000" w:themeColor="text1"/>
        </w:rPr>
        <w:t xml:space="preserve">es </w:t>
      </w:r>
      <w:r w:rsidR="00ED0021" w:rsidRPr="005F6D60">
        <w:rPr>
          <w:rFonts w:ascii="Bookman Old Style" w:hAnsi="Bookman Old Style" w:cs="Arial"/>
          <w:color w:val="000000" w:themeColor="text1"/>
        </w:rPr>
        <w:t>un comercializador de oferta y e</w:t>
      </w:r>
      <w:r w:rsidR="00F3095D" w:rsidRPr="005F6D60">
        <w:rPr>
          <w:rFonts w:ascii="Bookman Old Style" w:hAnsi="Bookman Old Style" w:cs="Arial"/>
          <w:color w:val="000000" w:themeColor="text1"/>
        </w:rPr>
        <w:t>l contrato de suministro resulta</w:t>
      </w:r>
      <w:r w:rsidR="00ED0021" w:rsidRPr="005F6D60">
        <w:rPr>
          <w:rFonts w:ascii="Bookman Old Style" w:hAnsi="Bookman Old Style" w:cs="Arial"/>
          <w:color w:val="000000" w:themeColor="text1"/>
        </w:rPr>
        <w:t xml:space="preserve"> de una negociación del mercado secundario en los términos del</w:t>
      </w:r>
      <w:r w:rsidR="00DF7027" w:rsidRPr="005F6D60">
        <w:rPr>
          <w:rFonts w:ascii="Bookman Old Style" w:hAnsi="Bookman Old Style" w:cs="Arial"/>
          <w:color w:val="000000" w:themeColor="text1"/>
        </w:rPr>
        <w:t xml:space="preserve"> </w:t>
      </w:r>
      <w:r w:rsidR="00ED0021" w:rsidRPr="005F6D60">
        <w:rPr>
          <w:rFonts w:ascii="Bookman Old Style" w:hAnsi="Bookman Old Style" w:cs="Arial"/>
          <w:color w:val="000000" w:themeColor="text1"/>
        </w:rPr>
        <w:t xml:space="preserve">literal </w:t>
      </w:r>
      <w:r w:rsidR="00714CFE" w:rsidRPr="005F6D60">
        <w:rPr>
          <w:rFonts w:ascii="Bookman Old Style" w:hAnsi="Bookman Old Style" w:cs="Arial"/>
          <w:color w:val="000000" w:themeColor="text1"/>
        </w:rPr>
        <w:t>d</w:t>
      </w:r>
      <w:r w:rsidR="009254E5" w:rsidRPr="005F6D60">
        <w:rPr>
          <w:rFonts w:ascii="Bookman Old Style" w:hAnsi="Bookman Old Style" w:cs="Arial"/>
          <w:color w:val="000000" w:themeColor="text1"/>
        </w:rPr>
        <w:t>.</w:t>
      </w:r>
      <w:r w:rsidR="00ED0021" w:rsidRPr="005F6D60">
        <w:rPr>
          <w:rFonts w:ascii="Bookman Old Style" w:hAnsi="Bookman Old Style" w:cs="Arial"/>
          <w:color w:val="000000" w:themeColor="text1"/>
        </w:rPr>
        <w:t xml:space="preserve"> </w:t>
      </w:r>
      <w:r w:rsidR="00714CFE" w:rsidRPr="005F6D60">
        <w:rPr>
          <w:rFonts w:ascii="Bookman Old Style" w:hAnsi="Bookman Old Style" w:cs="Arial"/>
          <w:color w:val="000000" w:themeColor="text1"/>
        </w:rPr>
        <w:t>del artículo 27 de esta resolución</w:t>
      </w:r>
      <w:r w:rsidR="00ED0021" w:rsidRPr="005F6D60">
        <w:rPr>
          <w:rFonts w:ascii="Bookman Old Style" w:hAnsi="Bookman Old Style" w:cs="Arial"/>
          <w:color w:val="000000" w:themeColor="text1"/>
        </w:rPr>
        <w:t xml:space="preserve">, que la cantidad de GLP del contrato </w:t>
      </w:r>
      <w:r w:rsidR="00F3095D" w:rsidRPr="005F6D60">
        <w:rPr>
          <w:rFonts w:ascii="Bookman Old Style" w:hAnsi="Bookman Old Style" w:cs="Arial"/>
          <w:color w:val="000000" w:themeColor="text1"/>
        </w:rPr>
        <w:t xml:space="preserve">es </w:t>
      </w:r>
      <w:r w:rsidR="00ED0021" w:rsidRPr="005F6D60">
        <w:rPr>
          <w:rFonts w:ascii="Bookman Old Style" w:hAnsi="Bookman Old Style" w:cs="Arial"/>
          <w:color w:val="000000" w:themeColor="text1"/>
        </w:rPr>
        <w:t xml:space="preserve">menor o igual a la </w:t>
      </w:r>
      <w:r w:rsidR="00DF7027" w:rsidRPr="005F6D60">
        <w:rPr>
          <w:rFonts w:ascii="Bookman Old Style" w:hAnsi="Bookman Old Style" w:cs="Arial"/>
          <w:color w:val="000000" w:themeColor="text1"/>
        </w:rPr>
        <w:t xml:space="preserve">diferencia entre la PTDVF y la </w:t>
      </w:r>
      <w:r w:rsidR="00F1461C">
        <w:rPr>
          <w:rFonts w:ascii="Bookman Old Style" w:hAnsi="Bookman Old Style" w:cs="Arial"/>
          <w:color w:val="000000" w:themeColor="text1"/>
        </w:rPr>
        <w:t xml:space="preserve">suma entre la </w:t>
      </w:r>
      <w:r w:rsidR="00DF7027" w:rsidRPr="005F6D60">
        <w:rPr>
          <w:rFonts w:ascii="Bookman Old Style" w:hAnsi="Bookman Old Style" w:cs="Arial"/>
          <w:color w:val="000000" w:themeColor="text1"/>
        </w:rPr>
        <w:t>cantidad adjudicada mediante el mecanismo de subasta de GLP</w:t>
      </w:r>
      <w:r w:rsidR="00F1461C">
        <w:rPr>
          <w:rFonts w:ascii="Bookman Old Style" w:hAnsi="Bookman Old Style" w:cs="Arial"/>
          <w:color w:val="000000" w:themeColor="text1"/>
        </w:rPr>
        <w:t xml:space="preserve"> y las exportaciones de producto ofrecido y no adjudicado en la subasta de GLP</w:t>
      </w:r>
      <w:r w:rsidR="00DF7027" w:rsidRPr="005F6D60">
        <w:rPr>
          <w:rFonts w:ascii="Bookman Old Style" w:hAnsi="Bookman Old Style" w:cs="Arial"/>
          <w:color w:val="000000" w:themeColor="text1"/>
        </w:rPr>
        <w:t xml:space="preserve">. </w:t>
      </w:r>
      <w:r w:rsidR="00ED0021" w:rsidRPr="005F6D60">
        <w:rPr>
          <w:rFonts w:ascii="Bookman Old Style" w:hAnsi="Bookman Old Style" w:cs="Arial"/>
          <w:color w:val="000000" w:themeColor="text1"/>
        </w:rPr>
        <w:t xml:space="preserve">Esta </w:t>
      </w:r>
      <w:r w:rsidR="00F3095D" w:rsidRPr="005F6D60">
        <w:rPr>
          <w:rFonts w:ascii="Bookman Old Style" w:hAnsi="Bookman Old Style" w:cs="Arial"/>
          <w:color w:val="000000" w:themeColor="text1"/>
        </w:rPr>
        <w:t xml:space="preserve">verificación </w:t>
      </w:r>
      <w:r w:rsidR="00ED0021" w:rsidRPr="005F6D60">
        <w:rPr>
          <w:rFonts w:ascii="Bookman Old Style" w:hAnsi="Bookman Old Style" w:cs="Arial"/>
          <w:color w:val="000000" w:themeColor="text1"/>
        </w:rPr>
        <w:t>debe efectuarse con</w:t>
      </w:r>
      <w:r w:rsidR="00DF7027" w:rsidRPr="005F6D60">
        <w:rPr>
          <w:rFonts w:ascii="Bookman Old Style" w:hAnsi="Bookman Old Style" w:cs="Arial"/>
          <w:color w:val="000000" w:themeColor="text1"/>
        </w:rPr>
        <w:t xml:space="preserve">siderando cada punto de entrega, el </w:t>
      </w:r>
      <w:r w:rsidR="00ED0021" w:rsidRPr="005F6D60">
        <w:rPr>
          <w:rFonts w:ascii="Bookman Old Style" w:hAnsi="Bookman Old Style" w:cs="Arial"/>
          <w:color w:val="000000" w:themeColor="text1"/>
        </w:rPr>
        <w:t>comercializador de oferta</w:t>
      </w:r>
      <w:r w:rsidR="00DF7027" w:rsidRPr="005F6D60">
        <w:rPr>
          <w:rFonts w:ascii="Bookman Old Style" w:hAnsi="Bookman Old Style" w:cs="Arial"/>
          <w:color w:val="000000" w:themeColor="text1"/>
        </w:rPr>
        <w:t xml:space="preserve"> y otros contratos que ya hayan sido registrados en los términos de este literal</w:t>
      </w:r>
      <w:r w:rsidR="00ED0021" w:rsidRPr="005F6D60">
        <w:rPr>
          <w:rFonts w:ascii="Bookman Old Style" w:hAnsi="Bookman Old Style" w:cs="Arial"/>
          <w:color w:val="000000" w:themeColor="text1"/>
        </w:rPr>
        <w:t>.</w:t>
      </w:r>
    </w:p>
    <w:p w:rsidR="0080387C" w:rsidRPr="005F6D60" w:rsidRDefault="0080387C" w:rsidP="00DF7027">
      <w:pPr>
        <w:numPr>
          <w:ilvl w:val="0"/>
          <w:numId w:val="86"/>
        </w:numPr>
        <w:autoSpaceDE w:val="0"/>
        <w:autoSpaceDN w:val="0"/>
        <w:adjustRightInd w:val="0"/>
        <w:ind w:left="1134" w:hanging="567"/>
        <w:jc w:val="both"/>
        <w:rPr>
          <w:rFonts w:ascii="Bookman Old Style" w:hAnsi="Bookman Old Style" w:cs="Arial"/>
          <w:color w:val="000000" w:themeColor="text1"/>
        </w:rPr>
      </w:pPr>
      <w:r w:rsidRPr="005F6D60">
        <w:rPr>
          <w:rFonts w:ascii="Bookman Old Style" w:hAnsi="Bookman Old Style" w:cs="Arial"/>
          <w:color w:val="000000" w:themeColor="text1"/>
        </w:rPr>
        <w:t xml:space="preserve">Cuando el vendedor </w:t>
      </w:r>
      <w:r w:rsidR="00C43C3B" w:rsidRPr="005F6D60">
        <w:rPr>
          <w:rFonts w:ascii="Bookman Old Style" w:hAnsi="Bookman Old Style" w:cs="Arial"/>
          <w:color w:val="000000" w:themeColor="text1"/>
        </w:rPr>
        <w:t xml:space="preserve">es </w:t>
      </w:r>
      <w:r w:rsidRPr="005F6D60">
        <w:rPr>
          <w:rFonts w:ascii="Bookman Old Style" w:hAnsi="Bookman Old Style" w:cs="Arial"/>
          <w:color w:val="000000" w:themeColor="text1"/>
        </w:rPr>
        <w:t>un comercializador de oferta y e</w:t>
      </w:r>
      <w:r w:rsidR="00C43C3B" w:rsidRPr="005F6D60">
        <w:rPr>
          <w:rFonts w:ascii="Bookman Old Style" w:hAnsi="Bookman Old Style" w:cs="Arial"/>
          <w:color w:val="000000" w:themeColor="text1"/>
        </w:rPr>
        <w:t>l contrato de suministro resulta</w:t>
      </w:r>
      <w:r w:rsidRPr="005F6D60">
        <w:rPr>
          <w:rFonts w:ascii="Bookman Old Style" w:hAnsi="Bookman Old Style" w:cs="Arial"/>
          <w:color w:val="000000" w:themeColor="text1"/>
        </w:rPr>
        <w:t xml:space="preserve"> de una negociación del mercado secundario en los términos del literal</w:t>
      </w:r>
      <w:r w:rsidR="00E20019">
        <w:rPr>
          <w:rFonts w:ascii="Bookman Old Style" w:hAnsi="Bookman Old Style" w:cs="Arial"/>
          <w:color w:val="000000" w:themeColor="text1"/>
        </w:rPr>
        <w:t xml:space="preserve"> c y</w:t>
      </w:r>
      <w:r w:rsidRPr="005F6D60">
        <w:rPr>
          <w:rFonts w:ascii="Bookman Old Style" w:hAnsi="Bookman Old Style" w:cs="Arial"/>
          <w:color w:val="000000" w:themeColor="text1"/>
        </w:rPr>
        <w:t xml:space="preserve"> e. del artículo 27 de esta resolución, que la cantidad de GLP del contrato </w:t>
      </w:r>
      <w:r w:rsidR="00C43C3B" w:rsidRPr="005F6D60">
        <w:rPr>
          <w:rFonts w:ascii="Bookman Old Style" w:hAnsi="Bookman Old Style" w:cs="Arial"/>
          <w:color w:val="000000" w:themeColor="text1"/>
        </w:rPr>
        <w:t xml:space="preserve">es </w:t>
      </w:r>
      <w:r w:rsidRPr="005F6D60">
        <w:rPr>
          <w:rFonts w:ascii="Bookman Old Style" w:hAnsi="Bookman Old Style" w:cs="Arial"/>
          <w:color w:val="000000" w:themeColor="text1"/>
        </w:rPr>
        <w:t xml:space="preserve">menor o igual </w:t>
      </w:r>
      <w:r w:rsidRPr="005F6D60">
        <w:rPr>
          <w:rFonts w:ascii="Bookman Old Style" w:hAnsi="Bookman Old Style" w:cs="Arial"/>
        </w:rPr>
        <w:t>a la diferencia entre la PTDV y la</w:t>
      </w:r>
      <w:r w:rsidR="0033433F" w:rsidRPr="005F6D60">
        <w:rPr>
          <w:rFonts w:ascii="Bookman Old Style" w:hAnsi="Bookman Old Style" w:cs="Arial"/>
        </w:rPr>
        <w:t xml:space="preserve"> suma de</w:t>
      </w:r>
      <w:r w:rsidR="00E20019">
        <w:rPr>
          <w:rFonts w:ascii="Bookman Old Style" w:hAnsi="Bookman Old Style" w:cs="Arial"/>
        </w:rPr>
        <w:t xml:space="preserve"> PTDVF,</w:t>
      </w:r>
      <w:r w:rsidR="0033433F" w:rsidRPr="005F6D60">
        <w:rPr>
          <w:rFonts w:ascii="Bookman Old Style" w:hAnsi="Bookman Old Style" w:cs="Arial"/>
        </w:rPr>
        <w:t xml:space="preserve"> cantidades ya adjudicadas mediante el mecanismo de asignación administrada</w:t>
      </w:r>
      <w:r w:rsidR="00F1461C">
        <w:rPr>
          <w:rFonts w:ascii="Bookman Old Style" w:hAnsi="Bookman Old Style" w:cs="Arial"/>
        </w:rPr>
        <w:t xml:space="preserve"> y </w:t>
      </w:r>
      <w:r w:rsidR="00E20019">
        <w:rPr>
          <w:rFonts w:ascii="Bookman Old Style" w:hAnsi="Bookman Old Style" w:cs="Arial"/>
        </w:rPr>
        <w:t>cantidades ya registradas provenientes de un proyecto para el desarrollo de nueva oferta, en los términos del literal d. del artículo 23 de esta resolución</w:t>
      </w:r>
      <w:r w:rsidR="0033433F" w:rsidRPr="005F6D60">
        <w:rPr>
          <w:rFonts w:ascii="Bookman Old Style" w:hAnsi="Bookman Old Style" w:cs="Arial"/>
        </w:rPr>
        <w:t xml:space="preserve">, que estén </w:t>
      </w:r>
      <w:r w:rsidRPr="005F6D60">
        <w:rPr>
          <w:rFonts w:ascii="Bookman Old Style" w:hAnsi="Bookman Old Style" w:cs="Arial"/>
        </w:rPr>
        <w:t>vigentes al momento del registro</w:t>
      </w:r>
      <w:r w:rsidRPr="005F6D60">
        <w:rPr>
          <w:rFonts w:ascii="Bookman Old Style" w:hAnsi="Bookman Old Style" w:cs="Arial"/>
          <w:color w:val="000000" w:themeColor="text1"/>
        </w:rPr>
        <w:t>. Esta validación debe efectuarse considerando cada punto de entrega, el comercializador de oferta y otros contratos que ya hayan sido registrados en los términos de este literal.</w:t>
      </w:r>
    </w:p>
    <w:p w:rsidR="00BE7408" w:rsidRPr="00DC07FC" w:rsidRDefault="00BE7408" w:rsidP="00E31C18">
      <w:pPr>
        <w:pStyle w:val="ARTICULOS"/>
        <w:rPr>
          <w:rFonts w:cs="Arial"/>
          <w:color w:val="000000" w:themeColor="text1"/>
          <w:lang w:val="es-CO"/>
        </w:rPr>
      </w:pPr>
    </w:p>
    <w:p w:rsidR="00E31C18" w:rsidRDefault="00A40625" w:rsidP="00D444D6">
      <w:pPr>
        <w:pStyle w:val="ARTICULOS"/>
        <w:numPr>
          <w:ilvl w:val="0"/>
          <w:numId w:val="2"/>
        </w:numPr>
        <w:tabs>
          <w:tab w:val="left" w:pos="1701"/>
        </w:tabs>
        <w:ind w:left="0" w:firstLine="0"/>
        <w:contextualSpacing/>
        <w:outlineLvl w:val="2"/>
        <w:rPr>
          <w:rFonts w:cs="Arial"/>
          <w:color w:val="000000" w:themeColor="text1"/>
          <w:lang w:val="es-ES"/>
        </w:rPr>
      </w:pPr>
      <w:bookmarkStart w:id="48" w:name="_Ref329104150"/>
      <w:r w:rsidRPr="00DC07FC">
        <w:rPr>
          <w:rFonts w:cs="Arial"/>
          <w:b/>
          <w:color w:val="000000" w:themeColor="text1"/>
          <w:lang w:val="es-ES"/>
        </w:rPr>
        <w:t xml:space="preserve">SELECCIÓN DEL GESTOR DEL MERCADO. </w:t>
      </w:r>
      <w:r w:rsidR="00E31C18" w:rsidRPr="00DC07FC">
        <w:rPr>
          <w:rFonts w:cs="Arial"/>
          <w:color w:val="000000" w:themeColor="text1"/>
          <w:lang w:val="es-ES"/>
        </w:rPr>
        <w:t>Con la periodicidad que determine la CREG, ésta adelantará un concurso público para seleccionar al gestor del merca</w:t>
      </w:r>
      <w:r w:rsidR="00E31C18" w:rsidRPr="00C73D9F">
        <w:rPr>
          <w:rFonts w:cs="Arial"/>
          <w:color w:val="000000" w:themeColor="text1"/>
          <w:lang w:val="es-ES"/>
        </w:rPr>
        <w:t xml:space="preserve">do que prestará los servicios establecidos en el </w:t>
      </w:r>
      <w:r w:rsidR="00FB7950" w:rsidRPr="00C73D9F">
        <w:rPr>
          <w:rFonts w:cs="Arial"/>
          <w:color w:val="000000" w:themeColor="text1"/>
          <w:lang w:val="es-ES"/>
        </w:rPr>
        <w:t>artículo 32</w:t>
      </w:r>
      <w:r w:rsidR="00E31C18" w:rsidRPr="00C73D9F">
        <w:rPr>
          <w:rFonts w:cs="Arial"/>
          <w:color w:val="000000" w:themeColor="text1"/>
          <w:lang w:val="es-ES"/>
        </w:rPr>
        <w:t xml:space="preserve"> </w:t>
      </w:r>
      <w:r w:rsidR="00FB7950" w:rsidRPr="00C73D9F">
        <w:rPr>
          <w:rFonts w:cs="Arial"/>
          <w:color w:val="000000" w:themeColor="text1"/>
          <w:lang w:val="es-ES"/>
        </w:rPr>
        <w:t>de esta r</w:t>
      </w:r>
      <w:r w:rsidR="00E31C18" w:rsidRPr="00C73D9F">
        <w:rPr>
          <w:rFonts w:cs="Arial"/>
          <w:color w:val="000000" w:themeColor="text1"/>
          <w:lang w:val="es-ES"/>
        </w:rPr>
        <w:t xml:space="preserve">esolución. Dicho concurso estará sujeto a los principios </w:t>
      </w:r>
      <w:r w:rsidR="00707AE2" w:rsidRPr="00C73D9F">
        <w:rPr>
          <w:rFonts w:cs="Arial"/>
          <w:color w:val="000000" w:themeColor="text1"/>
          <w:lang w:val="es-ES"/>
        </w:rPr>
        <w:t xml:space="preserve">y condiciones </w:t>
      </w:r>
      <w:r w:rsidR="00E31C18" w:rsidRPr="00C73D9F">
        <w:rPr>
          <w:rFonts w:cs="Arial"/>
          <w:color w:val="000000" w:themeColor="text1"/>
          <w:lang w:val="es-ES"/>
        </w:rPr>
        <w:t xml:space="preserve">de </w:t>
      </w:r>
      <w:r w:rsidR="00707AE2" w:rsidRPr="00C73D9F">
        <w:rPr>
          <w:rFonts w:cs="Arial"/>
          <w:color w:val="000000" w:themeColor="text1"/>
          <w:lang w:val="es-ES"/>
        </w:rPr>
        <w:t>neutralidad, ind</w:t>
      </w:r>
      <w:r w:rsidR="00707AE2" w:rsidRPr="00DC07FC">
        <w:rPr>
          <w:rFonts w:cs="Arial"/>
          <w:color w:val="000000" w:themeColor="text1"/>
          <w:lang w:val="es-ES"/>
        </w:rPr>
        <w:t xml:space="preserve">ependencia, </w:t>
      </w:r>
      <w:r w:rsidR="00E31C18" w:rsidRPr="00DC07FC">
        <w:rPr>
          <w:rFonts w:cs="Arial"/>
          <w:color w:val="000000" w:themeColor="text1"/>
          <w:lang w:val="es-ES"/>
        </w:rPr>
        <w:t>transparencia y selección objetiva</w:t>
      </w:r>
      <w:r w:rsidR="00707AE2" w:rsidRPr="00DC07FC">
        <w:rPr>
          <w:rFonts w:cs="Arial"/>
          <w:color w:val="000000" w:themeColor="text1"/>
          <w:lang w:val="es-ES"/>
        </w:rPr>
        <w:t xml:space="preserve">, de acuerdo con </w:t>
      </w:r>
      <w:r w:rsidR="00E31C18" w:rsidRPr="00DC07FC">
        <w:rPr>
          <w:rFonts w:cs="Arial"/>
          <w:color w:val="000000" w:themeColor="text1"/>
          <w:lang w:val="es-ES"/>
        </w:rPr>
        <w:t>la metodología definida por la CREG en resolución aparte.</w:t>
      </w:r>
    </w:p>
    <w:p w:rsidR="009E551C" w:rsidRDefault="009E551C" w:rsidP="009E551C">
      <w:pPr>
        <w:pStyle w:val="ARTICULOS"/>
        <w:tabs>
          <w:tab w:val="left" w:pos="1701"/>
        </w:tabs>
        <w:contextualSpacing/>
        <w:outlineLvl w:val="2"/>
        <w:rPr>
          <w:rFonts w:cs="Arial"/>
          <w:b/>
          <w:color w:val="000000" w:themeColor="text1"/>
          <w:lang w:val="es-ES"/>
        </w:rPr>
      </w:pPr>
    </w:p>
    <w:bookmarkEnd w:id="48"/>
    <w:p w:rsidR="00E31C18" w:rsidRPr="00DC07FC" w:rsidRDefault="00E31C18" w:rsidP="00E31C18">
      <w:pPr>
        <w:ind w:left="0"/>
        <w:rPr>
          <w:rFonts w:ascii="Bookman Old Style" w:hAnsi="Bookman Old Style" w:cs="Arial"/>
          <w:color w:val="000000" w:themeColor="text1"/>
        </w:rPr>
      </w:pPr>
    </w:p>
    <w:p w:rsidR="00E31C18" w:rsidRPr="00C73D9F" w:rsidRDefault="00A40625" w:rsidP="00D444D6">
      <w:pPr>
        <w:pStyle w:val="ARTICULOS"/>
        <w:numPr>
          <w:ilvl w:val="0"/>
          <w:numId w:val="2"/>
        </w:numPr>
        <w:tabs>
          <w:tab w:val="left" w:pos="1701"/>
        </w:tabs>
        <w:ind w:left="0" w:firstLine="0"/>
        <w:contextualSpacing/>
        <w:outlineLvl w:val="2"/>
        <w:rPr>
          <w:rFonts w:cs="Arial"/>
          <w:color w:val="000000" w:themeColor="text1"/>
          <w:lang w:val="es-ES"/>
        </w:rPr>
      </w:pPr>
      <w:r w:rsidRPr="00DC07FC">
        <w:rPr>
          <w:rFonts w:cs="Arial"/>
          <w:b/>
          <w:color w:val="000000" w:themeColor="text1"/>
          <w:lang w:val="es-ES"/>
        </w:rPr>
        <w:t xml:space="preserve">REMUNERACIÓN DEL GESTOR DEL MERCADO. </w:t>
      </w:r>
      <w:r w:rsidR="00E31C18" w:rsidRPr="00DC07FC">
        <w:rPr>
          <w:rFonts w:cs="Arial"/>
          <w:color w:val="000000" w:themeColor="text1"/>
          <w:lang w:val="es-ES"/>
        </w:rPr>
        <w:t>La remuneración de los servicios prestados por el gestor del mercado estará sujeta a un esquema de ingreso r</w:t>
      </w:r>
      <w:r w:rsidR="00E31C18" w:rsidRPr="00C73D9F">
        <w:rPr>
          <w:rFonts w:cs="Arial"/>
          <w:color w:val="000000" w:themeColor="text1"/>
          <w:lang w:val="es-ES"/>
        </w:rPr>
        <w:t xml:space="preserve">egulado. Dicho ingreso se determinará con base en el proceso de selección de que trata el </w:t>
      </w:r>
      <w:r w:rsidR="005F207E" w:rsidRPr="00C73D9F">
        <w:rPr>
          <w:rFonts w:cs="Arial"/>
          <w:color w:val="000000" w:themeColor="text1"/>
          <w:lang w:val="es-ES"/>
        </w:rPr>
        <w:t>artículo 3</w:t>
      </w:r>
      <w:r w:rsidR="00F37881" w:rsidRPr="00C73D9F">
        <w:rPr>
          <w:rFonts w:cs="Arial"/>
          <w:color w:val="000000" w:themeColor="text1"/>
          <w:lang w:val="es-ES"/>
        </w:rPr>
        <w:t>4</w:t>
      </w:r>
      <w:r w:rsidR="00E31C18" w:rsidRPr="00C73D9F">
        <w:rPr>
          <w:rFonts w:cs="Arial"/>
          <w:color w:val="000000" w:themeColor="text1"/>
          <w:lang w:val="es-ES"/>
        </w:rPr>
        <w:t xml:space="preserve"> </w:t>
      </w:r>
      <w:r w:rsidR="00C137C1" w:rsidRPr="00C73D9F">
        <w:rPr>
          <w:rFonts w:cs="Arial"/>
          <w:color w:val="000000" w:themeColor="text1"/>
          <w:lang w:val="es-ES"/>
        </w:rPr>
        <w:t>de esta r</w:t>
      </w:r>
      <w:r w:rsidR="00E31C18" w:rsidRPr="00C73D9F">
        <w:rPr>
          <w:rFonts w:cs="Arial"/>
          <w:color w:val="000000" w:themeColor="text1"/>
          <w:lang w:val="es-ES"/>
        </w:rPr>
        <w:t>esolución.</w:t>
      </w:r>
    </w:p>
    <w:p w:rsidR="00E31C18" w:rsidRPr="00DC07FC" w:rsidRDefault="00E31C18" w:rsidP="00E31C18">
      <w:pPr>
        <w:pStyle w:val="ARTICULOS"/>
        <w:rPr>
          <w:rFonts w:cs="Arial"/>
          <w:color w:val="000000" w:themeColor="text1"/>
          <w:lang w:val="es-ES"/>
        </w:rPr>
      </w:pPr>
    </w:p>
    <w:p w:rsidR="00E31C18" w:rsidRPr="00DC07FC" w:rsidRDefault="00E31C18" w:rsidP="00E31C18">
      <w:pPr>
        <w:pStyle w:val="ARTICULOS"/>
        <w:rPr>
          <w:rFonts w:cs="Arial"/>
          <w:color w:val="000000" w:themeColor="text1"/>
          <w:lang w:val="es-ES"/>
        </w:rPr>
      </w:pPr>
      <w:r w:rsidRPr="00DC07FC">
        <w:rPr>
          <w:rFonts w:cs="Arial"/>
          <w:color w:val="000000" w:themeColor="text1"/>
          <w:lang w:val="es-ES"/>
        </w:rPr>
        <w:t>El ingreso permitido al gestor del mercado será</w:t>
      </w:r>
      <w:r w:rsidR="00C137C1" w:rsidRPr="00DC07FC">
        <w:rPr>
          <w:rFonts w:cs="Arial"/>
          <w:color w:val="000000" w:themeColor="text1"/>
          <w:lang w:val="es-ES"/>
        </w:rPr>
        <w:t xml:space="preserve"> pagado por los compradores de GLP</w:t>
      </w:r>
      <w:r w:rsidRPr="00DC07FC">
        <w:rPr>
          <w:rFonts w:cs="Arial"/>
          <w:color w:val="000000" w:themeColor="text1"/>
          <w:lang w:val="es-ES"/>
        </w:rPr>
        <w:t xml:space="preserve"> </w:t>
      </w:r>
      <w:r w:rsidR="0038561C" w:rsidRPr="00DC07FC">
        <w:rPr>
          <w:rFonts w:cs="Arial"/>
          <w:color w:val="000000" w:themeColor="text1"/>
          <w:lang w:val="es-ES"/>
        </w:rPr>
        <w:t>que utilicen el mecanismo de subasta de</w:t>
      </w:r>
      <w:r w:rsidRPr="00DC07FC">
        <w:rPr>
          <w:rFonts w:cs="Arial"/>
          <w:color w:val="000000" w:themeColor="text1"/>
          <w:lang w:val="es-ES"/>
        </w:rPr>
        <w:t xml:space="preserve">l mercado primario. Los comercializadores </w:t>
      </w:r>
      <w:r w:rsidR="00D16589" w:rsidRPr="00DC07FC">
        <w:rPr>
          <w:rFonts w:cs="Arial"/>
          <w:color w:val="000000" w:themeColor="text1"/>
          <w:lang w:val="es-ES"/>
        </w:rPr>
        <w:t xml:space="preserve">mayoristas y distribuidores, que participen </w:t>
      </w:r>
      <w:r w:rsidR="0038561C" w:rsidRPr="00DC07FC">
        <w:rPr>
          <w:rFonts w:cs="Arial"/>
          <w:color w:val="000000" w:themeColor="text1"/>
          <w:lang w:val="es-ES"/>
        </w:rPr>
        <w:t xml:space="preserve">del mecanismo </w:t>
      </w:r>
      <w:r w:rsidRPr="00DC07FC">
        <w:rPr>
          <w:rFonts w:cs="Arial"/>
          <w:color w:val="000000" w:themeColor="text1"/>
          <w:lang w:val="es-ES"/>
        </w:rPr>
        <w:t>podrán trasladar este costo a los usuarios finales.</w:t>
      </w:r>
    </w:p>
    <w:p w:rsidR="00435AEF" w:rsidRDefault="00435AEF" w:rsidP="00435AEF">
      <w:pPr>
        <w:ind w:left="0"/>
        <w:contextualSpacing/>
        <w:jc w:val="both"/>
        <w:rPr>
          <w:rFonts w:ascii="Bookman Old Style" w:hAnsi="Bookman Old Style"/>
          <w:sz w:val="16"/>
        </w:rPr>
      </w:pPr>
    </w:p>
    <w:p w:rsidR="009E551C" w:rsidRPr="00137891" w:rsidRDefault="009E551C" w:rsidP="00435AEF">
      <w:pPr>
        <w:ind w:left="0"/>
        <w:contextualSpacing/>
        <w:jc w:val="both"/>
        <w:rPr>
          <w:rFonts w:ascii="Bookman Old Style" w:hAnsi="Bookman Old Style"/>
          <w:sz w:val="16"/>
        </w:rPr>
      </w:pPr>
    </w:p>
    <w:p w:rsidR="00F47305" w:rsidRDefault="00F47305" w:rsidP="00435AEF">
      <w:pPr>
        <w:ind w:left="0"/>
        <w:contextualSpacing/>
        <w:jc w:val="both"/>
        <w:rPr>
          <w:rFonts w:ascii="Bookman Old Style" w:hAnsi="Bookman Old Style"/>
        </w:rPr>
      </w:pPr>
    </w:p>
    <w:p w:rsidR="009E551C" w:rsidRPr="00DC07FC" w:rsidRDefault="009E551C" w:rsidP="00435AEF">
      <w:pPr>
        <w:ind w:left="0"/>
        <w:contextualSpacing/>
        <w:jc w:val="both"/>
        <w:rPr>
          <w:rFonts w:ascii="Bookman Old Style" w:hAnsi="Bookman Old Style"/>
        </w:rPr>
      </w:pPr>
    </w:p>
    <w:p w:rsidR="00F47305" w:rsidRPr="00DC07FC" w:rsidRDefault="00F47305" w:rsidP="00F47305">
      <w:pPr>
        <w:pStyle w:val="Ttulo1"/>
        <w:contextualSpacing/>
        <w:rPr>
          <w:szCs w:val="24"/>
        </w:rPr>
      </w:pPr>
      <w:r w:rsidRPr="00DC07FC">
        <w:rPr>
          <w:szCs w:val="24"/>
        </w:rPr>
        <w:lastRenderedPageBreak/>
        <w:t>TÍTULO VII</w:t>
      </w:r>
    </w:p>
    <w:p w:rsidR="00F47305" w:rsidRPr="00DC07FC" w:rsidRDefault="00F47305" w:rsidP="00F47305">
      <w:pPr>
        <w:pStyle w:val="Ttulo1"/>
        <w:contextualSpacing/>
        <w:rPr>
          <w:b w:val="0"/>
        </w:rPr>
      </w:pPr>
      <w:r w:rsidRPr="00DC07FC">
        <w:rPr>
          <w:szCs w:val="24"/>
        </w:rPr>
        <w:t>SISTEMA DE INFORMACIÓN DEL MERCADO MAYORISTA DE GLP</w:t>
      </w:r>
    </w:p>
    <w:p w:rsidR="00F47305" w:rsidRPr="00DC07FC" w:rsidRDefault="00F47305" w:rsidP="00F47305">
      <w:pPr>
        <w:ind w:left="0"/>
        <w:contextualSpacing/>
        <w:jc w:val="both"/>
        <w:rPr>
          <w:rFonts w:ascii="Bookman Old Style" w:hAnsi="Bookman Old Style"/>
          <w:lang w:val="es-CO"/>
        </w:rPr>
      </w:pPr>
    </w:p>
    <w:p w:rsidR="00C345DB" w:rsidRPr="00DC07FC" w:rsidRDefault="00C345DB" w:rsidP="00F47305">
      <w:pPr>
        <w:ind w:left="0"/>
        <w:contextualSpacing/>
        <w:jc w:val="both"/>
        <w:rPr>
          <w:rFonts w:ascii="Bookman Old Style" w:hAnsi="Bookman Old Style"/>
          <w:lang w:val="es-CO"/>
        </w:rPr>
      </w:pPr>
    </w:p>
    <w:p w:rsidR="00F47305" w:rsidRPr="002B614B" w:rsidRDefault="0091201E" w:rsidP="00D444D6">
      <w:pPr>
        <w:pStyle w:val="ARTICULOS"/>
        <w:numPr>
          <w:ilvl w:val="0"/>
          <w:numId w:val="2"/>
        </w:numPr>
        <w:tabs>
          <w:tab w:val="left" w:pos="1701"/>
        </w:tabs>
        <w:ind w:left="0" w:firstLine="0"/>
        <w:contextualSpacing/>
        <w:outlineLvl w:val="2"/>
      </w:pPr>
      <w:r w:rsidRPr="00DC07FC">
        <w:rPr>
          <w:rFonts w:cs="Arial"/>
          <w:b/>
          <w:color w:val="000000" w:themeColor="text1"/>
          <w:lang w:val="es-CO"/>
        </w:rPr>
        <w:t>GESTIÓN DE LA INFORMACIÓN TRANSACCIONAL Y OPERATIVA DEL MERCADO MAYORISTA</w:t>
      </w:r>
      <w:r w:rsidR="00F47305" w:rsidRPr="00DC07FC">
        <w:rPr>
          <w:rFonts w:cs="Arial"/>
          <w:b/>
          <w:color w:val="000000" w:themeColor="text1"/>
          <w:lang w:val="es-ES"/>
        </w:rPr>
        <w:t xml:space="preserve">. </w:t>
      </w:r>
      <w:r w:rsidR="00F47305" w:rsidRPr="00DC07FC">
        <w:rPr>
          <w:rFonts w:cs="Arial"/>
          <w:color w:val="000000" w:themeColor="text1"/>
          <w:lang w:val="es-ES"/>
        </w:rPr>
        <w:t>El gestor del mercado</w:t>
      </w:r>
      <w:r w:rsidR="00693977" w:rsidRPr="00DC07FC">
        <w:rPr>
          <w:rFonts w:cs="Arial"/>
          <w:color w:val="000000" w:themeColor="text1"/>
          <w:lang w:val="es-ES"/>
        </w:rPr>
        <w:t xml:space="preserve"> gestionará la información transaccional y operativa del mercado mayorista de conformidad </w:t>
      </w:r>
      <w:r w:rsidR="00693977" w:rsidRPr="002B614B">
        <w:rPr>
          <w:rFonts w:cs="Arial"/>
          <w:color w:val="000000" w:themeColor="text1"/>
          <w:lang w:val="es-ES"/>
        </w:rPr>
        <w:t>con el anexo 2 de esta resolución.</w:t>
      </w:r>
    </w:p>
    <w:p w:rsidR="00693977" w:rsidRPr="00DC07FC" w:rsidRDefault="00693977" w:rsidP="00435AEF">
      <w:pPr>
        <w:ind w:left="0"/>
        <w:contextualSpacing/>
        <w:jc w:val="both"/>
        <w:rPr>
          <w:rFonts w:ascii="Bookman Old Style" w:hAnsi="Bookman Old Style"/>
        </w:rPr>
      </w:pPr>
    </w:p>
    <w:p w:rsidR="00693977" w:rsidRPr="002B614B" w:rsidRDefault="00693977" w:rsidP="00D444D6">
      <w:pPr>
        <w:pStyle w:val="ARTICULOS"/>
        <w:numPr>
          <w:ilvl w:val="0"/>
          <w:numId w:val="2"/>
        </w:numPr>
        <w:tabs>
          <w:tab w:val="left" w:pos="1701"/>
        </w:tabs>
        <w:ind w:left="0" w:firstLine="0"/>
        <w:contextualSpacing/>
        <w:outlineLvl w:val="2"/>
        <w:rPr>
          <w:rFonts w:cs="Arial"/>
          <w:color w:val="000000" w:themeColor="text1"/>
          <w:lang w:val="es-CO"/>
        </w:rPr>
      </w:pPr>
      <w:r w:rsidRPr="002B614B">
        <w:rPr>
          <w:rFonts w:cs="Arial"/>
          <w:b/>
          <w:color w:val="000000" w:themeColor="text1"/>
          <w:lang w:val="es-CO"/>
        </w:rPr>
        <w:t xml:space="preserve">MÓDULO DE OFERTAS Y DEMANDAS DE GLP DEL </w:t>
      </w:r>
      <w:r w:rsidR="002420A4" w:rsidRPr="002B614B">
        <w:rPr>
          <w:rFonts w:cs="Arial"/>
          <w:b/>
          <w:color w:val="000000" w:themeColor="text1"/>
          <w:lang w:val="es-CO"/>
        </w:rPr>
        <w:t>SIMM</w:t>
      </w:r>
      <w:r w:rsidRPr="002B614B">
        <w:rPr>
          <w:rFonts w:cs="Arial"/>
          <w:b/>
          <w:color w:val="000000" w:themeColor="text1"/>
          <w:lang w:val="es-CO"/>
        </w:rPr>
        <w:t xml:space="preserve">. </w:t>
      </w:r>
      <w:r w:rsidRPr="002B614B">
        <w:rPr>
          <w:rFonts w:cs="Arial"/>
          <w:color w:val="000000" w:themeColor="text1"/>
          <w:lang w:val="es-CO"/>
        </w:rPr>
        <w:t xml:space="preserve">El gestor del mercado pondrá </w:t>
      </w:r>
      <w:r w:rsidR="002920D0" w:rsidRPr="002B614B">
        <w:rPr>
          <w:rFonts w:cs="Arial"/>
          <w:color w:val="000000" w:themeColor="text1"/>
          <w:lang w:val="es-CO"/>
        </w:rPr>
        <w:t xml:space="preserve">a disposición de los participantes del mercado, que estén registrados en el SIMM, </w:t>
      </w:r>
      <w:r w:rsidRPr="002B614B">
        <w:rPr>
          <w:rFonts w:cs="Arial"/>
          <w:color w:val="000000" w:themeColor="text1"/>
          <w:lang w:val="es-CO"/>
        </w:rPr>
        <w:t>la siguiente información</w:t>
      </w:r>
      <w:r w:rsidR="002920D0" w:rsidRPr="002B614B">
        <w:rPr>
          <w:rFonts w:cs="Arial"/>
          <w:color w:val="000000" w:themeColor="text1"/>
          <w:lang w:val="es-CO"/>
        </w:rPr>
        <w:t>, según lo previsto en el Título VI de esta resolución:</w:t>
      </w:r>
    </w:p>
    <w:p w:rsidR="00693977" w:rsidRPr="00DC07FC" w:rsidRDefault="00693977" w:rsidP="00693977">
      <w:pPr>
        <w:ind w:left="0"/>
        <w:rPr>
          <w:rFonts w:ascii="Bookman Old Style" w:hAnsi="Bookman Old Style" w:cs="Arial"/>
          <w:color w:val="000000" w:themeColor="text1"/>
          <w:lang w:val="es-CO"/>
        </w:rPr>
      </w:pPr>
    </w:p>
    <w:p w:rsidR="00693977" w:rsidRPr="00DC07FC" w:rsidRDefault="00693977" w:rsidP="00901EFF">
      <w:pPr>
        <w:pStyle w:val="ARTICULOS"/>
        <w:numPr>
          <w:ilvl w:val="1"/>
          <w:numId w:val="28"/>
        </w:numPr>
        <w:ind w:left="567" w:hanging="567"/>
        <w:rPr>
          <w:color w:val="000000" w:themeColor="text1"/>
          <w:lang w:val="es-ES"/>
        </w:rPr>
      </w:pPr>
      <w:r w:rsidRPr="00DC07FC">
        <w:rPr>
          <w:color w:val="000000" w:themeColor="text1"/>
          <w:lang w:val="es-ES"/>
        </w:rPr>
        <w:t>Ofertas de venta de GLP: Las ofertas deberán especificar la identidad del oferente, los datos de contacto del mismo, la cantidad ofrecida, expresada KGD, la duración del contrato ofrecido, el punto de entrega, el precio de venta expresado en COP por KG, y la fecha máxima para manifestar interés en el contrato ofrecido.</w:t>
      </w:r>
    </w:p>
    <w:p w:rsidR="00693977" w:rsidRPr="00DC07FC" w:rsidRDefault="00693977" w:rsidP="00693977">
      <w:pPr>
        <w:pStyle w:val="ARTICULOS"/>
        <w:ind w:left="567"/>
        <w:rPr>
          <w:rFonts w:cs="Arial"/>
          <w:color w:val="000000" w:themeColor="text1"/>
          <w:lang w:val="es-ES"/>
        </w:rPr>
      </w:pPr>
    </w:p>
    <w:p w:rsidR="00693977" w:rsidRPr="00DC07FC" w:rsidRDefault="00693977" w:rsidP="00901EFF">
      <w:pPr>
        <w:pStyle w:val="ARTICULOS"/>
        <w:numPr>
          <w:ilvl w:val="1"/>
          <w:numId w:val="28"/>
        </w:numPr>
        <w:ind w:left="567" w:hanging="567"/>
        <w:rPr>
          <w:color w:val="000000" w:themeColor="text1"/>
          <w:lang w:val="es-ES"/>
        </w:rPr>
      </w:pPr>
      <w:r w:rsidRPr="00DC07FC">
        <w:rPr>
          <w:color w:val="000000" w:themeColor="text1"/>
          <w:lang w:val="es-ES"/>
        </w:rPr>
        <w:t>Solicitudes de compra de GLP: Las solicitudes deberán especificar la identidad del solicitante, los datos de contacto del mismo, la cantidad requerida en KGD, la duración del contrato solicitado, el punto de entrega, el precio de compra en COP por KG, y la fecha máxima para manifestar interés en el contrato solicitado.</w:t>
      </w:r>
    </w:p>
    <w:p w:rsidR="00693977" w:rsidRPr="00DC07FC" w:rsidRDefault="00693977" w:rsidP="007F0447">
      <w:pPr>
        <w:pStyle w:val="ARTICULOS"/>
        <w:rPr>
          <w:color w:val="000000" w:themeColor="text1"/>
          <w:lang w:val="es-ES"/>
        </w:rPr>
      </w:pPr>
    </w:p>
    <w:p w:rsidR="00693977" w:rsidRPr="00DC07FC" w:rsidRDefault="00693977" w:rsidP="00693977">
      <w:pPr>
        <w:pStyle w:val="ARTICULOS"/>
        <w:rPr>
          <w:rFonts w:cs="Arial"/>
          <w:color w:val="000000" w:themeColor="text1"/>
          <w:lang w:val="es-ES"/>
        </w:rPr>
      </w:pPr>
      <w:r w:rsidRPr="002B614B">
        <w:rPr>
          <w:rFonts w:cs="Arial"/>
          <w:color w:val="000000" w:themeColor="text1"/>
          <w:lang w:val="es-ES"/>
        </w:rPr>
        <w:t xml:space="preserve">A partir de esta información, los </w:t>
      </w:r>
      <w:r w:rsidRPr="002B614B">
        <w:rPr>
          <w:rFonts w:cs="Arial"/>
          <w:bCs w:val="0"/>
          <w:color w:val="000000" w:themeColor="text1"/>
          <w:lang w:val="es-ES"/>
        </w:rPr>
        <w:t xml:space="preserve">vendedores y los compradores </w:t>
      </w:r>
      <w:r w:rsidRPr="002B614B">
        <w:rPr>
          <w:rFonts w:cs="Arial"/>
          <w:color w:val="000000" w:themeColor="text1"/>
          <w:lang w:val="es-ES"/>
        </w:rPr>
        <w:t xml:space="preserve">que estén registrados en el </w:t>
      </w:r>
      <w:r w:rsidR="002420A4" w:rsidRPr="002B614B">
        <w:rPr>
          <w:rFonts w:cs="Arial"/>
          <w:bCs w:val="0"/>
          <w:color w:val="000000" w:themeColor="text1"/>
          <w:lang w:val="es-CO"/>
        </w:rPr>
        <w:t>SIMM</w:t>
      </w:r>
      <w:r w:rsidRPr="002B614B">
        <w:rPr>
          <w:rFonts w:cs="Arial"/>
          <w:color w:val="000000" w:themeColor="text1"/>
          <w:lang w:val="es-ES"/>
        </w:rPr>
        <w:t xml:space="preserve">, según lo dispuesto en el </w:t>
      </w:r>
      <w:r w:rsidRPr="002B614B">
        <w:rPr>
          <w:rFonts w:cs="Arial"/>
          <w:bCs w:val="0"/>
          <w:color w:val="000000" w:themeColor="text1"/>
          <w:lang w:val="es-CO"/>
        </w:rPr>
        <w:t xml:space="preserve">artículo </w:t>
      </w:r>
      <w:r w:rsidR="00734486" w:rsidRPr="002B614B">
        <w:rPr>
          <w:rFonts w:cs="Arial"/>
          <w:bCs w:val="0"/>
          <w:color w:val="000000" w:themeColor="text1"/>
          <w:lang w:val="es-CO"/>
        </w:rPr>
        <w:t>39</w:t>
      </w:r>
      <w:r w:rsidRPr="002B614B">
        <w:rPr>
          <w:rFonts w:cs="Arial"/>
          <w:bCs w:val="0"/>
          <w:color w:val="000000" w:themeColor="text1"/>
          <w:lang w:val="es-CO"/>
        </w:rPr>
        <w:t xml:space="preserve"> </w:t>
      </w:r>
      <w:r w:rsidRPr="002B614B">
        <w:rPr>
          <w:rFonts w:cs="Arial"/>
          <w:color w:val="000000" w:themeColor="text1"/>
          <w:lang w:val="es-ES"/>
        </w:rPr>
        <w:t xml:space="preserve">de esta resolución, realizarán las negociaciones directas de su interés. Será responsabilidad de estos participantes del mercado </w:t>
      </w:r>
      <w:r w:rsidRPr="002B614B">
        <w:rPr>
          <w:rFonts w:cs="Arial"/>
          <w:color w:val="000000" w:themeColor="text1"/>
        </w:rPr>
        <w:t>llevar a cabo</w:t>
      </w:r>
      <w:r w:rsidRPr="002B614B">
        <w:rPr>
          <w:rFonts w:cs="Arial"/>
          <w:color w:val="000000" w:themeColor="text1"/>
          <w:lang w:val="es-ES"/>
        </w:rPr>
        <w:t xml:space="preserve"> cada una de las negociaciones </w:t>
      </w:r>
      <w:r w:rsidRPr="002B614B">
        <w:rPr>
          <w:rFonts w:cs="Arial"/>
          <w:color w:val="000000" w:themeColor="text1"/>
        </w:rPr>
        <w:t>y celebrar los correspondientes contratos</w:t>
      </w:r>
      <w:r w:rsidRPr="002B614B">
        <w:rPr>
          <w:rFonts w:cs="Arial"/>
          <w:color w:val="000000" w:themeColor="text1"/>
          <w:lang w:val="es-CO"/>
        </w:rPr>
        <w:t xml:space="preserve"> de suministro</w:t>
      </w:r>
      <w:r w:rsidRPr="002B614B">
        <w:rPr>
          <w:rFonts w:cs="Arial"/>
          <w:color w:val="000000" w:themeColor="text1"/>
          <w:lang w:val="es-ES"/>
        </w:rPr>
        <w:t>, con sujeción a lo dispuesto en Título II de la presente resolución.</w:t>
      </w:r>
    </w:p>
    <w:p w:rsidR="00693977" w:rsidRPr="00DC07FC" w:rsidRDefault="00693977" w:rsidP="00693977">
      <w:pPr>
        <w:pStyle w:val="ARTICULOS"/>
        <w:rPr>
          <w:rFonts w:cs="Arial"/>
          <w:color w:val="000000" w:themeColor="text1"/>
          <w:lang w:val="es-ES"/>
        </w:rPr>
      </w:pPr>
    </w:p>
    <w:p w:rsidR="00693977" w:rsidRDefault="00693977" w:rsidP="00693977">
      <w:pPr>
        <w:pStyle w:val="ARTICULOS"/>
        <w:rPr>
          <w:rFonts w:cs="Arial"/>
          <w:color w:val="000000" w:themeColor="text1"/>
          <w:lang w:val="es-ES"/>
        </w:rPr>
      </w:pPr>
      <w:r w:rsidRPr="00DC07FC">
        <w:rPr>
          <w:rFonts w:cs="Arial"/>
          <w:b/>
          <w:color w:val="000000" w:themeColor="text1"/>
          <w:lang w:val="es-ES"/>
        </w:rPr>
        <w:t>PARÁGRAFO.</w:t>
      </w:r>
      <w:r w:rsidRPr="00DC07FC">
        <w:rPr>
          <w:rFonts w:cs="Arial"/>
          <w:color w:val="000000" w:themeColor="text1"/>
          <w:lang w:val="es-ES"/>
        </w:rPr>
        <w:t xml:space="preserve"> El gestor del mercado </w:t>
      </w:r>
      <w:r w:rsidR="007072E2" w:rsidRPr="00DC07FC">
        <w:rPr>
          <w:rFonts w:cs="Arial"/>
          <w:color w:val="000000" w:themeColor="text1"/>
          <w:lang w:val="es-ES"/>
        </w:rPr>
        <w:t xml:space="preserve">de GLP </w:t>
      </w:r>
      <w:r w:rsidRPr="00DC07FC">
        <w:rPr>
          <w:rFonts w:cs="Arial"/>
          <w:color w:val="000000" w:themeColor="text1"/>
          <w:lang w:val="es-ES"/>
        </w:rPr>
        <w:t>definirá el medio y el formato para la presentación de las ofertas de venta y de las solicitudes de compra a las que se hace referencia en este artículo. El gestor del mercado facilitará la publicación de otra información sobre las ofertas de venta y las solicitudes de compra que los participantes del mercado deseen publicar voluntariamente.</w:t>
      </w:r>
    </w:p>
    <w:p w:rsidR="009E551C" w:rsidRPr="00DC07FC" w:rsidRDefault="009E551C" w:rsidP="00693977">
      <w:pPr>
        <w:pStyle w:val="ARTICULOS"/>
        <w:rPr>
          <w:rFonts w:cs="Arial"/>
          <w:color w:val="000000" w:themeColor="text1"/>
          <w:lang w:val="es-ES"/>
        </w:rPr>
      </w:pPr>
    </w:p>
    <w:p w:rsidR="00A93ACD" w:rsidRPr="002B614B" w:rsidRDefault="006D4890" w:rsidP="00D444D6">
      <w:pPr>
        <w:pStyle w:val="ARTICULOS"/>
        <w:numPr>
          <w:ilvl w:val="0"/>
          <w:numId w:val="2"/>
        </w:numPr>
        <w:tabs>
          <w:tab w:val="left" w:pos="1701"/>
        </w:tabs>
        <w:ind w:left="0" w:firstLine="0"/>
        <w:contextualSpacing/>
        <w:outlineLvl w:val="2"/>
        <w:rPr>
          <w:rFonts w:cs="Arial"/>
          <w:color w:val="000000" w:themeColor="text1"/>
          <w:lang w:val="es-CO"/>
        </w:rPr>
      </w:pPr>
      <w:r w:rsidRPr="00DC07FC">
        <w:rPr>
          <w:rFonts w:cs="Arial"/>
          <w:b/>
          <w:color w:val="000000" w:themeColor="text1"/>
          <w:lang w:val="es-CO"/>
        </w:rPr>
        <w:t xml:space="preserve"> </w:t>
      </w:r>
      <w:bookmarkStart w:id="49" w:name="_Ref440978362"/>
      <w:r w:rsidRPr="00DC07FC">
        <w:rPr>
          <w:rFonts w:cs="Arial"/>
          <w:b/>
          <w:color w:val="000000" w:themeColor="text1"/>
          <w:lang w:val="es-CO"/>
        </w:rPr>
        <w:t xml:space="preserve">NEGOCIACIONES DIRECTAS A TRAVÉS DE OTRAS PLATAFORMAS. </w:t>
      </w:r>
      <w:r w:rsidR="00A93ACD" w:rsidRPr="00DC07FC">
        <w:rPr>
          <w:rFonts w:cs="Arial"/>
          <w:color w:val="000000" w:themeColor="text1"/>
          <w:lang w:val="es-CO"/>
        </w:rPr>
        <w:t>La implementación del Módulo de ofertas y demandas de GLP del Sistema de Información del Mercado Mayorista de GLP no impedirá la negociación a través de otras plataformas de iniciativa particular. No obstante, toda oferta debe ser publicad</w:t>
      </w:r>
      <w:r w:rsidR="00A93ACD" w:rsidRPr="002B614B">
        <w:rPr>
          <w:rFonts w:cs="Arial"/>
          <w:color w:val="000000" w:themeColor="text1"/>
          <w:lang w:val="es-CO"/>
        </w:rPr>
        <w:t xml:space="preserve">a a través del </w:t>
      </w:r>
      <w:r w:rsidR="002420A4" w:rsidRPr="002B614B">
        <w:rPr>
          <w:rFonts w:cs="Arial"/>
          <w:color w:val="000000" w:themeColor="text1"/>
          <w:lang w:val="es-CO"/>
        </w:rPr>
        <w:t>SIMM</w:t>
      </w:r>
      <w:r w:rsidR="00A93ACD" w:rsidRPr="002B614B">
        <w:rPr>
          <w:rFonts w:cs="Arial"/>
          <w:color w:val="000000" w:themeColor="text1"/>
          <w:lang w:val="es-CO"/>
        </w:rPr>
        <w:t xml:space="preserve">, en los tiempos y plazos definidos en esta resolución, y todos los contratos del mercado </w:t>
      </w:r>
      <w:r w:rsidR="00C42EB0" w:rsidRPr="002B614B">
        <w:rPr>
          <w:rFonts w:cs="Arial"/>
          <w:color w:val="000000" w:themeColor="text1"/>
          <w:lang w:val="es-CO"/>
        </w:rPr>
        <w:t xml:space="preserve">mayorista, primario o secundario, </w:t>
      </w:r>
      <w:r w:rsidR="00A93ACD" w:rsidRPr="002B614B">
        <w:rPr>
          <w:rFonts w:cs="Arial"/>
          <w:color w:val="000000" w:themeColor="text1"/>
          <w:lang w:val="es-CO"/>
        </w:rPr>
        <w:t>deberán ser registrados ante el gestor del mercado de conf</w:t>
      </w:r>
      <w:r w:rsidR="00F47305" w:rsidRPr="002B614B">
        <w:rPr>
          <w:rFonts w:cs="Arial"/>
          <w:color w:val="000000" w:themeColor="text1"/>
          <w:lang w:val="es-CO"/>
        </w:rPr>
        <w:t>ormidad con lo dispuesto en el a</w:t>
      </w:r>
      <w:r w:rsidR="00A93ACD" w:rsidRPr="002B614B">
        <w:rPr>
          <w:rFonts w:cs="Arial"/>
          <w:color w:val="000000" w:themeColor="text1"/>
          <w:lang w:val="es-CO"/>
        </w:rPr>
        <w:t xml:space="preserve">nexo </w:t>
      </w:r>
      <w:r w:rsidR="00F47305" w:rsidRPr="002B614B">
        <w:rPr>
          <w:rFonts w:cs="Arial"/>
          <w:color w:val="000000" w:themeColor="text1"/>
          <w:lang w:val="es-CO"/>
        </w:rPr>
        <w:t>2 de esta r</w:t>
      </w:r>
      <w:r w:rsidR="00A93ACD" w:rsidRPr="002B614B">
        <w:rPr>
          <w:rFonts w:cs="Arial"/>
          <w:color w:val="000000" w:themeColor="text1"/>
          <w:lang w:val="es-CO"/>
        </w:rPr>
        <w:t>esolución.</w:t>
      </w:r>
      <w:bookmarkEnd w:id="49"/>
    </w:p>
    <w:p w:rsidR="00A93ACD" w:rsidRPr="00DC07FC" w:rsidRDefault="00A93ACD" w:rsidP="00F278EF">
      <w:pPr>
        <w:tabs>
          <w:tab w:val="left" w:pos="1701"/>
        </w:tabs>
        <w:ind w:left="0"/>
        <w:contextualSpacing/>
        <w:jc w:val="both"/>
        <w:rPr>
          <w:rFonts w:ascii="Bookman Old Style" w:hAnsi="Bookman Old Style"/>
        </w:rPr>
      </w:pPr>
    </w:p>
    <w:p w:rsidR="00A93ACD" w:rsidRPr="002B614B" w:rsidRDefault="006D4890" w:rsidP="00D444D6">
      <w:pPr>
        <w:pStyle w:val="ARTICULOS"/>
        <w:numPr>
          <w:ilvl w:val="0"/>
          <w:numId w:val="2"/>
        </w:numPr>
        <w:tabs>
          <w:tab w:val="left" w:pos="1701"/>
        </w:tabs>
        <w:ind w:left="0" w:firstLine="0"/>
        <w:contextualSpacing/>
        <w:outlineLvl w:val="2"/>
        <w:rPr>
          <w:rFonts w:cs="Arial"/>
          <w:color w:val="000000" w:themeColor="text1"/>
          <w:lang w:val="es-CO"/>
        </w:rPr>
      </w:pPr>
      <w:bookmarkStart w:id="50" w:name="_Ref334605992"/>
      <w:bookmarkStart w:id="51" w:name="_Ref334617378"/>
      <w:r w:rsidRPr="00DC07FC">
        <w:rPr>
          <w:rFonts w:cs="Arial"/>
          <w:b/>
          <w:color w:val="000000" w:themeColor="text1"/>
          <w:lang w:val="es-CO"/>
        </w:rPr>
        <w:t xml:space="preserve">REGISTRO EN EL </w:t>
      </w:r>
      <w:r w:rsidR="002420A4" w:rsidRPr="00DC07FC">
        <w:rPr>
          <w:rFonts w:cs="Arial"/>
          <w:b/>
          <w:color w:val="000000" w:themeColor="text1"/>
          <w:lang w:val="es-CO"/>
        </w:rPr>
        <w:t>SIMM</w:t>
      </w:r>
      <w:r w:rsidR="00A93ACD" w:rsidRPr="00DC07FC">
        <w:rPr>
          <w:rFonts w:cs="Arial"/>
          <w:b/>
          <w:color w:val="000000" w:themeColor="text1"/>
          <w:lang w:val="es-CO"/>
        </w:rPr>
        <w:t xml:space="preserve">. </w:t>
      </w:r>
      <w:r w:rsidR="00A93ACD" w:rsidRPr="00DC07FC">
        <w:rPr>
          <w:rFonts w:cs="Arial"/>
          <w:color w:val="000000" w:themeColor="text1"/>
          <w:lang w:val="es-CO"/>
        </w:rPr>
        <w:t xml:space="preserve">Los vendedores y los compradores </w:t>
      </w:r>
      <w:r w:rsidR="00A93ACD" w:rsidRPr="002B614B">
        <w:rPr>
          <w:rFonts w:cs="Arial"/>
          <w:color w:val="000000" w:themeColor="text1"/>
          <w:lang w:val="es-CO"/>
        </w:rPr>
        <w:t>a los</w:t>
      </w:r>
      <w:r w:rsidR="000849E1" w:rsidRPr="002B614B">
        <w:rPr>
          <w:rFonts w:cs="Arial"/>
          <w:color w:val="000000" w:themeColor="text1"/>
          <w:lang w:val="es-CO"/>
        </w:rPr>
        <w:t xml:space="preserve"> que se hace referencia en los a</w:t>
      </w:r>
      <w:r w:rsidR="00A93ACD" w:rsidRPr="002B614B">
        <w:rPr>
          <w:rFonts w:cs="Arial"/>
          <w:color w:val="000000" w:themeColor="text1"/>
          <w:lang w:val="es-CO"/>
        </w:rPr>
        <w:t>rtículos</w:t>
      </w:r>
      <w:r w:rsidR="000849E1" w:rsidRPr="002B614B">
        <w:rPr>
          <w:rFonts w:cs="Arial"/>
          <w:color w:val="000000" w:themeColor="text1"/>
          <w:lang w:val="es-CO"/>
        </w:rPr>
        <w:t xml:space="preserve"> 19</w:t>
      </w:r>
      <w:r w:rsidR="00A93ACD" w:rsidRPr="002B614B">
        <w:rPr>
          <w:rFonts w:cs="Arial"/>
          <w:color w:val="000000" w:themeColor="text1"/>
          <w:lang w:val="es-CO"/>
        </w:rPr>
        <w:t>,</w:t>
      </w:r>
      <w:r w:rsidR="000849E1" w:rsidRPr="002B614B">
        <w:rPr>
          <w:rFonts w:cs="Arial"/>
          <w:color w:val="000000" w:themeColor="text1"/>
          <w:lang w:val="es-CO"/>
        </w:rPr>
        <w:t xml:space="preserve"> 20</w:t>
      </w:r>
      <w:r w:rsidR="00A93ACD" w:rsidRPr="002B614B">
        <w:rPr>
          <w:rFonts w:cs="Arial"/>
          <w:color w:val="000000" w:themeColor="text1"/>
          <w:lang w:val="es-CO"/>
        </w:rPr>
        <w:t>,</w:t>
      </w:r>
      <w:r w:rsidR="00AC3CCE">
        <w:rPr>
          <w:rFonts w:cs="Arial"/>
          <w:color w:val="000000" w:themeColor="text1"/>
          <w:lang w:val="es-CO"/>
        </w:rPr>
        <w:t xml:space="preserve"> 27 y 28 </w:t>
      </w:r>
      <w:r w:rsidR="00F804FB" w:rsidRPr="002B614B">
        <w:rPr>
          <w:rFonts w:cs="Arial"/>
          <w:color w:val="000000" w:themeColor="text1"/>
          <w:lang w:val="es-CO"/>
        </w:rPr>
        <w:t>de esta r</w:t>
      </w:r>
      <w:r w:rsidR="00A93ACD" w:rsidRPr="002B614B">
        <w:rPr>
          <w:rFonts w:cs="Arial"/>
          <w:color w:val="000000" w:themeColor="text1"/>
          <w:lang w:val="es-CO"/>
        </w:rPr>
        <w:t xml:space="preserve">esolución </w:t>
      </w:r>
      <w:r w:rsidR="00A93ACD" w:rsidRPr="002B614B">
        <w:rPr>
          <w:rFonts w:cs="Arial"/>
          <w:color w:val="000000" w:themeColor="text1"/>
          <w:lang w:val="es-CO"/>
        </w:rPr>
        <w:lastRenderedPageBreak/>
        <w:t xml:space="preserve">podrán registrarse en el </w:t>
      </w:r>
      <w:r w:rsidR="002420A4" w:rsidRPr="002B614B">
        <w:rPr>
          <w:rFonts w:cs="Arial"/>
          <w:color w:val="000000" w:themeColor="text1"/>
          <w:lang w:val="es-CO"/>
        </w:rPr>
        <w:t>SIMM</w:t>
      </w:r>
      <w:r w:rsidR="00A93ACD" w:rsidRPr="002B614B">
        <w:rPr>
          <w:rFonts w:cs="Arial"/>
          <w:color w:val="000000" w:themeColor="text1"/>
          <w:lang w:val="es-CO"/>
        </w:rPr>
        <w:t xml:space="preserve"> para tener acceso a información sobre ofertas de venta y solicitudes de compra en el mercado secundario. </w:t>
      </w:r>
      <w:bookmarkStart w:id="52" w:name="_Ref359825041"/>
      <w:bookmarkEnd w:id="50"/>
      <w:bookmarkEnd w:id="51"/>
      <w:r w:rsidR="00A93ACD" w:rsidRPr="002B614B">
        <w:rPr>
          <w:rFonts w:cs="Arial"/>
          <w:color w:val="000000" w:themeColor="text1"/>
          <w:lang w:val="es-CO"/>
        </w:rPr>
        <w:t xml:space="preserve">El registro en el </w:t>
      </w:r>
      <w:r w:rsidR="002420A4" w:rsidRPr="002B614B">
        <w:rPr>
          <w:rFonts w:cs="Arial"/>
          <w:color w:val="000000" w:themeColor="text1"/>
          <w:lang w:val="es-CO"/>
        </w:rPr>
        <w:t>SIMM</w:t>
      </w:r>
      <w:r w:rsidR="00A93ACD" w:rsidRPr="002B614B">
        <w:rPr>
          <w:rFonts w:cs="Arial"/>
          <w:color w:val="000000" w:themeColor="text1"/>
          <w:lang w:val="es-CO"/>
        </w:rPr>
        <w:t xml:space="preserve"> no conllevará el pago de cargos adicionales y se realizará ante el gestor del mercado, a través del medio electrónico y los formatos que éste defina.</w:t>
      </w:r>
      <w:bookmarkEnd w:id="52"/>
    </w:p>
    <w:p w:rsidR="00A93ACD" w:rsidRPr="002B614B" w:rsidRDefault="00A93ACD" w:rsidP="00734ABE">
      <w:pPr>
        <w:pStyle w:val="ARTICULOS"/>
      </w:pPr>
    </w:p>
    <w:p w:rsidR="00A93ACD" w:rsidRPr="00DC07FC" w:rsidRDefault="00A93ACD" w:rsidP="00734ABE">
      <w:pPr>
        <w:pStyle w:val="ARTICULOS"/>
      </w:pPr>
      <w:r w:rsidRPr="002B614B">
        <w:t xml:space="preserve">La información que el gestor del mercado solicite a través de los formatos de registro en </w:t>
      </w:r>
      <w:r w:rsidR="002420A4" w:rsidRPr="002B614B">
        <w:t>SIMM</w:t>
      </w:r>
      <w:r w:rsidRPr="002B614B">
        <w:t>, por lo menos le deberá permitir identificar si el participante del mercado que desea registrarse corresponde a uno de los vendedores o</w:t>
      </w:r>
      <w:r w:rsidRPr="00DC07FC">
        <w:t xml:space="preserve"> compradores a los</w:t>
      </w:r>
      <w:r w:rsidR="000849E1" w:rsidRPr="00DC07FC">
        <w:t xml:space="preserve"> que se hace </w:t>
      </w:r>
      <w:r w:rsidR="000849E1" w:rsidRPr="002B614B">
        <w:t>referencia en los a</w:t>
      </w:r>
      <w:r w:rsidRPr="002B614B">
        <w:t>rtículos</w:t>
      </w:r>
      <w:r w:rsidR="000849E1" w:rsidRPr="002B614B">
        <w:t xml:space="preserve"> 19</w:t>
      </w:r>
      <w:r w:rsidRPr="002B614B">
        <w:t>,</w:t>
      </w:r>
      <w:r w:rsidR="000849E1" w:rsidRPr="002B614B">
        <w:t xml:space="preserve"> 20</w:t>
      </w:r>
      <w:r w:rsidRPr="002B614B">
        <w:t>,</w:t>
      </w:r>
      <w:r w:rsidR="00AC3CCE">
        <w:rPr>
          <w:lang w:val="es-CO"/>
        </w:rPr>
        <w:t xml:space="preserve">27 y 28 </w:t>
      </w:r>
      <w:r w:rsidRPr="002B614B">
        <w:t xml:space="preserve">de </w:t>
      </w:r>
      <w:r w:rsidR="00F804FB" w:rsidRPr="002B614B">
        <w:t xml:space="preserve">esta </w:t>
      </w:r>
      <w:r w:rsidR="00F278EF" w:rsidRPr="002B614B">
        <w:rPr>
          <w:lang w:val="es-CO"/>
        </w:rPr>
        <w:t>resolución</w:t>
      </w:r>
      <w:r w:rsidRPr="002B614B">
        <w:t>, y si quien adelanta el trámite está facultado para representar a dicho vendedor o comprador.</w:t>
      </w:r>
    </w:p>
    <w:p w:rsidR="00734ABE" w:rsidRPr="00DC07FC" w:rsidRDefault="00734ABE" w:rsidP="00734ABE">
      <w:pPr>
        <w:ind w:left="0"/>
        <w:contextualSpacing/>
        <w:jc w:val="both"/>
        <w:rPr>
          <w:rFonts w:ascii="Bookman Old Style" w:hAnsi="Bookman Old Style"/>
          <w:lang w:val="es-CO"/>
        </w:rPr>
      </w:pPr>
    </w:p>
    <w:p w:rsidR="009E551C" w:rsidRPr="00DC07FC" w:rsidRDefault="009E551C" w:rsidP="00A87260">
      <w:pPr>
        <w:pStyle w:val="ARTICULOS"/>
      </w:pPr>
    </w:p>
    <w:p w:rsidR="0080004D" w:rsidRPr="00DC07FC" w:rsidRDefault="00352DEC" w:rsidP="00B92FFC">
      <w:pPr>
        <w:pStyle w:val="Ttulo1"/>
        <w:contextualSpacing/>
        <w:rPr>
          <w:szCs w:val="24"/>
        </w:rPr>
      </w:pPr>
      <w:r w:rsidRPr="00DC07FC">
        <w:rPr>
          <w:szCs w:val="24"/>
        </w:rPr>
        <w:t xml:space="preserve">TÍTULO </w:t>
      </w:r>
      <w:r w:rsidR="002420A4" w:rsidRPr="00DC07FC">
        <w:rPr>
          <w:szCs w:val="24"/>
        </w:rPr>
        <w:t>I</w:t>
      </w:r>
      <w:r w:rsidRPr="00DC07FC">
        <w:rPr>
          <w:szCs w:val="24"/>
        </w:rPr>
        <w:t>X</w:t>
      </w:r>
    </w:p>
    <w:p w:rsidR="0080004D" w:rsidRPr="00DC07FC" w:rsidRDefault="005A1404" w:rsidP="00B92FFC">
      <w:pPr>
        <w:pStyle w:val="Ttulo1"/>
        <w:contextualSpacing/>
        <w:rPr>
          <w:szCs w:val="24"/>
        </w:rPr>
      </w:pPr>
      <w:r w:rsidRPr="00DC07FC">
        <w:rPr>
          <w:szCs w:val="24"/>
        </w:rPr>
        <w:t>DEROGATORIAS</w:t>
      </w:r>
      <w:r w:rsidR="009F5A36" w:rsidRPr="00DC07FC">
        <w:rPr>
          <w:szCs w:val="24"/>
        </w:rPr>
        <w:t xml:space="preserve"> Y VIGENCIA</w:t>
      </w:r>
    </w:p>
    <w:p w:rsidR="0080004D" w:rsidRPr="00DC07FC" w:rsidRDefault="0080004D" w:rsidP="0080004D">
      <w:pPr>
        <w:pStyle w:val="Prrafodelista"/>
        <w:ind w:left="0"/>
        <w:rPr>
          <w:rFonts w:ascii="Bookman Old Style" w:hAnsi="Bookman Old Style" w:cs="Arial"/>
          <w:color w:val="000000" w:themeColor="text1"/>
          <w:sz w:val="24"/>
          <w:szCs w:val="24"/>
          <w:lang w:val="es-ES"/>
        </w:rPr>
      </w:pPr>
    </w:p>
    <w:p w:rsidR="0080004D" w:rsidRPr="00DC07FC" w:rsidRDefault="00B92FFC" w:rsidP="00D444D6">
      <w:pPr>
        <w:pStyle w:val="ARTICULOS"/>
        <w:numPr>
          <w:ilvl w:val="0"/>
          <w:numId w:val="2"/>
        </w:numPr>
        <w:tabs>
          <w:tab w:val="left" w:pos="1701"/>
        </w:tabs>
        <w:ind w:left="0" w:firstLine="0"/>
        <w:contextualSpacing/>
        <w:outlineLvl w:val="2"/>
        <w:rPr>
          <w:rFonts w:cs="Arial"/>
          <w:color w:val="000000" w:themeColor="text1"/>
          <w:lang w:val="es-CO"/>
        </w:rPr>
      </w:pPr>
      <w:r w:rsidRPr="00DC07FC">
        <w:rPr>
          <w:rFonts w:cs="Arial"/>
          <w:b/>
          <w:color w:val="000000" w:themeColor="text1"/>
          <w:lang w:val="es-CO"/>
        </w:rPr>
        <w:t xml:space="preserve">DEROGATORIAS. </w:t>
      </w:r>
      <w:r w:rsidR="0080004D" w:rsidRPr="00DC07FC">
        <w:rPr>
          <w:rFonts w:cs="Arial"/>
          <w:color w:val="000000" w:themeColor="text1"/>
          <w:lang w:val="es-CO"/>
        </w:rPr>
        <w:t>La presente Resolución deroga todas las disposiciones que le sean contrarias. En especial, las siguientes:</w:t>
      </w:r>
    </w:p>
    <w:p w:rsidR="0080004D" w:rsidRDefault="0080004D" w:rsidP="005A1404">
      <w:pPr>
        <w:pStyle w:val="ARTICULOS"/>
      </w:pPr>
    </w:p>
    <w:p w:rsidR="00137891" w:rsidRPr="00DC07FC" w:rsidRDefault="00137891" w:rsidP="005A1404">
      <w:pPr>
        <w:pStyle w:val="ARTICULOS"/>
      </w:pPr>
    </w:p>
    <w:p w:rsidR="0080004D" w:rsidRPr="00DC07FC" w:rsidRDefault="0080004D" w:rsidP="00901EFF">
      <w:pPr>
        <w:pStyle w:val="ARTICULOS"/>
        <w:numPr>
          <w:ilvl w:val="1"/>
          <w:numId w:val="50"/>
        </w:numPr>
        <w:ind w:left="567" w:hanging="567"/>
        <w:rPr>
          <w:color w:val="000000" w:themeColor="text1"/>
          <w:lang w:val="es-ES"/>
        </w:rPr>
      </w:pPr>
      <w:r w:rsidRPr="00DC07FC">
        <w:rPr>
          <w:color w:val="000000" w:themeColor="text1"/>
          <w:lang w:val="es-ES"/>
        </w:rPr>
        <w:t xml:space="preserve">Resolución CREG </w:t>
      </w:r>
      <w:r w:rsidR="005A1404" w:rsidRPr="00DC07FC">
        <w:rPr>
          <w:color w:val="000000" w:themeColor="text1"/>
          <w:lang w:val="es-ES"/>
        </w:rPr>
        <w:t xml:space="preserve">053 </w:t>
      </w:r>
      <w:r w:rsidR="00B92FFC" w:rsidRPr="00DC07FC">
        <w:rPr>
          <w:color w:val="000000" w:themeColor="text1"/>
          <w:lang w:val="es-ES"/>
        </w:rPr>
        <w:t>de 2011</w:t>
      </w:r>
    </w:p>
    <w:p w:rsidR="0080004D" w:rsidRPr="00DC07FC" w:rsidRDefault="0080004D" w:rsidP="005A1404">
      <w:pPr>
        <w:pStyle w:val="ARTICULOS"/>
        <w:rPr>
          <w:color w:val="000000" w:themeColor="text1"/>
          <w:lang w:val="es-ES"/>
        </w:rPr>
      </w:pPr>
    </w:p>
    <w:p w:rsidR="0080004D" w:rsidRPr="00DC07FC" w:rsidRDefault="0080004D" w:rsidP="00901EFF">
      <w:pPr>
        <w:pStyle w:val="ARTICULOS"/>
        <w:numPr>
          <w:ilvl w:val="1"/>
          <w:numId w:val="50"/>
        </w:numPr>
        <w:ind w:left="567" w:hanging="567"/>
        <w:rPr>
          <w:color w:val="000000" w:themeColor="text1"/>
          <w:lang w:val="es-ES"/>
        </w:rPr>
      </w:pPr>
      <w:r w:rsidRPr="00DC07FC">
        <w:rPr>
          <w:color w:val="000000" w:themeColor="text1"/>
          <w:lang w:val="es-ES"/>
        </w:rPr>
        <w:t xml:space="preserve">Resolución </w:t>
      </w:r>
      <w:r w:rsidR="005A1404" w:rsidRPr="00DC07FC">
        <w:rPr>
          <w:color w:val="000000" w:themeColor="text1"/>
          <w:lang w:val="es-ES"/>
        </w:rPr>
        <w:t>CREG 108 de 2011</w:t>
      </w:r>
    </w:p>
    <w:p w:rsidR="005A1404" w:rsidRPr="00DC07FC" w:rsidRDefault="005A1404" w:rsidP="00B92FFC">
      <w:pPr>
        <w:ind w:left="0"/>
        <w:rPr>
          <w:rFonts w:ascii="Bookman Old Style" w:hAnsi="Bookman Old Style"/>
          <w:color w:val="000000" w:themeColor="text1"/>
        </w:rPr>
      </w:pPr>
    </w:p>
    <w:p w:rsidR="005A1404" w:rsidRPr="00DC07FC" w:rsidRDefault="005A1404" w:rsidP="00901EFF">
      <w:pPr>
        <w:pStyle w:val="ARTICULOS"/>
        <w:numPr>
          <w:ilvl w:val="1"/>
          <w:numId w:val="50"/>
        </w:numPr>
        <w:ind w:left="567" w:hanging="567"/>
        <w:rPr>
          <w:color w:val="000000" w:themeColor="text1"/>
          <w:lang w:val="es-ES"/>
        </w:rPr>
      </w:pPr>
      <w:r w:rsidRPr="00DC07FC">
        <w:rPr>
          <w:color w:val="000000" w:themeColor="text1"/>
          <w:lang w:val="es-ES"/>
        </w:rPr>
        <w:t>Resolución CREG 154 de 2014</w:t>
      </w:r>
    </w:p>
    <w:p w:rsidR="005A1404" w:rsidRPr="002B614B" w:rsidRDefault="005A1404" w:rsidP="00B92FFC">
      <w:pPr>
        <w:ind w:left="0"/>
        <w:rPr>
          <w:rFonts w:ascii="Bookman Old Style" w:hAnsi="Bookman Old Style"/>
          <w:color w:val="000000" w:themeColor="text1"/>
        </w:rPr>
      </w:pPr>
    </w:p>
    <w:p w:rsidR="005A1404" w:rsidRPr="002B614B" w:rsidRDefault="005A1404" w:rsidP="00901EFF">
      <w:pPr>
        <w:pStyle w:val="ARTICULOS"/>
        <w:numPr>
          <w:ilvl w:val="1"/>
          <w:numId w:val="50"/>
        </w:numPr>
        <w:ind w:left="567" w:hanging="567"/>
        <w:rPr>
          <w:color w:val="000000" w:themeColor="text1"/>
          <w:lang w:val="es-ES"/>
        </w:rPr>
      </w:pPr>
      <w:r w:rsidRPr="002B614B">
        <w:rPr>
          <w:color w:val="000000" w:themeColor="text1"/>
          <w:lang w:val="es-ES"/>
        </w:rPr>
        <w:t>Resolución CREG 01</w:t>
      </w:r>
      <w:r w:rsidR="002B614B">
        <w:rPr>
          <w:color w:val="000000" w:themeColor="text1"/>
          <w:lang w:val="es-ES"/>
        </w:rPr>
        <w:t>9</w:t>
      </w:r>
      <w:r w:rsidRPr="002B614B">
        <w:rPr>
          <w:color w:val="000000" w:themeColor="text1"/>
          <w:lang w:val="es-ES"/>
        </w:rPr>
        <w:t xml:space="preserve"> de 201</w:t>
      </w:r>
      <w:r w:rsidR="002B614B">
        <w:rPr>
          <w:color w:val="000000" w:themeColor="text1"/>
          <w:lang w:val="es-ES"/>
        </w:rPr>
        <w:t>5</w:t>
      </w:r>
    </w:p>
    <w:p w:rsidR="002B614B" w:rsidRPr="002B614B" w:rsidRDefault="002B614B" w:rsidP="002B614B">
      <w:pPr>
        <w:ind w:left="0"/>
        <w:rPr>
          <w:rFonts w:ascii="Bookman Old Style" w:hAnsi="Bookman Old Style"/>
          <w:color w:val="000000" w:themeColor="text1"/>
        </w:rPr>
      </w:pPr>
    </w:p>
    <w:p w:rsidR="002B614B" w:rsidRPr="002B614B" w:rsidRDefault="002B614B" w:rsidP="00901EFF">
      <w:pPr>
        <w:pStyle w:val="ARTICULOS"/>
        <w:numPr>
          <w:ilvl w:val="1"/>
          <w:numId w:val="50"/>
        </w:numPr>
        <w:ind w:left="567" w:hanging="567"/>
        <w:rPr>
          <w:color w:val="000000" w:themeColor="text1"/>
          <w:lang w:val="es-ES"/>
        </w:rPr>
      </w:pPr>
      <w:r w:rsidRPr="002B614B">
        <w:rPr>
          <w:color w:val="000000" w:themeColor="text1"/>
          <w:lang w:val="es-ES"/>
        </w:rPr>
        <w:t>Resolución CREG 018 de 2016</w:t>
      </w:r>
    </w:p>
    <w:p w:rsidR="005A1404" w:rsidRPr="002B614B" w:rsidRDefault="005A1404" w:rsidP="00B92FFC">
      <w:pPr>
        <w:ind w:left="0"/>
        <w:rPr>
          <w:rFonts w:ascii="Bookman Old Style" w:hAnsi="Bookman Old Style"/>
          <w:color w:val="000000" w:themeColor="text1"/>
        </w:rPr>
      </w:pPr>
    </w:p>
    <w:p w:rsidR="005A1404" w:rsidRPr="00DC07FC" w:rsidRDefault="005A1404" w:rsidP="00901EFF">
      <w:pPr>
        <w:pStyle w:val="ARTICULOS"/>
        <w:numPr>
          <w:ilvl w:val="1"/>
          <w:numId w:val="50"/>
        </w:numPr>
        <w:ind w:left="567" w:hanging="567"/>
        <w:rPr>
          <w:color w:val="000000" w:themeColor="text1"/>
          <w:lang w:val="es-ES"/>
        </w:rPr>
      </w:pPr>
      <w:r w:rsidRPr="00DC07FC">
        <w:rPr>
          <w:color w:val="000000" w:themeColor="text1"/>
          <w:lang w:val="es-ES"/>
        </w:rPr>
        <w:t>Resolución CREG 033 de 2016</w:t>
      </w:r>
    </w:p>
    <w:p w:rsidR="005A1404" w:rsidRPr="00DC07FC" w:rsidRDefault="005A1404" w:rsidP="005A1404">
      <w:pPr>
        <w:ind w:left="0"/>
        <w:rPr>
          <w:rFonts w:ascii="Bookman Old Style" w:hAnsi="Bookman Old Style"/>
          <w:color w:val="000000" w:themeColor="text1"/>
        </w:rPr>
      </w:pPr>
    </w:p>
    <w:p w:rsidR="0080004D" w:rsidRPr="00DC07FC" w:rsidRDefault="0080004D" w:rsidP="00901EFF">
      <w:pPr>
        <w:pStyle w:val="ARTICULOS"/>
        <w:numPr>
          <w:ilvl w:val="1"/>
          <w:numId w:val="50"/>
        </w:numPr>
        <w:ind w:left="567" w:hanging="567"/>
        <w:rPr>
          <w:color w:val="000000" w:themeColor="text1"/>
          <w:lang w:val="es-ES"/>
        </w:rPr>
      </w:pPr>
      <w:r w:rsidRPr="00DC07FC">
        <w:rPr>
          <w:color w:val="000000" w:themeColor="text1"/>
          <w:lang w:val="es-ES"/>
        </w:rPr>
        <w:t xml:space="preserve">Las demás disposiciones que le sean contrarias. </w:t>
      </w:r>
    </w:p>
    <w:p w:rsidR="0080004D" w:rsidRDefault="0080004D" w:rsidP="0080004D">
      <w:pPr>
        <w:ind w:left="0"/>
        <w:jc w:val="both"/>
        <w:rPr>
          <w:rFonts w:ascii="Bookman Old Style" w:hAnsi="Bookman Old Style" w:cs="Arial"/>
          <w:color w:val="000000" w:themeColor="text1"/>
          <w:lang w:val="es-CO" w:eastAsia="es-CO"/>
        </w:rPr>
      </w:pPr>
    </w:p>
    <w:p w:rsidR="009E551C" w:rsidRPr="00DC07FC" w:rsidRDefault="009E551C" w:rsidP="0080004D">
      <w:pPr>
        <w:ind w:left="0"/>
        <w:jc w:val="both"/>
        <w:rPr>
          <w:rFonts w:ascii="Bookman Old Style" w:hAnsi="Bookman Old Style" w:cs="Arial"/>
          <w:color w:val="000000" w:themeColor="text1"/>
          <w:lang w:val="es-CO" w:eastAsia="es-CO"/>
        </w:rPr>
      </w:pPr>
    </w:p>
    <w:p w:rsidR="0080004D" w:rsidRPr="00DC07FC" w:rsidRDefault="00B92FFC" w:rsidP="00D444D6">
      <w:pPr>
        <w:pStyle w:val="ARTICULOS"/>
        <w:numPr>
          <w:ilvl w:val="0"/>
          <w:numId w:val="2"/>
        </w:numPr>
        <w:tabs>
          <w:tab w:val="left" w:pos="1701"/>
        </w:tabs>
        <w:ind w:left="0" w:firstLine="0"/>
        <w:contextualSpacing/>
        <w:outlineLvl w:val="2"/>
        <w:rPr>
          <w:rFonts w:cs="Arial"/>
          <w:color w:val="000000" w:themeColor="text1"/>
          <w:lang w:val="es-CO"/>
        </w:rPr>
      </w:pPr>
      <w:r w:rsidRPr="00DC07FC">
        <w:rPr>
          <w:rFonts w:cs="Arial"/>
          <w:b/>
          <w:color w:val="000000" w:themeColor="text1"/>
          <w:lang w:val="es-CO"/>
        </w:rPr>
        <w:t xml:space="preserve">VIGENCIA. </w:t>
      </w:r>
      <w:r w:rsidR="0080004D" w:rsidRPr="00DC07FC">
        <w:rPr>
          <w:rFonts w:cs="Arial"/>
          <w:color w:val="000000" w:themeColor="text1"/>
          <w:lang w:val="es-CO"/>
        </w:rPr>
        <w:t xml:space="preserve">La presente Resolución rige a partir de la fecha de su publicación en el </w:t>
      </w:r>
      <w:r w:rsidR="0080004D" w:rsidRPr="00DC07FC">
        <w:rPr>
          <w:rFonts w:cs="Arial"/>
          <w:i/>
          <w:color w:val="000000" w:themeColor="text1"/>
          <w:lang w:val="es-CO"/>
        </w:rPr>
        <w:t>Diario Oficial</w:t>
      </w:r>
      <w:r w:rsidR="0080004D" w:rsidRPr="00DC07FC">
        <w:rPr>
          <w:rFonts w:cs="Arial"/>
          <w:color w:val="000000" w:themeColor="text1"/>
          <w:lang w:val="es-CO"/>
        </w:rPr>
        <w:t>.</w:t>
      </w:r>
    </w:p>
    <w:p w:rsidR="00734ABE" w:rsidRPr="00DC07FC" w:rsidRDefault="00734ABE" w:rsidP="004C1136">
      <w:pPr>
        <w:ind w:left="0"/>
        <w:contextualSpacing/>
        <w:jc w:val="both"/>
        <w:rPr>
          <w:rFonts w:ascii="Bookman Old Style" w:hAnsi="Bookman Old Style"/>
        </w:rPr>
      </w:pPr>
    </w:p>
    <w:p w:rsidR="00D636E5" w:rsidRPr="00DC07FC" w:rsidRDefault="00D636E5" w:rsidP="004C1136">
      <w:pPr>
        <w:ind w:left="0"/>
        <w:contextualSpacing/>
        <w:jc w:val="both"/>
        <w:rPr>
          <w:rFonts w:ascii="Bookman Old Style" w:hAnsi="Bookman Old Style"/>
          <w:lang w:val="es-CO"/>
        </w:rPr>
      </w:pPr>
    </w:p>
    <w:p w:rsidR="00D636E5" w:rsidRPr="00DC07FC" w:rsidRDefault="00D636E5" w:rsidP="004C1136">
      <w:pPr>
        <w:contextualSpacing/>
        <w:jc w:val="center"/>
        <w:rPr>
          <w:rFonts w:ascii="Bookman Old Style" w:hAnsi="Bookman Old Style"/>
          <w:b/>
        </w:rPr>
      </w:pPr>
      <w:r w:rsidRPr="00DC07FC">
        <w:rPr>
          <w:rFonts w:ascii="Bookman Old Style" w:hAnsi="Bookman Old Style"/>
          <w:b/>
        </w:rPr>
        <w:t>PUBLÍQUESE Y CÚMPLASE</w:t>
      </w:r>
    </w:p>
    <w:p w:rsidR="00E046B3" w:rsidRPr="00DC07FC" w:rsidRDefault="00E046B3" w:rsidP="004C1136">
      <w:pPr>
        <w:ind w:left="0"/>
        <w:contextualSpacing/>
        <w:rPr>
          <w:rFonts w:ascii="Bookman Old Style" w:hAnsi="Bookman Old Style"/>
        </w:rPr>
      </w:pPr>
    </w:p>
    <w:p w:rsidR="00D636E5" w:rsidRPr="00DC07FC" w:rsidRDefault="00137891" w:rsidP="004C1136">
      <w:pPr>
        <w:ind w:left="0"/>
        <w:contextualSpacing/>
        <w:rPr>
          <w:rFonts w:ascii="Bookman Old Style" w:hAnsi="Bookman Old Style"/>
        </w:rPr>
      </w:pPr>
      <w:r>
        <w:rPr>
          <w:rFonts w:ascii="Bookman Old Style" w:hAnsi="Bookman Old Style"/>
        </w:rPr>
        <w:t>Firma del proyecto,</w:t>
      </w:r>
    </w:p>
    <w:p w:rsidR="00D636E5" w:rsidRPr="00DC07FC" w:rsidRDefault="00D636E5" w:rsidP="004C1136">
      <w:pPr>
        <w:ind w:left="0"/>
        <w:contextualSpacing/>
        <w:rPr>
          <w:rFonts w:ascii="Bookman Old Style" w:hAnsi="Bookman Old Style"/>
        </w:rPr>
      </w:pPr>
    </w:p>
    <w:p w:rsidR="00C345DB" w:rsidRPr="00DC07FC" w:rsidRDefault="00C345DB" w:rsidP="004C1136">
      <w:pPr>
        <w:ind w:left="0"/>
        <w:contextualSpacing/>
        <w:rPr>
          <w:rFonts w:ascii="Bookman Old Style" w:hAnsi="Bookman Old Style"/>
        </w:rPr>
      </w:pPr>
    </w:p>
    <w:p w:rsidR="00C345DB" w:rsidRPr="00DC07FC" w:rsidRDefault="00C345DB" w:rsidP="004C1136">
      <w:pPr>
        <w:ind w:left="0"/>
        <w:contextualSpacing/>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D636E5" w:rsidRPr="00DC07FC" w:rsidTr="00684359">
        <w:trPr>
          <w:jc w:val="center"/>
        </w:trPr>
        <w:tc>
          <w:tcPr>
            <w:tcW w:w="5067" w:type="dxa"/>
          </w:tcPr>
          <w:p w:rsidR="00D636E5" w:rsidRPr="00DC07FC" w:rsidRDefault="00E046B3" w:rsidP="004C1136">
            <w:pPr>
              <w:tabs>
                <w:tab w:val="left" w:pos="-720"/>
              </w:tabs>
              <w:suppressAutoHyphens/>
              <w:ind w:left="0"/>
              <w:contextualSpacing/>
              <w:jc w:val="center"/>
              <w:rPr>
                <w:rFonts w:ascii="Bookman Old Style" w:hAnsi="Bookman Old Style" w:cs="Arial"/>
                <w:b/>
                <w:spacing w:val="-3"/>
              </w:rPr>
            </w:pPr>
            <w:r w:rsidRPr="00DC07FC">
              <w:rPr>
                <w:rFonts w:ascii="Bookman Old Style" w:hAnsi="Bookman Old Style" w:cs="Arial"/>
                <w:b/>
                <w:spacing w:val="-3"/>
              </w:rPr>
              <w:t>GERMAN ARCE ZAPATA</w:t>
            </w:r>
          </w:p>
          <w:p w:rsidR="00E046B3" w:rsidRPr="00DC07FC" w:rsidRDefault="00D636E5" w:rsidP="004C1136">
            <w:pPr>
              <w:tabs>
                <w:tab w:val="left" w:pos="-720"/>
              </w:tabs>
              <w:suppressAutoHyphens/>
              <w:ind w:left="0"/>
              <w:contextualSpacing/>
              <w:jc w:val="center"/>
              <w:rPr>
                <w:rFonts w:ascii="Bookman Old Style" w:hAnsi="Bookman Old Style"/>
              </w:rPr>
            </w:pPr>
            <w:r w:rsidRPr="00DC07FC">
              <w:rPr>
                <w:rFonts w:ascii="Bookman Old Style" w:hAnsi="Bookman Old Style"/>
              </w:rPr>
              <w:t xml:space="preserve">Ministro de Minas y Energía </w:t>
            </w:r>
          </w:p>
          <w:p w:rsidR="00D636E5" w:rsidRPr="00DC07FC" w:rsidRDefault="00D636E5" w:rsidP="004C1136">
            <w:pPr>
              <w:tabs>
                <w:tab w:val="left" w:pos="-720"/>
              </w:tabs>
              <w:suppressAutoHyphens/>
              <w:ind w:left="0"/>
              <w:contextualSpacing/>
              <w:jc w:val="center"/>
              <w:rPr>
                <w:rFonts w:ascii="Bookman Old Style" w:hAnsi="Bookman Old Style" w:cs="Arial"/>
                <w:b/>
                <w:strike/>
                <w:spacing w:val="-3"/>
              </w:rPr>
            </w:pPr>
            <w:r w:rsidRPr="00DC07FC">
              <w:rPr>
                <w:rFonts w:ascii="Bookman Old Style" w:hAnsi="Bookman Old Style"/>
              </w:rPr>
              <w:t>Presidente</w:t>
            </w:r>
          </w:p>
        </w:tc>
        <w:tc>
          <w:tcPr>
            <w:tcW w:w="4429" w:type="dxa"/>
          </w:tcPr>
          <w:p w:rsidR="00D636E5" w:rsidRPr="00DC07FC" w:rsidRDefault="00D636E5" w:rsidP="004C1136">
            <w:pPr>
              <w:tabs>
                <w:tab w:val="left" w:pos="-720"/>
              </w:tabs>
              <w:suppressAutoHyphens/>
              <w:ind w:left="0"/>
              <w:contextualSpacing/>
              <w:jc w:val="center"/>
              <w:rPr>
                <w:rFonts w:ascii="Bookman Old Style" w:hAnsi="Bookman Old Style" w:cs="Arial"/>
                <w:b/>
              </w:rPr>
            </w:pPr>
            <w:r w:rsidRPr="00DC07FC">
              <w:rPr>
                <w:rFonts w:ascii="Bookman Old Style" w:hAnsi="Bookman Old Style" w:cs="Arial"/>
                <w:b/>
              </w:rPr>
              <w:t>JORGE PINTO NOLLA</w:t>
            </w:r>
          </w:p>
          <w:p w:rsidR="00D636E5" w:rsidRPr="00DC07FC" w:rsidRDefault="00D636E5" w:rsidP="004C1136">
            <w:pPr>
              <w:tabs>
                <w:tab w:val="left" w:pos="-720"/>
              </w:tabs>
              <w:suppressAutoHyphens/>
              <w:ind w:left="0"/>
              <w:contextualSpacing/>
              <w:jc w:val="center"/>
              <w:rPr>
                <w:rFonts w:ascii="Bookman Old Style" w:hAnsi="Bookman Old Style" w:cs="Arial"/>
                <w:b/>
                <w:spacing w:val="-3"/>
              </w:rPr>
            </w:pPr>
            <w:r w:rsidRPr="00DC07FC">
              <w:rPr>
                <w:rFonts w:ascii="Bookman Old Style" w:hAnsi="Bookman Old Style" w:cs="Arial"/>
                <w:spacing w:val="-3"/>
              </w:rPr>
              <w:t>Director Ejecutivo</w:t>
            </w:r>
          </w:p>
        </w:tc>
      </w:tr>
    </w:tbl>
    <w:p w:rsidR="00D636E5" w:rsidRPr="00DC07FC" w:rsidRDefault="00D636E5" w:rsidP="004C1136">
      <w:pPr>
        <w:ind w:left="0"/>
        <w:contextualSpacing/>
        <w:rPr>
          <w:rFonts w:ascii="Bookman Old Style" w:hAnsi="Bookman Old Style"/>
        </w:rPr>
      </w:pPr>
    </w:p>
    <w:p w:rsidR="00D636E5" w:rsidRPr="00DC07FC" w:rsidRDefault="00D636E5" w:rsidP="004C1136">
      <w:pPr>
        <w:ind w:left="0"/>
        <w:contextualSpacing/>
        <w:rPr>
          <w:rFonts w:ascii="Bookman Old Style" w:hAnsi="Bookman Old Style" w:cs="Arial"/>
        </w:rPr>
      </w:pPr>
    </w:p>
    <w:p w:rsidR="00D4415D" w:rsidRPr="00F248FA" w:rsidRDefault="00B01A6B" w:rsidP="00F248FA">
      <w:pPr>
        <w:pStyle w:val="Ttulo1"/>
        <w:contextualSpacing/>
        <w:rPr>
          <w:szCs w:val="24"/>
        </w:rPr>
      </w:pPr>
      <w:r w:rsidRPr="00F248FA">
        <w:rPr>
          <w:szCs w:val="24"/>
        </w:rPr>
        <w:lastRenderedPageBreak/>
        <w:t>ANEXO 1</w:t>
      </w:r>
    </w:p>
    <w:p w:rsidR="005B21C4" w:rsidRPr="005B21C4" w:rsidRDefault="005B21C4" w:rsidP="005B21C4">
      <w:pPr>
        <w:ind w:left="0"/>
        <w:contextualSpacing/>
        <w:rPr>
          <w:b/>
        </w:rPr>
      </w:pPr>
    </w:p>
    <w:p w:rsidR="00D4415D" w:rsidRPr="00DC07FC" w:rsidRDefault="00B01A6B" w:rsidP="007A6707">
      <w:pPr>
        <w:pStyle w:val="Ttulo1"/>
        <w:contextualSpacing/>
        <w:rPr>
          <w:szCs w:val="24"/>
        </w:rPr>
      </w:pPr>
      <w:r w:rsidRPr="00DC07FC">
        <w:rPr>
          <w:szCs w:val="24"/>
        </w:rPr>
        <w:t>REGLAMENTO DE LA SUBASTA DE GLP</w:t>
      </w:r>
    </w:p>
    <w:p w:rsidR="00D4415D" w:rsidRPr="00DC07FC" w:rsidRDefault="00D4415D" w:rsidP="004C1136">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673A">
      <w:pPr>
        <w:pStyle w:val="ARTICULOS"/>
        <w:numPr>
          <w:ilvl w:val="0"/>
          <w:numId w:val="51"/>
        </w:numPr>
        <w:tabs>
          <w:tab w:val="left" w:pos="1701"/>
        </w:tabs>
        <w:contextualSpacing/>
        <w:outlineLvl w:val="0"/>
        <w:rPr>
          <w:rFonts w:cs="Arial"/>
          <w:b/>
          <w:color w:val="000000" w:themeColor="text1"/>
          <w:lang w:val="es-CO"/>
        </w:rPr>
      </w:pPr>
      <w:r w:rsidRPr="00DC07FC">
        <w:rPr>
          <w:rFonts w:cs="Arial"/>
          <w:b/>
          <w:color w:val="000000" w:themeColor="text1"/>
          <w:lang w:val="es-CO"/>
        </w:rPr>
        <w:t>OBJETO</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lang w:val="es-CO"/>
        </w:rPr>
        <w:t xml:space="preserve">El presente reglamento tiene por objeto establecer las condiciones y </w:t>
      </w:r>
      <w:r w:rsidRPr="00007F3F">
        <w:rPr>
          <w:rFonts w:ascii="Bookman Old Style" w:hAnsi="Bookman Old Style"/>
          <w:lang w:val="es-CO"/>
        </w:rPr>
        <w:t>procedimientos para la negociación del suministro de GLP mediante subasta, según lo dispuesto en el artículo 2</w:t>
      </w:r>
      <w:r w:rsidR="00007F3F">
        <w:rPr>
          <w:rFonts w:ascii="Bookman Old Style" w:hAnsi="Bookman Old Style"/>
          <w:lang w:val="es-CO"/>
        </w:rPr>
        <w:t>4</w:t>
      </w:r>
      <w:r w:rsidRPr="00007F3F">
        <w:rPr>
          <w:rFonts w:ascii="Bookman Old Style" w:hAnsi="Bookman Old Style"/>
          <w:lang w:val="es-CO"/>
        </w:rPr>
        <w:t xml:space="preserve"> de esta resolución.</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673A">
      <w:pPr>
        <w:pStyle w:val="ARTICULOS"/>
        <w:numPr>
          <w:ilvl w:val="0"/>
          <w:numId w:val="51"/>
        </w:numPr>
        <w:tabs>
          <w:tab w:val="left" w:pos="1701"/>
        </w:tabs>
        <w:contextualSpacing/>
        <w:outlineLvl w:val="0"/>
        <w:rPr>
          <w:rFonts w:cs="Arial"/>
          <w:b/>
          <w:color w:val="000000" w:themeColor="text1"/>
          <w:lang w:val="es-CO"/>
        </w:rPr>
      </w:pPr>
      <w:r w:rsidRPr="00DC07FC">
        <w:rPr>
          <w:rFonts w:cs="Arial"/>
          <w:b/>
          <w:color w:val="000000" w:themeColor="text1"/>
          <w:lang w:val="es-CO"/>
        </w:rPr>
        <w:t>DEFINICIONES</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b/>
          <w:lang w:val="es-CO"/>
        </w:rPr>
        <w:t>Administrador de la subasta</w:t>
      </w:r>
      <w:r w:rsidRPr="00DC07FC">
        <w:rPr>
          <w:rFonts w:ascii="Bookman Old Style" w:hAnsi="Bookman Old Style"/>
          <w:lang w:val="es-CO"/>
        </w:rPr>
        <w:t>: Persona natural o jurídica encargada de organizar la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b/>
          <w:lang w:val="es-CO"/>
        </w:rPr>
        <w:t>Auditor de la subasta</w:t>
      </w:r>
      <w:r w:rsidRPr="00DC07FC">
        <w:rPr>
          <w:rFonts w:ascii="Bookman Old Style" w:hAnsi="Bookman Old Style"/>
          <w:lang w:val="es-CO"/>
        </w:rPr>
        <w:t>: Persona natural o jurídica, con reconocida experiencia en procesos de auditoría, contratada por el administrador de la subasta para auditar el desarrollo de la misma.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007F3F">
        <w:rPr>
          <w:rFonts w:ascii="Bookman Old Style" w:hAnsi="Bookman Old Style"/>
          <w:b/>
          <w:lang w:val="es-CO"/>
        </w:rPr>
        <w:t>Compradores habilitados</w:t>
      </w:r>
      <w:r w:rsidRPr="00007F3F">
        <w:rPr>
          <w:rFonts w:ascii="Bookman Old Style" w:hAnsi="Bookman Old Style"/>
          <w:lang w:val="es-CO"/>
        </w:rPr>
        <w:t>: Compradores a los que se hace referencia en el artículo 20 de esta resolución.</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b/>
          <w:lang w:val="es-CO"/>
        </w:rPr>
        <w:t>Precio de adjudicación:</w:t>
      </w:r>
      <w:r w:rsidRPr="00DC07FC">
        <w:rPr>
          <w:rFonts w:ascii="Bookman Old Style" w:hAnsi="Bookman Old Style"/>
          <w:lang w:val="es-CO"/>
        </w:rPr>
        <w:t xml:space="preserve"> Precio que pagarán los compradores por el GLP adjudicado a través de la subasta. Corresponde al precio de cierre fijado para la última ronda de la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b/>
          <w:lang w:val="es-CO"/>
        </w:rPr>
        <w:t>Precio de cierre:</w:t>
      </w:r>
      <w:r w:rsidRPr="00DC07FC">
        <w:rPr>
          <w:rFonts w:ascii="Bookman Old Style" w:hAnsi="Bookman Old Style"/>
          <w:lang w:val="es-CO"/>
        </w:rPr>
        <w:t xml:space="preserve"> Precio establecido por el subastador, o automáticamente por el sistema de subasta, para cada una de las rondas siguientes a la ronda cero (0).</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b/>
          <w:lang w:val="es-CO"/>
        </w:rPr>
        <w:t>Precio de reserva:</w:t>
      </w:r>
      <w:r w:rsidRPr="00DC07FC">
        <w:rPr>
          <w:rFonts w:ascii="Bookman Old Style" w:hAnsi="Bookman Old Style"/>
          <w:lang w:val="es-CO"/>
        </w:rPr>
        <w:t xml:space="preserve"> Precio mínimo de venta al cual se ofrece un producto en la subasta. </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007F3F">
        <w:rPr>
          <w:rFonts w:ascii="Bookman Old Style" w:hAnsi="Bookman Old Style"/>
          <w:b/>
          <w:lang w:val="es-CO"/>
        </w:rPr>
        <w:t>Producto:</w:t>
      </w:r>
      <w:r w:rsidRPr="00007F3F">
        <w:rPr>
          <w:rFonts w:ascii="Bookman Old Style" w:hAnsi="Bookman Old Style"/>
          <w:lang w:val="es-CO"/>
        </w:rPr>
        <w:t xml:space="preserve"> Contrato firme para el suministro de GLP.</w:t>
      </w:r>
      <w:r w:rsidRPr="00DC07FC">
        <w:rPr>
          <w:rFonts w:ascii="Bookman Old Style" w:hAnsi="Bookman Old Style"/>
          <w:lang w:val="es-CO"/>
        </w:rPr>
        <w:t xml:space="preserve"> </w:t>
      </w:r>
    </w:p>
    <w:p w:rsidR="0007024B" w:rsidRPr="00DC07FC" w:rsidRDefault="0007024B"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b/>
          <w:lang w:val="es-CO"/>
        </w:rPr>
        <w:t>Ronda:</w:t>
      </w:r>
      <w:r w:rsidRPr="00DC07FC">
        <w:rPr>
          <w:rFonts w:ascii="Bookman Old Style" w:hAnsi="Bookman Old Style"/>
          <w:lang w:val="es-CO"/>
        </w:rPr>
        <w:t xml:space="preserve"> Período de tiempo definido por el subastador, automáticamente por el sistema o, antes de llevar a cabo la subasta, por la CREG, durante el cual los compradores habilitados presentan sus solicitudes de compra, así como la demás información establecida, de acuerdo con lo definido en este anexo.</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b/>
          <w:lang w:val="es-CO"/>
        </w:rPr>
        <w:t>Sistema de subasta:</w:t>
      </w:r>
      <w:r w:rsidRPr="00DC07FC">
        <w:rPr>
          <w:rFonts w:ascii="Bookman Old Style" w:hAnsi="Bookman Old Style"/>
          <w:lang w:val="es-CO"/>
        </w:rPr>
        <w:t xml:space="preserve"> Plataforma tecnológica en la cual se desarrollará la subasta que se reglamenta en este anexo.</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b/>
          <w:lang w:val="es-CO"/>
        </w:rPr>
        <w:t>Subasta:</w:t>
      </w:r>
      <w:r w:rsidRPr="00DC07FC">
        <w:rPr>
          <w:rFonts w:ascii="Bookman Old Style" w:hAnsi="Bookman Old Style"/>
          <w:lang w:val="es-CO"/>
        </w:rPr>
        <w:t xml:space="preserve"> Proceso dinámico de negociación, con reglas definidas para la formación de los precios y la asignación de cantidades, de acuerdo con lo establecido en este anexo.</w:t>
      </w:r>
    </w:p>
    <w:p w:rsidR="00901EFF" w:rsidRPr="00DC07FC" w:rsidRDefault="00901EFF" w:rsidP="00901EFF">
      <w:pPr>
        <w:ind w:left="0"/>
        <w:contextualSpacing/>
        <w:jc w:val="both"/>
        <w:rPr>
          <w:rFonts w:ascii="Bookman Old Style" w:hAnsi="Bookman Old Style"/>
          <w:lang w:val="es-CO"/>
        </w:rPr>
      </w:pPr>
    </w:p>
    <w:p w:rsidR="0055273E" w:rsidRDefault="0055273E" w:rsidP="00901EFF">
      <w:pPr>
        <w:ind w:left="0"/>
        <w:contextualSpacing/>
        <w:jc w:val="both"/>
        <w:rPr>
          <w:rFonts w:ascii="Bookman Old Style" w:hAnsi="Bookman Old Style"/>
          <w:b/>
          <w:lang w:val="es-CO"/>
        </w:rPr>
      </w:pPr>
    </w:p>
    <w:p w:rsidR="0055273E" w:rsidRDefault="0055273E" w:rsidP="00901EFF">
      <w:pPr>
        <w:ind w:left="0"/>
        <w:contextualSpacing/>
        <w:jc w:val="both"/>
        <w:rPr>
          <w:rFonts w:ascii="Bookman Old Style" w:hAnsi="Bookman Old Style"/>
          <w:b/>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b/>
          <w:lang w:val="es-CO"/>
        </w:rPr>
        <w:t>Subastador:</w:t>
      </w:r>
      <w:r w:rsidRPr="00DC07FC">
        <w:rPr>
          <w:rFonts w:ascii="Bookman Old Style" w:hAnsi="Bookman Old Style"/>
          <w:lang w:val="es-CO"/>
        </w:rPr>
        <w:t xml:space="preserve"> Persona natural o jurídica que da aplicación al procedimiento de la subasta. Puede ser el gestor del mercado u otra persona que este contrate.</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007F3F">
        <w:rPr>
          <w:rFonts w:ascii="Bookman Old Style" w:hAnsi="Bookman Old Style"/>
          <w:b/>
          <w:lang w:val="es-CO"/>
        </w:rPr>
        <w:t>Vendedores habilitados:</w:t>
      </w:r>
      <w:r w:rsidRPr="00007F3F">
        <w:rPr>
          <w:rFonts w:ascii="Bookman Old Style" w:hAnsi="Bookman Old Style"/>
          <w:lang w:val="es-CO"/>
        </w:rPr>
        <w:t xml:space="preserve"> vendedores a los que se hace referencia en el artículo 19 de esta resolución.</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673A">
      <w:pPr>
        <w:pStyle w:val="ARTICULOS"/>
        <w:numPr>
          <w:ilvl w:val="0"/>
          <w:numId w:val="51"/>
        </w:numPr>
        <w:tabs>
          <w:tab w:val="left" w:pos="1701"/>
        </w:tabs>
        <w:contextualSpacing/>
        <w:outlineLvl w:val="0"/>
        <w:rPr>
          <w:rFonts w:cs="Arial"/>
          <w:b/>
          <w:color w:val="000000" w:themeColor="text1"/>
          <w:lang w:val="es-CO"/>
        </w:rPr>
      </w:pPr>
      <w:r w:rsidRPr="00DC07FC">
        <w:rPr>
          <w:rFonts w:cs="Arial"/>
          <w:b/>
          <w:color w:val="000000" w:themeColor="text1"/>
          <w:lang w:val="es-CO"/>
        </w:rPr>
        <w:t>PRINCIPIOS GENERALES DE LA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pStyle w:val="ARTICULOS"/>
        <w:contextualSpacing/>
        <w:rPr>
          <w:rFonts w:cs="Arial"/>
          <w:color w:val="000000" w:themeColor="text1"/>
        </w:rPr>
      </w:pPr>
      <w:r w:rsidRPr="00DC07FC">
        <w:rPr>
          <w:rFonts w:cs="Arial"/>
          <w:color w:val="000000" w:themeColor="text1"/>
        </w:rPr>
        <w:t>La subasta se regirá por los siguientes principios:</w:t>
      </w:r>
    </w:p>
    <w:p w:rsidR="00901EFF" w:rsidRPr="00DC07FC" w:rsidRDefault="00901EFF" w:rsidP="00901EFF">
      <w:pPr>
        <w:pStyle w:val="ARTICULOS"/>
        <w:contextualSpacing/>
        <w:rPr>
          <w:rFonts w:cs="Arial"/>
          <w:color w:val="000000" w:themeColor="text1"/>
        </w:rPr>
      </w:pPr>
    </w:p>
    <w:p w:rsidR="00901EFF" w:rsidRPr="00DC07FC" w:rsidRDefault="00901EFF" w:rsidP="00901EFF">
      <w:pPr>
        <w:numPr>
          <w:ilvl w:val="0"/>
          <w:numId w:val="3"/>
        </w:numPr>
        <w:autoSpaceDE w:val="0"/>
        <w:autoSpaceDN w:val="0"/>
        <w:adjustRightInd w:val="0"/>
        <w:ind w:left="1134"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Eficiencia: el desarrollo de la subasta conducirá a la formación de precios eficientes de cada uno de los productos.</w:t>
      </w:r>
    </w:p>
    <w:p w:rsidR="00901EFF" w:rsidRPr="00DC07FC" w:rsidRDefault="00901EFF" w:rsidP="00901EFF">
      <w:pPr>
        <w:autoSpaceDE w:val="0"/>
        <w:autoSpaceDN w:val="0"/>
        <w:adjustRightInd w:val="0"/>
        <w:ind w:left="1134"/>
        <w:contextualSpacing/>
        <w:jc w:val="both"/>
        <w:rPr>
          <w:rFonts w:ascii="Bookman Old Style" w:hAnsi="Bookman Old Style" w:cs="Arial"/>
          <w:color w:val="000000" w:themeColor="text1"/>
        </w:rPr>
      </w:pPr>
    </w:p>
    <w:p w:rsidR="00901EFF" w:rsidRPr="00DC07FC" w:rsidRDefault="00901EFF" w:rsidP="00901EFF">
      <w:pPr>
        <w:numPr>
          <w:ilvl w:val="0"/>
          <w:numId w:val="3"/>
        </w:numPr>
        <w:autoSpaceDE w:val="0"/>
        <w:autoSpaceDN w:val="0"/>
        <w:adjustRightInd w:val="0"/>
        <w:ind w:left="1134"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Publicidad: se garantizará a través de los mecanismos dispuestos en la presente resolución.</w:t>
      </w:r>
    </w:p>
    <w:p w:rsidR="00901EFF" w:rsidRPr="00DC07FC" w:rsidRDefault="00901EFF" w:rsidP="00901EFF">
      <w:pPr>
        <w:autoSpaceDE w:val="0"/>
        <w:autoSpaceDN w:val="0"/>
        <w:adjustRightInd w:val="0"/>
        <w:ind w:left="1134"/>
        <w:contextualSpacing/>
        <w:jc w:val="both"/>
        <w:rPr>
          <w:rFonts w:ascii="Bookman Old Style" w:hAnsi="Bookman Old Style" w:cs="Arial"/>
          <w:color w:val="000000" w:themeColor="text1"/>
        </w:rPr>
      </w:pPr>
    </w:p>
    <w:p w:rsidR="00901EFF" w:rsidRPr="00DC07FC" w:rsidRDefault="00901EFF" w:rsidP="00901EFF">
      <w:pPr>
        <w:numPr>
          <w:ilvl w:val="0"/>
          <w:numId w:val="3"/>
        </w:numPr>
        <w:autoSpaceDE w:val="0"/>
        <w:autoSpaceDN w:val="0"/>
        <w:adjustRightInd w:val="0"/>
        <w:ind w:left="1134"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Neutralidad: el diseño de la subasta y el reglamento de la misma no permitirán, inducirán o adoptarán prácticas de discriminación indebida en contra de alguno de los participantes.</w:t>
      </w:r>
    </w:p>
    <w:p w:rsidR="00901EFF" w:rsidRPr="00DC07FC" w:rsidRDefault="00901EFF" w:rsidP="00901EFF">
      <w:pPr>
        <w:autoSpaceDE w:val="0"/>
        <w:autoSpaceDN w:val="0"/>
        <w:adjustRightInd w:val="0"/>
        <w:ind w:left="1134"/>
        <w:contextualSpacing/>
        <w:jc w:val="both"/>
        <w:rPr>
          <w:rFonts w:ascii="Bookman Old Style" w:hAnsi="Bookman Old Style" w:cs="Arial"/>
          <w:color w:val="000000" w:themeColor="text1"/>
        </w:rPr>
      </w:pPr>
    </w:p>
    <w:p w:rsidR="00901EFF" w:rsidRPr="00DC07FC" w:rsidRDefault="00901EFF" w:rsidP="00901EFF">
      <w:pPr>
        <w:numPr>
          <w:ilvl w:val="0"/>
          <w:numId w:val="3"/>
        </w:numPr>
        <w:autoSpaceDE w:val="0"/>
        <w:autoSpaceDN w:val="0"/>
        <w:adjustRightInd w:val="0"/>
        <w:ind w:left="1134"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Simplicidad y transparencia: los mecanismos de la subasta serán claros, explícitos y constarán por escrito, de tal forma que puedan ser comprendidos sin duda ni ambigüedad.</w:t>
      </w:r>
    </w:p>
    <w:p w:rsidR="00901EFF" w:rsidRPr="00DC07FC" w:rsidRDefault="00901EFF" w:rsidP="00901EFF">
      <w:pPr>
        <w:autoSpaceDE w:val="0"/>
        <w:autoSpaceDN w:val="0"/>
        <w:adjustRightInd w:val="0"/>
        <w:ind w:left="1134"/>
        <w:contextualSpacing/>
        <w:jc w:val="both"/>
        <w:rPr>
          <w:rFonts w:ascii="Bookman Old Style" w:hAnsi="Bookman Old Style" w:cs="Arial"/>
          <w:color w:val="000000" w:themeColor="text1"/>
        </w:rPr>
      </w:pPr>
    </w:p>
    <w:p w:rsidR="00901EFF" w:rsidRPr="00DC07FC" w:rsidRDefault="00901EFF" w:rsidP="00901EFF">
      <w:pPr>
        <w:numPr>
          <w:ilvl w:val="0"/>
          <w:numId w:val="3"/>
        </w:numPr>
        <w:autoSpaceDE w:val="0"/>
        <w:autoSpaceDN w:val="0"/>
        <w:adjustRightInd w:val="0"/>
        <w:ind w:left="1134"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Objetividad: los criterios de adjudicación serán claros e imparciales.</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ARTICULOS"/>
        <w:numPr>
          <w:ilvl w:val="0"/>
          <w:numId w:val="51"/>
        </w:numPr>
        <w:tabs>
          <w:tab w:val="left" w:pos="1701"/>
        </w:tabs>
        <w:contextualSpacing/>
        <w:outlineLvl w:val="0"/>
        <w:rPr>
          <w:rFonts w:cs="Arial"/>
          <w:b/>
          <w:color w:val="000000" w:themeColor="text1"/>
          <w:lang w:val="es-CO"/>
        </w:rPr>
      </w:pPr>
      <w:r w:rsidRPr="00DC07FC">
        <w:rPr>
          <w:rFonts w:cs="Arial"/>
          <w:b/>
          <w:color w:val="000000" w:themeColor="text1"/>
          <w:lang w:val="es-CO"/>
        </w:rPr>
        <w:t>ORGANIZACIÓN DE LA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673A">
      <w:pPr>
        <w:pStyle w:val="Prrafodelista"/>
        <w:numPr>
          <w:ilvl w:val="1"/>
          <w:numId w:val="52"/>
        </w:numPr>
        <w:contextualSpacing/>
        <w:jc w:val="both"/>
        <w:outlineLvl w:val="1"/>
        <w:rPr>
          <w:rFonts w:ascii="Bookman Old Style" w:hAnsi="Bookman Old Style"/>
          <w:sz w:val="24"/>
          <w:szCs w:val="24"/>
        </w:rPr>
      </w:pPr>
      <w:r w:rsidRPr="00DC07FC">
        <w:rPr>
          <w:rFonts w:ascii="Bookman Old Style" w:hAnsi="Bookman Old Style"/>
          <w:sz w:val="24"/>
          <w:szCs w:val="24"/>
        </w:rPr>
        <w:t>Responsabilidades y deberes del administrador de la subasta</w:t>
      </w:r>
    </w:p>
    <w:p w:rsidR="00901EFF" w:rsidRPr="00DC07FC" w:rsidRDefault="00901EFF" w:rsidP="00901EFF">
      <w:pPr>
        <w:contextualSpacing/>
        <w:jc w:val="both"/>
        <w:rPr>
          <w:rFonts w:ascii="Bookman Old Style" w:hAnsi="Bookman Old Style"/>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Establecer, operar y mantener el sistema de subasta, el cual deberá estar disponible a más tardar veinte (20) días calendario antes de la fecha programada para la realización de la primera subasta.</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highlight w:val="yellow"/>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Realizar, a más tardar quince (15) días calendario antes de la fecha programada para la realización de cada subasta, a través de una empresa especializada, una auditoría operativa y de sistemas para verificar el adecuado funcionamiento del sistema de subasta y certificar su correcta operación frente a las especificaciones técnicas, operativas y de seguridad, respecto del programa y de los equipos. Igualmente, deberá remitir el certificado de dicha auditoría al auditor de la subasta antes de la fecha programada para la realización de la subasta.</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Elaborar los reglamentos que considere necesarios para llevar a cabo las actividades encomendadas, los cuales deberán ser puestos a consideración de la CREG para su concepto de no objeción a más tardar sesenta (60) días calendario antes de la fecha programada para la realización de la primera </w:t>
      </w:r>
      <w:r w:rsidRPr="00DC07FC">
        <w:rPr>
          <w:rFonts w:ascii="Bookman Old Style" w:hAnsi="Bookman Old Style" w:cs="Arial"/>
          <w:color w:val="000000" w:themeColor="text1"/>
        </w:rPr>
        <w:lastRenderedPageBreak/>
        <w:t>subasta. En especial deberá establecer la estructura computacional y de comunicaciones requerida para el acceso al sistema de subasta, así como los canales formales para su comunicación con el administrador y con el subastador.</w:t>
      </w:r>
    </w:p>
    <w:p w:rsidR="00901EFF" w:rsidRPr="00DC07FC" w:rsidRDefault="00901EFF" w:rsidP="00242CA3">
      <w:pPr>
        <w:autoSpaceDE w:val="0"/>
        <w:autoSpaceDN w:val="0"/>
        <w:adjustRightInd w:val="0"/>
        <w:ind w:left="1134" w:hanging="567"/>
        <w:contextualSpacing/>
        <w:jc w:val="both"/>
        <w:rPr>
          <w:rFonts w:ascii="Bookman Old Style" w:hAnsi="Bookman Old Style" w:cs="Arial"/>
          <w:color w:val="000000" w:themeColor="text1"/>
        </w:rPr>
      </w:pP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La CREG dará su concepto de no objeción, de tal manera que a más tardar cuarenta (40) días calendario antes de la realización de la primera subasta sean públicos los reglamentos.</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007F3F"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Ofrecer e impartir la capacitación y asistencia necesaria en el manejo y operación del sistema de subasta a los vendedores y compradores a los que </w:t>
      </w:r>
      <w:r w:rsidRPr="00007F3F">
        <w:rPr>
          <w:rFonts w:ascii="Bookman Old Style" w:hAnsi="Bookman Old Style" w:cs="Arial"/>
          <w:color w:val="000000" w:themeColor="text1"/>
        </w:rPr>
        <w:t xml:space="preserve">se hace referencia en los artículos 19 </w:t>
      </w:r>
      <w:r w:rsidRPr="00007F3F">
        <w:rPr>
          <w:rFonts w:ascii="Bookman Old Style" w:hAnsi="Bookman Old Style"/>
          <w:color w:val="000000" w:themeColor="text1"/>
        </w:rPr>
        <w:t xml:space="preserve">y 20 </w:t>
      </w:r>
      <w:r w:rsidRPr="00007F3F">
        <w:rPr>
          <w:rFonts w:ascii="Bookman Old Style" w:hAnsi="Bookman Old Style" w:cs="Arial"/>
          <w:color w:val="000000" w:themeColor="text1"/>
        </w:rPr>
        <w:t>de esta resolución.</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Emitir los certificados de capacitación a las personas que la reciban y que demuestren un adecuado manejo y operación del sistema de subasta.</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Contratar el auditor de la subasta, proceso que debe estar finalizado por lo menos treinta (30) días calendario antes de la fecha programada para la realización de cada subasta.</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Desempeñar el papel de subastador. En el caso en el que decida no asumir este rol, deberá contratar al subastador, proceso que deberá estar finalizado por lo menos treinta (30) días calendario antes de la fecha programada para la realización de cada subasta.</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446741"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Definir e informar, por lo menos veinte (20) días calendario antes de la fecha programada para la realización de la primera subasta, el instrumento fiduciario mediante el cual se administrarán los mecanismos </w:t>
      </w:r>
      <w:r w:rsidRPr="00446741">
        <w:rPr>
          <w:rFonts w:ascii="Bookman Old Style" w:hAnsi="Bookman Old Style" w:cs="Arial"/>
          <w:color w:val="000000" w:themeColor="text1"/>
        </w:rPr>
        <w:t>de cubrimiento de participación, indicado</w:t>
      </w:r>
      <w:r w:rsidR="00446741" w:rsidRPr="00446741">
        <w:rPr>
          <w:rFonts w:ascii="Bookman Old Style" w:hAnsi="Bookman Old Style" w:cs="Arial"/>
          <w:color w:val="000000" w:themeColor="text1"/>
        </w:rPr>
        <w:t>s</w:t>
      </w:r>
      <w:r w:rsidRPr="00446741">
        <w:rPr>
          <w:rFonts w:ascii="Bookman Old Style" w:hAnsi="Bookman Old Style" w:cs="Arial"/>
          <w:color w:val="000000" w:themeColor="text1"/>
        </w:rPr>
        <w:t xml:space="preserve"> en </w:t>
      </w:r>
      <w:r w:rsidRPr="00446741">
        <w:rPr>
          <w:rFonts w:ascii="Bookman Old Style" w:hAnsi="Bookman Old Style"/>
          <w:color w:val="000000" w:themeColor="text1"/>
        </w:rPr>
        <w:t>l</w:t>
      </w:r>
      <w:r w:rsidR="00446741" w:rsidRPr="00446741">
        <w:rPr>
          <w:rFonts w:ascii="Bookman Old Style" w:hAnsi="Bookman Old Style"/>
          <w:color w:val="000000" w:themeColor="text1"/>
        </w:rPr>
        <w:t>os</w:t>
      </w:r>
      <w:r w:rsidRPr="00446741">
        <w:rPr>
          <w:rFonts w:ascii="Bookman Old Style" w:hAnsi="Bookman Old Style"/>
          <w:color w:val="000000" w:themeColor="text1"/>
        </w:rPr>
        <w:t xml:space="preserve"> numeral</w:t>
      </w:r>
      <w:r w:rsidR="00446741" w:rsidRPr="00446741">
        <w:rPr>
          <w:rFonts w:ascii="Bookman Old Style" w:hAnsi="Bookman Old Style"/>
          <w:color w:val="000000" w:themeColor="text1"/>
        </w:rPr>
        <w:t>es</w:t>
      </w:r>
      <w:r w:rsidRPr="00446741">
        <w:rPr>
          <w:rFonts w:ascii="Bookman Old Style" w:hAnsi="Bookman Old Style" w:cs="Arial"/>
          <w:color w:val="000000" w:themeColor="text1"/>
        </w:rPr>
        <w:t xml:space="preserve"> 5.13</w:t>
      </w:r>
      <w:r w:rsidR="00446741" w:rsidRPr="00446741">
        <w:rPr>
          <w:rFonts w:ascii="Bookman Old Style" w:hAnsi="Bookman Old Style" w:cs="Arial"/>
          <w:color w:val="000000" w:themeColor="text1"/>
        </w:rPr>
        <w:t xml:space="preserve"> y 5.14</w:t>
      </w:r>
      <w:r w:rsidRPr="00446741">
        <w:rPr>
          <w:rFonts w:ascii="Bookman Old Style" w:hAnsi="Bookman Old Style" w:cs="Arial"/>
          <w:color w:val="000000" w:themeColor="text1"/>
        </w:rPr>
        <w:t xml:space="preserve"> de este anexo.</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bookmarkStart w:id="53" w:name="_Ref363553082"/>
      <w:r w:rsidRPr="00DC07FC">
        <w:rPr>
          <w:rFonts w:ascii="Bookman Old Style" w:hAnsi="Bookman Old Style" w:cs="Arial"/>
          <w:color w:val="000000" w:themeColor="text1"/>
        </w:rPr>
        <w:t>Realizar, a más tardar quince (15) días calendario antes de la fecha programada para la realización de cada subasta, a través de una empresa especializada, una auditoría de los sistemas computacionales y de comunicación requeridos por cada uno de los compradores, y de sus correspondientes sistemas de respaldo, para verificar su adecuado funcionamiento. Los resultados de esta auditoría deberán ser remitidos al administrador de la subasta y al auditor de la subasta antes de la fecha programada para la realización de la subasta. Los compradores sólo podrán acceder al sistema de subasta desde equipos localizados en el territorio nacional.</w:t>
      </w:r>
      <w:bookmarkEnd w:id="53"/>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bookmarkStart w:id="54" w:name="_Ref363553255"/>
      <w:r w:rsidRPr="00DC07FC">
        <w:rPr>
          <w:rFonts w:ascii="Bookman Old Style" w:hAnsi="Bookman Old Style" w:cs="Arial"/>
          <w:color w:val="000000" w:themeColor="text1"/>
        </w:rPr>
        <w:t xml:space="preserve">Elaborar, a más tardar quince (15) días calendario antes de la fecha programada para la realización de cada subasta, un documento en el que se señale el nombre de los vendedores y de los compradores habilitados </w:t>
      </w:r>
      <w:r w:rsidRPr="00446741">
        <w:rPr>
          <w:rFonts w:ascii="Bookman Old Style" w:hAnsi="Bookman Old Style" w:cs="Arial"/>
          <w:color w:val="000000" w:themeColor="text1"/>
        </w:rPr>
        <w:t>para participar en la subasta, según lo establecido en los numerales 5.4 y 5.5 de este anexo. Este documento será confidencial y sólo lo conocerán el</w:t>
      </w:r>
      <w:r w:rsidRPr="00DC07FC">
        <w:rPr>
          <w:rFonts w:ascii="Bookman Old Style" w:hAnsi="Bookman Old Style" w:cs="Arial"/>
          <w:color w:val="000000" w:themeColor="text1"/>
        </w:rPr>
        <w:t xml:space="preserve"> subastador y las autoridades competentes.</w:t>
      </w:r>
      <w:bookmarkEnd w:id="54"/>
    </w:p>
    <w:p w:rsidR="00901EFF" w:rsidRDefault="00901EFF" w:rsidP="00B32B9C">
      <w:pPr>
        <w:pStyle w:val="Prrafodelista"/>
        <w:ind w:left="567" w:hanging="567"/>
        <w:contextualSpacing/>
        <w:rPr>
          <w:rFonts w:ascii="Bookman Old Style" w:hAnsi="Bookman Old Style" w:cs="Arial"/>
          <w:color w:val="000000" w:themeColor="text1"/>
          <w:sz w:val="24"/>
          <w:szCs w:val="24"/>
        </w:rPr>
      </w:pPr>
    </w:p>
    <w:p w:rsidR="0055273E" w:rsidRDefault="0055273E" w:rsidP="00B32B9C">
      <w:pPr>
        <w:pStyle w:val="Prrafodelista"/>
        <w:ind w:left="567" w:hanging="567"/>
        <w:contextualSpacing/>
        <w:rPr>
          <w:rFonts w:ascii="Bookman Old Style" w:hAnsi="Bookman Old Style" w:cs="Arial"/>
          <w:color w:val="000000" w:themeColor="text1"/>
          <w:sz w:val="24"/>
          <w:szCs w:val="24"/>
        </w:rPr>
      </w:pPr>
    </w:p>
    <w:p w:rsidR="0055273E" w:rsidRPr="00DC07FC" w:rsidRDefault="0055273E" w:rsidP="00B32B9C">
      <w:pPr>
        <w:pStyle w:val="Prrafodelista"/>
        <w:ind w:left="567" w:hanging="567"/>
        <w:contextualSpacing/>
        <w:rPr>
          <w:rFonts w:ascii="Bookman Old Style" w:hAnsi="Bookman Old Style" w:cs="Arial"/>
          <w:color w:val="000000" w:themeColor="text1"/>
          <w:sz w:val="24"/>
          <w:szCs w:val="24"/>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Entregar al representante legal de cada uno de los compradores habilitados </w:t>
      </w:r>
      <w:r w:rsidRPr="00446741">
        <w:rPr>
          <w:rFonts w:ascii="Bookman Old Style" w:hAnsi="Bookman Old Style" w:cs="Arial"/>
          <w:color w:val="000000" w:themeColor="text1"/>
        </w:rPr>
        <w:t xml:space="preserve">para participar en la subasta, según lo establecido en </w:t>
      </w:r>
      <w:r w:rsidRPr="00446741">
        <w:rPr>
          <w:rFonts w:ascii="Bookman Old Style" w:hAnsi="Bookman Old Style"/>
          <w:color w:val="000000" w:themeColor="text1"/>
        </w:rPr>
        <w:t>el numeral</w:t>
      </w:r>
      <w:r w:rsidRPr="00446741">
        <w:rPr>
          <w:rFonts w:ascii="Bookman Old Style" w:hAnsi="Bookman Old Style" w:cs="Arial"/>
          <w:color w:val="000000" w:themeColor="text1"/>
        </w:rPr>
        <w:t xml:space="preserve"> 5.5 de este</w:t>
      </w:r>
      <w:r w:rsidRPr="00DC07FC">
        <w:rPr>
          <w:rFonts w:ascii="Bookman Old Style" w:hAnsi="Bookman Old Style" w:cs="Arial"/>
          <w:color w:val="000000" w:themeColor="text1"/>
        </w:rPr>
        <w:t xml:space="preserve"> anexo, una clave de acceso al sistema de subasta. El comprador habilitado será el único responsable por el uso que sus operadores, funcionarios o cualquier persona hagan de la clave de acceso y deberá velar porque la misma se mantenga y use bajo estricta reserva y seguridad. El administrador de la subasta podrá establecer el uso de firma digital que sustituya las claves de que trata el presente literal.</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Suspender la subasta cuando sea requerido por el auditor de la subasta o el subastador, de conformidad con las disposiciones contenidas en el presente anexo.</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Emitir los certificados en los que se informe a los vendedores habilitados y a los compradores habilitados el resultado de la subasta.</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Conservar registros históricos, en medios electrónicos, de la totalidad de las operaciones realizadas durante el desarrollo de la subasta, de conformidad con las disposiciones legales vigentes en materia de conservación de documentos.</w:t>
      </w:r>
    </w:p>
    <w:p w:rsidR="00901EFF" w:rsidRPr="00DC07FC" w:rsidRDefault="00901EFF" w:rsidP="00901EFF">
      <w:pPr>
        <w:ind w:left="0"/>
        <w:contextualSpacing/>
        <w:rPr>
          <w:rFonts w:ascii="Bookman Old Style" w:hAnsi="Bookman Old Style"/>
          <w:color w:val="000000" w:themeColor="text1"/>
        </w:rPr>
      </w:pPr>
    </w:p>
    <w:p w:rsidR="00901EFF" w:rsidRPr="00DC07FC" w:rsidRDefault="00901EFF" w:rsidP="00901EFF">
      <w:pPr>
        <w:ind w:left="0"/>
        <w:contextualSpacing/>
        <w:jc w:val="both"/>
        <w:rPr>
          <w:rFonts w:ascii="Bookman Old Style" w:hAnsi="Bookman Old Style"/>
          <w:color w:val="000000" w:themeColor="text1"/>
        </w:rPr>
      </w:pPr>
      <w:r w:rsidRPr="00446741">
        <w:rPr>
          <w:rFonts w:ascii="Bookman Old Style" w:hAnsi="Bookman Old Style"/>
          <w:color w:val="000000" w:themeColor="text1"/>
        </w:rPr>
        <w:t>En desarrollo del servicio al que se hace referencia en el numeral 3 del artículo 32 de esta resolución, el gestor del mercado será el administrador de la subasta. Hasta tanto se inicie la prestación de servicios por parte del gestor del mercado,</w:t>
      </w:r>
      <w:r w:rsidRPr="00DC07FC">
        <w:rPr>
          <w:rFonts w:ascii="Bookman Old Style" w:hAnsi="Bookman Old Style"/>
          <w:color w:val="000000" w:themeColor="text1"/>
        </w:rPr>
        <w:t xml:space="preserve"> se contratará a quien ha</w:t>
      </w:r>
      <w:r w:rsidR="00695D0D">
        <w:rPr>
          <w:rFonts w:ascii="Bookman Old Style" w:hAnsi="Bookman Old Style"/>
          <w:color w:val="000000" w:themeColor="text1"/>
        </w:rPr>
        <w:t>ga</w:t>
      </w:r>
      <w:r w:rsidRPr="00DC07FC">
        <w:rPr>
          <w:rFonts w:ascii="Bookman Old Style" w:hAnsi="Bookman Old Style"/>
          <w:color w:val="000000" w:themeColor="text1"/>
        </w:rPr>
        <w:t xml:space="preserve"> las veces de administrador de la subasta.</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52"/>
        </w:numPr>
        <w:contextualSpacing/>
        <w:jc w:val="both"/>
        <w:outlineLvl w:val="1"/>
        <w:rPr>
          <w:rFonts w:ascii="Bookman Old Style" w:hAnsi="Bookman Old Style"/>
          <w:sz w:val="24"/>
          <w:szCs w:val="24"/>
        </w:rPr>
      </w:pPr>
      <w:r w:rsidRPr="00DC07FC">
        <w:rPr>
          <w:rFonts w:ascii="Bookman Old Style" w:hAnsi="Bookman Old Style"/>
          <w:sz w:val="24"/>
          <w:szCs w:val="24"/>
        </w:rPr>
        <w:t>Responsabilidades y deberes del auditor de la subasta</w:t>
      </w:r>
    </w:p>
    <w:p w:rsidR="00901EFF" w:rsidRPr="00DC07FC" w:rsidRDefault="00901EFF" w:rsidP="00901EFF">
      <w:pPr>
        <w:ind w:left="0"/>
        <w:contextualSpacing/>
        <w:jc w:val="both"/>
        <w:rPr>
          <w:rFonts w:ascii="Bookman Old Style" w:hAnsi="Bookman Old Style"/>
        </w:rPr>
      </w:pPr>
    </w:p>
    <w:p w:rsidR="00901EFF" w:rsidRPr="00DC07FC" w:rsidRDefault="00901EFF" w:rsidP="00B32B9C">
      <w:pPr>
        <w:numPr>
          <w:ilvl w:val="0"/>
          <w:numId w:val="73"/>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Verificar la correcta aplicación de la regulación prevista para la subasta.</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highlight w:val="yellow"/>
        </w:rPr>
      </w:pPr>
    </w:p>
    <w:p w:rsidR="00901EFF" w:rsidRPr="00DC07FC" w:rsidRDefault="00901EFF" w:rsidP="00B32B9C">
      <w:pPr>
        <w:numPr>
          <w:ilvl w:val="0"/>
          <w:numId w:val="73"/>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Verificar que las comunicaciones con el administrador de la subasta y el subastador se realicen única y exclusivamente mediante los canales formales de comunicación establecidos por el administrador de la subasta.</w:t>
      </w:r>
    </w:p>
    <w:p w:rsidR="00901EFF" w:rsidRPr="00DC07FC" w:rsidRDefault="00901EFF" w:rsidP="00B32B9C">
      <w:pPr>
        <w:pStyle w:val="Prrafodelista"/>
        <w:ind w:left="567" w:hanging="567"/>
        <w:rPr>
          <w:rFonts w:ascii="Bookman Old Style" w:hAnsi="Bookman Old Style" w:cs="Arial"/>
          <w:color w:val="000000" w:themeColor="text1"/>
          <w:sz w:val="24"/>
          <w:szCs w:val="24"/>
        </w:rPr>
      </w:pPr>
    </w:p>
    <w:p w:rsidR="00901EFF" w:rsidRPr="00DC07FC" w:rsidRDefault="00901EFF" w:rsidP="00B32B9C">
      <w:pPr>
        <w:numPr>
          <w:ilvl w:val="0"/>
          <w:numId w:val="73"/>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Verificar que durante la subasta se sigan expresamente los pasos y reglas establecidos en este anexo.</w:t>
      </w:r>
    </w:p>
    <w:p w:rsidR="00901EFF" w:rsidRPr="00DC07FC" w:rsidRDefault="00901EFF" w:rsidP="00B32B9C">
      <w:pPr>
        <w:pStyle w:val="Prrafodelista"/>
        <w:ind w:left="567" w:hanging="567"/>
        <w:rPr>
          <w:rFonts w:ascii="Bookman Old Style" w:hAnsi="Bookman Old Style" w:cs="Arial"/>
          <w:color w:val="000000" w:themeColor="text1"/>
          <w:sz w:val="24"/>
          <w:szCs w:val="24"/>
        </w:rPr>
      </w:pPr>
    </w:p>
    <w:p w:rsidR="00901EFF" w:rsidRPr="00DC07FC" w:rsidRDefault="00901EFF" w:rsidP="00B32B9C">
      <w:pPr>
        <w:numPr>
          <w:ilvl w:val="0"/>
          <w:numId w:val="73"/>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Informar al administrador de la subasta las situaciones en las que considere que el mismo administrador o el subastador no están dando cumplimiento a las disposiciones contenidas en la regulación vigente, para que el administrador de la subasta tome los correctivos del caso de manera inmediata.</w:t>
      </w:r>
    </w:p>
    <w:p w:rsidR="00901EFF" w:rsidRPr="00DC07FC" w:rsidRDefault="00901EFF" w:rsidP="00B32B9C">
      <w:pPr>
        <w:pStyle w:val="Prrafodelista"/>
        <w:ind w:left="567" w:hanging="567"/>
        <w:rPr>
          <w:rFonts w:ascii="Bookman Old Style" w:hAnsi="Bookman Old Style" w:cs="Arial"/>
          <w:color w:val="000000" w:themeColor="text1"/>
          <w:sz w:val="24"/>
          <w:szCs w:val="24"/>
        </w:rPr>
      </w:pPr>
    </w:p>
    <w:p w:rsidR="00901EFF" w:rsidRPr="00DC07FC" w:rsidRDefault="00901EFF" w:rsidP="00B32B9C">
      <w:pPr>
        <w:numPr>
          <w:ilvl w:val="0"/>
          <w:numId w:val="73"/>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Informar a los órganos responsables de la inspección, vigilancia y control las situaciones en las que considere que los vendedores habilitados o los compradores habilitados no están dando cumplimiento a las disposiciones contenidas en la regulación.</w:t>
      </w:r>
    </w:p>
    <w:p w:rsidR="00901EFF" w:rsidRDefault="00901EFF" w:rsidP="00B32B9C">
      <w:pPr>
        <w:pStyle w:val="Prrafodelista"/>
        <w:ind w:left="567" w:hanging="567"/>
        <w:rPr>
          <w:rFonts w:ascii="Bookman Old Style" w:hAnsi="Bookman Old Style" w:cs="Arial"/>
          <w:color w:val="000000" w:themeColor="text1"/>
          <w:sz w:val="24"/>
          <w:szCs w:val="24"/>
        </w:rPr>
      </w:pPr>
    </w:p>
    <w:p w:rsidR="0055273E" w:rsidRDefault="0055273E" w:rsidP="00B32B9C">
      <w:pPr>
        <w:pStyle w:val="Prrafodelista"/>
        <w:ind w:left="567" w:hanging="567"/>
        <w:rPr>
          <w:rFonts w:ascii="Bookman Old Style" w:hAnsi="Bookman Old Style" w:cs="Arial"/>
          <w:color w:val="000000" w:themeColor="text1"/>
          <w:sz w:val="24"/>
          <w:szCs w:val="24"/>
        </w:rPr>
      </w:pPr>
    </w:p>
    <w:p w:rsidR="0055273E" w:rsidRPr="00DC07FC" w:rsidRDefault="0055273E" w:rsidP="00B32B9C">
      <w:pPr>
        <w:pStyle w:val="Prrafodelista"/>
        <w:ind w:left="567" w:hanging="567"/>
        <w:rPr>
          <w:rFonts w:ascii="Bookman Old Style" w:hAnsi="Bookman Old Style" w:cs="Arial"/>
          <w:color w:val="000000" w:themeColor="text1"/>
          <w:sz w:val="24"/>
          <w:szCs w:val="24"/>
        </w:rPr>
      </w:pPr>
    </w:p>
    <w:p w:rsidR="00901EFF" w:rsidRPr="00DC07FC" w:rsidRDefault="00901EFF" w:rsidP="00B32B9C">
      <w:pPr>
        <w:numPr>
          <w:ilvl w:val="0"/>
          <w:numId w:val="73"/>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Solicitar al administrador la suspensión de la subasta cuando considere que no se está dando cumplimiento a las disposiciones contenidas en la regulación.</w:t>
      </w:r>
    </w:p>
    <w:p w:rsidR="00901EFF" w:rsidRPr="00DC07FC" w:rsidRDefault="00901EFF" w:rsidP="00B32B9C">
      <w:pPr>
        <w:pStyle w:val="Prrafodelista"/>
        <w:ind w:left="567" w:hanging="567"/>
        <w:rPr>
          <w:rFonts w:ascii="Bookman Old Style" w:hAnsi="Bookman Old Style" w:cs="Arial"/>
          <w:color w:val="000000" w:themeColor="text1"/>
          <w:sz w:val="24"/>
          <w:szCs w:val="24"/>
        </w:rPr>
      </w:pPr>
    </w:p>
    <w:p w:rsidR="00901EFF" w:rsidRPr="00DC07FC" w:rsidRDefault="00901EFF" w:rsidP="00B32B9C">
      <w:pPr>
        <w:numPr>
          <w:ilvl w:val="0"/>
          <w:numId w:val="73"/>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Remitir a la CREG, dentro de los cinco (5) días calendario siguientes a la finalización de la subasta, un informe en el cual se establezca, sin ambigüedades, si se dio cumplimiento o no a la regulación aplicable a dicho proceso. La Dirección Ejecutiva de la CREG publicará este informe mediante una circular.</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Para los casos en los cuales el auditor de la subasta establezca que en la subasta respectiva no se dio cumplimiento a la regulación, el proceso adelantado no producirá efectos, y se programará la subasta de nuevo. Lo anterior sin perjuicio de las acciones penales o civiles y las actuaciones administrativas a que haya lugar contra las personas que hayan incumplido la regulación.</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52"/>
        </w:numPr>
        <w:contextualSpacing/>
        <w:jc w:val="both"/>
        <w:outlineLvl w:val="1"/>
        <w:rPr>
          <w:rFonts w:ascii="Bookman Old Style" w:hAnsi="Bookman Old Style"/>
          <w:sz w:val="24"/>
          <w:szCs w:val="24"/>
        </w:rPr>
      </w:pPr>
      <w:r w:rsidRPr="00DC07FC">
        <w:rPr>
          <w:rFonts w:ascii="Bookman Old Style" w:hAnsi="Bookman Old Style"/>
          <w:sz w:val="24"/>
          <w:szCs w:val="24"/>
        </w:rPr>
        <w:t>Responsabilidades y deberes del subastador</w:t>
      </w:r>
    </w:p>
    <w:p w:rsidR="00901EFF" w:rsidRPr="00DC07FC" w:rsidRDefault="00901EFF" w:rsidP="00901EFF">
      <w:pPr>
        <w:ind w:left="0"/>
        <w:contextualSpacing/>
        <w:jc w:val="both"/>
        <w:rPr>
          <w:rFonts w:ascii="Bookman Old Style" w:hAnsi="Bookman Old Style"/>
          <w:lang w:val="es-CO"/>
        </w:rPr>
      </w:pPr>
    </w:p>
    <w:p w:rsidR="00901EFF" w:rsidRPr="00446741" w:rsidRDefault="00901EFF" w:rsidP="00B32B9C">
      <w:pPr>
        <w:numPr>
          <w:ilvl w:val="0"/>
          <w:numId w:val="7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Anunciar, al inicio de la ronda cero (0), el precio de reserva de cada producto y la oferta correspondiente a este precio, en los términos </w:t>
      </w:r>
      <w:r w:rsidRPr="00446741">
        <w:rPr>
          <w:rFonts w:ascii="Bookman Old Style" w:hAnsi="Bookman Old Style" w:cs="Arial"/>
          <w:color w:val="000000" w:themeColor="text1"/>
        </w:rPr>
        <w:t>del numeral 5.6 de este anexo.</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446741" w:rsidRDefault="00901EFF" w:rsidP="00B32B9C">
      <w:pPr>
        <w:numPr>
          <w:ilvl w:val="0"/>
          <w:numId w:val="74"/>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Anunciar, al finalizar cada ronda: i) si hay exceso de demanda </w:t>
      </w:r>
      <w:r w:rsidR="00695D0D">
        <w:rPr>
          <w:rFonts w:ascii="Bookman Old Style" w:hAnsi="Bookman Old Style" w:cs="Arial"/>
          <w:color w:val="000000" w:themeColor="text1"/>
        </w:rPr>
        <w:t xml:space="preserve">en algún </w:t>
      </w:r>
      <w:r w:rsidRPr="00DC07FC">
        <w:rPr>
          <w:rFonts w:ascii="Bookman Old Style" w:hAnsi="Bookman Old Style" w:cs="Arial"/>
          <w:color w:val="000000" w:themeColor="text1"/>
        </w:rPr>
        <w:t xml:space="preserve">producto; ii) el precio de cierre de cada producto en la siguiente ronda; iii) la oferta correspondiente al precio de cierre de cada producto en la siguiente ronda; y iv) el tiempo </w:t>
      </w:r>
      <w:r w:rsidRPr="00446741">
        <w:rPr>
          <w:rFonts w:ascii="Bookman Old Style" w:hAnsi="Bookman Old Style" w:cs="Arial"/>
          <w:color w:val="000000" w:themeColor="text1"/>
        </w:rPr>
        <w:t>de duración de la siguiente ronda. Lo anterior en los términos del numeral 5.7 de este anexo.</w:t>
      </w:r>
    </w:p>
    <w:p w:rsidR="00901EFF" w:rsidRPr="00446741"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4"/>
        </w:numPr>
        <w:autoSpaceDE w:val="0"/>
        <w:autoSpaceDN w:val="0"/>
        <w:adjustRightInd w:val="0"/>
        <w:ind w:left="567" w:hanging="567"/>
        <w:contextualSpacing/>
        <w:jc w:val="both"/>
        <w:rPr>
          <w:rFonts w:ascii="Bookman Old Style" w:hAnsi="Bookman Old Style" w:cs="Arial"/>
          <w:color w:val="000000" w:themeColor="text1"/>
        </w:rPr>
      </w:pPr>
      <w:r w:rsidRPr="00446741">
        <w:rPr>
          <w:rFonts w:ascii="Bookman Old Style" w:hAnsi="Bookman Old Style" w:cs="Arial"/>
          <w:color w:val="000000" w:themeColor="text1"/>
        </w:rPr>
        <w:t>Declarar el cierre de</w:t>
      </w:r>
      <w:r w:rsidRPr="00DC07FC">
        <w:rPr>
          <w:rFonts w:ascii="Bookman Old Style" w:hAnsi="Bookman Old Style" w:cs="Arial"/>
          <w:color w:val="000000" w:themeColor="text1"/>
        </w:rPr>
        <w:t xml:space="preserve"> la subasta e informar el precio de adjudicación de la misma para cada uno de los productos.</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lang w:val="es-CO"/>
        </w:rPr>
        <w:t>Para cada uno de los productos, el subastador pondrá en conocimiento de los vendedores y compradores habilitados, única y exclusivamente la información señalada en este numeral.</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446741">
      <w:pPr>
        <w:pStyle w:val="Prrafodelista"/>
        <w:numPr>
          <w:ilvl w:val="1"/>
          <w:numId w:val="52"/>
        </w:numPr>
        <w:contextualSpacing/>
        <w:jc w:val="both"/>
        <w:outlineLvl w:val="1"/>
        <w:rPr>
          <w:rFonts w:ascii="Bookman Old Style" w:hAnsi="Bookman Old Style"/>
          <w:sz w:val="24"/>
          <w:szCs w:val="24"/>
        </w:rPr>
      </w:pPr>
      <w:r w:rsidRPr="00DC07FC">
        <w:rPr>
          <w:rFonts w:ascii="Bookman Old Style" w:hAnsi="Bookman Old Style"/>
          <w:sz w:val="24"/>
          <w:szCs w:val="24"/>
        </w:rPr>
        <w:t>Obligaciones de los compradores habilitados en relación con el uso del sistema de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B32B9C">
      <w:pPr>
        <w:numPr>
          <w:ilvl w:val="0"/>
          <w:numId w:val="75"/>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Tener a su disposición la estructura operativa y el equipo computacional y de comunicaciones apropiado de acuerdo con las especificaciones operativas y técnicas establecidas por el administrador de la subasta.</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5"/>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Utilizar y operar el sistema de subasta única y exclusivamente a través del personal debidamente capacitado para el efecto por el administrador de la subasta, que haya recibido el respectivo certificado de capacitación emitido por este.</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5"/>
        </w:numPr>
        <w:autoSpaceDE w:val="0"/>
        <w:autoSpaceDN w:val="0"/>
        <w:adjustRightInd w:val="0"/>
        <w:ind w:left="567" w:hanging="567"/>
        <w:contextualSpacing/>
        <w:jc w:val="both"/>
        <w:rPr>
          <w:rFonts w:ascii="Bookman Old Style" w:hAnsi="Bookman Old Style" w:cs="Arial"/>
          <w:color w:val="000000" w:themeColor="text1"/>
        </w:rPr>
      </w:pPr>
      <w:r w:rsidRPr="00F64EA5">
        <w:rPr>
          <w:rFonts w:ascii="Bookman Old Style" w:hAnsi="Bookman Old Style" w:cs="Arial"/>
          <w:color w:val="000000" w:themeColor="text1"/>
        </w:rPr>
        <w:t xml:space="preserve">Acreditar ante el administrador de la subasta el cumplimiento de las obligaciones a que se refieren los literales a) y b) de este numeral, previo al </w:t>
      </w:r>
      <w:r w:rsidRPr="00F64EA5">
        <w:rPr>
          <w:rFonts w:ascii="Bookman Old Style" w:hAnsi="Bookman Old Style" w:cs="Arial"/>
          <w:color w:val="000000" w:themeColor="text1"/>
        </w:rPr>
        <w:lastRenderedPageBreak/>
        <w:t>inicio de la subasta, mediante una declaración suscrita por el representante legal del comprador</w:t>
      </w:r>
      <w:r w:rsidRPr="00DC07FC">
        <w:rPr>
          <w:rFonts w:ascii="Bookman Old Style" w:hAnsi="Bookman Old Style" w:cs="Arial"/>
          <w:color w:val="000000" w:themeColor="text1"/>
        </w:rPr>
        <w:t>.</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5"/>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Permitir al administrador de la subasta la realización de las verificaciones a los sistemas computacionales y de comunicaciones utilizados por el comprador para su participación en la subasta.</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5"/>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Mantener las claves de acceso al sistema de subasta bajo su exclusiva responsabilidad y estrictos estándares de seguridad y confidencialidad.</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5"/>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Abstenerse de realizar actos contrarios a la libre competencia, actos contrarios a la legislación o a la regulación vigente y actos que afecten la transparencia del proceso o la adecuada formación de precios.</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5"/>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Informar de manera inmediata al administrador de la subasta cualquier error o falla del sistema de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673A">
      <w:pPr>
        <w:pStyle w:val="Prrafodelista"/>
        <w:numPr>
          <w:ilvl w:val="1"/>
          <w:numId w:val="52"/>
        </w:numPr>
        <w:contextualSpacing/>
        <w:jc w:val="both"/>
        <w:outlineLvl w:val="1"/>
        <w:rPr>
          <w:rFonts w:ascii="Bookman Old Style" w:hAnsi="Bookman Old Style"/>
          <w:sz w:val="24"/>
          <w:szCs w:val="24"/>
        </w:rPr>
      </w:pPr>
      <w:r w:rsidRPr="00DC07FC">
        <w:rPr>
          <w:rFonts w:ascii="Bookman Old Style" w:hAnsi="Bookman Old Style"/>
          <w:sz w:val="24"/>
          <w:szCs w:val="24"/>
        </w:rPr>
        <w:t>Sistema de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lang w:val="es-CO"/>
        </w:rPr>
        <w:t>La plataforma tecnológica deberá cumplir con los siguientes requisitos mínimos:</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B32B9C">
      <w:pPr>
        <w:numPr>
          <w:ilvl w:val="0"/>
          <w:numId w:val="76"/>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Estar basada en protocolos de Internet.</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6"/>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Permitir el acceso a cada uno de los compradores habilitados desde el sitio en el territorio nacional donde estos dispongan de la infraestructura de computación y comunicaciones.</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6"/>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Mantener las bases de datos y servidores del sistema de subasta en el sitio que para tal fin establezca el administrador de la subasta.</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6"/>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Garantizar la autenticación de los usuarios que acceden al sistema.</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6"/>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Cumplir las exigencias establecidas en la legislación que rige en materia de comercio electrónico.</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6"/>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Tener un sistema que permita el manejo de información confidencial o sujeta a reserva legal.</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6"/>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Incluir sistemas de respaldo que garanticen la operación </w:t>
      </w:r>
      <w:proofErr w:type="gramStart"/>
      <w:r w:rsidRPr="00DC07FC">
        <w:rPr>
          <w:rFonts w:ascii="Bookman Old Style" w:hAnsi="Bookman Old Style" w:cs="Arial"/>
          <w:color w:val="000000" w:themeColor="text1"/>
        </w:rPr>
        <w:t>continua</w:t>
      </w:r>
      <w:proofErr w:type="gramEnd"/>
      <w:r w:rsidRPr="00DC07FC">
        <w:rPr>
          <w:rFonts w:ascii="Bookman Old Style" w:hAnsi="Bookman Old Style" w:cs="Arial"/>
          <w:color w:val="000000" w:themeColor="text1"/>
        </w:rPr>
        <w:t xml:space="preserve"> durante el proceso de subasta.</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6"/>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Estar dotado de un registro de todos los procesos realizados en el sistema, incluyendo el registro de ingreso de cada uno de los usuarios.</w:t>
      </w:r>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B32B9C">
      <w:pPr>
        <w:numPr>
          <w:ilvl w:val="0"/>
          <w:numId w:val="76"/>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Contar con los sistemas de respaldo que el administrador de la subasta considere necesarios para el correcto funcionamiento del sistema. El administrador de la subasta no será responsable por la suspensión o interrupción de los servicios, ni por las deficiencias mecánicas, electrónicas o de software que se observen en la prestación del servicio, derivadas de las limitaciones tecnológicas propias del sistema computacional, ni por </w:t>
      </w:r>
      <w:r w:rsidRPr="00DC07FC">
        <w:rPr>
          <w:rFonts w:ascii="Bookman Old Style" w:hAnsi="Bookman Old Style" w:cs="Arial"/>
          <w:color w:val="000000" w:themeColor="text1"/>
        </w:rPr>
        <w:lastRenderedPageBreak/>
        <w:t>cualquier otro hecho que escape al control del administrador, como caso fortuito o fuerza mayor.</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lang w:val="es-CO"/>
        </w:rPr>
        <w:t>El administrador de la subasta deberá contar con diez (10) estaciones de trabajo disponibles para la utilización por parte de aquellos compradores habilitados cuyos sistemas computacionales o de comunicaciones presenten fallas por cualquier hecho que escape del control de los compradores.</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673A">
      <w:pPr>
        <w:pStyle w:val="Prrafodelista"/>
        <w:numPr>
          <w:ilvl w:val="1"/>
          <w:numId w:val="52"/>
        </w:numPr>
        <w:contextualSpacing/>
        <w:jc w:val="both"/>
        <w:outlineLvl w:val="1"/>
        <w:rPr>
          <w:rFonts w:ascii="Bookman Old Style" w:hAnsi="Bookman Old Style"/>
          <w:sz w:val="24"/>
          <w:szCs w:val="24"/>
        </w:rPr>
      </w:pPr>
      <w:r w:rsidRPr="00DC07FC">
        <w:rPr>
          <w:rFonts w:ascii="Bookman Old Style" w:hAnsi="Bookman Old Style"/>
          <w:sz w:val="24"/>
          <w:szCs w:val="24"/>
        </w:rPr>
        <w:t>Mecanismos de contingencia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lang w:val="es-CO"/>
        </w:rPr>
        <w:t>Cuando el sistema de subasta se suspenda por las causas señaladas a continuación, se procederá como se establece para cada una de ellas:</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B32B9C">
      <w:pPr>
        <w:numPr>
          <w:ilvl w:val="0"/>
          <w:numId w:val="77"/>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Suspensión por fallas técnicas durante el transcurso de una ronda.</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Si el sistema de subasta interrumpe su operación por fallas técnicas durante el transcurso de una ronda y afecta total o parcialmente el servicio, se procederá como sigue:</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Una vez restablecida la operación del sistema de subasta, si a criterio del subastador existe tiempo suficiente durante el mismo día hábil para realizar de nuevo la ronda, el administrador procederá a informarlo. Esta ronda tendrá las mismas condiciones de precio de cierre y duración vigentes de la ronda en la cual se suspendió el servicio del sistema de subasta. Antes de iniciar de nuevo la ronda el sistema deberá eliminar la totalidad de las ofertas realizadas durante la ronda en la cual se presentó la suspensión.</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Una vez restablecida la operación del sistema de subasta, si a criterio del subastador no existe tiempo suficiente para realizar nuevamente la ronda, el administrador procederá a informarlo y la operación del sistema se suspenderá hasta el día hábil siguiente. La nueva ronda tendrá las mismas condiciones de precio de cierre y duración de la ronda en la cual se suspendió el servicio del sistema de subasta. Antes de iniciar de nuevo la ronda el sistema deberá eliminar la totalidad de las ofertas realizadas durante la ronda en la cual se presentó la suspensión.</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DC07FC" w:rsidRDefault="00901EFF" w:rsidP="00901EFF">
      <w:pPr>
        <w:numPr>
          <w:ilvl w:val="0"/>
          <w:numId w:val="77"/>
        </w:numPr>
        <w:autoSpaceDE w:val="0"/>
        <w:autoSpaceDN w:val="0"/>
        <w:adjustRightInd w:val="0"/>
        <w:ind w:left="1134"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Suspensión parcial de la operación del sistema de subasta.</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Se entenderá como suspensión parcial de la operación del sistema de subasta la falla asociada a las estaciones de trabajo de cualquiera de los compradores habilitados o de sus sistemas de comunicación.</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Cuando se presente la suspensión parcial de la operación del sistema de subasta el comprador habilitado cuya estación de trabajo o sistema de comunicación falló deberá remitir, de acuerdo con la vía alterna establecida por el administrador de la subasta, las demandas de cada uno de los productos cumpliendo con la reglamentación vigente. Dichas demandas serán ingresadas al sistema de subasta conforme a los procedimientos establecidos por el administrador de la subasta.</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lang w:val="es-CO"/>
        </w:rPr>
        <w:lastRenderedPageBreak/>
        <w:t>El administrador de la subasta deberá informar estos mecanismos de contingencia a más tardar veinte (20) días calendario antes de la realización de la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673A">
      <w:pPr>
        <w:pStyle w:val="ARTICULOS"/>
        <w:numPr>
          <w:ilvl w:val="0"/>
          <w:numId w:val="51"/>
        </w:numPr>
        <w:tabs>
          <w:tab w:val="left" w:pos="1701"/>
        </w:tabs>
        <w:contextualSpacing/>
        <w:outlineLvl w:val="0"/>
        <w:rPr>
          <w:rFonts w:cs="Arial"/>
          <w:b/>
          <w:color w:val="000000" w:themeColor="text1"/>
          <w:lang w:val="es-CO"/>
        </w:rPr>
      </w:pPr>
      <w:r w:rsidRPr="00DC07FC">
        <w:rPr>
          <w:rFonts w:cs="Arial"/>
          <w:b/>
          <w:color w:val="000000" w:themeColor="text1"/>
          <w:lang w:val="es-CO"/>
        </w:rPr>
        <w:t>PROCEDIMIENTO DE LA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Tipo de subasta</w:t>
      </w:r>
    </w:p>
    <w:p w:rsidR="00901EFF" w:rsidRPr="00DC07FC" w:rsidRDefault="00901EFF" w:rsidP="00901EFF">
      <w:pPr>
        <w:ind w:left="0"/>
        <w:contextualSpacing/>
        <w:rPr>
          <w:rFonts w:ascii="Bookman Old Style" w:hAnsi="Bookman Old Style"/>
          <w:color w:val="000000" w:themeColor="text1"/>
          <w:lang w:val="es-CO"/>
        </w:rPr>
      </w:pPr>
    </w:p>
    <w:p w:rsidR="00901EFF" w:rsidRPr="00DC07FC" w:rsidRDefault="00901EFF" w:rsidP="00901EFF">
      <w:pPr>
        <w:ind w:left="0"/>
        <w:contextualSpacing/>
        <w:rPr>
          <w:rFonts w:ascii="Bookman Old Style" w:hAnsi="Bookman Old Style"/>
          <w:color w:val="000000" w:themeColor="text1"/>
          <w:lang w:val="es-CO"/>
        </w:rPr>
      </w:pPr>
      <w:r w:rsidRPr="00DC07FC">
        <w:rPr>
          <w:rFonts w:ascii="Bookman Old Style" w:hAnsi="Bookman Old Style"/>
          <w:color w:val="000000" w:themeColor="text1"/>
          <w:lang w:val="es-CO"/>
        </w:rPr>
        <w:t>La subasta de GLP será del tipo simultánea de reloj ascendente.</w:t>
      </w:r>
    </w:p>
    <w:p w:rsidR="00901EFF" w:rsidRPr="00DC07FC" w:rsidRDefault="00901EFF" w:rsidP="00901EFF">
      <w:pPr>
        <w:ind w:left="0"/>
        <w:contextualSpacing/>
        <w:rPr>
          <w:rFonts w:ascii="Bookman Old Style" w:hAnsi="Bookman Old Style"/>
          <w:color w:val="000000" w:themeColor="text1"/>
          <w:lang w:val="es-CO"/>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Productos</w:t>
      </w: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Los productos</w:t>
      </w:r>
      <w:proofErr w:type="gramStart"/>
      <w:r w:rsidRPr="00DC07FC">
        <w:rPr>
          <w:rFonts w:ascii="Bookman Old Style" w:hAnsi="Bookman Old Style"/>
          <w:b w:val="0"/>
          <w:color w:val="000000" w:themeColor="text1"/>
          <w:lang w:val="es-CO"/>
        </w:rPr>
        <w:t xml:space="preserve">, </w:t>
      </w:r>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oMath>
      <w:r w:rsidRPr="00DC07FC">
        <w:rPr>
          <w:rFonts w:ascii="Bookman Old Style" w:hAnsi="Bookman Old Style"/>
          <w:b w:val="0"/>
          <w:color w:val="000000" w:themeColor="text1"/>
          <w:lang w:val="es-CO"/>
        </w:rPr>
        <w:t>,</w:t>
      </w:r>
      <w:proofErr w:type="gramEnd"/>
      <w:r w:rsidRPr="00DC07FC">
        <w:rPr>
          <w:rFonts w:ascii="Bookman Old Style" w:hAnsi="Bookman Old Style"/>
          <w:b w:val="0"/>
          <w:color w:val="000000" w:themeColor="text1"/>
          <w:lang w:val="es-CO"/>
        </w:rPr>
        <w:t xml:space="preserve"> que se negociarán mediante la subasta tendrán los siguientes atributos:</w:t>
      </w: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p>
    <w:p w:rsidR="00901EFF" w:rsidRPr="00F64EA5" w:rsidRDefault="00901EFF" w:rsidP="00B32B9C">
      <w:pPr>
        <w:numPr>
          <w:ilvl w:val="0"/>
          <w:numId w:val="82"/>
        </w:numPr>
        <w:autoSpaceDE w:val="0"/>
        <w:autoSpaceDN w:val="0"/>
        <w:adjustRightInd w:val="0"/>
        <w:ind w:left="567" w:hanging="567"/>
        <w:contextualSpacing/>
        <w:jc w:val="both"/>
        <w:rPr>
          <w:rFonts w:ascii="Bookman Old Style" w:hAnsi="Bookman Old Style" w:cs="Arial"/>
          <w:color w:val="000000" w:themeColor="text1"/>
        </w:rPr>
      </w:pPr>
      <w:r w:rsidRPr="00F64EA5">
        <w:rPr>
          <w:rFonts w:ascii="Bookman Old Style" w:hAnsi="Bookman Old Style" w:cs="Arial"/>
          <w:color w:val="000000" w:themeColor="text1"/>
        </w:rPr>
        <w:t xml:space="preserve">Modalidad contractual: de acuerdo con lo dispuesto en el artículo </w:t>
      </w:r>
      <w:r w:rsidR="00A43C79" w:rsidRPr="00F64EA5">
        <w:rPr>
          <w:rFonts w:ascii="Bookman Old Style" w:hAnsi="Bookman Old Style" w:cs="Arial"/>
          <w:color w:val="000000" w:themeColor="text1"/>
        </w:rPr>
        <w:t>6</w:t>
      </w:r>
      <w:r w:rsidRPr="00F64EA5">
        <w:rPr>
          <w:rFonts w:ascii="Bookman Old Style" w:hAnsi="Bookman Old Style" w:cs="Arial"/>
          <w:color w:val="000000" w:themeColor="text1"/>
        </w:rPr>
        <w:t xml:space="preserve"> de esta resolución, en la subasta sólo se negociarán contratos firmes.</w:t>
      </w:r>
    </w:p>
    <w:p w:rsidR="00901EFF" w:rsidRPr="00F64EA5" w:rsidRDefault="00901EFF" w:rsidP="00B32B9C">
      <w:pPr>
        <w:pStyle w:val="Textoindependiente"/>
        <w:ind w:hanging="567"/>
        <w:contextualSpacing/>
        <w:jc w:val="both"/>
        <w:rPr>
          <w:rFonts w:ascii="Bookman Old Style" w:hAnsi="Bookman Old Style"/>
          <w:b w:val="0"/>
          <w:color w:val="000000" w:themeColor="text1"/>
        </w:rPr>
      </w:pPr>
    </w:p>
    <w:p w:rsidR="00901EFF" w:rsidRPr="00F64EA5" w:rsidRDefault="00901EFF" w:rsidP="00B32B9C">
      <w:pPr>
        <w:numPr>
          <w:ilvl w:val="0"/>
          <w:numId w:val="82"/>
        </w:numPr>
        <w:autoSpaceDE w:val="0"/>
        <w:autoSpaceDN w:val="0"/>
        <w:adjustRightInd w:val="0"/>
        <w:ind w:left="567" w:hanging="567"/>
        <w:contextualSpacing/>
        <w:jc w:val="both"/>
        <w:rPr>
          <w:rFonts w:ascii="Bookman Old Style" w:hAnsi="Bookman Old Style" w:cs="Arial"/>
          <w:color w:val="000000" w:themeColor="text1"/>
        </w:rPr>
      </w:pPr>
      <w:r w:rsidRPr="00F64EA5">
        <w:rPr>
          <w:rFonts w:ascii="Bookman Old Style" w:hAnsi="Bookman Old Style" w:cs="Arial"/>
          <w:color w:val="000000" w:themeColor="text1"/>
        </w:rPr>
        <w:t xml:space="preserve">Punto de </w:t>
      </w:r>
      <w:proofErr w:type="gramStart"/>
      <w:r w:rsidRPr="00F64EA5">
        <w:rPr>
          <w:rFonts w:ascii="Bookman Old Style" w:hAnsi="Bookman Old Style" w:cs="Arial"/>
          <w:color w:val="000000" w:themeColor="text1"/>
        </w:rPr>
        <w:t xml:space="preserve">entrega, </w:t>
      </w:r>
      <m:oMath>
        <m:r>
          <w:rPr>
            <w:rFonts w:ascii="Cambria Math" w:hAnsi="Cambria Math" w:cs="Arial"/>
            <w:color w:val="000000" w:themeColor="text1"/>
          </w:rPr>
          <m:t>pe</m:t>
        </m:r>
      </m:oMath>
      <w:r w:rsidRPr="00F64EA5">
        <w:rPr>
          <w:rFonts w:ascii="Bookman Old Style" w:hAnsi="Bookman Old Style" w:cs="Arial"/>
          <w:color w:val="000000" w:themeColor="text1"/>
        </w:rPr>
        <w:t>:</w:t>
      </w:r>
      <w:proofErr w:type="gramEnd"/>
      <w:r w:rsidRPr="00F64EA5">
        <w:rPr>
          <w:rFonts w:ascii="Bookman Old Style" w:hAnsi="Bookman Old Style" w:cs="Arial"/>
          <w:color w:val="000000" w:themeColor="text1"/>
        </w:rPr>
        <w:t xml:space="preserve"> corresponde a uno de los posibles punto</w:t>
      </w:r>
      <w:r w:rsidR="00F64EA5">
        <w:rPr>
          <w:rFonts w:ascii="Bookman Old Style" w:hAnsi="Bookman Old Style" w:cs="Arial"/>
          <w:color w:val="000000" w:themeColor="text1"/>
        </w:rPr>
        <w:t>s de entrega del comercializador</w:t>
      </w:r>
      <w:r w:rsidRPr="00F64EA5">
        <w:rPr>
          <w:rFonts w:ascii="Bookman Old Style" w:hAnsi="Bookman Old Style" w:cs="Arial"/>
          <w:color w:val="000000" w:themeColor="text1"/>
        </w:rPr>
        <w:t xml:space="preserve"> mayorista, según lo establecido en el artículo </w:t>
      </w:r>
      <w:r w:rsidR="00A43C79" w:rsidRPr="00F64EA5">
        <w:rPr>
          <w:rFonts w:ascii="Bookman Old Style" w:hAnsi="Bookman Old Style" w:cs="Arial"/>
          <w:color w:val="000000" w:themeColor="text1"/>
        </w:rPr>
        <w:t>4</w:t>
      </w:r>
      <w:r w:rsidRPr="00F64EA5">
        <w:rPr>
          <w:rFonts w:ascii="Bookman Old Style" w:hAnsi="Bookman Old Style" w:cs="Arial"/>
          <w:color w:val="000000" w:themeColor="text1"/>
        </w:rPr>
        <w:t xml:space="preserve"> de esta resolución, especificado por el vendedor.</w:t>
      </w:r>
    </w:p>
    <w:p w:rsidR="00901EFF" w:rsidRPr="00DC07FC" w:rsidRDefault="00901EFF" w:rsidP="00B32B9C">
      <w:pPr>
        <w:pStyle w:val="Textoindependiente"/>
        <w:ind w:hanging="567"/>
        <w:contextualSpacing/>
        <w:jc w:val="both"/>
        <w:rPr>
          <w:rFonts w:ascii="Bookman Old Style" w:hAnsi="Bookman Old Style"/>
          <w:b w:val="0"/>
          <w:color w:val="000000" w:themeColor="text1"/>
        </w:rPr>
      </w:pPr>
    </w:p>
    <w:p w:rsidR="00901EFF" w:rsidRPr="00DC07FC" w:rsidRDefault="00901EFF" w:rsidP="00B32B9C">
      <w:pPr>
        <w:numPr>
          <w:ilvl w:val="0"/>
          <w:numId w:val="82"/>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Mes y año, </w:t>
      </w:r>
      <w:proofErr w:type="spellStart"/>
      <w:r w:rsidRPr="00916DF2">
        <w:rPr>
          <w:rFonts w:ascii="Bookman Old Style" w:hAnsi="Bookman Old Style" w:cs="Arial"/>
          <w:i/>
          <w:color w:val="000000" w:themeColor="text1"/>
        </w:rPr>
        <w:t>ma</w:t>
      </w:r>
      <w:proofErr w:type="spellEnd"/>
      <w:r w:rsidRPr="00DC07FC">
        <w:rPr>
          <w:rFonts w:ascii="Bookman Old Style" w:hAnsi="Bookman Old Style" w:cs="Arial"/>
          <w:color w:val="000000" w:themeColor="text1"/>
        </w:rPr>
        <w:t>: Mes y año en el que inicia la obligación de entrega y recibo del GLP.</w:t>
      </w:r>
    </w:p>
    <w:p w:rsidR="00901EFF" w:rsidRPr="00DC07FC" w:rsidRDefault="00901EFF" w:rsidP="00B32B9C">
      <w:pPr>
        <w:ind w:hanging="567"/>
        <w:contextualSpacing/>
        <w:rPr>
          <w:rFonts w:ascii="Bookman Old Style" w:hAnsi="Bookman Old Style" w:cs="Arial"/>
          <w:color w:val="000000" w:themeColor="text1"/>
        </w:rPr>
      </w:pPr>
    </w:p>
    <w:p w:rsidR="00901EFF" w:rsidRPr="00DC07FC" w:rsidRDefault="00901EFF" w:rsidP="00B32B9C">
      <w:pPr>
        <w:numPr>
          <w:ilvl w:val="0"/>
          <w:numId w:val="82"/>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Plazo: El plazo de los contratos será de seis (6) meses. Las fechas de inicio y terminación podrán ser: i) con inicio el 1 de </w:t>
      </w:r>
      <w:r w:rsidR="00A43C79" w:rsidRPr="00DC07FC">
        <w:rPr>
          <w:rFonts w:ascii="Bookman Old Style" w:hAnsi="Bookman Old Style" w:cs="Arial"/>
          <w:color w:val="000000" w:themeColor="text1"/>
        </w:rPr>
        <w:t xml:space="preserve">enero </w:t>
      </w:r>
      <w:r w:rsidRPr="00DC07FC">
        <w:rPr>
          <w:rFonts w:ascii="Bookman Old Style" w:hAnsi="Bookman Old Style" w:cs="Arial"/>
          <w:color w:val="000000" w:themeColor="text1"/>
        </w:rPr>
        <w:t xml:space="preserve">y terminación el 30 de </w:t>
      </w:r>
      <w:r w:rsidR="00A43C79" w:rsidRPr="00DC07FC">
        <w:rPr>
          <w:rFonts w:ascii="Bookman Old Style" w:hAnsi="Bookman Old Style" w:cs="Arial"/>
          <w:color w:val="000000" w:themeColor="text1"/>
        </w:rPr>
        <w:t>junio</w:t>
      </w:r>
      <w:r w:rsidRPr="00DC07FC">
        <w:rPr>
          <w:rFonts w:ascii="Bookman Old Style" w:hAnsi="Bookman Old Style" w:cs="Arial"/>
          <w:color w:val="000000" w:themeColor="text1"/>
        </w:rPr>
        <w:t xml:space="preserve">; ii) con inicio el 1 de </w:t>
      </w:r>
      <w:r w:rsidR="00A43C79" w:rsidRPr="00DC07FC">
        <w:rPr>
          <w:rFonts w:ascii="Bookman Old Style" w:hAnsi="Bookman Old Style" w:cs="Arial"/>
          <w:color w:val="000000" w:themeColor="text1"/>
        </w:rPr>
        <w:t xml:space="preserve">julio </w:t>
      </w:r>
      <w:r w:rsidRPr="00DC07FC">
        <w:rPr>
          <w:rFonts w:ascii="Bookman Old Style" w:hAnsi="Bookman Old Style" w:cs="Arial"/>
          <w:color w:val="000000" w:themeColor="text1"/>
        </w:rPr>
        <w:t xml:space="preserve">y terminación el 31 de </w:t>
      </w:r>
      <w:r w:rsidR="00A43C79" w:rsidRPr="00DC07FC">
        <w:rPr>
          <w:rFonts w:ascii="Bookman Old Style" w:hAnsi="Bookman Old Style" w:cs="Arial"/>
          <w:color w:val="000000" w:themeColor="text1"/>
        </w:rPr>
        <w:t>diciembre</w:t>
      </w:r>
      <w:r w:rsidRPr="00DC07FC">
        <w:rPr>
          <w:rFonts w:ascii="Bookman Old Style" w:hAnsi="Bookman Old Style" w:cs="Arial"/>
          <w:color w:val="000000" w:themeColor="text1"/>
        </w:rPr>
        <w:t>.</w:t>
      </w:r>
    </w:p>
    <w:p w:rsidR="00901EFF" w:rsidRPr="00DC07FC" w:rsidRDefault="00901EFF" w:rsidP="00901EFF">
      <w:pPr>
        <w:ind w:left="0"/>
        <w:contextualSpacing/>
        <w:jc w:val="both"/>
        <w:rPr>
          <w:rFonts w:ascii="Bookman Old Style" w:hAnsi="Bookman Old Style" w:cs="Arial"/>
          <w:color w:val="000000" w:themeColor="text1"/>
        </w:rPr>
      </w:pP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Tamaño de los productos</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La cantidad total de GLP diaria, ofrecida por cada vendedor, corresponderá a un múltiplo entero de diez (10) KGD y deberá ser igual o superior a 1,000 KGD.</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Participación de los vendedores</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A más tardar un (1) mes </w:t>
      </w:r>
      <w:r w:rsidRPr="00F64EA5">
        <w:rPr>
          <w:rFonts w:ascii="Bookman Old Style" w:hAnsi="Bookman Old Style" w:cs="Arial"/>
          <w:color w:val="000000" w:themeColor="text1"/>
        </w:rPr>
        <w:t xml:space="preserve">antes de la subasta, cada uno de los vendedores, a los que se hace referencia en el artículo </w:t>
      </w:r>
      <w:r w:rsidR="00AE00EE" w:rsidRPr="00F64EA5">
        <w:rPr>
          <w:rFonts w:ascii="Bookman Old Style" w:hAnsi="Bookman Old Style" w:cs="Arial"/>
          <w:color w:val="000000" w:themeColor="text1"/>
        </w:rPr>
        <w:t>19</w:t>
      </w:r>
      <w:r w:rsidRPr="00F64EA5">
        <w:rPr>
          <w:rFonts w:ascii="Bookman Old Style" w:hAnsi="Bookman Old Style" w:cs="Arial"/>
          <w:color w:val="000000" w:themeColor="text1"/>
        </w:rPr>
        <w:t xml:space="preserve"> de esta resolución, deberá enviar al administrador de la subasta el texto de los contratos que esté interesado en ofrecer en la subasta. El administrador de la subasta publicará los textos correspondientes tres (3) semanas antes de la subasta, identificando el nombre del vendedor correspondiente</w:t>
      </w:r>
      <w:r w:rsidR="00BE02CD" w:rsidRPr="00F64EA5">
        <w:rPr>
          <w:rFonts w:ascii="Bookman Old Style" w:hAnsi="Bookman Old Style" w:cs="Arial"/>
          <w:color w:val="000000" w:themeColor="text1"/>
        </w:rPr>
        <w:t>, previa verificación de los requisitos mínimos de los que trata el artículo 7 de esta resolución</w:t>
      </w:r>
      <w:r w:rsidRPr="00F64EA5">
        <w:rPr>
          <w:rFonts w:ascii="Bookman Old Style" w:hAnsi="Bookman Old Style" w:cs="Arial"/>
          <w:color w:val="000000" w:themeColor="text1"/>
        </w:rPr>
        <w:t>.</w:t>
      </w:r>
    </w:p>
    <w:p w:rsidR="00901EFF" w:rsidRPr="00BE02CD" w:rsidRDefault="00901EFF" w:rsidP="00901EFF">
      <w:pPr>
        <w:ind w:left="0"/>
        <w:contextualSpacing/>
        <w:rPr>
          <w:rFonts w:ascii="Bookman Old Style" w:hAnsi="Bookman Old Style"/>
          <w:color w:val="000000" w:themeColor="text1"/>
        </w:rPr>
      </w:pP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r w:rsidRPr="00F64EA5">
        <w:rPr>
          <w:rFonts w:ascii="Bookman Old Style" w:hAnsi="Bookman Old Style"/>
          <w:b w:val="0"/>
          <w:color w:val="000000" w:themeColor="text1"/>
          <w:lang w:val="es-CO"/>
        </w:rPr>
        <w:t xml:space="preserve">A más tardar diez (10) días hábiles antes de la subasta, cada uno de los vendedores, a los que se hace referencia en el </w:t>
      </w:r>
      <w:r w:rsidRPr="00F64EA5">
        <w:rPr>
          <w:rFonts w:ascii="Bookman Old Style" w:hAnsi="Bookman Old Style"/>
          <w:b w:val="0"/>
          <w:color w:val="000000" w:themeColor="text1"/>
        </w:rPr>
        <w:t>artículo</w:t>
      </w:r>
      <w:r w:rsidR="00AE00EE" w:rsidRPr="00F64EA5">
        <w:rPr>
          <w:rFonts w:ascii="Bookman Old Style" w:hAnsi="Bookman Old Style"/>
          <w:b w:val="0"/>
          <w:color w:val="000000" w:themeColor="text1"/>
        </w:rPr>
        <w:t xml:space="preserve"> 19 </w:t>
      </w:r>
      <w:r w:rsidRPr="00F64EA5">
        <w:rPr>
          <w:rFonts w:ascii="Bookman Old Style" w:hAnsi="Bookman Old Style"/>
          <w:b w:val="0"/>
          <w:color w:val="000000" w:themeColor="text1"/>
          <w:lang w:val="es-CO"/>
        </w:rPr>
        <w:t>de esta resolución, deberá declarar, ante el administrador de la subasta, la oferta de PTDVF</w:t>
      </w:r>
      <w:r w:rsidR="002D299F" w:rsidRPr="00F64EA5">
        <w:rPr>
          <w:rFonts w:ascii="Bookman Old Style" w:hAnsi="Bookman Old Style"/>
          <w:b w:val="0"/>
          <w:color w:val="000000" w:themeColor="text1"/>
          <w:lang w:val="es-CO"/>
        </w:rPr>
        <w:t xml:space="preserve"> y CIDVF</w:t>
      </w:r>
      <w:r w:rsidRPr="00F64EA5">
        <w:rPr>
          <w:rFonts w:ascii="Bookman Old Style" w:hAnsi="Bookman Old Style"/>
          <w:b w:val="0"/>
          <w:color w:val="000000" w:themeColor="text1"/>
          <w:lang w:val="es-CO"/>
        </w:rPr>
        <w:t xml:space="preserve">. Para estos efectos se deberá presentar al administrador de la subasta la </w:t>
      </w:r>
      <w:r w:rsidRPr="00F64EA5">
        <w:rPr>
          <w:rFonts w:ascii="Bookman Old Style" w:hAnsi="Bookman Old Style"/>
          <w:b w:val="0"/>
          <w:color w:val="000000" w:themeColor="text1"/>
          <w:lang w:val="es-CO"/>
        </w:rPr>
        <w:lastRenderedPageBreak/>
        <w:t>información señalada en la tabla 1 de este anexo, a través del medio y del formato que aquel defina. Esta declaración deberá es</w:t>
      </w:r>
      <w:r w:rsidRPr="00DC07FC">
        <w:rPr>
          <w:rFonts w:ascii="Bookman Old Style" w:hAnsi="Bookman Old Style"/>
          <w:b w:val="0"/>
          <w:color w:val="000000" w:themeColor="text1"/>
          <w:lang w:val="es-CO"/>
        </w:rPr>
        <w:t>tar acompañada de los mecanismos de cubrimiento y de los formatos dilige</w:t>
      </w:r>
      <w:r w:rsidRPr="00F64EA5">
        <w:rPr>
          <w:rFonts w:ascii="Bookman Old Style" w:hAnsi="Bookman Old Style"/>
          <w:b w:val="0"/>
          <w:color w:val="000000" w:themeColor="text1"/>
          <w:lang w:val="es-CO"/>
        </w:rPr>
        <w:t>nciados de que tratan los numerales 5.13</w:t>
      </w:r>
      <w:r w:rsidR="00AE00EE" w:rsidRPr="00F64EA5">
        <w:rPr>
          <w:rFonts w:ascii="Bookman Old Style" w:hAnsi="Bookman Old Style"/>
          <w:b w:val="0"/>
          <w:color w:val="000000" w:themeColor="text1"/>
          <w:lang w:val="es-CO"/>
        </w:rPr>
        <w:t>, 5.14</w:t>
      </w:r>
      <w:r w:rsidR="003F2BC0" w:rsidRPr="00F64EA5">
        <w:rPr>
          <w:rFonts w:ascii="Bookman Old Style" w:hAnsi="Bookman Old Style"/>
          <w:b w:val="0"/>
          <w:color w:val="000000" w:themeColor="text1"/>
          <w:lang w:val="es-CO"/>
        </w:rPr>
        <w:t>, 5.15</w:t>
      </w:r>
      <w:r w:rsidR="00AE00EE" w:rsidRPr="00F64EA5">
        <w:rPr>
          <w:rFonts w:ascii="Bookman Old Style" w:hAnsi="Bookman Old Style"/>
          <w:b w:val="0"/>
          <w:color w:val="000000" w:themeColor="text1"/>
          <w:lang w:val="es-CO"/>
        </w:rPr>
        <w:t xml:space="preserve"> y 5.1</w:t>
      </w:r>
      <w:r w:rsidR="003F2BC0" w:rsidRPr="00F64EA5">
        <w:rPr>
          <w:rFonts w:ascii="Bookman Old Style" w:hAnsi="Bookman Old Style"/>
          <w:b w:val="0"/>
          <w:color w:val="000000" w:themeColor="text1"/>
          <w:lang w:val="es-CO"/>
        </w:rPr>
        <w:t>6</w:t>
      </w:r>
      <w:r w:rsidRPr="00F64EA5">
        <w:rPr>
          <w:rFonts w:ascii="Bookman Old Style" w:hAnsi="Bookman Old Style"/>
          <w:b w:val="0"/>
          <w:color w:val="000000" w:themeColor="text1"/>
          <w:lang w:val="es-CO"/>
        </w:rPr>
        <w:t xml:space="preserve"> </w:t>
      </w:r>
      <w:r w:rsidRPr="00F64EA5">
        <w:rPr>
          <w:rFonts w:ascii="Bookman Old Style" w:hAnsi="Bookman Old Style"/>
          <w:b w:val="0"/>
          <w:color w:val="000000" w:themeColor="text1"/>
        </w:rPr>
        <w:t>de este anexo</w:t>
      </w:r>
      <w:r w:rsidRPr="00F64EA5">
        <w:rPr>
          <w:rFonts w:ascii="Bookman Old Style" w:hAnsi="Bookman Old Style"/>
          <w:b w:val="0"/>
          <w:color w:val="000000" w:themeColor="text1"/>
          <w:lang w:val="es-CO"/>
        </w:rPr>
        <w:t>.</w:t>
      </w: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p>
    <w:p w:rsidR="00901EFF" w:rsidRPr="00DC07FC" w:rsidRDefault="00901EFF" w:rsidP="00901EFF">
      <w:pPr>
        <w:pStyle w:val="Descripcin"/>
        <w:keepNext/>
        <w:spacing w:before="0" w:after="0" w:line="240" w:lineRule="auto"/>
        <w:contextualSpacing/>
        <w:rPr>
          <w:rFonts w:ascii="Bookman Old Style" w:hAnsi="Bookman Old Style"/>
          <w:b/>
          <w:color w:val="000000" w:themeColor="text1"/>
          <w:sz w:val="24"/>
          <w:szCs w:val="24"/>
          <w:lang w:val="es-CO"/>
        </w:rPr>
      </w:pPr>
      <w:bookmarkStart w:id="55" w:name="_Ref335724434"/>
      <w:r w:rsidRPr="00DC07FC">
        <w:rPr>
          <w:rFonts w:ascii="Bookman Old Style" w:hAnsi="Bookman Old Style"/>
          <w:b/>
          <w:color w:val="000000" w:themeColor="text1"/>
          <w:sz w:val="24"/>
          <w:szCs w:val="24"/>
          <w:lang w:val="es-CO"/>
        </w:rPr>
        <w:t xml:space="preserve">Tabla </w:t>
      </w:r>
      <w:r w:rsidRPr="00DC07FC">
        <w:rPr>
          <w:rFonts w:ascii="Bookman Old Style" w:hAnsi="Bookman Old Style"/>
          <w:b/>
          <w:color w:val="000000" w:themeColor="text1"/>
          <w:sz w:val="24"/>
          <w:szCs w:val="24"/>
        </w:rPr>
        <w:fldChar w:fldCharType="begin"/>
      </w:r>
      <w:r w:rsidRPr="00DC07FC">
        <w:rPr>
          <w:rFonts w:ascii="Bookman Old Style" w:hAnsi="Bookman Old Style"/>
          <w:b/>
          <w:color w:val="000000" w:themeColor="text1"/>
          <w:sz w:val="24"/>
          <w:szCs w:val="24"/>
          <w:lang w:val="es-CO"/>
        </w:rPr>
        <w:instrText xml:space="preserve"> SEQ Tabla \* ARABIC </w:instrText>
      </w:r>
      <w:r w:rsidRPr="00DC07FC">
        <w:rPr>
          <w:rFonts w:ascii="Bookman Old Style" w:hAnsi="Bookman Old Style"/>
          <w:b/>
          <w:color w:val="000000" w:themeColor="text1"/>
          <w:sz w:val="24"/>
          <w:szCs w:val="24"/>
        </w:rPr>
        <w:fldChar w:fldCharType="separate"/>
      </w:r>
      <w:r w:rsidR="00A24E5E">
        <w:rPr>
          <w:rFonts w:ascii="Bookman Old Style" w:hAnsi="Bookman Old Style"/>
          <w:b/>
          <w:noProof/>
          <w:color w:val="000000" w:themeColor="text1"/>
          <w:sz w:val="24"/>
          <w:szCs w:val="24"/>
          <w:lang w:val="es-CO"/>
        </w:rPr>
        <w:t>1</w:t>
      </w:r>
      <w:r w:rsidRPr="00DC07FC">
        <w:rPr>
          <w:rFonts w:ascii="Bookman Old Style" w:hAnsi="Bookman Old Style"/>
          <w:b/>
          <w:color w:val="000000" w:themeColor="text1"/>
          <w:sz w:val="24"/>
          <w:szCs w:val="24"/>
        </w:rPr>
        <w:fldChar w:fldCharType="end"/>
      </w:r>
      <w:bookmarkEnd w:id="55"/>
      <w:r w:rsidRPr="00DC07FC">
        <w:rPr>
          <w:rFonts w:ascii="Bookman Old Style" w:hAnsi="Bookman Old Style"/>
          <w:b/>
          <w:color w:val="000000" w:themeColor="text1"/>
          <w:sz w:val="24"/>
          <w:szCs w:val="24"/>
          <w:lang w:val="es-CO"/>
        </w:rPr>
        <w:t>. Declaración de PTDVF</w:t>
      </w:r>
      <w:r w:rsidR="002D299F">
        <w:rPr>
          <w:rFonts w:ascii="Bookman Old Style" w:hAnsi="Bookman Old Style"/>
          <w:b/>
          <w:color w:val="000000" w:themeColor="text1"/>
          <w:sz w:val="24"/>
          <w:szCs w:val="24"/>
          <w:lang w:val="es-CO"/>
        </w:rPr>
        <w:t xml:space="preserve"> y CIDVF</w:t>
      </w: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398"/>
        <w:gridCol w:w="2398"/>
      </w:tblGrid>
      <w:tr w:rsidR="00901EFF" w:rsidRPr="00DC07FC" w:rsidTr="00744CA5">
        <w:trPr>
          <w:trHeight w:val="516"/>
          <w:jc w:val="center"/>
        </w:trPr>
        <w:tc>
          <w:tcPr>
            <w:tcW w:w="7193" w:type="dxa"/>
            <w:gridSpan w:val="3"/>
            <w:vAlign w:val="center"/>
          </w:tcPr>
          <w:p w:rsidR="00901EFF" w:rsidRPr="00DC07FC" w:rsidRDefault="00901EFF" w:rsidP="00744CA5">
            <w:pPr>
              <w:pStyle w:val="Textoindependiente"/>
              <w:ind w:left="0"/>
              <w:contextualSpacing/>
              <w:rPr>
                <w:rFonts w:ascii="Bookman Old Style" w:hAnsi="Bookman Old Style"/>
                <w:color w:val="000000" w:themeColor="text1"/>
                <w:lang w:val="es-CO"/>
              </w:rPr>
            </w:pPr>
            <w:r w:rsidRPr="00DC07FC">
              <w:rPr>
                <w:rFonts w:ascii="Bookman Old Style" w:hAnsi="Bookman Old Style"/>
                <w:color w:val="000000" w:themeColor="text1"/>
                <w:lang w:val="es-CO"/>
              </w:rPr>
              <w:t>PTDVF</w:t>
            </w:r>
          </w:p>
        </w:tc>
      </w:tr>
      <w:tr w:rsidR="00901EFF" w:rsidRPr="00DC07FC" w:rsidTr="00744CA5">
        <w:trPr>
          <w:trHeight w:val="1116"/>
          <w:jc w:val="center"/>
        </w:trPr>
        <w:tc>
          <w:tcPr>
            <w:tcW w:w="2397" w:type="dxa"/>
            <w:vAlign w:val="center"/>
          </w:tcPr>
          <w:p w:rsidR="00901EFF" w:rsidRPr="00DC07FC" w:rsidRDefault="00901EFF" w:rsidP="00744CA5">
            <w:pPr>
              <w:pStyle w:val="Textoindependiente"/>
              <w:ind w:left="0"/>
              <w:contextualSpacing/>
              <w:rPr>
                <w:rFonts w:ascii="Bookman Old Style" w:hAnsi="Bookman Old Style" w:cs="Times New Roman"/>
                <w:color w:val="000000" w:themeColor="text1"/>
                <w:lang w:val="es-CO"/>
              </w:rPr>
            </w:pPr>
            <w:r w:rsidRPr="00DC07FC">
              <w:rPr>
                <w:rFonts w:ascii="Bookman Old Style" w:hAnsi="Bookman Old Style" w:cs="Times New Roman"/>
                <w:color w:val="000000" w:themeColor="text1"/>
                <w:lang w:val="es-CO"/>
              </w:rPr>
              <w:t>Producto</w:t>
            </w:r>
          </w:p>
        </w:tc>
        <w:tc>
          <w:tcPr>
            <w:tcW w:w="2398" w:type="dxa"/>
            <w:vAlign w:val="center"/>
          </w:tcPr>
          <w:p w:rsidR="00901EFF" w:rsidRPr="00DC07FC" w:rsidRDefault="00901EFF" w:rsidP="00744CA5">
            <w:pPr>
              <w:pStyle w:val="Textoindependiente"/>
              <w:ind w:left="0"/>
              <w:contextualSpacing/>
              <w:rPr>
                <w:rFonts w:ascii="Bookman Old Style" w:hAnsi="Bookman Old Style"/>
                <w:color w:val="000000" w:themeColor="text1"/>
              </w:rPr>
            </w:pPr>
            <w:r w:rsidRPr="00DC07FC">
              <w:rPr>
                <w:rFonts w:ascii="Bookman Old Style" w:hAnsi="Bookman Old Style"/>
                <w:color w:val="000000" w:themeColor="text1"/>
              </w:rPr>
              <w:t>Oferta (KGD)</w:t>
            </w:r>
          </w:p>
        </w:tc>
        <w:tc>
          <w:tcPr>
            <w:tcW w:w="2398" w:type="dxa"/>
            <w:vAlign w:val="center"/>
          </w:tcPr>
          <w:p w:rsidR="00901EFF" w:rsidRPr="00DC07FC" w:rsidRDefault="00901EFF" w:rsidP="00744CA5">
            <w:pPr>
              <w:pStyle w:val="Textoindependiente"/>
              <w:ind w:left="0"/>
              <w:contextualSpacing/>
              <w:rPr>
                <w:rFonts w:ascii="Bookman Old Style" w:hAnsi="Bookman Old Style"/>
                <w:color w:val="000000" w:themeColor="text1"/>
              </w:rPr>
            </w:pPr>
            <w:r w:rsidRPr="00DC07FC">
              <w:rPr>
                <w:rFonts w:ascii="Bookman Old Style" w:hAnsi="Bookman Old Style"/>
                <w:color w:val="000000" w:themeColor="text1"/>
              </w:rPr>
              <w:t>Precio de Reserva</w:t>
            </w:r>
          </w:p>
          <w:p w:rsidR="00901EFF" w:rsidRPr="00DC07FC" w:rsidRDefault="00901EFF" w:rsidP="00744CA5">
            <w:pPr>
              <w:pStyle w:val="Textoindependiente"/>
              <w:ind w:left="0"/>
              <w:contextualSpacing/>
              <w:rPr>
                <w:rFonts w:ascii="Bookman Old Style" w:hAnsi="Bookman Old Style"/>
                <w:color w:val="000000" w:themeColor="text1"/>
              </w:rPr>
            </w:pPr>
            <w:r w:rsidRPr="00DC07FC">
              <w:rPr>
                <w:rFonts w:ascii="Bookman Old Style" w:hAnsi="Bookman Old Style"/>
                <w:color w:val="000000" w:themeColor="text1"/>
              </w:rPr>
              <w:t>(COP / KG)</w:t>
            </w:r>
          </w:p>
        </w:tc>
      </w:tr>
      <w:tr w:rsidR="00901EFF" w:rsidRPr="00DC07FC" w:rsidTr="00744CA5">
        <w:trPr>
          <w:trHeight w:val="407"/>
          <w:jc w:val="center"/>
        </w:trPr>
        <w:tc>
          <w:tcPr>
            <w:tcW w:w="2397" w:type="dxa"/>
            <w:vAlign w:val="center"/>
          </w:tcPr>
          <w:p w:rsidR="00901EFF" w:rsidRPr="00DC07FC" w:rsidRDefault="001907E3" w:rsidP="00744CA5">
            <w:pPr>
              <w:pStyle w:val="Textoindependiente"/>
              <w:ind w:left="0"/>
              <w:contextualSpacing/>
              <w:rPr>
                <w:rFonts w:ascii="Bookman Old Style" w:hAnsi="Bookman Old Style"/>
                <w:color w:val="000000" w:themeColor="text1"/>
                <w:lang w:val="es-CO"/>
              </w:rPr>
            </w:pPr>
            <m:oMathPara>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oMath>
            </m:oMathPara>
          </w:p>
        </w:tc>
        <w:tc>
          <w:tcPr>
            <w:tcW w:w="2398" w:type="dxa"/>
            <w:vAlign w:val="center"/>
          </w:tcPr>
          <w:p w:rsidR="00901EFF" w:rsidRPr="00DC07FC" w:rsidRDefault="001907E3" w:rsidP="00744CA5">
            <w:pPr>
              <w:pStyle w:val="Textoindependiente"/>
              <w:ind w:left="0"/>
              <w:contextualSpacing/>
              <w:rPr>
                <w:rFonts w:ascii="Bookman Old Style" w:hAnsi="Bookman Old Style"/>
                <w:color w:val="000000" w:themeColor="text1"/>
                <w:lang w:val="es-CO"/>
              </w:rPr>
            </w:pPr>
            <m:oMathPara>
              <m:oMath>
                <m:sSub>
                  <m:sSubPr>
                    <m:ctrlPr>
                      <w:rPr>
                        <w:rFonts w:ascii="Cambria Math" w:hAnsi="Cambria Math"/>
                        <w:i/>
                        <w:color w:val="000000" w:themeColor="text1"/>
                      </w:rPr>
                    </m:ctrlPr>
                  </m:sSubPr>
                  <m:e>
                    <m:r>
                      <m:rPr>
                        <m:sty m:val="bi"/>
                      </m:rPr>
                      <w:rPr>
                        <w:rFonts w:ascii="Cambria Math" w:hAnsi="Cambria Math"/>
                        <w:color w:val="000000" w:themeColor="text1"/>
                      </w:rPr>
                      <m:t>O</m:t>
                    </m:r>
                  </m:e>
                  <m:sub>
                    <m:r>
                      <m:rPr>
                        <m:sty m:val="bi"/>
                      </m:rPr>
                      <w:rPr>
                        <w:rFonts w:ascii="Cambria Math" w:hAnsi="Cambria Math"/>
                        <w:color w:val="000000" w:themeColor="text1"/>
                      </w:rPr>
                      <m:t>pe,ma,v</m:t>
                    </m:r>
                  </m:sub>
                </m:sSub>
              </m:oMath>
            </m:oMathPara>
          </w:p>
        </w:tc>
        <w:tc>
          <w:tcPr>
            <w:tcW w:w="2398" w:type="dxa"/>
            <w:vAlign w:val="center"/>
          </w:tcPr>
          <w:p w:rsidR="00901EFF" w:rsidRPr="00DC07FC" w:rsidRDefault="001907E3" w:rsidP="00744CA5">
            <w:pPr>
              <w:pStyle w:val="Textoindependiente"/>
              <w:ind w:left="0"/>
              <w:contextualSpacing/>
              <w:rPr>
                <w:rFonts w:ascii="Bookman Old Style" w:hAnsi="Bookman Old Style"/>
                <w:color w:val="000000" w:themeColor="text1"/>
                <w:lang w:val="es-CO"/>
              </w:rPr>
            </w:pPr>
            <m:oMathPara>
              <m:oMath>
                <m:sSub>
                  <m:sSubPr>
                    <m:ctrlPr>
                      <w:rPr>
                        <w:rFonts w:ascii="Cambria Math" w:hAnsi="Cambria Math"/>
                        <w:i/>
                        <w:color w:val="000000" w:themeColor="text1"/>
                      </w:rPr>
                    </m:ctrlPr>
                  </m:sSubPr>
                  <m:e>
                    <m:r>
                      <m:rPr>
                        <m:sty m:val="bi"/>
                      </m:rPr>
                      <w:rPr>
                        <w:rFonts w:ascii="Cambria Math" w:hAnsi="Cambria Math"/>
                        <w:color w:val="000000" w:themeColor="text1"/>
                      </w:rPr>
                      <m:t>PR</m:t>
                    </m:r>
                  </m:e>
                  <m:sub>
                    <m:sSub>
                      <m:sSubPr>
                        <m:ctrlPr>
                          <w:rPr>
                            <w:rFonts w:ascii="Cambria Math" w:hAnsi="Cambria Math"/>
                            <w:i/>
                            <w:color w:val="000000" w:themeColor="text1"/>
                          </w:rPr>
                        </m:ctrlPr>
                      </m:sSubPr>
                      <m:e>
                        <m:r>
                          <m:rPr>
                            <m:sty m:val="bi"/>
                          </m:rPr>
                          <w:rPr>
                            <w:rFonts w:ascii="Cambria Math" w:hAnsi="Cambria Math"/>
                            <w:color w:val="000000" w:themeColor="text1"/>
                          </w:rPr>
                          <m:t>S</m:t>
                        </m:r>
                      </m:e>
                      <m:sub>
                        <m:r>
                          <m:rPr>
                            <m:sty m:val="bi"/>
                          </m:rPr>
                          <w:rPr>
                            <w:rFonts w:ascii="Cambria Math" w:hAnsi="Cambria Math"/>
                            <w:color w:val="000000" w:themeColor="text1"/>
                          </w:rPr>
                          <m:t>pe,ma,v</m:t>
                        </m:r>
                      </m:sub>
                    </m:sSub>
                  </m:sub>
                </m:sSub>
              </m:oMath>
            </m:oMathPara>
          </w:p>
        </w:tc>
      </w:tr>
      <w:tr w:rsidR="002D299F" w:rsidRPr="00DC07FC" w:rsidTr="007E758E">
        <w:trPr>
          <w:trHeight w:val="407"/>
          <w:jc w:val="center"/>
        </w:trPr>
        <w:tc>
          <w:tcPr>
            <w:tcW w:w="7193" w:type="dxa"/>
            <w:gridSpan w:val="3"/>
            <w:vAlign w:val="center"/>
          </w:tcPr>
          <w:p w:rsidR="002D299F" w:rsidRDefault="002D299F" w:rsidP="00744CA5">
            <w:pPr>
              <w:pStyle w:val="Textoindependiente"/>
              <w:ind w:left="0"/>
              <w:contextualSpacing/>
              <w:rPr>
                <w:rFonts w:ascii="Bookman Old Style" w:hAnsi="Bookman Old Style"/>
                <w:color w:val="000000" w:themeColor="text1"/>
              </w:rPr>
            </w:pPr>
          </w:p>
        </w:tc>
      </w:tr>
      <w:tr w:rsidR="002D299F" w:rsidRPr="00DC07FC" w:rsidTr="007E758E">
        <w:trPr>
          <w:trHeight w:val="407"/>
          <w:jc w:val="center"/>
        </w:trPr>
        <w:tc>
          <w:tcPr>
            <w:tcW w:w="7193" w:type="dxa"/>
            <w:gridSpan w:val="3"/>
            <w:vAlign w:val="center"/>
          </w:tcPr>
          <w:p w:rsidR="002D299F" w:rsidRDefault="002D299F" w:rsidP="00744CA5">
            <w:pPr>
              <w:pStyle w:val="Textoindependiente"/>
              <w:ind w:left="0"/>
              <w:contextualSpacing/>
              <w:rPr>
                <w:rFonts w:ascii="Bookman Old Style" w:hAnsi="Bookman Old Style"/>
                <w:color w:val="000000" w:themeColor="text1"/>
              </w:rPr>
            </w:pPr>
            <w:r>
              <w:rPr>
                <w:rFonts w:ascii="Bookman Old Style" w:hAnsi="Bookman Old Style"/>
                <w:color w:val="000000" w:themeColor="text1"/>
                <w:lang w:val="es-CO"/>
              </w:rPr>
              <w:t>CI</w:t>
            </w:r>
            <w:r w:rsidRPr="00DC07FC">
              <w:rPr>
                <w:rFonts w:ascii="Bookman Old Style" w:hAnsi="Bookman Old Style"/>
                <w:color w:val="000000" w:themeColor="text1"/>
                <w:lang w:val="es-CO"/>
              </w:rPr>
              <w:t>DVF</w:t>
            </w:r>
          </w:p>
        </w:tc>
      </w:tr>
      <w:tr w:rsidR="002D299F" w:rsidRPr="00DC07FC" w:rsidTr="007E758E">
        <w:trPr>
          <w:trHeight w:val="407"/>
          <w:jc w:val="center"/>
        </w:trPr>
        <w:tc>
          <w:tcPr>
            <w:tcW w:w="2397" w:type="dxa"/>
            <w:vAlign w:val="center"/>
          </w:tcPr>
          <w:p w:rsidR="002D299F" w:rsidRPr="00DC07FC" w:rsidRDefault="001907E3" w:rsidP="007E758E">
            <w:pPr>
              <w:pStyle w:val="Textoindependiente"/>
              <w:ind w:left="0"/>
              <w:contextualSpacing/>
              <w:rPr>
                <w:rFonts w:ascii="Bookman Old Style" w:hAnsi="Bookman Old Style"/>
                <w:color w:val="000000" w:themeColor="text1"/>
                <w:lang w:val="es-CO"/>
              </w:rPr>
            </w:pPr>
            <m:oMathPara>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oMath>
            </m:oMathPara>
          </w:p>
        </w:tc>
        <w:tc>
          <w:tcPr>
            <w:tcW w:w="2398" w:type="dxa"/>
            <w:vAlign w:val="center"/>
          </w:tcPr>
          <w:p w:rsidR="002D299F" w:rsidRPr="00DC07FC" w:rsidRDefault="001907E3" w:rsidP="007E758E">
            <w:pPr>
              <w:pStyle w:val="Textoindependiente"/>
              <w:ind w:left="0"/>
              <w:contextualSpacing/>
              <w:rPr>
                <w:rFonts w:ascii="Bookman Old Style" w:hAnsi="Bookman Old Style"/>
                <w:color w:val="000000" w:themeColor="text1"/>
                <w:lang w:val="es-CO"/>
              </w:rPr>
            </w:pPr>
            <m:oMathPara>
              <m:oMath>
                <m:sSub>
                  <m:sSubPr>
                    <m:ctrlPr>
                      <w:rPr>
                        <w:rFonts w:ascii="Cambria Math" w:hAnsi="Cambria Math"/>
                        <w:i/>
                        <w:color w:val="000000" w:themeColor="text1"/>
                      </w:rPr>
                    </m:ctrlPr>
                  </m:sSubPr>
                  <m:e>
                    <m:r>
                      <m:rPr>
                        <m:sty m:val="bi"/>
                      </m:rPr>
                      <w:rPr>
                        <w:rFonts w:ascii="Cambria Math" w:hAnsi="Cambria Math"/>
                        <w:color w:val="000000" w:themeColor="text1"/>
                      </w:rPr>
                      <m:t>O</m:t>
                    </m:r>
                  </m:e>
                  <m:sub>
                    <m:r>
                      <m:rPr>
                        <m:sty m:val="bi"/>
                      </m:rPr>
                      <w:rPr>
                        <w:rFonts w:ascii="Cambria Math" w:hAnsi="Cambria Math"/>
                        <w:color w:val="000000" w:themeColor="text1"/>
                      </w:rPr>
                      <m:t>pe,ma,v</m:t>
                    </m:r>
                  </m:sub>
                </m:sSub>
              </m:oMath>
            </m:oMathPara>
          </w:p>
        </w:tc>
        <w:tc>
          <w:tcPr>
            <w:tcW w:w="2398" w:type="dxa"/>
            <w:vAlign w:val="center"/>
          </w:tcPr>
          <w:p w:rsidR="002D299F" w:rsidRPr="00DC07FC" w:rsidRDefault="001907E3" w:rsidP="007E758E">
            <w:pPr>
              <w:pStyle w:val="Textoindependiente"/>
              <w:ind w:left="0"/>
              <w:contextualSpacing/>
              <w:rPr>
                <w:rFonts w:ascii="Bookman Old Style" w:hAnsi="Bookman Old Style"/>
                <w:color w:val="000000" w:themeColor="text1"/>
                <w:lang w:val="es-CO"/>
              </w:rPr>
            </w:pPr>
            <m:oMathPara>
              <m:oMath>
                <m:sSub>
                  <m:sSubPr>
                    <m:ctrlPr>
                      <w:rPr>
                        <w:rFonts w:ascii="Cambria Math" w:hAnsi="Cambria Math"/>
                        <w:i/>
                        <w:color w:val="000000" w:themeColor="text1"/>
                      </w:rPr>
                    </m:ctrlPr>
                  </m:sSubPr>
                  <m:e>
                    <m:r>
                      <m:rPr>
                        <m:sty m:val="bi"/>
                      </m:rPr>
                      <w:rPr>
                        <w:rFonts w:ascii="Cambria Math" w:hAnsi="Cambria Math"/>
                        <w:color w:val="000000" w:themeColor="text1"/>
                      </w:rPr>
                      <m:t>PR</m:t>
                    </m:r>
                  </m:e>
                  <m:sub>
                    <m:sSub>
                      <m:sSubPr>
                        <m:ctrlPr>
                          <w:rPr>
                            <w:rFonts w:ascii="Cambria Math" w:hAnsi="Cambria Math"/>
                            <w:i/>
                            <w:color w:val="000000" w:themeColor="text1"/>
                          </w:rPr>
                        </m:ctrlPr>
                      </m:sSubPr>
                      <m:e>
                        <m:r>
                          <m:rPr>
                            <m:sty m:val="bi"/>
                          </m:rPr>
                          <w:rPr>
                            <w:rFonts w:ascii="Cambria Math" w:hAnsi="Cambria Math"/>
                            <w:color w:val="000000" w:themeColor="text1"/>
                          </w:rPr>
                          <m:t>S</m:t>
                        </m:r>
                      </m:e>
                      <m:sub>
                        <m:r>
                          <m:rPr>
                            <m:sty m:val="bi"/>
                          </m:rPr>
                          <w:rPr>
                            <w:rFonts w:ascii="Cambria Math" w:hAnsi="Cambria Math"/>
                            <w:color w:val="000000" w:themeColor="text1"/>
                          </w:rPr>
                          <m:t>pe,ma,v</m:t>
                        </m:r>
                      </m:sub>
                    </m:sSub>
                  </m:sub>
                </m:sSub>
              </m:oMath>
            </m:oMathPara>
          </w:p>
        </w:tc>
      </w:tr>
    </w:tbl>
    <w:p w:rsidR="00901EFF" w:rsidRPr="00DC07FC" w:rsidRDefault="00901EFF" w:rsidP="00901EFF">
      <w:pPr>
        <w:pStyle w:val="ARTICULOS"/>
      </w:pPr>
    </w:p>
    <w:p w:rsidR="00901EFF" w:rsidRPr="00DC07FC" w:rsidRDefault="00901EFF" w:rsidP="00901EFF">
      <w:pPr>
        <w:pStyle w:val="ARTICULOS"/>
        <w:rPr>
          <w:rFonts w:cs="Arial"/>
        </w:rPr>
      </w:pPr>
      <w:r w:rsidRPr="00DC07FC">
        <w:rPr>
          <w:rFonts w:cs="Arial"/>
        </w:rPr>
        <w:t>Donde:</w:t>
      </w:r>
    </w:p>
    <w:p w:rsidR="00901EFF" w:rsidRPr="00DC07FC" w:rsidRDefault="00901EFF" w:rsidP="00901EFF">
      <w:pPr>
        <w:pStyle w:val="ARTICULOS"/>
        <w:rPr>
          <w:rFonts w:cs="Arial"/>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293"/>
        <w:gridCol w:w="7765"/>
      </w:tblGrid>
      <w:tr w:rsidR="00901EFF" w:rsidRPr="00DC07FC" w:rsidTr="00744CA5">
        <w:tc>
          <w:tcPr>
            <w:tcW w:w="1191" w:type="dxa"/>
          </w:tcPr>
          <w:p w:rsidR="00901EFF" w:rsidRPr="00DC07FC" w:rsidRDefault="001907E3" w:rsidP="00744CA5">
            <w:pPr>
              <w:ind w:left="0"/>
              <w:contextualSpacing/>
              <w:jc w:val="both"/>
              <w:outlineLvl w:val="0"/>
              <w:rPr>
                <w:rFonts w:ascii="Bookman Old Style" w:hAnsi="Bookman Old Style" w:cs="Arial"/>
                <w:color w:val="000000" w:themeColor="text1"/>
              </w:rPr>
            </w:pPr>
            <m:oMathPara>
              <m:oMathParaPr>
                <m:jc m:val="left"/>
              </m:oMathParaPr>
              <m:oMath>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7980" w:type="dxa"/>
          </w:tcPr>
          <w:p w:rsidR="00901EFF" w:rsidRPr="00DC07FC" w:rsidRDefault="00901EFF" w:rsidP="00744CA5">
            <w:pPr>
              <w:autoSpaceDE w:val="0"/>
              <w:autoSpaceDN w:val="0"/>
              <w:adjustRightInd w:val="0"/>
              <w:ind w:left="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Contrato de suministro firme, con punto de entrega </w:t>
            </w:r>
            <m:oMath>
              <m:r>
                <w:rPr>
                  <w:rFonts w:ascii="Cambria Math" w:hAnsi="Cambria Math" w:cs="Arial"/>
                  <w:color w:val="000000" w:themeColor="text1"/>
                </w:rPr>
                <m:t>pe</m:t>
              </m:r>
            </m:oMath>
            <w:r w:rsidRPr="00DC07FC">
              <w:rPr>
                <w:rFonts w:ascii="Bookman Old Style" w:hAnsi="Bookman Old Style" w:cs="Arial"/>
                <w:color w:val="000000" w:themeColor="text1"/>
              </w:rPr>
              <w:t xml:space="preserve"> e inicio de entregas en el mes y año </w:t>
            </w:r>
            <m:oMath>
              <m:r>
                <w:rPr>
                  <w:rFonts w:ascii="Cambria Math" w:hAnsi="Cambria Math" w:cs="Arial"/>
                  <w:color w:val="000000" w:themeColor="text1"/>
                </w:rPr>
                <m:t>ma</m:t>
              </m:r>
            </m:oMath>
            <w:r w:rsidR="00E87653">
              <w:rPr>
                <w:rFonts w:ascii="Bookman Old Style" w:hAnsi="Bookman Old Style" w:cs="Arial"/>
                <w:color w:val="000000" w:themeColor="text1"/>
              </w:rPr>
              <w:t>.</w:t>
            </w:r>
          </w:p>
          <w:p w:rsidR="00901EFF" w:rsidRPr="00DC07FC" w:rsidRDefault="00901EFF" w:rsidP="00744CA5">
            <w:pPr>
              <w:autoSpaceDE w:val="0"/>
              <w:autoSpaceDN w:val="0"/>
              <w:adjustRightInd w:val="0"/>
              <w:ind w:left="0"/>
              <w:contextualSpacing/>
              <w:jc w:val="both"/>
              <w:rPr>
                <w:rFonts w:ascii="Bookman Old Style" w:hAnsi="Bookman Old Style" w:cs="Arial"/>
                <w:color w:val="000000" w:themeColor="text1"/>
              </w:rPr>
            </w:pPr>
          </w:p>
        </w:tc>
      </w:tr>
      <w:tr w:rsidR="00901EFF" w:rsidRPr="00DC07FC" w:rsidTr="00744CA5">
        <w:tc>
          <w:tcPr>
            <w:tcW w:w="1191" w:type="dxa"/>
          </w:tcPr>
          <w:p w:rsidR="00901EFF" w:rsidRPr="00DC07FC" w:rsidRDefault="001907E3" w:rsidP="00744CA5">
            <w:pPr>
              <w:ind w:left="0"/>
              <w:contextualSpacing/>
              <w:jc w:val="both"/>
              <w:outlineLvl w:val="0"/>
              <w:rPr>
                <w:rFonts w:ascii="Bookman Old Style" w:hAnsi="Bookman Old Style" w:cs="Arial"/>
                <w:color w:val="000000" w:themeColor="text1"/>
              </w:rPr>
            </w:pPr>
            <m:oMathPara>
              <m:oMathParaPr>
                <m:jc m:val="left"/>
              </m:oMathParaPr>
              <m:oMath>
                <m:sSub>
                  <m:sSubPr>
                    <m:ctrlPr>
                      <w:rPr>
                        <w:rFonts w:ascii="Cambria Math" w:hAnsi="Cambria Math" w:cs="Arial"/>
                        <w:i/>
                        <w:color w:val="000000" w:themeColor="text1"/>
                      </w:rPr>
                    </m:ctrlPr>
                  </m:sSubPr>
                  <m:e>
                    <m:r>
                      <w:rPr>
                        <w:rFonts w:ascii="Cambria Math" w:hAnsi="Cambria Math" w:cs="Arial"/>
                        <w:color w:val="000000" w:themeColor="text1"/>
                      </w:rPr>
                      <m:t>O</m:t>
                    </m:r>
                  </m:e>
                  <m:sub>
                    <m:r>
                      <w:rPr>
                        <w:rFonts w:ascii="Cambria Math" w:hAnsi="Cambria Math" w:cs="Arial"/>
                        <w:color w:val="000000" w:themeColor="text1"/>
                      </w:rPr>
                      <m:t>pe,ma,v</m:t>
                    </m:r>
                  </m:sub>
                </m:sSub>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7980"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Cantidad de GLP</w:t>
            </w:r>
            <w:r w:rsidR="00E461B0">
              <w:rPr>
                <w:rFonts w:ascii="Bookman Old Style" w:hAnsi="Bookman Old Style" w:cs="Arial"/>
                <w:color w:val="000000" w:themeColor="text1"/>
              </w:rPr>
              <w:t xml:space="preserve"> promedio al mes</w:t>
            </w:r>
            <w:r w:rsidRPr="00DC07FC">
              <w:rPr>
                <w:rFonts w:ascii="Bookman Old Style" w:hAnsi="Bookman Old Style" w:cs="Arial"/>
                <w:color w:val="000000" w:themeColor="text1"/>
              </w:rPr>
              <w:t xml:space="preserve">, expresada en KGD, disponible en el punto de entrega </w:t>
            </w:r>
            <m:oMath>
              <m:r>
                <w:rPr>
                  <w:rFonts w:ascii="Cambria Math" w:hAnsi="Cambria Math" w:cs="Arial"/>
                  <w:color w:val="000000" w:themeColor="text1"/>
                </w:rPr>
                <m:t>pe</m:t>
              </m:r>
            </m:oMath>
            <w:r w:rsidRPr="00DC07FC">
              <w:rPr>
                <w:rFonts w:ascii="Bookman Old Style" w:hAnsi="Bookman Old Style" w:cs="Arial"/>
                <w:color w:val="000000" w:themeColor="text1"/>
              </w:rPr>
              <w:t xml:space="preserve">, con entrega a partir del mes y año </w:t>
            </w:r>
            <m:oMath>
              <m:r>
                <w:rPr>
                  <w:rFonts w:ascii="Cambria Math" w:hAnsi="Cambria Math" w:cs="Arial"/>
                  <w:color w:val="000000" w:themeColor="text1"/>
                </w:rPr>
                <m:t>ma</m:t>
              </m:r>
            </m:oMath>
            <w:r w:rsidRPr="00DC07FC">
              <w:rPr>
                <w:rFonts w:ascii="Bookman Old Style" w:hAnsi="Bookman Old Style" w:cs="Arial"/>
                <w:color w:val="000000" w:themeColor="text1"/>
              </w:rPr>
              <w:t xml:space="preserve">, que será ofrecida en la subasta por parte del vendedor </w:t>
            </w:r>
            <m:oMath>
              <m:r>
                <w:rPr>
                  <w:rFonts w:ascii="Cambria Math" w:hAnsi="Cambria Math" w:cs="Arial"/>
                  <w:color w:val="000000" w:themeColor="text1"/>
                </w:rPr>
                <m:t>v</m:t>
              </m:r>
            </m:oMath>
            <w:r w:rsidRPr="00DC07FC">
              <w:rPr>
                <w:rFonts w:ascii="Bookman Old Style" w:hAnsi="Bookman Old Style" w:cs="Arial"/>
                <w:color w:val="000000" w:themeColor="text1"/>
              </w:rPr>
              <w:t>.</w:t>
            </w:r>
          </w:p>
          <w:p w:rsidR="00901EFF" w:rsidRPr="00DC07FC" w:rsidRDefault="00901EFF" w:rsidP="00744CA5">
            <w:pPr>
              <w:ind w:left="0"/>
              <w:contextualSpacing/>
              <w:jc w:val="both"/>
              <w:outlineLvl w:val="0"/>
              <w:rPr>
                <w:rFonts w:ascii="Bookman Old Style" w:hAnsi="Bookman Old Style" w:cs="Arial"/>
                <w:color w:val="000000" w:themeColor="text1"/>
              </w:rPr>
            </w:pPr>
          </w:p>
        </w:tc>
      </w:tr>
      <w:tr w:rsidR="00901EFF" w:rsidRPr="00DC07FC" w:rsidTr="00744CA5">
        <w:tc>
          <w:tcPr>
            <w:tcW w:w="1191" w:type="dxa"/>
          </w:tcPr>
          <w:p w:rsidR="00901EFF" w:rsidRPr="00DC07FC" w:rsidRDefault="001907E3" w:rsidP="00744CA5">
            <w:pPr>
              <w:ind w:left="0"/>
              <w:contextualSpacing/>
              <w:jc w:val="both"/>
              <w:outlineLvl w:val="0"/>
              <w:rPr>
                <w:rFonts w:ascii="Bookman Old Style" w:hAnsi="Bookman Old Style" w:cs="Arial"/>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pe,ma,v</m:t>
                        </m:r>
                      </m:sub>
                    </m:sSub>
                  </m:sub>
                </m:sSub>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7980" w:type="dxa"/>
          </w:tcPr>
          <w:p w:rsidR="00901EFF" w:rsidRPr="00DC07FC" w:rsidRDefault="00901EFF" w:rsidP="00744CA5">
            <w:pPr>
              <w:ind w:left="0"/>
              <w:contextualSpacing/>
              <w:jc w:val="both"/>
              <w:outlineLvl w:val="0"/>
              <w:rPr>
                <w:rFonts w:ascii="Bookman Old Style" w:hAnsi="Bookman Old Style"/>
                <w:color w:val="000000" w:themeColor="text1"/>
              </w:rPr>
            </w:pPr>
            <w:r w:rsidRPr="00DC07FC">
              <w:rPr>
                <w:rFonts w:ascii="Bookman Old Style" w:hAnsi="Bookman Old Style" w:cs="Arial"/>
                <w:color w:val="000000" w:themeColor="text1"/>
              </w:rPr>
              <w:t xml:space="preserve">Precio de reserva del producto </w:t>
            </w:r>
            <m:oMath>
              <m:sSub>
                <m:sSubPr>
                  <m:ctrlPr>
                    <w:rPr>
                      <w:rFonts w:ascii="Cambria Math" w:hAnsi="Cambria Math" w:cs="Arial"/>
                      <w:i/>
                      <w:color w:val="000000" w:themeColor="text1"/>
                    </w:rPr>
                  </m:ctrlPr>
                </m:sSubPr>
                <m:e>
                  <m:r>
                    <w:rPr>
                      <w:rFonts w:ascii="Cambria Math" w:hAnsi="Cambria Math" w:cs="Arial"/>
                      <w:color w:val="000000" w:themeColor="text1"/>
                    </w:rPr>
                    <m:t>S</m:t>
                  </m:r>
                </m:e>
                <m:sub>
                  <m:r>
                    <w:rPr>
                      <w:rFonts w:ascii="Cambria Math" w:hAnsi="Cambria Math" w:cs="Arial"/>
                      <w:color w:val="000000" w:themeColor="text1"/>
                    </w:rPr>
                    <m:t>pe,ma</m:t>
                  </m:r>
                </m:sub>
              </m:sSub>
            </m:oMath>
            <w:r w:rsidRPr="00DC07FC">
              <w:rPr>
                <w:rFonts w:ascii="Bookman Old Style" w:hAnsi="Bookman Old Style" w:cs="Arial"/>
                <w:color w:val="000000" w:themeColor="text1"/>
              </w:rPr>
              <w:t xml:space="preserve">, declarado por parte del vendedor </w:t>
            </w:r>
            <m:oMath>
              <m:r>
                <w:rPr>
                  <w:rFonts w:ascii="Cambria Math" w:hAnsi="Cambria Math" w:cs="Arial"/>
                  <w:color w:val="000000" w:themeColor="text1"/>
                </w:rPr>
                <m:t>v</m:t>
              </m:r>
            </m:oMath>
            <w:r w:rsidRPr="00DC07FC">
              <w:rPr>
                <w:rFonts w:ascii="Bookman Old Style" w:hAnsi="Bookman Old Style" w:cs="Arial"/>
                <w:color w:val="000000" w:themeColor="text1"/>
              </w:rPr>
              <w:t xml:space="preserve">, o determinado por la CREG para este, según lo </w:t>
            </w:r>
            <w:r w:rsidR="00AE00EE" w:rsidRPr="00DC07FC">
              <w:rPr>
                <w:rFonts w:ascii="Bookman Old Style" w:hAnsi="Bookman Old Style" w:cs="Arial"/>
                <w:color w:val="000000" w:themeColor="text1"/>
              </w:rPr>
              <w:t>determine</w:t>
            </w:r>
            <w:r w:rsidRPr="00DC07FC">
              <w:rPr>
                <w:rFonts w:ascii="Bookman Old Style" w:hAnsi="Bookman Old Style" w:cs="Arial"/>
                <w:color w:val="000000" w:themeColor="text1"/>
              </w:rPr>
              <w:t xml:space="preserve"> la regulación para cada vendedor</w:t>
            </w:r>
            <w:r w:rsidRPr="00DC07FC">
              <w:rPr>
                <w:rFonts w:ascii="Bookman Old Style" w:hAnsi="Bookman Old Style" w:cs="Arial"/>
                <w:i/>
                <w:color w:val="000000" w:themeColor="text1"/>
              </w:rPr>
              <w:t>.</w:t>
            </w:r>
            <w:r w:rsidRPr="00DC07FC">
              <w:rPr>
                <w:rFonts w:ascii="Bookman Old Style" w:hAnsi="Bookman Old Style" w:cs="Arial"/>
                <w:color w:val="000000" w:themeColor="text1"/>
              </w:rPr>
              <w:t xml:space="preserve"> El precio de reserva es un valor positivo, </w:t>
            </w:r>
            <w:r w:rsidRPr="00DC07FC">
              <w:rPr>
                <w:rFonts w:ascii="Bookman Old Style" w:hAnsi="Bookman Old Style"/>
                <w:color w:val="000000" w:themeColor="text1"/>
              </w:rPr>
              <w:t>sin dígitos decimales</w:t>
            </w:r>
            <w:r w:rsidRPr="00DC07FC">
              <w:rPr>
                <w:rFonts w:ascii="Bookman Old Style" w:hAnsi="Bookman Old Style" w:cs="Arial"/>
                <w:color w:val="000000" w:themeColor="text1"/>
              </w:rPr>
              <w:t xml:space="preserve"> y expresado en COP por KG</w:t>
            </w:r>
            <w:r w:rsidRPr="00DC07FC">
              <w:rPr>
                <w:rFonts w:ascii="Bookman Old Style" w:hAnsi="Bookman Old Style"/>
                <w:color w:val="000000" w:themeColor="text1"/>
              </w:rPr>
              <w:t>.</w:t>
            </w:r>
          </w:p>
          <w:p w:rsidR="00901EFF" w:rsidRPr="00DC07FC" w:rsidRDefault="00901EFF" w:rsidP="00744CA5">
            <w:pPr>
              <w:ind w:left="0"/>
              <w:contextualSpacing/>
              <w:jc w:val="both"/>
              <w:outlineLvl w:val="0"/>
              <w:rPr>
                <w:rFonts w:ascii="Bookman Old Style" w:hAnsi="Bookman Old Style" w:cs="Arial"/>
                <w:i/>
                <w:color w:val="000000" w:themeColor="text1"/>
              </w:rPr>
            </w:pPr>
          </w:p>
        </w:tc>
      </w:tr>
      <w:tr w:rsidR="00901EFF" w:rsidRPr="00DC07FC" w:rsidTr="00744CA5">
        <w:tc>
          <w:tcPr>
            <w:tcW w:w="1191" w:type="dxa"/>
          </w:tcPr>
          <w:p w:rsidR="00901EFF" w:rsidRPr="00DC07FC" w:rsidRDefault="00901EFF" w:rsidP="00744CA5">
            <w:pPr>
              <w:ind w:left="0"/>
              <w:contextualSpacing/>
              <w:jc w:val="both"/>
              <w:outlineLvl w:val="0"/>
              <w:rPr>
                <w:rFonts w:ascii="Bookman Old Style" w:hAnsi="Bookman Old Style" w:cs="Arial"/>
                <w:color w:val="000000" w:themeColor="text1"/>
              </w:rPr>
            </w:pPr>
            <m:oMathPara>
              <m:oMathParaPr>
                <m:jc m:val="left"/>
              </m:oMathParaPr>
              <m:oMath>
                <m:r>
                  <w:rPr>
                    <w:rFonts w:ascii="Cambria Math" w:hAnsi="Cambria Math"/>
                    <w:color w:val="000000" w:themeColor="text1"/>
                  </w:rPr>
                  <m:t>v</m:t>
                </m:r>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7980" w:type="dxa"/>
          </w:tcPr>
          <w:p w:rsidR="00901EFF" w:rsidRPr="00DC07FC" w:rsidRDefault="00901EFF" w:rsidP="00744CA5">
            <w:pPr>
              <w:ind w:left="0"/>
              <w:contextualSpacing/>
              <w:jc w:val="both"/>
              <w:outlineLvl w:val="0"/>
              <w:rPr>
                <w:rFonts w:ascii="Bookman Old Style" w:hAnsi="Bookman Old Style"/>
                <w:color w:val="000000" w:themeColor="text1"/>
                <w:lang w:val="es-CO"/>
              </w:rPr>
            </w:pPr>
            <w:r w:rsidRPr="00DC07FC">
              <w:rPr>
                <w:rFonts w:ascii="Bookman Old Style" w:hAnsi="Bookman Old Style"/>
                <w:color w:val="000000" w:themeColor="text1"/>
                <w:lang w:val="es-CO"/>
              </w:rPr>
              <w:t>Comercializador de oferta de GLP que hace la</w:t>
            </w:r>
            <w:r w:rsidR="002D299F">
              <w:rPr>
                <w:rFonts w:ascii="Bookman Old Style" w:hAnsi="Bookman Old Style"/>
                <w:color w:val="000000" w:themeColor="text1"/>
                <w:lang w:val="es-CO"/>
              </w:rPr>
              <w:t>s declaracio</w:t>
            </w:r>
            <w:r w:rsidRPr="00DC07FC">
              <w:rPr>
                <w:rFonts w:ascii="Bookman Old Style" w:hAnsi="Bookman Old Style"/>
                <w:color w:val="000000" w:themeColor="text1"/>
                <w:lang w:val="es-CO"/>
              </w:rPr>
              <w:t>n</w:t>
            </w:r>
            <w:r w:rsidR="002D299F">
              <w:rPr>
                <w:rFonts w:ascii="Bookman Old Style" w:hAnsi="Bookman Old Style"/>
                <w:color w:val="000000" w:themeColor="text1"/>
                <w:lang w:val="es-CO"/>
              </w:rPr>
              <w:t>es</w:t>
            </w:r>
            <w:r w:rsidRPr="00DC07FC">
              <w:rPr>
                <w:rFonts w:ascii="Bookman Old Style" w:hAnsi="Bookman Old Style"/>
                <w:color w:val="000000" w:themeColor="text1"/>
                <w:lang w:val="es-CO"/>
              </w:rPr>
              <w:t xml:space="preserve"> de </w:t>
            </w:r>
            <w:r w:rsidR="00AE00EE" w:rsidRPr="00DC07FC">
              <w:rPr>
                <w:rFonts w:ascii="Bookman Old Style" w:hAnsi="Bookman Old Style"/>
                <w:color w:val="000000" w:themeColor="text1"/>
                <w:lang w:val="es-CO"/>
              </w:rPr>
              <w:t xml:space="preserve">PTDVF </w:t>
            </w:r>
            <w:r w:rsidR="002D299F">
              <w:rPr>
                <w:rFonts w:ascii="Bookman Old Style" w:hAnsi="Bookman Old Style"/>
                <w:color w:val="000000" w:themeColor="text1"/>
                <w:lang w:val="es-CO"/>
              </w:rPr>
              <w:t xml:space="preserve">y CIDVF </w:t>
            </w:r>
            <w:r w:rsidRPr="00DC07FC">
              <w:rPr>
                <w:rFonts w:ascii="Bookman Old Style" w:hAnsi="Bookman Old Style"/>
                <w:color w:val="000000" w:themeColor="text1"/>
                <w:lang w:val="es-CO"/>
              </w:rPr>
              <w:t>y participa en la subasta como vendedor.</w:t>
            </w:r>
          </w:p>
          <w:p w:rsidR="00901EFF" w:rsidRPr="002D299F" w:rsidRDefault="00901EFF" w:rsidP="00744CA5">
            <w:pPr>
              <w:ind w:left="0"/>
              <w:contextualSpacing/>
              <w:jc w:val="both"/>
              <w:outlineLvl w:val="0"/>
              <w:rPr>
                <w:rFonts w:ascii="Bookman Old Style" w:hAnsi="Bookman Old Style" w:cs="Arial"/>
                <w:color w:val="000000" w:themeColor="text1"/>
                <w:lang w:val="es-CO"/>
              </w:rPr>
            </w:pPr>
          </w:p>
        </w:tc>
      </w:tr>
    </w:tbl>
    <w:p w:rsidR="00901EFF" w:rsidRPr="00DC07FC" w:rsidRDefault="00901EFF" w:rsidP="00901EFF">
      <w:pPr>
        <w:pStyle w:val="Textoindependiente"/>
        <w:ind w:left="0"/>
        <w:contextualSpacing/>
        <w:jc w:val="both"/>
        <w:rPr>
          <w:rFonts w:ascii="Bookman Old Style" w:hAnsi="Bookman Old Style"/>
          <w:b w:val="0"/>
          <w:color w:val="000000" w:themeColor="text1"/>
        </w:rPr>
      </w:pPr>
    </w:p>
    <w:p w:rsidR="00412D04" w:rsidRDefault="00412D04" w:rsidP="00901EFF">
      <w:pPr>
        <w:pStyle w:val="Textoindependiente"/>
        <w:ind w:left="0"/>
        <w:contextualSpacing/>
        <w:jc w:val="both"/>
        <w:rPr>
          <w:rFonts w:ascii="Bookman Old Style" w:hAnsi="Bookman Old Style"/>
          <w:b w:val="0"/>
          <w:color w:val="000000" w:themeColor="text1"/>
          <w:lang w:val="es-CO"/>
        </w:rPr>
      </w:pPr>
      <w:r w:rsidRPr="00412D04">
        <w:rPr>
          <w:rFonts w:ascii="Bookman Old Style" w:hAnsi="Bookman Old Style"/>
          <w:b w:val="0"/>
          <w:color w:val="000000" w:themeColor="text1"/>
          <w:lang w:val="es-CO"/>
        </w:rPr>
        <w:t xml:space="preserve">La suma de las cantidades declaradas como PTDVF para todos los puntos de entrega de un mismo comercializador de oferta, deberá ser menor o igual que la suma de las cantidades de GLP, declaradas como PTDV, que </w:t>
      </w:r>
      <w:r>
        <w:rPr>
          <w:rFonts w:ascii="Bookman Old Style" w:hAnsi="Bookman Old Style"/>
          <w:b w:val="0"/>
          <w:color w:val="000000" w:themeColor="text1"/>
          <w:lang w:val="es-CO"/>
        </w:rPr>
        <w:t xml:space="preserve">ofrezca </w:t>
      </w:r>
      <w:r w:rsidRPr="00412D04">
        <w:rPr>
          <w:rFonts w:ascii="Bookman Old Style" w:hAnsi="Bookman Old Style"/>
          <w:b w:val="0"/>
          <w:color w:val="000000" w:themeColor="text1"/>
          <w:lang w:val="es-CO"/>
        </w:rPr>
        <w:t>dicho comercializador de oferta, para todas las fuentes, puntos de recibo del sistema de transporte o puntos de importación, según sea el caso.</w:t>
      </w:r>
    </w:p>
    <w:p w:rsidR="00412D04" w:rsidRDefault="00412D04" w:rsidP="00901EFF">
      <w:pPr>
        <w:pStyle w:val="Textoindependiente"/>
        <w:ind w:left="0"/>
        <w:contextualSpacing/>
        <w:jc w:val="both"/>
        <w:rPr>
          <w:rFonts w:ascii="Bookman Old Style" w:hAnsi="Bookman Old Style"/>
          <w:b w:val="0"/>
          <w:color w:val="000000" w:themeColor="text1"/>
          <w:lang w:val="es-CO"/>
        </w:rPr>
      </w:pPr>
    </w:p>
    <w:p w:rsidR="00D568C7" w:rsidRDefault="00D568C7" w:rsidP="00D568C7">
      <w:pPr>
        <w:pStyle w:val="Textoindependiente"/>
        <w:ind w:left="0"/>
        <w:contextualSpacing/>
        <w:jc w:val="both"/>
        <w:rPr>
          <w:rFonts w:ascii="Bookman Old Style" w:hAnsi="Bookman Old Style"/>
          <w:b w:val="0"/>
          <w:color w:val="000000" w:themeColor="text1"/>
          <w:lang w:val="es-CO"/>
        </w:rPr>
      </w:pPr>
      <w:r>
        <w:rPr>
          <w:rFonts w:ascii="Bookman Old Style" w:hAnsi="Bookman Old Style"/>
          <w:b w:val="0"/>
          <w:color w:val="000000" w:themeColor="text1"/>
          <w:lang w:val="es-CO"/>
        </w:rPr>
        <w:t>Así mismo, l</w:t>
      </w:r>
      <w:r w:rsidRPr="00412D04">
        <w:rPr>
          <w:rFonts w:ascii="Bookman Old Style" w:hAnsi="Bookman Old Style"/>
          <w:b w:val="0"/>
          <w:color w:val="000000" w:themeColor="text1"/>
          <w:lang w:val="es-CO"/>
        </w:rPr>
        <w:t xml:space="preserve">a suma de las cantidades declaradas como </w:t>
      </w:r>
      <w:r>
        <w:rPr>
          <w:rFonts w:ascii="Bookman Old Style" w:hAnsi="Bookman Old Style"/>
          <w:b w:val="0"/>
          <w:color w:val="000000" w:themeColor="text1"/>
          <w:lang w:val="es-CO"/>
        </w:rPr>
        <w:t>CI</w:t>
      </w:r>
      <w:r w:rsidRPr="00412D04">
        <w:rPr>
          <w:rFonts w:ascii="Bookman Old Style" w:hAnsi="Bookman Old Style"/>
          <w:b w:val="0"/>
          <w:color w:val="000000" w:themeColor="text1"/>
          <w:lang w:val="es-CO"/>
        </w:rPr>
        <w:t xml:space="preserve">DVF para todos los puntos de entrega de un mismo comercializador de oferta, deberá ser menor o igual que la suma de las cantidades de GLP, declaradas como </w:t>
      </w:r>
      <w:r>
        <w:rPr>
          <w:rFonts w:ascii="Bookman Old Style" w:hAnsi="Bookman Old Style"/>
          <w:b w:val="0"/>
          <w:color w:val="000000" w:themeColor="text1"/>
          <w:lang w:val="es-CO"/>
        </w:rPr>
        <w:t>CI</w:t>
      </w:r>
      <w:r w:rsidRPr="00412D04">
        <w:rPr>
          <w:rFonts w:ascii="Bookman Old Style" w:hAnsi="Bookman Old Style"/>
          <w:b w:val="0"/>
          <w:color w:val="000000" w:themeColor="text1"/>
          <w:lang w:val="es-CO"/>
        </w:rPr>
        <w:t xml:space="preserve">DV, que </w:t>
      </w:r>
      <w:r>
        <w:rPr>
          <w:rFonts w:ascii="Bookman Old Style" w:hAnsi="Bookman Old Style"/>
          <w:b w:val="0"/>
          <w:color w:val="000000" w:themeColor="text1"/>
          <w:lang w:val="es-CO"/>
        </w:rPr>
        <w:t xml:space="preserve">ofrezca </w:t>
      </w:r>
      <w:r w:rsidRPr="00412D04">
        <w:rPr>
          <w:rFonts w:ascii="Bookman Old Style" w:hAnsi="Bookman Old Style"/>
          <w:b w:val="0"/>
          <w:color w:val="000000" w:themeColor="text1"/>
          <w:lang w:val="es-CO"/>
        </w:rPr>
        <w:t>dicho comercializador de oferta.</w:t>
      </w:r>
    </w:p>
    <w:p w:rsidR="00D568C7" w:rsidRDefault="00D568C7" w:rsidP="00901EFF">
      <w:pPr>
        <w:pStyle w:val="Textoindependiente"/>
        <w:ind w:left="0"/>
        <w:contextualSpacing/>
        <w:jc w:val="both"/>
        <w:rPr>
          <w:rFonts w:ascii="Bookman Old Style" w:hAnsi="Bookman Old Style"/>
          <w:b w:val="0"/>
          <w:color w:val="000000" w:themeColor="text1"/>
          <w:lang w:val="es-CO"/>
        </w:rPr>
      </w:pPr>
    </w:p>
    <w:p w:rsidR="0055273E" w:rsidRDefault="0055273E" w:rsidP="002D299F">
      <w:pPr>
        <w:pStyle w:val="Textoindependiente"/>
        <w:ind w:left="0"/>
        <w:contextualSpacing/>
        <w:jc w:val="both"/>
        <w:rPr>
          <w:rFonts w:ascii="Bookman Old Style" w:hAnsi="Bookman Old Style"/>
          <w:b w:val="0"/>
          <w:color w:val="000000" w:themeColor="text1"/>
          <w:lang w:val="es-CO"/>
        </w:rPr>
      </w:pPr>
    </w:p>
    <w:p w:rsidR="002D299F" w:rsidRPr="00DC07FC" w:rsidRDefault="002D299F" w:rsidP="002D299F">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La</w:t>
      </w:r>
      <w:r>
        <w:rPr>
          <w:rFonts w:ascii="Bookman Old Style" w:hAnsi="Bookman Old Style"/>
          <w:b w:val="0"/>
          <w:color w:val="000000" w:themeColor="text1"/>
          <w:lang w:val="es-CO"/>
        </w:rPr>
        <w:t xml:space="preserve">s declaraciones </w:t>
      </w:r>
      <w:r w:rsidRPr="00DC07FC">
        <w:rPr>
          <w:rFonts w:ascii="Bookman Old Style" w:hAnsi="Bookman Old Style"/>
          <w:b w:val="0"/>
          <w:color w:val="000000" w:themeColor="text1"/>
          <w:lang w:val="es-CO"/>
        </w:rPr>
        <w:t>de</w:t>
      </w:r>
      <w:r>
        <w:rPr>
          <w:rFonts w:ascii="Bookman Old Style" w:hAnsi="Bookman Old Style"/>
          <w:b w:val="0"/>
          <w:color w:val="000000" w:themeColor="text1"/>
          <w:lang w:val="es-CO"/>
        </w:rPr>
        <w:t xml:space="preserve"> </w:t>
      </w:r>
      <w:r w:rsidRPr="00DC07FC">
        <w:rPr>
          <w:rFonts w:ascii="Bookman Old Style" w:hAnsi="Bookman Old Style"/>
          <w:b w:val="0"/>
          <w:color w:val="000000" w:themeColor="text1"/>
          <w:lang w:val="es-CO"/>
        </w:rPr>
        <w:t xml:space="preserve">PTDVF </w:t>
      </w:r>
      <w:r w:rsidR="00E87653">
        <w:rPr>
          <w:rFonts w:ascii="Bookman Old Style" w:hAnsi="Bookman Old Style"/>
          <w:b w:val="0"/>
          <w:color w:val="000000" w:themeColor="text1"/>
          <w:lang w:val="es-CO"/>
        </w:rPr>
        <w:t>y CI</w:t>
      </w:r>
      <w:r>
        <w:rPr>
          <w:rFonts w:ascii="Bookman Old Style" w:hAnsi="Bookman Old Style"/>
          <w:b w:val="0"/>
          <w:color w:val="000000" w:themeColor="text1"/>
          <w:lang w:val="es-CO"/>
        </w:rPr>
        <w:t>D</w:t>
      </w:r>
      <w:r w:rsidR="00E87653">
        <w:rPr>
          <w:rFonts w:ascii="Bookman Old Style" w:hAnsi="Bookman Old Style"/>
          <w:b w:val="0"/>
          <w:color w:val="000000" w:themeColor="text1"/>
          <w:lang w:val="es-CO"/>
        </w:rPr>
        <w:t>V</w:t>
      </w:r>
      <w:r>
        <w:rPr>
          <w:rFonts w:ascii="Bookman Old Style" w:hAnsi="Bookman Old Style"/>
          <w:b w:val="0"/>
          <w:color w:val="000000" w:themeColor="text1"/>
          <w:lang w:val="es-CO"/>
        </w:rPr>
        <w:t xml:space="preserve">F </w:t>
      </w:r>
      <w:r w:rsidRPr="00DC07FC">
        <w:rPr>
          <w:rFonts w:ascii="Bookman Old Style" w:hAnsi="Bookman Old Style"/>
          <w:b w:val="0"/>
          <w:color w:val="000000" w:themeColor="text1"/>
          <w:lang w:val="es-CO"/>
        </w:rPr>
        <w:t>debe</w:t>
      </w:r>
      <w:r>
        <w:rPr>
          <w:rFonts w:ascii="Bookman Old Style" w:hAnsi="Bookman Old Style"/>
          <w:b w:val="0"/>
          <w:color w:val="000000" w:themeColor="text1"/>
          <w:lang w:val="es-CO"/>
        </w:rPr>
        <w:t>n</w:t>
      </w:r>
      <w:r w:rsidRPr="00DC07FC">
        <w:rPr>
          <w:rFonts w:ascii="Bookman Old Style" w:hAnsi="Bookman Old Style"/>
          <w:b w:val="0"/>
          <w:color w:val="000000" w:themeColor="text1"/>
          <w:lang w:val="es-CO"/>
        </w:rPr>
        <w:t xml:space="preserve"> hacerse por producto. En la declaración, el comercializador de oferta deberá especificar la cantidad de GLP de cada </w:t>
      </w:r>
      <w:r w:rsidR="007B354E">
        <w:rPr>
          <w:rFonts w:ascii="Bookman Old Style" w:hAnsi="Bookman Old Style"/>
          <w:b w:val="0"/>
          <w:color w:val="000000" w:themeColor="text1"/>
          <w:lang w:val="es-CO"/>
        </w:rPr>
        <w:t xml:space="preserve">uno de los </w:t>
      </w:r>
      <w:r w:rsidRPr="00DC07FC">
        <w:rPr>
          <w:rFonts w:ascii="Bookman Old Style" w:hAnsi="Bookman Old Style"/>
          <w:b w:val="0"/>
          <w:color w:val="000000" w:themeColor="text1"/>
          <w:lang w:val="es-CO"/>
        </w:rPr>
        <w:t>producto</w:t>
      </w:r>
      <w:r w:rsidR="007B354E">
        <w:rPr>
          <w:rFonts w:ascii="Bookman Old Style" w:hAnsi="Bookman Old Style"/>
          <w:b w:val="0"/>
          <w:color w:val="000000" w:themeColor="text1"/>
          <w:lang w:val="es-CO"/>
        </w:rPr>
        <w:t>s que ofrece</w:t>
      </w:r>
      <w:r w:rsidRPr="00DC07FC">
        <w:rPr>
          <w:rFonts w:ascii="Bookman Old Style" w:hAnsi="Bookman Old Style"/>
          <w:b w:val="0"/>
          <w:color w:val="000000" w:themeColor="text1"/>
          <w:lang w:val="es-CO"/>
        </w:rPr>
        <w:t xml:space="preserve"> en la subasta y el respectivo precio de reserva. Este procedimiento se efectuará a través del medio y formato que defina el administrador de la subasta.</w:t>
      </w:r>
    </w:p>
    <w:p w:rsidR="002D299F" w:rsidRDefault="002D299F" w:rsidP="00901EFF">
      <w:pPr>
        <w:pStyle w:val="Textoindependiente"/>
        <w:ind w:left="0"/>
        <w:contextualSpacing/>
        <w:jc w:val="both"/>
        <w:rPr>
          <w:rFonts w:ascii="Bookman Old Style" w:hAnsi="Bookman Old Style"/>
          <w:b w:val="0"/>
          <w:color w:val="000000" w:themeColor="text1"/>
          <w:lang w:val="es-CO"/>
        </w:rPr>
      </w:pPr>
    </w:p>
    <w:p w:rsidR="00901EFF" w:rsidRPr="00DC07FC" w:rsidRDefault="00901EFF" w:rsidP="00901EFF">
      <w:pPr>
        <w:pStyle w:val="Textoindependiente"/>
        <w:ind w:left="0"/>
        <w:contextualSpacing/>
        <w:jc w:val="both"/>
        <w:rPr>
          <w:rFonts w:ascii="Bookman Old Style" w:hAnsi="Bookman Old Style"/>
          <w:b w:val="0"/>
          <w:color w:val="000000" w:themeColor="text1"/>
        </w:rPr>
      </w:pPr>
      <w:r w:rsidRPr="00E87653">
        <w:rPr>
          <w:rFonts w:ascii="Bookman Old Style" w:hAnsi="Bookman Old Style"/>
          <w:b w:val="0"/>
          <w:color w:val="000000" w:themeColor="text1"/>
          <w:lang w:val="es-CO"/>
        </w:rPr>
        <w:t xml:space="preserve">El administrador de la subasta deberá verificar que los mecanismos de cubrimiento entregados por cada vendedor se ajusten a lo dispuesto en el </w:t>
      </w:r>
      <w:r w:rsidRPr="00E87653">
        <w:rPr>
          <w:rFonts w:ascii="Bookman Old Style" w:hAnsi="Bookman Old Style"/>
          <w:b w:val="0"/>
          <w:color w:val="000000" w:themeColor="text1"/>
        </w:rPr>
        <w:t>numeral</w:t>
      </w:r>
      <w:r w:rsidRPr="00E87653">
        <w:rPr>
          <w:rFonts w:ascii="Bookman Old Style" w:hAnsi="Bookman Old Style"/>
          <w:b w:val="0"/>
          <w:color w:val="000000" w:themeColor="text1"/>
          <w:lang w:val="es-CO"/>
        </w:rPr>
        <w:t xml:space="preserve"> 5.13 de este anexo y que el vendedor no se encuentre en las listas o reportes asociados con actividades ilícitas de que trata el </w:t>
      </w:r>
      <w:r w:rsidRPr="00E87653">
        <w:rPr>
          <w:rFonts w:ascii="Bookman Old Style" w:hAnsi="Bookman Old Style"/>
          <w:b w:val="0"/>
          <w:color w:val="000000" w:themeColor="text1"/>
        </w:rPr>
        <w:t>numeral</w:t>
      </w:r>
      <w:r w:rsidRPr="00E87653">
        <w:rPr>
          <w:rFonts w:ascii="Bookman Old Style" w:hAnsi="Bookman Old Style"/>
          <w:b w:val="0"/>
          <w:color w:val="000000" w:themeColor="text1"/>
          <w:lang w:val="es-CO"/>
        </w:rPr>
        <w:t xml:space="preserve"> 5.1</w:t>
      </w:r>
      <w:r w:rsidR="003F2BC0" w:rsidRPr="00E87653">
        <w:rPr>
          <w:rFonts w:ascii="Bookman Old Style" w:hAnsi="Bookman Old Style"/>
          <w:b w:val="0"/>
          <w:color w:val="000000" w:themeColor="text1"/>
          <w:lang w:val="es-CO"/>
        </w:rPr>
        <w:t>6</w:t>
      </w:r>
      <w:r w:rsidRPr="00E87653">
        <w:rPr>
          <w:rFonts w:ascii="Bookman Old Style" w:hAnsi="Bookman Old Style"/>
          <w:b w:val="0"/>
          <w:color w:val="000000" w:themeColor="text1"/>
          <w:lang w:val="es-CO"/>
        </w:rPr>
        <w:t xml:space="preserve"> de este anexo. Si se cumplen estos requisitos, el administrador de la subasta entenderá que es un vendedor habilitado para participar en la subasta y lo incluirá en el documento de que trata el literal j) del numeral 4.1 de este anexo</w:t>
      </w:r>
      <w:r w:rsidRPr="00E87653">
        <w:rPr>
          <w:rFonts w:ascii="Bookman Old Style" w:hAnsi="Bookman Old Style"/>
          <w:b w:val="0"/>
          <w:color w:val="000000" w:themeColor="text1"/>
        </w:rPr>
        <w:t>.</w:t>
      </w: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En el evento en que una oferta no se ajuste a lo aquí dispuesto, el administrador de la subasta lo pondrá en conocimiento del vendedor respectivo, el cual dispondrá de 24 horas, contadas a partir del momento en que el administrador de la subasta lo haya informado, para la corrección correspondiente. Si cumplido este plazo el administrador de la subasta no recibe la oferta debidamente ajustada, éste entenderá que el vendedor no participará en la subasta.</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Declaración de interés de los compradores</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 xml:space="preserve">A más tardar diez (10) días hábiles antes </w:t>
      </w:r>
      <w:r w:rsidRPr="00025615">
        <w:rPr>
          <w:rFonts w:ascii="Bookman Old Style" w:hAnsi="Bookman Old Style"/>
          <w:b w:val="0"/>
          <w:color w:val="000000" w:themeColor="text1"/>
          <w:lang w:val="es-CO"/>
        </w:rPr>
        <w:t xml:space="preserve">de la subasta, cada uno de los compradores, a los que se hace referencia en el artículo </w:t>
      </w:r>
      <w:r w:rsidR="00025615" w:rsidRPr="00025615">
        <w:rPr>
          <w:rFonts w:ascii="Bookman Old Style" w:hAnsi="Bookman Old Style"/>
          <w:b w:val="0"/>
          <w:color w:val="000000" w:themeColor="text1"/>
          <w:lang w:val="es-CO"/>
        </w:rPr>
        <w:t>20</w:t>
      </w:r>
      <w:r w:rsidRPr="00025615">
        <w:rPr>
          <w:rFonts w:ascii="Bookman Old Style" w:hAnsi="Bookman Old Style"/>
          <w:b w:val="0"/>
          <w:color w:val="000000" w:themeColor="text1"/>
          <w:lang w:val="es-CO"/>
        </w:rPr>
        <w:t xml:space="preserve"> de esta resolución, deberá declarar, al administrador de la subast</w:t>
      </w:r>
      <w:r w:rsidRPr="00DC07FC">
        <w:rPr>
          <w:rFonts w:ascii="Bookman Old Style" w:hAnsi="Bookman Old Style"/>
          <w:b w:val="0"/>
          <w:color w:val="000000" w:themeColor="text1"/>
          <w:lang w:val="es-CO"/>
        </w:rPr>
        <w:t>a, la máxima cantidad de GLP que está dispuesto a comprar</w:t>
      </w:r>
      <w:r w:rsidR="00003B2C">
        <w:rPr>
          <w:rFonts w:ascii="Bookman Old Style" w:hAnsi="Bookman Old Style"/>
          <w:b w:val="0"/>
          <w:color w:val="000000" w:themeColor="text1"/>
          <w:lang w:val="es-CO"/>
        </w:rPr>
        <w:t>. Dicha cantidad no podrá ser superior a la capacidad disponible de compra de ese comprador para el periodo considerado en las declaraciones de PTDV que se encuentren vigentes</w:t>
      </w:r>
      <w:r w:rsidRPr="00DC07FC">
        <w:rPr>
          <w:rFonts w:ascii="Bookman Old Style" w:hAnsi="Bookman Old Style"/>
          <w:b w:val="0"/>
          <w:color w:val="000000" w:themeColor="text1"/>
          <w:lang w:val="es-CO"/>
        </w:rPr>
        <w:t>. Para estos efectos deberá presentar al administrador de la subasta la información señalada en la tabla 2.</w:t>
      </w:r>
    </w:p>
    <w:p w:rsidR="00901EFF" w:rsidRPr="00DC07FC" w:rsidRDefault="00901EFF" w:rsidP="00901EFF">
      <w:pPr>
        <w:ind w:left="0"/>
        <w:contextualSpacing/>
        <w:jc w:val="both"/>
        <w:rPr>
          <w:rFonts w:ascii="Bookman Old Style" w:hAnsi="Bookman Old Style"/>
          <w:color w:val="000000" w:themeColor="text1"/>
        </w:rPr>
      </w:pPr>
    </w:p>
    <w:p w:rsidR="00901EFF" w:rsidRPr="00DC07FC" w:rsidRDefault="00901EFF" w:rsidP="00901EFF">
      <w:pPr>
        <w:pStyle w:val="Descripcin"/>
        <w:keepNext/>
        <w:spacing w:before="0" w:after="0" w:line="240" w:lineRule="auto"/>
        <w:contextualSpacing/>
        <w:rPr>
          <w:rFonts w:ascii="Bookman Old Style" w:hAnsi="Bookman Old Style"/>
          <w:b/>
          <w:color w:val="000000" w:themeColor="text1"/>
          <w:sz w:val="24"/>
          <w:szCs w:val="24"/>
          <w:lang w:val="es-CO"/>
        </w:rPr>
      </w:pPr>
      <w:bookmarkStart w:id="56" w:name="_Ref337225311"/>
      <w:r w:rsidRPr="00DC07FC">
        <w:rPr>
          <w:rFonts w:ascii="Bookman Old Style" w:hAnsi="Bookman Old Style"/>
          <w:b/>
          <w:color w:val="000000" w:themeColor="text1"/>
          <w:sz w:val="24"/>
          <w:szCs w:val="24"/>
          <w:lang w:val="es-CO"/>
        </w:rPr>
        <w:t xml:space="preserve">Tabla </w:t>
      </w:r>
      <w:r w:rsidRPr="00DC07FC">
        <w:rPr>
          <w:rFonts w:ascii="Bookman Old Style" w:hAnsi="Bookman Old Style"/>
          <w:b/>
          <w:color w:val="000000" w:themeColor="text1"/>
          <w:sz w:val="24"/>
          <w:szCs w:val="24"/>
          <w:lang w:val="es-CO"/>
        </w:rPr>
        <w:fldChar w:fldCharType="begin"/>
      </w:r>
      <w:r w:rsidRPr="00DC07FC">
        <w:rPr>
          <w:rFonts w:ascii="Bookman Old Style" w:hAnsi="Bookman Old Style"/>
          <w:b/>
          <w:color w:val="000000" w:themeColor="text1"/>
          <w:sz w:val="24"/>
          <w:szCs w:val="24"/>
          <w:lang w:val="es-CO"/>
        </w:rPr>
        <w:instrText xml:space="preserve"> SEQ Tabla \* ARABIC </w:instrText>
      </w:r>
      <w:r w:rsidRPr="00DC07FC">
        <w:rPr>
          <w:rFonts w:ascii="Bookman Old Style" w:hAnsi="Bookman Old Style"/>
          <w:b/>
          <w:color w:val="000000" w:themeColor="text1"/>
          <w:sz w:val="24"/>
          <w:szCs w:val="24"/>
          <w:lang w:val="es-CO"/>
        </w:rPr>
        <w:fldChar w:fldCharType="separate"/>
      </w:r>
      <w:r w:rsidR="00A24E5E">
        <w:rPr>
          <w:rFonts w:ascii="Bookman Old Style" w:hAnsi="Bookman Old Style"/>
          <w:b/>
          <w:noProof/>
          <w:color w:val="000000" w:themeColor="text1"/>
          <w:sz w:val="24"/>
          <w:szCs w:val="24"/>
          <w:lang w:val="es-CO"/>
        </w:rPr>
        <w:t>2</w:t>
      </w:r>
      <w:r w:rsidRPr="00DC07FC">
        <w:rPr>
          <w:rFonts w:ascii="Bookman Old Style" w:hAnsi="Bookman Old Style"/>
          <w:b/>
          <w:color w:val="000000" w:themeColor="text1"/>
          <w:sz w:val="24"/>
          <w:szCs w:val="24"/>
          <w:lang w:val="es-CO"/>
        </w:rPr>
        <w:fldChar w:fldCharType="end"/>
      </w:r>
      <w:bookmarkEnd w:id="56"/>
      <w:r w:rsidRPr="00DC07FC">
        <w:rPr>
          <w:rFonts w:ascii="Bookman Old Style" w:hAnsi="Bookman Old Style"/>
          <w:b/>
          <w:color w:val="000000" w:themeColor="text1"/>
          <w:sz w:val="24"/>
          <w:szCs w:val="24"/>
          <w:lang w:val="es-CO"/>
        </w:rPr>
        <w:t>. Declaración de la demanda máxima</w:t>
      </w:r>
    </w:p>
    <w:p w:rsidR="00901EFF" w:rsidRPr="00DC07FC" w:rsidRDefault="00901EFF" w:rsidP="00901EFF">
      <w:pPr>
        <w:ind w:left="0"/>
        <w:contextualSpacing/>
        <w:jc w:val="both"/>
        <w:rPr>
          <w:rFonts w:ascii="Bookman Old Style" w:hAnsi="Bookman Old Style"/>
          <w:color w:val="000000" w:themeColor="text1"/>
        </w:rPr>
      </w:pPr>
    </w:p>
    <w:tbl>
      <w:tblPr>
        <w:tblStyle w:val="Tablaconcuadrcula"/>
        <w:tblW w:w="0" w:type="auto"/>
        <w:jc w:val="center"/>
        <w:tblLook w:val="04A0" w:firstRow="1" w:lastRow="0" w:firstColumn="1" w:lastColumn="0" w:noHBand="0" w:noVBand="1"/>
      </w:tblPr>
      <w:tblGrid>
        <w:gridCol w:w="2552"/>
      </w:tblGrid>
      <w:tr w:rsidR="00901EFF" w:rsidRPr="00DC07FC" w:rsidTr="00744CA5">
        <w:trPr>
          <w:trHeight w:val="415"/>
          <w:jc w:val="center"/>
        </w:trPr>
        <w:tc>
          <w:tcPr>
            <w:tcW w:w="2552" w:type="dxa"/>
            <w:vAlign w:val="center"/>
          </w:tcPr>
          <w:p w:rsidR="00901EFF" w:rsidRPr="00DC07FC" w:rsidRDefault="00901EFF" w:rsidP="00744CA5">
            <w:pPr>
              <w:pStyle w:val="Textoindependiente"/>
              <w:ind w:left="0"/>
              <w:contextualSpacing/>
              <w:rPr>
                <w:rFonts w:ascii="Bookman Old Style" w:hAnsi="Bookman Old Style"/>
                <w:color w:val="000000" w:themeColor="text1"/>
                <w:lang w:val="es-CO"/>
              </w:rPr>
            </w:pPr>
            <w:r w:rsidRPr="00DC07FC">
              <w:rPr>
                <w:rFonts w:ascii="Bookman Old Style" w:hAnsi="Bookman Old Style"/>
                <w:color w:val="000000" w:themeColor="text1"/>
                <w:lang w:val="es-CO"/>
              </w:rPr>
              <w:t>Demanda máxima</w:t>
            </w:r>
          </w:p>
        </w:tc>
      </w:tr>
      <w:tr w:rsidR="00901EFF" w:rsidRPr="00DC07FC" w:rsidTr="00744CA5">
        <w:trPr>
          <w:trHeight w:val="491"/>
          <w:jc w:val="center"/>
        </w:trPr>
        <w:tc>
          <w:tcPr>
            <w:tcW w:w="2552" w:type="dxa"/>
            <w:vAlign w:val="center"/>
          </w:tcPr>
          <w:p w:rsidR="00901EFF" w:rsidRPr="00DC07FC" w:rsidRDefault="001907E3" w:rsidP="00744CA5">
            <w:pPr>
              <w:pStyle w:val="Textoindependiente"/>
              <w:ind w:left="0"/>
              <w:contextualSpacing/>
              <w:rPr>
                <w:rFonts w:ascii="Bookman Old Style" w:hAnsi="Bookman Old Style"/>
                <w:b w:val="0"/>
                <w:color w:val="000000" w:themeColor="text1"/>
                <w:lang w:val="es-CO"/>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D</m:t>
                    </m:r>
                  </m:e>
                  <m:sub>
                    <m:r>
                      <m:rPr>
                        <m:sty m:val="bi"/>
                      </m:rPr>
                      <w:rPr>
                        <w:rFonts w:ascii="Cambria Math" w:hAnsi="Cambria Math"/>
                        <w:color w:val="000000" w:themeColor="text1"/>
                      </w:rPr>
                      <m:t>ma,c</m:t>
                    </m:r>
                  </m:sub>
                </m:sSub>
              </m:oMath>
            </m:oMathPara>
          </w:p>
        </w:tc>
      </w:tr>
    </w:tbl>
    <w:p w:rsidR="00901EFF" w:rsidRPr="005B21C4" w:rsidRDefault="00901EFF" w:rsidP="00901EFF">
      <w:pPr>
        <w:pStyle w:val="Textoindependiente"/>
        <w:ind w:left="0"/>
        <w:contextualSpacing/>
        <w:jc w:val="both"/>
        <w:rPr>
          <w:rFonts w:ascii="Bookman Old Style" w:hAnsi="Bookman Old Style"/>
          <w:b w:val="0"/>
          <w:color w:val="000000" w:themeColor="text1"/>
          <w:sz w:val="14"/>
          <w:lang w:val="es-CO"/>
        </w:rPr>
      </w:pPr>
    </w:p>
    <w:p w:rsidR="00901EFF" w:rsidRPr="00DC07FC" w:rsidRDefault="00901EFF" w:rsidP="00901EFF">
      <w:pPr>
        <w:pStyle w:val="ARTICULOS"/>
      </w:pPr>
      <w:r w:rsidRPr="00DC07FC">
        <w:t>Donde:</w:t>
      </w:r>
    </w:p>
    <w:p w:rsidR="00901EFF" w:rsidRPr="00DC07FC" w:rsidRDefault="00901EFF" w:rsidP="00901EFF">
      <w:pPr>
        <w:pStyle w:val="ARTICULOS"/>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293"/>
        <w:gridCol w:w="8181"/>
      </w:tblGrid>
      <w:tr w:rsidR="00901EFF" w:rsidRPr="00DC07FC" w:rsidTr="00744CA5">
        <w:tc>
          <w:tcPr>
            <w:tcW w:w="709" w:type="dxa"/>
          </w:tcPr>
          <w:p w:rsidR="00901EFF" w:rsidRPr="00DC07FC" w:rsidRDefault="001907E3" w:rsidP="00744CA5">
            <w:pPr>
              <w:ind w:left="0"/>
              <w:contextualSpacing/>
              <w:jc w:val="both"/>
              <w:outlineLvl w:val="0"/>
              <w:rPr>
                <w:rFonts w:ascii="Bookman Old Style" w:hAnsi="Bookman Old Style" w:cs="Arial"/>
                <w:color w:val="000000" w:themeColor="text1"/>
              </w:rPr>
            </w:pPr>
            <m:oMathPara>
              <m:oMathParaPr>
                <m:jc m:val="left"/>
              </m:oMathParaPr>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ma,c</m:t>
                    </m:r>
                  </m:sub>
                </m:sSub>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8462"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 xml:space="preserve">Máxima cantidad de GLP que será demandada en la subasta por parte del comprador </w:t>
            </w:r>
            <m:oMath>
              <m:r>
                <w:rPr>
                  <w:rFonts w:ascii="Cambria Math" w:hAnsi="Cambria Math" w:cs="Arial"/>
                  <w:color w:val="000000" w:themeColor="text1"/>
                </w:rPr>
                <m:t>c</m:t>
              </m:r>
            </m:oMath>
            <w:r w:rsidRPr="00DC07FC">
              <w:rPr>
                <w:rFonts w:ascii="Bookman Old Style" w:hAnsi="Bookman Old Style" w:cs="Arial"/>
                <w:color w:val="000000" w:themeColor="text1"/>
              </w:rPr>
              <w:t xml:space="preserve">, en productos que inician entrega en el mes y año </w:t>
            </w:r>
            <m:oMath>
              <m:r>
                <w:rPr>
                  <w:rFonts w:ascii="Cambria Math" w:hAnsi="Cambria Math"/>
                  <w:color w:val="000000" w:themeColor="text1"/>
                </w:rPr>
                <m:t>ma</m:t>
              </m:r>
            </m:oMath>
            <w:r w:rsidRPr="00DC07FC">
              <w:rPr>
                <w:rFonts w:ascii="Bookman Old Style" w:hAnsi="Bookman Old Style" w:cs="Arial"/>
                <w:i/>
                <w:color w:val="000000" w:themeColor="text1"/>
              </w:rPr>
              <w:t>.</w:t>
            </w:r>
            <w:r w:rsidRPr="00DC07FC">
              <w:rPr>
                <w:rFonts w:ascii="Bookman Old Style" w:hAnsi="Bookman Old Style" w:cs="Arial"/>
                <w:color w:val="000000" w:themeColor="text1"/>
              </w:rPr>
              <w:t xml:space="preserve"> Este valor se expresará en KGD, deberá corresponder </w:t>
            </w:r>
            <w:r w:rsidRPr="00DC07FC">
              <w:rPr>
                <w:rFonts w:ascii="Bookman Old Style" w:hAnsi="Bookman Old Style"/>
                <w:color w:val="000000" w:themeColor="text1"/>
              </w:rPr>
              <w:t>a un múltiplo entero de diez (10) KGD y deberá ser mayor o igual a cinco mil (5,000) KGD, cuando el comprador sea un comercializador mayorista o un distribuidor, y mayor o igual a mil (1,000) KGD, cuando el comprador sea un UNR</w:t>
            </w:r>
            <w:r w:rsidRPr="00DC07FC">
              <w:rPr>
                <w:rFonts w:ascii="Bookman Old Style" w:hAnsi="Bookman Old Style" w:cs="Arial"/>
                <w:color w:val="000000" w:themeColor="text1"/>
              </w:rPr>
              <w:t>.</w:t>
            </w:r>
          </w:p>
          <w:p w:rsidR="00901EFF" w:rsidRPr="00DC07FC" w:rsidRDefault="00901EFF" w:rsidP="00744CA5">
            <w:pPr>
              <w:ind w:left="0"/>
              <w:contextualSpacing/>
              <w:jc w:val="both"/>
              <w:outlineLvl w:val="0"/>
              <w:rPr>
                <w:rFonts w:ascii="Bookman Old Style" w:hAnsi="Bookman Old Style" w:cs="Arial"/>
                <w:i/>
                <w:color w:val="000000" w:themeColor="text1"/>
              </w:rPr>
            </w:pPr>
          </w:p>
        </w:tc>
      </w:tr>
      <w:tr w:rsidR="00901EFF" w:rsidRPr="00DC07FC" w:rsidTr="00744CA5">
        <w:tc>
          <w:tcPr>
            <w:tcW w:w="709" w:type="dxa"/>
          </w:tcPr>
          <w:p w:rsidR="00901EFF" w:rsidRPr="00DC07FC" w:rsidRDefault="00901EFF" w:rsidP="00744CA5">
            <w:pPr>
              <w:pStyle w:val="Textoindependiente"/>
              <w:ind w:left="0"/>
              <w:contextualSpacing/>
              <w:jc w:val="both"/>
              <w:rPr>
                <w:rFonts w:ascii="Bookman Old Style" w:hAnsi="Bookman Old Style"/>
                <w:b w:val="0"/>
                <w:color w:val="000000" w:themeColor="text1"/>
              </w:rPr>
            </w:pPr>
            <m:oMathPara>
              <m:oMathParaPr>
                <m:jc m:val="left"/>
              </m:oMathParaPr>
              <m:oMath>
                <m:r>
                  <m:rPr>
                    <m:sty m:val="bi"/>
                  </m:rPr>
                  <w:rPr>
                    <w:rFonts w:ascii="Cambria Math" w:hAnsi="Cambria Math"/>
                    <w:color w:val="000000" w:themeColor="text1"/>
                  </w:rPr>
                  <m:t>c</m:t>
                </m:r>
              </m:oMath>
            </m:oMathPara>
          </w:p>
        </w:tc>
        <w:tc>
          <w:tcPr>
            <w:tcW w:w="293" w:type="dxa"/>
          </w:tcPr>
          <w:p w:rsidR="00901EFF" w:rsidRPr="00DC07FC" w:rsidRDefault="00901EFF" w:rsidP="00744CA5">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w:t>
            </w:r>
          </w:p>
        </w:tc>
        <w:tc>
          <w:tcPr>
            <w:tcW w:w="8462" w:type="dxa"/>
          </w:tcPr>
          <w:p w:rsidR="00901EFF" w:rsidRPr="00DC07FC" w:rsidRDefault="00901EFF" w:rsidP="00744CA5">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Comprador al que se hace refere</w:t>
            </w:r>
            <w:r w:rsidRPr="00025615">
              <w:rPr>
                <w:rFonts w:ascii="Bookman Old Style" w:hAnsi="Bookman Old Style"/>
                <w:b w:val="0"/>
                <w:color w:val="000000" w:themeColor="text1"/>
                <w:lang w:val="es-CO"/>
              </w:rPr>
              <w:t xml:space="preserve">ncia en el artículo </w:t>
            </w:r>
            <w:r w:rsidR="00260B02" w:rsidRPr="00025615">
              <w:rPr>
                <w:rFonts w:ascii="Bookman Old Style" w:hAnsi="Bookman Old Style"/>
                <w:b w:val="0"/>
                <w:color w:val="000000" w:themeColor="text1"/>
                <w:lang w:val="es-CO"/>
              </w:rPr>
              <w:t>20</w:t>
            </w:r>
            <w:r w:rsidRPr="00025615">
              <w:rPr>
                <w:rFonts w:ascii="Bookman Old Style" w:hAnsi="Bookman Old Style"/>
                <w:b w:val="0"/>
                <w:color w:val="000000" w:themeColor="text1"/>
                <w:lang w:val="es-CO"/>
              </w:rPr>
              <w:t xml:space="preserve"> de esta resolución y que hace la declaració</w:t>
            </w:r>
            <w:r w:rsidRPr="00DC07FC">
              <w:rPr>
                <w:rFonts w:ascii="Bookman Old Style" w:hAnsi="Bookman Old Style"/>
                <w:b w:val="0"/>
                <w:color w:val="000000" w:themeColor="text1"/>
                <w:lang w:val="es-CO"/>
              </w:rPr>
              <w:t>n respectiva.</w:t>
            </w:r>
          </w:p>
          <w:p w:rsidR="00901EFF" w:rsidRPr="00DC07FC" w:rsidRDefault="00901EFF" w:rsidP="00744CA5">
            <w:pPr>
              <w:pStyle w:val="Textoindependiente"/>
              <w:ind w:left="0"/>
              <w:contextualSpacing/>
              <w:jc w:val="both"/>
              <w:rPr>
                <w:rFonts w:ascii="Bookman Old Style" w:hAnsi="Bookman Old Style"/>
                <w:b w:val="0"/>
                <w:color w:val="000000" w:themeColor="text1"/>
                <w:lang w:val="es-CO"/>
              </w:rPr>
            </w:pPr>
          </w:p>
        </w:tc>
      </w:tr>
    </w:tbl>
    <w:p w:rsidR="00901EFF" w:rsidRPr="00DC07FC" w:rsidRDefault="00901EFF" w:rsidP="00901EFF">
      <w:pPr>
        <w:ind w:left="0"/>
        <w:contextualSpacing/>
        <w:jc w:val="both"/>
        <w:rPr>
          <w:rFonts w:ascii="Bookman Old Style" w:hAnsi="Bookman Old Style"/>
          <w:color w:val="000000" w:themeColor="text1"/>
        </w:rPr>
      </w:pPr>
      <w:r w:rsidRPr="00DC07FC">
        <w:rPr>
          <w:rFonts w:ascii="Bookman Old Style" w:hAnsi="Bookman Old Style"/>
          <w:color w:val="000000" w:themeColor="text1"/>
        </w:rPr>
        <w:lastRenderedPageBreak/>
        <w:t xml:space="preserve">Esta declaración deberá estar acompañada de los mecanismos de cubrimiento y de los formatos diligenciados de </w:t>
      </w:r>
      <w:r w:rsidR="00025615">
        <w:rPr>
          <w:rFonts w:ascii="Bookman Old Style" w:hAnsi="Bookman Old Style"/>
          <w:color w:val="000000" w:themeColor="text1"/>
        </w:rPr>
        <w:t xml:space="preserve">los </w:t>
      </w:r>
      <w:r w:rsidRPr="00025615">
        <w:rPr>
          <w:rFonts w:ascii="Bookman Old Style" w:hAnsi="Bookman Old Style"/>
          <w:color w:val="000000" w:themeColor="text1"/>
        </w:rPr>
        <w:t>que tratan los numerales</w:t>
      </w:r>
      <w:r w:rsidR="00260B02" w:rsidRPr="00025615">
        <w:rPr>
          <w:rFonts w:ascii="Bookman Old Style" w:hAnsi="Bookman Old Style"/>
          <w:color w:val="000000" w:themeColor="text1"/>
        </w:rPr>
        <w:t xml:space="preserve"> 5.13, 5.14, 5.15 y 5.16 de este anexo.</w:t>
      </w:r>
    </w:p>
    <w:p w:rsidR="0050291A" w:rsidRDefault="0050291A" w:rsidP="00901EFF">
      <w:pPr>
        <w:pStyle w:val="Textoindependiente"/>
        <w:ind w:left="0"/>
        <w:contextualSpacing/>
        <w:jc w:val="both"/>
        <w:rPr>
          <w:rFonts w:ascii="Bookman Old Style" w:hAnsi="Bookman Old Style"/>
          <w:b w:val="0"/>
          <w:color w:val="000000" w:themeColor="text1"/>
          <w:lang w:val="es-CO"/>
        </w:rPr>
      </w:pPr>
    </w:p>
    <w:p w:rsidR="00A67D96" w:rsidRPr="00A67D96" w:rsidRDefault="00A67D96" w:rsidP="00901EFF">
      <w:pPr>
        <w:pStyle w:val="Textoindependiente"/>
        <w:ind w:left="0"/>
        <w:contextualSpacing/>
        <w:jc w:val="both"/>
        <w:rPr>
          <w:rFonts w:ascii="Bookman Old Style" w:hAnsi="Bookman Old Style"/>
          <w:b w:val="0"/>
          <w:color w:val="000000" w:themeColor="text1"/>
        </w:rPr>
      </w:pPr>
      <w:r w:rsidRPr="00CF19F3">
        <w:rPr>
          <w:rFonts w:ascii="Bookman Old Style" w:hAnsi="Bookman Old Style"/>
          <w:b w:val="0"/>
          <w:color w:val="000000" w:themeColor="text1"/>
        </w:rPr>
        <w:t>El administrador de la subasta deberá verificar que los mecanismos de cubrimiento entregados por cada comprador se ajusten a lo dispuesto en el numeral 5.13 de este anexo, que el comprador no se encuentre en las listas o reportes asociados con actividades ilícitas de que trata el numeral 5.16 de este anexo, y que los sistemas computacionales y de comunicación requeridos por cada comprador funcionan adecuadamente según lo dispuesto en el literal i) del numeral 4.1 de este anexo. Si se cumplen estos requisitos, el administrador de la subasta entenderá que es un comprador habilitado para participar en la subasta y lo incluirá en el documento de que trata el literal j) del numeral 4.1 de este anexo.</w:t>
      </w:r>
    </w:p>
    <w:p w:rsidR="00A67D96" w:rsidRPr="00DC07FC" w:rsidRDefault="00A67D96" w:rsidP="00901EFF">
      <w:pPr>
        <w:pStyle w:val="Textoindependiente"/>
        <w:ind w:left="0"/>
        <w:contextualSpacing/>
        <w:jc w:val="both"/>
        <w:rPr>
          <w:rFonts w:ascii="Bookman Old Style" w:hAnsi="Bookman Old Style"/>
          <w:b w:val="0"/>
          <w:color w:val="000000" w:themeColor="text1"/>
        </w:rPr>
      </w:pP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En el evento en que una declaración de demanda máxima no se ajuste a lo aquí dispuesto, el administrador de la subasta lo pondrá en conocimiento del comprador respectivo, el cual dispondrá de 24 horas, contadas a partir del momento en que el administrador de la subasta lo haya informado, para la corrección correspondiente. Si, cumplido este plazo, el administrador de la subasta no recibe la declaración debidamente ajustada, éste entenderá que el comprador no participará en la subasta.</w:t>
      </w:r>
    </w:p>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p>
    <w:p w:rsidR="00901EFF" w:rsidRPr="00DC07FC" w:rsidRDefault="00901EFF" w:rsidP="00901EFF">
      <w:pPr>
        <w:ind w:left="0"/>
        <w:contextualSpacing/>
        <w:jc w:val="both"/>
        <w:rPr>
          <w:rFonts w:ascii="Bookman Old Style" w:hAnsi="Bookman Old Style"/>
          <w:color w:val="000000" w:themeColor="text1"/>
        </w:rPr>
      </w:pPr>
      <w:r w:rsidRPr="00DC07FC">
        <w:rPr>
          <w:rFonts w:ascii="Bookman Old Style" w:hAnsi="Bookman Old Style"/>
          <w:color w:val="000000" w:themeColor="text1"/>
        </w:rPr>
        <w:t xml:space="preserve">La información señalada en este </w:t>
      </w:r>
      <w:r w:rsidRPr="00DC07FC">
        <w:rPr>
          <w:rFonts w:ascii="Bookman Old Style" w:hAnsi="Bookman Old Style" w:cs="Arial"/>
          <w:color w:val="000000" w:themeColor="text1"/>
        </w:rPr>
        <w:t>numeral</w:t>
      </w:r>
      <w:r w:rsidRPr="00DC07FC">
        <w:rPr>
          <w:rFonts w:ascii="Bookman Old Style" w:hAnsi="Bookman Old Style"/>
          <w:color w:val="000000" w:themeColor="text1"/>
        </w:rPr>
        <w:t xml:space="preserve"> deberá ser presentada a través del medio y de los formatos que defina el administrador de la subasta.</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Inicio y desarrollo de la subasta</w:t>
      </w:r>
    </w:p>
    <w:p w:rsidR="00901EFF" w:rsidRPr="00DC07FC" w:rsidRDefault="00901EFF" w:rsidP="00901EFF">
      <w:pPr>
        <w:ind w:left="0"/>
        <w:contextualSpacing/>
        <w:jc w:val="both"/>
        <w:rPr>
          <w:rFonts w:ascii="Bookman Old Style" w:hAnsi="Bookman Old Style"/>
          <w:color w:val="000000" w:themeColor="text1"/>
        </w:rPr>
      </w:pPr>
    </w:p>
    <w:p w:rsidR="00901EFF" w:rsidRPr="003E6741" w:rsidRDefault="00901EFF" w:rsidP="00B32B9C">
      <w:pPr>
        <w:numPr>
          <w:ilvl w:val="0"/>
          <w:numId w:val="27"/>
        </w:numPr>
        <w:autoSpaceDE w:val="0"/>
        <w:autoSpaceDN w:val="0"/>
        <w:adjustRightInd w:val="0"/>
        <w:ind w:left="567" w:hanging="567"/>
        <w:contextualSpacing/>
        <w:jc w:val="both"/>
        <w:rPr>
          <w:rFonts w:ascii="Bookman Old Style" w:hAnsi="Bookman Old Style" w:cs="Arial"/>
          <w:color w:val="000000" w:themeColor="text1"/>
        </w:rPr>
      </w:pPr>
      <w:bookmarkStart w:id="57" w:name="_Ref336266482"/>
      <w:r w:rsidRPr="00DC07FC">
        <w:rPr>
          <w:rFonts w:ascii="Bookman Old Style" w:hAnsi="Bookman Old Style" w:cs="Arial"/>
          <w:color w:val="000000" w:themeColor="text1"/>
        </w:rPr>
        <w:t>La subasta iniciará en la ronda cero (0), en la cual el subastador hará pública la curva de oferta, cantidad de GLP ofrecida para cada nivel de precio de reserva informado por los vendedores, de cada uno de los productos ofrecidos. E</w:t>
      </w:r>
      <w:r w:rsidRPr="00DC07FC">
        <w:rPr>
          <w:rFonts w:ascii="Bookman Old Style" w:hAnsi="Bookman Old Style"/>
          <w:color w:val="000000" w:themeColor="text1"/>
        </w:rPr>
        <w:t xml:space="preserve">l precio de inicio de la subasta de </w:t>
      </w:r>
      <w:r w:rsidRPr="00DC07FC">
        <w:rPr>
          <w:rFonts w:ascii="Bookman Old Style" w:hAnsi="Bookman Old Style" w:cs="Arial"/>
          <w:color w:val="000000" w:themeColor="text1"/>
        </w:rPr>
        <w:t>cada producto será el mínimo precio de reserva informado por los vendedores para dicho product</w:t>
      </w:r>
      <w:r w:rsidRPr="003E6741">
        <w:rPr>
          <w:rFonts w:ascii="Bookman Old Style" w:hAnsi="Bookman Old Style" w:cs="Arial"/>
          <w:color w:val="000000" w:themeColor="text1"/>
        </w:rPr>
        <w:t>o. La cantidad ofrecida al inicio de la subasta será la correspondiente al mínimo precio de reserva, según los términos de la tabla 3.</w:t>
      </w:r>
      <w:bookmarkEnd w:id="57"/>
    </w:p>
    <w:p w:rsidR="00901EFF" w:rsidRPr="00DC07FC" w:rsidRDefault="00901EFF" w:rsidP="00B32B9C">
      <w:pPr>
        <w:autoSpaceDE w:val="0"/>
        <w:autoSpaceDN w:val="0"/>
        <w:adjustRightInd w:val="0"/>
        <w:ind w:hanging="567"/>
        <w:contextualSpacing/>
        <w:jc w:val="both"/>
        <w:rPr>
          <w:rFonts w:ascii="Bookman Old Style" w:hAnsi="Bookman Old Style" w:cs="Arial"/>
          <w:color w:val="000000" w:themeColor="text1"/>
        </w:rPr>
      </w:pPr>
    </w:p>
    <w:p w:rsidR="00901EFF" w:rsidRDefault="00901EFF" w:rsidP="00901EFF">
      <w:pPr>
        <w:pStyle w:val="Descripcin"/>
        <w:keepNext/>
        <w:spacing w:before="0" w:after="0" w:line="240" w:lineRule="auto"/>
        <w:ind w:left="1134"/>
        <w:contextualSpacing/>
        <w:rPr>
          <w:rFonts w:ascii="Bookman Old Style" w:hAnsi="Bookman Old Style"/>
          <w:b/>
          <w:color w:val="000000" w:themeColor="text1"/>
          <w:sz w:val="24"/>
          <w:szCs w:val="24"/>
          <w:lang w:val="es-CO"/>
        </w:rPr>
      </w:pPr>
      <w:bookmarkStart w:id="58" w:name="_Ref336265748"/>
      <w:r w:rsidRPr="00DC07FC">
        <w:rPr>
          <w:rFonts w:ascii="Bookman Old Style" w:hAnsi="Bookman Old Style"/>
          <w:b/>
          <w:color w:val="000000" w:themeColor="text1"/>
          <w:sz w:val="24"/>
          <w:szCs w:val="24"/>
          <w:lang w:val="es-CO"/>
        </w:rPr>
        <w:t xml:space="preserve">Tabla </w:t>
      </w:r>
      <w:r w:rsidRPr="00DC07FC">
        <w:rPr>
          <w:rFonts w:ascii="Bookman Old Style" w:hAnsi="Bookman Old Style"/>
          <w:b/>
          <w:color w:val="000000" w:themeColor="text1"/>
          <w:sz w:val="24"/>
          <w:szCs w:val="24"/>
          <w:lang w:val="es-CO"/>
        </w:rPr>
        <w:fldChar w:fldCharType="begin"/>
      </w:r>
      <w:r w:rsidRPr="00DC07FC">
        <w:rPr>
          <w:rFonts w:ascii="Bookman Old Style" w:hAnsi="Bookman Old Style"/>
          <w:b/>
          <w:color w:val="000000" w:themeColor="text1"/>
          <w:sz w:val="24"/>
          <w:szCs w:val="24"/>
          <w:lang w:val="es-CO"/>
        </w:rPr>
        <w:instrText xml:space="preserve"> SEQ Tabla \* ARABIC </w:instrText>
      </w:r>
      <w:r w:rsidRPr="00DC07FC">
        <w:rPr>
          <w:rFonts w:ascii="Bookman Old Style" w:hAnsi="Bookman Old Style"/>
          <w:b/>
          <w:color w:val="000000" w:themeColor="text1"/>
          <w:sz w:val="24"/>
          <w:szCs w:val="24"/>
          <w:lang w:val="es-CO"/>
        </w:rPr>
        <w:fldChar w:fldCharType="separate"/>
      </w:r>
      <w:r w:rsidR="00A24E5E">
        <w:rPr>
          <w:rFonts w:ascii="Bookman Old Style" w:hAnsi="Bookman Old Style"/>
          <w:b/>
          <w:noProof/>
          <w:color w:val="000000" w:themeColor="text1"/>
          <w:sz w:val="24"/>
          <w:szCs w:val="24"/>
          <w:lang w:val="es-CO"/>
        </w:rPr>
        <w:t>3</w:t>
      </w:r>
      <w:r w:rsidRPr="00DC07FC">
        <w:rPr>
          <w:rFonts w:ascii="Bookman Old Style" w:hAnsi="Bookman Old Style"/>
          <w:b/>
          <w:color w:val="000000" w:themeColor="text1"/>
          <w:sz w:val="24"/>
          <w:szCs w:val="24"/>
          <w:lang w:val="es-CO"/>
        </w:rPr>
        <w:fldChar w:fldCharType="end"/>
      </w:r>
      <w:bookmarkEnd w:id="58"/>
      <w:r w:rsidRPr="00DC07FC">
        <w:rPr>
          <w:rFonts w:ascii="Bookman Old Style" w:hAnsi="Bookman Old Style"/>
          <w:b/>
          <w:color w:val="000000" w:themeColor="text1"/>
          <w:sz w:val="24"/>
          <w:szCs w:val="24"/>
          <w:lang w:val="es-CO"/>
        </w:rPr>
        <w:t xml:space="preserve">. Curva de oferta del producto </w:t>
      </w:r>
      <m:oMath>
        <m:sSub>
          <m:sSubPr>
            <m:ctrlPr>
              <w:rPr>
                <w:rFonts w:ascii="Cambria Math" w:hAnsi="Cambria Math"/>
                <w:b/>
                <w:i/>
                <w:color w:val="000000" w:themeColor="text1"/>
                <w:sz w:val="24"/>
                <w:szCs w:val="24"/>
                <w:lang w:val="es-CO"/>
              </w:rPr>
            </m:ctrlPr>
          </m:sSubPr>
          <m:e>
            <m:r>
              <m:rPr>
                <m:sty m:val="bi"/>
              </m:rPr>
              <w:rPr>
                <w:rFonts w:ascii="Cambria Math" w:hAnsi="Cambria Math"/>
                <w:color w:val="000000" w:themeColor="text1"/>
                <w:sz w:val="24"/>
                <w:szCs w:val="24"/>
                <w:lang w:val="es-CO"/>
              </w:rPr>
              <m:t>S</m:t>
            </m:r>
          </m:e>
          <m:sub>
            <m:r>
              <m:rPr>
                <m:sty m:val="bi"/>
              </m:rPr>
              <w:rPr>
                <w:rFonts w:ascii="Cambria Math" w:hAnsi="Cambria Math"/>
                <w:color w:val="000000" w:themeColor="text1"/>
                <w:sz w:val="24"/>
                <w:szCs w:val="24"/>
                <w:lang w:val="es-CO"/>
              </w:rPr>
              <m:t>pe,ma</m:t>
            </m:r>
          </m:sub>
        </m:sSub>
      </m:oMath>
    </w:p>
    <w:p w:rsidR="00AC3CCE" w:rsidRPr="00AC3CCE" w:rsidRDefault="00AC3CCE" w:rsidP="00AC3CCE">
      <w:pPr>
        <w:rPr>
          <w:lang w:val="es-CO"/>
        </w:rPr>
      </w:pPr>
    </w:p>
    <w:tbl>
      <w:tblPr>
        <w:tblStyle w:val="Tablaconcuadrcula"/>
        <w:tblW w:w="0" w:type="auto"/>
        <w:tblInd w:w="250" w:type="dxa"/>
        <w:tblLook w:val="04A0" w:firstRow="1" w:lastRow="0" w:firstColumn="1" w:lastColumn="0" w:noHBand="0" w:noVBand="1"/>
      </w:tblPr>
      <w:tblGrid>
        <w:gridCol w:w="2552"/>
        <w:gridCol w:w="2835"/>
        <w:gridCol w:w="3685"/>
      </w:tblGrid>
      <w:tr w:rsidR="00901EFF" w:rsidRPr="00DC07FC" w:rsidTr="00744CA5">
        <w:trPr>
          <w:trHeight w:val="1591"/>
        </w:trPr>
        <w:tc>
          <w:tcPr>
            <w:tcW w:w="2552" w:type="dxa"/>
            <w:vAlign w:val="center"/>
          </w:tcPr>
          <w:p w:rsidR="00901EFF" w:rsidRPr="00DC07FC" w:rsidRDefault="00901EFF" w:rsidP="00744CA5">
            <w:pPr>
              <w:pStyle w:val="Textoindependiente"/>
              <w:ind w:left="0"/>
              <w:contextualSpacing/>
              <w:rPr>
                <w:rFonts w:ascii="Bookman Old Style" w:hAnsi="Bookman Old Style"/>
                <w:color w:val="000000" w:themeColor="text1"/>
                <w:lang w:val="es-CO"/>
              </w:rPr>
            </w:pPr>
            <w:r w:rsidRPr="00DC07FC">
              <w:rPr>
                <w:rFonts w:ascii="Bookman Old Style" w:hAnsi="Bookman Old Style"/>
                <w:color w:val="000000" w:themeColor="text1"/>
                <w:lang w:val="es-CO"/>
              </w:rPr>
              <w:t>Oferta</w:t>
            </w:r>
          </w:p>
          <w:p w:rsidR="00901EFF" w:rsidRPr="00DC07FC" w:rsidRDefault="001907E3" w:rsidP="00744CA5">
            <w:pPr>
              <w:pStyle w:val="Textoindependiente"/>
              <w:ind w:left="0"/>
              <w:contextualSpacing/>
              <w:rPr>
                <w:rFonts w:ascii="Bookman Old Style" w:hAnsi="Bookman Old Style"/>
                <w:color w:val="000000" w:themeColor="text1"/>
                <w:lang w:val="es-CO"/>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O</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pe,ma,vi</m:t>
                        </m:r>
                      </m:sub>
                    </m:sSub>
                  </m:sub>
                </m:sSub>
                <m:r>
                  <m:rPr>
                    <m:sty m:val="bi"/>
                  </m:rPr>
                  <w:rPr>
                    <w:rFonts w:ascii="Cambria Math" w:hAnsi="Cambria Math"/>
                    <w:color w:val="000000" w:themeColor="text1"/>
                  </w:rPr>
                  <m:t xml:space="preserve"> </m:t>
                </m:r>
                <m:d>
                  <m:dPr>
                    <m:ctrlPr>
                      <w:rPr>
                        <w:rFonts w:ascii="Cambria Math" w:hAnsi="Cambria Math"/>
                        <w:b w:val="0"/>
                        <w:i/>
                        <w:color w:val="000000" w:themeColor="text1"/>
                      </w:rPr>
                    </m:ctrlPr>
                  </m:dPr>
                  <m:e>
                    <m:sSub>
                      <m:sSubPr>
                        <m:ctrlPr>
                          <w:rPr>
                            <w:rFonts w:ascii="Cambria Math" w:hAnsi="Cambria Math"/>
                            <w:b w:val="0"/>
                            <w:i/>
                            <w:color w:val="000000" w:themeColor="text1"/>
                          </w:rPr>
                        </m:ctrlPr>
                      </m:sSubPr>
                      <m:e>
                        <m:r>
                          <m:rPr>
                            <m:sty m:val="bi"/>
                          </m:rPr>
                          <w:rPr>
                            <w:rFonts w:ascii="Cambria Math" w:hAnsi="Cambria Math"/>
                            <w:color w:val="000000" w:themeColor="text1"/>
                          </w:rPr>
                          <m:t>PR</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pe,ma,vi</m:t>
                            </m:r>
                          </m:sub>
                        </m:sSub>
                      </m:sub>
                    </m:sSub>
                  </m:e>
                </m:d>
              </m:oMath>
            </m:oMathPara>
          </w:p>
        </w:tc>
        <w:tc>
          <w:tcPr>
            <w:tcW w:w="2835" w:type="dxa"/>
            <w:vAlign w:val="center"/>
          </w:tcPr>
          <w:p w:rsidR="00901EFF" w:rsidRPr="00DC07FC" w:rsidRDefault="00901EFF" w:rsidP="00744CA5">
            <w:pPr>
              <w:pStyle w:val="Textoindependiente"/>
              <w:ind w:left="0"/>
              <w:contextualSpacing/>
              <w:rPr>
                <w:rFonts w:ascii="Bookman Old Style" w:hAnsi="Bookman Old Style"/>
                <w:color w:val="000000" w:themeColor="text1"/>
                <w:lang w:val="es-CO"/>
              </w:rPr>
            </w:pPr>
            <w:r w:rsidRPr="00DC07FC">
              <w:rPr>
                <w:rFonts w:ascii="Bookman Old Style" w:hAnsi="Bookman Old Style"/>
                <w:color w:val="000000" w:themeColor="text1"/>
                <w:lang w:val="es-CO"/>
              </w:rPr>
              <w:t xml:space="preserve">Oferta agregada para cada nivel de precio </w:t>
            </w:r>
          </w:p>
          <w:p w:rsidR="00901EFF" w:rsidRPr="00DC07FC" w:rsidRDefault="001907E3" w:rsidP="00744CA5">
            <w:pPr>
              <w:pStyle w:val="Textoindependiente"/>
              <w:ind w:left="0"/>
              <w:contextualSpacing/>
              <w:rPr>
                <w:rFonts w:ascii="Bookman Old Style" w:hAnsi="Bookman Old Style"/>
                <w:color w:val="000000" w:themeColor="text1"/>
                <w:lang w:val="es-CO"/>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O</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Sub>
                <m:d>
                  <m:dPr>
                    <m:ctrlPr>
                      <w:rPr>
                        <w:rFonts w:ascii="Cambria Math" w:hAnsi="Cambria Math"/>
                        <w:b w:val="0"/>
                        <w:i/>
                        <w:color w:val="000000" w:themeColor="text1"/>
                      </w:rPr>
                    </m:ctrlPr>
                  </m:dPr>
                  <m:e>
                    <m:sSubSup>
                      <m:sSubSupPr>
                        <m:ctrlPr>
                          <w:rPr>
                            <w:rFonts w:ascii="Cambria Math" w:hAnsi="Cambria Math"/>
                            <w:b w:val="0"/>
                            <w:i/>
                            <w:color w:val="000000" w:themeColor="text1"/>
                          </w:rPr>
                        </m:ctrlPr>
                      </m:sSubSupPr>
                      <m:e>
                        <m:r>
                          <m:rPr>
                            <m:sty m:val="bi"/>
                          </m:rPr>
                          <w:rPr>
                            <w:rFonts w:ascii="Cambria Math" w:hAnsi="Cambria Math"/>
                            <w:color w:val="000000" w:themeColor="text1"/>
                          </w:rPr>
                          <m:t>p</m:t>
                        </m:r>
                      </m:e>
                      <m:sub>
                        <m:sSub>
                          <m:sSubPr>
                            <m:ctrlPr>
                              <w:rPr>
                                <w:rFonts w:ascii="Cambria Math" w:hAnsi="Cambria Math"/>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up>
                        <m:r>
                          <m:rPr>
                            <m:sty m:val="bi"/>
                          </m:rPr>
                          <w:rPr>
                            <w:rFonts w:ascii="Cambria Math" w:hAnsi="Cambria Math"/>
                            <w:color w:val="000000" w:themeColor="text1"/>
                          </w:rPr>
                          <m:t>r</m:t>
                        </m:r>
                      </m:sup>
                    </m:sSubSup>
                  </m:e>
                </m:d>
              </m:oMath>
            </m:oMathPara>
          </w:p>
        </w:tc>
        <w:tc>
          <w:tcPr>
            <w:tcW w:w="3685" w:type="dxa"/>
            <w:vAlign w:val="center"/>
          </w:tcPr>
          <w:p w:rsidR="00901EFF" w:rsidRPr="00DC07FC" w:rsidRDefault="00901EFF" w:rsidP="00744CA5">
            <w:pPr>
              <w:pStyle w:val="Textoindependiente"/>
              <w:ind w:left="0"/>
              <w:contextualSpacing/>
              <w:rPr>
                <w:rFonts w:ascii="Bookman Old Style" w:hAnsi="Bookman Old Style"/>
                <w:color w:val="000000" w:themeColor="text1"/>
                <w:lang w:val="es-CO"/>
              </w:rPr>
            </w:pPr>
            <w:r w:rsidRPr="00DC07FC">
              <w:rPr>
                <w:rFonts w:ascii="Bookman Old Style" w:hAnsi="Bookman Old Style"/>
                <w:color w:val="000000" w:themeColor="text1"/>
                <w:lang w:val="es-CO"/>
              </w:rPr>
              <w:t>Niveles de precios</w:t>
            </w:r>
          </w:p>
        </w:tc>
      </w:tr>
      <w:tr w:rsidR="00901EFF" w:rsidRPr="00DC07FC" w:rsidTr="00744CA5">
        <w:trPr>
          <w:trHeight w:val="397"/>
        </w:trPr>
        <w:tc>
          <w:tcPr>
            <w:tcW w:w="2552" w:type="dxa"/>
            <w:vAlign w:val="center"/>
          </w:tcPr>
          <w:p w:rsidR="00901EFF" w:rsidRPr="00DC07FC" w:rsidRDefault="00901EFF" w:rsidP="00744CA5">
            <w:pPr>
              <w:pStyle w:val="Textoindependiente"/>
              <w:ind w:left="0"/>
              <w:contextualSpacing/>
              <w:rPr>
                <w:rFonts w:ascii="Bookman Old Style" w:hAnsi="Bookman Old Style"/>
                <w:b w:val="0"/>
                <w:color w:val="000000" w:themeColor="text1"/>
              </w:rPr>
            </w:pPr>
            <m:oMathPara>
              <m:oMath>
                <m:r>
                  <m:rPr>
                    <m:sty m:val="bi"/>
                  </m:rPr>
                  <w:rPr>
                    <w:rFonts w:ascii="Cambria Math" w:hAnsi="Cambria Math"/>
                    <w:color w:val="000000" w:themeColor="text1"/>
                  </w:rPr>
                  <m:t>0</m:t>
                </m:r>
              </m:oMath>
            </m:oMathPara>
          </w:p>
        </w:tc>
        <w:tc>
          <w:tcPr>
            <w:tcW w:w="2835" w:type="dxa"/>
            <w:vAlign w:val="center"/>
          </w:tcPr>
          <w:p w:rsidR="00901EFF" w:rsidRPr="00DC07FC" w:rsidRDefault="00901EFF" w:rsidP="00744CA5">
            <w:pPr>
              <w:pStyle w:val="Textoindependiente"/>
              <w:ind w:left="0"/>
              <w:contextualSpacing/>
              <w:rPr>
                <w:rFonts w:ascii="Bookman Old Style" w:hAnsi="Bookman Old Style"/>
                <w:b w:val="0"/>
                <w:color w:val="000000" w:themeColor="text1"/>
                <w:lang w:val="es-CO"/>
              </w:rPr>
            </w:pPr>
            <m:oMathPara>
              <m:oMath>
                <m:r>
                  <m:rPr>
                    <m:sty m:val="bi"/>
                  </m:rPr>
                  <w:rPr>
                    <w:rFonts w:ascii="Cambria Math" w:hAnsi="Cambria Math"/>
                    <w:color w:val="000000" w:themeColor="text1"/>
                  </w:rPr>
                  <m:t>0</m:t>
                </m:r>
              </m:oMath>
            </m:oMathPara>
          </w:p>
        </w:tc>
        <w:tc>
          <w:tcPr>
            <w:tcW w:w="3685" w:type="dxa"/>
            <w:vAlign w:val="center"/>
          </w:tcPr>
          <w:p w:rsidR="00901EFF" w:rsidRPr="00DC07FC" w:rsidRDefault="00901EFF" w:rsidP="00744CA5">
            <w:pPr>
              <w:pStyle w:val="Textoindependiente"/>
              <w:ind w:left="0"/>
              <w:contextualSpacing/>
              <w:rPr>
                <w:rFonts w:ascii="Bookman Old Style" w:hAnsi="Bookman Old Style"/>
                <w:b w:val="0"/>
                <w:color w:val="000000" w:themeColor="text1"/>
                <w:lang w:val="es-CO"/>
              </w:rPr>
            </w:pPr>
            <m:oMathPara>
              <m:oMath>
                <m:r>
                  <m:rPr>
                    <m:sty m:val="bi"/>
                  </m:rPr>
                  <w:rPr>
                    <w:rFonts w:ascii="Cambria Math" w:hAnsi="Cambria Math"/>
                    <w:color w:val="000000" w:themeColor="text1"/>
                  </w:rPr>
                  <m:t>0&lt;</m:t>
                </m:r>
                <m:sSubSup>
                  <m:sSubSupPr>
                    <m:ctrlPr>
                      <w:rPr>
                        <w:rFonts w:ascii="Cambria Math" w:hAnsi="Cambria Math"/>
                        <w:b w:val="0"/>
                        <w:i/>
                        <w:color w:val="000000" w:themeColor="text1"/>
                      </w:rPr>
                    </m:ctrlPr>
                  </m:sSubSupPr>
                  <m:e>
                    <m:r>
                      <m:rPr>
                        <m:sty m:val="bi"/>
                      </m:rPr>
                      <w:rPr>
                        <w:rFonts w:ascii="Cambria Math" w:hAnsi="Cambria Math"/>
                        <w:color w:val="000000" w:themeColor="text1"/>
                      </w:rPr>
                      <m:t>p</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up>
                    <m:r>
                      <m:rPr>
                        <m:sty m:val="bi"/>
                      </m:rPr>
                      <w:rPr>
                        <w:rFonts w:ascii="Cambria Math" w:hAnsi="Cambria Math"/>
                        <w:color w:val="000000" w:themeColor="text1"/>
                      </w:rPr>
                      <m:t>r</m:t>
                    </m:r>
                  </m:sup>
                </m:sSubSup>
                <m:r>
                  <m:rPr>
                    <m:sty m:val="bi"/>
                  </m:rPr>
                  <w:rPr>
                    <w:rFonts w:ascii="Cambria Math" w:hAnsi="Cambria Math"/>
                    <w:color w:val="000000" w:themeColor="text1"/>
                  </w:rPr>
                  <m:t>&lt;</m:t>
                </m:r>
                <m:sSub>
                  <m:sSubPr>
                    <m:ctrlPr>
                      <w:rPr>
                        <w:rFonts w:ascii="Cambria Math" w:hAnsi="Cambria Math"/>
                        <w:b w:val="0"/>
                        <w:i/>
                        <w:color w:val="000000" w:themeColor="text1"/>
                      </w:rPr>
                    </m:ctrlPr>
                  </m:sSubPr>
                  <m:e>
                    <m:r>
                      <m:rPr>
                        <m:sty m:val="bi"/>
                      </m:rPr>
                      <w:rPr>
                        <w:rFonts w:ascii="Cambria Math" w:hAnsi="Cambria Math"/>
                        <w:color w:val="000000" w:themeColor="text1"/>
                      </w:rPr>
                      <m:t>PR</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m:t>
                        </m:r>
                        <m:r>
                          <m:rPr>
                            <m:sty m:val="bi"/>
                          </m:rPr>
                          <w:rPr>
                            <w:rFonts w:ascii="Cambria Math" w:hAnsi="Cambria Math"/>
                            <w:color w:val="000000" w:themeColor="text1"/>
                            <w:lang w:val="es-CO"/>
                          </w:rPr>
                          <m:t>1</m:t>
                        </m:r>
                      </m:sub>
                    </m:sSub>
                  </m:sub>
                </m:sSub>
              </m:oMath>
            </m:oMathPara>
          </w:p>
        </w:tc>
      </w:tr>
      <w:tr w:rsidR="00901EFF" w:rsidRPr="00DC07FC" w:rsidTr="00744CA5">
        <w:trPr>
          <w:trHeight w:val="397"/>
        </w:trPr>
        <w:tc>
          <w:tcPr>
            <w:tcW w:w="2552" w:type="dxa"/>
            <w:vAlign w:val="center"/>
          </w:tcPr>
          <w:p w:rsidR="00901EFF" w:rsidRPr="00DC07FC" w:rsidRDefault="001907E3" w:rsidP="00744CA5">
            <w:pPr>
              <w:pStyle w:val="Textoindependiente"/>
              <w:ind w:left="0"/>
              <w:contextualSpacing/>
              <w:rPr>
                <w:rFonts w:ascii="Bookman Old Style" w:hAnsi="Bookman Old Style" w:cs="Times New Roman"/>
                <w:b w:val="0"/>
                <w:color w:val="000000" w:themeColor="text1"/>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O</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m:t>
                        </m:r>
                        <m:r>
                          <m:rPr>
                            <m:sty m:val="bi"/>
                          </m:rPr>
                          <w:rPr>
                            <w:rFonts w:ascii="Cambria Math" w:hAnsi="Cambria Math"/>
                            <w:color w:val="000000" w:themeColor="text1"/>
                            <w:lang w:val="es-CO"/>
                          </w:rPr>
                          <m:t>1</m:t>
                        </m:r>
                      </m:sub>
                    </m:sSub>
                  </m:sub>
                </m:sSub>
              </m:oMath>
            </m:oMathPara>
          </w:p>
        </w:tc>
        <w:tc>
          <w:tcPr>
            <w:tcW w:w="2835" w:type="dxa"/>
            <w:vAlign w:val="center"/>
          </w:tcPr>
          <w:p w:rsidR="00901EFF" w:rsidRPr="00DC07FC" w:rsidRDefault="00901EFF" w:rsidP="00744CA5">
            <w:pPr>
              <w:pStyle w:val="Textoindependiente"/>
              <w:ind w:left="0"/>
              <w:contextualSpacing/>
              <w:rPr>
                <w:rFonts w:ascii="Bookman Old Style" w:hAnsi="Bookman Old Style"/>
                <w:b w:val="0"/>
                <w:color w:val="000000" w:themeColor="text1"/>
              </w:rPr>
            </w:pPr>
            <m:oMathPara>
              <m:oMath>
                <m:r>
                  <m:rPr>
                    <m:sty m:val="bi"/>
                  </m:rPr>
                  <w:rPr>
                    <w:rFonts w:ascii="Cambria Math" w:hAnsi="Cambria Math"/>
                    <w:color w:val="000000" w:themeColor="text1"/>
                  </w:rPr>
                  <m:t>0+</m:t>
                </m:r>
                <m:sSub>
                  <m:sSubPr>
                    <m:ctrlPr>
                      <w:rPr>
                        <w:rFonts w:ascii="Cambria Math" w:hAnsi="Cambria Math"/>
                        <w:b w:val="0"/>
                        <w:i/>
                        <w:color w:val="000000" w:themeColor="text1"/>
                      </w:rPr>
                    </m:ctrlPr>
                  </m:sSubPr>
                  <m:e>
                    <m:r>
                      <m:rPr>
                        <m:sty m:val="bi"/>
                      </m:rPr>
                      <w:rPr>
                        <w:rFonts w:ascii="Cambria Math" w:hAnsi="Cambria Math"/>
                        <w:color w:val="000000" w:themeColor="text1"/>
                      </w:rPr>
                      <m:t>O</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m:t>
                        </m:r>
                        <m:r>
                          <m:rPr>
                            <m:sty m:val="bi"/>
                          </m:rPr>
                          <w:rPr>
                            <w:rFonts w:ascii="Cambria Math" w:hAnsi="Cambria Math"/>
                            <w:color w:val="000000" w:themeColor="text1"/>
                            <w:lang w:val="es-CO"/>
                          </w:rPr>
                          <m:t>1</m:t>
                        </m:r>
                      </m:sub>
                    </m:sSub>
                  </m:sub>
                </m:sSub>
              </m:oMath>
            </m:oMathPara>
          </w:p>
        </w:tc>
        <w:tc>
          <w:tcPr>
            <w:tcW w:w="3685" w:type="dxa"/>
            <w:vAlign w:val="center"/>
          </w:tcPr>
          <w:p w:rsidR="00901EFF" w:rsidRPr="00DC07FC" w:rsidRDefault="001907E3" w:rsidP="00744CA5">
            <w:pPr>
              <w:pStyle w:val="Textoindependiente"/>
              <w:ind w:left="0"/>
              <w:contextualSpacing/>
              <w:rPr>
                <w:rFonts w:ascii="Bookman Old Style" w:hAnsi="Bookman Old Style"/>
                <w:b w:val="0"/>
                <w:color w:val="000000" w:themeColor="text1"/>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PR</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m:t>
                        </m:r>
                        <m:r>
                          <m:rPr>
                            <m:sty m:val="bi"/>
                          </m:rPr>
                          <w:rPr>
                            <w:rFonts w:ascii="Cambria Math" w:hAnsi="Cambria Math"/>
                            <w:color w:val="000000" w:themeColor="text1"/>
                            <w:lang w:val="es-CO"/>
                          </w:rPr>
                          <m:t>1</m:t>
                        </m:r>
                      </m:sub>
                    </m:sSub>
                  </m:sub>
                </m:sSub>
                <m:r>
                  <m:rPr>
                    <m:sty m:val="bi"/>
                  </m:rPr>
                  <w:rPr>
                    <w:rFonts w:ascii="Cambria Math" w:hAnsi="Cambria Math"/>
                    <w:color w:val="000000" w:themeColor="text1"/>
                  </w:rPr>
                  <m:t>≤</m:t>
                </m:r>
                <m:sSubSup>
                  <m:sSubSupPr>
                    <m:ctrlPr>
                      <w:rPr>
                        <w:rFonts w:ascii="Cambria Math" w:hAnsi="Cambria Math"/>
                        <w:b w:val="0"/>
                        <w:i/>
                        <w:color w:val="000000" w:themeColor="text1"/>
                      </w:rPr>
                    </m:ctrlPr>
                  </m:sSubSupPr>
                  <m:e>
                    <m:r>
                      <m:rPr>
                        <m:sty m:val="bi"/>
                      </m:rPr>
                      <w:rPr>
                        <w:rFonts w:ascii="Cambria Math" w:hAnsi="Cambria Math"/>
                        <w:color w:val="000000" w:themeColor="text1"/>
                      </w:rPr>
                      <m:t>p</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up>
                    <m:r>
                      <m:rPr>
                        <m:sty m:val="bi"/>
                      </m:rPr>
                      <w:rPr>
                        <w:rFonts w:ascii="Cambria Math" w:hAnsi="Cambria Math"/>
                        <w:color w:val="000000" w:themeColor="text1"/>
                      </w:rPr>
                      <m:t>r</m:t>
                    </m:r>
                  </m:sup>
                </m:sSubSup>
                <m:r>
                  <m:rPr>
                    <m:sty m:val="bi"/>
                  </m:rPr>
                  <w:rPr>
                    <w:rFonts w:ascii="Cambria Math" w:hAnsi="Cambria Math"/>
                    <w:color w:val="000000" w:themeColor="text1"/>
                  </w:rPr>
                  <m:t>&lt;</m:t>
                </m:r>
                <m:sSub>
                  <m:sSubPr>
                    <m:ctrlPr>
                      <w:rPr>
                        <w:rFonts w:ascii="Cambria Math" w:hAnsi="Cambria Math"/>
                        <w:b w:val="0"/>
                        <w:i/>
                        <w:color w:val="000000" w:themeColor="text1"/>
                      </w:rPr>
                    </m:ctrlPr>
                  </m:sSubPr>
                  <m:e>
                    <m:r>
                      <m:rPr>
                        <m:sty m:val="bi"/>
                      </m:rPr>
                      <w:rPr>
                        <w:rFonts w:ascii="Cambria Math" w:hAnsi="Cambria Math"/>
                        <w:color w:val="000000" w:themeColor="text1"/>
                      </w:rPr>
                      <m:t>PR</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m:t>
                        </m:r>
                        <m:r>
                          <m:rPr>
                            <m:sty m:val="bi"/>
                          </m:rPr>
                          <w:rPr>
                            <w:rFonts w:ascii="Cambria Math" w:hAnsi="Cambria Math"/>
                            <w:color w:val="000000" w:themeColor="text1"/>
                            <w:lang w:val="es-CO"/>
                          </w:rPr>
                          <m:t>2</m:t>
                        </m:r>
                      </m:sub>
                    </m:sSub>
                  </m:sub>
                </m:sSub>
              </m:oMath>
            </m:oMathPara>
          </w:p>
        </w:tc>
      </w:tr>
      <w:tr w:rsidR="00901EFF" w:rsidRPr="00DC07FC" w:rsidTr="00744CA5">
        <w:trPr>
          <w:trHeight w:val="397"/>
        </w:trPr>
        <w:tc>
          <w:tcPr>
            <w:tcW w:w="2552" w:type="dxa"/>
            <w:vAlign w:val="center"/>
          </w:tcPr>
          <w:p w:rsidR="00901EFF" w:rsidRPr="00DC07FC" w:rsidRDefault="00901EFF" w:rsidP="00744CA5">
            <w:pPr>
              <w:pStyle w:val="Textoindependiente"/>
              <w:ind w:left="0"/>
              <w:contextualSpacing/>
              <w:rPr>
                <w:rFonts w:ascii="Bookman Old Style" w:hAnsi="Bookman Old Style" w:cs="Times New Roman"/>
                <w:b w:val="0"/>
                <w:bCs w:val="0"/>
                <w:color w:val="000000" w:themeColor="text1"/>
              </w:rPr>
            </w:pPr>
            <m:oMathPara>
              <m:oMath>
                <m:r>
                  <m:rPr>
                    <m:sty m:val="bi"/>
                  </m:rPr>
                  <w:rPr>
                    <w:rFonts w:ascii="Cambria Math" w:hAnsi="Cambria Math" w:cs="Times New Roman"/>
                    <w:color w:val="000000" w:themeColor="text1"/>
                  </w:rPr>
                  <m:t>⋮</m:t>
                </m:r>
              </m:oMath>
            </m:oMathPara>
          </w:p>
        </w:tc>
        <w:tc>
          <w:tcPr>
            <w:tcW w:w="2835" w:type="dxa"/>
            <w:vAlign w:val="center"/>
          </w:tcPr>
          <w:p w:rsidR="00901EFF" w:rsidRPr="00DC07FC" w:rsidRDefault="00901EFF" w:rsidP="00744CA5">
            <w:pPr>
              <w:pStyle w:val="Textoindependiente"/>
              <w:ind w:left="0"/>
              <w:contextualSpacing/>
              <w:rPr>
                <w:rFonts w:ascii="Bookman Old Style" w:hAnsi="Bookman Old Style" w:cs="Times New Roman"/>
                <w:b w:val="0"/>
                <w:color w:val="000000" w:themeColor="text1"/>
              </w:rPr>
            </w:pPr>
            <m:oMathPara>
              <m:oMath>
                <m:r>
                  <m:rPr>
                    <m:sty m:val="bi"/>
                  </m:rPr>
                  <w:rPr>
                    <w:rFonts w:ascii="Cambria Math" w:hAnsi="Cambria Math" w:cs="Times New Roman"/>
                    <w:color w:val="000000" w:themeColor="text1"/>
                  </w:rPr>
                  <m:t>⋮</m:t>
                </m:r>
              </m:oMath>
            </m:oMathPara>
          </w:p>
        </w:tc>
        <w:tc>
          <w:tcPr>
            <w:tcW w:w="3685" w:type="dxa"/>
            <w:vAlign w:val="center"/>
          </w:tcPr>
          <w:p w:rsidR="00901EFF" w:rsidRPr="00DC07FC" w:rsidRDefault="00901EFF" w:rsidP="00744CA5">
            <w:pPr>
              <w:pStyle w:val="Textoindependiente"/>
              <w:ind w:left="0"/>
              <w:contextualSpacing/>
              <w:rPr>
                <w:rFonts w:ascii="Bookman Old Style" w:hAnsi="Bookman Old Style"/>
                <w:b w:val="0"/>
                <w:color w:val="000000" w:themeColor="text1"/>
              </w:rPr>
            </w:pPr>
            <m:oMathPara>
              <m:oMath>
                <m:r>
                  <m:rPr>
                    <m:sty m:val="bi"/>
                  </m:rPr>
                  <w:rPr>
                    <w:rFonts w:ascii="Cambria Math" w:hAnsi="Cambria Math" w:cs="Times New Roman"/>
                    <w:color w:val="000000" w:themeColor="text1"/>
                  </w:rPr>
                  <m:t>⋮</m:t>
                </m:r>
              </m:oMath>
            </m:oMathPara>
          </w:p>
        </w:tc>
      </w:tr>
      <w:tr w:rsidR="00901EFF" w:rsidRPr="00DC07FC" w:rsidTr="00744CA5">
        <w:trPr>
          <w:trHeight w:val="1036"/>
        </w:trPr>
        <w:tc>
          <w:tcPr>
            <w:tcW w:w="2552" w:type="dxa"/>
            <w:vAlign w:val="center"/>
          </w:tcPr>
          <w:p w:rsidR="00901EFF" w:rsidRPr="00DC07FC" w:rsidRDefault="001907E3" w:rsidP="00744CA5">
            <w:pPr>
              <w:pStyle w:val="Textoindependiente"/>
              <w:ind w:left="0"/>
              <w:contextualSpacing/>
              <w:rPr>
                <w:rFonts w:ascii="Bookman Old Style" w:hAnsi="Bookman Old Style" w:cs="Times New Roman"/>
                <w:b w:val="0"/>
                <w:color w:val="000000" w:themeColor="text1"/>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O</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pe,ma,vn</m:t>
                        </m:r>
                      </m:sub>
                    </m:sSub>
                  </m:sub>
                </m:sSub>
              </m:oMath>
            </m:oMathPara>
          </w:p>
        </w:tc>
        <w:tc>
          <w:tcPr>
            <w:tcW w:w="2835" w:type="dxa"/>
            <w:vAlign w:val="center"/>
          </w:tcPr>
          <w:p w:rsidR="00901EFF" w:rsidRPr="00DC07FC" w:rsidRDefault="001907E3" w:rsidP="00744CA5">
            <w:pPr>
              <w:pStyle w:val="Textoindependiente"/>
              <w:ind w:left="0"/>
              <w:contextualSpacing/>
              <w:rPr>
                <w:rFonts w:ascii="Bookman Old Style" w:hAnsi="Bookman Old Style" w:cs="Times New Roman"/>
                <w:b w:val="0"/>
                <w:color w:val="000000" w:themeColor="text1"/>
              </w:rPr>
            </w:pPr>
            <m:oMathPara>
              <m:oMath>
                <m:nary>
                  <m:naryPr>
                    <m:chr m:val="∑"/>
                    <m:limLoc m:val="undOvr"/>
                    <m:ctrlPr>
                      <w:rPr>
                        <w:rFonts w:ascii="Cambria Math" w:hAnsi="Cambria Math"/>
                        <w:b w:val="0"/>
                        <w:i/>
                        <w:color w:val="000000" w:themeColor="text1"/>
                      </w:rPr>
                    </m:ctrlPr>
                  </m:naryPr>
                  <m:sub>
                    <m:r>
                      <m:rPr>
                        <m:sty m:val="bi"/>
                      </m:rPr>
                      <w:rPr>
                        <w:rFonts w:ascii="Cambria Math" w:hAnsi="Cambria Math"/>
                        <w:color w:val="000000" w:themeColor="text1"/>
                      </w:rPr>
                      <m:t>vi=v</m:t>
                    </m:r>
                    <m:r>
                      <m:rPr>
                        <m:sty m:val="bi"/>
                      </m:rPr>
                      <w:rPr>
                        <w:rFonts w:ascii="Cambria Math" w:hAnsi="Cambria Math"/>
                        <w:color w:val="000000" w:themeColor="text1"/>
                      </w:rPr>
                      <m:t>1</m:t>
                    </m:r>
                  </m:sub>
                  <m:sup>
                    <m:r>
                      <m:rPr>
                        <m:sty m:val="bi"/>
                      </m:rPr>
                      <w:rPr>
                        <w:rFonts w:ascii="Cambria Math" w:hAnsi="Cambria Math"/>
                        <w:color w:val="000000" w:themeColor="text1"/>
                      </w:rPr>
                      <m:t>vn</m:t>
                    </m:r>
                  </m:sup>
                  <m:e>
                    <m:sSub>
                      <m:sSubPr>
                        <m:ctrlPr>
                          <w:rPr>
                            <w:rFonts w:ascii="Cambria Math" w:hAnsi="Cambria Math"/>
                            <w:b w:val="0"/>
                            <w:i/>
                            <w:color w:val="000000" w:themeColor="text1"/>
                          </w:rPr>
                        </m:ctrlPr>
                      </m:sSubPr>
                      <m:e>
                        <m:r>
                          <m:rPr>
                            <m:sty m:val="bi"/>
                          </m:rPr>
                          <w:rPr>
                            <w:rFonts w:ascii="Cambria Math" w:hAnsi="Cambria Math"/>
                            <w:color w:val="000000" w:themeColor="text1"/>
                          </w:rPr>
                          <m:t>O</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pe,ma,vi</m:t>
                            </m:r>
                          </m:sub>
                        </m:sSub>
                      </m:sub>
                    </m:sSub>
                  </m:e>
                </m:nary>
              </m:oMath>
            </m:oMathPara>
          </w:p>
        </w:tc>
        <w:tc>
          <w:tcPr>
            <w:tcW w:w="3685" w:type="dxa"/>
            <w:vAlign w:val="center"/>
          </w:tcPr>
          <w:p w:rsidR="00901EFF" w:rsidRPr="00DC07FC" w:rsidRDefault="001907E3" w:rsidP="00744CA5">
            <w:pPr>
              <w:pStyle w:val="Textoindependiente"/>
              <w:ind w:left="0"/>
              <w:contextualSpacing/>
              <w:rPr>
                <w:rFonts w:ascii="Bookman Old Style" w:hAnsi="Bookman Old Style"/>
                <w:b w:val="0"/>
                <w:color w:val="000000" w:themeColor="text1"/>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PR</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pe,ma,vn</m:t>
                        </m:r>
                      </m:sub>
                    </m:sSub>
                  </m:sub>
                </m:sSub>
                <m:r>
                  <m:rPr>
                    <m:sty m:val="bi"/>
                  </m:rPr>
                  <w:rPr>
                    <w:rFonts w:ascii="Cambria Math" w:hAnsi="Cambria Math"/>
                    <w:color w:val="000000" w:themeColor="text1"/>
                  </w:rPr>
                  <m:t>≤</m:t>
                </m:r>
                <m:sSubSup>
                  <m:sSubSupPr>
                    <m:ctrlPr>
                      <w:rPr>
                        <w:rFonts w:ascii="Cambria Math" w:hAnsi="Cambria Math"/>
                        <w:b w:val="0"/>
                        <w:i/>
                        <w:color w:val="000000" w:themeColor="text1"/>
                      </w:rPr>
                    </m:ctrlPr>
                  </m:sSubSupPr>
                  <m:e>
                    <m:r>
                      <m:rPr>
                        <m:sty m:val="bi"/>
                      </m:rPr>
                      <w:rPr>
                        <w:rFonts w:ascii="Cambria Math" w:hAnsi="Cambria Math"/>
                        <w:color w:val="000000" w:themeColor="text1"/>
                      </w:rPr>
                      <m:t>p</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up>
                    <m:r>
                      <m:rPr>
                        <m:sty m:val="bi"/>
                      </m:rPr>
                      <w:rPr>
                        <w:rFonts w:ascii="Cambria Math" w:hAnsi="Cambria Math"/>
                        <w:color w:val="000000" w:themeColor="text1"/>
                      </w:rPr>
                      <m:t>r</m:t>
                    </m:r>
                  </m:sup>
                </m:sSubSup>
              </m:oMath>
            </m:oMathPara>
          </w:p>
        </w:tc>
      </w:tr>
    </w:tbl>
    <w:p w:rsidR="00901EFF" w:rsidRPr="00DC07FC" w:rsidRDefault="00901EFF" w:rsidP="00901EFF">
      <w:pPr>
        <w:pStyle w:val="Textoindependiente"/>
        <w:ind w:left="0"/>
        <w:contextualSpacing/>
        <w:jc w:val="both"/>
        <w:rPr>
          <w:rFonts w:ascii="Bookman Old Style" w:hAnsi="Bookman Old Style"/>
          <w:b w:val="0"/>
          <w:color w:val="000000" w:themeColor="text1"/>
          <w:lang w:val="es-CO"/>
        </w:rPr>
      </w:pPr>
    </w:p>
    <w:p w:rsidR="00901EFF" w:rsidRPr="00DC07FC" w:rsidRDefault="00901EFF" w:rsidP="00901EFF">
      <w:pPr>
        <w:pStyle w:val="ARTICULOS"/>
      </w:pPr>
      <w:r w:rsidRPr="00DC07FC">
        <w:t>Donde:</w:t>
      </w:r>
    </w:p>
    <w:p w:rsidR="00901EFF" w:rsidRPr="00DC07FC" w:rsidRDefault="00901EFF" w:rsidP="00901EFF">
      <w:pPr>
        <w:pStyle w:val="ARTICULOS"/>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293"/>
        <w:gridCol w:w="6634"/>
      </w:tblGrid>
      <w:tr w:rsidR="00901EFF" w:rsidRPr="00DC07FC" w:rsidTr="00E461B0">
        <w:tc>
          <w:tcPr>
            <w:tcW w:w="1862" w:type="dxa"/>
          </w:tcPr>
          <w:p w:rsidR="00901EFF" w:rsidRPr="00DC07FC" w:rsidRDefault="001907E3" w:rsidP="00744CA5">
            <w:pPr>
              <w:ind w:left="0"/>
              <w:contextualSpacing/>
              <w:jc w:val="both"/>
              <w:outlineLvl w:val="0"/>
              <w:rPr>
                <w:rFonts w:ascii="Bookman Old Style" w:hAnsi="Bookman Old Style" w:cs="Arial"/>
                <w:color w:val="000000" w:themeColor="text1"/>
              </w:rPr>
            </w:pPr>
            <m:oMathPara>
              <m:oMathParaPr>
                <m:jc m:val="left"/>
              </m:oMathParaPr>
              <m:oMath>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S</m:t>
                        </m:r>
                      </m:e>
                      <m:sub>
                        <m:r>
                          <w:rPr>
                            <w:rFonts w:ascii="Cambria Math" w:hAnsi="Cambria Math" w:cs="Arial"/>
                            <w:color w:val="000000" w:themeColor="text1"/>
                          </w:rPr>
                          <m:t>pe,ma,vi</m:t>
                        </m:r>
                      </m:sub>
                    </m:sSub>
                  </m:sub>
                </m:sSub>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6634"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Cantidad de GLP</w:t>
            </w:r>
            <w:r w:rsidR="00E461B0">
              <w:rPr>
                <w:rFonts w:ascii="Bookman Old Style" w:hAnsi="Bookman Old Style" w:cs="Arial"/>
                <w:color w:val="000000" w:themeColor="text1"/>
              </w:rPr>
              <w:t>,</w:t>
            </w:r>
            <w:r w:rsidRPr="00DC07FC">
              <w:rPr>
                <w:rFonts w:ascii="Bookman Old Style" w:hAnsi="Bookman Old Style" w:cs="Arial"/>
                <w:color w:val="000000" w:themeColor="text1"/>
              </w:rPr>
              <w:t xml:space="preserve"> </w:t>
            </w:r>
            <w:r w:rsidR="00E461B0">
              <w:rPr>
                <w:rFonts w:ascii="Bookman Old Style" w:hAnsi="Bookman Old Style" w:cs="Arial"/>
                <w:color w:val="000000" w:themeColor="text1"/>
              </w:rPr>
              <w:t xml:space="preserve">promedio al mes, </w:t>
            </w:r>
            <w:r w:rsidRPr="00DC07FC">
              <w:rPr>
                <w:rFonts w:ascii="Bookman Old Style" w:hAnsi="Bookman Old Style" w:cs="Arial"/>
                <w:color w:val="000000" w:themeColor="text1"/>
              </w:rPr>
              <w:t xml:space="preserve">del producto </w:t>
            </w:r>
            <m:oMath>
              <m:sSub>
                <m:sSubPr>
                  <m:ctrlPr>
                    <w:rPr>
                      <w:rFonts w:ascii="Cambria Math" w:hAnsi="Cambria Math"/>
                      <w:b/>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oMath>
            <w:r w:rsidR="00E461B0" w:rsidRPr="00E461B0">
              <w:rPr>
                <w:rFonts w:ascii="Bookman Old Style" w:hAnsi="Bookman Old Style" w:cs="Arial"/>
                <w:color w:val="000000" w:themeColor="text1"/>
                <w:lang w:val="es-CO"/>
              </w:rPr>
              <w:t>,</w:t>
            </w:r>
            <w:r w:rsidR="00E461B0" w:rsidRPr="00DC07FC">
              <w:rPr>
                <w:rFonts w:ascii="Bookman Old Style" w:hAnsi="Bookman Old Style" w:cs="Arial"/>
                <w:color w:val="000000" w:themeColor="text1"/>
              </w:rPr>
              <w:t xml:space="preserve"> ofrecida en la subasta</w:t>
            </w:r>
            <w:r w:rsidR="00E461B0">
              <w:rPr>
                <w:rFonts w:ascii="Bookman Old Style" w:hAnsi="Bookman Old Style" w:cs="Arial"/>
                <w:color w:val="000000" w:themeColor="text1"/>
              </w:rPr>
              <w:t>,</w:t>
            </w:r>
            <w:r w:rsidRPr="00DC07FC">
              <w:rPr>
                <w:rFonts w:ascii="Bookman Old Style" w:hAnsi="Bookman Old Style" w:cs="Arial"/>
                <w:color w:val="000000" w:themeColor="text1"/>
              </w:rPr>
              <w:t xml:space="preserve"> por los vendedores </w:t>
            </w:r>
            <m:oMath>
              <m:r>
                <w:rPr>
                  <w:rFonts w:ascii="Cambria Math" w:hAnsi="Cambria Math" w:cs="Arial"/>
                  <w:color w:val="000000" w:themeColor="text1"/>
                </w:rPr>
                <m:t>vi</m:t>
              </m:r>
            </m:oMath>
            <w:r w:rsidRPr="00DC07FC">
              <w:rPr>
                <w:rFonts w:ascii="Bookman Old Style" w:hAnsi="Bookman Old Style" w:cs="Arial"/>
                <w:color w:val="000000" w:themeColor="text1"/>
              </w:rPr>
              <w:t xml:space="preserve"> que declararon como precio de reserva </w:t>
            </w:r>
            <m:oMath>
              <m:sSub>
                <m:sSubPr>
                  <m:ctrlPr>
                    <w:rPr>
                      <w:rFonts w:ascii="Cambria Math" w:hAnsi="Cambria Math" w:cs="Arial"/>
                      <w:i/>
                      <w:color w:val="000000" w:themeColor="text1"/>
                    </w:rPr>
                  </m:ctrlPr>
                </m:sSubPr>
                <m:e>
                  <m:r>
                    <w:rPr>
                      <w:rFonts w:ascii="Cambria Math" w:hAnsi="Cambria Math" w:cs="Arial"/>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DC07FC">
              <w:rPr>
                <w:rFonts w:ascii="Bookman Old Style" w:hAnsi="Bookman Old Style" w:cs="Arial"/>
                <w:color w:val="000000" w:themeColor="text1"/>
              </w:rPr>
              <w:t>. Este valor se expresará en KG</w:t>
            </w:r>
            <w:r w:rsidR="00E461B0">
              <w:rPr>
                <w:rFonts w:ascii="Bookman Old Style" w:hAnsi="Bookman Old Style" w:cs="Arial"/>
                <w:color w:val="000000" w:themeColor="text1"/>
              </w:rPr>
              <w:t>D</w:t>
            </w:r>
            <w:r w:rsidRPr="00DC07FC">
              <w:rPr>
                <w:rFonts w:ascii="Bookman Old Style" w:hAnsi="Bookman Old Style" w:cs="Arial"/>
                <w:color w:val="000000" w:themeColor="text1"/>
              </w:rPr>
              <w:t>.</w:t>
            </w:r>
          </w:p>
          <w:p w:rsidR="00901EFF" w:rsidRPr="00DC07FC" w:rsidRDefault="00901EFF" w:rsidP="00744CA5">
            <w:pPr>
              <w:ind w:left="0"/>
              <w:contextualSpacing/>
              <w:jc w:val="both"/>
              <w:outlineLvl w:val="0"/>
              <w:rPr>
                <w:rFonts w:ascii="Bookman Old Style" w:hAnsi="Bookman Old Style" w:cs="Arial"/>
                <w:color w:val="000000" w:themeColor="text1"/>
              </w:rPr>
            </w:pPr>
          </w:p>
        </w:tc>
      </w:tr>
      <w:tr w:rsidR="00901EFF" w:rsidRPr="00DC07FC" w:rsidTr="00E461B0">
        <w:tc>
          <w:tcPr>
            <w:tcW w:w="1862" w:type="dxa"/>
          </w:tcPr>
          <w:p w:rsidR="00901EFF" w:rsidRPr="00DC07FC" w:rsidRDefault="001907E3" w:rsidP="00744CA5">
            <w:pPr>
              <w:pStyle w:val="Textoindependiente"/>
              <w:ind w:left="0"/>
              <w:contextualSpacing/>
              <w:jc w:val="both"/>
              <w:rPr>
                <w:rFonts w:ascii="Bookman Old Style" w:hAnsi="Bookman Old Style"/>
                <w:b w:val="0"/>
                <w:color w:val="000000" w:themeColor="text1"/>
              </w:rPr>
            </w:pPr>
            <m:oMathPara>
              <m:oMathParaPr>
                <m:jc m:val="left"/>
              </m:oMathParaPr>
              <m:oMath>
                <m:sSubSup>
                  <m:sSubSupPr>
                    <m:ctrlPr>
                      <w:rPr>
                        <w:rFonts w:ascii="Cambria Math" w:hAnsi="Cambria Math"/>
                        <w:b w:val="0"/>
                        <w:i/>
                        <w:color w:val="000000" w:themeColor="text1"/>
                      </w:rPr>
                    </m:ctrlPr>
                  </m:sSubSupPr>
                  <m:e>
                    <m:r>
                      <m:rPr>
                        <m:sty m:val="bi"/>
                      </m:rPr>
                      <w:rPr>
                        <w:rFonts w:ascii="Cambria Math" w:hAnsi="Cambria Math"/>
                        <w:color w:val="000000" w:themeColor="text1"/>
                      </w:rPr>
                      <m:t>p</m:t>
                    </m:r>
                  </m:e>
                  <m:sub>
                    <m:sSub>
                      <m:sSubPr>
                        <m:ctrlPr>
                          <w:rPr>
                            <w:rFonts w:ascii="Cambria Math" w:hAnsi="Cambria Math"/>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up>
                    <m:r>
                      <m:rPr>
                        <m:sty m:val="bi"/>
                      </m:rPr>
                      <w:rPr>
                        <w:rFonts w:ascii="Cambria Math" w:hAnsi="Cambria Math"/>
                        <w:color w:val="000000" w:themeColor="text1"/>
                      </w:rPr>
                      <m:t>r</m:t>
                    </m:r>
                  </m:sup>
                </m:sSubSup>
              </m:oMath>
            </m:oMathPara>
          </w:p>
        </w:tc>
        <w:tc>
          <w:tcPr>
            <w:tcW w:w="293" w:type="dxa"/>
          </w:tcPr>
          <w:p w:rsidR="00901EFF" w:rsidRPr="00DC07FC" w:rsidRDefault="00901EFF" w:rsidP="00744CA5">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w:t>
            </w:r>
          </w:p>
        </w:tc>
        <w:tc>
          <w:tcPr>
            <w:tcW w:w="6634" w:type="dxa"/>
          </w:tcPr>
          <w:p w:rsidR="00901EFF" w:rsidRPr="00DC07FC" w:rsidRDefault="00901EFF" w:rsidP="00744CA5">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 xml:space="preserve">Precio del producto </w:t>
            </w:r>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oMath>
            <w:r w:rsidRPr="00DC07FC">
              <w:rPr>
                <w:rFonts w:ascii="Bookman Old Style" w:hAnsi="Bookman Old Style"/>
                <w:b w:val="0"/>
                <w:color w:val="000000" w:themeColor="text1"/>
                <w:lang w:val="es-CO"/>
              </w:rPr>
              <w:t xml:space="preserve"> durante la ronda </w:t>
            </w:r>
            <m:oMath>
              <m:r>
                <m:rPr>
                  <m:sty m:val="bi"/>
                </m:rPr>
                <w:rPr>
                  <w:rFonts w:ascii="Cambria Math" w:hAnsi="Cambria Math"/>
                  <w:color w:val="000000" w:themeColor="text1"/>
                </w:rPr>
                <m:t>r</m:t>
              </m:r>
            </m:oMath>
            <w:r w:rsidRPr="00DC07FC">
              <w:rPr>
                <w:rFonts w:ascii="Bookman Old Style" w:hAnsi="Bookman Old Style"/>
                <w:b w:val="0"/>
                <w:color w:val="000000" w:themeColor="text1"/>
                <w:lang w:val="es-CO"/>
              </w:rPr>
              <w:t>. Este valor se expresará en COP por KG.</w:t>
            </w:r>
          </w:p>
          <w:p w:rsidR="00901EFF" w:rsidRPr="00DC07FC" w:rsidRDefault="00901EFF" w:rsidP="00744CA5">
            <w:pPr>
              <w:pStyle w:val="Textoindependiente"/>
              <w:ind w:left="0"/>
              <w:contextualSpacing/>
              <w:jc w:val="both"/>
              <w:rPr>
                <w:rFonts w:ascii="Bookman Old Style" w:hAnsi="Bookman Old Style"/>
                <w:color w:val="000000" w:themeColor="text1"/>
                <w:lang w:val="es-CO"/>
              </w:rPr>
            </w:pPr>
          </w:p>
        </w:tc>
      </w:tr>
      <w:tr w:rsidR="00901EFF" w:rsidRPr="00DC07FC" w:rsidTr="00E461B0">
        <w:tc>
          <w:tcPr>
            <w:tcW w:w="1862" w:type="dxa"/>
          </w:tcPr>
          <w:p w:rsidR="00901EFF" w:rsidRPr="00E461B0" w:rsidRDefault="001907E3" w:rsidP="00744CA5">
            <w:pPr>
              <w:pStyle w:val="Textoindependiente"/>
              <w:ind w:left="0"/>
              <w:contextualSpacing/>
              <w:jc w:val="both"/>
              <w:rPr>
                <w:rFonts w:ascii="Bookman Old Style" w:hAnsi="Bookman Old Style"/>
                <w:b w:val="0"/>
                <w:color w:val="000000" w:themeColor="text1"/>
              </w:rPr>
            </w:pPr>
            <m:oMathPara>
              <m:oMathParaPr>
                <m:jc m:val="left"/>
              </m:oMathParaPr>
              <m:oMath>
                <m:sSub>
                  <m:sSubPr>
                    <m:ctrlPr>
                      <w:rPr>
                        <w:rFonts w:ascii="Cambria Math" w:hAnsi="Cambria Math"/>
                        <w:b w:val="0"/>
                        <w:i/>
                        <w:color w:val="000000" w:themeColor="text1"/>
                      </w:rPr>
                    </m:ctrlPr>
                  </m:sSubPr>
                  <m:e>
                    <m:r>
                      <m:rPr>
                        <m:sty m:val="bi"/>
                      </m:rPr>
                      <w:rPr>
                        <w:rFonts w:ascii="Cambria Math" w:hAnsi="Cambria Math"/>
                        <w:color w:val="000000" w:themeColor="text1"/>
                      </w:rPr>
                      <m:t>O</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Sub>
                <m:d>
                  <m:dPr>
                    <m:ctrlPr>
                      <w:rPr>
                        <w:rFonts w:ascii="Cambria Math" w:hAnsi="Cambria Math"/>
                        <w:b w:val="0"/>
                        <w:i/>
                        <w:color w:val="000000" w:themeColor="text1"/>
                      </w:rPr>
                    </m:ctrlPr>
                  </m:dPr>
                  <m:e>
                    <m:sSubSup>
                      <m:sSubSupPr>
                        <m:ctrlPr>
                          <w:rPr>
                            <w:rFonts w:ascii="Cambria Math" w:hAnsi="Cambria Math"/>
                            <w:b w:val="0"/>
                            <w:i/>
                            <w:color w:val="000000" w:themeColor="text1"/>
                          </w:rPr>
                        </m:ctrlPr>
                      </m:sSubSupPr>
                      <m:e>
                        <m:r>
                          <m:rPr>
                            <m:sty m:val="bi"/>
                          </m:rPr>
                          <w:rPr>
                            <w:rFonts w:ascii="Cambria Math" w:hAnsi="Cambria Math"/>
                            <w:color w:val="000000" w:themeColor="text1"/>
                          </w:rPr>
                          <m:t>p</m:t>
                        </m:r>
                      </m:e>
                      <m:sub>
                        <m:sSub>
                          <m:sSubPr>
                            <m:ctrlPr>
                              <w:rPr>
                                <w:rFonts w:ascii="Cambria Math" w:hAnsi="Cambria Math"/>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up>
                        <m:r>
                          <m:rPr>
                            <m:sty m:val="bi"/>
                          </m:rPr>
                          <w:rPr>
                            <w:rFonts w:ascii="Cambria Math" w:hAnsi="Cambria Math"/>
                            <w:color w:val="000000" w:themeColor="text1"/>
                          </w:rPr>
                          <m:t>r</m:t>
                        </m:r>
                      </m:sup>
                    </m:sSubSup>
                  </m:e>
                </m:d>
              </m:oMath>
            </m:oMathPara>
          </w:p>
        </w:tc>
        <w:tc>
          <w:tcPr>
            <w:tcW w:w="293" w:type="dxa"/>
          </w:tcPr>
          <w:p w:rsidR="00901EFF" w:rsidRPr="00DC07FC" w:rsidRDefault="00901EFF" w:rsidP="00744CA5">
            <w:pPr>
              <w:pStyle w:val="Textoindependiente"/>
              <w:ind w:left="0"/>
              <w:contextualSpacing/>
              <w:jc w:val="both"/>
              <w:rPr>
                <w:rFonts w:ascii="Bookman Old Style" w:hAnsi="Bookman Old Style"/>
                <w:b w:val="0"/>
                <w:color w:val="000000" w:themeColor="text1"/>
                <w:lang w:val="es-CO"/>
              </w:rPr>
            </w:pPr>
            <w:r w:rsidRPr="00DC07FC">
              <w:rPr>
                <w:rFonts w:ascii="Bookman Old Style" w:hAnsi="Bookman Old Style"/>
                <w:b w:val="0"/>
                <w:color w:val="000000" w:themeColor="text1"/>
                <w:lang w:val="es-CO"/>
              </w:rPr>
              <w:t>:</w:t>
            </w:r>
          </w:p>
        </w:tc>
        <w:tc>
          <w:tcPr>
            <w:tcW w:w="6634" w:type="dxa"/>
          </w:tcPr>
          <w:p w:rsidR="00901EFF" w:rsidRPr="00DC07FC" w:rsidRDefault="00901EFF" w:rsidP="00744CA5">
            <w:pPr>
              <w:pStyle w:val="Textoindependiente"/>
              <w:ind w:left="0"/>
              <w:contextualSpacing/>
              <w:jc w:val="both"/>
              <w:rPr>
                <w:rFonts w:ascii="Bookman Old Style" w:hAnsi="Bookman Old Style"/>
                <w:b w:val="0"/>
                <w:color w:val="000000" w:themeColor="text1"/>
              </w:rPr>
            </w:pPr>
            <w:r w:rsidRPr="00DC07FC">
              <w:rPr>
                <w:rFonts w:ascii="Bookman Old Style" w:hAnsi="Bookman Old Style"/>
                <w:b w:val="0"/>
                <w:color w:val="000000" w:themeColor="text1"/>
                <w:lang w:val="es-CO"/>
              </w:rPr>
              <w:t xml:space="preserve">Oferta agregada del producto </w:t>
            </w:r>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r>
                <m:rPr>
                  <m:sty m:val="b"/>
                </m:rPr>
                <w:rPr>
                  <w:rFonts w:ascii="Cambria Math" w:hAnsi="Cambria Math"/>
                  <w:color w:val="000000" w:themeColor="text1"/>
                  <w:lang w:val="es-CO"/>
                </w:rPr>
                <m:t xml:space="preserve"> ,</m:t>
              </m:r>
            </m:oMath>
            <w:r w:rsidRPr="00DC07FC">
              <w:rPr>
                <w:rFonts w:ascii="Bookman Old Style" w:hAnsi="Bookman Old Style"/>
                <w:b w:val="0"/>
                <w:color w:val="000000" w:themeColor="text1"/>
                <w:lang w:val="es-CO"/>
              </w:rPr>
              <w:t xml:space="preserve"> al nivel de precio </w:t>
            </w:r>
            <m:oMath>
              <m:sSubSup>
                <m:sSubSupPr>
                  <m:ctrlPr>
                    <w:rPr>
                      <w:rFonts w:ascii="Cambria Math" w:hAnsi="Cambria Math"/>
                      <w:b w:val="0"/>
                      <w:i/>
                      <w:color w:val="000000" w:themeColor="text1"/>
                    </w:rPr>
                  </m:ctrlPr>
                </m:sSubSupPr>
                <m:e>
                  <m:r>
                    <m:rPr>
                      <m:sty m:val="bi"/>
                    </m:rPr>
                    <w:rPr>
                      <w:rFonts w:ascii="Cambria Math" w:hAnsi="Cambria Math"/>
                      <w:color w:val="000000" w:themeColor="text1"/>
                    </w:rPr>
                    <m:t>p</m:t>
                  </m:r>
                </m:e>
                <m:sub>
                  <m:sSub>
                    <m:sSubPr>
                      <m:ctrlPr>
                        <w:rPr>
                          <w:rFonts w:ascii="Cambria Math" w:hAnsi="Cambria Math"/>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up>
                  <m:r>
                    <m:rPr>
                      <m:sty m:val="bi"/>
                    </m:rPr>
                    <w:rPr>
                      <w:rFonts w:ascii="Cambria Math" w:hAnsi="Cambria Math"/>
                      <w:color w:val="000000" w:themeColor="text1"/>
                    </w:rPr>
                    <m:t>r</m:t>
                  </m:r>
                </m:sup>
              </m:sSubSup>
            </m:oMath>
            <w:r w:rsidRPr="00DC07FC">
              <w:rPr>
                <w:rFonts w:ascii="Bookman Old Style" w:hAnsi="Bookman Old Style"/>
                <w:b w:val="0"/>
                <w:color w:val="000000" w:themeColor="text1"/>
              </w:rPr>
              <w:t xml:space="preserve">. Corresponde a la suma de todas las ofertas </w:t>
            </w:r>
            <m:oMath>
              <m:sSub>
                <m:sSubPr>
                  <m:ctrlPr>
                    <w:rPr>
                      <w:rFonts w:ascii="Cambria Math" w:hAnsi="Cambria Math"/>
                      <w:i/>
                      <w:color w:val="000000" w:themeColor="text1"/>
                    </w:rPr>
                  </m:ctrlPr>
                </m:sSubPr>
                <m:e>
                  <m:r>
                    <m:rPr>
                      <m:sty m:val="bi"/>
                    </m:rPr>
                    <w:rPr>
                      <w:rFonts w:ascii="Cambria Math" w:hAnsi="Cambria Math"/>
                      <w:color w:val="000000" w:themeColor="text1"/>
                    </w:rPr>
                    <m:t>O</m:t>
                  </m:r>
                </m:e>
                <m:sub>
                  <m:sSub>
                    <m:sSubPr>
                      <m:ctrlPr>
                        <w:rPr>
                          <w:rFonts w:ascii="Cambria Math" w:hAnsi="Cambria Math"/>
                          <w:i/>
                          <w:color w:val="000000" w:themeColor="text1"/>
                        </w:rPr>
                      </m:ctrlPr>
                    </m:sSubPr>
                    <m:e>
                      <m:r>
                        <m:rPr>
                          <m:sty m:val="bi"/>
                        </m:rPr>
                        <w:rPr>
                          <w:rFonts w:ascii="Cambria Math" w:hAnsi="Cambria Math"/>
                          <w:color w:val="000000" w:themeColor="text1"/>
                        </w:rPr>
                        <m:t>S</m:t>
                      </m:r>
                    </m:e>
                    <m:sub>
                      <m:r>
                        <m:rPr>
                          <m:sty m:val="bi"/>
                        </m:rPr>
                        <w:rPr>
                          <w:rFonts w:ascii="Cambria Math" w:hAnsi="Cambria Math"/>
                          <w:color w:val="000000" w:themeColor="text1"/>
                        </w:rPr>
                        <m:t>pe,ma,vi</m:t>
                      </m:r>
                    </m:sub>
                  </m:sSub>
                </m:sub>
              </m:sSub>
            </m:oMath>
            <w:r w:rsidRPr="00DC07FC">
              <w:rPr>
                <w:rFonts w:ascii="Bookman Old Style" w:hAnsi="Bookman Old Style"/>
                <w:color w:val="000000" w:themeColor="text1"/>
              </w:rPr>
              <w:t xml:space="preserve"> </w:t>
            </w:r>
            <w:r w:rsidRPr="00DC07FC">
              <w:rPr>
                <w:rFonts w:ascii="Bookman Old Style" w:hAnsi="Bookman Old Style"/>
                <w:b w:val="0"/>
                <w:color w:val="000000" w:themeColor="text1"/>
              </w:rPr>
              <w:t xml:space="preserve">para las que se cumple que </w:t>
            </w:r>
            <m:oMath>
              <m:sSub>
                <m:sSubPr>
                  <m:ctrlPr>
                    <w:rPr>
                      <w:rFonts w:ascii="Cambria Math" w:hAnsi="Cambria Math"/>
                      <w:b w:val="0"/>
                      <w:i/>
                      <w:color w:val="000000" w:themeColor="text1"/>
                    </w:rPr>
                  </m:ctrlPr>
                </m:sSubPr>
                <m:e>
                  <m:r>
                    <m:rPr>
                      <m:sty m:val="bi"/>
                    </m:rPr>
                    <w:rPr>
                      <w:rFonts w:ascii="Cambria Math" w:hAnsi="Cambria Math"/>
                      <w:color w:val="000000" w:themeColor="text1"/>
                    </w:rPr>
                    <m:t>PR</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pe,ma,vi</m:t>
                      </m:r>
                    </m:sub>
                  </m:sSub>
                </m:sub>
              </m:sSub>
              <m:r>
                <m:rPr>
                  <m:sty m:val="bi"/>
                </m:rPr>
                <w:rPr>
                  <w:rFonts w:ascii="Cambria Math" w:hAnsi="Cambria Math"/>
                  <w:color w:val="000000" w:themeColor="text1"/>
                </w:rPr>
                <m:t>≤</m:t>
              </m:r>
              <m:sSubSup>
                <m:sSubSupPr>
                  <m:ctrlPr>
                    <w:rPr>
                      <w:rFonts w:ascii="Cambria Math" w:hAnsi="Cambria Math"/>
                      <w:b w:val="0"/>
                      <w:i/>
                      <w:color w:val="000000" w:themeColor="text1"/>
                    </w:rPr>
                  </m:ctrlPr>
                </m:sSubSupPr>
                <m:e>
                  <m:r>
                    <m:rPr>
                      <m:sty m:val="bi"/>
                    </m:rPr>
                    <w:rPr>
                      <w:rFonts w:ascii="Cambria Math" w:hAnsi="Cambria Math"/>
                      <w:color w:val="000000" w:themeColor="text1"/>
                    </w:rPr>
                    <m:t>p</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sub>
                <m:sup>
                  <m:r>
                    <m:rPr>
                      <m:sty m:val="bi"/>
                    </m:rPr>
                    <w:rPr>
                      <w:rFonts w:ascii="Cambria Math" w:hAnsi="Cambria Math"/>
                      <w:color w:val="000000" w:themeColor="text1"/>
                    </w:rPr>
                    <m:t>r</m:t>
                  </m:r>
                </m:sup>
              </m:sSubSup>
            </m:oMath>
          </w:p>
          <w:p w:rsidR="00901EFF" w:rsidRPr="00DC07FC" w:rsidRDefault="00901EFF" w:rsidP="00744CA5">
            <w:pPr>
              <w:pStyle w:val="Textoindependiente"/>
              <w:ind w:left="0"/>
              <w:contextualSpacing/>
              <w:jc w:val="both"/>
              <w:rPr>
                <w:rFonts w:ascii="Bookman Old Style" w:hAnsi="Bookman Old Style"/>
                <w:b w:val="0"/>
                <w:color w:val="000000" w:themeColor="text1"/>
                <w:lang w:val="es-CO"/>
              </w:rPr>
            </w:pPr>
          </w:p>
        </w:tc>
      </w:tr>
      <w:tr w:rsidR="00901EFF" w:rsidRPr="00DC07FC" w:rsidTr="00E461B0">
        <w:tc>
          <w:tcPr>
            <w:tcW w:w="1862" w:type="dxa"/>
          </w:tcPr>
          <w:p w:rsidR="00901EFF" w:rsidRPr="00DC07FC" w:rsidRDefault="001907E3" w:rsidP="00744CA5">
            <w:pPr>
              <w:ind w:left="0"/>
              <w:contextualSpacing/>
              <w:jc w:val="both"/>
              <w:outlineLvl w:val="0"/>
              <w:rPr>
                <w:rFonts w:ascii="Bookman Old Style" w:hAnsi="Bookman Old Style" w:cs="Arial"/>
                <w:b/>
                <w:color w:val="000000" w:themeColor="text1"/>
              </w:rPr>
            </w:pPr>
            <m:oMathPara>
              <m:oMathParaPr>
                <m:jc m:val="left"/>
              </m:oMathParaPr>
              <m:oMath>
                <m:sSub>
                  <m:sSubPr>
                    <m:ctrlPr>
                      <w:rPr>
                        <w:rFonts w:ascii="Cambria Math" w:hAnsi="Cambria Math" w:cs="Arial"/>
                        <w:b/>
                        <w:i/>
                        <w:color w:val="000000" w:themeColor="text1"/>
                      </w:rPr>
                    </m:ctrlPr>
                  </m:sSubPr>
                  <m:e>
                    <m:r>
                      <m:rPr>
                        <m:sty m:val="bi"/>
                      </m:rPr>
                      <w:rPr>
                        <w:rFonts w:ascii="Cambria Math" w:hAnsi="Cambria Math"/>
                        <w:color w:val="000000" w:themeColor="text1"/>
                      </w:rPr>
                      <m:t>PR</m:t>
                    </m:r>
                  </m:e>
                  <m:sub>
                    <m:sSub>
                      <m:sSubPr>
                        <m:ctrlPr>
                          <w:rPr>
                            <w:rFonts w:ascii="Cambria Math" w:hAnsi="Cambria Math"/>
                            <w:b/>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pe,ma,vi</m:t>
                        </m:r>
                      </m:sub>
                    </m:sSub>
                  </m:sub>
                </m:sSub>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6634"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 xml:space="preserve">Precio de reserva </w:t>
            </w:r>
            <m:oMath>
              <m:r>
                <w:rPr>
                  <w:rFonts w:ascii="Cambria Math" w:hAnsi="Cambria Math" w:cs="Arial"/>
                  <w:color w:val="000000" w:themeColor="text1"/>
                </w:rPr>
                <m:t>i</m:t>
              </m:r>
            </m:oMath>
            <w:r w:rsidRPr="00DC07FC">
              <w:rPr>
                <w:rFonts w:ascii="Bookman Old Style" w:hAnsi="Bookman Old Style" w:cs="Arial"/>
                <w:color w:val="000000" w:themeColor="text1"/>
              </w:rPr>
              <w:t xml:space="preserve">, informado por los vendedores </w:t>
            </w:r>
            <m:oMath>
              <m:r>
                <w:rPr>
                  <w:rFonts w:ascii="Cambria Math" w:hAnsi="Cambria Math" w:cs="Arial"/>
                  <w:color w:val="000000" w:themeColor="text1"/>
                </w:rPr>
                <m:t>v</m:t>
              </m:r>
            </m:oMath>
            <w:r w:rsidRPr="00DC07FC">
              <w:rPr>
                <w:rFonts w:ascii="Bookman Old Style" w:hAnsi="Bookman Old Style" w:cs="Arial"/>
                <w:color w:val="000000" w:themeColor="text1"/>
              </w:rPr>
              <w:t xml:space="preserve"> para el </w:t>
            </w:r>
            <w:r w:rsidRPr="00DC07FC">
              <w:rPr>
                <w:rFonts w:ascii="Bookman Old Style" w:hAnsi="Bookman Old Style" w:cs="Arial"/>
                <w:color w:val="000000" w:themeColor="text1"/>
                <w:lang w:val="es-CO"/>
              </w:rPr>
              <w:t xml:space="preserve">producto </w:t>
            </w:r>
            <m:oMath>
              <m:sSub>
                <m:sSubPr>
                  <m:ctrlPr>
                    <w:rPr>
                      <w:rFonts w:ascii="Cambria Math" w:hAnsi="Cambria Math"/>
                      <w:b/>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oMath>
            <w:r w:rsidRPr="00DC07FC">
              <w:rPr>
                <w:rFonts w:ascii="Bookman Old Style" w:hAnsi="Bookman Old Style" w:cs="Arial"/>
                <w:i/>
                <w:color w:val="000000" w:themeColor="text1"/>
              </w:rPr>
              <w:t>.</w:t>
            </w:r>
            <w:r w:rsidRPr="00DC07FC">
              <w:rPr>
                <w:rFonts w:ascii="Bookman Old Style" w:hAnsi="Bookman Old Style" w:cs="Arial"/>
                <w:color w:val="000000" w:themeColor="text1"/>
              </w:rPr>
              <w:t xml:space="preserve"> Este valor se expresará en COP por KG.</w:t>
            </w:r>
          </w:p>
          <w:p w:rsidR="00901EFF" w:rsidRPr="00DC07FC" w:rsidRDefault="00901EFF" w:rsidP="00744CA5">
            <w:pPr>
              <w:ind w:left="0"/>
              <w:contextualSpacing/>
              <w:jc w:val="both"/>
              <w:outlineLvl w:val="0"/>
              <w:rPr>
                <w:rFonts w:ascii="Bookman Old Style" w:hAnsi="Bookman Old Style" w:cs="Arial"/>
                <w:color w:val="000000" w:themeColor="text1"/>
              </w:rPr>
            </w:pPr>
          </w:p>
        </w:tc>
      </w:tr>
    </w:tbl>
    <w:p w:rsidR="00901EFF" w:rsidRPr="00DC07FC" w:rsidRDefault="00901EFF" w:rsidP="00901EFF">
      <w:pPr>
        <w:pStyle w:val="ARTICULOS"/>
      </w:pPr>
    </w:p>
    <w:p w:rsidR="00901EFF" w:rsidRPr="003E6741" w:rsidRDefault="00901EFF" w:rsidP="00B32B9C">
      <w:pPr>
        <w:numPr>
          <w:ilvl w:val="0"/>
          <w:numId w:val="27"/>
        </w:numPr>
        <w:autoSpaceDE w:val="0"/>
        <w:autoSpaceDN w:val="0"/>
        <w:adjustRightInd w:val="0"/>
        <w:ind w:left="567" w:hanging="567"/>
        <w:contextualSpacing/>
        <w:jc w:val="both"/>
        <w:rPr>
          <w:rFonts w:ascii="Bookman Old Style" w:hAnsi="Bookman Old Style" w:cs="Arial"/>
          <w:color w:val="000000" w:themeColor="text1"/>
        </w:rPr>
      </w:pPr>
      <w:bookmarkStart w:id="59" w:name="_Ref336434642"/>
      <w:r w:rsidRPr="00DC07FC">
        <w:rPr>
          <w:rFonts w:ascii="Bookman Old Style" w:hAnsi="Bookman Old Style" w:cs="Arial"/>
          <w:color w:val="000000" w:themeColor="text1"/>
        </w:rPr>
        <w:t xml:space="preserve">Una vez se publique la información a la que se hace referencia en el literal </w:t>
      </w:r>
      <w:r w:rsidRPr="00DC07FC">
        <w:rPr>
          <w:rFonts w:ascii="Bookman Old Style" w:hAnsi="Bookman Old Style" w:cs="Arial"/>
          <w:color w:val="000000" w:themeColor="text1"/>
        </w:rPr>
        <w:fldChar w:fldCharType="begin"/>
      </w:r>
      <w:r w:rsidRPr="00DC07FC">
        <w:rPr>
          <w:rFonts w:ascii="Bookman Old Style" w:hAnsi="Bookman Old Style" w:cs="Arial"/>
          <w:color w:val="000000" w:themeColor="text1"/>
        </w:rPr>
        <w:instrText xml:space="preserve"> REF _Ref336266482 \r \h  \* MERGEFORMAT </w:instrText>
      </w:r>
      <w:r w:rsidRPr="00DC07FC">
        <w:rPr>
          <w:rFonts w:ascii="Bookman Old Style" w:hAnsi="Bookman Old Style" w:cs="Arial"/>
          <w:color w:val="000000" w:themeColor="text1"/>
        </w:rPr>
      </w:r>
      <w:r w:rsidRPr="00DC07FC">
        <w:rPr>
          <w:rFonts w:ascii="Bookman Old Style" w:hAnsi="Bookman Old Style" w:cs="Arial"/>
          <w:color w:val="000000" w:themeColor="text1"/>
        </w:rPr>
        <w:fldChar w:fldCharType="separate"/>
      </w:r>
      <w:r w:rsidR="00A24E5E">
        <w:rPr>
          <w:rFonts w:ascii="Bookman Old Style" w:hAnsi="Bookman Old Style" w:cs="Arial"/>
          <w:color w:val="000000" w:themeColor="text1"/>
        </w:rPr>
        <w:t>a</w:t>
      </w:r>
      <w:r w:rsidRPr="00DC07FC">
        <w:rPr>
          <w:rFonts w:ascii="Bookman Old Style" w:hAnsi="Bookman Old Style" w:cs="Arial"/>
          <w:color w:val="000000" w:themeColor="text1"/>
        </w:rPr>
        <w:fldChar w:fldCharType="end"/>
      </w:r>
      <w:r w:rsidRPr="00DC07FC">
        <w:rPr>
          <w:rFonts w:ascii="Bookman Old Style" w:hAnsi="Bookman Old Style" w:cs="Arial"/>
          <w:color w:val="000000" w:themeColor="text1"/>
        </w:rPr>
        <w:t xml:space="preserve"> de este numeral, y durante el tiempo que determine el subastador, en cada ronda el comprador habilitado le informará al subastador su demanda </w:t>
      </w:r>
      <w:r w:rsidRPr="003E6741">
        <w:rPr>
          <w:rFonts w:ascii="Bookman Old Style" w:hAnsi="Bookman Old Style" w:cs="Arial"/>
          <w:color w:val="000000" w:themeColor="text1"/>
        </w:rPr>
        <w:t xml:space="preserve">de GLP por cada uno de los productos ofrecidos, </w:t>
      </w:r>
      <w:r w:rsidRPr="003E6741">
        <w:rPr>
          <w:rFonts w:ascii="Bookman Old Style" w:hAnsi="Bookman Old Style" w:cs="Arial"/>
          <w:color w:val="000000" w:themeColor="text1"/>
          <w:lang w:val="es-CO"/>
        </w:rPr>
        <w:t>para lo cual deberá declarar la información establecida en la tabla 4. Esto lo hará a través del medio y del formato que defina el subastador.</w:t>
      </w:r>
      <w:bookmarkEnd w:id="59"/>
    </w:p>
    <w:p w:rsidR="00901EFF" w:rsidRPr="003E6741" w:rsidRDefault="00901EFF" w:rsidP="003E6741">
      <w:pPr>
        <w:autoSpaceDE w:val="0"/>
        <w:autoSpaceDN w:val="0"/>
        <w:adjustRightInd w:val="0"/>
        <w:contextualSpacing/>
        <w:jc w:val="both"/>
        <w:rPr>
          <w:rFonts w:ascii="Bookman Old Style" w:hAnsi="Bookman Old Style" w:cs="Arial"/>
          <w:color w:val="000000" w:themeColor="text1"/>
          <w:lang w:val="es-CO"/>
        </w:rPr>
      </w:pPr>
    </w:p>
    <w:p w:rsidR="00901EFF" w:rsidRPr="00DC07FC" w:rsidRDefault="00901EFF" w:rsidP="00901EFF">
      <w:pPr>
        <w:autoSpaceDE w:val="0"/>
        <w:autoSpaceDN w:val="0"/>
        <w:adjustRightInd w:val="0"/>
        <w:ind w:left="1068"/>
        <w:contextualSpacing/>
        <w:jc w:val="center"/>
        <w:rPr>
          <w:rFonts w:ascii="Bookman Old Style" w:hAnsi="Bookman Old Style" w:cs="Arial"/>
          <w:color w:val="000000" w:themeColor="text1"/>
          <w:lang w:val="es-CO"/>
        </w:rPr>
      </w:pPr>
      <w:bookmarkStart w:id="60" w:name="_Ref336339890"/>
      <w:r w:rsidRPr="003E6741">
        <w:rPr>
          <w:rFonts w:ascii="Bookman Old Style" w:hAnsi="Bookman Old Style"/>
          <w:b/>
          <w:color w:val="000000" w:themeColor="text1"/>
          <w:lang w:val="es-CO"/>
        </w:rPr>
        <w:t xml:space="preserve">Tabla </w:t>
      </w:r>
      <w:r w:rsidRPr="003E6741">
        <w:rPr>
          <w:rFonts w:ascii="Bookman Old Style" w:hAnsi="Bookman Old Style"/>
          <w:b/>
          <w:color w:val="000000" w:themeColor="text1"/>
          <w:lang w:val="es-CO"/>
        </w:rPr>
        <w:fldChar w:fldCharType="begin"/>
      </w:r>
      <w:r w:rsidRPr="003E6741">
        <w:rPr>
          <w:rFonts w:ascii="Bookman Old Style" w:hAnsi="Bookman Old Style"/>
          <w:b/>
          <w:color w:val="000000" w:themeColor="text1"/>
          <w:lang w:val="es-CO"/>
        </w:rPr>
        <w:instrText xml:space="preserve"> SEQ Tabla \* ARABIC </w:instrText>
      </w:r>
      <w:r w:rsidRPr="003E6741">
        <w:rPr>
          <w:rFonts w:ascii="Bookman Old Style" w:hAnsi="Bookman Old Style"/>
          <w:b/>
          <w:color w:val="000000" w:themeColor="text1"/>
          <w:lang w:val="es-CO"/>
        </w:rPr>
        <w:fldChar w:fldCharType="separate"/>
      </w:r>
      <w:r w:rsidR="00A24E5E">
        <w:rPr>
          <w:rFonts w:ascii="Bookman Old Style" w:hAnsi="Bookman Old Style"/>
          <w:b/>
          <w:noProof/>
          <w:color w:val="000000" w:themeColor="text1"/>
          <w:lang w:val="es-CO"/>
        </w:rPr>
        <w:t>4</w:t>
      </w:r>
      <w:r w:rsidRPr="003E6741">
        <w:rPr>
          <w:rFonts w:ascii="Bookman Old Style" w:hAnsi="Bookman Old Style"/>
          <w:b/>
          <w:color w:val="000000" w:themeColor="text1"/>
          <w:lang w:val="es-CO"/>
        </w:rPr>
        <w:fldChar w:fldCharType="end"/>
      </w:r>
      <w:bookmarkEnd w:id="60"/>
      <w:r w:rsidRPr="003E6741">
        <w:rPr>
          <w:rFonts w:ascii="Bookman Old Style" w:hAnsi="Bookman Old Style"/>
          <w:b/>
          <w:color w:val="000000" w:themeColor="text1"/>
          <w:lang w:val="es-CO"/>
        </w:rPr>
        <w:t>. Demanda de GLP en la ronda r</w:t>
      </w:r>
    </w:p>
    <w:p w:rsidR="00901EFF" w:rsidRPr="00DC07FC" w:rsidRDefault="00901EFF" w:rsidP="003E6741">
      <w:pPr>
        <w:autoSpaceDE w:val="0"/>
        <w:autoSpaceDN w:val="0"/>
        <w:adjustRightInd w:val="0"/>
        <w:contextualSpacing/>
        <w:jc w:val="both"/>
        <w:rPr>
          <w:rFonts w:ascii="Bookman Old Style" w:hAnsi="Bookman Old Style" w:cs="Arial"/>
          <w:color w:val="000000" w:themeColor="text1"/>
          <w:lang w:val="es-CO"/>
        </w:rPr>
      </w:pPr>
    </w:p>
    <w:tbl>
      <w:tblPr>
        <w:tblStyle w:val="Tablaconcuadrcula"/>
        <w:tblW w:w="7656" w:type="dxa"/>
        <w:jc w:val="center"/>
        <w:tblLook w:val="04A0" w:firstRow="1" w:lastRow="0" w:firstColumn="1" w:lastColumn="0" w:noHBand="0" w:noVBand="1"/>
      </w:tblPr>
      <w:tblGrid>
        <w:gridCol w:w="2552"/>
        <w:gridCol w:w="2552"/>
        <w:gridCol w:w="2552"/>
      </w:tblGrid>
      <w:tr w:rsidR="00901EFF" w:rsidRPr="00DC07FC" w:rsidTr="00744CA5">
        <w:trPr>
          <w:trHeight w:val="788"/>
          <w:jc w:val="center"/>
        </w:trPr>
        <w:tc>
          <w:tcPr>
            <w:tcW w:w="2552" w:type="dxa"/>
            <w:vAlign w:val="center"/>
          </w:tcPr>
          <w:p w:rsidR="00901EFF" w:rsidRPr="00DC07FC" w:rsidRDefault="00901EFF" w:rsidP="00744CA5">
            <w:pPr>
              <w:pStyle w:val="Textoindependiente"/>
              <w:ind w:left="0"/>
              <w:contextualSpacing/>
              <w:rPr>
                <w:rFonts w:ascii="Bookman Old Style" w:hAnsi="Bookman Old Style"/>
                <w:color w:val="000000" w:themeColor="text1"/>
                <w:lang w:val="es-CO"/>
              </w:rPr>
            </w:pPr>
            <w:r w:rsidRPr="00DC07FC">
              <w:rPr>
                <w:rFonts w:ascii="Bookman Old Style" w:hAnsi="Bookman Old Style"/>
                <w:color w:val="000000" w:themeColor="text1"/>
                <w:lang w:val="es-CO"/>
              </w:rPr>
              <w:t>Producto</w:t>
            </w:r>
          </w:p>
        </w:tc>
        <w:tc>
          <w:tcPr>
            <w:tcW w:w="2552" w:type="dxa"/>
            <w:vAlign w:val="center"/>
          </w:tcPr>
          <w:p w:rsidR="00901EFF" w:rsidRPr="00DC07FC" w:rsidRDefault="00901EFF" w:rsidP="00744CA5">
            <w:pPr>
              <w:pStyle w:val="Textoindependiente"/>
              <w:ind w:left="0"/>
              <w:contextualSpacing/>
              <w:rPr>
                <w:rFonts w:ascii="Bookman Old Style" w:hAnsi="Bookman Old Style"/>
                <w:color w:val="000000" w:themeColor="text1"/>
                <w:lang w:val="es-CO"/>
              </w:rPr>
            </w:pPr>
            <w:r w:rsidRPr="00DC07FC">
              <w:rPr>
                <w:rFonts w:ascii="Bookman Old Style" w:hAnsi="Bookman Old Style"/>
                <w:color w:val="000000" w:themeColor="text1"/>
                <w:lang w:val="es-CO"/>
              </w:rPr>
              <w:t>Cantidad</w:t>
            </w:r>
          </w:p>
        </w:tc>
        <w:tc>
          <w:tcPr>
            <w:tcW w:w="2552" w:type="dxa"/>
            <w:vAlign w:val="center"/>
          </w:tcPr>
          <w:p w:rsidR="00901EFF" w:rsidRPr="00DC07FC" w:rsidRDefault="00901EFF" w:rsidP="00744CA5">
            <w:pPr>
              <w:pStyle w:val="Textoindependiente"/>
              <w:ind w:left="0"/>
              <w:contextualSpacing/>
              <w:rPr>
                <w:rFonts w:ascii="Bookman Old Style" w:hAnsi="Bookman Old Style"/>
                <w:color w:val="000000" w:themeColor="text1"/>
                <w:lang w:val="es-CO"/>
              </w:rPr>
            </w:pPr>
            <w:r w:rsidRPr="00DC07FC">
              <w:rPr>
                <w:rFonts w:ascii="Bookman Old Style" w:hAnsi="Bookman Old Style"/>
                <w:color w:val="000000" w:themeColor="text1"/>
                <w:lang w:val="es-CO"/>
              </w:rPr>
              <w:t>Precio de disminución</w:t>
            </w:r>
          </w:p>
        </w:tc>
      </w:tr>
      <w:tr w:rsidR="00901EFF" w:rsidRPr="00DC07FC" w:rsidTr="00744CA5">
        <w:trPr>
          <w:trHeight w:val="481"/>
          <w:jc w:val="center"/>
        </w:trPr>
        <w:tc>
          <w:tcPr>
            <w:tcW w:w="2552" w:type="dxa"/>
            <w:vAlign w:val="center"/>
          </w:tcPr>
          <w:p w:rsidR="00901EFF" w:rsidRPr="00DC07FC" w:rsidRDefault="001907E3" w:rsidP="00744CA5">
            <w:pPr>
              <w:pStyle w:val="Textoindependiente"/>
              <w:ind w:left="0"/>
              <w:contextualSpacing/>
              <w:rPr>
                <w:rFonts w:ascii="Bookman Old Style" w:hAnsi="Bookman Old Style"/>
                <w:b w:val="0"/>
                <w:color w:val="000000" w:themeColor="text1"/>
                <w:lang w:val="es-CO"/>
              </w:rPr>
            </w:pPr>
            <m:oMathPara>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oMath>
            </m:oMathPara>
          </w:p>
        </w:tc>
        <w:tc>
          <w:tcPr>
            <w:tcW w:w="2552" w:type="dxa"/>
            <w:vAlign w:val="center"/>
          </w:tcPr>
          <w:p w:rsidR="00901EFF" w:rsidRPr="00DC07FC" w:rsidRDefault="001907E3" w:rsidP="00744CA5">
            <w:pPr>
              <w:pStyle w:val="Textoindependiente"/>
              <w:ind w:left="0"/>
              <w:contextualSpacing/>
              <w:rPr>
                <w:rFonts w:ascii="Bookman Old Style" w:hAnsi="Bookman Old Style"/>
                <w:b w:val="0"/>
                <w:color w:val="000000" w:themeColor="text1"/>
                <w:lang w:val="es-CO"/>
              </w:rPr>
            </w:pPr>
            <m:oMathPara>
              <m:oMath>
                <m:sSubSup>
                  <m:sSubSupPr>
                    <m:ctrlPr>
                      <w:rPr>
                        <w:rFonts w:ascii="Cambria Math" w:hAnsi="Cambria Math"/>
                        <w:b w:val="0"/>
                        <w:i/>
                        <w:color w:val="000000" w:themeColor="text1"/>
                        <w:lang w:val="es-CO"/>
                      </w:rPr>
                    </m:ctrlPr>
                  </m:sSubSupPr>
                  <m:e>
                    <m:r>
                      <m:rPr>
                        <m:sty m:val="bi"/>
                      </m:rPr>
                      <w:rPr>
                        <w:rFonts w:ascii="Cambria Math" w:hAnsi="Cambria Math"/>
                        <w:color w:val="000000" w:themeColor="text1"/>
                        <w:lang w:val="es-CO"/>
                      </w:rPr>
                      <m:t>D</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pe,ma,c</m:t>
                        </m:r>
                      </m:sub>
                    </m:sSub>
                  </m:sub>
                  <m:sup>
                    <m:r>
                      <m:rPr>
                        <m:sty m:val="bi"/>
                      </m:rPr>
                      <w:rPr>
                        <w:rFonts w:ascii="Cambria Math" w:hAnsi="Cambria Math"/>
                        <w:color w:val="000000" w:themeColor="text1"/>
                        <w:lang w:val="es-CO"/>
                      </w:rPr>
                      <m:t>r</m:t>
                    </m:r>
                  </m:sup>
                </m:sSubSup>
              </m:oMath>
            </m:oMathPara>
          </w:p>
        </w:tc>
        <w:tc>
          <w:tcPr>
            <w:tcW w:w="2552" w:type="dxa"/>
            <w:vAlign w:val="center"/>
          </w:tcPr>
          <w:p w:rsidR="00901EFF" w:rsidRPr="00DC07FC" w:rsidRDefault="001907E3" w:rsidP="00744CA5">
            <w:pPr>
              <w:pStyle w:val="Textoindependiente"/>
              <w:ind w:left="0"/>
              <w:contextualSpacing/>
              <w:rPr>
                <w:rFonts w:ascii="Bookman Old Style" w:hAnsi="Bookman Old Style"/>
                <w:b w:val="0"/>
                <w:color w:val="000000" w:themeColor="text1"/>
                <w:lang w:val="es-CO"/>
              </w:rPr>
            </w:pPr>
            <m:oMathPara>
              <m:oMath>
                <m:sSubSup>
                  <m:sSubSupPr>
                    <m:ctrlPr>
                      <w:rPr>
                        <w:rFonts w:ascii="Cambria Math" w:hAnsi="Cambria Math"/>
                        <w:b w:val="0"/>
                        <w:i/>
                        <w:color w:val="000000" w:themeColor="text1"/>
                        <w:lang w:val="es-CO"/>
                      </w:rPr>
                    </m:ctrlPr>
                  </m:sSubSupPr>
                  <m:e>
                    <m:r>
                      <m:rPr>
                        <m:sty m:val="bi"/>
                      </m:rPr>
                      <w:rPr>
                        <w:rFonts w:ascii="Cambria Math" w:hAnsi="Cambria Math"/>
                        <w:color w:val="000000" w:themeColor="text1"/>
                        <w:lang w:val="es-CO"/>
                      </w:rPr>
                      <m:t>PD</m:t>
                    </m:r>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pe,ma,c</m:t>
                        </m:r>
                      </m:sub>
                    </m:sSub>
                  </m:sub>
                  <m:sup>
                    <m:r>
                      <m:rPr>
                        <m:sty m:val="bi"/>
                      </m:rPr>
                      <w:rPr>
                        <w:rFonts w:ascii="Cambria Math" w:hAnsi="Cambria Math"/>
                        <w:color w:val="000000" w:themeColor="text1"/>
                        <w:lang w:val="es-CO"/>
                      </w:rPr>
                      <m:t>r+1</m:t>
                    </m:r>
                  </m:sup>
                </m:sSubSup>
              </m:oMath>
            </m:oMathPara>
          </w:p>
        </w:tc>
      </w:tr>
    </w:tbl>
    <w:p w:rsidR="00901EFF" w:rsidRPr="00DC07FC" w:rsidRDefault="00901EFF" w:rsidP="00901EFF">
      <w:pPr>
        <w:pStyle w:val="ARTICULOS"/>
      </w:pPr>
    </w:p>
    <w:p w:rsidR="00901EFF" w:rsidRPr="00DC07FC" w:rsidRDefault="00901EFF" w:rsidP="00901EFF">
      <w:pPr>
        <w:pStyle w:val="ARTICULOS"/>
      </w:pPr>
      <w:r w:rsidRPr="00DC07FC">
        <w:t>Donde:</w:t>
      </w:r>
    </w:p>
    <w:p w:rsidR="00901EFF" w:rsidRPr="00DC07FC" w:rsidRDefault="00901EFF" w:rsidP="00901EFF">
      <w:pPr>
        <w:pStyle w:val="ARTICULOS"/>
        <w:rPr>
          <w:b/>
          <w:lang w:val="es-CO"/>
        </w:rPr>
      </w:pPr>
    </w:p>
    <w:tbl>
      <w:tblPr>
        <w:tblStyle w:val="Tablaconcuadrcula"/>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293"/>
        <w:gridCol w:w="6549"/>
      </w:tblGrid>
      <w:tr w:rsidR="00901EFF" w:rsidRPr="00DC07FC" w:rsidTr="00744CA5">
        <w:tc>
          <w:tcPr>
            <w:tcW w:w="1276" w:type="dxa"/>
          </w:tcPr>
          <w:p w:rsidR="00901EFF" w:rsidRPr="00DC07FC" w:rsidRDefault="001907E3" w:rsidP="00744CA5">
            <w:pPr>
              <w:ind w:left="0"/>
              <w:contextualSpacing/>
              <w:jc w:val="both"/>
              <w:outlineLvl w:val="0"/>
              <w:rPr>
                <w:rFonts w:ascii="Bookman Old Style" w:hAnsi="Bookman Old Style" w:cs="Arial"/>
                <w:b/>
                <w:color w:val="000000" w:themeColor="text1"/>
              </w:rPr>
            </w:pPr>
            <m:oMathPara>
              <m:oMathParaPr>
                <m:jc m:val="left"/>
              </m:oMathParaPr>
              <m:oMath>
                <m:sSubSup>
                  <m:sSubSupPr>
                    <m:ctrlPr>
                      <w:rPr>
                        <w:rFonts w:ascii="Cambria Math" w:hAnsi="Cambria Math" w:cs="Arial"/>
                        <w:b/>
                        <w:i/>
                        <w:color w:val="000000" w:themeColor="text1"/>
                        <w:lang w:val="es-CO"/>
                      </w:rPr>
                    </m:ctrlPr>
                  </m:sSubSupPr>
                  <m:e>
                    <m:r>
                      <m:rPr>
                        <m:sty m:val="bi"/>
                      </m:rPr>
                      <w:rPr>
                        <w:rFonts w:ascii="Cambria Math" w:hAnsi="Cambria Math"/>
                        <w:color w:val="000000" w:themeColor="text1"/>
                        <w:lang w:val="es-CO"/>
                      </w:rPr>
                      <m:t>D</m:t>
                    </m:r>
                  </m:e>
                  <m:sub>
                    <m:sSub>
                      <m:sSubPr>
                        <m:ctrlPr>
                          <w:rPr>
                            <w:rFonts w:ascii="Cambria Math" w:hAnsi="Cambria Math"/>
                            <w:b/>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pe,ma,c</m:t>
                        </m:r>
                      </m:sub>
                    </m:sSub>
                  </m:sub>
                  <m:sup>
                    <m:r>
                      <m:rPr>
                        <m:sty m:val="bi"/>
                      </m:rPr>
                      <w:rPr>
                        <w:rFonts w:ascii="Cambria Math" w:hAnsi="Cambria Math"/>
                        <w:color w:val="000000" w:themeColor="text1"/>
                        <w:lang w:val="es-CO"/>
                      </w:rPr>
                      <m:t>r</m:t>
                    </m:r>
                  </m:sup>
                </m:sSubSup>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6761"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 xml:space="preserve">Cantidad de GLP del producto </w:t>
            </w:r>
            <m:oMath>
              <m:sSub>
                <m:sSubPr>
                  <m:ctrlPr>
                    <w:rPr>
                      <w:rFonts w:ascii="Cambria Math" w:hAnsi="Cambria Math"/>
                      <w:b/>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m:t>
                  </m:r>
                </m:sub>
              </m:sSub>
            </m:oMath>
            <w:r w:rsidRPr="00DC07FC">
              <w:rPr>
                <w:rFonts w:ascii="Bookman Old Style" w:hAnsi="Bookman Old Style" w:cs="Arial"/>
                <w:color w:val="000000" w:themeColor="text1"/>
              </w:rPr>
              <w:t xml:space="preserve"> demandada en la ronda </w:t>
            </w:r>
            <m:oMath>
              <m:r>
                <w:rPr>
                  <w:rFonts w:ascii="Cambria Math" w:hAnsi="Cambria Math" w:cs="Arial"/>
                  <w:color w:val="000000" w:themeColor="text1"/>
                </w:rPr>
                <m:t>r</m:t>
              </m:r>
            </m:oMath>
            <w:r w:rsidRPr="00DC07FC">
              <w:rPr>
                <w:rFonts w:ascii="Bookman Old Style" w:hAnsi="Bookman Old Style" w:cs="Arial"/>
                <w:color w:val="000000" w:themeColor="text1"/>
              </w:rPr>
              <w:t xml:space="preserve"> por parte del comprador habilitado </w:t>
            </w:r>
            <m:oMath>
              <m:r>
                <w:rPr>
                  <w:rFonts w:ascii="Cambria Math" w:hAnsi="Cambria Math" w:cs="Arial"/>
                  <w:color w:val="000000" w:themeColor="text1"/>
                </w:rPr>
                <m:t>c</m:t>
              </m:r>
            </m:oMath>
            <w:r w:rsidRPr="00DC07FC">
              <w:rPr>
                <w:rFonts w:ascii="Bookman Old Style" w:hAnsi="Bookman Old Style" w:cs="Arial"/>
                <w:color w:val="000000" w:themeColor="text1"/>
              </w:rPr>
              <w:t>. Este valor se expresará en KGD.</w:t>
            </w:r>
          </w:p>
          <w:p w:rsidR="00901EFF" w:rsidRPr="00DC07FC" w:rsidRDefault="00901EFF" w:rsidP="00744CA5">
            <w:pPr>
              <w:ind w:left="0"/>
              <w:contextualSpacing/>
              <w:jc w:val="both"/>
              <w:outlineLvl w:val="0"/>
              <w:rPr>
                <w:rFonts w:ascii="Bookman Old Style" w:hAnsi="Bookman Old Style" w:cs="Arial"/>
                <w:color w:val="000000" w:themeColor="text1"/>
              </w:rPr>
            </w:pPr>
          </w:p>
        </w:tc>
      </w:tr>
      <w:tr w:rsidR="00901EFF" w:rsidRPr="00DC07FC" w:rsidTr="00744CA5">
        <w:tc>
          <w:tcPr>
            <w:tcW w:w="1276" w:type="dxa"/>
          </w:tcPr>
          <w:p w:rsidR="00901EFF" w:rsidRPr="00DC07FC" w:rsidRDefault="001907E3" w:rsidP="00744CA5">
            <w:pPr>
              <w:ind w:left="0"/>
              <w:contextualSpacing/>
              <w:jc w:val="both"/>
              <w:outlineLvl w:val="0"/>
              <w:rPr>
                <w:rFonts w:ascii="Bookman Old Style" w:hAnsi="Bookman Old Style" w:cs="Arial"/>
                <w:b/>
                <w:color w:val="000000" w:themeColor="text1"/>
                <w:lang w:val="es-CO"/>
              </w:rPr>
            </w:pPr>
            <m:oMathPara>
              <m:oMathParaPr>
                <m:jc m:val="left"/>
              </m:oMathParaPr>
              <m:oMath>
                <m:sSubSup>
                  <m:sSubSupPr>
                    <m:ctrlPr>
                      <w:rPr>
                        <w:rFonts w:ascii="Cambria Math" w:hAnsi="Cambria Math" w:cs="Arial"/>
                        <w:bCs/>
                        <w:i/>
                        <w:color w:val="000000" w:themeColor="text1"/>
                        <w:lang w:val="es-CO"/>
                      </w:rPr>
                    </m:ctrlPr>
                  </m:sSubSupPr>
                  <m:e>
                    <m:r>
                      <m:rPr>
                        <m:sty m:val="bi"/>
                      </m:rPr>
                      <w:rPr>
                        <w:rFonts w:ascii="Cambria Math" w:hAnsi="Cambria Math"/>
                        <w:color w:val="000000" w:themeColor="text1"/>
                        <w:lang w:val="es-CO"/>
                      </w:rPr>
                      <m:t>PD</m:t>
                    </m:r>
                  </m:e>
                  <m:sub>
                    <m:sSub>
                      <m:sSubPr>
                        <m:ctrlPr>
                          <w:rPr>
                            <w:rFonts w:ascii="Cambria Math" w:hAnsi="Cambria Math"/>
                            <w:b/>
                            <w:i/>
                            <w:color w:val="000000" w:themeColor="text1"/>
                            <w:lang w:val="es-CO"/>
                          </w:rPr>
                        </m:ctrlPr>
                      </m:sSubPr>
                      <m:e>
                        <m:r>
                          <m:rPr>
                            <m:sty m:val="bi"/>
                          </m:rPr>
                          <w:rPr>
                            <w:rFonts w:ascii="Cambria Math" w:hAnsi="Cambria Math"/>
                            <w:color w:val="000000" w:themeColor="text1"/>
                            <w:lang w:val="es-CO"/>
                          </w:rPr>
                          <m:t>S</m:t>
                        </m:r>
                      </m:e>
                      <m:sub>
                        <m:r>
                          <m:rPr>
                            <m:sty m:val="bi"/>
                          </m:rPr>
                          <w:rPr>
                            <w:rFonts w:ascii="Cambria Math" w:hAnsi="Cambria Math"/>
                            <w:color w:val="000000" w:themeColor="text1"/>
                            <w:lang w:val="es-CO"/>
                          </w:rPr>
                          <m:t>pe,ma,c</m:t>
                        </m:r>
                      </m:sub>
                    </m:sSub>
                  </m:sub>
                  <m:sup>
                    <m:r>
                      <m:rPr>
                        <m:sty m:val="bi"/>
                      </m:rPr>
                      <w:rPr>
                        <w:rFonts w:ascii="Cambria Math" w:hAnsi="Cambria Math"/>
                        <w:color w:val="000000" w:themeColor="text1"/>
                        <w:lang w:val="es-CO"/>
                      </w:rPr>
                      <m:t>r+1</m:t>
                    </m:r>
                  </m:sup>
                </m:sSubSup>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6761"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 xml:space="preserve">Precio al cual el comprador habilitado </w:t>
            </w:r>
            <m:oMath>
              <m:r>
                <w:rPr>
                  <w:rFonts w:ascii="Cambria Math" w:hAnsi="Cambria Math" w:cs="Arial"/>
                  <w:color w:val="000000" w:themeColor="text1"/>
                </w:rPr>
                <m:t>c</m:t>
              </m:r>
            </m:oMath>
            <w:r w:rsidRPr="00DC07FC">
              <w:rPr>
                <w:rFonts w:ascii="Bookman Old Style" w:hAnsi="Bookman Old Style" w:cs="Arial"/>
                <w:color w:val="000000" w:themeColor="text1"/>
              </w:rPr>
              <w:t xml:space="preserve"> disminuye su demanda máxima</w:t>
            </w:r>
            <w:proofErr w:type="gramStart"/>
            <w:r w:rsidRPr="00DC07FC">
              <w:rPr>
                <w:rFonts w:ascii="Bookman Old Style" w:hAnsi="Bookman Old Style" w:cs="Arial"/>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ma,c</m:t>
                  </m:r>
                </m:sub>
              </m:sSub>
            </m:oMath>
            <w:r w:rsidRPr="00DC07FC">
              <w:rPr>
                <w:rFonts w:ascii="Bookman Old Style" w:hAnsi="Bookman Old Style" w:cs="Arial"/>
                <w:color w:val="000000" w:themeColor="text1"/>
              </w:rPr>
              <w:t>,</w:t>
            </w:r>
            <w:proofErr w:type="gramEnd"/>
            <w:r w:rsidRPr="00DC07FC">
              <w:rPr>
                <w:rFonts w:ascii="Bookman Old Style" w:hAnsi="Bookman Old Style" w:cs="Arial"/>
                <w:color w:val="000000" w:themeColor="text1"/>
              </w:rPr>
              <w:t xml:space="preserve"> para los productos con inicio en la entrega de GLP en el mes y año </w:t>
            </w:r>
            <m:oMath>
              <m:r>
                <w:rPr>
                  <w:rFonts w:ascii="Cambria Math" w:hAnsi="Cambria Math" w:cs="Arial"/>
                  <w:color w:val="000000" w:themeColor="text1"/>
                </w:rPr>
                <m:t>ma</m:t>
              </m:r>
            </m:oMath>
            <w:r w:rsidRPr="00DC07FC">
              <w:rPr>
                <w:rFonts w:ascii="Bookman Old Style" w:hAnsi="Bookman Old Style" w:cs="Arial"/>
                <w:color w:val="000000" w:themeColor="text1"/>
              </w:rPr>
              <w:t>.</w:t>
            </w:r>
          </w:p>
          <w:p w:rsidR="00901EFF" w:rsidRPr="00DC07FC" w:rsidRDefault="00901EFF" w:rsidP="00744CA5">
            <w:pPr>
              <w:ind w:left="0"/>
              <w:contextualSpacing/>
              <w:jc w:val="both"/>
              <w:outlineLvl w:val="0"/>
              <w:rPr>
                <w:rFonts w:ascii="Bookman Old Style" w:hAnsi="Bookman Old Style" w:cs="Arial"/>
                <w:color w:val="000000" w:themeColor="text1"/>
              </w:rPr>
            </w:pPr>
          </w:p>
        </w:tc>
      </w:tr>
    </w:tbl>
    <w:p w:rsidR="0055273E" w:rsidRDefault="0055273E" w:rsidP="00AC3CCE">
      <w:pPr>
        <w:pStyle w:val="ARTICULOS"/>
      </w:pPr>
    </w:p>
    <w:p w:rsidR="00901EFF" w:rsidRPr="00DC07FC" w:rsidRDefault="00901EFF" w:rsidP="00B32B9C">
      <w:pPr>
        <w:pStyle w:val="ARTICULOS"/>
        <w:ind w:left="567"/>
      </w:pPr>
      <w:r w:rsidRPr="00DC07FC">
        <w:lastRenderedPageBreak/>
        <w:t>En el evento en que una declaración de demanda no se ajuste a lo dispuesto en este numeral, el subastador entenderá que el comprador habilitado se retiró de la subasta.</w:t>
      </w:r>
    </w:p>
    <w:p w:rsidR="00901EFF" w:rsidRPr="00DC07FC" w:rsidRDefault="00901EFF" w:rsidP="00901EFF">
      <w:pPr>
        <w:pStyle w:val="ARTICULOS"/>
      </w:pPr>
    </w:p>
    <w:p w:rsidR="00901EFF" w:rsidRPr="00DC07FC" w:rsidRDefault="00901EFF" w:rsidP="00B32B9C">
      <w:pPr>
        <w:numPr>
          <w:ilvl w:val="0"/>
          <w:numId w:val="27"/>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Una vez recibidas las declaraciones de demanda y para finalizar cada ronda r de la subasta, el subastador hará pública la siguiente información para cada producto</w:t>
      </w:r>
      <w:r w:rsidRPr="00DC07FC">
        <w:rPr>
          <w:rFonts w:ascii="Bookman Old Style" w:hAnsi="Bookman Old Style" w:cs="Arial"/>
          <w:color w:val="000000" w:themeColor="text1"/>
          <w:lang w:val="es-CO"/>
        </w:rPr>
        <w:t>.</w:t>
      </w:r>
    </w:p>
    <w:p w:rsidR="00901EFF" w:rsidRPr="00DC07FC" w:rsidRDefault="00901EFF" w:rsidP="00B32B9C">
      <w:pPr>
        <w:pStyle w:val="ARTICULOS"/>
        <w:rPr>
          <w:lang w:val="es-CO"/>
        </w:rPr>
      </w:pPr>
    </w:p>
    <w:p w:rsidR="00901EFF" w:rsidRPr="00DC07FC" w:rsidRDefault="00901EFF" w:rsidP="00901EFF">
      <w:pPr>
        <w:pStyle w:val="ARTICULOS"/>
        <w:numPr>
          <w:ilvl w:val="0"/>
          <w:numId w:val="53"/>
        </w:numPr>
      </w:pPr>
      <w:r w:rsidRPr="00DC07FC">
        <w:t>Si hay o no exceso de demanda.</w:t>
      </w:r>
    </w:p>
    <w:p w:rsidR="00901EFF" w:rsidRPr="00DC07FC" w:rsidRDefault="00901EFF" w:rsidP="00901EFF">
      <w:pPr>
        <w:pStyle w:val="ARTICULOS"/>
        <w:rPr>
          <w:lang w:val="es-CO"/>
        </w:rPr>
      </w:pPr>
    </w:p>
    <w:p w:rsidR="00901EFF" w:rsidRPr="00DC07FC" w:rsidRDefault="00901EFF" w:rsidP="00901EFF">
      <w:pPr>
        <w:pStyle w:val="ARTICULOS"/>
        <w:numPr>
          <w:ilvl w:val="0"/>
          <w:numId w:val="53"/>
        </w:numPr>
      </w:pPr>
      <w:r w:rsidRPr="00DC07FC">
        <w:t>Precio de cierre de la siguiente ronda,</w:t>
      </w:r>
      <m:oMath>
        <m:r>
          <m:rPr>
            <m:sty m:val="bi"/>
          </m:rPr>
          <w:rPr>
            <w:rFonts w:ascii="Cambria Math" w:hAnsi="Cambria Math"/>
          </w:rPr>
          <m:t xml:space="preserve"> </m:t>
        </m:r>
        <m:sSubSup>
          <m:sSubSupPr>
            <m:ctrlPr>
              <w:rPr>
                <w:rFonts w:ascii="Cambria Math" w:hAnsi="Cambria Math"/>
                <w:b/>
                <w:i/>
              </w:rPr>
            </m:ctrlPr>
          </m:sSubSupPr>
          <m:e>
            <m:r>
              <m:rPr>
                <m:sty m:val="bi"/>
              </m:rPr>
              <w:rPr>
                <w:rFonts w:ascii="Cambria Math" w:hAnsi="Cambria Math"/>
              </w:rPr>
              <m:t>p</m:t>
            </m:r>
          </m:e>
          <m:sub>
            <m:sSub>
              <m:sSubPr>
                <m:ctrlPr>
                  <w:rPr>
                    <w:rFonts w:ascii="Cambria Math" w:hAnsi="Cambria Math"/>
                    <w:i/>
                  </w:rPr>
                </m:ctrlPr>
              </m:sSubPr>
              <m:e>
                <m:r>
                  <w:rPr>
                    <w:rFonts w:ascii="Cambria Math" w:hAnsi="Cambria Math"/>
                  </w:rPr>
                  <m:t>S</m:t>
                </m:r>
              </m:e>
              <m:sub>
                <m:r>
                  <w:rPr>
                    <w:rFonts w:ascii="Cambria Math" w:hAnsi="Cambria Math"/>
                  </w:rPr>
                  <m:t>pe,ma</m:t>
                </m:r>
              </m:sub>
            </m:sSub>
          </m:sub>
          <m:sup>
            <m:r>
              <m:rPr>
                <m:sty m:val="bi"/>
              </m:rPr>
              <w:rPr>
                <w:rFonts w:ascii="Cambria Math" w:hAnsi="Cambria Math"/>
              </w:rPr>
              <m:t>r+1</m:t>
            </m:r>
          </m:sup>
        </m:sSubSup>
      </m:oMath>
      <w:r w:rsidRPr="00DC07FC">
        <w:t xml:space="preserve">, que será igual al mínimo precio de disminución, </w:t>
      </w:r>
      <m:oMath>
        <m:sSubSup>
          <m:sSubSupPr>
            <m:ctrlPr>
              <w:rPr>
                <w:rFonts w:ascii="Cambria Math" w:hAnsi="Cambria Math"/>
                <w:i/>
              </w:rPr>
            </m:ctrlPr>
          </m:sSubSupPr>
          <m:e>
            <m:r>
              <w:rPr>
                <w:rFonts w:ascii="Cambria Math" w:hAnsi="Cambria Math"/>
              </w:rPr>
              <m:t>PD</m:t>
            </m:r>
          </m:e>
          <m:sub>
            <m:sSub>
              <m:sSubPr>
                <m:ctrlPr>
                  <w:rPr>
                    <w:rFonts w:ascii="Cambria Math" w:hAnsi="Cambria Math"/>
                    <w:i/>
                  </w:rPr>
                </m:ctrlPr>
              </m:sSubPr>
              <m:e>
                <m:r>
                  <w:rPr>
                    <w:rFonts w:ascii="Cambria Math" w:hAnsi="Cambria Math"/>
                  </w:rPr>
                  <m:t>S</m:t>
                </m:r>
              </m:e>
              <m:sub>
                <m:r>
                  <w:rPr>
                    <w:rFonts w:ascii="Cambria Math" w:hAnsi="Cambria Math"/>
                  </w:rPr>
                  <m:t>pe,ma,c</m:t>
                </m:r>
              </m:sub>
            </m:sSub>
          </m:sub>
          <m:sup>
            <m:r>
              <w:rPr>
                <w:rFonts w:ascii="Cambria Math" w:hAnsi="Cambria Math"/>
              </w:rPr>
              <m:t>r+1</m:t>
            </m:r>
          </m:sup>
        </m:sSubSup>
      </m:oMath>
      <w:r w:rsidRPr="00DC07FC">
        <w:t xml:space="preserve">, informado por los compradores habilitados </w:t>
      </w:r>
      <m:oMath>
        <m:r>
          <w:rPr>
            <w:rFonts w:ascii="Cambria Math" w:hAnsi="Cambria Math"/>
          </w:rPr>
          <m:t>c</m:t>
        </m:r>
      </m:oMath>
      <w:r w:rsidRPr="00DC07FC">
        <w:t xml:space="preserve"> que demandaron el producto.</w:t>
      </w:r>
    </w:p>
    <w:p w:rsidR="00901EFF" w:rsidRPr="00DC07FC" w:rsidRDefault="00901EFF" w:rsidP="00901EFF">
      <w:pPr>
        <w:pStyle w:val="ARTICULOS"/>
        <w:rPr>
          <w:lang w:val="es-CO"/>
        </w:rPr>
      </w:pPr>
    </w:p>
    <w:p w:rsidR="00901EFF" w:rsidRPr="00DC07FC" w:rsidRDefault="00901EFF" w:rsidP="00901EFF">
      <w:pPr>
        <w:pStyle w:val="ARTICULOS"/>
        <w:numPr>
          <w:ilvl w:val="0"/>
          <w:numId w:val="53"/>
        </w:numPr>
      </w:pPr>
      <w:r w:rsidRPr="00DC07FC">
        <w:t xml:space="preserve">Oferta de GLP,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pe,ma</m:t>
                </m:r>
              </m:sub>
            </m:sSub>
          </m:sub>
        </m:sSub>
        <m:d>
          <m:dPr>
            <m:ctrlPr>
              <w:rPr>
                <w:rFonts w:ascii="Cambria Math" w:hAnsi="Cambria Math"/>
                <w:i/>
              </w:rPr>
            </m:ctrlPr>
          </m:dPr>
          <m:e>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S</m:t>
                    </m:r>
                  </m:e>
                  <m:sub>
                    <m:r>
                      <w:rPr>
                        <w:rFonts w:ascii="Cambria Math" w:hAnsi="Cambria Math"/>
                      </w:rPr>
                      <m:t>pe,ma</m:t>
                    </m:r>
                  </m:sub>
                </m:sSub>
              </m:sub>
              <m:sup>
                <m:r>
                  <w:rPr>
                    <w:rFonts w:ascii="Cambria Math" w:hAnsi="Cambria Math"/>
                  </w:rPr>
                  <m:t>r+1</m:t>
                </m:r>
              </m:sup>
            </m:sSubSup>
          </m:e>
        </m:d>
      </m:oMath>
      <w:r w:rsidRPr="00DC07FC">
        <w:t xml:space="preserve">, al precio de cierre de la siguiente ronda, </w:t>
      </w:r>
      <m:oMath>
        <m:r>
          <m:rPr>
            <m:sty m:val="bi"/>
          </m:rPr>
          <w:rPr>
            <w:rFonts w:ascii="Cambria Math" w:hAnsi="Cambria Math"/>
          </w:rPr>
          <m:t xml:space="preserve"> </m:t>
        </m:r>
        <m:sSubSup>
          <m:sSubSupPr>
            <m:ctrlPr>
              <w:rPr>
                <w:rFonts w:ascii="Cambria Math" w:hAnsi="Cambria Math"/>
                <w:b/>
                <w:i/>
              </w:rPr>
            </m:ctrlPr>
          </m:sSubSupPr>
          <m:e>
            <m:r>
              <m:rPr>
                <m:sty m:val="bi"/>
              </m:rPr>
              <w:rPr>
                <w:rFonts w:ascii="Cambria Math" w:hAnsi="Cambria Math"/>
              </w:rPr>
              <m:t>p</m:t>
            </m:r>
          </m:e>
          <m:sub>
            <m:sSub>
              <m:sSubPr>
                <m:ctrlPr>
                  <w:rPr>
                    <w:rFonts w:ascii="Cambria Math" w:hAnsi="Cambria Math"/>
                    <w:i/>
                  </w:rPr>
                </m:ctrlPr>
              </m:sSubPr>
              <m:e>
                <m:r>
                  <w:rPr>
                    <w:rFonts w:ascii="Cambria Math" w:hAnsi="Cambria Math"/>
                  </w:rPr>
                  <m:t>S</m:t>
                </m:r>
              </m:e>
              <m:sub>
                <m:r>
                  <w:rPr>
                    <w:rFonts w:ascii="Cambria Math" w:hAnsi="Cambria Math"/>
                  </w:rPr>
                  <m:t>pe,ma</m:t>
                </m:r>
              </m:sub>
            </m:sSub>
          </m:sub>
          <m:sup>
            <m:r>
              <m:rPr>
                <m:sty m:val="bi"/>
              </m:rPr>
              <w:rPr>
                <w:rFonts w:ascii="Cambria Math" w:hAnsi="Cambria Math"/>
              </w:rPr>
              <m:t>r+1</m:t>
            </m:r>
          </m:sup>
        </m:sSubSup>
      </m:oMath>
      <w:r w:rsidRPr="00DC07FC">
        <w:t>.</w:t>
      </w:r>
    </w:p>
    <w:p w:rsidR="00901EFF" w:rsidRPr="00DC07FC" w:rsidRDefault="00901EFF" w:rsidP="00901EFF">
      <w:pPr>
        <w:pStyle w:val="ARTICULOS"/>
        <w:rPr>
          <w:lang w:val="es-CO"/>
        </w:rPr>
      </w:pPr>
    </w:p>
    <w:p w:rsidR="00901EFF" w:rsidRPr="00DC07FC" w:rsidRDefault="00901EFF" w:rsidP="00901EFF">
      <w:pPr>
        <w:pStyle w:val="ARTICULOS"/>
        <w:numPr>
          <w:ilvl w:val="0"/>
          <w:numId w:val="53"/>
        </w:numPr>
      </w:pPr>
      <w:r w:rsidRPr="00DC07FC">
        <w:t>Duración de la siguiente ronda.</w:t>
      </w:r>
    </w:p>
    <w:p w:rsidR="00901EFF" w:rsidRPr="00DC07FC" w:rsidRDefault="00901EFF" w:rsidP="00901EFF">
      <w:pPr>
        <w:pStyle w:val="ARTICULOS"/>
      </w:pPr>
    </w:p>
    <w:p w:rsidR="00901EFF" w:rsidRPr="00DC07FC" w:rsidRDefault="00901EFF" w:rsidP="00B32B9C">
      <w:pPr>
        <w:pStyle w:val="ARTICULOS"/>
        <w:ind w:left="567"/>
      </w:pPr>
      <w:r w:rsidRPr="00DC07FC">
        <w:t>Los literales b</w:t>
      </w:r>
      <w:r w:rsidR="002822D0" w:rsidRPr="00DC07FC">
        <w:rPr>
          <w:lang w:val="es-CO"/>
        </w:rPr>
        <w:t>.</w:t>
      </w:r>
      <w:r w:rsidRPr="00DC07FC">
        <w:t xml:space="preserve"> y c</w:t>
      </w:r>
      <w:r w:rsidR="002822D0" w:rsidRPr="00DC07FC">
        <w:rPr>
          <w:lang w:val="es-CO"/>
        </w:rPr>
        <w:t>.</w:t>
      </w:r>
      <w:r w:rsidRPr="00DC07FC">
        <w:t xml:space="preserve"> de este numeral deberán repetirse hasta que pueda darse aplicación a la </w:t>
      </w:r>
      <w:r w:rsidRPr="0070600B">
        <w:t>regla de terminación de la subasta a la que hace referencia el numeral 5.</w:t>
      </w:r>
      <w:r w:rsidR="0070600B" w:rsidRPr="0070600B">
        <w:rPr>
          <w:lang w:val="es-CO"/>
        </w:rPr>
        <w:t>9</w:t>
      </w:r>
      <w:r w:rsidRPr="0070600B">
        <w:t xml:space="preserve"> de este anexo.</w:t>
      </w:r>
    </w:p>
    <w:p w:rsidR="00901EFF" w:rsidRPr="00DC07FC" w:rsidRDefault="00901EFF" w:rsidP="00901EFF">
      <w:pPr>
        <w:pStyle w:val="ARTICULOS"/>
      </w:pPr>
    </w:p>
    <w:p w:rsidR="00901EFF" w:rsidRPr="00DC07FC" w:rsidRDefault="003403A7"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Información al final de cada ronda</w:t>
      </w:r>
    </w:p>
    <w:p w:rsidR="00901EFF" w:rsidRPr="00DC07FC" w:rsidRDefault="00901EFF" w:rsidP="00901EFF">
      <w:pPr>
        <w:pStyle w:val="ARTICULOS"/>
      </w:pPr>
    </w:p>
    <w:p w:rsidR="00901EFF" w:rsidRPr="00DC07FC" w:rsidRDefault="00901EFF" w:rsidP="00901EFF">
      <w:pPr>
        <w:ind w:left="0"/>
        <w:jc w:val="both"/>
        <w:rPr>
          <w:rFonts w:ascii="Bookman Old Style" w:hAnsi="Bookman Old Style"/>
          <w:color w:val="000000" w:themeColor="text1"/>
        </w:rPr>
      </w:pPr>
      <w:r w:rsidRPr="00DC07FC">
        <w:rPr>
          <w:rFonts w:ascii="Bookman Old Style" w:hAnsi="Bookman Old Style"/>
          <w:color w:val="000000" w:themeColor="text1"/>
        </w:rPr>
        <w:t xml:space="preserve">Al final de cada ronda </w:t>
      </w:r>
      <m:oMath>
        <m:r>
          <w:rPr>
            <w:rFonts w:ascii="Cambria Math" w:hAnsi="Cambria Math" w:cs="Arial"/>
            <w:color w:val="000000" w:themeColor="text1"/>
          </w:rPr>
          <m:t>r</m:t>
        </m:r>
      </m:oMath>
      <w:r w:rsidRPr="00DC07FC">
        <w:rPr>
          <w:rFonts w:ascii="Bookman Old Style" w:hAnsi="Bookman Old Style"/>
          <w:color w:val="000000" w:themeColor="text1"/>
        </w:rPr>
        <w:t xml:space="preserve"> de la subas</w:t>
      </w:r>
      <w:r w:rsidR="0070600B">
        <w:rPr>
          <w:rFonts w:ascii="Bookman Old Style" w:hAnsi="Bookman Old Style"/>
          <w:color w:val="000000" w:themeColor="text1"/>
        </w:rPr>
        <w:t>ta, el subastador hará</w:t>
      </w:r>
      <w:r w:rsidRPr="00DC07FC">
        <w:rPr>
          <w:rFonts w:ascii="Bookman Old Style" w:hAnsi="Bookman Old Style"/>
          <w:color w:val="000000" w:themeColor="text1"/>
        </w:rPr>
        <w:t xml:space="preserve"> pública la siguiente información para cada producto:</w:t>
      </w:r>
    </w:p>
    <w:p w:rsidR="00901EFF" w:rsidRPr="00DC07FC" w:rsidRDefault="00901EFF" w:rsidP="00901EFF">
      <w:pPr>
        <w:ind w:left="0"/>
        <w:jc w:val="both"/>
        <w:rPr>
          <w:rFonts w:ascii="Bookman Old Style" w:hAnsi="Bookman Old Style"/>
          <w:color w:val="000000" w:themeColor="text1"/>
        </w:rPr>
      </w:pPr>
    </w:p>
    <w:p w:rsidR="00901EFF" w:rsidRPr="00DC07FC" w:rsidRDefault="00901EFF" w:rsidP="00B32B9C">
      <w:pPr>
        <w:numPr>
          <w:ilvl w:val="0"/>
          <w:numId w:val="78"/>
        </w:numPr>
        <w:autoSpaceDE w:val="0"/>
        <w:autoSpaceDN w:val="0"/>
        <w:adjustRightInd w:val="0"/>
        <w:ind w:left="567" w:hanging="567"/>
        <w:jc w:val="both"/>
        <w:rPr>
          <w:rFonts w:ascii="Bookman Old Style" w:hAnsi="Bookman Old Style" w:cs="Arial"/>
          <w:color w:val="000000" w:themeColor="text1"/>
        </w:rPr>
      </w:pPr>
      <w:r w:rsidRPr="00DC07FC">
        <w:rPr>
          <w:rFonts w:ascii="Bookman Old Style" w:hAnsi="Bookman Old Style" w:cs="Arial"/>
          <w:color w:val="000000" w:themeColor="text1"/>
        </w:rPr>
        <w:t>Si hay o no exceso de demanda.</w:t>
      </w:r>
    </w:p>
    <w:p w:rsidR="00901EFF" w:rsidRPr="00DC07FC" w:rsidRDefault="00901EFF" w:rsidP="00B32B9C">
      <w:pPr>
        <w:pStyle w:val="Textoindependiente"/>
        <w:ind w:hanging="567"/>
        <w:jc w:val="both"/>
        <w:rPr>
          <w:rFonts w:ascii="Bookman Old Style" w:hAnsi="Bookman Old Style"/>
          <w:color w:val="000000" w:themeColor="text1"/>
        </w:rPr>
      </w:pPr>
    </w:p>
    <w:p w:rsidR="00901EFF" w:rsidRPr="00DC07FC" w:rsidRDefault="00901EFF" w:rsidP="00B32B9C">
      <w:pPr>
        <w:numPr>
          <w:ilvl w:val="0"/>
          <w:numId w:val="78"/>
        </w:numPr>
        <w:autoSpaceDE w:val="0"/>
        <w:autoSpaceDN w:val="0"/>
        <w:adjustRightInd w:val="0"/>
        <w:ind w:left="567" w:hanging="567"/>
        <w:jc w:val="both"/>
        <w:rPr>
          <w:rFonts w:ascii="Bookman Old Style" w:hAnsi="Bookman Old Style" w:cs="Arial"/>
          <w:color w:val="000000" w:themeColor="text1"/>
        </w:rPr>
      </w:pPr>
      <w:r w:rsidRPr="00DC07FC">
        <w:rPr>
          <w:rFonts w:ascii="Bookman Old Style" w:hAnsi="Bookman Old Style" w:cs="Arial"/>
          <w:color w:val="000000" w:themeColor="text1"/>
        </w:rPr>
        <w:t xml:space="preserve">Precio de cierre de la siguiente </w:t>
      </w:r>
      <w:proofErr w:type="gramStart"/>
      <w:r w:rsidRPr="00DC07FC">
        <w:rPr>
          <w:rFonts w:ascii="Bookman Old Style" w:hAnsi="Bookman Old Style" w:cs="Arial"/>
          <w:color w:val="000000" w:themeColor="text1"/>
        </w:rPr>
        <w:t>ronda</w:t>
      </w:r>
      <w:r w:rsidRPr="00C46548">
        <w:rPr>
          <w:rFonts w:ascii="Bookman Old Style" w:hAnsi="Bookman Old Style" w:cs="Arial"/>
          <w:color w:val="000000" w:themeColor="text1"/>
        </w:rPr>
        <w:t>,</w:t>
      </w:r>
      <w:r w:rsidR="00C46548" w:rsidRPr="00C46548">
        <w:rPr>
          <w:rFonts w:ascii="Bookman Old Style" w:hAnsi="Bookman Old Style" w:cs="Arial"/>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p</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sub>
          <m:sup>
            <m:r>
              <w:rPr>
                <w:rFonts w:ascii="Cambria Math" w:hAnsi="Cambria Math"/>
                <w:color w:val="000000" w:themeColor="text1"/>
              </w:rPr>
              <m:t>r+1</m:t>
            </m:r>
          </m:sup>
        </m:sSubSup>
      </m:oMath>
      <w:r w:rsidR="00C46548" w:rsidRPr="00C46548">
        <w:rPr>
          <w:rFonts w:ascii="Bookman Old Style" w:hAnsi="Bookman Old Style" w:cs="Arial"/>
          <w:color w:val="000000" w:themeColor="text1"/>
        </w:rPr>
        <w:t>.</w:t>
      </w:r>
      <w:proofErr w:type="gramEnd"/>
    </w:p>
    <w:p w:rsidR="00901EFF" w:rsidRPr="00DC07FC" w:rsidRDefault="00901EFF" w:rsidP="00B32B9C">
      <w:pPr>
        <w:autoSpaceDE w:val="0"/>
        <w:autoSpaceDN w:val="0"/>
        <w:adjustRightInd w:val="0"/>
        <w:ind w:hanging="567"/>
        <w:jc w:val="both"/>
        <w:rPr>
          <w:rFonts w:ascii="Bookman Old Style" w:hAnsi="Bookman Old Style" w:cs="Arial"/>
          <w:color w:val="000000" w:themeColor="text1"/>
        </w:rPr>
      </w:pPr>
    </w:p>
    <w:p w:rsidR="00901EFF" w:rsidRPr="00DC07FC" w:rsidRDefault="00901EFF" w:rsidP="00B32B9C">
      <w:pPr>
        <w:numPr>
          <w:ilvl w:val="0"/>
          <w:numId w:val="78"/>
        </w:numPr>
        <w:autoSpaceDE w:val="0"/>
        <w:autoSpaceDN w:val="0"/>
        <w:adjustRightInd w:val="0"/>
        <w:ind w:left="567" w:hanging="567"/>
        <w:jc w:val="both"/>
        <w:rPr>
          <w:rFonts w:ascii="Bookman Old Style" w:hAnsi="Bookman Old Style" w:cs="Arial"/>
          <w:color w:val="000000" w:themeColor="text1"/>
        </w:rPr>
      </w:pPr>
      <w:r w:rsidRPr="00DC07FC">
        <w:rPr>
          <w:rFonts w:ascii="Bookman Old Style" w:hAnsi="Bookman Old Style" w:cs="Arial"/>
          <w:color w:val="000000" w:themeColor="text1"/>
        </w:rPr>
        <w:t>Oferta d</w:t>
      </w:r>
      <w:r w:rsidRPr="00C46548">
        <w:rPr>
          <w:rFonts w:ascii="Bookman Old Style" w:hAnsi="Bookman Old Style" w:cs="Arial"/>
          <w:color w:val="000000" w:themeColor="text1"/>
        </w:rPr>
        <w:t xml:space="preserve">e </w:t>
      </w:r>
      <w:r w:rsidR="00C46548" w:rsidRPr="00C46548">
        <w:rPr>
          <w:rFonts w:ascii="Bookman Old Style" w:hAnsi="Bookman Old Style" w:cs="Arial"/>
          <w:color w:val="000000" w:themeColor="text1"/>
        </w:rPr>
        <w:t>GLP</w:t>
      </w:r>
      <w:proofErr w:type="gramStart"/>
      <w:r w:rsidRPr="00C46548">
        <w:rPr>
          <w:rFonts w:ascii="Bookman Old Style" w:hAnsi="Bookman Old Style" w:cs="Arial"/>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sub>
        </m:sSub>
        <m:d>
          <m:dPr>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p</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sub>
              <m:sup>
                <m:r>
                  <w:rPr>
                    <w:rFonts w:ascii="Cambria Math" w:hAnsi="Cambria Math"/>
                    <w:color w:val="000000" w:themeColor="text1"/>
                  </w:rPr>
                  <m:t>r+1</m:t>
                </m:r>
              </m:sup>
            </m:sSubSup>
          </m:e>
        </m:d>
      </m:oMath>
      <w:r w:rsidRPr="00C46548">
        <w:rPr>
          <w:rFonts w:ascii="Bookman Old Style" w:hAnsi="Bookman Old Style" w:cs="Arial"/>
          <w:color w:val="000000" w:themeColor="text1"/>
        </w:rPr>
        <w:t>,</w:t>
      </w:r>
      <w:proofErr w:type="gramEnd"/>
      <w:r w:rsidRPr="00C46548">
        <w:rPr>
          <w:rFonts w:ascii="Bookman Old Style" w:hAnsi="Bookman Old Style" w:cs="Arial"/>
          <w:color w:val="000000" w:themeColor="text1"/>
        </w:rPr>
        <w:t xml:space="preserve"> </w:t>
      </w:r>
      <w:r w:rsidRPr="00DC07FC">
        <w:rPr>
          <w:rFonts w:ascii="Bookman Old Style" w:hAnsi="Bookman Old Style" w:cs="Arial"/>
          <w:color w:val="000000" w:themeColor="text1"/>
        </w:rPr>
        <w:t>al precio de cierre de la siguiente ronda,</w:t>
      </w:r>
      <w:r w:rsidR="00916DF2">
        <w:rPr>
          <w:rFonts w:ascii="Bookman Old Style" w:hAnsi="Bookman Old Style" w:cs="Arial"/>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p</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sub>
          <m:sup>
            <m:r>
              <w:rPr>
                <w:rFonts w:ascii="Cambria Math" w:hAnsi="Cambria Math"/>
                <w:color w:val="000000" w:themeColor="text1"/>
              </w:rPr>
              <m:t>r+1</m:t>
            </m:r>
          </m:sup>
        </m:sSubSup>
      </m:oMath>
      <w:r w:rsidRPr="00DC07FC">
        <w:rPr>
          <w:rFonts w:ascii="Bookman Old Style" w:hAnsi="Bookman Old Style" w:cs="Arial"/>
          <w:color w:val="000000" w:themeColor="text1"/>
        </w:rPr>
        <w:t>.</w:t>
      </w:r>
    </w:p>
    <w:p w:rsidR="00901EFF" w:rsidRPr="00DC07FC" w:rsidRDefault="00901EFF" w:rsidP="00B32B9C">
      <w:pPr>
        <w:autoSpaceDE w:val="0"/>
        <w:autoSpaceDN w:val="0"/>
        <w:adjustRightInd w:val="0"/>
        <w:ind w:hanging="567"/>
        <w:jc w:val="both"/>
        <w:rPr>
          <w:rFonts w:ascii="Bookman Old Style" w:hAnsi="Bookman Old Style" w:cs="Arial"/>
          <w:color w:val="000000" w:themeColor="text1"/>
        </w:rPr>
      </w:pPr>
    </w:p>
    <w:p w:rsidR="00901EFF" w:rsidRPr="00DC07FC" w:rsidRDefault="00901EFF" w:rsidP="00B32B9C">
      <w:pPr>
        <w:numPr>
          <w:ilvl w:val="0"/>
          <w:numId w:val="78"/>
        </w:numPr>
        <w:autoSpaceDE w:val="0"/>
        <w:autoSpaceDN w:val="0"/>
        <w:adjustRightInd w:val="0"/>
        <w:ind w:left="567" w:hanging="567"/>
        <w:jc w:val="both"/>
        <w:rPr>
          <w:rFonts w:ascii="Bookman Old Style" w:hAnsi="Bookman Old Style" w:cs="Arial"/>
          <w:color w:val="000000" w:themeColor="text1"/>
        </w:rPr>
      </w:pPr>
      <w:r w:rsidRPr="00DC07FC">
        <w:rPr>
          <w:rFonts w:ascii="Bookman Old Style" w:hAnsi="Bookman Old Style" w:cs="Arial"/>
          <w:color w:val="000000" w:themeColor="text1"/>
        </w:rPr>
        <w:t>Duración de la siguiente ronda.</w:t>
      </w:r>
    </w:p>
    <w:p w:rsidR="00901EFF" w:rsidRPr="00DC07FC" w:rsidRDefault="00901EFF" w:rsidP="00901EFF">
      <w:pPr>
        <w:pStyle w:val="ARTICULOS"/>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Reglas de actividad</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color w:val="000000" w:themeColor="text1"/>
          <w:lang w:val="es-CO"/>
        </w:rPr>
      </w:pPr>
      <w:r w:rsidRPr="00DC07FC">
        <w:rPr>
          <w:rFonts w:ascii="Bookman Old Style" w:hAnsi="Bookman Old Style"/>
          <w:color w:val="000000" w:themeColor="text1"/>
          <w:lang w:val="es-CO"/>
        </w:rPr>
        <w:t>El cumplimiento de las siguientes reglas de actividad deberá ser verificado por el subastador:</w:t>
      </w:r>
    </w:p>
    <w:p w:rsidR="00901EFF" w:rsidRPr="00DC07FC" w:rsidRDefault="00901EFF" w:rsidP="00901EFF">
      <w:pPr>
        <w:ind w:left="0"/>
        <w:contextualSpacing/>
        <w:jc w:val="both"/>
        <w:rPr>
          <w:rFonts w:ascii="Bookman Old Style" w:hAnsi="Bookman Old Style"/>
          <w:color w:val="000000" w:themeColor="text1"/>
          <w:lang w:val="es-CO"/>
        </w:rPr>
      </w:pPr>
    </w:p>
    <w:p w:rsidR="00901EFF" w:rsidRPr="00DC07FC" w:rsidRDefault="00901EFF" w:rsidP="00B32B9C">
      <w:pPr>
        <w:numPr>
          <w:ilvl w:val="0"/>
          <w:numId w:val="29"/>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Regla sobre la demanda inicial: La demanda máxima de cada uno de los compradores habilitados </w:t>
      </w:r>
      <m:oMath>
        <m:r>
          <w:rPr>
            <w:rFonts w:ascii="Cambria Math" w:hAnsi="Cambria Math" w:cs="Arial"/>
            <w:color w:val="000000" w:themeColor="text1"/>
          </w:rPr>
          <m:t>c</m:t>
        </m:r>
      </m:oMath>
      <w:r w:rsidRPr="00DC07FC">
        <w:rPr>
          <w:rFonts w:ascii="Bookman Old Style" w:hAnsi="Bookman Old Style" w:cs="Arial"/>
          <w:color w:val="000000" w:themeColor="text1"/>
        </w:rPr>
        <w:t xml:space="preserve">, con entrega en el mes y año </w:t>
      </w:r>
      <m:oMath>
        <m:r>
          <w:rPr>
            <w:rFonts w:ascii="Cambria Math" w:hAnsi="Cambria Math" w:cs="Arial"/>
            <w:color w:val="000000" w:themeColor="text1"/>
          </w:rPr>
          <m:t>ma</m:t>
        </m:r>
      </m:oMath>
      <w:r w:rsidRPr="00DC07FC">
        <w:rPr>
          <w:rFonts w:ascii="Bookman Old Style" w:hAnsi="Bookman Old Style" w:cs="Arial"/>
          <w:color w:val="000000" w:themeColor="text1"/>
        </w:rPr>
        <w:t>, deberá ser mayor o igual a la demanda presentada en la ronda cero (0):</w:t>
      </w:r>
    </w:p>
    <w:p w:rsidR="00901EFF" w:rsidRDefault="00901EFF" w:rsidP="00901EFF">
      <w:pPr>
        <w:autoSpaceDE w:val="0"/>
        <w:autoSpaceDN w:val="0"/>
        <w:adjustRightInd w:val="0"/>
        <w:ind w:left="1134"/>
        <w:contextualSpacing/>
        <w:jc w:val="both"/>
        <w:rPr>
          <w:rFonts w:ascii="Bookman Old Style" w:hAnsi="Bookman Old Style" w:cs="Arial"/>
          <w:color w:val="000000" w:themeColor="text1"/>
        </w:rPr>
      </w:pPr>
    </w:p>
    <w:p w:rsidR="0055273E" w:rsidRDefault="0055273E" w:rsidP="00901EFF">
      <w:pPr>
        <w:autoSpaceDE w:val="0"/>
        <w:autoSpaceDN w:val="0"/>
        <w:adjustRightInd w:val="0"/>
        <w:ind w:left="1134"/>
        <w:contextualSpacing/>
        <w:jc w:val="both"/>
        <w:rPr>
          <w:rFonts w:ascii="Bookman Old Style" w:hAnsi="Bookman Old Style" w:cs="Arial"/>
          <w:color w:val="000000" w:themeColor="text1"/>
        </w:rPr>
      </w:pPr>
    </w:p>
    <w:p w:rsidR="0055273E" w:rsidRPr="00DC07FC" w:rsidRDefault="0055273E" w:rsidP="00901EFF">
      <w:pPr>
        <w:autoSpaceDE w:val="0"/>
        <w:autoSpaceDN w:val="0"/>
        <w:adjustRightInd w:val="0"/>
        <w:ind w:left="1134"/>
        <w:contextualSpacing/>
        <w:jc w:val="both"/>
        <w:rPr>
          <w:rFonts w:ascii="Bookman Old Style" w:hAnsi="Bookman Old Style" w:cs="Arial"/>
          <w:color w:val="000000" w:themeColor="text1"/>
        </w:rPr>
      </w:pPr>
    </w:p>
    <w:p w:rsidR="00901EFF" w:rsidRPr="00DC07FC" w:rsidRDefault="001907E3" w:rsidP="00901EFF">
      <w:pPr>
        <w:autoSpaceDE w:val="0"/>
        <w:autoSpaceDN w:val="0"/>
        <w:adjustRightInd w:val="0"/>
        <w:ind w:left="1134"/>
        <w:contextualSpacing/>
        <w:jc w:val="both"/>
        <w:rPr>
          <w:rFonts w:ascii="Bookman Old Style" w:hAnsi="Bookman Old Style" w:cs="Arial"/>
          <w:color w:val="000000" w:themeColor="text1"/>
        </w:rPr>
      </w:pPr>
      <m:oMathPara>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ma,c</m:t>
              </m:r>
            </m:sub>
          </m:sSub>
          <m:r>
            <w:rPr>
              <w:rFonts w:ascii="Cambria Math" w:hAnsi="Cambria Math" w:cs="Arial"/>
              <w:color w:val="000000" w:themeColor="text1"/>
            </w:rPr>
            <m:t>≥</m:t>
          </m:r>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pe</m:t>
              </m:r>
            </m:sub>
            <m:sup/>
            <m:e>
              <m:sSubSup>
                <m:sSubSupPr>
                  <m:ctrlPr>
                    <w:rPr>
                      <w:rFonts w:ascii="Cambria Math" w:hAnsi="Cambria Math" w:cs="Arial"/>
                      <w:bCs/>
                      <w:i/>
                      <w:color w:val="000000" w:themeColor="text1"/>
                    </w:rPr>
                  </m:ctrlPr>
                </m:sSubSupPr>
                <m:e>
                  <m:r>
                    <w:rPr>
                      <w:rFonts w:ascii="Cambria Math" w:hAnsi="Cambria Math" w:cs="Arial"/>
                      <w:color w:val="000000" w:themeColor="text1"/>
                    </w:rPr>
                    <m:t>D</m:t>
                  </m:r>
                </m:e>
                <m:sub>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pe,ma,c</m:t>
                      </m:r>
                    </m:sub>
                  </m:sSub>
                </m:sub>
                <m:sup>
                  <m:r>
                    <w:rPr>
                      <w:rFonts w:ascii="Cambria Math" w:hAnsi="Cambria Math" w:cs="Arial"/>
                      <w:color w:val="000000" w:themeColor="text1"/>
                    </w:rPr>
                    <m:t>0</m:t>
                  </m:r>
                </m:sup>
              </m:sSubSup>
            </m:e>
          </m:nary>
        </m:oMath>
      </m:oMathPara>
    </w:p>
    <w:p w:rsidR="00901EFF" w:rsidRPr="00DC07FC" w:rsidRDefault="00901EFF" w:rsidP="00901EFF">
      <w:pPr>
        <w:autoSpaceDE w:val="0"/>
        <w:autoSpaceDN w:val="0"/>
        <w:adjustRightInd w:val="0"/>
        <w:ind w:left="1134"/>
        <w:contextualSpacing/>
        <w:jc w:val="both"/>
        <w:rPr>
          <w:rFonts w:ascii="Bookman Old Style" w:hAnsi="Bookman Old Style" w:cs="Arial"/>
          <w:color w:val="000000" w:themeColor="text1"/>
        </w:rPr>
      </w:pPr>
    </w:p>
    <w:p w:rsidR="00901EFF" w:rsidRPr="00DC07FC" w:rsidRDefault="00901EFF" w:rsidP="00B32B9C">
      <w:pPr>
        <w:numPr>
          <w:ilvl w:val="0"/>
          <w:numId w:val="29"/>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Regla de comportamiento de la demanda: La demanda de las rondas subsiguientes deberá mantenerse o reducirse en la medida en que avanza la subasta, así:</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DC07FC" w:rsidRDefault="001907E3" w:rsidP="00901EFF">
      <w:pPr>
        <w:autoSpaceDE w:val="0"/>
        <w:autoSpaceDN w:val="0"/>
        <w:adjustRightInd w:val="0"/>
        <w:ind w:left="1134"/>
        <w:contextualSpacing/>
        <w:jc w:val="both"/>
        <w:rPr>
          <w:rFonts w:ascii="Bookman Old Style" w:hAnsi="Bookman Old Style" w:cs="Arial"/>
          <w:color w:val="000000" w:themeColor="text1"/>
        </w:rPr>
      </w:pPr>
      <m:oMathPara>
        <m:oMath>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pe</m:t>
              </m:r>
            </m:sub>
            <m:sup/>
            <m:e>
              <m:sSubSup>
                <m:sSubSupPr>
                  <m:ctrlPr>
                    <w:rPr>
                      <w:rFonts w:ascii="Cambria Math" w:hAnsi="Cambria Math"/>
                      <w:i/>
                      <w:color w:val="000000" w:themeColor="text1"/>
                    </w:rPr>
                  </m:ctrlPr>
                </m:sSubSupPr>
                <m:e>
                  <m:r>
                    <w:rPr>
                      <w:rFonts w:ascii="Cambria Math" w:hAnsi="Cambria Math"/>
                      <w:color w:val="000000" w:themeColor="text1"/>
                    </w:rPr>
                    <m:t>D</m:t>
                  </m:r>
                </m:e>
                <m:sub>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pe,ma,c</m:t>
                      </m:r>
                    </m:sub>
                  </m:sSub>
                </m:sub>
                <m:sup>
                  <m:r>
                    <w:rPr>
                      <w:rFonts w:ascii="Cambria Math" w:hAnsi="Cambria Math"/>
                      <w:color w:val="000000" w:themeColor="text1"/>
                    </w:rPr>
                    <m:t>r</m:t>
                  </m:r>
                </m:sup>
              </m:sSubSup>
            </m:e>
          </m:nary>
          <m:r>
            <w:rPr>
              <w:rFonts w:ascii="Cambria Math" w:hAnsi="Cambria Math" w:cs="Arial"/>
              <w:color w:val="000000" w:themeColor="text1"/>
            </w:rPr>
            <m:t>-QD*</m:t>
          </m:r>
          <m:sSubSup>
            <m:sSubSupPr>
              <m:ctrlPr>
                <w:rPr>
                  <w:rFonts w:ascii="Cambria Math" w:hAnsi="Cambria Math" w:cs="Arial"/>
                  <w:i/>
                  <w:color w:val="000000" w:themeColor="text1"/>
                </w:rPr>
              </m:ctrlPr>
            </m:sSubSupPr>
            <m:e>
              <m:r>
                <w:rPr>
                  <w:rFonts w:ascii="Cambria Math" w:hAnsi="Cambria Math" w:cs="Arial"/>
                  <w:color w:val="000000" w:themeColor="text1"/>
                </w:rPr>
                <m:t>NPP</m:t>
              </m:r>
            </m:e>
            <m:sub>
              <m:r>
                <w:rPr>
                  <w:rFonts w:ascii="Cambria Math" w:hAnsi="Cambria Math" w:cs="Arial"/>
                  <w:color w:val="000000" w:themeColor="text1"/>
                </w:rPr>
                <m:t>ma,c</m:t>
              </m:r>
            </m:sub>
            <m:sup>
              <m:r>
                <w:rPr>
                  <w:rFonts w:ascii="Cambria Math" w:hAnsi="Cambria Math" w:cs="Arial"/>
                  <w:color w:val="000000" w:themeColor="text1"/>
                </w:rPr>
                <m:t>r+1</m:t>
              </m:r>
            </m:sup>
          </m:sSubSup>
          <m:r>
            <w:rPr>
              <w:rFonts w:ascii="Cambria Math" w:hAnsi="Cambria Math" w:cs="Arial"/>
              <w:color w:val="000000" w:themeColor="text1"/>
            </w:rPr>
            <m:t>≥</m:t>
          </m:r>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pe</m:t>
              </m:r>
            </m:sub>
            <m:sup/>
            <m:e>
              <m:sSubSup>
                <m:sSubSupPr>
                  <m:ctrlPr>
                    <w:rPr>
                      <w:rFonts w:ascii="Cambria Math" w:hAnsi="Cambria Math"/>
                      <w:i/>
                      <w:color w:val="000000" w:themeColor="text1"/>
                    </w:rPr>
                  </m:ctrlPr>
                </m:sSubSupPr>
                <m:e>
                  <m:r>
                    <w:rPr>
                      <w:rFonts w:ascii="Cambria Math" w:hAnsi="Cambria Math"/>
                      <w:color w:val="000000" w:themeColor="text1"/>
                    </w:rPr>
                    <m:t>D</m:t>
                  </m:r>
                </m:e>
                <m:sub>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pe,ma,c</m:t>
                      </m:r>
                    </m:sub>
                  </m:sSub>
                </m:sub>
                <m:sup>
                  <m:r>
                    <w:rPr>
                      <w:rFonts w:ascii="Cambria Math" w:hAnsi="Cambria Math"/>
                      <w:color w:val="000000" w:themeColor="text1"/>
                    </w:rPr>
                    <m:t>r+1</m:t>
                  </m:r>
                </m:sup>
              </m:sSubSup>
            </m:e>
          </m:nary>
        </m:oMath>
      </m:oMathPara>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Donde:</w:t>
      </w:r>
    </w:p>
    <w:p w:rsidR="00901EFF" w:rsidRPr="00DC07FC" w:rsidRDefault="00901EFF" w:rsidP="00B32B9C">
      <w:pPr>
        <w:autoSpaceDE w:val="0"/>
        <w:autoSpaceDN w:val="0"/>
        <w:adjustRightInd w:val="0"/>
        <w:contextualSpacing/>
        <w:jc w:val="both"/>
        <w:rPr>
          <w:rFonts w:ascii="Bookman Old Style" w:hAnsi="Bookman Old Style" w:cs="Arial"/>
          <w:color w:val="000000" w:themeColor="text1"/>
        </w:rPr>
      </w:pPr>
    </w:p>
    <w:tbl>
      <w:tblPr>
        <w:tblStyle w:val="Tablaconcuadrcula"/>
        <w:tblW w:w="0" w:type="auto"/>
        <w:tblInd w:w="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293"/>
        <w:gridCol w:w="6554"/>
      </w:tblGrid>
      <w:tr w:rsidR="00901EFF" w:rsidRPr="00DC07FC" w:rsidTr="00B32B9C">
        <w:tc>
          <w:tcPr>
            <w:tcW w:w="1267" w:type="dxa"/>
          </w:tcPr>
          <w:p w:rsidR="00901EFF" w:rsidRPr="00DC07FC" w:rsidRDefault="00901EFF" w:rsidP="00744CA5">
            <w:pPr>
              <w:ind w:left="0"/>
              <w:contextualSpacing/>
              <w:jc w:val="both"/>
              <w:outlineLvl w:val="0"/>
              <w:rPr>
                <w:rFonts w:ascii="Bookman Old Style" w:hAnsi="Bookman Old Style" w:cs="Arial"/>
                <w:b/>
                <w:color w:val="000000" w:themeColor="text1"/>
              </w:rPr>
            </w:pPr>
            <m:oMathPara>
              <m:oMathParaPr>
                <m:jc m:val="left"/>
              </m:oMathParaPr>
              <m:oMath>
                <m:r>
                  <w:rPr>
                    <w:rFonts w:ascii="Cambria Math" w:hAnsi="Cambria Math" w:cs="Arial"/>
                    <w:color w:val="000000" w:themeColor="text1"/>
                  </w:rPr>
                  <m:t>QD</m:t>
                </m:r>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6554"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 xml:space="preserve">Cantidad mínima en que debe disminuir la demanda un comprador habilitado cuando determina el precio de cierre de un producto en la ronda </w:t>
            </w:r>
            <m:oMath>
              <m:r>
                <w:rPr>
                  <w:rFonts w:ascii="Cambria Math" w:hAnsi="Cambria Math" w:cs="Arial"/>
                  <w:color w:val="000000" w:themeColor="text1"/>
                </w:rPr>
                <m:t>r+1</m:t>
              </m:r>
            </m:oMath>
            <w:r w:rsidRPr="00DC07FC">
              <w:rPr>
                <w:rFonts w:ascii="Bookman Old Style" w:hAnsi="Bookman Old Style" w:cs="Arial"/>
                <w:color w:val="000000" w:themeColor="text1"/>
              </w:rPr>
              <w:t>. Esta cantidad corresponde a 1,000 KGD.</w:t>
            </w:r>
          </w:p>
          <w:p w:rsidR="00901EFF" w:rsidRPr="00DC07FC" w:rsidRDefault="00901EFF" w:rsidP="00744CA5">
            <w:pPr>
              <w:ind w:left="0"/>
              <w:contextualSpacing/>
              <w:jc w:val="both"/>
              <w:outlineLvl w:val="0"/>
              <w:rPr>
                <w:rFonts w:ascii="Bookman Old Style" w:hAnsi="Bookman Old Style" w:cs="Arial"/>
                <w:color w:val="000000" w:themeColor="text1"/>
              </w:rPr>
            </w:pPr>
          </w:p>
        </w:tc>
      </w:tr>
      <w:tr w:rsidR="00901EFF" w:rsidRPr="00DC07FC" w:rsidTr="00B32B9C">
        <w:tc>
          <w:tcPr>
            <w:tcW w:w="1267" w:type="dxa"/>
          </w:tcPr>
          <w:p w:rsidR="00901EFF" w:rsidRPr="00DC07FC" w:rsidRDefault="001907E3" w:rsidP="00744CA5">
            <w:pPr>
              <w:ind w:left="0"/>
              <w:contextualSpacing/>
              <w:jc w:val="both"/>
              <w:outlineLvl w:val="0"/>
              <w:rPr>
                <w:rFonts w:ascii="Bookman Old Style" w:hAnsi="Bookman Old Style" w:cs="Arial"/>
                <w:b/>
                <w:color w:val="000000" w:themeColor="text1"/>
                <w:lang w:val="es-CO"/>
              </w:rPr>
            </w:pPr>
            <m:oMathPara>
              <m:oMathParaPr>
                <m:jc m:val="left"/>
              </m:oMathParaPr>
              <m:oMath>
                <m:sSubSup>
                  <m:sSubSupPr>
                    <m:ctrlPr>
                      <w:rPr>
                        <w:rFonts w:ascii="Cambria Math" w:hAnsi="Cambria Math" w:cs="Arial"/>
                        <w:i/>
                        <w:color w:val="000000" w:themeColor="text1"/>
                        <w:lang w:val="es-CO"/>
                      </w:rPr>
                    </m:ctrlPr>
                  </m:sSubSupPr>
                  <m:e>
                    <m:r>
                      <w:rPr>
                        <w:rFonts w:ascii="Cambria Math" w:hAnsi="Cambria Math" w:cs="Arial"/>
                        <w:color w:val="000000" w:themeColor="text1"/>
                      </w:rPr>
                      <m:t>NPP</m:t>
                    </m:r>
                  </m:e>
                  <m:sub>
                    <m:r>
                      <w:rPr>
                        <w:rFonts w:ascii="Cambria Math" w:hAnsi="Cambria Math" w:cs="Arial"/>
                        <w:color w:val="000000" w:themeColor="text1"/>
                      </w:rPr>
                      <m:t>ma,c</m:t>
                    </m:r>
                  </m:sub>
                  <m:sup>
                    <m:r>
                      <w:rPr>
                        <w:rFonts w:ascii="Cambria Math" w:hAnsi="Cambria Math" w:cs="Arial"/>
                        <w:color w:val="000000" w:themeColor="text1"/>
                      </w:rPr>
                      <m:t>r+1</m:t>
                    </m:r>
                  </m:sup>
                </m:sSubSup>
              </m:oMath>
            </m:oMathPara>
          </w:p>
        </w:tc>
        <w:tc>
          <w:tcPr>
            <w:tcW w:w="293"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w:t>
            </w:r>
          </w:p>
        </w:tc>
        <w:tc>
          <w:tcPr>
            <w:tcW w:w="6554" w:type="dxa"/>
          </w:tcPr>
          <w:p w:rsidR="00901EFF" w:rsidRPr="00DC07FC" w:rsidRDefault="00901EFF" w:rsidP="00744CA5">
            <w:pPr>
              <w:ind w:left="0"/>
              <w:contextualSpacing/>
              <w:jc w:val="both"/>
              <w:outlineLvl w:val="0"/>
              <w:rPr>
                <w:rFonts w:ascii="Bookman Old Style" w:hAnsi="Bookman Old Style" w:cs="Arial"/>
                <w:color w:val="000000" w:themeColor="text1"/>
              </w:rPr>
            </w:pPr>
            <w:r w:rsidRPr="00DC07FC">
              <w:rPr>
                <w:rFonts w:ascii="Bookman Old Style" w:hAnsi="Bookman Old Style" w:cs="Arial"/>
                <w:color w:val="000000" w:themeColor="text1"/>
              </w:rPr>
              <w:t xml:space="preserve">Número de productos, con inicio en la entrega del GLP en el mes y año </w:t>
            </w:r>
            <m:oMath>
              <m:r>
                <w:rPr>
                  <w:rFonts w:ascii="Cambria Math" w:hAnsi="Cambria Math" w:cs="Arial"/>
                  <w:color w:val="000000" w:themeColor="text1"/>
                </w:rPr>
                <m:t>ma</m:t>
              </m:r>
            </m:oMath>
            <w:r w:rsidRPr="00DC07FC">
              <w:rPr>
                <w:rFonts w:ascii="Bookman Old Style" w:hAnsi="Bookman Old Style" w:cs="Arial"/>
                <w:color w:val="000000" w:themeColor="text1"/>
              </w:rPr>
              <w:t xml:space="preserve">, para los cuales el comprador habilitado </w:t>
            </w:r>
            <m:oMath>
              <m:r>
                <w:rPr>
                  <w:rFonts w:ascii="Cambria Math" w:hAnsi="Cambria Math" w:cs="Arial"/>
                  <w:color w:val="000000" w:themeColor="text1"/>
                </w:rPr>
                <m:t>c</m:t>
              </m:r>
            </m:oMath>
            <w:r w:rsidRPr="00DC07FC">
              <w:rPr>
                <w:rFonts w:ascii="Bookman Old Style" w:hAnsi="Bookman Old Style" w:cs="Arial"/>
                <w:color w:val="000000" w:themeColor="text1"/>
              </w:rPr>
              <w:t xml:space="preserve"> determinó el precio de cierre de la ronda </w:t>
            </w:r>
            <m:oMath>
              <m:r>
                <w:rPr>
                  <w:rFonts w:ascii="Cambria Math" w:hAnsi="Cambria Math" w:cs="Arial"/>
                  <w:color w:val="000000" w:themeColor="text1"/>
                </w:rPr>
                <m:t>r+1</m:t>
              </m:r>
            </m:oMath>
            <w:r w:rsidRPr="00DC07FC">
              <w:rPr>
                <w:rFonts w:ascii="Bookman Old Style" w:hAnsi="Bookman Old Style" w:cs="Arial"/>
                <w:color w:val="000000" w:themeColor="text1"/>
              </w:rPr>
              <w:t>.</w:t>
            </w:r>
          </w:p>
          <w:p w:rsidR="00901EFF" w:rsidRPr="00DC07FC" w:rsidRDefault="00901EFF" w:rsidP="00744CA5">
            <w:pPr>
              <w:ind w:left="0"/>
              <w:contextualSpacing/>
              <w:jc w:val="both"/>
              <w:outlineLvl w:val="0"/>
              <w:rPr>
                <w:rFonts w:ascii="Bookman Old Style" w:hAnsi="Bookman Old Style" w:cs="Arial"/>
                <w:color w:val="000000" w:themeColor="text1"/>
              </w:rPr>
            </w:pPr>
          </w:p>
        </w:tc>
      </w:tr>
    </w:tbl>
    <w:p w:rsidR="00901EFF" w:rsidRPr="00DC07FC" w:rsidRDefault="00901EFF" w:rsidP="00901EFF">
      <w:pPr>
        <w:autoSpaceDE w:val="0"/>
        <w:autoSpaceDN w:val="0"/>
        <w:adjustRightInd w:val="0"/>
        <w:ind w:left="1134"/>
        <w:contextualSpacing/>
        <w:jc w:val="both"/>
        <w:rPr>
          <w:rFonts w:ascii="Bookman Old Style" w:hAnsi="Bookman Old Style" w:cs="Arial"/>
          <w:color w:val="000000" w:themeColor="text1"/>
        </w:rPr>
      </w:pPr>
    </w:p>
    <w:p w:rsidR="00901EFF" w:rsidRPr="00DC07FC" w:rsidRDefault="00901EFF" w:rsidP="00B32B9C">
      <w:pPr>
        <w:numPr>
          <w:ilvl w:val="0"/>
          <w:numId w:val="29"/>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Regla de comportamiento de los precios de disminución de demanda: El precio de disminución deberá mantenerse o aumentarse en la medida en que avanza la subasta, así:</w:t>
      </w:r>
    </w:p>
    <w:p w:rsidR="00901EFF" w:rsidRPr="00DC07FC" w:rsidRDefault="00901EFF" w:rsidP="00B32B9C">
      <w:pPr>
        <w:autoSpaceDE w:val="0"/>
        <w:autoSpaceDN w:val="0"/>
        <w:adjustRightInd w:val="0"/>
        <w:ind w:left="1134"/>
        <w:contextualSpacing/>
        <w:jc w:val="center"/>
        <w:rPr>
          <w:rFonts w:ascii="Bookman Old Style" w:hAnsi="Bookman Old Style" w:cs="Arial"/>
          <w:color w:val="000000" w:themeColor="text1"/>
        </w:rPr>
      </w:pPr>
    </w:p>
    <w:p w:rsidR="00901EFF" w:rsidRPr="00DC07FC" w:rsidRDefault="001907E3" w:rsidP="00B32B9C">
      <w:pPr>
        <w:autoSpaceDE w:val="0"/>
        <w:autoSpaceDN w:val="0"/>
        <w:adjustRightInd w:val="0"/>
        <w:ind w:left="1134"/>
        <w:contextualSpacing/>
        <w:jc w:val="center"/>
        <w:rPr>
          <w:rFonts w:ascii="Bookman Old Style" w:hAnsi="Bookman Old Style" w:cs="Arial"/>
          <w:color w:val="000000" w:themeColor="text1"/>
        </w:rPr>
      </w:pPr>
      <m:oMathPara>
        <m:oMath>
          <m:sSubSup>
            <m:sSubSupPr>
              <m:ctrlPr>
                <w:rPr>
                  <w:rFonts w:ascii="Cambria Math" w:hAnsi="Cambria Math" w:cs="Arial"/>
                  <w:bCs/>
                  <w:i/>
                  <w:color w:val="000000" w:themeColor="text1"/>
                </w:rPr>
              </m:ctrlPr>
            </m:sSubSupPr>
            <m:e>
              <m:r>
                <w:rPr>
                  <w:rFonts w:ascii="Cambria Math" w:hAnsi="Cambria Math"/>
                  <w:color w:val="000000" w:themeColor="text1"/>
                </w:rPr>
                <m:t>PD</m:t>
              </m:r>
            </m:e>
            <m:sub>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pe,ma,c</m:t>
                  </m:r>
                </m:sub>
              </m:sSub>
            </m:sub>
            <m:sup>
              <m:r>
                <w:rPr>
                  <w:rFonts w:ascii="Cambria Math" w:hAnsi="Cambria Math"/>
                  <w:color w:val="000000" w:themeColor="text1"/>
                </w:rPr>
                <m:t>r</m:t>
              </m:r>
            </m:sup>
          </m:sSubSup>
          <m:r>
            <w:rPr>
              <w:rFonts w:ascii="Cambria Math" w:hAnsi="Cambria Math" w:cs="Arial"/>
              <w:color w:val="000000" w:themeColor="text1"/>
            </w:rPr>
            <m:t>≤</m:t>
          </m:r>
          <m:sSubSup>
            <m:sSubSupPr>
              <m:ctrlPr>
                <w:rPr>
                  <w:rFonts w:ascii="Cambria Math" w:hAnsi="Cambria Math" w:cs="Arial"/>
                  <w:bCs/>
                  <w:i/>
                  <w:color w:val="000000" w:themeColor="text1"/>
                </w:rPr>
              </m:ctrlPr>
            </m:sSubSupPr>
            <m:e>
              <m:r>
                <w:rPr>
                  <w:rFonts w:ascii="Cambria Math" w:hAnsi="Cambria Math"/>
                  <w:color w:val="000000" w:themeColor="text1"/>
                </w:rPr>
                <m:t>PD</m:t>
              </m:r>
            </m:e>
            <m:sub>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pe,ma,c</m:t>
                  </m:r>
                </m:sub>
              </m:sSub>
            </m:sub>
            <m:sup>
              <m:r>
                <w:rPr>
                  <w:rFonts w:ascii="Cambria Math" w:hAnsi="Cambria Math"/>
                  <w:color w:val="000000" w:themeColor="text1"/>
                </w:rPr>
                <m:t>r+1</m:t>
              </m:r>
            </m:sup>
          </m:sSubSup>
        </m:oMath>
      </m:oMathPara>
    </w:p>
    <w:p w:rsidR="00901EFF" w:rsidRPr="00DC07FC" w:rsidRDefault="00901EFF" w:rsidP="00B32B9C">
      <w:pPr>
        <w:autoSpaceDE w:val="0"/>
        <w:autoSpaceDN w:val="0"/>
        <w:adjustRightInd w:val="0"/>
        <w:ind w:left="1134"/>
        <w:contextualSpacing/>
        <w:jc w:val="center"/>
        <w:rPr>
          <w:rFonts w:ascii="Bookman Old Style" w:hAnsi="Bookman Old Style" w:cs="Arial"/>
          <w:color w:val="000000" w:themeColor="text1"/>
        </w:rPr>
      </w:pPr>
    </w:p>
    <w:p w:rsidR="00901EFF" w:rsidRPr="00DC07FC" w:rsidRDefault="001907E3" w:rsidP="00B32B9C">
      <w:pPr>
        <w:autoSpaceDE w:val="0"/>
        <w:autoSpaceDN w:val="0"/>
        <w:adjustRightInd w:val="0"/>
        <w:ind w:left="1134"/>
        <w:contextualSpacing/>
        <w:jc w:val="center"/>
        <w:rPr>
          <w:rFonts w:ascii="Bookman Old Style" w:hAnsi="Bookman Old Style" w:cs="Arial"/>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p</m:t>
              </m:r>
            </m:e>
            <m:sub>
              <m:sSub>
                <m:sSubPr>
                  <m:ctrlPr>
                    <w:rPr>
                      <w:rFonts w:ascii="Cambria Math" w:hAnsi="Cambria Math"/>
                      <w:i/>
                      <w:color w:val="000000" w:themeColor="text1"/>
                      <w:lang w:val="es-CO"/>
                    </w:rPr>
                  </m:ctrlPr>
                </m:sSubPr>
                <m:e>
                  <m:r>
                    <w:rPr>
                      <w:rFonts w:ascii="Cambria Math" w:hAnsi="Cambria Math"/>
                      <w:color w:val="000000" w:themeColor="text1"/>
                    </w:rPr>
                    <m:t>S</m:t>
                  </m:r>
                </m:e>
                <m:sub>
                  <m:r>
                    <w:rPr>
                      <w:rFonts w:ascii="Cambria Math" w:hAnsi="Cambria Math"/>
                      <w:color w:val="000000" w:themeColor="text1"/>
                    </w:rPr>
                    <m:t>pe,ma</m:t>
                  </m:r>
                </m:sub>
              </m:sSub>
            </m:sub>
            <m:sup>
              <m:r>
                <w:rPr>
                  <w:rFonts w:ascii="Cambria Math" w:hAnsi="Cambria Math"/>
                  <w:color w:val="000000" w:themeColor="text1"/>
                </w:rPr>
                <m:t>r</m:t>
              </m:r>
            </m:sup>
          </m:sSubSup>
          <m:r>
            <w:rPr>
              <w:rFonts w:ascii="Cambria Math" w:hAnsi="Cambria Math"/>
              <w:color w:val="000000" w:themeColor="text1"/>
            </w:rPr>
            <m:t>&lt;</m:t>
          </m:r>
          <m:sSubSup>
            <m:sSubSupPr>
              <m:ctrlPr>
                <w:rPr>
                  <w:rFonts w:ascii="Cambria Math" w:hAnsi="Cambria Math" w:cs="Arial"/>
                  <w:bCs/>
                  <w:i/>
                  <w:color w:val="000000" w:themeColor="text1"/>
                </w:rPr>
              </m:ctrlPr>
            </m:sSubSupPr>
            <m:e>
              <m:r>
                <w:rPr>
                  <w:rFonts w:ascii="Cambria Math" w:hAnsi="Cambria Math"/>
                  <w:color w:val="000000" w:themeColor="text1"/>
                </w:rPr>
                <m:t>PD</m:t>
              </m:r>
            </m:e>
            <m:sub>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pe,ma,c</m:t>
                  </m:r>
                </m:sub>
              </m:sSub>
            </m:sub>
            <m:sup>
              <m:r>
                <w:rPr>
                  <w:rFonts w:ascii="Cambria Math" w:hAnsi="Cambria Math"/>
                  <w:color w:val="000000" w:themeColor="text1"/>
                </w:rPr>
                <m:t>r+1</m:t>
              </m:r>
            </m:sup>
          </m:sSubSup>
        </m:oMath>
      </m:oMathPara>
    </w:p>
    <w:p w:rsidR="00901EFF" w:rsidRPr="00DC07FC" w:rsidRDefault="00901EFF" w:rsidP="00901EFF">
      <w:pPr>
        <w:autoSpaceDE w:val="0"/>
        <w:autoSpaceDN w:val="0"/>
        <w:adjustRightInd w:val="0"/>
        <w:ind w:left="1134"/>
        <w:contextualSpacing/>
        <w:jc w:val="both"/>
        <w:rPr>
          <w:rFonts w:ascii="Bookman Old Style" w:hAnsi="Bookman Old Style" w:cs="Arial"/>
          <w:color w:val="000000" w:themeColor="text1"/>
        </w:rPr>
      </w:pPr>
    </w:p>
    <w:p w:rsidR="00901EFF" w:rsidRPr="00DC07FC" w:rsidRDefault="00901EFF" w:rsidP="00B32B9C">
      <w:pPr>
        <w:numPr>
          <w:ilvl w:val="0"/>
          <w:numId w:val="29"/>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Regla de convergencia: En caso de que el exceso de demanda de GLP de un producto </w:t>
      </w:r>
      <m:oMath>
        <m:sSub>
          <m:sSubPr>
            <m:ctrlPr>
              <w:rPr>
                <w:rFonts w:ascii="Cambria Math" w:hAnsi="Cambria Math"/>
                <w:i/>
                <w:color w:val="000000" w:themeColor="text1"/>
                <w:lang w:val="es-CO"/>
              </w:rPr>
            </m:ctrlPr>
          </m:sSubPr>
          <m:e>
            <m:r>
              <w:rPr>
                <w:rFonts w:ascii="Cambria Math" w:hAnsi="Cambria Math"/>
                <w:color w:val="000000" w:themeColor="text1"/>
              </w:rPr>
              <m:t>S</m:t>
            </m:r>
          </m:e>
          <m:sub>
            <m:r>
              <w:rPr>
                <w:rFonts w:ascii="Cambria Math" w:hAnsi="Cambria Math"/>
                <w:color w:val="000000" w:themeColor="text1"/>
              </w:rPr>
              <m:t>pe,ma</m:t>
            </m:r>
          </m:sub>
        </m:sSub>
      </m:oMath>
      <w:r w:rsidRPr="00DC07FC">
        <w:rPr>
          <w:rFonts w:ascii="Bookman Old Style" w:hAnsi="Bookman Old Style" w:cs="Arial"/>
          <w:color w:val="000000" w:themeColor="text1"/>
        </w:rPr>
        <w:t xml:space="preserve"> sea inferior a 1,000 KGD se considerará, para </w:t>
      </w:r>
      <w:r w:rsidR="007C4183">
        <w:rPr>
          <w:rFonts w:ascii="Bookman Old Style" w:hAnsi="Bookman Old Style" w:cs="Arial"/>
          <w:color w:val="000000" w:themeColor="text1"/>
        </w:rPr>
        <w:t>efectos</w:t>
      </w:r>
      <w:r w:rsidRPr="00DC07FC">
        <w:rPr>
          <w:rFonts w:ascii="Bookman Old Style" w:hAnsi="Bookman Old Style" w:cs="Arial"/>
          <w:color w:val="000000" w:themeColor="text1"/>
        </w:rPr>
        <w:t xml:space="preserve"> del cierre de la subasta, que para este producto </w:t>
      </w:r>
      <m:oMath>
        <m:sSub>
          <m:sSubPr>
            <m:ctrlPr>
              <w:rPr>
                <w:rFonts w:ascii="Cambria Math" w:hAnsi="Cambria Math"/>
                <w:i/>
                <w:color w:val="000000" w:themeColor="text1"/>
                <w:lang w:val="es-CO"/>
              </w:rPr>
            </m:ctrlPr>
          </m:sSubPr>
          <m:e>
            <m:r>
              <w:rPr>
                <w:rFonts w:ascii="Cambria Math" w:hAnsi="Cambria Math"/>
                <w:color w:val="000000" w:themeColor="text1"/>
              </w:rPr>
              <m:t>S</m:t>
            </m:r>
          </m:e>
          <m:sub>
            <m:r>
              <w:rPr>
                <w:rFonts w:ascii="Cambria Math" w:hAnsi="Cambria Math"/>
                <w:color w:val="000000" w:themeColor="text1"/>
              </w:rPr>
              <m:t>pe,ma</m:t>
            </m:r>
          </m:sub>
        </m:sSub>
      </m:oMath>
      <w:r w:rsidRPr="00DC07FC">
        <w:rPr>
          <w:rFonts w:ascii="Bookman Old Style" w:hAnsi="Bookman Old Style" w:cs="Arial"/>
          <w:color w:val="000000" w:themeColor="text1"/>
        </w:rPr>
        <w:t xml:space="preserve"> no hay exceso de demanda. </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Regla de terminación de la subasta</w:t>
      </w:r>
    </w:p>
    <w:p w:rsidR="00901EFF" w:rsidRPr="0066247F" w:rsidRDefault="00901EFF" w:rsidP="00901EFF">
      <w:pPr>
        <w:ind w:left="0"/>
        <w:contextualSpacing/>
        <w:jc w:val="both"/>
        <w:rPr>
          <w:rFonts w:ascii="Bookman Old Style" w:hAnsi="Bookman Old Style"/>
          <w:lang w:val="es-CO"/>
        </w:rPr>
      </w:pPr>
    </w:p>
    <w:p w:rsidR="00901EFF" w:rsidRPr="00DC07FC" w:rsidRDefault="00916DF2" w:rsidP="00901EFF">
      <w:pPr>
        <w:ind w:left="0"/>
        <w:jc w:val="both"/>
        <w:rPr>
          <w:rFonts w:ascii="Bookman Old Style" w:hAnsi="Bookman Old Style"/>
          <w:color w:val="000000" w:themeColor="text1"/>
        </w:rPr>
      </w:pPr>
      <w:r>
        <w:rPr>
          <w:rFonts w:ascii="Bookman Old Style" w:hAnsi="Bookman Old Style"/>
          <w:color w:val="000000" w:themeColor="text1"/>
        </w:rPr>
        <w:t xml:space="preserve">La subasta termina para un mes y año, </w:t>
      </w:r>
      <w:proofErr w:type="spellStart"/>
      <w:r w:rsidRPr="00916DF2">
        <w:rPr>
          <w:rFonts w:ascii="Bookman Old Style" w:hAnsi="Bookman Old Style"/>
          <w:i/>
          <w:color w:val="000000" w:themeColor="text1"/>
        </w:rPr>
        <w:t>ma</w:t>
      </w:r>
      <w:proofErr w:type="spellEnd"/>
      <w:r>
        <w:rPr>
          <w:rFonts w:ascii="Bookman Old Style" w:hAnsi="Bookman Old Style"/>
          <w:color w:val="000000" w:themeColor="text1"/>
        </w:rPr>
        <w:t xml:space="preserve">, para el que exista oferta de producto, </w:t>
      </w:r>
      <w:r w:rsidR="00901EFF" w:rsidRPr="00DC07FC">
        <w:rPr>
          <w:rFonts w:ascii="Bookman Old Style" w:hAnsi="Bookman Old Style"/>
          <w:color w:val="000000" w:themeColor="text1"/>
        </w:rPr>
        <w:t xml:space="preserve">en la ronda </w:t>
      </w:r>
      <m:oMath>
        <m:r>
          <w:rPr>
            <w:rFonts w:ascii="Cambria Math" w:hAnsi="Cambria Math" w:cs="Arial"/>
            <w:color w:val="000000" w:themeColor="text1"/>
          </w:rPr>
          <m:t>n</m:t>
        </m:r>
      </m:oMath>
      <w:r>
        <w:rPr>
          <w:rFonts w:ascii="Bookman Old Style" w:hAnsi="Bookman Old Style"/>
          <w:color w:val="000000" w:themeColor="text1"/>
        </w:rPr>
        <w:t>,</w:t>
      </w:r>
      <w:r w:rsidR="00901EFF" w:rsidRPr="00DC07FC">
        <w:rPr>
          <w:rFonts w:ascii="Bookman Old Style" w:hAnsi="Bookman Old Style"/>
          <w:color w:val="000000" w:themeColor="text1"/>
        </w:rPr>
        <w:t xml:space="preserve"> cuando para ninguno de los productos</w:t>
      </w:r>
      <w:r>
        <w:rPr>
          <w:rFonts w:ascii="Bookman Old Style" w:hAnsi="Bookman Old Style"/>
          <w:color w:val="000000" w:themeColor="text1"/>
        </w:rPr>
        <w:t xml:space="preserve"> de ese </w:t>
      </w:r>
      <w:proofErr w:type="spellStart"/>
      <w:r w:rsidRPr="00916DF2">
        <w:rPr>
          <w:rFonts w:ascii="Bookman Old Style" w:hAnsi="Bookman Old Style"/>
          <w:i/>
          <w:color w:val="000000" w:themeColor="text1"/>
        </w:rPr>
        <w:t>ma</w:t>
      </w:r>
      <w:proofErr w:type="spellEnd"/>
      <w:r w:rsidR="00901EFF" w:rsidRPr="00DC07FC">
        <w:rPr>
          <w:rFonts w:ascii="Bookman Old Style" w:hAnsi="Bookman Old Style"/>
          <w:color w:val="000000" w:themeColor="text1"/>
        </w:rPr>
        <w:t xml:space="preserve"> se pres</w:t>
      </w:r>
      <w:r w:rsidR="00901EFF" w:rsidRPr="0066247F">
        <w:rPr>
          <w:rFonts w:ascii="Bookman Old Style" w:hAnsi="Bookman Old Style"/>
          <w:color w:val="000000" w:themeColor="text1"/>
        </w:rPr>
        <w:t>ente exceso de demanda, considerando la regla de convergencia definida en el literal d) del numeral 5.</w:t>
      </w:r>
      <w:r w:rsidR="007C4183" w:rsidRPr="0066247F">
        <w:rPr>
          <w:rFonts w:ascii="Bookman Old Style" w:hAnsi="Bookman Old Style"/>
          <w:color w:val="000000" w:themeColor="text1"/>
        </w:rPr>
        <w:t>8</w:t>
      </w:r>
      <w:r w:rsidR="00901EFF" w:rsidRPr="0066247F">
        <w:rPr>
          <w:rFonts w:ascii="Bookman Old Style" w:hAnsi="Bookman Old Style"/>
          <w:color w:val="000000" w:themeColor="text1"/>
        </w:rPr>
        <w:t xml:space="preserve"> de este anexo. Es decir que se cumple que:</w:t>
      </w:r>
    </w:p>
    <w:p w:rsidR="00901EFF" w:rsidRPr="00DC07FC" w:rsidRDefault="00901EFF" w:rsidP="00901EFF">
      <w:pPr>
        <w:ind w:left="0"/>
        <w:jc w:val="both"/>
        <w:rPr>
          <w:rFonts w:ascii="Bookman Old Style" w:hAnsi="Bookman Old Style"/>
          <w:color w:val="000000" w:themeColor="text1"/>
        </w:rPr>
      </w:pPr>
    </w:p>
    <w:p w:rsidR="00901EFF" w:rsidRPr="00DC07FC" w:rsidRDefault="001907E3" w:rsidP="00901EFF">
      <w:pPr>
        <w:ind w:left="0"/>
        <w:jc w:val="both"/>
        <w:rPr>
          <w:rFonts w:ascii="Bookman Old Style" w:hAnsi="Bookman Old Style"/>
          <w:color w:val="000000" w:themeColor="text1"/>
        </w:rPr>
      </w:pPr>
      <m:oMathPara>
        <m:oMath>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c</m:t>
              </m:r>
            </m:sub>
            <m:sup/>
            <m:e>
              <m:sSubSup>
                <m:sSubSupPr>
                  <m:ctrlPr>
                    <w:rPr>
                      <w:rFonts w:ascii="Cambria Math" w:hAnsi="Cambria Math"/>
                      <w:i/>
                      <w:color w:val="000000" w:themeColor="text1"/>
                      <w:lang w:val="es-CO"/>
                    </w:rPr>
                  </m:ctrlPr>
                </m:sSubSup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pe,ma,c</m:t>
                      </m:r>
                    </m:sub>
                  </m:sSub>
                </m:sub>
                <m:sup>
                  <m:r>
                    <w:rPr>
                      <w:rFonts w:ascii="Cambria Math" w:hAnsi="Cambria Math"/>
                      <w:color w:val="000000" w:themeColor="text1"/>
                      <w:lang w:val="es-CO"/>
                    </w:rPr>
                    <m:t>n</m:t>
                  </m:r>
                </m:sup>
              </m:sSubSup>
            </m:e>
          </m:nary>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sub>
          </m:sSub>
          <m:d>
            <m:dPr>
              <m:ctrlPr>
                <w:rPr>
                  <w:rFonts w:ascii="Cambria Math" w:hAnsi="Cambria Math" w:cs="Arial"/>
                  <w:bCs/>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p</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sub>
                <m:sup>
                  <m:r>
                    <w:rPr>
                      <w:rFonts w:ascii="Cambria Math" w:hAnsi="Cambria Math"/>
                      <w:color w:val="000000" w:themeColor="text1"/>
                    </w:rPr>
                    <m:t>n</m:t>
                  </m:r>
                </m:sup>
              </m:sSubSup>
            </m:e>
          </m:d>
        </m:oMath>
      </m:oMathPara>
    </w:p>
    <w:p w:rsidR="00901EFF" w:rsidRPr="00DC07FC" w:rsidRDefault="00901EFF" w:rsidP="00901EFF">
      <w:pPr>
        <w:ind w:left="0"/>
        <w:jc w:val="both"/>
        <w:rPr>
          <w:rFonts w:ascii="Bookman Old Style" w:hAnsi="Bookman Old Style"/>
          <w:color w:val="000000" w:themeColor="text1"/>
        </w:rPr>
      </w:pPr>
    </w:p>
    <w:p w:rsidR="0055273E" w:rsidRDefault="0055273E" w:rsidP="00901EFF">
      <w:pPr>
        <w:ind w:left="0"/>
        <w:jc w:val="both"/>
        <w:rPr>
          <w:rFonts w:ascii="Bookman Old Style" w:hAnsi="Bookman Old Style"/>
          <w:color w:val="000000" w:themeColor="text1"/>
        </w:rPr>
      </w:pPr>
    </w:p>
    <w:p w:rsidR="0055273E" w:rsidRDefault="0055273E" w:rsidP="00901EFF">
      <w:pPr>
        <w:ind w:left="0"/>
        <w:jc w:val="both"/>
        <w:rPr>
          <w:rFonts w:ascii="Bookman Old Style" w:hAnsi="Bookman Old Style"/>
          <w:color w:val="000000" w:themeColor="text1"/>
        </w:rPr>
      </w:pPr>
    </w:p>
    <w:p w:rsidR="00901EFF" w:rsidRPr="00DC07FC" w:rsidRDefault="00901EFF" w:rsidP="00901EFF">
      <w:pPr>
        <w:ind w:left="0"/>
        <w:jc w:val="both"/>
        <w:rPr>
          <w:rFonts w:ascii="Bookman Old Style" w:hAnsi="Bookman Old Style" w:cs="Arial"/>
          <w:color w:val="000000" w:themeColor="text1"/>
        </w:rPr>
      </w:pPr>
      <w:r w:rsidRPr="00DC07FC">
        <w:rPr>
          <w:rFonts w:ascii="Bookman Old Style" w:hAnsi="Bookman Old Style"/>
          <w:color w:val="000000" w:themeColor="text1"/>
        </w:rPr>
        <w:lastRenderedPageBreak/>
        <w:t xml:space="preserve">A cada comprador habilitado se le adjudicará por producto una </w:t>
      </w:r>
      <w:r w:rsidRPr="00DC07FC">
        <w:rPr>
          <w:rFonts w:ascii="Bookman Old Style" w:hAnsi="Bookman Old Style" w:cs="Arial"/>
          <w:color w:val="000000" w:themeColor="text1"/>
        </w:rPr>
        <w:t xml:space="preserve">cantidad igual a su demanda en la última ronda, </w:t>
      </w:r>
      <m:oMath>
        <m:sSubSup>
          <m:sSubSupPr>
            <m:ctrlPr>
              <w:rPr>
                <w:rFonts w:ascii="Cambria Math" w:hAnsi="Cambria Math"/>
                <w:i/>
                <w:color w:val="000000" w:themeColor="text1"/>
                <w:lang w:val="es-CO"/>
              </w:rPr>
            </m:ctrlPr>
          </m:sSubSup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pe,ma,c</m:t>
                </m:r>
              </m:sub>
            </m:sSub>
          </m:sub>
          <m:sup>
            <m:r>
              <w:rPr>
                <w:rFonts w:ascii="Cambria Math" w:hAnsi="Cambria Math"/>
                <w:color w:val="000000" w:themeColor="text1"/>
                <w:lang w:val="es-CO"/>
              </w:rPr>
              <m:t>n</m:t>
            </m:r>
          </m:sup>
        </m:sSubSup>
        <m:r>
          <w:rPr>
            <w:rFonts w:ascii="Cambria Math" w:hAnsi="Cambria Math"/>
            <w:color w:val="000000" w:themeColor="text1"/>
            <w:lang w:val="es-CO"/>
          </w:rPr>
          <m:t>,</m:t>
        </m:r>
      </m:oMath>
      <w:r w:rsidRPr="00DC07FC">
        <w:rPr>
          <w:rFonts w:ascii="Bookman Old Style" w:hAnsi="Bookman Old Style" w:cs="Arial"/>
          <w:color w:val="000000" w:themeColor="text1"/>
        </w:rPr>
        <w:t xml:space="preserve"> siempre que dicho producto no presente exceso de demanda en cumplimiento de la regla de convergencia</w:t>
      </w:r>
      <w:r w:rsidRPr="00DC07FC">
        <w:rPr>
          <w:rFonts w:ascii="Bookman Old Style" w:hAnsi="Bookman Old Style" w:cs="Arial"/>
          <w:bCs/>
          <w:color w:val="000000" w:themeColor="text1"/>
        </w:rPr>
        <w:t>. Para aquellos productos que al cierre de la subasta no se consideren con exceso de demanda, en cumplimiento de la regla de convergencia, el subastador eliminará el exceso de demanda presentado, de acuerdo con las</w:t>
      </w:r>
      <w:r w:rsidRPr="00DC07FC">
        <w:rPr>
          <w:rFonts w:ascii="Bookman Old Style" w:hAnsi="Bookman Old Style" w:cs="Arial"/>
          <w:color w:val="000000" w:themeColor="text1"/>
        </w:rPr>
        <w:t xml:space="preserve"> siguientes reglas:</w:t>
      </w:r>
    </w:p>
    <w:p w:rsidR="00901EFF" w:rsidRPr="00DC07FC" w:rsidRDefault="00901EFF" w:rsidP="00901EFF">
      <w:pPr>
        <w:ind w:left="0"/>
        <w:jc w:val="both"/>
        <w:rPr>
          <w:rFonts w:ascii="Bookman Old Style" w:hAnsi="Bookman Old Style"/>
        </w:rPr>
      </w:pPr>
    </w:p>
    <w:p w:rsidR="00901EFF" w:rsidRPr="00DC07FC" w:rsidRDefault="00901EFF" w:rsidP="00901EFF">
      <w:pPr>
        <w:pStyle w:val="Prrafodelista"/>
        <w:numPr>
          <w:ilvl w:val="0"/>
          <w:numId w:val="32"/>
        </w:numPr>
        <w:ind w:left="993"/>
        <w:contextualSpacing/>
        <w:jc w:val="both"/>
        <w:rPr>
          <w:rFonts w:ascii="Bookman Old Style" w:hAnsi="Bookman Old Style" w:cs="Arial"/>
          <w:color w:val="000000" w:themeColor="text1"/>
          <w:sz w:val="24"/>
          <w:szCs w:val="24"/>
          <w:lang w:val="es-ES"/>
        </w:rPr>
      </w:pPr>
      <w:r w:rsidRPr="00DC07FC">
        <w:rPr>
          <w:rFonts w:ascii="Bookman Old Style" w:hAnsi="Bookman Old Style" w:cs="Arial"/>
          <w:color w:val="000000" w:themeColor="text1"/>
          <w:sz w:val="24"/>
          <w:szCs w:val="24"/>
          <w:lang w:val="es-ES"/>
        </w:rPr>
        <w:t>A los vendedores habilitados, comenzando con el que declaró el menor precio de reserva</w:t>
      </w:r>
      <w:proofErr w:type="gramStart"/>
      <w:r w:rsidRPr="00DC07FC">
        <w:rPr>
          <w:rFonts w:ascii="Bookman Old Style" w:hAnsi="Bookman Old Style" w:cs="Arial"/>
          <w:color w:val="000000" w:themeColor="text1"/>
          <w:sz w:val="24"/>
          <w:szCs w:val="24"/>
          <w:lang w:val="es-ES"/>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PR</m:t>
            </m:r>
          </m:e>
          <m: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m:t>
                </m:r>
              </m:e>
              <m:sub>
                <m:r>
                  <w:rPr>
                    <w:rFonts w:ascii="Cambria Math" w:hAnsi="Cambria Math"/>
                    <w:color w:val="000000" w:themeColor="text1"/>
                    <w:sz w:val="24"/>
                    <w:szCs w:val="24"/>
                  </w:rPr>
                  <m:t>pe,ma,v1</m:t>
                </m:r>
              </m:sub>
            </m:sSub>
          </m:sub>
        </m:sSub>
      </m:oMath>
      <w:r w:rsidRPr="00DC07FC">
        <w:rPr>
          <w:rFonts w:ascii="Bookman Old Style" w:hAnsi="Bookman Old Style" w:cs="Arial"/>
          <w:color w:val="000000" w:themeColor="text1"/>
          <w:sz w:val="24"/>
          <w:szCs w:val="24"/>
          <w:lang w:val="es-ES"/>
        </w:rPr>
        <w:t>,</w:t>
      </w:r>
      <w:proofErr w:type="gramEnd"/>
      <w:r w:rsidRPr="00DC07FC">
        <w:rPr>
          <w:rFonts w:ascii="Bookman Old Style" w:hAnsi="Bookman Old Style" w:cs="Arial"/>
          <w:color w:val="000000" w:themeColor="text1"/>
          <w:sz w:val="24"/>
          <w:szCs w:val="24"/>
          <w:lang w:val="es-ES"/>
        </w:rPr>
        <w:t xml:space="preserve"> y finalizando con el que declaró el mayor precio de reserva,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PR</m:t>
            </m:r>
          </m:e>
          <m: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m:t>
                </m:r>
              </m:e>
              <m:sub>
                <m:r>
                  <w:rPr>
                    <w:rFonts w:ascii="Cambria Math" w:hAnsi="Cambria Math"/>
                    <w:color w:val="000000" w:themeColor="text1"/>
                    <w:sz w:val="24"/>
                    <w:szCs w:val="24"/>
                  </w:rPr>
                  <m:t>pe,ma,vn</m:t>
                </m:r>
              </m:sub>
            </m:sSub>
          </m:sub>
        </m:sSub>
      </m:oMath>
      <w:r w:rsidRPr="00DC07FC">
        <w:rPr>
          <w:rFonts w:ascii="Bookman Old Style" w:hAnsi="Bookman Old Style" w:cs="Arial"/>
          <w:color w:val="000000" w:themeColor="text1"/>
          <w:sz w:val="24"/>
          <w:szCs w:val="24"/>
          <w:lang w:val="es-ES"/>
        </w:rPr>
        <w:t xml:space="preserve">, se les dará la opción de ofrecer una cantidad tal que se elimine el exceso de demanda al precio de adjudicación de la subasta para el producto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m:t>
            </m:r>
          </m:e>
          <m:sub>
            <m:r>
              <w:rPr>
                <w:rFonts w:ascii="Cambria Math" w:hAnsi="Cambria Math"/>
                <w:color w:val="000000" w:themeColor="text1"/>
                <w:sz w:val="24"/>
                <w:szCs w:val="24"/>
              </w:rPr>
              <m:t>pe,ma</m:t>
            </m:r>
          </m:sub>
        </m:sSub>
      </m:oMath>
      <w:r w:rsidRPr="00DC07FC">
        <w:rPr>
          <w:rFonts w:ascii="Bookman Old Style" w:hAnsi="Bookman Old Style" w:cs="Arial"/>
          <w:color w:val="000000" w:themeColor="text1"/>
          <w:sz w:val="24"/>
          <w:szCs w:val="24"/>
          <w:lang w:val="es-ES"/>
        </w:rPr>
        <w:t>.</w:t>
      </w:r>
    </w:p>
    <w:p w:rsidR="00901EFF" w:rsidRPr="00DC07FC" w:rsidRDefault="00901EFF" w:rsidP="00901EFF">
      <w:pPr>
        <w:pStyle w:val="Prrafodelista"/>
        <w:ind w:left="993"/>
        <w:contextualSpacing/>
        <w:jc w:val="both"/>
        <w:rPr>
          <w:rFonts w:ascii="Bookman Old Style" w:hAnsi="Bookman Old Style" w:cs="Arial"/>
          <w:color w:val="000000" w:themeColor="text1"/>
          <w:sz w:val="24"/>
          <w:szCs w:val="24"/>
          <w:lang w:val="es-ES"/>
        </w:rPr>
      </w:pPr>
    </w:p>
    <w:p w:rsidR="00901EFF" w:rsidRPr="00DC07FC" w:rsidRDefault="00901EFF" w:rsidP="00901EFF">
      <w:pPr>
        <w:pStyle w:val="Prrafodelista"/>
        <w:numPr>
          <w:ilvl w:val="0"/>
          <w:numId w:val="32"/>
        </w:numPr>
        <w:ind w:left="993" w:hanging="567"/>
        <w:contextualSpacing/>
        <w:jc w:val="both"/>
        <w:rPr>
          <w:rFonts w:ascii="Bookman Old Style" w:hAnsi="Bookman Old Style" w:cs="Arial"/>
          <w:color w:val="000000" w:themeColor="text1"/>
          <w:sz w:val="24"/>
          <w:szCs w:val="24"/>
          <w:lang w:val="es-ES"/>
        </w:rPr>
      </w:pPr>
      <w:r w:rsidRPr="00DC07FC">
        <w:rPr>
          <w:rFonts w:ascii="Bookman Old Style" w:hAnsi="Bookman Old Style" w:cs="Arial"/>
          <w:color w:val="000000" w:themeColor="text1"/>
          <w:sz w:val="24"/>
          <w:szCs w:val="24"/>
          <w:lang w:val="es-ES"/>
        </w:rPr>
        <w:t xml:space="preserve">En caso de que ningún vendedor habilitado ofrezca la cantidad de GLP que elimine el exceso de demanda, este exceso se eliminará racionando a los compradores habilitados a prorrata de las demandas presentadas para el producto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m:t>
            </m:r>
          </m:e>
          <m:sub>
            <m:r>
              <w:rPr>
                <w:rFonts w:ascii="Cambria Math" w:hAnsi="Cambria Math"/>
                <w:color w:val="000000" w:themeColor="text1"/>
                <w:sz w:val="24"/>
                <w:szCs w:val="24"/>
              </w:rPr>
              <m:t>pe,ma</m:t>
            </m:r>
          </m:sub>
        </m:sSub>
      </m:oMath>
      <w:r w:rsidRPr="00DC07FC">
        <w:rPr>
          <w:rFonts w:ascii="Bookman Old Style" w:hAnsi="Bookman Old Style" w:cs="Arial"/>
          <w:color w:val="000000" w:themeColor="text1"/>
          <w:sz w:val="24"/>
          <w:szCs w:val="24"/>
        </w:rPr>
        <w:t xml:space="preserve"> en la última ronda</w:t>
      </w:r>
      <w:r w:rsidRPr="00DC07FC">
        <w:rPr>
          <w:rFonts w:ascii="Bookman Old Style" w:hAnsi="Bookman Old Style" w:cs="Arial"/>
          <w:color w:val="000000" w:themeColor="text1"/>
          <w:sz w:val="24"/>
          <w:szCs w:val="24"/>
          <w:lang w:val="es-ES"/>
        </w:rPr>
        <w:t>.</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Reglas de racionamiento</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En aquellos productos que al cierre de la subasta se presente exceso de oferta y hayan sido ofrecidos por más de un vendedor habilitado, se aplicará el siguiente procedimiento de racionamiento de la oferta para adjudicar la cantidad demandada:</w:t>
      </w:r>
    </w:p>
    <w:p w:rsidR="00901EFF" w:rsidRPr="00DC07FC" w:rsidRDefault="00901EFF" w:rsidP="00901EFF">
      <w:pPr>
        <w:ind w:left="0"/>
        <w:jc w:val="both"/>
        <w:rPr>
          <w:rFonts w:ascii="Bookman Old Style" w:hAnsi="Bookman Old Style"/>
          <w:color w:val="000000" w:themeColor="text1"/>
        </w:rPr>
      </w:pPr>
    </w:p>
    <w:p w:rsidR="00901EFF" w:rsidRPr="00AB3A05" w:rsidRDefault="00901EFF" w:rsidP="00B32B9C">
      <w:pPr>
        <w:numPr>
          <w:ilvl w:val="0"/>
          <w:numId w:val="31"/>
        </w:numPr>
        <w:autoSpaceDE w:val="0"/>
        <w:autoSpaceDN w:val="0"/>
        <w:adjustRightInd w:val="0"/>
        <w:ind w:left="567" w:hanging="567"/>
        <w:jc w:val="both"/>
        <w:rPr>
          <w:rFonts w:ascii="Bookman Old Style" w:hAnsi="Bookman Old Style"/>
          <w:color w:val="000000" w:themeColor="text1"/>
        </w:rPr>
      </w:pPr>
      <w:r w:rsidRPr="00AB3A05">
        <w:rPr>
          <w:rFonts w:ascii="Bookman Old Style" w:hAnsi="Bookman Old Style"/>
          <w:color w:val="000000" w:themeColor="text1"/>
        </w:rPr>
        <w:t>Comenzando con el menor precio de reserva declarado</w:t>
      </w:r>
      <w:proofErr w:type="gramStart"/>
      <w:r w:rsidRPr="00AB3A05">
        <w:rPr>
          <w:rFonts w:ascii="Bookman Old Style" w:hAnsi="Bookman Old Style"/>
          <w:color w:val="000000" w:themeColor="text1"/>
        </w:rPr>
        <w:t>,</w:t>
      </w:r>
      <w:r w:rsidR="009E066F" w:rsidRPr="00AB3A05">
        <w:rPr>
          <w:rFonts w:ascii="Bookman Old Style" w:hAnsi="Bookman Old Style"/>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pe,ma,v1</m:t>
                </m:r>
              </m:sub>
            </m:sSub>
          </m:sub>
        </m:sSub>
      </m:oMath>
      <w:r w:rsidRPr="00AB3A05">
        <w:rPr>
          <w:rFonts w:ascii="Bookman Old Style" w:hAnsi="Bookman Old Style"/>
          <w:color w:val="000000" w:themeColor="text1"/>
        </w:rPr>
        <w:t>,</w:t>
      </w:r>
      <w:proofErr w:type="gramEnd"/>
      <w:r w:rsidRPr="00AB3A05">
        <w:rPr>
          <w:rFonts w:ascii="Bookman Old Style" w:hAnsi="Bookman Old Style"/>
          <w:color w:val="000000" w:themeColor="text1"/>
        </w:rPr>
        <w:t xml:space="preserve"> se compara la cantidad ofrecida a dicho nivel de precio, </w:t>
      </w:r>
      <m:oMath>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pe,ma,v1</m:t>
                </m:r>
              </m:sub>
            </m:sSub>
          </m:sub>
        </m:sSub>
      </m:oMath>
      <w:r w:rsidRPr="00AB3A05">
        <w:rPr>
          <w:rFonts w:ascii="Bookman Old Style" w:hAnsi="Bookman Old Style"/>
          <w:color w:val="000000" w:themeColor="text1"/>
        </w:rPr>
        <w:t xml:space="preserve">, y la demanda que está pendiente por asignar, que en este primer paso correspondería a </w:t>
      </w:r>
      <m:oMath>
        <m:sSubSup>
          <m:sSubSupPr>
            <m:ctrlPr>
              <w:rPr>
                <w:rFonts w:ascii="Cambria Math" w:hAnsi="Cambria Math"/>
                <w:i/>
                <w:color w:val="000000" w:themeColor="text1"/>
                <w:lang w:val="es-CO"/>
              </w:rPr>
            </m:ctrlPr>
          </m:sSubSup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sub>
          <m:sup>
            <m:r>
              <w:rPr>
                <w:rFonts w:ascii="Cambria Math" w:hAnsi="Cambria Math"/>
                <w:color w:val="000000" w:themeColor="text1"/>
                <w:lang w:val="es-CO"/>
              </w:rPr>
              <m:t>n</m:t>
            </m:r>
          </m:sup>
        </m:sSubSup>
        <m:r>
          <w:rPr>
            <w:rFonts w:ascii="Cambria Math" w:hAnsi="Cambria Math"/>
            <w:color w:val="000000" w:themeColor="text1"/>
            <w:lang w:val="es-CO"/>
          </w:rPr>
          <m:t>=</m:t>
        </m:r>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c</m:t>
            </m:r>
          </m:sub>
          <m:sup/>
          <m:e>
            <m:sSubSup>
              <m:sSubSupPr>
                <m:ctrlPr>
                  <w:rPr>
                    <w:rFonts w:ascii="Cambria Math" w:hAnsi="Cambria Math"/>
                    <w:i/>
                    <w:color w:val="000000" w:themeColor="text1"/>
                    <w:lang w:val="es-CO"/>
                  </w:rPr>
                </m:ctrlPr>
              </m:sSubSup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pe,ma,c</m:t>
                    </m:r>
                  </m:sub>
                </m:sSub>
              </m:sub>
              <m:sup>
                <m:r>
                  <w:rPr>
                    <w:rFonts w:ascii="Cambria Math" w:hAnsi="Cambria Math"/>
                    <w:color w:val="000000" w:themeColor="text1"/>
                    <w:lang w:val="es-CO"/>
                  </w:rPr>
                  <m:t>n</m:t>
                </m:r>
              </m:sup>
            </m:sSubSup>
          </m:e>
        </m:nary>
      </m:oMath>
      <w:r w:rsidRPr="00AB3A05">
        <w:rPr>
          <w:rFonts w:ascii="Bookman Old Style" w:hAnsi="Bookman Old Style"/>
          <w:color w:val="000000" w:themeColor="text1"/>
        </w:rPr>
        <w:t>.</w:t>
      </w:r>
    </w:p>
    <w:p w:rsidR="00901EFF" w:rsidRPr="00AB3A05" w:rsidRDefault="00901EFF" w:rsidP="00B32B9C">
      <w:pPr>
        <w:autoSpaceDE w:val="0"/>
        <w:autoSpaceDN w:val="0"/>
        <w:adjustRightInd w:val="0"/>
        <w:jc w:val="both"/>
        <w:rPr>
          <w:rFonts w:ascii="Bookman Old Style" w:hAnsi="Bookman Old Style"/>
          <w:color w:val="000000" w:themeColor="text1"/>
        </w:rPr>
      </w:pPr>
    </w:p>
    <w:p w:rsidR="00901EFF" w:rsidRPr="00DC07FC" w:rsidRDefault="00901EFF" w:rsidP="00B32B9C">
      <w:pPr>
        <w:autoSpaceDE w:val="0"/>
        <w:autoSpaceDN w:val="0"/>
        <w:adjustRightInd w:val="0"/>
        <w:jc w:val="both"/>
        <w:rPr>
          <w:rFonts w:ascii="Bookman Old Style" w:hAnsi="Bookman Old Style"/>
          <w:color w:val="000000" w:themeColor="text1"/>
        </w:rPr>
      </w:pPr>
      <w:r w:rsidRPr="00DC07FC">
        <w:rPr>
          <w:rFonts w:ascii="Bookman Old Style" w:hAnsi="Bookman Old Style"/>
          <w:color w:val="000000" w:themeColor="text1"/>
        </w:rPr>
        <w:t>De manera general, la demanda sin asignar será:</w:t>
      </w:r>
    </w:p>
    <w:p w:rsidR="00901EFF" w:rsidRPr="00DC07FC" w:rsidRDefault="00901EFF" w:rsidP="00B32B9C">
      <w:pPr>
        <w:autoSpaceDE w:val="0"/>
        <w:autoSpaceDN w:val="0"/>
        <w:adjustRightInd w:val="0"/>
        <w:jc w:val="both"/>
        <w:rPr>
          <w:rFonts w:ascii="Bookman Old Style" w:hAnsi="Bookman Old Style"/>
          <w:color w:val="000000" w:themeColor="text1"/>
        </w:rPr>
      </w:pPr>
    </w:p>
    <w:p w:rsidR="00901EFF" w:rsidRPr="00DC07FC" w:rsidRDefault="001907E3" w:rsidP="00901EFF">
      <w:pPr>
        <w:autoSpaceDE w:val="0"/>
        <w:autoSpaceDN w:val="0"/>
        <w:adjustRightInd w:val="0"/>
        <w:ind w:left="1134"/>
        <w:jc w:val="both"/>
        <w:rPr>
          <w:rFonts w:ascii="Bookman Old Style" w:hAnsi="Bookman Old Style"/>
          <w:color w:val="000000" w:themeColor="text1"/>
        </w:rPr>
      </w:pPr>
      <m:oMathPara>
        <m:oMath>
          <m:sSub>
            <m:sSubPr>
              <m:ctrlPr>
                <w:rPr>
                  <w:rFonts w:ascii="Cambria Math" w:hAnsi="Cambria Math"/>
                  <w:i/>
                  <w:color w:val="000000" w:themeColor="text1"/>
                  <w:lang w:val="es-CO"/>
                </w:rPr>
              </m:ctrlPr>
            </m:sSubPr>
            <m:e>
              <m:r>
                <w:rPr>
                  <w:rFonts w:ascii="Cambria Math" w:hAnsi="Cambria Math"/>
                  <w:color w:val="000000" w:themeColor="text1"/>
                  <w:lang w:val="es-CO"/>
                </w:rPr>
                <m:t>DSA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pe,ma,vn</m:t>
                  </m:r>
                </m:sub>
              </m:sSub>
            </m:sub>
          </m:sSub>
          <m:r>
            <w:rPr>
              <w:rFonts w:ascii="Cambria Math" w:hAnsi="Cambria Math"/>
              <w:color w:val="000000" w:themeColor="text1"/>
              <w:lang w:val="es-CO"/>
            </w:rPr>
            <m:t>=</m:t>
          </m:r>
          <m:sSubSup>
            <m:sSubSupPr>
              <m:ctrlPr>
                <w:rPr>
                  <w:rFonts w:ascii="Cambria Math" w:hAnsi="Cambria Math"/>
                  <w:i/>
                  <w:color w:val="000000" w:themeColor="text1"/>
                  <w:lang w:val="es-CO"/>
                </w:rPr>
              </m:ctrlPr>
            </m:sSubSup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sub>
            <m:sup>
              <m:r>
                <w:rPr>
                  <w:rFonts w:ascii="Cambria Math" w:hAnsi="Cambria Math"/>
                  <w:color w:val="000000" w:themeColor="text1"/>
                  <w:lang w:val="es-CO"/>
                </w:rPr>
                <m:t>n</m:t>
              </m:r>
            </m:sup>
          </m:sSubSup>
          <m:r>
            <w:rPr>
              <w:rFonts w:ascii="Cambria Math" w:hAnsi="Cambria Math"/>
              <w:color w:val="000000" w:themeColor="text1"/>
              <w:lang w:val="es-CO"/>
            </w:rPr>
            <m:t>-</m:t>
          </m:r>
          <m:nary>
            <m:naryPr>
              <m:chr m:val="∑"/>
              <m:limLoc m:val="undOvr"/>
              <m:ctrlPr>
                <w:rPr>
                  <w:rFonts w:ascii="Cambria Math" w:hAnsi="Cambria Math"/>
                  <w:i/>
                  <w:color w:val="000000" w:themeColor="text1"/>
                  <w:lang w:val="es-CO"/>
                </w:rPr>
              </m:ctrlPr>
            </m:naryPr>
            <m:sub>
              <m:r>
                <w:rPr>
                  <w:rFonts w:ascii="Cambria Math" w:hAnsi="Cambria Math"/>
                  <w:color w:val="000000" w:themeColor="text1"/>
                  <w:lang w:val="es-CO"/>
                </w:rPr>
                <m:t>vi=1</m:t>
              </m:r>
            </m:sub>
            <m:sup>
              <m:r>
                <w:rPr>
                  <w:rFonts w:ascii="Cambria Math" w:hAnsi="Cambria Math"/>
                  <w:color w:val="000000" w:themeColor="text1"/>
                  <w:lang w:val="es-CO"/>
                </w:rPr>
                <m:t>n-1</m:t>
              </m:r>
            </m:sup>
            <m:e>
              <m:sSub>
                <m:sSubPr>
                  <m:ctrlPr>
                    <w:rPr>
                      <w:rFonts w:ascii="Cambria Math" w:hAnsi="Cambria Math"/>
                      <w:i/>
                      <w:color w:val="000000" w:themeColor="text1"/>
                      <w:lang w:val="es-CO"/>
                    </w:rPr>
                  </m:ctrlPr>
                </m:sSubPr>
                <m:e>
                  <m:r>
                    <w:rPr>
                      <w:rFonts w:ascii="Cambria Math" w:hAnsi="Cambria Math"/>
                      <w:color w:val="000000" w:themeColor="text1"/>
                      <w:lang w:val="es-CO"/>
                    </w:rPr>
                    <m:t>DA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e>
          </m:nary>
        </m:oMath>
      </m:oMathPara>
    </w:p>
    <w:p w:rsidR="00901EFF" w:rsidRPr="00DC07FC" w:rsidRDefault="00901EFF" w:rsidP="00B32B9C">
      <w:pPr>
        <w:autoSpaceDE w:val="0"/>
        <w:autoSpaceDN w:val="0"/>
        <w:adjustRightInd w:val="0"/>
        <w:jc w:val="both"/>
        <w:rPr>
          <w:rFonts w:ascii="Bookman Old Style" w:hAnsi="Bookman Old Style"/>
          <w:color w:val="000000" w:themeColor="text1"/>
        </w:rPr>
      </w:pPr>
    </w:p>
    <w:p w:rsidR="00901EFF" w:rsidRPr="00DC07FC" w:rsidRDefault="00901EFF" w:rsidP="00B32B9C">
      <w:pPr>
        <w:autoSpaceDE w:val="0"/>
        <w:autoSpaceDN w:val="0"/>
        <w:adjustRightInd w:val="0"/>
        <w:jc w:val="both"/>
        <w:rPr>
          <w:rFonts w:ascii="Bookman Old Style" w:hAnsi="Bookman Old Style"/>
          <w:color w:val="000000" w:themeColor="text1"/>
        </w:rPr>
      </w:pPr>
      <w:r w:rsidRPr="00DC07FC">
        <w:rPr>
          <w:rFonts w:ascii="Bookman Old Style" w:hAnsi="Bookman Old Style"/>
          <w:color w:val="000000" w:themeColor="text1"/>
        </w:rPr>
        <w:t>Donde,</w:t>
      </w:r>
    </w:p>
    <w:p w:rsidR="00901EFF" w:rsidRPr="00DC07FC" w:rsidRDefault="00901EFF" w:rsidP="00901EFF">
      <w:pPr>
        <w:autoSpaceDE w:val="0"/>
        <w:autoSpaceDN w:val="0"/>
        <w:adjustRightInd w:val="0"/>
        <w:ind w:left="1134"/>
        <w:jc w:val="both"/>
        <w:rPr>
          <w:rFonts w:ascii="Bookman Old Style" w:hAnsi="Bookman Old Style"/>
          <w:color w:val="000000" w:themeColor="text1"/>
        </w:rPr>
      </w:pPr>
    </w:p>
    <w:p w:rsidR="00901EFF" w:rsidRPr="00DC07FC" w:rsidRDefault="001907E3" w:rsidP="00901EFF">
      <w:pPr>
        <w:autoSpaceDE w:val="0"/>
        <w:autoSpaceDN w:val="0"/>
        <w:adjustRightInd w:val="0"/>
        <w:ind w:left="2829" w:hanging="1695"/>
        <w:jc w:val="both"/>
        <w:rPr>
          <w:rFonts w:ascii="Bookman Old Style" w:hAnsi="Bookman Old Style"/>
          <w:color w:val="000000" w:themeColor="text1"/>
        </w:rPr>
      </w:pPr>
      <m:oMath>
        <m:sSub>
          <m:sSubPr>
            <m:ctrlPr>
              <w:rPr>
                <w:rFonts w:ascii="Cambria Math" w:hAnsi="Cambria Math"/>
                <w:i/>
                <w:color w:val="000000" w:themeColor="text1"/>
                <w:lang w:val="es-CO"/>
              </w:rPr>
            </m:ctrlPr>
          </m:sSubPr>
          <m:e>
            <m:r>
              <w:rPr>
                <w:rFonts w:ascii="Cambria Math" w:hAnsi="Cambria Math"/>
                <w:color w:val="000000" w:themeColor="text1"/>
                <w:lang w:val="es-CO"/>
              </w:rPr>
              <m:t>DSA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pe,ma,vn</m:t>
                </m:r>
              </m:sub>
            </m:sSub>
          </m:sub>
        </m:sSub>
      </m:oMath>
      <w:r w:rsidR="00901EFF" w:rsidRPr="00DC07FC">
        <w:rPr>
          <w:rFonts w:ascii="Bookman Old Style" w:hAnsi="Bookman Old Style"/>
          <w:color w:val="000000" w:themeColor="text1"/>
          <w:lang w:val="es-CO"/>
        </w:rPr>
        <w:t xml:space="preserve"> : </w:t>
      </w:r>
      <w:r w:rsidR="00901EFF" w:rsidRPr="00DC07FC">
        <w:rPr>
          <w:rFonts w:ascii="Bookman Old Style" w:hAnsi="Bookman Old Style"/>
          <w:color w:val="000000" w:themeColor="text1"/>
          <w:lang w:val="es-CO"/>
        </w:rPr>
        <w:tab/>
        <w:t xml:space="preserve">Demanda sin asignar al nivel de precio de reserva </w:t>
      </w: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pe,ma,vn</m:t>
                </m:r>
              </m:sub>
            </m:sSub>
          </m:sub>
        </m:sSub>
      </m:oMath>
      <w:r w:rsidR="00901EFF" w:rsidRPr="00DC07FC">
        <w:rPr>
          <w:rFonts w:ascii="Bookman Old Style" w:hAnsi="Bookman Old Style"/>
          <w:color w:val="000000" w:themeColor="text1"/>
        </w:rPr>
        <w:t xml:space="preserve">, declarado por los vendedores </w:t>
      </w:r>
      <m:oMath>
        <m:r>
          <w:rPr>
            <w:rFonts w:ascii="Cambria Math" w:hAnsi="Cambria Math"/>
            <w:color w:val="000000" w:themeColor="text1"/>
            <w:lang w:val="es-CO"/>
          </w:rPr>
          <m:t>vn</m:t>
        </m:r>
      </m:oMath>
      <w:r w:rsidR="00901EFF" w:rsidRPr="00DC07FC">
        <w:rPr>
          <w:rFonts w:ascii="Bookman Old Style" w:hAnsi="Bookman Old Style"/>
          <w:color w:val="000000" w:themeColor="text1"/>
          <w:lang w:val="es-CO"/>
        </w:rPr>
        <w:t>.</w:t>
      </w:r>
    </w:p>
    <w:p w:rsidR="00901EFF" w:rsidRPr="00DC07FC" w:rsidRDefault="00901EFF" w:rsidP="00901EFF">
      <w:pPr>
        <w:autoSpaceDE w:val="0"/>
        <w:autoSpaceDN w:val="0"/>
        <w:adjustRightInd w:val="0"/>
        <w:ind w:left="1134"/>
        <w:jc w:val="both"/>
        <w:rPr>
          <w:rFonts w:ascii="Bookman Old Style" w:hAnsi="Bookman Old Style"/>
          <w:color w:val="000000" w:themeColor="text1"/>
        </w:rPr>
      </w:pPr>
    </w:p>
    <w:p w:rsidR="00901EFF" w:rsidRPr="00DC07FC" w:rsidRDefault="001907E3" w:rsidP="00901EFF">
      <w:pPr>
        <w:autoSpaceDE w:val="0"/>
        <w:autoSpaceDN w:val="0"/>
        <w:adjustRightInd w:val="0"/>
        <w:ind w:left="2829" w:hanging="1695"/>
        <w:jc w:val="both"/>
        <w:rPr>
          <w:rFonts w:ascii="Bookman Old Style" w:hAnsi="Bookman Old Style"/>
          <w:color w:val="000000" w:themeColor="text1"/>
        </w:rPr>
      </w:pPr>
      <m:oMath>
        <m:sSub>
          <m:sSubPr>
            <m:ctrlPr>
              <w:rPr>
                <w:rFonts w:ascii="Cambria Math" w:hAnsi="Cambria Math"/>
                <w:i/>
                <w:color w:val="000000" w:themeColor="text1"/>
                <w:lang w:val="es-CO"/>
              </w:rPr>
            </m:ctrlPr>
          </m:sSubPr>
          <m:e>
            <m:r>
              <w:rPr>
                <w:rFonts w:ascii="Cambria Math" w:hAnsi="Cambria Math"/>
                <w:color w:val="000000" w:themeColor="text1"/>
                <w:lang w:val="es-CO"/>
              </w:rPr>
              <m:t>DA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00901EFF" w:rsidRPr="00DC07FC">
        <w:rPr>
          <w:rFonts w:ascii="Bookman Old Style" w:hAnsi="Bookman Old Style"/>
          <w:color w:val="000000" w:themeColor="text1"/>
          <w:lang w:val="es-CO"/>
        </w:rPr>
        <w:t xml:space="preserve"> : </w:t>
      </w:r>
      <w:r w:rsidR="00901EFF" w:rsidRPr="00DC07FC">
        <w:rPr>
          <w:rFonts w:ascii="Bookman Old Style" w:hAnsi="Bookman Old Style"/>
          <w:color w:val="000000" w:themeColor="text1"/>
          <w:lang w:val="es-CO"/>
        </w:rPr>
        <w:tab/>
        <w:t xml:space="preserve">Demanda asignada al nivel de precio de reserva </w:t>
      </w: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00901EFF" w:rsidRPr="00DC07FC">
        <w:rPr>
          <w:rFonts w:ascii="Bookman Old Style" w:hAnsi="Bookman Old Style"/>
          <w:color w:val="000000" w:themeColor="text1"/>
        </w:rPr>
        <w:t>.</w:t>
      </w:r>
    </w:p>
    <w:p w:rsidR="00901EFF" w:rsidRPr="00DC07FC" w:rsidRDefault="00901EFF" w:rsidP="00901EFF">
      <w:pPr>
        <w:autoSpaceDE w:val="0"/>
        <w:autoSpaceDN w:val="0"/>
        <w:adjustRightInd w:val="0"/>
        <w:ind w:left="2829" w:hanging="1695"/>
        <w:jc w:val="both"/>
        <w:rPr>
          <w:rFonts w:ascii="Bookman Old Style" w:hAnsi="Bookman Old Style"/>
          <w:color w:val="000000" w:themeColor="text1"/>
        </w:rPr>
      </w:pPr>
    </w:p>
    <w:p w:rsidR="00901EFF" w:rsidRPr="00DC07FC" w:rsidRDefault="001907E3" w:rsidP="00901EFF">
      <w:pPr>
        <w:autoSpaceDE w:val="0"/>
        <w:autoSpaceDN w:val="0"/>
        <w:adjustRightInd w:val="0"/>
        <w:ind w:left="2829" w:hanging="1695"/>
        <w:jc w:val="both"/>
        <w:rPr>
          <w:rFonts w:ascii="Bookman Old Style" w:hAnsi="Bookman Old Style"/>
          <w:color w:val="000000" w:themeColor="text1"/>
        </w:rPr>
      </w:pPr>
      <m:oMath>
        <m:sSubSup>
          <m:sSubSupPr>
            <m:ctrlPr>
              <w:rPr>
                <w:rFonts w:ascii="Cambria Math" w:hAnsi="Cambria Math"/>
                <w:i/>
                <w:color w:val="000000" w:themeColor="text1"/>
                <w:lang w:val="es-CO"/>
              </w:rPr>
            </m:ctrlPr>
          </m:sSubSup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sub>
          <m:sup>
            <m:r>
              <w:rPr>
                <w:rFonts w:ascii="Cambria Math" w:hAnsi="Cambria Math"/>
                <w:color w:val="000000" w:themeColor="text1"/>
                <w:lang w:val="es-CO"/>
              </w:rPr>
              <m:t>n</m:t>
            </m:r>
          </m:sup>
        </m:sSubSup>
      </m:oMath>
      <w:r w:rsidR="00901EFF" w:rsidRPr="00DC07FC">
        <w:rPr>
          <w:rFonts w:ascii="Bookman Old Style" w:hAnsi="Bookman Old Style"/>
          <w:color w:val="000000" w:themeColor="text1"/>
          <w:lang w:val="es-CO"/>
        </w:rPr>
        <w:t xml:space="preserve"> : </w:t>
      </w:r>
      <w:r w:rsidR="00901EFF" w:rsidRPr="00DC07FC">
        <w:rPr>
          <w:rFonts w:ascii="Bookman Old Style" w:hAnsi="Bookman Old Style"/>
          <w:color w:val="000000" w:themeColor="text1"/>
          <w:lang w:val="es-CO"/>
        </w:rPr>
        <w:tab/>
        <w:t xml:space="preserve">Demanda por el producto </w:t>
      </w:r>
      <m:oMath>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oMath>
      <w:r w:rsidR="00901EFF" w:rsidRPr="00DC07FC">
        <w:rPr>
          <w:rFonts w:ascii="Bookman Old Style" w:hAnsi="Bookman Old Style"/>
          <w:color w:val="000000" w:themeColor="text1"/>
          <w:lang w:val="es-CO"/>
        </w:rPr>
        <w:t xml:space="preserve"> al cierre de la subasta.</w:t>
      </w:r>
    </w:p>
    <w:p w:rsidR="00901EFF" w:rsidRPr="00DC07FC" w:rsidRDefault="00901EFF" w:rsidP="00901EFF">
      <w:pPr>
        <w:autoSpaceDE w:val="0"/>
        <w:autoSpaceDN w:val="0"/>
        <w:adjustRightInd w:val="0"/>
        <w:ind w:left="2829" w:hanging="1695"/>
        <w:jc w:val="both"/>
        <w:rPr>
          <w:rFonts w:ascii="Bookman Old Style" w:hAnsi="Bookman Old Style"/>
          <w:color w:val="000000" w:themeColor="text1"/>
        </w:rPr>
      </w:pPr>
    </w:p>
    <w:p w:rsidR="00901EFF" w:rsidRDefault="00901EFF" w:rsidP="00901EFF">
      <w:pPr>
        <w:autoSpaceDE w:val="0"/>
        <w:autoSpaceDN w:val="0"/>
        <w:adjustRightInd w:val="0"/>
        <w:ind w:left="1134"/>
        <w:jc w:val="both"/>
        <w:rPr>
          <w:rFonts w:ascii="Bookman Old Style" w:hAnsi="Bookman Old Style"/>
          <w:color w:val="000000" w:themeColor="text1"/>
        </w:rPr>
      </w:pPr>
    </w:p>
    <w:p w:rsidR="0055273E" w:rsidRPr="00DC07FC" w:rsidRDefault="0055273E" w:rsidP="00901EFF">
      <w:pPr>
        <w:autoSpaceDE w:val="0"/>
        <w:autoSpaceDN w:val="0"/>
        <w:adjustRightInd w:val="0"/>
        <w:ind w:left="1134"/>
        <w:jc w:val="both"/>
        <w:rPr>
          <w:rFonts w:ascii="Bookman Old Style" w:hAnsi="Bookman Old Style"/>
          <w:color w:val="000000" w:themeColor="text1"/>
        </w:rPr>
      </w:pPr>
    </w:p>
    <w:p w:rsidR="00901EFF" w:rsidRPr="00260CFC" w:rsidRDefault="00901EFF" w:rsidP="00B32B9C">
      <w:pPr>
        <w:numPr>
          <w:ilvl w:val="0"/>
          <w:numId w:val="31"/>
        </w:numPr>
        <w:autoSpaceDE w:val="0"/>
        <w:autoSpaceDN w:val="0"/>
        <w:adjustRightInd w:val="0"/>
        <w:ind w:left="567" w:hanging="567"/>
        <w:jc w:val="both"/>
        <w:rPr>
          <w:rFonts w:ascii="Bookman Old Style" w:hAnsi="Bookman Old Style"/>
          <w:color w:val="000000" w:themeColor="text1"/>
        </w:rPr>
      </w:pPr>
      <w:r w:rsidRPr="00260CFC">
        <w:rPr>
          <w:rFonts w:ascii="Bookman Old Style" w:hAnsi="Bookman Old Style"/>
          <w:color w:val="000000" w:themeColor="text1"/>
        </w:rPr>
        <w:lastRenderedPageBreak/>
        <w:t>Cuando la demanda sin asignar</w:t>
      </w:r>
      <w:proofErr w:type="gramStart"/>
      <w:r w:rsidRPr="00260CFC">
        <w:rPr>
          <w:rFonts w:ascii="Bookman Old Style" w:hAnsi="Bookman Old Style"/>
          <w:color w:val="000000" w:themeColor="text1"/>
        </w:rPr>
        <w:t xml:space="preserve">, </w:t>
      </w:r>
      <m:oMath>
        <m:sSub>
          <m:sSubPr>
            <m:ctrlPr>
              <w:rPr>
                <w:rFonts w:ascii="Cambria Math" w:hAnsi="Cambria Math"/>
                <w:i/>
                <w:color w:val="000000" w:themeColor="text1"/>
                <w:lang w:val="es-CO"/>
              </w:rPr>
            </m:ctrlPr>
          </m:sSubPr>
          <m:e>
            <m:r>
              <w:rPr>
                <w:rFonts w:ascii="Cambria Math" w:hAnsi="Cambria Math"/>
                <w:color w:val="000000" w:themeColor="text1"/>
                <w:lang w:val="es-CO"/>
              </w:rPr>
              <m:t>DSA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lang w:val="es-CO"/>
        </w:rPr>
        <w:t>,</w:t>
      </w:r>
      <w:proofErr w:type="gramEnd"/>
      <w:r w:rsidRPr="00260CFC">
        <w:rPr>
          <w:rFonts w:ascii="Bookman Old Style" w:hAnsi="Bookman Old Style"/>
          <w:color w:val="000000" w:themeColor="text1"/>
        </w:rPr>
        <w:t xml:space="preserve"> es mayor o igual a la oferta, </w:t>
      </w:r>
      <m:oMath>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rPr>
        <w:t xml:space="preserve">, para un determinado nivel de precio de reserva </w:t>
      </w: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rPr>
        <w:t xml:space="preserve">, la demanda asignada a ese nivel de precio de reserva, </w:t>
      </w:r>
      <m:oMath>
        <m:sSub>
          <m:sSubPr>
            <m:ctrlPr>
              <w:rPr>
                <w:rFonts w:ascii="Cambria Math" w:hAnsi="Cambria Math"/>
                <w:i/>
                <w:color w:val="000000" w:themeColor="text1"/>
                <w:lang w:val="es-CO"/>
              </w:rPr>
            </m:ctrlPr>
          </m:sSubPr>
          <m:e>
            <m:r>
              <w:rPr>
                <w:rFonts w:ascii="Cambria Math" w:hAnsi="Cambria Math"/>
                <w:color w:val="000000" w:themeColor="text1"/>
                <w:lang w:val="es-CO"/>
              </w:rPr>
              <m:t>DA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lang w:val="es-CO"/>
        </w:rPr>
        <w:t>,</w:t>
      </w:r>
      <w:r w:rsidRPr="00260CFC">
        <w:rPr>
          <w:rFonts w:ascii="Bookman Old Style" w:hAnsi="Bookman Old Style"/>
          <w:color w:val="000000" w:themeColor="text1"/>
        </w:rPr>
        <w:t xml:space="preserve"> será igual a la oferta de ese nivel de precio. A cada uno de los vendedores </w:t>
      </w:r>
      <m:oMath>
        <m:r>
          <w:rPr>
            <w:rFonts w:ascii="Cambria Math" w:hAnsi="Cambria Math"/>
            <w:color w:val="000000" w:themeColor="text1"/>
            <w:lang w:val="es-CO"/>
          </w:rPr>
          <m:t>vi</m:t>
        </m:r>
      </m:oMath>
      <w:r w:rsidRPr="00260CFC">
        <w:rPr>
          <w:rFonts w:ascii="Bookman Old Style" w:hAnsi="Bookman Old Style"/>
          <w:color w:val="000000" w:themeColor="text1"/>
        </w:rPr>
        <w:t xml:space="preserve"> que declaró el precio de reserva </w:t>
      </w: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rPr>
        <w:t xml:space="preserve">, se le asigna una demanda igual a la que </w:t>
      </w:r>
      <w:r w:rsidR="0066247F">
        <w:rPr>
          <w:rFonts w:ascii="Bookman Old Style" w:hAnsi="Bookman Old Style"/>
          <w:color w:val="000000" w:themeColor="text1"/>
        </w:rPr>
        <w:t>ofreció</w:t>
      </w:r>
      <w:r w:rsidRPr="00260CFC">
        <w:rPr>
          <w:rFonts w:ascii="Bookman Old Style" w:hAnsi="Bookman Old Style"/>
          <w:color w:val="000000" w:themeColor="text1"/>
        </w:rPr>
        <w:t>.</w:t>
      </w:r>
    </w:p>
    <w:p w:rsidR="00901EFF" w:rsidRPr="00260CFC" w:rsidRDefault="00901EFF" w:rsidP="00B32B9C">
      <w:pPr>
        <w:jc w:val="both"/>
        <w:rPr>
          <w:rFonts w:ascii="Bookman Old Style" w:hAnsi="Bookman Old Style"/>
          <w:color w:val="000000" w:themeColor="text1"/>
        </w:rPr>
      </w:pPr>
    </w:p>
    <w:p w:rsidR="00901EFF" w:rsidRPr="00260CFC" w:rsidRDefault="00901EFF" w:rsidP="00B32B9C">
      <w:pPr>
        <w:jc w:val="both"/>
        <w:rPr>
          <w:rFonts w:ascii="Bookman Old Style" w:hAnsi="Bookman Old Style"/>
          <w:color w:val="000000" w:themeColor="text1"/>
        </w:rPr>
      </w:pPr>
      <w:r w:rsidRPr="00260CFC">
        <w:rPr>
          <w:rFonts w:ascii="Bookman Old Style" w:hAnsi="Bookman Old Style"/>
          <w:color w:val="000000" w:themeColor="text1"/>
        </w:rPr>
        <w:t>Es decir que, si se cumple que:</w:t>
      </w:r>
    </w:p>
    <w:p w:rsidR="00901EFF" w:rsidRPr="00260CFC" w:rsidRDefault="00901EFF" w:rsidP="00B32B9C">
      <w:pPr>
        <w:autoSpaceDE w:val="0"/>
        <w:autoSpaceDN w:val="0"/>
        <w:adjustRightInd w:val="0"/>
        <w:jc w:val="both"/>
        <w:rPr>
          <w:rFonts w:ascii="Bookman Old Style" w:hAnsi="Bookman Old Style"/>
          <w:color w:val="000000" w:themeColor="text1"/>
        </w:rPr>
      </w:pPr>
    </w:p>
    <w:p w:rsidR="00901EFF" w:rsidRPr="00260CFC" w:rsidRDefault="001907E3" w:rsidP="00901EFF">
      <w:pPr>
        <w:autoSpaceDE w:val="0"/>
        <w:autoSpaceDN w:val="0"/>
        <w:adjustRightInd w:val="0"/>
        <w:ind w:left="1134"/>
        <w:jc w:val="both"/>
        <w:rPr>
          <w:rFonts w:ascii="Bookman Old Style" w:hAnsi="Bookman Old Style"/>
          <w:color w:val="000000" w:themeColor="text1"/>
        </w:rPr>
      </w:pPr>
      <m:oMathPara>
        <m:oMath>
          <m:sSub>
            <m:sSubPr>
              <m:ctrlPr>
                <w:rPr>
                  <w:rFonts w:ascii="Cambria Math" w:hAnsi="Cambria Math"/>
                  <w:i/>
                  <w:color w:val="000000" w:themeColor="text1"/>
                  <w:lang w:val="es-CO"/>
                </w:rPr>
              </m:ctrlPr>
            </m:sSubPr>
            <m:e>
              <m:r>
                <w:rPr>
                  <w:rFonts w:ascii="Cambria Math" w:hAnsi="Cambria Math"/>
                  <w:color w:val="000000" w:themeColor="text1"/>
                  <w:lang w:val="es-CO"/>
                </w:rPr>
                <m:t>DSA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r>
            <w:rPr>
              <w:rFonts w:ascii="Cambria Math" w:hAnsi="Cambria Math"/>
              <w:color w:val="000000" w:themeColor="text1"/>
              <w:lang w:val="es-CO"/>
            </w:rPr>
            <m:t>≥</m:t>
          </m:r>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m:oMathPara>
    </w:p>
    <w:p w:rsidR="00901EFF" w:rsidRPr="00260CFC" w:rsidRDefault="00901EFF" w:rsidP="00B32B9C">
      <w:pPr>
        <w:autoSpaceDE w:val="0"/>
        <w:autoSpaceDN w:val="0"/>
        <w:adjustRightInd w:val="0"/>
        <w:jc w:val="both"/>
        <w:rPr>
          <w:rFonts w:ascii="Bookman Old Style" w:hAnsi="Bookman Old Style"/>
          <w:color w:val="000000" w:themeColor="text1"/>
        </w:rPr>
      </w:pPr>
    </w:p>
    <w:p w:rsidR="00901EFF" w:rsidRPr="00260CFC" w:rsidRDefault="00901EFF" w:rsidP="00B32B9C">
      <w:pPr>
        <w:autoSpaceDE w:val="0"/>
        <w:autoSpaceDN w:val="0"/>
        <w:adjustRightInd w:val="0"/>
        <w:jc w:val="both"/>
        <w:rPr>
          <w:rFonts w:ascii="Bookman Old Style" w:hAnsi="Bookman Old Style"/>
          <w:color w:val="000000" w:themeColor="text1"/>
        </w:rPr>
      </w:pPr>
      <w:r w:rsidRPr="00260CFC">
        <w:rPr>
          <w:rFonts w:ascii="Bookman Old Style" w:hAnsi="Bookman Old Style"/>
          <w:color w:val="000000" w:themeColor="text1"/>
        </w:rPr>
        <w:t>Entonces:</w:t>
      </w:r>
    </w:p>
    <w:p w:rsidR="00901EFF" w:rsidRPr="00260CFC" w:rsidRDefault="00901EFF" w:rsidP="00B32B9C">
      <w:pPr>
        <w:autoSpaceDE w:val="0"/>
        <w:autoSpaceDN w:val="0"/>
        <w:adjustRightInd w:val="0"/>
        <w:jc w:val="both"/>
        <w:rPr>
          <w:rFonts w:ascii="Bookman Old Style" w:hAnsi="Bookman Old Style"/>
          <w:color w:val="000000" w:themeColor="text1"/>
        </w:rPr>
      </w:pPr>
    </w:p>
    <w:p w:rsidR="00901EFF" w:rsidRPr="00260CFC" w:rsidRDefault="001907E3" w:rsidP="00901EFF">
      <w:pPr>
        <w:autoSpaceDE w:val="0"/>
        <w:autoSpaceDN w:val="0"/>
        <w:adjustRightInd w:val="0"/>
        <w:ind w:left="1134"/>
        <w:jc w:val="both"/>
        <w:rPr>
          <w:rFonts w:ascii="Bookman Old Style" w:hAnsi="Bookman Old Style"/>
          <w:color w:val="000000" w:themeColor="text1"/>
        </w:rPr>
      </w:pPr>
      <m:oMathPara>
        <m:oMath>
          <m:sSub>
            <m:sSubPr>
              <m:ctrlPr>
                <w:rPr>
                  <w:rFonts w:ascii="Cambria Math" w:hAnsi="Cambria Math"/>
                  <w:i/>
                  <w:color w:val="000000" w:themeColor="text1"/>
                  <w:lang w:val="es-CO"/>
                </w:rPr>
              </m:ctrlPr>
            </m:sSubPr>
            <m:e>
              <m:r>
                <w:rPr>
                  <w:rFonts w:ascii="Cambria Math" w:hAnsi="Cambria Math"/>
                  <w:color w:val="000000" w:themeColor="text1"/>
                  <w:lang w:val="es-CO"/>
                </w:rPr>
                <m:t>DA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r>
            <w:rPr>
              <w:rFonts w:ascii="Cambria Math" w:hAnsi="Cambria Math"/>
              <w:color w:val="000000" w:themeColor="text1"/>
              <w:lang w:val="es-CO"/>
            </w:rPr>
            <m:t>=</m:t>
          </m:r>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m:oMathPara>
    </w:p>
    <w:p w:rsidR="00901EFF" w:rsidRPr="00260CFC" w:rsidRDefault="00901EFF" w:rsidP="00B32B9C">
      <w:pPr>
        <w:autoSpaceDE w:val="0"/>
        <w:autoSpaceDN w:val="0"/>
        <w:adjustRightInd w:val="0"/>
        <w:jc w:val="both"/>
        <w:rPr>
          <w:rFonts w:ascii="Bookman Old Style" w:hAnsi="Bookman Old Style"/>
          <w:color w:val="000000" w:themeColor="text1"/>
        </w:rPr>
      </w:pPr>
    </w:p>
    <w:p w:rsidR="00901EFF" w:rsidRPr="00260CFC" w:rsidRDefault="00901EFF" w:rsidP="00B32B9C">
      <w:pPr>
        <w:autoSpaceDE w:val="0"/>
        <w:autoSpaceDN w:val="0"/>
        <w:adjustRightInd w:val="0"/>
        <w:jc w:val="both"/>
        <w:rPr>
          <w:rFonts w:ascii="Bookman Old Style" w:hAnsi="Bookman Old Style"/>
          <w:color w:val="000000" w:themeColor="text1"/>
        </w:rPr>
      </w:pPr>
      <w:r w:rsidRPr="00260CFC">
        <w:rPr>
          <w:rFonts w:ascii="Bookman Old Style" w:hAnsi="Bookman Old Style"/>
          <w:color w:val="000000" w:themeColor="text1"/>
        </w:rPr>
        <w:t>La oferta asignada a cada vendedor será:</w:t>
      </w:r>
    </w:p>
    <w:p w:rsidR="00901EFF" w:rsidRPr="00260CFC" w:rsidRDefault="00901EFF" w:rsidP="00B32B9C">
      <w:pPr>
        <w:autoSpaceDE w:val="0"/>
        <w:autoSpaceDN w:val="0"/>
        <w:adjustRightInd w:val="0"/>
        <w:jc w:val="both"/>
        <w:rPr>
          <w:rFonts w:ascii="Bookman Old Style" w:hAnsi="Bookman Old Style"/>
          <w:color w:val="000000" w:themeColor="text1"/>
        </w:rPr>
      </w:pPr>
    </w:p>
    <w:p w:rsidR="00901EFF" w:rsidRPr="00260CFC" w:rsidRDefault="001907E3" w:rsidP="00901EFF">
      <w:pPr>
        <w:autoSpaceDE w:val="0"/>
        <w:autoSpaceDN w:val="0"/>
        <w:adjustRightInd w:val="0"/>
        <w:ind w:left="1134"/>
        <w:jc w:val="both"/>
        <w:rPr>
          <w:rFonts w:ascii="Bookman Old Style" w:hAnsi="Bookman Old Style"/>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OA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pe,ma,vi,v</m:t>
                  </m:r>
                </m:sub>
              </m:sSub>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pe,ma,vi,v</m:t>
                  </m:r>
                </m:sub>
              </m:sSub>
            </m:sub>
          </m:sSub>
        </m:oMath>
      </m:oMathPara>
    </w:p>
    <w:p w:rsidR="00901EFF" w:rsidRPr="00260CFC" w:rsidRDefault="00901EFF" w:rsidP="00B32B9C">
      <w:pPr>
        <w:autoSpaceDE w:val="0"/>
        <w:autoSpaceDN w:val="0"/>
        <w:adjustRightInd w:val="0"/>
        <w:jc w:val="both"/>
        <w:rPr>
          <w:rFonts w:ascii="Bookman Old Style" w:hAnsi="Bookman Old Style"/>
          <w:color w:val="000000" w:themeColor="text1"/>
        </w:rPr>
      </w:pPr>
    </w:p>
    <w:p w:rsidR="00901EFF" w:rsidRPr="00260CFC" w:rsidRDefault="00901EFF" w:rsidP="00B32B9C">
      <w:pPr>
        <w:autoSpaceDE w:val="0"/>
        <w:autoSpaceDN w:val="0"/>
        <w:adjustRightInd w:val="0"/>
        <w:jc w:val="both"/>
        <w:rPr>
          <w:rFonts w:ascii="Bookman Old Style" w:hAnsi="Bookman Old Style"/>
          <w:color w:val="000000" w:themeColor="text1"/>
        </w:rPr>
      </w:pPr>
      <w:r w:rsidRPr="00260CFC">
        <w:rPr>
          <w:rFonts w:ascii="Bookman Old Style" w:hAnsi="Bookman Old Style"/>
          <w:color w:val="000000" w:themeColor="text1"/>
        </w:rPr>
        <w:t>Donde,</w:t>
      </w:r>
    </w:p>
    <w:p w:rsidR="00901EFF" w:rsidRPr="00260CFC" w:rsidRDefault="00901EFF" w:rsidP="00B32B9C">
      <w:pPr>
        <w:autoSpaceDE w:val="0"/>
        <w:autoSpaceDN w:val="0"/>
        <w:adjustRightInd w:val="0"/>
        <w:jc w:val="both"/>
        <w:rPr>
          <w:rFonts w:ascii="Bookman Old Style" w:hAnsi="Bookman Old Style"/>
          <w:color w:val="000000" w:themeColor="text1"/>
        </w:rPr>
      </w:pPr>
    </w:p>
    <w:p w:rsidR="00901EFF" w:rsidRPr="00260CFC" w:rsidRDefault="001907E3" w:rsidP="00901EFF">
      <w:pPr>
        <w:autoSpaceDE w:val="0"/>
        <w:autoSpaceDN w:val="0"/>
        <w:adjustRightInd w:val="0"/>
        <w:ind w:left="2829" w:hanging="1695"/>
        <w:jc w:val="both"/>
        <w:rPr>
          <w:rFonts w:ascii="Bookman Old Style" w:hAnsi="Bookman Old Style"/>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pe,ma,vi,v</m:t>
                </m:r>
              </m:sub>
            </m:sSub>
          </m:sub>
        </m:sSub>
      </m:oMath>
      <w:r w:rsidR="00901EFF" w:rsidRPr="00260CFC">
        <w:rPr>
          <w:rFonts w:ascii="Bookman Old Style" w:hAnsi="Bookman Old Style"/>
          <w:color w:val="000000" w:themeColor="text1"/>
        </w:rPr>
        <w:t xml:space="preserve"> : </w:t>
      </w:r>
      <w:r w:rsidR="00901EFF" w:rsidRPr="00260CFC">
        <w:rPr>
          <w:rFonts w:ascii="Bookman Old Style" w:hAnsi="Bookman Old Style"/>
          <w:color w:val="000000" w:themeColor="text1"/>
        </w:rPr>
        <w:tab/>
        <w:t xml:space="preserve">Cantidad de GLP ofrecida en la subasta del producto </w:t>
      </w:r>
      <m:oMath>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m:t>
            </m:r>
          </m:sub>
        </m:sSub>
      </m:oMath>
      <w:r w:rsidR="00901EFF" w:rsidRPr="00260CFC">
        <w:rPr>
          <w:rFonts w:ascii="Bookman Old Style" w:hAnsi="Bookman Old Style"/>
          <w:color w:val="000000" w:themeColor="text1"/>
        </w:rPr>
        <w:t xml:space="preserve">, por el vendedor </w:t>
      </w:r>
      <m:oMath>
        <m:r>
          <w:rPr>
            <w:rFonts w:ascii="Cambria Math" w:hAnsi="Cambria Math"/>
            <w:color w:val="000000" w:themeColor="text1"/>
            <w:lang w:val="es-CO"/>
          </w:rPr>
          <m:t>v</m:t>
        </m:r>
      </m:oMath>
      <w:r w:rsidR="00901EFF" w:rsidRPr="00260CFC">
        <w:rPr>
          <w:rFonts w:ascii="Bookman Old Style" w:hAnsi="Bookman Old Style"/>
          <w:color w:val="000000" w:themeColor="text1"/>
          <w:lang w:val="es-CO"/>
        </w:rPr>
        <w:t xml:space="preserve">, el cual hace parte de los vendedores </w:t>
      </w:r>
      <m:oMath>
        <m:r>
          <w:rPr>
            <w:rFonts w:ascii="Cambria Math" w:hAnsi="Cambria Math"/>
            <w:color w:val="000000" w:themeColor="text1"/>
            <w:lang w:val="es-CO"/>
          </w:rPr>
          <m:t>vi</m:t>
        </m:r>
      </m:oMath>
      <w:r w:rsidR="00901EFF" w:rsidRPr="00260CFC">
        <w:rPr>
          <w:rFonts w:ascii="Bookman Old Style" w:hAnsi="Bookman Old Style"/>
          <w:color w:val="000000" w:themeColor="text1"/>
          <w:lang w:val="es-CO"/>
        </w:rPr>
        <w:t>,</w:t>
      </w:r>
      <w:r w:rsidR="00901EFF" w:rsidRPr="00260CFC">
        <w:rPr>
          <w:rFonts w:ascii="Bookman Old Style" w:hAnsi="Bookman Old Style"/>
          <w:color w:val="000000" w:themeColor="text1"/>
        </w:rPr>
        <w:t xml:space="preserve"> que declararon como precio de reserva </w:t>
      </w: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00901EFF" w:rsidRPr="00260CFC">
        <w:rPr>
          <w:rFonts w:ascii="Bookman Old Style" w:hAnsi="Bookman Old Style"/>
          <w:color w:val="000000" w:themeColor="text1"/>
        </w:rPr>
        <w:t>.</w:t>
      </w:r>
    </w:p>
    <w:p w:rsidR="00901EFF" w:rsidRPr="00260CFC" w:rsidRDefault="00901EFF" w:rsidP="00901EFF">
      <w:pPr>
        <w:autoSpaceDE w:val="0"/>
        <w:autoSpaceDN w:val="0"/>
        <w:adjustRightInd w:val="0"/>
        <w:ind w:left="1134"/>
        <w:jc w:val="both"/>
        <w:rPr>
          <w:rFonts w:ascii="Bookman Old Style" w:hAnsi="Bookman Old Style"/>
          <w:color w:val="000000" w:themeColor="text1"/>
        </w:rPr>
      </w:pPr>
    </w:p>
    <w:p w:rsidR="00901EFF" w:rsidRPr="00260CFC" w:rsidRDefault="001907E3" w:rsidP="00901EFF">
      <w:pPr>
        <w:autoSpaceDE w:val="0"/>
        <w:autoSpaceDN w:val="0"/>
        <w:adjustRightInd w:val="0"/>
        <w:ind w:left="2829" w:hanging="1695"/>
        <w:jc w:val="both"/>
        <w:rPr>
          <w:rFonts w:ascii="Bookman Old Style" w:hAnsi="Bookman Old Style"/>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OA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pe,ma,vi,v</m:t>
                </m:r>
              </m:sub>
            </m:sSub>
          </m:sub>
        </m:sSub>
      </m:oMath>
      <w:r w:rsidR="00901EFF" w:rsidRPr="00260CFC">
        <w:rPr>
          <w:rFonts w:ascii="Bookman Old Style" w:hAnsi="Bookman Old Style"/>
          <w:color w:val="000000" w:themeColor="text1"/>
        </w:rPr>
        <w:t xml:space="preserve"> : </w:t>
      </w:r>
      <w:r w:rsidR="00901EFF" w:rsidRPr="00260CFC">
        <w:rPr>
          <w:rFonts w:ascii="Bookman Old Style" w:hAnsi="Bookman Old Style"/>
          <w:color w:val="000000" w:themeColor="text1"/>
        </w:rPr>
        <w:tab/>
        <w:t xml:space="preserve">Oferta asignada al vendedor </w:t>
      </w:r>
      <m:oMath>
        <m:r>
          <w:rPr>
            <w:rFonts w:ascii="Cambria Math" w:hAnsi="Cambria Math"/>
            <w:color w:val="000000" w:themeColor="text1"/>
            <w:lang w:val="es-CO"/>
          </w:rPr>
          <m:t>v</m:t>
        </m:r>
      </m:oMath>
      <w:r w:rsidR="00901EFF" w:rsidRPr="00260CFC">
        <w:rPr>
          <w:rFonts w:ascii="Bookman Old Style" w:hAnsi="Bookman Old Style"/>
          <w:color w:val="000000" w:themeColor="text1"/>
          <w:lang w:val="es-CO"/>
        </w:rPr>
        <w:t xml:space="preserve">, el </w:t>
      </w:r>
      <w:r w:rsidR="0066247F">
        <w:rPr>
          <w:rFonts w:ascii="Bookman Old Style" w:hAnsi="Bookman Old Style"/>
          <w:color w:val="000000" w:themeColor="text1"/>
          <w:lang w:val="es-CO"/>
        </w:rPr>
        <w:t xml:space="preserve">cual </w:t>
      </w:r>
      <w:r w:rsidR="00901EFF" w:rsidRPr="00260CFC">
        <w:rPr>
          <w:rFonts w:ascii="Bookman Old Style" w:hAnsi="Bookman Old Style"/>
          <w:color w:val="000000" w:themeColor="text1"/>
          <w:lang w:val="es-CO"/>
        </w:rPr>
        <w:t xml:space="preserve">hace parte de los vendedores </w:t>
      </w:r>
      <m:oMath>
        <m:r>
          <w:rPr>
            <w:rFonts w:ascii="Cambria Math" w:hAnsi="Cambria Math"/>
            <w:color w:val="000000" w:themeColor="text1"/>
            <w:lang w:val="es-CO"/>
          </w:rPr>
          <m:t>vi</m:t>
        </m:r>
      </m:oMath>
      <w:r w:rsidR="00901EFF" w:rsidRPr="00260CFC">
        <w:rPr>
          <w:rFonts w:ascii="Bookman Old Style" w:hAnsi="Bookman Old Style"/>
          <w:color w:val="000000" w:themeColor="text1"/>
          <w:lang w:val="es-CO"/>
        </w:rPr>
        <w:t>,</w:t>
      </w:r>
      <w:r w:rsidR="00901EFF" w:rsidRPr="00260CFC">
        <w:rPr>
          <w:rFonts w:ascii="Bookman Old Style" w:hAnsi="Bookman Old Style"/>
          <w:color w:val="000000" w:themeColor="text1"/>
        </w:rPr>
        <w:t xml:space="preserve"> que declararon como precio de reserva </w:t>
      </w: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00901EFF" w:rsidRPr="00260CFC">
        <w:rPr>
          <w:rFonts w:ascii="Bookman Old Style" w:hAnsi="Bookman Old Style"/>
          <w:color w:val="000000" w:themeColor="text1"/>
        </w:rPr>
        <w:t>.</w:t>
      </w:r>
    </w:p>
    <w:p w:rsidR="00901EFF" w:rsidRPr="00260CFC" w:rsidRDefault="00901EFF" w:rsidP="00B32B9C">
      <w:pPr>
        <w:autoSpaceDE w:val="0"/>
        <w:autoSpaceDN w:val="0"/>
        <w:adjustRightInd w:val="0"/>
        <w:jc w:val="both"/>
        <w:rPr>
          <w:rFonts w:ascii="Bookman Old Style" w:hAnsi="Bookman Old Style"/>
          <w:color w:val="000000" w:themeColor="text1"/>
        </w:rPr>
      </w:pPr>
    </w:p>
    <w:p w:rsidR="00901EFF" w:rsidRPr="00260CFC" w:rsidRDefault="00901EFF" w:rsidP="00B32B9C">
      <w:pPr>
        <w:numPr>
          <w:ilvl w:val="0"/>
          <w:numId w:val="31"/>
        </w:numPr>
        <w:autoSpaceDE w:val="0"/>
        <w:autoSpaceDN w:val="0"/>
        <w:adjustRightInd w:val="0"/>
        <w:ind w:left="567" w:hanging="567"/>
        <w:jc w:val="both"/>
        <w:rPr>
          <w:rFonts w:ascii="Bookman Old Style" w:hAnsi="Bookman Old Style"/>
          <w:color w:val="000000" w:themeColor="text1"/>
        </w:rPr>
      </w:pPr>
      <w:r w:rsidRPr="00260CFC">
        <w:rPr>
          <w:rFonts w:ascii="Bookman Old Style" w:hAnsi="Bookman Old Style"/>
          <w:color w:val="000000" w:themeColor="text1"/>
        </w:rPr>
        <w:t>Cuando la demanda sin asignar</w:t>
      </w:r>
      <w:proofErr w:type="gramStart"/>
      <w:r w:rsidRPr="00260CFC">
        <w:rPr>
          <w:rFonts w:ascii="Bookman Old Style" w:hAnsi="Bookman Old Style"/>
          <w:color w:val="000000" w:themeColor="text1"/>
        </w:rPr>
        <w:t xml:space="preserve">, </w:t>
      </w:r>
      <m:oMath>
        <m:sSub>
          <m:sSubPr>
            <m:ctrlPr>
              <w:rPr>
                <w:rFonts w:ascii="Cambria Math" w:hAnsi="Cambria Math"/>
                <w:i/>
                <w:color w:val="000000" w:themeColor="text1"/>
                <w:lang w:val="es-CO"/>
              </w:rPr>
            </m:ctrlPr>
          </m:sSubPr>
          <m:e>
            <m:r>
              <w:rPr>
                <w:rFonts w:ascii="Cambria Math" w:hAnsi="Cambria Math"/>
                <w:color w:val="000000" w:themeColor="text1"/>
                <w:lang w:val="es-CO"/>
              </w:rPr>
              <m:t>DSA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lang w:val="es-CO"/>
        </w:rPr>
        <w:t>,</w:t>
      </w:r>
      <w:proofErr w:type="gramEnd"/>
      <w:r w:rsidRPr="00260CFC">
        <w:rPr>
          <w:rFonts w:ascii="Bookman Old Style" w:hAnsi="Bookman Old Style"/>
          <w:color w:val="000000" w:themeColor="text1"/>
        </w:rPr>
        <w:t xml:space="preserve"> es menor que la oferta, </w:t>
      </w:r>
      <m:oMath>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rPr>
        <w:t xml:space="preserve">, para un determinado nivel de precio de reserva </w:t>
      </w: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rPr>
        <w:t xml:space="preserve">, la demanda asignada a ese nivel de precio de reserva, </w:t>
      </w:r>
      <m:oMath>
        <m:sSub>
          <m:sSubPr>
            <m:ctrlPr>
              <w:rPr>
                <w:rFonts w:ascii="Cambria Math" w:hAnsi="Cambria Math"/>
                <w:i/>
                <w:color w:val="000000" w:themeColor="text1"/>
                <w:lang w:val="es-CO"/>
              </w:rPr>
            </m:ctrlPr>
          </m:sSubPr>
          <m:e>
            <m:r>
              <w:rPr>
                <w:rFonts w:ascii="Cambria Math" w:hAnsi="Cambria Math"/>
                <w:color w:val="000000" w:themeColor="text1"/>
                <w:lang w:val="es-CO"/>
              </w:rPr>
              <m:t>DA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lang w:val="es-CO"/>
        </w:rPr>
        <w:t>,</w:t>
      </w:r>
      <w:r w:rsidRPr="00260CFC">
        <w:rPr>
          <w:rFonts w:ascii="Bookman Old Style" w:hAnsi="Bookman Old Style"/>
          <w:color w:val="000000" w:themeColor="text1"/>
        </w:rPr>
        <w:t xml:space="preserve"> será igual a la demanda sin asignar. A cada uno de los vendedores </w:t>
      </w:r>
      <m:oMath>
        <m:r>
          <w:rPr>
            <w:rFonts w:ascii="Cambria Math" w:hAnsi="Cambria Math"/>
            <w:color w:val="000000" w:themeColor="text1"/>
            <w:lang w:val="es-CO"/>
          </w:rPr>
          <m:t>vi</m:t>
        </m:r>
      </m:oMath>
      <w:r w:rsidRPr="00260CFC">
        <w:rPr>
          <w:rFonts w:ascii="Bookman Old Style" w:hAnsi="Bookman Old Style"/>
          <w:color w:val="000000" w:themeColor="text1"/>
        </w:rPr>
        <w:t xml:space="preserve"> que declaró el precio de reserva </w:t>
      </w:r>
      <m:oMath>
        <m:sSub>
          <m:sSubPr>
            <m:ctrlPr>
              <w:rPr>
                <w:rFonts w:ascii="Cambria Math" w:hAnsi="Cambria Math"/>
                <w:i/>
                <w:color w:val="000000" w:themeColor="text1"/>
              </w:rPr>
            </m:ctrlPr>
          </m:sSubPr>
          <m:e>
            <m:r>
              <w:rPr>
                <w:rFonts w:ascii="Cambria Math" w:hAnsi="Cambria Math"/>
                <w:color w:val="000000" w:themeColor="text1"/>
              </w:rPr>
              <m:t>PR</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w:r w:rsidRPr="00260CFC">
        <w:rPr>
          <w:rFonts w:ascii="Bookman Old Style" w:hAnsi="Bookman Old Style"/>
          <w:color w:val="000000" w:themeColor="text1"/>
        </w:rPr>
        <w:t>, se le asigna una demanda a prorrata de lo que ofreció.</w:t>
      </w:r>
    </w:p>
    <w:p w:rsidR="00901EFF" w:rsidRPr="00260CFC" w:rsidRDefault="00901EFF" w:rsidP="00901EFF">
      <w:pPr>
        <w:ind w:left="1134"/>
        <w:jc w:val="both"/>
        <w:rPr>
          <w:rFonts w:ascii="Bookman Old Style" w:hAnsi="Bookman Old Style"/>
          <w:color w:val="000000" w:themeColor="text1"/>
        </w:rPr>
      </w:pPr>
    </w:p>
    <w:p w:rsidR="00901EFF" w:rsidRPr="00260CFC" w:rsidRDefault="00901EFF" w:rsidP="00901EFF">
      <w:pPr>
        <w:autoSpaceDE w:val="0"/>
        <w:autoSpaceDN w:val="0"/>
        <w:adjustRightInd w:val="0"/>
        <w:ind w:left="1134"/>
        <w:jc w:val="both"/>
        <w:rPr>
          <w:rFonts w:ascii="Bookman Old Style" w:hAnsi="Bookman Old Style"/>
          <w:color w:val="000000" w:themeColor="text1"/>
        </w:rPr>
      </w:pPr>
      <w:r w:rsidRPr="00260CFC">
        <w:rPr>
          <w:rFonts w:ascii="Bookman Old Style" w:hAnsi="Bookman Old Style"/>
          <w:color w:val="000000" w:themeColor="text1"/>
        </w:rPr>
        <w:t>Es decir que, si se cumple que:</w:t>
      </w:r>
    </w:p>
    <w:p w:rsidR="00901EFF" w:rsidRPr="00260CFC" w:rsidRDefault="00901EFF" w:rsidP="00901EFF">
      <w:pPr>
        <w:autoSpaceDE w:val="0"/>
        <w:autoSpaceDN w:val="0"/>
        <w:adjustRightInd w:val="0"/>
        <w:ind w:left="1134"/>
        <w:jc w:val="both"/>
        <w:rPr>
          <w:rFonts w:ascii="Bookman Old Style" w:hAnsi="Bookman Old Style"/>
          <w:color w:val="000000" w:themeColor="text1"/>
        </w:rPr>
      </w:pPr>
    </w:p>
    <w:p w:rsidR="00901EFF" w:rsidRPr="00260CFC" w:rsidRDefault="001907E3" w:rsidP="00901EFF">
      <w:pPr>
        <w:ind w:left="1134"/>
        <w:jc w:val="both"/>
        <w:rPr>
          <w:rFonts w:ascii="Bookman Old Style" w:hAnsi="Bookman Old Style"/>
          <w:color w:val="000000" w:themeColor="text1"/>
        </w:rPr>
      </w:pPr>
      <m:oMathPara>
        <m:oMath>
          <m:sSub>
            <m:sSubPr>
              <m:ctrlPr>
                <w:rPr>
                  <w:rFonts w:ascii="Cambria Math" w:hAnsi="Cambria Math"/>
                  <w:i/>
                  <w:color w:val="000000" w:themeColor="text1"/>
                  <w:lang w:val="es-CO"/>
                </w:rPr>
              </m:ctrlPr>
            </m:sSubPr>
            <m:e>
              <m:r>
                <w:rPr>
                  <w:rFonts w:ascii="Cambria Math" w:hAnsi="Cambria Math"/>
                  <w:color w:val="000000" w:themeColor="text1"/>
                  <w:lang w:val="es-CO"/>
                </w:rPr>
                <m:t>DSA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r>
            <w:rPr>
              <w:rFonts w:ascii="Cambria Math" w:hAnsi="Cambria Math"/>
              <w:color w:val="000000" w:themeColor="text1"/>
              <w:lang w:val="es-CO"/>
            </w:rPr>
            <m:t>&lt;</m:t>
          </m:r>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m:oMathPara>
    </w:p>
    <w:p w:rsidR="00901EFF" w:rsidRPr="00260CFC" w:rsidRDefault="00901EFF" w:rsidP="00901EFF">
      <w:pPr>
        <w:ind w:left="1134"/>
        <w:jc w:val="both"/>
        <w:rPr>
          <w:rFonts w:ascii="Bookman Old Style" w:hAnsi="Bookman Old Style"/>
          <w:color w:val="000000" w:themeColor="text1"/>
        </w:rPr>
      </w:pPr>
    </w:p>
    <w:p w:rsidR="00901EFF" w:rsidRPr="00260CFC" w:rsidRDefault="00901EFF" w:rsidP="00901EFF">
      <w:pPr>
        <w:ind w:left="1134"/>
        <w:jc w:val="both"/>
        <w:rPr>
          <w:rFonts w:ascii="Bookman Old Style" w:hAnsi="Bookman Old Style"/>
          <w:color w:val="000000" w:themeColor="text1"/>
        </w:rPr>
      </w:pPr>
      <w:r w:rsidRPr="00260CFC">
        <w:rPr>
          <w:rFonts w:ascii="Bookman Old Style" w:hAnsi="Bookman Old Style"/>
          <w:color w:val="000000" w:themeColor="text1"/>
        </w:rPr>
        <w:t>Entonces:</w:t>
      </w:r>
    </w:p>
    <w:p w:rsidR="00901EFF" w:rsidRPr="00260CFC" w:rsidRDefault="00901EFF" w:rsidP="00901EFF">
      <w:pPr>
        <w:ind w:left="1134"/>
        <w:jc w:val="both"/>
        <w:rPr>
          <w:rFonts w:ascii="Bookman Old Style" w:hAnsi="Bookman Old Style"/>
          <w:color w:val="000000" w:themeColor="text1"/>
        </w:rPr>
      </w:pPr>
    </w:p>
    <w:p w:rsidR="00901EFF" w:rsidRPr="00DC07FC" w:rsidRDefault="001907E3" w:rsidP="00901EFF">
      <w:pPr>
        <w:ind w:left="1134"/>
        <w:jc w:val="both"/>
        <w:rPr>
          <w:rFonts w:ascii="Bookman Old Style" w:hAnsi="Bookman Old Style"/>
          <w:color w:val="000000" w:themeColor="text1"/>
        </w:rPr>
      </w:pPr>
      <m:oMathPara>
        <m:oMath>
          <m:sSub>
            <m:sSubPr>
              <m:ctrlPr>
                <w:rPr>
                  <w:rFonts w:ascii="Cambria Math" w:hAnsi="Cambria Math"/>
                  <w:i/>
                  <w:color w:val="000000" w:themeColor="text1"/>
                  <w:lang w:val="es-CO"/>
                </w:rPr>
              </m:ctrlPr>
            </m:sSubPr>
            <m:e>
              <m:r>
                <w:rPr>
                  <w:rFonts w:ascii="Cambria Math" w:hAnsi="Cambria Math"/>
                  <w:color w:val="000000" w:themeColor="text1"/>
                  <w:lang w:val="es-CO"/>
                </w:rPr>
                <m:t>DA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r>
            <w:rPr>
              <w:rFonts w:ascii="Cambria Math" w:hAnsi="Cambria Math"/>
              <w:color w:val="000000" w:themeColor="text1"/>
              <w:lang w:val="es-CO"/>
            </w:rPr>
            <m:t>=</m:t>
          </m:r>
          <m:sSub>
            <m:sSubPr>
              <m:ctrlPr>
                <w:rPr>
                  <w:rFonts w:ascii="Cambria Math" w:hAnsi="Cambria Math"/>
                  <w:i/>
                  <w:color w:val="000000" w:themeColor="text1"/>
                  <w:lang w:val="es-CO"/>
                </w:rPr>
              </m:ctrlPr>
            </m:sSubPr>
            <m:e>
              <m:r>
                <w:rPr>
                  <w:rFonts w:ascii="Cambria Math" w:hAnsi="Cambria Math"/>
                  <w:color w:val="000000" w:themeColor="text1"/>
                  <w:lang w:val="es-CO"/>
                </w:rPr>
                <m:t>DSA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oMath>
      </m:oMathPara>
    </w:p>
    <w:p w:rsidR="00901EFF" w:rsidRDefault="00901EFF" w:rsidP="00901EFF">
      <w:pPr>
        <w:ind w:left="1134"/>
        <w:jc w:val="both"/>
        <w:rPr>
          <w:rFonts w:ascii="Bookman Old Style" w:hAnsi="Bookman Old Style"/>
          <w:color w:val="000000" w:themeColor="text1"/>
        </w:rPr>
      </w:pPr>
    </w:p>
    <w:p w:rsidR="00AC3CCE" w:rsidRDefault="00AC3CCE" w:rsidP="00901EFF">
      <w:pPr>
        <w:ind w:left="1134"/>
        <w:jc w:val="both"/>
        <w:rPr>
          <w:rFonts w:ascii="Bookman Old Style" w:hAnsi="Bookman Old Style"/>
          <w:color w:val="000000" w:themeColor="text1"/>
        </w:rPr>
      </w:pPr>
    </w:p>
    <w:p w:rsidR="00AC3CCE" w:rsidRPr="00DC07FC" w:rsidRDefault="00AC3CCE" w:rsidP="00901EFF">
      <w:pPr>
        <w:ind w:left="1134"/>
        <w:jc w:val="both"/>
        <w:rPr>
          <w:rFonts w:ascii="Bookman Old Style" w:hAnsi="Bookman Old Style"/>
          <w:color w:val="000000" w:themeColor="text1"/>
        </w:rPr>
      </w:pPr>
    </w:p>
    <w:p w:rsidR="00901EFF" w:rsidRPr="00DC07FC" w:rsidRDefault="00901EFF" w:rsidP="00901EFF">
      <w:pPr>
        <w:autoSpaceDE w:val="0"/>
        <w:autoSpaceDN w:val="0"/>
        <w:adjustRightInd w:val="0"/>
        <w:ind w:left="1134"/>
        <w:jc w:val="both"/>
        <w:rPr>
          <w:rFonts w:ascii="Bookman Old Style" w:hAnsi="Bookman Old Style"/>
          <w:color w:val="000000" w:themeColor="text1"/>
        </w:rPr>
      </w:pPr>
      <w:r w:rsidRPr="00DC07FC">
        <w:rPr>
          <w:rFonts w:ascii="Bookman Old Style" w:hAnsi="Bookman Old Style"/>
          <w:color w:val="000000" w:themeColor="text1"/>
        </w:rPr>
        <w:t>La oferta asignada a cada vendedor será:</w:t>
      </w:r>
    </w:p>
    <w:p w:rsidR="00901EFF" w:rsidRPr="00DC07FC" w:rsidRDefault="00901EFF" w:rsidP="00901EFF">
      <w:pPr>
        <w:ind w:left="1134"/>
        <w:jc w:val="both"/>
        <w:rPr>
          <w:rFonts w:ascii="Bookman Old Style" w:hAnsi="Bookman Old Style"/>
          <w:color w:val="000000" w:themeColor="text1"/>
        </w:rPr>
      </w:pPr>
    </w:p>
    <w:p w:rsidR="00901EFF" w:rsidRPr="00DC07FC" w:rsidRDefault="001907E3" w:rsidP="00901EFF">
      <w:pPr>
        <w:ind w:left="1134"/>
        <w:jc w:val="both"/>
        <w:rPr>
          <w:rFonts w:ascii="Bookman Old Style" w:hAnsi="Bookman Old Style"/>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OA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pe,ma,vi,v</m:t>
                  </m:r>
                </m:sub>
              </m:sSub>
            </m:sub>
          </m:sSub>
          <m:r>
            <w:rPr>
              <w:rFonts w:ascii="Cambria Math" w:hAnsi="Cambria Math"/>
              <w:color w:val="000000" w:themeColor="text1"/>
            </w:rPr>
            <m:t>=</m:t>
          </m:r>
          <m:sSub>
            <m:sSubPr>
              <m:ctrlPr>
                <w:rPr>
                  <w:rFonts w:ascii="Cambria Math" w:hAnsi="Cambria Math"/>
                  <w:i/>
                  <w:color w:val="000000" w:themeColor="text1"/>
                  <w:lang w:val="es-CO"/>
                </w:rPr>
              </m:ctrlPr>
            </m:sSubPr>
            <m:e>
              <m:r>
                <w:rPr>
                  <w:rFonts w:ascii="Cambria Math" w:hAnsi="Cambria Math"/>
                  <w:color w:val="000000" w:themeColor="text1"/>
                  <w:lang w:val="es-CO"/>
                </w:rPr>
                <m:t>DA</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r>
            <w:rPr>
              <w:rFonts w:ascii="Cambria Math" w:hAnsi="Cambria Math"/>
              <w:color w:val="000000" w:themeColor="text1"/>
              <w:lang w:val="es-CO"/>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pe,ma,vi,v</m:t>
                      </m:r>
                    </m:sub>
                  </m:sSub>
                </m:sub>
              </m:sSub>
            </m:num>
            <m:den>
              <m:sSub>
                <m:sSubPr>
                  <m:ctrlPr>
                    <w:rPr>
                      <w:rFonts w:ascii="Cambria Math" w:hAnsi="Cambria Math"/>
                      <w:i/>
                      <w:color w:val="000000" w:themeColor="text1"/>
                    </w:rPr>
                  </m:ctrlPr>
                </m:sSubPr>
                <m:e>
                  <m:r>
                    <w:rPr>
                      <w:rFonts w:ascii="Cambria Math" w:hAnsi="Cambria Math"/>
                      <w:color w:val="000000" w:themeColor="text1"/>
                    </w:rPr>
                    <m:t>O</m:t>
                  </m:r>
                </m:e>
                <m:sub>
                  <m:sSub>
                    <m:sSubPr>
                      <m:ctrlPr>
                        <w:rPr>
                          <w:rFonts w:ascii="Cambria Math" w:hAnsi="Cambria Math"/>
                          <w:i/>
                          <w:color w:val="000000" w:themeColor="text1"/>
                          <w:lang w:val="es-CO"/>
                        </w:rPr>
                      </m:ctrlPr>
                    </m:sSubPr>
                    <m:e>
                      <m:r>
                        <w:rPr>
                          <w:rFonts w:ascii="Cambria Math" w:hAnsi="Cambria Math"/>
                          <w:color w:val="000000" w:themeColor="text1"/>
                          <w:lang w:val="es-CO"/>
                        </w:rPr>
                        <m:t>S</m:t>
                      </m:r>
                    </m:e>
                    <m:sub>
                      <m:r>
                        <w:rPr>
                          <w:rFonts w:ascii="Cambria Math" w:hAnsi="Cambria Math"/>
                          <w:color w:val="000000" w:themeColor="text1"/>
                          <w:lang w:val="es-CO"/>
                        </w:rPr>
                        <m:t>pe,ma,vi</m:t>
                      </m:r>
                    </m:sub>
                  </m:sSub>
                </m:sub>
              </m:sSub>
            </m:den>
          </m:f>
        </m:oMath>
      </m:oMathPara>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Regla de minimización de contratos</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jc w:val="both"/>
        <w:rPr>
          <w:rFonts w:ascii="Bookman Old Style" w:hAnsi="Bookman Old Style"/>
          <w:color w:val="000000" w:themeColor="text1"/>
        </w:rPr>
      </w:pPr>
      <w:r w:rsidRPr="00DC07FC">
        <w:rPr>
          <w:rFonts w:ascii="Bookman Old Style" w:hAnsi="Bookman Old Style"/>
          <w:color w:val="000000" w:themeColor="text1"/>
        </w:rPr>
        <w:t>Tras la terminación de la subasta, el administrador de la subasta definirá las partes de los contratos buscando minimizar el número de los mismos. Para estos efectos el administrador de la subasta:</w:t>
      </w:r>
    </w:p>
    <w:p w:rsidR="00901EFF" w:rsidRPr="00DC07FC" w:rsidRDefault="00901EFF" w:rsidP="00901EFF">
      <w:pPr>
        <w:ind w:left="0"/>
        <w:jc w:val="both"/>
        <w:rPr>
          <w:rFonts w:ascii="Bookman Old Style" w:hAnsi="Bookman Old Style"/>
          <w:color w:val="000000" w:themeColor="text1"/>
        </w:rPr>
      </w:pPr>
    </w:p>
    <w:p w:rsidR="00901EFF" w:rsidRPr="00DC07FC" w:rsidRDefault="00901EFF" w:rsidP="002822D0">
      <w:pPr>
        <w:numPr>
          <w:ilvl w:val="0"/>
          <w:numId w:val="30"/>
        </w:numPr>
        <w:autoSpaceDE w:val="0"/>
        <w:autoSpaceDN w:val="0"/>
        <w:adjustRightInd w:val="0"/>
        <w:ind w:left="567" w:hanging="567"/>
        <w:jc w:val="both"/>
        <w:rPr>
          <w:rFonts w:ascii="Bookman Old Style" w:hAnsi="Bookman Old Style" w:cs="Arial"/>
          <w:color w:val="000000" w:themeColor="text1"/>
        </w:rPr>
      </w:pPr>
      <w:bookmarkStart w:id="61" w:name="_Ref361414901"/>
      <w:r w:rsidRPr="00DC07FC">
        <w:rPr>
          <w:rFonts w:ascii="Bookman Old Style" w:hAnsi="Bookman Old Style" w:cs="Arial"/>
          <w:color w:val="000000" w:themeColor="text1"/>
        </w:rPr>
        <w:t xml:space="preserve">Hará una lista de los vendedores habilitados del producto </w:t>
      </w:r>
      <m:oMath>
        <m:sSub>
          <m:sSubPr>
            <m:ctrlPr>
              <w:rPr>
                <w:rFonts w:ascii="Cambria Math" w:hAnsi="Cambria Math"/>
                <w:i/>
                <w:color w:val="000000" w:themeColor="text1"/>
                <w:lang w:val="es-CO"/>
              </w:rPr>
            </m:ctrlPr>
          </m:sSubPr>
          <m:e>
            <m:r>
              <w:rPr>
                <w:rFonts w:ascii="Cambria Math" w:hAnsi="Cambria Math"/>
                <w:color w:val="000000" w:themeColor="text1"/>
              </w:rPr>
              <m:t>S</m:t>
            </m:r>
          </m:e>
          <m:sub>
            <m:r>
              <w:rPr>
                <w:rFonts w:ascii="Cambria Math" w:hAnsi="Cambria Math"/>
                <w:color w:val="000000" w:themeColor="text1"/>
              </w:rPr>
              <m:t>pe,ma</m:t>
            </m:r>
          </m:sub>
        </m:sSub>
      </m:oMath>
      <w:r w:rsidRPr="00DC07FC">
        <w:rPr>
          <w:rFonts w:ascii="Bookman Old Style" w:hAnsi="Bookman Old Style" w:cs="Arial"/>
          <w:color w:val="000000" w:themeColor="text1"/>
        </w:rPr>
        <w:t>, dejando en el primer lugar a aquel con la mayor cantidad adjudicada para la venta y en el último lugar a aquel con la menor cantidad adjudicada para la venta.</w:t>
      </w:r>
      <w:bookmarkEnd w:id="61"/>
      <w:r w:rsidRPr="00DC07FC">
        <w:rPr>
          <w:rFonts w:ascii="Bookman Old Style" w:hAnsi="Bookman Old Style" w:cs="Arial"/>
          <w:color w:val="000000" w:themeColor="text1"/>
        </w:rPr>
        <w:t xml:space="preserve"> </w:t>
      </w:r>
    </w:p>
    <w:p w:rsidR="00901EFF" w:rsidRPr="00DC07FC" w:rsidRDefault="00901EFF" w:rsidP="002822D0">
      <w:pPr>
        <w:autoSpaceDE w:val="0"/>
        <w:autoSpaceDN w:val="0"/>
        <w:adjustRightInd w:val="0"/>
        <w:ind w:hanging="567"/>
        <w:jc w:val="both"/>
        <w:rPr>
          <w:rFonts w:ascii="Bookman Old Style" w:hAnsi="Bookman Old Style" w:cs="Arial"/>
          <w:color w:val="000000" w:themeColor="text1"/>
        </w:rPr>
      </w:pPr>
    </w:p>
    <w:p w:rsidR="00901EFF" w:rsidRPr="00DC07FC" w:rsidRDefault="00901EFF" w:rsidP="002822D0">
      <w:pPr>
        <w:numPr>
          <w:ilvl w:val="0"/>
          <w:numId w:val="30"/>
        </w:numPr>
        <w:autoSpaceDE w:val="0"/>
        <w:autoSpaceDN w:val="0"/>
        <w:adjustRightInd w:val="0"/>
        <w:ind w:left="567" w:hanging="567"/>
        <w:jc w:val="both"/>
        <w:rPr>
          <w:rFonts w:ascii="Bookman Old Style" w:hAnsi="Bookman Old Style" w:cs="Arial"/>
          <w:color w:val="000000" w:themeColor="text1"/>
        </w:rPr>
      </w:pPr>
      <w:bookmarkStart w:id="62" w:name="_Ref361414904"/>
      <w:r w:rsidRPr="00DC07FC">
        <w:rPr>
          <w:rFonts w:ascii="Bookman Old Style" w:hAnsi="Bookman Old Style" w:cs="Arial"/>
          <w:color w:val="000000" w:themeColor="text1"/>
        </w:rPr>
        <w:t xml:space="preserve">Hará una lista de los compradores habilitados del producto </w:t>
      </w:r>
      <m:oMath>
        <m:sSub>
          <m:sSubPr>
            <m:ctrlPr>
              <w:rPr>
                <w:rFonts w:ascii="Cambria Math" w:hAnsi="Cambria Math"/>
                <w:i/>
                <w:color w:val="000000" w:themeColor="text1"/>
                <w:lang w:val="es-CO"/>
              </w:rPr>
            </m:ctrlPr>
          </m:sSubPr>
          <m:e>
            <m:r>
              <w:rPr>
                <w:rFonts w:ascii="Cambria Math" w:hAnsi="Cambria Math"/>
                <w:color w:val="000000" w:themeColor="text1"/>
              </w:rPr>
              <m:t>S</m:t>
            </m:r>
          </m:e>
          <m:sub>
            <m:r>
              <w:rPr>
                <w:rFonts w:ascii="Cambria Math" w:hAnsi="Cambria Math"/>
                <w:color w:val="000000" w:themeColor="text1"/>
              </w:rPr>
              <m:t>pe,ma</m:t>
            </m:r>
          </m:sub>
        </m:sSub>
      </m:oMath>
      <w:r w:rsidRPr="00DC07FC">
        <w:rPr>
          <w:rFonts w:ascii="Bookman Old Style" w:hAnsi="Bookman Old Style" w:cs="Arial"/>
          <w:color w:val="000000" w:themeColor="text1"/>
        </w:rPr>
        <w:t>, dejando en el primer lugar a aquel con la mayor cantidad adjudicada para la compra y en el último lugar a aquel con la menor cantidad adjudicada para la compra.</w:t>
      </w:r>
      <w:bookmarkEnd w:id="62"/>
      <w:r w:rsidRPr="00DC07FC">
        <w:rPr>
          <w:rFonts w:ascii="Bookman Old Style" w:hAnsi="Bookman Old Style" w:cs="Arial"/>
          <w:color w:val="000000" w:themeColor="text1"/>
        </w:rPr>
        <w:t xml:space="preserve"> </w:t>
      </w:r>
    </w:p>
    <w:p w:rsidR="00901EFF" w:rsidRPr="00DC07FC" w:rsidRDefault="00901EFF" w:rsidP="002822D0">
      <w:pPr>
        <w:pStyle w:val="Prrafodelista"/>
        <w:ind w:left="567" w:hanging="567"/>
        <w:rPr>
          <w:rFonts w:ascii="Bookman Old Style" w:hAnsi="Bookman Old Style" w:cs="Arial"/>
          <w:color w:val="000000" w:themeColor="text1"/>
          <w:sz w:val="24"/>
          <w:szCs w:val="24"/>
          <w:lang w:val="es-ES"/>
        </w:rPr>
      </w:pPr>
    </w:p>
    <w:p w:rsidR="00901EFF" w:rsidRPr="00DC07FC" w:rsidRDefault="00901EFF" w:rsidP="002822D0">
      <w:pPr>
        <w:numPr>
          <w:ilvl w:val="0"/>
          <w:numId w:val="30"/>
        </w:numPr>
        <w:autoSpaceDE w:val="0"/>
        <w:autoSpaceDN w:val="0"/>
        <w:adjustRightInd w:val="0"/>
        <w:ind w:left="567" w:hanging="567"/>
        <w:jc w:val="both"/>
        <w:rPr>
          <w:rFonts w:ascii="Bookman Old Style" w:hAnsi="Bookman Old Style" w:cs="Arial"/>
          <w:color w:val="000000" w:themeColor="text1"/>
        </w:rPr>
      </w:pPr>
      <w:r w:rsidRPr="00DC07FC">
        <w:rPr>
          <w:rFonts w:ascii="Bookman Old Style" w:hAnsi="Bookman Old Style" w:cs="Arial"/>
          <w:color w:val="000000" w:themeColor="text1"/>
        </w:rPr>
        <w:t>Con base en estas listas determinará las partes de los contratos. El primer comprador habilitado de la lista suscribirá un contrato con el primer vendedor habilitado de la lista.</w:t>
      </w:r>
    </w:p>
    <w:p w:rsidR="00901EFF" w:rsidRPr="00DC07FC" w:rsidRDefault="00901EFF" w:rsidP="002822D0">
      <w:pPr>
        <w:pStyle w:val="Prrafodelista"/>
        <w:ind w:left="567" w:hanging="567"/>
        <w:rPr>
          <w:rFonts w:ascii="Bookman Old Style" w:hAnsi="Bookman Old Style" w:cs="Arial"/>
          <w:color w:val="000000" w:themeColor="text1"/>
          <w:sz w:val="24"/>
          <w:szCs w:val="24"/>
        </w:rPr>
      </w:pPr>
    </w:p>
    <w:p w:rsidR="00901EFF" w:rsidRPr="00DC07FC" w:rsidRDefault="00901EFF" w:rsidP="002822D0">
      <w:pPr>
        <w:numPr>
          <w:ilvl w:val="0"/>
          <w:numId w:val="30"/>
        </w:numPr>
        <w:autoSpaceDE w:val="0"/>
        <w:autoSpaceDN w:val="0"/>
        <w:adjustRightInd w:val="0"/>
        <w:ind w:left="567" w:hanging="567"/>
        <w:jc w:val="both"/>
        <w:rPr>
          <w:rFonts w:ascii="Bookman Old Style" w:hAnsi="Bookman Old Style" w:cs="Arial"/>
          <w:color w:val="000000" w:themeColor="text1"/>
        </w:rPr>
      </w:pPr>
      <w:r w:rsidRPr="00DC07FC">
        <w:rPr>
          <w:rFonts w:ascii="Bookman Old Style" w:hAnsi="Bookman Old Style" w:cs="Arial"/>
          <w:color w:val="000000" w:themeColor="text1"/>
        </w:rPr>
        <w:t>Repetirá los pasos a), b) y c) anteriores hasta que no queden cantidades adjudicadas pendientes de suscribirse en un contrato.</w:t>
      </w:r>
    </w:p>
    <w:p w:rsidR="00901EFF" w:rsidRPr="00DC07FC" w:rsidRDefault="00901EFF" w:rsidP="00901EFF">
      <w:pPr>
        <w:ind w:left="0"/>
        <w:rPr>
          <w:rFonts w:ascii="Bookman Old Style" w:hAnsi="Bookman Old Style"/>
          <w:color w:val="000000" w:themeColor="text1"/>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color w:val="000000" w:themeColor="text1"/>
        </w:rPr>
        <w:t>Una vez surtido este proceso, el administrador de la subasta expedirá los correspondientes certificados de asignación de cada uno de los productos.</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Regla de suscripción de contratos</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lang w:val="es-CO"/>
        </w:rPr>
        <w:t xml:space="preserve">Una vez la Dirección Ejecutiva publique el informe de que trata el </w:t>
      </w:r>
      <w:r w:rsidRPr="0066247F">
        <w:rPr>
          <w:rFonts w:ascii="Bookman Old Style" w:hAnsi="Bookman Old Style"/>
          <w:lang w:val="es-CO"/>
        </w:rPr>
        <w:t>literal g. del numeral 4.2 de este anexo, sin objeciones del auditor de la suba</w:t>
      </w:r>
      <w:r w:rsidRPr="00DC07FC">
        <w:rPr>
          <w:rFonts w:ascii="Bookman Old Style" w:hAnsi="Bookman Old Style"/>
          <w:lang w:val="es-CO"/>
        </w:rPr>
        <w:t xml:space="preserve">sta sobre el cumplimiento a la regulación vigente aplicable a la subasta, los compradores y vendedores contarán con diez (10) días hábiles para la suscripción de los contratos, para lo cual se deberán constituir los mecanismos de cumplimiento de que trata el </w:t>
      </w:r>
      <w:r w:rsidRPr="0066247F">
        <w:rPr>
          <w:rFonts w:ascii="Bookman Old Style" w:hAnsi="Bookman Old Style"/>
          <w:lang w:val="es-CO"/>
        </w:rPr>
        <w:t>numeral 5.15 de este anexo. En estos contratos se deberán reflejar los resultados</w:t>
      </w:r>
      <w:r w:rsidRPr="00DC07FC">
        <w:rPr>
          <w:rFonts w:ascii="Bookman Old Style" w:hAnsi="Bookman Old Style"/>
          <w:lang w:val="es-CO"/>
        </w:rPr>
        <w:t xml:space="preserve"> de la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lang w:val="es-CO"/>
        </w:rPr>
      </w:pPr>
      <w:r w:rsidRPr="00DC07FC">
        <w:rPr>
          <w:rFonts w:ascii="Bookman Old Style" w:hAnsi="Bookman Old Style"/>
          <w:lang w:val="es-CO"/>
        </w:rPr>
        <w:t>Los vendedores y los compradores serán responsables de verificar la idoneidad de sus contrapartes, de acuerdo con los criterios objetivos que cada uno de ellos publique tres (3) semanas antes de la negociación mediante subasta. Los vendedores y los compradores sólo podrán abstenerse de suscribir un contrato cuando dicha verificación revele que su contraparte no cumple los mencionados criterios, caso en el cual deberán informarlo y soportarlo a la contraparte y a la autoridad competente, si fuera el caso; estos eventos no serán considerados un incumplimiento.</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Mecanismos de cubrimiento y verificación de idoneidad</w:t>
      </w:r>
    </w:p>
    <w:p w:rsidR="0055273E" w:rsidRDefault="0055273E"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lastRenderedPageBreak/>
        <w:t>Dentro de los veinte (20) días hábiles siguientes a la expedición de esta resolución, los comercializadores mayoristas deberán presentar a la CREG una propuesta de reglas relativas a los mecanismos de cubrimiento y de criterios de verificación de idoneidad a los que se refiere este numeral. En resolución aparte la CREG adoptará las reglas sobre la materia, para lo cual tomará en consideración la propuesta presentada por los comercializadores mayoristas.</w:t>
      </w:r>
    </w:p>
    <w:p w:rsidR="00901EFF" w:rsidRDefault="00901EFF" w:rsidP="00901EFF">
      <w:pPr>
        <w:ind w:left="0"/>
        <w:contextualSpacing/>
        <w:jc w:val="both"/>
        <w:rPr>
          <w:rFonts w:ascii="Bookman Old Style" w:hAnsi="Bookman Old Style"/>
        </w:rPr>
      </w:pPr>
    </w:p>
    <w:p w:rsidR="00A67D96" w:rsidRPr="00DC07FC" w:rsidRDefault="00A67D96"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Mecanismos de cubrimiento para participar en la subasta</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 xml:space="preserve">Cada comprador deberá presentar al administrador de la subasta los mecanismos de cubrimiento para participar en la subasta que cubran: i) el riesgo de que el comprador no participe en la subasta; y ii) el riesgo de que el comprador </w:t>
      </w:r>
      <w:r w:rsidRPr="0066247F">
        <w:rPr>
          <w:rFonts w:ascii="Bookman Old Style" w:hAnsi="Bookman Old Style"/>
        </w:rPr>
        <w:t>que resulte con asignaciones en la subasta no presente los correspondientes mecanismos de cumplimiento de que trata el numeral 5.15 de este anexo.</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 xml:space="preserve">Cada vendedor deberá presentar al administrador de la subasta los mecanismos </w:t>
      </w:r>
      <w:r w:rsidRPr="0066247F">
        <w:rPr>
          <w:rFonts w:ascii="Bookman Old Style" w:hAnsi="Bookman Old Style"/>
        </w:rPr>
        <w:t>de cubrimiento para participar en la subasta que cubran: i) el riesgo de que el vendedor que resulte con asignaciones en la subasta no presente los correspondientes mecanismos de cumplimiento de que trata el numeral 5.15 de este anexo.</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El administrador de la subasta administrará los mecanismos de cubrimiento para participar en la subasta a través de un instrumento fiduciario regido por los criterios que defina la CREG en resolución aparte. Este instrumento fiduciario recibirá y aprobará los mecanismos de cubrimiento, fungirá como su depositario, los ejecutará según instrucciones del administrador de la subasta y transferirá los recursos provenientes de la ejecución de los mecanismos de cubrimiento a quien lo indique el administrador de la subasta. Una vez el administrador de la subasta defina dicho instrumento, se lo informará a los participantes del mercado.</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Al adoptar las reglas sobre los mecanismos de cubrimiento, la CREG dejará en claro que los destinatarios de los recursos provenientes de la ejecución de los mecanismos de cubrimiento serán exclusivamente las partes afectadas.</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La propuesta de los comercializadores mayoristas en relación con los mecanismos de cubrimiento a los que se hace referencia en los dos (2) primeros incisos de este numeral deberá contemplar lo siguiente:</w:t>
      </w:r>
    </w:p>
    <w:p w:rsidR="00901EFF" w:rsidRPr="00DC07FC" w:rsidRDefault="00901EFF" w:rsidP="00901EFF">
      <w:pPr>
        <w:ind w:left="0"/>
        <w:contextualSpacing/>
        <w:jc w:val="both"/>
        <w:rPr>
          <w:rFonts w:ascii="Bookman Old Style" w:hAnsi="Bookman Old Style"/>
        </w:rPr>
      </w:pPr>
    </w:p>
    <w:p w:rsidR="00901EFF" w:rsidRPr="00DC07FC" w:rsidRDefault="00901EFF" w:rsidP="002822D0">
      <w:pPr>
        <w:numPr>
          <w:ilvl w:val="0"/>
          <w:numId w:val="79"/>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Mecanismos admisibles de cubrimiento para participar en la subasta.</w:t>
      </w:r>
    </w:p>
    <w:p w:rsidR="00901EFF" w:rsidRPr="00DC07FC" w:rsidRDefault="00901EFF" w:rsidP="002822D0">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2822D0">
      <w:pPr>
        <w:numPr>
          <w:ilvl w:val="0"/>
          <w:numId w:val="79"/>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Determinación del valor de la cobertura para participar en la subasta.</w:t>
      </w:r>
    </w:p>
    <w:p w:rsidR="00901EFF" w:rsidRPr="00DC07FC" w:rsidRDefault="00901EFF" w:rsidP="00901EFF">
      <w:pPr>
        <w:ind w:left="0"/>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Mecanismos de cubrimiento para el cumplimiento</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Cada comprador y cada vendedor deberá</w:t>
      </w:r>
      <w:r w:rsidR="001F27EA">
        <w:rPr>
          <w:rFonts w:ascii="Bookman Old Style" w:hAnsi="Bookman Old Style"/>
        </w:rPr>
        <w:t>n</w:t>
      </w:r>
      <w:r w:rsidRPr="00DC07FC">
        <w:rPr>
          <w:rFonts w:ascii="Bookman Old Style" w:hAnsi="Bookman Old Style"/>
        </w:rPr>
        <w:t xml:space="preserve"> presentar a su contraparte los mecanismos de cubrimiento para el cumplimiento de las obligaciones derivadas de la subasta. Estos mecanismos de cubrimiento se deberán sujetar a las reglas que la CREG expida sobre la materia.</w:t>
      </w:r>
    </w:p>
    <w:p w:rsidR="00901EFF" w:rsidRPr="00DC07FC" w:rsidRDefault="00901EFF" w:rsidP="00901EFF">
      <w:pPr>
        <w:ind w:left="0"/>
        <w:contextualSpacing/>
        <w:jc w:val="both"/>
        <w:rPr>
          <w:rFonts w:ascii="Bookman Old Style" w:hAnsi="Bookman Old Style"/>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La propuesta de los comercializadores mayoristas en relación con los mecanismos de cubrimiento a los que se refiere este numeral deberá contemplar lo siguiente:</w:t>
      </w:r>
    </w:p>
    <w:p w:rsidR="00901EFF" w:rsidRPr="00DC07FC" w:rsidRDefault="00901EFF" w:rsidP="00901EFF">
      <w:pPr>
        <w:ind w:left="0"/>
        <w:contextualSpacing/>
        <w:jc w:val="both"/>
        <w:rPr>
          <w:rFonts w:ascii="Bookman Old Style" w:hAnsi="Bookman Old Style"/>
        </w:rPr>
      </w:pPr>
    </w:p>
    <w:p w:rsidR="00901EFF" w:rsidRPr="00DC07FC" w:rsidRDefault="00901EFF" w:rsidP="002822D0">
      <w:pPr>
        <w:numPr>
          <w:ilvl w:val="0"/>
          <w:numId w:val="80"/>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Mecanismos admisibles de cubrimiento para el cumplimiento de las asignaciones que resulten en la subasta.</w:t>
      </w:r>
    </w:p>
    <w:p w:rsidR="00901EFF" w:rsidRPr="00DC07FC" w:rsidRDefault="00901EFF" w:rsidP="002822D0">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2822D0">
      <w:pPr>
        <w:numPr>
          <w:ilvl w:val="0"/>
          <w:numId w:val="80"/>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Determinación del valor de la cobertura para el cumplimiento de las asignaciones que resulten en la subasta.</w:t>
      </w:r>
    </w:p>
    <w:p w:rsidR="00901EFF" w:rsidRPr="00DC07FC" w:rsidRDefault="00901EFF" w:rsidP="002822D0">
      <w:pPr>
        <w:ind w:hanging="567"/>
        <w:contextualSpacing/>
        <w:jc w:val="both"/>
        <w:rPr>
          <w:rFonts w:ascii="Bookman Old Style" w:hAnsi="Bookman Old Style"/>
        </w:rPr>
      </w:pPr>
    </w:p>
    <w:p w:rsidR="00901EFF" w:rsidRPr="00DC07FC" w:rsidRDefault="00901EFF" w:rsidP="0090673A">
      <w:pPr>
        <w:pStyle w:val="Prrafodelista"/>
        <w:numPr>
          <w:ilvl w:val="1"/>
          <w:numId w:val="20"/>
        </w:numPr>
        <w:contextualSpacing/>
        <w:jc w:val="both"/>
        <w:outlineLvl w:val="1"/>
        <w:rPr>
          <w:rFonts w:ascii="Bookman Old Style" w:hAnsi="Bookman Old Style"/>
          <w:sz w:val="24"/>
          <w:szCs w:val="24"/>
        </w:rPr>
      </w:pPr>
      <w:r w:rsidRPr="00DC07FC">
        <w:rPr>
          <w:rFonts w:ascii="Bookman Old Style" w:hAnsi="Bookman Old Style"/>
          <w:sz w:val="24"/>
          <w:szCs w:val="24"/>
        </w:rPr>
        <w:t>Criterios de verificación de idoneidad</w:t>
      </w:r>
    </w:p>
    <w:p w:rsidR="00901EFF" w:rsidRPr="00DC07FC" w:rsidRDefault="00901EFF" w:rsidP="00901EFF">
      <w:pPr>
        <w:ind w:left="0"/>
        <w:contextualSpacing/>
        <w:jc w:val="both"/>
        <w:rPr>
          <w:rFonts w:ascii="Bookman Old Style" w:hAnsi="Bookman Old Style"/>
          <w:lang w:val="es-CO"/>
        </w:rPr>
      </w:pPr>
    </w:p>
    <w:p w:rsidR="00901EFF" w:rsidRPr="00DC07FC" w:rsidRDefault="00901EFF" w:rsidP="00901EFF">
      <w:pPr>
        <w:ind w:left="0"/>
        <w:contextualSpacing/>
        <w:jc w:val="both"/>
        <w:rPr>
          <w:rFonts w:ascii="Bookman Old Style" w:hAnsi="Bookman Old Style"/>
        </w:rPr>
      </w:pPr>
      <w:r w:rsidRPr="00DC07FC">
        <w:rPr>
          <w:rFonts w:ascii="Bookman Old Style" w:hAnsi="Bookman Old Style"/>
        </w:rPr>
        <w:t>La propuesta de los comercializadores mayoristas en relación con los criterios de verificación de idoneidad de los vendedores y de los compradores deberá contemplar lo siguiente:</w:t>
      </w:r>
    </w:p>
    <w:p w:rsidR="00901EFF" w:rsidRPr="00DC07FC" w:rsidRDefault="00901EFF" w:rsidP="00901EFF">
      <w:pPr>
        <w:ind w:left="0"/>
        <w:contextualSpacing/>
        <w:jc w:val="both"/>
        <w:rPr>
          <w:rFonts w:ascii="Bookman Old Style" w:hAnsi="Bookman Old Style"/>
        </w:rPr>
      </w:pPr>
    </w:p>
    <w:p w:rsidR="00901EFF" w:rsidRPr="00DC07FC" w:rsidRDefault="00901EFF" w:rsidP="002822D0">
      <w:pPr>
        <w:numPr>
          <w:ilvl w:val="0"/>
          <w:numId w:val="81"/>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Formato para la declaración del origen de bienes y de los fondos para el desarrollo de su actividad.</w:t>
      </w:r>
    </w:p>
    <w:p w:rsidR="00901EFF" w:rsidRPr="00DC07FC" w:rsidRDefault="00901EFF" w:rsidP="002822D0">
      <w:pPr>
        <w:autoSpaceDE w:val="0"/>
        <w:autoSpaceDN w:val="0"/>
        <w:adjustRightInd w:val="0"/>
        <w:ind w:hanging="567"/>
        <w:contextualSpacing/>
        <w:jc w:val="both"/>
        <w:rPr>
          <w:rFonts w:ascii="Bookman Old Style" w:hAnsi="Bookman Old Style" w:cs="Arial"/>
          <w:color w:val="000000" w:themeColor="text1"/>
        </w:rPr>
      </w:pPr>
    </w:p>
    <w:p w:rsidR="00901EFF" w:rsidRPr="00DC07FC" w:rsidRDefault="00901EFF" w:rsidP="002822D0">
      <w:pPr>
        <w:numPr>
          <w:ilvl w:val="0"/>
          <w:numId w:val="81"/>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rPr>
        <w:t>Formatos para la declaración de que el comprador o el vendedor no se encuentran en listas o reportes asociados con actividades ilícitas.</w:t>
      </w:r>
    </w:p>
    <w:p w:rsidR="00901EFF" w:rsidRDefault="00901EFF" w:rsidP="001F27EA">
      <w:pPr>
        <w:ind w:left="0"/>
        <w:contextualSpacing/>
        <w:jc w:val="both"/>
        <w:rPr>
          <w:rFonts w:ascii="Bookman Old Style" w:hAnsi="Bookman Old Style"/>
        </w:rPr>
      </w:pPr>
    </w:p>
    <w:p w:rsidR="00A264B5" w:rsidRDefault="00A264B5" w:rsidP="001F27EA">
      <w:pPr>
        <w:ind w:left="0"/>
        <w:contextualSpacing/>
        <w:jc w:val="both"/>
        <w:rPr>
          <w:rFonts w:ascii="Bookman Old Style" w:hAnsi="Bookman Old Style"/>
        </w:rPr>
      </w:pPr>
    </w:p>
    <w:p w:rsidR="002C3A47" w:rsidRDefault="002C3A47" w:rsidP="001F27EA">
      <w:pPr>
        <w:ind w:left="0"/>
        <w:contextualSpacing/>
        <w:jc w:val="both"/>
        <w:rPr>
          <w:rFonts w:ascii="Bookman Old Style" w:hAnsi="Bookman Old Style"/>
        </w:rPr>
      </w:pPr>
    </w:p>
    <w:p w:rsidR="00DA741E" w:rsidRDefault="00DA741E" w:rsidP="001F27EA">
      <w:pPr>
        <w:ind w:left="0"/>
        <w:contextualSpacing/>
        <w:jc w:val="both"/>
        <w:rPr>
          <w:rFonts w:ascii="Bookman Old Style" w:hAnsi="Bookman Old Style"/>
        </w:rPr>
      </w:pPr>
    </w:p>
    <w:p w:rsidR="00DA741E" w:rsidRPr="001F27EA" w:rsidRDefault="00DA741E" w:rsidP="001F27EA">
      <w:pPr>
        <w:ind w:left="0"/>
        <w:contextualSpacing/>
        <w:jc w:val="both"/>
        <w:rPr>
          <w:rFonts w:ascii="Bookman Old Style" w:hAnsi="Bookman Old Style"/>
        </w:rPr>
      </w:pPr>
    </w:p>
    <w:tbl>
      <w:tblPr>
        <w:tblW w:w="9496" w:type="dxa"/>
        <w:jc w:val="center"/>
        <w:tblLayout w:type="fixed"/>
        <w:tblCellMar>
          <w:left w:w="70" w:type="dxa"/>
          <w:right w:w="70" w:type="dxa"/>
        </w:tblCellMar>
        <w:tblLook w:val="0000" w:firstRow="0" w:lastRow="0" w:firstColumn="0" w:lastColumn="0" w:noHBand="0" w:noVBand="0"/>
      </w:tblPr>
      <w:tblGrid>
        <w:gridCol w:w="5067"/>
        <w:gridCol w:w="4429"/>
      </w:tblGrid>
      <w:tr w:rsidR="001F27EA" w:rsidRPr="001F27EA" w:rsidTr="00CB1C4E">
        <w:trPr>
          <w:jc w:val="center"/>
        </w:trPr>
        <w:tc>
          <w:tcPr>
            <w:tcW w:w="5067" w:type="dxa"/>
          </w:tcPr>
          <w:p w:rsidR="001F27EA" w:rsidRPr="002C3A47" w:rsidRDefault="001F27EA" w:rsidP="00CB1C4E">
            <w:pPr>
              <w:tabs>
                <w:tab w:val="left" w:pos="-720"/>
              </w:tabs>
              <w:suppressAutoHyphens/>
              <w:ind w:left="0"/>
              <w:contextualSpacing/>
              <w:jc w:val="center"/>
              <w:rPr>
                <w:rFonts w:ascii="Bookman Old Style" w:hAnsi="Bookman Old Style" w:cs="Arial"/>
                <w:b/>
                <w:spacing w:val="-3"/>
              </w:rPr>
            </w:pPr>
            <w:r w:rsidRPr="002C3A47">
              <w:rPr>
                <w:rFonts w:ascii="Bookman Old Style" w:hAnsi="Bookman Old Style" w:cs="Arial"/>
                <w:b/>
                <w:spacing w:val="-3"/>
              </w:rPr>
              <w:t>GERMÁN ARCE ZAPATA</w:t>
            </w:r>
          </w:p>
          <w:p w:rsidR="001F27EA" w:rsidRPr="001F27EA" w:rsidRDefault="001F27EA" w:rsidP="00CB1C4E">
            <w:pPr>
              <w:tabs>
                <w:tab w:val="left" w:pos="-720"/>
              </w:tabs>
              <w:suppressAutoHyphens/>
              <w:ind w:left="0"/>
              <w:contextualSpacing/>
              <w:jc w:val="center"/>
              <w:rPr>
                <w:rFonts w:ascii="Bookman Old Style" w:hAnsi="Bookman Old Style"/>
              </w:rPr>
            </w:pPr>
            <w:r w:rsidRPr="001F27EA">
              <w:rPr>
                <w:rFonts w:ascii="Bookman Old Style" w:hAnsi="Bookman Old Style"/>
              </w:rPr>
              <w:t>Ministro de Minas y Energía</w:t>
            </w:r>
          </w:p>
          <w:p w:rsidR="001F27EA" w:rsidRPr="001F27EA" w:rsidRDefault="001F27EA" w:rsidP="00CB1C4E">
            <w:pPr>
              <w:tabs>
                <w:tab w:val="left" w:pos="-720"/>
              </w:tabs>
              <w:suppressAutoHyphens/>
              <w:ind w:left="0"/>
              <w:contextualSpacing/>
              <w:jc w:val="center"/>
              <w:rPr>
                <w:rFonts w:ascii="Bookman Old Style" w:hAnsi="Bookman Old Style" w:cs="Arial"/>
                <w:strike/>
                <w:spacing w:val="-3"/>
              </w:rPr>
            </w:pPr>
            <w:r w:rsidRPr="001F27EA">
              <w:rPr>
                <w:rFonts w:ascii="Bookman Old Style" w:hAnsi="Bookman Old Style"/>
              </w:rPr>
              <w:t>Presidente</w:t>
            </w:r>
          </w:p>
        </w:tc>
        <w:tc>
          <w:tcPr>
            <w:tcW w:w="4429" w:type="dxa"/>
          </w:tcPr>
          <w:p w:rsidR="001F27EA" w:rsidRPr="002C3A47" w:rsidRDefault="001F27EA" w:rsidP="00CB1C4E">
            <w:pPr>
              <w:tabs>
                <w:tab w:val="left" w:pos="-720"/>
              </w:tabs>
              <w:suppressAutoHyphens/>
              <w:ind w:left="0"/>
              <w:contextualSpacing/>
              <w:jc w:val="center"/>
              <w:rPr>
                <w:rFonts w:ascii="Bookman Old Style" w:hAnsi="Bookman Old Style" w:cs="Arial"/>
                <w:b/>
              </w:rPr>
            </w:pPr>
            <w:r w:rsidRPr="002C3A47">
              <w:rPr>
                <w:rFonts w:ascii="Bookman Old Style" w:hAnsi="Bookman Old Style" w:cs="Arial"/>
                <w:b/>
              </w:rPr>
              <w:t>JORGE PINTO NOLLA</w:t>
            </w:r>
          </w:p>
          <w:p w:rsidR="001F27EA" w:rsidRPr="001F27EA" w:rsidRDefault="001F27EA" w:rsidP="00CB1C4E">
            <w:pPr>
              <w:tabs>
                <w:tab w:val="left" w:pos="-720"/>
              </w:tabs>
              <w:suppressAutoHyphens/>
              <w:ind w:left="0"/>
              <w:contextualSpacing/>
              <w:jc w:val="center"/>
              <w:rPr>
                <w:rFonts w:ascii="Bookman Old Style" w:hAnsi="Bookman Old Style" w:cs="Arial"/>
                <w:spacing w:val="-3"/>
              </w:rPr>
            </w:pPr>
            <w:r w:rsidRPr="001F27EA">
              <w:rPr>
                <w:rFonts w:ascii="Bookman Old Style" w:hAnsi="Bookman Old Style" w:cs="Arial"/>
                <w:spacing w:val="-3"/>
              </w:rPr>
              <w:t>Director Ejecutivo</w:t>
            </w:r>
          </w:p>
        </w:tc>
      </w:tr>
    </w:tbl>
    <w:p w:rsidR="00DA741E" w:rsidRDefault="00DA741E" w:rsidP="004C1136">
      <w:pPr>
        <w:ind w:left="0"/>
        <w:contextualSpacing/>
        <w:rPr>
          <w:rFonts w:ascii="Bookman Old Style" w:hAnsi="Bookman Old Style"/>
          <w:lang w:val="es-CO"/>
        </w:rPr>
      </w:pPr>
    </w:p>
    <w:p w:rsidR="00DA741E" w:rsidRDefault="00DA741E" w:rsidP="004C1136">
      <w:pPr>
        <w:ind w:left="0"/>
        <w:contextualSpacing/>
        <w:rPr>
          <w:rFonts w:ascii="Bookman Old Style" w:hAnsi="Bookman Old Style"/>
          <w:lang w:val="es-CO"/>
        </w:rPr>
      </w:pPr>
    </w:p>
    <w:p w:rsidR="00DA741E" w:rsidRDefault="00DA741E" w:rsidP="004C1136">
      <w:pPr>
        <w:ind w:left="0"/>
        <w:contextualSpacing/>
        <w:rPr>
          <w:rFonts w:ascii="Bookman Old Style" w:hAnsi="Bookman Old Style"/>
          <w:lang w:val="es-CO"/>
        </w:rPr>
      </w:pPr>
    </w:p>
    <w:p w:rsidR="00DA741E" w:rsidRDefault="00DA741E" w:rsidP="004C1136">
      <w:pPr>
        <w:ind w:left="0"/>
        <w:contextualSpacing/>
        <w:rPr>
          <w:rFonts w:ascii="Bookman Old Style" w:hAnsi="Bookman Old Style"/>
          <w:lang w:val="es-CO"/>
        </w:rPr>
      </w:pPr>
    </w:p>
    <w:p w:rsidR="00A51E15" w:rsidRPr="00DC07FC" w:rsidRDefault="00A51E15" w:rsidP="004C1136">
      <w:pPr>
        <w:ind w:left="0"/>
        <w:contextualSpacing/>
        <w:rPr>
          <w:rFonts w:ascii="Bookman Old Style" w:hAnsi="Bookman Old Style"/>
          <w:lang w:val="es-CO"/>
        </w:rPr>
      </w:pPr>
      <w:r w:rsidRPr="00DC07FC">
        <w:rPr>
          <w:rFonts w:ascii="Bookman Old Style" w:hAnsi="Bookman Old Style"/>
          <w:lang w:val="es-CO"/>
        </w:rPr>
        <w:br w:type="page"/>
      </w:r>
    </w:p>
    <w:p w:rsidR="0049108C" w:rsidRPr="00DC07FC" w:rsidRDefault="0049108C" w:rsidP="0049108C">
      <w:pPr>
        <w:pStyle w:val="ARTICULOS"/>
      </w:pPr>
    </w:p>
    <w:p w:rsidR="00A51E15" w:rsidRPr="00DC07FC" w:rsidRDefault="0035076D" w:rsidP="0035076D">
      <w:pPr>
        <w:pStyle w:val="Ttulo1"/>
        <w:contextualSpacing/>
        <w:rPr>
          <w:szCs w:val="24"/>
        </w:rPr>
      </w:pPr>
      <w:r w:rsidRPr="00DC07FC">
        <w:rPr>
          <w:szCs w:val="24"/>
        </w:rPr>
        <w:t>ANEXO 2</w:t>
      </w:r>
    </w:p>
    <w:p w:rsidR="00A51E15" w:rsidRPr="00DC07FC" w:rsidRDefault="0035076D" w:rsidP="0035076D">
      <w:pPr>
        <w:pStyle w:val="Ttulo1"/>
        <w:contextualSpacing/>
        <w:rPr>
          <w:szCs w:val="24"/>
        </w:rPr>
      </w:pPr>
      <w:r w:rsidRPr="00DC07FC">
        <w:rPr>
          <w:szCs w:val="24"/>
        </w:rPr>
        <w:t>INFORMACIÓN TRANSACCIONAL Y OPERATIVA</w:t>
      </w:r>
    </w:p>
    <w:p w:rsidR="008B56BE" w:rsidRPr="00DC07FC" w:rsidRDefault="008B56BE" w:rsidP="008B56BE">
      <w:pPr>
        <w:pStyle w:val="ARTICULOS"/>
        <w:contextualSpacing/>
        <w:rPr>
          <w:bCs w:val="0"/>
          <w:lang w:val="es-CO" w:eastAsia="es-ES"/>
        </w:rPr>
      </w:pPr>
    </w:p>
    <w:p w:rsidR="00132F2C" w:rsidRPr="00DC07FC" w:rsidRDefault="00132F2C" w:rsidP="00132F2C">
      <w:pPr>
        <w:pStyle w:val="ARTICULOS"/>
        <w:rPr>
          <w:color w:val="000000" w:themeColor="text1"/>
          <w:lang w:val="es-ES"/>
        </w:rPr>
      </w:pPr>
      <w:r w:rsidRPr="00C05EC4">
        <w:rPr>
          <w:color w:val="000000" w:themeColor="text1"/>
          <w:lang w:val="es-ES"/>
        </w:rPr>
        <w:t xml:space="preserve">En desarrollo del servicio </w:t>
      </w:r>
      <w:r w:rsidRPr="00C05EC4">
        <w:rPr>
          <w:rFonts w:cs="Arial"/>
          <w:color w:val="000000" w:themeColor="text1"/>
          <w:lang w:val="es-ES"/>
        </w:rPr>
        <w:t>al que se hace referencia en el numeral 2</w:t>
      </w:r>
      <w:r w:rsidRPr="00C05EC4">
        <w:rPr>
          <w:color w:val="000000" w:themeColor="text1"/>
          <w:lang w:val="es-ES"/>
        </w:rPr>
        <w:t xml:space="preserve"> del artículo 32 de esta resolución, el gestor del mercado de GLP </w:t>
      </w:r>
      <w:r w:rsidRPr="00C05EC4">
        <w:rPr>
          <w:rFonts w:cs="Arial"/>
          <w:color w:val="000000" w:themeColor="text1"/>
          <w:lang w:val="es-ES"/>
        </w:rPr>
        <w:t xml:space="preserve">recopilará, verificará, publicará y conservará la información que se detalla a continuación. </w:t>
      </w:r>
      <w:r w:rsidRPr="00C05EC4">
        <w:rPr>
          <w:color w:val="000000" w:themeColor="text1"/>
        </w:rPr>
        <w:t>La</w:t>
      </w:r>
      <w:r w:rsidRPr="00DC07FC">
        <w:rPr>
          <w:color w:val="000000" w:themeColor="text1"/>
        </w:rPr>
        <w:t xml:space="preserve"> declaración de </w:t>
      </w:r>
      <w:r w:rsidRPr="00DC07FC">
        <w:rPr>
          <w:color w:val="000000" w:themeColor="text1"/>
          <w:lang w:val="es-CO"/>
        </w:rPr>
        <w:t>la</w:t>
      </w:r>
      <w:r w:rsidRPr="00DC07FC">
        <w:rPr>
          <w:color w:val="000000" w:themeColor="text1"/>
        </w:rPr>
        <w:t xml:space="preserve"> información </w:t>
      </w:r>
      <w:r w:rsidRPr="00DC07FC">
        <w:rPr>
          <w:color w:val="000000" w:themeColor="text1"/>
          <w:lang w:val="es-CO"/>
        </w:rPr>
        <w:t xml:space="preserve">señalada en este anexo </w:t>
      </w:r>
      <w:r w:rsidRPr="00DC07FC">
        <w:rPr>
          <w:color w:val="000000" w:themeColor="text1"/>
        </w:rPr>
        <w:t>se hará a partir de</w:t>
      </w:r>
      <w:r w:rsidRPr="00DC07FC">
        <w:rPr>
          <w:color w:val="000000" w:themeColor="text1"/>
          <w:lang w:val="es-CO"/>
        </w:rPr>
        <w:t xml:space="preserve"> </w:t>
      </w:r>
      <w:r w:rsidRPr="00DC07FC">
        <w:rPr>
          <w:color w:val="000000" w:themeColor="text1"/>
        </w:rPr>
        <w:t>l</w:t>
      </w:r>
      <w:r w:rsidRPr="00DC07FC">
        <w:rPr>
          <w:color w:val="000000" w:themeColor="text1"/>
          <w:lang w:val="es-CO"/>
        </w:rPr>
        <w:t>a</w:t>
      </w:r>
      <w:r w:rsidRPr="00DC07FC">
        <w:rPr>
          <w:color w:val="000000" w:themeColor="text1"/>
        </w:rPr>
        <w:t xml:space="preserve"> </w:t>
      </w:r>
      <w:r w:rsidRPr="00DC07FC">
        <w:rPr>
          <w:color w:val="000000" w:themeColor="text1"/>
          <w:lang w:val="es-CO"/>
        </w:rPr>
        <w:t>fecha</w:t>
      </w:r>
      <w:r w:rsidRPr="00DC07FC">
        <w:rPr>
          <w:color w:val="000000" w:themeColor="text1"/>
        </w:rPr>
        <w:t xml:space="preserve"> en que el gestor del mercado </w:t>
      </w:r>
      <w:r w:rsidRPr="00DC07FC">
        <w:rPr>
          <w:color w:val="000000" w:themeColor="text1"/>
          <w:lang w:val="es-CO"/>
        </w:rPr>
        <w:t>inicie la prestación de sus servicios.</w:t>
      </w:r>
    </w:p>
    <w:p w:rsidR="00132F2C" w:rsidRPr="00DC07FC" w:rsidRDefault="00132F2C" w:rsidP="00132F2C">
      <w:pPr>
        <w:pStyle w:val="ARTICULOS"/>
        <w:contextualSpacing/>
        <w:rPr>
          <w:bCs w:val="0"/>
          <w:lang w:val="es-ES" w:eastAsia="es-ES"/>
        </w:rPr>
      </w:pPr>
    </w:p>
    <w:p w:rsidR="00952BD8" w:rsidRPr="00DC07FC" w:rsidRDefault="00952BD8" w:rsidP="00132F2C">
      <w:pPr>
        <w:pStyle w:val="ARTICULOS"/>
        <w:contextualSpacing/>
        <w:rPr>
          <w:bCs w:val="0"/>
          <w:lang w:val="es-ES" w:eastAsia="es-ES"/>
        </w:rPr>
      </w:pPr>
    </w:p>
    <w:p w:rsidR="00B90FA6" w:rsidRPr="00DC07FC" w:rsidRDefault="00132F2C" w:rsidP="002008A8">
      <w:pPr>
        <w:pStyle w:val="ARTICULOS"/>
        <w:numPr>
          <w:ilvl w:val="0"/>
          <w:numId w:val="70"/>
        </w:numPr>
        <w:tabs>
          <w:tab w:val="left" w:pos="1701"/>
        </w:tabs>
        <w:contextualSpacing/>
        <w:outlineLvl w:val="0"/>
        <w:rPr>
          <w:rFonts w:cs="Arial"/>
          <w:b/>
          <w:color w:val="000000" w:themeColor="text1"/>
          <w:lang w:val="es-CO"/>
        </w:rPr>
      </w:pPr>
      <w:r w:rsidRPr="00DC07FC">
        <w:rPr>
          <w:rFonts w:cs="Arial"/>
          <w:b/>
          <w:color w:val="000000" w:themeColor="text1"/>
          <w:lang w:val="es-CO"/>
        </w:rPr>
        <w:t>INFORMACIÓN TRANSACCIONAL DEL MERCADO PRIMARIO</w:t>
      </w:r>
    </w:p>
    <w:p w:rsidR="00AB1465" w:rsidRPr="00DC07FC" w:rsidRDefault="00AB1465" w:rsidP="00AB1465">
      <w:pPr>
        <w:pStyle w:val="ARTICULOS"/>
      </w:pPr>
    </w:p>
    <w:p w:rsidR="00132F2C" w:rsidRPr="00DC07FC" w:rsidRDefault="00132F2C" w:rsidP="002008A8">
      <w:pPr>
        <w:pStyle w:val="Estilo4"/>
        <w:outlineLvl w:val="1"/>
      </w:pPr>
      <w:bookmarkStart w:id="63" w:name="_Ref334698400"/>
      <w:r w:rsidRPr="00DC07FC">
        <w:t>Recopilación de información sobre el suministro de GLP en el mercado primario</w:t>
      </w:r>
      <w:bookmarkEnd w:id="63"/>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3B4973" w:rsidRPr="00DC07FC" w:rsidRDefault="003B4973" w:rsidP="00901EFF">
      <w:pPr>
        <w:pStyle w:val="Estilo4"/>
        <w:numPr>
          <w:ilvl w:val="2"/>
          <w:numId w:val="55"/>
        </w:numPr>
      </w:pPr>
      <w:r w:rsidRPr="00DC07FC">
        <w:rPr>
          <w:lang w:val="es-CO"/>
        </w:rPr>
        <w:t>Contratos de suministro de GLP en el mercado primario</w:t>
      </w:r>
    </w:p>
    <w:p w:rsidR="003B4973" w:rsidRPr="00DC07FC" w:rsidRDefault="003B4973"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El gestor del mercado de GLP llevará un registro de los contratos de suministro de GLP que se suscriban en el mercado primario.</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C05EC4">
        <w:rPr>
          <w:rFonts w:ascii="Bookman Old Style" w:hAnsi="Bookman Old Style"/>
          <w:color w:val="000000" w:themeColor="text1"/>
        </w:rPr>
        <w:t>Los vendedores y los compradores de GLP, a los que se hace referencia en los artículos 19 y 20 de esta resolución, deberán registrar ante el gestor del mercado los contratos de suministro de GLP que suscriban en el mercado primario. Para e</w:t>
      </w:r>
      <w:r w:rsidRPr="00DC07FC">
        <w:rPr>
          <w:rFonts w:ascii="Bookman Old Style" w:hAnsi="Bookman Old Style"/>
          <w:color w:val="000000" w:themeColor="text1"/>
        </w:rPr>
        <w:t>stos efectos, cada vendedor y cada comprador deberán declarar al gestor del mercado de GLP la siguiente información para cada uno de sus contratos:</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211441">
      <w:pPr>
        <w:pStyle w:val="Prrafodelista"/>
        <w:numPr>
          <w:ilvl w:val="1"/>
          <w:numId w:val="56"/>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Nombre de las partes contratantes.</w:t>
      </w:r>
    </w:p>
    <w:p w:rsidR="00132F2C" w:rsidRPr="00DC07FC" w:rsidRDefault="00132F2C" w:rsidP="00211441">
      <w:pPr>
        <w:pStyle w:val="Prrafodelista"/>
        <w:numPr>
          <w:ilvl w:val="1"/>
          <w:numId w:val="56"/>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Período de ejecución del contrato.</w:t>
      </w:r>
    </w:p>
    <w:p w:rsidR="00132F2C" w:rsidRPr="00DC07FC" w:rsidRDefault="00132F2C" w:rsidP="00211441">
      <w:pPr>
        <w:pStyle w:val="Prrafodelista"/>
        <w:numPr>
          <w:ilvl w:val="1"/>
          <w:numId w:val="56"/>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Cantidades de GLP contratadas, expresadas en kilogramos por día.</w:t>
      </w:r>
    </w:p>
    <w:p w:rsidR="00132F2C" w:rsidRPr="00DC07FC" w:rsidRDefault="00132F2C" w:rsidP="00211441">
      <w:pPr>
        <w:pStyle w:val="Prrafodelista"/>
        <w:numPr>
          <w:ilvl w:val="1"/>
          <w:numId w:val="56"/>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 xml:space="preserve">Valor total del contrato, indicando además el precio de suministro del GLP, expresado en pesos por kilogramo. </w:t>
      </w:r>
    </w:p>
    <w:p w:rsidR="00132F2C" w:rsidRPr="00DC07FC" w:rsidRDefault="00132F2C" w:rsidP="00211441">
      <w:pPr>
        <w:pStyle w:val="Prrafodelista"/>
        <w:numPr>
          <w:ilvl w:val="1"/>
          <w:numId w:val="56"/>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Tiempos, puntos y cantidades de entrega y de recibo.</w:t>
      </w:r>
    </w:p>
    <w:p w:rsidR="00132F2C" w:rsidRPr="00DC07FC" w:rsidRDefault="00132F2C" w:rsidP="00211441">
      <w:pPr>
        <w:pStyle w:val="Prrafodelista"/>
        <w:numPr>
          <w:ilvl w:val="1"/>
          <w:numId w:val="56"/>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 xml:space="preserve">La demás información que determine la CREG. </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s="Arial"/>
          <w:color w:val="000000" w:themeColor="text1"/>
        </w:rPr>
      </w:pPr>
      <w:r w:rsidRPr="00DC07FC">
        <w:rPr>
          <w:rFonts w:ascii="Bookman Old Style" w:hAnsi="Bookman Old Style"/>
          <w:color w:val="000000" w:themeColor="text1"/>
        </w:rPr>
        <w:t xml:space="preserve">Adicionalmente, cada comprador deberá declarar al gestor del mercado de GLP si la </w:t>
      </w:r>
      <w:r w:rsidRPr="00DC07FC">
        <w:rPr>
          <w:rFonts w:ascii="Bookman Old Style" w:hAnsi="Bookman Old Style" w:cs="Arial"/>
          <w:color w:val="000000" w:themeColor="text1"/>
        </w:rPr>
        <w:t>demanda a atender con el contrato es de tipo regulado o no regulado.</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Los compradores que suministren GLP a UNR deberán declarar por cada usuario: nombre, domicilios de entrega, tanques estacionarios atendidos en cada domicilio y cantidad contratada para cada domicilio. Cuando el comprador suministre GLP a usuarios regulados deberá especificar: cantidad a entregar, municipio en el que se consumirá esa cantidad y los correspondientes puntos de entrega.</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La declaración de la información para el registro de los contratos se realizará a través del medio y del formato que defina el gestor del mercado de GLP.</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C05EC4">
        <w:rPr>
          <w:rFonts w:ascii="Bookman Old Style" w:hAnsi="Bookman Old Style"/>
          <w:color w:val="000000" w:themeColor="text1"/>
        </w:rPr>
        <w:t xml:space="preserve">Los vendedores y los compradores a los que se hace referencia en los artículos 19 y 20 de esta resolución deberán actualizar el registro ante el gestor del </w:t>
      </w:r>
      <w:r w:rsidRPr="00C05EC4">
        <w:rPr>
          <w:rFonts w:ascii="Bookman Old Style" w:hAnsi="Bookman Old Style"/>
          <w:color w:val="000000" w:themeColor="text1"/>
        </w:rPr>
        <w:lastRenderedPageBreak/>
        <w:t>mercado de GLP, en los eventos en que exista terminación anticipada del contrato de suministro de GLP. Para estos efectos los vendedores y los compradores deberán declarar al gestor del mercado de GLP la información previamente señalada, debidamente actualizada.</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C05EC4">
        <w:rPr>
          <w:rFonts w:ascii="Bookman Old Style" w:hAnsi="Bookman Old Style"/>
          <w:color w:val="000000" w:themeColor="text1"/>
        </w:rPr>
        <w:t>El gestor del mercado de GLP podrá solicitar copia de los contratos referidos, caso en el cual los vendedores y los compradores a los que se hace referencia en los artículos 19 y 20 de esta resolución estarán en la obligación de entregar tales copias al gestor del mercado de GLP.</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s="Arial"/>
          <w:color w:val="000000" w:themeColor="text1"/>
        </w:rPr>
      </w:pPr>
      <w:r w:rsidRPr="00DC07FC">
        <w:rPr>
          <w:rFonts w:ascii="Bookman Old Style" w:hAnsi="Bookman Old Style"/>
          <w:color w:val="000000" w:themeColor="text1"/>
        </w:rPr>
        <w:t xml:space="preserve">La no declaración de la información aquí señalada podrá ser considerada por la autoridad competente como una práctica contraria a la libre competencia. Igual consideración se podrá dar a la declaración reiterada de información inconsistente. </w:t>
      </w:r>
      <w:r w:rsidRPr="00DC07FC">
        <w:rPr>
          <w:rFonts w:ascii="Bookman Old Style" w:hAnsi="Bookman Old Style" w:cs="Arial"/>
          <w:color w:val="000000" w:themeColor="text1"/>
        </w:rPr>
        <w:t>Lo anterior sin perjuicio de la responsabilidad derivada de la posible falla en la prestación del servicio que se cause por la no declaración de esta información.</w:t>
      </w:r>
    </w:p>
    <w:p w:rsidR="003B4973" w:rsidRPr="00DC07FC" w:rsidRDefault="003B4973" w:rsidP="00132F2C">
      <w:pPr>
        <w:autoSpaceDE w:val="0"/>
        <w:autoSpaceDN w:val="0"/>
        <w:adjustRightInd w:val="0"/>
        <w:ind w:left="0"/>
        <w:contextualSpacing/>
        <w:jc w:val="both"/>
        <w:rPr>
          <w:rFonts w:ascii="Bookman Old Style" w:hAnsi="Bookman Old Style" w:cs="Arial"/>
          <w:color w:val="000000" w:themeColor="text1"/>
        </w:rPr>
      </w:pPr>
    </w:p>
    <w:p w:rsidR="003B4973" w:rsidRPr="00DC07FC" w:rsidRDefault="00FC69B0" w:rsidP="002008A8">
      <w:pPr>
        <w:pStyle w:val="Estilo4"/>
        <w:numPr>
          <w:ilvl w:val="2"/>
          <w:numId w:val="55"/>
        </w:numPr>
      </w:pPr>
      <w:r w:rsidRPr="00DC07FC">
        <w:rPr>
          <w:lang w:val="es-CO"/>
        </w:rPr>
        <w:t xml:space="preserve">Información de </w:t>
      </w:r>
      <w:r w:rsidR="00E621DC">
        <w:rPr>
          <w:lang w:val="es-CO"/>
        </w:rPr>
        <w:t xml:space="preserve">oferta para los mecanismos de comercialización diferentes a la </w:t>
      </w:r>
      <w:r w:rsidR="003B4973" w:rsidRPr="00DC07FC">
        <w:rPr>
          <w:lang w:val="es-CO"/>
        </w:rPr>
        <w:t>subasta de</w:t>
      </w:r>
      <w:r w:rsidR="00C71723">
        <w:rPr>
          <w:lang w:val="es-CO"/>
        </w:rPr>
        <w:t xml:space="preserve"> GLP</w:t>
      </w:r>
    </w:p>
    <w:p w:rsidR="003B4973" w:rsidRPr="00E621DC" w:rsidRDefault="003B4973" w:rsidP="00132F2C">
      <w:pPr>
        <w:autoSpaceDE w:val="0"/>
        <w:autoSpaceDN w:val="0"/>
        <w:adjustRightInd w:val="0"/>
        <w:ind w:left="0"/>
        <w:contextualSpacing/>
        <w:jc w:val="both"/>
        <w:rPr>
          <w:rFonts w:ascii="Bookman Old Style" w:hAnsi="Bookman Old Style" w:cs="Arial"/>
          <w:color w:val="000000" w:themeColor="text1"/>
          <w:lang w:val="x-none"/>
        </w:rPr>
      </w:pPr>
    </w:p>
    <w:p w:rsidR="003B4973" w:rsidRPr="001E0635" w:rsidRDefault="003B4973" w:rsidP="00132F2C">
      <w:pPr>
        <w:autoSpaceDE w:val="0"/>
        <w:autoSpaceDN w:val="0"/>
        <w:adjustRightInd w:val="0"/>
        <w:ind w:left="0"/>
        <w:contextualSpacing/>
        <w:jc w:val="both"/>
        <w:rPr>
          <w:rFonts w:ascii="Bookman Old Style" w:hAnsi="Bookman Old Style" w:cs="Arial"/>
          <w:color w:val="000000" w:themeColor="text1"/>
        </w:rPr>
      </w:pPr>
      <w:r w:rsidRPr="001E0635">
        <w:rPr>
          <w:rFonts w:ascii="Bookman Old Style" w:hAnsi="Bookman Old Style"/>
          <w:color w:val="000000" w:themeColor="text1"/>
        </w:rPr>
        <w:t xml:space="preserve">Los comercializadores mayoristas que </w:t>
      </w:r>
      <w:r w:rsidR="00E621DC">
        <w:rPr>
          <w:rFonts w:ascii="Bookman Old Style" w:hAnsi="Bookman Old Style"/>
          <w:color w:val="000000" w:themeColor="text1"/>
        </w:rPr>
        <w:t>dispongan de GLP, cuyo mecanismo de comercialización sea diferente a la subasta de GLP</w:t>
      </w:r>
      <w:r w:rsidRPr="001E0635">
        <w:rPr>
          <w:rFonts w:ascii="Bookman Old Style" w:hAnsi="Bookman Old Style"/>
          <w:color w:val="000000" w:themeColor="text1"/>
        </w:rPr>
        <w:t>, deberán declarar, según sea el caso, ante el gestor del mercado de GLP lo siguiente:</w:t>
      </w:r>
    </w:p>
    <w:p w:rsidR="003B4973" w:rsidRPr="001E0635" w:rsidRDefault="003B4973" w:rsidP="00132F2C">
      <w:pPr>
        <w:autoSpaceDE w:val="0"/>
        <w:autoSpaceDN w:val="0"/>
        <w:adjustRightInd w:val="0"/>
        <w:ind w:left="0"/>
        <w:contextualSpacing/>
        <w:jc w:val="both"/>
        <w:rPr>
          <w:rFonts w:ascii="Bookman Old Style" w:hAnsi="Bookman Old Style" w:cs="Arial"/>
          <w:color w:val="000000" w:themeColor="text1"/>
        </w:rPr>
      </w:pPr>
    </w:p>
    <w:p w:rsidR="003B4973" w:rsidRPr="001E0635" w:rsidRDefault="00FC69B0" w:rsidP="00211441">
      <w:pPr>
        <w:pStyle w:val="Prrafodelista"/>
        <w:numPr>
          <w:ilvl w:val="0"/>
          <w:numId w:val="71"/>
        </w:numPr>
        <w:autoSpaceDE w:val="0"/>
        <w:autoSpaceDN w:val="0"/>
        <w:adjustRightInd w:val="0"/>
        <w:ind w:left="567" w:hanging="567"/>
        <w:contextualSpacing/>
        <w:jc w:val="both"/>
        <w:rPr>
          <w:rFonts w:ascii="Bookman Old Style" w:hAnsi="Bookman Old Style" w:cs="Arial"/>
          <w:sz w:val="24"/>
          <w:szCs w:val="24"/>
        </w:rPr>
      </w:pPr>
      <w:r w:rsidRPr="001E0635">
        <w:rPr>
          <w:rFonts w:ascii="Bookman Old Style" w:hAnsi="Bookman Old Style" w:cs="Arial"/>
          <w:sz w:val="24"/>
          <w:szCs w:val="24"/>
        </w:rPr>
        <w:t xml:space="preserve">Para el mecanismo de asignación administrada, </w:t>
      </w:r>
      <w:r w:rsidR="00E621DC">
        <w:rPr>
          <w:rFonts w:ascii="Bookman Old Style" w:hAnsi="Bookman Old Style" w:cs="Arial"/>
          <w:sz w:val="24"/>
          <w:szCs w:val="24"/>
        </w:rPr>
        <w:t xml:space="preserve">la cantidad, </w:t>
      </w:r>
      <w:r w:rsidR="003B4973" w:rsidRPr="001E0635">
        <w:rPr>
          <w:rFonts w:ascii="Bookman Old Style" w:hAnsi="Bookman Old Style" w:cs="Arial"/>
          <w:sz w:val="24"/>
          <w:szCs w:val="24"/>
        </w:rPr>
        <w:t xml:space="preserve">plazo </w:t>
      </w:r>
      <w:r w:rsidR="00E621DC">
        <w:rPr>
          <w:rFonts w:ascii="Bookman Old Style" w:hAnsi="Bookman Old Style" w:cs="Arial"/>
          <w:sz w:val="24"/>
          <w:szCs w:val="24"/>
        </w:rPr>
        <w:t xml:space="preserve">y punto de entrega, </w:t>
      </w:r>
      <w:r w:rsidR="003B4973" w:rsidRPr="001E0635">
        <w:rPr>
          <w:rFonts w:ascii="Bookman Old Style" w:hAnsi="Bookman Old Style" w:cs="Arial"/>
          <w:sz w:val="24"/>
          <w:szCs w:val="24"/>
        </w:rPr>
        <w:t xml:space="preserve">bajo los cuales </w:t>
      </w:r>
      <w:r w:rsidR="00E621DC">
        <w:rPr>
          <w:rFonts w:ascii="Bookman Old Style" w:hAnsi="Bookman Old Style" w:cs="Arial"/>
          <w:sz w:val="24"/>
          <w:szCs w:val="24"/>
        </w:rPr>
        <w:t xml:space="preserve">se encuentra disponible </w:t>
      </w:r>
      <w:r w:rsidR="006F5E52">
        <w:rPr>
          <w:rFonts w:ascii="Bookman Old Style" w:hAnsi="Bookman Old Style" w:cs="Arial"/>
          <w:sz w:val="24"/>
          <w:szCs w:val="24"/>
        </w:rPr>
        <w:t xml:space="preserve">el </w:t>
      </w:r>
      <w:r w:rsidR="003B4973" w:rsidRPr="001E0635">
        <w:rPr>
          <w:rFonts w:ascii="Bookman Old Style" w:hAnsi="Bookman Old Style" w:cs="Arial"/>
          <w:sz w:val="24"/>
          <w:szCs w:val="24"/>
        </w:rPr>
        <w:t>GLP</w:t>
      </w:r>
      <w:r w:rsidRPr="001E0635">
        <w:rPr>
          <w:rFonts w:ascii="Bookman Old Style" w:hAnsi="Bookman Old Style" w:cs="Arial"/>
          <w:sz w:val="24"/>
          <w:szCs w:val="24"/>
        </w:rPr>
        <w:t>.</w:t>
      </w:r>
    </w:p>
    <w:p w:rsidR="003B4973" w:rsidRPr="006F5E52" w:rsidRDefault="003B4973" w:rsidP="00211441">
      <w:pPr>
        <w:autoSpaceDE w:val="0"/>
        <w:autoSpaceDN w:val="0"/>
        <w:adjustRightInd w:val="0"/>
        <w:ind w:hanging="567"/>
        <w:contextualSpacing/>
        <w:jc w:val="both"/>
        <w:rPr>
          <w:rFonts w:ascii="Bookman Old Style" w:hAnsi="Bookman Old Style"/>
          <w:color w:val="000000" w:themeColor="text1"/>
          <w:lang w:val="es-CO"/>
        </w:rPr>
      </w:pPr>
    </w:p>
    <w:p w:rsidR="003B4973" w:rsidRPr="001E0635" w:rsidRDefault="00FC69B0" w:rsidP="00211441">
      <w:pPr>
        <w:pStyle w:val="Prrafodelista"/>
        <w:numPr>
          <w:ilvl w:val="0"/>
          <w:numId w:val="71"/>
        </w:numPr>
        <w:ind w:left="567" w:hanging="567"/>
        <w:contextualSpacing/>
        <w:jc w:val="both"/>
        <w:rPr>
          <w:rFonts w:ascii="Bookman Old Style" w:hAnsi="Bookman Old Style" w:cs="Arial"/>
          <w:color w:val="000000" w:themeColor="text1"/>
          <w:sz w:val="24"/>
          <w:szCs w:val="24"/>
          <w:lang w:val="es-ES"/>
        </w:rPr>
      </w:pPr>
      <w:r w:rsidRPr="001E0635">
        <w:rPr>
          <w:rFonts w:ascii="Bookman Old Style" w:hAnsi="Bookman Old Style" w:cs="Arial"/>
          <w:color w:val="000000" w:themeColor="text1"/>
          <w:sz w:val="24"/>
          <w:szCs w:val="24"/>
          <w:lang w:val="es-ES"/>
        </w:rPr>
        <w:t xml:space="preserve">Para </w:t>
      </w:r>
      <w:r w:rsidR="00E621DC">
        <w:rPr>
          <w:rFonts w:ascii="Bookman Old Style" w:hAnsi="Bookman Old Style" w:cs="Arial"/>
          <w:color w:val="000000" w:themeColor="text1"/>
          <w:sz w:val="24"/>
          <w:szCs w:val="24"/>
          <w:lang w:val="es-ES"/>
        </w:rPr>
        <w:t xml:space="preserve">GLP importado o aquel proveniente de proyectos </w:t>
      </w:r>
      <w:r w:rsidR="00E621DC" w:rsidRPr="001E0635">
        <w:rPr>
          <w:rFonts w:ascii="Bookman Old Style" w:hAnsi="Bookman Old Style" w:cs="Arial"/>
          <w:color w:val="000000" w:themeColor="text1"/>
          <w:sz w:val="24"/>
          <w:szCs w:val="24"/>
          <w:lang w:val="es-ES"/>
        </w:rPr>
        <w:t>para el desarrollo de nueva oferta</w:t>
      </w:r>
      <w:r w:rsidR="00E621DC">
        <w:rPr>
          <w:rFonts w:ascii="Bookman Old Style" w:hAnsi="Bookman Old Style" w:cs="Arial"/>
          <w:color w:val="000000" w:themeColor="text1"/>
          <w:sz w:val="24"/>
          <w:szCs w:val="24"/>
          <w:lang w:val="es-ES"/>
        </w:rPr>
        <w:t xml:space="preserve">, </w:t>
      </w:r>
      <w:r w:rsidRPr="001E0635">
        <w:rPr>
          <w:rFonts w:ascii="Bookman Old Style" w:hAnsi="Bookman Old Style" w:cs="Arial"/>
          <w:color w:val="000000" w:themeColor="text1"/>
          <w:sz w:val="24"/>
          <w:szCs w:val="24"/>
          <w:lang w:val="es-ES"/>
        </w:rPr>
        <w:t>l</w:t>
      </w:r>
      <w:r w:rsidR="003B4973" w:rsidRPr="001E0635">
        <w:rPr>
          <w:rFonts w:ascii="Bookman Old Style" w:hAnsi="Bookman Old Style" w:cs="Arial"/>
          <w:color w:val="000000" w:themeColor="text1"/>
          <w:sz w:val="24"/>
          <w:szCs w:val="24"/>
          <w:lang w:val="es-ES"/>
        </w:rPr>
        <w:t>a cantidad</w:t>
      </w:r>
      <w:r w:rsidR="00E621DC">
        <w:rPr>
          <w:rFonts w:ascii="Bookman Old Style" w:hAnsi="Bookman Old Style" w:cs="Arial"/>
          <w:color w:val="000000" w:themeColor="text1"/>
          <w:sz w:val="24"/>
          <w:szCs w:val="24"/>
          <w:lang w:val="es-ES"/>
        </w:rPr>
        <w:t>, puntos de entrega</w:t>
      </w:r>
      <w:r w:rsidR="003B4973" w:rsidRPr="001E0635">
        <w:rPr>
          <w:rFonts w:ascii="Bookman Old Style" w:hAnsi="Bookman Old Style" w:cs="Arial"/>
          <w:color w:val="000000" w:themeColor="text1"/>
          <w:sz w:val="24"/>
          <w:szCs w:val="24"/>
          <w:lang w:val="es-ES"/>
        </w:rPr>
        <w:t xml:space="preserve"> y plazo</w:t>
      </w:r>
      <w:r w:rsidR="00E621DC">
        <w:rPr>
          <w:rFonts w:ascii="Bookman Old Style" w:hAnsi="Bookman Old Style" w:cs="Arial"/>
          <w:color w:val="000000" w:themeColor="text1"/>
          <w:sz w:val="24"/>
          <w:szCs w:val="24"/>
          <w:lang w:val="es-ES"/>
        </w:rPr>
        <w:t>,</w:t>
      </w:r>
      <w:r w:rsidR="003B4973" w:rsidRPr="001E0635">
        <w:rPr>
          <w:rFonts w:ascii="Bookman Old Style" w:hAnsi="Bookman Old Style" w:cs="Arial"/>
          <w:color w:val="000000" w:themeColor="text1"/>
          <w:sz w:val="24"/>
          <w:szCs w:val="24"/>
          <w:lang w:val="es-ES"/>
        </w:rPr>
        <w:t xml:space="preserve"> bajo los cuales se </w:t>
      </w:r>
      <w:r w:rsidR="00E621DC">
        <w:rPr>
          <w:rFonts w:ascii="Bookman Old Style" w:hAnsi="Bookman Old Style" w:cs="Arial"/>
          <w:color w:val="000000" w:themeColor="text1"/>
          <w:sz w:val="24"/>
          <w:szCs w:val="24"/>
          <w:lang w:val="es-ES"/>
        </w:rPr>
        <w:t xml:space="preserve">encuentra disponible </w:t>
      </w:r>
      <w:r w:rsidRPr="001E0635">
        <w:rPr>
          <w:rFonts w:ascii="Bookman Old Style" w:hAnsi="Bookman Old Style" w:cs="Arial"/>
          <w:color w:val="000000" w:themeColor="text1"/>
          <w:sz w:val="24"/>
          <w:szCs w:val="24"/>
          <w:lang w:val="es-ES"/>
        </w:rPr>
        <w:t>dicho producto</w:t>
      </w:r>
      <w:r w:rsidR="003B4973" w:rsidRPr="001E0635">
        <w:rPr>
          <w:rFonts w:ascii="Bookman Old Style" w:hAnsi="Bookman Old Style" w:cs="Arial"/>
          <w:color w:val="000000" w:themeColor="text1"/>
          <w:sz w:val="24"/>
          <w:szCs w:val="24"/>
          <w:lang w:val="es-ES"/>
        </w:rPr>
        <w:t>.</w:t>
      </w:r>
    </w:p>
    <w:p w:rsidR="00132F2C" w:rsidRPr="00DC07FC" w:rsidRDefault="00132F2C" w:rsidP="00132F2C">
      <w:pPr>
        <w:pStyle w:val="ARTICULOS"/>
        <w:contextualSpacing/>
        <w:rPr>
          <w:color w:val="000000" w:themeColor="text1"/>
          <w:lang w:val="es-ES"/>
        </w:rPr>
      </w:pPr>
    </w:p>
    <w:p w:rsidR="00132F2C" w:rsidRPr="00DC07FC" w:rsidRDefault="00132F2C" w:rsidP="002008A8">
      <w:pPr>
        <w:pStyle w:val="Estilo4"/>
        <w:outlineLvl w:val="1"/>
      </w:pPr>
      <w:r w:rsidRPr="00DC07FC">
        <w:t>Verificación de la información transaccional del mercado primario</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C71723" w:rsidRDefault="00132F2C" w:rsidP="004046D2">
      <w:pPr>
        <w:autoSpaceDE w:val="0"/>
        <w:autoSpaceDN w:val="0"/>
        <w:adjustRightInd w:val="0"/>
        <w:ind w:left="0"/>
        <w:contextualSpacing/>
        <w:jc w:val="both"/>
        <w:rPr>
          <w:rFonts w:ascii="Bookman Old Style" w:hAnsi="Bookman Old Style" w:cs="Arial"/>
          <w:color w:val="000000" w:themeColor="text1"/>
        </w:rPr>
      </w:pPr>
      <w:r w:rsidRPr="00C71723">
        <w:rPr>
          <w:rFonts w:ascii="Bookman Old Style" w:hAnsi="Bookman Old Style"/>
          <w:color w:val="000000" w:themeColor="text1"/>
        </w:rPr>
        <w:t>El gestor del mercado de GLP verificará la consistencia de la información transaccional declarada por los compradores y los vendedores del mercado primario. En particular, verificará que</w:t>
      </w:r>
      <w:r w:rsidR="004046D2" w:rsidRPr="00C71723">
        <w:rPr>
          <w:rFonts w:ascii="Bookman Old Style" w:hAnsi="Bookman Old Style"/>
          <w:color w:val="000000" w:themeColor="text1"/>
        </w:rPr>
        <w:t xml:space="preserve"> l</w:t>
      </w:r>
      <w:r w:rsidRPr="00C71723">
        <w:rPr>
          <w:rFonts w:ascii="Bookman Old Style" w:hAnsi="Bookman Old Style" w:cs="Arial"/>
          <w:color w:val="000000" w:themeColor="text1"/>
        </w:rPr>
        <w:t xml:space="preserve">a información declarada por cada vendedor, en atención a lo dispuesto en el numeral </w:t>
      </w:r>
      <w:r w:rsidRPr="00C71723">
        <w:rPr>
          <w:rFonts w:ascii="Bookman Old Style" w:hAnsi="Bookman Old Style" w:cs="Arial"/>
          <w:color w:val="000000" w:themeColor="text1"/>
        </w:rPr>
        <w:fldChar w:fldCharType="begin"/>
      </w:r>
      <w:r w:rsidRPr="00C71723">
        <w:rPr>
          <w:rFonts w:ascii="Bookman Old Style" w:hAnsi="Bookman Old Style" w:cs="Arial"/>
          <w:color w:val="000000" w:themeColor="text1"/>
        </w:rPr>
        <w:instrText xml:space="preserve"> REF _Ref334698400 \r \h  \* MERGEFORMAT </w:instrText>
      </w:r>
      <w:r w:rsidRPr="00C71723">
        <w:rPr>
          <w:rFonts w:ascii="Bookman Old Style" w:hAnsi="Bookman Old Style" w:cs="Arial"/>
          <w:color w:val="000000" w:themeColor="text1"/>
        </w:rPr>
      </w:r>
      <w:r w:rsidRPr="00C71723">
        <w:rPr>
          <w:rFonts w:ascii="Bookman Old Style" w:hAnsi="Bookman Old Style" w:cs="Arial"/>
          <w:color w:val="000000" w:themeColor="text1"/>
        </w:rPr>
        <w:fldChar w:fldCharType="separate"/>
      </w:r>
      <w:r w:rsidR="00A24E5E">
        <w:rPr>
          <w:rFonts w:ascii="Bookman Old Style" w:hAnsi="Bookman Old Style" w:cs="Arial"/>
          <w:color w:val="000000" w:themeColor="text1"/>
        </w:rPr>
        <w:t>1.1</w:t>
      </w:r>
      <w:r w:rsidRPr="00C71723">
        <w:rPr>
          <w:rFonts w:ascii="Bookman Old Style" w:hAnsi="Bookman Old Style" w:cs="Arial"/>
          <w:color w:val="000000" w:themeColor="text1"/>
        </w:rPr>
        <w:fldChar w:fldCharType="end"/>
      </w:r>
      <w:r w:rsidRPr="00C71723">
        <w:rPr>
          <w:rFonts w:ascii="Bookman Old Style" w:hAnsi="Bookman Old Style" w:cs="Arial"/>
          <w:color w:val="000000" w:themeColor="text1"/>
        </w:rPr>
        <w:t xml:space="preserve"> de este anexo, coincida con la declarada por cada comprador, en atención a lo dispuesto en el numeral </w:t>
      </w:r>
      <w:r w:rsidRPr="00C71723">
        <w:rPr>
          <w:rFonts w:ascii="Bookman Old Style" w:hAnsi="Bookman Old Style" w:cs="Arial"/>
          <w:color w:val="000000" w:themeColor="text1"/>
        </w:rPr>
        <w:fldChar w:fldCharType="begin"/>
      </w:r>
      <w:r w:rsidRPr="00C71723">
        <w:rPr>
          <w:rFonts w:ascii="Bookman Old Style" w:hAnsi="Bookman Old Style" w:cs="Arial"/>
          <w:color w:val="000000" w:themeColor="text1"/>
        </w:rPr>
        <w:instrText xml:space="preserve"> REF _Ref334698400 \r \h  \* MERGEFORMAT </w:instrText>
      </w:r>
      <w:r w:rsidRPr="00C71723">
        <w:rPr>
          <w:rFonts w:ascii="Bookman Old Style" w:hAnsi="Bookman Old Style" w:cs="Arial"/>
          <w:color w:val="000000" w:themeColor="text1"/>
        </w:rPr>
      </w:r>
      <w:r w:rsidRPr="00C71723">
        <w:rPr>
          <w:rFonts w:ascii="Bookman Old Style" w:hAnsi="Bookman Old Style" w:cs="Arial"/>
          <w:color w:val="000000" w:themeColor="text1"/>
        </w:rPr>
        <w:fldChar w:fldCharType="separate"/>
      </w:r>
      <w:r w:rsidR="00A24E5E">
        <w:rPr>
          <w:rFonts w:ascii="Bookman Old Style" w:hAnsi="Bookman Old Style" w:cs="Arial"/>
          <w:color w:val="000000" w:themeColor="text1"/>
        </w:rPr>
        <w:t>1.1</w:t>
      </w:r>
      <w:r w:rsidRPr="00C71723">
        <w:rPr>
          <w:rFonts w:ascii="Bookman Old Style" w:hAnsi="Bookman Old Style" w:cs="Arial"/>
          <w:color w:val="000000" w:themeColor="text1"/>
        </w:rPr>
        <w:fldChar w:fldCharType="end"/>
      </w:r>
      <w:r w:rsidRPr="00C71723">
        <w:rPr>
          <w:rFonts w:ascii="Bookman Old Style" w:hAnsi="Bookman Old Style" w:cs="Arial"/>
          <w:color w:val="000000" w:themeColor="text1"/>
        </w:rPr>
        <w:t xml:space="preserve"> de este anexo. </w:t>
      </w:r>
    </w:p>
    <w:p w:rsidR="004046D2" w:rsidRPr="00C71723" w:rsidRDefault="004046D2" w:rsidP="00132F2C">
      <w:pPr>
        <w:autoSpaceDE w:val="0"/>
        <w:autoSpaceDN w:val="0"/>
        <w:adjustRightInd w:val="0"/>
        <w:ind w:left="0"/>
        <w:contextualSpacing/>
        <w:jc w:val="both"/>
        <w:rPr>
          <w:rFonts w:ascii="Bookman Old Style" w:hAnsi="Bookman Old Style"/>
          <w:color w:val="000000" w:themeColor="text1"/>
        </w:rPr>
      </w:pP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r w:rsidRPr="00C71723">
        <w:rPr>
          <w:rFonts w:ascii="Bookman Old Style" w:hAnsi="Bookman Old Style"/>
          <w:color w:val="000000" w:themeColor="text1"/>
        </w:rPr>
        <w:t>Si el gestor del mercado de GLP encuentra discrepancias como resultado de la</w:t>
      </w:r>
      <w:r w:rsidR="004046D2" w:rsidRPr="00C71723">
        <w:rPr>
          <w:rFonts w:ascii="Bookman Old Style" w:hAnsi="Bookman Old Style"/>
          <w:color w:val="000000" w:themeColor="text1"/>
        </w:rPr>
        <w:t xml:space="preserve"> verificación</w:t>
      </w:r>
      <w:r w:rsidRPr="00C71723">
        <w:rPr>
          <w:rFonts w:ascii="Bookman Old Style" w:hAnsi="Bookman Old Style"/>
          <w:color w:val="000000" w:themeColor="text1"/>
        </w:rPr>
        <w:t xml:space="preserve"> </w:t>
      </w:r>
      <w:r w:rsidR="004046D2" w:rsidRPr="00C71723">
        <w:rPr>
          <w:rFonts w:ascii="Bookman Old Style" w:hAnsi="Bookman Old Style"/>
          <w:color w:val="000000" w:themeColor="text1"/>
        </w:rPr>
        <w:t>anterior</w:t>
      </w:r>
      <w:r w:rsidRPr="00C71723">
        <w:rPr>
          <w:rFonts w:ascii="Bookman Old Style" w:hAnsi="Bookman Old Style"/>
          <w:color w:val="000000" w:themeColor="text1"/>
        </w:rPr>
        <w:t xml:space="preserve">, el gestor del mercado de GLP deberá informárselo a las partes, dentro de las veinticuatro (24) horas siguientes al recibo de la última de las declaraciones presentadas por las partes de cada contrato, para que ellas rectifiquen las diferencias a más tardar veinticuatro (24) horas después del recibo de la solicitud de verificación. Cuando no sea posible la rectificación dentro de este término el gestor del mercado de GLP deberá abstenerse de registrar el contrato y no podrá tenerlo en cuenta para efectos de publicación. En este caso el gestor del mercado de GLP deberá informar esta situación a las </w:t>
      </w:r>
      <w:r w:rsidRPr="00C71723">
        <w:rPr>
          <w:rFonts w:ascii="Bookman Old Style" w:hAnsi="Bookman Old Style"/>
          <w:color w:val="000000" w:themeColor="text1"/>
        </w:rPr>
        <w:lastRenderedPageBreak/>
        <w:t>partes involucradas y a los órganos responsables de la inspección, vigilancia y control.</w:t>
      </w: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r w:rsidRPr="00C71723">
        <w:rPr>
          <w:rFonts w:ascii="Bookman Old Style" w:hAnsi="Bookman Old Style"/>
          <w:color w:val="000000" w:themeColor="text1"/>
        </w:rPr>
        <w:t>Para efectos de la verificación, el gestor del mercado de GLP podrá contrastar la información declarada por los participantes del mercado con la contenida en los contratos de los que haya solicitado copia.</w:t>
      </w: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C71723" w:rsidRDefault="00132F2C" w:rsidP="002008A8">
      <w:pPr>
        <w:pStyle w:val="Estilo4"/>
        <w:outlineLvl w:val="1"/>
      </w:pPr>
      <w:r w:rsidRPr="00C71723">
        <w:t>Registro de contratos del mercado primario</w:t>
      </w:r>
    </w:p>
    <w:p w:rsidR="00132F2C" w:rsidRPr="00C71723" w:rsidRDefault="00132F2C" w:rsidP="00132F2C">
      <w:pPr>
        <w:autoSpaceDE w:val="0"/>
        <w:autoSpaceDN w:val="0"/>
        <w:adjustRightInd w:val="0"/>
        <w:ind w:left="0"/>
        <w:contextualSpacing/>
        <w:jc w:val="both"/>
        <w:rPr>
          <w:rFonts w:ascii="Bookman Old Style" w:hAnsi="Bookman Old Style" w:cs="Arial"/>
          <w:color w:val="000000" w:themeColor="text1"/>
        </w:rPr>
      </w:pP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r w:rsidRPr="00C71723">
        <w:rPr>
          <w:rFonts w:ascii="Bookman Old Style" w:hAnsi="Bookman Old Style"/>
          <w:color w:val="000000" w:themeColor="text1"/>
        </w:rPr>
        <w:t>El registro de los contratos del mercado primario se iniciará a partir de la fecha en que el gestor del mercado de GLP inicie la prestación de sus servicios.</w:t>
      </w: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r w:rsidRPr="00C71723">
        <w:rPr>
          <w:rFonts w:ascii="Bookman Old Style" w:hAnsi="Bookman Old Style"/>
          <w:color w:val="000000" w:themeColor="text1"/>
        </w:rPr>
        <w:t xml:space="preserve">El gestor del mercado de GLP registrará cada contrato </w:t>
      </w:r>
      <w:r w:rsidR="00FC69B0" w:rsidRPr="00C71723">
        <w:rPr>
          <w:rFonts w:ascii="Bookman Old Style" w:hAnsi="Bookman Old Style"/>
          <w:color w:val="000000" w:themeColor="text1"/>
        </w:rPr>
        <w:t xml:space="preserve">resultante de los mecanismos de comercialización </w:t>
      </w:r>
      <w:r w:rsidRPr="00C71723">
        <w:rPr>
          <w:rFonts w:ascii="Bookman Old Style" w:hAnsi="Bookman Old Style"/>
          <w:color w:val="000000" w:themeColor="text1"/>
        </w:rPr>
        <w:t>del mercado primario una vez haya verificado que la información declarada por el comprador es consistente con la información declarada por el vendedor, según lo señalado en el numeral 1.1 de este anexo. El gestor del mercado de GLP asignará un número de registro a cada contrato registrado.</w:t>
      </w:r>
    </w:p>
    <w:p w:rsidR="00132F2C" w:rsidRPr="00C71723" w:rsidRDefault="00132F2C" w:rsidP="00132F2C">
      <w:pPr>
        <w:autoSpaceDE w:val="0"/>
        <w:autoSpaceDN w:val="0"/>
        <w:adjustRightInd w:val="0"/>
        <w:ind w:left="0"/>
        <w:contextualSpacing/>
        <w:jc w:val="both"/>
        <w:rPr>
          <w:rFonts w:ascii="Bookman Old Style" w:hAnsi="Bookman Old Style" w:cs="Arial"/>
          <w:color w:val="000000" w:themeColor="text1"/>
        </w:rPr>
      </w:pP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r w:rsidRPr="00C71723">
        <w:rPr>
          <w:rFonts w:ascii="Bookman Old Style" w:hAnsi="Bookman Old Style"/>
          <w:color w:val="000000" w:themeColor="text1"/>
        </w:rPr>
        <w:t xml:space="preserve">Para el caso de los contratos que se suscriban con posterioridad a la fecha mencionada en el presente numeral, la declaración de la información señalada en </w:t>
      </w:r>
      <w:r w:rsidRPr="00C71723">
        <w:rPr>
          <w:rFonts w:ascii="Bookman Old Style" w:hAnsi="Bookman Old Style" w:cs="Arial"/>
          <w:color w:val="000000" w:themeColor="text1"/>
        </w:rPr>
        <w:t>e</w:t>
      </w:r>
      <w:r w:rsidRPr="00C71723">
        <w:rPr>
          <w:rFonts w:ascii="Bookman Old Style" w:hAnsi="Bookman Old Style"/>
          <w:color w:val="000000" w:themeColor="text1"/>
        </w:rPr>
        <w:t xml:space="preserve">l </w:t>
      </w:r>
      <w:r w:rsidRPr="00C71723">
        <w:rPr>
          <w:rFonts w:ascii="Bookman Old Style" w:hAnsi="Bookman Old Style" w:cs="Arial"/>
          <w:color w:val="000000" w:themeColor="text1"/>
        </w:rPr>
        <w:t xml:space="preserve">numeral 1.1 de este anexo </w:t>
      </w:r>
      <w:r w:rsidRPr="00C71723">
        <w:rPr>
          <w:rFonts w:ascii="Bookman Old Style" w:hAnsi="Bookman Old Style"/>
          <w:color w:val="000000" w:themeColor="text1"/>
        </w:rPr>
        <w:t>se deberá realizar dentro de los cinco (5) días hábiles siguientes a la suscripción del contrato. El gestor del mercado de GLP dispondrá de hasta cinco (5) días hábiles, contados a partir del recibo de la última de las declaraciones presentadas por las partes de cada contrato, para verificar la información, registrar el contrato cuando proceda y actualizar la lista de contratos registrados.</w:t>
      </w:r>
    </w:p>
    <w:p w:rsidR="00132F2C" w:rsidRPr="00C71723" w:rsidRDefault="00132F2C" w:rsidP="00132F2C">
      <w:pPr>
        <w:autoSpaceDE w:val="0"/>
        <w:autoSpaceDN w:val="0"/>
        <w:adjustRightInd w:val="0"/>
        <w:ind w:left="0"/>
        <w:contextualSpacing/>
        <w:jc w:val="both"/>
        <w:rPr>
          <w:rFonts w:ascii="Bookman Old Style" w:hAnsi="Bookman Old Style" w:cs="Arial"/>
          <w:color w:val="000000" w:themeColor="text1"/>
        </w:rPr>
      </w:pPr>
    </w:p>
    <w:p w:rsidR="00C71723" w:rsidRPr="00C71723" w:rsidRDefault="00132F2C" w:rsidP="00132F2C">
      <w:pPr>
        <w:autoSpaceDE w:val="0"/>
        <w:autoSpaceDN w:val="0"/>
        <w:adjustRightInd w:val="0"/>
        <w:ind w:left="0"/>
        <w:contextualSpacing/>
        <w:jc w:val="both"/>
        <w:rPr>
          <w:rFonts w:ascii="Bookman Old Style" w:hAnsi="Bookman Old Style"/>
          <w:color w:val="000000" w:themeColor="text1"/>
        </w:rPr>
      </w:pPr>
      <w:r w:rsidRPr="00C71723">
        <w:rPr>
          <w:rFonts w:ascii="Bookman Old Style" w:hAnsi="Bookman Old Style"/>
          <w:color w:val="000000" w:themeColor="text1"/>
        </w:rPr>
        <w:t xml:space="preserve">Para el caso de los contratos suscritos con anterioridad a la fecha mencionada en el presente numeral, la declaración de la información señalada en </w:t>
      </w:r>
      <w:r w:rsidRPr="00C71723">
        <w:rPr>
          <w:rFonts w:ascii="Bookman Old Style" w:hAnsi="Bookman Old Style" w:cs="Arial"/>
          <w:color w:val="000000" w:themeColor="text1"/>
        </w:rPr>
        <w:t>e</w:t>
      </w:r>
      <w:r w:rsidRPr="00C71723">
        <w:rPr>
          <w:rFonts w:ascii="Bookman Old Style" w:hAnsi="Bookman Old Style"/>
          <w:color w:val="000000" w:themeColor="text1"/>
        </w:rPr>
        <w:t xml:space="preserve">l </w:t>
      </w:r>
      <w:r w:rsidRPr="00C71723">
        <w:rPr>
          <w:rFonts w:ascii="Bookman Old Style" w:hAnsi="Bookman Old Style" w:cs="Arial"/>
          <w:color w:val="000000" w:themeColor="text1"/>
        </w:rPr>
        <w:t>numeral 1.1 de este anexo</w:t>
      </w:r>
      <w:r w:rsidRPr="00C71723">
        <w:rPr>
          <w:rFonts w:ascii="Bookman Old Style" w:hAnsi="Bookman Old Style"/>
          <w:color w:val="000000" w:themeColor="text1"/>
        </w:rPr>
        <w:t xml:space="preserve"> se deberá realizar dentro de los quince (15) días siguientes a dicha fecha. El gestor del mercado de GLP d</w:t>
      </w:r>
      <w:r w:rsidR="00FB0E3F" w:rsidRPr="00C71723">
        <w:rPr>
          <w:rFonts w:ascii="Bookman Old Style" w:hAnsi="Bookman Old Style"/>
          <w:color w:val="000000" w:themeColor="text1"/>
        </w:rPr>
        <w:t>ispondrá de un (1) mes, contado</w:t>
      </w:r>
      <w:r w:rsidRPr="00C71723">
        <w:rPr>
          <w:rFonts w:ascii="Bookman Old Style" w:hAnsi="Bookman Old Style"/>
          <w:color w:val="000000" w:themeColor="text1"/>
        </w:rPr>
        <w:t xml:space="preserve"> a partir de la fecha establecida en este literal para verificar la información recibida oportunamente, registrar los contratos cuando proceda y actualizar la lista de contratos registrados.</w:t>
      </w:r>
    </w:p>
    <w:p w:rsidR="00C71723" w:rsidRPr="00C71723" w:rsidRDefault="00C71723" w:rsidP="00132F2C">
      <w:pPr>
        <w:autoSpaceDE w:val="0"/>
        <w:autoSpaceDN w:val="0"/>
        <w:adjustRightInd w:val="0"/>
        <w:ind w:left="0"/>
        <w:contextualSpacing/>
        <w:jc w:val="both"/>
        <w:rPr>
          <w:rFonts w:ascii="Bookman Old Style" w:hAnsi="Bookman Old Style"/>
          <w:color w:val="000000" w:themeColor="text1"/>
        </w:rPr>
      </w:pP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r w:rsidRPr="00C71723">
        <w:rPr>
          <w:rFonts w:ascii="Bookman Old Style" w:hAnsi="Bookman Old Style"/>
          <w:color w:val="000000" w:themeColor="text1"/>
        </w:rPr>
        <w:t>Una vez trascurrido el mes aquí señalado</w:t>
      </w:r>
      <w:r w:rsidR="00C71723" w:rsidRPr="00C71723">
        <w:rPr>
          <w:rFonts w:ascii="Bookman Old Style" w:hAnsi="Bookman Old Style"/>
          <w:color w:val="000000" w:themeColor="text1"/>
        </w:rPr>
        <w:t>,</w:t>
      </w:r>
      <w:r w:rsidRPr="00C71723">
        <w:rPr>
          <w:rFonts w:ascii="Bookman Old Style" w:hAnsi="Bookman Old Style"/>
          <w:color w:val="000000" w:themeColor="text1"/>
        </w:rPr>
        <w:t xml:space="preserve"> </w:t>
      </w:r>
      <w:r w:rsidR="00C71723" w:rsidRPr="00C71723">
        <w:rPr>
          <w:rFonts w:ascii="Bookman Old Style" w:hAnsi="Bookman Old Style"/>
          <w:color w:val="000000" w:themeColor="text1"/>
        </w:rPr>
        <w:t xml:space="preserve">los agentes </w:t>
      </w:r>
      <w:r w:rsidRPr="00C71723">
        <w:rPr>
          <w:rFonts w:ascii="Bookman Old Style" w:hAnsi="Bookman Old Style"/>
          <w:color w:val="000000" w:themeColor="text1"/>
        </w:rPr>
        <w:t>no podrá</w:t>
      </w:r>
      <w:r w:rsidR="00C71723" w:rsidRPr="00C71723">
        <w:rPr>
          <w:rFonts w:ascii="Bookman Old Style" w:hAnsi="Bookman Old Style"/>
          <w:color w:val="000000" w:themeColor="text1"/>
        </w:rPr>
        <w:t>n</w:t>
      </w:r>
      <w:r w:rsidRPr="00C71723">
        <w:rPr>
          <w:rFonts w:ascii="Bookman Old Style" w:hAnsi="Bookman Old Style"/>
          <w:color w:val="000000" w:themeColor="text1"/>
        </w:rPr>
        <w:t xml:space="preserve"> aceptar nominaciones</w:t>
      </w:r>
      <w:r w:rsidR="00C71723" w:rsidRPr="00C71723">
        <w:rPr>
          <w:rFonts w:ascii="Bookman Old Style" w:hAnsi="Bookman Old Style"/>
          <w:color w:val="000000" w:themeColor="text1"/>
        </w:rPr>
        <w:t>,</w:t>
      </w:r>
      <w:r w:rsidRPr="00C71723">
        <w:rPr>
          <w:rFonts w:ascii="Bookman Old Style" w:hAnsi="Bookman Old Style"/>
          <w:color w:val="000000" w:themeColor="text1"/>
        </w:rPr>
        <w:t xml:space="preserve"> ni realizar entregas de GLP</w:t>
      </w:r>
      <w:r w:rsidR="00C71723" w:rsidRPr="00C71723">
        <w:rPr>
          <w:rFonts w:ascii="Bookman Old Style" w:hAnsi="Bookman Old Style"/>
          <w:color w:val="000000" w:themeColor="text1"/>
        </w:rPr>
        <w:t>,</w:t>
      </w:r>
      <w:r w:rsidRPr="00C71723">
        <w:rPr>
          <w:rFonts w:ascii="Bookman Old Style" w:hAnsi="Bookman Old Style"/>
          <w:color w:val="000000" w:themeColor="text1"/>
        </w:rPr>
        <w:t xml:space="preserve"> correspondientes a los contratos vigentes que no estén debidamente registrados.</w:t>
      </w:r>
    </w:p>
    <w:p w:rsidR="00132F2C" w:rsidRPr="00C71723"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C71723">
        <w:rPr>
          <w:rFonts w:ascii="Bookman Old Style" w:hAnsi="Bookman Old Style"/>
          <w:color w:val="000000" w:themeColor="text1"/>
        </w:rPr>
        <w:t>Para facilitar el cumplimiento de esta medida, a través del SIMM, el gestor del mercado de GLP pondrá a disposición de los participantes del mercado mayorista, que ya hayan efectuado su proceso de registro, la lista de sus contratos debidamente registrados.</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2008A8">
      <w:pPr>
        <w:pStyle w:val="Estilo4"/>
        <w:outlineLvl w:val="1"/>
      </w:pPr>
      <w:r w:rsidRPr="00DC07FC">
        <w:t>Publicación</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4D4852" w:rsidRPr="00DC07FC" w:rsidRDefault="004D4852" w:rsidP="00901EFF">
      <w:pPr>
        <w:pStyle w:val="Estilo4"/>
        <w:numPr>
          <w:ilvl w:val="2"/>
          <w:numId w:val="55"/>
        </w:numPr>
        <w:rPr>
          <w:rFonts w:cs="Arial"/>
        </w:rPr>
      </w:pPr>
      <w:r w:rsidRPr="00DC07FC">
        <w:rPr>
          <w:rFonts w:cs="Arial"/>
          <w:lang w:val="es-CO"/>
        </w:rPr>
        <w:t>Información previa a la celebración de contratos de suministro de GLP</w:t>
      </w:r>
      <w:r w:rsidR="00927DDC" w:rsidRPr="00DC07FC">
        <w:rPr>
          <w:rFonts w:cs="Arial"/>
          <w:lang w:val="es-CO"/>
        </w:rPr>
        <w:t xml:space="preserve"> en el mercado primario</w:t>
      </w:r>
      <w:r w:rsidR="007514D6">
        <w:rPr>
          <w:rFonts w:cs="Arial"/>
          <w:lang w:val="es-CO"/>
        </w:rPr>
        <w:t>.</w:t>
      </w:r>
    </w:p>
    <w:p w:rsidR="004D4852" w:rsidRPr="00DC07FC" w:rsidRDefault="004D4852" w:rsidP="00AB5801">
      <w:pPr>
        <w:ind w:left="0"/>
        <w:jc w:val="both"/>
        <w:rPr>
          <w:rFonts w:ascii="Bookman Old Style" w:hAnsi="Bookman Old Style" w:cs="Arial"/>
        </w:rPr>
      </w:pPr>
    </w:p>
    <w:p w:rsidR="007514D6" w:rsidRDefault="007514D6" w:rsidP="00AB5801">
      <w:pPr>
        <w:ind w:left="0"/>
        <w:jc w:val="both"/>
        <w:rPr>
          <w:rFonts w:ascii="Bookman Old Style" w:hAnsi="Bookman Old Style" w:cs="Arial"/>
        </w:rPr>
      </w:pPr>
    </w:p>
    <w:p w:rsidR="00AB5801" w:rsidRPr="004C58E5" w:rsidRDefault="00AB5801" w:rsidP="00AB5801">
      <w:pPr>
        <w:ind w:left="0"/>
        <w:jc w:val="both"/>
        <w:rPr>
          <w:rFonts w:ascii="Bookman Old Style" w:hAnsi="Bookman Old Style" w:cs="Arial"/>
          <w:color w:val="000000" w:themeColor="text1"/>
        </w:rPr>
      </w:pPr>
      <w:r w:rsidRPr="00DC07FC">
        <w:rPr>
          <w:rFonts w:ascii="Bookman Old Style" w:hAnsi="Bookman Old Style" w:cs="Arial"/>
        </w:rPr>
        <w:t>Previo a la celebración de los contratos de suministro de GLP que resulten de los mecanismos de comercializac</w:t>
      </w:r>
      <w:r w:rsidRPr="004C58E5">
        <w:rPr>
          <w:rFonts w:ascii="Bookman Old Style" w:hAnsi="Bookman Old Style" w:cs="Arial"/>
        </w:rPr>
        <w:t>ión del mercado primario</w:t>
      </w:r>
      <w:r w:rsidR="004C58E5" w:rsidRPr="004C58E5">
        <w:rPr>
          <w:rFonts w:ascii="Bookman Old Style" w:hAnsi="Bookman Old Style" w:cs="Arial"/>
        </w:rPr>
        <w:t>,</w:t>
      </w:r>
      <w:r w:rsidRPr="004C58E5">
        <w:rPr>
          <w:rFonts w:ascii="Bookman Old Style" w:hAnsi="Bookman Old Style" w:cs="Arial"/>
        </w:rPr>
        <w:t xml:space="preserve"> diferentes a la subasta, el gestor del mercado de GLP publicará la siguiente información en el SIMM:</w:t>
      </w:r>
    </w:p>
    <w:p w:rsidR="00AB5801" w:rsidRPr="004C58E5" w:rsidRDefault="00AB5801" w:rsidP="00AB5801">
      <w:pPr>
        <w:ind w:left="0"/>
        <w:rPr>
          <w:rFonts w:ascii="Bookman Old Style" w:hAnsi="Bookman Old Style" w:cs="Arial"/>
          <w:color w:val="000000" w:themeColor="text1"/>
        </w:rPr>
      </w:pPr>
    </w:p>
    <w:p w:rsidR="00AB5801" w:rsidRPr="004C58E5" w:rsidRDefault="00AB5801" w:rsidP="00211441">
      <w:pPr>
        <w:pStyle w:val="Prrafodelista"/>
        <w:numPr>
          <w:ilvl w:val="0"/>
          <w:numId w:val="58"/>
        </w:numPr>
        <w:ind w:left="567" w:hanging="567"/>
        <w:contextualSpacing/>
        <w:jc w:val="both"/>
        <w:rPr>
          <w:rFonts w:ascii="Bookman Old Style" w:hAnsi="Bookman Old Style" w:cs="Arial"/>
          <w:color w:val="000000" w:themeColor="text1"/>
          <w:sz w:val="24"/>
          <w:szCs w:val="24"/>
          <w:lang w:val="es-ES"/>
        </w:rPr>
      </w:pPr>
      <w:r w:rsidRPr="004C58E5">
        <w:rPr>
          <w:rFonts w:ascii="Bookman Old Style" w:hAnsi="Bookman Old Style" w:cs="Arial"/>
          <w:color w:val="000000" w:themeColor="text1"/>
          <w:sz w:val="24"/>
          <w:szCs w:val="24"/>
          <w:lang w:val="es-ES"/>
        </w:rPr>
        <w:t>La cantidad</w:t>
      </w:r>
      <w:r w:rsidR="004C58E5" w:rsidRPr="004C58E5">
        <w:rPr>
          <w:rFonts w:ascii="Bookman Old Style" w:hAnsi="Bookman Old Style" w:cs="Arial"/>
          <w:color w:val="000000" w:themeColor="text1"/>
          <w:sz w:val="24"/>
          <w:szCs w:val="24"/>
          <w:lang w:val="es-ES"/>
        </w:rPr>
        <w:t>, puntos de entrega</w:t>
      </w:r>
      <w:r w:rsidRPr="004C58E5">
        <w:rPr>
          <w:rFonts w:ascii="Bookman Old Style" w:hAnsi="Bookman Old Style" w:cs="Arial"/>
          <w:color w:val="000000" w:themeColor="text1"/>
          <w:sz w:val="24"/>
          <w:szCs w:val="24"/>
          <w:lang w:val="es-ES"/>
        </w:rPr>
        <w:t xml:space="preserve"> y plazo bajo los cuales se ofrecerá el GLP importado, por cada comercializador mayorista que actúe como vendedor en el mercado primario.</w:t>
      </w:r>
    </w:p>
    <w:p w:rsidR="00AB5801" w:rsidRPr="004C58E5" w:rsidRDefault="00AB5801" w:rsidP="00211441">
      <w:pPr>
        <w:ind w:hanging="567"/>
        <w:rPr>
          <w:rFonts w:ascii="Bookman Old Style" w:hAnsi="Bookman Old Style" w:cs="Arial"/>
          <w:color w:val="000000" w:themeColor="text1"/>
        </w:rPr>
      </w:pPr>
    </w:p>
    <w:p w:rsidR="00AB5801" w:rsidRPr="004C58E5" w:rsidRDefault="00AB5801" w:rsidP="00211441">
      <w:pPr>
        <w:pStyle w:val="Prrafodelista"/>
        <w:numPr>
          <w:ilvl w:val="0"/>
          <w:numId w:val="58"/>
        </w:numPr>
        <w:ind w:left="567" w:hanging="567"/>
        <w:contextualSpacing/>
        <w:jc w:val="both"/>
        <w:rPr>
          <w:rFonts w:ascii="Bookman Old Style" w:hAnsi="Bookman Old Style" w:cs="Arial"/>
          <w:color w:val="000000" w:themeColor="text1"/>
          <w:sz w:val="24"/>
          <w:szCs w:val="24"/>
          <w:lang w:val="es-ES"/>
        </w:rPr>
      </w:pPr>
      <w:r w:rsidRPr="004C58E5">
        <w:rPr>
          <w:rFonts w:ascii="Bookman Old Style" w:hAnsi="Bookman Old Style" w:cs="Arial"/>
          <w:color w:val="000000" w:themeColor="text1"/>
          <w:sz w:val="24"/>
          <w:szCs w:val="24"/>
          <w:lang w:val="es-ES"/>
        </w:rPr>
        <w:t>La cantidad</w:t>
      </w:r>
      <w:r w:rsidR="004C58E5" w:rsidRPr="004C58E5">
        <w:rPr>
          <w:rFonts w:ascii="Bookman Old Style" w:hAnsi="Bookman Old Style" w:cs="Arial"/>
          <w:color w:val="000000" w:themeColor="text1"/>
          <w:sz w:val="24"/>
          <w:szCs w:val="24"/>
          <w:lang w:val="es-ES"/>
        </w:rPr>
        <w:t>, puntos de entr</w:t>
      </w:r>
      <w:r w:rsidR="004C58E5">
        <w:rPr>
          <w:rFonts w:ascii="Bookman Old Style" w:hAnsi="Bookman Old Style" w:cs="Arial"/>
          <w:color w:val="000000" w:themeColor="text1"/>
          <w:sz w:val="24"/>
          <w:szCs w:val="24"/>
          <w:lang w:val="es-ES"/>
        </w:rPr>
        <w:t>e</w:t>
      </w:r>
      <w:r w:rsidR="004C58E5" w:rsidRPr="004C58E5">
        <w:rPr>
          <w:rFonts w:ascii="Bookman Old Style" w:hAnsi="Bookman Old Style" w:cs="Arial"/>
          <w:color w:val="000000" w:themeColor="text1"/>
          <w:sz w:val="24"/>
          <w:szCs w:val="24"/>
          <w:lang w:val="es-ES"/>
        </w:rPr>
        <w:t>ga</w:t>
      </w:r>
      <w:r w:rsidRPr="004C58E5">
        <w:rPr>
          <w:rFonts w:ascii="Bookman Old Style" w:hAnsi="Bookman Old Style" w:cs="Arial"/>
          <w:color w:val="000000" w:themeColor="text1"/>
          <w:sz w:val="24"/>
          <w:szCs w:val="24"/>
          <w:lang w:val="es-ES"/>
        </w:rPr>
        <w:t xml:space="preserve"> y plazo bajo los cuales se ofrecerá el GLP proveniente de proyectos para el desarrollo de nueva oferta, por cada comercializador mayorista que actúe como vendedor en el mercado primario.</w:t>
      </w:r>
    </w:p>
    <w:p w:rsidR="00E6177F" w:rsidRPr="004C58E5" w:rsidRDefault="00E6177F" w:rsidP="00E6177F">
      <w:pPr>
        <w:pStyle w:val="Prrafodelista"/>
        <w:rPr>
          <w:rFonts w:ascii="Bookman Old Style" w:hAnsi="Bookman Old Style" w:cs="Arial"/>
          <w:color w:val="000000" w:themeColor="text1"/>
          <w:sz w:val="24"/>
          <w:szCs w:val="24"/>
          <w:lang w:val="es-ES"/>
        </w:rPr>
      </w:pPr>
    </w:p>
    <w:p w:rsidR="00E6177F" w:rsidRPr="004C58E5" w:rsidRDefault="00E6177F" w:rsidP="00E6177F">
      <w:pPr>
        <w:pStyle w:val="Prrafodelista"/>
        <w:numPr>
          <w:ilvl w:val="0"/>
          <w:numId w:val="58"/>
        </w:numPr>
        <w:ind w:left="567" w:hanging="567"/>
        <w:contextualSpacing/>
        <w:jc w:val="both"/>
        <w:rPr>
          <w:rFonts w:ascii="Bookman Old Style" w:hAnsi="Bookman Old Style" w:cs="Arial"/>
          <w:color w:val="000000" w:themeColor="text1"/>
          <w:sz w:val="24"/>
          <w:szCs w:val="24"/>
          <w:lang w:val="es-ES"/>
        </w:rPr>
      </w:pPr>
      <w:r w:rsidRPr="004C58E5">
        <w:rPr>
          <w:rFonts w:ascii="Bookman Old Style" w:hAnsi="Bookman Old Style" w:cs="Arial"/>
          <w:color w:val="000000" w:themeColor="text1"/>
          <w:sz w:val="24"/>
          <w:szCs w:val="24"/>
          <w:lang w:val="es-ES"/>
        </w:rPr>
        <w:t>La cantidad</w:t>
      </w:r>
      <w:r w:rsidR="004C58E5" w:rsidRPr="004C58E5">
        <w:rPr>
          <w:rFonts w:ascii="Bookman Old Style" w:hAnsi="Bookman Old Style" w:cs="Arial"/>
          <w:color w:val="000000" w:themeColor="text1"/>
          <w:sz w:val="24"/>
          <w:szCs w:val="24"/>
          <w:lang w:val="es-ES"/>
        </w:rPr>
        <w:t>, puntos de entrega</w:t>
      </w:r>
      <w:r w:rsidRPr="004C58E5">
        <w:rPr>
          <w:rFonts w:ascii="Bookman Old Style" w:hAnsi="Bookman Old Style" w:cs="Arial"/>
          <w:color w:val="000000" w:themeColor="text1"/>
          <w:sz w:val="24"/>
          <w:szCs w:val="24"/>
          <w:lang w:val="es-ES"/>
        </w:rPr>
        <w:t xml:space="preserve"> y plazo bajo los cuales </w:t>
      </w:r>
      <w:r w:rsidR="004C58E5" w:rsidRPr="004C58E5">
        <w:rPr>
          <w:rFonts w:ascii="Bookman Old Style" w:hAnsi="Bookman Old Style" w:cs="Arial"/>
          <w:color w:val="000000" w:themeColor="text1"/>
          <w:sz w:val="24"/>
          <w:szCs w:val="24"/>
          <w:lang w:val="es-ES"/>
        </w:rPr>
        <w:t xml:space="preserve">estará disponible el </w:t>
      </w:r>
      <w:r w:rsidRPr="004C58E5">
        <w:rPr>
          <w:rFonts w:ascii="Bookman Old Style" w:hAnsi="Bookman Old Style" w:cs="Arial"/>
          <w:color w:val="000000" w:themeColor="text1"/>
          <w:sz w:val="24"/>
          <w:szCs w:val="24"/>
          <w:lang w:val="es-ES"/>
        </w:rPr>
        <w:t xml:space="preserve">GLP </w:t>
      </w:r>
      <w:r w:rsidR="004C58E5" w:rsidRPr="004C58E5">
        <w:rPr>
          <w:rFonts w:ascii="Bookman Old Style" w:hAnsi="Bookman Old Style" w:cs="Arial"/>
          <w:color w:val="000000" w:themeColor="text1"/>
          <w:sz w:val="24"/>
          <w:szCs w:val="24"/>
          <w:lang w:val="es-ES"/>
        </w:rPr>
        <w:t xml:space="preserve">al que le aplique el </w:t>
      </w:r>
      <w:r w:rsidRPr="004C58E5">
        <w:rPr>
          <w:rFonts w:ascii="Bookman Old Style" w:hAnsi="Bookman Old Style" w:cs="Arial"/>
          <w:color w:val="000000" w:themeColor="text1"/>
          <w:sz w:val="24"/>
          <w:szCs w:val="24"/>
          <w:lang w:val="es-ES"/>
        </w:rPr>
        <w:t>mecanismo de asignación administrada, por cada comercializador mayorista que actúe como vendedor en el mercado primario.</w:t>
      </w:r>
    </w:p>
    <w:p w:rsidR="00E6177F" w:rsidRPr="00DC07FC" w:rsidRDefault="00E6177F" w:rsidP="00132F2C">
      <w:pPr>
        <w:autoSpaceDE w:val="0"/>
        <w:autoSpaceDN w:val="0"/>
        <w:adjustRightInd w:val="0"/>
        <w:ind w:left="0"/>
        <w:contextualSpacing/>
        <w:jc w:val="both"/>
        <w:rPr>
          <w:rFonts w:ascii="Bookman Old Style" w:hAnsi="Bookman Old Style"/>
          <w:color w:val="000000" w:themeColor="text1"/>
        </w:rPr>
      </w:pPr>
    </w:p>
    <w:p w:rsidR="004D4852" w:rsidRPr="00DC07FC" w:rsidRDefault="007A536C" w:rsidP="00901EFF">
      <w:pPr>
        <w:pStyle w:val="Estilo4"/>
        <w:numPr>
          <w:ilvl w:val="2"/>
          <w:numId w:val="55"/>
        </w:numPr>
        <w:rPr>
          <w:rFonts w:cs="Arial"/>
          <w:lang w:val="es-CO"/>
        </w:rPr>
      </w:pPr>
      <w:r w:rsidRPr="00DC07FC">
        <w:rPr>
          <w:rFonts w:cs="Arial"/>
          <w:lang w:val="es-CO"/>
        </w:rPr>
        <w:t>Información de</w:t>
      </w:r>
      <w:r w:rsidR="004D4852" w:rsidRPr="00DC07FC">
        <w:rPr>
          <w:rFonts w:cs="Arial"/>
          <w:lang w:val="es-CO"/>
        </w:rPr>
        <w:t xml:space="preserve"> contratos de suministro de GLP</w:t>
      </w:r>
      <w:r w:rsidRPr="00DC07FC">
        <w:rPr>
          <w:rFonts w:cs="Arial"/>
          <w:lang w:val="es-CO"/>
        </w:rPr>
        <w:t xml:space="preserve"> en el mercado primario</w:t>
      </w:r>
    </w:p>
    <w:p w:rsidR="004D4852" w:rsidRPr="00E6177F" w:rsidRDefault="004D4852" w:rsidP="00132F2C">
      <w:pPr>
        <w:autoSpaceDE w:val="0"/>
        <w:autoSpaceDN w:val="0"/>
        <w:adjustRightInd w:val="0"/>
        <w:ind w:left="0"/>
        <w:contextualSpacing/>
        <w:jc w:val="both"/>
        <w:rPr>
          <w:rFonts w:ascii="Bookman Old Style" w:hAnsi="Bookman Old Style"/>
          <w:color w:val="000000" w:themeColor="text1"/>
          <w:lang w:val="es-CO"/>
        </w:rPr>
      </w:pPr>
    </w:p>
    <w:p w:rsidR="00132F2C" w:rsidRPr="00534D5E" w:rsidRDefault="00AB5801" w:rsidP="00132F2C">
      <w:pPr>
        <w:autoSpaceDE w:val="0"/>
        <w:autoSpaceDN w:val="0"/>
        <w:adjustRightInd w:val="0"/>
        <w:ind w:left="0"/>
        <w:contextualSpacing/>
        <w:jc w:val="both"/>
        <w:rPr>
          <w:rFonts w:ascii="Bookman Old Style" w:hAnsi="Bookman Old Style"/>
          <w:color w:val="000000" w:themeColor="text1"/>
        </w:rPr>
      </w:pPr>
      <w:r w:rsidRPr="00534D5E">
        <w:rPr>
          <w:rFonts w:ascii="Bookman Old Style" w:hAnsi="Bookman Old Style"/>
          <w:color w:val="000000" w:themeColor="text1"/>
        </w:rPr>
        <w:t>Cada vez que se celebren contratos de suministro de GLP, e</w:t>
      </w:r>
      <w:r w:rsidR="00132F2C" w:rsidRPr="00534D5E">
        <w:rPr>
          <w:rFonts w:ascii="Bookman Old Style" w:hAnsi="Bookman Old Style"/>
          <w:color w:val="000000" w:themeColor="text1"/>
        </w:rPr>
        <w:t>l gestor del mercado de GLP publicará la siguiente información en el SIMM:</w:t>
      </w:r>
    </w:p>
    <w:p w:rsidR="00132F2C" w:rsidRPr="00534D5E"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534D5E" w:rsidRDefault="00132F2C" w:rsidP="00211441">
      <w:pPr>
        <w:pStyle w:val="Prrafodelista"/>
        <w:numPr>
          <w:ilvl w:val="0"/>
          <w:numId w:val="72"/>
        </w:numPr>
        <w:ind w:left="567" w:hanging="567"/>
        <w:contextualSpacing/>
        <w:jc w:val="both"/>
        <w:rPr>
          <w:rFonts w:ascii="Bookman Old Style" w:hAnsi="Bookman Old Style" w:cs="Arial"/>
          <w:color w:val="000000" w:themeColor="text1"/>
          <w:sz w:val="24"/>
          <w:szCs w:val="24"/>
          <w:lang w:val="es-ES"/>
        </w:rPr>
      </w:pPr>
      <w:r w:rsidRPr="00534D5E">
        <w:rPr>
          <w:rFonts w:ascii="Bookman Old Style" w:hAnsi="Bookman Old Style" w:cs="Arial"/>
          <w:color w:val="000000" w:themeColor="text1"/>
          <w:sz w:val="24"/>
          <w:szCs w:val="24"/>
          <w:lang w:val="es-ES"/>
        </w:rPr>
        <w:t>La cantidad total de GLP negociada, para cada punto de entrega, en los contratos de suministro del mercado primario de acuerdo con el Título II de esta resolución.</w:t>
      </w:r>
    </w:p>
    <w:p w:rsidR="00132F2C" w:rsidRPr="00534D5E" w:rsidRDefault="00132F2C" w:rsidP="00211441">
      <w:pPr>
        <w:ind w:hanging="567"/>
        <w:contextualSpacing/>
        <w:jc w:val="both"/>
        <w:rPr>
          <w:rFonts w:ascii="Bookman Old Style" w:hAnsi="Bookman Old Style" w:cs="Arial"/>
          <w:color w:val="000000" w:themeColor="text1"/>
        </w:rPr>
      </w:pPr>
    </w:p>
    <w:p w:rsidR="00132F2C" w:rsidRPr="00534D5E" w:rsidRDefault="00132F2C" w:rsidP="00211441">
      <w:pPr>
        <w:pStyle w:val="Prrafodelista"/>
        <w:numPr>
          <w:ilvl w:val="0"/>
          <w:numId w:val="72"/>
        </w:numPr>
        <w:ind w:left="567" w:hanging="567"/>
        <w:contextualSpacing/>
        <w:jc w:val="both"/>
        <w:rPr>
          <w:rFonts w:ascii="Bookman Old Style" w:hAnsi="Bookman Old Style" w:cs="Arial"/>
          <w:color w:val="000000" w:themeColor="text1"/>
          <w:sz w:val="24"/>
          <w:szCs w:val="24"/>
          <w:lang w:val="es-ES"/>
        </w:rPr>
      </w:pPr>
      <w:r w:rsidRPr="00534D5E">
        <w:rPr>
          <w:rFonts w:ascii="Bookman Old Style" w:hAnsi="Bookman Old Style" w:cs="Arial"/>
          <w:color w:val="000000" w:themeColor="text1"/>
          <w:sz w:val="24"/>
          <w:szCs w:val="24"/>
          <w:lang w:val="es-ES"/>
        </w:rPr>
        <w:t>El precio del GLP en cada punto de entrega del comercializador mayorista.</w:t>
      </w:r>
    </w:p>
    <w:p w:rsidR="00132F2C" w:rsidRPr="00DC07FC" w:rsidRDefault="00132F2C" w:rsidP="00211441">
      <w:pPr>
        <w:ind w:hanging="567"/>
        <w:contextualSpacing/>
        <w:jc w:val="both"/>
        <w:rPr>
          <w:rFonts w:ascii="Bookman Old Style" w:hAnsi="Bookman Old Style" w:cs="Arial"/>
          <w:color w:val="000000" w:themeColor="text1"/>
        </w:rPr>
      </w:pPr>
    </w:p>
    <w:p w:rsidR="00132F2C" w:rsidRPr="00DC07FC" w:rsidRDefault="00132F2C" w:rsidP="00211441">
      <w:pPr>
        <w:pStyle w:val="Prrafodelista"/>
        <w:numPr>
          <w:ilvl w:val="0"/>
          <w:numId w:val="72"/>
        </w:numPr>
        <w:ind w:left="567" w:hanging="567"/>
        <w:contextualSpacing/>
        <w:jc w:val="both"/>
        <w:rPr>
          <w:rFonts w:ascii="Bookman Old Style" w:hAnsi="Bookman Old Style" w:cs="Arial"/>
          <w:color w:val="000000" w:themeColor="text1"/>
          <w:sz w:val="24"/>
          <w:szCs w:val="24"/>
          <w:lang w:val="es-ES"/>
        </w:rPr>
      </w:pPr>
      <w:r w:rsidRPr="00DC07FC">
        <w:rPr>
          <w:rFonts w:ascii="Bookman Old Style" w:hAnsi="Bookman Old Style" w:cs="Arial"/>
          <w:color w:val="000000" w:themeColor="text1"/>
          <w:sz w:val="24"/>
          <w:szCs w:val="24"/>
          <w:lang w:val="es-ES"/>
        </w:rPr>
        <w:t>El precio promedio nacional, calculado como el promedio, ponderado por cantidades, de los precios a que se refiere el numeral anterior.</w:t>
      </w:r>
    </w:p>
    <w:p w:rsidR="00132F2C" w:rsidRPr="00DC07FC" w:rsidRDefault="00132F2C" w:rsidP="00132F2C">
      <w:pPr>
        <w:pStyle w:val="ARTICULOS"/>
        <w:rPr>
          <w:lang w:val="es-ES"/>
        </w:rPr>
      </w:pPr>
    </w:p>
    <w:p w:rsidR="000A3A36" w:rsidRPr="00DC07FC" w:rsidRDefault="000A3A36" w:rsidP="000A3A36">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El gestor del mercado no identificará las negociaciones individuales en la información publicada.</w:t>
      </w:r>
    </w:p>
    <w:p w:rsidR="00952BD8" w:rsidRPr="00DC07FC" w:rsidRDefault="00952BD8" w:rsidP="00132F2C">
      <w:pPr>
        <w:pStyle w:val="ARTICULOS"/>
        <w:rPr>
          <w:lang w:val="es-ES"/>
        </w:rPr>
      </w:pPr>
    </w:p>
    <w:p w:rsidR="00952BD8" w:rsidRPr="00DC07FC" w:rsidRDefault="00952BD8" w:rsidP="00132F2C">
      <w:pPr>
        <w:pStyle w:val="ARTICULOS"/>
        <w:rPr>
          <w:lang w:val="es-ES"/>
        </w:rPr>
      </w:pPr>
    </w:p>
    <w:p w:rsidR="00132F2C" w:rsidRPr="00DC07FC" w:rsidRDefault="00132F2C" w:rsidP="002008A8">
      <w:pPr>
        <w:pStyle w:val="ARTICULOS"/>
        <w:numPr>
          <w:ilvl w:val="0"/>
          <w:numId w:val="55"/>
        </w:numPr>
        <w:tabs>
          <w:tab w:val="left" w:pos="1701"/>
        </w:tabs>
        <w:contextualSpacing/>
        <w:outlineLvl w:val="0"/>
        <w:rPr>
          <w:rFonts w:cs="Arial"/>
          <w:b/>
          <w:color w:val="000000" w:themeColor="text1"/>
          <w:lang w:val="es-CO"/>
        </w:rPr>
      </w:pPr>
      <w:r w:rsidRPr="00DC07FC">
        <w:rPr>
          <w:rFonts w:cs="Arial"/>
          <w:b/>
          <w:color w:val="000000" w:themeColor="text1"/>
          <w:lang w:val="es-CO"/>
        </w:rPr>
        <w:t>INFORMACIÓN TRANSACCIONAL DEL MERCADO SECUNDARIO</w:t>
      </w:r>
    </w:p>
    <w:p w:rsidR="00B90FA6" w:rsidRPr="00DC07FC" w:rsidRDefault="00B90FA6" w:rsidP="00B90FA6">
      <w:pPr>
        <w:pStyle w:val="ARTICULOS"/>
      </w:pPr>
    </w:p>
    <w:p w:rsidR="00132F2C" w:rsidRPr="00DC07FC" w:rsidRDefault="00132F2C" w:rsidP="002008A8">
      <w:pPr>
        <w:pStyle w:val="ARTICULOS"/>
        <w:numPr>
          <w:ilvl w:val="1"/>
          <w:numId w:val="55"/>
        </w:numPr>
        <w:tabs>
          <w:tab w:val="left" w:pos="1701"/>
        </w:tabs>
        <w:contextualSpacing/>
        <w:outlineLvl w:val="1"/>
        <w:rPr>
          <w:rFonts w:cs="Arial"/>
          <w:b/>
          <w:color w:val="000000" w:themeColor="text1"/>
          <w:lang w:val="es-CO"/>
        </w:rPr>
      </w:pPr>
      <w:bookmarkStart w:id="64" w:name="_Ref334787561"/>
      <w:r w:rsidRPr="00DC07FC">
        <w:t>Recopilación de información sobre el suministro de GLP en el mercado secundario</w:t>
      </w:r>
      <w:bookmarkEnd w:id="64"/>
    </w:p>
    <w:p w:rsidR="00132F2C" w:rsidRPr="00DC07FC" w:rsidRDefault="00132F2C" w:rsidP="00132F2C">
      <w:pPr>
        <w:pStyle w:val="ARTICULOS"/>
        <w:contextualSpacing/>
        <w:rPr>
          <w:color w:val="000000" w:themeColor="text1"/>
          <w:lang w:val="es-ES"/>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El gestor del mercado de GLP llevará un registro de los contratos de suministro de GLP que se suscriban en el mercado secundario.</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534D5E">
        <w:rPr>
          <w:rFonts w:ascii="Bookman Old Style" w:hAnsi="Bookman Old Style"/>
          <w:color w:val="000000" w:themeColor="text1"/>
        </w:rPr>
        <w:t>Los vendedores y los compradores de GLP, a los que se hace referencia en los artículos 27 y 28 de esta resolución, deberán registrar ante el gestor del mercado</w:t>
      </w:r>
      <w:r w:rsidRPr="00DC07FC">
        <w:rPr>
          <w:rFonts w:ascii="Bookman Old Style" w:hAnsi="Bookman Old Style"/>
          <w:color w:val="000000" w:themeColor="text1"/>
        </w:rPr>
        <w:t xml:space="preserve"> de GLP los contratos de suministro de GLP que suscriban en el mercado secundario. Para estos efectos, cada vendedor y cada comprador deberán </w:t>
      </w:r>
      <w:r w:rsidRPr="00DC07FC">
        <w:rPr>
          <w:rFonts w:ascii="Bookman Old Style" w:hAnsi="Bookman Old Style"/>
          <w:color w:val="000000" w:themeColor="text1"/>
        </w:rPr>
        <w:lastRenderedPageBreak/>
        <w:t>declarar al gestor del mercado la siguiente información, por cada uno de sus contratos:</w:t>
      </w:r>
    </w:p>
    <w:p w:rsidR="00132F2C" w:rsidRPr="00DC07FC" w:rsidRDefault="00132F2C" w:rsidP="00FD7921">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211441">
      <w:pPr>
        <w:pStyle w:val="Prrafodelista"/>
        <w:numPr>
          <w:ilvl w:val="0"/>
          <w:numId w:val="59"/>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Nombre de las partes contratantes.</w:t>
      </w:r>
    </w:p>
    <w:p w:rsidR="00132F2C" w:rsidRPr="00DC07FC" w:rsidRDefault="00132F2C" w:rsidP="00211441">
      <w:pPr>
        <w:pStyle w:val="Prrafodelista"/>
        <w:numPr>
          <w:ilvl w:val="0"/>
          <w:numId w:val="59"/>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Período de ejecución del contrato.</w:t>
      </w:r>
    </w:p>
    <w:p w:rsidR="00132F2C" w:rsidRPr="00DC07FC" w:rsidRDefault="00132F2C" w:rsidP="00211441">
      <w:pPr>
        <w:pStyle w:val="Prrafodelista"/>
        <w:numPr>
          <w:ilvl w:val="0"/>
          <w:numId w:val="59"/>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Cantidades de GLP contratadas, expresadas en kilogramos por día.</w:t>
      </w:r>
    </w:p>
    <w:p w:rsidR="00132F2C" w:rsidRPr="00DC07FC" w:rsidRDefault="00132F2C" w:rsidP="00211441">
      <w:pPr>
        <w:pStyle w:val="Prrafodelista"/>
        <w:numPr>
          <w:ilvl w:val="0"/>
          <w:numId w:val="59"/>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 xml:space="preserve">Valor total del contrato, indicando además el precio de suministro del GLP, expresado en pesos por kilogramo. </w:t>
      </w:r>
    </w:p>
    <w:p w:rsidR="00132F2C" w:rsidRPr="00DC07FC" w:rsidRDefault="00132F2C" w:rsidP="00211441">
      <w:pPr>
        <w:pStyle w:val="Prrafodelista"/>
        <w:numPr>
          <w:ilvl w:val="0"/>
          <w:numId w:val="59"/>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Tiempos, puntos y cantidades de entrega y de recibo.</w:t>
      </w:r>
    </w:p>
    <w:p w:rsidR="00132F2C" w:rsidRPr="00DC07FC" w:rsidRDefault="00132F2C" w:rsidP="00211441">
      <w:pPr>
        <w:pStyle w:val="Prrafodelista"/>
        <w:numPr>
          <w:ilvl w:val="0"/>
          <w:numId w:val="59"/>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 xml:space="preserve">La demás información que determine la CREG. </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lang w:val="es-CO"/>
        </w:rPr>
      </w:pPr>
    </w:p>
    <w:p w:rsidR="00132F2C" w:rsidRPr="00DC07FC" w:rsidRDefault="00132F2C" w:rsidP="00132F2C">
      <w:pPr>
        <w:autoSpaceDE w:val="0"/>
        <w:autoSpaceDN w:val="0"/>
        <w:adjustRightInd w:val="0"/>
        <w:ind w:left="0"/>
        <w:contextualSpacing/>
        <w:jc w:val="both"/>
        <w:rPr>
          <w:rFonts w:ascii="Bookman Old Style" w:hAnsi="Bookman Old Style" w:cs="Arial"/>
          <w:color w:val="000000" w:themeColor="text1"/>
        </w:rPr>
      </w:pPr>
      <w:r w:rsidRPr="00DC07FC">
        <w:rPr>
          <w:rFonts w:ascii="Bookman Old Style" w:hAnsi="Bookman Old Style"/>
          <w:color w:val="000000" w:themeColor="text1"/>
        </w:rPr>
        <w:t xml:space="preserve">Adicionalmente, cada comprador deberá declarar al gestor del mercado de GLP si la </w:t>
      </w:r>
      <w:r w:rsidRPr="00DC07FC">
        <w:rPr>
          <w:rFonts w:ascii="Bookman Old Style" w:hAnsi="Bookman Old Style" w:cs="Arial"/>
          <w:color w:val="000000" w:themeColor="text1"/>
        </w:rPr>
        <w:t>demanda a atender con el contrato es de tipo regulado o no regulado.</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Los compradores que suministren GLP a UNR deberán declarar por cada usuario: nombre, domicilios de entrega, tanques estacionarios atendidos en cada domicilio y cantidad contratada para cada domicilio. Cuando el comprador suministre GLP a usuarios regulados deberá especificar: cantidad a entregar, municipio en el que se consumirá esa cantidad y los correspondientes puntos de entrega.</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La declaración de la información para el registro de los contratos se realizará a través del medio y del formato que defina el gestor del mercado de GLP.</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534D5E">
        <w:rPr>
          <w:rFonts w:ascii="Bookman Old Style" w:hAnsi="Bookman Old Style"/>
          <w:color w:val="000000" w:themeColor="text1"/>
        </w:rPr>
        <w:t>Los vendedores y los compradores a los que se hace referencia en los artículos 27 y 28 de esta resolución deberán actualizar el registro ante el gestor del mercado de GLP, en los eventos en que exista terminación anticipada del contrato de suministro de GLP. Para estos efectos los vendedores y los compradores deberán declarar al gestor del mercado de GLP la información previamente señalada, debidamente actualizada.</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534D5E">
        <w:rPr>
          <w:rFonts w:ascii="Bookman Old Style" w:hAnsi="Bookman Old Style"/>
          <w:color w:val="000000" w:themeColor="text1"/>
        </w:rPr>
        <w:t>El gestor del mercado de GLP podrá solicitar copia de los contratos referidos, caso en el cual los vendedores y los compradores a los que se hace referencia en los artículos 27 y 28 de esta resolución estarán en la obligación de entregar tales copias al gestor del mercado de GLP.</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s="Arial"/>
          <w:color w:val="000000" w:themeColor="text1"/>
        </w:rPr>
      </w:pPr>
      <w:r w:rsidRPr="00DC07FC">
        <w:rPr>
          <w:rFonts w:ascii="Bookman Old Style" w:hAnsi="Bookman Old Style"/>
          <w:color w:val="000000" w:themeColor="text1"/>
        </w:rPr>
        <w:t xml:space="preserve">La no declaración de la información aquí señalada podrá ser considerada por la autoridad competente como una práctica contraria a la libre competencia. Igual consideración se podrá dar a la declaración reiterada de información inconsistente. </w:t>
      </w:r>
      <w:r w:rsidRPr="00DC07FC">
        <w:rPr>
          <w:rFonts w:ascii="Bookman Old Style" w:hAnsi="Bookman Old Style" w:cs="Arial"/>
          <w:color w:val="000000" w:themeColor="text1"/>
        </w:rPr>
        <w:t>Lo anterior sin perjuicio de la responsabilidad derivada de la posible falla en la prestación del servicio que se cause por la no declaración de esta información.</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2008A8">
      <w:pPr>
        <w:pStyle w:val="ARTICULOS"/>
        <w:numPr>
          <w:ilvl w:val="1"/>
          <w:numId w:val="55"/>
        </w:numPr>
        <w:tabs>
          <w:tab w:val="left" w:pos="1701"/>
        </w:tabs>
        <w:contextualSpacing/>
        <w:outlineLvl w:val="1"/>
      </w:pPr>
      <w:bookmarkStart w:id="65" w:name="_Ref334785296"/>
      <w:r w:rsidRPr="00DC07FC">
        <w:t>Verificación de la información transaccional del mercado secundario</w:t>
      </w:r>
      <w:bookmarkEnd w:id="65"/>
    </w:p>
    <w:p w:rsidR="00132F2C" w:rsidRPr="00DC07FC" w:rsidRDefault="00132F2C" w:rsidP="00132F2C">
      <w:pPr>
        <w:ind w:left="0"/>
        <w:contextualSpacing/>
        <w:jc w:val="both"/>
        <w:rPr>
          <w:rFonts w:ascii="Bookman Old Style" w:hAnsi="Bookman Old Style"/>
          <w:bCs/>
          <w:color w:val="000000" w:themeColor="text1"/>
          <w:lang w:eastAsia="x-none"/>
        </w:rPr>
      </w:pPr>
    </w:p>
    <w:p w:rsidR="00132F2C" w:rsidRPr="006542C3" w:rsidRDefault="00132F2C" w:rsidP="00132F2C">
      <w:pPr>
        <w:autoSpaceDE w:val="0"/>
        <w:autoSpaceDN w:val="0"/>
        <w:adjustRightInd w:val="0"/>
        <w:ind w:left="0"/>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El gestor del mercado verificará la consistencia de la información transaccional declarada por los compradores y los vendedores del mercad</w:t>
      </w:r>
      <w:r w:rsidRPr="006542C3">
        <w:rPr>
          <w:rFonts w:ascii="Bookman Old Style" w:hAnsi="Bookman Old Style" w:cs="Arial"/>
          <w:color w:val="000000" w:themeColor="text1"/>
        </w:rPr>
        <w:t>o secundario. En particular, verificará que:</w:t>
      </w:r>
    </w:p>
    <w:p w:rsidR="00132F2C" w:rsidRDefault="00132F2C" w:rsidP="00132F2C">
      <w:pPr>
        <w:ind w:left="0"/>
        <w:contextualSpacing/>
        <w:jc w:val="both"/>
        <w:rPr>
          <w:rFonts w:ascii="Bookman Old Style" w:hAnsi="Bookman Old Style" w:cs="Arial"/>
          <w:color w:val="000000" w:themeColor="text1"/>
        </w:rPr>
      </w:pPr>
    </w:p>
    <w:p w:rsidR="007514D6" w:rsidRDefault="007514D6" w:rsidP="00132F2C">
      <w:pPr>
        <w:ind w:left="0"/>
        <w:contextualSpacing/>
        <w:jc w:val="both"/>
        <w:rPr>
          <w:rFonts w:ascii="Bookman Old Style" w:hAnsi="Bookman Old Style" w:cs="Arial"/>
          <w:color w:val="000000" w:themeColor="text1"/>
        </w:rPr>
      </w:pPr>
    </w:p>
    <w:p w:rsidR="007514D6" w:rsidRPr="006542C3" w:rsidRDefault="007514D6" w:rsidP="00132F2C">
      <w:pPr>
        <w:ind w:left="0"/>
        <w:contextualSpacing/>
        <w:jc w:val="both"/>
        <w:rPr>
          <w:rFonts w:ascii="Bookman Old Style" w:hAnsi="Bookman Old Style" w:cs="Arial"/>
          <w:color w:val="000000" w:themeColor="text1"/>
        </w:rPr>
      </w:pPr>
    </w:p>
    <w:p w:rsidR="00132F2C" w:rsidRPr="006542C3" w:rsidRDefault="00132F2C" w:rsidP="00211441">
      <w:pPr>
        <w:pStyle w:val="Prrafodelista"/>
        <w:numPr>
          <w:ilvl w:val="0"/>
          <w:numId w:val="60"/>
        </w:numPr>
        <w:ind w:left="567" w:hanging="567"/>
        <w:contextualSpacing/>
        <w:jc w:val="both"/>
        <w:rPr>
          <w:rFonts w:ascii="Bookman Old Style" w:hAnsi="Bookman Old Style" w:cs="Arial"/>
          <w:color w:val="000000" w:themeColor="text1"/>
          <w:sz w:val="24"/>
          <w:szCs w:val="24"/>
          <w:lang w:val="es-ES"/>
        </w:rPr>
      </w:pPr>
      <w:r w:rsidRPr="006542C3">
        <w:rPr>
          <w:rFonts w:ascii="Bookman Old Style" w:hAnsi="Bookman Old Style" w:cs="Arial"/>
          <w:color w:val="000000" w:themeColor="text1"/>
          <w:sz w:val="24"/>
          <w:szCs w:val="24"/>
          <w:lang w:val="es-ES"/>
        </w:rPr>
        <w:t>La información declarada por cada vendedor, en atención a lo dispuesto en el numeral 2.1 de este anexo, coincida con la declarada por cada comprador en atención a lo dispuesto en el numeral 2.1 de este anexo.</w:t>
      </w:r>
    </w:p>
    <w:p w:rsidR="00211441" w:rsidRPr="006542C3" w:rsidRDefault="00211441" w:rsidP="00211441">
      <w:pPr>
        <w:pStyle w:val="Prrafodelista"/>
        <w:ind w:left="567"/>
        <w:contextualSpacing/>
        <w:jc w:val="both"/>
        <w:rPr>
          <w:rFonts w:ascii="Bookman Old Style" w:hAnsi="Bookman Old Style" w:cs="Arial"/>
          <w:color w:val="000000" w:themeColor="text1"/>
          <w:sz w:val="24"/>
          <w:szCs w:val="24"/>
          <w:lang w:val="es-ES"/>
        </w:rPr>
      </w:pPr>
    </w:p>
    <w:p w:rsidR="00132F2C" w:rsidRPr="006542C3" w:rsidRDefault="00132F2C" w:rsidP="00211441">
      <w:pPr>
        <w:pStyle w:val="Prrafodelista"/>
        <w:numPr>
          <w:ilvl w:val="0"/>
          <w:numId w:val="60"/>
        </w:numPr>
        <w:ind w:left="567" w:hanging="567"/>
        <w:contextualSpacing/>
        <w:jc w:val="both"/>
        <w:rPr>
          <w:rFonts w:ascii="Bookman Old Style" w:hAnsi="Bookman Old Style" w:cs="Arial"/>
          <w:color w:val="000000" w:themeColor="text1"/>
          <w:sz w:val="24"/>
          <w:szCs w:val="24"/>
          <w:lang w:val="es-ES"/>
        </w:rPr>
      </w:pPr>
      <w:r w:rsidRPr="006542C3">
        <w:rPr>
          <w:rFonts w:ascii="Bookman Old Style" w:hAnsi="Bookman Old Style" w:cs="Arial"/>
          <w:color w:val="000000" w:themeColor="text1"/>
          <w:sz w:val="24"/>
          <w:szCs w:val="24"/>
          <w:lang w:val="es-ES"/>
        </w:rPr>
        <w:t>El cumplimiento de l</w:t>
      </w:r>
      <w:r w:rsidR="006542C3" w:rsidRPr="006542C3">
        <w:rPr>
          <w:rFonts w:ascii="Bookman Old Style" w:hAnsi="Bookman Old Style" w:cs="Arial"/>
          <w:color w:val="000000" w:themeColor="text1"/>
          <w:sz w:val="24"/>
          <w:szCs w:val="24"/>
          <w:lang w:val="es-ES"/>
        </w:rPr>
        <w:t xml:space="preserve">as disposiciones del artículo </w:t>
      </w:r>
      <w:r w:rsidRPr="006542C3">
        <w:rPr>
          <w:rFonts w:ascii="Bookman Old Style" w:hAnsi="Bookman Old Style" w:cs="Arial"/>
          <w:color w:val="000000" w:themeColor="text1"/>
          <w:sz w:val="24"/>
          <w:szCs w:val="24"/>
          <w:lang w:val="es-ES"/>
        </w:rPr>
        <w:t>3</w:t>
      </w:r>
      <w:r w:rsidR="006542C3" w:rsidRPr="006542C3">
        <w:rPr>
          <w:rFonts w:ascii="Bookman Old Style" w:hAnsi="Bookman Old Style" w:cs="Arial"/>
          <w:color w:val="000000" w:themeColor="text1"/>
          <w:sz w:val="24"/>
          <w:szCs w:val="24"/>
          <w:lang w:val="es-ES"/>
        </w:rPr>
        <w:t>3</w:t>
      </w:r>
      <w:r w:rsidRPr="006542C3">
        <w:rPr>
          <w:rFonts w:ascii="Bookman Old Style" w:hAnsi="Bookman Old Style" w:cs="Arial"/>
          <w:color w:val="000000" w:themeColor="text1"/>
          <w:sz w:val="24"/>
          <w:szCs w:val="24"/>
          <w:lang w:val="es-ES"/>
        </w:rPr>
        <w:t xml:space="preserve"> de la presente resolución.</w:t>
      </w:r>
    </w:p>
    <w:p w:rsidR="00C80A18" w:rsidRPr="00DC07FC" w:rsidRDefault="00C80A18" w:rsidP="00132F2C">
      <w:pPr>
        <w:autoSpaceDE w:val="0"/>
        <w:autoSpaceDN w:val="0"/>
        <w:adjustRightInd w:val="0"/>
        <w:ind w:left="0"/>
        <w:contextualSpacing/>
        <w:jc w:val="both"/>
        <w:rPr>
          <w:rFonts w:ascii="Bookman Old Style" w:hAnsi="Bookman Old Style"/>
          <w:color w:val="000000" w:themeColor="text1"/>
        </w:rPr>
      </w:pPr>
    </w:p>
    <w:p w:rsidR="00132F2C" w:rsidRPr="006542C3" w:rsidRDefault="00132F2C" w:rsidP="00132F2C">
      <w:pPr>
        <w:autoSpaceDE w:val="0"/>
        <w:autoSpaceDN w:val="0"/>
        <w:adjustRightInd w:val="0"/>
        <w:ind w:left="0"/>
        <w:contextualSpacing/>
        <w:jc w:val="both"/>
        <w:rPr>
          <w:rFonts w:ascii="Bookman Old Style" w:hAnsi="Bookman Old Style"/>
          <w:color w:val="000000" w:themeColor="text1"/>
        </w:rPr>
      </w:pPr>
      <w:r w:rsidRPr="006542C3">
        <w:rPr>
          <w:rFonts w:ascii="Bookman Old Style" w:hAnsi="Bookman Old Style"/>
          <w:color w:val="000000" w:themeColor="text1"/>
        </w:rPr>
        <w:t>Si el gestor del mercado de GLP encuentra discrepancias como resultado de las verificaciones de que tratan los literales a y b anteriores, el gestor del mercado de GLP deberá informárselo a las partes, dentro de las veinticuatro (24) horas siguientes al recibo de la última de las declaraciones presentadas por las partes de cada contrato, para que ellas rectifiquen las diferencias a más tardar veinticuatro (24) horas después del recibo de la solicitud de verificación. Cuando no sea posible la rectificación dentro de este término el gestor del mercado de GLP deberá abstenerse de registrar el contrato y no podrá tenerlo en cuenta para efectos de publicación. En este caso el gestor del mercado de GLP deberá informar esta situación a las partes involucradas y a los órganos responsables de la inspección, vigilancia y control.</w:t>
      </w:r>
    </w:p>
    <w:p w:rsidR="00132F2C" w:rsidRPr="006542C3"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pStyle w:val="ARTICULOS"/>
        <w:rPr>
          <w:color w:val="000000" w:themeColor="text1"/>
          <w:lang w:val="es-CO"/>
        </w:rPr>
      </w:pPr>
      <w:r w:rsidRPr="006542C3">
        <w:rPr>
          <w:color w:val="000000" w:themeColor="text1"/>
        </w:rPr>
        <w:t xml:space="preserve">Para efectos de la verificación, el gestor del mercado </w:t>
      </w:r>
      <w:r w:rsidRPr="006542C3">
        <w:rPr>
          <w:color w:val="000000" w:themeColor="text1"/>
          <w:lang w:val="es-CO"/>
        </w:rPr>
        <w:t xml:space="preserve">de GLP </w:t>
      </w:r>
      <w:r w:rsidRPr="006542C3">
        <w:rPr>
          <w:color w:val="000000" w:themeColor="text1"/>
        </w:rPr>
        <w:t>podrá contrastar la información declarada por los participantes del mercado con la contenida en los contratos de los que haya solicitado copia.</w:t>
      </w:r>
    </w:p>
    <w:p w:rsidR="00132F2C" w:rsidRPr="00DC07FC" w:rsidRDefault="00132F2C" w:rsidP="00132F2C">
      <w:pPr>
        <w:ind w:left="0"/>
        <w:contextualSpacing/>
        <w:jc w:val="both"/>
        <w:rPr>
          <w:rFonts w:ascii="Bookman Old Style" w:hAnsi="Bookman Old Style"/>
          <w:bCs/>
          <w:color w:val="000000" w:themeColor="text1"/>
          <w:lang w:eastAsia="x-none"/>
        </w:rPr>
      </w:pPr>
    </w:p>
    <w:p w:rsidR="00132F2C" w:rsidRPr="00DC07FC" w:rsidRDefault="00132F2C" w:rsidP="002008A8">
      <w:pPr>
        <w:pStyle w:val="ARTICULOS"/>
        <w:numPr>
          <w:ilvl w:val="1"/>
          <w:numId w:val="55"/>
        </w:numPr>
        <w:tabs>
          <w:tab w:val="left" w:pos="1701"/>
        </w:tabs>
        <w:contextualSpacing/>
        <w:outlineLvl w:val="1"/>
      </w:pPr>
      <w:r w:rsidRPr="00DC07FC">
        <w:t>Registro de contratos del mercado secundario</w:t>
      </w:r>
    </w:p>
    <w:p w:rsidR="00132F2C" w:rsidRPr="00DC07FC" w:rsidRDefault="00132F2C" w:rsidP="00132F2C">
      <w:pPr>
        <w:ind w:left="0"/>
        <w:contextualSpacing/>
        <w:jc w:val="both"/>
        <w:rPr>
          <w:rFonts w:ascii="Bookman Old Style" w:hAnsi="Bookman Old Style"/>
          <w:bCs/>
          <w:color w:val="000000" w:themeColor="text1"/>
          <w:lang w:eastAsia="x-none"/>
        </w:rPr>
      </w:pPr>
    </w:p>
    <w:p w:rsidR="00132F2C" w:rsidRPr="00DC07FC" w:rsidRDefault="00132F2C" w:rsidP="00132F2C">
      <w:pPr>
        <w:ind w:left="0"/>
        <w:contextualSpacing/>
        <w:jc w:val="both"/>
        <w:rPr>
          <w:rFonts w:ascii="Bookman Old Style" w:hAnsi="Bookman Old Style"/>
          <w:bCs/>
          <w:color w:val="000000" w:themeColor="text1"/>
          <w:lang w:eastAsia="x-none"/>
        </w:rPr>
      </w:pPr>
      <w:r w:rsidRPr="00DC07FC">
        <w:rPr>
          <w:rFonts w:ascii="Bookman Old Style" w:hAnsi="Bookman Old Style"/>
          <w:bCs/>
          <w:color w:val="000000" w:themeColor="text1"/>
          <w:lang w:eastAsia="x-none"/>
        </w:rPr>
        <w:t xml:space="preserve">El registro de los contratos del mercado secundario se iniciará a partir de la fecha en que el gestor del mercado de GLP </w:t>
      </w:r>
      <w:r w:rsidRPr="00DC07FC">
        <w:rPr>
          <w:rFonts w:ascii="Bookman Old Style" w:hAnsi="Bookman Old Style"/>
          <w:color w:val="000000" w:themeColor="text1"/>
        </w:rPr>
        <w:t>inicie la prestación de sus servicios</w:t>
      </w:r>
      <w:r w:rsidRPr="00DC07FC">
        <w:rPr>
          <w:rFonts w:ascii="Bookman Old Style" w:hAnsi="Bookman Old Style"/>
          <w:bCs/>
          <w:color w:val="000000" w:themeColor="text1"/>
          <w:lang w:eastAsia="x-none"/>
        </w:rPr>
        <w:t>.</w:t>
      </w:r>
    </w:p>
    <w:p w:rsidR="00132F2C" w:rsidRPr="00DC07FC" w:rsidRDefault="00132F2C" w:rsidP="00132F2C">
      <w:pPr>
        <w:ind w:left="0"/>
        <w:contextualSpacing/>
        <w:jc w:val="both"/>
        <w:rPr>
          <w:rFonts w:ascii="Bookman Old Style" w:hAnsi="Bookman Old Style"/>
          <w:bCs/>
          <w:color w:val="000000" w:themeColor="text1"/>
          <w:lang w:eastAsia="x-none"/>
        </w:rPr>
      </w:pPr>
    </w:p>
    <w:p w:rsidR="00132F2C" w:rsidRPr="009378AF"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s="Arial"/>
          <w:color w:val="000000" w:themeColor="text1"/>
        </w:rPr>
        <w:t>El gestor del merca</w:t>
      </w:r>
      <w:r w:rsidRPr="009378AF">
        <w:rPr>
          <w:rFonts w:ascii="Bookman Old Style" w:hAnsi="Bookman Old Style" w:cs="Arial"/>
          <w:color w:val="000000" w:themeColor="text1"/>
        </w:rPr>
        <w:t xml:space="preserve">do de GLP registrará cada contrato del mercado secundario una vez haya verificado que la información declarada por el comprador es consistente con la información declarada por el vendedor, según lo señalado en el numeral 2.1 de este anexo. </w:t>
      </w:r>
      <w:r w:rsidRPr="009378AF">
        <w:rPr>
          <w:rFonts w:ascii="Bookman Old Style" w:hAnsi="Bookman Old Style"/>
          <w:color w:val="000000" w:themeColor="text1"/>
        </w:rPr>
        <w:t>El gestor del mercado de GLP asignará un número de registro a cada contrato registrado.</w:t>
      </w:r>
    </w:p>
    <w:p w:rsidR="00132F2C" w:rsidRPr="009378AF" w:rsidRDefault="00132F2C" w:rsidP="00132F2C">
      <w:pPr>
        <w:ind w:left="0"/>
        <w:contextualSpacing/>
        <w:jc w:val="both"/>
        <w:rPr>
          <w:rFonts w:ascii="Bookman Old Style" w:hAnsi="Bookman Old Style"/>
          <w:bCs/>
          <w:color w:val="000000" w:themeColor="text1"/>
          <w:lang w:eastAsia="x-none"/>
        </w:rPr>
      </w:pPr>
    </w:p>
    <w:p w:rsidR="00132F2C" w:rsidRPr="00AE5266" w:rsidRDefault="00132F2C" w:rsidP="00132F2C">
      <w:pPr>
        <w:autoSpaceDE w:val="0"/>
        <w:autoSpaceDN w:val="0"/>
        <w:adjustRightInd w:val="0"/>
        <w:ind w:left="0"/>
        <w:contextualSpacing/>
        <w:jc w:val="both"/>
        <w:rPr>
          <w:rFonts w:ascii="Bookman Old Style" w:hAnsi="Bookman Old Style" w:cs="Arial"/>
          <w:color w:val="000000" w:themeColor="text1"/>
        </w:rPr>
      </w:pPr>
      <w:r w:rsidRPr="009378AF">
        <w:rPr>
          <w:rFonts w:ascii="Bookman Old Style" w:hAnsi="Bookman Old Style" w:cs="Arial"/>
          <w:color w:val="000000" w:themeColor="text1"/>
        </w:rPr>
        <w:t>Una vez suscritos los contratos de suministro de GLP, cada vendedor y cada comprador tendrá</w:t>
      </w:r>
      <w:r w:rsidR="009378AF" w:rsidRPr="009378AF">
        <w:rPr>
          <w:rFonts w:ascii="Bookman Old Style" w:hAnsi="Bookman Old Style" w:cs="Arial"/>
          <w:color w:val="000000" w:themeColor="text1"/>
        </w:rPr>
        <w:t>n</w:t>
      </w:r>
      <w:r w:rsidRPr="009378AF">
        <w:rPr>
          <w:rFonts w:ascii="Bookman Old Style" w:hAnsi="Bookman Old Style" w:cs="Arial"/>
          <w:color w:val="000000" w:themeColor="text1"/>
        </w:rPr>
        <w:t xml:space="preserve"> cinco (5) días hábiles para declarar ante el gestor del mercado de GLP la información de los contratos que haya celebrado en el mercado secundario. Esta declaración se hará a través del medio y del formato </w:t>
      </w:r>
      <w:r w:rsidRPr="00AE5266">
        <w:rPr>
          <w:rFonts w:ascii="Bookman Old Style" w:hAnsi="Bookman Old Style" w:cs="Arial"/>
          <w:color w:val="000000" w:themeColor="text1"/>
        </w:rPr>
        <w:t>que defina el gestor del mercado de GLP.</w:t>
      </w:r>
    </w:p>
    <w:p w:rsidR="00132F2C" w:rsidRPr="00AE5266" w:rsidRDefault="00132F2C" w:rsidP="00132F2C">
      <w:pPr>
        <w:autoSpaceDE w:val="0"/>
        <w:autoSpaceDN w:val="0"/>
        <w:adjustRightInd w:val="0"/>
        <w:ind w:left="0"/>
        <w:contextualSpacing/>
        <w:jc w:val="both"/>
        <w:rPr>
          <w:rFonts w:ascii="Bookman Old Style" w:hAnsi="Bookman Old Style" w:cs="Arial"/>
          <w:color w:val="000000" w:themeColor="text1"/>
        </w:rPr>
      </w:pPr>
    </w:p>
    <w:p w:rsidR="00132F2C" w:rsidRPr="00AE5266" w:rsidRDefault="00132F2C" w:rsidP="00132F2C">
      <w:pPr>
        <w:autoSpaceDE w:val="0"/>
        <w:autoSpaceDN w:val="0"/>
        <w:adjustRightInd w:val="0"/>
        <w:ind w:left="0"/>
        <w:contextualSpacing/>
        <w:jc w:val="both"/>
        <w:rPr>
          <w:rFonts w:ascii="Bookman Old Style" w:hAnsi="Bookman Old Style"/>
          <w:color w:val="000000" w:themeColor="text1"/>
        </w:rPr>
      </w:pPr>
      <w:r w:rsidRPr="00AE5266">
        <w:rPr>
          <w:rFonts w:ascii="Bookman Old Style" w:hAnsi="Bookman Old Style"/>
          <w:color w:val="000000" w:themeColor="text1"/>
        </w:rPr>
        <w:t>Los agentes que actúen como vendedores en el mercado secundario, no podrán aceptar las nominaciones ni podrán entregar las cantidades correspondientes a contratos que no estén registrados ante el gestor del mercado de GLP.</w:t>
      </w:r>
    </w:p>
    <w:p w:rsidR="00132F2C" w:rsidRPr="00AE5266"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Default="00132F2C" w:rsidP="00132F2C">
      <w:pPr>
        <w:autoSpaceDE w:val="0"/>
        <w:autoSpaceDN w:val="0"/>
        <w:adjustRightInd w:val="0"/>
        <w:ind w:left="0"/>
        <w:contextualSpacing/>
        <w:jc w:val="both"/>
        <w:rPr>
          <w:rFonts w:ascii="Bookman Old Style" w:hAnsi="Bookman Old Style"/>
          <w:color w:val="000000" w:themeColor="text1"/>
        </w:rPr>
      </w:pPr>
      <w:r w:rsidRPr="00AE5266">
        <w:rPr>
          <w:rFonts w:ascii="Bookman Old Style" w:hAnsi="Bookman Old Style"/>
          <w:color w:val="000000" w:themeColor="text1"/>
        </w:rPr>
        <w:t>Para facilitar el cumplimiento de esta medida, a través del SIMM, el gestor del mercado de GLP pondrá a disposición de los participantes del mercado mayorista, que ya hayan efectuado su proceso de registro, la lista de sus contratos debidamente registrados.</w:t>
      </w:r>
    </w:p>
    <w:p w:rsidR="007514D6" w:rsidRPr="00DC07FC" w:rsidRDefault="007514D6"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s="Arial"/>
          <w:color w:val="000000" w:themeColor="text1"/>
        </w:rPr>
      </w:pPr>
    </w:p>
    <w:p w:rsidR="00132F2C" w:rsidRPr="00AE5266" w:rsidRDefault="00132F2C" w:rsidP="002008A8">
      <w:pPr>
        <w:pStyle w:val="ARTICULOS"/>
        <w:numPr>
          <w:ilvl w:val="1"/>
          <w:numId w:val="55"/>
        </w:numPr>
        <w:tabs>
          <w:tab w:val="left" w:pos="1701"/>
        </w:tabs>
        <w:contextualSpacing/>
        <w:outlineLvl w:val="1"/>
      </w:pPr>
      <w:r w:rsidRPr="00AE5266">
        <w:t>Publicación</w:t>
      </w:r>
    </w:p>
    <w:p w:rsidR="00132F2C" w:rsidRPr="00AE5266" w:rsidRDefault="00132F2C" w:rsidP="00132F2C">
      <w:pPr>
        <w:autoSpaceDE w:val="0"/>
        <w:autoSpaceDN w:val="0"/>
        <w:adjustRightInd w:val="0"/>
        <w:ind w:left="0"/>
        <w:contextualSpacing/>
        <w:jc w:val="both"/>
        <w:rPr>
          <w:rFonts w:ascii="Bookman Old Style" w:hAnsi="Bookman Old Style" w:cs="Arial"/>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AE5266">
        <w:rPr>
          <w:rFonts w:ascii="Bookman Old Style" w:hAnsi="Bookman Old Style"/>
          <w:color w:val="000000" w:themeColor="text1"/>
        </w:rPr>
        <w:t>El gestor del mercado de GLP publicará la siguiente información en el SIMM, con la periodicidad indicada:</w:t>
      </w:r>
    </w:p>
    <w:p w:rsidR="00132F2C" w:rsidRPr="00DC07FC" w:rsidRDefault="00132F2C" w:rsidP="00132F2C">
      <w:pPr>
        <w:autoSpaceDE w:val="0"/>
        <w:autoSpaceDN w:val="0"/>
        <w:adjustRightInd w:val="0"/>
        <w:ind w:left="0"/>
        <w:contextualSpacing/>
        <w:jc w:val="both"/>
        <w:rPr>
          <w:rFonts w:ascii="Bookman Old Style" w:hAnsi="Bookman Old Style" w:cs="Arial"/>
          <w:color w:val="000000" w:themeColor="text1"/>
        </w:rPr>
      </w:pPr>
    </w:p>
    <w:p w:rsidR="00132F2C" w:rsidRPr="00DC07FC" w:rsidRDefault="00132F2C" w:rsidP="00211441">
      <w:pPr>
        <w:pStyle w:val="Prrafodelista"/>
        <w:numPr>
          <w:ilvl w:val="0"/>
          <w:numId w:val="61"/>
        </w:numPr>
        <w:ind w:left="567" w:hanging="567"/>
        <w:contextualSpacing/>
        <w:jc w:val="both"/>
        <w:rPr>
          <w:rFonts w:ascii="Bookman Old Style" w:hAnsi="Bookman Old Style" w:cs="Arial"/>
          <w:color w:val="000000" w:themeColor="text1"/>
          <w:sz w:val="24"/>
          <w:szCs w:val="24"/>
          <w:lang w:val="es-ES"/>
        </w:rPr>
      </w:pPr>
      <w:r w:rsidRPr="00DC07FC">
        <w:rPr>
          <w:rFonts w:ascii="Bookman Old Style" w:hAnsi="Bookman Old Style" w:cs="Arial"/>
          <w:color w:val="000000" w:themeColor="text1"/>
          <w:sz w:val="24"/>
          <w:szCs w:val="24"/>
          <w:lang w:val="es-ES"/>
        </w:rPr>
        <w:t>La cantidad total de GLP negociada, para cada punto de entrega, en los contratos de suministro del mercado secundario.</w:t>
      </w:r>
    </w:p>
    <w:p w:rsidR="00132F2C" w:rsidRPr="00DC07FC" w:rsidRDefault="00132F2C" w:rsidP="00211441">
      <w:pPr>
        <w:ind w:hanging="567"/>
        <w:contextualSpacing/>
        <w:jc w:val="both"/>
        <w:rPr>
          <w:rFonts w:ascii="Bookman Old Style" w:hAnsi="Bookman Old Style" w:cs="Arial"/>
          <w:color w:val="000000" w:themeColor="text1"/>
        </w:rPr>
      </w:pPr>
    </w:p>
    <w:p w:rsidR="00132F2C" w:rsidRPr="00DC07FC" w:rsidRDefault="00132F2C" w:rsidP="00211441">
      <w:pPr>
        <w:pStyle w:val="Prrafodelista"/>
        <w:numPr>
          <w:ilvl w:val="0"/>
          <w:numId w:val="61"/>
        </w:numPr>
        <w:ind w:left="567" w:hanging="567"/>
        <w:contextualSpacing/>
        <w:jc w:val="both"/>
        <w:rPr>
          <w:rFonts w:ascii="Bookman Old Style" w:hAnsi="Bookman Old Style" w:cs="Arial"/>
          <w:color w:val="000000" w:themeColor="text1"/>
          <w:sz w:val="24"/>
          <w:szCs w:val="24"/>
          <w:lang w:val="es-ES"/>
        </w:rPr>
      </w:pPr>
      <w:r w:rsidRPr="00DC07FC">
        <w:rPr>
          <w:rFonts w:ascii="Bookman Old Style" w:hAnsi="Bookman Old Style" w:cs="Arial"/>
          <w:color w:val="000000" w:themeColor="text1"/>
          <w:sz w:val="24"/>
          <w:szCs w:val="24"/>
          <w:lang w:val="es-ES"/>
        </w:rPr>
        <w:t>El precio promedio, ponderado por cantidades, del GLP negociado para cada punto de entrega, en los contratos de suministro del mercado secundario.</w:t>
      </w:r>
    </w:p>
    <w:p w:rsidR="00132F2C" w:rsidRPr="00DC07FC" w:rsidRDefault="00132F2C" w:rsidP="00132F2C">
      <w:pPr>
        <w:ind w:left="0"/>
        <w:contextualSpacing/>
        <w:jc w:val="both"/>
        <w:rPr>
          <w:rFonts w:ascii="Bookman Old Style" w:hAnsi="Bookman Old Style" w:cs="Arial"/>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El gestor del mercado no identificará las negociaciones individuales en la información publicada.</w:t>
      </w:r>
    </w:p>
    <w:p w:rsidR="00952BD8" w:rsidRPr="00DC07FC" w:rsidRDefault="00952BD8" w:rsidP="00132F2C">
      <w:pPr>
        <w:pStyle w:val="ARTICULOS"/>
        <w:rPr>
          <w:lang w:val="es-CO"/>
        </w:rPr>
      </w:pPr>
    </w:p>
    <w:p w:rsidR="00C80A18" w:rsidRPr="00DC07FC" w:rsidRDefault="00132F2C" w:rsidP="002008A8">
      <w:pPr>
        <w:pStyle w:val="ARTICULOS"/>
        <w:numPr>
          <w:ilvl w:val="0"/>
          <w:numId w:val="55"/>
        </w:numPr>
        <w:tabs>
          <w:tab w:val="left" w:pos="1701"/>
        </w:tabs>
        <w:contextualSpacing/>
        <w:outlineLvl w:val="0"/>
        <w:rPr>
          <w:rFonts w:cs="Arial"/>
          <w:b/>
          <w:color w:val="000000" w:themeColor="text1"/>
          <w:lang w:val="es-CO"/>
        </w:rPr>
      </w:pPr>
      <w:r w:rsidRPr="00DC07FC">
        <w:rPr>
          <w:rFonts w:cs="Arial"/>
          <w:b/>
          <w:color w:val="000000" w:themeColor="text1"/>
          <w:lang w:val="es-CO"/>
        </w:rPr>
        <w:t>INFORMACIÓN DE OTRAS TRANSACCIONES DEL MERCADO MAYORISTA DE GLP</w:t>
      </w:r>
    </w:p>
    <w:p w:rsidR="00FE713B" w:rsidRPr="00684452" w:rsidRDefault="00FE713B" w:rsidP="00FE713B">
      <w:pPr>
        <w:pStyle w:val="ARTICULOS"/>
        <w:rPr>
          <w:lang w:val="es-CO"/>
        </w:rPr>
      </w:pPr>
    </w:p>
    <w:p w:rsidR="00132F2C" w:rsidRPr="00DC07FC" w:rsidRDefault="00132F2C" w:rsidP="002008A8">
      <w:pPr>
        <w:pStyle w:val="ARTICULOS"/>
        <w:numPr>
          <w:ilvl w:val="1"/>
          <w:numId w:val="55"/>
        </w:numPr>
        <w:tabs>
          <w:tab w:val="left" w:pos="1701"/>
        </w:tabs>
        <w:contextualSpacing/>
        <w:outlineLvl w:val="1"/>
      </w:pPr>
      <w:r w:rsidRPr="00DC07FC">
        <w:t>Recopilación de información sobre negociaciones entre comercializadores mayoristas y UNR</w:t>
      </w:r>
    </w:p>
    <w:p w:rsidR="00132F2C" w:rsidRPr="00DC07FC" w:rsidRDefault="00132F2C" w:rsidP="00132F2C">
      <w:pPr>
        <w:pStyle w:val="ARTICULOS"/>
        <w:contextualSpacing/>
        <w:rPr>
          <w:color w:val="000000" w:themeColor="text1"/>
          <w:lang w:val="es-ES"/>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El gestor del mercado de GLP llevará un registro de los contratos de suministro de GLP a UNR.</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Los comercializadores mayoristas deberán registrar ante el gestor del mercado los contratos de suministro de GLP a UNR. Para estos efectos deberán declarar la siguiente información de cada uno de sus contratos:</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211441">
      <w:pPr>
        <w:pStyle w:val="Prrafodelista"/>
        <w:numPr>
          <w:ilvl w:val="0"/>
          <w:numId w:val="62"/>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Nombre de las partes contratantes.</w:t>
      </w:r>
    </w:p>
    <w:p w:rsidR="00132F2C" w:rsidRPr="00DC07FC" w:rsidRDefault="00132F2C" w:rsidP="00211441">
      <w:pPr>
        <w:pStyle w:val="Prrafodelista"/>
        <w:numPr>
          <w:ilvl w:val="0"/>
          <w:numId w:val="62"/>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Período de ejecución del contrato.</w:t>
      </w:r>
    </w:p>
    <w:p w:rsidR="00132F2C" w:rsidRPr="00DC07FC" w:rsidRDefault="00132F2C" w:rsidP="00211441">
      <w:pPr>
        <w:pStyle w:val="Prrafodelista"/>
        <w:numPr>
          <w:ilvl w:val="0"/>
          <w:numId w:val="62"/>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Cantidades de GLP contratadas, expresadas en kilogramos por día.</w:t>
      </w:r>
    </w:p>
    <w:p w:rsidR="00132F2C" w:rsidRPr="00DC07FC" w:rsidRDefault="00132F2C" w:rsidP="00211441">
      <w:pPr>
        <w:pStyle w:val="Prrafodelista"/>
        <w:numPr>
          <w:ilvl w:val="0"/>
          <w:numId w:val="62"/>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 xml:space="preserve">Valor total del contrato, indicando además el precio de suministro del GLP, expresado en pesos por kilogramo. </w:t>
      </w:r>
    </w:p>
    <w:p w:rsidR="00132F2C" w:rsidRPr="00DC07FC" w:rsidRDefault="00132F2C" w:rsidP="00211441">
      <w:pPr>
        <w:pStyle w:val="Prrafodelista"/>
        <w:numPr>
          <w:ilvl w:val="0"/>
          <w:numId w:val="62"/>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Tiempos, puntos y cantidades de entrega y de recibo.</w:t>
      </w:r>
    </w:p>
    <w:p w:rsidR="00132F2C" w:rsidRPr="00DC07FC" w:rsidRDefault="00132F2C" w:rsidP="00211441">
      <w:pPr>
        <w:pStyle w:val="Prrafodelista"/>
        <w:numPr>
          <w:ilvl w:val="0"/>
          <w:numId w:val="62"/>
        </w:numPr>
        <w:autoSpaceDE w:val="0"/>
        <w:autoSpaceDN w:val="0"/>
        <w:adjustRightInd w:val="0"/>
        <w:ind w:left="567" w:hanging="567"/>
        <w:contextualSpacing/>
        <w:jc w:val="both"/>
        <w:rPr>
          <w:rFonts w:ascii="Bookman Old Style" w:hAnsi="Bookman Old Style"/>
          <w:color w:val="000000" w:themeColor="text1"/>
          <w:sz w:val="24"/>
        </w:rPr>
      </w:pPr>
      <w:r w:rsidRPr="00DC07FC">
        <w:rPr>
          <w:rFonts w:ascii="Bookman Old Style" w:hAnsi="Bookman Old Style"/>
          <w:color w:val="000000" w:themeColor="text1"/>
          <w:sz w:val="24"/>
        </w:rPr>
        <w:t>La demás información que determine la CREG.</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La declaración de la información para el registro de los contratos se realizará a través del medio y del formato que defina el gestor del mercado de GLP.</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La terminación anticipada o la modificación del contrato dará</w:t>
      </w:r>
      <w:r w:rsidR="00014E23">
        <w:rPr>
          <w:rFonts w:ascii="Bookman Old Style" w:hAnsi="Bookman Old Style"/>
          <w:color w:val="000000" w:themeColor="text1"/>
        </w:rPr>
        <w:t>n</w:t>
      </w:r>
      <w:r w:rsidRPr="00DC07FC">
        <w:rPr>
          <w:rFonts w:ascii="Bookman Old Style" w:hAnsi="Bookman Old Style"/>
          <w:color w:val="000000" w:themeColor="text1"/>
        </w:rPr>
        <w:t xml:space="preserve"> lugar a la actualización del registro ante el gestor del mercado de GLP. Para estos efectos los comercializadores mayoristas deberán declarar al gestor del mercado la información previamente señalada, debidamente actualizada.</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La no declaración de la información aquí señalada podrá ser considerada por la autoridad competente como una práctica contraria a la libre competencia. Igual consideración se podrá dar a la declaración reiterada de información inconsistente.</w:t>
      </w: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p>
    <w:p w:rsidR="007514D6" w:rsidRDefault="007514D6" w:rsidP="00132F2C">
      <w:pPr>
        <w:autoSpaceDE w:val="0"/>
        <w:autoSpaceDN w:val="0"/>
        <w:adjustRightInd w:val="0"/>
        <w:ind w:left="0"/>
        <w:contextualSpacing/>
        <w:jc w:val="both"/>
        <w:rPr>
          <w:rFonts w:ascii="Bookman Old Style" w:hAnsi="Bookman Old Style"/>
          <w:color w:val="000000" w:themeColor="text1"/>
        </w:rPr>
      </w:pPr>
    </w:p>
    <w:p w:rsidR="007514D6" w:rsidRDefault="007514D6" w:rsidP="00132F2C">
      <w:pPr>
        <w:autoSpaceDE w:val="0"/>
        <w:autoSpaceDN w:val="0"/>
        <w:adjustRightInd w:val="0"/>
        <w:ind w:left="0"/>
        <w:contextualSpacing/>
        <w:jc w:val="both"/>
        <w:rPr>
          <w:rFonts w:ascii="Bookman Old Style" w:hAnsi="Bookman Old Style"/>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olor w:val="000000" w:themeColor="text1"/>
        </w:rPr>
      </w:pPr>
      <w:r w:rsidRPr="00DC07FC">
        <w:rPr>
          <w:rFonts w:ascii="Bookman Old Style" w:hAnsi="Bookman Old Style"/>
          <w:color w:val="000000" w:themeColor="text1"/>
        </w:rPr>
        <w:t>Los UNR que estén dispuestos a declarar ante el gestor del mercado de GLP la información listada previamente, lo harán a través del medio y del formato que defina el gestor del mercado de GLP.</w:t>
      </w:r>
    </w:p>
    <w:p w:rsidR="00132F2C" w:rsidRPr="00DC07FC" w:rsidRDefault="00132F2C" w:rsidP="00132F2C">
      <w:pPr>
        <w:pStyle w:val="ARTICULOS"/>
        <w:contextualSpacing/>
        <w:rPr>
          <w:color w:val="000000" w:themeColor="text1"/>
          <w:lang w:val="es-ES"/>
        </w:rPr>
      </w:pPr>
    </w:p>
    <w:p w:rsidR="00132F2C" w:rsidRPr="00DC07FC" w:rsidRDefault="00132F2C" w:rsidP="002008A8">
      <w:pPr>
        <w:pStyle w:val="ARTICULOS"/>
        <w:numPr>
          <w:ilvl w:val="1"/>
          <w:numId w:val="55"/>
        </w:numPr>
        <w:tabs>
          <w:tab w:val="left" w:pos="1701"/>
        </w:tabs>
        <w:contextualSpacing/>
        <w:outlineLvl w:val="1"/>
      </w:pPr>
      <w:r w:rsidRPr="00DC07FC">
        <w:t>Registro de contratos sobre negociaciones entre comercializadores mayoristas y usuarios no regulados</w:t>
      </w:r>
    </w:p>
    <w:p w:rsidR="00132F2C" w:rsidRPr="00DC07FC" w:rsidRDefault="00132F2C" w:rsidP="00132F2C">
      <w:pPr>
        <w:pStyle w:val="ARTICULOS"/>
        <w:rPr>
          <w:lang w:val="es-ES"/>
        </w:rPr>
      </w:pPr>
    </w:p>
    <w:p w:rsidR="00132F2C" w:rsidRPr="00014E23" w:rsidRDefault="00132F2C" w:rsidP="00132F2C">
      <w:pPr>
        <w:ind w:left="0"/>
        <w:contextualSpacing/>
        <w:jc w:val="both"/>
        <w:rPr>
          <w:rFonts w:ascii="Bookman Old Style" w:hAnsi="Bookman Old Style"/>
          <w:color w:val="000000" w:themeColor="text1"/>
        </w:rPr>
      </w:pPr>
      <w:r w:rsidRPr="00DC07FC">
        <w:rPr>
          <w:rFonts w:ascii="Bookman Old Style" w:hAnsi="Bookman Old Style"/>
          <w:bCs/>
          <w:color w:val="000000" w:themeColor="text1"/>
          <w:lang w:eastAsia="x-none"/>
        </w:rPr>
        <w:t xml:space="preserve">El registro de los </w:t>
      </w:r>
      <w:r w:rsidRPr="00DC07FC">
        <w:rPr>
          <w:rFonts w:ascii="Bookman Old Style" w:hAnsi="Bookman Old Style"/>
          <w:color w:val="000000" w:themeColor="text1"/>
        </w:rPr>
        <w:t xml:space="preserve">contratos suscritos </w:t>
      </w:r>
      <w:r w:rsidRPr="00DC07FC">
        <w:rPr>
          <w:rFonts w:ascii="Bookman Old Style" w:hAnsi="Bookman Old Style" w:cs="Arial"/>
          <w:color w:val="000000" w:themeColor="text1"/>
        </w:rPr>
        <w:t>entre comercializadores mayoristas y usuarios no regulados</w:t>
      </w:r>
      <w:r w:rsidRPr="00DC07FC">
        <w:rPr>
          <w:rFonts w:ascii="Bookman Old Style" w:hAnsi="Bookman Old Style"/>
          <w:bCs/>
          <w:color w:val="000000" w:themeColor="text1"/>
          <w:lang w:eastAsia="x-none"/>
        </w:rPr>
        <w:t xml:space="preserve"> se iniciará a partir de la fecha en que el gestor </w:t>
      </w:r>
      <w:r w:rsidRPr="00014E23">
        <w:rPr>
          <w:rFonts w:ascii="Bookman Old Style" w:hAnsi="Bookman Old Style"/>
          <w:bCs/>
          <w:color w:val="000000" w:themeColor="text1"/>
          <w:lang w:eastAsia="x-none"/>
        </w:rPr>
        <w:t xml:space="preserve">del mercado de GLP </w:t>
      </w:r>
      <w:r w:rsidRPr="00014E23">
        <w:rPr>
          <w:rFonts w:ascii="Bookman Old Style" w:hAnsi="Bookman Old Style"/>
          <w:color w:val="000000" w:themeColor="text1"/>
        </w:rPr>
        <w:t>inicie la prestación de sus servicios</w:t>
      </w:r>
      <w:r w:rsidRPr="00014E23">
        <w:rPr>
          <w:rFonts w:ascii="Bookman Old Style" w:hAnsi="Bookman Old Style"/>
          <w:bCs/>
          <w:color w:val="000000" w:themeColor="text1"/>
          <w:lang w:eastAsia="x-none"/>
        </w:rPr>
        <w:t xml:space="preserve">. El </w:t>
      </w:r>
      <w:r w:rsidRPr="00014E23" w:rsidDel="000A3BBE">
        <w:rPr>
          <w:rFonts w:ascii="Bookman Old Style" w:hAnsi="Bookman Old Style"/>
          <w:color w:val="000000" w:themeColor="text1"/>
        </w:rPr>
        <w:t xml:space="preserve">registro se deberá realizar dentro de los </w:t>
      </w:r>
      <w:r w:rsidRPr="00014E23">
        <w:rPr>
          <w:rFonts w:ascii="Bookman Old Style" w:hAnsi="Bookman Old Style"/>
          <w:color w:val="000000" w:themeColor="text1"/>
        </w:rPr>
        <w:t>cinco (5)</w:t>
      </w:r>
      <w:r w:rsidRPr="00014E23" w:rsidDel="000A3BBE">
        <w:rPr>
          <w:rFonts w:ascii="Bookman Old Style" w:hAnsi="Bookman Old Style"/>
          <w:color w:val="000000" w:themeColor="text1"/>
        </w:rPr>
        <w:t xml:space="preserve"> días hábiles siguientes a</w:t>
      </w:r>
      <w:r w:rsidRPr="00014E23">
        <w:rPr>
          <w:rFonts w:ascii="Bookman Old Style" w:hAnsi="Bookman Old Style"/>
          <w:color w:val="000000" w:themeColor="text1"/>
        </w:rPr>
        <w:t xml:space="preserve"> </w:t>
      </w:r>
      <w:r w:rsidRPr="00014E23" w:rsidDel="000A3BBE">
        <w:rPr>
          <w:rFonts w:ascii="Bookman Old Style" w:hAnsi="Bookman Old Style"/>
          <w:color w:val="000000" w:themeColor="text1"/>
        </w:rPr>
        <w:t>l</w:t>
      </w:r>
      <w:r w:rsidRPr="00014E23">
        <w:rPr>
          <w:rFonts w:ascii="Bookman Old Style" w:hAnsi="Bookman Old Style"/>
          <w:color w:val="000000" w:themeColor="text1"/>
        </w:rPr>
        <w:t>a</w:t>
      </w:r>
      <w:r w:rsidRPr="00014E23" w:rsidDel="000A3BBE">
        <w:rPr>
          <w:rFonts w:ascii="Bookman Old Style" w:hAnsi="Bookman Old Style"/>
          <w:color w:val="000000" w:themeColor="text1"/>
        </w:rPr>
        <w:t xml:space="preserve"> </w:t>
      </w:r>
      <w:r w:rsidRPr="00014E23">
        <w:rPr>
          <w:rFonts w:ascii="Bookman Old Style" w:hAnsi="Bookman Old Style"/>
          <w:color w:val="000000" w:themeColor="text1"/>
        </w:rPr>
        <w:t>suscripción</w:t>
      </w:r>
      <w:r w:rsidRPr="00014E23" w:rsidDel="000A3BBE">
        <w:rPr>
          <w:rFonts w:ascii="Bookman Old Style" w:hAnsi="Bookman Old Style"/>
          <w:color w:val="000000" w:themeColor="text1"/>
        </w:rPr>
        <w:t xml:space="preserve"> del contrato.</w:t>
      </w:r>
    </w:p>
    <w:p w:rsidR="00132F2C" w:rsidRPr="00014E23" w:rsidRDefault="00132F2C" w:rsidP="00132F2C">
      <w:pPr>
        <w:ind w:left="0"/>
        <w:contextualSpacing/>
        <w:jc w:val="both"/>
        <w:rPr>
          <w:rFonts w:ascii="Bookman Old Style" w:hAnsi="Bookman Old Style"/>
          <w:color w:val="000000" w:themeColor="text1"/>
        </w:rPr>
      </w:pPr>
    </w:p>
    <w:p w:rsidR="00132F2C" w:rsidRPr="00014E23" w:rsidRDefault="00132F2C" w:rsidP="00132F2C">
      <w:pPr>
        <w:ind w:left="0"/>
        <w:contextualSpacing/>
        <w:jc w:val="both"/>
        <w:rPr>
          <w:rFonts w:ascii="Bookman Old Style" w:hAnsi="Bookman Old Style"/>
          <w:bCs/>
          <w:color w:val="000000" w:themeColor="text1"/>
          <w:lang w:eastAsia="x-none"/>
        </w:rPr>
      </w:pPr>
      <w:r w:rsidRPr="00014E23">
        <w:rPr>
          <w:rFonts w:ascii="Bookman Old Style" w:hAnsi="Bookman Old Style"/>
          <w:bCs/>
          <w:color w:val="000000" w:themeColor="text1"/>
          <w:lang w:eastAsia="x-none"/>
        </w:rPr>
        <w:t>Para el registro de dichos contratos el gestor del mercado de GLP se sujetará a las siguientes disposiciones:</w:t>
      </w:r>
    </w:p>
    <w:p w:rsidR="00132F2C" w:rsidRPr="00014E23" w:rsidRDefault="00132F2C" w:rsidP="00132F2C">
      <w:pPr>
        <w:pStyle w:val="ARTICULOS"/>
        <w:contextualSpacing/>
        <w:rPr>
          <w:color w:val="000000" w:themeColor="text1"/>
          <w:lang w:val="es-ES"/>
        </w:rPr>
      </w:pPr>
    </w:p>
    <w:p w:rsidR="00132F2C" w:rsidRPr="00DC07FC"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r w:rsidRPr="00014E23">
        <w:rPr>
          <w:rFonts w:ascii="Bookman Old Style" w:hAnsi="Bookman Old Style"/>
          <w:bCs/>
          <w:color w:val="000000" w:themeColor="text1"/>
          <w:lang w:eastAsia="x-none"/>
        </w:rPr>
        <w:t xml:space="preserve">El gestor del mercado registrará los contratos con base en la </w:t>
      </w:r>
      <w:r w:rsidRPr="00014E23">
        <w:rPr>
          <w:rFonts w:ascii="Bookman Old Style" w:hAnsi="Bookman Old Style" w:cs="Arial"/>
          <w:color w:val="000000" w:themeColor="text1"/>
        </w:rPr>
        <w:t>información declarada por los comercializadores mayoristas.</w:t>
      </w:r>
    </w:p>
    <w:p w:rsidR="00132F2C" w:rsidRPr="00DC07FC" w:rsidRDefault="00132F2C" w:rsidP="00132F2C">
      <w:pPr>
        <w:pStyle w:val="ARTICULOS"/>
        <w:rPr>
          <w:rFonts w:cs="Arial"/>
          <w:color w:val="000000" w:themeColor="text1"/>
          <w:lang w:val="es-ES"/>
        </w:rPr>
      </w:pPr>
    </w:p>
    <w:p w:rsidR="00132F2C" w:rsidRPr="00DC07FC" w:rsidRDefault="00132F2C" w:rsidP="002008A8">
      <w:pPr>
        <w:pStyle w:val="ARTICULOS"/>
        <w:numPr>
          <w:ilvl w:val="1"/>
          <w:numId w:val="55"/>
        </w:numPr>
        <w:tabs>
          <w:tab w:val="left" w:pos="1701"/>
        </w:tabs>
        <w:contextualSpacing/>
        <w:outlineLvl w:val="1"/>
      </w:pPr>
      <w:r w:rsidRPr="00DC07FC">
        <w:t>Publicación de información sobre negociaciones entre comercializadores mayoristas y usuarios no regulados</w:t>
      </w:r>
    </w:p>
    <w:p w:rsidR="00132F2C" w:rsidRPr="00DC07FC" w:rsidRDefault="00132F2C" w:rsidP="00132F2C">
      <w:pPr>
        <w:pStyle w:val="ARTICULOS"/>
        <w:rPr>
          <w:rFonts w:cs="Arial"/>
          <w:color w:val="000000" w:themeColor="text1"/>
          <w:lang w:val="es-ES"/>
        </w:rPr>
      </w:pPr>
    </w:p>
    <w:p w:rsidR="00132F2C" w:rsidRPr="00014E23" w:rsidRDefault="00132F2C" w:rsidP="00132F2C">
      <w:pPr>
        <w:pStyle w:val="ARTICULOS"/>
        <w:rPr>
          <w:lang w:val="es-CO"/>
        </w:rPr>
      </w:pPr>
      <w:r w:rsidRPr="00014E23">
        <w:rPr>
          <w:color w:val="000000" w:themeColor="text1"/>
          <w:lang w:val="es-CO"/>
        </w:rPr>
        <w:t xml:space="preserve">De acuerdo </w:t>
      </w:r>
      <w:r w:rsidR="00014E23" w:rsidRPr="00014E23">
        <w:rPr>
          <w:color w:val="000000" w:themeColor="text1"/>
          <w:lang w:val="es-CO"/>
        </w:rPr>
        <w:t xml:space="preserve">con </w:t>
      </w:r>
      <w:r w:rsidRPr="00014E23">
        <w:rPr>
          <w:color w:val="000000" w:themeColor="text1"/>
          <w:lang w:val="es-CO"/>
        </w:rPr>
        <w:t>la información</w:t>
      </w:r>
      <w:r w:rsidRPr="00014E23">
        <w:rPr>
          <w:color w:val="000000" w:themeColor="text1"/>
        </w:rPr>
        <w:t xml:space="preserve"> </w:t>
      </w:r>
      <w:r w:rsidRPr="00014E23">
        <w:rPr>
          <w:color w:val="000000" w:themeColor="text1"/>
          <w:lang w:val="es-CO"/>
        </w:rPr>
        <w:t>declarada por los comercializadores mayoristas</w:t>
      </w:r>
      <w:r w:rsidRPr="00014E23">
        <w:rPr>
          <w:color w:val="000000" w:themeColor="text1"/>
        </w:rPr>
        <w:t xml:space="preserve">, el gestor del mercado </w:t>
      </w:r>
      <w:r w:rsidRPr="00014E23">
        <w:rPr>
          <w:color w:val="000000" w:themeColor="text1"/>
          <w:lang w:val="es-CO"/>
        </w:rPr>
        <w:t xml:space="preserve">de GLP </w:t>
      </w:r>
      <w:r w:rsidRPr="00014E23">
        <w:rPr>
          <w:color w:val="000000" w:themeColor="text1"/>
        </w:rPr>
        <w:t xml:space="preserve">publicará lo siguiente en el </w:t>
      </w:r>
      <w:r w:rsidRPr="00014E23">
        <w:rPr>
          <w:color w:val="000000" w:themeColor="text1"/>
          <w:lang w:val="es-CO"/>
        </w:rPr>
        <w:t>SIMM</w:t>
      </w:r>
      <w:r w:rsidRPr="00014E23">
        <w:rPr>
          <w:color w:val="000000" w:themeColor="text1"/>
        </w:rPr>
        <w:t>, el quinto día hábil de cada mes</w:t>
      </w:r>
      <w:r w:rsidRPr="00014E23">
        <w:rPr>
          <w:color w:val="000000" w:themeColor="text1"/>
          <w:lang w:val="es-CO"/>
        </w:rPr>
        <w:t>:</w:t>
      </w:r>
    </w:p>
    <w:p w:rsidR="00132F2C" w:rsidRPr="00014E23" w:rsidRDefault="00132F2C" w:rsidP="00132F2C">
      <w:pPr>
        <w:autoSpaceDE w:val="0"/>
        <w:autoSpaceDN w:val="0"/>
        <w:adjustRightInd w:val="0"/>
        <w:ind w:left="0"/>
        <w:contextualSpacing/>
        <w:jc w:val="both"/>
        <w:rPr>
          <w:rFonts w:ascii="Bookman Old Style" w:hAnsi="Bookman Old Style" w:cs="Arial"/>
          <w:color w:val="000000" w:themeColor="text1"/>
        </w:rPr>
      </w:pPr>
    </w:p>
    <w:p w:rsidR="00132F2C" w:rsidRPr="00DC07FC" w:rsidRDefault="00132F2C" w:rsidP="00211441">
      <w:pPr>
        <w:pStyle w:val="Prrafodelista"/>
        <w:numPr>
          <w:ilvl w:val="0"/>
          <w:numId w:val="63"/>
        </w:numPr>
        <w:ind w:left="567" w:hanging="567"/>
        <w:contextualSpacing/>
        <w:jc w:val="both"/>
        <w:rPr>
          <w:rFonts w:ascii="Bookman Old Style" w:hAnsi="Bookman Old Style" w:cs="Arial"/>
          <w:color w:val="000000" w:themeColor="text1"/>
          <w:sz w:val="24"/>
          <w:szCs w:val="24"/>
          <w:lang w:val="es-ES"/>
        </w:rPr>
      </w:pPr>
      <w:r w:rsidRPr="00014E23">
        <w:rPr>
          <w:rFonts w:ascii="Bookman Old Style" w:hAnsi="Bookman Old Style" w:cs="Arial"/>
          <w:color w:val="000000" w:themeColor="text1"/>
          <w:sz w:val="24"/>
          <w:szCs w:val="24"/>
          <w:lang w:val="es-ES"/>
        </w:rPr>
        <w:t>La cantidad</w:t>
      </w:r>
      <w:r w:rsidRPr="00DC07FC">
        <w:rPr>
          <w:rFonts w:ascii="Bookman Old Style" w:hAnsi="Bookman Old Style" w:cs="Arial"/>
          <w:color w:val="000000" w:themeColor="text1"/>
          <w:sz w:val="24"/>
          <w:szCs w:val="24"/>
          <w:lang w:val="es-ES"/>
        </w:rPr>
        <w:t xml:space="preserve"> total de GLP negociada, para cada punto de entrega, en los contratos de suministro de GLP con UNR.</w:t>
      </w:r>
    </w:p>
    <w:p w:rsidR="00132F2C" w:rsidRPr="00DC07FC" w:rsidRDefault="00132F2C" w:rsidP="00211441">
      <w:pPr>
        <w:ind w:hanging="567"/>
        <w:contextualSpacing/>
        <w:jc w:val="both"/>
        <w:rPr>
          <w:rFonts w:ascii="Bookman Old Style" w:hAnsi="Bookman Old Style" w:cs="Arial"/>
          <w:color w:val="000000" w:themeColor="text1"/>
        </w:rPr>
      </w:pPr>
    </w:p>
    <w:p w:rsidR="00132F2C" w:rsidRPr="00DC07FC" w:rsidRDefault="00132F2C" w:rsidP="00211441">
      <w:pPr>
        <w:pStyle w:val="Prrafodelista"/>
        <w:numPr>
          <w:ilvl w:val="0"/>
          <w:numId w:val="63"/>
        </w:numPr>
        <w:ind w:left="567" w:hanging="567"/>
        <w:contextualSpacing/>
        <w:jc w:val="both"/>
        <w:rPr>
          <w:rFonts w:ascii="Bookman Old Style" w:hAnsi="Bookman Old Style" w:cs="Arial"/>
          <w:color w:val="000000" w:themeColor="text1"/>
          <w:sz w:val="24"/>
          <w:szCs w:val="24"/>
          <w:lang w:val="es-ES"/>
        </w:rPr>
      </w:pPr>
      <w:r w:rsidRPr="00DC07FC">
        <w:rPr>
          <w:rFonts w:ascii="Bookman Old Style" w:hAnsi="Bookman Old Style" w:cs="Arial"/>
          <w:color w:val="000000" w:themeColor="text1"/>
          <w:sz w:val="24"/>
          <w:szCs w:val="24"/>
          <w:lang w:val="es-ES"/>
        </w:rPr>
        <w:t>El precio promedio, ponderado por cantidades, del GLP negociado para cada punto de entrega, en los contratos de suministro de GLP con UNR.</w:t>
      </w:r>
    </w:p>
    <w:p w:rsidR="00132F2C" w:rsidRPr="00DC07FC" w:rsidRDefault="00132F2C" w:rsidP="00132F2C">
      <w:pPr>
        <w:ind w:left="0"/>
        <w:contextualSpacing/>
        <w:jc w:val="both"/>
        <w:rPr>
          <w:rFonts w:ascii="Bookman Old Style" w:hAnsi="Bookman Old Style" w:cs="Arial"/>
          <w:color w:val="000000" w:themeColor="text1"/>
        </w:rPr>
      </w:pPr>
    </w:p>
    <w:p w:rsidR="00132F2C" w:rsidRPr="00DC07FC" w:rsidRDefault="00132F2C" w:rsidP="00132F2C">
      <w:pPr>
        <w:autoSpaceDE w:val="0"/>
        <w:autoSpaceDN w:val="0"/>
        <w:adjustRightInd w:val="0"/>
        <w:ind w:left="0"/>
        <w:contextualSpacing/>
        <w:jc w:val="both"/>
        <w:rPr>
          <w:rFonts w:ascii="Bookman Old Style" w:hAnsi="Bookman Old Style" w:cs="Arial"/>
          <w:color w:val="000000" w:themeColor="text1"/>
        </w:rPr>
      </w:pPr>
      <w:r w:rsidRPr="00DC07FC">
        <w:rPr>
          <w:rFonts w:ascii="Bookman Old Style" w:hAnsi="Bookman Old Style"/>
          <w:bCs/>
          <w:color w:val="000000" w:themeColor="text1"/>
          <w:lang w:eastAsia="x-none"/>
        </w:rPr>
        <w:t xml:space="preserve">Cuando los usuarios </w:t>
      </w:r>
      <w:r w:rsidRPr="00DC07FC">
        <w:rPr>
          <w:rFonts w:ascii="Bookman Old Style" w:hAnsi="Bookman Old Style"/>
          <w:color w:val="000000" w:themeColor="text1"/>
        </w:rPr>
        <w:t>no regulados</w:t>
      </w:r>
      <w:r w:rsidRPr="00DC07FC">
        <w:rPr>
          <w:rFonts w:ascii="Bookman Old Style" w:hAnsi="Bookman Old Style"/>
          <w:bCs/>
          <w:color w:val="000000" w:themeColor="text1"/>
          <w:lang w:eastAsia="x-none"/>
        </w:rPr>
        <w:t xml:space="preserve"> declaren información sobre los contratos suscritos con los comercializadores mayoristas, el gestor del mercado de GLP verificará </w:t>
      </w:r>
      <w:r w:rsidRPr="00DC07FC">
        <w:rPr>
          <w:rFonts w:ascii="Bookman Old Style" w:hAnsi="Bookman Old Style"/>
          <w:color w:val="000000" w:themeColor="text1"/>
        </w:rPr>
        <w:t xml:space="preserve">la consistencia entre ésta y la información declarada por los comercializadores mayoristas. </w:t>
      </w:r>
      <w:r w:rsidRPr="00DC07FC">
        <w:rPr>
          <w:rFonts w:ascii="Bookman Old Style" w:hAnsi="Bookman Old Style"/>
          <w:bCs/>
          <w:color w:val="000000" w:themeColor="text1"/>
          <w:lang w:eastAsia="x-none"/>
        </w:rPr>
        <w:t>Con base en la información consistente</w:t>
      </w:r>
      <w:r w:rsidRPr="00DC07FC">
        <w:rPr>
          <w:rFonts w:ascii="Bookman Old Style" w:hAnsi="Bookman Old Style"/>
          <w:color w:val="000000" w:themeColor="text1"/>
        </w:rPr>
        <w:t xml:space="preserve">, el gestor del mercado de GLP </w:t>
      </w:r>
      <w:r w:rsidRPr="00DC07FC">
        <w:rPr>
          <w:rFonts w:ascii="Bookman Old Style" w:hAnsi="Bookman Old Style"/>
          <w:bCs/>
          <w:color w:val="000000" w:themeColor="text1"/>
          <w:lang w:eastAsia="x-none"/>
        </w:rPr>
        <w:t>publicará el</w:t>
      </w:r>
      <w:r w:rsidRPr="00DC07FC">
        <w:rPr>
          <w:rFonts w:ascii="Bookman Old Style" w:hAnsi="Bookman Old Style" w:cs="Arial"/>
          <w:color w:val="000000" w:themeColor="text1"/>
        </w:rPr>
        <w:t xml:space="preserve"> precio promedio, ponderado por cantidades, al que se vendió GLP a usuarios no regulados, dura</w:t>
      </w:r>
      <w:r w:rsidR="00D8150A">
        <w:rPr>
          <w:rFonts w:ascii="Bookman Old Style" w:hAnsi="Bookman Old Style" w:cs="Arial"/>
          <w:color w:val="000000" w:themeColor="text1"/>
        </w:rPr>
        <w:t>nte el mes calendario anterior.</w:t>
      </w:r>
    </w:p>
    <w:p w:rsidR="00132F2C" w:rsidRPr="00DC07FC" w:rsidRDefault="00132F2C" w:rsidP="00132F2C">
      <w:pPr>
        <w:pStyle w:val="ARTICULOS"/>
        <w:rPr>
          <w:lang w:val="es-CO"/>
        </w:rPr>
      </w:pPr>
    </w:p>
    <w:p w:rsidR="00952BD8" w:rsidRPr="00DC07FC" w:rsidRDefault="00952BD8" w:rsidP="00132F2C">
      <w:pPr>
        <w:pStyle w:val="ARTICULOS"/>
        <w:rPr>
          <w:lang w:val="es-CO"/>
        </w:rPr>
      </w:pPr>
    </w:p>
    <w:p w:rsidR="00132F2C" w:rsidRPr="00DC07FC" w:rsidRDefault="00132F2C" w:rsidP="002008A8">
      <w:pPr>
        <w:pStyle w:val="ARTICULOS"/>
        <w:numPr>
          <w:ilvl w:val="0"/>
          <w:numId w:val="55"/>
        </w:numPr>
        <w:tabs>
          <w:tab w:val="left" w:pos="1701"/>
        </w:tabs>
        <w:contextualSpacing/>
        <w:outlineLvl w:val="0"/>
        <w:rPr>
          <w:rFonts w:cs="Arial"/>
          <w:b/>
          <w:color w:val="000000" w:themeColor="text1"/>
          <w:lang w:val="es-CO"/>
        </w:rPr>
      </w:pPr>
      <w:r w:rsidRPr="00DC07FC">
        <w:rPr>
          <w:rFonts w:cs="Arial"/>
          <w:b/>
          <w:color w:val="000000" w:themeColor="text1"/>
          <w:lang w:val="es-CO"/>
        </w:rPr>
        <w:t>INFORMACIÓN OPERATIVA</w:t>
      </w:r>
    </w:p>
    <w:p w:rsidR="00132F2C" w:rsidRPr="00DC07FC" w:rsidRDefault="00132F2C" w:rsidP="00AB1465">
      <w:pPr>
        <w:pStyle w:val="ARTICULOS"/>
        <w:rPr>
          <w:rFonts w:eastAsiaTheme="majorEastAsia"/>
        </w:rPr>
      </w:pPr>
    </w:p>
    <w:p w:rsidR="00132F2C" w:rsidRPr="00DC07FC" w:rsidRDefault="00132F2C" w:rsidP="002008A8">
      <w:pPr>
        <w:pStyle w:val="ARTICULOS"/>
        <w:numPr>
          <w:ilvl w:val="1"/>
          <w:numId w:val="55"/>
        </w:numPr>
        <w:tabs>
          <w:tab w:val="left" w:pos="1701"/>
        </w:tabs>
        <w:contextualSpacing/>
        <w:outlineLvl w:val="1"/>
      </w:pPr>
      <w:r w:rsidRPr="00DC07FC">
        <w:t>Recopilación de información operativa</w:t>
      </w:r>
    </w:p>
    <w:p w:rsidR="00132F2C" w:rsidRPr="00DC07FC" w:rsidRDefault="00132F2C" w:rsidP="00132F2C">
      <w:pPr>
        <w:pStyle w:val="ARTICULOS"/>
        <w:contextualSpacing/>
        <w:rPr>
          <w:color w:val="000000" w:themeColor="text1"/>
          <w:lang w:val="es-ES"/>
        </w:rPr>
      </w:pPr>
    </w:p>
    <w:p w:rsidR="00132F2C"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r w:rsidRPr="00DC07FC">
        <w:rPr>
          <w:rFonts w:ascii="Bookman Old Style" w:hAnsi="Bookman Old Style"/>
          <w:bCs/>
          <w:color w:val="000000" w:themeColor="text1"/>
          <w:lang w:eastAsia="x-none"/>
        </w:rPr>
        <w:t>La declaración de la información señalada en el presente numeral se deberá realizar a través del medio y del formato que defina el gestor del mercado de GLP. Dicha declaración se hará a partir de la fecha en que el gestor del mercado de GLP inicie la prestación de sus servicios.</w:t>
      </w:r>
    </w:p>
    <w:p w:rsidR="007514D6" w:rsidRDefault="007514D6" w:rsidP="00132F2C">
      <w:pPr>
        <w:autoSpaceDE w:val="0"/>
        <w:autoSpaceDN w:val="0"/>
        <w:adjustRightInd w:val="0"/>
        <w:ind w:left="0"/>
        <w:contextualSpacing/>
        <w:jc w:val="both"/>
        <w:rPr>
          <w:rFonts w:ascii="Bookman Old Style" w:hAnsi="Bookman Old Style"/>
          <w:bCs/>
          <w:color w:val="000000" w:themeColor="text1"/>
          <w:lang w:eastAsia="x-none"/>
        </w:rPr>
      </w:pPr>
    </w:p>
    <w:p w:rsidR="007514D6" w:rsidRPr="00DC07FC" w:rsidRDefault="007514D6" w:rsidP="00132F2C">
      <w:pPr>
        <w:autoSpaceDE w:val="0"/>
        <w:autoSpaceDN w:val="0"/>
        <w:adjustRightInd w:val="0"/>
        <w:ind w:left="0"/>
        <w:contextualSpacing/>
        <w:jc w:val="both"/>
        <w:rPr>
          <w:rFonts w:ascii="Bookman Old Style" w:hAnsi="Bookman Old Style"/>
          <w:bCs/>
          <w:color w:val="000000" w:themeColor="text1"/>
          <w:lang w:eastAsia="x-none"/>
        </w:rPr>
      </w:pPr>
    </w:p>
    <w:p w:rsidR="00132F2C" w:rsidRPr="00DC07FC"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p>
    <w:p w:rsidR="00132F2C" w:rsidRPr="00DC07FC" w:rsidRDefault="00132F2C" w:rsidP="00132F2C">
      <w:pPr>
        <w:pStyle w:val="ARTICULOS"/>
        <w:contextualSpacing/>
        <w:rPr>
          <w:color w:val="000000" w:themeColor="text1"/>
          <w:lang w:val="es-ES"/>
        </w:rPr>
      </w:pPr>
      <w:r w:rsidRPr="00DC07FC">
        <w:rPr>
          <w:bCs w:val="0"/>
          <w:color w:val="000000" w:themeColor="text1"/>
        </w:rPr>
        <w:t>La no declaración de la información aquí señalada podrá ser considerada por la autoridad competente como una práctica contraria a la libre competencia. Igual consideración se podrá dar a la declaración reiterada de información inconsistente.</w:t>
      </w:r>
    </w:p>
    <w:p w:rsidR="00132F2C" w:rsidRPr="00DC07FC" w:rsidRDefault="00132F2C" w:rsidP="00132F2C">
      <w:pPr>
        <w:pStyle w:val="ARTICULOS"/>
        <w:contextualSpacing/>
        <w:rPr>
          <w:color w:val="000000" w:themeColor="text1"/>
          <w:lang w:val="es-ES"/>
        </w:rPr>
      </w:pPr>
    </w:p>
    <w:p w:rsidR="00132F2C" w:rsidRPr="00DC07FC" w:rsidRDefault="00132F2C" w:rsidP="00901EFF">
      <w:pPr>
        <w:pStyle w:val="ARTICULOS"/>
        <w:numPr>
          <w:ilvl w:val="2"/>
          <w:numId w:val="55"/>
        </w:numPr>
        <w:tabs>
          <w:tab w:val="left" w:pos="1701"/>
        </w:tabs>
        <w:contextualSpacing/>
        <w:outlineLvl w:val="2"/>
      </w:pPr>
      <w:r w:rsidRPr="00DC07FC">
        <w:t>Suministro</w:t>
      </w:r>
    </w:p>
    <w:p w:rsidR="00132F2C" w:rsidRPr="00DC07FC"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p>
    <w:p w:rsidR="00132F2C" w:rsidRPr="00DC07FC"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r w:rsidRPr="00DC07FC">
        <w:rPr>
          <w:rFonts w:ascii="Bookman Old Style" w:hAnsi="Bookman Old Style"/>
          <w:bCs/>
          <w:color w:val="000000" w:themeColor="text1"/>
          <w:lang w:eastAsia="x-none"/>
        </w:rPr>
        <w:t>Los comercializadores mayoristas deberán declarar al gestor del mercado de GLP la siguiente información operativa:</w:t>
      </w:r>
    </w:p>
    <w:p w:rsidR="00132F2C" w:rsidRPr="00DC07FC"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p>
    <w:p w:rsidR="00132F2C" w:rsidRPr="00DC07FC" w:rsidRDefault="00AF5284" w:rsidP="00211441">
      <w:pPr>
        <w:pStyle w:val="Prrafodelista"/>
        <w:numPr>
          <w:ilvl w:val="0"/>
          <w:numId w:val="64"/>
        </w:numPr>
        <w:ind w:left="567" w:hanging="567"/>
        <w:contextualSpacing/>
        <w:jc w:val="both"/>
        <w:rPr>
          <w:rFonts w:ascii="Bookman Old Style" w:hAnsi="Bookman Old Style" w:cs="Arial"/>
          <w:color w:val="000000" w:themeColor="text1"/>
          <w:sz w:val="24"/>
          <w:szCs w:val="24"/>
          <w:lang w:val="es-ES"/>
        </w:rPr>
      </w:pPr>
      <w:r>
        <w:rPr>
          <w:rFonts w:ascii="Bookman Old Style" w:hAnsi="Bookman Old Style" w:cs="Arial"/>
          <w:color w:val="000000" w:themeColor="text1"/>
          <w:sz w:val="24"/>
          <w:szCs w:val="24"/>
          <w:lang w:val="es-ES"/>
        </w:rPr>
        <w:t>Diariamente, la c</w:t>
      </w:r>
      <w:r w:rsidR="00132F2C" w:rsidRPr="00DC07FC">
        <w:rPr>
          <w:rFonts w:ascii="Bookman Old Style" w:hAnsi="Bookman Old Style" w:cs="Arial"/>
          <w:color w:val="000000" w:themeColor="text1"/>
          <w:sz w:val="24"/>
          <w:szCs w:val="24"/>
          <w:lang w:val="es-ES"/>
        </w:rPr>
        <w:t>antidad de GLP</w:t>
      </w:r>
      <w:r w:rsidRPr="00DC07FC">
        <w:rPr>
          <w:rFonts w:ascii="Bookman Old Style" w:hAnsi="Bookman Old Style" w:cs="Arial"/>
          <w:color w:val="000000" w:themeColor="text1"/>
          <w:sz w:val="24"/>
          <w:szCs w:val="24"/>
          <w:lang w:val="es-ES"/>
        </w:rPr>
        <w:t>, expresada en KG</w:t>
      </w:r>
      <w:r>
        <w:rPr>
          <w:rFonts w:ascii="Bookman Old Style" w:hAnsi="Bookman Old Style" w:cs="Arial"/>
          <w:color w:val="000000" w:themeColor="text1"/>
          <w:sz w:val="24"/>
          <w:szCs w:val="24"/>
          <w:lang w:val="es-ES"/>
        </w:rPr>
        <w:t>,</w:t>
      </w:r>
      <w:r w:rsidR="00132F2C" w:rsidRPr="00DC07FC">
        <w:rPr>
          <w:rFonts w:ascii="Bookman Old Style" w:hAnsi="Bookman Old Style" w:cs="Arial"/>
          <w:color w:val="000000" w:themeColor="text1"/>
          <w:sz w:val="24"/>
          <w:szCs w:val="24"/>
          <w:lang w:val="es-ES"/>
        </w:rPr>
        <w:t xml:space="preserve"> </w:t>
      </w:r>
      <w:r>
        <w:rPr>
          <w:rFonts w:ascii="Bookman Old Style" w:hAnsi="Bookman Old Style" w:cs="Arial"/>
          <w:color w:val="000000" w:themeColor="text1"/>
          <w:sz w:val="24"/>
          <w:szCs w:val="24"/>
          <w:lang w:val="es-ES"/>
        </w:rPr>
        <w:t>nominada por</w:t>
      </w:r>
      <w:r w:rsidR="00132F2C" w:rsidRPr="00DC07FC">
        <w:rPr>
          <w:rFonts w:ascii="Bookman Old Style" w:hAnsi="Bookman Old Style" w:cs="Arial"/>
          <w:color w:val="000000" w:themeColor="text1"/>
          <w:sz w:val="24"/>
          <w:szCs w:val="24"/>
          <w:lang w:val="es-ES"/>
        </w:rPr>
        <w:t xml:space="preserve"> cada punto de entrega del comercializador mayorista</w:t>
      </w:r>
      <w:r>
        <w:rPr>
          <w:rFonts w:ascii="Bookman Old Style" w:hAnsi="Bookman Old Style" w:cs="Arial"/>
          <w:color w:val="000000" w:themeColor="text1"/>
          <w:sz w:val="24"/>
          <w:szCs w:val="24"/>
          <w:lang w:val="es-ES"/>
        </w:rPr>
        <w:t xml:space="preserve">, identificando </w:t>
      </w:r>
      <w:r w:rsidR="00132F2C" w:rsidRPr="00DC07FC">
        <w:rPr>
          <w:rFonts w:ascii="Bookman Old Style" w:hAnsi="Bookman Old Style" w:cs="Arial"/>
          <w:color w:val="000000" w:themeColor="text1"/>
          <w:sz w:val="24"/>
          <w:szCs w:val="24"/>
          <w:lang w:val="es-ES"/>
        </w:rPr>
        <w:t xml:space="preserve">la contraparte que </w:t>
      </w:r>
      <w:proofErr w:type="spellStart"/>
      <w:r>
        <w:rPr>
          <w:rFonts w:ascii="Bookman Old Style" w:hAnsi="Bookman Old Style" w:cs="Arial"/>
          <w:color w:val="000000" w:themeColor="text1"/>
          <w:sz w:val="24"/>
          <w:szCs w:val="24"/>
          <w:lang w:val="es-ES"/>
        </w:rPr>
        <w:t>nomina</w:t>
      </w:r>
      <w:proofErr w:type="spellEnd"/>
      <w:r>
        <w:rPr>
          <w:rFonts w:ascii="Bookman Old Style" w:hAnsi="Bookman Old Style" w:cs="Arial"/>
          <w:color w:val="000000" w:themeColor="text1"/>
          <w:sz w:val="24"/>
          <w:szCs w:val="24"/>
          <w:lang w:val="es-ES"/>
        </w:rPr>
        <w:t xml:space="preserve"> y el contrato de suministro al que corresponde</w:t>
      </w:r>
      <w:r w:rsidR="00132F2C" w:rsidRPr="00DC07FC">
        <w:rPr>
          <w:rFonts w:ascii="Bookman Old Style" w:hAnsi="Bookman Old Style" w:cs="Arial"/>
          <w:color w:val="000000" w:themeColor="text1"/>
          <w:sz w:val="24"/>
          <w:szCs w:val="24"/>
          <w:lang w:val="es-ES"/>
        </w:rPr>
        <w:t>.</w:t>
      </w:r>
    </w:p>
    <w:p w:rsidR="00211441" w:rsidRPr="00DC07FC" w:rsidRDefault="00211441" w:rsidP="00211441">
      <w:pPr>
        <w:pStyle w:val="Prrafodelista"/>
        <w:ind w:left="567"/>
        <w:contextualSpacing/>
        <w:jc w:val="both"/>
        <w:rPr>
          <w:rFonts w:ascii="Bookman Old Style" w:hAnsi="Bookman Old Style" w:cs="Arial"/>
          <w:color w:val="000000" w:themeColor="text1"/>
          <w:sz w:val="24"/>
          <w:szCs w:val="24"/>
          <w:lang w:val="es-ES"/>
        </w:rPr>
      </w:pPr>
    </w:p>
    <w:p w:rsidR="00132F2C" w:rsidRPr="00DC07FC" w:rsidRDefault="00AF5284" w:rsidP="00211441">
      <w:pPr>
        <w:pStyle w:val="Prrafodelista"/>
        <w:numPr>
          <w:ilvl w:val="0"/>
          <w:numId w:val="64"/>
        </w:numPr>
        <w:ind w:left="567" w:hanging="567"/>
        <w:contextualSpacing/>
        <w:jc w:val="both"/>
        <w:rPr>
          <w:rFonts w:ascii="Bookman Old Style" w:hAnsi="Bookman Old Style" w:cs="Arial"/>
          <w:color w:val="000000" w:themeColor="text1"/>
          <w:sz w:val="24"/>
          <w:szCs w:val="24"/>
          <w:lang w:val="es-ES"/>
        </w:rPr>
      </w:pPr>
      <w:r>
        <w:rPr>
          <w:rFonts w:ascii="Bookman Old Style" w:hAnsi="Bookman Old Style" w:cs="Arial"/>
          <w:color w:val="000000" w:themeColor="text1"/>
          <w:sz w:val="24"/>
          <w:szCs w:val="24"/>
          <w:lang w:val="es-ES"/>
        </w:rPr>
        <w:t>Diariamente, la c</w:t>
      </w:r>
      <w:r w:rsidRPr="00DC07FC">
        <w:rPr>
          <w:rFonts w:ascii="Bookman Old Style" w:hAnsi="Bookman Old Style" w:cs="Arial"/>
          <w:color w:val="000000" w:themeColor="text1"/>
          <w:sz w:val="24"/>
          <w:szCs w:val="24"/>
          <w:lang w:val="es-ES"/>
        </w:rPr>
        <w:t>antidad de GLP, expresada en KG</w:t>
      </w:r>
      <w:r>
        <w:rPr>
          <w:rFonts w:ascii="Bookman Old Style" w:hAnsi="Bookman Old Style" w:cs="Arial"/>
          <w:color w:val="000000" w:themeColor="text1"/>
          <w:sz w:val="24"/>
          <w:szCs w:val="24"/>
          <w:lang w:val="es-ES"/>
        </w:rPr>
        <w:t>,</w:t>
      </w:r>
      <w:r w:rsidRPr="00DC07FC">
        <w:rPr>
          <w:rFonts w:ascii="Bookman Old Style" w:hAnsi="Bookman Old Style" w:cs="Arial"/>
          <w:color w:val="000000" w:themeColor="text1"/>
          <w:sz w:val="24"/>
          <w:szCs w:val="24"/>
          <w:lang w:val="es-ES"/>
        </w:rPr>
        <w:t xml:space="preserve"> </w:t>
      </w:r>
      <w:r>
        <w:rPr>
          <w:rFonts w:ascii="Bookman Old Style" w:hAnsi="Bookman Old Style" w:cs="Arial"/>
          <w:color w:val="000000" w:themeColor="text1"/>
          <w:sz w:val="24"/>
          <w:szCs w:val="24"/>
          <w:lang w:val="es-ES"/>
        </w:rPr>
        <w:t xml:space="preserve">efectivamente </w:t>
      </w:r>
      <w:r w:rsidRPr="00DC07FC">
        <w:rPr>
          <w:rFonts w:ascii="Bookman Old Style" w:hAnsi="Bookman Old Style" w:cs="Arial"/>
          <w:color w:val="000000" w:themeColor="text1"/>
          <w:sz w:val="24"/>
          <w:szCs w:val="24"/>
          <w:lang w:val="es-ES"/>
        </w:rPr>
        <w:t xml:space="preserve">entregada </w:t>
      </w:r>
      <w:r>
        <w:rPr>
          <w:rFonts w:ascii="Bookman Old Style" w:hAnsi="Bookman Old Style" w:cs="Arial"/>
          <w:color w:val="000000" w:themeColor="text1"/>
          <w:sz w:val="24"/>
          <w:szCs w:val="24"/>
          <w:lang w:val="es-ES"/>
        </w:rPr>
        <w:t>por</w:t>
      </w:r>
      <w:r w:rsidRPr="00DC07FC">
        <w:rPr>
          <w:rFonts w:ascii="Bookman Old Style" w:hAnsi="Bookman Old Style" w:cs="Arial"/>
          <w:color w:val="000000" w:themeColor="text1"/>
          <w:sz w:val="24"/>
          <w:szCs w:val="24"/>
          <w:lang w:val="es-ES"/>
        </w:rPr>
        <w:t xml:space="preserve"> cada punto de entrega del comercializador mayorista</w:t>
      </w:r>
      <w:r>
        <w:rPr>
          <w:rFonts w:ascii="Bookman Old Style" w:hAnsi="Bookman Old Style" w:cs="Arial"/>
          <w:color w:val="000000" w:themeColor="text1"/>
          <w:sz w:val="24"/>
          <w:szCs w:val="24"/>
          <w:lang w:val="es-ES"/>
        </w:rPr>
        <w:t xml:space="preserve">, identificando </w:t>
      </w:r>
      <w:r w:rsidRPr="00DC07FC">
        <w:rPr>
          <w:rFonts w:ascii="Bookman Old Style" w:hAnsi="Bookman Old Style" w:cs="Arial"/>
          <w:color w:val="000000" w:themeColor="text1"/>
          <w:sz w:val="24"/>
          <w:szCs w:val="24"/>
          <w:lang w:val="es-ES"/>
        </w:rPr>
        <w:t>la contraparte que recibe</w:t>
      </w:r>
      <w:r>
        <w:rPr>
          <w:rFonts w:ascii="Bookman Old Style" w:hAnsi="Bookman Old Style" w:cs="Arial"/>
          <w:color w:val="000000" w:themeColor="text1"/>
          <w:sz w:val="24"/>
          <w:szCs w:val="24"/>
          <w:lang w:val="es-ES"/>
        </w:rPr>
        <w:t xml:space="preserve"> y el contrato de suministro al que corresponde</w:t>
      </w:r>
      <w:r w:rsidRPr="00DC07FC">
        <w:rPr>
          <w:rFonts w:ascii="Bookman Old Style" w:hAnsi="Bookman Old Style" w:cs="Arial"/>
          <w:color w:val="000000" w:themeColor="text1"/>
          <w:sz w:val="24"/>
          <w:szCs w:val="24"/>
          <w:lang w:val="es-ES"/>
        </w:rPr>
        <w:t>.</w:t>
      </w:r>
    </w:p>
    <w:p w:rsidR="00211441" w:rsidRPr="00DC07FC" w:rsidRDefault="00211441" w:rsidP="00211441">
      <w:pPr>
        <w:pStyle w:val="Prrafodelista"/>
        <w:ind w:left="567"/>
        <w:contextualSpacing/>
        <w:jc w:val="both"/>
        <w:rPr>
          <w:rFonts w:ascii="Bookman Old Style" w:hAnsi="Bookman Old Style" w:cs="Arial"/>
          <w:color w:val="000000" w:themeColor="text1"/>
          <w:sz w:val="24"/>
          <w:szCs w:val="24"/>
          <w:lang w:val="es-ES"/>
        </w:rPr>
      </w:pPr>
    </w:p>
    <w:p w:rsidR="00132F2C" w:rsidRPr="00DC07FC" w:rsidRDefault="00AF5284" w:rsidP="00211441">
      <w:pPr>
        <w:pStyle w:val="Prrafodelista"/>
        <w:numPr>
          <w:ilvl w:val="0"/>
          <w:numId w:val="64"/>
        </w:numPr>
        <w:ind w:left="567" w:hanging="567"/>
        <w:contextualSpacing/>
        <w:jc w:val="both"/>
        <w:rPr>
          <w:rFonts w:ascii="Bookman Old Style" w:hAnsi="Bookman Old Style" w:cs="Arial"/>
          <w:color w:val="000000" w:themeColor="text1"/>
          <w:sz w:val="24"/>
          <w:szCs w:val="24"/>
          <w:lang w:val="es-ES"/>
        </w:rPr>
      </w:pPr>
      <w:r>
        <w:rPr>
          <w:rFonts w:ascii="Bookman Old Style" w:hAnsi="Bookman Old Style" w:cs="Arial"/>
          <w:color w:val="000000" w:themeColor="text1"/>
          <w:sz w:val="24"/>
          <w:szCs w:val="24"/>
          <w:lang w:val="es-ES"/>
        </w:rPr>
        <w:t>Diariamente, c</w:t>
      </w:r>
      <w:r w:rsidR="00132F2C" w:rsidRPr="00DC07FC">
        <w:rPr>
          <w:rFonts w:ascii="Bookman Old Style" w:hAnsi="Bookman Old Style" w:cs="Arial"/>
          <w:color w:val="000000" w:themeColor="text1"/>
          <w:sz w:val="24"/>
          <w:szCs w:val="24"/>
          <w:lang w:val="es-ES"/>
        </w:rPr>
        <w:t xml:space="preserve">antidad de GLP exportada, expresada en KG, </w:t>
      </w:r>
      <w:r w:rsidR="00D51CC5">
        <w:rPr>
          <w:rFonts w:ascii="Bookman Old Style" w:hAnsi="Bookman Old Style" w:cs="Arial"/>
          <w:color w:val="000000" w:themeColor="text1"/>
          <w:sz w:val="24"/>
          <w:szCs w:val="24"/>
          <w:lang w:val="es-ES"/>
        </w:rPr>
        <w:t>identificando si el GLP corresponde a contratos derivados del mecanismo de desarrollo de nueva oferta, a GLP ofrecido pero no adjudicado en el mecanismo de subasta o a GLP ofrecido pero no adjudicado en un proceso de asignación administrada</w:t>
      </w:r>
      <w:r w:rsidR="00132F2C" w:rsidRPr="00DC07FC">
        <w:rPr>
          <w:rFonts w:ascii="Bookman Old Style" w:hAnsi="Bookman Old Style" w:cs="Arial"/>
          <w:color w:val="000000" w:themeColor="text1"/>
          <w:sz w:val="24"/>
          <w:szCs w:val="24"/>
          <w:lang w:val="es-ES"/>
        </w:rPr>
        <w:t>.</w:t>
      </w:r>
    </w:p>
    <w:p w:rsidR="00211441" w:rsidRPr="00DC07FC" w:rsidRDefault="00211441" w:rsidP="00211441">
      <w:pPr>
        <w:pStyle w:val="Prrafodelista"/>
        <w:ind w:left="567"/>
        <w:contextualSpacing/>
        <w:jc w:val="both"/>
        <w:rPr>
          <w:rFonts w:ascii="Bookman Old Style" w:hAnsi="Bookman Old Style" w:cs="Arial"/>
          <w:color w:val="000000" w:themeColor="text1"/>
          <w:sz w:val="24"/>
          <w:szCs w:val="24"/>
          <w:lang w:val="es-ES"/>
        </w:rPr>
      </w:pPr>
    </w:p>
    <w:p w:rsidR="00132F2C" w:rsidRPr="00DC07FC" w:rsidRDefault="00132F2C" w:rsidP="00211441">
      <w:pPr>
        <w:pStyle w:val="Prrafodelista"/>
        <w:numPr>
          <w:ilvl w:val="0"/>
          <w:numId w:val="64"/>
        </w:numPr>
        <w:ind w:left="567" w:hanging="567"/>
        <w:contextualSpacing/>
        <w:jc w:val="both"/>
        <w:rPr>
          <w:rFonts w:ascii="Bookman Old Style" w:hAnsi="Bookman Old Style" w:cs="Arial"/>
          <w:color w:val="000000" w:themeColor="text1"/>
          <w:sz w:val="24"/>
          <w:szCs w:val="24"/>
          <w:lang w:val="es-ES"/>
        </w:rPr>
      </w:pPr>
      <w:r w:rsidRPr="00DC07FC">
        <w:rPr>
          <w:rFonts w:ascii="Bookman Old Style" w:hAnsi="Bookman Old Style" w:cs="Arial"/>
          <w:color w:val="000000" w:themeColor="text1"/>
          <w:sz w:val="24"/>
          <w:szCs w:val="24"/>
          <w:lang w:val="es-ES"/>
        </w:rPr>
        <w:t>La demás información que determine la CREG.</w:t>
      </w:r>
    </w:p>
    <w:p w:rsidR="00132F2C" w:rsidRPr="00DC07FC" w:rsidRDefault="00132F2C" w:rsidP="00132F2C">
      <w:pPr>
        <w:ind w:left="0"/>
        <w:contextualSpacing/>
        <w:jc w:val="both"/>
        <w:rPr>
          <w:rFonts w:ascii="Bookman Old Style" w:hAnsi="Bookman Old Style" w:cs="Arial"/>
          <w:color w:val="000000" w:themeColor="text1"/>
        </w:rPr>
      </w:pPr>
    </w:p>
    <w:p w:rsidR="00132F2C" w:rsidRPr="00DC07FC" w:rsidRDefault="00132F2C" w:rsidP="00901EFF">
      <w:pPr>
        <w:pStyle w:val="ARTICULOS"/>
        <w:numPr>
          <w:ilvl w:val="2"/>
          <w:numId w:val="55"/>
        </w:numPr>
        <w:tabs>
          <w:tab w:val="left" w:pos="1701"/>
        </w:tabs>
        <w:contextualSpacing/>
        <w:outlineLvl w:val="2"/>
      </w:pPr>
      <w:r w:rsidRPr="00DC07FC">
        <w:t>Entregas a usuarios finales</w:t>
      </w:r>
    </w:p>
    <w:p w:rsidR="00132F2C" w:rsidRPr="00DC07FC"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p>
    <w:p w:rsidR="00132F2C" w:rsidRPr="00DC07FC"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r w:rsidRPr="00DC07FC">
        <w:rPr>
          <w:rFonts w:ascii="Bookman Old Style" w:hAnsi="Bookman Old Style"/>
          <w:bCs/>
          <w:color w:val="000000" w:themeColor="text1"/>
          <w:lang w:eastAsia="x-none"/>
        </w:rPr>
        <w:t>Los comercializadores mayoristas y distribuidores deberán declarar al gestor del mercado de GLP la siguiente información operativa:</w:t>
      </w:r>
    </w:p>
    <w:p w:rsidR="00132F2C" w:rsidRPr="00DC07FC" w:rsidRDefault="00132F2C" w:rsidP="00132F2C">
      <w:pPr>
        <w:pStyle w:val="ARTICULOS"/>
        <w:contextualSpacing/>
        <w:rPr>
          <w:bCs w:val="0"/>
          <w:color w:val="000000" w:themeColor="text1"/>
          <w:lang w:val="es-ES"/>
        </w:rPr>
      </w:pPr>
    </w:p>
    <w:p w:rsidR="00132F2C" w:rsidRPr="00DC07FC" w:rsidRDefault="00B344B6" w:rsidP="00211441">
      <w:pPr>
        <w:pStyle w:val="Prrafodelista"/>
        <w:numPr>
          <w:ilvl w:val="0"/>
          <w:numId w:val="65"/>
        </w:numPr>
        <w:ind w:left="567" w:hanging="567"/>
        <w:contextualSpacing/>
        <w:jc w:val="both"/>
        <w:rPr>
          <w:rFonts w:ascii="Bookman Old Style" w:hAnsi="Bookman Old Style" w:cs="Arial"/>
          <w:color w:val="000000" w:themeColor="text1"/>
          <w:sz w:val="24"/>
        </w:rPr>
      </w:pPr>
      <w:r>
        <w:rPr>
          <w:rFonts w:ascii="Bookman Old Style" w:hAnsi="Bookman Old Style" w:cs="Arial"/>
          <w:color w:val="000000" w:themeColor="text1"/>
          <w:sz w:val="24"/>
        </w:rPr>
        <w:t>Diariamente, la c</w:t>
      </w:r>
      <w:r w:rsidR="00132F2C" w:rsidRPr="00DC07FC">
        <w:rPr>
          <w:rFonts w:ascii="Bookman Old Style" w:hAnsi="Bookman Old Style" w:cs="Arial"/>
          <w:color w:val="000000" w:themeColor="text1"/>
          <w:sz w:val="24"/>
        </w:rPr>
        <w:t>antidad total de GLP recibida en el punto de entrega del comercializador mayorista para ser entregada a usuarios finales, desagregada por tipo de demanda regulada y no regulada.</w:t>
      </w:r>
      <w:r w:rsidR="00132F2C" w:rsidRPr="00DC07FC">
        <w:rPr>
          <w:rFonts w:ascii="Bookman Old Style" w:hAnsi="Bookman Old Style" w:cs="Arial"/>
          <w:color w:val="000000" w:themeColor="text1"/>
          <w:sz w:val="24"/>
          <w:highlight w:val="yellow"/>
        </w:rPr>
        <w:t xml:space="preserve"> </w:t>
      </w:r>
    </w:p>
    <w:p w:rsidR="00132F2C" w:rsidRPr="00DC07FC" w:rsidRDefault="00132F2C" w:rsidP="00211441">
      <w:pPr>
        <w:contextualSpacing/>
        <w:jc w:val="both"/>
        <w:rPr>
          <w:rFonts w:ascii="Bookman Old Style" w:hAnsi="Bookman Old Style" w:cs="Arial"/>
          <w:color w:val="000000" w:themeColor="text1"/>
        </w:rPr>
      </w:pPr>
    </w:p>
    <w:p w:rsidR="00132F2C" w:rsidRPr="00DC07FC" w:rsidRDefault="00132F2C" w:rsidP="00211441">
      <w:pPr>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A partir de la medición real, la demanda no regulada se deberá desagregar en comercial e industrial, expresada en KG. Con base en mediciones históricas, la demanda regulada se deberá desagregar en residencial, comercial e industrial, expresada en KG.</w:t>
      </w:r>
    </w:p>
    <w:p w:rsidR="00132F2C" w:rsidRPr="00DC07FC" w:rsidRDefault="00132F2C" w:rsidP="00132F2C">
      <w:pPr>
        <w:ind w:left="360"/>
        <w:contextualSpacing/>
        <w:jc w:val="both"/>
        <w:rPr>
          <w:rFonts w:ascii="Bookman Old Style" w:hAnsi="Bookman Old Style" w:cs="Arial"/>
          <w:color w:val="000000" w:themeColor="text1"/>
        </w:rPr>
      </w:pPr>
    </w:p>
    <w:p w:rsidR="00132F2C" w:rsidRPr="00DC07FC" w:rsidRDefault="00132F2C" w:rsidP="00211441">
      <w:pPr>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El distribuidor, el comercializador mayorista o el UNR, según corresponda, declarará el número del contrato bajo el cual se entrega o recibe dicho GLP.</w:t>
      </w:r>
    </w:p>
    <w:p w:rsidR="00132F2C" w:rsidRPr="00DC07FC" w:rsidRDefault="00132F2C" w:rsidP="00132F2C">
      <w:pPr>
        <w:ind w:left="0"/>
        <w:contextualSpacing/>
        <w:jc w:val="both"/>
        <w:rPr>
          <w:rFonts w:ascii="Bookman Old Style" w:hAnsi="Bookman Old Style" w:cs="Arial"/>
          <w:color w:val="000000" w:themeColor="text1"/>
        </w:rPr>
      </w:pPr>
    </w:p>
    <w:p w:rsidR="00132F2C" w:rsidRPr="00DC07FC" w:rsidRDefault="00132F2C" w:rsidP="00211441">
      <w:pPr>
        <w:pStyle w:val="Prrafodelista"/>
        <w:numPr>
          <w:ilvl w:val="0"/>
          <w:numId w:val="65"/>
        </w:numPr>
        <w:ind w:left="567" w:hanging="567"/>
        <w:contextualSpacing/>
        <w:jc w:val="both"/>
        <w:rPr>
          <w:rFonts w:ascii="Bookman Old Style" w:hAnsi="Bookman Old Style" w:cs="Arial"/>
          <w:color w:val="000000" w:themeColor="text1"/>
          <w:sz w:val="24"/>
        </w:rPr>
      </w:pPr>
      <w:r w:rsidRPr="00DC07FC">
        <w:rPr>
          <w:rFonts w:ascii="Bookman Old Style" w:hAnsi="Bookman Old Style" w:cs="Arial"/>
          <w:color w:val="000000" w:themeColor="text1"/>
          <w:sz w:val="24"/>
        </w:rPr>
        <w:t>La demás información que determine la CREG.</w:t>
      </w:r>
    </w:p>
    <w:p w:rsidR="00132F2C" w:rsidRPr="00DC07FC" w:rsidRDefault="00132F2C" w:rsidP="00211441">
      <w:pPr>
        <w:contextualSpacing/>
        <w:jc w:val="both"/>
        <w:rPr>
          <w:rFonts w:ascii="Bookman Old Style" w:hAnsi="Bookman Old Style" w:cs="Arial"/>
          <w:color w:val="000000" w:themeColor="text1"/>
        </w:rPr>
      </w:pPr>
    </w:p>
    <w:p w:rsidR="00132F2C" w:rsidRPr="00DC07FC" w:rsidRDefault="00132F2C" w:rsidP="00211441">
      <w:pPr>
        <w:autoSpaceDE w:val="0"/>
        <w:autoSpaceDN w:val="0"/>
        <w:adjustRightInd w:val="0"/>
        <w:contextualSpacing/>
        <w:jc w:val="both"/>
        <w:rPr>
          <w:rFonts w:ascii="Bookman Old Style" w:hAnsi="Bookman Old Style"/>
          <w:bCs/>
          <w:color w:val="000000" w:themeColor="text1"/>
          <w:lang w:eastAsia="x-none"/>
        </w:rPr>
      </w:pPr>
      <w:r w:rsidRPr="00DC07FC">
        <w:rPr>
          <w:rFonts w:ascii="Bookman Old Style" w:hAnsi="Bookman Old Style"/>
          <w:bCs/>
          <w:color w:val="000000" w:themeColor="text1"/>
          <w:lang w:eastAsia="x-none"/>
        </w:rPr>
        <w:t>Los UNR que participen como compradores en el mercado primario deberán declarar mensualmente al gestor del mercado de GLP, a través del medio y del formato que éste defina, la información señalada en este literal.</w:t>
      </w:r>
    </w:p>
    <w:p w:rsidR="00132F2C"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p>
    <w:p w:rsidR="007514D6" w:rsidRPr="00DC07FC" w:rsidRDefault="007514D6" w:rsidP="00132F2C">
      <w:pPr>
        <w:autoSpaceDE w:val="0"/>
        <w:autoSpaceDN w:val="0"/>
        <w:adjustRightInd w:val="0"/>
        <w:ind w:left="0"/>
        <w:contextualSpacing/>
        <w:jc w:val="both"/>
        <w:rPr>
          <w:rFonts w:ascii="Bookman Old Style" w:hAnsi="Bookman Old Style"/>
          <w:bCs/>
          <w:color w:val="000000" w:themeColor="text1"/>
          <w:lang w:eastAsia="x-none"/>
        </w:rPr>
      </w:pPr>
    </w:p>
    <w:p w:rsidR="00132F2C" w:rsidRPr="0069090E" w:rsidRDefault="00132F2C" w:rsidP="002008A8">
      <w:pPr>
        <w:pStyle w:val="ARTICULOS"/>
        <w:numPr>
          <w:ilvl w:val="1"/>
          <w:numId w:val="55"/>
        </w:numPr>
        <w:tabs>
          <w:tab w:val="left" w:pos="1701"/>
        </w:tabs>
        <w:contextualSpacing/>
        <w:outlineLvl w:val="1"/>
      </w:pPr>
      <w:r w:rsidRPr="0069090E">
        <w:t>Verificación de la información operativa</w:t>
      </w:r>
    </w:p>
    <w:p w:rsidR="00132F2C" w:rsidRPr="0069090E"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p>
    <w:p w:rsidR="00132F2C" w:rsidRPr="0069090E" w:rsidRDefault="00132F2C" w:rsidP="00132F2C">
      <w:pPr>
        <w:autoSpaceDE w:val="0"/>
        <w:autoSpaceDN w:val="0"/>
        <w:adjustRightInd w:val="0"/>
        <w:ind w:left="0"/>
        <w:contextualSpacing/>
        <w:jc w:val="both"/>
        <w:rPr>
          <w:rFonts w:ascii="Bookman Old Style" w:hAnsi="Bookman Old Style" w:cs="Arial"/>
          <w:color w:val="000000" w:themeColor="text1"/>
        </w:rPr>
      </w:pPr>
      <w:r w:rsidRPr="0069090E">
        <w:rPr>
          <w:rFonts w:ascii="Bookman Old Style" w:hAnsi="Bookman Old Style"/>
          <w:bCs/>
          <w:color w:val="000000" w:themeColor="text1"/>
          <w:lang w:eastAsia="x-none"/>
        </w:rPr>
        <w:t xml:space="preserve">El gestor del mercado de GLP verificará la consistencia de la información operativa declarada por las partes que intervienen en los contratos de suministro. </w:t>
      </w:r>
    </w:p>
    <w:p w:rsidR="00132F2C" w:rsidRPr="0069090E"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p>
    <w:p w:rsidR="00132F2C" w:rsidRPr="0069090E" w:rsidRDefault="00132F2C" w:rsidP="00132F2C">
      <w:pPr>
        <w:autoSpaceDE w:val="0"/>
        <w:autoSpaceDN w:val="0"/>
        <w:adjustRightInd w:val="0"/>
        <w:ind w:left="0"/>
        <w:contextualSpacing/>
        <w:jc w:val="both"/>
        <w:rPr>
          <w:rFonts w:ascii="Bookman Old Style" w:hAnsi="Bookman Old Style"/>
          <w:color w:val="000000" w:themeColor="text1"/>
        </w:rPr>
      </w:pPr>
      <w:r w:rsidRPr="0069090E">
        <w:rPr>
          <w:rFonts w:ascii="Bookman Old Style" w:hAnsi="Bookman Old Style"/>
          <w:color w:val="000000" w:themeColor="text1"/>
        </w:rPr>
        <w:t>Si el gestor del mercado encuentra discrepancias como resultado de la verificación de que trata este numeral, el gestor del mercado de GLP deberá informárselo a las partes, dentro de las veinticuatro (24) horas siguientes al recibo de la última de las declaraciones presentadas por las partes de cada contrato, para que ellas rectifiquen las diferencias a más tardar veinticuatro (24) horas después del recibo de la solicitud de verificación. Cuando no sea posible la rectificación dentro de este término el gestor del mercado de GLP deberá abstenerse de registrar el contrato y no podrá tenerlo en cuenta para efectos de publicación. En este caso el gestor del mercado de GLP deberá informar esta situación a las partes involucradas y a los órganos responsables de la inspección, vigilancia y control.</w:t>
      </w:r>
    </w:p>
    <w:p w:rsidR="00132F2C" w:rsidRPr="0069090E" w:rsidRDefault="00132F2C" w:rsidP="00132F2C">
      <w:pPr>
        <w:autoSpaceDE w:val="0"/>
        <w:autoSpaceDN w:val="0"/>
        <w:adjustRightInd w:val="0"/>
        <w:ind w:left="0"/>
        <w:contextualSpacing/>
        <w:jc w:val="both"/>
        <w:rPr>
          <w:rFonts w:ascii="Bookman Old Style" w:hAnsi="Bookman Old Style"/>
          <w:color w:val="000000" w:themeColor="text1"/>
        </w:rPr>
      </w:pPr>
    </w:p>
    <w:p w:rsidR="00132F2C" w:rsidRPr="0069090E" w:rsidRDefault="00132F2C" w:rsidP="002008A8">
      <w:pPr>
        <w:pStyle w:val="ARTICULOS"/>
        <w:numPr>
          <w:ilvl w:val="1"/>
          <w:numId w:val="55"/>
        </w:numPr>
        <w:tabs>
          <w:tab w:val="left" w:pos="1701"/>
        </w:tabs>
        <w:contextualSpacing/>
        <w:outlineLvl w:val="1"/>
      </w:pPr>
      <w:r w:rsidRPr="0069090E">
        <w:t>Publicación de la información operativa</w:t>
      </w:r>
    </w:p>
    <w:p w:rsidR="00132F2C" w:rsidRPr="0069090E"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p>
    <w:p w:rsidR="00132F2C" w:rsidRPr="0069090E" w:rsidRDefault="00132F2C" w:rsidP="00132F2C">
      <w:pPr>
        <w:autoSpaceDE w:val="0"/>
        <w:autoSpaceDN w:val="0"/>
        <w:adjustRightInd w:val="0"/>
        <w:ind w:left="0"/>
        <w:contextualSpacing/>
        <w:jc w:val="both"/>
        <w:rPr>
          <w:rFonts w:ascii="Bookman Old Style" w:hAnsi="Bookman Old Style"/>
          <w:bCs/>
          <w:color w:val="000000" w:themeColor="text1"/>
          <w:lang w:eastAsia="x-none"/>
        </w:rPr>
      </w:pPr>
      <w:r w:rsidRPr="0069090E">
        <w:rPr>
          <w:rFonts w:ascii="Bookman Old Style" w:hAnsi="Bookman Old Style"/>
          <w:bCs/>
          <w:color w:val="000000" w:themeColor="text1"/>
          <w:lang w:eastAsia="x-none"/>
        </w:rPr>
        <w:t>El gestor del mercado de GLP publicará la siguiente información en el SIMM, con la periodicidad aquí establecida:</w:t>
      </w:r>
    </w:p>
    <w:p w:rsidR="00132F2C" w:rsidRPr="0069090E" w:rsidRDefault="00132F2C" w:rsidP="00132F2C">
      <w:pPr>
        <w:autoSpaceDE w:val="0"/>
        <w:autoSpaceDN w:val="0"/>
        <w:adjustRightInd w:val="0"/>
        <w:ind w:left="0"/>
        <w:contextualSpacing/>
        <w:jc w:val="both"/>
        <w:rPr>
          <w:rFonts w:ascii="Bookman Old Style" w:hAnsi="Bookman Old Style"/>
          <w:bCs/>
          <w:color w:val="000000" w:themeColor="text1"/>
          <w:sz w:val="32"/>
          <w:lang w:eastAsia="x-none"/>
        </w:rPr>
      </w:pPr>
    </w:p>
    <w:p w:rsidR="00132F2C" w:rsidRPr="0069090E" w:rsidRDefault="00132F2C" w:rsidP="00211441">
      <w:pPr>
        <w:pStyle w:val="Prrafodelista"/>
        <w:numPr>
          <w:ilvl w:val="0"/>
          <w:numId w:val="66"/>
        </w:numPr>
        <w:ind w:left="567" w:hanging="567"/>
        <w:contextualSpacing/>
        <w:jc w:val="both"/>
        <w:rPr>
          <w:rFonts w:ascii="Bookman Old Style" w:hAnsi="Bookman Old Style" w:cs="Arial"/>
          <w:color w:val="000000" w:themeColor="text1"/>
          <w:sz w:val="24"/>
        </w:rPr>
      </w:pPr>
      <w:r w:rsidRPr="0069090E">
        <w:rPr>
          <w:rFonts w:ascii="Bookman Old Style" w:hAnsi="Bookman Old Style" w:cs="Arial"/>
          <w:color w:val="000000" w:themeColor="text1"/>
          <w:sz w:val="24"/>
        </w:rPr>
        <w:t>Las cantidades totales de GLP a suministrar diariamente, según las nominaciones de suministro, en cada punto de entrega del Comercializador Mayorista, expresadas en KG. Esta información se actualizará dentro de los primeros cinco (5) días hábiles de cada mes y deberá mostrar el histórico de los últimos doce (12) meses.</w:t>
      </w:r>
    </w:p>
    <w:p w:rsidR="00132F2C" w:rsidRPr="0069090E" w:rsidRDefault="00132F2C" w:rsidP="00211441">
      <w:pPr>
        <w:ind w:hanging="567"/>
        <w:contextualSpacing/>
        <w:jc w:val="both"/>
        <w:rPr>
          <w:rFonts w:ascii="Bookman Old Style" w:hAnsi="Bookman Old Style" w:cs="Arial"/>
          <w:color w:val="000000" w:themeColor="text1"/>
          <w:sz w:val="32"/>
        </w:rPr>
      </w:pPr>
    </w:p>
    <w:p w:rsidR="00132F2C" w:rsidRPr="0069090E" w:rsidRDefault="00132F2C" w:rsidP="00211441">
      <w:pPr>
        <w:pStyle w:val="Prrafodelista"/>
        <w:numPr>
          <w:ilvl w:val="0"/>
          <w:numId w:val="66"/>
        </w:numPr>
        <w:ind w:left="567" w:hanging="567"/>
        <w:contextualSpacing/>
        <w:jc w:val="both"/>
        <w:rPr>
          <w:rFonts w:ascii="Bookman Old Style" w:hAnsi="Bookman Old Style" w:cs="Arial"/>
          <w:color w:val="000000" w:themeColor="text1"/>
          <w:sz w:val="24"/>
        </w:rPr>
      </w:pPr>
      <w:r w:rsidRPr="0069090E">
        <w:rPr>
          <w:rFonts w:ascii="Bookman Old Style" w:hAnsi="Bookman Old Style" w:cs="Arial"/>
          <w:color w:val="000000" w:themeColor="text1"/>
          <w:sz w:val="24"/>
        </w:rPr>
        <w:t>La demás que determine la CREG.</w:t>
      </w:r>
    </w:p>
    <w:p w:rsidR="00132F2C" w:rsidRPr="00DC07FC" w:rsidRDefault="00132F2C" w:rsidP="00132F2C">
      <w:pPr>
        <w:pStyle w:val="ARTICULOS"/>
        <w:rPr>
          <w:lang w:val="es-ES"/>
        </w:rPr>
      </w:pPr>
    </w:p>
    <w:p w:rsidR="00211441" w:rsidRPr="00DC07FC" w:rsidRDefault="00211441" w:rsidP="00132F2C">
      <w:pPr>
        <w:pStyle w:val="ARTICULOS"/>
        <w:rPr>
          <w:lang w:val="es-ES"/>
        </w:rPr>
      </w:pPr>
    </w:p>
    <w:p w:rsidR="00132F2C" w:rsidRPr="00DC07FC" w:rsidRDefault="00132F2C" w:rsidP="002008A8">
      <w:pPr>
        <w:pStyle w:val="ARTICULOS"/>
        <w:numPr>
          <w:ilvl w:val="0"/>
          <w:numId w:val="55"/>
        </w:numPr>
        <w:tabs>
          <w:tab w:val="left" w:pos="1701"/>
        </w:tabs>
        <w:contextualSpacing/>
        <w:outlineLvl w:val="0"/>
        <w:rPr>
          <w:rFonts w:cs="Arial"/>
          <w:b/>
          <w:color w:val="000000" w:themeColor="text1"/>
          <w:lang w:val="es-CO"/>
        </w:rPr>
      </w:pPr>
      <w:r w:rsidRPr="00DC07FC">
        <w:rPr>
          <w:rFonts w:cs="Arial"/>
          <w:b/>
          <w:color w:val="000000" w:themeColor="text1"/>
          <w:lang w:val="es-CO"/>
        </w:rPr>
        <w:t>CONSERVACIÓN DE LA INFORMACIÓN</w:t>
      </w:r>
    </w:p>
    <w:p w:rsidR="00132F2C" w:rsidRPr="00DC07FC" w:rsidRDefault="00132F2C" w:rsidP="00132F2C">
      <w:pPr>
        <w:ind w:left="0"/>
        <w:contextualSpacing/>
        <w:jc w:val="both"/>
        <w:rPr>
          <w:rFonts w:ascii="Bookman Old Style" w:hAnsi="Bookman Old Style"/>
          <w:bCs/>
          <w:color w:val="000000" w:themeColor="text1"/>
          <w:lang w:eastAsia="x-none"/>
        </w:rPr>
      </w:pPr>
    </w:p>
    <w:p w:rsidR="00132F2C" w:rsidRPr="00DC07FC" w:rsidRDefault="00132F2C" w:rsidP="00132F2C">
      <w:pPr>
        <w:ind w:left="0"/>
        <w:contextualSpacing/>
        <w:jc w:val="both"/>
        <w:rPr>
          <w:rFonts w:ascii="Bookman Old Style" w:hAnsi="Bookman Old Style"/>
          <w:bCs/>
          <w:color w:val="000000" w:themeColor="text1"/>
          <w:lang w:eastAsia="x-none"/>
        </w:rPr>
      </w:pPr>
      <w:r w:rsidRPr="00DC07FC">
        <w:rPr>
          <w:rFonts w:ascii="Bookman Old Style" w:hAnsi="Bookman Old Style"/>
          <w:bCs/>
          <w:color w:val="000000" w:themeColor="text1"/>
          <w:lang w:eastAsia="x-none"/>
        </w:rPr>
        <w:t>El gestor del mercado de GLP deberá:</w:t>
      </w:r>
    </w:p>
    <w:p w:rsidR="00132F2C" w:rsidRPr="00DC07FC" w:rsidRDefault="00132F2C" w:rsidP="00132F2C">
      <w:pPr>
        <w:autoSpaceDE w:val="0"/>
        <w:autoSpaceDN w:val="0"/>
        <w:adjustRightInd w:val="0"/>
        <w:ind w:left="0"/>
        <w:contextualSpacing/>
        <w:jc w:val="both"/>
        <w:rPr>
          <w:rFonts w:ascii="Bookman Old Style" w:hAnsi="Bookman Old Style" w:cs="Arial"/>
          <w:color w:val="000000" w:themeColor="text1"/>
        </w:rPr>
      </w:pPr>
    </w:p>
    <w:p w:rsidR="00132F2C" w:rsidRPr="00DC07FC" w:rsidRDefault="00132F2C" w:rsidP="00211441">
      <w:pPr>
        <w:pStyle w:val="Prrafodelista"/>
        <w:numPr>
          <w:ilvl w:val="0"/>
          <w:numId w:val="67"/>
        </w:numPr>
        <w:ind w:left="567" w:hanging="567"/>
        <w:contextualSpacing/>
        <w:jc w:val="both"/>
        <w:rPr>
          <w:rFonts w:ascii="Bookman Old Style" w:hAnsi="Bookman Old Style" w:cs="Arial"/>
          <w:color w:val="000000" w:themeColor="text1"/>
          <w:sz w:val="24"/>
        </w:rPr>
      </w:pPr>
      <w:r w:rsidRPr="00DC07FC">
        <w:rPr>
          <w:rFonts w:ascii="Bookman Old Style" w:hAnsi="Bookman Old Style" w:cs="Arial"/>
          <w:color w:val="000000" w:themeColor="text1"/>
          <w:sz w:val="24"/>
        </w:rPr>
        <w:t>Conservar toda la información declarada durante el período de vigencia de la obligación de prestación del servicio. Los datos deberán tener el correspondiente back-up por fuera de su aplicativo web.</w:t>
      </w:r>
    </w:p>
    <w:p w:rsidR="00132F2C" w:rsidRPr="00DC07FC" w:rsidRDefault="00132F2C" w:rsidP="00211441">
      <w:pPr>
        <w:pStyle w:val="Prrafodelista"/>
        <w:ind w:left="567" w:hanging="567"/>
        <w:contextualSpacing/>
        <w:jc w:val="both"/>
        <w:rPr>
          <w:rFonts w:ascii="Bookman Old Style" w:hAnsi="Bookman Old Style" w:cs="Arial"/>
          <w:color w:val="000000" w:themeColor="text1"/>
          <w:sz w:val="24"/>
        </w:rPr>
      </w:pPr>
    </w:p>
    <w:p w:rsidR="00132F2C" w:rsidRPr="00DC07FC" w:rsidRDefault="00132F2C" w:rsidP="00211441">
      <w:pPr>
        <w:pStyle w:val="Prrafodelista"/>
        <w:numPr>
          <w:ilvl w:val="0"/>
          <w:numId w:val="67"/>
        </w:numPr>
        <w:ind w:left="567" w:hanging="567"/>
        <w:contextualSpacing/>
        <w:jc w:val="both"/>
        <w:rPr>
          <w:rFonts w:ascii="Bookman Old Style" w:hAnsi="Bookman Old Style" w:cs="Arial"/>
          <w:color w:val="000000" w:themeColor="text1"/>
          <w:sz w:val="24"/>
        </w:rPr>
      </w:pPr>
      <w:r w:rsidRPr="00DC07FC">
        <w:rPr>
          <w:rFonts w:ascii="Bookman Old Style" w:hAnsi="Bookman Old Style" w:cs="Arial"/>
          <w:color w:val="000000" w:themeColor="text1"/>
          <w:sz w:val="24"/>
        </w:rPr>
        <w:t>Asegurar que todos los datos y registros se mantengan en un formato convencional para su entrega a quien eventualmente lo sustituya como gestor del mercado de GLP, según lo determine la CREG.</w:t>
      </w:r>
    </w:p>
    <w:p w:rsidR="00132F2C" w:rsidRPr="00DC07FC" w:rsidRDefault="00132F2C" w:rsidP="00211441">
      <w:pPr>
        <w:pStyle w:val="Prrafodelista"/>
        <w:ind w:left="567" w:hanging="567"/>
        <w:contextualSpacing/>
        <w:jc w:val="both"/>
        <w:rPr>
          <w:rFonts w:ascii="Bookman Old Style" w:hAnsi="Bookman Old Style" w:cs="Arial"/>
          <w:color w:val="000000" w:themeColor="text1"/>
          <w:sz w:val="24"/>
        </w:rPr>
      </w:pPr>
    </w:p>
    <w:p w:rsidR="00132F2C" w:rsidRPr="009273A9" w:rsidRDefault="00132F2C" w:rsidP="00211441">
      <w:pPr>
        <w:pStyle w:val="Prrafodelista"/>
        <w:numPr>
          <w:ilvl w:val="0"/>
          <w:numId w:val="67"/>
        </w:numPr>
        <w:ind w:left="567" w:hanging="567"/>
        <w:contextualSpacing/>
        <w:jc w:val="both"/>
        <w:rPr>
          <w:rFonts w:ascii="Bookman Old Style" w:hAnsi="Bookman Old Style" w:cs="Arial"/>
          <w:color w:val="000000" w:themeColor="text1"/>
          <w:sz w:val="24"/>
        </w:rPr>
      </w:pPr>
      <w:r w:rsidRPr="009273A9">
        <w:rPr>
          <w:rFonts w:ascii="Bookman Old Style" w:hAnsi="Bookman Old Style" w:cs="Arial"/>
          <w:color w:val="000000" w:themeColor="text1"/>
          <w:sz w:val="24"/>
        </w:rPr>
        <w:t>Asegurar que la información histórica agregada esté disponible para ser descargada del SIMM en un formato convencional, y de alta compatibilidad con diferentes plataformas informáticas.</w:t>
      </w:r>
    </w:p>
    <w:p w:rsidR="00132F2C" w:rsidRPr="009273A9" w:rsidRDefault="00132F2C" w:rsidP="00132F2C">
      <w:pPr>
        <w:pStyle w:val="ARTICULOS"/>
        <w:rPr>
          <w:lang w:val="es-ES"/>
        </w:rPr>
      </w:pPr>
    </w:p>
    <w:p w:rsidR="00211441" w:rsidRDefault="00211441" w:rsidP="00132F2C">
      <w:pPr>
        <w:pStyle w:val="ARTICULOS"/>
        <w:rPr>
          <w:lang w:val="es-ES"/>
        </w:rPr>
      </w:pPr>
    </w:p>
    <w:p w:rsidR="007514D6" w:rsidRPr="009273A9" w:rsidRDefault="007514D6" w:rsidP="00132F2C">
      <w:pPr>
        <w:pStyle w:val="ARTICULOS"/>
        <w:rPr>
          <w:lang w:val="es-ES"/>
        </w:rPr>
      </w:pPr>
    </w:p>
    <w:p w:rsidR="00132F2C" w:rsidRPr="009273A9" w:rsidRDefault="00132F2C" w:rsidP="002008A8">
      <w:pPr>
        <w:pStyle w:val="ARTICULOS"/>
        <w:numPr>
          <w:ilvl w:val="0"/>
          <w:numId w:val="55"/>
        </w:numPr>
        <w:tabs>
          <w:tab w:val="left" w:pos="1701"/>
        </w:tabs>
        <w:contextualSpacing/>
        <w:outlineLvl w:val="0"/>
        <w:rPr>
          <w:rFonts w:cs="Arial"/>
          <w:b/>
          <w:color w:val="000000" w:themeColor="text1"/>
          <w:lang w:val="es-CO"/>
        </w:rPr>
      </w:pPr>
      <w:r w:rsidRPr="009273A9">
        <w:rPr>
          <w:rFonts w:cs="Arial"/>
          <w:b/>
          <w:color w:val="000000" w:themeColor="text1"/>
          <w:lang w:val="es-CO"/>
        </w:rPr>
        <w:t>DIVULGACIÓN DE LA INFORMACIÓN</w:t>
      </w:r>
    </w:p>
    <w:p w:rsidR="00132F2C" w:rsidRPr="009273A9" w:rsidRDefault="00132F2C" w:rsidP="00132F2C">
      <w:pPr>
        <w:pStyle w:val="ARTICULOS"/>
        <w:rPr>
          <w:lang w:val="es-CO"/>
        </w:rPr>
      </w:pPr>
    </w:p>
    <w:p w:rsidR="00132F2C" w:rsidRPr="00DC07FC" w:rsidRDefault="00132F2C" w:rsidP="00132F2C">
      <w:pPr>
        <w:ind w:left="0"/>
        <w:contextualSpacing/>
        <w:jc w:val="both"/>
        <w:rPr>
          <w:rFonts w:ascii="Bookman Old Style" w:hAnsi="Bookman Old Style" w:cs="Arial"/>
          <w:color w:val="000000" w:themeColor="text1"/>
        </w:rPr>
      </w:pPr>
      <w:r w:rsidRPr="009273A9">
        <w:rPr>
          <w:rFonts w:ascii="Bookman Old Style" w:hAnsi="Bookman Old Style" w:cs="Arial"/>
          <w:color w:val="000000" w:themeColor="text1"/>
        </w:rPr>
        <w:t>El gestor del mercado deberá publicar un informe anual en el SIMM en el que se presente la siguiente información agregada del mercado primario, del mercado</w:t>
      </w:r>
      <w:r w:rsidRPr="00DC07FC">
        <w:rPr>
          <w:rFonts w:ascii="Bookman Old Style" w:hAnsi="Bookman Old Style" w:cs="Arial"/>
          <w:color w:val="000000" w:themeColor="text1"/>
        </w:rPr>
        <w:t xml:space="preserve"> secundario y de las negociaciones entre comercializadores mayoristas y usuarios no regulados:</w:t>
      </w:r>
    </w:p>
    <w:p w:rsidR="00132F2C" w:rsidRPr="00DC07FC" w:rsidRDefault="00132F2C" w:rsidP="00132F2C">
      <w:pPr>
        <w:autoSpaceDE w:val="0"/>
        <w:autoSpaceDN w:val="0"/>
        <w:adjustRightInd w:val="0"/>
        <w:ind w:left="0"/>
        <w:contextualSpacing/>
        <w:jc w:val="both"/>
        <w:rPr>
          <w:rFonts w:ascii="Bookman Old Style" w:hAnsi="Bookman Old Style" w:cs="Arial"/>
          <w:color w:val="000000" w:themeColor="text1"/>
        </w:rPr>
      </w:pPr>
    </w:p>
    <w:p w:rsidR="00132F2C" w:rsidRPr="00DC07FC" w:rsidRDefault="00132F2C" w:rsidP="00211441">
      <w:pPr>
        <w:numPr>
          <w:ilvl w:val="0"/>
          <w:numId w:val="68"/>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Promedio de las cantidades de GLP negociadas durante cada mes del año, expresada en KGD.</w:t>
      </w:r>
    </w:p>
    <w:p w:rsidR="00132F2C" w:rsidRPr="00DC07FC" w:rsidRDefault="00132F2C" w:rsidP="00211441">
      <w:pPr>
        <w:autoSpaceDE w:val="0"/>
        <w:autoSpaceDN w:val="0"/>
        <w:adjustRightInd w:val="0"/>
        <w:ind w:hanging="567"/>
        <w:contextualSpacing/>
        <w:jc w:val="both"/>
        <w:rPr>
          <w:rFonts w:ascii="Bookman Old Style" w:hAnsi="Bookman Old Style" w:cs="Arial"/>
          <w:color w:val="000000" w:themeColor="text1"/>
        </w:rPr>
      </w:pPr>
    </w:p>
    <w:p w:rsidR="00132F2C" w:rsidRPr="00DC07FC" w:rsidRDefault="00132F2C" w:rsidP="00211441">
      <w:pPr>
        <w:numPr>
          <w:ilvl w:val="0"/>
          <w:numId w:val="68"/>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Cantidad total de GLP negociada durante el año, expresada en KG.</w:t>
      </w:r>
    </w:p>
    <w:p w:rsidR="00132F2C" w:rsidRPr="00DC07FC" w:rsidRDefault="00132F2C" w:rsidP="00211441">
      <w:pPr>
        <w:autoSpaceDE w:val="0"/>
        <w:autoSpaceDN w:val="0"/>
        <w:adjustRightInd w:val="0"/>
        <w:ind w:hanging="567"/>
        <w:contextualSpacing/>
        <w:jc w:val="both"/>
        <w:rPr>
          <w:rFonts w:ascii="Bookman Old Style" w:hAnsi="Bookman Old Style" w:cs="Arial"/>
          <w:color w:val="000000" w:themeColor="text1"/>
        </w:rPr>
      </w:pPr>
    </w:p>
    <w:p w:rsidR="00132F2C" w:rsidRPr="00DC07FC" w:rsidRDefault="00132F2C" w:rsidP="00211441">
      <w:pPr>
        <w:numPr>
          <w:ilvl w:val="0"/>
          <w:numId w:val="68"/>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 xml:space="preserve">Cantidad total de GLP negociada durante cada mes del año, expresada en KG. </w:t>
      </w:r>
    </w:p>
    <w:p w:rsidR="00132F2C" w:rsidRPr="00DC07FC" w:rsidRDefault="00132F2C" w:rsidP="00211441">
      <w:pPr>
        <w:ind w:hanging="567"/>
        <w:contextualSpacing/>
        <w:rPr>
          <w:rFonts w:ascii="Bookman Old Style" w:hAnsi="Bookman Old Style" w:cs="Arial"/>
          <w:color w:val="000000" w:themeColor="text1"/>
        </w:rPr>
      </w:pPr>
    </w:p>
    <w:p w:rsidR="00132F2C" w:rsidRPr="00DC07FC" w:rsidRDefault="00132F2C" w:rsidP="00211441">
      <w:pPr>
        <w:numPr>
          <w:ilvl w:val="0"/>
          <w:numId w:val="68"/>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Precio promedio, ponderado por cantidades, del GLP negociado durante el año, expresado en COP por KG.</w:t>
      </w:r>
    </w:p>
    <w:p w:rsidR="00132F2C" w:rsidRPr="00DC07FC" w:rsidRDefault="00132F2C" w:rsidP="00211441">
      <w:pPr>
        <w:autoSpaceDE w:val="0"/>
        <w:autoSpaceDN w:val="0"/>
        <w:adjustRightInd w:val="0"/>
        <w:ind w:hanging="567"/>
        <w:contextualSpacing/>
        <w:jc w:val="both"/>
        <w:rPr>
          <w:rFonts w:ascii="Bookman Old Style" w:hAnsi="Bookman Old Style" w:cs="Arial"/>
          <w:color w:val="000000" w:themeColor="text1"/>
        </w:rPr>
      </w:pPr>
    </w:p>
    <w:p w:rsidR="00132F2C" w:rsidRPr="00DC07FC" w:rsidRDefault="00132F2C" w:rsidP="00211441">
      <w:pPr>
        <w:numPr>
          <w:ilvl w:val="0"/>
          <w:numId w:val="68"/>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Precio promedio, ponderado por cantidades, del GLP negociado durante cada mes del año, expresado en COP por KG.</w:t>
      </w:r>
    </w:p>
    <w:p w:rsidR="00132F2C" w:rsidRPr="00DC07FC" w:rsidRDefault="00132F2C" w:rsidP="00211441">
      <w:pPr>
        <w:autoSpaceDE w:val="0"/>
        <w:autoSpaceDN w:val="0"/>
        <w:adjustRightInd w:val="0"/>
        <w:ind w:hanging="567"/>
        <w:contextualSpacing/>
        <w:jc w:val="both"/>
        <w:rPr>
          <w:rFonts w:ascii="Bookman Old Style" w:hAnsi="Bookman Old Style" w:cs="Arial"/>
          <w:color w:val="000000" w:themeColor="text1"/>
        </w:rPr>
      </w:pPr>
    </w:p>
    <w:p w:rsidR="00132F2C" w:rsidRPr="00DC07FC" w:rsidRDefault="00132F2C" w:rsidP="00211441">
      <w:pPr>
        <w:numPr>
          <w:ilvl w:val="0"/>
          <w:numId w:val="68"/>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Número de negociaciones durante el año.</w:t>
      </w:r>
    </w:p>
    <w:p w:rsidR="00132F2C" w:rsidRPr="00DC07FC" w:rsidRDefault="00132F2C" w:rsidP="00211441">
      <w:pPr>
        <w:pStyle w:val="Prrafodelista"/>
        <w:ind w:left="567" w:hanging="567"/>
        <w:rPr>
          <w:rFonts w:ascii="Bookman Old Style" w:hAnsi="Bookman Old Style" w:cs="Arial"/>
          <w:color w:val="000000" w:themeColor="text1"/>
        </w:rPr>
      </w:pPr>
    </w:p>
    <w:p w:rsidR="00132F2C" w:rsidRPr="00DC07FC" w:rsidRDefault="00132F2C" w:rsidP="00211441">
      <w:pPr>
        <w:numPr>
          <w:ilvl w:val="0"/>
          <w:numId w:val="68"/>
        </w:numPr>
        <w:autoSpaceDE w:val="0"/>
        <w:autoSpaceDN w:val="0"/>
        <w:adjustRightInd w:val="0"/>
        <w:ind w:left="567" w:hanging="567"/>
        <w:contextualSpacing/>
        <w:jc w:val="both"/>
        <w:rPr>
          <w:rFonts w:ascii="Bookman Old Style" w:hAnsi="Bookman Old Style" w:cs="Arial"/>
          <w:color w:val="000000" w:themeColor="text1"/>
        </w:rPr>
      </w:pPr>
      <w:r w:rsidRPr="00DC07FC">
        <w:rPr>
          <w:rFonts w:ascii="Bookman Old Style" w:hAnsi="Bookman Old Style" w:cs="Arial"/>
          <w:color w:val="000000" w:themeColor="text1"/>
        </w:rPr>
        <w:t>Cualquier otra información relevante relacionada con sus actividades en el año anterior.</w:t>
      </w:r>
    </w:p>
    <w:p w:rsidR="00132F2C" w:rsidRPr="00DC07FC" w:rsidRDefault="00132F2C" w:rsidP="00211441">
      <w:pPr>
        <w:ind w:hanging="567"/>
        <w:contextualSpacing/>
        <w:jc w:val="both"/>
        <w:rPr>
          <w:rFonts w:ascii="Bookman Old Style" w:hAnsi="Bookman Old Style"/>
          <w:lang w:val="es-CO"/>
        </w:rPr>
      </w:pPr>
    </w:p>
    <w:p w:rsidR="00952BD8" w:rsidRDefault="00952BD8" w:rsidP="00132F2C">
      <w:pPr>
        <w:ind w:left="0"/>
        <w:contextualSpacing/>
        <w:jc w:val="both"/>
        <w:rPr>
          <w:rFonts w:ascii="Bookman Old Style" w:hAnsi="Bookman Old Style"/>
          <w:lang w:val="es-CO"/>
        </w:rPr>
      </w:pPr>
    </w:p>
    <w:p w:rsidR="009273A9" w:rsidRPr="00DC07FC" w:rsidRDefault="009273A9" w:rsidP="00132F2C">
      <w:pPr>
        <w:ind w:left="0"/>
        <w:contextualSpacing/>
        <w:jc w:val="both"/>
        <w:rPr>
          <w:rFonts w:ascii="Bookman Old Style" w:hAnsi="Bookman Old Style"/>
          <w:lang w:val="es-CO"/>
        </w:rPr>
      </w:pPr>
    </w:p>
    <w:p w:rsidR="00132F2C" w:rsidRPr="00DC07FC" w:rsidRDefault="00132F2C" w:rsidP="00132F2C">
      <w:pPr>
        <w:ind w:left="0"/>
        <w:contextualSpacing/>
        <w:jc w:val="both"/>
        <w:rPr>
          <w:rFonts w:ascii="Bookman Old Style" w:hAnsi="Bookman Old Style"/>
        </w:rPr>
      </w:pPr>
    </w:p>
    <w:tbl>
      <w:tblPr>
        <w:tblW w:w="9496" w:type="dxa"/>
        <w:jc w:val="center"/>
        <w:tblLayout w:type="fixed"/>
        <w:tblCellMar>
          <w:left w:w="70" w:type="dxa"/>
          <w:right w:w="70" w:type="dxa"/>
        </w:tblCellMar>
        <w:tblLook w:val="0000" w:firstRow="0" w:lastRow="0" w:firstColumn="0" w:lastColumn="0" w:noHBand="0" w:noVBand="0"/>
      </w:tblPr>
      <w:tblGrid>
        <w:gridCol w:w="5067"/>
        <w:gridCol w:w="4429"/>
      </w:tblGrid>
      <w:tr w:rsidR="00132F2C" w:rsidRPr="00DC07FC" w:rsidTr="009273A9">
        <w:trPr>
          <w:jc w:val="center"/>
        </w:trPr>
        <w:tc>
          <w:tcPr>
            <w:tcW w:w="5067" w:type="dxa"/>
          </w:tcPr>
          <w:p w:rsidR="00132F2C" w:rsidRPr="00DC07FC" w:rsidRDefault="00132F2C" w:rsidP="00C80A18">
            <w:pPr>
              <w:tabs>
                <w:tab w:val="left" w:pos="-720"/>
              </w:tabs>
              <w:suppressAutoHyphens/>
              <w:ind w:left="0"/>
              <w:contextualSpacing/>
              <w:jc w:val="center"/>
              <w:rPr>
                <w:rFonts w:ascii="Bookman Old Style" w:hAnsi="Bookman Old Style" w:cs="Arial"/>
                <w:b/>
                <w:spacing w:val="-3"/>
              </w:rPr>
            </w:pPr>
            <w:r w:rsidRPr="00DC07FC">
              <w:rPr>
                <w:rFonts w:ascii="Bookman Old Style" w:hAnsi="Bookman Old Style" w:cs="Arial"/>
                <w:b/>
                <w:spacing w:val="-3"/>
              </w:rPr>
              <w:t>GERMÁN ARCE ZAPATA</w:t>
            </w:r>
          </w:p>
          <w:p w:rsidR="00132F2C" w:rsidRPr="00DC07FC" w:rsidRDefault="00132F2C" w:rsidP="00C80A18">
            <w:pPr>
              <w:tabs>
                <w:tab w:val="left" w:pos="-720"/>
              </w:tabs>
              <w:suppressAutoHyphens/>
              <w:ind w:left="0"/>
              <w:contextualSpacing/>
              <w:jc w:val="center"/>
              <w:rPr>
                <w:rFonts w:ascii="Bookman Old Style" w:hAnsi="Bookman Old Style"/>
              </w:rPr>
            </w:pPr>
            <w:r w:rsidRPr="00DC07FC">
              <w:rPr>
                <w:rFonts w:ascii="Bookman Old Style" w:hAnsi="Bookman Old Style"/>
              </w:rPr>
              <w:t>Ministro de Minas y Energía</w:t>
            </w:r>
          </w:p>
          <w:p w:rsidR="00132F2C" w:rsidRPr="00DC07FC" w:rsidRDefault="00132F2C" w:rsidP="00C80A18">
            <w:pPr>
              <w:tabs>
                <w:tab w:val="left" w:pos="-720"/>
              </w:tabs>
              <w:suppressAutoHyphens/>
              <w:ind w:left="0"/>
              <w:contextualSpacing/>
              <w:jc w:val="center"/>
              <w:rPr>
                <w:rFonts w:ascii="Bookman Old Style" w:hAnsi="Bookman Old Style" w:cs="Arial"/>
                <w:b/>
                <w:strike/>
                <w:spacing w:val="-3"/>
              </w:rPr>
            </w:pPr>
            <w:r w:rsidRPr="00DC07FC">
              <w:rPr>
                <w:rFonts w:ascii="Bookman Old Style" w:hAnsi="Bookman Old Style"/>
              </w:rPr>
              <w:t>Presidente</w:t>
            </w:r>
          </w:p>
        </w:tc>
        <w:tc>
          <w:tcPr>
            <w:tcW w:w="4429" w:type="dxa"/>
          </w:tcPr>
          <w:p w:rsidR="00132F2C" w:rsidRPr="00DC07FC" w:rsidRDefault="00132F2C" w:rsidP="00C80A18">
            <w:pPr>
              <w:tabs>
                <w:tab w:val="left" w:pos="-720"/>
              </w:tabs>
              <w:suppressAutoHyphens/>
              <w:ind w:left="0"/>
              <w:contextualSpacing/>
              <w:jc w:val="center"/>
              <w:rPr>
                <w:rFonts w:ascii="Bookman Old Style" w:hAnsi="Bookman Old Style" w:cs="Arial"/>
                <w:b/>
              </w:rPr>
            </w:pPr>
            <w:r w:rsidRPr="00DC07FC">
              <w:rPr>
                <w:rFonts w:ascii="Bookman Old Style" w:hAnsi="Bookman Old Style" w:cs="Arial"/>
                <w:b/>
              </w:rPr>
              <w:t>JORGE PINTO NOLLA</w:t>
            </w:r>
          </w:p>
          <w:p w:rsidR="00132F2C" w:rsidRPr="00DC07FC" w:rsidRDefault="00132F2C" w:rsidP="00C80A18">
            <w:pPr>
              <w:tabs>
                <w:tab w:val="left" w:pos="-720"/>
              </w:tabs>
              <w:suppressAutoHyphens/>
              <w:ind w:left="0"/>
              <w:contextualSpacing/>
              <w:jc w:val="center"/>
              <w:rPr>
                <w:rFonts w:ascii="Bookman Old Style" w:hAnsi="Bookman Old Style" w:cs="Arial"/>
                <w:b/>
                <w:spacing w:val="-3"/>
              </w:rPr>
            </w:pPr>
            <w:r w:rsidRPr="00DC07FC">
              <w:rPr>
                <w:rFonts w:ascii="Bookman Old Style" w:hAnsi="Bookman Old Style" w:cs="Arial"/>
                <w:spacing w:val="-3"/>
              </w:rPr>
              <w:t>Director Ejecutivo</w:t>
            </w:r>
          </w:p>
        </w:tc>
      </w:tr>
    </w:tbl>
    <w:p w:rsidR="008E3C42" w:rsidRPr="00DC07FC" w:rsidRDefault="008E3C42" w:rsidP="008220A0">
      <w:pPr>
        <w:ind w:left="0"/>
        <w:rPr>
          <w:rFonts w:ascii="Bookman Old Style" w:hAnsi="Bookman Old Style" w:cs="Arial"/>
        </w:rPr>
      </w:pPr>
    </w:p>
    <w:sectPr w:rsidR="008E3C42" w:rsidRPr="00DC07FC"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5F1" w:rsidRDefault="00B625F1">
      <w:r>
        <w:separator/>
      </w:r>
    </w:p>
  </w:endnote>
  <w:endnote w:type="continuationSeparator" w:id="0">
    <w:p w:rsidR="00B625F1" w:rsidRDefault="00B6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5F1" w:rsidRDefault="00B625F1">
      <w:r>
        <w:separator/>
      </w:r>
    </w:p>
  </w:footnote>
  <w:footnote w:type="continuationSeparator" w:id="0">
    <w:p w:rsidR="00B625F1" w:rsidRDefault="00B625F1">
      <w:r>
        <w:continuationSeparator/>
      </w:r>
    </w:p>
  </w:footnote>
  <w:footnote w:id="1">
    <w:p w:rsidR="00796DBE" w:rsidRPr="003664FB" w:rsidRDefault="00796DBE" w:rsidP="00657027">
      <w:pPr>
        <w:pStyle w:val="Textonotapie"/>
        <w:rPr>
          <w:sz w:val="16"/>
          <w:szCs w:val="16"/>
          <w:vertAlign w:val="subscript"/>
        </w:rPr>
      </w:pPr>
      <w:r w:rsidRPr="003664FB">
        <w:rPr>
          <w:rFonts w:ascii="Bookman Old Style" w:hAnsi="Bookman Old Style"/>
          <w:sz w:val="16"/>
          <w:szCs w:val="16"/>
          <w:vertAlign w:val="superscript"/>
        </w:rPr>
        <w:footnoteRef/>
      </w:r>
      <w:r w:rsidRPr="003664FB">
        <w:rPr>
          <w:rFonts w:ascii="Bookman Old Style" w:hAnsi="Bookman Old Style"/>
          <w:sz w:val="16"/>
          <w:szCs w:val="16"/>
        </w:rPr>
        <w:t xml:space="preserve"> Se debe precisar que estas disposiciones se encuentran recogidas actualmente en los numerales 2.2.13.1 y siguientes del Decreto 1078 de 2015.</w:t>
      </w:r>
    </w:p>
  </w:footnote>
  <w:footnote w:id="2">
    <w:p w:rsidR="00796DBE" w:rsidRPr="00E54371" w:rsidRDefault="00796DBE" w:rsidP="00657027">
      <w:pPr>
        <w:pStyle w:val="Textonotapie"/>
        <w:rPr>
          <w:rFonts w:ascii="Bookman Old Style" w:hAnsi="Bookman Old Style"/>
          <w:sz w:val="16"/>
          <w:szCs w:val="16"/>
          <w:lang w:val="es-CO"/>
        </w:rPr>
      </w:pPr>
      <w:r w:rsidRPr="00E54371">
        <w:rPr>
          <w:rStyle w:val="Refdenotaalpie"/>
          <w:rFonts w:ascii="Bookman Old Style" w:hAnsi="Bookman Old Style"/>
          <w:sz w:val="16"/>
          <w:szCs w:val="16"/>
        </w:rPr>
        <w:footnoteRef/>
      </w:r>
      <w:r w:rsidRPr="00E54371">
        <w:rPr>
          <w:rFonts w:ascii="Bookman Old Style" w:hAnsi="Bookman Old Style"/>
          <w:sz w:val="16"/>
          <w:szCs w:val="16"/>
        </w:rPr>
        <w:t xml:space="preserve"> Se </w:t>
      </w:r>
      <w:r>
        <w:rPr>
          <w:rFonts w:ascii="Bookman Old Style" w:hAnsi="Bookman Old Style"/>
          <w:sz w:val="16"/>
          <w:szCs w:val="16"/>
        </w:rPr>
        <w:t xml:space="preserve">aclara </w:t>
      </w:r>
      <w:r w:rsidRPr="00E54371">
        <w:rPr>
          <w:rFonts w:ascii="Bookman Old Style" w:hAnsi="Bookman Old Style"/>
          <w:sz w:val="16"/>
          <w:szCs w:val="16"/>
        </w:rPr>
        <w:t>que estas disposiciones se encuentran recogidas actualmente en los numerales 2.2.13.1 y siguientes del Decreto 1078 de 2015.</w:t>
      </w:r>
    </w:p>
  </w:footnote>
  <w:footnote w:id="3">
    <w:p w:rsidR="00D622C4" w:rsidRPr="00522A05" w:rsidRDefault="00D622C4" w:rsidP="00D622C4">
      <w:pPr>
        <w:pStyle w:val="Textonotapie"/>
        <w:rPr>
          <w:rFonts w:ascii="Bookman Old Style" w:hAnsi="Bookman Old Style" w:cs="Arial"/>
          <w:sz w:val="16"/>
          <w:szCs w:val="16"/>
        </w:rPr>
      </w:pPr>
      <w:r w:rsidRPr="00522A05">
        <w:rPr>
          <w:rFonts w:ascii="Bookman Old Style" w:hAnsi="Bookman Old Style" w:cs="Arial"/>
          <w:sz w:val="16"/>
          <w:szCs w:val="16"/>
        </w:rPr>
        <w:footnoteRef/>
      </w:r>
      <w:r w:rsidRPr="00522A05">
        <w:rPr>
          <w:rFonts w:ascii="Bookman Old Style" w:hAnsi="Bookman Old Style" w:cs="Arial"/>
          <w:sz w:val="16"/>
          <w:szCs w:val="16"/>
        </w:rPr>
        <w:t xml:space="preserve"> Corte Constitucional, Sentencia C-075 de 2006.</w:t>
      </w:r>
    </w:p>
  </w:footnote>
  <w:footnote w:id="4">
    <w:p w:rsidR="00D622C4" w:rsidRPr="00522A05" w:rsidRDefault="00D622C4" w:rsidP="00D622C4">
      <w:pPr>
        <w:pStyle w:val="Textonotapie"/>
        <w:rPr>
          <w:rFonts w:ascii="Bookman Old Style" w:hAnsi="Bookman Old Style"/>
          <w:sz w:val="16"/>
          <w:szCs w:val="16"/>
        </w:rPr>
      </w:pPr>
      <w:r w:rsidRPr="00522A05">
        <w:rPr>
          <w:rFonts w:ascii="Bookman Old Style" w:hAnsi="Bookman Old Style" w:cs="Arial"/>
          <w:sz w:val="16"/>
          <w:szCs w:val="16"/>
        </w:rPr>
        <w:footnoteRef/>
      </w:r>
      <w:r w:rsidRPr="00522A05">
        <w:rPr>
          <w:rFonts w:ascii="Bookman Old Style" w:hAnsi="Bookman Old Style" w:cs="Arial"/>
          <w:sz w:val="16"/>
          <w:szCs w:val="16"/>
        </w:rPr>
        <w:t xml:space="preserve"> Corte Constitucional, Sentencia C-150 de 2003.</w:t>
      </w:r>
    </w:p>
  </w:footnote>
  <w:footnote w:id="5">
    <w:p w:rsidR="00D622C4" w:rsidRPr="00714BBC" w:rsidRDefault="00D622C4" w:rsidP="00D622C4">
      <w:pPr>
        <w:pStyle w:val="Textonotapie"/>
        <w:rPr>
          <w:rFonts w:cs="Arial"/>
          <w:sz w:val="16"/>
          <w:szCs w:val="16"/>
        </w:rPr>
      </w:pPr>
      <w:r w:rsidRPr="00522A05">
        <w:rPr>
          <w:rFonts w:ascii="Bookman Old Style" w:hAnsi="Bookman Old Style" w:cs="Arial"/>
          <w:sz w:val="16"/>
          <w:szCs w:val="16"/>
        </w:rPr>
        <w:footnoteRef/>
      </w:r>
      <w:r w:rsidRPr="00522A05">
        <w:rPr>
          <w:rFonts w:ascii="Bookman Old Style" w:hAnsi="Bookman Old Style" w:cs="Arial"/>
          <w:sz w:val="16"/>
          <w:szCs w:val="16"/>
        </w:rPr>
        <w:t xml:space="preserve"> Corte Constitucional, Sentencia C-150 de 2003, C-1120-05 Consejo de Estado, Sala de lo contencioso administrativo, Sección primera, Consejero ponente: doctor: Rafael E. </w:t>
      </w:r>
      <w:proofErr w:type="spellStart"/>
      <w:r w:rsidRPr="00522A05">
        <w:rPr>
          <w:rFonts w:ascii="Bookman Old Style" w:hAnsi="Bookman Old Style" w:cs="Arial"/>
          <w:sz w:val="16"/>
          <w:szCs w:val="16"/>
        </w:rPr>
        <w:t>Ostau</w:t>
      </w:r>
      <w:proofErr w:type="spellEnd"/>
      <w:r w:rsidRPr="00522A05">
        <w:rPr>
          <w:rFonts w:ascii="Bookman Old Style" w:hAnsi="Bookman Old Style" w:cs="Arial"/>
          <w:sz w:val="16"/>
          <w:szCs w:val="16"/>
        </w:rPr>
        <w:t xml:space="preserve"> de </w:t>
      </w:r>
      <w:proofErr w:type="spellStart"/>
      <w:r w:rsidRPr="00522A05">
        <w:rPr>
          <w:rFonts w:ascii="Bookman Old Style" w:hAnsi="Bookman Old Style" w:cs="Arial"/>
          <w:sz w:val="16"/>
          <w:szCs w:val="16"/>
        </w:rPr>
        <w:t>Lafont</w:t>
      </w:r>
      <w:proofErr w:type="spellEnd"/>
      <w:r w:rsidRPr="00522A05">
        <w:rPr>
          <w:rFonts w:ascii="Bookman Old Style" w:hAnsi="Bookman Old Style" w:cs="Arial"/>
          <w:sz w:val="16"/>
          <w:szCs w:val="16"/>
        </w:rPr>
        <w:t xml:space="preserve"> </w:t>
      </w:r>
      <w:proofErr w:type="spellStart"/>
      <w:r w:rsidRPr="00522A05">
        <w:rPr>
          <w:rFonts w:ascii="Bookman Old Style" w:hAnsi="Bookman Old Style" w:cs="Arial"/>
          <w:sz w:val="16"/>
          <w:szCs w:val="16"/>
        </w:rPr>
        <w:t>Pianeta</w:t>
      </w:r>
      <w:proofErr w:type="spellEnd"/>
      <w:r w:rsidRPr="00522A05">
        <w:rPr>
          <w:rFonts w:ascii="Bookman Old Style" w:hAnsi="Bookman Old Style" w:cs="Arial"/>
          <w:sz w:val="16"/>
          <w:szCs w:val="16"/>
        </w:rPr>
        <w:t>, Bogotá, D.C., treinta (30) de abril de dos mil nueve (2009), Núm. Rad.: 11001 032400020040012301.</w:t>
      </w:r>
    </w:p>
  </w:footnote>
  <w:footnote w:id="6">
    <w:p w:rsidR="00796DBE" w:rsidRPr="00A51EFB" w:rsidRDefault="00796DBE" w:rsidP="0075605A">
      <w:pPr>
        <w:pStyle w:val="Textonotapie"/>
        <w:rPr>
          <w:rFonts w:ascii="Bookman Old Style" w:hAnsi="Bookman Old Style"/>
          <w:sz w:val="16"/>
          <w:szCs w:val="16"/>
        </w:rPr>
      </w:pPr>
      <w:r w:rsidRPr="00A51EFB">
        <w:rPr>
          <w:rStyle w:val="Refdenotaalpie"/>
          <w:rFonts w:ascii="Bookman Old Style" w:hAnsi="Bookman Old Style"/>
          <w:sz w:val="16"/>
          <w:szCs w:val="16"/>
        </w:rPr>
        <w:footnoteRef/>
      </w:r>
      <w:r w:rsidRPr="00A51EFB">
        <w:rPr>
          <w:rFonts w:ascii="Bookman Old Style" w:hAnsi="Bookman Old Style"/>
          <w:sz w:val="16"/>
          <w:szCs w:val="16"/>
        </w:rPr>
        <w:t xml:space="preserve"> Corte Constitucional, Sentencia C-353 de 2006</w:t>
      </w:r>
      <w:r>
        <w:rPr>
          <w:rFonts w:ascii="Bookman Old Style" w:hAnsi="Bookman Old Style"/>
          <w:sz w:val="16"/>
          <w:szCs w:val="16"/>
        </w:rPr>
        <w:t>.</w:t>
      </w:r>
    </w:p>
  </w:footnote>
  <w:footnote w:id="7">
    <w:p w:rsidR="00796DBE" w:rsidRPr="00522A05" w:rsidRDefault="00796DBE" w:rsidP="0075605A">
      <w:pPr>
        <w:pStyle w:val="Textonotapie"/>
        <w:rPr>
          <w:rFonts w:ascii="Bookman Old Style" w:hAnsi="Bookman Old Style" w:cs="Arial"/>
          <w:sz w:val="16"/>
          <w:szCs w:val="16"/>
        </w:rPr>
      </w:pPr>
      <w:r w:rsidRPr="00522A05">
        <w:rPr>
          <w:rFonts w:ascii="Bookman Old Style" w:hAnsi="Bookman Old Style" w:cs="Arial"/>
          <w:sz w:val="16"/>
          <w:szCs w:val="16"/>
        </w:rPr>
        <w:footnoteRef/>
      </w:r>
      <w:r w:rsidRPr="00522A05">
        <w:rPr>
          <w:rFonts w:ascii="Bookman Old Style" w:hAnsi="Bookman Old Style" w:cs="Arial"/>
          <w:sz w:val="16"/>
          <w:szCs w:val="16"/>
        </w:rPr>
        <w:t xml:space="preserve"> Corte Constitucional, Sentencia C-150 de 2003.</w:t>
      </w:r>
    </w:p>
  </w:footnote>
  <w:footnote w:id="8">
    <w:p w:rsidR="00796DBE" w:rsidRPr="00522A05" w:rsidRDefault="00796DBE" w:rsidP="0075605A">
      <w:pPr>
        <w:pStyle w:val="Textonotapie"/>
        <w:rPr>
          <w:rFonts w:ascii="Bookman Old Style" w:hAnsi="Bookman Old Style" w:cs="Arial"/>
          <w:sz w:val="16"/>
          <w:szCs w:val="16"/>
        </w:rPr>
      </w:pPr>
      <w:r w:rsidRPr="00522A05">
        <w:rPr>
          <w:rFonts w:ascii="Bookman Old Style" w:hAnsi="Bookman Old Style" w:cs="Arial"/>
          <w:sz w:val="16"/>
          <w:szCs w:val="16"/>
        </w:rPr>
        <w:footnoteRef/>
      </w:r>
      <w:r w:rsidRPr="00522A05">
        <w:rPr>
          <w:rFonts w:ascii="Bookman Old Style" w:hAnsi="Bookman Old Style" w:cs="Arial"/>
          <w:sz w:val="16"/>
          <w:szCs w:val="16"/>
        </w:rPr>
        <w:t xml:space="preserve"> Corte Constitucional, Sentencia C-150 de 2003.</w:t>
      </w:r>
    </w:p>
  </w:footnote>
  <w:footnote w:id="9">
    <w:p w:rsidR="00796DBE" w:rsidRPr="00A51EFB" w:rsidRDefault="00796DBE" w:rsidP="0075605A">
      <w:pPr>
        <w:pStyle w:val="Textonotapie"/>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Con el propósito de introducir señales para incentivar la entrada de potenciales nuevos comercializadores mayoristas y para eliminar cualquier barrera o indefinición que pudiese presentarse ante una iniciativa privada en este sentido, y buscando además garantizar la seguridad de suministro de producto y crear competencia al inicio de la cadena, la CREG determinó que para el GLP proveniente de otras fuentes o importado por terceros distintos a Ecopetrol, el precio sería fijado libremente por el comercializador mayorista. Sin embargo, la CREG reconoció que inicialmente la entrada de nuevos agentes capaces de dinamizar la competencia no será significativa en la medida en que existen restricciones en la disponibilidad de infraestructura de importación y transporte por ductos para grandes cantidades. Por lo tanto, al menos en el corto plazo, la seguridad de suministro de GLP para atender la demanda nacional de gas combustible seguiría dependiendo casi en su totalidad de Ecopetrol.</w:t>
      </w:r>
    </w:p>
  </w:footnote>
  <w:footnote w:id="10">
    <w:p w:rsidR="00796DBE" w:rsidRPr="00A51EFB" w:rsidRDefault="00796DBE" w:rsidP="0075605A">
      <w:pPr>
        <w:pStyle w:val="Textonotapie"/>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Ley 142 de 1994, Arts. 1 a 12.</w:t>
      </w:r>
    </w:p>
  </w:footnote>
  <w:footnote w:id="11">
    <w:p w:rsidR="00796DBE" w:rsidRPr="00A51EFB" w:rsidRDefault="00796DBE" w:rsidP="0075605A">
      <w:pPr>
        <w:pStyle w:val="Textonotapie"/>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El concepto de costo de oportunidad da una señal de precio eficiente a la oferta, puesto que quien produce el GLP obtiene al menos, lo que obtendría por venderlo en la segunda mejor alternativa.</w:t>
      </w:r>
    </w:p>
  </w:footnote>
  <w:footnote w:id="12">
    <w:p w:rsidR="00796DBE" w:rsidRPr="003F6B65" w:rsidRDefault="00796DBE" w:rsidP="0075605A">
      <w:pPr>
        <w:pStyle w:val="Textonotapie"/>
      </w:pPr>
      <w:r w:rsidRPr="003F6B65">
        <w:rPr>
          <w:rFonts w:ascii="Bookman Old Style" w:hAnsi="Bookman Old Style" w:cs="Arial"/>
          <w:sz w:val="16"/>
          <w:szCs w:val="16"/>
        </w:rPr>
        <w:footnoteRef/>
      </w:r>
      <w:r w:rsidRPr="003F6B65">
        <w:rPr>
          <w:rFonts w:ascii="Bookman Old Style" w:hAnsi="Bookman Old Style" w:cs="Arial"/>
          <w:sz w:val="16"/>
          <w:szCs w:val="16"/>
        </w:rPr>
        <w:t xml:space="preserve"> Esta decisión fue adoptada bajo la consideración que el costo de oportunidad de dicho producto era el mercado doméstico del interior del país, dada la dificultad de poder exportarlo. De igual forma, se advirtió la necesidad de eliminar la existencia de una doble señal de precios para el GLP comercializado por Ecopetrol y la posibilidad de que Ecopetrol pudiese arbitrar el precio y las cantidades en el mercado de GLP, si se mantenía el régimen de libertad vigilada que en dicho momento estaba planteado en la Resolución CREG 066 de 2007, ante la falta de prorroga en el contrato de asociación bajo el cual se podría dar la comercialización del GLP de </w:t>
      </w:r>
      <w:proofErr w:type="spellStart"/>
      <w:r w:rsidRPr="003F6B65">
        <w:rPr>
          <w:rFonts w:ascii="Bookman Old Style" w:hAnsi="Bookman Old Style" w:cs="Arial"/>
          <w:sz w:val="16"/>
          <w:szCs w:val="16"/>
        </w:rPr>
        <w:t>Cusiana</w:t>
      </w:r>
      <w:proofErr w:type="spellEnd"/>
      <w:r w:rsidRPr="003F6B65">
        <w:rPr>
          <w:rFonts w:ascii="Bookman Old Style" w:hAnsi="Bookman Old Style" w:cs="Arial"/>
          <w:sz w:val="16"/>
          <w:szCs w:val="16"/>
        </w:rPr>
        <w:t xml:space="preserve"> a través de un tercero diferente de Ecopetrol.</w:t>
      </w:r>
    </w:p>
  </w:footnote>
  <w:footnote w:id="13">
    <w:p w:rsidR="00796DBE" w:rsidRPr="00A94720" w:rsidRDefault="00796DBE" w:rsidP="0075605A">
      <w:pPr>
        <w:pStyle w:val="Textonotapie"/>
        <w:rPr>
          <w:rFonts w:ascii="Bookman Old Style" w:hAnsi="Bookman Old Style" w:cs="Arial"/>
          <w:sz w:val="16"/>
          <w:szCs w:val="16"/>
        </w:rPr>
      </w:pPr>
      <w:r w:rsidRPr="00A94720">
        <w:rPr>
          <w:rFonts w:ascii="Bookman Old Style" w:hAnsi="Bookman Old Style" w:cs="Arial"/>
          <w:sz w:val="16"/>
          <w:szCs w:val="16"/>
        </w:rPr>
        <w:footnoteRef/>
      </w:r>
      <w:r w:rsidRPr="00A94720">
        <w:rPr>
          <w:rFonts w:ascii="Bookman Old Style" w:hAnsi="Bookman Old Style" w:cs="Arial"/>
          <w:sz w:val="16"/>
          <w:szCs w:val="16"/>
        </w:rPr>
        <w:t xml:space="preserve"> Los mecanismos de comercialización centralizados corresponden a las subastas para la compra de un contrato de suministro estandarizado y las negociaciones bilaterales entre agentes. Estos mecanismos se propusieron para reemplazar el esquema de asignación del GLP que se usa actualmente, la oferta pública de cantidades (OPC), que se acerca más a un mecanismo administrado que de mercado. Así, como para que la definición del precio del GLP en el mercado nacional refleje la disponibilidad a pagar de la demanda interna, en vez de las fluctuaciones del mercado internacional del propano y el butano.</w:t>
      </w:r>
    </w:p>
  </w:footnote>
  <w:footnote w:id="14">
    <w:p w:rsidR="00796DBE" w:rsidRPr="00A94720" w:rsidRDefault="00796DBE" w:rsidP="0075605A">
      <w:pPr>
        <w:pStyle w:val="Textonotapie"/>
        <w:rPr>
          <w:rFonts w:cs="Arial"/>
          <w:sz w:val="16"/>
          <w:szCs w:val="16"/>
        </w:rPr>
      </w:pPr>
      <w:r w:rsidRPr="00A94720">
        <w:rPr>
          <w:rFonts w:ascii="Bookman Old Style" w:hAnsi="Bookman Old Style" w:cs="Arial"/>
          <w:sz w:val="16"/>
          <w:szCs w:val="16"/>
        </w:rPr>
        <w:footnoteRef/>
      </w:r>
      <w:r w:rsidRPr="00A94720">
        <w:rPr>
          <w:rFonts w:ascii="Bookman Old Style" w:hAnsi="Bookman Old Style" w:cs="Arial"/>
          <w:sz w:val="16"/>
          <w:szCs w:val="16"/>
        </w:rPr>
        <w:t xml:space="preserve"> Así mismo, con la conformación del sistema de información electrónico se busca recopilar, validar, publicar y conservar la información sobre el resultado de las negociaciones y operaciones realizadas en el mercado mayorista de GLP. Lo anterior, con el objeto de darle mayor transparencia y liquidez a las operaciones del mercado y por ende tener una mayor trazabilidad del GLP que se comercializa en el país.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BE" w:rsidRDefault="00796DBE" w:rsidP="0048346D">
    <w:pPr>
      <w:pStyle w:val="Ttulo1"/>
    </w:pPr>
  </w:p>
  <w:p w:rsidR="00796DBE" w:rsidRPr="00137891" w:rsidRDefault="00796DBE" w:rsidP="00DA2ADC">
    <w:pPr>
      <w:pStyle w:val="Ttulo1"/>
      <w:ind w:left="0"/>
      <w:jc w:val="left"/>
      <w:rPr>
        <w:b w:val="0"/>
      </w:rPr>
    </w:pPr>
    <w:r w:rsidRPr="00137891">
      <w:rPr>
        <w:b w:val="0"/>
      </w:rPr>
      <w:t>RESOLUCIÓN No.  ________________</w:t>
    </w:r>
    <w:r w:rsidRPr="00137891">
      <w:rPr>
        <w:b w:val="0"/>
      </w:rPr>
      <w:tab/>
      <w:t>DE __________ ___</w:t>
    </w:r>
    <w:r w:rsidRPr="00137891">
      <w:rPr>
        <w:b w:val="0"/>
      </w:rPr>
      <w:tab/>
      <w:t xml:space="preserve">HOJA No. </w:t>
    </w:r>
    <w:r w:rsidRPr="00137891">
      <w:rPr>
        <w:b w:val="0"/>
      </w:rPr>
      <w:fldChar w:fldCharType="begin"/>
    </w:r>
    <w:r w:rsidRPr="00137891">
      <w:rPr>
        <w:b w:val="0"/>
      </w:rPr>
      <w:instrText xml:space="preserve"> PAGE   \* MERGEFORMAT </w:instrText>
    </w:r>
    <w:r w:rsidRPr="00137891">
      <w:rPr>
        <w:b w:val="0"/>
      </w:rPr>
      <w:fldChar w:fldCharType="separate"/>
    </w:r>
    <w:r w:rsidR="001907E3">
      <w:rPr>
        <w:b w:val="0"/>
        <w:noProof/>
      </w:rPr>
      <w:t>20</w:t>
    </w:r>
    <w:r w:rsidRPr="00137891">
      <w:rPr>
        <w:b w:val="0"/>
      </w:rPr>
      <w:fldChar w:fldCharType="end"/>
    </w:r>
    <w:r w:rsidRPr="00137891">
      <w:rPr>
        <w:b w:val="0"/>
      </w:rPr>
      <w:t>/</w:t>
    </w:r>
    <w:r w:rsidRPr="00137891">
      <w:rPr>
        <w:b w:val="0"/>
      </w:rPr>
      <w:fldChar w:fldCharType="begin"/>
    </w:r>
    <w:r w:rsidRPr="00137891">
      <w:rPr>
        <w:b w:val="0"/>
      </w:rPr>
      <w:instrText xml:space="preserve"> NUMPAGES  \* MERGEFORMAT </w:instrText>
    </w:r>
    <w:r w:rsidRPr="00137891">
      <w:rPr>
        <w:b w:val="0"/>
      </w:rPr>
      <w:fldChar w:fldCharType="separate"/>
    </w:r>
    <w:r w:rsidR="001907E3">
      <w:rPr>
        <w:b w:val="0"/>
        <w:noProof/>
      </w:rPr>
      <w:t>69</w:t>
    </w:r>
    <w:r w:rsidRPr="00137891">
      <w:rPr>
        <w:b w:val="0"/>
        <w:noProof/>
      </w:rPr>
      <w:fldChar w:fldCharType="end"/>
    </w:r>
  </w:p>
  <w:p w:rsidR="00796DBE" w:rsidRDefault="00796DB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68E806E" wp14:editId="43E1BBF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52028"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796DBE" w:rsidRDefault="00796DBE" w:rsidP="00105B37">
    <w:pPr>
      <w:pBdr>
        <w:bottom w:val="single" w:sz="4" w:space="1" w:color="auto"/>
      </w:pBdr>
      <w:ind w:left="142" w:right="148"/>
      <w:jc w:val="both"/>
      <w:rPr>
        <w:rFonts w:ascii="Bookman Old Style" w:hAnsi="Bookman Old Style"/>
        <w:sz w:val="22"/>
        <w:szCs w:val="22"/>
      </w:rPr>
    </w:pPr>
    <w:r w:rsidRPr="005E08C0">
      <w:rPr>
        <w:rFonts w:ascii="Bookman Old Style" w:hAnsi="Bookman Old Style"/>
        <w:sz w:val="22"/>
        <w:szCs w:val="22"/>
      </w:rPr>
      <w:t>Por la cual se ordena hacer público un proyecto de resolución “</w:t>
    </w:r>
    <w:r w:rsidRPr="00015F16">
      <w:rPr>
        <w:rFonts w:ascii="Bookman Old Style" w:hAnsi="Bookman Old Style"/>
        <w:sz w:val="22"/>
        <w:szCs w:val="22"/>
      </w:rPr>
      <w:t>Por la cual se establece el reglamento de comercialización mayorista de gas licuado de petróleo y se dictan otras disposiciones</w:t>
    </w:r>
    <w:r w:rsidRPr="005E08C0">
      <w:rPr>
        <w:rFonts w:ascii="Bookman Old Style" w:hAnsi="Bookman Old Style"/>
        <w:sz w:val="22"/>
        <w:szCs w:val="22"/>
      </w:rPr>
      <w:t>”</w:t>
    </w:r>
  </w:p>
  <w:p w:rsidR="00796DBE" w:rsidRPr="00045D3D" w:rsidRDefault="00796DBE" w:rsidP="00105B37">
    <w:pPr>
      <w:pBdr>
        <w:bottom w:val="single" w:sz="4" w:space="1" w:color="auto"/>
      </w:pBdr>
      <w:ind w:left="142" w:right="148"/>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BE" w:rsidRDefault="00796DBE"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796DBE" w:rsidRDefault="00796DBE">
    <w:pPr>
      <w:pStyle w:val="Encabezado"/>
      <w:jc w:val="center"/>
      <w:rPr>
        <w:rFonts w:ascii="Arial" w:hAnsi="Arial" w:cs="Arial"/>
        <w:spacing w:val="20"/>
        <w:sz w:val="20"/>
      </w:rPr>
    </w:pPr>
  </w:p>
  <w:p w:rsidR="00796DBE" w:rsidRDefault="00796DB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F437C3" wp14:editId="450C0F8D">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F32B0"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1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C1DBA"/>
    <w:multiLevelType w:val="multilevel"/>
    <w:tmpl w:val="54FEEA4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92164E8"/>
    <w:multiLevelType w:val="hybridMultilevel"/>
    <w:tmpl w:val="AA5C0412"/>
    <w:lvl w:ilvl="0" w:tplc="240A0019">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929173F"/>
    <w:multiLevelType w:val="hybridMultilevel"/>
    <w:tmpl w:val="AD66AB2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1E50B9"/>
    <w:multiLevelType w:val="hybridMultilevel"/>
    <w:tmpl w:val="09F4229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B130BAA"/>
    <w:multiLevelType w:val="hybridMultilevel"/>
    <w:tmpl w:val="B68CB6DE"/>
    <w:lvl w:ilvl="0" w:tplc="240A0019">
      <w:start w:val="1"/>
      <w:numFmt w:val="lowerLetter"/>
      <w:lvlText w:val="%1."/>
      <w:lvlJc w:val="left"/>
      <w:pPr>
        <w:ind w:left="720" w:hanging="360"/>
      </w:pPr>
      <w:rPr>
        <w:rFonts w:hint="default"/>
        <w:b w:val="0"/>
        <w:i w:val="0"/>
        <w:caps w:val="0"/>
        <w:strike w:val="0"/>
        <w:dstrike w:val="0"/>
        <w:vanish w:val="0"/>
        <w:webHidden w:val="0"/>
        <w:color w:val="000000"/>
        <w:sz w:val="24"/>
        <w:szCs w:val="22"/>
        <w:u w:val="none"/>
        <w:effect w:val="none"/>
        <w:vertAlign w:val="baseline"/>
        <w:specVanish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BA97F00"/>
    <w:multiLevelType w:val="hybridMultilevel"/>
    <w:tmpl w:val="FE8276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C2105B8"/>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0C4C0298"/>
    <w:multiLevelType w:val="hybridMultilevel"/>
    <w:tmpl w:val="7958BB1A"/>
    <w:lvl w:ilvl="0" w:tplc="240A0019">
      <w:start w:val="1"/>
      <w:numFmt w:val="lowerLetter"/>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0" w15:restartNumberingAfterBreak="0">
    <w:nsid w:val="0CDF7489"/>
    <w:multiLevelType w:val="multilevel"/>
    <w:tmpl w:val="00B8FC2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D87777"/>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100842A9"/>
    <w:multiLevelType w:val="hybridMultilevel"/>
    <w:tmpl w:val="F56819C4"/>
    <w:lvl w:ilvl="0" w:tplc="EEA01B04">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0B17CFA"/>
    <w:multiLevelType w:val="hybridMultilevel"/>
    <w:tmpl w:val="FE82762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1A92DF9"/>
    <w:multiLevelType w:val="hybridMultilevel"/>
    <w:tmpl w:val="69C29F46"/>
    <w:lvl w:ilvl="0" w:tplc="240A0019">
      <w:start w:val="1"/>
      <w:numFmt w:val="lowerLetter"/>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1F348B2"/>
    <w:multiLevelType w:val="hybridMultilevel"/>
    <w:tmpl w:val="2B804A96"/>
    <w:lvl w:ilvl="0" w:tplc="81983A3A">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121C63A1"/>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13CA56B5"/>
    <w:multiLevelType w:val="hybridMultilevel"/>
    <w:tmpl w:val="7958BB1A"/>
    <w:lvl w:ilvl="0" w:tplc="240A0019">
      <w:start w:val="1"/>
      <w:numFmt w:val="lowerLetter"/>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8" w15:restartNumberingAfterBreak="0">
    <w:nsid w:val="157F51AD"/>
    <w:multiLevelType w:val="hybridMultilevel"/>
    <w:tmpl w:val="2A2C1DBA"/>
    <w:lvl w:ilvl="0" w:tplc="EEA01B04">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1594732B"/>
    <w:multiLevelType w:val="hybridMultilevel"/>
    <w:tmpl w:val="356490EE"/>
    <w:lvl w:ilvl="0" w:tplc="240A0019">
      <w:start w:val="1"/>
      <w:numFmt w:val="low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0" w15:restartNumberingAfterBreak="0">
    <w:nsid w:val="19E92FB5"/>
    <w:multiLevelType w:val="hybridMultilevel"/>
    <w:tmpl w:val="C5E09E2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19F03482"/>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1AED2420"/>
    <w:multiLevelType w:val="hybridMultilevel"/>
    <w:tmpl w:val="2EDE59A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AFB4A83"/>
    <w:multiLevelType w:val="hybridMultilevel"/>
    <w:tmpl w:val="A6EE9EB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1C977381"/>
    <w:multiLevelType w:val="multilevel"/>
    <w:tmpl w:val="0C8EF888"/>
    <w:lvl w:ilvl="0">
      <w:start w:val="4"/>
      <w:numFmt w:val="decimal"/>
      <w:lvlText w:val="%1."/>
      <w:lvlJc w:val="left"/>
      <w:pPr>
        <w:ind w:left="480" w:hanging="480"/>
      </w:pPr>
      <w:rPr>
        <w:rFonts w:hint="default"/>
        <w:b/>
      </w:rPr>
    </w:lvl>
    <w:lvl w:ilvl="1">
      <w:start w:val="1"/>
      <w:numFmt w:val="lowerLetter"/>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1D0A392C"/>
    <w:multiLevelType w:val="hybridMultilevel"/>
    <w:tmpl w:val="7958BB1A"/>
    <w:lvl w:ilvl="0" w:tplc="240A0019">
      <w:start w:val="1"/>
      <w:numFmt w:val="lowerLetter"/>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6" w15:restartNumberingAfterBreak="0">
    <w:nsid w:val="1DB30709"/>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1F16546A"/>
    <w:multiLevelType w:val="hybridMultilevel"/>
    <w:tmpl w:val="2AF44448"/>
    <w:lvl w:ilvl="0" w:tplc="240A0001">
      <w:start w:val="1"/>
      <w:numFmt w:val="bullet"/>
      <w:lvlText w:val=""/>
      <w:lvlJc w:val="left"/>
      <w:pPr>
        <w:ind w:left="1854" w:hanging="360"/>
      </w:pPr>
      <w:rPr>
        <w:rFonts w:ascii="Symbol" w:hAnsi="Symbol" w:hint="default"/>
      </w:rPr>
    </w:lvl>
    <w:lvl w:ilvl="1" w:tplc="240A0019">
      <w:start w:val="1"/>
      <w:numFmt w:val="lowerLetter"/>
      <w:lvlText w:val="%2."/>
      <w:lvlJc w:val="left"/>
      <w:pPr>
        <w:ind w:left="928" w:hanging="360"/>
      </w:pPr>
      <w:rPr>
        <w:rFonts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28" w15:restartNumberingAfterBreak="0">
    <w:nsid w:val="1FD90259"/>
    <w:multiLevelType w:val="hybridMultilevel"/>
    <w:tmpl w:val="1C8690C2"/>
    <w:lvl w:ilvl="0" w:tplc="DCAC6BEE">
      <w:start w:val="1"/>
      <w:numFmt w:val="lowerLetter"/>
      <w:lvlText w:val="%1."/>
      <w:lvlJc w:val="left"/>
      <w:pPr>
        <w:ind w:left="0" w:firstLine="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9" w15:restartNumberingAfterBreak="0">
    <w:nsid w:val="20424BCF"/>
    <w:multiLevelType w:val="multilevel"/>
    <w:tmpl w:val="11E28356"/>
    <w:lvl w:ilvl="0">
      <w:start w:val="4"/>
      <w:numFmt w:val="decimal"/>
      <w:lvlText w:val="%1."/>
      <w:lvlJc w:val="left"/>
      <w:pPr>
        <w:ind w:left="480" w:hanging="480"/>
      </w:pPr>
      <w:rPr>
        <w:rFonts w:hint="default"/>
        <w:b/>
      </w:rPr>
    </w:lvl>
    <w:lvl w:ilvl="1">
      <w:start w:val="1"/>
      <w:numFmt w:val="lowerLetter"/>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218E6B59"/>
    <w:multiLevelType w:val="hybridMultilevel"/>
    <w:tmpl w:val="0CA44E1E"/>
    <w:lvl w:ilvl="0" w:tplc="240A0019">
      <w:start w:val="1"/>
      <w:numFmt w:val="lowerLetter"/>
      <w:lvlText w:val="%1."/>
      <w:lvlJc w:val="left"/>
      <w:pPr>
        <w:ind w:left="360" w:hanging="360"/>
      </w:pPr>
    </w:lvl>
    <w:lvl w:ilvl="1" w:tplc="240A0019" w:tentative="1">
      <w:start w:val="1"/>
      <w:numFmt w:val="lowerLetter"/>
      <w:lvlText w:val="%2."/>
      <w:lvlJc w:val="left"/>
      <w:pPr>
        <w:ind w:left="371" w:hanging="360"/>
      </w:pPr>
    </w:lvl>
    <w:lvl w:ilvl="2" w:tplc="240A001B" w:tentative="1">
      <w:start w:val="1"/>
      <w:numFmt w:val="lowerRoman"/>
      <w:lvlText w:val="%3."/>
      <w:lvlJc w:val="right"/>
      <w:pPr>
        <w:ind w:left="1091" w:hanging="180"/>
      </w:pPr>
    </w:lvl>
    <w:lvl w:ilvl="3" w:tplc="240A000F" w:tentative="1">
      <w:start w:val="1"/>
      <w:numFmt w:val="decimal"/>
      <w:lvlText w:val="%4."/>
      <w:lvlJc w:val="left"/>
      <w:pPr>
        <w:ind w:left="1811" w:hanging="360"/>
      </w:pPr>
    </w:lvl>
    <w:lvl w:ilvl="4" w:tplc="240A0019" w:tentative="1">
      <w:start w:val="1"/>
      <w:numFmt w:val="lowerLetter"/>
      <w:lvlText w:val="%5."/>
      <w:lvlJc w:val="left"/>
      <w:pPr>
        <w:ind w:left="2531" w:hanging="360"/>
      </w:pPr>
    </w:lvl>
    <w:lvl w:ilvl="5" w:tplc="240A001B" w:tentative="1">
      <w:start w:val="1"/>
      <w:numFmt w:val="lowerRoman"/>
      <w:lvlText w:val="%6."/>
      <w:lvlJc w:val="right"/>
      <w:pPr>
        <w:ind w:left="3251" w:hanging="180"/>
      </w:pPr>
    </w:lvl>
    <w:lvl w:ilvl="6" w:tplc="240A000F" w:tentative="1">
      <w:start w:val="1"/>
      <w:numFmt w:val="decimal"/>
      <w:lvlText w:val="%7."/>
      <w:lvlJc w:val="left"/>
      <w:pPr>
        <w:ind w:left="3971" w:hanging="360"/>
      </w:pPr>
    </w:lvl>
    <w:lvl w:ilvl="7" w:tplc="240A0019" w:tentative="1">
      <w:start w:val="1"/>
      <w:numFmt w:val="lowerLetter"/>
      <w:lvlText w:val="%8."/>
      <w:lvlJc w:val="left"/>
      <w:pPr>
        <w:ind w:left="4691" w:hanging="360"/>
      </w:pPr>
    </w:lvl>
    <w:lvl w:ilvl="8" w:tplc="240A001B" w:tentative="1">
      <w:start w:val="1"/>
      <w:numFmt w:val="lowerRoman"/>
      <w:lvlText w:val="%9."/>
      <w:lvlJc w:val="right"/>
      <w:pPr>
        <w:ind w:left="5411" w:hanging="180"/>
      </w:pPr>
    </w:lvl>
  </w:abstractNum>
  <w:abstractNum w:abstractNumId="31" w15:restartNumberingAfterBreak="0">
    <w:nsid w:val="21BF493F"/>
    <w:multiLevelType w:val="hybridMultilevel"/>
    <w:tmpl w:val="7958BB1A"/>
    <w:lvl w:ilvl="0" w:tplc="240A0019">
      <w:start w:val="1"/>
      <w:numFmt w:val="lowerLetter"/>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32" w15:restartNumberingAfterBreak="0">
    <w:nsid w:val="24656DDD"/>
    <w:multiLevelType w:val="hybridMultilevel"/>
    <w:tmpl w:val="DBC23F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4B15AE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24C426E3"/>
    <w:multiLevelType w:val="hybridMultilevel"/>
    <w:tmpl w:val="F9C82560"/>
    <w:lvl w:ilvl="0" w:tplc="40485F30">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25F904FB"/>
    <w:multiLevelType w:val="hybridMultilevel"/>
    <w:tmpl w:val="6718697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26FF2DB8"/>
    <w:multiLevelType w:val="hybridMultilevel"/>
    <w:tmpl w:val="529EF3A2"/>
    <w:lvl w:ilvl="0" w:tplc="F61423F4">
      <w:start w:val="1"/>
      <w:numFmt w:val="lowerLetter"/>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271765FB"/>
    <w:multiLevelType w:val="multilevel"/>
    <w:tmpl w:val="AD0C13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8CD0D1A"/>
    <w:multiLevelType w:val="hybridMultilevel"/>
    <w:tmpl w:val="76C848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A6C19BC"/>
    <w:multiLevelType w:val="hybridMultilevel"/>
    <w:tmpl w:val="2C46EC94"/>
    <w:lvl w:ilvl="0" w:tplc="EEA01B04">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2B301805"/>
    <w:multiLevelType w:val="hybridMultilevel"/>
    <w:tmpl w:val="7396D82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E6F04C6"/>
    <w:multiLevelType w:val="hybridMultilevel"/>
    <w:tmpl w:val="7958BB1A"/>
    <w:lvl w:ilvl="0" w:tplc="240A0019">
      <w:start w:val="1"/>
      <w:numFmt w:val="lowerLetter"/>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42" w15:restartNumberingAfterBreak="0">
    <w:nsid w:val="2E86143B"/>
    <w:multiLevelType w:val="hybridMultilevel"/>
    <w:tmpl w:val="4ABC6AAA"/>
    <w:lvl w:ilvl="0" w:tplc="764E095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2E8844F6"/>
    <w:multiLevelType w:val="hybridMultilevel"/>
    <w:tmpl w:val="7958BB1A"/>
    <w:lvl w:ilvl="0" w:tplc="240A0019">
      <w:start w:val="1"/>
      <w:numFmt w:val="lowerLetter"/>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44" w15:restartNumberingAfterBreak="0">
    <w:nsid w:val="2E8D064E"/>
    <w:multiLevelType w:val="hybridMultilevel"/>
    <w:tmpl w:val="41805CBA"/>
    <w:lvl w:ilvl="0" w:tplc="240A001B">
      <w:start w:val="1"/>
      <w:numFmt w:val="lowerRoman"/>
      <w:lvlText w:val="%1."/>
      <w:lvlJc w:val="righ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45" w15:restartNumberingAfterBreak="0">
    <w:nsid w:val="2EA10051"/>
    <w:multiLevelType w:val="hybridMultilevel"/>
    <w:tmpl w:val="73723806"/>
    <w:lvl w:ilvl="0" w:tplc="EEA01B04">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6" w15:restartNumberingAfterBreak="0">
    <w:nsid w:val="2F336AE9"/>
    <w:multiLevelType w:val="hybridMultilevel"/>
    <w:tmpl w:val="2EDE59A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FC30D62"/>
    <w:multiLevelType w:val="hybridMultilevel"/>
    <w:tmpl w:val="44BC6E78"/>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8" w15:restartNumberingAfterBreak="0">
    <w:nsid w:val="30892339"/>
    <w:multiLevelType w:val="hybridMultilevel"/>
    <w:tmpl w:val="DBC23F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32E4198B"/>
    <w:multiLevelType w:val="hybridMultilevel"/>
    <w:tmpl w:val="7270CA7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0" w15:restartNumberingAfterBreak="0">
    <w:nsid w:val="332E3844"/>
    <w:multiLevelType w:val="hybridMultilevel"/>
    <w:tmpl w:val="B2E6B08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1" w15:restartNumberingAfterBreak="0">
    <w:nsid w:val="38E97D76"/>
    <w:multiLevelType w:val="hybridMultilevel"/>
    <w:tmpl w:val="C5E09E2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15:restartNumberingAfterBreak="0">
    <w:nsid w:val="391402C6"/>
    <w:multiLevelType w:val="hybridMultilevel"/>
    <w:tmpl w:val="09F4229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3A6F0042"/>
    <w:multiLevelType w:val="hybridMultilevel"/>
    <w:tmpl w:val="44BC6E7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4" w15:restartNumberingAfterBreak="0">
    <w:nsid w:val="4324112A"/>
    <w:multiLevelType w:val="hybridMultilevel"/>
    <w:tmpl w:val="403817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3322171"/>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6" w15:restartNumberingAfterBreak="0">
    <w:nsid w:val="47E67689"/>
    <w:multiLevelType w:val="hybridMultilevel"/>
    <w:tmpl w:val="7270CA7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4BA838F8"/>
    <w:multiLevelType w:val="hybridMultilevel"/>
    <w:tmpl w:val="7AD0E29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8DF0BDC8">
      <w:start w:val="1"/>
      <w:numFmt w:val="lowerLetter"/>
      <w:lvlText w:val="%3)"/>
      <w:lvlJc w:val="left"/>
      <w:pPr>
        <w:ind w:left="2340" w:hanging="360"/>
      </w:pPr>
      <w:rPr>
        <w:rFonts w:ascii="Bookman Old Style" w:hAnsi="Bookman Old Style" w:hint="default"/>
        <w:sz w:val="24"/>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4CD300C1"/>
    <w:multiLevelType w:val="hybridMultilevel"/>
    <w:tmpl w:val="20D6FB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4CF460A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0" w15:restartNumberingAfterBreak="0">
    <w:nsid w:val="4F5F2A3A"/>
    <w:multiLevelType w:val="hybridMultilevel"/>
    <w:tmpl w:val="7958BB1A"/>
    <w:lvl w:ilvl="0" w:tplc="240A0019">
      <w:start w:val="1"/>
      <w:numFmt w:val="lowerLetter"/>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61" w15:restartNumberingAfterBreak="0">
    <w:nsid w:val="4FE705E3"/>
    <w:multiLevelType w:val="hybridMultilevel"/>
    <w:tmpl w:val="D8AA8E86"/>
    <w:lvl w:ilvl="0" w:tplc="EEA01B04">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2" w15:restartNumberingAfterBreak="0">
    <w:nsid w:val="51416472"/>
    <w:multiLevelType w:val="hybridMultilevel"/>
    <w:tmpl w:val="FE82762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3" w15:restartNumberingAfterBreak="0">
    <w:nsid w:val="51586E20"/>
    <w:multiLevelType w:val="hybridMultilevel"/>
    <w:tmpl w:val="FD147AA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51806D30"/>
    <w:multiLevelType w:val="multilevel"/>
    <w:tmpl w:val="DEEE0352"/>
    <w:lvl w:ilvl="0">
      <w:start w:val="1"/>
      <w:numFmt w:val="decimal"/>
      <w:suff w:val="space"/>
      <w:lvlText w:val="%1."/>
      <w:lvlJc w:val="left"/>
      <w:pPr>
        <w:ind w:left="0" w:firstLine="0"/>
      </w:pPr>
      <w:rPr>
        <w:rFonts w:hint="default"/>
      </w:rPr>
    </w:lvl>
    <w:lvl w:ilvl="1">
      <w:start w:val="1"/>
      <w:numFmt w:val="decimal"/>
      <w:pStyle w:val="Estilo4"/>
      <w:suff w:val="space"/>
      <w:lvlText w:val="%1.%2."/>
      <w:lvlJc w:val="left"/>
      <w:pPr>
        <w:ind w:left="0" w:firstLine="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541B4F64"/>
    <w:multiLevelType w:val="hybridMultilevel"/>
    <w:tmpl w:val="72301500"/>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6" w15:restartNumberingAfterBreak="0">
    <w:nsid w:val="57EB0C79"/>
    <w:multiLevelType w:val="hybridMultilevel"/>
    <w:tmpl w:val="154C56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5A6B01EC"/>
    <w:multiLevelType w:val="hybridMultilevel"/>
    <w:tmpl w:val="94E0F6EA"/>
    <w:lvl w:ilvl="0" w:tplc="EEA01B04">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8" w15:restartNumberingAfterBreak="0">
    <w:nsid w:val="5BA05135"/>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9" w15:restartNumberingAfterBreak="0">
    <w:nsid w:val="5C8347C9"/>
    <w:multiLevelType w:val="hybridMultilevel"/>
    <w:tmpl w:val="4A96E354"/>
    <w:lvl w:ilvl="0" w:tplc="240A0019">
      <w:start w:val="1"/>
      <w:numFmt w:val="lowerLetter"/>
      <w:lvlText w:val="%1."/>
      <w:lvlJc w:val="left"/>
      <w:pPr>
        <w:ind w:left="720" w:hanging="720"/>
      </w:pPr>
      <w:rPr>
        <w:rFonts w:hint="default"/>
        <w:b w:val="0"/>
        <w:i w:val="0"/>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0"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619E27C6"/>
    <w:multiLevelType w:val="hybridMultilevel"/>
    <w:tmpl w:val="3E385AD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73" w15:restartNumberingAfterBreak="0">
    <w:nsid w:val="68652F91"/>
    <w:multiLevelType w:val="hybridMultilevel"/>
    <w:tmpl w:val="F7EEF30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6AEA53B8"/>
    <w:multiLevelType w:val="hybridMultilevel"/>
    <w:tmpl w:val="7958BB1A"/>
    <w:lvl w:ilvl="0" w:tplc="240A0019">
      <w:start w:val="1"/>
      <w:numFmt w:val="lowerLetter"/>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75" w15:restartNumberingAfterBreak="0">
    <w:nsid w:val="6B9F01F2"/>
    <w:multiLevelType w:val="hybridMultilevel"/>
    <w:tmpl w:val="453455E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6" w15:restartNumberingAfterBreak="0">
    <w:nsid w:val="70C338F4"/>
    <w:multiLevelType w:val="hybridMultilevel"/>
    <w:tmpl w:val="302690EE"/>
    <w:lvl w:ilvl="0" w:tplc="81983A3A">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7" w15:restartNumberingAfterBreak="0">
    <w:nsid w:val="710C33D2"/>
    <w:multiLevelType w:val="hybridMultilevel"/>
    <w:tmpl w:val="DBC23F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720A4CC1"/>
    <w:multiLevelType w:val="hybridMultilevel"/>
    <w:tmpl w:val="2B804A96"/>
    <w:lvl w:ilvl="0" w:tplc="81983A3A">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9" w15:restartNumberingAfterBreak="0">
    <w:nsid w:val="73432BD8"/>
    <w:multiLevelType w:val="hybridMultilevel"/>
    <w:tmpl w:val="0B9A5BBE"/>
    <w:lvl w:ilvl="0" w:tplc="E9307320">
      <w:start w:val="1"/>
      <w:numFmt w:val="decimal"/>
      <w:pStyle w:val="Sangra2detindependiente"/>
      <w:lvlText w:val="ARTÍCULO %1."/>
      <w:lvlJc w:val="left"/>
      <w:pPr>
        <w:ind w:left="1637" w:hanging="360"/>
      </w:pPr>
      <w:rPr>
        <w:rFonts w:ascii="Bookman Old Style" w:hAnsi="Bookman Old Style"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80" w15:restartNumberingAfterBreak="0">
    <w:nsid w:val="73F4202A"/>
    <w:multiLevelType w:val="multilevel"/>
    <w:tmpl w:val="0C8EF888"/>
    <w:lvl w:ilvl="0">
      <w:start w:val="4"/>
      <w:numFmt w:val="decimal"/>
      <w:lvlText w:val="%1."/>
      <w:lvlJc w:val="left"/>
      <w:pPr>
        <w:ind w:left="480" w:hanging="480"/>
      </w:pPr>
      <w:rPr>
        <w:rFonts w:hint="default"/>
        <w:b/>
      </w:rPr>
    </w:lvl>
    <w:lvl w:ilvl="1">
      <w:start w:val="1"/>
      <w:numFmt w:val="lowerLetter"/>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1" w15:restartNumberingAfterBreak="0">
    <w:nsid w:val="77694704"/>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2" w15:restartNumberingAfterBreak="0">
    <w:nsid w:val="79417EFF"/>
    <w:multiLevelType w:val="hybridMultilevel"/>
    <w:tmpl w:val="AF76B27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3" w15:restartNumberingAfterBreak="0">
    <w:nsid w:val="79DF35E0"/>
    <w:multiLevelType w:val="hybridMultilevel"/>
    <w:tmpl w:val="A24CE68A"/>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01">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4" w15:restartNumberingAfterBreak="0">
    <w:nsid w:val="7EA541A6"/>
    <w:multiLevelType w:val="hybridMultilevel"/>
    <w:tmpl w:val="866C3E42"/>
    <w:lvl w:ilvl="0" w:tplc="240A0019">
      <w:start w:val="1"/>
      <w:numFmt w:val="lowerLetter"/>
      <w:lvlText w:val="%1."/>
      <w:lvlJc w:val="left"/>
      <w:pPr>
        <w:ind w:left="720" w:hanging="360"/>
      </w:pPr>
    </w:lvl>
    <w:lvl w:ilvl="1" w:tplc="EDD6CA26">
      <w:start w:val="1"/>
      <w:numFmt w:val="lowerLetter"/>
      <w:lvlText w:val="%2."/>
      <w:lvlJc w:val="left"/>
      <w:pPr>
        <w:ind w:left="360" w:hanging="360"/>
      </w:pPr>
      <w:rPr>
        <w:b w:val="0"/>
      </w:rPr>
    </w:lvl>
    <w:lvl w:ilvl="2" w:tplc="E74E629A">
      <w:start w:val="1"/>
      <w:numFmt w:val="lowerRoman"/>
      <w:lvlText w:val="%3)"/>
      <w:lvlJc w:val="left"/>
      <w:pPr>
        <w:ind w:left="1855" w:hanging="720"/>
      </w:pPr>
      <w:rPr>
        <w:rFonts w:cs="Times New Roman"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7F2D3A31"/>
    <w:multiLevelType w:val="hybridMultilevel"/>
    <w:tmpl w:val="AAB8E8E0"/>
    <w:lvl w:ilvl="0" w:tplc="7DCA56C2">
      <w:start w:val="1"/>
      <w:numFmt w:val="decimal"/>
      <w:pStyle w:val="Estilo1"/>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7FDA2F57"/>
    <w:multiLevelType w:val="hybridMultilevel"/>
    <w:tmpl w:val="72301500"/>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79"/>
  </w:num>
  <w:num w:numId="3">
    <w:abstractNumId w:val="3"/>
  </w:num>
  <w:num w:numId="4">
    <w:abstractNumId w:val="28"/>
  </w:num>
  <w:num w:numId="5">
    <w:abstractNumId w:val="55"/>
  </w:num>
  <w:num w:numId="6">
    <w:abstractNumId w:val="70"/>
  </w:num>
  <w:num w:numId="7">
    <w:abstractNumId w:val="24"/>
  </w:num>
  <w:num w:numId="8">
    <w:abstractNumId w:val="29"/>
  </w:num>
  <w:num w:numId="9">
    <w:abstractNumId w:val="72"/>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4"/>
  </w:num>
  <w:num w:numId="12">
    <w:abstractNumId w:val="57"/>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4"/>
  </w:num>
  <w:num w:numId="17">
    <w:abstractNumId w:val="47"/>
  </w:num>
  <w:num w:numId="18">
    <w:abstractNumId w:val="86"/>
  </w:num>
  <w:num w:numId="19">
    <w:abstractNumId w:val="4"/>
  </w:num>
  <w:num w:numId="20">
    <w:abstractNumId w:val="2"/>
  </w:num>
  <w:num w:numId="21">
    <w:abstractNumId w:val="58"/>
  </w:num>
  <w:num w:numId="22">
    <w:abstractNumId w:val="73"/>
  </w:num>
  <w:num w:numId="23">
    <w:abstractNumId w:val="71"/>
  </w:num>
  <w:num w:numId="24">
    <w:abstractNumId w:val="46"/>
  </w:num>
  <w:num w:numId="25">
    <w:abstractNumId w:val="40"/>
  </w:num>
  <w:num w:numId="26">
    <w:abstractNumId w:val="37"/>
  </w:num>
  <w:num w:numId="27">
    <w:abstractNumId w:val="67"/>
  </w:num>
  <w:num w:numId="28">
    <w:abstractNumId w:val="81"/>
  </w:num>
  <w:num w:numId="29">
    <w:abstractNumId w:val="61"/>
  </w:num>
  <w:num w:numId="30">
    <w:abstractNumId w:val="45"/>
  </w:num>
  <w:num w:numId="31">
    <w:abstractNumId w:val="12"/>
  </w:num>
  <w:num w:numId="32">
    <w:abstractNumId w:val="59"/>
  </w:num>
  <w:num w:numId="33">
    <w:abstractNumId w:val="66"/>
  </w:num>
  <w:num w:numId="34">
    <w:abstractNumId w:val="7"/>
  </w:num>
  <w:num w:numId="35">
    <w:abstractNumId w:val="22"/>
  </w:num>
  <w:num w:numId="36">
    <w:abstractNumId w:val="65"/>
  </w:num>
  <w:num w:numId="37">
    <w:abstractNumId w:val="48"/>
  </w:num>
  <w:num w:numId="38">
    <w:abstractNumId w:val="32"/>
  </w:num>
  <w:num w:numId="39">
    <w:abstractNumId w:val="14"/>
  </w:num>
  <w:num w:numId="40">
    <w:abstractNumId w:val="38"/>
  </w:num>
  <w:num w:numId="41">
    <w:abstractNumId w:val="33"/>
  </w:num>
  <w:num w:numId="42">
    <w:abstractNumId w:val="26"/>
  </w:num>
  <w:num w:numId="43">
    <w:abstractNumId w:val="21"/>
  </w:num>
  <w:num w:numId="44">
    <w:abstractNumId w:val="53"/>
  </w:num>
  <w:num w:numId="45">
    <w:abstractNumId w:val="80"/>
  </w:num>
  <w:num w:numId="46">
    <w:abstractNumId w:val="76"/>
  </w:num>
  <w:num w:numId="47">
    <w:abstractNumId w:val="15"/>
  </w:num>
  <w:num w:numId="48">
    <w:abstractNumId w:val="78"/>
  </w:num>
  <w:num w:numId="49">
    <w:abstractNumId w:val="34"/>
  </w:num>
  <w:num w:numId="50">
    <w:abstractNumId w:val="11"/>
  </w:num>
  <w:num w:numId="51">
    <w:abstractNumId w:val="62"/>
  </w:num>
  <w:num w:numId="52">
    <w:abstractNumId w:val="10"/>
  </w:num>
  <w:num w:numId="53">
    <w:abstractNumId w:val="44"/>
  </w:num>
  <w:num w:numId="54">
    <w:abstractNumId w:val="42"/>
  </w:num>
  <w:num w:numId="55">
    <w:abstractNumId w:val="64"/>
  </w:num>
  <w:num w:numId="56">
    <w:abstractNumId w:val="27"/>
  </w:num>
  <w:num w:numId="57">
    <w:abstractNumId w:val="19"/>
  </w:num>
  <w:num w:numId="58">
    <w:abstractNumId w:val="56"/>
  </w:num>
  <w:num w:numId="59">
    <w:abstractNumId w:val="23"/>
  </w:num>
  <w:num w:numId="60">
    <w:abstractNumId w:val="82"/>
  </w:num>
  <w:num w:numId="61">
    <w:abstractNumId w:val="5"/>
  </w:num>
  <w:num w:numId="62">
    <w:abstractNumId w:val="30"/>
  </w:num>
  <w:num w:numId="63">
    <w:abstractNumId w:val="52"/>
  </w:num>
  <w:num w:numId="64">
    <w:abstractNumId w:val="35"/>
  </w:num>
  <w:num w:numId="65">
    <w:abstractNumId w:val="75"/>
  </w:num>
  <w:num w:numId="66">
    <w:abstractNumId w:val="20"/>
  </w:num>
  <w:num w:numId="67">
    <w:abstractNumId w:val="51"/>
  </w:num>
  <w:num w:numId="68">
    <w:abstractNumId w:val="69"/>
  </w:num>
  <w:num w:numId="69">
    <w:abstractNumId w:val="85"/>
  </w:num>
  <w:num w:numId="70">
    <w:abstractNumId w:val="13"/>
  </w:num>
  <w:num w:numId="71">
    <w:abstractNumId w:val="63"/>
  </w:num>
  <w:num w:numId="72">
    <w:abstractNumId w:val="49"/>
  </w:num>
  <w:num w:numId="73">
    <w:abstractNumId w:val="43"/>
  </w:num>
  <w:num w:numId="74">
    <w:abstractNumId w:val="74"/>
  </w:num>
  <w:num w:numId="75">
    <w:abstractNumId w:val="9"/>
  </w:num>
  <w:num w:numId="76">
    <w:abstractNumId w:val="25"/>
  </w:num>
  <w:num w:numId="77">
    <w:abstractNumId w:val="60"/>
  </w:num>
  <w:num w:numId="78">
    <w:abstractNumId w:val="39"/>
  </w:num>
  <w:num w:numId="79">
    <w:abstractNumId w:val="41"/>
  </w:num>
  <w:num w:numId="80">
    <w:abstractNumId w:val="17"/>
  </w:num>
  <w:num w:numId="81">
    <w:abstractNumId w:val="31"/>
  </w:num>
  <w:num w:numId="82">
    <w:abstractNumId w:val="18"/>
  </w:num>
  <w:num w:numId="83">
    <w:abstractNumId w:val="8"/>
  </w:num>
  <w:num w:numId="84">
    <w:abstractNumId w:val="68"/>
  </w:num>
  <w:num w:numId="85">
    <w:abstractNumId w:val="16"/>
  </w:num>
  <w:num w:numId="86">
    <w:abstractNumId w:val="8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873"/>
    <w:rsid w:val="000027D1"/>
    <w:rsid w:val="00003B2C"/>
    <w:rsid w:val="000049EF"/>
    <w:rsid w:val="000064F6"/>
    <w:rsid w:val="00006AE2"/>
    <w:rsid w:val="000076A1"/>
    <w:rsid w:val="00007F3F"/>
    <w:rsid w:val="00010B50"/>
    <w:rsid w:val="000114EE"/>
    <w:rsid w:val="00011891"/>
    <w:rsid w:val="00012259"/>
    <w:rsid w:val="0001233F"/>
    <w:rsid w:val="00013AC9"/>
    <w:rsid w:val="00013F53"/>
    <w:rsid w:val="00014E23"/>
    <w:rsid w:val="00015371"/>
    <w:rsid w:val="00015A5D"/>
    <w:rsid w:val="00015AC3"/>
    <w:rsid w:val="00015E55"/>
    <w:rsid w:val="00015F16"/>
    <w:rsid w:val="000200AE"/>
    <w:rsid w:val="00020316"/>
    <w:rsid w:val="00020488"/>
    <w:rsid w:val="00023080"/>
    <w:rsid w:val="00023EA2"/>
    <w:rsid w:val="00024F27"/>
    <w:rsid w:val="00025383"/>
    <w:rsid w:val="0002543A"/>
    <w:rsid w:val="0002552F"/>
    <w:rsid w:val="00025530"/>
    <w:rsid w:val="00025615"/>
    <w:rsid w:val="00025B6E"/>
    <w:rsid w:val="00027B9C"/>
    <w:rsid w:val="00032D98"/>
    <w:rsid w:val="000338D1"/>
    <w:rsid w:val="00033D42"/>
    <w:rsid w:val="000416E5"/>
    <w:rsid w:val="000429F5"/>
    <w:rsid w:val="00045D3D"/>
    <w:rsid w:val="00050D29"/>
    <w:rsid w:val="00051858"/>
    <w:rsid w:val="000519F9"/>
    <w:rsid w:val="00052951"/>
    <w:rsid w:val="00053207"/>
    <w:rsid w:val="0005395B"/>
    <w:rsid w:val="0005402E"/>
    <w:rsid w:val="00054627"/>
    <w:rsid w:val="000547E4"/>
    <w:rsid w:val="00054FE2"/>
    <w:rsid w:val="00055B13"/>
    <w:rsid w:val="0005728B"/>
    <w:rsid w:val="00060890"/>
    <w:rsid w:val="00063228"/>
    <w:rsid w:val="00063657"/>
    <w:rsid w:val="000659BD"/>
    <w:rsid w:val="0006674E"/>
    <w:rsid w:val="000675CD"/>
    <w:rsid w:val="0007024B"/>
    <w:rsid w:val="00072EA7"/>
    <w:rsid w:val="000732DD"/>
    <w:rsid w:val="000736CD"/>
    <w:rsid w:val="0007386C"/>
    <w:rsid w:val="000755B1"/>
    <w:rsid w:val="000760D7"/>
    <w:rsid w:val="00076680"/>
    <w:rsid w:val="00076A1D"/>
    <w:rsid w:val="0007720C"/>
    <w:rsid w:val="0008024D"/>
    <w:rsid w:val="0008073E"/>
    <w:rsid w:val="00080D7A"/>
    <w:rsid w:val="00081285"/>
    <w:rsid w:val="000832EE"/>
    <w:rsid w:val="0008333F"/>
    <w:rsid w:val="00083960"/>
    <w:rsid w:val="00084250"/>
    <w:rsid w:val="000849E1"/>
    <w:rsid w:val="00085802"/>
    <w:rsid w:val="00085F45"/>
    <w:rsid w:val="00086EB3"/>
    <w:rsid w:val="00087BF7"/>
    <w:rsid w:val="00087F3F"/>
    <w:rsid w:val="00091CDB"/>
    <w:rsid w:val="00092BC9"/>
    <w:rsid w:val="00092FC6"/>
    <w:rsid w:val="00095D9F"/>
    <w:rsid w:val="00095EB5"/>
    <w:rsid w:val="000976AA"/>
    <w:rsid w:val="000A19AC"/>
    <w:rsid w:val="000A19AD"/>
    <w:rsid w:val="000A210A"/>
    <w:rsid w:val="000A2407"/>
    <w:rsid w:val="000A2BC9"/>
    <w:rsid w:val="000A32CE"/>
    <w:rsid w:val="000A39AC"/>
    <w:rsid w:val="000A3A36"/>
    <w:rsid w:val="000A4C19"/>
    <w:rsid w:val="000A4E97"/>
    <w:rsid w:val="000A53ED"/>
    <w:rsid w:val="000A7474"/>
    <w:rsid w:val="000A7B0D"/>
    <w:rsid w:val="000B14BF"/>
    <w:rsid w:val="000B2EC9"/>
    <w:rsid w:val="000B316C"/>
    <w:rsid w:val="000B50E3"/>
    <w:rsid w:val="000C10C9"/>
    <w:rsid w:val="000C1ACA"/>
    <w:rsid w:val="000C441D"/>
    <w:rsid w:val="000D024B"/>
    <w:rsid w:val="000D0B11"/>
    <w:rsid w:val="000D0EFB"/>
    <w:rsid w:val="000D1B98"/>
    <w:rsid w:val="000D253A"/>
    <w:rsid w:val="000D26F8"/>
    <w:rsid w:val="000D3506"/>
    <w:rsid w:val="000D3918"/>
    <w:rsid w:val="000D4502"/>
    <w:rsid w:val="000D5438"/>
    <w:rsid w:val="000D5726"/>
    <w:rsid w:val="000D7354"/>
    <w:rsid w:val="000E0E90"/>
    <w:rsid w:val="000E1CAA"/>
    <w:rsid w:val="000E3086"/>
    <w:rsid w:val="000E5528"/>
    <w:rsid w:val="000E6066"/>
    <w:rsid w:val="000E6918"/>
    <w:rsid w:val="000E7A32"/>
    <w:rsid w:val="000E7EE7"/>
    <w:rsid w:val="000F0E73"/>
    <w:rsid w:val="000F154A"/>
    <w:rsid w:val="000F17D4"/>
    <w:rsid w:val="000F1B68"/>
    <w:rsid w:val="000F497F"/>
    <w:rsid w:val="000F7306"/>
    <w:rsid w:val="000F7B83"/>
    <w:rsid w:val="00100172"/>
    <w:rsid w:val="00103665"/>
    <w:rsid w:val="00105B37"/>
    <w:rsid w:val="00105E83"/>
    <w:rsid w:val="00106654"/>
    <w:rsid w:val="00110F46"/>
    <w:rsid w:val="00110FED"/>
    <w:rsid w:val="0011248C"/>
    <w:rsid w:val="00112A5B"/>
    <w:rsid w:val="00114B01"/>
    <w:rsid w:val="00115F05"/>
    <w:rsid w:val="00117C3F"/>
    <w:rsid w:val="00120BD1"/>
    <w:rsid w:val="00123FF1"/>
    <w:rsid w:val="00124A0A"/>
    <w:rsid w:val="00124C08"/>
    <w:rsid w:val="00126171"/>
    <w:rsid w:val="0012712A"/>
    <w:rsid w:val="001326C9"/>
    <w:rsid w:val="00132F2C"/>
    <w:rsid w:val="00133F39"/>
    <w:rsid w:val="0013526C"/>
    <w:rsid w:val="00135B86"/>
    <w:rsid w:val="00135CDF"/>
    <w:rsid w:val="001373F3"/>
    <w:rsid w:val="00137730"/>
    <w:rsid w:val="00137891"/>
    <w:rsid w:val="001405C6"/>
    <w:rsid w:val="00141013"/>
    <w:rsid w:val="001413AE"/>
    <w:rsid w:val="001417B2"/>
    <w:rsid w:val="0014183B"/>
    <w:rsid w:val="00141DBA"/>
    <w:rsid w:val="001424F8"/>
    <w:rsid w:val="001425C8"/>
    <w:rsid w:val="00143247"/>
    <w:rsid w:val="00143C44"/>
    <w:rsid w:val="00143D18"/>
    <w:rsid w:val="00144136"/>
    <w:rsid w:val="00144358"/>
    <w:rsid w:val="0014773C"/>
    <w:rsid w:val="00150258"/>
    <w:rsid w:val="00150C60"/>
    <w:rsid w:val="001517F5"/>
    <w:rsid w:val="00151FB3"/>
    <w:rsid w:val="00152CF3"/>
    <w:rsid w:val="00155C4F"/>
    <w:rsid w:val="00161A6B"/>
    <w:rsid w:val="00163DB8"/>
    <w:rsid w:val="00164540"/>
    <w:rsid w:val="001651B3"/>
    <w:rsid w:val="001652D4"/>
    <w:rsid w:val="00165B8D"/>
    <w:rsid w:val="00167EDE"/>
    <w:rsid w:val="001724D8"/>
    <w:rsid w:val="001727E3"/>
    <w:rsid w:val="00172E78"/>
    <w:rsid w:val="00175BB2"/>
    <w:rsid w:val="001769A6"/>
    <w:rsid w:val="00180962"/>
    <w:rsid w:val="00184003"/>
    <w:rsid w:val="00187643"/>
    <w:rsid w:val="001907E3"/>
    <w:rsid w:val="0019176D"/>
    <w:rsid w:val="00192CBF"/>
    <w:rsid w:val="00192FF1"/>
    <w:rsid w:val="0019372C"/>
    <w:rsid w:val="001A13A2"/>
    <w:rsid w:val="001A1783"/>
    <w:rsid w:val="001A468D"/>
    <w:rsid w:val="001A5F1B"/>
    <w:rsid w:val="001A6CA0"/>
    <w:rsid w:val="001B04E6"/>
    <w:rsid w:val="001B141D"/>
    <w:rsid w:val="001B1C22"/>
    <w:rsid w:val="001B2221"/>
    <w:rsid w:val="001B34C6"/>
    <w:rsid w:val="001B3D5D"/>
    <w:rsid w:val="001B5A52"/>
    <w:rsid w:val="001C12AD"/>
    <w:rsid w:val="001C203A"/>
    <w:rsid w:val="001C7484"/>
    <w:rsid w:val="001D02F9"/>
    <w:rsid w:val="001D0C7A"/>
    <w:rsid w:val="001D2410"/>
    <w:rsid w:val="001D688C"/>
    <w:rsid w:val="001D7832"/>
    <w:rsid w:val="001E0635"/>
    <w:rsid w:val="001E091D"/>
    <w:rsid w:val="001E39CD"/>
    <w:rsid w:val="001E4D22"/>
    <w:rsid w:val="001E5967"/>
    <w:rsid w:val="001E7F8B"/>
    <w:rsid w:val="001F095C"/>
    <w:rsid w:val="001F27EA"/>
    <w:rsid w:val="001F66CB"/>
    <w:rsid w:val="001F6C1D"/>
    <w:rsid w:val="002008A8"/>
    <w:rsid w:val="00201339"/>
    <w:rsid w:val="002022D8"/>
    <w:rsid w:val="00202918"/>
    <w:rsid w:val="002046A9"/>
    <w:rsid w:val="00205198"/>
    <w:rsid w:val="0020576B"/>
    <w:rsid w:val="00205F46"/>
    <w:rsid w:val="00206AFB"/>
    <w:rsid w:val="00206EF4"/>
    <w:rsid w:val="00210066"/>
    <w:rsid w:val="00210DC1"/>
    <w:rsid w:val="00211082"/>
    <w:rsid w:val="00211441"/>
    <w:rsid w:val="00211D34"/>
    <w:rsid w:val="002137C0"/>
    <w:rsid w:val="00214F04"/>
    <w:rsid w:val="0021587F"/>
    <w:rsid w:val="00216CC0"/>
    <w:rsid w:val="002202E3"/>
    <w:rsid w:val="00220A03"/>
    <w:rsid w:val="0022220B"/>
    <w:rsid w:val="00223C4B"/>
    <w:rsid w:val="00226660"/>
    <w:rsid w:val="002267F7"/>
    <w:rsid w:val="00232F72"/>
    <w:rsid w:val="002352B9"/>
    <w:rsid w:val="00236D56"/>
    <w:rsid w:val="00236F83"/>
    <w:rsid w:val="002420A4"/>
    <w:rsid w:val="002425E5"/>
    <w:rsid w:val="00242CA3"/>
    <w:rsid w:val="0024428B"/>
    <w:rsid w:val="00245841"/>
    <w:rsid w:val="002502FB"/>
    <w:rsid w:val="00250DF9"/>
    <w:rsid w:val="002515B1"/>
    <w:rsid w:val="002519E7"/>
    <w:rsid w:val="00252D23"/>
    <w:rsid w:val="002537F3"/>
    <w:rsid w:val="0025579D"/>
    <w:rsid w:val="00256CE6"/>
    <w:rsid w:val="0025716A"/>
    <w:rsid w:val="00260B02"/>
    <w:rsid w:val="00260CFC"/>
    <w:rsid w:val="0026195D"/>
    <w:rsid w:val="002621D9"/>
    <w:rsid w:val="0026241F"/>
    <w:rsid w:val="0026420B"/>
    <w:rsid w:val="00264D09"/>
    <w:rsid w:val="00266CD6"/>
    <w:rsid w:val="002673AC"/>
    <w:rsid w:val="002725A8"/>
    <w:rsid w:val="002725DE"/>
    <w:rsid w:val="00272B46"/>
    <w:rsid w:val="00273650"/>
    <w:rsid w:val="00275DAB"/>
    <w:rsid w:val="00276130"/>
    <w:rsid w:val="00276EA2"/>
    <w:rsid w:val="00277C87"/>
    <w:rsid w:val="002810D4"/>
    <w:rsid w:val="002822D0"/>
    <w:rsid w:val="002826BF"/>
    <w:rsid w:val="00283936"/>
    <w:rsid w:val="002862C7"/>
    <w:rsid w:val="002903C0"/>
    <w:rsid w:val="00290B3E"/>
    <w:rsid w:val="002920D0"/>
    <w:rsid w:val="0029308B"/>
    <w:rsid w:val="002954C0"/>
    <w:rsid w:val="002A36B9"/>
    <w:rsid w:val="002A468D"/>
    <w:rsid w:val="002A595B"/>
    <w:rsid w:val="002A6176"/>
    <w:rsid w:val="002A72EF"/>
    <w:rsid w:val="002A782A"/>
    <w:rsid w:val="002B1135"/>
    <w:rsid w:val="002B11E2"/>
    <w:rsid w:val="002B24B8"/>
    <w:rsid w:val="002B2709"/>
    <w:rsid w:val="002B33B6"/>
    <w:rsid w:val="002B535F"/>
    <w:rsid w:val="002B614B"/>
    <w:rsid w:val="002B627B"/>
    <w:rsid w:val="002B6B87"/>
    <w:rsid w:val="002C0271"/>
    <w:rsid w:val="002C1DEB"/>
    <w:rsid w:val="002C29C6"/>
    <w:rsid w:val="002C35CD"/>
    <w:rsid w:val="002C3630"/>
    <w:rsid w:val="002C3A47"/>
    <w:rsid w:val="002C3DC3"/>
    <w:rsid w:val="002C53A6"/>
    <w:rsid w:val="002C6125"/>
    <w:rsid w:val="002C7D6F"/>
    <w:rsid w:val="002D0D4D"/>
    <w:rsid w:val="002D147C"/>
    <w:rsid w:val="002D1BCC"/>
    <w:rsid w:val="002D299F"/>
    <w:rsid w:val="002D2A9E"/>
    <w:rsid w:val="002D3AE9"/>
    <w:rsid w:val="002D3E8E"/>
    <w:rsid w:val="002D4510"/>
    <w:rsid w:val="002D4528"/>
    <w:rsid w:val="002D5E07"/>
    <w:rsid w:val="002D61A2"/>
    <w:rsid w:val="002E02B0"/>
    <w:rsid w:val="002E06D0"/>
    <w:rsid w:val="002E36A2"/>
    <w:rsid w:val="002E44F2"/>
    <w:rsid w:val="002E45E4"/>
    <w:rsid w:val="002E4EAE"/>
    <w:rsid w:val="002E5CDC"/>
    <w:rsid w:val="002E6DC1"/>
    <w:rsid w:val="002E6FB0"/>
    <w:rsid w:val="002F0625"/>
    <w:rsid w:val="002F0734"/>
    <w:rsid w:val="002F465A"/>
    <w:rsid w:val="002F46E7"/>
    <w:rsid w:val="003001CA"/>
    <w:rsid w:val="00301D81"/>
    <w:rsid w:val="0030594C"/>
    <w:rsid w:val="00305AD4"/>
    <w:rsid w:val="00306FD4"/>
    <w:rsid w:val="00307122"/>
    <w:rsid w:val="00307F15"/>
    <w:rsid w:val="003101DA"/>
    <w:rsid w:val="003111C3"/>
    <w:rsid w:val="00313538"/>
    <w:rsid w:val="00314108"/>
    <w:rsid w:val="00314757"/>
    <w:rsid w:val="0031614C"/>
    <w:rsid w:val="003163BC"/>
    <w:rsid w:val="0031679D"/>
    <w:rsid w:val="00316AB9"/>
    <w:rsid w:val="00317599"/>
    <w:rsid w:val="00317E08"/>
    <w:rsid w:val="00320084"/>
    <w:rsid w:val="003211CE"/>
    <w:rsid w:val="00322BA3"/>
    <w:rsid w:val="00324E7C"/>
    <w:rsid w:val="00325F07"/>
    <w:rsid w:val="003307BD"/>
    <w:rsid w:val="00331A53"/>
    <w:rsid w:val="00331F8A"/>
    <w:rsid w:val="00332581"/>
    <w:rsid w:val="00333BB6"/>
    <w:rsid w:val="0033433F"/>
    <w:rsid w:val="0033477E"/>
    <w:rsid w:val="0033771D"/>
    <w:rsid w:val="003403A7"/>
    <w:rsid w:val="00340822"/>
    <w:rsid w:val="00340D3B"/>
    <w:rsid w:val="003411C4"/>
    <w:rsid w:val="00341AA1"/>
    <w:rsid w:val="00342E2F"/>
    <w:rsid w:val="00343909"/>
    <w:rsid w:val="00346189"/>
    <w:rsid w:val="0035076D"/>
    <w:rsid w:val="003525C8"/>
    <w:rsid w:val="003526D3"/>
    <w:rsid w:val="00352DEC"/>
    <w:rsid w:val="003531B2"/>
    <w:rsid w:val="0035366A"/>
    <w:rsid w:val="0035403A"/>
    <w:rsid w:val="003548CB"/>
    <w:rsid w:val="003609E5"/>
    <w:rsid w:val="00360EA0"/>
    <w:rsid w:val="0036130C"/>
    <w:rsid w:val="0036394B"/>
    <w:rsid w:val="003646E6"/>
    <w:rsid w:val="00366DB6"/>
    <w:rsid w:val="00370997"/>
    <w:rsid w:val="003709B5"/>
    <w:rsid w:val="00370B23"/>
    <w:rsid w:val="0037131D"/>
    <w:rsid w:val="00371720"/>
    <w:rsid w:val="00374C00"/>
    <w:rsid w:val="0037564D"/>
    <w:rsid w:val="00375831"/>
    <w:rsid w:val="00375891"/>
    <w:rsid w:val="003759C2"/>
    <w:rsid w:val="00380627"/>
    <w:rsid w:val="00380689"/>
    <w:rsid w:val="00381441"/>
    <w:rsid w:val="003847AD"/>
    <w:rsid w:val="00385332"/>
    <w:rsid w:val="0038561C"/>
    <w:rsid w:val="00390672"/>
    <w:rsid w:val="0039147F"/>
    <w:rsid w:val="003935C2"/>
    <w:rsid w:val="0039425D"/>
    <w:rsid w:val="00397365"/>
    <w:rsid w:val="0039793D"/>
    <w:rsid w:val="003A02C0"/>
    <w:rsid w:val="003A129E"/>
    <w:rsid w:val="003A1A05"/>
    <w:rsid w:val="003A2A66"/>
    <w:rsid w:val="003A31F6"/>
    <w:rsid w:val="003A4ECE"/>
    <w:rsid w:val="003A4FA1"/>
    <w:rsid w:val="003A6031"/>
    <w:rsid w:val="003A75D2"/>
    <w:rsid w:val="003B34F3"/>
    <w:rsid w:val="003B4973"/>
    <w:rsid w:val="003C07AE"/>
    <w:rsid w:val="003C3447"/>
    <w:rsid w:val="003C3ED3"/>
    <w:rsid w:val="003C47C1"/>
    <w:rsid w:val="003C5DFD"/>
    <w:rsid w:val="003D076C"/>
    <w:rsid w:val="003D0F12"/>
    <w:rsid w:val="003D1139"/>
    <w:rsid w:val="003D29E1"/>
    <w:rsid w:val="003D2B1A"/>
    <w:rsid w:val="003D30F9"/>
    <w:rsid w:val="003D3670"/>
    <w:rsid w:val="003D3925"/>
    <w:rsid w:val="003D42FC"/>
    <w:rsid w:val="003D5607"/>
    <w:rsid w:val="003D6024"/>
    <w:rsid w:val="003E0D3A"/>
    <w:rsid w:val="003E16F8"/>
    <w:rsid w:val="003E1F09"/>
    <w:rsid w:val="003E2A28"/>
    <w:rsid w:val="003E6741"/>
    <w:rsid w:val="003E78B5"/>
    <w:rsid w:val="003E7AB6"/>
    <w:rsid w:val="003E7E09"/>
    <w:rsid w:val="003F053F"/>
    <w:rsid w:val="003F2BC0"/>
    <w:rsid w:val="003F39DB"/>
    <w:rsid w:val="003F4717"/>
    <w:rsid w:val="003F4F48"/>
    <w:rsid w:val="003F55CC"/>
    <w:rsid w:val="003F5E8A"/>
    <w:rsid w:val="00401124"/>
    <w:rsid w:val="00401E03"/>
    <w:rsid w:val="00401EFE"/>
    <w:rsid w:val="00403B80"/>
    <w:rsid w:val="004046D2"/>
    <w:rsid w:val="00406A91"/>
    <w:rsid w:val="00407DC8"/>
    <w:rsid w:val="00410AA9"/>
    <w:rsid w:val="004111DA"/>
    <w:rsid w:val="004117C2"/>
    <w:rsid w:val="00412D04"/>
    <w:rsid w:val="004139B1"/>
    <w:rsid w:val="00413BA3"/>
    <w:rsid w:val="004142EA"/>
    <w:rsid w:val="004149FE"/>
    <w:rsid w:val="0041545B"/>
    <w:rsid w:val="00415BAB"/>
    <w:rsid w:val="00415ED2"/>
    <w:rsid w:val="0042067C"/>
    <w:rsid w:val="0042068C"/>
    <w:rsid w:val="00420B3B"/>
    <w:rsid w:val="00421188"/>
    <w:rsid w:val="00423368"/>
    <w:rsid w:val="00423EEE"/>
    <w:rsid w:val="004268E0"/>
    <w:rsid w:val="004312C3"/>
    <w:rsid w:val="00432528"/>
    <w:rsid w:val="004342E2"/>
    <w:rsid w:val="00435AEF"/>
    <w:rsid w:val="0043668E"/>
    <w:rsid w:val="00442C90"/>
    <w:rsid w:val="0044318E"/>
    <w:rsid w:val="00443B35"/>
    <w:rsid w:val="00446741"/>
    <w:rsid w:val="00447371"/>
    <w:rsid w:val="00447632"/>
    <w:rsid w:val="00447C90"/>
    <w:rsid w:val="00451163"/>
    <w:rsid w:val="00454BA6"/>
    <w:rsid w:val="004555B8"/>
    <w:rsid w:val="004600D2"/>
    <w:rsid w:val="0046218C"/>
    <w:rsid w:val="004628A8"/>
    <w:rsid w:val="004640AE"/>
    <w:rsid w:val="00465EB1"/>
    <w:rsid w:val="00466F1B"/>
    <w:rsid w:val="00470B6C"/>
    <w:rsid w:val="00470F6F"/>
    <w:rsid w:val="004711A9"/>
    <w:rsid w:val="0047122B"/>
    <w:rsid w:val="00473B7A"/>
    <w:rsid w:val="00473C49"/>
    <w:rsid w:val="00473F2E"/>
    <w:rsid w:val="004753AE"/>
    <w:rsid w:val="004766D6"/>
    <w:rsid w:val="0047702D"/>
    <w:rsid w:val="004804FA"/>
    <w:rsid w:val="00481492"/>
    <w:rsid w:val="00482FF7"/>
    <w:rsid w:val="0048346D"/>
    <w:rsid w:val="004842BF"/>
    <w:rsid w:val="0049108C"/>
    <w:rsid w:val="004911D0"/>
    <w:rsid w:val="004914E4"/>
    <w:rsid w:val="00494F5E"/>
    <w:rsid w:val="004960E9"/>
    <w:rsid w:val="00496D7B"/>
    <w:rsid w:val="00497D94"/>
    <w:rsid w:val="004A08CF"/>
    <w:rsid w:val="004A13D2"/>
    <w:rsid w:val="004A2CDB"/>
    <w:rsid w:val="004A2E88"/>
    <w:rsid w:val="004A32C9"/>
    <w:rsid w:val="004A4CEF"/>
    <w:rsid w:val="004A5305"/>
    <w:rsid w:val="004A5B34"/>
    <w:rsid w:val="004A68A0"/>
    <w:rsid w:val="004A6B94"/>
    <w:rsid w:val="004A6E4B"/>
    <w:rsid w:val="004A7116"/>
    <w:rsid w:val="004A72A7"/>
    <w:rsid w:val="004B0D9C"/>
    <w:rsid w:val="004B27B6"/>
    <w:rsid w:val="004B2F60"/>
    <w:rsid w:val="004B32BD"/>
    <w:rsid w:val="004B4843"/>
    <w:rsid w:val="004B4A92"/>
    <w:rsid w:val="004B5ADB"/>
    <w:rsid w:val="004B612C"/>
    <w:rsid w:val="004C087F"/>
    <w:rsid w:val="004C1136"/>
    <w:rsid w:val="004C3219"/>
    <w:rsid w:val="004C3D0C"/>
    <w:rsid w:val="004C446A"/>
    <w:rsid w:val="004C48FA"/>
    <w:rsid w:val="004C58E5"/>
    <w:rsid w:val="004C657E"/>
    <w:rsid w:val="004D1136"/>
    <w:rsid w:val="004D13CD"/>
    <w:rsid w:val="004D21A5"/>
    <w:rsid w:val="004D2D0A"/>
    <w:rsid w:val="004D3374"/>
    <w:rsid w:val="004D34EA"/>
    <w:rsid w:val="004D4852"/>
    <w:rsid w:val="004D4C68"/>
    <w:rsid w:val="004D6F1E"/>
    <w:rsid w:val="004D7014"/>
    <w:rsid w:val="004D7634"/>
    <w:rsid w:val="004E146C"/>
    <w:rsid w:val="004E14E7"/>
    <w:rsid w:val="004E2129"/>
    <w:rsid w:val="004E387B"/>
    <w:rsid w:val="004E5BB9"/>
    <w:rsid w:val="004E611A"/>
    <w:rsid w:val="004E6F53"/>
    <w:rsid w:val="004F0E1B"/>
    <w:rsid w:val="004F15BF"/>
    <w:rsid w:val="004F3263"/>
    <w:rsid w:val="004F3494"/>
    <w:rsid w:val="004F3ABD"/>
    <w:rsid w:val="004F4FF1"/>
    <w:rsid w:val="004F6460"/>
    <w:rsid w:val="005002EB"/>
    <w:rsid w:val="00500F4A"/>
    <w:rsid w:val="00501FAB"/>
    <w:rsid w:val="005027EB"/>
    <w:rsid w:val="0050291A"/>
    <w:rsid w:val="00503BD5"/>
    <w:rsid w:val="00506222"/>
    <w:rsid w:val="00506DD2"/>
    <w:rsid w:val="0050736C"/>
    <w:rsid w:val="00511F40"/>
    <w:rsid w:val="00512373"/>
    <w:rsid w:val="0051263A"/>
    <w:rsid w:val="00512D23"/>
    <w:rsid w:val="00513867"/>
    <w:rsid w:val="005139CB"/>
    <w:rsid w:val="005150FE"/>
    <w:rsid w:val="005212D4"/>
    <w:rsid w:val="00522116"/>
    <w:rsid w:val="005268C8"/>
    <w:rsid w:val="00526ABE"/>
    <w:rsid w:val="0052722A"/>
    <w:rsid w:val="005300D3"/>
    <w:rsid w:val="00532252"/>
    <w:rsid w:val="00533B20"/>
    <w:rsid w:val="00534D5E"/>
    <w:rsid w:val="00535182"/>
    <w:rsid w:val="00537D34"/>
    <w:rsid w:val="00540435"/>
    <w:rsid w:val="005416AF"/>
    <w:rsid w:val="00542A10"/>
    <w:rsid w:val="005442D5"/>
    <w:rsid w:val="005445E8"/>
    <w:rsid w:val="00544C67"/>
    <w:rsid w:val="00544E8C"/>
    <w:rsid w:val="00544F82"/>
    <w:rsid w:val="00546174"/>
    <w:rsid w:val="00546FD1"/>
    <w:rsid w:val="00547DBF"/>
    <w:rsid w:val="005509D2"/>
    <w:rsid w:val="0055273E"/>
    <w:rsid w:val="00552922"/>
    <w:rsid w:val="00552DB5"/>
    <w:rsid w:val="00553E3A"/>
    <w:rsid w:val="00554C61"/>
    <w:rsid w:val="00555A6C"/>
    <w:rsid w:val="0055649F"/>
    <w:rsid w:val="005569A4"/>
    <w:rsid w:val="00557081"/>
    <w:rsid w:val="0056061A"/>
    <w:rsid w:val="005642FD"/>
    <w:rsid w:val="00564F8A"/>
    <w:rsid w:val="0056564C"/>
    <w:rsid w:val="00566C91"/>
    <w:rsid w:val="005706B7"/>
    <w:rsid w:val="00570B5A"/>
    <w:rsid w:val="005761A4"/>
    <w:rsid w:val="005770EF"/>
    <w:rsid w:val="005777D5"/>
    <w:rsid w:val="00580678"/>
    <w:rsid w:val="00580711"/>
    <w:rsid w:val="00580EB9"/>
    <w:rsid w:val="00581C2E"/>
    <w:rsid w:val="00585191"/>
    <w:rsid w:val="00585799"/>
    <w:rsid w:val="00587DA9"/>
    <w:rsid w:val="00593569"/>
    <w:rsid w:val="00593A88"/>
    <w:rsid w:val="00593C4F"/>
    <w:rsid w:val="005940A9"/>
    <w:rsid w:val="005941AF"/>
    <w:rsid w:val="005946A8"/>
    <w:rsid w:val="00594A45"/>
    <w:rsid w:val="00595885"/>
    <w:rsid w:val="00596295"/>
    <w:rsid w:val="00597547"/>
    <w:rsid w:val="00597ACA"/>
    <w:rsid w:val="005A1404"/>
    <w:rsid w:val="005A140B"/>
    <w:rsid w:val="005A15FD"/>
    <w:rsid w:val="005A3300"/>
    <w:rsid w:val="005A4407"/>
    <w:rsid w:val="005A59EF"/>
    <w:rsid w:val="005A6D51"/>
    <w:rsid w:val="005B02EC"/>
    <w:rsid w:val="005B1B64"/>
    <w:rsid w:val="005B1C7E"/>
    <w:rsid w:val="005B21C4"/>
    <w:rsid w:val="005B3C3B"/>
    <w:rsid w:val="005B3C62"/>
    <w:rsid w:val="005B513C"/>
    <w:rsid w:val="005B6699"/>
    <w:rsid w:val="005C1FFB"/>
    <w:rsid w:val="005C2021"/>
    <w:rsid w:val="005C2742"/>
    <w:rsid w:val="005C336B"/>
    <w:rsid w:val="005C3F5E"/>
    <w:rsid w:val="005C43ED"/>
    <w:rsid w:val="005C5B4D"/>
    <w:rsid w:val="005C5D52"/>
    <w:rsid w:val="005C5F3F"/>
    <w:rsid w:val="005C65FA"/>
    <w:rsid w:val="005C68E7"/>
    <w:rsid w:val="005C6976"/>
    <w:rsid w:val="005D6241"/>
    <w:rsid w:val="005D644C"/>
    <w:rsid w:val="005D65FB"/>
    <w:rsid w:val="005D7F3D"/>
    <w:rsid w:val="005E08C0"/>
    <w:rsid w:val="005E0EE6"/>
    <w:rsid w:val="005E1B4C"/>
    <w:rsid w:val="005E1F5C"/>
    <w:rsid w:val="005E2783"/>
    <w:rsid w:val="005E33B8"/>
    <w:rsid w:val="005E3760"/>
    <w:rsid w:val="005E44AD"/>
    <w:rsid w:val="005E4CFE"/>
    <w:rsid w:val="005E66A3"/>
    <w:rsid w:val="005E6C1C"/>
    <w:rsid w:val="005F0F18"/>
    <w:rsid w:val="005F1694"/>
    <w:rsid w:val="005F1B83"/>
    <w:rsid w:val="005F1C67"/>
    <w:rsid w:val="005F207E"/>
    <w:rsid w:val="005F219C"/>
    <w:rsid w:val="005F54A3"/>
    <w:rsid w:val="005F6D60"/>
    <w:rsid w:val="005F6F41"/>
    <w:rsid w:val="005F7BA5"/>
    <w:rsid w:val="00600C83"/>
    <w:rsid w:val="00602DD2"/>
    <w:rsid w:val="00603BAB"/>
    <w:rsid w:val="00603C27"/>
    <w:rsid w:val="0060434C"/>
    <w:rsid w:val="00604857"/>
    <w:rsid w:val="006055B3"/>
    <w:rsid w:val="00605BD9"/>
    <w:rsid w:val="006064AB"/>
    <w:rsid w:val="0060683D"/>
    <w:rsid w:val="00606C4D"/>
    <w:rsid w:val="00610AAD"/>
    <w:rsid w:val="00611071"/>
    <w:rsid w:val="0061153F"/>
    <w:rsid w:val="00611560"/>
    <w:rsid w:val="00612A8A"/>
    <w:rsid w:val="0061363A"/>
    <w:rsid w:val="0061569A"/>
    <w:rsid w:val="00615FEC"/>
    <w:rsid w:val="00616022"/>
    <w:rsid w:val="00620B9D"/>
    <w:rsid w:val="0062179E"/>
    <w:rsid w:val="00623171"/>
    <w:rsid w:val="00625DC6"/>
    <w:rsid w:val="00626224"/>
    <w:rsid w:val="006269EA"/>
    <w:rsid w:val="006277DE"/>
    <w:rsid w:val="00627B8C"/>
    <w:rsid w:val="006314D1"/>
    <w:rsid w:val="00631614"/>
    <w:rsid w:val="0063164F"/>
    <w:rsid w:val="00631BEA"/>
    <w:rsid w:val="0063320B"/>
    <w:rsid w:val="00634194"/>
    <w:rsid w:val="00636E21"/>
    <w:rsid w:val="00637083"/>
    <w:rsid w:val="00637390"/>
    <w:rsid w:val="00640849"/>
    <w:rsid w:val="0064110D"/>
    <w:rsid w:val="00642190"/>
    <w:rsid w:val="0064391D"/>
    <w:rsid w:val="00643C8B"/>
    <w:rsid w:val="00645240"/>
    <w:rsid w:val="0064631E"/>
    <w:rsid w:val="006505F2"/>
    <w:rsid w:val="00651107"/>
    <w:rsid w:val="00651821"/>
    <w:rsid w:val="00652055"/>
    <w:rsid w:val="0065297A"/>
    <w:rsid w:val="006542C3"/>
    <w:rsid w:val="00654384"/>
    <w:rsid w:val="006553C0"/>
    <w:rsid w:val="00657027"/>
    <w:rsid w:val="0066247F"/>
    <w:rsid w:val="00663BBF"/>
    <w:rsid w:val="00663CA3"/>
    <w:rsid w:val="00665573"/>
    <w:rsid w:val="0066618C"/>
    <w:rsid w:val="006661A2"/>
    <w:rsid w:val="006675CD"/>
    <w:rsid w:val="006710EA"/>
    <w:rsid w:val="00672753"/>
    <w:rsid w:val="00673576"/>
    <w:rsid w:val="006738E3"/>
    <w:rsid w:val="00673B99"/>
    <w:rsid w:val="00673FEA"/>
    <w:rsid w:val="00674700"/>
    <w:rsid w:val="00674A6E"/>
    <w:rsid w:val="00674D43"/>
    <w:rsid w:val="00674FDA"/>
    <w:rsid w:val="00675BD8"/>
    <w:rsid w:val="00677FF7"/>
    <w:rsid w:val="0068161F"/>
    <w:rsid w:val="00684359"/>
    <w:rsid w:val="00684452"/>
    <w:rsid w:val="0068447E"/>
    <w:rsid w:val="00684D9B"/>
    <w:rsid w:val="00684DE3"/>
    <w:rsid w:val="0068510A"/>
    <w:rsid w:val="0069090E"/>
    <w:rsid w:val="0069163A"/>
    <w:rsid w:val="00691DB6"/>
    <w:rsid w:val="0069285B"/>
    <w:rsid w:val="0069293F"/>
    <w:rsid w:val="00693977"/>
    <w:rsid w:val="0069547D"/>
    <w:rsid w:val="00695936"/>
    <w:rsid w:val="00695D0D"/>
    <w:rsid w:val="006961F8"/>
    <w:rsid w:val="00697556"/>
    <w:rsid w:val="00697C65"/>
    <w:rsid w:val="006A028D"/>
    <w:rsid w:val="006A054E"/>
    <w:rsid w:val="006A1D1F"/>
    <w:rsid w:val="006A1F8D"/>
    <w:rsid w:val="006A21DA"/>
    <w:rsid w:val="006A2919"/>
    <w:rsid w:val="006A3078"/>
    <w:rsid w:val="006A415C"/>
    <w:rsid w:val="006A61E8"/>
    <w:rsid w:val="006A747D"/>
    <w:rsid w:val="006A75F7"/>
    <w:rsid w:val="006A7AD6"/>
    <w:rsid w:val="006B0388"/>
    <w:rsid w:val="006B0BAB"/>
    <w:rsid w:val="006B1646"/>
    <w:rsid w:val="006B1EC6"/>
    <w:rsid w:val="006B23DD"/>
    <w:rsid w:val="006B28F9"/>
    <w:rsid w:val="006B2D3D"/>
    <w:rsid w:val="006B3693"/>
    <w:rsid w:val="006B4647"/>
    <w:rsid w:val="006B466C"/>
    <w:rsid w:val="006B4C2B"/>
    <w:rsid w:val="006B6194"/>
    <w:rsid w:val="006B6D47"/>
    <w:rsid w:val="006B7477"/>
    <w:rsid w:val="006B7E45"/>
    <w:rsid w:val="006C0F2A"/>
    <w:rsid w:val="006C296B"/>
    <w:rsid w:val="006C4447"/>
    <w:rsid w:val="006C4888"/>
    <w:rsid w:val="006C5AFE"/>
    <w:rsid w:val="006D002F"/>
    <w:rsid w:val="006D2511"/>
    <w:rsid w:val="006D2FB4"/>
    <w:rsid w:val="006D3ABB"/>
    <w:rsid w:val="006D43FF"/>
    <w:rsid w:val="006D4890"/>
    <w:rsid w:val="006D4914"/>
    <w:rsid w:val="006D50F5"/>
    <w:rsid w:val="006D644C"/>
    <w:rsid w:val="006D6BCD"/>
    <w:rsid w:val="006D70E6"/>
    <w:rsid w:val="006D7BF5"/>
    <w:rsid w:val="006E0299"/>
    <w:rsid w:val="006E2582"/>
    <w:rsid w:val="006E39E9"/>
    <w:rsid w:val="006E6108"/>
    <w:rsid w:val="006E7F0F"/>
    <w:rsid w:val="006F0EA3"/>
    <w:rsid w:val="006F18EF"/>
    <w:rsid w:val="006F2906"/>
    <w:rsid w:val="006F2EC8"/>
    <w:rsid w:val="006F2FFC"/>
    <w:rsid w:val="006F51E1"/>
    <w:rsid w:val="006F5E52"/>
    <w:rsid w:val="006F60CD"/>
    <w:rsid w:val="006F6A3A"/>
    <w:rsid w:val="006F6AB4"/>
    <w:rsid w:val="006F6D95"/>
    <w:rsid w:val="006F71D1"/>
    <w:rsid w:val="006F7549"/>
    <w:rsid w:val="006F7E61"/>
    <w:rsid w:val="00702578"/>
    <w:rsid w:val="007031E0"/>
    <w:rsid w:val="007042B2"/>
    <w:rsid w:val="0070600B"/>
    <w:rsid w:val="00706F13"/>
    <w:rsid w:val="00706F99"/>
    <w:rsid w:val="007072E2"/>
    <w:rsid w:val="007072E8"/>
    <w:rsid w:val="00707AE2"/>
    <w:rsid w:val="007105EA"/>
    <w:rsid w:val="007118DF"/>
    <w:rsid w:val="00711961"/>
    <w:rsid w:val="007129E1"/>
    <w:rsid w:val="00713814"/>
    <w:rsid w:val="00714A82"/>
    <w:rsid w:val="00714AFF"/>
    <w:rsid w:val="00714CFE"/>
    <w:rsid w:val="007153A2"/>
    <w:rsid w:val="0071618D"/>
    <w:rsid w:val="00720F1C"/>
    <w:rsid w:val="0072147D"/>
    <w:rsid w:val="00725CE9"/>
    <w:rsid w:val="00725FA4"/>
    <w:rsid w:val="00726262"/>
    <w:rsid w:val="007267E3"/>
    <w:rsid w:val="00727FD9"/>
    <w:rsid w:val="00732518"/>
    <w:rsid w:val="007329EA"/>
    <w:rsid w:val="00734367"/>
    <w:rsid w:val="00734486"/>
    <w:rsid w:val="00734ABE"/>
    <w:rsid w:val="00734B9F"/>
    <w:rsid w:val="00735F4D"/>
    <w:rsid w:val="00740446"/>
    <w:rsid w:val="00740607"/>
    <w:rsid w:val="00740A63"/>
    <w:rsid w:val="00740A98"/>
    <w:rsid w:val="007434F2"/>
    <w:rsid w:val="0074380E"/>
    <w:rsid w:val="007438A9"/>
    <w:rsid w:val="007443D9"/>
    <w:rsid w:val="0074491E"/>
    <w:rsid w:val="00744CA5"/>
    <w:rsid w:val="00751158"/>
    <w:rsid w:val="007514D6"/>
    <w:rsid w:val="00753069"/>
    <w:rsid w:val="0075605A"/>
    <w:rsid w:val="007566A3"/>
    <w:rsid w:val="0076247A"/>
    <w:rsid w:val="00763344"/>
    <w:rsid w:val="00764757"/>
    <w:rsid w:val="007647DC"/>
    <w:rsid w:val="00764B5A"/>
    <w:rsid w:val="007655FC"/>
    <w:rsid w:val="00766699"/>
    <w:rsid w:val="0076772E"/>
    <w:rsid w:val="00767B8F"/>
    <w:rsid w:val="00770B84"/>
    <w:rsid w:val="00771BEF"/>
    <w:rsid w:val="00774485"/>
    <w:rsid w:val="00774C4E"/>
    <w:rsid w:val="00775964"/>
    <w:rsid w:val="007765FE"/>
    <w:rsid w:val="00776643"/>
    <w:rsid w:val="0077694E"/>
    <w:rsid w:val="00783BFF"/>
    <w:rsid w:val="00784357"/>
    <w:rsid w:val="00784752"/>
    <w:rsid w:val="0078693B"/>
    <w:rsid w:val="007869E4"/>
    <w:rsid w:val="00790D3E"/>
    <w:rsid w:val="00791D5C"/>
    <w:rsid w:val="007930DE"/>
    <w:rsid w:val="00794864"/>
    <w:rsid w:val="00794E2E"/>
    <w:rsid w:val="00795B14"/>
    <w:rsid w:val="00795BFB"/>
    <w:rsid w:val="007966ED"/>
    <w:rsid w:val="00796922"/>
    <w:rsid w:val="00796DBE"/>
    <w:rsid w:val="007A1BFA"/>
    <w:rsid w:val="007A2DF8"/>
    <w:rsid w:val="007A30D5"/>
    <w:rsid w:val="007A4AC0"/>
    <w:rsid w:val="007A536C"/>
    <w:rsid w:val="007A6614"/>
    <w:rsid w:val="007A6707"/>
    <w:rsid w:val="007A7064"/>
    <w:rsid w:val="007A7588"/>
    <w:rsid w:val="007B1815"/>
    <w:rsid w:val="007B2760"/>
    <w:rsid w:val="007B354E"/>
    <w:rsid w:val="007B3748"/>
    <w:rsid w:val="007B42C2"/>
    <w:rsid w:val="007B4653"/>
    <w:rsid w:val="007B5119"/>
    <w:rsid w:val="007B680E"/>
    <w:rsid w:val="007B6E66"/>
    <w:rsid w:val="007B7752"/>
    <w:rsid w:val="007C1423"/>
    <w:rsid w:val="007C29BD"/>
    <w:rsid w:val="007C4183"/>
    <w:rsid w:val="007C4D80"/>
    <w:rsid w:val="007C596F"/>
    <w:rsid w:val="007C6824"/>
    <w:rsid w:val="007C6EBB"/>
    <w:rsid w:val="007C74BE"/>
    <w:rsid w:val="007C767B"/>
    <w:rsid w:val="007D132A"/>
    <w:rsid w:val="007D3711"/>
    <w:rsid w:val="007D6794"/>
    <w:rsid w:val="007E260D"/>
    <w:rsid w:val="007E3DDF"/>
    <w:rsid w:val="007E4A8A"/>
    <w:rsid w:val="007E54ED"/>
    <w:rsid w:val="007E758E"/>
    <w:rsid w:val="007E78B2"/>
    <w:rsid w:val="007E7F62"/>
    <w:rsid w:val="007F0447"/>
    <w:rsid w:val="007F32E0"/>
    <w:rsid w:val="007F4364"/>
    <w:rsid w:val="007F447A"/>
    <w:rsid w:val="007F4EBE"/>
    <w:rsid w:val="007F5AA6"/>
    <w:rsid w:val="007F644B"/>
    <w:rsid w:val="007F7734"/>
    <w:rsid w:val="0080004D"/>
    <w:rsid w:val="00800251"/>
    <w:rsid w:val="00800B67"/>
    <w:rsid w:val="00800EBD"/>
    <w:rsid w:val="00801346"/>
    <w:rsid w:val="008016C4"/>
    <w:rsid w:val="0080387C"/>
    <w:rsid w:val="00805840"/>
    <w:rsid w:val="00806B1B"/>
    <w:rsid w:val="00806C01"/>
    <w:rsid w:val="00807EE4"/>
    <w:rsid w:val="008106C4"/>
    <w:rsid w:val="00810DF4"/>
    <w:rsid w:val="00810E34"/>
    <w:rsid w:val="0081321F"/>
    <w:rsid w:val="00813A9C"/>
    <w:rsid w:val="008148CC"/>
    <w:rsid w:val="00814D2B"/>
    <w:rsid w:val="0081757F"/>
    <w:rsid w:val="008211A4"/>
    <w:rsid w:val="008220A0"/>
    <w:rsid w:val="00822B1E"/>
    <w:rsid w:val="00824577"/>
    <w:rsid w:val="0082593D"/>
    <w:rsid w:val="00826258"/>
    <w:rsid w:val="00826D46"/>
    <w:rsid w:val="0082751F"/>
    <w:rsid w:val="00831C73"/>
    <w:rsid w:val="00831F95"/>
    <w:rsid w:val="00832A6F"/>
    <w:rsid w:val="008334C7"/>
    <w:rsid w:val="00833FFC"/>
    <w:rsid w:val="0083668C"/>
    <w:rsid w:val="00836DBC"/>
    <w:rsid w:val="008370DE"/>
    <w:rsid w:val="00840758"/>
    <w:rsid w:val="00841E52"/>
    <w:rsid w:val="0084388B"/>
    <w:rsid w:val="0084551D"/>
    <w:rsid w:val="0084581F"/>
    <w:rsid w:val="0084693A"/>
    <w:rsid w:val="008501BD"/>
    <w:rsid w:val="00850230"/>
    <w:rsid w:val="00850392"/>
    <w:rsid w:val="00850578"/>
    <w:rsid w:val="00851EE0"/>
    <w:rsid w:val="00852703"/>
    <w:rsid w:val="008530FD"/>
    <w:rsid w:val="00855796"/>
    <w:rsid w:val="00857EB1"/>
    <w:rsid w:val="00860349"/>
    <w:rsid w:val="00860F42"/>
    <w:rsid w:val="00863AAA"/>
    <w:rsid w:val="00865B7C"/>
    <w:rsid w:val="00865E8A"/>
    <w:rsid w:val="008665D5"/>
    <w:rsid w:val="00866E75"/>
    <w:rsid w:val="00867A4B"/>
    <w:rsid w:val="00870115"/>
    <w:rsid w:val="00871930"/>
    <w:rsid w:val="00871BA6"/>
    <w:rsid w:val="00873150"/>
    <w:rsid w:val="00874405"/>
    <w:rsid w:val="0087657D"/>
    <w:rsid w:val="00877B28"/>
    <w:rsid w:val="00877FDF"/>
    <w:rsid w:val="008807D5"/>
    <w:rsid w:val="00880832"/>
    <w:rsid w:val="00884ACD"/>
    <w:rsid w:val="00885992"/>
    <w:rsid w:val="00885FEA"/>
    <w:rsid w:val="00886EE1"/>
    <w:rsid w:val="00887175"/>
    <w:rsid w:val="0088727D"/>
    <w:rsid w:val="00890C63"/>
    <w:rsid w:val="00892C02"/>
    <w:rsid w:val="008936F3"/>
    <w:rsid w:val="00894649"/>
    <w:rsid w:val="0089538A"/>
    <w:rsid w:val="00895D60"/>
    <w:rsid w:val="00895D99"/>
    <w:rsid w:val="008978B2"/>
    <w:rsid w:val="00897C75"/>
    <w:rsid w:val="008A1A85"/>
    <w:rsid w:val="008A1F7F"/>
    <w:rsid w:val="008A2248"/>
    <w:rsid w:val="008A2E7E"/>
    <w:rsid w:val="008A334C"/>
    <w:rsid w:val="008A422E"/>
    <w:rsid w:val="008A47EB"/>
    <w:rsid w:val="008A5E08"/>
    <w:rsid w:val="008A6572"/>
    <w:rsid w:val="008B0C51"/>
    <w:rsid w:val="008B114C"/>
    <w:rsid w:val="008B1B7C"/>
    <w:rsid w:val="008B2ED1"/>
    <w:rsid w:val="008B2F64"/>
    <w:rsid w:val="008B301A"/>
    <w:rsid w:val="008B37D3"/>
    <w:rsid w:val="008B4016"/>
    <w:rsid w:val="008B56BE"/>
    <w:rsid w:val="008B5748"/>
    <w:rsid w:val="008B585C"/>
    <w:rsid w:val="008C1130"/>
    <w:rsid w:val="008C13FF"/>
    <w:rsid w:val="008C15FF"/>
    <w:rsid w:val="008C32B3"/>
    <w:rsid w:val="008C3F66"/>
    <w:rsid w:val="008C421C"/>
    <w:rsid w:val="008C4F91"/>
    <w:rsid w:val="008D0B96"/>
    <w:rsid w:val="008D18E6"/>
    <w:rsid w:val="008D1E97"/>
    <w:rsid w:val="008D5083"/>
    <w:rsid w:val="008D7A9B"/>
    <w:rsid w:val="008E0060"/>
    <w:rsid w:val="008E23DF"/>
    <w:rsid w:val="008E3557"/>
    <w:rsid w:val="008E3C42"/>
    <w:rsid w:val="008E4E23"/>
    <w:rsid w:val="008E5DD0"/>
    <w:rsid w:val="008E658C"/>
    <w:rsid w:val="008E7091"/>
    <w:rsid w:val="008E76AC"/>
    <w:rsid w:val="008F21F6"/>
    <w:rsid w:val="008F222A"/>
    <w:rsid w:val="008F5058"/>
    <w:rsid w:val="008F5962"/>
    <w:rsid w:val="008F69E3"/>
    <w:rsid w:val="00901EFF"/>
    <w:rsid w:val="00901FDC"/>
    <w:rsid w:val="00903920"/>
    <w:rsid w:val="00904339"/>
    <w:rsid w:val="00904E0E"/>
    <w:rsid w:val="009058A5"/>
    <w:rsid w:val="00905D5C"/>
    <w:rsid w:val="0090673A"/>
    <w:rsid w:val="00910172"/>
    <w:rsid w:val="00910998"/>
    <w:rsid w:val="00910A8A"/>
    <w:rsid w:val="00910C70"/>
    <w:rsid w:val="0091201E"/>
    <w:rsid w:val="009152DC"/>
    <w:rsid w:val="00915BC3"/>
    <w:rsid w:val="009160CB"/>
    <w:rsid w:val="00916DF2"/>
    <w:rsid w:val="00922B1B"/>
    <w:rsid w:val="009253DB"/>
    <w:rsid w:val="009254E5"/>
    <w:rsid w:val="00925A9C"/>
    <w:rsid w:val="00925AE6"/>
    <w:rsid w:val="009273A9"/>
    <w:rsid w:val="00927DDC"/>
    <w:rsid w:val="00927F1B"/>
    <w:rsid w:val="00930170"/>
    <w:rsid w:val="00930C51"/>
    <w:rsid w:val="009314F2"/>
    <w:rsid w:val="00931A44"/>
    <w:rsid w:val="00932212"/>
    <w:rsid w:val="00934C2D"/>
    <w:rsid w:val="00936F88"/>
    <w:rsid w:val="009371EC"/>
    <w:rsid w:val="00937532"/>
    <w:rsid w:val="009378AF"/>
    <w:rsid w:val="00937979"/>
    <w:rsid w:val="00937B74"/>
    <w:rsid w:val="009407E2"/>
    <w:rsid w:val="00941590"/>
    <w:rsid w:val="00941630"/>
    <w:rsid w:val="009416C7"/>
    <w:rsid w:val="00942B2D"/>
    <w:rsid w:val="009435F5"/>
    <w:rsid w:val="009436CC"/>
    <w:rsid w:val="00943B75"/>
    <w:rsid w:val="00943F7F"/>
    <w:rsid w:val="009457E7"/>
    <w:rsid w:val="00945D9C"/>
    <w:rsid w:val="0094685C"/>
    <w:rsid w:val="00951F79"/>
    <w:rsid w:val="00952A4F"/>
    <w:rsid w:val="00952BD8"/>
    <w:rsid w:val="00952EA4"/>
    <w:rsid w:val="00957105"/>
    <w:rsid w:val="0096382D"/>
    <w:rsid w:val="0096494C"/>
    <w:rsid w:val="009676C8"/>
    <w:rsid w:val="009704C6"/>
    <w:rsid w:val="0097084F"/>
    <w:rsid w:val="00971ADA"/>
    <w:rsid w:val="00973F6E"/>
    <w:rsid w:val="00974380"/>
    <w:rsid w:val="00974AB5"/>
    <w:rsid w:val="00974FE7"/>
    <w:rsid w:val="0097512A"/>
    <w:rsid w:val="0097616C"/>
    <w:rsid w:val="0097696A"/>
    <w:rsid w:val="009802F6"/>
    <w:rsid w:val="009803E1"/>
    <w:rsid w:val="00981010"/>
    <w:rsid w:val="00981D58"/>
    <w:rsid w:val="00983DE7"/>
    <w:rsid w:val="00985992"/>
    <w:rsid w:val="00986B2D"/>
    <w:rsid w:val="0098706D"/>
    <w:rsid w:val="009871EF"/>
    <w:rsid w:val="00987307"/>
    <w:rsid w:val="009905ED"/>
    <w:rsid w:val="00991159"/>
    <w:rsid w:val="00991ED0"/>
    <w:rsid w:val="00992531"/>
    <w:rsid w:val="009935FB"/>
    <w:rsid w:val="00994024"/>
    <w:rsid w:val="0099488F"/>
    <w:rsid w:val="00994DF2"/>
    <w:rsid w:val="00995757"/>
    <w:rsid w:val="009963E3"/>
    <w:rsid w:val="00996491"/>
    <w:rsid w:val="0099713C"/>
    <w:rsid w:val="009A09B7"/>
    <w:rsid w:val="009A0D4D"/>
    <w:rsid w:val="009A1F43"/>
    <w:rsid w:val="009A4FD2"/>
    <w:rsid w:val="009A5823"/>
    <w:rsid w:val="009A6C47"/>
    <w:rsid w:val="009B01B9"/>
    <w:rsid w:val="009B2A17"/>
    <w:rsid w:val="009B3DDB"/>
    <w:rsid w:val="009B433D"/>
    <w:rsid w:val="009B550F"/>
    <w:rsid w:val="009C0D24"/>
    <w:rsid w:val="009C250E"/>
    <w:rsid w:val="009C26CE"/>
    <w:rsid w:val="009C3229"/>
    <w:rsid w:val="009C3FB4"/>
    <w:rsid w:val="009C43D6"/>
    <w:rsid w:val="009C4E1C"/>
    <w:rsid w:val="009C58D1"/>
    <w:rsid w:val="009C7880"/>
    <w:rsid w:val="009D2826"/>
    <w:rsid w:val="009D2A1A"/>
    <w:rsid w:val="009D38A1"/>
    <w:rsid w:val="009D46C8"/>
    <w:rsid w:val="009D4A83"/>
    <w:rsid w:val="009D4B04"/>
    <w:rsid w:val="009D4F57"/>
    <w:rsid w:val="009D79AA"/>
    <w:rsid w:val="009D7A5F"/>
    <w:rsid w:val="009E066F"/>
    <w:rsid w:val="009E15C0"/>
    <w:rsid w:val="009E1AFE"/>
    <w:rsid w:val="009E1BCF"/>
    <w:rsid w:val="009E363E"/>
    <w:rsid w:val="009E4645"/>
    <w:rsid w:val="009E551C"/>
    <w:rsid w:val="009F0414"/>
    <w:rsid w:val="009F33C2"/>
    <w:rsid w:val="009F36E6"/>
    <w:rsid w:val="009F4A54"/>
    <w:rsid w:val="009F4BEC"/>
    <w:rsid w:val="009F5874"/>
    <w:rsid w:val="009F5A36"/>
    <w:rsid w:val="009F7F28"/>
    <w:rsid w:val="00A047D4"/>
    <w:rsid w:val="00A0576B"/>
    <w:rsid w:val="00A05D27"/>
    <w:rsid w:val="00A07C61"/>
    <w:rsid w:val="00A10C92"/>
    <w:rsid w:val="00A120A0"/>
    <w:rsid w:val="00A12755"/>
    <w:rsid w:val="00A14C95"/>
    <w:rsid w:val="00A1595C"/>
    <w:rsid w:val="00A165DB"/>
    <w:rsid w:val="00A2310E"/>
    <w:rsid w:val="00A23DC5"/>
    <w:rsid w:val="00A24D82"/>
    <w:rsid w:val="00A24E5E"/>
    <w:rsid w:val="00A25FD7"/>
    <w:rsid w:val="00A264B5"/>
    <w:rsid w:val="00A2666B"/>
    <w:rsid w:val="00A30641"/>
    <w:rsid w:val="00A30A9C"/>
    <w:rsid w:val="00A31679"/>
    <w:rsid w:val="00A320F9"/>
    <w:rsid w:val="00A34C98"/>
    <w:rsid w:val="00A34DFF"/>
    <w:rsid w:val="00A367B7"/>
    <w:rsid w:val="00A4056F"/>
    <w:rsid w:val="00A40625"/>
    <w:rsid w:val="00A43AFF"/>
    <w:rsid w:val="00A43C79"/>
    <w:rsid w:val="00A4409D"/>
    <w:rsid w:val="00A4435C"/>
    <w:rsid w:val="00A452C0"/>
    <w:rsid w:val="00A45E45"/>
    <w:rsid w:val="00A47B38"/>
    <w:rsid w:val="00A47B98"/>
    <w:rsid w:val="00A51AA3"/>
    <w:rsid w:val="00A51E15"/>
    <w:rsid w:val="00A53D72"/>
    <w:rsid w:val="00A554B1"/>
    <w:rsid w:val="00A571E9"/>
    <w:rsid w:val="00A61F25"/>
    <w:rsid w:val="00A621E1"/>
    <w:rsid w:val="00A649BF"/>
    <w:rsid w:val="00A66583"/>
    <w:rsid w:val="00A66B15"/>
    <w:rsid w:val="00A67D96"/>
    <w:rsid w:val="00A705FA"/>
    <w:rsid w:val="00A71804"/>
    <w:rsid w:val="00A718E1"/>
    <w:rsid w:val="00A71CAF"/>
    <w:rsid w:val="00A764E3"/>
    <w:rsid w:val="00A7793A"/>
    <w:rsid w:val="00A77D95"/>
    <w:rsid w:val="00A77EE1"/>
    <w:rsid w:val="00A81261"/>
    <w:rsid w:val="00A816FA"/>
    <w:rsid w:val="00A81E32"/>
    <w:rsid w:val="00A822BB"/>
    <w:rsid w:val="00A83129"/>
    <w:rsid w:val="00A87260"/>
    <w:rsid w:val="00A90B11"/>
    <w:rsid w:val="00A90EAC"/>
    <w:rsid w:val="00A9216D"/>
    <w:rsid w:val="00A9293B"/>
    <w:rsid w:val="00A93A36"/>
    <w:rsid w:val="00A93ACD"/>
    <w:rsid w:val="00A94D74"/>
    <w:rsid w:val="00A950EB"/>
    <w:rsid w:val="00AA432B"/>
    <w:rsid w:val="00AA4B88"/>
    <w:rsid w:val="00AA4CC7"/>
    <w:rsid w:val="00AA5E8E"/>
    <w:rsid w:val="00AA6773"/>
    <w:rsid w:val="00AB1465"/>
    <w:rsid w:val="00AB2BAD"/>
    <w:rsid w:val="00AB3368"/>
    <w:rsid w:val="00AB3A05"/>
    <w:rsid w:val="00AB4541"/>
    <w:rsid w:val="00AB4B95"/>
    <w:rsid w:val="00AB5801"/>
    <w:rsid w:val="00AB6CA7"/>
    <w:rsid w:val="00AC05D6"/>
    <w:rsid w:val="00AC07B0"/>
    <w:rsid w:val="00AC0832"/>
    <w:rsid w:val="00AC1E79"/>
    <w:rsid w:val="00AC23A7"/>
    <w:rsid w:val="00AC3CCE"/>
    <w:rsid w:val="00AC617D"/>
    <w:rsid w:val="00AD01E4"/>
    <w:rsid w:val="00AD0858"/>
    <w:rsid w:val="00AD2419"/>
    <w:rsid w:val="00AD25CB"/>
    <w:rsid w:val="00AD349B"/>
    <w:rsid w:val="00AD4416"/>
    <w:rsid w:val="00AD4810"/>
    <w:rsid w:val="00AD54E5"/>
    <w:rsid w:val="00AD672D"/>
    <w:rsid w:val="00AD764B"/>
    <w:rsid w:val="00AE00EE"/>
    <w:rsid w:val="00AE02E3"/>
    <w:rsid w:val="00AE5266"/>
    <w:rsid w:val="00AE5AC0"/>
    <w:rsid w:val="00AE6226"/>
    <w:rsid w:val="00AE65F2"/>
    <w:rsid w:val="00AE7340"/>
    <w:rsid w:val="00AE746D"/>
    <w:rsid w:val="00AE7F45"/>
    <w:rsid w:val="00AF06B5"/>
    <w:rsid w:val="00AF1BBD"/>
    <w:rsid w:val="00AF46FF"/>
    <w:rsid w:val="00AF4C10"/>
    <w:rsid w:val="00AF5284"/>
    <w:rsid w:val="00AF679A"/>
    <w:rsid w:val="00AF6B21"/>
    <w:rsid w:val="00B01A6B"/>
    <w:rsid w:val="00B065D2"/>
    <w:rsid w:val="00B075EF"/>
    <w:rsid w:val="00B07CE6"/>
    <w:rsid w:val="00B10207"/>
    <w:rsid w:val="00B108E9"/>
    <w:rsid w:val="00B130BF"/>
    <w:rsid w:val="00B1318C"/>
    <w:rsid w:val="00B141E7"/>
    <w:rsid w:val="00B2075F"/>
    <w:rsid w:val="00B208D8"/>
    <w:rsid w:val="00B20CC0"/>
    <w:rsid w:val="00B21B7F"/>
    <w:rsid w:val="00B22F27"/>
    <w:rsid w:val="00B25669"/>
    <w:rsid w:val="00B2700E"/>
    <w:rsid w:val="00B31138"/>
    <w:rsid w:val="00B32B9C"/>
    <w:rsid w:val="00B344B6"/>
    <w:rsid w:val="00B351B4"/>
    <w:rsid w:val="00B36EB3"/>
    <w:rsid w:val="00B37041"/>
    <w:rsid w:val="00B40726"/>
    <w:rsid w:val="00B42599"/>
    <w:rsid w:val="00B443CD"/>
    <w:rsid w:val="00B46BCA"/>
    <w:rsid w:val="00B478AA"/>
    <w:rsid w:val="00B5135B"/>
    <w:rsid w:val="00B54826"/>
    <w:rsid w:val="00B56C6A"/>
    <w:rsid w:val="00B56D9F"/>
    <w:rsid w:val="00B5717E"/>
    <w:rsid w:val="00B60175"/>
    <w:rsid w:val="00B603A1"/>
    <w:rsid w:val="00B611E6"/>
    <w:rsid w:val="00B615FC"/>
    <w:rsid w:val="00B6238E"/>
    <w:rsid w:val="00B625F1"/>
    <w:rsid w:val="00B64645"/>
    <w:rsid w:val="00B64B20"/>
    <w:rsid w:val="00B65747"/>
    <w:rsid w:val="00B6639A"/>
    <w:rsid w:val="00B7044E"/>
    <w:rsid w:val="00B70C76"/>
    <w:rsid w:val="00B7183B"/>
    <w:rsid w:val="00B73B5C"/>
    <w:rsid w:val="00B7521D"/>
    <w:rsid w:val="00B76925"/>
    <w:rsid w:val="00B76DAB"/>
    <w:rsid w:val="00B777DC"/>
    <w:rsid w:val="00B8098B"/>
    <w:rsid w:val="00B8157E"/>
    <w:rsid w:val="00B82D0F"/>
    <w:rsid w:val="00B83306"/>
    <w:rsid w:val="00B83BAB"/>
    <w:rsid w:val="00B84058"/>
    <w:rsid w:val="00B84EAA"/>
    <w:rsid w:val="00B862A6"/>
    <w:rsid w:val="00B87735"/>
    <w:rsid w:val="00B87806"/>
    <w:rsid w:val="00B87EC9"/>
    <w:rsid w:val="00B87EF7"/>
    <w:rsid w:val="00B90117"/>
    <w:rsid w:val="00B90758"/>
    <w:rsid w:val="00B90FA6"/>
    <w:rsid w:val="00B9173F"/>
    <w:rsid w:val="00B91B7E"/>
    <w:rsid w:val="00B91FBB"/>
    <w:rsid w:val="00B926BC"/>
    <w:rsid w:val="00B92FFC"/>
    <w:rsid w:val="00B94C06"/>
    <w:rsid w:val="00B94DA6"/>
    <w:rsid w:val="00B95654"/>
    <w:rsid w:val="00B95D8E"/>
    <w:rsid w:val="00B97885"/>
    <w:rsid w:val="00BA0746"/>
    <w:rsid w:val="00BA0F8A"/>
    <w:rsid w:val="00BA2D7E"/>
    <w:rsid w:val="00BA3659"/>
    <w:rsid w:val="00BA6917"/>
    <w:rsid w:val="00BA6942"/>
    <w:rsid w:val="00BB03CD"/>
    <w:rsid w:val="00BB0B5E"/>
    <w:rsid w:val="00BB20A6"/>
    <w:rsid w:val="00BB38B8"/>
    <w:rsid w:val="00BB6DF8"/>
    <w:rsid w:val="00BB713A"/>
    <w:rsid w:val="00BB73B0"/>
    <w:rsid w:val="00BC0C25"/>
    <w:rsid w:val="00BC2806"/>
    <w:rsid w:val="00BC2FFD"/>
    <w:rsid w:val="00BC38FD"/>
    <w:rsid w:val="00BC405B"/>
    <w:rsid w:val="00BC6251"/>
    <w:rsid w:val="00BC7DE0"/>
    <w:rsid w:val="00BD1E4E"/>
    <w:rsid w:val="00BD2353"/>
    <w:rsid w:val="00BD259C"/>
    <w:rsid w:val="00BD271A"/>
    <w:rsid w:val="00BD2FF3"/>
    <w:rsid w:val="00BD386F"/>
    <w:rsid w:val="00BD38E4"/>
    <w:rsid w:val="00BD4BC0"/>
    <w:rsid w:val="00BD4D99"/>
    <w:rsid w:val="00BD6BBA"/>
    <w:rsid w:val="00BE0006"/>
    <w:rsid w:val="00BE02CD"/>
    <w:rsid w:val="00BE136F"/>
    <w:rsid w:val="00BE14DF"/>
    <w:rsid w:val="00BE4AD6"/>
    <w:rsid w:val="00BE6F8A"/>
    <w:rsid w:val="00BE7408"/>
    <w:rsid w:val="00BE7D9E"/>
    <w:rsid w:val="00BF187C"/>
    <w:rsid w:val="00BF201B"/>
    <w:rsid w:val="00BF5C85"/>
    <w:rsid w:val="00BF7407"/>
    <w:rsid w:val="00BF7FF2"/>
    <w:rsid w:val="00C008A9"/>
    <w:rsid w:val="00C00CD6"/>
    <w:rsid w:val="00C014C4"/>
    <w:rsid w:val="00C0213E"/>
    <w:rsid w:val="00C034CB"/>
    <w:rsid w:val="00C03A46"/>
    <w:rsid w:val="00C051A8"/>
    <w:rsid w:val="00C054BC"/>
    <w:rsid w:val="00C05E4D"/>
    <w:rsid w:val="00C05EC4"/>
    <w:rsid w:val="00C071EB"/>
    <w:rsid w:val="00C07D02"/>
    <w:rsid w:val="00C10A42"/>
    <w:rsid w:val="00C11DD3"/>
    <w:rsid w:val="00C137C1"/>
    <w:rsid w:val="00C14A51"/>
    <w:rsid w:val="00C154F3"/>
    <w:rsid w:val="00C155FF"/>
    <w:rsid w:val="00C16C28"/>
    <w:rsid w:val="00C17007"/>
    <w:rsid w:val="00C177A6"/>
    <w:rsid w:val="00C1784F"/>
    <w:rsid w:val="00C17897"/>
    <w:rsid w:val="00C222D0"/>
    <w:rsid w:val="00C23C3C"/>
    <w:rsid w:val="00C25450"/>
    <w:rsid w:val="00C2692C"/>
    <w:rsid w:val="00C30DDF"/>
    <w:rsid w:val="00C3265C"/>
    <w:rsid w:val="00C33521"/>
    <w:rsid w:val="00C33A2B"/>
    <w:rsid w:val="00C345DB"/>
    <w:rsid w:val="00C3495B"/>
    <w:rsid w:val="00C356AC"/>
    <w:rsid w:val="00C36702"/>
    <w:rsid w:val="00C36762"/>
    <w:rsid w:val="00C36F2B"/>
    <w:rsid w:val="00C37979"/>
    <w:rsid w:val="00C37A26"/>
    <w:rsid w:val="00C409D5"/>
    <w:rsid w:val="00C42EB0"/>
    <w:rsid w:val="00C435C3"/>
    <w:rsid w:val="00C43C3B"/>
    <w:rsid w:val="00C44C94"/>
    <w:rsid w:val="00C44E5F"/>
    <w:rsid w:val="00C460D4"/>
    <w:rsid w:val="00C46548"/>
    <w:rsid w:val="00C46577"/>
    <w:rsid w:val="00C4664C"/>
    <w:rsid w:val="00C5054A"/>
    <w:rsid w:val="00C51B7C"/>
    <w:rsid w:val="00C51F2E"/>
    <w:rsid w:val="00C5222B"/>
    <w:rsid w:val="00C52BBC"/>
    <w:rsid w:val="00C52E5F"/>
    <w:rsid w:val="00C5398B"/>
    <w:rsid w:val="00C53CC7"/>
    <w:rsid w:val="00C57F0A"/>
    <w:rsid w:val="00C60017"/>
    <w:rsid w:val="00C604AA"/>
    <w:rsid w:val="00C6175D"/>
    <w:rsid w:val="00C6234B"/>
    <w:rsid w:val="00C63048"/>
    <w:rsid w:val="00C63E37"/>
    <w:rsid w:val="00C63EAE"/>
    <w:rsid w:val="00C64B77"/>
    <w:rsid w:val="00C661F5"/>
    <w:rsid w:val="00C6646A"/>
    <w:rsid w:val="00C71723"/>
    <w:rsid w:val="00C72255"/>
    <w:rsid w:val="00C72708"/>
    <w:rsid w:val="00C72739"/>
    <w:rsid w:val="00C72D2F"/>
    <w:rsid w:val="00C73260"/>
    <w:rsid w:val="00C73D9F"/>
    <w:rsid w:val="00C74FFF"/>
    <w:rsid w:val="00C75D64"/>
    <w:rsid w:val="00C7629F"/>
    <w:rsid w:val="00C80A18"/>
    <w:rsid w:val="00C8661B"/>
    <w:rsid w:val="00C8764B"/>
    <w:rsid w:val="00C876AA"/>
    <w:rsid w:val="00C91C28"/>
    <w:rsid w:val="00C92160"/>
    <w:rsid w:val="00C921BC"/>
    <w:rsid w:val="00C937D4"/>
    <w:rsid w:val="00C938BA"/>
    <w:rsid w:val="00C97867"/>
    <w:rsid w:val="00CA02E4"/>
    <w:rsid w:val="00CA03C8"/>
    <w:rsid w:val="00CA08A8"/>
    <w:rsid w:val="00CA0969"/>
    <w:rsid w:val="00CA11B8"/>
    <w:rsid w:val="00CA139A"/>
    <w:rsid w:val="00CA2190"/>
    <w:rsid w:val="00CA2899"/>
    <w:rsid w:val="00CA30C4"/>
    <w:rsid w:val="00CA37DE"/>
    <w:rsid w:val="00CA3A3D"/>
    <w:rsid w:val="00CA3AA6"/>
    <w:rsid w:val="00CA42CA"/>
    <w:rsid w:val="00CA5D8A"/>
    <w:rsid w:val="00CA6B76"/>
    <w:rsid w:val="00CA77FB"/>
    <w:rsid w:val="00CB1A27"/>
    <w:rsid w:val="00CB1C4E"/>
    <w:rsid w:val="00CB379B"/>
    <w:rsid w:val="00CB3911"/>
    <w:rsid w:val="00CB5DD0"/>
    <w:rsid w:val="00CB6105"/>
    <w:rsid w:val="00CB6172"/>
    <w:rsid w:val="00CB669E"/>
    <w:rsid w:val="00CB7933"/>
    <w:rsid w:val="00CB7D0B"/>
    <w:rsid w:val="00CC2413"/>
    <w:rsid w:val="00CC322C"/>
    <w:rsid w:val="00CC34CC"/>
    <w:rsid w:val="00CC51D4"/>
    <w:rsid w:val="00CC53D0"/>
    <w:rsid w:val="00CC5913"/>
    <w:rsid w:val="00CC65DA"/>
    <w:rsid w:val="00CD0424"/>
    <w:rsid w:val="00CD1906"/>
    <w:rsid w:val="00CD1CE1"/>
    <w:rsid w:val="00CD4555"/>
    <w:rsid w:val="00CD583E"/>
    <w:rsid w:val="00CD7461"/>
    <w:rsid w:val="00CE1C67"/>
    <w:rsid w:val="00CE2455"/>
    <w:rsid w:val="00CE255F"/>
    <w:rsid w:val="00CE4116"/>
    <w:rsid w:val="00CE4D02"/>
    <w:rsid w:val="00CE5635"/>
    <w:rsid w:val="00CE5A27"/>
    <w:rsid w:val="00CE62C5"/>
    <w:rsid w:val="00CE7AA4"/>
    <w:rsid w:val="00CE7E4D"/>
    <w:rsid w:val="00CF21B9"/>
    <w:rsid w:val="00CF2E42"/>
    <w:rsid w:val="00CF3F65"/>
    <w:rsid w:val="00CF4C55"/>
    <w:rsid w:val="00CF6BF9"/>
    <w:rsid w:val="00CF6C21"/>
    <w:rsid w:val="00D00C58"/>
    <w:rsid w:val="00D00FEE"/>
    <w:rsid w:val="00D0281D"/>
    <w:rsid w:val="00D03048"/>
    <w:rsid w:val="00D03800"/>
    <w:rsid w:val="00D049C4"/>
    <w:rsid w:val="00D0512E"/>
    <w:rsid w:val="00D065D3"/>
    <w:rsid w:val="00D06970"/>
    <w:rsid w:val="00D07843"/>
    <w:rsid w:val="00D079FF"/>
    <w:rsid w:val="00D07A8A"/>
    <w:rsid w:val="00D121CA"/>
    <w:rsid w:val="00D13B6E"/>
    <w:rsid w:val="00D13CC1"/>
    <w:rsid w:val="00D13F9D"/>
    <w:rsid w:val="00D14C94"/>
    <w:rsid w:val="00D15927"/>
    <w:rsid w:val="00D15D10"/>
    <w:rsid w:val="00D16589"/>
    <w:rsid w:val="00D16C8D"/>
    <w:rsid w:val="00D1702C"/>
    <w:rsid w:val="00D179C2"/>
    <w:rsid w:val="00D20439"/>
    <w:rsid w:val="00D2131F"/>
    <w:rsid w:val="00D22894"/>
    <w:rsid w:val="00D23454"/>
    <w:rsid w:val="00D23CC8"/>
    <w:rsid w:val="00D25B3E"/>
    <w:rsid w:val="00D318EC"/>
    <w:rsid w:val="00D3219E"/>
    <w:rsid w:val="00D342A6"/>
    <w:rsid w:val="00D35800"/>
    <w:rsid w:val="00D360EF"/>
    <w:rsid w:val="00D366EA"/>
    <w:rsid w:val="00D36CD1"/>
    <w:rsid w:val="00D371FA"/>
    <w:rsid w:val="00D377FB"/>
    <w:rsid w:val="00D4041C"/>
    <w:rsid w:val="00D40D9C"/>
    <w:rsid w:val="00D41AAD"/>
    <w:rsid w:val="00D436B1"/>
    <w:rsid w:val="00D43A9B"/>
    <w:rsid w:val="00D4415D"/>
    <w:rsid w:val="00D444D6"/>
    <w:rsid w:val="00D45300"/>
    <w:rsid w:val="00D45948"/>
    <w:rsid w:val="00D459BD"/>
    <w:rsid w:val="00D45CA6"/>
    <w:rsid w:val="00D464BF"/>
    <w:rsid w:val="00D51CC5"/>
    <w:rsid w:val="00D53E26"/>
    <w:rsid w:val="00D54E4F"/>
    <w:rsid w:val="00D568C7"/>
    <w:rsid w:val="00D575FF"/>
    <w:rsid w:val="00D57CC5"/>
    <w:rsid w:val="00D60B1B"/>
    <w:rsid w:val="00D622C4"/>
    <w:rsid w:val="00D623BC"/>
    <w:rsid w:val="00D62EF4"/>
    <w:rsid w:val="00D636E5"/>
    <w:rsid w:val="00D65D0C"/>
    <w:rsid w:val="00D6624B"/>
    <w:rsid w:val="00D679BC"/>
    <w:rsid w:val="00D71587"/>
    <w:rsid w:val="00D73152"/>
    <w:rsid w:val="00D73F6D"/>
    <w:rsid w:val="00D74412"/>
    <w:rsid w:val="00D749BD"/>
    <w:rsid w:val="00D754C3"/>
    <w:rsid w:val="00D77704"/>
    <w:rsid w:val="00D801F7"/>
    <w:rsid w:val="00D805F4"/>
    <w:rsid w:val="00D807A2"/>
    <w:rsid w:val="00D8150A"/>
    <w:rsid w:val="00D827BE"/>
    <w:rsid w:val="00D84838"/>
    <w:rsid w:val="00D855A1"/>
    <w:rsid w:val="00D85D9F"/>
    <w:rsid w:val="00D9125B"/>
    <w:rsid w:val="00D92A6E"/>
    <w:rsid w:val="00D940EA"/>
    <w:rsid w:val="00D94842"/>
    <w:rsid w:val="00D9496C"/>
    <w:rsid w:val="00D96063"/>
    <w:rsid w:val="00D96F85"/>
    <w:rsid w:val="00D97822"/>
    <w:rsid w:val="00DA0870"/>
    <w:rsid w:val="00DA2ADC"/>
    <w:rsid w:val="00DA53EA"/>
    <w:rsid w:val="00DA5BF2"/>
    <w:rsid w:val="00DA65FF"/>
    <w:rsid w:val="00DA741E"/>
    <w:rsid w:val="00DB1077"/>
    <w:rsid w:val="00DB182C"/>
    <w:rsid w:val="00DB1986"/>
    <w:rsid w:val="00DB3053"/>
    <w:rsid w:val="00DB5E55"/>
    <w:rsid w:val="00DB78C5"/>
    <w:rsid w:val="00DC07FC"/>
    <w:rsid w:val="00DC1118"/>
    <w:rsid w:val="00DC16F3"/>
    <w:rsid w:val="00DC1E57"/>
    <w:rsid w:val="00DC1F00"/>
    <w:rsid w:val="00DC3B97"/>
    <w:rsid w:val="00DC4387"/>
    <w:rsid w:val="00DC4B54"/>
    <w:rsid w:val="00DC638B"/>
    <w:rsid w:val="00DC6484"/>
    <w:rsid w:val="00DC7D42"/>
    <w:rsid w:val="00DD006C"/>
    <w:rsid w:val="00DD1364"/>
    <w:rsid w:val="00DD431A"/>
    <w:rsid w:val="00DD4C6E"/>
    <w:rsid w:val="00DD4F0E"/>
    <w:rsid w:val="00DD5031"/>
    <w:rsid w:val="00DD5227"/>
    <w:rsid w:val="00DD6CA6"/>
    <w:rsid w:val="00DD7453"/>
    <w:rsid w:val="00DE1871"/>
    <w:rsid w:val="00DE19C7"/>
    <w:rsid w:val="00DE26BC"/>
    <w:rsid w:val="00DE28F0"/>
    <w:rsid w:val="00DE2F22"/>
    <w:rsid w:val="00DE3137"/>
    <w:rsid w:val="00DE4959"/>
    <w:rsid w:val="00DE5017"/>
    <w:rsid w:val="00DE555D"/>
    <w:rsid w:val="00DE56F7"/>
    <w:rsid w:val="00DE6DEB"/>
    <w:rsid w:val="00DF0528"/>
    <w:rsid w:val="00DF0803"/>
    <w:rsid w:val="00DF0BF0"/>
    <w:rsid w:val="00DF21A9"/>
    <w:rsid w:val="00DF3CA2"/>
    <w:rsid w:val="00DF4192"/>
    <w:rsid w:val="00DF4CD9"/>
    <w:rsid w:val="00DF52F6"/>
    <w:rsid w:val="00DF5347"/>
    <w:rsid w:val="00DF7027"/>
    <w:rsid w:val="00E01463"/>
    <w:rsid w:val="00E0196C"/>
    <w:rsid w:val="00E046B3"/>
    <w:rsid w:val="00E05E0A"/>
    <w:rsid w:val="00E060BE"/>
    <w:rsid w:val="00E127F2"/>
    <w:rsid w:val="00E129BA"/>
    <w:rsid w:val="00E12A2D"/>
    <w:rsid w:val="00E1401F"/>
    <w:rsid w:val="00E1550D"/>
    <w:rsid w:val="00E20019"/>
    <w:rsid w:val="00E2167A"/>
    <w:rsid w:val="00E21C2E"/>
    <w:rsid w:val="00E226D7"/>
    <w:rsid w:val="00E23E24"/>
    <w:rsid w:val="00E24014"/>
    <w:rsid w:val="00E275D0"/>
    <w:rsid w:val="00E275F2"/>
    <w:rsid w:val="00E31C18"/>
    <w:rsid w:val="00E32C04"/>
    <w:rsid w:val="00E37038"/>
    <w:rsid w:val="00E37622"/>
    <w:rsid w:val="00E4282F"/>
    <w:rsid w:val="00E42B69"/>
    <w:rsid w:val="00E430A5"/>
    <w:rsid w:val="00E43FB5"/>
    <w:rsid w:val="00E442C5"/>
    <w:rsid w:val="00E461B0"/>
    <w:rsid w:val="00E46B9B"/>
    <w:rsid w:val="00E47A9C"/>
    <w:rsid w:val="00E50604"/>
    <w:rsid w:val="00E51D3F"/>
    <w:rsid w:val="00E52603"/>
    <w:rsid w:val="00E52BD4"/>
    <w:rsid w:val="00E534CF"/>
    <w:rsid w:val="00E55872"/>
    <w:rsid w:val="00E6083D"/>
    <w:rsid w:val="00E6177F"/>
    <w:rsid w:val="00E61CC6"/>
    <w:rsid w:val="00E621DC"/>
    <w:rsid w:val="00E634C7"/>
    <w:rsid w:val="00E63C8D"/>
    <w:rsid w:val="00E6419D"/>
    <w:rsid w:val="00E652B0"/>
    <w:rsid w:val="00E66BF9"/>
    <w:rsid w:val="00E670DF"/>
    <w:rsid w:val="00E72A0F"/>
    <w:rsid w:val="00E72B13"/>
    <w:rsid w:val="00E73FEE"/>
    <w:rsid w:val="00E75882"/>
    <w:rsid w:val="00E777A8"/>
    <w:rsid w:val="00E81724"/>
    <w:rsid w:val="00E81CB4"/>
    <w:rsid w:val="00E81E28"/>
    <w:rsid w:val="00E81FCE"/>
    <w:rsid w:val="00E82F78"/>
    <w:rsid w:val="00E83734"/>
    <w:rsid w:val="00E838AB"/>
    <w:rsid w:val="00E84109"/>
    <w:rsid w:val="00E8585B"/>
    <w:rsid w:val="00E87112"/>
    <w:rsid w:val="00E87653"/>
    <w:rsid w:val="00E87F41"/>
    <w:rsid w:val="00E9005A"/>
    <w:rsid w:val="00E9008F"/>
    <w:rsid w:val="00E925DB"/>
    <w:rsid w:val="00E93786"/>
    <w:rsid w:val="00E93B60"/>
    <w:rsid w:val="00E93EF1"/>
    <w:rsid w:val="00E9470D"/>
    <w:rsid w:val="00E94712"/>
    <w:rsid w:val="00E95D6E"/>
    <w:rsid w:val="00E967DD"/>
    <w:rsid w:val="00EA3C0A"/>
    <w:rsid w:val="00EA3F15"/>
    <w:rsid w:val="00EA6586"/>
    <w:rsid w:val="00EA698A"/>
    <w:rsid w:val="00EA7757"/>
    <w:rsid w:val="00EA7847"/>
    <w:rsid w:val="00EB1570"/>
    <w:rsid w:val="00EB2D07"/>
    <w:rsid w:val="00EB4C2F"/>
    <w:rsid w:val="00EB53F3"/>
    <w:rsid w:val="00EB568F"/>
    <w:rsid w:val="00EB5942"/>
    <w:rsid w:val="00EB5F68"/>
    <w:rsid w:val="00EB68AB"/>
    <w:rsid w:val="00EB6976"/>
    <w:rsid w:val="00EB798C"/>
    <w:rsid w:val="00EC0E11"/>
    <w:rsid w:val="00EC2565"/>
    <w:rsid w:val="00EC52A8"/>
    <w:rsid w:val="00ED0021"/>
    <w:rsid w:val="00ED01D4"/>
    <w:rsid w:val="00ED05BF"/>
    <w:rsid w:val="00ED30C0"/>
    <w:rsid w:val="00ED33C0"/>
    <w:rsid w:val="00ED4612"/>
    <w:rsid w:val="00ED6D6E"/>
    <w:rsid w:val="00EE17C2"/>
    <w:rsid w:val="00EE2700"/>
    <w:rsid w:val="00EE2DF5"/>
    <w:rsid w:val="00EE2E6E"/>
    <w:rsid w:val="00EE4563"/>
    <w:rsid w:val="00EE6E5C"/>
    <w:rsid w:val="00EF0160"/>
    <w:rsid w:val="00EF0EDC"/>
    <w:rsid w:val="00EF21C3"/>
    <w:rsid w:val="00EF2604"/>
    <w:rsid w:val="00EF44A2"/>
    <w:rsid w:val="00EF457E"/>
    <w:rsid w:val="00F00781"/>
    <w:rsid w:val="00F01480"/>
    <w:rsid w:val="00F039CB"/>
    <w:rsid w:val="00F03E2D"/>
    <w:rsid w:val="00F0482D"/>
    <w:rsid w:val="00F06BFD"/>
    <w:rsid w:val="00F0759E"/>
    <w:rsid w:val="00F1037E"/>
    <w:rsid w:val="00F10678"/>
    <w:rsid w:val="00F11020"/>
    <w:rsid w:val="00F1285E"/>
    <w:rsid w:val="00F134DB"/>
    <w:rsid w:val="00F1461C"/>
    <w:rsid w:val="00F14660"/>
    <w:rsid w:val="00F165DE"/>
    <w:rsid w:val="00F16A43"/>
    <w:rsid w:val="00F172EE"/>
    <w:rsid w:val="00F200FC"/>
    <w:rsid w:val="00F204E3"/>
    <w:rsid w:val="00F2074C"/>
    <w:rsid w:val="00F2108B"/>
    <w:rsid w:val="00F219C6"/>
    <w:rsid w:val="00F23AD5"/>
    <w:rsid w:val="00F248FA"/>
    <w:rsid w:val="00F24E52"/>
    <w:rsid w:val="00F254E3"/>
    <w:rsid w:val="00F25DD1"/>
    <w:rsid w:val="00F263D3"/>
    <w:rsid w:val="00F2733E"/>
    <w:rsid w:val="00F278EF"/>
    <w:rsid w:val="00F3095D"/>
    <w:rsid w:val="00F30F4A"/>
    <w:rsid w:val="00F31A62"/>
    <w:rsid w:val="00F325BF"/>
    <w:rsid w:val="00F32A71"/>
    <w:rsid w:val="00F3304F"/>
    <w:rsid w:val="00F34A8F"/>
    <w:rsid w:val="00F352CE"/>
    <w:rsid w:val="00F36E71"/>
    <w:rsid w:val="00F37881"/>
    <w:rsid w:val="00F40C06"/>
    <w:rsid w:val="00F40C43"/>
    <w:rsid w:val="00F40DC9"/>
    <w:rsid w:val="00F40F25"/>
    <w:rsid w:val="00F4306D"/>
    <w:rsid w:val="00F43E9B"/>
    <w:rsid w:val="00F45B66"/>
    <w:rsid w:val="00F465EF"/>
    <w:rsid w:val="00F466D3"/>
    <w:rsid w:val="00F46780"/>
    <w:rsid w:val="00F470F7"/>
    <w:rsid w:val="00F47305"/>
    <w:rsid w:val="00F47D43"/>
    <w:rsid w:val="00F51CF0"/>
    <w:rsid w:val="00F5396C"/>
    <w:rsid w:val="00F5630E"/>
    <w:rsid w:val="00F57320"/>
    <w:rsid w:val="00F5799D"/>
    <w:rsid w:val="00F611A4"/>
    <w:rsid w:val="00F61849"/>
    <w:rsid w:val="00F61E70"/>
    <w:rsid w:val="00F625D6"/>
    <w:rsid w:val="00F6452E"/>
    <w:rsid w:val="00F64EA5"/>
    <w:rsid w:val="00F673B6"/>
    <w:rsid w:val="00F72B19"/>
    <w:rsid w:val="00F757B3"/>
    <w:rsid w:val="00F75A59"/>
    <w:rsid w:val="00F75F99"/>
    <w:rsid w:val="00F768E3"/>
    <w:rsid w:val="00F771DA"/>
    <w:rsid w:val="00F77D2D"/>
    <w:rsid w:val="00F804FB"/>
    <w:rsid w:val="00F81297"/>
    <w:rsid w:val="00F821A3"/>
    <w:rsid w:val="00F83F5C"/>
    <w:rsid w:val="00F852DE"/>
    <w:rsid w:val="00F866DA"/>
    <w:rsid w:val="00F9075D"/>
    <w:rsid w:val="00F90887"/>
    <w:rsid w:val="00F90BA4"/>
    <w:rsid w:val="00F91016"/>
    <w:rsid w:val="00F91858"/>
    <w:rsid w:val="00F92BDA"/>
    <w:rsid w:val="00F92C7A"/>
    <w:rsid w:val="00F9314A"/>
    <w:rsid w:val="00F9372B"/>
    <w:rsid w:val="00F940B2"/>
    <w:rsid w:val="00F951BC"/>
    <w:rsid w:val="00F95CCA"/>
    <w:rsid w:val="00F97D9E"/>
    <w:rsid w:val="00FA0DDE"/>
    <w:rsid w:val="00FA0F04"/>
    <w:rsid w:val="00FA19C1"/>
    <w:rsid w:val="00FA26F2"/>
    <w:rsid w:val="00FA40A8"/>
    <w:rsid w:val="00FA7411"/>
    <w:rsid w:val="00FB0E3F"/>
    <w:rsid w:val="00FB1F65"/>
    <w:rsid w:val="00FB3676"/>
    <w:rsid w:val="00FB4B35"/>
    <w:rsid w:val="00FB5809"/>
    <w:rsid w:val="00FB7950"/>
    <w:rsid w:val="00FC068C"/>
    <w:rsid w:val="00FC08A0"/>
    <w:rsid w:val="00FC0A4A"/>
    <w:rsid w:val="00FC28C2"/>
    <w:rsid w:val="00FC3288"/>
    <w:rsid w:val="00FC3C28"/>
    <w:rsid w:val="00FC58EF"/>
    <w:rsid w:val="00FC69B0"/>
    <w:rsid w:val="00FC7267"/>
    <w:rsid w:val="00FD0BA4"/>
    <w:rsid w:val="00FD13D8"/>
    <w:rsid w:val="00FD33DF"/>
    <w:rsid w:val="00FD735B"/>
    <w:rsid w:val="00FD7921"/>
    <w:rsid w:val="00FE0685"/>
    <w:rsid w:val="00FE0F44"/>
    <w:rsid w:val="00FE190D"/>
    <w:rsid w:val="00FE1A03"/>
    <w:rsid w:val="00FE203F"/>
    <w:rsid w:val="00FE3305"/>
    <w:rsid w:val="00FE36C2"/>
    <w:rsid w:val="00FE3983"/>
    <w:rsid w:val="00FE39D7"/>
    <w:rsid w:val="00FE4572"/>
    <w:rsid w:val="00FE5E2E"/>
    <w:rsid w:val="00FE713B"/>
    <w:rsid w:val="00FF07C7"/>
    <w:rsid w:val="00FF08AA"/>
    <w:rsid w:val="00FF151C"/>
    <w:rsid w:val="00FF1A1E"/>
    <w:rsid w:val="00FF4CD3"/>
    <w:rsid w:val="00FF5121"/>
    <w:rsid w:val="00FF6C83"/>
    <w:rsid w:val="00FF7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1D27A8B-DA61-47BC-820B-C6AD6E3F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90"/>
    <w:pPr>
      <w:ind w:left="567"/>
    </w:pPr>
    <w:rPr>
      <w:sz w:val="24"/>
      <w:szCs w:val="24"/>
      <w:lang w:val="es-ES" w:eastAsia="es-ES"/>
    </w:rPr>
  </w:style>
  <w:style w:type="paragraph" w:styleId="Ttulo1">
    <w:name w:val="heading 1"/>
    <w:basedOn w:val="Normal"/>
    <w:next w:val="Normal"/>
    <w:link w:val="Ttulo1Car"/>
    <w:qFormat/>
    <w:rsid w:val="0048346D"/>
    <w:pPr>
      <w:keepNext/>
      <w:jc w:val="center"/>
      <w:outlineLvl w:val="0"/>
    </w:pPr>
    <w:rPr>
      <w:rFonts w:ascii="Bookman Old Style" w:hAnsi="Bookman Old Style"/>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65DE"/>
    <w:rPr>
      <w:rFonts w:ascii="Bookman Old Style" w:hAnsi="Bookman Old Style"/>
      <w:b/>
      <w:sz w:val="24"/>
      <w:lang w:eastAsia="es-ES"/>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character" w:customStyle="1" w:styleId="PiedepginaCar">
    <w:name w:val="Pie de página Car"/>
    <w:link w:val="Piedepgina"/>
    <w:uiPriority w:val="99"/>
    <w:rsid w:val="00F165DE"/>
    <w:rPr>
      <w:sz w:val="24"/>
      <w:szCs w:val="24"/>
      <w:lang w:val="es-ES" w:eastAsia="es-ES"/>
    </w:rPr>
  </w:style>
  <w:style w:type="paragraph" w:customStyle="1" w:styleId="Estilo1">
    <w:name w:val="Estilo1"/>
    <w:basedOn w:val="Normal"/>
    <w:link w:val="Estilo1Car"/>
    <w:qFormat/>
    <w:rsid w:val="00132F2C"/>
    <w:pPr>
      <w:numPr>
        <w:numId w:val="69"/>
      </w:numPr>
      <w:shd w:val="clear" w:color="auto" w:fill="C0C0C0"/>
      <w:jc w:val="center"/>
    </w:pPr>
    <w:rPr>
      <w:rFonts w:ascii="Bookman Old Style" w:hAnsi="Bookman Old Style"/>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numPr>
        <w:numId w:val="2"/>
      </w:numPr>
      <w:spacing w:after="120" w:line="480" w:lineRule="auto"/>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ARTICULOS">
    <w:name w:val="ARTICULOS"/>
    <w:basedOn w:val="Normal"/>
    <w:link w:val="ARTICULOSCar"/>
    <w:qFormat/>
    <w:rsid w:val="00D636E5"/>
    <w:pPr>
      <w:widowControl w:val="0"/>
      <w:adjustRightInd w:val="0"/>
      <w:ind w:left="0"/>
      <w:jc w:val="both"/>
      <w:textAlignment w:val="baseline"/>
    </w:pPr>
    <w:rPr>
      <w:rFonts w:ascii="Bookman Old Style" w:hAnsi="Bookman Old Style"/>
      <w:bCs/>
      <w:lang w:val="x-none" w:eastAsia="x-none"/>
    </w:rPr>
  </w:style>
  <w:style w:type="character" w:customStyle="1" w:styleId="ARTICULOSCar">
    <w:name w:val="ARTICULOS Car"/>
    <w:link w:val="ARTICULOS"/>
    <w:rsid w:val="00D636E5"/>
    <w:rPr>
      <w:rFonts w:ascii="Bookman Old Style" w:hAnsi="Bookman Old Style"/>
      <w:bCs/>
      <w:sz w:val="24"/>
      <w:szCs w:val="24"/>
      <w:lang w:val="x-none" w:eastAsia="x-none"/>
    </w:rPr>
  </w:style>
  <w:style w:type="character" w:styleId="Refdecomentario">
    <w:name w:val="annotation reference"/>
    <w:basedOn w:val="Fuentedeprrafopredeter"/>
    <w:uiPriority w:val="99"/>
    <w:semiHidden/>
    <w:unhideWhenUsed/>
    <w:rsid w:val="000D253A"/>
    <w:rPr>
      <w:sz w:val="16"/>
      <w:szCs w:val="16"/>
    </w:rPr>
  </w:style>
  <w:style w:type="paragraph" w:styleId="Textocomentario">
    <w:name w:val="annotation text"/>
    <w:basedOn w:val="Normal"/>
    <w:link w:val="TextocomentarioCar"/>
    <w:uiPriority w:val="99"/>
    <w:unhideWhenUsed/>
    <w:rsid w:val="000D253A"/>
    <w:rPr>
      <w:sz w:val="20"/>
      <w:szCs w:val="20"/>
    </w:rPr>
  </w:style>
  <w:style w:type="character" w:customStyle="1" w:styleId="TextocomentarioCar">
    <w:name w:val="Texto comentario Car"/>
    <w:basedOn w:val="Fuentedeprrafopredeter"/>
    <w:link w:val="Textocomentario"/>
    <w:uiPriority w:val="99"/>
    <w:rsid w:val="000D253A"/>
    <w:rPr>
      <w:lang w:val="es-ES" w:eastAsia="es-ES"/>
    </w:rPr>
  </w:style>
  <w:style w:type="paragraph" w:styleId="Asuntodelcomentario">
    <w:name w:val="annotation subject"/>
    <w:basedOn w:val="Textocomentario"/>
    <w:next w:val="Textocomentario"/>
    <w:link w:val="AsuntodelcomentarioCar"/>
    <w:uiPriority w:val="99"/>
    <w:semiHidden/>
    <w:unhideWhenUsed/>
    <w:rsid w:val="000D253A"/>
    <w:rPr>
      <w:b/>
      <w:bCs/>
    </w:rPr>
  </w:style>
  <w:style w:type="character" w:customStyle="1" w:styleId="AsuntodelcomentarioCar">
    <w:name w:val="Asunto del comentario Car"/>
    <w:basedOn w:val="TextocomentarioCar"/>
    <w:link w:val="Asuntodelcomentario"/>
    <w:uiPriority w:val="99"/>
    <w:semiHidden/>
    <w:rsid w:val="000D253A"/>
    <w:rPr>
      <w:b/>
      <w:bCs/>
      <w:lang w:val="es-ES" w:eastAsia="es-ES"/>
    </w:rPr>
  </w:style>
  <w:style w:type="character" w:styleId="Textodelmarcadordeposicin">
    <w:name w:val="Placeholder Text"/>
    <w:basedOn w:val="Fuentedeprrafopredeter"/>
    <w:uiPriority w:val="99"/>
    <w:semiHidden/>
    <w:rsid w:val="0033771D"/>
    <w:rPr>
      <w:color w:val="808080"/>
    </w:rPr>
  </w:style>
  <w:style w:type="paragraph" w:customStyle="1" w:styleId="Default">
    <w:name w:val="Default"/>
    <w:rsid w:val="00F165DE"/>
    <w:pPr>
      <w:autoSpaceDE w:val="0"/>
      <w:autoSpaceDN w:val="0"/>
      <w:adjustRightInd w:val="0"/>
    </w:pPr>
    <w:rPr>
      <w:rFonts w:ascii="Verdana" w:eastAsia="Calibri" w:hAnsi="Verdana" w:cs="Verdana"/>
      <w:color w:val="000000"/>
      <w:sz w:val="24"/>
      <w:szCs w:val="24"/>
      <w:lang w:eastAsia="en-US"/>
    </w:rPr>
  </w:style>
  <w:style w:type="paragraph" w:customStyle="1" w:styleId="xl28">
    <w:name w:val="xl28"/>
    <w:basedOn w:val="Normal"/>
    <w:rsid w:val="00F165DE"/>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F165DE"/>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Comentarios">
    <w:name w:val="Comentarios"/>
    <w:basedOn w:val="Textoindependiente"/>
    <w:rsid w:val="00F165DE"/>
    <w:pPr>
      <w:numPr>
        <w:numId w:val="6"/>
      </w:numPr>
      <w:jc w:val="both"/>
    </w:pPr>
    <w:rPr>
      <w:rFonts w:cs="Times New Roman"/>
      <w:b w:val="0"/>
      <w:bCs w:val="0"/>
      <w:sz w:val="22"/>
      <w:szCs w:val="20"/>
      <w:lang w:val="x-none" w:eastAsia="x-none"/>
    </w:rPr>
  </w:style>
  <w:style w:type="character" w:customStyle="1" w:styleId="TextonotaalfinalCar">
    <w:name w:val="Texto nota al final Car"/>
    <w:basedOn w:val="Fuentedeprrafopredeter"/>
    <w:link w:val="Textonotaalfinal"/>
    <w:uiPriority w:val="99"/>
    <w:semiHidden/>
    <w:rsid w:val="00F165DE"/>
    <w:rPr>
      <w:lang w:val="es-ES" w:eastAsia="es-ES"/>
    </w:rPr>
  </w:style>
  <w:style w:type="paragraph" w:styleId="Textonotaalfinal">
    <w:name w:val="endnote text"/>
    <w:basedOn w:val="Normal"/>
    <w:link w:val="TextonotaalfinalCar"/>
    <w:uiPriority w:val="99"/>
    <w:semiHidden/>
    <w:unhideWhenUsed/>
    <w:rsid w:val="00F165DE"/>
    <w:pPr>
      <w:widowControl w:val="0"/>
      <w:adjustRightInd w:val="0"/>
      <w:ind w:left="0"/>
      <w:jc w:val="both"/>
      <w:textAlignment w:val="baseline"/>
    </w:pPr>
    <w:rPr>
      <w:sz w:val="20"/>
      <w:szCs w:val="20"/>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F165DE"/>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F165DE"/>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Pie de Página,Footnote number,referencia nota al pie,f"/>
    <w:uiPriority w:val="99"/>
    <w:rsid w:val="00F165DE"/>
    <w:rPr>
      <w:vertAlign w:val="superscript"/>
    </w:rPr>
  </w:style>
  <w:style w:type="character" w:styleId="Hipervnculo">
    <w:name w:val="Hyperlink"/>
    <w:uiPriority w:val="99"/>
    <w:unhideWhenUsed/>
    <w:rsid w:val="00F165DE"/>
    <w:rPr>
      <w:color w:val="0000FF"/>
      <w:u w:val="single"/>
    </w:rPr>
  </w:style>
  <w:style w:type="paragraph" w:customStyle="1" w:styleId="Textoindependiente21">
    <w:name w:val="Texto independiente 21"/>
    <w:basedOn w:val="Normal"/>
    <w:rsid w:val="00F165DE"/>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F165DE"/>
    <w:pPr>
      <w:keepNext/>
      <w:widowControl w:val="0"/>
      <w:shd w:val="clear" w:color="auto" w:fill="auto"/>
      <w:tabs>
        <w:tab w:val="num" w:pos="5126"/>
      </w:tabs>
      <w:adjustRightInd w:val="0"/>
      <w:ind w:left="3686"/>
      <w:jc w:val="both"/>
      <w:textAlignment w:val="baseline"/>
      <w:outlineLvl w:val="0"/>
    </w:pPr>
    <w:rPr>
      <w:b/>
      <w:bCs/>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F165DE"/>
    <w:rPr>
      <w:rFonts w:ascii="Bookman Old Style" w:hAnsi="Bookman Old Style"/>
      <w:b/>
      <w:bCs/>
      <w:sz w:val="24"/>
      <w:szCs w:val="24"/>
      <w:lang w:eastAsia="ar-SA"/>
    </w:rPr>
  </w:style>
  <w:style w:type="character" w:customStyle="1" w:styleId="MapadeldocumentoCar">
    <w:name w:val="Mapa del documento Car"/>
    <w:basedOn w:val="Fuentedeprrafopredeter"/>
    <w:link w:val="Mapadeldocumento"/>
    <w:uiPriority w:val="99"/>
    <w:semiHidden/>
    <w:rsid w:val="00F165DE"/>
    <w:rPr>
      <w:rFonts w:ascii="Tahoma" w:hAnsi="Tahoma"/>
      <w:sz w:val="16"/>
      <w:szCs w:val="16"/>
      <w:lang w:val="es-ES" w:eastAsia="es-ES"/>
    </w:rPr>
  </w:style>
  <w:style w:type="paragraph" w:styleId="Mapadeldocumento">
    <w:name w:val="Document Map"/>
    <w:basedOn w:val="Normal"/>
    <w:link w:val="MapadeldocumentoCar"/>
    <w:uiPriority w:val="99"/>
    <w:semiHidden/>
    <w:unhideWhenUsed/>
    <w:rsid w:val="00F165DE"/>
    <w:rPr>
      <w:rFonts w:ascii="Tahoma" w:hAnsi="Tahoma"/>
      <w:sz w:val="16"/>
      <w:szCs w:val="16"/>
    </w:rPr>
  </w:style>
  <w:style w:type="paragraph" w:customStyle="1" w:styleId="CM29">
    <w:name w:val="CM29"/>
    <w:basedOn w:val="Default"/>
    <w:next w:val="Default"/>
    <w:uiPriority w:val="99"/>
    <w:rsid w:val="00F165DE"/>
    <w:rPr>
      <w:rFonts w:ascii="Arial" w:eastAsia="Times New Roman" w:hAnsi="Arial" w:cs="Arial"/>
      <w:color w:val="auto"/>
      <w:lang w:eastAsia="es-CO"/>
    </w:rPr>
  </w:style>
  <w:style w:type="character" w:customStyle="1" w:styleId="textonavy1">
    <w:name w:val="texto_navy1"/>
    <w:basedOn w:val="Fuentedeprrafopredeter"/>
    <w:rsid w:val="00F165DE"/>
    <w:rPr>
      <w:color w:val="000080"/>
    </w:rPr>
  </w:style>
  <w:style w:type="paragraph" w:customStyle="1" w:styleId="Estilo5">
    <w:name w:val="Estilo5"/>
    <w:basedOn w:val="Estilo1"/>
    <w:qFormat/>
    <w:rsid w:val="00F165DE"/>
    <w:pPr>
      <w:keepNext/>
      <w:numPr>
        <w:numId w:val="9"/>
      </w:numPr>
      <w:shd w:val="clear" w:color="auto" w:fill="auto"/>
      <w:spacing w:before="240" w:after="60"/>
      <w:jc w:val="both"/>
      <w:outlineLvl w:val="0"/>
    </w:pPr>
    <w:rPr>
      <w:rFonts w:ascii="Arial" w:hAnsi="Arial"/>
      <w:b/>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F165DE"/>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F165DE"/>
    <w:rPr>
      <w:rFonts w:ascii="Courier New" w:hAnsi="Courier New" w:cs="Courier New"/>
      <w:lang w:val="es-ES" w:eastAsia="es-ES"/>
    </w:rPr>
  </w:style>
  <w:style w:type="paragraph" w:customStyle="1" w:styleId="CM9">
    <w:name w:val="CM9"/>
    <w:basedOn w:val="Default"/>
    <w:next w:val="Default"/>
    <w:uiPriority w:val="99"/>
    <w:rsid w:val="00F165DE"/>
    <w:rPr>
      <w:rFonts w:ascii="Arial" w:eastAsia="Times New Roman" w:hAnsi="Arial" w:cs="Arial"/>
      <w:color w:val="auto"/>
      <w:lang w:eastAsia="es-CO"/>
    </w:rPr>
  </w:style>
  <w:style w:type="paragraph" w:styleId="TDC3">
    <w:name w:val="toc 3"/>
    <w:basedOn w:val="Normal"/>
    <w:next w:val="Normal"/>
    <w:autoRedefine/>
    <w:semiHidden/>
    <w:rsid w:val="00D23454"/>
    <w:pPr>
      <w:ind w:left="480"/>
    </w:pPr>
  </w:style>
  <w:style w:type="paragraph" w:styleId="Revisin">
    <w:name w:val="Revision"/>
    <w:hidden/>
    <w:uiPriority w:val="99"/>
    <w:semiHidden/>
    <w:rsid w:val="00D23454"/>
    <w:rPr>
      <w:sz w:val="24"/>
      <w:szCs w:val="24"/>
      <w:lang w:val="es-ES" w:eastAsia="es-ES"/>
    </w:rPr>
  </w:style>
  <w:style w:type="paragraph" w:styleId="NormalWeb">
    <w:name w:val="Normal (Web)"/>
    <w:basedOn w:val="Normal"/>
    <w:uiPriority w:val="99"/>
    <w:semiHidden/>
    <w:unhideWhenUsed/>
    <w:rsid w:val="00D23454"/>
    <w:pPr>
      <w:spacing w:before="100" w:beforeAutospacing="1" w:after="100" w:afterAutospacing="1"/>
      <w:ind w:left="0"/>
    </w:pPr>
    <w:rPr>
      <w:lang w:val="es-CO" w:eastAsia="es-CO"/>
    </w:rPr>
  </w:style>
  <w:style w:type="paragraph" w:customStyle="1" w:styleId="Textoindependiente22">
    <w:name w:val="Texto independiente 22"/>
    <w:basedOn w:val="Normal"/>
    <w:rsid w:val="002F0625"/>
    <w:pPr>
      <w:widowControl w:val="0"/>
      <w:tabs>
        <w:tab w:val="left" w:pos="3420"/>
      </w:tabs>
      <w:ind w:left="0"/>
      <w:jc w:val="both"/>
    </w:pPr>
    <w:rPr>
      <w:rFonts w:ascii="Arial" w:hAnsi="Arial"/>
      <w:sz w:val="20"/>
      <w:szCs w:val="20"/>
      <w:lang w:val="es-CO"/>
    </w:rPr>
  </w:style>
  <w:style w:type="character" w:customStyle="1" w:styleId="Estilo1Car">
    <w:name w:val="Estilo1 Car"/>
    <w:basedOn w:val="ARTICULOSCar"/>
    <w:link w:val="Estilo1"/>
    <w:rsid w:val="00132F2C"/>
    <w:rPr>
      <w:rFonts w:ascii="Bookman Old Style" w:hAnsi="Bookman Old Style"/>
      <w:bCs w:val="0"/>
      <w:sz w:val="24"/>
      <w:szCs w:val="24"/>
      <w:shd w:val="clear" w:color="auto" w:fill="C0C0C0"/>
      <w:lang w:val="x-none"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3">
    <w:name w:val="Estilo3"/>
    <w:basedOn w:val="Normal"/>
    <w:link w:val="Estilo3Car"/>
    <w:qFormat/>
    <w:rsid w:val="00132F2C"/>
    <w:pPr>
      <w:ind w:left="0"/>
    </w:pPr>
    <w:rPr>
      <w:rFonts w:ascii="Bookman Old Style" w:hAnsi="Bookman Old Style"/>
    </w:rPr>
  </w:style>
  <w:style w:type="paragraph" w:customStyle="1" w:styleId="Subtitulos">
    <w:name w:val="Subtitulos"/>
    <w:basedOn w:val="ARTICULOS"/>
    <w:link w:val="SubtitulosCar"/>
    <w:qFormat/>
    <w:rsid w:val="00B90FA6"/>
    <w:rPr>
      <w:rFonts w:cs="Arial"/>
      <w:lang w:val="es-CO"/>
    </w:rPr>
  </w:style>
  <w:style w:type="character" w:customStyle="1" w:styleId="Estilo3Car">
    <w:name w:val="Estilo3 Car"/>
    <w:basedOn w:val="Estilo1Car"/>
    <w:link w:val="Estilo3"/>
    <w:rsid w:val="00132F2C"/>
    <w:rPr>
      <w:rFonts w:ascii="Bookman Old Style" w:hAnsi="Bookman Old Style"/>
      <w:bCs w:val="0"/>
      <w:sz w:val="24"/>
      <w:szCs w:val="24"/>
      <w:shd w:val="clear" w:color="auto" w:fill="C0C0C0"/>
      <w:lang w:val="es-ES"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4">
    <w:name w:val="Estilo4"/>
    <w:basedOn w:val="ARTICULOS"/>
    <w:next w:val="Subttulo"/>
    <w:link w:val="Estilo4Car"/>
    <w:autoRedefine/>
    <w:qFormat/>
    <w:rsid w:val="00AB1465"/>
    <w:pPr>
      <w:numPr>
        <w:ilvl w:val="1"/>
        <w:numId w:val="55"/>
      </w:numPr>
      <w:tabs>
        <w:tab w:val="left" w:pos="1701"/>
      </w:tabs>
      <w:contextualSpacing/>
      <w:outlineLvl w:val="2"/>
    </w:pPr>
  </w:style>
  <w:style w:type="character" w:customStyle="1" w:styleId="SubtitulosCar">
    <w:name w:val="Subtitulos Car"/>
    <w:basedOn w:val="ARTICULOSCar"/>
    <w:link w:val="Subtitulos"/>
    <w:rsid w:val="00B90FA6"/>
    <w:rPr>
      <w:rFonts w:ascii="Bookman Old Style" w:hAnsi="Bookman Old Style" w:cs="Arial"/>
      <w:bCs/>
      <w:sz w:val="24"/>
      <w:szCs w:val="24"/>
      <w:lang w:val="x-none" w:eastAsia="x-none"/>
    </w:rPr>
  </w:style>
  <w:style w:type="character" w:customStyle="1" w:styleId="Estilo4Car">
    <w:name w:val="Estilo4 Car"/>
    <w:basedOn w:val="ARTICULOSCar"/>
    <w:link w:val="Estilo4"/>
    <w:rsid w:val="00AB1465"/>
    <w:rPr>
      <w:rFonts w:ascii="Bookman Old Style" w:hAnsi="Bookman Old Style"/>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256063">
      <w:bodyDiv w:val="1"/>
      <w:marLeft w:val="0"/>
      <w:marRight w:val="0"/>
      <w:marTop w:val="0"/>
      <w:marBottom w:val="0"/>
      <w:divBdr>
        <w:top w:val="none" w:sz="0" w:space="0" w:color="auto"/>
        <w:left w:val="none" w:sz="0" w:space="0" w:color="auto"/>
        <w:bottom w:val="none" w:sz="0" w:space="0" w:color="auto"/>
        <w:right w:val="none" w:sz="0" w:space="0" w:color="auto"/>
      </w:divBdr>
    </w:div>
    <w:div w:id="20940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7E4A5-17F4-4021-AE05-BB3BEB01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69</Pages>
  <Words>26655</Words>
  <Characters>140482</Characters>
  <Application>Microsoft Office Word</Application>
  <DocSecurity>0</DocSecurity>
  <Lines>1170</Lines>
  <Paragraphs>333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dc:creator>
  <cp:lastModifiedBy>Luz Stella Rojas Macias</cp:lastModifiedBy>
  <cp:revision>2</cp:revision>
  <cp:lastPrinted>2016-11-21T22:04:00Z</cp:lastPrinted>
  <dcterms:created xsi:type="dcterms:W3CDTF">2016-11-29T15:58:00Z</dcterms:created>
  <dcterms:modified xsi:type="dcterms:W3CDTF">2016-11-29T15:58:00Z</dcterms:modified>
</cp:coreProperties>
</file>