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11F8" w:rsidRPr="00557744" w:rsidRDefault="00D47C83" w:rsidP="00DD11F8">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06.9pt;margin-top:-53.35pt;width:52.5pt;height:48.75pt;z-index:251659264" fillcolor="#0c9">
            <v:imagedata r:id="rId9" o:title=""/>
          </v:shape>
          <o:OLEObject Type="Embed" ProgID="PBrush" ShapeID="_x0000_s1027" DrawAspect="Content" ObjectID="_1525505346" r:id="rId10"/>
        </w:pict>
      </w:r>
    </w:p>
    <w:p w:rsidR="00557744" w:rsidRPr="00557744" w:rsidRDefault="00557744" w:rsidP="00557744">
      <w:pPr>
        <w:pStyle w:val="Encabezado"/>
        <w:tabs>
          <w:tab w:val="clear" w:pos="8504"/>
          <w:tab w:val="left" w:pos="0"/>
          <w:tab w:val="right" w:pos="9356"/>
        </w:tabs>
        <w:ind w:left="0"/>
        <w:jc w:val="both"/>
        <w:rPr>
          <w:rFonts w:ascii="Bookman Old Style" w:hAnsi="Bookman Old Style"/>
          <w:szCs w:val="24"/>
        </w:rPr>
      </w:pPr>
    </w:p>
    <w:p w:rsidR="00557744" w:rsidRPr="00D92A01" w:rsidRDefault="00557744" w:rsidP="00557744">
      <w:pPr>
        <w:pStyle w:val="Ttulo4"/>
        <w:tabs>
          <w:tab w:val="left" w:pos="0"/>
          <w:tab w:val="right" w:pos="9356"/>
        </w:tabs>
        <w:ind w:left="0"/>
        <w:rPr>
          <w:rFonts w:ascii="Bookman Old Style" w:hAnsi="Bookman Old Style"/>
          <w:b w:val="0"/>
          <w:bCs/>
          <w:noProof/>
          <w:sz w:val="24"/>
          <w:szCs w:val="24"/>
          <w:lang w:val="es-ES"/>
        </w:rPr>
      </w:pPr>
      <w:r w:rsidRPr="00100514">
        <w:rPr>
          <w:rFonts w:ascii="Bookman Old Style" w:hAnsi="Bookman Old Style"/>
          <w:b w:val="0"/>
          <w:bCs/>
          <w:sz w:val="24"/>
          <w:szCs w:val="24"/>
        </w:rPr>
        <w:t>Ministerio de Minas y Energía</w:t>
      </w:r>
    </w:p>
    <w:p w:rsidR="00557744" w:rsidRPr="00D92A01" w:rsidRDefault="00557744" w:rsidP="00557744">
      <w:pPr>
        <w:pStyle w:val="Ttulo4"/>
        <w:tabs>
          <w:tab w:val="left" w:pos="0"/>
          <w:tab w:val="right" w:pos="9356"/>
        </w:tabs>
        <w:ind w:left="0"/>
        <w:rPr>
          <w:rFonts w:ascii="Bookman Old Style" w:hAnsi="Bookman Old Style"/>
          <w:b w:val="0"/>
          <w:bCs/>
          <w:sz w:val="24"/>
          <w:szCs w:val="24"/>
        </w:rPr>
      </w:pPr>
    </w:p>
    <w:p w:rsidR="00557744" w:rsidRPr="00ED631E" w:rsidRDefault="00557744" w:rsidP="00557744">
      <w:pPr>
        <w:pStyle w:val="Ttulo3"/>
        <w:tabs>
          <w:tab w:val="left" w:pos="0"/>
          <w:tab w:val="right" w:pos="9356"/>
        </w:tabs>
        <w:ind w:left="0"/>
        <w:rPr>
          <w:rFonts w:ascii="Bookman Old Style" w:hAnsi="Bookman Old Style" w:cs="Arial"/>
          <w:spacing w:val="20"/>
          <w:szCs w:val="24"/>
        </w:rPr>
      </w:pPr>
      <w:r w:rsidRPr="00ED631E">
        <w:rPr>
          <w:rFonts w:ascii="Bookman Old Style" w:hAnsi="Bookman Old Style" w:cs="Arial"/>
          <w:spacing w:val="20"/>
          <w:szCs w:val="24"/>
        </w:rPr>
        <w:t>COMISIÓN DE REGULACIÓN DE ENERGÍA Y GAS</w:t>
      </w:r>
    </w:p>
    <w:p w:rsidR="00557744" w:rsidRPr="00557744" w:rsidRDefault="00557744" w:rsidP="00557744">
      <w:pPr>
        <w:pStyle w:val="Ttulo5"/>
        <w:tabs>
          <w:tab w:val="left" w:pos="0"/>
          <w:tab w:val="right" w:pos="9356"/>
        </w:tabs>
        <w:ind w:left="0"/>
        <w:rPr>
          <w:rFonts w:ascii="Bookman Old Style" w:hAnsi="Bookman Old Style"/>
          <w:sz w:val="24"/>
          <w:szCs w:val="24"/>
        </w:rPr>
      </w:pPr>
    </w:p>
    <w:p w:rsidR="00557744" w:rsidRPr="00557744" w:rsidRDefault="00557744" w:rsidP="00557744">
      <w:pPr>
        <w:pStyle w:val="Ttulo5"/>
        <w:tabs>
          <w:tab w:val="left" w:pos="0"/>
          <w:tab w:val="right" w:pos="9356"/>
        </w:tabs>
        <w:ind w:left="0"/>
        <w:rPr>
          <w:rFonts w:ascii="Bookman Old Style" w:hAnsi="Bookman Old Style"/>
          <w:sz w:val="24"/>
          <w:szCs w:val="24"/>
        </w:rPr>
      </w:pPr>
    </w:p>
    <w:p w:rsidR="00557744" w:rsidRPr="00557744" w:rsidRDefault="00557744" w:rsidP="00557744">
      <w:pPr>
        <w:pStyle w:val="Ttulo5"/>
        <w:tabs>
          <w:tab w:val="left" w:pos="0"/>
          <w:tab w:val="right" w:pos="9356"/>
        </w:tabs>
        <w:ind w:left="0"/>
        <w:rPr>
          <w:rFonts w:ascii="Bookman Old Style" w:hAnsi="Bookman Old Style"/>
          <w:sz w:val="24"/>
          <w:szCs w:val="24"/>
        </w:rPr>
      </w:pPr>
      <w:r w:rsidRPr="00557744">
        <w:rPr>
          <w:rFonts w:ascii="Bookman Old Style" w:hAnsi="Bookman Old Style"/>
          <w:sz w:val="24"/>
          <w:szCs w:val="24"/>
        </w:rPr>
        <w:t>RESOLUCIÓN No.                   DE 201</w:t>
      </w:r>
      <w:r w:rsidR="00FD6A9B">
        <w:rPr>
          <w:rFonts w:ascii="Bookman Old Style" w:hAnsi="Bookman Old Style"/>
          <w:sz w:val="24"/>
          <w:szCs w:val="24"/>
        </w:rPr>
        <w:t>6</w:t>
      </w:r>
    </w:p>
    <w:p w:rsidR="00557744" w:rsidRPr="00557744" w:rsidRDefault="00557744" w:rsidP="00557744">
      <w:pPr>
        <w:tabs>
          <w:tab w:val="left" w:pos="0"/>
          <w:tab w:val="right" w:pos="9356"/>
        </w:tabs>
        <w:ind w:left="0"/>
        <w:jc w:val="center"/>
        <w:rPr>
          <w:rFonts w:ascii="Bookman Old Style" w:hAnsi="Bookman Old Style" w:cs="Arial"/>
          <w:b/>
          <w:snapToGrid w:val="0"/>
          <w:color w:val="000000"/>
          <w:lang w:val="es-ES_tradnl"/>
        </w:rPr>
      </w:pPr>
    </w:p>
    <w:p w:rsidR="00557744" w:rsidRPr="00557744" w:rsidRDefault="00557744" w:rsidP="00557744">
      <w:pPr>
        <w:pStyle w:val="Ttulo3"/>
        <w:tabs>
          <w:tab w:val="left" w:pos="0"/>
          <w:tab w:val="right" w:pos="9356"/>
        </w:tabs>
        <w:ind w:left="0"/>
        <w:rPr>
          <w:rFonts w:ascii="Bookman Old Style" w:hAnsi="Bookman Old Style"/>
          <w:b w:val="0"/>
          <w:szCs w:val="24"/>
        </w:rPr>
      </w:pPr>
      <w:r w:rsidRPr="00557744">
        <w:rPr>
          <w:rFonts w:ascii="Bookman Old Style" w:hAnsi="Bookman Old Style"/>
          <w:b w:val="0"/>
          <w:szCs w:val="24"/>
        </w:rPr>
        <w:t>(                                  )</w:t>
      </w:r>
    </w:p>
    <w:p w:rsidR="00557744" w:rsidRPr="00557744" w:rsidRDefault="00557744" w:rsidP="00557744">
      <w:pPr>
        <w:tabs>
          <w:tab w:val="left" w:pos="0"/>
          <w:tab w:val="right" w:pos="9356"/>
        </w:tabs>
        <w:ind w:left="0"/>
        <w:jc w:val="center"/>
        <w:rPr>
          <w:rFonts w:ascii="Bookman Old Style" w:hAnsi="Bookman Old Style"/>
          <w:lang w:val="es-ES_tradnl"/>
        </w:rPr>
      </w:pPr>
    </w:p>
    <w:p w:rsidR="00557744" w:rsidRDefault="00557744" w:rsidP="00557744">
      <w:pPr>
        <w:ind w:left="0"/>
        <w:rPr>
          <w:rFonts w:ascii="Bookman Old Style" w:hAnsi="Bookman Old Style"/>
          <w:bCs/>
          <w:lang w:val="es-CO"/>
        </w:rPr>
      </w:pPr>
    </w:p>
    <w:p w:rsidR="005E4685" w:rsidRPr="00557744" w:rsidRDefault="005E4685" w:rsidP="00557744">
      <w:pPr>
        <w:ind w:left="0"/>
        <w:rPr>
          <w:rFonts w:ascii="Bookman Old Style" w:hAnsi="Bookman Old Style"/>
          <w:bCs/>
          <w:lang w:val="es-CO"/>
        </w:rPr>
      </w:pPr>
    </w:p>
    <w:p w:rsidR="00557744" w:rsidRPr="00557744" w:rsidRDefault="00557744" w:rsidP="00042175">
      <w:pPr>
        <w:ind w:left="0"/>
        <w:jc w:val="center"/>
        <w:rPr>
          <w:rFonts w:ascii="Bookman Old Style" w:hAnsi="Bookman Old Style" w:cs="Arial"/>
          <w:color w:val="000000"/>
        </w:rPr>
      </w:pPr>
      <w:r w:rsidRPr="00042175">
        <w:rPr>
          <w:rFonts w:ascii="Bookman Old Style" w:hAnsi="Bookman Old Style"/>
        </w:rPr>
        <w:t>Por la cual se ordena hacer público un proyecto de resolución de carácter</w:t>
      </w:r>
      <w:r w:rsidR="00DA761E">
        <w:rPr>
          <w:rFonts w:ascii="Bookman Old Style" w:hAnsi="Bookman Old Style"/>
        </w:rPr>
        <w:t xml:space="preserve"> </w:t>
      </w:r>
      <w:r w:rsidRPr="00042175">
        <w:rPr>
          <w:rFonts w:ascii="Bookman Old Style" w:hAnsi="Bookman Old Style"/>
        </w:rPr>
        <w:t xml:space="preserve">general, </w:t>
      </w:r>
      <w:r w:rsidRPr="00042175">
        <w:rPr>
          <w:rFonts w:ascii="Bookman Old Style" w:hAnsi="Bookman Old Style" w:cs="Arial"/>
          <w:color w:val="000000" w:themeColor="text1"/>
          <w:lang w:eastAsia="es-CO"/>
        </w:rPr>
        <w:t>“</w:t>
      </w:r>
      <w:r w:rsidRPr="00557744">
        <w:rPr>
          <w:rFonts w:ascii="Bookman Old Style" w:hAnsi="Bookman Old Style" w:cs="Arial"/>
          <w:color w:val="000000"/>
        </w:rPr>
        <w:t xml:space="preserve">Por la cual se </w:t>
      </w:r>
      <w:r w:rsidR="00DA761E">
        <w:rPr>
          <w:rFonts w:ascii="Bookman Old Style" w:hAnsi="Bookman Old Style" w:cs="Arial"/>
          <w:color w:val="000000"/>
        </w:rPr>
        <w:t xml:space="preserve">adiciona </w:t>
      </w:r>
      <w:r w:rsidR="00DB5B7A">
        <w:rPr>
          <w:rFonts w:ascii="Bookman Old Style" w:hAnsi="Bookman Old Style" w:cs="Arial"/>
          <w:color w:val="000000"/>
        </w:rPr>
        <w:t>un</w:t>
      </w:r>
      <w:r w:rsidR="00EE080E">
        <w:rPr>
          <w:rFonts w:ascii="Bookman Old Style" w:hAnsi="Bookman Old Style" w:cs="Arial"/>
          <w:color w:val="000000"/>
        </w:rPr>
        <w:t xml:space="preserve"> numeral al A</w:t>
      </w:r>
      <w:r w:rsidR="00E37434">
        <w:rPr>
          <w:rFonts w:ascii="Bookman Old Style" w:hAnsi="Bookman Old Style" w:cs="Arial"/>
          <w:color w:val="000000"/>
        </w:rPr>
        <w:t>nexo</w:t>
      </w:r>
      <w:r w:rsidR="00EE080E">
        <w:rPr>
          <w:rFonts w:ascii="Bookman Old Style" w:hAnsi="Bookman Old Style" w:cs="Arial"/>
          <w:color w:val="000000"/>
        </w:rPr>
        <w:t xml:space="preserve"> 2 de</w:t>
      </w:r>
      <w:r>
        <w:rPr>
          <w:rFonts w:ascii="Bookman Old Style" w:hAnsi="Bookman Old Style" w:cs="Arial"/>
          <w:color w:val="000000"/>
        </w:rPr>
        <w:t xml:space="preserve"> la Resolución CREG 089 de 2013</w:t>
      </w:r>
      <w:r w:rsidRPr="00557744">
        <w:rPr>
          <w:rFonts w:ascii="Bookman Old Style" w:hAnsi="Bookman Old Style" w:cs="Arial"/>
          <w:color w:val="000000"/>
        </w:rPr>
        <w:t>”</w:t>
      </w:r>
    </w:p>
    <w:p w:rsidR="00557744" w:rsidRPr="00100514" w:rsidRDefault="00557744" w:rsidP="00557744">
      <w:pPr>
        <w:rPr>
          <w:rFonts w:ascii="Bookman Old Style" w:hAnsi="Bookman Old Style" w:cs="Arial"/>
          <w:color w:val="000000"/>
        </w:rPr>
      </w:pPr>
    </w:p>
    <w:p w:rsidR="00557744" w:rsidRPr="00D92A01" w:rsidRDefault="00557744" w:rsidP="00557744">
      <w:pPr>
        <w:rPr>
          <w:rFonts w:ascii="Bookman Old Style" w:hAnsi="Bookman Old Style" w:cs="Arial"/>
          <w:color w:val="000000"/>
        </w:rPr>
      </w:pPr>
    </w:p>
    <w:p w:rsidR="00557744" w:rsidRPr="00ED631E" w:rsidRDefault="00557744" w:rsidP="00557744">
      <w:pPr>
        <w:jc w:val="center"/>
        <w:rPr>
          <w:rFonts w:ascii="Bookman Old Style" w:hAnsi="Bookman Old Style" w:cs="Arial"/>
          <w:b/>
          <w:color w:val="000000"/>
        </w:rPr>
      </w:pPr>
      <w:r w:rsidRPr="00D92A01">
        <w:rPr>
          <w:rFonts w:ascii="Bookman Old Style" w:hAnsi="Bookman Old Style" w:cs="Arial"/>
          <w:b/>
          <w:color w:val="000000"/>
        </w:rPr>
        <w:t>LA COMISIÓN DE REGULACIÓN DE ENERGÍA Y GAS</w:t>
      </w:r>
    </w:p>
    <w:p w:rsidR="00557744" w:rsidRPr="00ED631E" w:rsidRDefault="00557744" w:rsidP="00557744">
      <w:pPr>
        <w:rPr>
          <w:rFonts w:ascii="Bookman Old Style" w:hAnsi="Bookman Old Style" w:cs="Arial"/>
          <w:color w:val="000000"/>
        </w:rPr>
      </w:pPr>
    </w:p>
    <w:p w:rsidR="00557744" w:rsidRPr="00557744" w:rsidRDefault="00557744" w:rsidP="00557744">
      <w:pPr>
        <w:rPr>
          <w:rFonts w:ascii="Bookman Old Style" w:hAnsi="Bookman Old Style" w:cs="Arial"/>
          <w:color w:val="000000"/>
        </w:rPr>
      </w:pPr>
    </w:p>
    <w:p w:rsidR="00355580" w:rsidRPr="00B348C8" w:rsidRDefault="00557744" w:rsidP="00355580">
      <w:pPr>
        <w:widowControl w:val="0"/>
        <w:tabs>
          <w:tab w:val="left" w:pos="0"/>
        </w:tabs>
        <w:ind w:left="0"/>
        <w:contextualSpacing/>
        <w:jc w:val="center"/>
        <w:rPr>
          <w:rFonts w:ascii="Bookman Old Style" w:hAnsi="Bookman Old Style"/>
        </w:rPr>
      </w:pPr>
      <w:r w:rsidRPr="00042175">
        <w:rPr>
          <w:rFonts w:ascii="Bookman Old Style" w:hAnsi="Bookman Old Style" w:cs="Arial"/>
          <w:color w:val="000000"/>
        </w:rPr>
        <w:t xml:space="preserve">En ejercicio de sus atribuciones legales, en especial las conferidas por la Ley 142 de 1994, y en desarrollo de los </w:t>
      </w:r>
      <w:r w:rsidR="00355580">
        <w:rPr>
          <w:rFonts w:ascii="Bookman Old Style" w:hAnsi="Bookman Old Style" w:cs="Arial"/>
          <w:color w:val="000000"/>
        </w:rPr>
        <w:t xml:space="preserve"> </w:t>
      </w:r>
      <w:r w:rsidR="00355580" w:rsidRPr="00B348C8">
        <w:rPr>
          <w:rFonts w:ascii="Bookman Old Style" w:hAnsi="Bookman Old Style"/>
        </w:rPr>
        <w:t>Decretos 1523, 2253 de 1994</w:t>
      </w:r>
      <w:r w:rsidR="00355580" w:rsidRPr="00835F87">
        <w:rPr>
          <w:rFonts w:ascii="Bookman Old Style" w:hAnsi="Bookman Old Style"/>
        </w:rPr>
        <w:t>, 2100 de 2011</w:t>
      </w:r>
      <w:r w:rsidR="00355580" w:rsidRPr="00B348C8">
        <w:rPr>
          <w:rFonts w:ascii="Bookman Old Style" w:hAnsi="Bookman Old Style"/>
        </w:rPr>
        <w:t xml:space="preserve"> </w:t>
      </w:r>
      <w:r w:rsidR="005E4685">
        <w:rPr>
          <w:rFonts w:ascii="Bookman Old Style" w:hAnsi="Bookman Old Style"/>
        </w:rPr>
        <w:t xml:space="preserve">compilado por el Decreto 1073 de 2015 </w:t>
      </w:r>
      <w:r w:rsidR="00355580" w:rsidRPr="00B348C8">
        <w:rPr>
          <w:rFonts w:ascii="Bookman Old Style" w:hAnsi="Bookman Old Style"/>
        </w:rPr>
        <w:t>y 1260 de 2013</w:t>
      </w:r>
    </w:p>
    <w:p w:rsidR="00557744" w:rsidRPr="00042175" w:rsidRDefault="00557744" w:rsidP="00042175">
      <w:pPr>
        <w:ind w:left="0"/>
        <w:rPr>
          <w:rFonts w:ascii="Bookman Old Style" w:hAnsi="Bookman Old Style" w:cs="Arial"/>
          <w:color w:val="000000"/>
        </w:rPr>
      </w:pPr>
    </w:p>
    <w:p w:rsidR="00557744" w:rsidRPr="00042175" w:rsidRDefault="00557744" w:rsidP="00557744">
      <w:pPr>
        <w:ind w:left="0"/>
        <w:jc w:val="center"/>
        <w:rPr>
          <w:rFonts w:ascii="Bookman Old Style" w:hAnsi="Bookman Old Style" w:cs="Arial"/>
          <w:color w:val="000000"/>
        </w:rPr>
      </w:pPr>
    </w:p>
    <w:p w:rsidR="00557744" w:rsidRPr="00042175" w:rsidRDefault="00557744" w:rsidP="00557744">
      <w:pPr>
        <w:ind w:left="0"/>
        <w:jc w:val="center"/>
        <w:rPr>
          <w:rFonts w:ascii="Bookman Old Style" w:hAnsi="Bookman Old Style"/>
          <w:b/>
        </w:rPr>
      </w:pPr>
      <w:r w:rsidRPr="00042175">
        <w:rPr>
          <w:rFonts w:ascii="Bookman Old Style" w:hAnsi="Bookman Old Style"/>
          <w:b/>
        </w:rPr>
        <w:t>C O N S I D E R A N D O  Q U E:</w:t>
      </w:r>
    </w:p>
    <w:p w:rsidR="00557744" w:rsidRPr="00042175" w:rsidRDefault="00557744" w:rsidP="00557744">
      <w:pPr>
        <w:ind w:left="0"/>
        <w:rPr>
          <w:rFonts w:ascii="Bookman Old Style" w:hAnsi="Bookman Old Style" w:cs="Arial"/>
          <w:color w:val="000000"/>
        </w:rPr>
      </w:pPr>
    </w:p>
    <w:p w:rsidR="00557744" w:rsidRDefault="00557744" w:rsidP="00557744">
      <w:pPr>
        <w:ind w:left="0"/>
        <w:jc w:val="both"/>
        <w:rPr>
          <w:rFonts w:ascii="Bookman Old Style" w:hAnsi="Bookman Old Style" w:cs="Arial"/>
        </w:rPr>
      </w:pPr>
    </w:p>
    <w:p w:rsidR="0084624D" w:rsidRPr="00FD4113" w:rsidRDefault="0084624D" w:rsidP="0084624D">
      <w:pPr>
        <w:widowControl w:val="0"/>
        <w:tabs>
          <w:tab w:val="left" w:pos="0"/>
        </w:tabs>
        <w:ind w:left="0"/>
        <w:contextualSpacing/>
        <w:jc w:val="both"/>
        <w:rPr>
          <w:rFonts w:ascii="Bookman Old Style" w:hAnsi="Bookman Old Style" w:cs="Arial"/>
        </w:rPr>
      </w:pPr>
      <w:r w:rsidRPr="00FD4113">
        <w:rPr>
          <w:rFonts w:ascii="Bookman Old Style" w:hAnsi="Bookman Old Style" w:cs="Arial"/>
        </w:rPr>
        <w:t xml:space="preserve">Conforme a lo dispuesto por el artículo 8 del Código de Procedimiento Administrativo y de lo Contencioso Administrativo, </w:t>
      </w:r>
      <w:r>
        <w:rPr>
          <w:rFonts w:ascii="Bookman Old Style" w:hAnsi="Bookman Old Style" w:cs="Arial"/>
        </w:rPr>
        <w:t xml:space="preserve">así como de acuerdo con lo establecido en  el Decreto 2696 de 2004, el cual ha sido compilado </w:t>
      </w:r>
      <w:r w:rsidRPr="001D4A97">
        <w:rPr>
          <w:rFonts w:ascii="Bookman Old Style" w:hAnsi="Bookman Old Style" w:cs="Arial"/>
        </w:rPr>
        <w:t xml:space="preserve">en </w:t>
      </w:r>
      <w:r>
        <w:rPr>
          <w:rFonts w:ascii="Bookman Old Style" w:hAnsi="Bookman Old Style" w:cs="Arial"/>
        </w:rPr>
        <w:t xml:space="preserve">el Decreto 1078 de 2015, </w:t>
      </w:r>
      <w:r w:rsidRPr="00FD4113">
        <w:rPr>
          <w:rFonts w:ascii="Bookman Old Style" w:hAnsi="Bookman Old Style" w:cs="Arial"/>
        </w:rPr>
        <w:t>la Comisión debe hacer público en su página web todos los proyectos de resolución de carácter general que pretenda adoptar.</w:t>
      </w:r>
    </w:p>
    <w:p w:rsidR="0084624D" w:rsidRPr="00042175" w:rsidRDefault="0084624D" w:rsidP="00557744">
      <w:pPr>
        <w:ind w:left="0"/>
        <w:jc w:val="both"/>
        <w:rPr>
          <w:rFonts w:ascii="Bookman Old Style" w:hAnsi="Bookman Old Style" w:cs="Arial"/>
        </w:rPr>
      </w:pPr>
    </w:p>
    <w:p w:rsidR="00557744" w:rsidRPr="00042175" w:rsidRDefault="00557744" w:rsidP="00557744">
      <w:pPr>
        <w:ind w:left="0"/>
        <w:jc w:val="both"/>
        <w:rPr>
          <w:rFonts w:ascii="Bookman Old Style" w:hAnsi="Bookman Old Style" w:cs="Arial"/>
          <w:b/>
          <w:bCs/>
          <w:color w:val="000000" w:themeColor="text1"/>
          <w:lang w:eastAsia="es-CO"/>
        </w:rPr>
      </w:pPr>
      <w:r w:rsidRPr="00042175">
        <w:rPr>
          <w:rFonts w:ascii="Bookman Old Style" w:hAnsi="Bookman Old Style"/>
        </w:rPr>
        <w:t xml:space="preserve">La Comisión de Regulación de Energía y Gas, en su sesión No. </w:t>
      </w:r>
      <w:r w:rsidR="00BB3777">
        <w:rPr>
          <w:rFonts w:ascii="Bookman Old Style" w:hAnsi="Bookman Old Style"/>
        </w:rPr>
        <w:t>717</w:t>
      </w:r>
      <w:r w:rsidR="00BB3777" w:rsidRPr="00042175">
        <w:rPr>
          <w:rFonts w:ascii="Bookman Old Style" w:hAnsi="Bookman Old Style"/>
        </w:rPr>
        <w:t xml:space="preserve"> </w:t>
      </w:r>
      <w:r w:rsidRPr="00042175">
        <w:rPr>
          <w:rFonts w:ascii="Bookman Old Style" w:hAnsi="Bookman Old Style"/>
        </w:rPr>
        <w:t xml:space="preserve">del </w:t>
      </w:r>
      <w:r w:rsidR="00BB3777">
        <w:rPr>
          <w:rFonts w:ascii="Bookman Old Style" w:hAnsi="Bookman Old Style"/>
        </w:rPr>
        <w:t>16</w:t>
      </w:r>
      <w:r w:rsidR="00BB3777" w:rsidRPr="00042175">
        <w:rPr>
          <w:rFonts w:ascii="Bookman Old Style" w:hAnsi="Bookman Old Style"/>
        </w:rPr>
        <w:t xml:space="preserve"> </w:t>
      </w:r>
      <w:r w:rsidRPr="00042175">
        <w:rPr>
          <w:rFonts w:ascii="Bookman Old Style" w:hAnsi="Bookman Old Style"/>
        </w:rPr>
        <w:t xml:space="preserve">de </w:t>
      </w:r>
      <w:r w:rsidR="00BB3777">
        <w:rPr>
          <w:rFonts w:ascii="Bookman Old Style" w:hAnsi="Bookman Old Style"/>
        </w:rPr>
        <w:t>mayo</w:t>
      </w:r>
      <w:r w:rsidR="00BB3777" w:rsidRPr="00042175">
        <w:rPr>
          <w:rFonts w:ascii="Bookman Old Style" w:hAnsi="Bookman Old Style"/>
        </w:rPr>
        <w:t xml:space="preserve"> </w:t>
      </w:r>
      <w:r w:rsidRPr="00042175">
        <w:rPr>
          <w:rFonts w:ascii="Bookman Old Style" w:hAnsi="Bookman Old Style"/>
        </w:rPr>
        <w:t>de 201</w:t>
      </w:r>
      <w:r w:rsidR="00E37434">
        <w:rPr>
          <w:rFonts w:ascii="Bookman Old Style" w:hAnsi="Bookman Old Style"/>
        </w:rPr>
        <w:t>6</w:t>
      </w:r>
      <w:r w:rsidRPr="00042175">
        <w:rPr>
          <w:rFonts w:ascii="Bookman Old Style" w:hAnsi="Bookman Old Style"/>
        </w:rPr>
        <w:t>, aprobó hacer público el proyecto de resolución por la cual se ordena hacer público un proyecto de resolución de carácter general “</w:t>
      </w:r>
      <w:r w:rsidR="00E37434" w:rsidRPr="00557744">
        <w:rPr>
          <w:rFonts w:ascii="Bookman Old Style" w:hAnsi="Bookman Old Style" w:cs="Arial"/>
          <w:color w:val="000000"/>
        </w:rPr>
        <w:t xml:space="preserve">Por la cual se </w:t>
      </w:r>
      <w:r w:rsidR="00E37434">
        <w:rPr>
          <w:rFonts w:ascii="Bookman Old Style" w:hAnsi="Bookman Old Style" w:cs="Arial"/>
          <w:color w:val="000000"/>
        </w:rPr>
        <w:t xml:space="preserve">adiciona </w:t>
      </w:r>
      <w:r w:rsidR="005A30BC">
        <w:rPr>
          <w:rFonts w:ascii="Bookman Old Style" w:hAnsi="Bookman Old Style" w:cs="Arial"/>
          <w:color w:val="000000"/>
        </w:rPr>
        <w:t>un numeral al A</w:t>
      </w:r>
      <w:r w:rsidR="00E37434">
        <w:rPr>
          <w:rFonts w:ascii="Bookman Old Style" w:hAnsi="Bookman Old Style" w:cs="Arial"/>
          <w:color w:val="000000"/>
        </w:rPr>
        <w:t xml:space="preserve">nexo </w:t>
      </w:r>
      <w:r w:rsidR="005A30BC">
        <w:rPr>
          <w:rFonts w:ascii="Bookman Old Style" w:hAnsi="Bookman Old Style" w:cs="Arial"/>
          <w:color w:val="000000"/>
        </w:rPr>
        <w:t>2 de</w:t>
      </w:r>
      <w:r w:rsidR="00E37434">
        <w:rPr>
          <w:rFonts w:ascii="Bookman Old Style" w:hAnsi="Bookman Old Style" w:cs="Arial"/>
          <w:color w:val="000000"/>
        </w:rPr>
        <w:t xml:space="preserve"> la Resolución CREG 089 de 2013</w:t>
      </w:r>
      <w:r w:rsidRPr="00042175">
        <w:rPr>
          <w:rFonts w:ascii="Bookman Old Style" w:hAnsi="Bookman Old Style" w:cs="Arial"/>
          <w:color w:val="000000" w:themeColor="text1"/>
          <w:lang w:eastAsia="es-CO"/>
        </w:rPr>
        <w:t>”.</w:t>
      </w:r>
      <w:r w:rsidR="00D71DA8">
        <w:rPr>
          <w:rFonts w:ascii="Bookman Old Style" w:hAnsi="Bookman Old Style" w:cs="Arial"/>
          <w:color w:val="000000" w:themeColor="text1"/>
          <w:lang w:eastAsia="es-CO"/>
        </w:rPr>
        <w:t xml:space="preserve"> </w:t>
      </w:r>
    </w:p>
    <w:p w:rsidR="00557744" w:rsidRDefault="00557744" w:rsidP="00042175">
      <w:pPr>
        <w:suppressAutoHyphens/>
        <w:ind w:left="0"/>
        <w:rPr>
          <w:rFonts w:ascii="Bookman Old Style" w:hAnsi="Bookman Old Style"/>
        </w:rPr>
      </w:pPr>
    </w:p>
    <w:p w:rsidR="00042175" w:rsidRPr="00042175" w:rsidRDefault="00042175" w:rsidP="00042175">
      <w:pPr>
        <w:suppressAutoHyphens/>
        <w:ind w:left="0"/>
        <w:rPr>
          <w:rFonts w:ascii="Bookman Old Style" w:hAnsi="Bookman Old Style"/>
          <w:b/>
          <w:spacing w:val="-3"/>
        </w:rPr>
      </w:pPr>
    </w:p>
    <w:p w:rsidR="00557744" w:rsidRPr="00042175" w:rsidRDefault="00557744" w:rsidP="00557744">
      <w:pPr>
        <w:suppressAutoHyphens/>
        <w:ind w:left="0"/>
        <w:jc w:val="center"/>
        <w:rPr>
          <w:rFonts w:ascii="Bookman Old Style" w:hAnsi="Bookman Old Style"/>
          <w:spacing w:val="-3"/>
        </w:rPr>
      </w:pPr>
      <w:r w:rsidRPr="00042175">
        <w:rPr>
          <w:rFonts w:ascii="Bookman Old Style" w:hAnsi="Bookman Old Style"/>
          <w:b/>
          <w:spacing w:val="-3"/>
        </w:rPr>
        <w:t>R E S U E L V E:</w:t>
      </w:r>
    </w:p>
    <w:p w:rsidR="00557744" w:rsidRPr="00042175" w:rsidRDefault="00557744" w:rsidP="00557744">
      <w:pPr>
        <w:ind w:left="0"/>
        <w:jc w:val="center"/>
        <w:rPr>
          <w:rFonts w:ascii="Bookman Old Style" w:hAnsi="Bookman Old Style"/>
        </w:rPr>
      </w:pPr>
    </w:p>
    <w:p w:rsidR="00557744" w:rsidRPr="00042175" w:rsidRDefault="00557744" w:rsidP="00557744">
      <w:pPr>
        <w:ind w:left="0"/>
        <w:jc w:val="center"/>
        <w:rPr>
          <w:rFonts w:ascii="Bookman Old Style" w:hAnsi="Bookman Old Style"/>
        </w:rPr>
      </w:pPr>
    </w:p>
    <w:p w:rsidR="00DB5B7A" w:rsidRPr="00557744" w:rsidRDefault="00557744" w:rsidP="00DB5B7A">
      <w:pPr>
        <w:ind w:left="0"/>
        <w:jc w:val="both"/>
        <w:rPr>
          <w:rFonts w:ascii="Bookman Old Style" w:hAnsi="Bookman Old Style" w:cs="Arial"/>
          <w:color w:val="000000"/>
        </w:rPr>
      </w:pPr>
      <w:r w:rsidRPr="00042175">
        <w:rPr>
          <w:rFonts w:ascii="Bookman Old Style" w:hAnsi="Bookman Old Style"/>
          <w:b/>
        </w:rPr>
        <w:t>Artículo 1.</w:t>
      </w:r>
      <w:r w:rsidRPr="00042175">
        <w:rPr>
          <w:rFonts w:ascii="Bookman Old Style" w:hAnsi="Bookman Old Style"/>
        </w:rPr>
        <w:t xml:space="preserve"> </w:t>
      </w:r>
      <w:r w:rsidRPr="00042175">
        <w:rPr>
          <w:rFonts w:ascii="Bookman Old Style" w:hAnsi="Bookman Old Style" w:cs="Arial"/>
        </w:rPr>
        <w:t>Hágase público el proyecto de resolución p</w:t>
      </w:r>
      <w:r w:rsidRPr="00042175">
        <w:rPr>
          <w:rFonts w:ascii="Bookman Old Style" w:hAnsi="Bookman Old Style"/>
        </w:rPr>
        <w:t>or la cual se ordena hacer público un proyecto de resolución de carácter general, “</w:t>
      </w:r>
      <w:r w:rsidR="00DB5B7A" w:rsidRPr="00557744">
        <w:rPr>
          <w:rFonts w:ascii="Bookman Old Style" w:hAnsi="Bookman Old Style" w:cs="Arial"/>
          <w:color w:val="000000"/>
        </w:rPr>
        <w:t xml:space="preserve">Por la cual se </w:t>
      </w:r>
      <w:r w:rsidR="00DB5B7A">
        <w:rPr>
          <w:rFonts w:ascii="Bookman Old Style" w:hAnsi="Bookman Old Style" w:cs="Arial"/>
          <w:color w:val="000000"/>
        </w:rPr>
        <w:t>adiciona un numeral al Anexo 2 de la Resolución CREG 089 de 2013</w:t>
      </w:r>
      <w:r w:rsidR="00DB5B7A" w:rsidRPr="00557744">
        <w:rPr>
          <w:rFonts w:ascii="Bookman Old Style" w:hAnsi="Bookman Old Style" w:cs="Arial"/>
          <w:color w:val="000000"/>
        </w:rPr>
        <w:t>”</w:t>
      </w:r>
      <w:r w:rsidR="00C30968">
        <w:rPr>
          <w:rFonts w:ascii="Bookman Old Style" w:hAnsi="Bookman Old Style" w:cs="Arial"/>
          <w:color w:val="000000"/>
        </w:rPr>
        <w:t>, el cual cuenta con el documento soporte CREG 029 de 2016.</w:t>
      </w:r>
    </w:p>
    <w:p w:rsidR="00557744" w:rsidRPr="00042175" w:rsidRDefault="00557744" w:rsidP="00DB5B7A">
      <w:pPr>
        <w:ind w:left="0"/>
        <w:jc w:val="both"/>
        <w:rPr>
          <w:rFonts w:ascii="Bookman Old Style" w:hAnsi="Bookman Old Style"/>
        </w:rPr>
      </w:pPr>
    </w:p>
    <w:p w:rsidR="008E5DB1" w:rsidRPr="00517096" w:rsidRDefault="00557744" w:rsidP="008E5DB1">
      <w:pPr>
        <w:ind w:left="0"/>
        <w:contextualSpacing/>
        <w:jc w:val="both"/>
        <w:rPr>
          <w:rFonts w:ascii="Bookman Old Style" w:hAnsi="Bookman Old Style" w:cs="Arial"/>
          <w:color w:val="000000"/>
          <w:szCs w:val="27"/>
        </w:rPr>
      </w:pPr>
      <w:r w:rsidRPr="00042175">
        <w:rPr>
          <w:rFonts w:ascii="Bookman Old Style" w:hAnsi="Bookman Old Style"/>
          <w:b/>
        </w:rPr>
        <w:t>Artículo 2.</w:t>
      </w:r>
      <w:r w:rsidRPr="00042175">
        <w:rPr>
          <w:rFonts w:ascii="Bookman Old Style" w:hAnsi="Bookman Old Style" w:cs="Arial"/>
          <w:lang w:val="es-CO" w:eastAsia="es-CO"/>
        </w:rPr>
        <w:t xml:space="preserve"> Se invita a los agentes, a los usuarios, a las autoridades locales municipales y departamentales competentes, a la Superintendencia de </w:t>
      </w:r>
      <w:r w:rsidRPr="00042175">
        <w:rPr>
          <w:rFonts w:ascii="Bookman Old Style" w:hAnsi="Bookman Old Style" w:cs="Arial"/>
          <w:lang w:val="es-CO" w:eastAsia="es-CO"/>
        </w:rPr>
        <w:lastRenderedPageBreak/>
        <w:t xml:space="preserve">Servicios Públicos Domiciliarios y a la Superintendencia de Industria y Comercio, para </w:t>
      </w:r>
      <w:r w:rsidRPr="00557744">
        <w:rPr>
          <w:rFonts w:ascii="Bookman Old Style" w:hAnsi="Bookman Old Style" w:cs="Arial"/>
          <w:lang w:val="es-CO" w:eastAsia="es-CO"/>
        </w:rPr>
        <w:t xml:space="preserve">que remitan sus observaciones o sugerencias sobre la </w:t>
      </w:r>
      <w:r w:rsidRPr="00042175">
        <w:rPr>
          <w:rFonts w:ascii="Bookman Old Style" w:hAnsi="Bookman Old Style" w:cs="Arial"/>
          <w:lang w:val="es-CO" w:eastAsia="es-CO"/>
        </w:rPr>
        <w:t>propuesta contenida en el proyecto de resolución adjunto</w:t>
      </w:r>
      <w:r w:rsidR="008E5DB1">
        <w:rPr>
          <w:rFonts w:ascii="Bookman Old Style" w:hAnsi="Bookman Old Style" w:cs="Arial"/>
          <w:lang w:val="es-CO" w:eastAsia="es-CO"/>
        </w:rPr>
        <w:t xml:space="preserve">, </w:t>
      </w:r>
      <w:r w:rsidR="008E5DB1" w:rsidRPr="00517096">
        <w:rPr>
          <w:rFonts w:ascii="Bookman Old Style" w:hAnsi="Bookman Old Style" w:cs="Arial"/>
          <w:color w:val="000000"/>
          <w:szCs w:val="27"/>
        </w:rPr>
        <w:t xml:space="preserve">dentro de </w:t>
      </w:r>
      <w:r w:rsidR="008E5DB1" w:rsidRPr="006C6FA9">
        <w:rPr>
          <w:rFonts w:ascii="Bookman Old Style" w:hAnsi="Bookman Old Style" w:cs="Arial"/>
          <w:color w:val="000000"/>
          <w:szCs w:val="27"/>
        </w:rPr>
        <w:t xml:space="preserve">los </w:t>
      </w:r>
      <w:r w:rsidR="00FD6A9B">
        <w:rPr>
          <w:rFonts w:ascii="Bookman Old Style" w:hAnsi="Bookman Old Style" w:cs="Arial"/>
          <w:color w:val="000000"/>
          <w:szCs w:val="27"/>
        </w:rPr>
        <w:t>diez</w:t>
      </w:r>
      <w:r w:rsidR="008E5DB1">
        <w:rPr>
          <w:rFonts w:ascii="Bookman Old Style" w:hAnsi="Bookman Old Style" w:cs="Arial"/>
          <w:color w:val="000000"/>
          <w:szCs w:val="27"/>
        </w:rPr>
        <w:t xml:space="preserve"> </w:t>
      </w:r>
      <w:r w:rsidR="008E5DB1" w:rsidRPr="006C6FA9">
        <w:rPr>
          <w:rFonts w:ascii="Bookman Old Style" w:hAnsi="Bookman Old Style" w:cs="Arial"/>
          <w:color w:val="000000"/>
          <w:szCs w:val="27"/>
        </w:rPr>
        <w:t>(</w:t>
      </w:r>
      <w:r w:rsidR="00FD6A9B">
        <w:rPr>
          <w:rFonts w:ascii="Bookman Old Style" w:hAnsi="Bookman Old Style" w:cs="Arial"/>
          <w:color w:val="000000"/>
          <w:szCs w:val="27"/>
        </w:rPr>
        <w:t>10</w:t>
      </w:r>
      <w:r w:rsidR="008E5DB1" w:rsidRPr="006C6FA9">
        <w:rPr>
          <w:rFonts w:ascii="Bookman Old Style" w:hAnsi="Bookman Old Style" w:cs="Arial"/>
          <w:color w:val="000000"/>
          <w:szCs w:val="27"/>
        </w:rPr>
        <w:t xml:space="preserve">) días </w:t>
      </w:r>
      <w:r w:rsidR="008E5DB1">
        <w:rPr>
          <w:rFonts w:ascii="Bookman Old Style" w:hAnsi="Bookman Old Style" w:cs="Arial"/>
          <w:color w:val="000000"/>
          <w:szCs w:val="27"/>
        </w:rPr>
        <w:t xml:space="preserve">calendario </w:t>
      </w:r>
      <w:r w:rsidR="008E5DB1" w:rsidRPr="00517096">
        <w:rPr>
          <w:rFonts w:ascii="Bookman Old Style" w:hAnsi="Bookman Old Style" w:cs="Arial"/>
          <w:color w:val="000000"/>
          <w:szCs w:val="27"/>
        </w:rPr>
        <w:t>siguientes a la publicación de la presente resolución en la página Web de la Comisión de Regulación de Energía y Gas.</w:t>
      </w:r>
    </w:p>
    <w:p w:rsidR="008E5DB1" w:rsidRPr="00042175" w:rsidRDefault="008E5DB1" w:rsidP="008E5DB1">
      <w:pPr>
        <w:ind w:left="0"/>
        <w:jc w:val="both"/>
        <w:rPr>
          <w:rFonts w:ascii="Bookman Old Style" w:hAnsi="Bookman Old Style"/>
        </w:rPr>
      </w:pPr>
    </w:p>
    <w:p w:rsidR="00557744" w:rsidRPr="00042175" w:rsidRDefault="00557744" w:rsidP="00557744">
      <w:pPr>
        <w:tabs>
          <w:tab w:val="left" w:pos="0"/>
        </w:tabs>
        <w:ind w:left="0"/>
        <w:jc w:val="both"/>
        <w:rPr>
          <w:rFonts w:ascii="Bookman Old Style" w:hAnsi="Bookman Old Style" w:cs="Arial"/>
        </w:rPr>
      </w:pPr>
      <w:r w:rsidRPr="00042175">
        <w:rPr>
          <w:rFonts w:ascii="Bookman Old Style" w:hAnsi="Bookman Old Style" w:cs="Arial"/>
          <w:b/>
          <w:bCs/>
        </w:rPr>
        <w:t>Artículo 3</w:t>
      </w:r>
      <w:r w:rsidRPr="00042175">
        <w:rPr>
          <w:rFonts w:ascii="Bookman Old Style" w:hAnsi="Bookman Old Style" w:cs="Arial"/>
          <w:b/>
        </w:rPr>
        <w:t>.</w:t>
      </w:r>
      <w:r w:rsidRPr="00042175">
        <w:rPr>
          <w:rFonts w:ascii="Bookman Old Style" w:hAnsi="Bookman Old Style" w:cs="Arial"/>
        </w:rPr>
        <w:t xml:space="preserve"> Las observaciones y sugerencias sobre el proyecto deberán dirigirse en formato ‘</w:t>
      </w:r>
      <w:proofErr w:type="spellStart"/>
      <w:r w:rsidRPr="00042175">
        <w:rPr>
          <w:rFonts w:ascii="Bookman Old Style" w:hAnsi="Bookman Old Style" w:cs="Arial"/>
          <w:i/>
        </w:rPr>
        <w:t>word</w:t>
      </w:r>
      <w:proofErr w:type="spellEnd"/>
      <w:r w:rsidRPr="00042175">
        <w:rPr>
          <w:rFonts w:ascii="Bookman Old Style" w:hAnsi="Bookman Old Style" w:cs="Arial"/>
        </w:rPr>
        <w:t xml:space="preserve">’ a Jorge Pinto </w:t>
      </w:r>
      <w:proofErr w:type="spellStart"/>
      <w:r w:rsidRPr="00042175">
        <w:rPr>
          <w:rFonts w:ascii="Bookman Old Style" w:hAnsi="Bookman Old Style" w:cs="Arial"/>
        </w:rPr>
        <w:t>Nolla</w:t>
      </w:r>
      <w:proofErr w:type="spellEnd"/>
      <w:r w:rsidRPr="00042175">
        <w:rPr>
          <w:rFonts w:ascii="Bookman Old Style" w:hAnsi="Bookman Old Style" w:cs="Arial"/>
        </w:rPr>
        <w:t xml:space="preserve">, Director Ejecutivo de la Comisión, a la siguiente dirección: Avenida Calle 116 No. 7-15, Edificio Torre </w:t>
      </w:r>
      <w:proofErr w:type="spellStart"/>
      <w:r w:rsidRPr="00042175">
        <w:rPr>
          <w:rFonts w:ascii="Bookman Old Style" w:hAnsi="Bookman Old Style" w:cs="Arial"/>
        </w:rPr>
        <w:t>Cusezar</w:t>
      </w:r>
      <w:proofErr w:type="spellEnd"/>
      <w:r w:rsidRPr="00042175">
        <w:rPr>
          <w:rFonts w:ascii="Bookman Old Style" w:hAnsi="Bookman Old Style" w:cs="Arial"/>
        </w:rPr>
        <w:t>, Interior 2, Oficina 901 o al correo electrónico creg@creg.gov.co.</w:t>
      </w:r>
    </w:p>
    <w:p w:rsidR="00557744" w:rsidRPr="00042175" w:rsidRDefault="00557744" w:rsidP="00557744">
      <w:pPr>
        <w:ind w:left="0"/>
        <w:rPr>
          <w:rFonts w:ascii="Bookman Old Style" w:hAnsi="Bookman Old Style"/>
        </w:rPr>
      </w:pPr>
    </w:p>
    <w:p w:rsidR="00557744" w:rsidRPr="00042175" w:rsidRDefault="00557744" w:rsidP="00557744">
      <w:pPr>
        <w:tabs>
          <w:tab w:val="left" w:pos="0"/>
        </w:tabs>
        <w:ind w:left="0"/>
        <w:jc w:val="both"/>
        <w:rPr>
          <w:rFonts w:ascii="Bookman Old Style" w:hAnsi="Bookman Old Style" w:cs="Arial"/>
        </w:rPr>
      </w:pPr>
      <w:r w:rsidRPr="00042175">
        <w:rPr>
          <w:rFonts w:ascii="Bookman Old Style" w:hAnsi="Bookman Old Style" w:cs="Arial"/>
          <w:b/>
          <w:bCs/>
        </w:rPr>
        <w:t>Artículo 4</w:t>
      </w:r>
      <w:r w:rsidRPr="00042175">
        <w:rPr>
          <w:rFonts w:ascii="Bookman Old Style" w:hAnsi="Bookman Old Style" w:cs="Arial"/>
        </w:rPr>
        <w:t>. La presente Resolución</w:t>
      </w:r>
      <w:r w:rsidR="001A5AF4" w:rsidRPr="000B7687">
        <w:rPr>
          <w:rFonts w:ascii="Bookman Old Style" w:hAnsi="Bookman Old Style"/>
          <w:color w:val="000000" w:themeColor="text1"/>
        </w:rPr>
        <w:t xml:space="preserve"> rige a partir de su publicación en el </w:t>
      </w:r>
      <w:r w:rsidR="001A5AF4" w:rsidRPr="000B7687">
        <w:rPr>
          <w:rFonts w:ascii="Bookman Old Style" w:hAnsi="Bookman Old Style"/>
          <w:i/>
          <w:color w:val="000000" w:themeColor="text1"/>
        </w:rPr>
        <w:t>Diario Oficial</w:t>
      </w:r>
      <w:r w:rsidR="001A5AF4" w:rsidRPr="00042175">
        <w:rPr>
          <w:rFonts w:ascii="Bookman Old Style" w:hAnsi="Bookman Old Style" w:cs="Arial"/>
        </w:rPr>
        <w:t xml:space="preserve"> </w:t>
      </w:r>
      <w:r w:rsidR="005722D5">
        <w:rPr>
          <w:rFonts w:ascii="Bookman Old Style" w:hAnsi="Bookman Old Style" w:cs="Arial"/>
        </w:rPr>
        <w:t xml:space="preserve">y </w:t>
      </w:r>
      <w:r w:rsidRPr="00042175">
        <w:rPr>
          <w:rFonts w:ascii="Bookman Old Style" w:hAnsi="Bookman Old Style" w:cs="Arial"/>
        </w:rPr>
        <w:t>no deroga disposiciones vigentes por tratarse de un acto de trámite.</w:t>
      </w:r>
    </w:p>
    <w:p w:rsidR="00557744" w:rsidRPr="00042175" w:rsidRDefault="00557744" w:rsidP="00557744">
      <w:pPr>
        <w:ind w:left="0"/>
        <w:rPr>
          <w:rFonts w:ascii="Bookman Old Style" w:hAnsi="Bookman Old Style"/>
        </w:rPr>
      </w:pPr>
    </w:p>
    <w:p w:rsidR="00557744" w:rsidRPr="00042175" w:rsidRDefault="00557744" w:rsidP="00557744">
      <w:pPr>
        <w:ind w:left="0"/>
        <w:rPr>
          <w:rFonts w:ascii="Bookman Old Style" w:hAnsi="Bookman Old Style"/>
        </w:rPr>
      </w:pPr>
    </w:p>
    <w:p w:rsidR="00557744" w:rsidRPr="00042175" w:rsidRDefault="00557744" w:rsidP="00557744">
      <w:pPr>
        <w:ind w:left="0"/>
        <w:jc w:val="center"/>
        <w:rPr>
          <w:rFonts w:ascii="Bookman Old Style" w:hAnsi="Bookman Old Style"/>
          <w:b/>
        </w:rPr>
      </w:pPr>
      <w:r w:rsidRPr="00042175">
        <w:rPr>
          <w:rFonts w:ascii="Bookman Old Style" w:hAnsi="Bookman Old Style"/>
          <w:b/>
        </w:rPr>
        <w:t>PUBLÍQUESE Y CÚMPLASE</w:t>
      </w:r>
    </w:p>
    <w:p w:rsidR="00557744" w:rsidRPr="00042175" w:rsidRDefault="00557744" w:rsidP="00557744">
      <w:pPr>
        <w:ind w:left="0"/>
        <w:rPr>
          <w:rFonts w:ascii="Bookman Old Style" w:hAnsi="Bookman Old Style"/>
        </w:rPr>
      </w:pPr>
    </w:p>
    <w:p w:rsidR="00557744" w:rsidRPr="00042175" w:rsidRDefault="00557744" w:rsidP="00557744">
      <w:pPr>
        <w:ind w:left="0"/>
        <w:rPr>
          <w:rFonts w:ascii="Bookman Old Style" w:hAnsi="Bookman Old Style"/>
        </w:rPr>
      </w:pPr>
    </w:p>
    <w:p w:rsidR="00557744" w:rsidRPr="00042175" w:rsidRDefault="00557744" w:rsidP="00557744">
      <w:pPr>
        <w:ind w:left="0"/>
        <w:rPr>
          <w:rFonts w:ascii="Bookman Old Style" w:hAnsi="Bookman Old Style"/>
        </w:rPr>
      </w:pPr>
      <w:r w:rsidRPr="00042175">
        <w:rPr>
          <w:rFonts w:ascii="Bookman Old Style" w:hAnsi="Bookman Old Style"/>
        </w:rPr>
        <w:t>Dada en Bogotá, D.C.</w:t>
      </w:r>
    </w:p>
    <w:p w:rsidR="00557744" w:rsidRPr="00042175" w:rsidRDefault="00557744" w:rsidP="00557744">
      <w:pPr>
        <w:ind w:left="0"/>
        <w:rPr>
          <w:rFonts w:ascii="Bookman Old Style" w:hAnsi="Bookman Old Style"/>
        </w:rPr>
      </w:pPr>
    </w:p>
    <w:p w:rsidR="00557744" w:rsidRPr="00042175" w:rsidRDefault="00557744" w:rsidP="00557744">
      <w:pPr>
        <w:ind w:left="0"/>
        <w:rPr>
          <w:rFonts w:ascii="Bookman Old Style" w:hAnsi="Bookman Old Style"/>
        </w:rPr>
      </w:pPr>
    </w:p>
    <w:p w:rsidR="00557744" w:rsidRPr="00042175" w:rsidRDefault="00557744" w:rsidP="00557744">
      <w:pPr>
        <w:ind w:left="0"/>
        <w:rPr>
          <w:rFonts w:ascii="Bookman Old Style" w:hAnsi="Bookman Old Style"/>
        </w:rPr>
      </w:pPr>
    </w:p>
    <w:p w:rsidR="00557744" w:rsidRPr="00042175" w:rsidRDefault="00557744" w:rsidP="00557744">
      <w:pPr>
        <w:ind w:left="0"/>
        <w:rPr>
          <w:rFonts w:ascii="Bookman Old Style" w:hAnsi="Bookman Old Style"/>
        </w:rPr>
      </w:pPr>
    </w:p>
    <w:p w:rsidR="00557744" w:rsidRPr="00042175" w:rsidRDefault="00557744" w:rsidP="00557744">
      <w:pPr>
        <w:ind w:left="0"/>
        <w:rPr>
          <w:rFonts w:ascii="Bookman Old Style" w:hAnsi="Bookman Old Style"/>
        </w:rPr>
      </w:pPr>
    </w:p>
    <w:tbl>
      <w:tblPr>
        <w:tblW w:w="0" w:type="auto"/>
        <w:tblInd w:w="-142" w:type="dxa"/>
        <w:tblLayout w:type="fixed"/>
        <w:tblCellMar>
          <w:left w:w="0" w:type="dxa"/>
          <w:right w:w="0" w:type="dxa"/>
        </w:tblCellMar>
        <w:tblLook w:val="04A0" w:firstRow="1" w:lastRow="0" w:firstColumn="1" w:lastColumn="0" w:noHBand="0" w:noVBand="1"/>
      </w:tblPr>
      <w:tblGrid>
        <w:gridCol w:w="4962"/>
        <w:gridCol w:w="4536"/>
      </w:tblGrid>
      <w:tr w:rsidR="00557744" w:rsidRPr="00557744" w:rsidTr="00E37434">
        <w:tc>
          <w:tcPr>
            <w:tcW w:w="4962" w:type="dxa"/>
            <w:hideMark/>
          </w:tcPr>
          <w:p w:rsidR="00557744" w:rsidRPr="00042175" w:rsidRDefault="0041270A" w:rsidP="008201B4">
            <w:pPr>
              <w:snapToGrid w:val="0"/>
              <w:ind w:left="0"/>
              <w:jc w:val="center"/>
              <w:rPr>
                <w:rFonts w:ascii="Bookman Old Style" w:hAnsi="Bookman Old Style" w:cs="Arial"/>
                <w:b/>
                <w:bCs/>
              </w:rPr>
            </w:pPr>
            <w:r>
              <w:rPr>
                <w:rFonts w:ascii="Bookman Old Style" w:hAnsi="Bookman Old Style" w:cs="Arial"/>
                <w:b/>
                <w:bCs/>
              </w:rPr>
              <w:t>CARLOS FERNANDO ERASO CALERO</w:t>
            </w:r>
          </w:p>
          <w:p w:rsidR="00557744" w:rsidRDefault="0041270A" w:rsidP="008201B4">
            <w:pPr>
              <w:snapToGrid w:val="0"/>
              <w:ind w:left="0"/>
              <w:jc w:val="center"/>
              <w:rPr>
                <w:rFonts w:ascii="Bookman Old Style" w:hAnsi="Bookman Old Style" w:cs="Arial"/>
              </w:rPr>
            </w:pPr>
            <w:r>
              <w:rPr>
                <w:rFonts w:ascii="Bookman Old Style" w:hAnsi="Bookman Old Style" w:cs="Arial"/>
              </w:rPr>
              <w:t>Viceministro de</w:t>
            </w:r>
            <w:r w:rsidR="00557744" w:rsidRPr="00042175">
              <w:rPr>
                <w:rFonts w:ascii="Bookman Old Style" w:hAnsi="Bookman Old Style" w:cs="Arial"/>
              </w:rPr>
              <w:t xml:space="preserve"> Energía</w:t>
            </w:r>
          </w:p>
          <w:p w:rsidR="0041270A" w:rsidRPr="00042175" w:rsidRDefault="0041270A" w:rsidP="008201B4">
            <w:pPr>
              <w:snapToGrid w:val="0"/>
              <w:ind w:left="0"/>
              <w:jc w:val="center"/>
              <w:rPr>
                <w:rFonts w:ascii="Bookman Old Style" w:hAnsi="Bookman Old Style" w:cs="Arial"/>
                <w:b/>
                <w:bCs/>
              </w:rPr>
            </w:pPr>
            <w:r>
              <w:rPr>
                <w:rFonts w:ascii="Bookman Old Style" w:hAnsi="Bookman Old Style" w:cs="Arial"/>
              </w:rPr>
              <w:t>Delegado del Ministro de Minas y Energía</w:t>
            </w:r>
          </w:p>
        </w:tc>
        <w:tc>
          <w:tcPr>
            <w:tcW w:w="4536" w:type="dxa"/>
            <w:hideMark/>
          </w:tcPr>
          <w:p w:rsidR="00557744" w:rsidRPr="00042175" w:rsidRDefault="00557744" w:rsidP="00E37434">
            <w:pPr>
              <w:snapToGrid w:val="0"/>
              <w:ind w:left="0"/>
              <w:jc w:val="center"/>
              <w:rPr>
                <w:rFonts w:ascii="Bookman Old Style" w:hAnsi="Bookman Old Style" w:cs="Arial"/>
                <w:b/>
                <w:bCs/>
              </w:rPr>
            </w:pPr>
            <w:r w:rsidRPr="00042175">
              <w:rPr>
                <w:rFonts w:ascii="Bookman Old Style" w:hAnsi="Bookman Old Style" w:cs="Arial"/>
                <w:b/>
                <w:bCs/>
              </w:rPr>
              <w:t>JORGE PINTO NOLLA</w:t>
            </w:r>
          </w:p>
          <w:p w:rsidR="00557744" w:rsidRPr="00042175" w:rsidRDefault="00557744" w:rsidP="00E37434">
            <w:pPr>
              <w:snapToGrid w:val="0"/>
              <w:ind w:left="0"/>
              <w:jc w:val="center"/>
              <w:rPr>
                <w:rFonts w:ascii="Bookman Old Style" w:hAnsi="Bookman Old Style" w:cs="Arial"/>
                <w:b/>
                <w:bCs/>
              </w:rPr>
            </w:pPr>
            <w:r w:rsidRPr="00042175">
              <w:rPr>
                <w:rFonts w:ascii="Bookman Old Style" w:hAnsi="Bookman Old Style" w:cs="Arial"/>
              </w:rPr>
              <w:t>Director Ejecutivo</w:t>
            </w:r>
          </w:p>
        </w:tc>
      </w:tr>
      <w:tr w:rsidR="00557744" w:rsidRPr="00557744" w:rsidTr="00E37434">
        <w:tc>
          <w:tcPr>
            <w:tcW w:w="4962" w:type="dxa"/>
            <w:hideMark/>
          </w:tcPr>
          <w:p w:rsidR="00557744" w:rsidRPr="00557744" w:rsidRDefault="008201B4" w:rsidP="008201B4">
            <w:pPr>
              <w:snapToGrid w:val="0"/>
              <w:rPr>
                <w:rFonts w:ascii="Bookman Old Style" w:hAnsi="Bookman Old Style" w:cs="Arial"/>
              </w:rPr>
            </w:pPr>
            <w:r>
              <w:rPr>
                <w:rFonts w:ascii="Bookman Old Style" w:hAnsi="Bookman Old Style" w:cs="Arial"/>
              </w:rPr>
              <w:t xml:space="preserve">                  </w:t>
            </w:r>
            <w:r w:rsidR="00557744" w:rsidRPr="00042175">
              <w:rPr>
                <w:rFonts w:ascii="Bookman Old Style" w:hAnsi="Bookman Old Style" w:cs="Arial"/>
              </w:rPr>
              <w:t>Presidente</w:t>
            </w:r>
          </w:p>
        </w:tc>
        <w:tc>
          <w:tcPr>
            <w:tcW w:w="4536" w:type="dxa"/>
            <w:hideMark/>
          </w:tcPr>
          <w:p w:rsidR="00557744" w:rsidRPr="00D904DC" w:rsidRDefault="00557744" w:rsidP="00E37434">
            <w:pPr>
              <w:snapToGrid w:val="0"/>
              <w:jc w:val="both"/>
              <w:rPr>
                <w:rFonts w:ascii="Bookman Old Style" w:hAnsi="Bookman Old Style" w:cs="Arial"/>
              </w:rPr>
            </w:pPr>
            <w:r w:rsidRPr="00100514">
              <w:rPr>
                <w:rFonts w:ascii="Bookman Old Style" w:hAnsi="Bookman Old Style" w:cs="Arial"/>
              </w:rPr>
              <w:t xml:space="preserve">          </w:t>
            </w:r>
          </w:p>
        </w:tc>
      </w:tr>
      <w:tr w:rsidR="00557744" w:rsidRPr="00557744" w:rsidTr="00E37434">
        <w:tc>
          <w:tcPr>
            <w:tcW w:w="4962" w:type="dxa"/>
          </w:tcPr>
          <w:p w:rsidR="00557744" w:rsidRPr="00557744" w:rsidRDefault="00557744" w:rsidP="00E37434">
            <w:pPr>
              <w:snapToGrid w:val="0"/>
              <w:jc w:val="center"/>
              <w:rPr>
                <w:rFonts w:ascii="Bookman Old Style" w:hAnsi="Bookman Old Style" w:cs="Arial"/>
              </w:rPr>
            </w:pPr>
          </w:p>
        </w:tc>
        <w:tc>
          <w:tcPr>
            <w:tcW w:w="4536" w:type="dxa"/>
          </w:tcPr>
          <w:p w:rsidR="00557744" w:rsidRPr="00557744" w:rsidRDefault="00557744" w:rsidP="00E37434">
            <w:pPr>
              <w:snapToGrid w:val="0"/>
              <w:jc w:val="both"/>
              <w:rPr>
                <w:rFonts w:ascii="Bookman Old Style" w:hAnsi="Bookman Old Style" w:cs="Arial"/>
              </w:rPr>
            </w:pPr>
          </w:p>
        </w:tc>
      </w:tr>
    </w:tbl>
    <w:p w:rsidR="00557744" w:rsidRPr="00557744" w:rsidRDefault="00557744" w:rsidP="00557744">
      <w:pPr>
        <w:ind w:left="0"/>
        <w:rPr>
          <w:rFonts w:ascii="Bookman Old Style" w:hAnsi="Bookman Old Style" w:cs="Arial"/>
          <w:color w:val="000000"/>
        </w:rPr>
      </w:pPr>
    </w:p>
    <w:p w:rsidR="00557744" w:rsidRPr="00557744" w:rsidRDefault="00557744" w:rsidP="00557744">
      <w:pPr>
        <w:ind w:left="0"/>
        <w:rPr>
          <w:rFonts w:ascii="Bookman Old Style" w:hAnsi="Bookman Old Style" w:cs="Arial"/>
          <w:color w:val="000000"/>
        </w:rPr>
      </w:pPr>
    </w:p>
    <w:p w:rsidR="00557744" w:rsidRPr="00557744" w:rsidRDefault="00557744" w:rsidP="00557744">
      <w:pPr>
        <w:ind w:left="0"/>
        <w:rPr>
          <w:rFonts w:ascii="Bookman Old Style" w:hAnsi="Bookman Old Style" w:cs="Arial"/>
          <w:color w:val="000000"/>
        </w:rPr>
      </w:pPr>
    </w:p>
    <w:p w:rsidR="00557744" w:rsidRPr="00557744" w:rsidRDefault="00557744" w:rsidP="00557744">
      <w:pPr>
        <w:ind w:left="0"/>
        <w:rPr>
          <w:rFonts w:ascii="Bookman Old Style" w:hAnsi="Bookman Old Style" w:cs="Arial"/>
          <w:color w:val="000000"/>
        </w:rPr>
      </w:pPr>
    </w:p>
    <w:p w:rsidR="00557744" w:rsidRPr="00557744" w:rsidRDefault="00557744" w:rsidP="00557744">
      <w:pPr>
        <w:ind w:left="0"/>
        <w:rPr>
          <w:rFonts w:ascii="Bookman Old Style" w:hAnsi="Bookman Old Style" w:cs="Arial"/>
          <w:color w:val="000000"/>
        </w:rPr>
      </w:pPr>
    </w:p>
    <w:p w:rsidR="00557744" w:rsidRPr="00557744" w:rsidRDefault="00557744" w:rsidP="00557744">
      <w:pPr>
        <w:ind w:left="0"/>
        <w:rPr>
          <w:rFonts w:ascii="Bookman Old Style" w:hAnsi="Bookman Old Style" w:cs="Arial"/>
          <w:color w:val="000000"/>
        </w:rPr>
      </w:pPr>
      <w:r w:rsidRPr="00557744">
        <w:rPr>
          <w:rFonts w:ascii="Bookman Old Style" w:hAnsi="Bookman Old Style" w:cs="Arial"/>
          <w:color w:val="000000"/>
        </w:rPr>
        <w:br w:type="page"/>
      </w:r>
    </w:p>
    <w:p w:rsidR="00557744" w:rsidRPr="00557744" w:rsidRDefault="00557744" w:rsidP="00557744">
      <w:pPr>
        <w:ind w:left="0"/>
        <w:rPr>
          <w:rFonts w:ascii="Bookman Old Style" w:hAnsi="Bookman Old Style" w:cs="Arial"/>
          <w:color w:val="000000"/>
        </w:rPr>
      </w:pPr>
    </w:p>
    <w:p w:rsidR="00557744" w:rsidRPr="00557744" w:rsidRDefault="00557744" w:rsidP="00042175">
      <w:pPr>
        <w:pStyle w:val="Encabezado"/>
        <w:tabs>
          <w:tab w:val="clear" w:pos="8504"/>
          <w:tab w:val="left" w:pos="0"/>
          <w:tab w:val="right" w:pos="9356"/>
        </w:tabs>
        <w:ind w:left="0"/>
        <w:jc w:val="center"/>
        <w:rPr>
          <w:rFonts w:ascii="Bookman Old Style" w:hAnsi="Bookman Old Style"/>
          <w:szCs w:val="24"/>
        </w:rPr>
      </w:pPr>
      <w:r w:rsidRPr="00042175">
        <w:rPr>
          <w:rFonts w:ascii="Bookman Old Style" w:hAnsi="Bookman Old Style" w:cs="Arial"/>
          <w:b/>
          <w:color w:val="000000" w:themeColor="text1"/>
          <w:lang w:eastAsia="es-CO"/>
        </w:rPr>
        <w:t>PROYECTO DE RESOLUCIÓN</w:t>
      </w:r>
    </w:p>
    <w:p w:rsidR="00557744" w:rsidRPr="00557744" w:rsidRDefault="00557744" w:rsidP="00DD11F8">
      <w:pPr>
        <w:pStyle w:val="Encabezado"/>
        <w:tabs>
          <w:tab w:val="clear" w:pos="8504"/>
          <w:tab w:val="left" w:pos="0"/>
          <w:tab w:val="right" w:pos="9356"/>
        </w:tabs>
        <w:ind w:left="0"/>
        <w:jc w:val="both"/>
        <w:rPr>
          <w:rFonts w:ascii="Bookman Old Style" w:hAnsi="Bookman Old Style"/>
          <w:szCs w:val="24"/>
        </w:rPr>
      </w:pPr>
    </w:p>
    <w:p w:rsidR="00557744" w:rsidRPr="00100514" w:rsidRDefault="00557744" w:rsidP="00DD11F8">
      <w:pPr>
        <w:pStyle w:val="Encabezado"/>
        <w:tabs>
          <w:tab w:val="clear" w:pos="8504"/>
          <w:tab w:val="left" w:pos="0"/>
          <w:tab w:val="right" w:pos="9356"/>
        </w:tabs>
        <w:ind w:left="0"/>
        <w:jc w:val="both"/>
        <w:rPr>
          <w:rFonts w:ascii="Bookman Old Style" w:hAnsi="Bookman Old Style"/>
          <w:szCs w:val="24"/>
        </w:rPr>
      </w:pPr>
    </w:p>
    <w:p w:rsidR="00DD11F8" w:rsidRDefault="00DB5B7A" w:rsidP="00DD11F8">
      <w:pPr>
        <w:ind w:right="51"/>
        <w:jc w:val="center"/>
        <w:rPr>
          <w:rFonts w:ascii="Bookman Old Style" w:hAnsi="Bookman Old Style" w:cs="Arial"/>
          <w:color w:val="000000"/>
        </w:rPr>
      </w:pPr>
      <w:r w:rsidRPr="00557744">
        <w:rPr>
          <w:rFonts w:ascii="Bookman Old Style" w:hAnsi="Bookman Old Style" w:cs="Arial"/>
          <w:color w:val="000000"/>
        </w:rPr>
        <w:t xml:space="preserve">Por la cual se </w:t>
      </w:r>
      <w:r>
        <w:rPr>
          <w:rFonts w:ascii="Bookman Old Style" w:hAnsi="Bookman Old Style" w:cs="Arial"/>
          <w:color w:val="000000"/>
        </w:rPr>
        <w:t>adiciona un numeral al Anexo 2 de la Resolución CREG 089 de 2013</w:t>
      </w:r>
    </w:p>
    <w:p w:rsidR="00DB5B7A" w:rsidRDefault="00DB5B7A" w:rsidP="00DD11F8">
      <w:pPr>
        <w:ind w:right="51"/>
        <w:jc w:val="center"/>
        <w:rPr>
          <w:rFonts w:ascii="Bookman Old Style" w:hAnsi="Bookman Old Style" w:cs="Arial"/>
          <w:color w:val="000000"/>
        </w:rPr>
      </w:pPr>
    </w:p>
    <w:p w:rsidR="00DB5B7A" w:rsidRPr="00D92A01" w:rsidRDefault="00DB5B7A" w:rsidP="00DD11F8">
      <w:pPr>
        <w:ind w:right="51"/>
        <w:jc w:val="center"/>
        <w:rPr>
          <w:rFonts w:ascii="Bookman Old Style" w:hAnsi="Bookman Old Style"/>
          <w:b/>
        </w:rPr>
      </w:pPr>
    </w:p>
    <w:p w:rsidR="00DD11F8" w:rsidRPr="00ED631E" w:rsidRDefault="00DD11F8" w:rsidP="00DD11F8">
      <w:pPr>
        <w:ind w:right="51"/>
        <w:jc w:val="center"/>
        <w:rPr>
          <w:rFonts w:ascii="Bookman Old Style" w:hAnsi="Bookman Old Style"/>
          <w:b/>
        </w:rPr>
      </w:pPr>
      <w:r w:rsidRPr="00ED631E">
        <w:rPr>
          <w:rFonts w:ascii="Bookman Old Style" w:hAnsi="Bookman Old Style"/>
          <w:b/>
        </w:rPr>
        <w:t>LA COMISIÓN DE REGULACIÓN DE  ENERGÍA Y GAS</w:t>
      </w:r>
    </w:p>
    <w:p w:rsidR="00DD11F8" w:rsidRPr="00557744" w:rsidRDefault="00DD11F8" w:rsidP="00DD11F8">
      <w:pPr>
        <w:ind w:left="0" w:right="51"/>
        <w:rPr>
          <w:rFonts w:ascii="Bookman Old Style" w:hAnsi="Bookman Old Style"/>
        </w:rPr>
      </w:pPr>
    </w:p>
    <w:p w:rsidR="00DD11F8" w:rsidRPr="00557744" w:rsidRDefault="00DD11F8" w:rsidP="00DD11F8">
      <w:pPr>
        <w:ind w:left="0" w:right="51"/>
        <w:rPr>
          <w:rFonts w:ascii="Bookman Old Style" w:hAnsi="Bookman Old Style"/>
        </w:rPr>
      </w:pPr>
    </w:p>
    <w:p w:rsidR="006C3783" w:rsidRDefault="006C3783" w:rsidP="00100514">
      <w:pPr>
        <w:pStyle w:val="Textoindependiente3"/>
        <w:ind w:left="0"/>
        <w:rPr>
          <w:rFonts w:ascii="Bookman Old Style" w:hAnsi="Bookman Old Style"/>
          <w:b w:val="0"/>
        </w:rPr>
      </w:pPr>
      <w:r w:rsidRPr="00835F87">
        <w:rPr>
          <w:rFonts w:ascii="Bookman Old Style" w:hAnsi="Bookman Old Style"/>
          <w:b w:val="0"/>
        </w:rPr>
        <w:t>En ejercicio de sus atribuciones constitucionales y legales, en especial las conferidas por las Leyes 142 y 143 de 1994, y en desarrollo de los Decretos 1523, 2253 de 1994, 2100 de 2011 y 1260 de 2013</w:t>
      </w:r>
    </w:p>
    <w:p w:rsidR="00500330" w:rsidRDefault="00500330" w:rsidP="00DD11F8">
      <w:pPr>
        <w:ind w:right="51"/>
        <w:rPr>
          <w:rFonts w:ascii="Bookman Old Style" w:hAnsi="Bookman Old Style"/>
        </w:rPr>
      </w:pPr>
    </w:p>
    <w:p w:rsidR="00042175" w:rsidRPr="00ED631E" w:rsidRDefault="00042175" w:rsidP="00DD11F8">
      <w:pPr>
        <w:ind w:right="51"/>
        <w:rPr>
          <w:rFonts w:ascii="Bookman Old Style" w:hAnsi="Bookman Old Style"/>
        </w:rPr>
      </w:pPr>
    </w:p>
    <w:p w:rsidR="00DD11F8" w:rsidRPr="00557744" w:rsidRDefault="00DD11F8" w:rsidP="00DD11F8">
      <w:pPr>
        <w:ind w:right="51"/>
        <w:jc w:val="center"/>
        <w:rPr>
          <w:rFonts w:ascii="Bookman Old Style" w:hAnsi="Bookman Old Style"/>
          <w:b/>
        </w:rPr>
      </w:pPr>
      <w:r w:rsidRPr="00ED631E">
        <w:rPr>
          <w:rFonts w:ascii="Bookman Old Style" w:hAnsi="Bookman Old Style"/>
          <w:b/>
        </w:rPr>
        <w:t>C O N S I D E R A N D O  Q U E</w:t>
      </w:r>
      <w:r w:rsidRPr="00306F0E">
        <w:rPr>
          <w:rFonts w:ascii="Bookman Old Style" w:hAnsi="Bookman Old Style"/>
          <w:b/>
        </w:rPr>
        <w:t>:</w:t>
      </w:r>
    </w:p>
    <w:p w:rsidR="00DD11F8" w:rsidRPr="00557744" w:rsidRDefault="00DD11F8" w:rsidP="00DD11F8">
      <w:pPr>
        <w:jc w:val="both"/>
        <w:rPr>
          <w:rFonts w:ascii="Bookman Old Style" w:hAnsi="Bookman Old Style" w:cs="Arial"/>
        </w:rPr>
      </w:pPr>
    </w:p>
    <w:p w:rsidR="00D904DC" w:rsidRPr="00042175" w:rsidRDefault="00D904DC" w:rsidP="00D904DC">
      <w:pPr>
        <w:ind w:left="0"/>
        <w:jc w:val="both"/>
        <w:rPr>
          <w:rFonts w:ascii="Bookman Old Style" w:hAnsi="Bookman Old Style" w:cs="Arial"/>
          <w:color w:val="000000"/>
        </w:rPr>
      </w:pPr>
      <w:r w:rsidRPr="00042175">
        <w:rPr>
          <w:rFonts w:ascii="Bookman Old Style" w:hAnsi="Bookman Old Style" w:cs="Arial"/>
          <w:color w:val="000000"/>
        </w:rPr>
        <w:t>El inciso tercero del artículo 333 de la Const</w:t>
      </w:r>
      <w:r w:rsidR="00042175">
        <w:rPr>
          <w:rFonts w:ascii="Bookman Old Style" w:hAnsi="Bookman Old Style" w:cs="Arial"/>
          <w:color w:val="000000"/>
        </w:rPr>
        <w:t>itución Política establece que e</w:t>
      </w:r>
      <w:r w:rsidRPr="00042175">
        <w:rPr>
          <w:rFonts w:ascii="Bookman Old Style" w:hAnsi="Bookman Old Style" w:cs="Arial"/>
          <w:color w:val="000000"/>
        </w:rPr>
        <w:t>l Estado, por mandato de la ley, impedirá que se obstruya o se restrinja la libertad económica y evitará o controlará cualquier abuso que personas o empresas hagan de su posición d</w:t>
      </w:r>
      <w:r w:rsidR="00042175">
        <w:rPr>
          <w:rFonts w:ascii="Bookman Old Style" w:hAnsi="Bookman Old Style" w:cs="Arial"/>
          <w:color w:val="000000"/>
        </w:rPr>
        <w:t>ominante en el mercado nacional</w:t>
      </w:r>
      <w:r w:rsidRPr="00042175">
        <w:rPr>
          <w:rFonts w:ascii="Bookman Old Style" w:hAnsi="Bookman Old Style" w:cs="Arial"/>
          <w:color w:val="000000"/>
        </w:rPr>
        <w:t>.</w:t>
      </w:r>
    </w:p>
    <w:p w:rsidR="00042175" w:rsidRDefault="00042175" w:rsidP="00D904DC">
      <w:pPr>
        <w:ind w:left="0"/>
        <w:jc w:val="both"/>
        <w:rPr>
          <w:rFonts w:ascii="Bookman Old Style" w:hAnsi="Bookman Old Style" w:cs="Arial"/>
          <w:color w:val="000000"/>
        </w:rPr>
      </w:pPr>
    </w:p>
    <w:p w:rsidR="00D904DC" w:rsidRPr="00483BFD" w:rsidRDefault="00D904DC" w:rsidP="00D904DC">
      <w:pPr>
        <w:ind w:left="0"/>
        <w:jc w:val="both"/>
        <w:rPr>
          <w:rFonts w:ascii="Bookman Old Style" w:hAnsi="Bookman Old Style" w:cs="Arial"/>
          <w:color w:val="000000" w:themeColor="text1"/>
          <w:lang w:val="es-ES_tradnl"/>
        </w:rPr>
      </w:pPr>
      <w:r w:rsidRPr="00483BFD">
        <w:rPr>
          <w:rFonts w:ascii="Bookman Old Style" w:hAnsi="Bookman Old Style" w:cs="Arial"/>
          <w:color w:val="000000" w:themeColor="text1"/>
          <w:lang w:val="es-ES_tradnl"/>
        </w:rPr>
        <w:t xml:space="preserve">El artículo 365 de la Constitución Política establece, a su vez, que </w:t>
      </w:r>
      <w:r w:rsidR="00042175">
        <w:rPr>
          <w:rFonts w:ascii="Bookman Old Style" w:hAnsi="Bookman Old Style" w:cs="Arial"/>
          <w:color w:val="000000" w:themeColor="text1"/>
          <w:lang w:val="es-ES_tradnl"/>
        </w:rPr>
        <w:t>l</w:t>
      </w:r>
      <w:r w:rsidRPr="00483BFD">
        <w:rPr>
          <w:rFonts w:ascii="Bookman Old Style" w:hAnsi="Bookman Old Style" w:cs="Arial"/>
          <w:color w:val="000000" w:themeColor="text1"/>
          <w:lang w:val="es-ES_tradnl"/>
        </w:rPr>
        <w:t>os servicios públicos son inherentes a la finalidad social del Estado</w:t>
      </w:r>
      <w:r w:rsidR="005A30BC">
        <w:rPr>
          <w:rFonts w:ascii="Bookman Old Style" w:hAnsi="Bookman Old Style" w:cs="Arial"/>
          <w:color w:val="000000" w:themeColor="text1"/>
          <w:lang w:val="es-ES_tradnl"/>
        </w:rPr>
        <w:t xml:space="preserve"> y es su </w:t>
      </w:r>
      <w:r w:rsidRPr="00483BFD">
        <w:rPr>
          <w:rFonts w:ascii="Bookman Old Style" w:hAnsi="Bookman Old Style" w:cs="Arial"/>
          <w:color w:val="000000" w:themeColor="text1"/>
          <w:lang w:val="es-ES_tradnl"/>
        </w:rPr>
        <w:t>deber  asegurar su prestación eficiente a todos los hab</w:t>
      </w:r>
      <w:r w:rsidR="00042175">
        <w:rPr>
          <w:rFonts w:ascii="Bookman Old Style" w:hAnsi="Bookman Old Style" w:cs="Arial"/>
          <w:color w:val="000000" w:themeColor="text1"/>
          <w:lang w:val="es-ES_tradnl"/>
        </w:rPr>
        <w:t>itantes del territorio nacional</w:t>
      </w:r>
      <w:r w:rsidRPr="00483BFD">
        <w:rPr>
          <w:rFonts w:ascii="Bookman Old Style" w:hAnsi="Bookman Old Style" w:cs="Arial"/>
          <w:color w:val="000000" w:themeColor="text1"/>
          <w:lang w:val="es-ES_tradnl"/>
        </w:rPr>
        <w:t>, que los mismos estarán sometidos al régimen ju</w:t>
      </w:r>
      <w:r w:rsidR="00042175">
        <w:rPr>
          <w:rFonts w:ascii="Bookman Old Style" w:hAnsi="Bookman Old Style" w:cs="Arial"/>
          <w:color w:val="000000" w:themeColor="text1"/>
          <w:lang w:val="es-ES_tradnl"/>
        </w:rPr>
        <w:t>rídico que fije la ley, y que e</w:t>
      </w:r>
      <w:r w:rsidRPr="00483BFD">
        <w:rPr>
          <w:rFonts w:ascii="Bookman Old Style" w:hAnsi="Bookman Old Style" w:cs="Arial"/>
          <w:color w:val="000000" w:themeColor="text1"/>
          <w:lang w:val="es-ES_tradnl"/>
        </w:rPr>
        <w:t>n todo caso, el Estado mantendrá la regulación, el control y la</w:t>
      </w:r>
      <w:r w:rsidR="00042175">
        <w:rPr>
          <w:rFonts w:ascii="Bookman Old Style" w:hAnsi="Bookman Old Style" w:cs="Arial"/>
          <w:color w:val="000000" w:themeColor="text1"/>
          <w:lang w:val="es-ES_tradnl"/>
        </w:rPr>
        <w:t xml:space="preserve"> vigilancia de dichos servicios</w:t>
      </w:r>
      <w:r w:rsidRPr="00483BFD">
        <w:rPr>
          <w:rFonts w:ascii="Bookman Old Style" w:hAnsi="Bookman Old Style" w:cs="Arial"/>
          <w:color w:val="000000" w:themeColor="text1"/>
          <w:lang w:val="es-ES_tradnl"/>
        </w:rPr>
        <w:t>.</w:t>
      </w:r>
    </w:p>
    <w:p w:rsidR="00D904DC" w:rsidRDefault="00D904DC" w:rsidP="00042175">
      <w:pPr>
        <w:ind w:left="0"/>
        <w:jc w:val="both"/>
        <w:rPr>
          <w:rFonts w:ascii="Bookman Old Style" w:hAnsi="Bookman Old Style" w:cs="Arial"/>
          <w:color w:val="000000"/>
        </w:rPr>
      </w:pPr>
    </w:p>
    <w:p w:rsidR="00D904DC" w:rsidRDefault="00D904DC" w:rsidP="00042175">
      <w:pPr>
        <w:ind w:left="0"/>
        <w:jc w:val="both"/>
        <w:rPr>
          <w:rFonts w:ascii="Bookman Old Style" w:hAnsi="Bookman Old Style" w:cs="Arial"/>
          <w:color w:val="000000"/>
        </w:rPr>
      </w:pPr>
      <w:r w:rsidRPr="00483BFD">
        <w:rPr>
          <w:rFonts w:ascii="Bookman Old Style" w:hAnsi="Bookman Old Style" w:cs="Arial"/>
          <w:color w:val="000000" w:themeColor="text1"/>
        </w:rPr>
        <w:t>Según lo dispuesto en el artículo 73 de la Ley 142 de 1994, corresponde a las comisiones regular los monopolios en la prestación de los servicios públicos, cuando la competencia no sea, de hecho, posible y, en los demás casos, la de promover la competencia entre quienes prestan servicios públicos, para que las operaciones de los monopolistas o de los competidores sean económicamente eficientes, no impliquen abuso de posición dominante y produzcan servicios de calidad.</w:t>
      </w:r>
    </w:p>
    <w:p w:rsidR="00D904DC" w:rsidRDefault="00D904DC" w:rsidP="00042175">
      <w:pPr>
        <w:ind w:left="0"/>
        <w:jc w:val="both"/>
        <w:rPr>
          <w:rFonts w:ascii="Bookman Old Style" w:hAnsi="Bookman Old Style" w:cs="Arial"/>
          <w:color w:val="000000"/>
        </w:rPr>
      </w:pPr>
    </w:p>
    <w:p w:rsidR="00D904DC" w:rsidRDefault="00D904DC" w:rsidP="00042175">
      <w:pPr>
        <w:ind w:left="0"/>
        <w:jc w:val="both"/>
        <w:rPr>
          <w:rFonts w:ascii="Bookman Old Style" w:hAnsi="Bookman Old Style" w:cs="Arial"/>
          <w:color w:val="000000"/>
        </w:rPr>
      </w:pPr>
      <w:r w:rsidRPr="007741CF">
        <w:rPr>
          <w:rFonts w:ascii="Bookman Old Style" w:hAnsi="Bookman Old Style" w:cs="Arial"/>
          <w:color w:val="000000"/>
        </w:rPr>
        <w:t xml:space="preserve">De acuerdo con lo establecido en el literal c) del </w:t>
      </w:r>
      <w:r>
        <w:rPr>
          <w:rFonts w:ascii="Bookman Old Style" w:hAnsi="Bookman Old Style" w:cs="Arial"/>
          <w:color w:val="000000"/>
        </w:rPr>
        <w:t xml:space="preserve">numeral 74.1 del </w:t>
      </w:r>
      <w:r w:rsidRPr="007741CF">
        <w:rPr>
          <w:rFonts w:ascii="Bookman Old Style" w:hAnsi="Bookman Old Style" w:cs="Arial"/>
          <w:color w:val="000000"/>
        </w:rPr>
        <w:t>artículo 74 de la Ley 142 de 1994, es función de la CREG establecer el reglamento de operación para regular el funcionamiento del mercado mayorista de gas combustible.</w:t>
      </w:r>
    </w:p>
    <w:p w:rsidR="00D904DC" w:rsidRDefault="00D904DC" w:rsidP="00042175">
      <w:pPr>
        <w:ind w:left="0"/>
        <w:jc w:val="both"/>
        <w:rPr>
          <w:rFonts w:ascii="Bookman Old Style" w:hAnsi="Bookman Old Style" w:cs="Arial"/>
          <w:color w:val="000000"/>
        </w:rPr>
      </w:pPr>
    </w:p>
    <w:p w:rsidR="00D904DC" w:rsidRDefault="00D904DC" w:rsidP="00042175">
      <w:pPr>
        <w:ind w:left="0"/>
        <w:jc w:val="both"/>
        <w:rPr>
          <w:rFonts w:ascii="Bookman Old Style" w:hAnsi="Bookman Old Style" w:cs="Arial"/>
          <w:color w:val="000000"/>
        </w:rPr>
      </w:pPr>
      <w:r w:rsidRPr="00F6673E">
        <w:rPr>
          <w:rFonts w:ascii="Bookman Old Style" w:hAnsi="Bookman Old Style" w:cs="Arial"/>
          <w:color w:val="000000"/>
        </w:rPr>
        <w:t>Mediante la Resolución CREG 089 de 2013 la CREG expidió disposiciones relacionadas con los aspectos comerciales del mercado mayorista de gas natural, que hacen parte del reglamento de operación de gas natural. La resolución mencionada contiene el conjunto de disposiciones aplicables a las negociaciones del suministro y del transporte del gas natural utilizado efectivamente como combustible que se realicen en el mercado primario y en el mercado secundario.</w:t>
      </w:r>
    </w:p>
    <w:p w:rsidR="0001402A" w:rsidRPr="00690AC9" w:rsidRDefault="0001402A" w:rsidP="000F477F">
      <w:pPr>
        <w:ind w:left="0"/>
        <w:jc w:val="both"/>
        <w:rPr>
          <w:rFonts w:ascii="Bookman Old Style" w:hAnsi="Bookman Old Style" w:cs="Arial"/>
          <w:color w:val="000000" w:themeColor="text1"/>
          <w:shd w:val="clear" w:color="auto" w:fill="FFFFFF"/>
        </w:rPr>
      </w:pPr>
    </w:p>
    <w:p w:rsidR="006B350B" w:rsidRDefault="006B350B" w:rsidP="006B350B">
      <w:pPr>
        <w:pStyle w:val="ARTICULOS"/>
        <w:numPr>
          <w:ilvl w:val="0"/>
          <w:numId w:val="0"/>
        </w:numPr>
        <w:tabs>
          <w:tab w:val="left" w:pos="1560"/>
        </w:tabs>
        <w:rPr>
          <w:rFonts w:cs="Arial"/>
          <w:color w:val="000000" w:themeColor="text1"/>
          <w:lang w:val="es-ES"/>
        </w:rPr>
      </w:pPr>
      <w:bookmarkStart w:id="1" w:name="_Ref330310840"/>
      <w:bookmarkStart w:id="2" w:name="_Ref330828080"/>
      <w:r w:rsidRPr="006B350B">
        <w:rPr>
          <w:rFonts w:cs="Arial"/>
          <w:color w:val="000000" w:themeColor="text1"/>
          <w:lang w:val="es-ES"/>
        </w:rPr>
        <w:t>En</w:t>
      </w:r>
      <w:r>
        <w:rPr>
          <w:rFonts w:cs="Arial"/>
          <w:color w:val="000000" w:themeColor="text1"/>
          <w:lang w:val="es-ES"/>
        </w:rPr>
        <w:t xml:space="preserve"> el numeral 6 </w:t>
      </w:r>
      <w:r>
        <w:rPr>
          <w:rFonts w:cs="Arial"/>
          <w:bCs w:val="0"/>
          <w:color w:val="000000" w:themeColor="text1"/>
          <w:shd w:val="clear" w:color="auto" w:fill="FFFFFF"/>
          <w:lang w:val="es-ES" w:eastAsia="es-ES"/>
        </w:rPr>
        <w:t>del artículo 6 S</w:t>
      </w:r>
      <w:r w:rsidRPr="006B350B">
        <w:rPr>
          <w:rFonts w:cs="Arial"/>
          <w:color w:val="000000" w:themeColor="text1"/>
          <w:lang w:val="es-ES"/>
        </w:rPr>
        <w:t>ervicios a cargo del gestor del mercado</w:t>
      </w:r>
      <w:r>
        <w:rPr>
          <w:rFonts w:cs="Arial"/>
          <w:color w:val="000000" w:themeColor="text1"/>
          <w:lang w:val="es-ES"/>
        </w:rPr>
        <w:t>, se establece lo siguiente:</w:t>
      </w:r>
    </w:p>
    <w:p w:rsidR="006B350B" w:rsidRDefault="006B350B" w:rsidP="006B350B">
      <w:pPr>
        <w:pStyle w:val="ARTICULOS"/>
        <w:numPr>
          <w:ilvl w:val="0"/>
          <w:numId w:val="0"/>
        </w:numPr>
        <w:tabs>
          <w:tab w:val="left" w:pos="1560"/>
        </w:tabs>
        <w:rPr>
          <w:rFonts w:cs="Arial"/>
          <w:color w:val="000000" w:themeColor="text1"/>
          <w:lang w:val="es-ES"/>
        </w:rPr>
      </w:pPr>
    </w:p>
    <w:p w:rsidR="006B350B" w:rsidRDefault="006B350B" w:rsidP="006B350B">
      <w:pPr>
        <w:pStyle w:val="ARTICULOS"/>
        <w:numPr>
          <w:ilvl w:val="0"/>
          <w:numId w:val="0"/>
        </w:numPr>
        <w:tabs>
          <w:tab w:val="left" w:pos="1560"/>
        </w:tabs>
        <w:ind w:left="284"/>
        <w:rPr>
          <w:rFonts w:cs="Arial"/>
          <w:bCs w:val="0"/>
          <w:i/>
          <w:color w:val="000000" w:themeColor="text1"/>
          <w:shd w:val="clear" w:color="auto" w:fill="FFFFFF"/>
          <w:lang w:val="es-ES" w:eastAsia="es-ES"/>
        </w:rPr>
      </w:pPr>
      <w:bookmarkStart w:id="3" w:name="_Ref355280462"/>
      <w:r w:rsidRPr="006B350B">
        <w:rPr>
          <w:rFonts w:cs="Arial"/>
          <w:bCs w:val="0"/>
          <w:i/>
          <w:color w:val="000000" w:themeColor="text1"/>
          <w:shd w:val="clear" w:color="auto" w:fill="FFFFFF"/>
          <w:lang w:val="es-ES" w:eastAsia="es-ES"/>
        </w:rPr>
        <w:t>“6. Reporte de información para el seguimiento del mercado mayorista de gas natural.</w:t>
      </w:r>
      <w:bookmarkEnd w:id="3"/>
    </w:p>
    <w:p w:rsidR="00DB5B7A" w:rsidRDefault="00DB5B7A" w:rsidP="006B350B">
      <w:pPr>
        <w:pStyle w:val="ARTICULOS"/>
        <w:numPr>
          <w:ilvl w:val="0"/>
          <w:numId w:val="0"/>
        </w:numPr>
        <w:tabs>
          <w:tab w:val="left" w:pos="1560"/>
        </w:tabs>
        <w:ind w:left="284"/>
        <w:rPr>
          <w:rFonts w:cs="Arial"/>
          <w:bCs w:val="0"/>
          <w:i/>
          <w:color w:val="000000" w:themeColor="text1"/>
          <w:shd w:val="clear" w:color="auto" w:fill="FFFFFF"/>
          <w:lang w:val="es-ES" w:eastAsia="es-ES"/>
        </w:rPr>
      </w:pPr>
    </w:p>
    <w:p w:rsidR="006B350B" w:rsidRPr="006B350B" w:rsidRDefault="006B350B" w:rsidP="006B350B">
      <w:pPr>
        <w:pStyle w:val="ARTICULOS"/>
        <w:numPr>
          <w:ilvl w:val="0"/>
          <w:numId w:val="0"/>
        </w:numPr>
        <w:tabs>
          <w:tab w:val="left" w:pos="1560"/>
        </w:tabs>
        <w:ind w:left="284"/>
        <w:rPr>
          <w:rFonts w:cs="Arial"/>
          <w:bCs w:val="0"/>
          <w:i/>
          <w:color w:val="000000" w:themeColor="text1"/>
          <w:shd w:val="clear" w:color="auto" w:fill="FFFFFF"/>
          <w:lang w:val="es-ES" w:eastAsia="es-ES"/>
        </w:rPr>
      </w:pPr>
      <w:r w:rsidRPr="006B350B">
        <w:rPr>
          <w:rFonts w:cs="Arial"/>
          <w:bCs w:val="0"/>
          <w:i/>
          <w:color w:val="000000" w:themeColor="text1"/>
          <w:shd w:val="clear" w:color="auto" w:fill="FFFFFF"/>
          <w:lang w:val="es-ES" w:eastAsia="es-ES"/>
        </w:rPr>
        <w:t>En desarrollo de este servicio, el gestor del mercado pondrá a disposición de las entidades competentes la información transaccional y operativa que las mismas le soliciten para efectos de la regulación, inspección, vigilancia y control del mercado mayorista de gas natural. La entrega de esta información no dará lugar a cobro alguno por parte del gestor del mercado”.</w:t>
      </w:r>
    </w:p>
    <w:p w:rsidR="00DB5B7A" w:rsidRPr="00483BFD" w:rsidRDefault="00DB5B7A" w:rsidP="00DB5B7A">
      <w:pPr>
        <w:pStyle w:val="ARTICULOS"/>
        <w:numPr>
          <w:ilvl w:val="0"/>
          <w:numId w:val="0"/>
        </w:numPr>
        <w:rPr>
          <w:color w:val="000000" w:themeColor="text1"/>
          <w:lang w:val="es-ES"/>
        </w:rPr>
      </w:pPr>
    </w:p>
    <w:p w:rsidR="00DB5B7A" w:rsidRDefault="00DB5B7A" w:rsidP="00DB5B7A">
      <w:pPr>
        <w:pStyle w:val="ARTICULOS"/>
        <w:numPr>
          <w:ilvl w:val="0"/>
          <w:numId w:val="0"/>
        </w:numPr>
        <w:rPr>
          <w:rFonts w:cs="Arial"/>
          <w:color w:val="000000" w:themeColor="text1"/>
          <w:lang w:val="es-ES"/>
        </w:rPr>
      </w:pPr>
      <w:r>
        <w:rPr>
          <w:color w:val="000000" w:themeColor="text1"/>
          <w:lang w:val="es-ES"/>
        </w:rPr>
        <w:t>El Anexo 2 de la Resolución CREG 089 de 2013 “Información transaccional y operativa” señala la información que el gestor del mercado</w:t>
      </w:r>
      <w:r w:rsidRPr="00DB5B7A">
        <w:rPr>
          <w:rFonts w:cs="Arial"/>
          <w:color w:val="000000" w:themeColor="text1"/>
          <w:lang w:val="es-ES"/>
        </w:rPr>
        <w:t xml:space="preserve"> </w:t>
      </w:r>
      <w:r w:rsidRPr="00483BFD">
        <w:rPr>
          <w:rFonts w:cs="Arial"/>
          <w:color w:val="000000" w:themeColor="text1"/>
          <w:lang w:val="es-ES"/>
        </w:rPr>
        <w:t>recopilará,</w:t>
      </w:r>
      <w:r>
        <w:rPr>
          <w:rFonts w:cs="Arial"/>
          <w:color w:val="000000" w:themeColor="text1"/>
          <w:lang w:val="es-ES"/>
        </w:rPr>
        <w:t xml:space="preserve"> verificará, publicará y conserv</w:t>
      </w:r>
      <w:r w:rsidRPr="00483BFD">
        <w:rPr>
          <w:rFonts w:cs="Arial"/>
          <w:color w:val="000000" w:themeColor="text1"/>
          <w:lang w:val="es-ES"/>
        </w:rPr>
        <w:t xml:space="preserve">ará </w:t>
      </w:r>
      <w:r>
        <w:rPr>
          <w:rFonts w:cs="Arial"/>
          <w:color w:val="000000" w:themeColor="text1"/>
          <w:lang w:val="es-ES"/>
        </w:rPr>
        <w:t>del mercado mayorista de gas natural.</w:t>
      </w:r>
    </w:p>
    <w:p w:rsidR="00DB5B7A" w:rsidRDefault="00DB5B7A" w:rsidP="00DB5B7A">
      <w:pPr>
        <w:pStyle w:val="ARTICULOS"/>
        <w:numPr>
          <w:ilvl w:val="0"/>
          <w:numId w:val="0"/>
        </w:numPr>
        <w:rPr>
          <w:color w:val="000000" w:themeColor="text1"/>
          <w:lang w:val="es-ES"/>
        </w:rPr>
      </w:pPr>
    </w:p>
    <w:bookmarkEnd w:id="1"/>
    <w:bookmarkEnd w:id="2"/>
    <w:p w:rsidR="00252495" w:rsidRPr="000A21C1" w:rsidRDefault="000A21C1" w:rsidP="00DB5B7A">
      <w:pPr>
        <w:pStyle w:val="ARTICULOS"/>
        <w:numPr>
          <w:ilvl w:val="0"/>
          <w:numId w:val="0"/>
        </w:numPr>
        <w:rPr>
          <w:rFonts w:cs="Arial"/>
          <w:color w:val="000000" w:themeColor="text1"/>
          <w:shd w:val="clear" w:color="auto" w:fill="FFFFFF"/>
          <w:lang w:val="es-MX"/>
        </w:rPr>
      </w:pPr>
      <w:r>
        <w:rPr>
          <w:color w:val="000000" w:themeColor="text1"/>
          <w:lang w:val="es-ES"/>
        </w:rPr>
        <w:t xml:space="preserve">La Comisión </w:t>
      </w:r>
      <w:r w:rsidR="00252495">
        <w:rPr>
          <w:rFonts w:cs="Arial"/>
          <w:color w:val="000000" w:themeColor="text1"/>
          <w:shd w:val="clear" w:color="auto" w:fill="FFFFFF"/>
        </w:rPr>
        <w:t>encuentra necesari</w:t>
      </w:r>
      <w:r w:rsidR="00C92C45">
        <w:rPr>
          <w:rFonts w:cs="Arial"/>
          <w:color w:val="000000" w:themeColor="text1"/>
          <w:shd w:val="clear" w:color="auto" w:fill="FFFFFF"/>
        </w:rPr>
        <w:t>o que periódicamente se calcule</w:t>
      </w:r>
      <w:r w:rsidR="00C92C45">
        <w:rPr>
          <w:rFonts w:cs="Arial"/>
          <w:color w:val="000000" w:themeColor="text1"/>
          <w:shd w:val="clear" w:color="auto" w:fill="FFFFFF"/>
          <w:lang w:val="es-MX"/>
        </w:rPr>
        <w:t xml:space="preserve">n </w:t>
      </w:r>
      <w:r w:rsidR="00252495">
        <w:rPr>
          <w:rFonts w:cs="Arial"/>
          <w:color w:val="000000" w:themeColor="text1"/>
          <w:shd w:val="clear" w:color="auto" w:fill="FFFFFF"/>
        </w:rPr>
        <w:t xml:space="preserve">indicadores </w:t>
      </w:r>
      <w:r>
        <w:rPr>
          <w:rFonts w:cs="Arial"/>
          <w:color w:val="000000" w:themeColor="text1"/>
          <w:shd w:val="clear" w:color="auto" w:fill="FFFFFF"/>
          <w:lang w:val="es-MX"/>
        </w:rPr>
        <w:t xml:space="preserve">del mercado mayorista de gas con el propósito de dar apoyo y </w:t>
      </w:r>
      <w:r w:rsidR="000C049B">
        <w:rPr>
          <w:rFonts w:cs="Arial"/>
          <w:color w:val="000000" w:themeColor="text1"/>
          <w:shd w:val="clear" w:color="auto" w:fill="FFFFFF"/>
          <w:lang w:val="es-MX"/>
        </w:rPr>
        <w:t xml:space="preserve">una </w:t>
      </w:r>
      <w:r>
        <w:rPr>
          <w:rFonts w:cs="Arial"/>
          <w:color w:val="000000" w:themeColor="text1"/>
          <w:shd w:val="clear" w:color="auto" w:fill="FFFFFF"/>
          <w:lang w:val="es-MX"/>
        </w:rPr>
        <w:t>mayor transparencia</w:t>
      </w:r>
      <w:r w:rsidR="000C049B">
        <w:rPr>
          <w:rFonts w:cs="Arial"/>
          <w:color w:val="000000" w:themeColor="text1"/>
          <w:shd w:val="clear" w:color="auto" w:fill="FFFFFF"/>
          <w:lang w:val="es-MX"/>
        </w:rPr>
        <w:t xml:space="preserve"> para el desempeño de las labores regulatorias, de supervisión </w:t>
      </w:r>
      <w:r>
        <w:rPr>
          <w:rFonts w:cs="Arial"/>
          <w:color w:val="000000" w:themeColor="text1"/>
          <w:shd w:val="clear" w:color="auto" w:fill="FFFFFF"/>
          <w:lang w:val="es-MX"/>
        </w:rPr>
        <w:t>y control</w:t>
      </w:r>
      <w:r w:rsidR="000C049B">
        <w:rPr>
          <w:rFonts w:cs="Arial"/>
          <w:color w:val="000000" w:themeColor="text1"/>
          <w:shd w:val="clear" w:color="auto" w:fill="FFFFFF"/>
          <w:lang w:val="es-MX"/>
        </w:rPr>
        <w:t xml:space="preserve">, así mismo para </w:t>
      </w:r>
      <w:r>
        <w:rPr>
          <w:rFonts w:cs="Arial"/>
          <w:color w:val="000000" w:themeColor="text1"/>
          <w:shd w:val="clear" w:color="auto" w:fill="FFFFFF"/>
          <w:lang w:val="es-MX"/>
        </w:rPr>
        <w:t>brindar información</w:t>
      </w:r>
      <w:r w:rsidR="000C049B">
        <w:rPr>
          <w:rFonts w:cs="Arial"/>
          <w:color w:val="000000" w:themeColor="text1"/>
          <w:shd w:val="clear" w:color="auto" w:fill="FFFFFF"/>
          <w:lang w:val="es-MX"/>
        </w:rPr>
        <w:t xml:space="preserve"> con valor agregado que es</w:t>
      </w:r>
      <w:r>
        <w:rPr>
          <w:rFonts w:cs="Arial"/>
          <w:color w:val="000000" w:themeColor="text1"/>
          <w:shd w:val="clear" w:color="auto" w:fill="FFFFFF"/>
          <w:lang w:val="es-MX"/>
        </w:rPr>
        <w:t xml:space="preserve"> relevante para la toma de decisiones de los diferentes actores del sector</w:t>
      </w:r>
      <w:r>
        <w:rPr>
          <w:rFonts w:cs="Arial"/>
          <w:color w:val="000000" w:themeColor="text1"/>
          <w:shd w:val="clear" w:color="auto" w:fill="FFFFFF"/>
        </w:rPr>
        <w:t xml:space="preserve"> interesad</w:t>
      </w:r>
      <w:r>
        <w:rPr>
          <w:rFonts w:cs="Arial"/>
          <w:color w:val="000000" w:themeColor="text1"/>
          <w:shd w:val="clear" w:color="auto" w:fill="FFFFFF"/>
          <w:lang w:val="es-MX"/>
        </w:rPr>
        <w:t>o</w:t>
      </w:r>
      <w:r>
        <w:rPr>
          <w:rFonts w:cs="Arial"/>
          <w:color w:val="000000" w:themeColor="text1"/>
          <w:shd w:val="clear" w:color="auto" w:fill="FFFFFF"/>
        </w:rPr>
        <w:t xml:space="preserve">s </w:t>
      </w:r>
      <w:r>
        <w:rPr>
          <w:rFonts w:cs="Arial"/>
          <w:color w:val="000000" w:themeColor="text1"/>
          <w:shd w:val="clear" w:color="auto" w:fill="FFFFFF"/>
          <w:lang w:val="es-MX"/>
        </w:rPr>
        <w:t>en</w:t>
      </w:r>
      <w:r>
        <w:rPr>
          <w:rFonts w:cs="Arial"/>
          <w:color w:val="000000" w:themeColor="text1"/>
          <w:shd w:val="clear" w:color="auto" w:fill="FFFFFF"/>
        </w:rPr>
        <w:t xml:space="preserve"> el funcionamiento y desempeño del mercado mayorista de gas natural</w:t>
      </w:r>
      <w:r>
        <w:rPr>
          <w:rFonts w:cs="Arial"/>
          <w:color w:val="000000" w:themeColor="text1"/>
          <w:shd w:val="clear" w:color="auto" w:fill="FFFFFF"/>
          <w:lang w:val="es-MX"/>
        </w:rPr>
        <w:t>.</w:t>
      </w:r>
    </w:p>
    <w:p w:rsidR="008E5DB1" w:rsidRDefault="008E5DB1" w:rsidP="000F477F">
      <w:pPr>
        <w:ind w:left="0"/>
        <w:jc w:val="both"/>
        <w:rPr>
          <w:rFonts w:ascii="Bookman Old Style" w:hAnsi="Bookman Old Style" w:cs="Arial"/>
          <w:color w:val="000000" w:themeColor="text1"/>
          <w:shd w:val="clear" w:color="auto" w:fill="FFFFFF"/>
        </w:rPr>
      </w:pPr>
    </w:p>
    <w:p w:rsidR="000F477F" w:rsidRPr="000F477F" w:rsidRDefault="000F477F" w:rsidP="000F477F">
      <w:pPr>
        <w:ind w:left="0"/>
        <w:jc w:val="both"/>
        <w:rPr>
          <w:rFonts w:ascii="Bookman Old Style" w:hAnsi="Bookman Old Style" w:cs="Arial"/>
          <w:color w:val="000000"/>
        </w:rPr>
      </w:pPr>
    </w:p>
    <w:p w:rsidR="00DD11F8" w:rsidRPr="00557744" w:rsidRDefault="00DD11F8" w:rsidP="00DD11F8">
      <w:pPr>
        <w:suppressAutoHyphens/>
        <w:jc w:val="center"/>
        <w:rPr>
          <w:rFonts w:ascii="Bookman Old Style" w:hAnsi="Bookman Old Style"/>
          <w:spacing w:val="-3"/>
        </w:rPr>
      </w:pPr>
      <w:r w:rsidRPr="00557744">
        <w:rPr>
          <w:rFonts w:ascii="Bookman Old Style" w:hAnsi="Bookman Old Style"/>
          <w:b/>
          <w:spacing w:val="-3"/>
        </w:rPr>
        <w:t>R E S U E L V E:</w:t>
      </w:r>
    </w:p>
    <w:p w:rsidR="00DD11F8" w:rsidRPr="00557744" w:rsidRDefault="00DD11F8" w:rsidP="00DD11F8">
      <w:pPr>
        <w:tabs>
          <w:tab w:val="center" w:pos="4512"/>
          <w:tab w:val="left" w:pos="7088"/>
        </w:tabs>
        <w:suppressAutoHyphens/>
        <w:ind w:left="0" w:right="51"/>
        <w:jc w:val="both"/>
        <w:rPr>
          <w:rFonts w:ascii="Bookman Old Style" w:hAnsi="Bookman Old Style" w:cs="Arial"/>
          <w:b/>
          <w:color w:val="000000"/>
        </w:rPr>
      </w:pPr>
    </w:p>
    <w:p w:rsidR="008E5DB1" w:rsidRDefault="00DD11F8" w:rsidP="00252495">
      <w:pPr>
        <w:ind w:left="0"/>
        <w:jc w:val="both"/>
        <w:rPr>
          <w:rFonts w:ascii="Bookman Old Style" w:hAnsi="Bookman Old Style" w:cs="Arial"/>
        </w:rPr>
      </w:pPr>
      <w:r w:rsidRPr="00557744">
        <w:rPr>
          <w:rFonts w:ascii="Bookman Old Style" w:hAnsi="Bookman Old Style" w:cs="Arial"/>
          <w:b/>
          <w:color w:val="000000"/>
        </w:rPr>
        <w:t xml:space="preserve">Artículo 1. </w:t>
      </w:r>
      <w:r w:rsidR="008E5DB1">
        <w:rPr>
          <w:rFonts w:ascii="Bookman Old Style" w:hAnsi="Bookman Old Style" w:cs="Arial"/>
          <w:b/>
        </w:rPr>
        <w:t xml:space="preserve">Adiciónese </w:t>
      </w:r>
      <w:r w:rsidR="00C83960">
        <w:rPr>
          <w:rFonts w:ascii="Bookman Old Style" w:hAnsi="Bookman Old Style" w:cs="Arial"/>
          <w:b/>
        </w:rPr>
        <w:t>un</w:t>
      </w:r>
      <w:r w:rsidR="0080722A">
        <w:rPr>
          <w:rFonts w:ascii="Bookman Old Style" w:hAnsi="Bookman Old Style" w:cs="Arial"/>
          <w:b/>
        </w:rPr>
        <w:t xml:space="preserve"> numeral </w:t>
      </w:r>
      <w:r w:rsidR="00EE080E">
        <w:rPr>
          <w:rFonts w:ascii="Bookman Old Style" w:hAnsi="Bookman Old Style" w:cs="Arial"/>
          <w:b/>
        </w:rPr>
        <w:t xml:space="preserve">al Anexo 2 de </w:t>
      </w:r>
      <w:r w:rsidR="00252495">
        <w:rPr>
          <w:rFonts w:ascii="Bookman Old Style" w:hAnsi="Bookman Old Style" w:cs="Arial"/>
          <w:b/>
        </w:rPr>
        <w:t xml:space="preserve">la Resolución CREG 089 de 2013. </w:t>
      </w:r>
      <w:r w:rsidR="00252495">
        <w:rPr>
          <w:rFonts w:ascii="Bookman Old Style" w:hAnsi="Bookman Old Style" w:cs="Arial"/>
        </w:rPr>
        <w:t xml:space="preserve">Adiciónense el </w:t>
      </w:r>
      <w:r w:rsidR="00EE080E">
        <w:rPr>
          <w:rFonts w:ascii="Bookman Old Style" w:hAnsi="Bookman Old Style" w:cs="Arial"/>
        </w:rPr>
        <w:t xml:space="preserve">numeral </w:t>
      </w:r>
      <w:r w:rsidR="00C83960">
        <w:rPr>
          <w:rFonts w:ascii="Bookman Old Style" w:hAnsi="Bookman Old Style" w:cs="Arial"/>
        </w:rPr>
        <w:t xml:space="preserve">7 </w:t>
      </w:r>
      <w:r w:rsidR="00EE080E">
        <w:rPr>
          <w:rFonts w:ascii="Bookman Old Style" w:hAnsi="Bookman Old Style" w:cs="Arial"/>
        </w:rPr>
        <w:t>al A</w:t>
      </w:r>
      <w:r w:rsidR="00252495">
        <w:rPr>
          <w:rFonts w:ascii="Bookman Old Style" w:hAnsi="Bookman Old Style" w:cs="Arial"/>
        </w:rPr>
        <w:t>nexo</w:t>
      </w:r>
      <w:r w:rsidR="00EE080E">
        <w:rPr>
          <w:rFonts w:ascii="Bookman Old Style" w:hAnsi="Bookman Old Style" w:cs="Arial"/>
        </w:rPr>
        <w:t xml:space="preserve"> 2 de</w:t>
      </w:r>
      <w:r w:rsidR="00252495" w:rsidRPr="001C6FA1">
        <w:rPr>
          <w:rFonts w:ascii="Bookman Old Style" w:hAnsi="Bookman Old Style" w:cs="Arial"/>
        </w:rPr>
        <w:t xml:space="preserve"> la Resolución CREG 089 de 2013</w:t>
      </w:r>
      <w:r w:rsidR="00C83960">
        <w:rPr>
          <w:rFonts w:ascii="Bookman Old Style" w:hAnsi="Bookman Old Style" w:cs="Arial"/>
        </w:rPr>
        <w:t xml:space="preserve"> así</w:t>
      </w:r>
      <w:r w:rsidR="00252495">
        <w:rPr>
          <w:rFonts w:ascii="Bookman Old Style" w:hAnsi="Bookman Old Style" w:cs="Arial"/>
        </w:rPr>
        <w:t>:</w:t>
      </w:r>
    </w:p>
    <w:p w:rsidR="00DD11F8" w:rsidRPr="00557744" w:rsidRDefault="00DD11F8" w:rsidP="00E35CFE">
      <w:pPr>
        <w:tabs>
          <w:tab w:val="center" w:pos="709"/>
        </w:tabs>
        <w:suppressAutoHyphens/>
        <w:ind w:left="0" w:right="51"/>
        <w:jc w:val="both"/>
        <w:rPr>
          <w:rFonts w:ascii="Bookman Old Style" w:hAnsi="Bookman Old Style" w:cs="Arial"/>
          <w:i/>
          <w:color w:val="000000"/>
          <w:lang w:val="es-CO"/>
        </w:rPr>
      </w:pPr>
    </w:p>
    <w:p w:rsidR="00252495" w:rsidRPr="00252495" w:rsidRDefault="00DB5B7A" w:rsidP="00EE080E">
      <w:pPr>
        <w:ind w:left="0"/>
        <w:rPr>
          <w:rFonts w:ascii="Bookman Old Style" w:hAnsi="Bookman Old Style"/>
          <w:b/>
        </w:rPr>
      </w:pPr>
      <w:r>
        <w:rPr>
          <w:rFonts w:ascii="Bookman Old Style" w:hAnsi="Bookman Old Style"/>
          <w:b/>
        </w:rPr>
        <w:t>“</w:t>
      </w:r>
      <w:r w:rsidR="00EE080E">
        <w:rPr>
          <w:rFonts w:ascii="Bookman Old Style" w:hAnsi="Bookman Old Style"/>
          <w:b/>
        </w:rPr>
        <w:t xml:space="preserve">7. </w:t>
      </w:r>
      <w:r w:rsidR="00252495" w:rsidRPr="00252495">
        <w:rPr>
          <w:rFonts w:ascii="Bookman Old Style" w:hAnsi="Bookman Old Style"/>
          <w:b/>
        </w:rPr>
        <w:t>Indicadores del mercado primario (MP)</w:t>
      </w:r>
    </w:p>
    <w:p w:rsidR="00F76AD1" w:rsidRDefault="00F76AD1" w:rsidP="00F76AD1">
      <w:pPr>
        <w:jc w:val="both"/>
        <w:rPr>
          <w:rFonts w:ascii="Bookman Old Style" w:hAnsi="Bookman Old Style" w:cs="Arial"/>
        </w:rPr>
      </w:pPr>
    </w:p>
    <w:p w:rsidR="00EE080E" w:rsidRDefault="00EE080E" w:rsidP="00EE080E">
      <w:pPr>
        <w:ind w:left="0"/>
        <w:jc w:val="both"/>
        <w:rPr>
          <w:rFonts w:ascii="Bookman Old Style" w:hAnsi="Bookman Old Style" w:cs="Arial"/>
          <w:color w:val="000000" w:themeColor="text1"/>
        </w:rPr>
      </w:pPr>
      <w:r w:rsidRPr="00483BFD">
        <w:rPr>
          <w:rFonts w:ascii="Bookman Old Style" w:hAnsi="Bookman Old Style" w:cs="Arial"/>
          <w:color w:val="000000" w:themeColor="text1"/>
        </w:rPr>
        <w:t xml:space="preserve">El gestor del mercado deberá </w:t>
      </w:r>
      <w:r w:rsidR="00DB5B7A">
        <w:rPr>
          <w:rFonts w:ascii="Bookman Old Style" w:hAnsi="Bookman Old Style" w:cs="Arial"/>
        </w:rPr>
        <w:t>calcular, con la periodicidad que en cada caso se expone, los indicadores del mercado primario</w:t>
      </w:r>
      <w:r w:rsidR="00081E66">
        <w:rPr>
          <w:rFonts w:ascii="Bookman Old Style" w:hAnsi="Bookman Old Style" w:cs="Arial"/>
        </w:rPr>
        <w:t xml:space="preserve"> </w:t>
      </w:r>
      <w:r w:rsidR="00DB5B7A">
        <w:rPr>
          <w:rFonts w:ascii="Bookman Old Style" w:hAnsi="Bookman Old Style" w:cs="Arial"/>
        </w:rPr>
        <w:t>que se describen a continuación:</w:t>
      </w:r>
    </w:p>
    <w:p w:rsidR="00F76AD1" w:rsidRDefault="00F76AD1" w:rsidP="00F76AD1">
      <w:pPr>
        <w:jc w:val="both"/>
        <w:rPr>
          <w:rFonts w:ascii="Bookman Old Style" w:hAnsi="Bookman Old Style" w:cs="Arial"/>
        </w:rPr>
      </w:pPr>
    </w:p>
    <w:p w:rsidR="00F76AD1" w:rsidRDefault="00DB5B7A" w:rsidP="0044507C">
      <w:pPr>
        <w:ind w:left="0"/>
        <w:jc w:val="both"/>
        <w:rPr>
          <w:rFonts w:ascii="Bookman Old Style" w:hAnsi="Bookman Old Style" w:cs="Arial"/>
        </w:rPr>
      </w:pPr>
      <w:r>
        <w:rPr>
          <w:rFonts w:ascii="Bookman Old Style" w:hAnsi="Bookman Old Style" w:cs="Arial"/>
        </w:rPr>
        <w:t xml:space="preserve">Estos </w:t>
      </w:r>
      <w:r w:rsidR="00F76AD1">
        <w:rPr>
          <w:rFonts w:ascii="Bookman Old Style" w:hAnsi="Bookman Old Style" w:cs="Arial"/>
        </w:rPr>
        <w:t xml:space="preserve">indicadores </w:t>
      </w:r>
      <w:r w:rsidR="008E5DB1">
        <w:rPr>
          <w:rFonts w:ascii="Bookman Old Style" w:hAnsi="Bookman Old Style" w:cs="Arial"/>
        </w:rPr>
        <w:t xml:space="preserve">deberán calcularse </w:t>
      </w:r>
      <w:r>
        <w:rPr>
          <w:rFonts w:ascii="Bookman Old Style" w:hAnsi="Bookman Old Style" w:cs="Arial"/>
        </w:rPr>
        <w:t xml:space="preserve">sólo </w:t>
      </w:r>
      <w:r w:rsidR="00F76AD1">
        <w:rPr>
          <w:rFonts w:ascii="Bookman Old Style" w:hAnsi="Bookman Old Style" w:cs="Arial"/>
        </w:rPr>
        <w:t xml:space="preserve">para </w:t>
      </w:r>
      <w:r w:rsidR="00436CFE">
        <w:rPr>
          <w:rFonts w:ascii="Bookman Old Style" w:hAnsi="Bookman Old Style" w:cs="Arial"/>
        </w:rPr>
        <w:t>los</w:t>
      </w:r>
      <w:r w:rsidR="00F76AD1">
        <w:rPr>
          <w:rFonts w:ascii="Bookman Old Style" w:hAnsi="Bookman Old Style" w:cs="Arial"/>
        </w:rPr>
        <w:t xml:space="preserve"> campos mayores a los 30 MPCD</w:t>
      </w:r>
      <w:r w:rsidRPr="00DB5B7A">
        <w:rPr>
          <w:rFonts w:ascii="Bookman Old Style" w:hAnsi="Bookman Old Style" w:cs="Arial"/>
        </w:rPr>
        <w:t xml:space="preserve"> </w:t>
      </w:r>
      <w:r>
        <w:rPr>
          <w:rFonts w:ascii="Bookman Old Style" w:hAnsi="Bookman Old Style" w:cs="Arial"/>
        </w:rPr>
        <w:t>en el caso de suministro de gas.</w:t>
      </w:r>
    </w:p>
    <w:p w:rsidR="00252495" w:rsidRDefault="00252495" w:rsidP="00DD11F8">
      <w:pPr>
        <w:jc w:val="center"/>
        <w:rPr>
          <w:rFonts w:ascii="Bookman Old Style" w:hAnsi="Bookman Old Style"/>
          <w:b/>
        </w:rPr>
      </w:pPr>
    </w:p>
    <w:tbl>
      <w:tblPr>
        <w:tblStyle w:val="Tablaconcuadrcula"/>
        <w:tblW w:w="9356" w:type="dxa"/>
        <w:tblInd w:w="108" w:type="dxa"/>
        <w:tblLayout w:type="fixed"/>
        <w:tblLook w:val="0420" w:firstRow="1" w:lastRow="0" w:firstColumn="0" w:lastColumn="0" w:noHBand="0" w:noVBand="1"/>
      </w:tblPr>
      <w:tblGrid>
        <w:gridCol w:w="709"/>
        <w:gridCol w:w="3544"/>
        <w:gridCol w:w="3544"/>
        <w:gridCol w:w="1559"/>
      </w:tblGrid>
      <w:tr w:rsidR="00F76AD1" w:rsidRPr="00EA3B2E" w:rsidTr="008B24BA">
        <w:trPr>
          <w:trHeight w:val="551"/>
          <w:tblHeader/>
        </w:trPr>
        <w:tc>
          <w:tcPr>
            <w:tcW w:w="709" w:type="dxa"/>
            <w:vAlign w:val="center"/>
            <w:hideMark/>
          </w:tcPr>
          <w:p w:rsidR="00F76AD1" w:rsidRPr="0044507C" w:rsidRDefault="00081E66" w:rsidP="0044507C">
            <w:pPr>
              <w:ind w:left="0"/>
              <w:jc w:val="center"/>
              <w:rPr>
                <w:rFonts w:ascii="Bookman Old Style" w:hAnsi="Bookman Old Style" w:cs="Arial"/>
                <w:b/>
                <w:sz w:val="22"/>
              </w:rPr>
            </w:pPr>
            <w:r>
              <w:rPr>
                <w:rFonts w:ascii="Bookman Old Style" w:hAnsi="Bookman Old Style" w:cs="Arial"/>
                <w:b/>
                <w:sz w:val="22"/>
              </w:rPr>
              <w:t>No.</w:t>
            </w:r>
          </w:p>
        </w:tc>
        <w:tc>
          <w:tcPr>
            <w:tcW w:w="3544" w:type="dxa"/>
            <w:vAlign w:val="center"/>
            <w:hideMark/>
          </w:tcPr>
          <w:p w:rsidR="00F76AD1" w:rsidRPr="0044507C" w:rsidRDefault="00F76AD1" w:rsidP="0044507C">
            <w:pPr>
              <w:ind w:left="0"/>
              <w:jc w:val="center"/>
              <w:rPr>
                <w:rFonts w:ascii="Bookman Old Style" w:hAnsi="Bookman Old Style" w:cs="Arial"/>
                <w:b/>
                <w:sz w:val="22"/>
              </w:rPr>
            </w:pPr>
            <w:r w:rsidRPr="0044507C">
              <w:rPr>
                <w:rFonts w:ascii="Bookman Old Style" w:hAnsi="Bookman Old Style" w:cs="Arial"/>
                <w:b/>
                <w:sz w:val="22"/>
              </w:rPr>
              <w:t>Indicador</w:t>
            </w:r>
          </w:p>
        </w:tc>
        <w:tc>
          <w:tcPr>
            <w:tcW w:w="3544" w:type="dxa"/>
            <w:vAlign w:val="center"/>
            <w:hideMark/>
          </w:tcPr>
          <w:p w:rsidR="00F76AD1" w:rsidRPr="0044507C" w:rsidRDefault="00F76AD1" w:rsidP="0044507C">
            <w:pPr>
              <w:ind w:left="0"/>
              <w:jc w:val="center"/>
              <w:rPr>
                <w:rFonts w:ascii="Bookman Old Style" w:hAnsi="Bookman Old Style" w:cs="Arial"/>
                <w:b/>
                <w:sz w:val="22"/>
              </w:rPr>
            </w:pPr>
            <w:r w:rsidRPr="0044507C">
              <w:rPr>
                <w:rFonts w:ascii="Bookman Old Style" w:hAnsi="Bookman Old Style" w:cs="Arial"/>
                <w:b/>
                <w:sz w:val="22"/>
              </w:rPr>
              <w:t>Qué mide</w:t>
            </w:r>
          </w:p>
        </w:tc>
        <w:tc>
          <w:tcPr>
            <w:tcW w:w="1559" w:type="dxa"/>
            <w:vAlign w:val="center"/>
            <w:hideMark/>
          </w:tcPr>
          <w:p w:rsidR="00F76AD1" w:rsidRPr="0044507C" w:rsidRDefault="00F76AD1" w:rsidP="00F76AD1">
            <w:pPr>
              <w:ind w:left="0"/>
              <w:rPr>
                <w:rFonts w:ascii="Bookman Old Style" w:hAnsi="Bookman Old Style" w:cs="Arial"/>
                <w:b/>
                <w:sz w:val="22"/>
              </w:rPr>
            </w:pPr>
            <w:r w:rsidRPr="0044507C">
              <w:rPr>
                <w:rFonts w:ascii="Bookman Old Style" w:hAnsi="Bookman Old Style" w:cs="Arial"/>
                <w:b/>
                <w:sz w:val="22"/>
              </w:rPr>
              <w:t>Visible para</w:t>
            </w:r>
          </w:p>
        </w:tc>
      </w:tr>
      <w:tr w:rsidR="008B24BA" w:rsidRPr="00EA3B2E" w:rsidTr="00F95DF1">
        <w:trPr>
          <w:trHeight w:val="584"/>
        </w:trPr>
        <w:tc>
          <w:tcPr>
            <w:tcW w:w="709" w:type="dxa"/>
            <w:vAlign w:val="center"/>
          </w:tcPr>
          <w:p w:rsidR="008B24BA" w:rsidRPr="00081E66" w:rsidRDefault="00EA7ACD" w:rsidP="0044507C">
            <w:pPr>
              <w:ind w:left="0"/>
              <w:jc w:val="center"/>
              <w:rPr>
                <w:rFonts w:ascii="Bookman Old Style" w:hAnsi="Bookman Old Style" w:cs="Arial"/>
                <w:color w:val="000000"/>
                <w:kern w:val="24"/>
                <w:sz w:val="16"/>
                <w:szCs w:val="20"/>
                <w:lang w:eastAsia="es-MX"/>
              </w:rPr>
            </w:pPr>
            <w:r w:rsidRPr="00081E66">
              <w:rPr>
                <w:rFonts w:ascii="Bookman Old Style" w:hAnsi="Bookman Old Style" w:cs="Arial"/>
                <w:color w:val="000000"/>
                <w:kern w:val="24"/>
                <w:sz w:val="16"/>
                <w:szCs w:val="20"/>
                <w:lang w:eastAsia="es-MX"/>
              </w:rPr>
              <w:t>MP1</w:t>
            </w:r>
          </w:p>
        </w:tc>
        <w:tc>
          <w:tcPr>
            <w:tcW w:w="3544" w:type="dxa"/>
            <w:vAlign w:val="center"/>
          </w:tcPr>
          <w:p w:rsidR="008B24BA" w:rsidRPr="007A6B2D" w:rsidRDefault="00D47C83" w:rsidP="008B24BA">
            <w:pPr>
              <w:ind w:left="0"/>
              <w:rPr>
                <w:rFonts w:ascii="Bookman Old Style" w:hAnsi="Bookman Old Style"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PTDV+CIDV</m:t>
                    </m:r>
                  </m:num>
                  <m:den>
                    <m:r>
                      <m:rPr>
                        <m:sty m:val="p"/>
                      </m:rPr>
                      <w:rPr>
                        <w:rFonts w:ascii="Cambria Math" w:hAnsi="Cambria Math" w:cs="Arial"/>
                        <w:sz w:val="18"/>
                        <w:lang w:val="en-US" w:eastAsia="es-MX"/>
                      </w:rPr>
                      <m:t xml:space="preserve">PP </m:t>
                    </m:r>
                  </m:den>
                </m:f>
              </m:oMath>
            </m:oMathPara>
          </w:p>
          <w:p w:rsidR="007A6B2D" w:rsidRPr="00C077B0" w:rsidRDefault="007A6B2D" w:rsidP="008B24BA">
            <w:pPr>
              <w:ind w:left="0"/>
              <w:rPr>
                <w:rFonts w:ascii="Bookman Old Style" w:hAnsi="Bookman Old Style" w:cs="Arial"/>
                <w:sz w:val="20"/>
                <w:lang w:val="en-US" w:eastAsia="es-MX"/>
              </w:rPr>
            </w:pPr>
          </w:p>
          <w:p w:rsidR="008B24BA" w:rsidRPr="008B24BA" w:rsidRDefault="008B24BA" w:rsidP="007A6B2D">
            <w:pPr>
              <w:ind w:left="34" w:hanging="34"/>
              <w:rPr>
                <w:rFonts w:ascii="Bookman Old Style" w:hAnsi="Bookman Old Style" w:cs="Arial"/>
                <w:sz w:val="18"/>
                <w:lang w:val="es-MX" w:eastAsia="es-MX"/>
              </w:rPr>
            </w:pPr>
          </w:p>
        </w:tc>
        <w:tc>
          <w:tcPr>
            <w:tcW w:w="3544" w:type="dxa"/>
            <w:vAlign w:val="center"/>
          </w:tcPr>
          <w:p w:rsidR="008B24BA" w:rsidRPr="00EA7ACD" w:rsidRDefault="008B24BA" w:rsidP="007A6B2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Antes del proceso de negociación previsto en el artículo 24 de la Resolución CREG 089 de 2013, calcular:</w:t>
            </w:r>
          </w:p>
          <w:p w:rsidR="008B24BA" w:rsidRPr="00EA7ACD" w:rsidRDefault="008B24BA" w:rsidP="007A6B2D">
            <w:pPr>
              <w:jc w:val="both"/>
              <w:rPr>
                <w:rFonts w:ascii="Bookman Old Style" w:eastAsia="Calibri" w:hAnsi="Bookman Old Style" w:cs="Arial"/>
                <w:color w:val="000000"/>
                <w:kern w:val="24"/>
                <w:sz w:val="20"/>
                <w:szCs w:val="20"/>
                <w:lang w:eastAsia="es-MX"/>
              </w:rPr>
            </w:pPr>
          </w:p>
          <w:p w:rsidR="008B24BA" w:rsidRPr="00EA7ACD" w:rsidRDefault="008B24BA" w:rsidP="007A6B2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Producción total disponible para la venta </w:t>
            </w:r>
            <w:r w:rsidR="007A6B2D" w:rsidRPr="00EA7ACD">
              <w:rPr>
                <w:rFonts w:ascii="Bookman Old Style" w:eastAsia="Calibri" w:hAnsi="Bookman Old Style" w:cs="Arial"/>
                <w:color w:val="000000"/>
                <w:kern w:val="24"/>
                <w:sz w:val="20"/>
                <w:szCs w:val="20"/>
                <w:lang w:eastAsia="es-MX"/>
              </w:rPr>
              <w:t xml:space="preserve">PTDV </w:t>
            </w:r>
            <w:r w:rsidR="003D410A">
              <w:rPr>
                <w:rFonts w:ascii="Bookman Old Style" w:eastAsia="Calibri" w:hAnsi="Bookman Old Style" w:cs="Arial"/>
                <w:color w:val="000000"/>
                <w:kern w:val="24"/>
                <w:sz w:val="20"/>
                <w:szCs w:val="20"/>
                <w:lang w:eastAsia="es-MX"/>
              </w:rPr>
              <w:t xml:space="preserve">y </w:t>
            </w:r>
            <w:r w:rsidR="003D410A" w:rsidRPr="00EA7ACD">
              <w:rPr>
                <w:rFonts w:ascii="Bookman Old Style" w:hAnsi="Bookman Old Style" w:cs="Arial"/>
                <w:sz w:val="20"/>
                <w:szCs w:val="20"/>
                <w:lang w:val="es-CO" w:eastAsia="es-MX"/>
              </w:rPr>
              <w:t>cantidades</w:t>
            </w:r>
            <w:r w:rsidR="007A6B2D" w:rsidRPr="00EA7ACD">
              <w:rPr>
                <w:rFonts w:ascii="Bookman Old Style" w:hAnsi="Bookman Old Style" w:cs="Arial"/>
                <w:sz w:val="20"/>
                <w:szCs w:val="20"/>
                <w:lang w:val="es-CO" w:eastAsia="es-MX"/>
              </w:rPr>
              <w:t xml:space="preserve"> de gas importadas disponible</w:t>
            </w:r>
            <w:r w:rsidR="003608DD">
              <w:rPr>
                <w:rFonts w:ascii="Bookman Old Style" w:hAnsi="Bookman Old Style" w:cs="Arial"/>
                <w:sz w:val="20"/>
                <w:szCs w:val="20"/>
                <w:lang w:val="es-CO" w:eastAsia="es-MX"/>
              </w:rPr>
              <w:t>s</w:t>
            </w:r>
            <w:r w:rsidR="007A6B2D" w:rsidRPr="00EA7ACD">
              <w:rPr>
                <w:rFonts w:ascii="Bookman Old Style" w:hAnsi="Bookman Old Style" w:cs="Arial"/>
                <w:sz w:val="20"/>
                <w:szCs w:val="20"/>
                <w:lang w:val="es-CO" w:eastAsia="es-MX"/>
              </w:rPr>
              <w:t xml:space="preserve"> para la venta </w:t>
            </w:r>
            <w:r w:rsidR="003608DD">
              <w:rPr>
                <w:rFonts w:ascii="Bookman Old Style" w:hAnsi="Bookman Old Style" w:cs="Arial"/>
                <w:sz w:val="20"/>
                <w:szCs w:val="20"/>
                <w:lang w:val="es-CO" w:eastAsia="es-MX"/>
              </w:rPr>
              <w:t>C</w:t>
            </w:r>
            <w:r w:rsidR="007A6B2D" w:rsidRPr="00EA7ACD">
              <w:rPr>
                <w:rFonts w:ascii="Bookman Old Style" w:hAnsi="Bookman Old Style" w:cs="Arial"/>
                <w:sz w:val="20"/>
                <w:szCs w:val="20"/>
                <w:lang w:val="es-CO" w:eastAsia="es-MX"/>
              </w:rPr>
              <w:t xml:space="preserve">IDV </w:t>
            </w:r>
            <w:r w:rsidR="007A6B2D" w:rsidRPr="00EA7ACD">
              <w:rPr>
                <w:rFonts w:ascii="Bookman Old Style" w:hAnsi="Bookman Old Style" w:cs="Arial"/>
                <w:sz w:val="20"/>
                <w:szCs w:val="20"/>
                <w:lang w:val="es-MX" w:eastAsia="es-MX"/>
              </w:rPr>
              <w:t xml:space="preserve">en relación </w:t>
            </w:r>
            <w:r w:rsidRPr="00EA7ACD">
              <w:rPr>
                <w:rFonts w:ascii="Bookman Old Style" w:eastAsia="Calibri" w:hAnsi="Bookman Old Style" w:cs="Arial"/>
                <w:color w:val="000000"/>
                <w:kern w:val="24"/>
                <w:sz w:val="20"/>
                <w:szCs w:val="20"/>
                <w:lang w:eastAsia="es-MX"/>
              </w:rPr>
              <w:t>con</w:t>
            </w:r>
            <w:r w:rsidR="007A6B2D" w:rsidRPr="00EA7ACD">
              <w:rPr>
                <w:rFonts w:ascii="Bookman Old Style" w:eastAsia="Calibri" w:hAnsi="Bookman Old Style" w:cs="Arial"/>
                <w:color w:val="000000"/>
                <w:kern w:val="24"/>
                <w:sz w:val="20"/>
                <w:szCs w:val="20"/>
                <w:lang w:eastAsia="es-MX"/>
              </w:rPr>
              <w:t xml:space="preserve"> el </w:t>
            </w:r>
            <w:r w:rsidRPr="00EA7ACD">
              <w:rPr>
                <w:rFonts w:ascii="Bookman Old Style" w:eastAsia="Calibri" w:hAnsi="Bookman Old Style" w:cs="Arial"/>
                <w:color w:val="000000"/>
                <w:kern w:val="24"/>
                <w:sz w:val="20"/>
                <w:szCs w:val="20"/>
                <w:lang w:eastAsia="es-MX"/>
              </w:rPr>
              <w:t xml:space="preserve"> potencial de producción</w:t>
            </w:r>
            <w:r w:rsidR="007A6B2D" w:rsidRPr="00EA7ACD">
              <w:rPr>
                <w:rFonts w:ascii="Bookman Old Style" w:eastAsia="Calibri" w:hAnsi="Bookman Old Style" w:cs="Arial"/>
                <w:color w:val="000000"/>
                <w:kern w:val="24"/>
                <w:sz w:val="20"/>
                <w:szCs w:val="20"/>
                <w:lang w:eastAsia="es-MX"/>
              </w:rPr>
              <w:t xml:space="preserve"> PP, </w:t>
            </w:r>
            <w:r w:rsidR="007A6B2D" w:rsidRPr="00EA7ACD">
              <w:rPr>
                <w:rFonts w:ascii="Bookman Old Style" w:eastAsia="Calibri" w:hAnsi="Bookman Old Style" w:cs="Arial"/>
                <w:color w:val="000000"/>
                <w:kern w:val="24"/>
                <w:sz w:val="20"/>
                <w:szCs w:val="20"/>
                <w:lang w:eastAsia="es-MX"/>
              </w:rPr>
              <w:lastRenderedPageBreak/>
              <w:t xml:space="preserve">según las </w:t>
            </w:r>
            <w:r w:rsidRPr="00EA7ACD">
              <w:rPr>
                <w:rFonts w:ascii="Bookman Old Style" w:eastAsia="Calibri" w:hAnsi="Bookman Old Style" w:cs="Arial"/>
                <w:color w:val="000000"/>
                <w:kern w:val="24"/>
                <w:sz w:val="20"/>
                <w:szCs w:val="20"/>
                <w:lang w:eastAsia="es-MX"/>
              </w:rPr>
              <w:t xml:space="preserve"> </w:t>
            </w:r>
            <w:r w:rsidR="007A6B2D" w:rsidRPr="00EA7ACD">
              <w:rPr>
                <w:rFonts w:ascii="Bookman Old Style" w:hAnsi="Bookman Old Style" w:cs="Arial"/>
                <w:sz w:val="20"/>
                <w:szCs w:val="20"/>
                <w:lang w:val="es-MX" w:eastAsia="es-MX"/>
              </w:rPr>
              <w:t>definiciones del Decreto 2100 de 2011</w:t>
            </w:r>
            <w:r w:rsidR="00917FDF">
              <w:rPr>
                <w:rFonts w:ascii="Bookman Old Style" w:hAnsi="Bookman Old Style" w:cs="Arial"/>
                <w:sz w:val="20"/>
                <w:szCs w:val="20"/>
                <w:lang w:val="es-MX" w:eastAsia="es-MX"/>
              </w:rPr>
              <w:t xml:space="preserve"> compilado por el Decreto 1073 de 2015.</w:t>
            </w:r>
            <w:r w:rsidR="00652AB1">
              <w:rPr>
                <w:rFonts w:ascii="Bookman Old Style" w:hAnsi="Bookman Old Style" w:cs="Arial"/>
                <w:sz w:val="20"/>
                <w:szCs w:val="20"/>
                <w:lang w:val="es-MX" w:eastAsia="es-MX"/>
              </w:rPr>
              <w:t xml:space="preserve"> </w:t>
            </w:r>
          </w:p>
          <w:p w:rsidR="007A6B2D" w:rsidRPr="00EA7ACD" w:rsidRDefault="007A6B2D" w:rsidP="007A6B2D">
            <w:pPr>
              <w:ind w:left="0"/>
              <w:jc w:val="both"/>
              <w:rPr>
                <w:rFonts w:ascii="Bookman Old Style" w:eastAsia="Calibri" w:hAnsi="Bookman Old Style" w:cs="Arial"/>
                <w:color w:val="000000"/>
                <w:kern w:val="24"/>
                <w:sz w:val="20"/>
                <w:szCs w:val="20"/>
                <w:lang w:eastAsia="es-MX"/>
              </w:rPr>
            </w:pPr>
          </w:p>
          <w:p w:rsidR="008B24BA" w:rsidRPr="00EA7ACD" w:rsidRDefault="008B24BA" w:rsidP="007A6B2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Est</w:t>
            </w:r>
            <w:r w:rsidR="00933ACF" w:rsidRPr="00EA7ACD">
              <w:rPr>
                <w:rFonts w:ascii="Bookman Old Style" w:eastAsia="Calibri" w:hAnsi="Bookman Old Style" w:cs="Arial"/>
                <w:color w:val="000000"/>
                <w:kern w:val="24"/>
                <w:sz w:val="20"/>
                <w:szCs w:val="20"/>
                <w:lang w:eastAsia="es-MX"/>
              </w:rPr>
              <w:t>e indicador debe</w:t>
            </w:r>
            <w:r w:rsidRPr="00EA7ACD">
              <w:rPr>
                <w:rFonts w:ascii="Bookman Old Style" w:eastAsia="Calibri" w:hAnsi="Bookman Old Style" w:cs="Arial"/>
                <w:color w:val="000000"/>
                <w:kern w:val="24"/>
                <w:sz w:val="20"/>
                <w:szCs w:val="20"/>
                <w:lang w:eastAsia="es-MX"/>
              </w:rPr>
              <w:t xml:space="preserve"> calcularse de manera nacional (i.e. agregado) y por fuente y por productor</w:t>
            </w:r>
            <w:r w:rsidR="00652AB1">
              <w:rPr>
                <w:rFonts w:ascii="Bookman Old Style" w:eastAsia="Calibri" w:hAnsi="Bookman Old Style" w:cs="Arial"/>
                <w:color w:val="000000"/>
                <w:kern w:val="24"/>
                <w:sz w:val="20"/>
                <w:szCs w:val="20"/>
                <w:lang w:eastAsia="es-MX"/>
              </w:rPr>
              <w:t xml:space="preserve"> considerando</w:t>
            </w:r>
            <w:r w:rsidR="00652AB1">
              <w:rPr>
                <w:rFonts w:ascii="Bookman Old Style" w:hAnsi="Bookman Old Style" w:cs="Arial"/>
                <w:sz w:val="20"/>
                <w:szCs w:val="20"/>
                <w:lang w:val="es-MX" w:eastAsia="es-MX"/>
              </w:rPr>
              <w:t xml:space="preserve"> las declaraciones publicadas por el Ministerio de Minas y Energía.</w:t>
            </w:r>
          </w:p>
          <w:p w:rsidR="008B24BA" w:rsidRPr="00EA7ACD" w:rsidRDefault="008B24BA" w:rsidP="007A6B2D">
            <w:pPr>
              <w:jc w:val="both"/>
              <w:rPr>
                <w:rFonts w:ascii="Bookman Old Style" w:eastAsia="Calibri" w:hAnsi="Bookman Old Style" w:cs="Arial"/>
                <w:b/>
                <w:color w:val="000000"/>
                <w:kern w:val="24"/>
                <w:sz w:val="20"/>
                <w:szCs w:val="20"/>
                <w:lang w:eastAsia="es-MX"/>
              </w:rPr>
            </w:pPr>
          </w:p>
          <w:p w:rsidR="008B24BA" w:rsidRPr="00EA7ACD" w:rsidRDefault="008B24BA" w:rsidP="007A6B2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antes del proceso de negociación.</w:t>
            </w:r>
          </w:p>
          <w:p w:rsidR="008B24BA" w:rsidRPr="00EA7ACD" w:rsidRDefault="008B24BA" w:rsidP="007A6B2D">
            <w:pPr>
              <w:jc w:val="both"/>
              <w:rPr>
                <w:rFonts w:ascii="Bookman Old Style" w:eastAsia="Calibri" w:hAnsi="Bookman Old Style" w:cs="Arial"/>
                <w:color w:val="000000"/>
                <w:kern w:val="24"/>
                <w:sz w:val="20"/>
                <w:szCs w:val="20"/>
                <w:lang w:eastAsia="es-MX"/>
              </w:rPr>
            </w:pPr>
          </w:p>
          <w:p w:rsidR="00933ACF" w:rsidRPr="00EA7ACD" w:rsidRDefault="008B24BA"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haya declaración de las variables PP, PTDV y CIDV.</w:t>
            </w:r>
          </w:p>
        </w:tc>
        <w:tc>
          <w:tcPr>
            <w:tcW w:w="1559" w:type="dxa"/>
          </w:tcPr>
          <w:p w:rsidR="00620147"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 xml:space="preserve">Los indicadores nacional y por fuente para el público general y los indicadores por productor </w:t>
            </w:r>
            <w:r>
              <w:rPr>
                <w:rFonts w:ascii="Bookman Old Style" w:eastAsia="Calibri" w:hAnsi="Bookman Old Style" w:cs="Arial"/>
                <w:color w:val="000000"/>
                <w:kern w:val="24"/>
                <w:sz w:val="20"/>
                <w:szCs w:val="20"/>
                <w:lang w:eastAsia="es-MX"/>
              </w:rPr>
              <w:lastRenderedPageBreak/>
              <w:t>para la SSPD, SIC y CREG</w:t>
            </w:r>
          </w:p>
          <w:p w:rsidR="008B24BA" w:rsidRPr="00EA7ACD" w:rsidRDefault="008B24BA" w:rsidP="00F95DF1">
            <w:pPr>
              <w:ind w:left="0"/>
              <w:contextualSpacing/>
              <w:jc w:val="center"/>
              <w:rPr>
                <w:rFonts w:ascii="Bookman Old Style" w:eastAsia="Calibri" w:hAnsi="Bookman Old Style" w:cs="Arial"/>
                <w:color w:val="000000"/>
                <w:kern w:val="24"/>
                <w:sz w:val="20"/>
                <w:szCs w:val="20"/>
                <w:lang w:eastAsia="es-MX"/>
              </w:rPr>
            </w:pPr>
          </w:p>
        </w:tc>
      </w:tr>
      <w:tr w:rsidR="008B24BA" w:rsidRPr="00EA3B2E" w:rsidTr="008B24BA">
        <w:trPr>
          <w:trHeight w:val="584"/>
        </w:trPr>
        <w:tc>
          <w:tcPr>
            <w:tcW w:w="709" w:type="dxa"/>
            <w:vAlign w:val="center"/>
          </w:tcPr>
          <w:p w:rsidR="008B24BA" w:rsidRPr="00EA3B2E" w:rsidRDefault="00EA7ACD" w:rsidP="0044507C">
            <w:pPr>
              <w:ind w:left="0"/>
              <w:jc w:val="center"/>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lastRenderedPageBreak/>
              <w:t>MP2</w:t>
            </w:r>
          </w:p>
        </w:tc>
        <w:tc>
          <w:tcPr>
            <w:tcW w:w="3544" w:type="dxa"/>
            <w:vAlign w:val="center"/>
          </w:tcPr>
          <w:p w:rsidR="008B24BA" w:rsidRPr="00933ACF" w:rsidRDefault="008B24BA" w:rsidP="008B24BA">
            <w:pPr>
              <w:rPr>
                <w:rFonts w:ascii="Bookman Old Style" w:hAnsi="Bookman Old Style" w:cs="Arial"/>
                <w:sz w:val="20"/>
                <w:lang w:val="es-MX" w:eastAsia="es-MX"/>
              </w:rPr>
            </w:pPr>
          </w:p>
          <w:p w:rsidR="008B24BA" w:rsidRPr="00C077B0" w:rsidRDefault="00D47C83" w:rsidP="008B24BA">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PTDVF+CIDVF</m:t>
                    </m:r>
                  </m:num>
                  <m:den>
                    <m:r>
                      <m:rPr>
                        <m:sty m:val="p"/>
                      </m:rPr>
                      <w:rPr>
                        <w:rFonts w:ascii="Cambria Math" w:hAnsi="Cambria Math" w:cs="Arial"/>
                        <w:sz w:val="18"/>
                        <w:lang w:val="en-US" w:eastAsia="es-MX"/>
                      </w:rPr>
                      <m:t>PTDV+ CIDV</m:t>
                    </m:r>
                  </m:den>
                </m:f>
              </m:oMath>
            </m:oMathPara>
          </w:p>
          <w:p w:rsidR="00DC57CD" w:rsidRPr="0044507C" w:rsidRDefault="00DC57CD" w:rsidP="00DC57CD">
            <w:pPr>
              <w:ind w:left="0" w:firstLine="34"/>
              <w:rPr>
                <w:rFonts w:ascii="Bookman Old Style" w:hAnsi="Bookman Old Style" w:cs="Arial"/>
                <w:sz w:val="18"/>
                <w:lang w:val="es-CO" w:eastAsia="es-MX"/>
              </w:rPr>
            </w:pPr>
          </w:p>
        </w:tc>
        <w:tc>
          <w:tcPr>
            <w:tcW w:w="3544" w:type="dxa"/>
            <w:vAlign w:val="center"/>
          </w:tcPr>
          <w:p w:rsidR="00DC57CD" w:rsidRPr="00EA7ACD" w:rsidRDefault="00DC57CD" w:rsidP="00DC57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Antes del proceso de negociación previsto en el artículo 24 de la Resolución CREG 089 de 2013, calcular:</w:t>
            </w:r>
          </w:p>
          <w:p w:rsidR="00DC57CD" w:rsidRPr="00EA7ACD" w:rsidRDefault="00DC57CD" w:rsidP="008B24BA">
            <w:pPr>
              <w:ind w:left="0"/>
              <w:contextualSpacing/>
              <w:jc w:val="both"/>
              <w:rPr>
                <w:rFonts w:ascii="Bookman Old Style" w:eastAsia="Calibri" w:hAnsi="Bookman Old Style" w:cs="Arial"/>
                <w:color w:val="000000"/>
                <w:kern w:val="24"/>
                <w:sz w:val="20"/>
                <w:szCs w:val="20"/>
                <w:lang w:eastAsia="es-MX"/>
              </w:rPr>
            </w:pPr>
          </w:p>
          <w:p w:rsidR="002B1EFD" w:rsidRPr="00EA7ACD" w:rsidRDefault="002B1EFD" w:rsidP="002B1EF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P</w:t>
            </w:r>
            <w:r w:rsidR="008B24BA" w:rsidRPr="00EA7ACD">
              <w:rPr>
                <w:rFonts w:ascii="Bookman Old Style" w:eastAsia="Calibri" w:hAnsi="Bookman Old Style" w:cs="Arial"/>
                <w:color w:val="000000"/>
                <w:kern w:val="24"/>
                <w:sz w:val="20"/>
                <w:szCs w:val="20"/>
                <w:lang w:eastAsia="es-MX"/>
              </w:rPr>
              <w:t>roducción total disponible para la venta en firme</w:t>
            </w:r>
            <w:r w:rsidRPr="00EA7ACD">
              <w:rPr>
                <w:rFonts w:ascii="Bookman Old Style" w:eastAsia="Calibri" w:hAnsi="Bookman Old Style" w:cs="Arial"/>
                <w:color w:val="000000"/>
                <w:kern w:val="24"/>
                <w:sz w:val="20"/>
                <w:szCs w:val="20"/>
                <w:lang w:eastAsia="es-MX"/>
              </w:rPr>
              <w:t xml:space="preserve"> PTDVF </w:t>
            </w:r>
            <w:r w:rsidR="003D410A">
              <w:rPr>
                <w:rFonts w:ascii="Bookman Old Style" w:eastAsia="Calibri" w:hAnsi="Bookman Old Style" w:cs="Arial"/>
                <w:color w:val="000000"/>
                <w:kern w:val="24"/>
                <w:sz w:val="20"/>
                <w:szCs w:val="20"/>
                <w:lang w:eastAsia="es-MX"/>
              </w:rPr>
              <w:t>y</w:t>
            </w:r>
            <w:r w:rsidRPr="00EA7ACD">
              <w:rPr>
                <w:rFonts w:ascii="Bookman Old Style" w:eastAsia="Calibri" w:hAnsi="Bookman Old Style" w:cs="Arial"/>
                <w:color w:val="000000"/>
                <w:kern w:val="24"/>
                <w:sz w:val="20"/>
                <w:szCs w:val="20"/>
                <w:lang w:eastAsia="es-MX"/>
              </w:rPr>
              <w:t xml:space="preserve"> cantidades importadas disponibles para la venta en firme CIDVF </w:t>
            </w:r>
            <w:r w:rsidR="008B24BA" w:rsidRPr="00EA7ACD">
              <w:rPr>
                <w:rFonts w:ascii="Bookman Old Style" w:eastAsia="Calibri" w:hAnsi="Bookman Old Style" w:cs="Arial"/>
                <w:color w:val="000000"/>
                <w:kern w:val="24"/>
                <w:sz w:val="20"/>
                <w:szCs w:val="20"/>
                <w:lang w:eastAsia="es-MX"/>
              </w:rPr>
              <w:t xml:space="preserve">en relación con la producción total disponible </w:t>
            </w:r>
            <w:r w:rsidR="00DC57CD" w:rsidRPr="00EA7ACD">
              <w:rPr>
                <w:rFonts w:ascii="Bookman Old Style" w:eastAsia="Calibri" w:hAnsi="Bookman Old Style" w:cs="Arial"/>
                <w:color w:val="000000"/>
                <w:kern w:val="24"/>
                <w:sz w:val="20"/>
                <w:szCs w:val="20"/>
                <w:lang w:eastAsia="es-MX"/>
              </w:rPr>
              <w:t>para venta</w:t>
            </w:r>
            <w:r w:rsidRPr="00EA7ACD">
              <w:rPr>
                <w:rFonts w:ascii="Bookman Old Style" w:eastAsia="Calibri" w:hAnsi="Bookman Old Style" w:cs="Arial"/>
                <w:color w:val="000000"/>
                <w:kern w:val="24"/>
                <w:sz w:val="20"/>
                <w:szCs w:val="20"/>
                <w:lang w:eastAsia="es-MX"/>
              </w:rPr>
              <w:t xml:space="preserve"> PTDV </w:t>
            </w:r>
            <w:r w:rsidR="003608DD">
              <w:rPr>
                <w:rFonts w:ascii="Bookman Old Style" w:eastAsia="Calibri" w:hAnsi="Bookman Old Style" w:cs="Arial"/>
                <w:color w:val="000000"/>
                <w:kern w:val="24"/>
                <w:sz w:val="20"/>
                <w:szCs w:val="20"/>
                <w:lang w:eastAsia="es-MX"/>
              </w:rPr>
              <w:t>y las c</w:t>
            </w:r>
            <w:r w:rsidRPr="00EA7ACD">
              <w:rPr>
                <w:rFonts w:ascii="Bookman Old Style" w:eastAsia="Calibri" w:hAnsi="Bookman Old Style" w:cs="Arial"/>
                <w:color w:val="000000"/>
                <w:kern w:val="24"/>
                <w:sz w:val="20"/>
                <w:szCs w:val="20"/>
                <w:lang w:eastAsia="es-MX"/>
              </w:rPr>
              <w:t>antidades de gas importadas disponible</w:t>
            </w:r>
            <w:r w:rsidR="003608DD">
              <w:rPr>
                <w:rFonts w:ascii="Bookman Old Style" w:eastAsia="Calibri" w:hAnsi="Bookman Old Style" w:cs="Arial"/>
                <w:color w:val="000000"/>
                <w:kern w:val="24"/>
                <w:sz w:val="20"/>
                <w:szCs w:val="20"/>
                <w:lang w:eastAsia="es-MX"/>
              </w:rPr>
              <w:t>s</w:t>
            </w:r>
            <w:r w:rsidRPr="00EA7ACD">
              <w:rPr>
                <w:rFonts w:ascii="Bookman Old Style" w:eastAsia="Calibri" w:hAnsi="Bookman Old Style" w:cs="Arial"/>
                <w:color w:val="000000"/>
                <w:kern w:val="24"/>
                <w:sz w:val="20"/>
                <w:szCs w:val="20"/>
                <w:lang w:eastAsia="es-MX"/>
              </w:rPr>
              <w:t xml:space="preserve"> para la venta</w:t>
            </w:r>
            <w:r w:rsidR="003608DD">
              <w:rPr>
                <w:rFonts w:ascii="Bookman Old Style" w:eastAsia="Calibri" w:hAnsi="Bookman Old Style" w:cs="Arial"/>
                <w:color w:val="000000"/>
                <w:kern w:val="24"/>
                <w:sz w:val="20"/>
                <w:szCs w:val="20"/>
                <w:lang w:eastAsia="es-MX"/>
              </w:rPr>
              <w:t xml:space="preserve"> firme</w:t>
            </w:r>
            <w:r w:rsidRPr="00EA7ACD">
              <w:rPr>
                <w:rFonts w:ascii="Bookman Old Style" w:eastAsia="Calibri" w:hAnsi="Bookman Old Style" w:cs="Arial"/>
                <w:color w:val="000000"/>
                <w:kern w:val="24"/>
                <w:sz w:val="20"/>
                <w:szCs w:val="20"/>
                <w:lang w:eastAsia="es-MX"/>
              </w:rPr>
              <w:t xml:space="preserve"> CIDVF, según las definic</w:t>
            </w:r>
            <w:r w:rsidR="003608DD">
              <w:rPr>
                <w:rFonts w:ascii="Bookman Old Style" w:eastAsia="Calibri" w:hAnsi="Bookman Old Style" w:cs="Arial"/>
                <w:color w:val="000000"/>
                <w:kern w:val="24"/>
                <w:sz w:val="20"/>
                <w:szCs w:val="20"/>
                <w:lang w:eastAsia="es-MX"/>
              </w:rPr>
              <w:t xml:space="preserve">iones del Decreto 2100 de 2011 </w:t>
            </w:r>
            <w:r w:rsidR="00917FDF">
              <w:rPr>
                <w:rFonts w:ascii="Bookman Old Style" w:hAnsi="Bookman Old Style" w:cs="Arial"/>
                <w:sz w:val="20"/>
                <w:szCs w:val="20"/>
                <w:lang w:val="es-MX" w:eastAsia="es-MX"/>
              </w:rPr>
              <w:t>compilado por el Decreto 1073 de 2015</w:t>
            </w:r>
            <w:r w:rsidR="00917FDF" w:rsidRPr="00EA7ACD">
              <w:rPr>
                <w:rFonts w:ascii="Bookman Old Style" w:hAnsi="Bookman Old Style" w:cs="Arial"/>
                <w:sz w:val="20"/>
                <w:szCs w:val="20"/>
                <w:lang w:val="es-MX" w:eastAsia="es-MX"/>
              </w:rPr>
              <w:t xml:space="preserve"> </w:t>
            </w:r>
            <w:r w:rsidR="003608DD">
              <w:rPr>
                <w:rFonts w:ascii="Bookman Old Style" w:eastAsia="Calibri" w:hAnsi="Bookman Old Style" w:cs="Arial"/>
                <w:color w:val="000000"/>
                <w:kern w:val="24"/>
                <w:sz w:val="20"/>
                <w:szCs w:val="20"/>
                <w:lang w:eastAsia="es-MX"/>
              </w:rPr>
              <w:t>y</w:t>
            </w:r>
            <w:r w:rsidRPr="00EA7ACD">
              <w:rPr>
                <w:rFonts w:ascii="Bookman Old Style" w:eastAsia="Calibri" w:hAnsi="Bookman Old Style" w:cs="Arial"/>
                <w:color w:val="000000"/>
                <w:kern w:val="24"/>
                <w:sz w:val="20"/>
                <w:szCs w:val="20"/>
                <w:lang w:eastAsia="es-MX"/>
              </w:rPr>
              <w:t xml:space="preserve"> la Resolución CREG 089 de 2013.</w:t>
            </w:r>
          </w:p>
          <w:p w:rsidR="00DC57CD" w:rsidRPr="00EA7ACD" w:rsidRDefault="00DC57CD" w:rsidP="008B24BA">
            <w:pPr>
              <w:ind w:left="0"/>
              <w:jc w:val="both"/>
              <w:rPr>
                <w:rFonts w:ascii="Bookman Old Style" w:eastAsia="Calibri" w:hAnsi="Bookman Old Style" w:cs="Arial"/>
                <w:color w:val="000000"/>
                <w:kern w:val="24"/>
                <w:sz w:val="20"/>
                <w:szCs w:val="20"/>
                <w:lang w:eastAsia="es-MX"/>
              </w:rPr>
            </w:pPr>
          </w:p>
          <w:p w:rsidR="00DC57CD" w:rsidRPr="00EA7ACD" w:rsidRDefault="00DC57CD" w:rsidP="00DC57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Este indicador debe calcularse de manera nacional (i.e. agregado) y por fuente y por productor</w:t>
            </w:r>
            <w:r w:rsidR="00652AB1">
              <w:rPr>
                <w:rFonts w:ascii="Bookman Old Style" w:eastAsia="Calibri" w:hAnsi="Bookman Old Style" w:cs="Arial"/>
                <w:color w:val="000000"/>
                <w:kern w:val="24"/>
                <w:sz w:val="20"/>
                <w:szCs w:val="20"/>
                <w:lang w:eastAsia="es-MX"/>
              </w:rPr>
              <w:t>, considerando</w:t>
            </w:r>
            <w:r w:rsidR="00652AB1">
              <w:rPr>
                <w:rFonts w:ascii="Bookman Old Style" w:hAnsi="Bookman Old Style" w:cs="Arial"/>
                <w:sz w:val="20"/>
                <w:szCs w:val="20"/>
                <w:lang w:val="es-MX" w:eastAsia="es-MX"/>
              </w:rPr>
              <w:t xml:space="preserve"> las declaraciones publicadas por el Ministerio de Minas y Energía.</w:t>
            </w:r>
          </w:p>
          <w:p w:rsidR="00DC57CD" w:rsidRPr="00EA7ACD" w:rsidRDefault="00DC57CD" w:rsidP="00DC57CD">
            <w:pPr>
              <w:jc w:val="both"/>
              <w:rPr>
                <w:rFonts w:ascii="Bookman Old Style" w:eastAsia="Calibri" w:hAnsi="Bookman Old Style" w:cs="Arial"/>
                <w:b/>
                <w:color w:val="000000"/>
                <w:kern w:val="24"/>
                <w:sz w:val="20"/>
                <w:szCs w:val="20"/>
                <w:lang w:eastAsia="es-MX"/>
              </w:rPr>
            </w:pPr>
          </w:p>
          <w:p w:rsidR="00DC57CD" w:rsidRPr="00EA7ACD" w:rsidRDefault="00DC57CD" w:rsidP="00DC57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antes del proceso de negociación.</w:t>
            </w:r>
          </w:p>
          <w:p w:rsidR="00DC57CD" w:rsidRPr="00EA7ACD" w:rsidRDefault="00DC57CD" w:rsidP="00DC57CD">
            <w:pPr>
              <w:jc w:val="both"/>
              <w:rPr>
                <w:rFonts w:ascii="Bookman Old Style" w:eastAsia="Calibri" w:hAnsi="Bookman Old Style" w:cs="Arial"/>
                <w:color w:val="000000"/>
                <w:kern w:val="24"/>
                <w:sz w:val="20"/>
                <w:szCs w:val="20"/>
                <w:lang w:eastAsia="es-MX"/>
              </w:rPr>
            </w:pPr>
          </w:p>
          <w:p w:rsidR="00DC57CD" w:rsidRPr="00EA7ACD" w:rsidRDefault="00DC57CD" w:rsidP="00DC57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haya declaración de las variables PP, PTDV y CIDVF.</w:t>
            </w:r>
          </w:p>
          <w:p w:rsidR="008B24BA" w:rsidRPr="00EA7ACD" w:rsidRDefault="008B24BA" w:rsidP="008B24BA">
            <w:pPr>
              <w:pStyle w:val="Prrafodelista"/>
              <w:ind w:left="601"/>
              <w:contextualSpacing/>
              <w:jc w:val="both"/>
              <w:rPr>
                <w:rFonts w:ascii="Bookman Old Style" w:eastAsia="Calibri" w:hAnsi="Bookman Old Style" w:cs="Arial"/>
                <w:color w:val="000000"/>
                <w:kern w:val="24"/>
                <w:lang w:val="es-ES" w:eastAsia="es-MX"/>
              </w:rPr>
            </w:pPr>
          </w:p>
        </w:tc>
        <w:tc>
          <w:tcPr>
            <w:tcW w:w="1559" w:type="dxa"/>
            <w:vAlign w:val="center"/>
          </w:tcPr>
          <w:p w:rsidR="00620147" w:rsidRDefault="00620147" w:rsidP="00620147">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Los indicadores nacional y por fuente para el público general y los indicadores por productor para la SSPD, SIC y CREG</w:t>
            </w:r>
          </w:p>
          <w:p w:rsidR="008B24BA" w:rsidRPr="00EA7ACD" w:rsidRDefault="008B24BA" w:rsidP="00620147">
            <w:pPr>
              <w:ind w:left="0"/>
              <w:contextualSpacing/>
              <w:jc w:val="center"/>
              <w:rPr>
                <w:rFonts w:ascii="Bookman Old Style" w:eastAsia="Calibri" w:hAnsi="Bookman Old Style" w:cs="Arial"/>
                <w:color w:val="000000"/>
                <w:kern w:val="24"/>
                <w:sz w:val="20"/>
                <w:szCs w:val="20"/>
                <w:lang w:eastAsia="es-MX"/>
              </w:rPr>
            </w:pPr>
          </w:p>
        </w:tc>
      </w:tr>
      <w:tr w:rsidR="00F76AD1" w:rsidRPr="00EA3B2E" w:rsidTr="008B24BA">
        <w:trPr>
          <w:trHeight w:val="584"/>
        </w:trPr>
        <w:tc>
          <w:tcPr>
            <w:tcW w:w="709" w:type="dxa"/>
            <w:vAlign w:val="center"/>
          </w:tcPr>
          <w:p w:rsidR="00F76AD1" w:rsidRPr="00EA3B2E" w:rsidRDefault="00F76AD1" w:rsidP="00EA7ACD">
            <w:pPr>
              <w:ind w:left="0"/>
              <w:jc w:val="center"/>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w:t>
            </w:r>
            <w:r w:rsidR="00EA7ACD">
              <w:rPr>
                <w:rFonts w:ascii="Bookman Old Style" w:hAnsi="Bookman Old Style" w:cs="Arial"/>
                <w:color w:val="000000"/>
                <w:kern w:val="24"/>
                <w:sz w:val="16"/>
                <w:szCs w:val="20"/>
                <w:lang w:eastAsia="es-MX"/>
              </w:rPr>
              <w:t>3</w:t>
            </w:r>
          </w:p>
        </w:tc>
        <w:tc>
          <w:tcPr>
            <w:tcW w:w="3544" w:type="dxa"/>
            <w:vAlign w:val="center"/>
          </w:tcPr>
          <w:p w:rsidR="00F76AD1" w:rsidRPr="00C077B0" w:rsidRDefault="00F76AD1" w:rsidP="00F76AD1">
            <w:pPr>
              <w:rPr>
                <w:rFonts w:ascii="Bookman Old Style" w:hAnsi="Bookman Old Style" w:cs="Arial"/>
                <w:sz w:val="20"/>
                <w:lang w:val="en-US" w:eastAsia="es-MX"/>
              </w:rPr>
            </w:pPr>
          </w:p>
          <w:p w:rsidR="00F76AD1" w:rsidRPr="00DC57CD" w:rsidRDefault="00D47C83" w:rsidP="0044507C">
            <w:pPr>
              <w:ind w:left="0"/>
              <w:rPr>
                <w:rFonts w:ascii="Bookman Old Style" w:hAnsi="Bookman Old Style"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PTDVF+ CIDVF</m:t>
                    </m:r>
                  </m:num>
                  <m:den>
                    <m:r>
                      <m:rPr>
                        <m:sty m:val="p"/>
                      </m:rPr>
                      <w:rPr>
                        <w:rFonts w:ascii="Cambria Math" w:hAnsi="Cambria Math" w:cs="Arial"/>
                        <w:sz w:val="18"/>
                        <w:lang w:val="en-US" w:eastAsia="es-MX"/>
                      </w:rPr>
                      <m:t>PP</m:t>
                    </m:r>
                  </m:den>
                </m:f>
              </m:oMath>
            </m:oMathPara>
          </w:p>
          <w:p w:rsidR="00DC57CD" w:rsidRPr="00DC57CD" w:rsidRDefault="00DC57CD" w:rsidP="002B1EFD">
            <w:pPr>
              <w:ind w:left="34" w:hanging="34"/>
              <w:rPr>
                <w:rFonts w:ascii="Bookman Old Style" w:hAnsi="Bookman Old Style" w:cs="Arial"/>
                <w:sz w:val="20"/>
                <w:lang w:val="es-CO" w:eastAsia="es-MX"/>
              </w:rPr>
            </w:pPr>
          </w:p>
        </w:tc>
        <w:tc>
          <w:tcPr>
            <w:tcW w:w="3544" w:type="dxa"/>
            <w:vAlign w:val="center"/>
          </w:tcPr>
          <w:p w:rsidR="00DC57CD" w:rsidRPr="00EA7ACD" w:rsidRDefault="00DC57CD" w:rsidP="00DC57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Antes del proceso de negociación previsto en el artículo 24 de la Resolución CREG 089 de 2013, calcular:</w:t>
            </w:r>
          </w:p>
          <w:p w:rsidR="00DC57CD" w:rsidRPr="00EA7ACD" w:rsidRDefault="00DC57CD" w:rsidP="00DC57CD">
            <w:pPr>
              <w:ind w:left="0"/>
              <w:contextualSpacing/>
              <w:jc w:val="both"/>
              <w:rPr>
                <w:rFonts w:ascii="Bookman Old Style" w:eastAsia="Calibri" w:hAnsi="Bookman Old Style" w:cs="Arial"/>
                <w:color w:val="000000"/>
                <w:kern w:val="24"/>
                <w:sz w:val="20"/>
                <w:szCs w:val="20"/>
                <w:lang w:eastAsia="es-MX"/>
              </w:rPr>
            </w:pPr>
          </w:p>
          <w:p w:rsidR="00F76AD1" w:rsidRPr="00EA7ACD" w:rsidRDefault="00DC57CD" w:rsidP="00DC57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P</w:t>
            </w:r>
            <w:r w:rsidR="00F76AD1" w:rsidRPr="00EA7ACD">
              <w:rPr>
                <w:rFonts w:ascii="Bookman Old Style" w:eastAsia="Calibri" w:hAnsi="Bookman Old Style" w:cs="Arial"/>
                <w:color w:val="000000"/>
                <w:kern w:val="24"/>
                <w:sz w:val="20"/>
                <w:szCs w:val="20"/>
                <w:lang w:eastAsia="es-MX"/>
              </w:rPr>
              <w:t xml:space="preserve">roducción total disponible para </w:t>
            </w:r>
            <w:r w:rsidR="00F76AD1" w:rsidRPr="00EA7ACD">
              <w:rPr>
                <w:rFonts w:ascii="Bookman Old Style" w:eastAsia="Calibri" w:hAnsi="Bookman Old Style" w:cs="Arial"/>
                <w:color w:val="000000"/>
                <w:kern w:val="24"/>
                <w:sz w:val="20"/>
                <w:szCs w:val="20"/>
                <w:lang w:eastAsia="es-MX"/>
              </w:rPr>
              <w:lastRenderedPageBreak/>
              <w:t xml:space="preserve">la venta en firme </w:t>
            </w:r>
            <w:r w:rsidR="002B1EFD" w:rsidRPr="00EA7ACD">
              <w:rPr>
                <w:rFonts w:ascii="Bookman Old Style" w:eastAsia="Calibri" w:hAnsi="Bookman Old Style" w:cs="Arial"/>
                <w:color w:val="000000"/>
                <w:kern w:val="24"/>
                <w:sz w:val="20"/>
                <w:szCs w:val="20"/>
                <w:lang w:eastAsia="es-MX"/>
              </w:rPr>
              <w:t xml:space="preserve">PTDVF </w:t>
            </w:r>
            <w:r w:rsidR="003D410A">
              <w:rPr>
                <w:rFonts w:ascii="Bookman Old Style" w:eastAsia="Calibri" w:hAnsi="Bookman Old Style" w:cs="Arial"/>
                <w:color w:val="000000"/>
                <w:kern w:val="24"/>
                <w:sz w:val="20"/>
                <w:szCs w:val="20"/>
                <w:lang w:eastAsia="es-MX"/>
              </w:rPr>
              <w:t xml:space="preserve">y </w:t>
            </w:r>
            <w:r w:rsidR="002B1EFD" w:rsidRPr="00EA7ACD">
              <w:rPr>
                <w:rFonts w:ascii="Bookman Old Style" w:hAnsi="Bookman Old Style" w:cs="Arial"/>
                <w:sz w:val="20"/>
                <w:szCs w:val="20"/>
                <w:lang w:val="es-MX" w:eastAsia="es-MX"/>
              </w:rPr>
              <w:t xml:space="preserve">cantidades importadas disponibles para la venta en firme CIDVF </w:t>
            </w:r>
            <w:r w:rsidR="00F76AD1" w:rsidRPr="00EA7ACD">
              <w:rPr>
                <w:rFonts w:ascii="Bookman Old Style" w:eastAsia="Calibri" w:hAnsi="Bookman Old Style" w:cs="Arial"/>
                <w:color w:val="000000"/>
                <w:kern w:val="24"/>
                <w:sz w:val="20"/>
                <w:szCs w:val="20"/>
                <w:lang w:eastAsia="es-MX"/>
              </w:rPr>
              <w:t>en relación con el potencial de producción</w:t>
            </w:r>
            <w:r w:rsidR="002B1EFD" w:rsidRPr="00EA7ACD">
              <w:rPr>
                <w:rFonts w:ascii="Bookman Old Style" w:eastAsia="Calibri" w:hAnsi="Bookman Old Style" w:cs="Arial"/>
                <w:color w:val="000000"/>
                <w:kern w:val="24"/>
                <w:sz w:val="20"/>
                <w:szCs w:val="20"/>
                <w:lang w:eastAsia="es-MX"/>
              </w:rPr>
              <w:t xml:space="preserve"> PP</w:t>
            </w:r>
            <w:r w:rsidR="00F76AD1" w:rsidRPr="00EA7ACD">
              <w:rPr>
                <w:rFonts w:ascii="Bookman Old Style" w:eastAsia="Calibri" w:hAnsi="Bookman Old Style" w:cs="Arial"/>
                <w:color w:val="000000"/>
                <w:kern w:val="24"/>
                <w:sz w:val="20"/>
                <w:szCs w:val="20"/>
                <w:lang w:eastAsia="es-MX"/>
              </w:rPr>
              <w:t>.</w:t>
            </w:r>
            <w:r w:rsidR="002B1EFD" w:rsidRPr="00EA7ACD">
              <w:rPr>
                <w:rFonts w:ascii="Bookman Old Style" w:hAnsi="Bookman Old Style" w:cs="Arial"/>
                <w:sz w:val="20"/>
                <w:szCs w:val="20"/>
                <w:lang w:val="es-MX" w:eastAsia="es-MX"/>
              </w:rPr>
              <w:t xml:space="preserve"> Según definiciones del Decreto 2100 de 2011</w:t>
            </w:r>
            <w:r w:rsidR="00A97001">
              <w:rPr>
                <w:rFonts w:ascii="Bookman Old Style" w:hAnsi="Bookman Old Style" w:cs="Arial"/>
                <w:sz w:val="20"/>
                <w:szCs w:val="20"/>
                <w:lang w:val="es-MX" w:eastAsia="es-MX"/>
              </w:rPr>
              <w:t xml:space="preserve"> compilado por el Decreto 1073 de 2015</w:t>
            </w:r>
            <w:r w:rsidR="002B1EFD" w:rsidRPr="00EA7ACD">
              <w:rPr>
                <w:rFonts w:ascii="Bookman Old Style" w:hAnsi="Bookman Old Style" w:cs="Arial"/>
                <w:sz w:val="20"/>
                <w:szCs w:val="20"/>
                <w:lang w:val="es-MX" w:eastAsia="es-MX"/>
              </w:rPr>
              <w:t xml:space="preserve"> y la Resolución CREG 089 de 2013</w:t>
            </w:r>
          </w:p>
          <w:p w:rsidR="00F76AD1" w:rsidRPr="00EA7ACD" w:rsidRDefault="00F76AD1" w:rsidP="00C077B0">
            <w:pPr>
              <w:jc w:val="both"/>
              <w:rPr>
                <w:rFonts w:ascii="Bookman Old Style" w:eastAsia="Calibri" w:hAnsi="Bookman Old Style" w:cs="Arial"/>
                <w:color w:val="000000"/>
                <w:kern w:val="24"/>
                <w:sz w:val="20"/>
                <w:szCs w:val="20"/>
                <w:lang w:eastAsia="es-MX"/>
              </w:rPr>
            </w:pPr>
          </w:p>
          <w:p w:rsidR="00F76AD1" w:rsidRPr="00EA7ACD" w:rsidRDefault="00DC57CD" w:rsidP="00C077B0">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Este indicador debe</w:t>
            </w:r>
            <w:r w:rsidR="00F76AD1" w:rsidRPr="00EA7ACD">
              <w:rPr>
                <w:rFonts w:ascii="Bookman Old Style" w:eastAsia="Calibri" w:hAnsi="Bookman Old Style" w:cs="Arial"/>
                <w:color w:val="000000"/>
                <w:kern w:val="24"/>
                <w:sz w:val="20"/>
                <w:szCs w:val="20"/>
                <w:lang w:eastAsia="es-MX"/>
              </w:rPr>
              <w:t xml:space="preserve"> calcularse de manera nacional (i.e. agregado) y por fuente y por productor</w:t>
            </w:r>
            <w:r w:rsidR="00652AB1">
              <w:rPr>
                <w:rFonts w:ascii="Bookman Old Style" w:eastAsia="Calibri" w:hAnsi="Bookman Old Style" w:cs="Arial"/>
                <w:color w:val="000000"/>
                <w:kern w:val="24"/>
                <w:sz w:val="20"/>
                <w:szCs w:val="20"/>
                <w:lang w:eastAsia="es-MX"/>
              </w:rPr>
              <w:t>, considerando</w:t>
            </w:r>
            <w:r w:rsidR="00652AB1">
              <w:rPr>
                <w:rFonts w:ascii="Bookman Old Style" w:hAnsi="Bookman Old Style" w:cs="Arial"/>
                <w:sz w:val="20"/>
                <w:szCs w:val="20"/>
                <w:lang w:val="es-MX" w:eastAsia="es-MX"/>
              </w:rPr>
              <w:t xml:space="preserve"> las declaraciones publicadas por el Ministerio de Minas y Energía.</w:t>
            </w:r>
          </w:p>
          <w:p w:rsidR="00F76AD1" w:rsidRPr="00EA7ACD" w:rsidRDefault="00F76AD1" w:rsidP="00C077B0">
            <w:pPr>
              <w:jc w:val="both"/>
              <w:rPr>
                <w:rFonts w:ascii="Bookman Old Style" w:eastAsia="Calibri" w:hAnsi="Bookman Old Style" w:cs="Arial"/>
                <w:b/>
                <w:color w:val="000000"/>
                <w:kern w:val="24"/>
                <w:sz w:val="20"/>
                <w:szCs w:val="20"/>
                <w:lang w:eastAsia="es-MX"/>
              </w:rPr>
            </w:pPr>
          </w:p>
          <w:p w:rsidR="00F76AD1" w:rsidRPr="00EA7ACD" w:rsidRDefault="00F76AD1" w:rsidP="00C077B0">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antes del proceso de negociación.</w:t>
            </w:r>
          </w:p>
          <w:p w:rsidR="00F76AD1" w:rsidRPr="00EA7ACD" w:rsidRDefault="00F76AD1" w:rsidP="00C077B0">
            <w:pPr>
              <w:jc w:val="both"/>
              <w:rPr>
                <w:rFonts w:ascii="Bookman Old Style" w:eastAsia="Calibri" w:hAnsi="Bookman Old Style" w:cs="Arial"/>
                <w:color w:val="000000"/>
                <w:kern w:val="24"/>
                <w:sz w:val="20"/>
                <w:szCs w:val="20"/>
                <w:lang w:eastAsia="es-MX"/>
              </w:rPr>
            </w:pPr>
          </w:p>
          <w:p w:rsidR="007A6B2D" w:rsidRPr="00EA7ACD" w:rsidRDefault="00F76AD1"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haya declaración de las variables PP, PTDV y CIDVF.</w:t>
            </w:r>
          </w:p>
        </w:tc>
        <w:tc>
          <w:tcPr>
            <w:tcW w:w="1559" w:type="dxa"/>
            <w:vAlign w:val="center"/>
          </w:tcPr>
          <w:p w:rsidR="00620147" w:rsidRDefault="00620147" w:rsidP="00620147">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 xml:space="preserve">Los indicadores nacional y por fuente para el público </w:t>
            </w:r>
            <w:r>
              <w:rPr>
                <w:rFonts w:ascii="Bookman Old Style" w:eastAsia="Calibri" w:hAnsi="Bookman Old Style" w:cs="Arial"/>
                <w:color w:val="000000"/>
                <w:kern w:val="24"/>
                <w:sz w:val="20"/>
                <w:szCs w:val="20"/>
                <w:lang w:eastAsia="es-MX"/>
              </w:rPr>
              <w:lastRenderedPageBreak/>
              <w:t>general y los indicadores por productor para la SSPD, SIC y CREG</w:t>
            </w:r>
          </w:p>
          <w:p w:rsidR="00F76AD1" w:rsidRPr="00EA7ACD" w:rsidRDefault="00F76AD1" w:rsidP="00620147">
            <w:pPr>
              <w:ind w:left="0"/>
              <w:contextualSpacing/>
              <w:jc w:val="center"/>
              <w:rPr>
                <w:rFonts w:ascii="Bookman Old Style" w:eastAsia="Calibri" w:hAnsi="Bookman Old Style" w:cs="Arial"/>
                <w:color w:val="000000"/>
                <w:kern w:val="24"/>
                <w:sz w:val="20"/>
                <w:szCs w:val="20"/>
                <w:lang w:eastAsia="es-MX"/>
              </w:rPr>
            </w:pPr>
          </w:p>
        </w:tc>
      </w:tr>
      <w:tr w:rsidR="007A6B2D" w:rsidRPr="00EA3B2E" w:rsidTr="00B50AB8">
        <w:trPr>
          <w:trHeight w:val="584"/>
        </w:trPr>
        <w:tc>
          <w:tcPr>
            <w:tcW w:w="709" w:type="dxa"/>
            <w:vAlign w:val="center"/>
          </w:tcPr>
          <w:p w:rsidR="007A6B2D" w:rsidRPr="00EA3B2E" w:rsidRDefault="00EA7ACD" w:rsidP="00EA7ACD">
            <w:pPr>
              <w:ind w:left="0"/>
              <w:jc w:val="center"/>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lastRenderedPageBreak/>
              <w:t>MP4</w:t>
            </w:r>
          </w:p>
        </w:tc>
        <w:tc>
          <w:tcPr>
            <w:tcW w:w="3544" w:type="dxa"/>
            <w:vAlign w:val="center"/>
          </w:tcPr>
          <w:p w:rsidR="007A6B2D" w:rsidRPr="002B4087" w:rsidRDefault="00D47C83" w:rsidP="007A6B2D">
            <w:pPr>
              <w:ind w:left="0"/>
              <w:rPr>
                <w:rFonts w:ascii="Cambria Math" w:hAnsi="Cambria Math"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Oferta comprometida</m:t>
                    </m:r>
                  </m:num>
                  <m:den>
                    <m:r>
                      <m:rPr>
                        <m:sty m:val="p"/>
                      </m:rPr>
                      <w:rPr>
                        <w:rFonts w:ascii="Cambria Math" w:hAnsi="Cambria Math" w:cs="Arial"/>
                        <w:sz w:val="18"/>
                        <w:lang w:val="en-US" w:eastAsia="es-MX"/>
                      </w:rPr>
                      <m:t>PTDV+ CIDV</m:t>
                    </m:r>
                  </m:den>
                </m:f>
              </m:oMath>
            </m:oMathPara>
          </w:p>
          <w:p w:rsidR="007A6B2D" w:rsidRPr="002B4087" w:rsidRDefault="007A6B2D" w:rsidP="00880AF9">
            <w:pPr>
              <w:ind w:left="0"/>
              <w:rPr>
                <w:rFonts w:ascii="Bookman Old Style" w:hAnsi="Bookman Old Style" w:cs="Arial"/>
                <w:sz w:val="18"/>
                <w:lang w:val="en-US" w:eastAsia="es-MX"/>
              </w:rPr>
            </w:pPr>
          </w:p>
        </w:tc>
        <w:tc>
          <w:tcPr>
            <w:tcW w:w="3544" w:type="dxa"/>
            <w:vAlign w:val="center"/>
          </w:tcPr>
          <w:p w:rsidR="00424A45" w:rsidRPr="00EA7ACD" w:rsidRDefault="007A6B2D" w:rsidP="00424A45">
            <w:pPr>
              <w:ind w:left="0"/>
              <w:jc w:val="both"/>
              <w:rPr>
                <w:rFonts w:ascii="Bookman Old Style" w:eastAsia="Calibri" w:hAnsi="Bookman Old Style" w:cs="Arial"/>
                <w:color w:val="000000"/>
                <w:kern w:val="24"/>
                <w:sz w:val="20"/>
                <w:szCs w:val="20"/>
                <w:lang w:eastAsia="es-MX"/>
              </w:rPr>
            </w:pPr>
            <w:r w:rsidRPr="00EA7ACD">
              <w:rPr>
                <w:rFonts w:ascii="Bookman Old Style" w:hAnsi="Bookman Old Style" w:cs="Arial"/>
                <w:color w:val="000000"/>
                <w:sz w:val="20"/>
                <w:szCs w:val="20"/>
              </w:rPr>
              <w:t>Calcular toda la oferta comprometida en contratos firmes</w:t>
            </w:r>
            <w:r w:rsidR="0072159C">
              <w:rPr>
                <w:rFonts w:ascii="Bookman Old Style" w:hAnsi="Bookman Old Style" w:cs="Arial"/>
                <w:color w:val="000000"/>
                <w:sz w:val="20"/>
                <w:szCs w:val="20"/>
              </w:rPr>
              <w:t>, contratos de suministro con firmeza condicionada y contrato de opción de compra de gas,</w:t>
            </w:r>
            <w:r w:rsidRPr="00EA7ACD">
              <w:rPr>
                <w:rFonts w:ascii="Bookman Old Style" w:hAnsi="Bookman Old Style" w:cs="Arial"/>
                <w:color w:val="000000"/>
                <w:sz w:val="20"/>
                <w:szCs w:val="20"/>
              </w:rPr>
              <w:t xml:space="preserve"> en relación con la </w:t>
            </w:r>
            <w:r w:rsidR="00424A45" w:rsidRPr="00EA7ACD">
              <w:rPr>
                <w:rFonts w:ascii="Bookman Old Style" w:eastAsia="Calibri" w:hAnsi="Bookman Old Style" w:cs="Arial"/>
                <w:color w:val="000000"/>
                <w:kern w:val="24"/>
                <w:sz w:val="20"/>
                <w:szCs w:val="20"/>
                <w:lang w:eastAsia="es-MX"/>
              </w:rPr>
              <w:t xml:space="preserve">producción total disponible para venta </w:t>
            </w:r>
            <w:r w:rsidRPr="00EA7ACD">
              <w:rPr>
                <w:rFonts w:ascii="Bookman Old Style" w:hAnsi="Bookman Old Style" w:cs="Arial"/>
                <w:color w:val="000000"/>
                <w:sz w:val="20"/>
                <w:szCs w:val="20"/>
              </w:rPr>
              <w:t>PTDV y</w:t>
            </w:r>
            <w:r w:rsidR="00424A45">
              <w:rPr>
                <w:rFonts w:ascii="Bookman Old Style" w:hAnsi="Bookman Old Style" w:cs="Arial"/>
                <w:color w:val="000000"/>
                <w:sz w:val="20"/>
                <w:szCs w:val="20"/>
              </w:rPr>
              <w:t xml:space="preserve"> </w:t>
            </w:r>
            <w:r w:rsidR="007C74B8">
              <w:rPr>
                <w:rFonts w:ascii="Bookman Old Style" w:hAnsi="Bookman Old Style" w:cs="Arial"/>
                <w:color w:val="000000"/>
                <w:sz w:val="20"/>
                <w:szCs w:val="20"/>
              </w:rPr>
              <w:t>las</w:t>
            </w:r>
            <w:r w:rsidR="003D410A">
              <w:rPr>
                <w:rFonts w:ascii="Bookman Old Style" w:hAnsi="Bookman Old Style" w:cs="Arial"/>
                <w:color w:val="000000"/>
                <w:sz w:val="20"/>
                <w:szCs w:val="20"/>
              </w:rPr>
              <w:t xml:space="preserve"> </w:t>
            </w:r>
            <w:r w:rsidR="003D410A">
              <w:rPr>
                <w:rFonts w:ascii="Bookman Old Style" w:hAnsi="Bookman Old Style" w:cs="Arial"/>
                <w:sz w:val="20"/>
                <w:szCs w:val="20"/>
                <w:lang w:val="es-CO" w:eastAsia="es-MX"/>
              </w:rPr>
              <w:t>c</w:t>
            </w:r>
            <w:r w:rsidR="00424A45" w:rsidRPr="00EA7ACD">
              <w:rPr>
                <w:rFonts w:ascii="Bookman Old Style" w:hAnsi="Bookman Old Style" w:cs="Arial"/>
                <w:sz w:val="20"/>
                <w:szCs w:val="20"/>
                <w:lang w:val="es-CO" w:eastAsia="es-MX"/>
              </w:rPr>
              <w:t>antidades de gas importadas disponible</w:t>
            </w:r>
            <w:r w:rsidR="007C74B8">
              <w:rPr>
                <w:rFonts w:ascii="Bookman Old Style" w:hAnsi="Bookman Old Style" w:cs="Arial"/>
                <w:sz w:val="20"/>
                <w:szCs w:val="20"/>
                <w:lang w:val="es-CO" w:eastAsia="es-MX"/>
              </w:rPr>
              <w:t>s</w:t>
            </w:r>
            <w:r w:rsidR="00424A45" w:rsidRPr="00EA7ACD">
              <w:rPr>
                <w:rFonts w:ascii="Bookman Old Style" w:hAnsi="Bookman Old Style" w:cs="Arial"/>
                <w:sz w:val="20"/>
                <w:szCs w:val="20"/>
                <w:lang w:val="es-CO" w:eastAsia="es-MX"/>
              </w:rPr>
              <w:t xml:space="preserve"> para la venta</w:t>
            </w:r>
            <w:r w:rsidRPr="00EA7ACD">
              <w:rPr>
                <w:rFonts w:ascii="Bookman Old Style" w:hAnsi="Bookman Old Style" w:cs="Arial"/>
                <w:color w:val="000000"/>
                <w:sz w:val="20"/>
                <w:szCs w:val="20"/>
              </w:rPr>
              <w:t xml:space="preserve"> CIDV</w:t>
            </w:r>
            <w:r w:rsidR="007C74B8">
              <w:rPr>
                <w:rFonts w:ascii="Bookman Old Style" w:hAnsi="Bookman Old Style" w:cs="Arial"/>
                <w:color w:val="000000"/>
                <w:sz w:val="20"/>
                <w:szCs w:val="20"/>
              </w:rPr>
              <w:t>,</w:t>
            </w:r>
            <w:r w:rsidR="007C74B8">
              <w:rPr>
                <w:rFonts w:ascii="Bookman Old Style" w:eastAsia="Calibri" w:hAnsi="Bookman Old Style" w:cs="Arial"/>
                <w:color w:val="000000"/>
                <w:kern w:val="24"/>
                <w:sz w:val="20"/>
                <w:szCs w:val="20"/>
                <w:lang w:eastAsia="es-MX"/>
              </w:rPr>
              <w:t xml:space="preserve"> s</w:t>
            </w:r>
            <w:r w:rsidR="00424A45" w:rsidRPr="00EA7ACD">
              <w:rPr>
                <w:rFonts w:ascii="Bookman Old Style" w:eastAsia="Calibri" w:hAnsi="Bookman Old Style" w:cs="Arial"/>
                <w:color w:val="000000"/>
                <w:kern w:val="24"/>
                <w:sz w:val="20"/>
                <w:szCs w:val="20"/>
                <w:lang w:eastAsia="es-MX"/>
              </w:rPr>
              <w:t xml:space="preserve">egún las definiciones del Decreto 2100 de 2011 </w:t>
            </w:r>
            <w:r w:rsidR="00A97001">
              <w:rPr>
                <w:rFonts w:ascii="Bookman Old Style" w:hAnsi="Bookman Old Style" w:cs="Arial"/>
                <w:sz w:val="20"/>
                <w:szCs w:val="20"/>
                <w:lang w:val="es-MX" w:eastAsia="es-MX"/>
              </w:rPr>
              <w:t>compilado por el Decreto 1073 de 2015</w:t>
            </w:r>
            <w:r w:rsidR="00A97001" w:rsidRPr="00EA7ACD">
              <w:rPr>
                <w:rFonts w:ascii="Bookman Old Style" w:hAnsi="Bookman Old Style" w:cs="Arial"/>
                <w:sz w:val="20"/>
                <w:szCs w:val="20"/>
                <w:lang w:val="es-MX" w:eastAsia="es-MX"/>
              </w:rPr>
              <w:t xml:space="preserve"> </w:t>
            </w:r>
            <w:r w:rsidR="007C74B8">
              <w:rPr>
                <w:rFonts w:ascii="Bookman Old Style" w:eastAsia="Calibri" w:hAnsi="Bookman Old Style" w:cs="Arial"/>
                <w:color w:val="000000"/>
                <w:kern w:val="24"/>
                <w:sz w:val="20"/>
                <w:szCs w:val="20"/>
                <w:lang w:eastAsia="es-MX"/>
              </w:rPr>
              <w:t>y</w:t>
            </w:r>
            <w:r w:rsidR="00424A45" w:rsidRPr="00EA7ACD">
              <w:rPr>
                <w:rFonts w:ascii="Bookman Old Style" w:eastAsia="Calibri" w:hAnsi="Bookman Old Style" w:cs="Arial"/>
                <w:color w:val="000000"/>
                <w:kern w:val="24"/>
                <w:sz w:val="20"/>
                <w:szCs w:val="20"/>
                <w:lang w:eastAsia="es-MX"/>
              </w:rPr>
              <w:t xml:space="preserve"> la Resolución CREG 089 de 2013.</w:t>
            </w:r>
            <w:r w:rsidR="0072159C">
              <w:rPr>
                <w:rFonts w:ascii="Bookman Old Style" w:eastAsia="Calibri" w:hAnsi="Bookman Old Style" w:cs="Arial"/>
                <w:color w:val="000000"/>
                <w:kern w:val="24"/>
                <w:sz w:val="20"/>
                <w:szCs w:val="20"/>
                <w:lang w:eastAsia="es-MX"/>
              </w:rPr>
              <w:t xml:space="preserve"> En la oferta comprometida también deben incluirse aquellos contratos vigentes y negociados antes de la entrada en operación del gestor del mercado de gas natural.</w:t>
            </w:r>
          </w:p>
          <w:p w:rsidR="007A6B2D" w:rsidRPr="00EA7ACD" w:rsidRDefault="007A6B2D" w:rsidP="007A6B2D">
            <w:pPr>
              <w:ind w:left="0"/>
              <w:jc w:val="both"/>
              <w:rPr>
                <w:rFonts w:ascii="Bookman Old Style" w:hAnsi="Bookman Old Style" w:cs="Arial"/>
                <w:color w:val="000000"/>
                <w:sz w:val="20"/>
                <w:szCs w:val="20"/>
              </w:rPr>
            </w:pPr>
          </w:p>
          <w:p w:rsidR="007A6B2D" w:rsidRPr="00EA7ACD" w:rsidRDefault="007A6B2D" w:rsidP="007A6B2D">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Este indicador debe calcularse de manera nacional (i.e. agregado) y por fuente y por productor</w:t>
            </w:r>
            <w:r w:rsidR="00652AB1">
              <w:rPr>
                <w:rFonts w:ascii="Bookman Old Style" w:hAnsi="Bookman Old Style" w:cs="Arial"/>
                <w:color w:val="000000"/>
                <w:sz w:val="20"/>
                <w:szCs w:val="20"/>
              </w:rPr>
              <w:t>,</w:t>
            </w:r>
            <w:r w:rsidR="00652AB1">
              <w:rPr>
                <w:rFonts w:ascii="Bookman Old Style" w:eastAsia="Calibri" w:hAnsi="Bookman Old Style" w:cs="Arial"/>
                <w:color w:val="000000"/>
                <w:kern w:val="24"/>
                <w:sz w:val="20"/>
                <w:szCs w:val="20"/>
                <w:lang w:eastAsia="es-MX"/>
              </w:rPr>
              <w:t xml:space="preserve"> considerando</w:t>
            </w:r>
            <w:r w:rsidR="00652AB1">
              <w:rPr>
                <w:rFonts w:ascii="Bookman Old Style" w:hAnsi="Bookman Old Style" w:cs="Arial"/>
                <w:sz w:val="20"/>
                <w:szCs w:val="20"/>
                <w:lang w:val="es-MX" w:eastAsia="es-MX"/>
              </w:rPr>
              <w:t xml:space="preserve"> las declaraciones publicadas por el Ministerio de Minas y Energía.</w:t>
            </w:r>
          </w:p>
          <w:p w:rsidR="007A6B2D" w:rsidRPr="00EA7ACD" w:rsidRDefault="007A6B2D" w:rsidP="007A6B2D">
            <w:pPr>
              <w:jc w:val="both"/>
              <w:rPr>
                <w:rFonts w:ascii="Bookman Old Style" w:hAnsi="Bookman Old Style" w:cs="Arial"/>
                <w:color w:val="000000"/>
                <w:sz w:val="20"/>
                <w:szCs w:val="20"/>
              </w:rPr>
            </w:pPr>
          </w:p>
          <w:p w:rsidR="007A6B2D" w:rsidRPr="00EA7ACD" w:rsidRDefault="007A6B2D" w:rsidP="007A6B2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Todos los meses.</w:t>
            </w:r>
          </w:p>
          <w:p w:rsidR="007A6B2D" w:rsidRPr="00EA7ACD" w:rsidRDefault="007A6B2D" w:rsidP="007A6B2D">
            <w:pPr>
              <w:jc w:val="both"/>
              <w:rPr>
                <w:rFonts w:ascii="Bookman Old Style" w:eastAsia="Calibri" w:hAnsi="Bookman Old Style" w:cs="Arial"/>
                <w:color w:val="000000"/>
                <w:kern w:val="24"/>
                <w:sz w:val="20"/>
                <w:szCs w:val="20"/>
                <w:lang w:eastAsia="es-MX"/>
              </w:rPr>
            </w:pPr>
          </w:p>
          <w:p w:rsidR="007A6B2D" w:rsidRPr="00EA7ACD" w:rsidRDefault="007A6B2D" w:rsidP="00A94FD1">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tc>
        <w:tc>
          <w:tcPr>
            <w:tcW w:w="1559" w:type="dxa"/>
            <w:vAlign w:val="center"/>
          </w:tcPr>
          <w:p w:rsidR="00620147" w:rsidRDefault="00620147" w:rsidP="00620147">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Los indicadores nacional y por fuente para el público general y los indicadores por productor para la SSPD, SIC y CREG</w:t>
            </w:r>
          </w:p>
          <w:p w:rsidR="007A6B2D"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sidDel="00620147">
              <w:rPr>
                <w:rFonts w:ascii="Bookman Old Style" w:eastAsia="Calibri" w:hAnsi="Bookman Old Style" w:cs="Arial"/>
                <w:color w:val="000000"/>
                <w:kern w:val="24"/>
                <w:sz w:val="20"/>
                <w:szCs w:val="20"/>
                <w:lang w:eastAsia="es-MX"/>
              </w:rPr>
              <w:t xml:space="preserve"> </w:t>
            </w:r>
          </w:p>
        </w:tc>
      </w:tr>
      <w:tr w:rsidR="00F76AD1" w:rsidRPr="00EA3B2E" w:rsidTr="00B50AB8">
        <w:trPr>
          <w:trHeight w:val="584"/>
        </w:trPr>
        <w:tc>
          <w:tcPr>
            <w:tcW w:w="709" w:type="dxa"/>
            <w:vAlign w:val="center"/>
          </w:tcPr>
          <w:p w:rsidR="00F76AD1" w:rsidRPr="00EA3B2E" w:rsidRDefault="00F76AD1" w:rsidP="00F76AD1">
            <w:pPr>
              <w:rPr>
                <w:rFonts w:ascii="Bookman Old Style" w:hAnsi="Bookman Old Style" w:cs="Arial"/>
                <w:color w:val="000000"/>
                <w:kern w:val="24"/>
                <w:sz w:val="16"/>
                <w:szCs w:val="20"/>
                <w:lang w:eastAsia="es-MX"/>
              </w:rPr>
            </w:pPr>
          </w:p>
          <w:p w:rsidR="00F76AD1" w:rsidRPr="00EA3B2E" w:rsidRDefault="00F76AD1" w:rsidP="00EA7ACD">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w:t>
            </w:r>
            <w:r w:rsidR="00EA7ACD">
              <w:rPr>
                <w:rFonts w:ascii="Bookman Old Style" w:hAnsi="Bookman Old Style" w:cs="Arial"/>
                <w:color w:val="000000"/>
                <w:kern w:val="24"/>
                <w:sz w:val="16"/>
                <w:szCs w:val="20"/>
                <w:lang w:eastAsia="es-MX"/>
              </w:rPr>
              <w:t>5</w:t>
            </w:r>
          </w:p>
        </w:tc>
        <w:tc>
          <w:tcPr>
            <w:tcW w:w="3544" w:type="dxa"/>
            <w:vAlign w:val="center"/>
          </w:tcPr>
          <w:p w:rsidR="00F76AD1" w:rsidRPr="002B4087" w:rsidRDefault="00F76AD1" w:rsidP="00880AF9">
            <w:pPr>
              <w:rPr>
                <w:rFonts w:ascii="Cambria Math" w:hAnsi="Cambria Math" w:cs="Arial"/>
                <w:sz w:val="18"/>
                <w:lang w:val="en-US" w:eastAsia="es-MX"/>
              </w:rPr>
            </w:pPr>
          </w:p>
          <w:p w:rsidR="00F8516D" w:rsidRPr="002B4087" w:rsidRDefault="00F8516D" w:rsidP="00880AF9">
            <w:pPr>
              <w:rPr>
                <w:rFonts w:ascii="Cambria Math" w:hAnsi="Cambria Math" w:cs="Arial"/>
                <w:sz w:val="18"/>
                <w:lang w:val="en-US" w:eastAsia="es-MX"/>
              </w:rPr>
            </w:pPr>
          </w:p>
          <w:p w:rsidR="00F76AD1" w:rsidRPr="002B4087" w:rsidRDefault="00D47C83" w:rsidP="00880AF9">
            <w:pPr>
              <w:ind w:left="0"/>
              <w:rPr>
                <w:rFonts w:ascii="Cambria Math" w:hAnsi="Cambria Math"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Oferta comprometida</m:t>
                    </m:r>
                  </m:num>
                  <m:den>
                    <m:r>
                      <m:rPr>
                        <m:sty m:val="p"/>
                      </m:rPr>
                      <w:rPr>
                        <w:rFonts w:ascii="Cambria Math" w:hAnsi="Cambria Math" w:cs="Arial"/>
                        <w:sz w:val="18"/>
                        <w:lang w:val="en-US" w:eastAsia="es-MX"/>
                      </w:rPr>
                      <m:t>PTDVF+ CIDVF</m:t>
                    </m:r>
                  </m:den>
                </m:f>
              </m:oMath>
            </m:oMathPara>
          </w:p>
          <w:p w:rsidR="00F8516D" w:rsidRPr="00C077B0" w:rsidRDefault="00F8516D" w:rsidP="00880AF9">
            <w:pPr>
              <w:ind w:left="0"/>
              <w:rPr>
                <w:rFonts w:ascii="Cambria Math" w:hAnsi="Cambria Math" w:cs="Arial"/>
                <w:sz w:val="18"/>
                <w:lang w:val="en-US" w:eastAsia="es-MX"/>
              </w:rPr>
            </w:pPr>
          </w:p>
          <w:p w:rsidR="00F8516D" w:rsidRPr="00C077B0" w:rsidRDefault="00F8516D" w:rsidP="00880AF9">
            <w:pPr>
              <w:ind w:left="0"/>
              <w:rPr>
                <w:rFonts w:ascii="Cambria Math" w:hAnsi="Cambria Math" w:cs="Arial"/>
                <w:sz w:val="18"/>
                <w:lang w:val="en-US" w:eastAsia="es-MX"/>
              </w:rPr>
            </w:pPr>
          </w:p>
          <w:p w:rsidR="00880AF9" w:rsidRPr="002B4087" w:rsidRDefault="00880AF9" w:rsidP="00880AF9">
            <w:pPr>
              <w:ind w:left="0"/>
              <w:rPr>
                <w:rFonts w:ascii="Cambria Math" w:hAnsi="Cambria Math" w:cs="Arial"/>
                <w:sz w:val="18"/>
                <w:lang w:val="en-US" w:eastAsia="es-MX"/>
              </w:rPr>
            </w:pPr>
          </w:p>
        </w:tc>
        <w:tc>
          <w:tcPr>
            <w:tcW w:w="3544" w:type="dxa"/>
            <w:vAlign w:val="center"/>
          </w:tcPr>
          <w:p w:rsidR="00602D2D" w:rsidRPr="00EA7ACD" w:rsidRDefault="00880AF9" w:rsidP="00602D2D">
            <w:pPr>
              <w:ind w:left="0"/>
              <w:jc w:val="both"/>
              <w:rPr>
                <w:rFonts w:ascii="Bookman Old Style" w:eastAsia="Calibri" w:hAnsi="Bookman Old Style" w:cs="Arial"/>
                <w:color w:val="000000"/>
                <w:kern w:val="24"/>
                <w:sz w:val="20"/>
                <w:szCs w:val="20"/>
                <w:lang w:eastAsia="es-MX"/>
              </w:rPr>
            </w:pPr>
            <w:r w:rsidRPr="00EA7ACD">
              <w:rPr>
                <w:rFonts w:ascii="Bookman Old Style" w:hAnsi="Bookman Old Style" w:cs="Arial"/>
                <w:color w:val="000000"/>
                <w:sz w:val="20"/>
                <w:szCs w:val="20"/>
              </w:rPr>
              <w:t>C</w:t>
            </w:r>
            <w:r w:rsidR="00F76AD1" w:rsidRPr="00EA7ACD">
              <w:rPr>
                <w:rFonts w:ascii="Bookman Old Style" w:hAnsi="Bookman Old Style" w:cs="Arial"/>
                <w:color w:val="000000"/>
                <w:sz w:val="20"/>
                <w:szCs w:val="20"/>
              </w:rPr>
              <w:t xml:space="preserve">alcular </w:t>
            </w:r>
            <w:r w:rsidR="007A6B2D" w:rsidRPr="00EA7ACD">
              <w:rPr>
                <w:rFonts w:ascii="Bookman Old Style" w:hAnsi="Bookman Old Style" w:cs="Arial"/>
                <w:color w:val="000000"/>
                <w:sz w:val="20"/>
                <w:szCs w:val="20"/>
              </w:rPr>
              <w:t xml:space="preserve">toda la oferta comprometida </w:t>
            </w:r>
            <w:r w:rsidR="00F76AD1" w:rsidRPr="00EA7ACD">
              <w:rPr>
                <w:rFonts w:ascii="Bookman Old Style" w:hAnsi="Bookman Old Style" w:cs="Arial"/>
                <w:color w:val="000000"/>
                <w:sz w:val="20"/>
                <w:szCs w:val="20"/>
              </w:rPr>
              <w:t>en contratos firmes</w:t>
            </w:r>
            <w:r w:rsidR="00602D2D">
              <w:rPr>
                <w:rFonts w:ascii="Bookman Old Style" w:hAnsi="Bookman Old Style" w:cs="Arial"/>
                <w:color w:val="000000"/>
                <w:sz w:val="20"/>
                <w:szCs w:val="20"/>
              </w:rPr>
              <w:t>, contratos de suministro con firmeza condicionada y contrato de opción de compra de gas,</w:t>
            </w:r>
            <w:r w:rsidR="00F76AD1" w:rsidRPr="00EA7ACD">
              <w:rPr>
                <w:rFonts w:ascii="Bookman Old Style" w:hAnsi="Bookman Old Style" w:cs="Arial"/>
                <w:color w:val="000000"/>
                <w:sz w:val="20"/>
                <w:szCs w:val="20"/>
              </w:rPr>
              <w:t xml:space="preserve"> </w:t>
            </w:r>
            <w:r w:rsidR="007A6B2D" w:rsidRPr="00EA7ACD">
              <w:rPr>
                <w:rFonts w:ascii="Bookman Old Style" w:hAnsi="Bookman Old Style" w:cs="Arial"/>
                <w:color w:val="000000"/>
                <w:sz w:val="20"/>
                <w:szCs w:val="20"/>
              </w:rPr>
              <w:t xml:space="preserve">en relación con la </w:t>
            </w:r>
            <w:r w:rsidR="007C74B8">
              <w:rPr>
                <w:rFonts w:ascii="Bookman Old Style" w:hAnsi="Bookman Old Style" w:cs="Arial"/>
                <w:color w:val="000000"/>
                <w:sz w:val="20"/>
                <w:szCs w:val="20"/>
              </w:rPr>
              <w:t>p</w:t>
            </w:r>
            <w:r w:rsidR="00424A45" w:rsidRPr="00EA7ACD">
              <w:rPr>
                <w:rFonts w:ascii="Bookman Old Style" w:eastAsia="Calibri" w:hAnsi="Bookman Old Style" w:cs="Arial"/>
                <w:color w:val="000000"/>
                <w:kern w:val="24"/>
                <w:sz w:val="20"/>
                <w:szCs w:val="20"/>
                <w:lang w:eastAsia="es-MX"/>
              </w:rPr>
              <w:t xml:space="preserve">roducción total disponible para la venta en firme PTDVF </w:t>
            </w:r>
            <w:r w:rsidR="00424A45">
              <w:rPr>
                <w:rFonts w:ascii="Bookman Old Style" w:eastAsia="Calibri" w:hAnsi="Bookman Old Style" w:cs="Arial"/>
                <w:color w:val="000000"/>
                <w:kern w:val="24"/>
                <w:sz w:val="20"/>
                <w:szCs w:val="20"/>
                <w:lang w:eastAsia="es-MX"/>
              </w:rPr>
              <w:t>y</w:t>
            </w:r>
            <w:r w:rsidR="007C74B8">
              <w:rPr>
                <w:rFonts w:ascii="Bookman Old Style" w:eastAsia="Calibri" w:hAnsi="Bookman Old Style" w:cs="Arial"/>
                <w:color w:val="000000"/>
                <w:kern w:val="24"/>
                <w:sz w:val="20"/>
                <w:szCs w:val="20"/>
                <w:lang w:eastAsia="es-MX"/>
              </w:rPr>
              <w:t xml:space="preserve"> las</w:t>
            </w:r>
            <w:r w:rsidR="003D410A">
              <w:rPr>
                <w:rFonts w:ascii="Bookman Old Style" w:eastAsia="Calibri" w:hAnsi="Bookman Old Style" w:cs="Arial"/>
                <w:color w:val="000000"/>
                <w:kern w:val="24"/>
                <w:sz w:val="20"/>
                <w:szCs w:val="20"/>
                <w:lang w:eastAsia="es-MX"/>
              </w:rPr>
              <w:t xml:space="preserve"> </w:t>
            </w:r>
            <w:r w:rsidR="00424A45" w:rsidRPr="00EA7ACD">
              <w:rPr>
                <w:rFonts w:ascii="Bookman Old Style" w:eastAsia="Calibri" w:hAnsi="Bookman Old Style" w:cs="Arial"/>
                <w:color w:val="000000"/>
                <w:kern w:val="24"/>
                <w:sz w:val="20"/>
                <w:szCs w:val="20"/>
                <w:lang w:eastAsia="es-MX"/>
              </w:rPr>
              <w:t xml:space="preserve">cantidades importadas disponibles para la venta en firme </w:t>
            </w:r>
            <w:r w:rsidR="007A6B2D" w:rsidRPr="00EA7ACD">
              <w:rPr>
                <w:rFonts w:ascii="Bookman Old Style" w:hAnsi="Bookman Old Style" w:cs="Arial"/>
                <w:color w:val="000000"/>
                <w:sz w:val="20"/>
                <w:szCs w:val="20"/>
              </w:rPr>
              <w:t>CIDVF</w:t>
            </w:r>
            <w:r w:rsidR="002B1EFD" w:rsidRPr="00EA7ACD">
              <w:rPr>
                <w:rFonts w:ascii="Bookman Old Style" w:hAnsi="Bookman Old Style" w:cs="Arial"/>
                <w:color w:val="000000"/>
                <w:sz w:val="20"/>
                <w:szCs w:val="20"/>
              </w:rPr>
              <w:t>, según las definiciones del Decreto 2100 de 2011</w:t>
            </w:r>
            <w:r w:rsidR="00A97001">
              <w:rPr>
                <w:rFonts w:ascii="Bookman Old Style" w:hAnsi="Bookman Old Style" w:cs="Arial"/>
                <w:sz w:val="20"/>
                <w:szCs w:val="20"/>
                <w:lang w:val="es-MX" w:eastAsia="es-MX"/>
              </w:rPr>
              <w:t xml:space="preserve"> compilado por el Decreto 1073 de 2015</w:t>
            </w:r>
            <w:r w:rsidR="00A97001" w:rsidRPr="00EA7ACD">
              <w:rPr>
                <w:rFonts w:ascii="Bookman Old Style" w:hAnsi="Bookman Old Style" w:cs="Arial"/>
                <w:sz w:val="20"/>
                <w:szCs w:val="20"/>
                <w:lang w:val="es-MX" w:eastAsia="es-MX"/>
              </w:rPr>
              <w:t xml:space="preserve"> </w:t>
            </w:r>
            <w:r w:rsidR="002B1EFD" w:rsidRPr="00EA7ACD">
              <w:rPr>
                <w:rFonts w:ascii="Bookman Old Style" w:hAnsi="Bookman Old Style" w:cs="Arial"/>
                <w:color w:val="000000"/>
                <w:sz w:val="20"/>
                <w:szCs w:val="20"/>
              </w:rPr>
              <w:t xml:space="preserve"> </w:t>
            </w:r>
            <w:r w:rsidR="007C74B8">
              <w:rPr>
                <w:rFonts w:ascii="Bookman Old Style" w:hAnsi="Bookman Old Style" w:cs="Arial"/>
                <w:color w:val="000000"/>
                <w:sz w:val="20"/>
                <w:szCs w:val="20"/>
              </w:rPr>
              <w:t>y</w:t>
            </w:r>
            <w:r w:rsidR="002B1EFD" w:rsidRPr="00EA7ACD">
              <w:rPr>
                <w:rFonts w:ascii="Bookman Old Style" w:hAnsi="Bookman Old Style" w:cs="Arial"/>
                <w:color w:val="000000"/>
                <w:sz w:val="20"/>
                <w:szCs w:val="20"/>
              </w:rPr>
              <w:t xml:space="preserve"> la Resolución CREG 089 de 2013.</w:t>
            </w:r>
            <w:r w:rsidR="00602D2D">
              <w:rPr>
                <w:rFonts w:ascii="Bookman Old Style" w:hAnsi="Bookman Old Style" w:cs="Arial"/>
                <w:color w:val="000000"/>
                <w:sz w:val="20"/>
                <w:szCs w:val="20"/>
              </w:rPr>
              <w:t xml:space="preserve"> </w:t>
            </w:r>
            <w:r w:rsidR="00602D2D">
              <w:rPr>
                <w:rFonts w:ascii="Bookman Old Style" w:eastAsia="Calibri" w:hAnsi="Bookman Old Style" w:cs="Arial"/>
                <w:color w:val="000000"/>
                <w:kern w:val="24"/>
                <w:sz w:val="20"/>
                <w:szCs w:val="20"/>
                <w:lang w:eastAsia="es-MX"/>
              </w:rPr>
              <w:t>En la oferta comprometida también deben incluirse aquellos contratos vigentes y negociados antes de la entrada en operación del gestor del mercado de gas natural.</w:t>
            </w:r>
          </w:p>
          <w:p w:rsidR="00F76AD1" w:rsidRPr="00EA7ACD" w:rsidRDefault="00F76AD1" w:rsidP="00A43FB6">
            <w:pPr>
              <w:jc w:val="both"/>
              <w:rPr>
                <w:rFonts w:ascii="Bookman Old Style" w:hAnsi="Bookman Old Style" w:cs="Arial"/>
                <w:color w:val="000000"/>
                <w:sz w:val="20"/>
                <w:szCs w:val="20"/>
              </w:rPr>
            </w:pPr>
          </w:p>
          <w:p w:rsidR="00F76AD1" w:rsidRPr="00EA7ACD" w:rsidRDefault="00F76AD1" w:rsidP="00A43FB6">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Este indicador debe calcularse de manera nacional (i.e. agregado) y por fuente y por productor</w:t>
            </w:r>
            <w:r w:rsidR="00652AB1">
              <w:rPr>
                <w:rFonts w:ascii="Bookman Old Style" w:hAnsi="Bookman Old Style" w:cs="Arial"/>
                <w:color w:val="000000"/>
                <w:sz w:val="20"/>
                <w:szCs w:val="20"/>
              </w:rPr>
              <w:t>,</w:t>
            </w:r>
            <w:r w:rsidR="00652AB1">
              <w:rPr>
                <w:rFonts w:ascii="Bookman Old Style" w:eastAsia="Calibri" w:hAnsi="Bookman Old Style" w:cs="Arial"/>
                <w:color w:val="000000"/>
                <w:kern w:val="24"/>
                <w:sz w:val="20"/>
                <w:szCs w:val="20"/>
                <w:lang w:eastAsia="es-MX"/>
              </w:rPr>
              <w:t xml:space="preserve"> considerando</w:t>
            </w:r>
            <w:r w:rsidR="00652AB1">
              <w:rPr>
                <w:rFonts w:ascii="Bookman Old Style" w:hAnsi="Bookman Old Style" w:cs="Arial"/>
                <w:sz w:val="20"/>
                <w:szCs w:val="20"/>
                <w:lang w:val="es-MX" w:eastAsia="es-MX"/>
              </w:rPr>
              <w:t xml:space="preserve"> las declaraciones publicadas por el Ministerio de Minas y Energía.</w:t>
            </w:r>
          </w:p>
          <w:p w:rsidR="00F76AD1" w:rsidRPr="00EA7ACD" w:rsidRDefault="00F76AD1" w:rsidP="00A43FB6">
            <w:pPr>
              <w:jc w:val="both"/>
              <w:rPr>
                <w:rFonts w:ascii="Bookman Old Style" w:hAnsi="Bookman Old Style" w:cs="Arial"/>
                <w:color w:val="000000"/>
                <w:sz w:val="20"/>
                <w:szCs w:val="20"/>
              </w:rPr>
            </w:pPr>
          </w:p>
          <w:p w:rsidR="00F76AD1" w:rsidRPr="00EA7ACD" w:rsidRDefault="00F76AD1" w:rsidP="00A43FB6">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00880AF9" w:rsidRPr="00EA7ACD">
              <w:rPr>
                <w:rFonts w:ascii="Bookman Old Style" w:eastAsia="Calibri" w:hAnsi="Bookman Old Style" w:cs="Arial"/>
                <w:color w:val="000000"/>
                <w:kern w:val="24"/>
                <w:sz w:val="20"/>
                <w:szCs w:val="20"/>
                <w:lang w:eastAsia="es-MX"/>
              </w:rPr>
              <w:t>Todos los meses.</w:t>
            </w:r>
          </w:p>
          <w:p w:rsidR="00F76AD1" w:rsidRPr="00EA7ACD" w:rsidRDefault="00F76AD1" w:rsidP="00A43FB6">
            <w:pPr>
              <w:jc w:val="both"/>
              <w:rPr>
                <w:rFonts w:ascii="Bookman Old Style" w:eastAsia="Calibri" w:hAnsi="Bookman Old Style" w:cs="Arial"/>
                <w:color w:val="000000"/>
                <w:kern w:val="24"/>
                <w:sz w:val="20"/>
                <w:szCs w:val="20"/>
                <w:lang w:eastAsia="es-MX"/>
              </w:rPr>
            </w:pPr>
          </w:p>
          <w:p w:rsidR="002B1EFD" w:rsidRPr="00EA7ACD" w:rsidRDefault="00F76AD1"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tc>
        <w:tc>
          <w:tcPr>
            <w:tcW w:w="1559" w:type="dxa"/>
            <w:vAlign w:val="center"/>
          </w:tcPr>
          <w:p w:rsidR="00620147" w:rsidRDefault="00620147" w:rsidP="00620147">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Los indicadores nacional y por fuente para el público general y los indicadores por productor para la SSPD, SIC y CREG</w:t>
            </w:r>
          </w:p>
          <w:p w:rsidR="00F76AD1" w:rsidRPr="00EA7ACD" w:rsidRDefault="00F76AD1" w:rsidP="00F95DF1">
            <w:pPr>
              <w:ind w:left="0"/>
              <w:contextualSpacing/>
              <w:jc w:val="center"/>
              <w:rPr>
                <w:rFonts w:ascii="Bookman Old Style" w:eastAsia="Calibri" w:hAnsi="Bookman Old Style" w:cs="Arial"/>
                <w:color w:val="000000"/>
                <w:kern w:val="24"/>
                <w:sz w:val="20"/>
                <w:szCs w:val="20"/>
                <w:lang w:eastAsia="es-MX"/>
              </w:rPr>
            </w:pPr>
          </w:p>
        </w:tc>
      </w:tr>
      <w:tr w:rsidR="007A6B2D" w:rsidRPr="00EA3B2E" w:rsidTr="008B24BA">
        <w:trPr>
          <w:trHeight w:val="584"/>
        </w:trPr>
        <w:tc>
          <w:tcPr>
            <w:tcW w:w="709" w:type="dxa"/>
            <w:vAlign w:val="center"/>
          </w:tcPr>
          <w:p w:rsidR="007A6B2D" w:rsidRPr="00EA3B2E" w:rsidRDefault="00EA7ACD" w:rsidP="00EA7ACD">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t>MP6</w:t>
            </w:r>
          </w:p>
        </w:tc>
        <w:tc>
          <w:tcPr>
            <w:tcW w:w="3544" w:type="dxa"/>
            <w:vAlign w:val="center"/>
          </w:tcPr>
          <w:p w:rsidR="007A6B2D" w:rsidRPr="002B4087" w:rsidRDefault="00D47C83" w:rsidP="00470BFA">
            <w:pPr>
              <w:ind w:left="0"/>
              <w:rPr>
                <w:rFonts w:ascii="Bookman Old Style" w:hAnsi="Bookman Old Style" w:cs="Arial"/>
                <w:iCs/>
                <w:color w:val="000000"/>
                <w:kern w:val="24"/>
                <w:sz w:val="16"/>
                <w:lang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Oferta comprometida</m:t>
                    </m:r>
                  </m:num>
                  <m:den>
                    <m:r>
                      <m:rPr>
                        <m:sty m:val="p"/>
                      </m:rPr>
                      <w:rPr>
                        <w:rFonts w:ascii="Cambria Math" w:hAnsi="Cambria Math" w:cs="Arial"/>
                        <w:sz w:val="18"/>
                        <w:lang w:val="en-US" w:eastAsia="es-MX"/>
                      </w:rPr>
                      <m:t>PP</m:t>
                    </m:r>
                  </m:den>
                </m:f>
              </m:oMath>
            </m:oMathPara>
          </w:p>
        </w:tc>
        <w:tc>
          <w:tcPr>
            <w:tcW w:w="3544" w:type="dxa"/>
            <w:vAlign w:val="center"/>
          </w:tcPr>
          <w:p w:rsidR="00424A45" w:rsidRPr="00EA7ACD" w:rsidRDefault="007A6B2D" w:rsidP="00424A45">
            <w:pPr>
              <w:ind w:left="0"/>
              <w:jc w:val="both"/>
              <w:rPr>
                <w:rFonts w:ascii="Bookman Old Style" w:eastAsia="Calibri" w:hAnsi="Bookman Old Style" w:cs="Arial"/>
                <w:color w:val="000000"/>
                <w:kern w:val="24"/>
                <w:sz w:val="20"/>
                <w:szCs w:val="20"/>
                <w:lang w:eastAsia="es-MX"/>
              </w:rPr>
            </w:pPr>
            <w:r w:rsidRPr="00EA7ACD">
              <w:rPr>
                <w:rFonts w:ascii="Bookman Old Style" w:hAnsi="Bookman Old Style" w:cs="Arial"/>
                <w:color w:val="000000"/>
                <w:sz w:val="20"/>
                <w:szCs w:val="20"/>
              </w:rPr>
              <w:t>Calcular toda la oferta comprometida en contratos firmes</w:t>
            </w:r>
            <w:r w:rsidR="00602D2D">
              <w:rPr>
                <w:rFonts w:ascii="Bookman Old Style" w:hAnsi="Bookman Old Style" w:cs="Arial"/>
                <w:color w:val="000000"/>
                <w:sz w:val="20"/>
                <w:szCs w:val="20"/>
              </w:rPr>
              <w:t>, contratos de suministro con firmeza condicionada y contrato de opción de compra de gas,</w:t>
            </w:r>
            <w:r w:rsidRPr="00EA7ACD">
              <w:rPr>
                <w:rFonts w:ascii="Bookman Old Style" w:hAnsi="Bookman Old Style" w:cs="Arial"/>
                <w:color w:val="000000"/>
                <w:sz w:val="20"/>
                <w:szCs w:val="20"/>
              </w:rPr>
              <w:t xml:space="preserve"> en relación con </w:t>
            </w:r>
            <w:r w:rsidR="007C74B8">
              <w:rPr>
                <w:rFonts w:ascii="Bookman Old Style" w:eastAsia="Calibri" w:hAnsi="Bookman Old Style" w:cs="Arial"/>
                <w:color w:val="000000"/>
                <w:kern w:val="24"/>
                <w:sz w:val="20"/>
                <w:szCs w:val="20"/>
                <w:lang w:eastAsia="es-MX"/>
              </w:rPr>
              <w:t>el potencial de producción PP,</w:t>
            </w:r>
            <w:r w:rsidR="007C74B8">
              <w:rPr>
                <w:rFonts w:ascii="Bookman Old Style" w:hAnsi="Bookman Old Style" w:cs="Arial"/>
                <w:sz w:val="20"/>
                <w:szCs w:val="20"/>
                <w:lang w:val="es-MX" w:eastAsia="es-MX"/>
              </w:rPr>
              <w:t xml:space="preserve"> s</w:t>
            </w:r>
            <w:r w:rsidR="00424A45" w:rsidRPr="00EA7ACD">
              <w:rPr>
                <w:rFonts w:ascii="Bookman Old Style" w:hAnsi="Bookman Old Style" w:cs="Arial"/>
                <w:sz w:val="20"/>
                <w:szCs w:val="20"/>
                <w:lang w:val="es-MX" w:eastAsia="es-MX"/>
              </w:rPr>
              <w:t xml:space="preserve">egún </w:t>
            </w:r>
            <w:r w:rsidR="007C74B8">
              <w:rPr>
                <w:rFonts w:ascii="Bookman Old Style" w:hAnsi="Bookman Old Style" w:cs="Arial"/>
                <w:sz w:val="20"/>
                <w:szCs w:val="20"/>
                <w:lang w:val="es-MX" w:eastAsia="es-MX"/>
              </w:rPr>
              <w:t xml:space="preserve">las </w:t>
            </w:r>
            <w:r w:rsidR="00424A45" w:rsidRPr="00EA7ACD">
              <w:rPr>
                <w:rFonts w:ascii="Bookman Old Style" w:hAnsi="Bookman Old Style" w:cs="Arial"/>
                <w:sz w:val="20"/>
                <w:szCs w:val="20"/>
                <w:lang w:val="es-MX" w:eastAsia="es-MX"/>
              </w:rPr>
              <w:t xml:space="preserve">definiciones del Decreto 2100 de 2011 </w:t>
            </w:r>
            <w:r w:rsidR="00A97001">
              <w:rPr>
                <w:rFonts w:ascii="Bookman Old Style" w:hAnsi="Bookman Old Style" w:cs="Arial"/>
                <w:sz w:val="20"/>
                <w:szCs w:val="20"/>
                <w:lang w:val="es-MX" w:eastAsia="es-MX"/>
              </w:rPr>
              <w:t>compilado por el Decreto 1073 de 2015</w:t>
            </w:r>
            <w:r w:rsidR="00A97001" w:rsidRPr="00EA7ACD">
              <w:rPr>
                <w:rFonts w:ascii="Bookman Old Style" w:hAnsi="Bookman Old Style" w:cs="Arial"/>
                <w:sz w:val="20"/>
                <w:szCs w:val="20"/>
                <w:lang w:val="es-MX" w:eastAsia="es-MX"/>
              </w:rPr>
              <w:t xml:space="preserve"> </w:t>
            </w:r>
            <w:r w:rsidR="00424A45" w:rsidRPr="00EA7ACD">
              <w:rPr>
                <w:rFonts w:ascii="Bookman Old Style" w:hAnsi="Bookman Old Style" w:cs="Arial"/>
                <w:sz w:val="20"/>
                <w:szCs w:val="20"/>
                <w:lang w:val="es-MX" w:eastAsia="es-MX"/>
              </w:rPr>
              <w:t>y la Resolución CREG 089 de 2013</w:t>
            </w:r>
            <w:r w:rsidR="00424A45">
              <w:rPr>
                <w:rFonts w:ascii="Bookman Old Style" w:hAnsi="Bookman Old Style" w:cs="Arial"/>
                <w:sz w:val="20"/>
                <w:szCs w:val="20"/>
                <w:lang w:val="es-MX" w:eastAsia="es-MX"/>
              </w:rPr>
              <w:t>.</w:t>
            </w:r>
            <w:r w:rsidR="00602D2D">
              <w:rPr>
                <w:rFonts w:ascii="Bookman Old Style" w:hAnsi="Bookman Old Style" w:cs="Arial"/>
                <w:sz w:val="20"/>
                <w:szCs w:val="20"/>
                <w:lang w:val="es-MX" w:eastAsia="es-MX"/>
              </w:rPr>
              <w:t xml:space="preserve"> </w:t>
            </w:r>
            <w:r w:rsidR="00602D2D">
              <w:rPr>
                <w:rFonts w:ascii="Bookman Old Style" w:eastAsia="Calibri" w:hAnsi="Bookman Old Style" w:cs="Arial"/>
                <w:color w:val="000000"/>
                <w:kern w:val="24"/>
                <w:sz w:val="20"/>
                <w:szCs w:val="20"/>
                <w:lang w:eastAsia="es-MX"/>
              </w:rPr>
              <w:t>En la oferta comprometida también deben incluirse aquellos contratos vigentes y negociados antes de la entrada en operación del gestor del mercado de gas natural.</w:t>
            </w:r>
          </w:p>
          <w:p w:rsidR="007A6B2D" w:rsidRPr="00EA7ACD" w:rsidRDefault="007A6B2D" w:rsidP="007C74B8">
            <w:pPr>
              <w:ind w:left="0"/>
              <w:jc w:val="both"/>
              <w:rPr>
                <w:rFonts w:ascii="Bookman Old Style" w:hAnsi="Bookman Old Style" w:cs="Arial"/>
                <w:color w:val="000000"/>
                <w:sz w:val="20"/>
                <w:szCs w:val="20"/>
              </w:rPr>
            </w:pPr>
          </w:p>
          <w:p w:rsidR="007A6B2D" w:rsidRPr="00EA7ACD" w:rsidRDefault="007A6B2D" w:rsidP="00A94FD1">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Este indicador debe calcularse de manera nacional (i.e. agregado) y por fuente y por productor</w:t>
            </w:r>
            <w:r w:rsidR="00652AB1">
              <w:rPr>
                <w:rFonts w:ascii="Bookman Old Style" w:hAnsi="Bookman Old Style" w:cs="Arial"/>
                <w:color w:val="000000"/>
                <w:sz w:val="20"/>
                <w:szCs w:val="20"/>
              </w:rPr>
              <w:t>,</w:t>
            </w:r>
            <w:r w:rsidR="00652AB1">
              <w:rPr>
                <w:rFonts w:ascii="Bookman Old Style" w:eastAsia="Calibri" w:hAnsi="Bookman Old Style" w:cs="Arial"/>
                <w:color w:val="000000"/>
                <w:kern w:val="24"/>
                <w:sz w:val="20"/>
                <w:szCs w:val="20"/>
                <w:lang w:eastAsia="es-MX"/>
              </w:rPr>
              <w:t xml:space="preserve"> considerando</w:t>
            </w:r>
            <w:r w:rsidR="00652AB1">
              <w:rPr>
                <w:rFonts w:ascii="Bookman Old Style" w:hAnsi="Bookman Old Style" w:cs="Arial"/>
                <w:sz w:val="20"/>
                <w:szCs w:val="20"/>
                <w:lang w:val="es-MX" w:eastAsia="es-MX"/>
              </w:rPr>
              <w:t xml:space="preserve"> las declaraciones publicadas por el Ministerio de Minas y Energía.</w:t>
            </w:r>
          </w:p>
          <w:p w:rsidR="007A6B2D" w:rsidRPr="00EA7ACD" w:rsidRDefault="007A6B2D" w:rsidP="007A6B2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 xml:space="preserve">Todos </w:t>
            </w:r>
            <w:r w:rsidRPr="00EA7ACD">
              <w:rPr>
                <w:rFonts w:ascii="Bookman Old Style" w:eastAsia="Calibri" w:hAnsi="Bookman Old Style" w:cs="Arial"/>
                <w:color w:val="000000"/>
                <w:kern w:val="24"/>
                <w:sz w:val="20"/>
                <w:szCs w:val="20"/>
                <w:lang w:eastAsia="es-MX"/>
              </w:rPr>
              <w:lastRenderedPageBreak/>
              <w:t>los meses.</w:t>
            </w:r>
          </w:p>
          <w:p w:rsidR="007A6B2D" w:rsidRPr="00EA7ACD" w:rsidRDefault="007A6B2D" w:rsidP="007A6B2D">
            <w:pPr>
              <w:jc w:val="both"/>
              <w:rPr>
                <w:rFonts w:ascii="Bookman Old Style" w:eastAsia="Calibri" w:hAnsi="Bookman Old Style" w:cs="Arial"/>
                <w:color w:val="000000"/>
                <w:kern w:val="24"/>
                <w:sz w:val="20"/>
                <w:szCs w:val="20"/>
                <w:lang w:eastAsia="es-MX"/>
              </w:rPr>
            </w:pPr>
          </w:p>
          <w:p w:rsidR="007A6B2D" w:rsidRPr="00EA7ACD" w:rsidRDefault="007A6B2D" w:rsidP="007A6B2D">
            <w:pPr>
              <w:ind w:left="0"/>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p w:rsidR="007A6B2D" w:rsidRPr="00EA7ACD" w:rsidRDefault="007A6B2D" w:rsidP="007A6B2D">
            <w:pPr>
              <w:ind w:left="0"/>
              <w:rPr>
                <w:rFonts w:ascii="Bookman Old Style" w:hAnsi="Bookman Old Style" w:cs="Arial"/>
                <w:color w:val="000000"/>
                <w:sz w:val="20"/>
                <w:szCs w:val="20"/>
              </w:rPr>
            </w:pPr>
          </w:p>
        </w:tc>
        <w:tc>
          <w:tcPr>
            <w:tcW w:w="1559" w:type="dxa"/>
            <w:vAlign w:val="center"/>
          </w:tcPr>
          <w:p w:rsidR="00620147" w:rsidRDefault="00620147" w:rsidP="00620147">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Los indicadores nacional y por fuente para el público general y los indicadores por productor para la SSPD, SIC y CREG</w:t>
            </w:r>
          </w:p>
          <w:p w:rsidR="007A6B2D" w:rsidRPr="00EA7ACD" w:rsidRDefault="007A6B2D" w:rsidP="00F95DF1">
            <w:pPr>
              <w:ind w:left="0"/>
              <w:contextualSpacing/>
              <w:jc w:val="center"/>
              <w:rPr>
                <w:rFonts w:ascii="Bookman Old Style" w:eastAsia="Calibri" w:hAnsi="Bookman Old Style" w:cs="Arial"/>
                <w:color w:val="000000"/>
                <w:kern w:val="24"/>
                <w:sz w:val="20"/>
                <w:szCs w:val="20"/>
                <w:lang w:eastAsia="es-MX"/>
              </w:rPr>
            </w:pPr>
          </w:p>
        </w:tc>
      </w:tr>
      <w:tr w:rsidR="00F76AD1" w:rsidRPr="00EA3B2E" w:rsidTr="008B24BA">
        <w:trPr>
          <w:trHeight w:val="584"/>
        </w:trPr>
        <w:tc>
          <w:tcPr>
            <w:tcW w:w="709" w:type="dxa"/>
            <w:vAlign w:val="center"/>
          </w:tcPr>
          <w:p w:rsidR="00F76AD1" w:rsidRPr="00EA3B2E" w:rsidRDefault="00F76AD1" w:rsidP="00F76AD1">
            <w:pPr>
              <w:rPr>
                <w:rFonts w:ascii="Bookman Old Style" w:hAnsi="Bookman Old Style" w:cs="Arial"/>
                <w:color w:val="000000"/>
                <w:kern w:val="24"/>
                <w:sz w:val="16"/>
                <w:szCs w:val="20"/>
                <w:lang w:eastAsia="es-MX"/>
              </w:rPr>
            </w:pPr>
          </w:p>
          <w:p w:rsidR="00F76AD1" w:rsidRPr="00EA3B2E" w:rsidRDefault="00F8516D" w:rsidP="00EA7ACD">
            <w:pPr>
              <w:ind w:left="0"/>
              <w:rPr>
                <w:rFonts w:ascii="Bookman Old Style" w:hAnsi="Bookman Old Style" w:cs="Arial"/>
                <w:color w:val="000000"/>
                <w:kern w:val="24"/>
                <w:sz w:val="16"/>
                <w:szCs w:val="20"/>
                <w:lang w:eastAsia="es-MX"/>
              </w:rPr>
            </w:pPr>
            <w:r w:rsidRPr="004838C6">
              <w:rPr>
                <w:rFonts w:ascii="Bookman Old Style" w:hAnsi="Bookman Old Style" w:cs="Arial"/>
                <w:color w:val="000000"/>
                <w:kern w:val="24"/>
                <w:sz w:val="16"/>
                <w:szCs w:val="20"/>
                <w:lang w:eastAsia="es-MX"/>
              </w:rPr>
              <w:t>MP</w:t>
            </w:r>
            <w:r w:rsidR="00EA7ACD" w:rsidRPr="004838C6">
              <w:rPr>
                <w:rFonts w:ascii="Bookman Old Style" w:hAnsi="Bookman Old Style" w:cs="Arial"/>
                <w:color w:val="000000"/>
                <w:kern w:val="24"/>
                <w:sz w:val="16"/>
                <w:szCs w:val="20"/>
                <w:lang w:eastAsia="es-MX"/>
              </w:rPr>
              <w:t>7</w:t>
            </w:r>
          </w:p>
        </w:tc>
        <w:tc>
          <w:tcPr>
            <w:tcW w:w="3544" w:type="dxa"/>
            <w:vAlign w:val="center"/>
          </w:tcPr>
          <w:p w:rsidR="00F76AD1" w:rsidRPr="002B4087" w:rsidRDefault="00D47C83" w:rsidP="00470BFA">
            <w:pPr>
              <w:ind w:left="0"/>
              <w:rPr>
                <w:rFonts w:ascii="Bookman Old Style" w:hAnsi="Bookman Old Style" w:cs="Arial"/>
                <w:iCs/>
                <w:color w:val="000000"/>
                <w:kern w:val="24"/>
                <w:lang w:eastAsia="es-MX"/>
              </w:rPr>
            </w:pPr>
            <m:oMathPara>
              <m:oMath>
                <m:f>
                  <m:fPr>
                    <m:ctrlPr>
                      <w:rPr>
                        <w:rFonts w:ascii="Cambria Math" w:hAnsi="Cambria Math" w:cs="Arial"/>
                        <w:iCs/>
                        <w:color w:val="000000"/>
                        <w:kern w:val="24"/>
                        <w:sz w:val="18"/>
                        <w:lang w:eastAsia="es-MX"/>
                      </w:rPr>
                    </m:ctrlPr>
                  </m:fPr>
                  <m:num>
                    <m:r>
                      <m:rPr>
                        <m:sty m:val="p"/>
                      </m:rPr>
                      <w:rPr>
                        <w:rFonts w:ascii="Cambria Math" w:hAnsi="Cambria Math" w:cs="Arial"/>
                        <w:color w:val="000000"/>
                        <w:kern w:val="24"/>
                        <w:sz w:val="18"/>
                        <w:lang w:eastAsia="es-MX"/>
                      </w:rPr>
                      <m:t>Cap sistema de T</m:t>
                    </m:r>
                  </m:num>
                  <m:den>
                    <m:r>
                      <m:rPr>
                        <m:sty m:val="p"/>
                      </m:rPr>
                      <w:rPr>
                        <w:rFonts w:ascii="Cambria Math" w:hAnsi="Cambria Math" w:cs="Arial"/>
                        <w:color w:val="000000"/>
                        <w:kern w:val="24"/>
                        <w:sz w:val="18"/>
                        <w:lang w:eastAsia="es-MX"/>
                      </w:rPr>
                      <m:t>Cap total de todos los sistemas</m:t>
                    </m:r>
                  </m:den>
                </m:f>
              </m:oMath>
            </m:oMathPara>
          </w:p>
        </w:tc>
        <w:tc>
          <w:tcPr>
            <w:tcW w:w="3544" w:type="dxa"/>
            <w:vAlign w:val="center"/>
          </w:tcPr>
          <w:p w:rsidR="00F76AD1" w:rsidRDefault="00F76AD1" w:rsidP="007A6B2D">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 xml:space="preserve">Después del proceso de negociación </w:t>
            </w:r>
            <w:r w:rsidRPr="00EA7ACD">
              <w:rPr>
                <w:rFonts w:ascii="Bookman Old Style" w:eastAsia="Calibri" w:hAnsi="Bookman Old Style" w:cs="Arial"/>
                <w:color w:val="000000"/>
                <w:kern w:val="24"/>
                <w:sz w:val="20"/>
                <w:szCs w:val="20"/>
                <w:lang w:eastAsia="es-MX"/>
              </w:rPr>
              <w:t>previsto en el artículo 24 de la Resolución CREG 089</w:t>
            </w:r>
            <w:r w:rsidR="00F8516D" w:rsidRPr="00EA7ACD">
              <w:rPr>
                <w:rFonts w:ascii="Bookman Old Style" w:eastAsia="Calibri" w:hAnsi="Bookman Old Style" w:cs="Arial"/>
                <w:color w:val="000000"/>
                <w:kern w:val="24"/>
                <w:sz w:val="20"/>
                <w:szCs w:val="20"/>
                <w:lang w:eastAsia="es-MX"/>
              </w:rPr>
              <w:t xml:space="preserve"> de 2013</w:t>
            </w:r>
            <w:r w:rsidRPr="00EA7ACD">
              <w:rPr>
                <w:rFonts w:ascii="Bookman Old Style" w:eastAsia="Calibri" w:hAnsi="Bookman Old Style" w:cs="Arial"/>
                <w:color w:val="000000"/>
                <w:kern w:val="24"/>
                <w:sz w:val="20"/>
                <w:szCs w:val="20"/>
                <w:lang w:eastAsia="es-MX"/>
              </w:rPr>
              <w:t>, c</w:t>
            </w:r>
            <w:r w:rsidRPr="00EA7ACD">
              <w:rPr>
                <w:rFonts w:ascii="Bookman Old Style" w:hAnsi="Bookman Old Style" w:cs="Arial"/>
                <w:color w:val="000000"/>
                <w:sz w:val="20"/>
                <w:szCs w:val="20"/>
              </w:rPr>
              <w:t>alcular la capacidad de</w:t>
            </w:r>
            <w:r w:rsidR="00470BFA" w:rsidRPr="00EA7ACD">
              <w:rPr>
                <w:rFonts w:ascii="Bookman Old Style" w:hAnsi="Bookman Old Style" w:cs="Arial"/>
                <w:color w:val="000000"/>
                <w:sz w:val="20"/>
                <w:szCs w:val="20"/>
              </w:rPr>
              <w:t xml:space="preserve"> transporte de</w:t>
            </w:r>
            <w:r w:rsidRPr="00EA7ACD">
              <w:rPr>
                <w:rFonts w:ascii="Bookman Old Style" w:hAnsi="Bookman Old Style" w:cs="Arial"/>
                <w:color w:val="000000"/>
                <w:sz w:val="20"/>
                <w:szCs w:val="20"/>
              </w:rPr>
              <w:t xml:space="preserve"> cada sistema en relación con </w:t>
            </w:r>
            <w:r w:rsidR="00424A45">
              <w:rPr>
                <w:rFonts w:ascii="Bookman Old Style" w:hAnsi="Bookman Old Style" w:cs="Arial"/>
                <w:color w:val="000000"/>
                <w:sz w:val="20"/>
                <w:szCs w:val="20"/>
              </w:rPr>
              <w:t xml:space="preserve">la capacidad </w:t>
            </w:r>
            <w:r w:rsidR="00B50AB8">
              <w:rPr>
                <w:rFonts w:ascii="Bookman Old Style" w:hAnsi="Bookman Old Style" w:cs="Arial"/>
                <w:color w:val="000000"/>
                <w:sz w:val="20"/>
                <w:szCs w:val="20"/>
              </w:rPr>
              <w:t xml:space="preserve">total </w:t>
            </w:r>
            <w:r w:rsidR="00424A45">
              <w:rPr>
                <w:rFonts w:ascii="Bookman Old Style" w:hAnsi="Bookman Old Style" w:cs="Arial"/>
                <w:color w:val="000000"/>
                <w:sz w:val="20"/>
                <w:szCs w:val="20"/>
              </w:rPr>
              <w:t xml:space="preserve">de </w:t>
            </w:r>
            <w:r w:rsidR="00B50AB8">
              <w:rPr>
                <w:rFonts w:ascii="Bookman Old Style" w:hAnsi="Bookman Old Style" w:cs="Arial"/>
                <w:color w:val="000000"/>
                <w:sz w:val="20"/>
                <w:szCs w:val="20"/>
              </w:rPr>
              <w:t xml:space="preserve">transporte de </w:t>
            </w:r>
            <w:r w:rsidRPr="00EA7ACD">
              <w:rPr>
                <w:rFonts w:ascii="Bookman Old Style" w:hAnsi="Bookman Old Style" w:cs="Arial"/>
                <w:color w:val="000000"/>
                <w:sz w:val="20"/>
                <w:szCs w:val="20"/>
              </w:rPr>
              <w:t>todos los sistemas.</w:t>
            </w:r>
          </w:p>
          <w:p w:rsidR="00A97001" w:rsidRDefault="00A97001" w:rsidP="007A6B2D">
            <w:pPr>
              <w:ind w:left="0"/>
              <w:jc w:val="both"/>
              <w:rPr>
                <w:rFonts w:ascii="Bookman Old Style" w:eastAsia="Calibri" w:hAnsi="Bookman Old Style" w:cs="Arial"/>
                <w:b/>
                <w:color w:val="000000"/>
                <w:kern w:val="24"/>
                <w:sz w:val="20"/>
                <w:szCs w:val="20"/>
                <w:lang w:eastAsia="es-MX"/>
              </w:rPr>
            </w:pPr>
          </w:p>
          <w:p w:rsidR="00F76AD1" w:rsidRPr="00EA7ACD" w:rsidRDefault="00F76AD1" w:rsidP="007A6B2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F76AD1" w:rsidRPr="00EA7ACD" w:rsidRDefault="00F76AD1" w:rsidP="007A6B2D">
            <w:pPr>
              <w:jc w:val="both"/>
              <w:rPr>
                <w:rFonts w:ascii="Bookman Old Style" w:eastAsia="Calibri" w:hAnsi="Bookman Old Style" w:cs="Arial"/>
                <w:color w:val="000000"/>
                <w:kern w:val="24"/>
                <w:sz w:val="20"/>
                <w:szCs w:val="20"/>
                <w:lang w:eastAsia="es-MX"/>
              </w:rPr>
            </w:pPr>
          </w:p>
          <w:p w:rsidR="00F76AD1" w:rsidRPr="00EA7ACD" w:rsidRDefault="00F76AD1" w:rsidP="00A94FD1">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sólo un punto, en el momento de cálculo.</w:t>
            </w:r>
          </w:p>
        </w:tc>
        <w:tc>
          <w:tcPr>
            <w:tcW w:w="1559" w:type="dxa"/>
            <w:vAlign w:val="center"/>
          </w:tcPr>
          <w:p w:rsidR="00F76AD1"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Los indicadores de cada sistema</w:t>
            </w:r>
            <w:r w:rsidR="00B41E7E">
              <w:rPr>
                <w:rFonts w:ascii="Bookman Old Style" w:eastAsia="Calibri" w:hAnsi="Bookman Old Style" w:cs="Arial"/>
                <w:color w:val="000000"/>
                <w:kern w:val="24"/>
                <w:sz w:val="20"/>
                <w:szCs w:val="20"/>
                <w:lang w:eastAsia="es-MX"/>
              </w:rPr>
              <w:t xml:space="preserve"> de transporte</w:t>
            </w:r>
            <w:r>
              <w:rPr>
                <w:rFonts w:ascii="Bookman Old Style" w:eastAsia="Calibri" w:hAnsi="Bookman Old Style" w:cs="Arial"/>
                <w:color w:val="000000"/>
                <w:kern w:val="24"/>
                <w:sz w:val="20"/>
                <w:szCs w:val="20"/>
                <w:lang w:eastAsia="es-MX"/>
              </w:rPr>
              <w:t xml:space="preserve"> para el </w:t>
            </w:r>
            <w:r w:rsidR="006641D4">
              <w:rPr>
                <w:rFonts w:ascii="Bookman Old Style" w:eastAsia="Calibri" w:hAnsi="Bookman Old Style" w:cs="Arial"/>
                <w:color w:val="000000"/>
                <w:kern w:val="24"/>
                <w:sz w:val="20"/>
                <w:szCs w:val="20"/>
                <w:lang w:eastAsia="es-MX"/>
              </w:rPr>
              <w:t>p</w:t>
            </w:r>
            <w:r w:rsidR="008E04F4">
              <w:rPr>
                <w:rFonts w:ascii="Bookman Old Style" w:eastAsia="Calibri" w:hAnsi="Bookman Old Style" w:cs="Arial"/>
                <w:color w:val="000000"/>
                <w:kern w:val="24"/>
                <w:sz w:val="20"/>
                <w:szCs w:val="20"/>
                <w:lang w:eastAsia="es-MX"/>
              </w:rPr>
              <w:t>úblico general</w:t>
            </w:r>
          </w:p>
        </w:tc>
      </w:tr>
      <w:tr w:rsidR="003D410A" w:rsidRPr="00EA3B2E" w:rsidTr="008B24BA">
        <w:trPr>
          <w:trHeight w:val="584"/>
        </w:trPr>
        <w:tc>
          <w:tcPr>
            <w:tcW w:w="709" w:type="dxa"/>
            <w:vAlign w:val="center"/>
          </w:tcPr>
          <w:p w:rsidR="003D410A" w:rsidRDefault="004838C6" w:rsidP="0044507C">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t>MP8</w:t>
            </w:r>
          </w:p>
        </w:tc>
        <w:tc>
          <w:tcPr>
            <w:tcW w:w="3544" w:type="dxa"/>
            <w:vAlign w:val="center"/>
          </w:tcPr>
          <w:p w:rsidR="003D410A" w:rsidRPr="003D410A" w:rsidRDefault="00D47C83" w:rsidP="00255BB3">
            <w:pPr>
              <w:ind w:left="0"/>
              <w:rPr>
                <w:rFonts w:ascii="Bookman Old Style" w:hAnsi="Bookman Old Style" w:cs="Arial"/>
                <w:sz w:val="18"/>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Dda reg contratos firmes</m:t>
                    </m:r>
                  </m:num>
                  <m:den>
                    <m:r>
                      <m:rPr>
                        <m:sty m:val="p"/>
                      </m:rPr>
                      <w:rPr>
                        <w:rFonts w:ascii="Cambria Math" w:hAnsi="Cambria Math" w:cs="Arial"/>
                        <w:sz w:val="18"/>
                        <w:lang w:val="en-US" w:eastAsia="es-MX"/>
                      </w:rPr>
                      <m:t>Dda reg</m:t>
                    </m:r>
                  </m:den>
                </m:f>
              </m:oMath>
            </m:oMathPara>
          </w:p>
        </w:tc>
        <w:tc>
          <w:tcPr>
            <w:tcW w:w="3544" w:type="dxa"/>
            <w:vAlign w:val="center"/>
          </w:tcPr>
          <w:p w:rsidR="004838C6" w:rsidRPr="004838C6" w:rsidRDefault="004838C6" w:rsidP="004838C6">
            <w:pPr>
              <w:ind w:left="0"/>
              <w:jc w:val="both"/>
              <w:rPr>
                <w:rFonts w:ascii="Bookman Old Style" w:hAnsi="Bookman Old Style" w:cs="Arial"/>
                <w:color w:val="000000"/>
                <w:sz w:val="20"/>
                <w:szCs w:val="20"/>
              </w:rPr>
            </w:pPr>
            <w:r w:rsidRPr="004838C6">
              <w:rPr>
                <w:rFonts w:ascii="Bookman Old Style" w:hAnsi="Bookman Old Style" w:cs="Arial"/>
                <w:color w:val="000000"/>
                <w:sz w:val="20"/>
                <w:szCs w:val="20"/>
              </w:rPr>
              <w:t>Después del proceso de negociación previsto en el artículo 24 de la Resolución CREG 089 de 2013, calcular la demanda regulada con contratos firmes (i.e. contratos firmados antes y después del proceso de negociación) en relación con la demanda regulada observada (i.e. energía tomada por la demanda regulada)</w:t>
            </w:r>
          </w:p>
          <w:p w:rsidR="004838C6" w:rsidRPr="004838C6" w:rsidRDefault="004838C6" w:rsidP="004838C6">
            <w:pPr>
              <w:ind w:left="0"/>
              <w:jc w:val="both"/>
              <w:rPr>
                <w:rFonts w:ascii="Bookman Old Style" w:hAnsi="Bookman Old Style" w:cs="Arial"/>
                <w:color w:val="000000"/>
                <w:sz w:val="20"/>
                <w:szCs w:val="20"/>
              </w:rPr>
            </w:pPr>
          </w:p>
          <w:p w:rsidR="00A94FD1" w:rsidRDefault="00A94FD1" w:rsidP="00A94FD1">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 xml:space="preserve">Este indicador debe calcularse </w:t>
            </w:r>
            <w:r>
              <w:rPr>
                <w:rFonts w:ascii="Bookman Old Style" w:hAnsi="Bookman Old Style" w:cs="Arial"/>
                <w:sz w:val="20"/>
                <w:szCs w:val="20"/>
                <w:lang w:eastAsia="es-MX"/>
              </w:rPr>
              <w:t xml:space="preserve">de manera nacional (i.e. agregado) y </w:t>
            </w:r>
            <w:r w:rsidRPr="00EA7ACD">
              <w:rPr>
                <w:rFonts w:ascii="Bookman Old Style" w:hAnsi="Bookman Old Style" w:cs="Arial"/>
                <w:sz w:val="20"/>
                <w:szCs w:val="20"/>
                <w:lang w:eastAsia="es-MX"/>
              </w:rPr>
              <w:t>para</w:t>
            </w:r>
            <w:r>
              <w:rPr>
                <w:rFonts w:ascii="Bookman Old Style" w:hAnsi="Bookman Old Style" w:cs="Arial"/>
                <w:sz w:val="20"/>
                <w:szCs w:val="20"/>
                <w:lang w:eastAsia="es-MX"/>
              </w:rPr>
              <w:t xml:space="preserve"> todos los mercados relevantes. </w:t>
            </w:r>
          </w:p>
          <w:p w:rsidR="00A94FD1" w:rsidRDefault="00A94FD1" w:rsidP="004838C6">
            <w:pPr>
              <w:ind w:left="0"/>
              <w:jc w:val="both"/>
              <w:rPr>
                <w:rFonts w:ascii="Bookman Old Style" w:hAnsi="Bookman Old Style" w:cs="Arial"/>
                <w:color w:val="000000"/>
                <w:sz w:val="20"/>
                <w:szCs w:val="20"/>
              </w:rPr>
            </w:pPr>
          </w:p>
          <w:p w:rsidR="004838C6" w:rsidRPr="004838C6" w:rsidRDefault="004838C6" w:rsidP="004838C6">
            <w:pPr>
              <w:ind w:left="0"/>
              <w:jc w:val="both"/>
              <w:rPr>
                <w:rFonts w:ascii="Bookman Old Style" w:hAnsi="Bookman Old Style" w:cs="Arial"/>
                <w:color w:val="000000"/>
                <w:sz w:val="20"/>
                <w:szCs w:val="20"/>
              </w:rPr>
            </w:pPr>
            <w:r>
              <w:rPr>
                <w:rFonts w:ascii="Bookman Old Style" w:hAnsi="Bookman Old Style" w:cs="Arial"/>
                <w:color w:val="000000"/>
                <w:sz w:val="20"/>
                <w:szCs w:val="20"/>
              </w:rPr>
              <w:t>La demanda regulada corresponderá a la que declare cada comercializador que atiende usuarios regulados al gestor.</w:t>
            </w:r>
          </w:p>
          <w:p w:rsidR="004838C6" w:rsidRPr="00EA3B2E" w:rsidRDefault="004838C6" w:rsidP="004838C6">
            <w:pPr>
              <w:rPr>
                <w:rFonts w:ascii="Bookman Old Style" w:eastAsia="Calibri" w:hAnsi="Bookman Old Style" w:cs="Arial"/>
                <w:b/>
                <w:color w:val="000000"/>
                <w:kern w:val="24"/>
                <w:sz w:val="20"/>
                <w:szCs w:val="20"/>
                <w:lang w:eastAsia="es-MX"/>
              </w:rPr>
            </w:pPr>
          </w:p>
          <w:p w:rsidR="004838C6" w:rsidRDefault="004838C6" w:rsidP="004838C6">
            <w:pPr>
              <w:ind w:left="0"/>
              <w:rPr>
                <w:rFonts w:ascii="Bookman Old Style" w:eastAsia="Calibri" w:hAnsi="Bookman Old Style" w:cs="Arial"/>
                <w:color w:val="000000"/>
                <w:kern w:val="24"/>
                <w:sz w:val="20"/>
                <w:szCs w:val="20"/>
                <w:lang w:eastAsia="es-MX"/>
              </w:rPr>
            </w:pPr>
            <w:r w:rsidRPr="00EA3B2E">
              <w:rPr>
                <w:rFonts w:ascii="Bookman Old Style" w:eastAsia="Calibri" w:hAnsi="Bookman Old Style" w:cs="Arial"/>
                <w:b/>
                <w:color w:val="000000"/>
                <w:kern w:val="24"/>
                <w:sz w:val="20"/>
                <w:szCs w:val="20"/>
                <w:lang w:eastAsia="es-MX"/>
              </w:rPr>
              <w:t xml:space="preserve">Periodicidad de cálculo: </w:t>
            </w:r>
            <w:r w:rsidRPr="00EA3B2E">
              <w:rPr>
                <w:rFonts w:ascii="Bookman Old Style" w:eastAsia="Calibri" w:hAnsi="Bookman Old Style" w:cs="Arial"/>
                <w:color w:val="000000"/>
                <w:kern w:val="24"/>
                <w:sz w:val="20"/>
                <w:szCs w:val="20"/>
                <w:lang w:eastAsia="es-MX"/>
              </w:rPr>
              <w:t>anual, después del proceso de negociación.</w:t>
            </w:r>
          </w:p>
          <w:p w:rsidR="00627C92" w:rsidRPr="00EA3B2E" w:rsidRDefault="00627C92" w:rsidP="004838C6">
            <w:pPr>
              <w:ind w:left="0"/>
              <w:rPr>
                <w:rFonts w:ascii="Bookman Old Style" w:eastAsia="Calibri" w:hAnsi="Bookman Old Style" w:cs="Arial"/>
                <w:color w:val="000000"/>
                <w:kern w:val="24"/>
                <w:sz w:val="20"/>
                <w:szCs w:val="20"/>
                <w:lang w:eastAsia="es-MX"/>
              </w:rPr>
            </w:pPr>
          </w:p>
          <w:p w:rsidR="003D410A" w:rsidRPr="00EA7ACD" w:rsidRDefault="00627C92"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Pr>
                <w:rFonts w:ascii="Bookman Old Style" w:eastAsia="Calibri" w:hAnsi="Bookman Old Style" w:cs="Arial"/>
                <w:color w:val="000000"/>
                <w:kern w:val="24"/>
                <w:sz w:val="20"/>
                <w:szCs w:val="20"/>
                <w:lang w:eastAsia="es-MX"/>
              </w:rPr>
              <w:t>para cada mes de los siguientes doce meses.</w:t>
            </w:r>
          </w:p>
        </w:tc>
        <w:tc>
          <w:tcPr>
            <w:tcW w:w="1559" w:type="dxa"/>
            <w:vAlign w:val="center"/>
          </w:tcPr>
          <w:p w:rsidR="003D410A" w:rsidRPr="00EA7ACD" w:rsidRDefault="008E04F4"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El indicador </w:t>
            </w:r>
            <w:r w:rsidR="00620147">
              <w:rPr>
                <w:rFonts w:ascii="Bookman Old Style" w:eastAsia="Calibri" w:hAnsi="Bookman Old Style" w:cs="Arial"/>
                <w:color w:val="000000"/>
                <w:kern w:val="24"/>
                <w:sz w:val="20"/>
                <w:szCs w:val="20"/>
                <w:lang w:eastAsia="es-MX"/>
              </w:rPr>
              <w:t xml:space="preserve">nacional </w:t>
            </w:r>
            <w:r>
              <w:rPr>
                <w:rFonts w:ascii="Bookman Old Style" w:eastAsia="Calibri" w:hAnsi="Bookman Old Style" w:cs="Arial"/>
                <w:color w:val="000000"/>
                <w:kern w:val="24"/>
                <w:sz w:val="20"/>
                <w:szCs w:val="20"/>
                <w:lang w:eastAsia="es-MX"/>
              </w:rPr>
              <w:t xml:space="preserve">para el público general y </w:t>
            </w:r>
            <w:r w:rsidR="00620147">
              <w:rPr>
                <w:rFonts w:ascii="Bookman Old Style" w:eastAsia="Calibri" w:hAnsi="Bookman Old Style" w:cs="Arial"/>
                <w:color w:val="000000"/>
                <w:kern w:val="24"/>
                <w:sz w:val="20"/>
                <w:szCs w:val="20"/>
                <w:lang w:eastAsia="es-MX"/>
              </w:rPr>
              <w:t>los indicadores</w:t>
            </w:r>
            <w:r>
              <w:rPr>
                <w:rFonts w:ascii="Bookman Old Style" w:eastAsia="Calibri" w:hAnsi="Bookman Old Style" w:cs="Arial"/>
                <w:color w:val="000000"/>
                <w:kern w:val="24"/>
                <w:sz w:val="20"/>
                <w:szCs w:val="20"/>
                <w:lang w:eastAsia="es-MX"/>
              </w:rPr>
              <w:t xml:space="preserve"> de</w:t>
            </w:r>
            <w:r w:rsidR="00620147">
              <w:rPr>
                <w:rFonts w:ascii="Bookman Old Style" w:eastAsia="Calibri" w:hAnsi="Bookman Old Style" w:cs="Arial"/>
                <w:color w:val="000000"/>
                <w:kern w:val="24"/>
                <w:sz w:val="20"/>
                <w:szCs w:val="20"/>
                <w:lang w:eastAsia="es-MX"/>
              </w:rPr>
              <w:t xml:space="preserve"> cada uno de</w:t>
            </w:r>
            <w:r>
              <w:rPr>
                <w:rFonts w:ascii="Bookman Old Style" w:eastAsia="Calibri" w:hAnsi="Bookman Old Style" w:cs="Arial"/>
                <w:color w:val="000000"/>
                <w:kern w:val="24"/>
                <w:sz w:val="20"/>
                <w:szCs w:val="20"/>
                <w:lang w:eastAsia="es-MX"/>
              </w:rPr>
              <w:t xml:space="preserve"> los mercados relevantes para la SSPD, SIC y CREG</w:t>
            </w:r>
          </w:p>
        </w:tc>
      </w:tr>
      <w:tr w:rsidR="003D410A" w:rsidRPr="00EA3B2E" w:rsidTr="008B24BA">
        <w:trPr>
          <w:trHeight w:val="584"/>
        </w:trPr>
        <w:tc>
          <w:tcPr>
            <w:tcW w:w="709" w:type="dxa"/>
            <w:vAlign w:val="center"/>
          </w:tcPr>
          <w:p w:rsidR="003D410A" w:rsidRDefault="004838C6" w:rsidP="0044507C">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t>MP9</w:t>
            </w:r>
          </w:p>
        </w:tc>
        <w:tc>
          <w:tcPr>
            <w:tcW w:w="3544" w:type="dxa"/>
            <w:vAlign w:val="center"/>
          </w:tcPr>
          <w:p w:rsidR="003D410A" w:rsidRPr="00B50AB8" w:rsidRDefault="00D47C83" w:rsidP="00E35C41">
            <w:pPr>
              <w:ind w:left="0"/>
              <w:rPr>
                <w:rFonts w:ascii="Bookman Old Style" w:hAnsi="Bookman Old Style" w:cs="Arial"/>
                <w:sz w:val="22"/>
                <w:lang w:val="en-US" w:eastAsia="es-MX"/>
              </w:rPr>
            </w:pPr>
            <m:oMathPara>
              <m:oMathParaPr>
                <m:jc m:val="centerGroup"/>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Gas contrado firme  dda reg</m:t>
                    </m:r>
                  </m:num>
                  <m:den>
                    <m:r>
                      <m:rPr>
                        <m:sty m:val="p"/>
                      </m:rPr>
                      <w:rPr>
                        <w:rFonts w:ascii="Cambria Math" w:hAnsi="Cambria Math" w:cs="Arial"/>
                        <w:sz w:val="18"/>
                        <w:lang w:val="en-US" w:eastAsia="es-MX"/>
                      </w:rPr>
                      <m:t>PTDVF+ CIDVF</m:t>
                    </m:r>
                  </m:den>
                </m:f>
              </m:oMath>
            </m:oMathPara>
          </w:p>
          <w:p w:rsidR="003D410A" w:rsidRPr="002B4087" w:rsidRDefault="003D410A" w:rsidP="00F8516D">
            <w:pPr>
              <w:ind w:left="0"/>
              <w:rPr>
                <w:rFonts w:ascii="Bookman Old Style" w:hAnsi="Bookman Old Style" w:cs="Arial"/>
                <w:sz w:val="16"/>
                <w:lang w:val="en-US" w:eastAsia="es-MX"/>
              </w:rPr>
            </w:pPr>
          </w:p>
        </w:tc>
        <w:tc>
          <w:tcPr>
            <w:tcW w:w="3544" w:type="dxa"/>
            <w:vAlign w:val="center"/>
          </w:tcPr>
          <w:p w:rsidR="003D410A" w:rsidRPr="00EA7ACD" w:rsidRDefault="003D410A" w:rsidP="00E35C4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calcular el gas natural contratado en firme por la demanda regulada en relación con la declara</w:t>
            </w:r>
            <w:r>
              <w:rPr>
                <w:rFonts w:ascii="Bookman Old Style" w:eastAsia="Calibri" w:hAnsi="Bookman Old Style" w:cs="Arial"/>
                <w:color w:val="000000"/>
                <w:kern w:val="24"/>
                <w:sz w:val="20"/>
                <w:szCs w:val="20"/>
                <w:lang w:eastAsia="es-MX"/>
              </w:rPr>
              <w:t>ción de p</w:t>
            </w:r>
            <w:r w:rsidRPr="00EA7ACD">
              <w:rPr>
                <w:rFonts w:ascii="Bookman Old Style" w:eastAsia="Calibri" w:hAnsi="Bookman Old Style" w:cs="Arial"/>
                <w:color w:val="000000"/>
                <w:kern w:val="24"/>
                <w:sz w:val="20"/>
                <w:szCs w:val="20"/>
                <w:lang w:eastAsia="es-MX"/>
              </w:rPr>
              <w:t xml:space="preserve">roducción total disponible para la venta en firme PTDVF </w:t>
            </w:r>
            <w:r w:rsidR="007C74B8">
              <w:rPr>
                <w:rFonts w:ascii="Bookman Old Style" w:eastAsia="Calibri" w:hAnsi="Bookman Old Style" w:cs="Arial"/>
                <w:color w:val="000000"/>
                <w:kern w:val="24"/>
                <w:sz w:val="20"/>
                <w:szCs w:val="20"/>
                <w:lang w:eastAsia="es-MX"/>
              </w:rPr>
              <w:t>y</w:t>
            </w:r>
            <w:r>
              <w:rPr>
                <w:rFonts w:ascii="Bookman Old Style" w:eastAsia="Calibri" w:hAnsi="Bookman Old Style" w:cs="Arial"/>
                <w:color w:val="000000"/>
                <w:kern w:val="24"/>
                <w:sz w:val="20"/>
                <w:szCs w:val="20"/>
                <w:lang w:eastAsia="es-MX"/>
              </w:rPr>
              <w:t xml:space="preserve"> la</w:t>
            </w:r>
            <w:r w:rsidR="007C74B8">
              <w:rPr>
                <w:rFonts w:ascii="Bookman Old Style" w:eastAsia="Calibri" w:hAnsi="Bookman Old Style" w:cs="Arial"/>
                <w:color w:val="000000"/>
                <w:kern w:val="24"/>
                <w:sz w:val="20"/>
                <w:szCs w:val="20"/>
                <w:lang w:eastAsia="es-MX"/>
              </w:rPr>
              <w:t>s</w:t>
            </w:r>
            <w:r>
              <w:rPr>
                <w:rFonts w:ascii="Bookman Old Style" w:eastAsia="Calibri" w:hAnsi="Bookman Old Style" w:cs="Arial"/>
                <w:color w:val="000000"/>
                <w:kern w:val="24"/>
                <w:sz w:val="20"/>
                <w:szCs w:val="20"/>
                <w:lang w:eastAsia="es-MX"/>
              </w:rPr>
              <w:t xml:space="preserve"> </w:t>
            </w:r>
            <w:r w:rsidRPr="00EA7ACD">
              <w:rPr>
                <w:rFonts w:ascii="Bookman Old Style" w:eastAsia="Calibri" w:hAnsi="Bookman Old Style" w:cs="Arial"/>
                <w:color w:val="000000"/>
                <w:kern w:val="24"/>
                <w:sz w:val="20"/>
                <w:szCs w:val="20"/>
                <w:lang w:eastAsia="es-MX"/>
              </w:rPr>
              <w:t xml:space="preserve">cantidades importadas disponibles para la </w:t>
            </w:r>
            <w:r w:rsidRPr="00EA7ACD">
              <w:rPr>
                <w:rFonts w:ascii="Bookman Old Style" w:eastAsia="Calibri" w:hAnsi="Bookman Old Style" w:cs="Arial"/>
                <w:color w:val="000000"/>
                <w:kern w:val="24"/>
                <w:sz w:val="20"/>
                <w:szCs w:val="20"/>
                <w:lang w:eastAsia="es-MX"/>
              </w:rPr>
              <w:lastRenderedPageBreak/>
              <w:t xml:space="preserve">venta en firme </w:t>
            </w:r>
            <w:r w:rsidRPr="00EA7ACD">
              <w:rPr>
                <w:rFonts w:ascii="Bookman Old Style" w:hAnsi="Bookman Old Style" w:cs="Arial"/>
                <w:color w:val="000000"/>
                <w:sz w:val="20"/>
                <w:szCs w:val="20"/>
              </w:rPr>
              <w:t>CIDVF</w:t>
            </w:r>
            <w:r>
              <w:rPr>
                <w:rFonts w:ascii="Bookman Old Style" w:eastAsia="Calibri" w:hAnsi="Bookman Old Style" w:cs="Arial"/>
                <w:color w:val="000000"/>
                <w:kern w:val="24"/>
                <w:sz w:val="20"/>
                <w:szCs w:val="20"/>
                <w:lang w:eastAsia="es-MX"/>
              </w:rPr>
              <w:t>.</w:t>
            </w:r>
          </w:p>
          <w:p w:rsidR="003D410A" w:rsidRPr="00EA7ACD" w:rsidRDefault="003D410A" w:rsidP="00E35C41">
            <w:pPr>
              <w:ind w:left="0"/>
              <w:jc w:val="both"/>
              <w:rPr>
                <w:rFonts w:ascii="Bookman Old Style" w:eastAsia="Calibri" w:hAnsi="Bookman Old Style" w:cs="Arial"/>
                <w:color w:val="000000"/>
                <w:kern w:val="24"/>
                <w:sz w:val="20"/>
                <w:szCs w:val="20"/>
                <w:lang w:eastAsia="es-MX"/>
              </w:rPr>
            </w:pPr>
          </w:p>
          <w:p w:rsidR="003D410A" w:rsidRPr="00EA7ACD" w:rsidRDefault="003D410A" w:rsidP="00E35C41">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Este indicador debe calcularse de manera nacional (i.e. agregado) y por fuente.</w:t>
            </w:r>
          </w:p>
          <w:p w:rsidR="003D410A" w:rsidRPr="00EA7ACD" w:rsidRDefault="003D410A" w:rsidP="00E35C41">
            <w:pPr>
              <w:jc w:val="both"/>
              <w:rPr>
                <w:rFonts w:ascii="Bookman Old Style" w:eastAsia="Calibri" w:hAnsi="Bookman Old Style" w:cs="Arial"/>
                <w:color w:val="000000"/>
                <w:kern w:val="24"/>
                <w:sz w:val="20"/>
                <w:szCs w:val="20"/>
                <w:lang w:eastAsia="es-MX"/>
              </w:rPr>
            </w:pPr>
          </w:p>
          <w:p w:rsidR="003D410A" w:rsidRPr="00EA7ACD" w:rsidRDefault="003D410A" w:rsidP="00E35C4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35C41">
            <w:pPr>
              <w:rPr>
                <w:rFonts w:ascii="Bookman Old Style" w:eastAsia="Calibri" w:hAnsi="Bookman Old Style" w:cs="Arial"/>
                <w:color w:val="000000"/>
                <w:kern w:val="24"/>
                <w:sz w:val="20"/>
                <w:szCs w:val="20"/>
                <w:lang w:eastAsia="es-MX"/>
              </w:rPr>
            </w:pPr>
          </w:p>
          <w:p w:rsidR="003D410A" w:rsidRDefault="003D410A" w:rsidP="00E35C4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p w:rsidR="003D410A" w:rsidRPr="00EA7ACD" w:rsidRDefault="003D410A" w:rsidP="00E35C41">
            <w:pPr>
              <w:ind w:left="0"/>
              <w:jc w:val="both"/>
              <w:rPr>
                <w:rFonts w:ascii="Bookman Old Style" w:eastAsia="Calibri" w:hAnsi="Bookman Old Style" w:cs="Arial"/>
                <w:color w:val="000000"/>
                <w:kern w:val="24"/>
                <w:sz w:val="20"/>
                <w:szCs w:val="20"/>
                <w:lang w:eastAsia="es-MX"/>
              </w:rPr>
            </w:pPr>
          </w:p>
        </w:tc>
        <w:tc>
          <w:tcPr>
            <w:tcW w:w="1559" w:type="dxa"/>
            <w:vAlign w:val="center"/>
          </w:tcPr>
          <w:p w:rsidR="003D410A"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 xml:space="preserve">Los indicadores nacional y por fuente para el público general </w:t>
            </w:r>
          </w:p>
        </w:tc>
      </w:tr>
      <w:tr w:rsidR="003D410A" w:rsidRPr="00EA3B2E" w:rsidTr="008B24BA">
        <w:trPr>
          <w:trHeight w:val="584"/>
        </w:trPr>
        <w:tc>
          <w:tcPr>
            <w:tcW w:w="709" w:type="dxa"/>
            <w:vAlign w:val="center"/>
            <w:hideMark/>
          </w:tcPr>
          <w:p w:rsidR="003D410A" w:rsidRPr="00EA3B2E" w:rsidRDefault="003D410A" w:rsidP="004838C6">
            <w:pPr>
              <w:ind w:left="0"/>
              <w:rPr>
                <w:rFonts w:ascii="Bookman Old Style" w:hAnsi="Bookman Old Style" w:cs="Arial"/>
                <w:sz w:val="16"/>
                <w:szCs w:val="20"/>
                <w:lang w:eastAsia="es-MX"/>
              </w:rPr>
            </w:pPr>
            <w:r>
              <w:rPr>
                <w:rFonts w:ascii="Bookman Old Style" w:hAnsi="Bookman Old Style" w:cs="Arial"/>
                <w:color w:val="000000"/>
                <w:kern w:val="24"/>
                <w:sz w:val="16"/>
                <w:szCs w:val="20"/>
                <w:lang w:eastAsia="es-MX"/>
              </w:rPr>
              <w:lastRenderedPageBreak/>
              <w:t>MP</w:t>
            </w:r>
            <w:r w:rsidR="004838C6">
              <w:rPr>
                <w:rFonts w:ascii="Bookman Old Style" w:hAnsi="Bookman Old Style" w:cs="Arial"/>
                <w:color w:val="000000"/>
                <w:kern w:val="24"/>
                <w:sz w:val="16"/>
                <w:szCs w:val="20"/>
                <w:lang w:eastAsia="es-MX"/>
              </w:rPr>
              <w:t>10</w:t>
            </w:r>
          </w:p>
        </w:tc>
        <w:tc>
          <w:tcPr>
            <w:tcW w:w="3544" w:type="dxa"/>
            <w:vAlign w:val="center"/>
            <w:hideMark/>
          </w:tcPr>
          <w:p w:rsidR="003D410A" w:rsidRPr="00B50AB8" w:rsidRDefault="00D47C83" w:rsidP="00F8516D">
            <w:pPr>
              <w:ind w:left="0"/>
              <w:rPr>
                <w:rFonts w:ascii="Bookman Old Style" w:hAnsi="Bookman Old Style" w:cs="Arial"/>
                <w:sz w:val="22"/>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Gas contrado firme dda reg</m:t>
                    </m:r>
                  </m:num>
                  <m:den>
                    <m:r>
                      <m:rPr>
                        <m:sty m:val="p"/>
                      </m:rPr>
                      <w:rPr>
                        <w:rFonts w:ascii="Cambria Math" w:hAnsi="Cambria Math" w:cs="Arial"/>
                        <w:sz w:val="18"/>
                        <w:lang w:val="en-US" w:eastAsia="es-MX"/>
                      </w:rPr>
                      <m:t>Oferta comprometida firme</m:t>
                    </m:r>
                  </m:den>
                </m:f>
              </m:oMath>
            </m:oMathPara>
          </w:p>
          <w:p w:rsidR="003D410A" w:rsidRPr="00EA3B2E" w:rsidRDefault="003D410A" w:rsidP="00F76AD1">
            <w:pPr>
              <w:rPr>
                <w:rFonts w:ascii="Bookman Old Style" w:hAnsi="Bookman Old Style" w:cs="Arial"/>
                <w:lang w:val="en-US" w:eastAsia="es-MX"/>
              </w:rPr>
            </w:pPr>
          </w:p>
        </w:tc>
        <w:tc>
          <w:tcPr>
            <w:tcW w:w="3544" w:type="dxa"/>
            <w:vAlign w:val="center"/>
            <w:hideMark/>
          </w:tcPr>
          <w:p w:rsidR="003D410A" w:rsidRDefault="003D410A" w:rsidP="00E35C4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calcular </w:t>
            </w:r>
            <w:r w:rsidR="005722D5">
              <w:rPr>
                <w:rFonts w:ascii="Bookman Old Style" w:eastAsia="Calibri" w:hAnsi="Bookman Old Style" w:cs="Arial"/>
                <w:color w:val="000000"/>
                <w:kern w:val="24"/>
                <w:sz w:val="20"/>
                <w:szCs w:val="20"/>
                <w:lang w:eastAsia="es-MX"/>
              </w:rPr>
              <w:t xml:space="preserve">todo </w:t>
            </w:r>
            <w:r w:rsidRPr="00EA7ACD">
              <w:rPr>
                <w:rFonts w:ascii="Bookman Old Style" w:eastAsia="Calibri" w:hAnsi="Bookman Old Style" w:cs="Arial"/>
                <w:color w:val="000000"/>
                <w:kern w:val="24"/>
                <w:sz w:val="20"/>
                <w:szCs w:val="20"/>
                <w:lang w:eastAsia="es-MX"/>
              </w:rPr>
              <w:t>el gas natural contratado en firme por la demanda regulada en relación con la oferta comprometida en firme después del proceso de negociación.</w:t>
            </w:r>
          </w:p>
          <w:p w:rsidR="00AE244A" w:rsidRDefault="00AE244A" w:rsidP="00E35C41">
            <w:pPr>
              <w:ind w:left="0"/>
              <w:jc w:val="both"/>
              <w:rPr>
                <w:rFonts w:ascii="Bookman Old Style" w:eastAsia="Calibri" w:hAnsi="Bookman Old Style" w:cs="Arial"/>
                <w:color w:val="000000"/>
                <w:kern w:val="24"/>
                <w:sz w:val="20"/>
                <w:szCs w:val="20"/>
                <w:lang w:eastAsia="es-MX"/>
              </w:rPr>
            </w:pPr>
          </w:p>
          <w:p w:rsidR="00AE244A" w:rsidRPr="00EA7ACD" w:rsidRDefault="00AE244A" w:rsidP="00E35C41">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En la oferta comprometida también deben incluirse aquellos contratos vigentes y negociados antes de la entrada en operación del gestor del mercado de gas natural.</w:t>
            </w:r>
          </w:p>
          <w:p w:rsidR="003D410A" w:rsidRPr="00EA7ACD" w:rsidRDefault="003D410A" w:rsidP="00E35C41">
            <w:pPr>
              <w:jc w:val="both"/>
              <w:rPr>
                <w:rFonts w:ascii="Bookman Old Style" w:eastAsia="Calibri" w:hAnsi="Bookman Old Style" w:cs="Arial"/>
                <w:color w:val="000000"/>
                <w:kern w:val="24"/>
                <w:sz w:val="20"/>
                <w:szCs w:val="20"/>
                <w:lang w:eastAsia="es-MX"/>
              </w:rPr>
            </w:pPr>
          </w:p>
          <w:p w:rsidR="003D410A" w:rsidRPr="00EA7ACD" w:rsidRDefault="003D410A" w:rsidP="00E35C41">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Estos indicadores deben calcularse de manera nacional (i.e. agregado) y por fuente.</w:t>
            </w:r>
          </w:p>
          <w:p w:rsidR="003D410A" w:rsidRPr="00EA7ACD" w:rsidRDefault="003D410A" w:rsidP="00E35C41">
            <w:pPr>
              <w:jc w:val="both"/>
              <w:rPr>
                <w:rFonts w:ascii="Bookman Old Style" w:eastAsia="Calibri" w:hAnsi="Bookman Old Style" w:cs="Arial"/>
                <w:color w:val="000000"/>
                <w:kern w:val="24"/>
                <w:sz w:val="20"/>
                <w:szCs w:val="20"/>
                <w:lang w:eastAsia="es-MX"/>
              </w:rPr>
            </w:pPr>
          </w:p>
          <w:p w:rsidR="003D410A" w:rsidRPr="00EA7ACD" w:rsidRDefault="003D410A" w:rsidP="00E35C4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35C41">
            <w:pPr>
              <w:jc w:val="both"/>
              <w:rPr>
                <w:rFonts w:ascii="Bookman Old Style" w:eastAsia="Calibri" w:hAnsi="Bookman Old Style" w:cs="Arial"/>
                <w:color w:val="000000"/>
                <w:kern w:val="24"/>
                <w:sz w:val="20"/>
                <w:szCs w:val="20"/>
                <w:lang w:eastAsia="es-MX"/>
              </w:rPr>
            </w:pPr>
          </w:p>
          <w:p w:rsidR="003D410A" w:rsidRPr="00EA7ACD" w:rsidRDefault="003D410A"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tc>
        <w:tc>
          <w:tcPr>
            <w:tcW w:w="1559" w:type="dxa"/>
            <w:vAlign w:val="center"/>
            <w:hideMark/>
          </w:tcPr>
          <w:p w:rsidR="003D410A" w:rsidRPr="00EA7ACD" w:rsidRDefault="00620147" w:rsidP="00F95DF1">
            <w:pPr>
              <w:ind w:left="0"/>
              <w:contextualSpacing/>
              <w:jc w:val="center"/>
              <w:rPr>
                <w:rFonts w:ascii="Bookman Old Style" w:hAnsi="Bookman Old Style" w:cs="Arial"/>
                <w:sz w:val="20"/>
                <w:szCs w:val="20"/>
                <w:lang w:eastAsia="es-MX"/>
              </w:rPr>
            </w:pPr>
            <w:r>
              <w:rPr>
                <w:rFonts w:ascii="Bookman Old Style" w:eastAsia="Calibri" w:hAnsi="Bookman Old Style" w:cs="Arial"/>
                <w:color w:val="000000"/>
                <w:kern w:val="24"/>
                <w:sz w:val="20"/>
                <w:szCs w:val="20"/>
                <w:lang w:eastAsia="es-MX"/>
              </w:rPr>
              <w:t xml:space="preserve">Los indicadores nacional y por fuente para el público general </w:t>
            </w:r>
          </w:p>
        </w:tc>
      </w:tr>
      <w:tr w:rsidR="003D410A" w:rsidRPr="00EA3B2E" w:rsidTr="008B24BA">
        <w:trPr>
          <w:trHeight w:val="584"/>
        </w:trPr>
        <w:tc>
          <w:tcPr>
            <w:tcW w:w="709" w:type="dxa"/>
            <w:vAlign w:val="center"/>
          </w:tcPr>
          <w:p w:rsidR="003D410A" w:rsidRPr="00EA3B2E" w:rsidRDefault="004838C6" w:rsidP="00F8516D">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t>MP11</w:t>
            </w:r>
          </w:p>
        </w:tc>
        <w:tc>
          <w:tcPr>
            <w:tcW w:w="3544" w:type="dxa"/>
            <w:vAlign w:val="center"/>
          </w:tcPr>
          <w:p w:rsidR="003D410A" w:rsidRPr="00B50AB8" w:rsidRDefault="00D47C83" w:rsidP="00E35C41">
            <w:pPr>
              <w:ind w:left="0"/>
              <w:rPr>
                <w:rFonts w:ascii="Bookman Old Style" w:hAnsi="Bookman Old Style" w:cs="Arial"/>
                <w:sz w:val="18"/>
                <w:szCs w:val="18"/>
                <w:lang w:val="en-US" w:eastAsia="es-MX"/>
              </w:rPr>
            </w:pPr>
            <m:oMathPara>
              <m:oMathParaPr>
                <m:jc m:val="centerGroup"/>
              </m:oMathParaPr>
              <m:oMath>
                <m:f>
                  <m:fPr>
                    <m:ctrlPr>
                      <w:rPr>
                        <w:rFonts w:ascii="Cambria Math" w:hAnsi="Cambria Math" w:cs="Arial"/>
                        <w:sz w:val="18"/>
                        <w:szCs w:val="18"/>
                        <w:lang w:val="en-US" w:eastAsia="es-MX"/>
                      </w:rPr>
                    </m:ctrlPr>
                  </m:fPr>
                  <m:num>
                    <m:r>
                      <m:rPr>
                        <m:sty m:val="p"/>
                      </m:rPr>
                      <w:rPr>
                        <w:rFonts w:ascii="Cambria Math" w:hAnsi="Cambria Math" w:cs="Arial"/>
                        <w:sz w:val="18"/>
                        <w:szCs w:val="18"/>
                        <w:lang w:val="en-US" w:eastAsia="es-MX"/>
                      </w:rPr>
                      <m:t xml:space="preserve">Gas contrado firme dda </m:t>
                    </m:r>
                    <m:r>
                      <m:rPr>
                        <m:sty m:val="b"/>
                      </m:rPr>
                      <w:rPr>
                        <w:rFonts w:ascii="Cambria Math" w:hAnsi="Cambria Math" w:cs="Arial"/>
                        <w:sz w:val="18"/>
                        <w:szCs w:val="18"/>
                        <w:lang w:val="en-US" w:eastAsia="es-MX"/>
                      </w:rPr>
                      <m:t xml:space="preserve">no </m:t>
                    </m:r>
                    <m:r>
                      <m:rPr>
                        <m:sty m:val="p"/>
                      </m:rPr>
                      <w:rPr>
                        <w:rFonts w:ascii="Cambria Math" w:hAnsi="Cambria Math" w:cs="Arial"/>
                        <w:sz w:val="18"/>
                        <w:szCs w:val="18"/>
                        <w:lang w:val="en-US" w:eastAsia="es-MX"/>
                      </w:rPr>
                      <m:t>reg</m:t>
                    </m:r>
                  </m:num>
                  <m:den>
                    <m:r>
                      <m:rPr>
                        <m:sty m:val="p"/>
                      </m:rPr>
                      <w:rPr>
                        <w:rFonts w:ascii="Cambria Math" w:hAnsi="Cambria Math" w:cs="Arial"/>
                        <w:sz w:val="18"/>
                        <w:szCs w:val="18"/>
                        <w:lang w:val="en-US" w:eastAsia="es-MX"/>
                      </w:rPr>
                      <m:t>PTDVF+ CIDVF</m:t>
                    </m:r>
                  </m:den>
                </m:f>
              </m:oMath>
            </m:oMathPara>
          </w:p>
          <w:p w:rsidR="003D410A" w:rsidRPr="002B4087" w:rsidRDefault="003D410A" w:rsidP="00F8516D">
            <w:pPr>
              <w:ind w:left="0"/>
              <w:rPr>
                <w:rFonts w:ascii="Bookman Old Style" w:hAnsi="Bookman Old Style" w:cs="Arial"/>
                <w:sz w:val="16"/>
                <w:lang w:val="en-US" w:eastAsia="es-MX"/>
              </w:rPr>
            </w:pPr>
          </w:p>
        </w:tc>
        <w:tc>
          <w:tcPr>
            <w:tcW w:w="3544" w:type="dxa"/>
            <w:vAlign w:val="center"/>
          </w:tcPr>
          <w:p w:rsidR="003D410A" w:rsidRPr="00EA7ACD" w:rsidRDefault="003D410A" w:rsidP="00B50AB8">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calcular </w:t>
            </w:r>
            <w:r w:rsidR="005722D5">
              <w:rPr>
                <w:rFonts w:ascii="Bookman Old Style" w:eastAsia="Calibri" w:hAnsi="Bookman Old Style" w:cs="Arial"/>
                <w:color w:val="000000"/>
                <w:kern w:val="24"/>
                <w:sz w:val="20"/>
                <w:szCs w:val="20"/>
                <w:lang w:eastAsia="es-MX"/>
              </w:rPr>
              <w:t xml:space="preserve">todo </w:t>
            </w:r>
            <w:r w:rsidRPr="00EA7ACD">
              <w:rPr>
                <w:rFonts w:ascii="Bookman Old Style" w:eastAsia="Calibri" w:hAnsi="Bookman Old Style" w:cs="Arial"/>
                <w:color w:val="000000"/>
                <w:kern w:val="24"/>
                <w:sz w:val="20"/>
                <w:szCs w:val="20"/>
                <w:lang w:eastAsia="es-MX"/>
              </w:rPr>
              <w:t xml:space="preserve">el gas natural contratado en firme por la demanda </w:t>
            </w:r>
            <w:r w:rsidRPr="00EA7ACD">
              <w:rPr>
                <w:rFonts w:ascii="Bookman Old Style" w:eastAsia="Calibri" w:hAnsi="Bookman Old Style" w:cs="Arial"/>
                <w:b/>
                <w:color w:val="000000"/>
                <w:kern w:val="24"/>
                <w:sz w:val="20"/>
                <w:szCs w:val="20"/>
                <w:lang w:eastAsia="es-MX"/>
              </w:rPr>
              <w:t>no</w:t>
            </w:r>
            <w:r w:rsidRPr="00EA7ACD">
              <w:rPr>
                <w:rFonts w:ascii="Bookman Old Style" w:eastAsia="Calibri" w:hAnsi="Bookman Old Style" w:cs="Arial"/>
                <w:color w:val="000000"/>
                <w:kern w:val="24"/>
                <w:sz w:val="20"/>
                <w:szCs w:val="20"/>
                <w:lang w:eastAsia="es-MX"/>
              </w:rPr>
              <w:t xml:space="preserve"> regulada en relación con la declara</w:t>
            </w:r>
            <w:r>
              <w:rPr>
                <w:rFonts w:ascii="Bookman Old Style" w:eastAsia="Calibri" w:hAnsi="Bookman Old Style" w:cs="Arial"/>
                <w:color w:val="000000"/>
                <w:kern w:val="24"/>
                <w:sz w:val="20"/>
                <w:szCs w:val="20"/>
                <w:lang w:eastAsia="es-MX"/>
              </w:rPr>
              <w:t>ción de p</w:t>
            </w:r>
            <w:r w:rsidRPr="00EA7ACD">
              <w:rPr>
                <w:rFonts w:ascii="Bookman Old Style" w:eastAsia="Calibri" w:hAnsi="Bookman Old Style" w:cs="Arial"/>
                <w:color w:val="000000"/>
                <w:kern w:val="24"/>
                <w:sz w:val="20"/>
                <w:szCs w:val="20"/>
                <w:lang w:eastAsia="es-MX"/>
              </w:rPr>
              <w:t xml:space="preserve">roducción total disponible para la venta en firme PTDVF </w:t>
            </w:r>
            <w:r w:rsidR="007C74B8">
              <w:rPr>
                <w:rFonts w:ascii="Bookman Old Style" w:eastAsia="Calibri" w:hAnsi="Bookman Old Style" w:cs="Arial"/>
                <w:color w:val="000000"/>
                <w:kern w:val="24"/>
                <w:sz w:val="20"/>
                <w:szCs w:val="20"/>
                <w:lang w:eastAsia="es-MX"/>
              </w:rPr>
              <w:t>y</w:t>
            </w:r>
            <w:r>
              <w:rPr>
                <w:rFonts w:ascii="Bookman Old Style" w:eastAsia="Calibri" w:hAnsi="Bookman Old Style" w:cs="Arial"/>
                <w:color w:val="000000"/>
                <w:kern w:val="24"/>
                <w:sz w:val="20"/>
                <w:szCs w:val="20"/>
                <w:lang w:eastAsia="es-MX"/>
              </w:rPr>
              <w:t xml:space="preserve"> </w:t>
            </w:r>
            <w:r w:rsidR="007C74B8">
              <w:rPr>
                <w:rFonts w:ascii="Bookman Old Style" w:eastAsia="Calibri" w:hAnsi="Bookman Old Style" w:cs="Arial"/>
                <w:color w:val="000000"/>
                <w:kern w:val="24"/>
                <w:sz w:val="20"/>
                <w:szCs w:val="20"/>
                <w:lang w:eastAsia="es-MX"/>
              </w:rPr>
              <w:t>las</w:t>
            </w:r>
            <w:r w:rsidRPr="00EA7ACD">
              <w:rPr>
                <w:rFonts w:ascii="Bookman Old Style" w:eastAsia="Calibri" w:hAnsi="Bookman Old Style" w:cs="Arial"/>
                <w:color w:val="000000"/>
                <w:kern w:val="24"/>
                <w:sz w:val="20"/>
                <w:szCs w:val="20"/>
                <w:lang w:eastAsia="es-MX"/>
              </w:rPr>
              <w:t xml:space="preserve"> cantidades importadas disponibles para la venta en firme </w:t>
            </w:r>
            <w:r w:rsidRPr="00EA7ACD">
              <w:rPr>
                <w:rFonts w:ascii="Bookman Old Style" w:hAnsi="Bookman Old Style" w:cs="Arial"/>
                <w:color w:val="000000"/>
                <w:sz w:val="20"/>
                <w:szCs w:val="20"/>
              </w:rPr>
              <w:t>CIDVF</w:t>
            </w:r>
            <w:r>
              <w:rPr>
                <w:rFonts w:ascii="Bookman Old Style" w:eastAsia="Calibri" w:hAnsi="Bookman Old Style" w:cs="Arial"/>
                <w:color w:val="000000"/>
                <w:kern w:val="24"/>
                <w:sz w:val="20"/>
                <w:szCs w:val="20"/>
                <w:lang w:eastAsia="es-MX"/>
              </w:rPr>
              <w:t>.</w:t>
            </w:r>
          </w:p>
          <w:p w:rsidR="003D410A" w:rsidRPr="00EA7ACD" w:rsidRDefault="003D410A" w:rsidP="00E35C41">
            <w:pPr>
              <w:ind w:left="0"/>
              <w:jc w:val="both"/>
              <w:rPr>
                <w:rFonts w:ascii="Bookman Old Style" w:eastAsia="Calibri" w:hAnsi="Bookman Old Style" w:cs="Arial"/>
                <w:color w:val="000000"/>
                <w:kern w:val="24"/>
                <w:sz w:val="20"/>
                <w:szCs w:val="20"/>
                <w:lang w:eastAsia="es-MX"/>
              </w:rPr>
            </w:pPr>
          </w:p>
          <w:p w:rsidR="00B41E7E" w:rsidRPr="00EA7ACD" w:rsidRDefault="00B41E7E" w:rsidP="00B41E7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Estos indicadores deben calcularse de manera nacional (i.e. agregado) y por fuente.</w:t>
            </w:r>
          </w:p>
          <w:p w:rsidR="00B41E7E" w:rsidRDefault="00B41E7E" w:rsidP="00E35C41">
            <w:pPr>
              <w:ind w:left="0"/>
              <w:jc w:val="both"/>
              <w:rPr>
                <w:rFonts w:ascii="Bookman Old Style" w:eastAsia="Calibri" w:hAnsi="Bookman Old Style" w:cs="Arial"/>
                <w:b/>
                <w:color w:val="000000"/>
                <w:kern w:val="24"/>
                <w:sz w:val="20"/>
                <w:szCs w:val="20"/>
                <w:lang w:eastAsia="es-MX"/>
              </w:rPr>
            </w:pPr>
          </w:p>
          <w:p w:rsidR="003D410A" w:rsidRPr="00EA7ACD" w:rsidRDefault="003D410A" w:rsidP="00E35C4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lastRenderedPageBreak/>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F95DF1">
            <w:pPr>
              <w:ind w:left="0"/>
              <w:jc w:val="both"/>
              <w:rPr>
                <w:rFonts w:ascii="Bookman Old Style" w:eastAsia="Calibri" w:hAnsi="Bookman Old Style" w:cs="Arial"/>
                <w:color w:val="000000"/>
                <w:kern w:val="24"/>
                <w:sz w:val="20"/>
                <w:szCs w:val="20"/>
                <w:lang w:eastAsia="es-MX"/>
              </w:rPr>
            </w:pPr>
          </w:p>
          <w:p w:rsidR="003D410A" w:rsidRPr="00EA7ACD" w:rsidRDefault="003D410A" w:rsidP="00E35C41">
            <w:pPr>
              <w:ind w:left="0"/>
              <w:jc w:val="both"/>
              <w:rPr>
                <w:rFonts w:ascii="Bookman Old Style" w:hAnsi="Bookman Old Style" w:cs="Arial"/>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p w:rsidR="003D410A" w:rsidRPr="00EA7ACD" w:rsidRDefault="003D410A" w:rsidP="00F8516D">
            <w:pPr>
              <w:ind w:left="0"/>
              <w:rPr>
                <w:rFonts w:ascii="Bookman Old Style" w:eastAsia="Calibri" w:hAnsi="Bookman Old Style" w:cs="Arial"/>
                <w:color w:val="000000"/>
                <w:kern w:val="24"/>
                <w:sz w:val="20"/>
                <w:szCs w:val="20"/>
                <w:lang w:eastAsia="es-MX"/>
              </w:rPr>
            </w:pPr>
          </w:p>
        </w:tc>
        <w:tc>
          <w:tcPr>
            <w:tcW w:w="1559" w:type="dxa"/>
            <w:vAlign w:val="center"/>
          </w:tcPr>
          <w:p w:rsidR="003D410A"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Los indicadores nacional y por fuente para el público general</w:t>
            </w:r>
          </w:p>
        </w:tc>
      </w:tr>
      <w:tr w:rsidR="003D410A" w:rsidRPr="00EA3B2E" w:rsidTr="008B24BA">
        <w:trPr>
          <w:trHeight w:val="584"/>
        </w:trPr>
        <w:tc>
          <w:tcPr>
            <w:tcW w:w="709" w:type="dxa"/>
            <w:vAlign w:val="center"/>
          </w:tcPr>
          <w:p w:rsidR="003D410A" w:rsidRPr="00EA3B2E" w:rsidRDefault="003D410A" w:rsidP="00EA7ACD">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lastRenderedPageBreak/>
              <w:t>MP</w:t>
            </w:r>
            <w:r w:rsidR="004838C6">
              <w:rPr>
                <w:rFonts w:ascii="Bookman Old Style" w:hAnsi="Bookman Old Style" w:cs="Arial"/>
                <w:color w:val="000000"/>
                <w:kern w:val="24"/>
                <w:sz w:val="16"/>
                <w:szCs w:val="20"/>
                <w:lang w:eastAsia="es-MX"/>
              </w:rPr>
              <w:t>12</w:t>
            </w:r>
          </w:p>
        </w:tc>
        <w:tc>
          <w:tcPr>
            <w:tcW w:w="3544" w:type="dxa"/>
            <w:vAlign w:val="center"/>
          </w:tcPr>
          <w:p w:rsidR="003D410A" w:rsidRPr="00B50AB8" w:rsidRDefault="00D47C83" w:rsidP="00F8516D">
            <w:pPr>
              <w:ind w:left="0"/>
              <w:rPr>
                <w:rFonts w:ascii="Bookman Old Style" w:hAnsi="Bookman Old Style" w:cs="Arial"/>
                <w:sz w:val="22"/>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Gas contrado firme 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m:t>
                    </m:r>
                  </m:num>
                  <m:den>
                    <m:r>
                      <m:rPr>
                        <m:sty m:val="p"/>
                      </m:rPr>
                      <w:rPr>
                        <w:rFonts w:ascii="Cambria Math" w:hAnsi="Cambria Math" w:cs="Arial"/>
                        <w:sz w:val="18"/>
                        <w:lang w:val="en-US" w:eastAsia="es-MX"/>
                      </w:rPr>
                      <m:t>Oferta comprometida firme</m:t>
                    </m:r>
                  </m:den>
                </m:f>
              </m:oMath>
            </m:oMathPara>
          </w:p>
          <w:p w:rsidR="003D410A" w:rsidRPr="00EA3B2E" w:rsidRDefault="003D410A" w:rsidP="00F76AD1">
            <w:pPr>
              <w:rPr>
                <w:rFonts w:ascii="Bookman Old Style" w:hAnsi="Bookman Old Style" w:cs="Arial"/>
                <w:lang w:val="en-US" w:eastAsia="es-MX"/>
              </w:rPr>
            </w:pPr>
          </w:p>
        </w:tc>
        <w:tc>
          <w:tcPr>
            <w:tcW w:w="3544" w:type="dxa"/>
            <w:vAlign w:val="center"/>
          </w:tcPr>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calcular el gas natural contratado en firme por la demanda </w:t>
            </w:r>
            <w:r w:rsidRPr="00EA7ACD">
              <w:rPr>
                <w:rFonts w:ascii="Bookman Old Style" w:eastAsia="Calibri" w:hAnsi="Bookman Old Style" w:cs="Arial"/>
                <w:b/>
                <w:color w:val="000000"/>
                <w:kern w:val="24"/>
                <w:sz w:val="20"/>
                <w:szCs w:val="20"/>
                <w:lang w:eastAsia="es-MX"/>
              </w:rPr>
              <w:t xml:space="preserve">no </w:t>
            </w:r>
            <w:r w:rsidRPr="00EA7ACD">
              <w:rPr>
                <w:rFonts w:ascii="Bookman Old Style" w:eastAsia="Calibri" w:hAnsi="Bookman Old Style" w:cs="Arial"/>
                <w:color w:val="000000"/>
                <w:kern w:val="24"/>
                <w:sz w:val="20"/>
                <w:szCs w:val="20"/>
                <w:lang w:eastAsia="es-MX"/>
              </w:rPr>
              <w:t>regulada en relación con la oferta comprometida en firme después del proceso de negociación.</w:t>
            </w:r>
          </w:p>
          <w:p w:rsidR="003D410A" w:rsidRDefault="003D410A" w:rsidP="008F489B">
            <w:pPr>
              <w:ind w:left="0"/>
              <w:jc w:val="both"/>
              <w:rPr>
                <w:rFonts w:ascii="Bookman Old Style" w:eastAsia="Calibri" w:hAnsi="Bookman Old Style" w:cs="Arial"/>
                <w:color w:val="000000"/>
                <w:kern w:val="24"/>
                <w:sz w:val="20"/>
                <w:szCs w:val="20"/>
                <w:lang w:eastAsia="es-MX"/>
              </w:rPr>
            </w:pPr>
          </w:p>
          <w:p w:rsidR="00AE244A" w:rsidRPr="00EA7ACD" w:rsidRDefault="00AE244A" w:rsidP="00AE244A">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En la oferta comprometida también deben incluirse aquellos contratos vigentes y negociados antes de la entrada en operación del gestor del mercado de gas natural.</w:t>
            </w:r>
          </w:p>
          <w:p w:rsidR="00AE244A" w:rsidRDefault="00AE244A" w:rsidP="008F489B">
            <w:pPr>
              <w:ind w:left="0"/>
              <w:jc w:val="both"/>
              <w:rPr>
                <w:rFonts w:ascii="Bookman Old Style" w:eastAsia="Calibri" w:hAnsi="Bookman Old Style" w:cs="Arial"/>
                <w:color w:val="000000"/>
                <w:kern w:val="24"/>
                <w:sz w:val="20"/>
                <w:szCs w:val="20"/>
                <w:lang w:eastAsia="es-MX"/>
              </w:rPr>
            </w:pPr>
          </w:p>
          <w:p w:rsidR="00B41E7E" w:rsidRPr="00EA7ACD" w:rsidRDefault="00B41E7E" w:rsidP="00B41E7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Est</w:t>
            </w:r>
            <w:r>
              <w:rPr>
                <w:rFonts w:ascii="Bookman Old Style" w:eastAsia="Calibri" w:hAnsi="Bookman Old Style" w:cs="Arial"/>
                <w:color w:val="000000"/>
                <w:kern w:val="24"/>
                <w:sz w:val="20"/>
                <w:szCs w:val="20"/>
                <w:lang w:eastAsia="es-MX"/>
              </w:rPr>
              <w:t>e indicador debe</w:t>
            </w:r>
            <w:r w:rsidRPr="00EA7ACD">
              <w:rPr>
                <w:rFonts w:ascii="Bookman Old Style" w:eastAsia="Calibri" w:hAnsi="Bookman Old Style" w:cs="Arial"/>
                <w:color w:val="000000"/>
                <w:kern w:val="24"/>
                <w:sz w:val="20"/>
                <w:szCs w:val="20"/>
                <w:lang w:eastAsia="es-MX"/>
              </w:rPr>
              <w:t xml:space="preserve"> calcularse de manera nacional (i.e. agregado) y por fuente.</w:t>
            </w:r>
          </w:p>
          <w:p w:rsidR="00AE244A" w:rsidRPr="00EA7ACD" w:rsidRDefault="00AE244A" w:rsidP="008F489B">
            <w:pPr>
              <w:ind w:left="0"/>
              <w:jc w:val="both"/>
              <w:rPr>
                <w:rFonts w:ascii="Bookman Old Style" w:eastAsia="Calibri" w:hAnsi="Bookman Old Style" w:cs="Arial"/>
                <w:color w:val="000000"/>
                <w:kern w:val="24"/>
                <w:sz w:val="20"/>
                <w:szCs w:val="20"/>
                <w:lang w:eastAsia="es-MX"/>
              </w:rPr>
            </w:pPr>
          </w:p>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A7ACD">
            <w:pPr>
              <w:jc w:val="both"/>
              <w:rPr>
                <w:rFonts w:ascii="Bookman Old Style" w:eastAsia="Calibri" w:hAnsi="Bookman Old Style" w:cs="Arial"/>
                <w:color w:val="000000"/>
                <w:kern w:val="24"/>
                <w:sz w:val="20"/>
                <w:szCs w:val="20"/>
                <w:lang w:eastAsia="es-MX"/>
              </w:rPr>
            </w:pPr>
          </w:p>
          <w:p w:rsidR="003D410A" w:rsidRPr="00EA7ACD" w:rsidRDefault="003D410A" w:rsidP="00A94FD1">
            <w:pPr>
              <w:ind w:left="0"/>
              <w:jc w:val="both"/>
              <w:rPr>
                <w:rFonts w:ascii="Bookman Old Style" w:hAnsi="Bookman Old Style" w:cs="Arial"/>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 </w:t>
            </w:r>
          </w:p>
        </w:tc>
        <w:tc>
          <w:tcPr>
            <w:tcW w:w="1559" w:type="dxa"/>
            <w:vAlign w:val="center"/>
          </w:tcPr>
          <w:p w:rsidR="003D410A" w:rsidRPr="00EA7ACD" w:rsidRDefault="00620147" w:rsidP="00F95DF1">
            <w:pPr>
              <w:ind w:left="0"/>
              <w:contextualSpacing/>
              <w:jc w:val="center"/>
              <w:rPr>
                <w:rFonts w:ascii="Bookman Old Style" w:hAnsi="Bookman Old Style" w:cs="Arial"/>
                <w:sz w:val="20"/>
                <w:szCs w:val="20"/>
                <w:lang w:eastAsia="es-MX"/>
              </w:rPr>
            </w:pPr>
            <w:r>
              <w:rPr>
                <w:rFonts w:ascii="Bookman Old Style" w:eastAsia="Calibri" w:hAnsi="Bookman Old Style" w:cs="Arial"/>
                <w:color w:val="000000"/>
                <w:kern w:val="24"/>
                <w:sz w:val="20"/>
                <w:szCs w:val="20"/>
                <w:lang w:eastAsia="es-MX"/>
              </w:rPr>
              <w:t xml:space="preserve">Los indicadores nacional y por fuente para el público general </w:t>
            </w:r>
          </w:p>
        </w:tc>
      </w:tr>
      <w:tr w:rsidR="003D410A" w:rsidRPr="00EA3B2E" w:rsidTr="008B24BA">
        <w:trPr>
          <w:trHeight w:val="584"/>
        </w:trPr>
        <w:tc>
          <w:tcPr>
            <w:tcW w:w="709" w:type="dxa"/>
            <w:vAlign w:val="center"/>
          </w:tcPr>
          <w:p w:rsidR="003D410A" w:rsidRPr="00EA3B2E" w:rsidRDefault="003D410A" w:rsidP="0044507C">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w:t>
            </w:r>
            <w:r>
              <w:rPr>
                <w:rFonts w:ascii="Bookman Old Style" w:hAnsi="Bookman Old Style" w:cs="Arial"/>
                <w:color w:val="000000"/>
                <w:kern w:val="24"/>
                <w:sz w:val="16"/>
                <w:szCs w:val="20"/>
                <w:lang w:eastAsia="es-MX"/>
              </w:rPr>
              <w:t>1</w:t>
            </w:r>
            <w:r w:rsidR="004838C6">
              <w:rPr>
                <w:rFonts w:ascii="Bookman Old Style" w:hAnsi="Bookman Old Style" w:cs="Arial"/>
                <w:color w:val="000000"/>
                <w:kern w:val="24"/>
                <w:sz w:val="16"/>
                <w:szCs w:val="20"/>
                <w:lang w:eastAsia="es-MX"/>
              </w:rPr>
              <w:t>3</w:t>
            </w:r>
          </w:p>
          <w:p w:rsidR="003D410A" w:rsidRPr="00EA3B2E" w:rsidRDefault="003D410A" w:rsidP="00F76AD1">
            <w:pPr>
              <w:rPr>
                <w:rFonts w:ascii="Bookman Old Style" w:hAnsi="Bookman Old Style" w:cs="Arial"/>
                <w:color w:val="000000"/>
                <w:kern w:val="24"/>
                <w:sz w:val="16"/>
                <w:szCs w:val="20"/>
                <w:lang w:eastAsia="es-MX"/>
              </w:rPr>
            </w:pPr>
          </w:p>
          <w:p w:rsidR="003D410A" w:rsidRPr="00EA3B2E" w:rsidRDefault="003D410A" w:rsidP="00F76AD1">
            <w:pPr>
              <w:rPr>
                <w:rFonts w:ascii="Bookman Old Style" w:hAnsi="Bookman Old Style" w:cs="Arial"/>
                <w:color w:val="000000"/>
                <w:kern w:val="24"/>
                <w:sz w:val="16"/>
                <w:szCs w:val="20"/>
                <w:lang w:eastAsia="es-MX"/>
              </w:rPr>
            </w:pPr>
          </w:p>
        </w:tc>
        <w:tc>
          <w:tcPr>
            <w:tcW w:w="3544" w:type="dxa"/>
            <w:vAlign w:val="center"/>
          </w:tcPr>
          <w:p w:rsidR="003D410A" w:rsidRPr="002B4087" w:rsidRDefault="00D47C83" w:rsidP="00060C2E">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Dda reg contratos firmes</m:t>
                    </m:r>
                  </m:num>
                  <m:den>
                    <m:r>
                      <m:rPr>
                        <m:sty m:val="p"/>
                      </m:rPr>
                      <w:rPr>
                        <w:rFonts w:ascii="Cambria Math" w:hAnsi="Cambria Math" w:cs="Arial"/>
                        <w:sz w:val="18"/>
                        <w:lang w:val="en-US" w:eastAsia="es-MX"/>
                      </w:rPr>
                      <m:t>Dda reg total contratada</m:t>
                    </m:r>
                  </m:den>
                </m:f>
              </m:oMath>
            </m:oMathPara>
          </w:p>
        </w:tc>
        <w:tc>
          <w:tcPr>
            <w:tcW w:w="3544" w:type="dxa"/>
            <w:vAlign w:val="center"/>
          </w:tcPr>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calcular la demanda regulada con contratos firmes (i.e. contratos firmados antes y después del proceso de negociación) en relación con el total contratado por la demanda regulada </w:t>
            </w:r>
          </w:p>
          <w:p w:rsidR="003D410A" w:rsidRPr="00EA7ACD" w:rsidRDefault="003D410A" w:rsidP="00EA7ACD">
            <w:pPr>
              <w:jc w:val="both"/>
              <w:rPr>
                <w:rFonts w:ascii="Bookman Old Style" w:eastAsia="Calibri" w:hAnsi="Bookman Old Style" w:cs="Arial"/>
                <w:color w:val="000000"/>
                <w:kern w:val="24"/>
                <w:sz w:val="20"/>
                <w:szCs w:val="20"/>
                <w:lang w:eastAsia="es-MX"/>
              </w:rPr>
            </w:pPr>
          </w:p>
          <w:p w:rsidR="006053AD" w:rsidRDefault="006053AD" w:rsidP="006053AD">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 xml:space="preserve">Este indicador debe calcularse </w:t>
            </w:r>
            <w:r>
              <w:rPr>
                <w:rFonts w:ascii="Bookman Old Style" w:hAnsi="Bookman Old Style" w:cs="Arial"/>
                <w:sz w:val="20"/>
                <w:szCs w:val="20"/>
                <w:lang w:eastAsia="es-MX"/>
              </w:rPr>
              <w:t xml:space="preserve">de manera nacional (i.e. agregado) y </w:t>
            </w:r>
            <w:r w:rsidRPr="00EA7ACD">
              <w:rPr>
                <w:rFonts w:ascii="Bookman Old Style" w:hAnsi="Bookman Old Style" w:cs="Arial"/>
                <w:sz w:val="20"/>
                <w:szCs w:val="20"/>
                <w:lang w:eastAsia="es-MX"/>
              </w:rPr>
              <w:t>para</w:t>
            </w:r>
            <w:r>
              <w:rPr>
                <w:rFonts w:ascii="Bookman Old Style" w:hAnsi="Bookman Old Style" w:cs="Arial"/>
                <w:sz w:val="20"/>
                <w:szCs w:val="20"/>
                <w:lang w:eastAsia="es-MX"/>
              </w:rPr>
              <w:t xml:space="preserve"> todos los mercados relevantes. </w:t>
            </w:r>
          </w:p>
          <w:p w:rsidR="003D410A" w:rsidRPr="00EA7ACD" w:rsidRDefault="003D410A" w:rsidP="00EA7ACD">
            <w:pPr>
              <w:jc w:val="both"/>
              <w:rPr>
                <w:rFonts w:ascii="Bookman Old Style" w:eastAsia="Calibri" w:hAnsi="Bookman Old Style" w:cs="Arial"/>
                <w:b/>
                <w:color w:val="000000"/>
                <w:kern w:val="24"/>
                <w:sz w:val="20"/>
                <w:szCs w:val="20"/>
                <w:lang w:eastAsia="es-MX"/>
              </w:rPr>
            </w:pPr>
          </w:p>
          <w:p w:rsidR="003D410A"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5A7BEF" w:rsidRDefault="005A7BEF" w:rsidP="00EA7ACD">
            <w:pPr>
              <w:ind w:left="0"/>
              <w:jc w:val="both"/>
              <w:rPr>
                <w:rFonts w:ascii="Bookman Old Style" w:eastAsia="Calibri" w:hAnsi="Bookman Old Style" w:cs="Arial"/>
                <w:color w:val="000000"/>
                <w:kern w:val="24"/>
                <w:sz w:val="20"/>
                <w:szCs w:val="20"/>
                <w:lang w:eastAsia="es-MX"/>
              </w:rPr>
            </w:pPr>
          </w:p>
          <w:p w:rsidR="003D410A" w:rsidRPr="00EA7ACD" w:rsidRDefault="005A7BEF"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Pr>
                <w:rFonts w:ascii="Bookman Old Style" w:eastAsia="Calibri" w:hAnsi="Bookman Old Style" w:cs="Arial"/>
                <w:color w:val="000000"/>
                <w:kern w:val="24"/>
                <w:sz w:val="20"/>
                <w:szCs w:val="20"/>
                <w:lang w:eastAsia="es-MX"/>
              </w:rPr>
              <w:t>para cada mes de los siguientes doce meses.</w:t>
            </w:r>
          </w:p>
        </w:tc>
        <w:tc>
          <w:tcPr>
            <w:tcW w:w="1559" w:type="dxa"/>
            <w:vAlign w:val="center"/>
          </w:tcPr>
          <w:p w:rsidR="003D410A" w:rsidRPr="00EA7ACD" w:rsidRDefault="0027164D"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El indicador </w:t>
            </w:r>
            <w:r w:rsidR="00620147">
              <w:rPr>
                <w:rFonts w:ascii="Bookman Old Style" w:eastAsia="Calibri" w:hAnsi="Bookman Old Style" w:cs="Arial"/>
                <w:color w:val="000000"/>
                <w:kern w:val="24"/>
                <w:sz w:val="20"/>
                <w:szCs w:val="20"/>
                <w:lang w:eastAsia="es-MX"/>
              </w:rPr>
              <w:t>nacional</w:t>
            </w:r>
            <w:r>
              <w:rPr>
                <w:rFonts w:ascii="Bookman Old Style" w:eastAsia="Calibri" w:hAnsi="Bookman Old Style" w:cs="Arial"/>
                <w:color w:val="000000"/>
                <w:kern w:val="24"/>
                <w:sz w:val="20"/>
                <w:szCs w:val="20"/>
                <w:lang w:eastAsia="es-MX"/>
              </w:rPr>
              <w:t xml:space="preserve"> para el público general y </w:t>
            </w:r>
            <w:r w:rsidR="00620147">
              <w:rPr>
                <w:rFonts w:ascii="Bookman Old Style" w:eastAsia="Calibri" w:hAnsi="Bookman Old Style" w:cs="Arial"/>
                <w:color w:val="000000"/>
                <w:kern w:val="24"/>
                <w:sz w:val="20"/>
                <w:szCs w:val="20"/>
                <w:lang w:eastAsia="es-MX"/>
              </w:rPr>
              <w:t xml:space="preserve">los indicadores </w:t>
            </w:r>
            <w:r>
              <w:rPr>
                <w:rFonts w:ascii="Bookman Old Style" w:eastAsia="Calibri" w:hAnsi="Bookman Old Style" w:cs="Arial"/>
                <w:color w:val="000000"/>
                <w:kern w:val="24"/>
                <w:sz w:val="20"/>
                <w:szCs w:val="20"/>
                <w:lang w:eastAsia="es-MX"/>
              </w:rPr>
              <w:t>de</w:t>
            </w:r>
            <w:r w:rsidR="00620147">
              <w:rPr>
                <w:rFonts w:ascii="Bookman Old Style" w:eastAsia="Calibri" w:hAnsi="Bookman Old Style" w:cs="Arial"/>
                <w:color w:val="000000"/>
                <w:kern w:val="24"/>
                <w:sz w:val="20"/>
                <w:szCs w:val="20"/>
                <w:lang w:eastAsia="es-MX"/>
              </w:rPr>
              <w:t xml:space="preserve"> cada uno de</w:t>
            </w:r>
            <w:r>
              <w:rPr>
                <w:rFonts w:ascii="Bookman Old Style" w:eastAsia="Calibri" w:hAnsi="Bookman Old Style" w:cs="Arial"/>
                <w:color w:val="000000"/>
                <w:kern w:val="24"/>
                <w:sz w:val="20"/>
                <w:szCs w:val="20"/>
                <w:lang w:eastAsia="es-MX"/>
              </w:rPr>
              <w:t xml:space="preserve"> los mercados relevantes para la SSPD, SIC y CREG</w:t>
            </w:r>
          </w:p>
        </w:tc>
      </w:tr>
      <w:tr w:rsidR="003D410A" w:rsidRPr="00EA3B2E" w:rsidTr="008B24BA">
        <w:trPr>
          <w:trHeight w:val="584"/>
        </w:trPr>
        <w:tc>
          <w:tcPr>
            <w:tcW w:w="709" w:type="dxa"/>
            <w:vAlign w:val="center"/>
          </w:tcPr>
          <w:p w:rsidR="003D410A" w:rsidRPr="00EA3B2E" w:rsidRDefault="003D410A" w:rsidP="00EA7ACD">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lastRenderedPageBreak/>
              <w:t>MP</w:t>
            </w:r>
            <w:r w:rsidR="004838C6">
              <w:rPr>
                <w:rFonts w:ascii="Bookman Old Style" w:hAnsi="Bookman Old Style" w:cs="Arial"/>
                <w:color w:val="000000"/>
                <w:kern w:val="24"/>
                <w:sz w:val="16"/>
                <w:szCs w:val="20"/>
                <w:lang w:eastAsia="es-MX"/>
              </w:rPr>
              <w:t>14</w:t>
            </w:r>
          </w:p>
        </w:tc>
        <w:tc>
          <w:tcPr>
            <w:tcW w:w="3544" w:type="dxa"/>
            <w:vAlign w:val="center"/>
          </w:tcPr>
          <w:p w:rsidR="003D410A" w:rsidRPr="002B4087" w:rsidRDefault="00D47C83" w:rsidP="00060C2E">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 contratos firmes</m:t>
                    </m:r>
                  </m:num>
                  <m:den>
                    <m:r>
                      <m:rPr>
                        <m:sty m:val="p"/>
                      </m:rPr>
                      <w:rPr>
                        <w:rFonts w:ascii="Cambria Math" w:hAnsi="Cambria Math" w:cs="Arial"/>
                        <w:sz w:val="18"/>
                        <w:lang w:val="en-US" w:eastAsia="es-MX"/>
                      </w:rPr>
                      <m:t xml:space="preserve">Dda </m:t>
                    </m:r>
                    <m:r>
                      <m:rPr>
                        <m:sty m:val="b"/>
                      </m:rPr>
                      <w:rPr>
                        <w:rFonts w:ascii="Cambria Math" w:hAnsi="Cambria Math" w:cs="Arial"/>
                        <w:sz w:val="18"/>
                        <w:lang w:val="en-US" w:eastAsia="es-MX"/>
                      </w:rPr>
                      <m:t>no</m:t>
                    </m:r>
                    <m:r>
                      <m:rPr>
                        <m:sty m:val="p"/>
                      </m:rPr>
                      <w:rPr>
                        <w:rFonts w:ascii="Cambria Math" w:hAnsi="Cambria Math" w:cs="Arial"/>
                        <w:sz w:val="18"/>
                        <w:lang w:val="en-US" w:eastAsia="es-MX"/>
                      </w:rPr>
                      <m:t xml:space="preserve"> reg total contratada</m:t>
                    </m:r>
                  </m:den>
                </m:f>
              </m:oMath>
            </m:oMathPara>
          </w:p>
        </w:tc>
        <w:tc>
          <w:tcPr>
            <w:tcW w:w="3544" w:type="dxa"/>
            <w:vAlign w:val="center"/>
          </w:tcPr>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calcular la demanda </w:t>
            </w:r>
            <w:r w:rsidRPr="00EA7ACD">
              <w:rPr>
                <w:rFonts w:ascii="Bookman Old Style" w:eastAsia="Calibri" w:hAnsi="Bookman Old Style" w:cs="Arial"/>
                <w:b/>
                <w:color w:val="000000"/>
                <w:kern w:val="24"/>
                <w:sz w:val="20"/>
                <w:szCs w:val="20"/>
                <w:lang w:eastAsia="es-MX"/>
              </w:rPr>
              <w:t xml:space="preserve">no </w:t>
            </w:r>
            <w:r w:rsidRPr="00EA7ACD">
              <w:rPr>
                <w:rFonts w:ascii="Bookman Old Style" w:eastAsia="Calibri" w:hAnsi="Bookman Old Style" w:cs="Arial"/>
                <w:color w:val="000000"/>
                <w:kern w:val="24"/>
                <w:sz w:val="20"/>
                <w:szCs w:val="20"/>
                <w:lang w:eastAsia="es-MX"/>
              </w:rPr>
              <w:t xml:space="preserve">regulada con contratos firmes (i.e. contratos firmados antes y después del proceso de negociación) en relación con la contratación total de la demanda </w:t>
            </w:r>
            <w:r w:rsidRPr="00EA7ACD">
              <w:rPr>
                <w:rFonts w:ascii="Bookman Old Style" w:eastAsia="Calibri" w:hAnsi="Bookman Old Style" w:cs="Arial"/>
                <w:b/>
                <w:color w:val="000000"/>
                <w:kern w:val="24"/>
                <w:sz w:val="20"/>
                <w:szCs w:val="20"/>
                <w:lang w:eastAsia="es-MX"/>
              </w:rPr>
              <w:t xml:space="preserve">no </w:t>
            </w:r>
            <w:r w:rsidRPr="00EA7ACD">
              <w:rPr>
                <w:rFonts w:ascii="Bookman Old Style" w:eastAsia="Calibri" w:hAnsi="Bookman Old Style" w:cs="Arial"/>
                <w:color w:val="000000"/>
                <w:kern w:val="24"/>
                <w:sz w:val="20"/>
                <w:szCs w:val="20"/>
                <w:lang w:eastAsia="es-MX"/>
              </w:rPr>
              <w:t>regulada observada (i.e. energía tomada por la demanda regulada)</w:t>
            </w:r>
          </w:p>
          <w:p w:rsidR="003D410A" w:rsidRPr="00EA7ACD" w:rsidRDefault="003D410A" w:rsidP="00F95DF1">
            <w:pPr>
              <w:ind w:left="0"/>
              <w:jc w:val="both"/>
              <w:rPr>
                <w:rFonts w:ascii="Bookman Old Style" w:eastAsia="Calibri" w:hAnsi="Bookman Old Style" w:cs="Arial"/>
                <w:color w:val="000000"/>
                <w:kern w:val="24"/>
                <w:sz w:val="20"/>
                <w:szCs w:val="20"/>
                <w:lang w:eastAsia="es-MX"/>
              </w:rPr>
            </w:pPr>
          </w:p>
          <w:p w:rsidR="006053AD" w:rsidRDefault="003D410A" w:rsidP="006053AD">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Este indicador debe</w:t>
            </w:r>
            <w:r w:rsidRPr="00EA7ACD">
              <w:rPr>
                <w:rFonts w:ascii="Bookman Old Style" w:eastAsia="Calibri" w:hAnsi="Bookman Old Style" w:cs="Arial"/>
                <w:color w:val="000000"/>
                <w:kern w:val="24"/>
                <w:sz w:val="20"/>
                <w:szCs w:val="20"/>
                <w:lang w:eastAsia="es-MX"/>
              </w:rPr>
              <w:t xml:space="preserve"> calcularse de manera nacional (i.e. agregado) </w:t>
            </w:r>
            <w:r w:rsidR="006053AD">
              <w:rPr>
                <w:rFonts w:ascii="Bookman Old Style" w:eastAsia="Calibri" w:hAnsi="Bookman Old Style" w:cs="Arial"/>
                <w:color w:val="000000"/>
                <w:kern w:val="24"/>
                <w:sz w:val="20"/>
                <w:szCs w:val="20"/>
                <w:lang w:eastAsia="es-MX"/>
              </w:rPr>
              <w:t>y</w:t>
            </w:r>
            <w:r w:rsidR="006053AD" w:rsidRPr="00EA7ACD">
              <w:rPr>
                <w:rFonts w:ascii="Bookman Old Style" w:eastAsia="Calibri" w:hAnsi="Bookman Old Style" w:cs="Arial"/>
                <w:color w:val="000000"/>
                <w:kern w:val="24"/>
                <w:sz w:val="20"/>
                <w:szCs w:val="20"/>
                <w:lang w:eastAsia="es-MX"/>
              </w:rPr>
              <w:t xml:space="preserve"> para </w:t>
            </w:r>
            <w:r w:rsidR="006053AD">
              <w:rPr>
                <w:rFonts w:ascii="Bookman Old Style" w:eastAsia="Calibri" w:hAnsi="Bookman Old Style" w:cs="Arial"/>
                <w:color w:val="000000"/>
                <w:kern w:val="24"/>
                <w:sz w:val="20"/>
                <w:szCs w:val="20"/>
                <w:lang w:eastAsia="es-MX"/>
              </w:rPr>
              <w:t xml:space="preserve">todos los usuarios no regulados. </w:t>
            </w:r>
          </w:p>
          <w:p w:rsidR="003D410A" w:rsidRPr="006053AD" w:rsidRDefault="003D410A" w:rsidP="00EA7ACD">
            <w:pPr>
              <w:jc w:val="both"/>
              <w:rPr>
                <w:rFonts w:ascii="Bookman Old Style" w:eastAsia="Calibri" w:hAnsi="Bookman Old Style" w:cs="Arial"/>
                <w:color w:val="000000"/>
                <w:kern w:val="24"/>
                <w:sz w:val="20"/>
                <w:szCs w:val="20"/>
                <w:lang w:eastAsia="es-MX"/>
              </w:rPr>
            </w:pPr>
          </w:p>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A7ACD">
            <w:pPr>
              <w:jc w:val="both"/>
              <w:rPr>
                <w:rFonts w:ascii="Bookman Old Style" w:eastAsia="Calibri" w:hAnsi="Bookman Old Style" w:cs="Arial"/>
                <w:color w:val="000000"/>
                <w:kern w:val="24"/>
                <w:sz w:val="20"/>
                <w:szCs w:val="20"/>
                <w:lang w:eastAsia="es-MX"/>
              </w:rPr>
            </w:pPr>
          </w:p>
          <w:p w:rsidR="003D410A" w:rsidRPr="00EA7ACD" w:rsidRDefault="003D410A" w:rsidP="00A94FD1">
            <w:pPr>
              <w:ind w:left="0"/>
              <w:jc w:val="both"/>
              <w:rPr>
                <w:rFonts w:ascii="Bookman Old Style" w:hAnsi="Bookman Old Style" w:cs="Arial"/>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tc>
        <w:tc>
          <w:tcPr>
            <w:tcW w:w="1559" w:type="dxa"/>
            <w:vAlign w:val="center"/>
          </w:tcPr>
          <w:p w:rsidR="003D410A" w:rsidRPr="00EA7ACD" w:rsidRDefault="004C1A9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El indicador </w:t>
            </w:r>
            <w:r w:rsidR="00620147">
              <w:rPr>
                <w:rFonts w:ascii="Bookman Old Style" w:eastAsia="Calibri" w:hAnsi="Bookman Old Style" w:cs="Arial"/>
                <w:color w:val="000000"/>
                <w:kern w:val="24"/>
                <w:sz w:val="20"/>
                <w:szCs w:val="20"/>
                <w:lang w:eastAsia="es-MX"/>
              </w:rPr>
              <w:t>nacional</w:t>
            </w:r>
            <w:r>
              <w:rPr>
                <w:rFonts w:ascii="Bookman Old Style" w:eastAsia="Calibri" w:hAnsi="Bookman Old Style" w:cs="Arial"/>
                <w:color w:val="000000"/>
                <w:kern w:val="24"/>
                <w:sz w:val="20"/>
                <w:szCs w:val="20"/>
                <w:lang w:eastAsia="es-MX"/>
              </w:rPr>
              <w:t xml:space="preserve"> para el público general y </w:t>
            </w:r>
            <w:r w:rsidR="00620147">
              <w:rPr>
                <w:rFonts w:ascii="Bookman Old Style" w:eastAsia="Calibri" w:hAnsi="Bookman Old Style" w:cs="Arial"/>
                <w:color w:val="000000"/>
                <w:kern w:val="24"/>
                <w:sz w:val="20"/>
                <w:szCs w:val="20"/>
                <w:lang w:eastAsia="es-MX"/>
              </w:rPr>
              <w:t xml:space="preserve">los indicadores </w:t>
            </w:r>
            <w:r>
              <w:rPr>
                <w:rFonts w:ascii="Bookman Old Style" w:eastAsia="Calibri" w:hAnsi="Bookman Old Style" w:cs="Arial"/>
                <w:color w:val="000000"/>
                <w:kern w:val="24"/>
                <w:sz w:val="20"/>
                <w:szCs w:val="20"/>
                <w:lang w:eastAsia="es-MX"/>
              </w:rPr>
              <w:t xml:space="preserve">de </w:t>
            </w:r>
            <w:r w:rsidR="00620147">
              <w:rPr>
                <w:rFonts w:ascii="Bookman Old Style" w:eastAsia="Calibri" w:hAnsi="Bookman Old Style" w:cs="Arial"/>
                <w:color w:val="000000"/>
                <w:kern w:val="24"/>
                <w:sz w:val="20"/>
                <w:szCs w:val="20"/>
                <w:lang w:eastAsia="es-MX"/>
              </w:rPr>
              <w:t>cada uno de los</w:t>
            </w:r>
            <w:r>
              <w:rPr>
                <w:rFonts w:ascii="Bookman Old Style" w:eastAsia="Calibri" w:hAnsi="Bookman Old Style" w:cs="Arial"/>
                <w:color w:val="000000"/>
                <w:kern w:val="24"/>
                <w:sz w:val="20"/>
                <w:szCs w:val="20"/>
                <w:lang w:eastAsia="es-MX"/>
              </w:rPr>
              <w:t xml:space="preserve"> usuarios no regulados para la SSPD, SIC y CREG</w:t>
            </w:r>
          </w:p>
        </w:tc>
      </w:tr>
      <w:tr w:rsidR="003D410A" w:rsidRPr="00EA3B2E" w:rsidTr="008B24BA">
        <w:trPr>
          <w:trHeight w:val="584"/>
        </w:trPr>
        <w:tc>
          <w:tcPr>
            <w:tcW w:w="709" w:type="dxa"/>
            <w:vAlign w:val="center"/>
          </w:tcPr>
          <w:p w:rsidR="003D410A" w:rsidRPr="00EA3B2E" w:rsidRDefault="003D410A" w:rsidP="00EA7ACD">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t>MP</w:t>
            </w:r>
            <w:r w:rsidR="004838C6">
              <w:rPr>
                <w:rFonts w:ascii="Bookman Old Style" w:hAnsi="Bookman Old Style" w:cs="Arial"/>
                <w:color w:val="000000"/>
                <w:kern w:val="24"/>
                <w:sz w:val="16"/>
                <w:szCs w:val="20"/>
                <w:lang w:eastAsia="es-MX"/>
              </w:rPr>
              <w:t>15</w:t>
            </w:r>
          </w:p>
        </w:tc>
        <w:tc>
          <w:tcPr>
            <w:tcW w:w="3544" w:type="dxa"/>
            <w:vAlign w:val="center"/>
          </w:tcPr>
          <w:p w:rsidR="003D410A" w:rsidRPr="00B50AB8" w:rsidRDefault="00D47C83" w:rsidP="00060C2E">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 Contratos firmes para dda reg</m:t>
                    </m:r>
                  </m:num>
                  <m:den>
                    <m:r>
                      <m:rPr>
                        <m:sty m:val="p"/>
                      </m:rPr>
                      <w:rPr>
                        <w:rFonts w:ascii="Cambria Math" w:hAnsi="Cambria Math" w:cs="Arial"/>
                        <w:sz w:val="18"/>
                        <w:lang w:val="en-US" w:eastAsia="es-MX"/>
                      </w:rPr>
                      <m:t xml:space="preserve">Cap transporte contratada </m:t>
                    </m:r>
                  </m:den>
                </m:f>
              </m:oMath>
            </m:oMathPara>
          </w:p>
          <w:p w:rsidR="003D410A" w:rsidRPr="00EA3B2E" w:rsidRDefault="003D410A" w:rsidP="00F76AD1">
            <w:pPr>
              <w:rPr>
                <w:rFonts w:ascii="Bookman Old Style" w:hAnsi="Bookman Old Style" w:cs="Arial"/>
                <w:sz w:val="20"/>
                <w:lang w:val="en-US" w:eastAsia="es-MX"/>
              </w:rPr>
            </w:pPr>
          </w:p>
        </w:tc>
        <w:tc>
          <w:tcPr>
            <w:tcW w:w="3544" w:type="dxa"/>
            <w:vAlign w:val="center"/>
          </w:tcPr>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calcular todos los contratos firmes de suministro para la demanda regulada en relación con toda la capacidad de transporte contratada</w:t>
            </w:r>
            <w:r w:rsidR="005722D5">
              <w:rPr>
                <w:rFonts w:ascii="Bookman Old Style" w:eastAsia="Calibri" w:hAnsi="Bookman Old Style" w:cs="Arial"/>
                <w:color w:val="000000"/>
                <w:kern w:val="24"/>
                <w:sz w:val="20"/>
                <w:szCs w:val="20"/>
                <w:lang w:eastAsia="es-MX"/>
              </w:rPr>
              <w:t xml:space="preserve"> en contratos firmes</w:t>
            </w:r>
            <w:r w:rsidRPr="00EA7ACD">
              <w:rPr>
                <w:rFonts w:ascii="Bookman Old Style" w:eastAsia="Calibri" w:hAnsi="Bookman Old Style" w:cs="Arial"/>
                <w:color w:val="000000"/>
                <w:kern w:val="24"/>
                <w:sz w:val="20"/>
                <w:szCs w:val="20"/>
                <w:lang w:eastAsia="es-MX"/>
              </w:rPr>
              <w:t>.</w:t>
            </w:r>
          </w:p>
          <w:p w:rsidR="003D410A" w:rsidRDefault="003D410A" w:rsidP="00F95DF1">
            <w:pPr>
              <w:ind w:left="0"/>
              <w:jc w:val="both"/>
              <w:rPr>
                <w:rFonts w:ascii="Bookman Old Style" w:eastAsia="Calibri" w:hAnsi="Bookman Old Style" w:cs="Arial"/>
                <w:color w:val="000000"/>
                <w:kern w:val="24"/>
                <w:sz w:val="20"/>
                <w:szCs w:val="20"/>
                <w:lang w:eastAsia="es-MX"/>
              </w:rPr>
            </w:pPr>
          </w:p>
          <w:p w:rsidR="004670C1" w:rsidRDefault="006D3C71">
            <w:pPr>
              <w:ind w:left="0"/>
              <w:jc w:val="both"/>
              <w:rPr>
                <w:rFonts w:ascii="Bookman Old Style" w:hAnsi="Bookman Old Style" w:cs="Arial"/>
                <w:sz w:val="20"/>
                <w:szCs w:val="20"/>
                <w:lang w:eastAsia="es-MX"/>
              </w:rPr>
            </w:pPr>
            <w:r>
              <w:rPr>
                <w:rFonts w:ascii="Bookman Old Style" w:eastAsia="Calibri" w:hAnsi="Bookman Old Style" w:cs="Arial"/>
                <w:color w:val="000000"/>
                <w:kern w:val="24"/>
                <w:sz w:val="20"/>
                <w:szCs w:val="20"/>
                <w:lang w:eastAsia="es-MX"/>
              </w:rPr>
              <w:t xml:space="preserve">El valor de la capacidad de transporte contratada </w:t>
            </w:r>
            <w:r w:rsidR="004670C1">
              <w:rPr>
                <w:rFonts w:ascii="Bookman Old Style" w:eastAsia="Calibri" w:hAnsi="Bookman Old Style" w:cs="Arial"/>
                <w:color w:val="000000"/>
                <w:kern w:val="24"/>
                <w:sz w:val="20"/>
                <w:szCs w:val="20"/>
                <w:lang w:eastAsia="es-MX"/>
              </w:rPr>
              <w:t xml:space="preserve">en contratos firmes </w:t>
            </w:r>
            <w:r>
              <w:rPr>
                <w:rFonts w:ascii="Bookman Old Style" w:eastAsia="Calibri" w:hAnsi="Bookman Old Style" w:cs="Arial"/>
                <w:color w:val="000000"/>
                <w:kern w:val="24"/>
                <w:sz w:val="20"/>
                <w:szCs w:val="20"/>
                <w:lang w:eastAsia="es-MX"/>
              </w:rPr>
              <w:t>corresponderá al</w:t>
            </w:r>
            <w:r w:rsidR="004670C1">
              <w:rPr>
                <w:rFonts w:ascii="Bookman Old Style" w:eastAsia="Calibri" w:hAnsi="Bookman Old Style" w:cs="Arial"/>
                <w:color w:val="000000"/>
                <w:kern w:val="24"/>
                <w:sz w:val="20"/>
                <w:szCs w:val="20"/>
                <w:lang w:eastAsia="es-MX"/>
              </w:rPr>
              <w:t xml:space="preserve"> valor máximo de contratos firmes en el correspondiente mes. Este </w:t>
            </w:r>
            <w:r w:rsidR="004670C1">
              <w:rPr>
                <w:rFonts w:ascii="Bookman Old Style" w:hAnsi="Bookman Old Style" w:cs="Arial"/>
                <w:sz w:val="20"/>
                <w:szCs w:val="20"/>
                <w:lang w:eastAsia="es-MX"/>
              </w:rPr>
              <w:t>cálculo tendrá en cuenta las capacidades del último tramo de transporte necesario para abastecer el mercado relevante.</w:t>
            </w:r>
          </w:p>
          <w:p w:rsidR="004670C1" w:rsidRDefault="004670C1" w:rsidP="004670C1">
            <w:pPr>
              <w:ind w:left="0"/>
              <w:jc w:val="both"/>
              <w:rPr>
                <w:rFonts w:ascii="Bookman Old Style" w:hAnsi="Bookman Old Style" w:cs="Arial"/>
                <w:sz w:val="20"/>
                <w:szCs w:val="20"/>
                <w:lang w:eastAsia="es-MX"/>
              </w:rPr>
            </w:pPr>
          </w:p>
          <w:p w:rsidR="004670C1" w:rsidRDefault="004670C1" w:rsidP="00F95DF1">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Este indicador debe calcularse para</w:t>
            </w:r>
            <w:r>
              <w:rPr>
                <w:rFonts w:ascii="Bookman Old Style" w:hAnsi="Bookman Old Style" w:cs="Arial"/>
                <w:sz w:val="20"/>
                <w:szCs w:val="20"/>
                <w:lang w:eastAsia="es-MX"/>
              </w:rPr>
              <w:t xml:space="preserve"> todos los mercados relevantes. </w:t>
            </w:r>
          </w:p>
          <w:p w:rsidR="00A94FD1" w:rsidRPr="00EA7ACD" w:rsidRDefault="00A94FD1" w:rsidP="00A94FD1">
            <w:pPr>
              <w:ind w:left="0"/>
              <w:jc w:val="both"/>
              <w:rPr>
                <w:rFonts w:ascii="Bookman Old Style" w:eastAsia="Calibri" w:hAnsi="Bookman Old Style" w:cs="Arial"/>
                <w:color w:val="000000"/>
                <w:kern w:val="24"/>
                <w:sz w:val="20"/>
                <w:szCs w:val="20"/>
                <w:lang w:eastAsia="es-MX"/>
              </w:rPr>
            </w:pPr>
          </w:p>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A7ACD">
            <w:pPr>
              <w:jc w:val="both"/>
              <w:rPr>
                <w:rFonts w:ascii="Bookman Old Style" w:eastAsia="Calibri" w:hAnsi="Bookman Old Style" w:cs="Arial"/>
                <w:color w:val="000000"/>
                <w:kern w:val="24"/>
                <w:sz w:val="20"/>
                <w:szCs w:val="20"/>
                <w:lang w:eastAsia="es-MX"/>
              </w:rPr>
            </w:pPr>
          </w:p>
          <w:p w:rsidR="003D410A" w:rsidRPr="00EA7ACD" w:rsidRDefault="003D410A"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 xml:space="preserve">para </w:t>
            </w:r>
            <w:r w:rsidR="005B00A3">
              <w:rPr>
                <w:rFonts w:ascii="Bookman Old Style" w:eastAsia="Calibri" w:hAnsi="Bookman Old Style" w:cs="Arial"/>
                <w:color w:val="000000"/>
                <w:kern w:val="24"/>
                <w:sz w:val="20"/>
                <w:szCs w:val="20"/>
                <w:lang w:eastAsia="es-MX"/>
              </w:rPr>
              <w:t>cada uno de los meses de los siguientes 12 meses.</w:t>
            </w:r>
          </w:p>
        </w:tc>
        <w:tc>
          <w:tcPr>
            <w:tcW w:w="1559" w:type="dxa"/>
            <w:vAlign w:val="center"/>
          </w:tcPr>
          <w:p w:rsidR="003D410A"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para cada mercado relevante para la </w:t>
            </w:r>
            <w:r w:rsidR="00DE6CA2">
              <w:rPr>
                <w:rFonts w:ascii="Bookman Old Style" w:eastAsia="Calibri" w:hAnsi="Bookman Old Style" w:cs="Arial"/>
                <w:color w:val="000000"/>
                <w:kern w:val="24"/>
                <w:sz w:val="20"/>
                <w:szCs w:val="20"/>
                <w:lang w:eastAsia="es-MX"/>
              </w:rPr>
              <w:t>SSPD, SIC y CREG</w:t>
            </w:r>
          </w:p>
        </w:tc>
      </w:tr>
      <w:tr w:rsidR="003D410A" w:rsidRPr="00EA3B2E" w:rsidTr="008B24BA">
        <w:trPr>
          <w:trHeight w:val="584"/>
        </w:trPr>
        <w:tc>
          <w:tcPr>
            <w:tcW w:w="709" w:type="dxa"/>
            <w:vAlign w:val="center"/>
          </w:tcPr>
          <w:p w:rsidR="003D410A" w:rsidRPr="00EA3B2E" w:rsidRDefault="003D410A" w:rsidP="00F76AD1">
            <w:pPr>
              <w:rPr>
                <w:rFonts w:ascii="Bookman Old Style" w:hAnsi="Bookman Old Style" w:cs="Arial"/>
                <w:color w:val="000000"/>
                <w:kern w:val="24"/>
                <w:sz w:val="16"/>
                <w:szCs w:val="20"/>
                <w:lang w:eastAsia="es-MX"/>
              </w:rPr>
            </w:pPr>
          </w:p>
          <w:p w:rsidR="003D410A" w:rsidRPr="00EA3B2E" w:rsidRDefault="003D410A" w:rsidP="00F76AD1">
            <w:pPr>
              <w:rPr>
                <w:rFonts w:ascii="Bookman Old Style" w:hAnsi="Bookman Old Style" w:cs="Arial"/>
                <w:color w:val="000000"/>
                <w:kern w:val="24"/>
                <w:sz w:val="16"/>
                <w:szCs w:val="20"/>
                <w:lang w:eastAsia="es-MX"/>
              </w:rPr>
            </w:pPr>
          </w:p>
          <w:p w:rsidR="003D410A" w:rsidRPr="00EA3B2E" w:rsidRDefault="003D410A" w:rsidP="00F76AD1">
            <w:pPr>
              <w:rPr>
                <w:rFonts w:ascii="Bookman Old Style" w:hAnsi="Bookman Old Style" w:cs="Arial"/>
                <w:color w:val="000000"/>
                <w:kern w:val="24"/>
                <w:sz w:val="16"/>
                <w:szCs w:val="20"/>
                <w:lang w:eastAsia="es-MX"/>
              </w:rPr>
            </w:pPr>
          </w:p>
          <w:p w:rsidR="003D410A" w:rsidRPr="00EA3B2E" w:rsidRDefault="003D410A" w:rsidP="00F76AD1">
            <w:pPr>
              <w:rPr>
                <w:rFonts w:ascii="Bookman Old Style" w:hAnsi="Bookman Old Style" w:cs="Arial"/>
                <w:color w:val="000000"/>
                <w:kern w:val="24"/>
                <w:sz w:val="16"/>
                <w:szCs w:val="20"/>
                <w:lang w:eastAsia="es-MX"/>
              </w:rPr>
            </w:pPr>
          </w:p>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MP1</w:t>
            </w:r>
            <w:r w:rsidR="004838C6">
              <w:rPr>
                <w:rFonts w:ascii="Bookman Old Style" w:hAnsi="Bookman Old Style" w:cs="Arial"/>
                <w:color w:val="000000"/>
                <w:kern w:val="24"/>
                <w:sz w:val="16"/>
                <w:szCs w:val="20"/>
                <w:lang w:eastAsia="es-MX"/>
              </w:rPr>
              <w:t>6</w:t>
            </w:r>
          </w:p>
        </w:tc>
        <w:tc>
          <w:tcPr>
            <w:tcW w:w="3544" w:type="dxa"/>
            <w:vAlign w:val="center"/>
          </w:tcPr>
          <w:p w:rsidR="003D410A" w:rsidRPr="002B4087" w:rsidRDefault="00D47C83" w:rsidP="00060C2E">
            <w:pPr>
              <w:ind w:left="0"/>
              <w:rPr>
                <w:rFonts w:ascii="Bookman Old Style" w:hAnsi="Bookman Old Style" w:cs="Arial"/>
                <w:sz w:val="20"/>
                <w:lang w:val="en-US"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Contratos firmes para 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m:t>
                    </m:r>
                  </m:num>
                  <m:den>
                    <m:r>
                      <m:rPr>
                        <m:sty m:val="p"/>
                      </m:rPr>
                      <w:rPr>
                        <w:rFonts w:ascii="Cambria Math" w:hAnsi="Cambria Math" w:cs="Arial"/>
                        <w:sz w:val="18"/>
                        <w:lang w:val="en-US" w:eastAsia="es-MX"/>
                      </w:rPr>
                      <m:t>Cap transporte contratada</m:t>
                    </m:r>
                  </m:den>
                </m:f>
              </m:oMath>
            </m:oMathPara>
          </w:p>
        </w:tc>
        <w:tc>
          <w:tcPr>
            <w:tcW w:w="3544" w:type="dxa"/>
            <w:vAlign w:val="center"/>
          </w:tcPr>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w:t>
            </w:r>
            <w:r w:rsidR="008B4795">
              <w:rPr>
                <w:rFonts w:ascii="Bookman Old Style" w:eastAsia="Calibri" w:hAnsi="Bookman Old Style" w:cs="Arial"/>
                <w:color w:val="000000"/>
                <w:kern w:val="24"/>
                <w:sz w:val="20"/>
                <w:szCs w:val="20"/>
                <w:lang w:eastAsia="es-MX"/>
              </w:rPr>
              <w:t xml:space="preserve">calcular </w:t>
            </w:r>
            <w:r w:rsidRPr="00EA7ACD">
              <w:rPr>
                <w:rFonts w:ascii="Bookman Old Style" w:eastAsia="Calibri" w:hAnsi="Bookman Old Style" w:cs="Arial"/>
                <w:color w:val="000000"/>
                <w:kern w:val="24"/>
                <w:sz w:val="20"/>
                <w:szCs w:val="20"/>
                <w:lang w:eastAsia="es-MX"/>
              </w:rPr>
              <w:t xml:space="preserve">todos los contratos firmes de suministro para la demanda </w:t>
            </w:r>
            <w:r w:rsidRPr="00EA7ACD">
              <w:rPr>
                <w:rFonts w:ascii="Bookman Old Style" w:eastAsia="Calibri" w:hAnsi="Bookman Old Style" w:cs="Arial"/>
                <w:b/>
                <w:color w:val="000000"/>
                <w:kern w:val="24"/>
                <w:sz w:val="20"/>
                <w:szCs w:val="20"/>
                <w:lang w:eastAsia="es-MX"/>
              </w:rPr>
              <w:t xml:space="preserve">no </w:t>
            </w:r>
            <w:r w:rsidRPr="00EA7ACD">
              <w:rPr>
                <w:rFonts w:ascii="Bookman Old Style" w:eastAsia="Calibri" w:hAnsi="Bookman Old Style" w:cs="Arial"/>
                <w:color w:val="000000"/>
                <w:kern w:val="24"/>
                <w:sz w:val="20"/>
                <w:szCs w:val="20"/>
                <w:lang w:eastAsia="es-MX"/>
              </w:rPr>
              <w:t>regulada en relación con toda la capacidad de transporte contratada</w:t>
            </w:r>
            <w:r w:rsidR="005722D5">
              <w:rPr>
                <w:rFonts w:ascii="Bookman Old Style" w:eastAsia="Calibri" w:hAnsi="Bookman Old Style" w:cs="Arial"/>
                <w:color w:val="000000"/>
                <w:kern w:val="24"/>
                <w:sz w:val="20"/>
                <w:szCs w:val="20"/>
                <w:lang w:eastAsia="es-MX"/>
              </w:rPr>
              <w:t xml:space="preserve"> en contratos firmes</w:t>
            </w:r>
            <w:r w:rsidRPr="00EA7ACD">
              <w:rPr>
                <w:rFonts w:ascii="Bookman Old Style" w:eastAsia="Calibri" w:hAnsi="Bookman Old Style" w:cs="Arial"/>
                <w:color w:val="000000"/>
                <w:kern w:val="24"/>
                <w:sz w:val="20"/>
                <w:szCs w:val="20"/>
                <w:lang w:eastAsia="es-MX"/>
              </w:rPr>
              <w:t>.</w:t>
            </w:r>
          </w:p>
          <w:p w:rsidR="003D410A" w:rsidRDefault="003D410A" w:rsidP="00F95DF1">
            <w:pPr>
              <w:ind w:left="0"/>
              <w:jc w:val="both"/>
              <w:rPr>
                <w:rFonts w:ascii="Bookman Old Style" w:eastAsia="Calibri" w:hAnsi="Bookman Old Style" w:cs="Arial"/>
                <w:color w:val="000000"/>
                <w:kern w:val="24"/>
                <w:sz w:val="20"/>
                <w:szCs w:val="20"/>
                <w:lang w:eastAsia="es-MX"/>
              </w:rPr>
            </w:pPr>
          </w:p>
          <w:p w:rsidR="004670C1" w:rsidRDefault="004670C1" w:rsidP="004670C1">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El valor de la capacidad de transporte contratada en contratos firmes corresponderá al valor máximo de contratos firmes en el correspondiente mes.</w:t>
            </w:r>
            <w:r w:rsidR="00C37C16">
              <w:rPr>
                <w:rFonts w:ascii="Bookman Old Style" w:eastAsia="Calibri" w:hAnsi="Bookman Old Style" w:cs="Arial"/>
                <w:color w:val="000000"/>
                <w:kern w:val="24"/>
                <w:sz w:val="20"/>
                <w:szCs w:val="20"/>
                <w:lang w:eastAsia="es-MX"/>
              </w:rPr>
              <w:t xml:space="preserve"> Este </w:t>
            </w:r>
            <w:r w:rsidR="00C37C16">
              <w:rPr>
                <w:rFonts w:ascii="Bookman Old Style" w:hAnsi="Bookman Old Style" w:cs="Arial"/>
                <w:sz w:val="20"/>
                <w:szCs w:val="20"/>
                <w:lang w:eastAsia="es-MX"/>
              </w:rPr>
              <w:t>cálculo tendrá en cuenta las capacidades del último tramo de transporte necesario para abastecer el usuario no regulado.</w:t>
            </w:r>
          </w:p>
          <w:p w:rsidR="004670C1" w:rsidRDefault="004670C1" w:rsidP="00F95DF1">
            <w:pPr>
              <w:ind w:left="0"/>
              <w:jc w:val="both"/>
              <w:rPr>
                <w:rFonts w:ascii="Bookman Old Style" w:eastAsia="Calibri" w:hAnsi="Bookman Old Style" w:cs="Arial"/>
                <w:color w:val="000000"/>
                <w:kern w:val="24"/>
                <w:sz w:val="20"/>
                <w:szCs w:val="20"/>
                <w:lang w:eastAsia="es-MX"/>
              </w:rPr>
            </w:pPr>
          </w:p>
          <w:p w:rsidR="00C37C16" w:rsidRDefault="00C37C16" w:rsidP="00C37C16">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Este indicador debe</w:t>
            </w:r>
            <w:r w:rsidRPr="00EA7ACD">
              <w:rPr>
                <w:rFonts w:ascii="Bookman Old Style" w:eastAsia="Calibri" w:hAnsi="Bookman Old Style" w:cs="Arial"/>
                <w:color w:val="000000"/>
                <w:kern w:val="24"/>
                <w:sz w:val="20"/>
                <w:szCs w:val="20"/>
                <w:lang w:eastAsia="es-MX"/>
              </w:rPr>
              <w:t xml:space="preserve"> calcularse para </w:t>
            </w:r>
            <w:r>
              <w:rPr>
                <w:rFonts w:ascii="Bookman Old Style" w:eastAsia="Calibri" w:hAnsi="Bookman Old Style" w:cs="Arial"/>
                <w:color w:val="000000"/>
                <w:kern w:val="24"/>
                <w:sz w:val="20"/>
                <w:szCs w:val="20"/>
                <w:lang w:eastAsia="es-MX"/>
              </w:rPr>
              <w:t xml:space="preserve">todos los usuarios no regulados. </w:t>
            </w:r>
          </w:p>
          <w:p w:rsidR="00C37C16" w:rsidRPr="00EA7ACD" w:rsidRDefault="00C37C16" w:rsidP="00F95DF1">
            <w:pPr>
              <w:ind w:left="0"/>
              <w:jc w:val="both"/>
              <w:rPr>
                <w:rFonts w:ascii="Bookman Old Style" w:eastAsia="Calibri" w:hAnsi="Bookman Old Style" w:cs="Arial"/>
                <w:color w:val="000000"/>
                <w:kern w:val="24"/>
                <w:sz w:val="20"/>
                <w:szCs w:val="20"/>
                <w:lang w:eastAsia="es-MX"/>
              </w:rPr>
            </w:pPr>
          </w:p>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A7ACD">
            <w:pPr>
              <w:jc w:val="both"/>
              <w:rPr>
                <w:rFonts w:ascii="Bookman Old Style" w:eastAsia="Calibri" w:hAnsi="Bookman Old Style" w:cs="Arial"/>
                <w:color w:val="000000"/>
                <w:kern w:val="24"/>
                <w:sz w:val="20"/>
                <w:szCs w:val="20"/>
                <w:lang w:eastAsia="es-MX"/>
              </w:rPr>
            </w:pPr>
          </w:p>
          <w:p w:rsidR="003D410A" w:rsidRPr="00EA7ACD"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 xml:space="preserve">para </w:t>
            </w:r>
            <w:r w:rsidR="005B00A3">
              <w:rPr>
                <w:rFonts w:ascii="Bookman Old Style" w:eastAsia="Calibri" w:hAnsi="Bookman Old Style" w:cs="Arial"/>
                <w:color w:val="000000"/>
                <w:kern w:val="24"/>
                <w:sz w:val="20"/>
                <w:szCs w:val="20"/>
                <w:lang w:eastAsia="es-MX"/>
              </w:rPr>
              <w:t>cada uno de los meses de los siguientes 12 meses.</w:t>
            </w:r>
          </w:p>
          <w:p w:rsidR="003D410A" w:rsidRPr="00EA7ACD" w:rsidRDefault="003D410A" w:rsidP="00F76AD1">
            <w:pPr>
              <w:rPr>
                <w:rFonts w:ascii="Bookman Old Style" w:eastAsia="Calibri" w:hAnsi="Bookman Old Style" w:cs="Arial"/>
                <w:color w:val="000000"/>
                <w:kern w:val="24"/>
                <w:sz w:val="20"/>
                <w:szCs w:val="20"/>
                <w:lang w:eastAsia="es-MX"/>
              </w:rPr>
            </w:pPr>
          </w:p>
        </w:tc>
        <w:tc>
          <w:tcPr>
            <w:tcW w:w="1559" w:type="dxa"/>
            <w:vAlign w:val="center"/>
          </w:tcPr>
          <w:p w:rsidR="003D410A"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para cada uno de los usuarios no regulados para la </w:t>
            </w:r>
            <w:r w:rsidR="00DE6CA2">
              <w:rPr>
                <w:rFonts w:ascii="Bookman Old Style" w:eastAsia="Calibri" w:hAnsi="Bookman Old Style" w:cs="Arial"/>
                <w:color w:val="000000"/>
                <w:kern w:val="24"/>
                <w:sz w:val="20"/>
                <w:szCs w:val="20"/>
                <w:lang w:eastAsia="es-MX"/>
              </w:rPr>
              <w:t>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sz w:val="16"/>
                <w:szCs w:val="20"/>
                <w:lang w:eastAsia="es-MX"/>
              </w:rPr>
            </w:pPr>
            <w:r w:rsidRPr="00EA3B2E">
              <w:rPr>
                <w:rFonts w:ascii="Bookman Old Style" w:hAnsi="Bookman Old Style" w:cs="Arial"/>
                <w:sz w:val="16"/>
                <w:szCs w:val="20"/>
                <w:lang w:eastAsia="es-MX"/>
              </w:rPr>
              <w:t>MP1</w:t>
            </w:r>
            <w:r w:rsidR="004838C6">
              <w:rPr>
                <w:rFonts w:ascii="Bookman Old Style" w:hAnsi="Bookman Old Style" w:cs="Arial"/>
                <w:sz w:val="16"/>
                <w:szCs w:val="20"/>
                <w:lang w:eastAsia="es-MX"/>
              </w:rPr>
              <w:t>7</w:t>
            </w:r>
          </w:p>
        </w:tc>
        <w:tc>
          <w:tcPr>
            <w:tcW w:w="3544" w:type="dxa"/>
            <w:vAlign w:val="center"/>
          </w:tcPr>
          <w:p w:rsidR="003D410A" w:rsidRPr="00424A45" w:rsidRDefault="00D47C83" w:rsidP="00222085">
            <w:pPr>
              <w:ind w:left="0"/>
              <w:rPr>
                <w:rFonts w:ascii="Bookman Old Style" w:hAnsi="Bookman Old Style" w:cs="Arial"/>
                <w:lang w:eastAsia="es-MX"/>
              </w:rPr>
            </w:pPr>
            <m:oMathPara>
              <m:oMathParaPr>
                <m:jc m:val="center"/>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Cap disponible primaria</m:t>
                    </m:r>
                  </m:num>
                  <m:den>
                    <m:r>
                      <m:rPr>
                        <m:sty m:val="p"/>
                      </m:rPr>
                      <w:rPr>
                        <w:rFonts w:ascii="Cambria Math" w:hAnsi="Cambria Math" w:cs="Arial"/>
                        <w:sz w:val="18"/>
                        <w:lang w:val="en-US" w:eastAsia="es-MX"/>
                      </w:rPr>
                      <m:t>Cap del tramo</m:t>
                    </m:r>
                  </m:den>
                </m:f>
              </m:oMath>
            </m:oMathPara>
          </w:p>
        </w:tc>
        <w:tc>
          <w:tcPr>
            <w:tcW w:w="3544" w:type="dxa"/>
            <w:vAlign w:val="center"/>
          </w:tcPr>
          <w:p w:rsidR="003D410A" w:rsidRPr="00EA7ACD" w:rsidRDefault="003D410A" w:rsidP="00EA7ACD">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Calcular la capacidad disponible primaria en relación con la capacidad del tramo.</w:t>
            </w:r>
          </w:p>
          <w:p w:rsidR="003D410A" w:rsidRDefault="003D410A" w:rsidP="00F95DF1">
            <w:pPr>
              <w:ind w:left="0"/>
              <w:jc w:val="both"/>
              <w:rPr>
                <w:rFonts w:ascii="Bookman Old Style" w:hAnsi="Bookman Old Style" w:cs="Arial"/>
                <w:sz w:val="20"/>
                <w:szCs w:val="20"/>
                <w:lang w:eastAsia="es-MX"/>
              </w:rPr>
            </w:pPr>
          </w:p>
          <w:p w:rsidR="00C37C16" w:rsidRDefault="00C37C16" w:rsidP="00F95DF1">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valor de la capacidad disponible primaria de cada tramo será calculado por el gestor del mercado de gas natural.</w:t>
            </w:r>
          </w:p>
          <w:p w:rsidR="00C37C16" w:rsidRDefault="00C37C16" w:rsidP="00F95DF1">
            <w:pPr>
              <w:ind w:left="0"/>
              <w:jc w:val="both"/>
              <w:rPr>
                <w:rFonts w:ascii="Bookman Old Style" w:hAnsi="Bookman Old Style" w:cs="Arial"/>
                <w:sz w:val="20"/>
                <w:szCs w:val="20"/>
                <w:lang w:eastAsia="es-MX"/>
              </w:rPr>
            </w:pPr>
          </w:p>
          <w:p w:rsidR="00C37C16" w:rsidRDefault="00C37C16" w:rsidP="00F95DF1">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valor de la capacidad del tramo corresponderá al valor de la CMMP que haya declarado el transportador al gestor.</w:t>
            </w:r>
          </w:p>
          <w:p w:rsidR="009B2B99" w:rsidRDefault="009B2B99" w:rsidP="00F95DF1">
            <w:pPr>
              <w:ind w:left="0"/>
              <w:jc w:val="both"/>
              <w:rPr>
                <w:rFonts w:ascii="Bookman Old Style" w:hAnsi="Bookman Old Style" w:cs="Arial"/>
                <w:sz w:val="20"/>
                <w:szCs w:val="20"/>
                <w:lang w:eastAsia="es-MX"/>
              </w:rPr>
            </w:pPr>
          </w:p>
          <w:p w:rsidR="003D410A" w:rsidRPr="00EA7ACD" w:rsidRDefault="003D410A" w:rsidP="00EA7ACD">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 xml:space="preserve">Este indicador debe calcularse para cada tramo </w:t>
            </w:r>
            <w:r>
              <w:rPr>
                <w:rFonts w:ascii="Bookman Old Style" w:hAnsi="Bookman Old Style" w:cs="Arial"/>
                <w:sz w:val="20"/>
                <w:szCs w:val="20"/>
                <w:lang w:eastAsia="es-MX"/>
              </w:rPr>
              <w:t xml:space="preserve">de transporte </w:t>
            </w:r>
            <w:r w:rsidRPr="00EA7ACD">
              <w:rPr>
                <w:rFonts w:ascii="Bookman Old Style" w:hAnsi="Bookman Old Style" w:cs="Arial"/>
                <w:sz w:val="20"/>
                <w:szCs w:val="20"/>
                <w:lang w:eastAsia="es-MX"/>
              </w:rPr>
              <w:t>regulatorio.</w:t>
            </w:r>
          </w:p>
          <w:p w:rsidR="003D410A" w:rsidRPr="00EA7ACD" w:rsidRDefault="003D410A" w:rsidP="00EA7ACD">
            <w:pPr>
              <w:jc w:val="both"/>
              <w:rPr>
                <w:rFonts w:ascii="Bookman Old Style" w:hAnsi="Bookman Old Style" w:cs="Arial"/>
                <w:sz w:val="20"/>
                <w:szCs w:val="20"/>
                <w:lang w:eastAsia="es-MX"/>
              </w:rPr>
            </w:pPr>
          </w:p>
          <w:p w:rsidR="003D410A" w:rsidRPr="00EA7ACD" w:rsidRDefault="003D410A" w:rsidP="00EA7ACD">
            <w:pPr>
              <w:ind w:left="0"/>
              <w:jc w:val="both"/>
              <w:rPr>
                <w:rFonts w:ascii="Bookman Old Style" w:hAnsi="Bookman Old Style" w:cs="Arial"/>
                <w:sz w:val="20"/>
                <w:szCs w:val="20"/>
                <w:lang w:eastAsia="es-MX"/>
              </w:rPr>
            </w:pPr>
            <w:r w:rsidRPr="00EA7ACD">
              <w:rPr>
                <w:rFonts w:ascii="Bookman Old Style" w:hAnsi="Bookman Old Style" w:cs="Arial"/>
                <w:b/>
                <w:sz w:val="20"/>
                <w:szCs w:val="20"/>
                <w:lang w:eastAsia="es-MX"/>
              </w:rPr>
              <w:t>Periodicidad de cálculo</w:t>
            </w:r>
            <w:r w:rsidRPr="00EA7ACD">
              <w:rPr>
                <w:rFonts w:ascii="Bookman Old Style" w:hAnsi="Bookman Old Style" w:cs="Arial"/>
                <w:sz w:val="20"/>
                <w:szCs w:val="20"/>
                <w:lang w:eastAsia="es-MX"/>
              </w:rPr>
              <w:t>: mensual</w:t>
            </w:r>
            <w:r>
              <w:rPr>
                <w:rFonts w:ascii="Bookman Old Style" w:hAnsi="Bookman Old Style" w:cs="Arial"/>
                <w:sz w:val="20"/>
                <w:szCs w:val="20"/>
                <w:lang w:eastAsia="es-MX"/>
              </w:rPr>
              <w:t>.</w:t>
            </w:r>
          </w:p>
          <w:p w:rsidR="003D410A" w:rsidRPr="00EA7ACD" w:rsidRDefault="003D410A" w:rsidP="00EA7ACD">
            <w:pPr>
              <w:jc w:val="both"/>
              <w:rPr>
                <w:rFonts w:ascii="Bookman Old Style" w:hAnsi="Bookman Old Style" w:cs="Arial"/>
                <w:sz w:val="20"/>
                <w:szCs w:val="20"/>
                <w:lang w:eastAsia="es-MX"/>
              </w:rPr>
            </w:pPr>
          </w:p>
          <w:p w:rsidR="003D410A" w:rsidRDefault="003D410A" w:rsidP="00EA7ACD">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 xml:space="preserve">Para </w:t>
            </w:r>
            <w:r w:rsidR="000A00CC">
              <w:rPr>
                <w:rFonts w:ascii="Bookman Old Style" w:eastAsia="Calibri" w:hAnsi="Bookman Old Style" w:cs="Arial"/>
                <w:color w:val="000000"/>
                <w:kern w:val="24"/>
                <w:sz w:val="20"/>
                <w:szCs w:val="20"/>
                <w:lang w:eastAsia="es-MX"/>
              </w:rPr>
              <w:t xml:space="preserve">el mes anterior al mes de cálculo y para </w:t>
            </w:r>
            <w:r w:rsidRPr="00EA7ACD">
              <w:rPr>
                <w:rFonts w:ascii="Bookman Old Style" w:eastAsia="Calibri" w:hAnsi="Bookman Old Style" w:cs="Arial"/>
                <w:color w:val="000000"/>
                <w:kern w:val="24"/>
                <w:sz w:val="20"/>
                <w:szCs w:val="20"/>
                <w:lang w:eastAsia="es-MX"/>
              </w:rPr>
              <w:t>cada uno</w:t>
            </w:r>
            <w:r w:rsidR="00C37C16">
              <w:rPr>
                <w:rFonts w:ascii="Bookman Old Style" w:eastAsia="Calibri" w:hAnsi="Bookman Old Style" w:cs="Arial"/>
                <w:color w:val="000000"/>
                <w:kern w:val="24"/>
                <w:sz w:val="20"/>
                <w:szCs w:val="20"/>
                <w:lang w:eastAsia="es-MX"/>
              </w:rPr>
              <w:t xml:space="preserve"> de los meses</w:t>
            </w:r>
            <w:r w:rsidRPr="00EA7ACD">
              <w:rPr>
                <w:rFonts w:ascii="Bookman Old Style" w:eastAsia="Calibri" w:hAnsi="Bookman Old Style" w:cs="Arial"/>
                <w:color w:val="000000"/>
                <w:kern w:val="24"/>
                <w:sz w:val="20"/>
                <w:szCs w:val="20"/>
                <w:lang w:eastAsia="es-MX"/>
              </w:rPr>
              <w:t xml:space="preserve"> de los</w:t>
            </w:r>
            <w:r w:rsidR="00C37C16">
              <w:rPr>
                <w:rFonts w:ascii="Bookman Old Style" w:eastAsia="Calibri" w:hAnsi="Bookman Old Style" w:cs="Arial"/>
                <w:color w:val="000000"/>
                <w:kern w:val="24"/>
                <w:sz w:val="20"/>
                <w:szCs w:val="20"/>
                <w:lang w:eastAsia="es-MX"/>
              </w:rPr>
              <w:t xml:space="preserve"> siguientes</w:t>
            </w:r>
            <w:r w:rsidRPr="00EA7ACD">
              <w:rPr>
                <w:rFonts w:ascii="Bookman Old Style" w:eastAsia="Calibri" w:hAnsi="Bookman Old Style" w:cs="Arial"/>
                <w:color w:val="000000"/>
                <w:kern w:val="24"/>
                <w:sz w:val="20"/>
                <w:szCs w:val="20"/>
                <w:lang w:eastAsia="es-MX"/>
              </w:rPr>
              <w:t xml:space="preserve"> 12 meses.</w:t>
            </w:r>
          </w:p>
          <w:p w:rsidR="003D410A" w:rsidRPr="00EA7ACD" w:rsidRDefault="003D410A" w:rsidP="00EA7ACD">
            <w:pPr>
              <w:ind w:left="0"/>
              <w:jc w:val="both"/>
              <w:rPr>
                <w:rFonts w:ascii="Bookman Old Style" w:eastAsia="Calibri" w:hAnsi="Bookman Old Style" w:cs="Arial"/>
                <w:color w:val="000000"/>
                <w:kern w:val="24"/>
                <w:sz w:val="20"/>
                <w:szCs w:val="20"/>
                <w:lang w:eastAsia="es-MX"/>
              </w:rPr>
            </w:pPr>
          </w:p>
        </w:tc>
        <w:tc>
          <w:tcPr>
            <w:tcW w:w="1559" w:type="dxa"/>
            <w:vAlign w:val="center"/>
          </w:tcPr>
          <w:p w:rsidR="003D410A" w:rsidRPr="00EA7ACD" w:rsidRDefault="00620147" w:rsidP="00F95DF1">
            <w:pPr>
              <w:ind w:left="0"/>
              <w:contextualSpacing/>
              <w:jc w:val="center"/>
              <w:rPr>
                <w:rFonts w:ascii="Bookman Old Style" w:hAnsi="Bookman Old Style" w:cs="Arial"/>
                <w:sz w:val="20"/>
                <w:szCs w:val="20"/>
                <w:lang w:eastAsia="es-MX"/>
              </w:rPr>
            </w:pPr>
            <w:r>
              <w:rPr>
                <w:rFonts w:ascii="Bookman Old Style" w:eastAsia="Calibri" w:hAnsi="Bookman Old Style" w:cs="Arial"/>
                <w:color w:val="000000"/>
                <w:kern w:val="24"/>
                <w:sz w:val="20"/>
                <w:szCs w:val="20"/>
                <w:lang w:eastAsia="es-MX"/>
              </w:rPr>
              <w:t>Los indicadores para cada tramo de transporte regulatorio para el p</w:t>
            </w:r>
            <w:r w:rsidR="00DE6CA2">
              <w:rPr>
                <w:rFonts w:ascii="Bookman Old Style" w:eastAsia="Calibri" w:hAnsi="Bookman Old Style" w:cs="Arial"/>
                <w:color w:val="000000"/>
                <w:kern w:val="24"/>
                <w:sz w:val="20"/>
                <w:szCs w:val="20"/>
                <w:lang w:eastAsia="es-MX"/>
              </w:rPr>
              <w:t>úblico general</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sz w:val="16"/>
                <w:szCs w:val="20"/>
                <w:lang w:eastAsia="es-MX"/>
              </w:rPr>
              <w:lastRenderedPageBreak/>
              <w:t>MP1</w:t>
            </w:r>
            <w:r w:rsidR="004838C6">
              <w:rPr>
                <w:rFonts w:ascii="Bookman Old Style" w:hAnsi="Bookman Old Style" w:cs="Arial"/>
                <w:sz w:val="16"/>
                <w:szCs w:val="20"/>
                <w:lang w:eastAsia="es-MX"/>
              </w:rPr>
              <w:t>8</w:t>
            </w:r>
          </w:p>
        </w:tc>
        <w:tc>
          <w:tcPr>
            <w:tcW w:w="3544" w:type="dxa"/>
            <w:vAlign w:val="center"/>
          </w:tcPr>
          <w:p w:rsidR="003D410A" w:rsidRPr="002B4087" w:rsidRDefault="00D47C83" w:rsidP="00222085">
            <w:pPr>
              <w:ind w:left="0"/>
              <w:rPr>
                <w:rFonts w:ascii="Bookman Old Style" w:hAnsi="Bookman Old Style" w:cs="Arial"/>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Toda cap comprometida </m:t>
                    </m:r>
                  </m:num>
                  <m:den>
                    <m:r>
                      <m:rPr>
                        <m:sty m:val="p"/>
                      </m:rPr>
                      <w:rPr>
                        <w:rFonts w:ascii="Cambria Math" w:hAnsi="Cambria Math" w:cs="Arial"/>
                        <w:sz w:val="18"/>
                        <w:lang w:val="en-US" w:eastAsia="es-MX"/>
                      </w:rPr>
                      <m:t>Cap del tramo</m:t>
                    </m:r>
                  </m:den>
                </m:f>
              </m:oMath>
            </m:oMathPara>
          </w:p>
        </w:tc>
        <w:tc>
          <w:tcPr>
            <w:tcW w:w="3544" w:type="dxa"/>
            <w:vAlign w:val="center"/>
          </w:tcPr>
          <w:p w:rsidR="003D410A" w:rsidRDefault="005E7986" w:rsidP="00B50AB8">
            <w:pPr>
              <w:ind w:left="0"/>
              <w:jc w:val="both"/>
              <w:rPr>
                <w:rFonts w:ascii="Bookman Old Style" w:hAnsi="Bookman Old Style" w:cs="Arial"/>
                <w:sz w:val="20"/>
                <w:szCs w:val="20"/>
                <w:lang w:eastAsia="es-MX"/>
              </w:rPr>
            </w:pPr>
            <w:r>
              <w:rPr>
                <w:rFonts w:ascii="Bookman Old Style" w:hAnsi="Bookman Old Style" w:cs="Arial"/>
                <w:sz w:val="20"/>
                <w:szCs w:val="20"/>
                <w:lang w:eastAsia="es-MX"/>
              </w:rPr>
              <w:t>Para cada tramo regulatorio</w:t>
            </w:r>
            <w:r w:rsidR="00511525">
              <w:rPr>
                <w:rFonts w:ascii="Bookman Old Style" w:hAnsi="Bookman Old Style" w:cs="Arial"/>
                <w:sz w:val="20"/>
                <w:szCs w:val="20"/>
                <w:lang w:eastAsia="es-MX"/>
              </w:rPr>
              <w:t xml:space="preserve"> de transporte</w:t>
            </w:r>
            <w:r>
              <w:rPr>
                <w:rFonts w:ascii="Bookman Old Style" w:hAnsi="Bookman Old Style" w:cs="Arial"/>
                <w:sz w:val="20"/>
                <w:szCs w:val="20"/>
                <w:lang w:eastAsia="es-MX"/>
              </w:rPr>
              <w:t>, c</w:t>
            </w:r>
            <w:r w:rsidR="003D410A" w:rsidRPr="00EA7ACD">
              <w:rPr>
                <w:rFonts w:ascii="Bookman Old Style" w:hAnsi="Bookman Old Style" w:cs="Arial"/>
                <w:sz w:val="20"/>
                <w:szCs w:val="20"/>
                <w:lang w:eastAsia="es-MX"/>
              </w:rPr>
              <w:t xml:space="preserve">alcular capacidad </w:t>
            </w:r>
            <w:r w:rsidR="006B6766">
              <w:rPr>
                <w:rFonts w:ascii="Bookman Old Style" w:hAnsi="Bookman Old Style" w:cs="Arial"/>
                <w:sz w:val="20"/>
                <w:szCs w:val="20"/>
                <w:lang w:eastAsia="es-MX"/>
              </w:rPr>
              <w:t xml:space="preserve">máxima </w:t>
            </w:r>
            <w:r w:rsidR="003D410A" w:rsidRPr="00EA7ACD">
              <w:rPr>
                <w:rFonts w:ascii="Bookman Old Style" w:hAnsi="Bookman Old Style" w:cs="Arial"/>
                <w:sz w:val="20"/>
                <w:szCs w:val="20"/>
                <w:lang w:eastAsia="es-MX"/>
              </w:rPr>
              <w:t>comprometida</w:t>
            </w:r>
            <w:r w:rsidR="006B6766">
              <w:rPr>
                <w:rFonts w:ascii="Bookman Old Style" w:hAnsi="Bookman Old Style" w:cs="Arial"/>
                <w:sz w:val="20"/>
                <w:szCs w:val="20"/>
                <w:lang w:eastAsia="es-MX"/>
              </w:rPr>
              <w:t xml:space="preserve"> en el mes</w:t>
            </w:r>
            <w:r w:rsidR="003D410A" w:rsidRPr="00EA7ACD">
              <w:rPr>
                <w:rFonts w:ascii="Bookman Old Style" w:hAnsi="Bookman Old Style" w:cs="Arial"/>
                <w:sz w:val="20"/>
                <w:szCs w:val="20"/>
                <w:lang w:eastAsia="es-MX"/>
              </w:rPr>
              <w:t xml:space="preserve"> </w:t>
            </w:r>
            <w:r w:rsidR="006B6766">
              <w:rPr>
                <w:rFonts w:ascii="Bookman Old Style" w:hAnsi="Bookman Old Style" w:cs="Arial"/>
                <w:sz w:val="20"/>
                <w:szCs w:val="20"/>
                <w:lang w:eastAsia="es-MX"/>
              </w:rPr>
              <w:t xml:space="preserve">(i.e. incluyendo </w:t>
            </w:r>
            <w:r w:rsidR="003D410A" w:rsidRPr="00EA7ACD">
              <w:rPr>
                <w:rFonts w:ascii="Bookman Old Style" w:hAnsi="Bookman Old Style" w:cs="Arial"/>
                <w:sz w:val="20"/>
                <w:szCs w:val="20"/>
                <w:lang w:eastAsia="es-MX"/>
              </w:rPr>
              <w:t>todas las modalidades</w:t>
            </w:r>
            <w:r w:rsidR="00956A8E">
              <w:rPr>
                <w:rFonts w:ascii="Bookman Old Style" w:hAnsi="Bookman Old Style" w:cs="Arial"/>
                <w:sz w:val="20"/>
                <w:szCs w:val="20"/>
                <w:lang w:eastAsia="es-MX"/>
              </w:rPr>
              <w:t>)</w:t>
            </w:r>
            <w:r w:rsidR="003D410A" w:rsidRPr="00EA7ACD">
              <w:rPr>
                <w:rFonts w:ascii="Bookman Old Style" w:hAnsi="Bookman Old Style" w:cs="Arial"/>
                <w:sz w:val="20"/>
                <w:szCs w:val="20"/>
                <w:lang w:eastAsia="es-MX"/>
              </w:rPr>
              <w:t xml:space="preserve"> en relación con la capacidad </w:t>
            </w:r>
            <w:r w:rsidR="003D410A">
              <w:rPr>
                <w:rFonts w:ascii="Bookman Old Style" w:hAnsi="Bookman Old Style" w:cs="Arial"/>
                <w:sz w:val="20"/>
                <w:szCs w:val="20"/>
                <w:lang w:eastAsia="es-MX"/>
              </w:rPr>
              <w:t xml:space="preserve">de transporte </w:t>
            </w:r>
            <w:r w:rsidR="003D410A" w:rsidRPr="00EA7ACD">
              <w:rPr>
                <w:rFonts w:ascii="Bookman Old Style" w:hAnsi="Bookman Old Style" w:cs="Arial"/>
                <w:sz w:val="20"/>
                <w:szCs w:val="20"/>
                <w:lang w:eastAsia="es-MX"/>
              </w:rPr>
              <w:t>del tramo.</w:t>
            </w:r>
          </w:p>
          <w:p w:rsidR="00B223BF" w:rsidRDefault="00B223BF" w:rsidP="00B50AB8">
            <w:pPr>
              <w:ind w:left="0"/>
              <w:jc w:val="both"/>
              <w:rPr>
                <w:rFonts w:ascii="Bookman Old Style" w:hAnsi="Bookman Old Style" w:cs="Arial"/>
                <w:sz w:val="20"/>
                <w:szCs w:val="20"/>
                <w:lang w:eastAsia="es-MX"/>
              </w:rPr>
            </w:pPr>
          </w:p>
          <w:p w:rsidR="00B223BF" w:rsidRDefault="00B223BF" w:rsidP="00B50AB8">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valor de la capacidad comprometida corresponderá al valor máximo de contratación en alguno de los días del correspondiente mes.</w:t>
            </w:r>
          </w:p>
          <w:p w:rsidR="005E7986" w:rsidRDefault="005E7986" w:rsidP="00B50AB8">
            <w:pPr>
              <w:ind w:left="0"/>
              <w:jc w:val="both"/>
              <w:rPr>
                <w:rFonts w:ascii="Bookman Old Style" w:hAnsi="Bookman Old Style" w:cs="Arial"/>
                <w:sz w:val="20"/>
                <w:szCs w:val="20"/>
                <w:lang w:eastAsia="es-MX"/>
              </w:rPr>
            </w:pPr>
          </w:p>
          <w:p w:rsidR="005E7986" w:rsidRPr="00EA7ACD" w:rsidRDefault="005E7986" w:rsidP="00B50AB8">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valor de la capacidad del tramo corresponderá al valor de la CMMP que haya declarado el transportador al gestor</w:t>
            </w:r>
            <w:r w:rsidR="006D1D2D">
              <w:rPr>
                <w:rFonts w:ascii="Bookman Old Style" w:hAnsi="Bookman Old Style" w:cs="Arial"/>
                <w:sz w:val="20"/>
                <w:szCs w:val="20"/>
                <w:lang w:eastAsia="es-MX"/>
              </w:rPr>
              <w:t>.</w:t>
            </w:r>
          </w:p>
          <w:p w:rsidR="003D410A" w:rsidRPr="00EA7ACD" w:rsidRDefault="003D410A" w:rsidP="00B50AB8">
            <w:pPr>
              <w:jc w:val="both"/>
              <w:rPr>
                <w:rFonts w:ascii="Bookman Old Style" w:hAnsi="Bookman Old Style" w:cs="Arial"/>
                <w:sz w:val="20"/>
                <w:szCs w:val="20"/>
                <w:lang w:eastAsia="es-MX"/>
              </w:rPr>
            </w:pPr>
          </w:p>
          <w:p w:rsidR="003D410A" w:rsidRPr="00EA7ACD" w:rsidRDefault="003D410A" w:rsidP="00B50AB8">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Este indicador debe calcularse para cada tramo regulatorio.</w:t>
            </w:r>
          </w:p>
          <w:p w:rsidR="003D410A" w:rsidRPr="00EA7ACD" w:rsidRDefault="003D410A" w:rsidP="00B50AB8">
            <w:pPr>
              <w:jc w:val="both"/>
              <w:rPr>
                <w:rFonts w:ascii="Bookman Old Style" w:hAnsi="Bookman Old Style" w:cs="Arial"/>
                <w:sz w:val="20"/>
                <w:szCs w:val="20"/>
                <w:lang w:eastAsia="es-MX"/>
              </w:rPr>
            </w:pPr>
          </w:p>
          <w:p w:rsidR="003D410A" w:rsidRPr="00EA7ACD" w:rsidRDefault="003D410A" w:rsidP="00B50AB8">
            <w:pPr>
              <w:ind w:left="0"/>
              <w:jc w:val="both"/>
              <w:rPr>
                <w:rFonts w:ascii="Bookman Old Style" w:hAnsi="Bookman Old Style" w:cs="Arial"/>
                <w:sz w:val="20"/>
                <w:szCs w:val="20"/>
                <w:lang w:eastAsia="es-MX"/>
              </w:rPr>
            </w:pPr>
            <w:r w:rsidRPr="00EA7ACD">
              <w:rPr>
                <w:rFonts w:ascii="Bookman Old Style" w:hAnsi="Bookman Old Style" w:cs="Arial"/>
                <w:b/>
                <w:sz w:val="20"/>
                <w:szCs w:val="20"/>
                <w:lang w:eastAsia="es-MX"/>
              </w:rPr>
              <w:t>Periodicidad de cálculo</w:t>
            </w:r>
            <w:r w:rsidRPr="00EA7ACD">
              <w:rPr>
                <w:rFonts w:ascii="Bookman Old Style" w:hAnsi="Bookman Old Style" w:cs="Arial"/>
                <w:sz w:val="20"/>
                <w:szCs w:val="20"/>
                <w:lang w:eastAsia="es-MX"/>
              </w:rPr>
              <w:t>: mensual</w:t>
            </w:r>
            <w:r w:rsidR="00541099">
              <w:rPr>
                <w:rFonts w:ascii="Bookman Old Style" w:hAnsi="Bookman Old Style" w:cs="Arial"/>
                <w:sz w:val="20"/>
                <w:szCs w:val="20"/>
                <w:lang w:eastAsia="es-MX"/>
              </w:rPr>
              <w:t>.</w:t>
            </w:r>
          </w:p>
          <w:p w:rsidR="003D410A" w:rsidRPr="00EA7ACD" w:rsidRDefault="003D410A" w:rsidP="00B50AB8">
            <w:pPr>
              <w:jc w:val="both"/>
              <w:rPr>
                <w:rFonts w:ascii="Bookman Old Style" w:hAnsi="Bookman Old Style" w:cs="Arial"/>
                <w:sz w:val="20"/>
                <w:szCs w:val="20"/>
                <w:lang w:eastAsia="es-MX"/>
              </w:rPr>
            </w:pPr>
          </w:p>
          <w:p w:rsidR="00541099" w:rsidRPr="00EA7ACD" w:rsidRDefault="003D410A" w:rsidP="00A94FD1">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w:t>
            </w:r>
            <w:r w:rsidR="0079027B">
              <w:rPr>
                <w:rFonts w:ascii="Bookman Old Style" w:eastAsia="Calibri" w:hAnsi="Bookman Old Style" w:cs="Arial"/>
                <w:color w:val="000000"/>
                <w:kern w:val="24"/>
                <w:sz w:val="20"/>
                <w:szCs w:val="20"/>
                <w:lang w:eastAsia="es-MX"/>
              </w:rPr>
              <w:t xml:space="preserve"> el mes anterior</w:t>
            </w:r>
            <w:r w:rsidR="00BD6CFC">
              <w:rPr>
                <w:rFonts w:ascii="Bookman Old Style" w:eastAsia="Calibri" w:hAnsi="Bookman Old Style" w:cs="Arial"/>
                <w:color w:val="000000"/>
                <w:kern w:val="24"/>
                <w:sz w:val="20"/>
                <w:szCs w:val="20"/>
                <w:lang w:eastAsia="es-MX"/>
              </w:rPr>
              <w:t xml:space="preserve"> al mes de cálculo</w:t>
            </w:r>
            <w:r w:rsidR="0079027B">
              <w:rPr>
                <w:rFonts w:ascii="Bookman Old Style" w:eastAsia="Calibri" w:hAnsi="Bookman Old Style" w:cs="Arial"/>
                <w:color w:val="000000"/>
                <w:kern w:val="24"/>
                <w:sz w:val="20"/>
                <w:szCs w:val="20"/>
                <w:lang w:eastAsia="es-MX"/>
              </w:rPr>
              <w:t xml:space="preserve"> y para </w:t>
            </w:r>
            <w:r w:rsidRPr="00EA7ACD">
              <w:rPr>
                <w:rFonts w:ascii="Bookman Old Style" w:eastAsia="Calibri" w:hAnsi="Bookman Old Style" w:cs="Arial"/>
                <w:color w:val="000000"/>
                <w:kern w:val="24"/>
                <w:sz w:val="20"/>
                <w:szCs w:val="20"/>
                <w:lang w:eastAsia="es-MX"/>
              </w:rPr>
              <w:t>cada uno de los</w:t>
            </w:r>
            <w:r w:rsidR="00BD6CFC">
              <w:rPr>
                <w:rFonts w:ascii="Bookman Old Style" w:eastAsia="Calibri" w:hAnsi="Bookman Old Style" w:cs="Arial"/>
                <w:color w:val="000000"/>
                <w:kern w:val="24"/>
                <w:sz w:val="20"/>
                <w:szCs w:val="20"/>
                <w:lang w:eastAsia="es-MX"/>
              </w:rPr>
              <w:t xml:space="preserve"> meses de los siguientes</w:t>
            </w:r>
            <w:r w:rsidRPr="00EA7ACD">
              <w:rPr>
                <w:rFonts w:ascii="Bookman Old Style" w:eastAsia="Calibri" w:hAnsi="Bookman Old Style" w:cs="Arial"/>
                <w:color w:val="000000"/>
                <w:kern w:val="24"/>
                <w:sz w:val="20"/>
                <w:szCs w:val="20"/>
                <w:lang w:eastAsia="es-MX"/>
              </w:rPr>
              <w:t xml:space="preserve"> 12 meses</w:t>
            </w:r>
            <w:r w:rsidR="00BD6CFC">
              <w:rPr>
                <w:rFonts w:ascii="Bookman Old Style" w:eastAsia="Calibri" w:hAnsi="Bookman Old Style" w:cs="Arial"/>
                <w:color w:val="000000"/>
                <w:kern w:val="24"/>
                <w:sz w:val="20"/>
                <w:szCs w:val="20"/>
                <w:lang w:eastAsia="es-MX"/>
              </w:rPr>
              <w:t>.</w:t>
            </w:r>
          </w:p>
        </w:tc>
        <w:tc>
          <w:tcPr>
            <w:tcW w:w="1559" w:type="dxa"/>
            <w:vAlign w:val="center"/>
          </w:tcPr>
          <w:p w:rsidR="003D410A"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para cada tramo de transporte regulatorio para la </w:t>
            </w:r>
            <w:r w:rsidR="003432F2">
              <w:rPr>
                <w:rFonts w:ascii="Bookman Old Style" w:eastAsia="Calibri" w:hAnsi="Bookman Old Style" w:cs="Arial"/>
                <w:color w:val="000000"/>
                <w:kern w:val="24"/>
                <w:sz w:val="20"/>
                <w:szCs w:val="20"/>
                <w:lang w:eastAsia="es-MX"/>
              </w:rPr>
              <w:t>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sz w:val="16"/>
                <w:szCs w:val="20"/>
                <w:lang w:eastAsia="es-MX"/>
              </w:rPr>
              <w:t>MP1</w:t>
            </w:r>
            <w:r w:rsidR="004838C6">
              <w:rPr>
                <w:rFonts w:ascii="Bookman Old Style" w:hAnsi="Bookman Old Style" w:cs="Arial"/>
                <w:sz w:val="16"/>
                <w:szCs w:val="20"/>
                <w:lang w:eastAsia="es-MX"/>
              </w:rPr>
              <w:t>9</w:t>
            </w:r>
          </w:p>
        </w:tc>
        <w:tc>
          <w:tcPr>
            <w:tcW w:w="3544" w:type="dxa"/>
            <w:vAlign w:val="center"/>
          </w:tcPr>
          <w:p w:rsidR="003D410A" w:rsidRPr="00B50AB8" w:rsidRDefault="00D47C83" w:rsidP="00A506DD">
            <w:pPr>
              <w:ind w:left="0"/>
              <w:rPr>
                <w:rFonts w:ascii="Bookman Old Style" w:hAnsi="Bookman Old Style" w:cs="Arial"/>
                <w:iCs/>
                <w:color w:val="000000"/>
                <w:kern w:val="24"/>
                <w:lang w:eastAsia="es-MX"/>
              </w:rPr>
            </w:pPr>
            <m:oMathPara>
              <m:oMathParaPr>
                <m:jc m:val="center"/>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Mod contrato dda reg de gas</m:t>
                    </m:r>
                  </m:num>
                  <m:den>
                    <m:r>
                      <m:rPr>
                        <m:sty m:val="p"/>
                      </m:rPr>
                      <w:rPr>
                        <w:rFonts w:ascii="Cambria Math" w:hAnsi="Cambria Math" w:cs="Arial"/>
                        <w:sz w:val="18"/>
                        <w:lang w:val="en-US" w:eastAsia="es-MX"/>
                      </w:rPr>
                      <m:t>Dda reg en contratos de gas</m:t>
                    </m:r>
                  </m:den>
                </m:f>
              </m:oMath>
            </m:oMathPara>
          </w:p>
        </w:tc>
        <w:tc>
          <w:tcPr>
            <w:tcW w:w="3544" w:type="dxa"/>
            <w:vAlign w:val="center"/>
          </w:tcPr>
          <w:p w:rsidR="003D410A" w:rsidRPr="00EA7ACD" w:rsidRDefault="003D410A" w:rsidP="00B50AB8">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Para los contratos con destino a la demanda regulada, calcular cuánto representa cada modalidad de contrato de la demanda regulada en relación con el total de la demanda regulada en contratos.</w:t>
            </w:r>
          </w:p>
          <w:p w:rsidR="003D410A" w:rsidRPr="00EA7ACD" w:rsidRDefault="003D410A" w:rsidP="00B50AB8">
            <w:pPr>
              <w:jc w:val="both"/>
              <w:rPr>
                <w:rFonts w:ascii="Bookman Old Style" w:hAnsi="Bookman Old Style" w:cs="Arial"/>
                <w:color w:val="000000"/>
                <w:sz w:val="20"/>
                <w:szCs w:val="20"/>
              </w:rPr>
            </w:pPr>
          </w:p>
          <w:p w:rsidR="003D410A" w:rsidRPr="00EA7ACD" w:rsidRDefault="003D410A" w:rsidP="00B50AB8">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Este indicador debe calcularse de manera agregada y para cada comercializador que tenga contratos de demanda regulada.</w:t>
            </w:r>
          </w:p>
          <w:p w:rsidR="003D410A" w:rsidRPr="00EA7ACD" w:rsidRDefault="003D410A" w:rsidP="00B50AB8">
            <w:pPr>
              <w:jc w:val="both"/>
              <w:rPr>
                <w:rFonts w:ascii="Bookman Old Style" w:hAnsi="Bookman Old Style" w:cs="Arial"/>
                <w:sz w:val="20"/>
                <w:szCs w:val="20"/>
                <w:lang w:eastAsia="es-MX"/>
              </w:rPr>
            </w:pPr>
          </w:p>
          <w:p w:rsidR="003D410A" w:rsidRPr="00EA7ACD" w:rsidRDefault="003D410A" w:rsidP="00A94FD1">
            <w:pPr>
              <w:ind w:left="0"/>
              <w:jc w:val="both"/>
              <w:rPr>
                <w:rFonts w:ascii="Bookman Old Style" w:hAnsi="Bookman Old Style" w:cs="Arial"/>
                <w:sz w:val="20"/>
                <w:szCs w:val="20"/>
                <w:lang w:eastAsia="es-MX"/>
              </w:rPr>
            </w:pPr>
            <w:r w:rsidRPr="00EA7ACD">
              <w:rPr>
                <w:rFonts w:ascii="Bookman Old Style" w:hAnsi="Bookman Old Style" w:cs="Arial"/>
                <w:b/>
                <w:sz w:val="20"/>
                <w:szCs w:val="20"/>
                <w:lang w:eastAsia="es-MX"/>
              </w:rPr>
              <w:t>Periodicidad de cálculo</w:t>
            </w:r>
            <w:r w:rsidRPr="00EA7ACD">
              <w:rPr>
                <w:rFonts w:ascii="Bookman Old Style" w:hAnsi="Bookman Old Style" w:cs="Arial"/>
                <w:sz w:val="20"/>
                <w:szCs w:val="20"/>
                <w:lang w:eastAsia="es-MX"/>
              </w:rPr>
              <w:t>: mensual.</w:t>
            </w:r>
          </w:p>
          <w:p w:rsidR="003D410A" w:rsidRPr="00EA7ACD" w:rsidRDefault="003D410A" w:rsidP="00B50AB8">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cada uno de los</w:t>
            </w:r>
            <w:r w:rsidR="002809F2">
              <w:rPr>
                <w:rFonts w:ascii="Bookman Old Style" w:eastAsia="Calibri" w:hAnsi="Bookman Old Style" w:cs="Arial"/>
                <w:color w:val="000000"/>
                <w:kern w:val="24"/>
                <w:sz w:val="20"/>
                <w:szCs w:val="20"/>
                <w:lang w:eastAsia="es-MX"/>
              </w:rPr>
              <w:t xml:space="preserve"> meses de los siguientes</w:t>
            </w:r>
            <w:r w:rsidRPr="00EA7ACD">
              <w:rPr>
                <w:rFonts w:ascii="Bookman Old Style" w:eastAsia="Calibri" w:hAnsi="Bookman Old Style" w:cs="Arial"/>
                <w:color w:val="000000"/>
                <w:kern w:val="24"/>
                <w:sz w:val="20"/>
                <w:szCs w:val="20"/>
                <w:lang w:eastAsia="es-MX"/>
              </w:rPr>
              <w:t xml:space="preserve"> 12 meses.</w:t>
            </w:r>
          </w:p>
          <w:p w:rsidR="003D410A" w:rsidRPr="00EA7ACD" w:rsidRDefault="003D410A" w:rsidP="00470BFA">
            <w:pPr>
              <w:ind w:left="0"/>
              <w:rPr>
                <w:rFonts w:ascii="Bookman Old Style" w:hAnsi="Bookman Old Style" w:cs="Arial"/>
                <w:color w:val="000000"/>
                <w:sz w:val="20"/>
                <w:szCs w:val="20"/>
              </w:rPr>
            </w:pPr>
          </w:p>
        </w:tc>
        <w:tc>
          <w:tcPr>
            <w:tcW w:w="1559" w:type="dxa"/>
            <w:vAlign w:val="center"/>
          </w:tcPr>
          <w:p w:rsidR="003D410A"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agregados para el público general y los indicadores para cada comercializador para la </w:t>
            </w:r>
            <w:r w:rsidR="003432F2">
              <w:rPr>
                <w:rFonts w:ascii="Bookman Old Style" w:eastAsia="Calibri" w:hAnsi="Bookman Old Style" w:cs="Arial"/>
                <w:color w:val="000000"/>
                <w:kern w:val="24"/>
                <w:sz w:val="20"/>
                <w:szCs w:val="20"/>
                <w:lang w:eastAsia="es-MX"/>
              </w:rPr>
              <w:t>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sz w:val="16"/>
                <w:szCs w:val="20"/>
                <w:lang w:eastAsia="es-MX"/>
              </w:rPr>
              <w:t>MP</w:t>
            </w:r>
            <w:r w:rsidR="004838C6">
              <w:rPr>
                <w:rFonts w:ascii="Bookman Old Style" w:hAnsi="Bookman Old Style" w:cs="Arial"/>
                <w:sz w:val="16"/>
                <w:szCs w:val="20"/>
                <w:lang w:eastAsia="es-MX"/>
              </w:rPr>
              <w:t>20</w:t>
            </w:r>
          </w:p>
        </w:tc>
        <w:tc>
          <w:tcPr>
            <w:tcW w:w="3544" w:type="dxa"/>
            <w:vAlign w:val="center"/>
          </w:tcPr>
          <w:p w:rsidR="003D410A" w:rsidRPr="00377853" w:rsidRDefault="00D47C83" w:rsidP="00B50AB8">
            <w:pPr>
              <w:ind w:left="0"/>
              <w:jc w:val="both"/>
              <w:rPr>
                <w:rFonts w:ascii="Bookman Old Style" w:hAnsi="Bookman Old Style" w:cs="Arial"/>
                <w:iCs/>
                <w:color w:val="000000"/>
                <w:kern w:val="24"/>
                <w:lang w:eastAsia="es-MX"/>
              </w:rPr>
            </w:pPr>
            <m:oMathPara>
              <m:oMathParaPr>
                <m:jc m:val="center"/>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Mod contrato  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 de gas</m:t>
                    </m:r>
                  </m:num>
                  <m:den>
                    <m:r>
                      <m:rPr>
                        <m:sty m:val="p"/>
                      </m:rPr>
                      <w:rPr>
                        <w:rFonts w:ascii="Cambria Math" w:hAnsi="Cambria Math" w:cs="Arial"/>
                        <w:sz w:val="18"/>
                        <w:lang w:val="en-US" w:eastAsia="es-MX"/>
                      </w:rPr>
                      <m:t xml:space="preserve">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 xml:space="preserve"> reg en contratos de gas</m:t>
                    </m:r>
                  </m:den>
                </m:f>
              </m:oMath>
            </m:oMathPara>
          </w:p>
        </w:tc>
        <w:tc>
          <w:tcPr>
            <w:tcW w:w="3544" w:type="dxa"/>
            <w:vAlign w:val="center"/>
          </w:tcPr>
          <w:p w:rsidR="003D410A" w:rsidRPr="00EA7ACD" w:rsidRDefault="003D410A" w:rsidP="00B50AB8">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 xml:space="preserve">Para los contratos con destino a la demanda </w:t>
            </w:r>
            <w:r w:rsidRPr="00EA7ACD">
              <w:rPr>
                <w:rFonts w:ascii="Bookman Old Style" w:hAnsi="Bookman Old Style" w:cs="Arial"/>
                <w:b/>
                <w:color w:val="000000"/>
                <w:sz w:val="20"/>
                <w:szCs w:val="20"/>
              </w:rPr>
              <w:t xml:space="preserve">no </w:t>
            </w:r>
            <w:r w:rsidRPr="00EA7ACD">
              <w:rPr>
                <w:rFonts w:ascii="Bookman Old Style" w:hAnsi="Bookman Old Style" w:cs="Arial"/>
                <w:color w:val="000000"/>
                <w:sz w:val="20"/>
                <w:szCs w:val="20"/>
              </w:rPr>
              <w:t xml:space="preserve">regulada, calcular cuánto representa cada modalidad en relación con el total de la demanda </w:t>
            </w:r>
            <w:r w:rsidRPr="00EA7ACD">
              <w:rPr>
                <w:rFonts w:ascii="Bookman Old Style" w:hAnsi="Bookman Old Style" w:cs="Arial"/>
                <w:b/>
                <w:color w:val="000000"/>
                <w:sz w:val="20"/>
                <w:szCs w:val="20"/>
              </w:rPr>
              <w:t xml:space="preserve">no </w:t>
            </w:r>
            <w:r w:rsidRPr="00EA7ACD">
              <w:rPr>
                <w:rFonts w:ascii="Bookman Old Style" w:hAnsi="Bookman Old Style" w:cs="Arial"/>
                <w:color w:val="000000"/>
                <w:sz w:val="20"/>
                <w:szCs w:val="20"/>
              </w:rPr>
              <w:t>regulada en contratos.</w:t>
            </w:r>
          </w:p>
          <w:p w:rsidR="003D410A" w:rsidRPr="00EA7ACD" w:rsidRDefault="003D410A" w:rsidP="00B50AB8">
            <w:pPr>
              <w:jc w:val="both"/>
              <w:rPr>
                <w:rFonts w:ascii="Bookman Old Style" w:hAnsi="Bookman Old Style" w:cs="Arial"/>
                <w:color w:val="000000"/>
                <w:sz w:val="20"/>
                <w:szCs w:val="20"/>
              </w:rPr>
            </w:pPr>
          </w:p>
          <w:p w:rsidR="003D410A" w:rsidRPr="00EA7ACD" w:rsidRDefault="003D410A" w:rsidP="00B50AB8">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Este indicador debe calcularse de manera agregada y para cada comercializador</w:t>
            </w:r>
            <w:r w:rsidR="00ED0E5A">
              <w:rPr>
                <w:rFonts w:ascii="Bookman Old Style" w:hAnsi="Bookman Old Style" w:cs="Arial"/>
                <w:sz w:val="20"/>
                <w:szCs w:val="20"/>
                <w:lang w:eastAsia="es-MX"/>
              </w:rPr>
              <w:t xml:space="preserve"> que atiende </w:t>
            </w:r>
            <w:r w:rsidR="00ED0E5A">
              <w:rPr>
                <w:rFonts w:ascii="Bookman Old Style" w:hAnsi="Bookman Old Style" w:cs="Arial"/>
                <w:sz w:val="20"/>
                <w:szCs w:val="20"/>
                <w:lang w:eastAsia="es-MX"/>
              </w:rPr>
              <w:lastRenderedPageBreak/>
              <w:t>demanda no regulada</w:t>
            </w:r>
            <w:r w:rsidRPr="00EA7ACD">
              <w:rPr>
                <w:rFonts w:ascii="Bookman Old Style" w:hAnsi="Bookman Old Style" w:cs="Arial"/>
                <w:sz w:val="20"/>
                <w:szCs w:val="20"/>
                <w:lang w:eastAsia="es-MX"/>
              </w:rPr>
              <w:t>.</w:t>
            </w:r>
          </w:p>
          <w:p w:rsidR="003D410A" w:rsidRPr="00EA7ACD" w:rsidRDefault="003D410A" w:rsidP="00B50AB8">
            <w:pPr>
              <w:jc w:val="both"/>
              <w:rPr>
                <w:rFonts w:ascii="Bookman Old Style" w:hAnsi="Bookman Old Style" w:cs="Arial"/>
                <w:sz w:val="20"/>
                <w:szCs w:val="20"/>
                <w:lang w:eastAsia="es-MX"/>
              </w:rPr>
            </w:pPr>
          </w:p>
          <w:p w:rsidR="003D410A" w:rsidRPr="00EA7ACD" w:rsidRDefault="003D410A" w:rsidP="00B50AB8">
            <w:pPr>
              <w:ind w:left="0"/>
              <w:jc w:val="both"/>
              <w:rPr>
                <w:rFonts w:ascii="Bookman Old Style" w:hAnsi="Bookman Old Style" w:cs="Arial"/>
                <w:sz w:val="20"/>
                <w:szCs w:val="20"/>
                <w:lang w:eastAsia="es-MX"/>
              </w:rPr>
            </w:pPr>
            <w:r w:rsidRPr="00EA7ACD">
              <w:rPr>
                <w:rFonts w:ascii="Bookman Old Style" w:hAnsi="Bookman Old Style" w:cs="Arial"/>
                <w:b/>
                <w:sz w:val="20"/>
                <w:szCs w:val="20"/>
                <w:lang w:eastAsia="es-MX"/>
              </w:rPr>
              <w:t>Periodicidad de cálculo</w:t>
            </w:r>
            <w:r w:rsidRPr="00EA7ACD">
              <w:rPr>
                <w:rFonts w:ascii="Bookman Old Style" w:hAnsi="Bookman Old Style" w:cs="Arial"/>
                <w:sz w:val="20"/>
                <w:szCs w:val="20"/>
                <w:lang w:eastAsia="es-MX"/>
              </w:rPr>
              <w:t>: mensual.</w:t>
            </w:r>
          </w:p>
          <w:p w:rsidR="003D410A" w:rsidRPr="00EA7ACD" w:rsidRDefault="003D410A" w:rsidP="00B50AB8">
            <w:pPr>
              <w:jc w:val="both"/>
              <w:rPr>
                <w:rFonts w:ascii="Bookman Old Style" w:hAnsi="Bookman Old Style" w:cs="Arial"/>
                <w:sz w:val="20"/>
                <w:szCs w:val="20"/>
                <w:lang w:eastAsia="es-MX"/>
              </w:rPr>
            </w:pPr>
          </w:p>
          <w:p w:rsidR="003D410A" w:rsidRPr="00EA7ACD" w:rsidRDefault="003D410A" w:rsidP="00A94FD1">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cada uno de los</w:t>
            </w:r>
            <w:r w:rsidR="00ED0E5A">
              <w:rPr>
                <w:rFonts w:ascii="Bookman Old Style" w:eastAsia="Calibri" w:hAnsi="Bookman Old Style" w:cs="Arial"/>
                <w:color w:val="000000"/>
                <w:kern w:val="24"/>
                <w:sz w:val="20"/>
                <w:szCs w:val="20"/>
                <w:lang w:eastAsia="es-MX"/>
              </w:rPr>
              <w:t xml:space="preserve"> meses de los siguientes</w:t>
            </w:r>
            <w:r w:rsidRPr="00EA7ACD">
              <w:rPr>
                <w:rFonts w:ascii="Bookman Old Style" w:eastAsia="Calibri" w:hAnsi="Bookman Old Style" w:cs="Arial"/>
                <w:color w:val="000000"/>
                <w:kern w:val="24"/>
                <w:sz w:val="20"/>
                <w:szCs w:val="20"/>
                <w:lang w:eastAsia="es-MX"/>
              </w:rPr>
              <w:t xml:space="preserve"> 12.</w:t>
            </w:r>
          </w:p>
        </w:tc>
        <w:tc>
          <w:tcPr>
            <w:tcW w:w="1559" w:type="dxa"/>
            <w:vAlign w:val="center"/>
          </w:tcPr>
          <w:p w:rsidR="003D410A" w:rsidRPr="00EA7ACD" w:rsidRDefault="00620147"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 xml:space="preserve">Los indicadores agregados para el público general y los indicadores para cada comercializador para la </w:t>
            </w:r>
            <w:r>
              <w:rPr>
                <w:rFonts w:ascii="Bookman Old Style" w:eastAsia="Calibri" w:hAnsi="Bookman Old Style" w:cs="Arial"/>
                <w:color w:val="000000"/>
                <w:kern w:val="24"/>
                <w:sz w:val="20"/>
                <w:szCs w:val="20"/>
                <w:lang w:eastAsia="es-MX"/>
              </w:rPr>
              <w:lastRenderedPageBreak/>
              <w:t>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sz w:val="16"/>
                <w:szCs w:val="20"/>
                <w:lang w:eastAsia="es-MX"/>
              </w:rPr>
              <w:lastRenderedPageBreak/>
              <w:t>MP</w:t>
            </w:r>
            <w:r>
              <w:rPr>
                <w:rFonts w:ascii="Bookman Old Style" w:hAnsi="Bookman Old Style" w:cs="Arial"/>
                <w:sz w:val="16"/>
                <w:szCs w:val="20"/>
                <w:lang w:eastAsia="es-MX"/>
              </w:rPr>
              <w:t>2</w:t>
            </w:r>
            <w:r w:rsidR="004838C6">
              <w:rPr>
                <w:rFonts w:ascii="Bookman Old Style" w:hAnsi="Bookman Old Style" w:cs="Arial"/>
                <w:sz w:val="16"/>
                <w:szCs w:val="20"/>
                <w:lang w:eastAsia="es-MX"/>
              </w:rPr>
              <w:t>1</w:t>
            </w:r>
          </w:p>
        </w:tc>
        <w:tc>
          <w:tcPr>
            <w:tcW w:w="3544" w:type="dxa"/>
            <w:vAlign w:val="center"/>
          </w:tcPr>
          <w:p w:rsidR="003D410A" w:rsidRPr="002B4087" w:rsidRDefault="00D47C83" w:rsidP="002F5C99">
            <w:pPr>
              <w:ind w:left="0"/>
              <w:rPr>
                <w:rFonts w:ascii="Bookman Old Style" w:hAnsi="Bookman Old Style" w:cs="Arial"/>
                <w:iCs/>
                <w:color w:val="000000"/>
                <w:kern w:val="24"/>
                <w:lang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Mod contrato  dda reg cap T</m:t>
                    </m:r>
                  </m:num>
                  <m:den>
                    <m:r>
                      <m:rPr>
                        <m:sty m:val="p"/>
                      </m:rPr>
                      <w:rPr>
                        <w:rFonts w:ascii="Cambria Math" w:hAnsi="Cambria Math" w:cs="Arial"/>
                        <w:sz w:val="18"/>
                        <w:lang w:val="en-US" w:eastAsia="es-MX"/>
                      </w:rPr>
                      <m:t>Cap del tramo</m:t>
                    </m:r>
                  </m:den>
                </m:f>
              </m:oMath>
            </m:oMathPara>
          </w:p>
        </w:tc>
        <w:tc>
          <w:tcPr>
            <w:tcW w:w="3544" w:type="dxa"/>
            <w:vAlign w:val="center"/>
          </w:tcPr>
          <w:p w:rsidR="003D410A" w:rsidRPr="00EA7ACD" w:rsidRDefault="003D410A" w:rsidP="00B50AB8">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 xml:space="preserve">Para los contratos con destino a la demanda regulada, calcular cuánto representa cada modalidad de contratos de capacidad de transporte en relación con </w:t>
            </w:r>
            <w:r w:rsidR="002F5C99">
              <w:rPr>
                <w:rFonts w:ascii="Bookman Old Style" w:hAnsi="Bookman Old Style" w:cs="Arial"/>
                <w:color w:val="000000"/>
                <w:sz w:val="20"/>
                <w:szCs w:val="20"/>
              </w:rPr>
              <w:t>la capacidad del tramo.</w:t>
            </w:r>
          </w:p>
          <w:p w:rsidR="003D410A" w:rsidRPr="00EA7ACD" w:rsidRDefault="003D410A" w:rsidP="00B50AB8">
            <w:pPr>
              <w:jc w:val="both"/>
              <w:rPr>
                <w:rFonts w:ascii="Bookman Old Style" w:hAnsi="Bookman Old Style" w:cs="Arial"/>
                <w:color w:val="000000"/>
                <w:sz w:val="20"/>
                <w:szCs w:val="20"/>
              </w:rPr>
            </w:pPr>
          </w:p>
          <w:p w:rsidR="008D3774" w:rsidRDefault="001520CC" w:rsidP="00B50AB8">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En un mes, e</w:t>
            </w:r>
            <w:r w:rsidR="008D3774">
              <w:rPr>
                <w:rFonts w:ascii="Bookman Old Style" w:hAnsi="Bookman Old Style" w:cs="Arial"/>
                <w:sz w:val="20"/>
                <w:szCs w:val="20"/>
                <w:lang w:eastAsia="es-MX"/>
              </w:rPr>
              <w:t xml:space="preserve">l valor de </w:t>
            </w:r>
            <w:r w:rsidR="00510203">
              <w:rPr>
                <w:rFonts w:ascii="Bookman Old Style" w:hAnsi="Bookman Old Style" w:cs="Arial"/>
                <w:sz w:val="20"/>
                <w:szCs w:val="20"/>
                <w:lang w:eastAsia="es-MX"/>
              </w:rPr>
              <w:t>cada modalidad de contratos corresponderá al mayor valor de capacidad de transporte observado en esa modalidad</w:t>
            </w:r>
            <w:r w:rsidR="00283C08">
              <w:rPr>
                <w:rFonts w:ascii="Bookman Old Style" w:hAnsi="Bookman Old Style" w:cs="Arial"/>
                <w:sz w:val="20"/>
                <w:szCs w:val="20"/>
                <w:lang w:eastAsia="es-MX"/>
              </w:rPr>
              <w:t xml:space="preserve"> en uno de los días del mes correspondiente</w:t>
            </w:r>
            <w:r w:rsidR="00510203">
              <w:rPr>
                <w:rFonts w:ascii="Bookman Old Style" w:hAnsi="Bookman Old Style" w:cs="Arial"/>
                <w:sz w:val="20"/>
                <w:szCs w:val="20"/>
                <w:lang w:eastAsia="es-MX"/>
              </w:rPr>
              <w:t>.</w:t>
            </w:r>
          </w:p>
          <w:p w:rsidR="008D3774" w:rsidRDefault="008D3774" w:rsidP="00B50AB8">
            <w:pPr>
              <w:ind w:left="0"/>
              <w:jc w:val="both"/>
              <w:rPr>
                <w:rFonts w:ascii="Bookman Old Style" w:hAnsi="Bookman Old Style" w:cs="Arial"/>
                <w:sz w:val="20"/>
                <w:szCs w:val="20"/>
                <w:lang w:eastAsia="es-MX"/>
              </w:rPr>
            </w:pPr>
          </w:p>
          <w:p w:rsidR="001520CC" w:rsidRPr="00EA7ACD" w:rsidRDefault="001520CC" w:rsidP="001520CC">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valor de la capacidad del tramo corresponderá al valor de la CMMP que haya declarado el transportador al gestor.</w:t>
            </w:r>
          </w:p>
          <w:p w:rsidR="001520CC" w:rsidRDefault="001520CC" w:rsidP="00B50AB8">
            <w:pPr>
              <w:ind w:left="0"/>
              <w:jc w:val="both"/>
              <w:rPr>
                <w:rFonts w:ascii="Bookman Old Style" w:hAnsi="Bookman Old Style" w:cs="Arial"/>
                <w:sz w:val="20"/>
                <w:szCs w:val="20"/>
                <w:lang w:eastAsia="es-MX"/>
              </w:rPr>
            </w:pPr>
          </w:p>
          <w:p w:rsidR="00FD13DE" w:rsidRDefault="00FD13DE" w:rsidP="00B50AB8">
            <w:pPr>
              <w:ind w:left="0"/>
              <w:jc w:val="both"/>
              <w:rPr>
                <w:rFonts w:ascii="Bookman Old Style" w:hAnsi="Bookman Old Style" w:cs="Arial"/>
                <w:sz w:val="20"/>
                <w:szCs w:val="20"/>
                <w:lang w:eastAsia="es-MX"/>
              </w:rPr>
            </w:pPr>
            <w:r>
              <w:rPr>
                <w:rFonts w:ascii="Bookman Old Style" w:hAnsi="Bookman Old Style" w:cs="Arial"/>
                <w:sz w:val="20"/>
                <w:szCs w:val="20"/>
                <w:lang w:eastAsia="es-MX"/>
              </w:rPr>
              <w:t>Para los mercados relevantes, el cálculo tendrá en cuenta las capacidades del último tramo de transporte necesario para abastecer el mercado relevante.</w:t>
            </w:r>
          </w:p>
          <w:p w:rsidR="00FD13DE" w:rsidRDefault="00FD13DE" w:rsidP="00B50AB8">
            <w:pPr>
              <w:ind w:left="0"/>
              <w:jc w:val="both"/>
              <w:rPr>
                <w:rFonts w:ascii="Bookman Old Style" w:hAnsi="Bookman Old Style" w:cs="Arial"/>
                <w:sz w:val="20"/>
                <w:szCs w:val="20"/>
                <w:lang w:eastAsia="es-MX"/>
              </w:rPr>
            </w:pPr>
          </w:p>
          <w:p w:rsidR="0087568D" w:rsidRDefault="003D410A" w:rsidP="00B50AB8">
            <w:pPr>
              <w:ind w:left="0"/>
              <w:jc w:val="both"/>
              <w:rPr>
                <w:rFonts w:ascii="Bookman Old Style" w:hAnsi="Bookman Old Style" w:cs="Arial"/>
                <w:sz w:val="20"/>
                <w:szCs w:val="20"/>
                <w:lang w:eastAsia="es-MX"/>
              </w:rPr>
            </w:pPr>
            <w:r w:rsidRPr="00EA7ACD">
              <w:rPr>
                <w:rFonts w:ascii="Bookman Old Style" w:hAnsi="Bookman Old Style" w:cs="Arial"/>
                <w:sz w:val="20"/>
                <w:szCs w:val="20"/>
                <w:lang w:eastAsia="es-MX"/>
              </w:rPr>
              <w:t>Este indicador debe calcularse para</w:t>
            </w:r>
            <w:r w:rsidR="008D3774">
              <w:rPr>
                <w:rFonts w:ascii="Bookman Old Style" w:hAnsi="Bookman Old Style" w:cs="Arial"/>
                <w:sz w:val="20"/>
                <w:szCs w:val="20"/>
                <w:lang w:eastAsia="es-MX"/>
              </w:rPr>
              <w:t xml:space="preserve"> todos los mercados relevantes. </w:t>
            </w:r>
          </w:p>
          <w:p w:rsidR="003D410A" w:rsidRPr="00EA7ACD" w:rsidRDefault="003D410A" w:rsidP="00F95DF1">
            <w:pPr>
              <w:ind w:left="0"/>
              <w:jc w:val="both"/>
              <w:rPr>
                <w:rFonts w:ascii="Bookman Old Style" w:hAnsi="Bookman Old Style" w:cs="Arial"/>
                <w:sz w:val="20"/>
                <w:szCs w:val="20"/>
                <w:lang w:eastAsia="es-MX"/>
              </w:rPr>
            </w:pPr>
          </w:p>
          <w:p w:rsidR="003D410A" w:rsidRPr="00EA7ACD" w:rsidRDefault="003D410A" w:rsidP="00B50AB8">
            <w:pPr>
              <w:ind w:left="0"/>
              <w:jc w:val="both"/>
              <w:rPr>
                <w:rFonts w:ascii="Bookman Old Style" w:hAnsi="Bookman Old Style" w:cs="Arial"/>
                <w:sz w:val="20"/>
                <w:szCs w:val="20"/>
                <w:lang w:eastAsia="es-MX"/>
              </w:rPr>
            </w:pPr>
            <w:r w:rsidRPr="00EA7ACD">
              <w:rPr>
                <w:rFonts w:ascii="Bookman Old Style" w:hAnsi="Bookman Old Style" w:cs="Arial"/>
                <w:b/>
                <w:sz w:val="20"/>
                <w:szCs w:val="20"/>
                <w:lang w:eastAsia="es-MX"/>
              </w:rPr>
              <w:t>Periodicidad de cálculo</w:t>
            </w:r>
            <w:r w:rsidRPr="00EA7ACD">
              <w:rPr>
                <w:rFonts w:ascii="Bookman Old Style" w:hAnsi="Bookman Old Style" w:cs="Arial"/>
                <w:sz w:val="20"/>
                <w:szCs w:val="20"/>
                <w:lang w:eastAsia="es-MX"/>
              </w:rPr>
              <w:t>: mensual.</w:t>
            </w:r>
          </w:p>
          <w:p w:rsidR="003D410A" w:rsidRPr="00EA7ACD" w:rsidRDefault="003D410A" w:rsidP="00B50AB8">
            <w:pPr>
              <w:jc w:val="both"/>
              <w:rPr>
                <w:rFonts w:ascii="Bookman Old Style" w:hAnsi="Bookman Old Style" w:cs="Arial"/>
                <w:sz w:val="20"/>
                <w:szCs w:val="20"/>
                <w:lang w:eastAsia="es-MX"/>
              </w:rPr>
            </w:pPr>
          </w:p>
          <w:p w:rsidR="003D410A" w:rsidRPr="00EA7ACD" w:rsidRDefault="003D410A" w:rsidP="00A81A62">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cada uno de los</w:t>
            </w:r>
            <w:r w:rsidR="00A81A62">
              <w:rPr>
                <w:rFonts w:ascii="Bookman Old Style" w:eastAsia="Calibri" w:hAnsi="Bookman Old Style" w:cs="Arial"/>
                <w:color w:val="000000"/>
                <w:kern w:val="24"/>
                <w:sz w:val="20"/>
                <w:szCs w:val="20"/>
                <w:lang w:eastAsia="es-MX"/>
              </w:rPr>
              <w:t xml:space="preserve"> meses de los siguientes </w:t>
            </w:r>
            <w:r w:rsidRPr="00EA7ACD">
              <w:rPr>
                <w:rFonts w:ascii="Bookman Old Style" w:eastAsia="Calibri" w:hAnsi="Bookman Old Style" w:cs="Arial"/>
                <w:color w:val="000000"/>
                <w:kern w:val="24"/>
                <w:sz w:val="20"/>
                <w:szCs w:val="20"/>
                <w:lang w:eastAsia="es-MX"/>
              </w:rPr>
              <w:t>12 meses.</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para cada mercado relevante para la SSPD, SIC y CREG </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sz w:val="16"/>
                <w:szCs w:val="20"/>
                <w:lang w:eastAsia="es-MX"/>
              </w:rPr>
              <w:t>MP</w:t>
            </w:r>
            <w:r>
              <w:rPr>
                <w:rFonts w:ascii="Bookman Old Style" w:hAnsi="Bookman Old Style" w:cs="Arial"/>
                <w:sz w:val="16"/>
                <w:szCs w:val="20"/>
                <w:lang w:eastAsia="es-MX"/>
              </w:rPr>
              <w:t>2</w:t>
            </w:r>
            <w:r w:rsidR="004838C6">
              <w:rPr>
                <w:rFonts w:ascii="Bookman Old Style" w:hAnsi="Bookman Old Style" w:cs="Arial"/>
                <w:sz w:val="16"/>
                <w:szCs w:val="20"/>
                <w:lang w:eastAsia="es-MX"/>
              </w:rPr>
              <w:t>2</w:t>
            </w:r>
          </w:p>
        </w:tc>
        <w:tc>
          <w:tcPr>
            <w:tcW w:w="3544" w:type="dxa"/>
            <w:vAlign w:val="center"/>
          </w:tcPr>
          <w:p w:rsidR="003D410A" w:rsidRPr="00B50AB8" w:rsidRDefault="00D47C83" w:rsidP="009463E6">
            <w:pPr>
              <w:ind w:left="0"/>
              <w:rPr>
                <w:rFonts w:ascii="Bookman Old Style" w:hAnsi="Bookman Old Style" w:cs="Arial"/>
                <w:iCs/>
                <w:color w:val="000000"/>
                <w:kern w:val="24"/>
                <w:lang w:eastAsia="es-MX"/>
              </w:rPr>
            </w:pPr>
            <m:oMathPara>
              <m:oMathParaPr>
                <m:jc m:val="center"/>
              </m:oMathParaPr>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Mod contrato  dda </m:t>
                    </m:r>
                    <m:r>
                      <m:rPr>
                        <m:sty m:val="b"/>
                      </m:rPr>
                      <w:rPr>
                        <w:rFonts w:ascii="Cambria Math" w:hAnsi="Cambria Math" w:cs="Arial"/>
                        <w:sz w:val="18"/>
                        <w:lang w:val="en-US" w:eastAsia="es-MX"/>
                      </w:rPr>
                      <m:t xml:space="preserve">no </m:t>
                    </m:r>
                    <m:r>
                      <m:rPr>
                        <m:sty m:val="p"/>
                      </m:rPr>
                      <w:rPr>
                        <w:rFonts w:ascii="Cambria Math" w:hAnsi="Cambria Math" w:cs="Arial"/>
                        <w:sz w:val="18"/>
                        <w:lang w:val="en-US" w:eastAsia="es-MX"/>
                      </w:rPr>
                      <m:t>reg cap T</m:t>
                    </m:r>
                  </m:num>
                  <m:den>
                    <m:r>
                      <m:rPr>
                        <m:sty m:val="p"/>
                      </m:rPr>
                      <w:rPr>
                        <w:rFonts w:ascii="Cambria Math" w:hAnsi="Cambria Math" w:cs="Arial"/>
                        <w:sz w:val="18"/>
                        <w:lang w:val="en-US" w:eastAsia="es-MX"/>
                      </w:rPr>
                      <m:t>Cap del tramo</m:t>
                    </m:r>
                  </m:den>
                </m:f>
              </m:oMath>
            </m:oMathPara>
          </w:p>
        </w:tc>
        <w:tc>
          <w:tcPr>
            <w:tcW w:w="3544" w:type="dxa"/>
            <w:vAlign w:val="center"/>
          </w:tcPr>
          <w:p w:rsidR="003D410A" w:rsidRPr="00EA7ACD" w:rsidRDefault="003D410A" w:rsidP="00EE080E">
            <w:pPr>
              <w:ind w:left="0"/>
              <w:jc w:val="both"/>
              <w:rPr>
                <w:rFonts w:ascii="Bookman Old Style" w:hAnsi="Bookman Old Style" w:cs="Arial"/>
                <w:color w:val="000000"/>
                <w:sz w:val="20"/>
                <w:szCs w:val="20"/>
              </w:rPr>
            </w:pPr>
            <w:r w:rsidRPr="00EA7ACD">
              <w:rPr>
                <w:rFonts w:ascii="Bookman Old Style" w:hAnsi="Bookman Old Style" w:cs="Arial"/>
                <w:color w:val="000000"/>
                <w:sz w:val="20"/>
                <w:szCs w:val="20"/>
              </w:rPr>
              <w:t xml:space="preserve">Para los contratos con destino a la demanda </w:t>
            </w:r>
            <w:r w:rsidRPr="00EA7ACD">
              <w:rPr>
                <w:rFonts w:ascii="Bookman Old Style" w:hAnsi="Bookman Old Style" w:cs="Arial"/>
                <w:b/>
                <w:color w:val="000000"/>
                <w:sz w:val="20"/>
                <w:szCs w:val="20"/>
              </w:rPr>
              <w:t xml:space="preserve">no </w:t>
            </w:r>
            <w:r w:rsidRPr="00EA7ACD">
              <w:rPr>
                <w:rFonts w:ascii="Bookman Old Style" w:hAnsi="Bookman Old Style" w:cs="Arial"/>
                <w:color w:val="000000"/>
                <w:sz w:val="20"/>
                <w:szCs w:val="20"/>
              </w:rPr>
              <w:t xml:space="preserve">regulada, calcular cuánto representa cada modalidad de contratos de capacidad de transporte en relación con </w:t>
            </w:r>
            <w:r w:rsidR="005C1699">
              <w:rPr>
                <w:rFonts w:ascii="Bookman Old Style" w:hAnsi="Bookman Old Style" w:cs="Arial"/>
                <w:color w:val="000000"/>
                <w:sz w:val="20"/>
                <w:szCs w:val="20"/>
              </w:rPr>
              <w:t>la capacidad del tramo</w:t>
            </w:r>
            <w:r w:rsidRPr="00EA7ACD">
              <w:rPr>
                <w:rFonts w:ascii="Bookman Old Style" w:hAnsi="Bookman Old Style" w:cs="Arial"/>
                <w:color w:val="000000"/>
                <w:sz w:val="20"/>
                <w:szCs w:val="20"/>
              </w:rPr>
              <w:t>.</w:t>
            </w:r>
          </w:p>
          <w:p w:rsidR="003D410A" w:rsidRDefault="003D410A" w:rsidP="005C1699">
            <w:pPr>
              <w:ind w:left="0"/>
              <w:jc w:val="both"/>
              <w:rPr>
                <w:rFonts w:ascii="Bookman Old Style" w:hAnsi="Bookman Old Style" w:cs="Arial"/>
                <w:color w:val="000000"/>
                <w:sz w:val="20"/>
                <w:szCs w:val="20"/>
              </w:rPr>
            </w:pPr>
          </w:p>
          <w:p w:rsidR="005C1699" w:rsidRDefault="005C1699" w:rsidP="005C1699">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En un mes, el valor de cada modalidad de contratos corresponderá al mayor valor de capacidad de transp</w:t>
            </w:r>
            <w:r w:rsidR="003564B6">
              <w:rPr>
                <w:rFonts w:ascii="Bookman Old Style" w:hAnsi="Bookman Old Style" w:cs="Arial"/>
                <w:sz w:val="20"/>
                <w:szCs w:val="20"/>
                <w:lang w:eastAsia="es-MX"/>
              </w:rPr>
              <w:t xml:space="preserve">orte observado en esa modalidad en </w:t>
            </w:r>
            <w:r w:rsidR="003564B6">
              <w:rPr>
                <w:rFonts w:ascii="Bookman Old Style" w:hAnsi="Bookman Old Style" w:cs="Arial"/>
                <w:sz w:val="20"/>
                <w:szCs w:val="20"/>
                <w:lang w:eastAsia="es-MX"/>
              </w:rPr>
              <w:lastRenderedPageBreak/>
              <w:t>uno de los días del mes correspondiente.</w:t>
            </w:r>
          </w:p>
          <w:p w:rsidR="005C1699" w:rsidRDefault="005C1699" w:rsidP="005C1699">
            <w:pPr>
              <w:ind w:left="0"/>
              <w:jc w:val="both"/>
              <w:rPr>
                <w:rFonts w:ascii="Bookman Old Style" w:hAnsi="Bookman Old Style" w:cs="Arial"/>
                <w:color w:val="000000"/>
                <w:sz w:val="20"/>
                <w:szCs w:val="20"/>
              </w:rPr>
            </w:pPr>
          </w:p>
          <w:p w:rsidR="005C1699" w:rsidRPr="00EA7ACD" w:rsidRDefault="005C1699" w:rsidP="005C1699">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valor de la capacidad del tramo corresponderá al valor de la CMMP que haya declarado el transportador al gestor.</w:t>
            </w:r>
          </w:p>
          <w:p w:rsidR="005C1699" w:rsidRDefault="005C1699" w:rsidP="005C1699">
            <w:pPr>
              <w:ind w:left="0"/>
              <w:jc w:val="both"/>
              <w:rPr>
                <w:rFonts w:ascii="Bookman Old Style" w:hAnsi="Bookman Old Style" w:cs="Arial"/>
                <w:color w:val="000000"/>
                <w:sz w:val="20"/>
                <w:szCs w:val="20"/>
              </w:rPr>
            </w:pPr>
          </w:p>
          <w:p w:rsidR="00C10CD2" w:rsidRPr="00EA7ACD" w:rsidRDefault="00C10CD2" w:rsidP="00C10CD2">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cálculo tendrá en cuenta las capacidades del último tramo de transporte necesario para abastecer el usuario no regulado.</w:t>
            </w:r>
          </w:p>
          <w:p w:rsidR="00C10CD2" w:rsidRPr="00EA7ACD" w:rsidRDefault="00C10CD2" w:rsidP="005C1699">
            <w:pPr>
              <w:ind w:left="0"/>
              <w:jc w:val="both"/>
              <w:rPr>
                <w:rFonts w:ascii="Bookman Old Style" w:hAnsi="Bookman Old Style" w:cs="Arial"/>
                <w:color w:val="000000"/>
                <w:sz w:val="20"/>
                <w:szCs w:val="20"/>
              </w:rPr>
            </w:pPr>
          </w:p>
          <w:p w:rsidR="00FD6F23" w:rsidRDefault="00FD6F23" w:rsidP="00FD6F23">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Este indicador debe</w:t>
            </w:r>
            <w:r w:rsidRPr="00EA7ACD">
              <w:rPr>
                <w:rFonts w:ascii="Bookman Old Style" w:eastAsia="Calibri" w:hAnsi="Bookman Old Style" w:cs="Arial"/>
                <w:color w:val="000000"/>
                <w:kern w:val="24"/>
                <w:sz w:val="20"/>
                <w:szCs w:val="20"/>
                <w:lang w:eastAsia="es-MX"/>
              </w:rPr>
              <w:t xml:space="preserve"> calcularse para </w:t>
            </w:r>
            <w:r w:rsidR="005C1699">
              <w:rPr>
                <w:rFonts w:ascii="Bookman Old Style" w:eastAsia="Calibri" w:hAnsi="Bookman Old Style" w:cs="Arial"/>
                <w:color w:val="000000"/>
                <w:kern w:val="24"/>
                <w:sz w:val="20"/>
                <w:szCs w:val="20"/>
                <w:lang w:eastAsia="es-MX"/>
              </w:rPr>
              <w:t xml:space="preserve">todos los usuarios no regulados. </w:t>
            </w:r>
          </w:p>
          <w:p w:rsidR="003D410A" w:rsidRPr="00EA7ACD" w:rsidRDefault="003D410A" w:rsidP="00EE080E">
            <w:pPr>
              <w:jc w:val="both"/>
              <w:rPr>
                <w:rFonts w:ascii="Bookman Old Style" w:hAnsi="Bookman Old Style" w:cs="Arial"/>
                <w:sz w:val="20"/>
                <w:szCs w:val="20"/>
                <w:lang w:eastAsia="es-MX"/>
              </w:rPr>
            </w:pPr>
          </w:p>
          <w:p w:rsidR="003D410A" w:rsidRPr="00EA7ACD" w:rsidRDefault="003D410A" w:rsidP="00EE080E">
            <w:pPr>
              <w:ind w:left="0"/>
              <w:jc w:val="both"/>
              <w:rPr>
                <w:rFonts w:ascii="Bookman Old Style" w:hAnsi="Bookman Old Style" w:cs="Arial"/>
                <w:sz w:val="20"/>
                <w:szCs w:val="20"/>
                <w:lang w:eastAsia="es-MX"/>
              </w:rPr>
            </w:pPr>
            <w:r w:rsidRPr="00EA7ACD">
              <w:rPr>
                <w:rFonts w:ascii="Bookman Old Style" w:hAnsi="Bookman Old Style" w:cs="Arial"/>
                <w:b/>
                <w:sz w:val="20"/>
                <w:szCs w:val="20"/>
                <w:lang w:eastAsia="es-MX"/>
              </w:rPr>
              <w:t>Periodicidad de cálculo</w:t>
            </w:r>
            <w:r w:rsidRPr="00EA7ACD">
              <w:rPr>
                <w:rFonts w:ascii="Bookman Old Style" w:hAnsi="Bookman Old Style" w:cs="Arial"/>
                <w:sz w:val="20"/>
                <w:szCs w:val="20"/>
                <w:lang w:eastAsia="es-MX"/>
              </w:rPr>
              <w:t>: mensual.</w:t>
            </w:r>
          </w:p>
          <w:p w:rsidR="003D410A" w:rsidRPr="00EA7ACD" w:rsidRDefault="003D410A" w:rsidP="00EE080E">
            <w:pPr>
              <w:jc w:val="both"/>
              <w:rPr>
                <w:rFonts w:ascii="Bookman Old Style" w:hAnsi="Bookman Old Style" w:cs="Arial"/>
                <w:sz w:val="20"/>
                <w:szCs w:val="20"/>
                <w:lang w:eastAsia="es-MX"/>
              </w:rPr>
            </w:pPr>
          </w:p>
          <w:p w:rsidR="003D410A" w:rsidRPr="00EA7ACD" w:rsidRDefault="003D410A" w:rsidP="00A94FD1">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cada uno</w:t>
            </w:r>
            <w:r w:rsidR="00A81A62">
              <w:rPr>
                <w:rFonts w:ascii="Bookman Old Style" w:eastAsia="Calibri" w:hAnsi="Bookman Old Style" w:cs="Arial"/>
                <w:color w:val="000000"/>
                <w:kern w:val="24"/>
                <w:sz w:val="20"/>
                <w:szCs w:val="20"/>
                <w:lang w:eastAsia="es-MX"/>
              </w:rPr>
              <w:t xml:space="preserve"> de los meses </w:t>
            </w:r>
            <w:r w:rsidRPr="00EA7ACD">
              <w:rPr>
                <w:rFonts w:ascii="Bookman Old Style" w:eastAsia="Calibri" w:hAnsi="Bookman Old Style" w:cs="Arial"/>
                <w:color w:val="000000"/>
                <w:kern w:val="24"/>
                <w:sz w:val="20"/>
                <w:szCs w:val="20"/>
                <w:lang w:eastAsia="es-MX"/>
              </w:rPr>
              <w:t xml:space="preserve">de los </w:t>
            </w:r>
            <w:r w:rsidR="00A81A62">
              <w:rPr>
                <w:rFonts w:ascii="Bookman Old Style" w:eastAsia="Calibri" w:hAnsi="Bookman Old Style" w:cs="Arial"/>
                <w:color w:val="000000"/>
                <w:kern w:val="24"/>
                <w:sz w:val="20"/>
                <w:szCs w:val="20"/>
                <w:lang w:eastAsia="es-MX"/>
              </w:rPr>
              <w:t>siguientes 12 meses</w:t>
            </w:r>
            <w:r w:rsidRPr="00EA7ACD">
              <w:rPr>
                <w:rFonts w:ascii="Bookman Old Style" w:eastAsia="Calibri" w:hAnsi="Bookman Old Style" w:cs="Arial"/>
                <w:color w:val="000000"/>
                <w:kern w:val="24"/>
                <w:sz w:val="20"/>
                <w:szCs w:val="20"/>
                <w:lang w:eastAsia="es-MX"/>
              </w:rPr>
              <w:t>.</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kern w:val="24"/>
                <w:sz w:val="20"/>
                <w:szCs w:val="20"/>
                <w:lang w:eastAsia="es-MX"/>
              </w:rPr>
            </w:pPr>
            <w:r>
              <w:rPr>
                <w:rFonts w:ascii="Bookman Old Style" w:eastAsia="Calibri" w:hAnsi="Bookman Old Style" w:cs="Arial"/>
                <w:color w:val="000000"/>
                <w:kern w:val="24"/>
                <w:sz w:val="20"/>
                <w:szCs w:val="20"/>
                <w:lang w:eastAsia="es-MX"/>
              </w:rPr>
              <w:lastRenderedPageBreak/>
              <w:t xml:space="preserve">Los indicadores para cada usuario no regulado para la SSPD, SIC y CREG </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lastRenderedPageBreak/>
              <w:t>MP2</w:t>
            </w:r>
            <w:r w:rsidR="004838C6">
              <w:rPr>
                <w:rFonts w:ascii="Bookman Old Style" w:hAnsi="Bookman Old Style" w:cs="Arial"/>
                <w:color w:val="000000"/>
                <w:kern w:val="24"/>
                <w:sz w:val="16"/>
                <w:szCs w:val="20"/>
                <w:lang w:eastAsia="es-MX"/>
              </w:rPr>
              <w:t>3</w:t>
            </w:r>
          </w:p>
        </w:tc>
        <w:tc>
          <w:tcPr>
            <w:tcW w:w="3544" w:type="dxa"/>
            <w:vAlign w:val="center"/>
          </w:tcPr>
          <w:p w:rsidR="003D410A" w:rsidRPr="002B4087" w:rsidRDefault="00D47C83" w:rsidP="005401D7">
            <w:pPr>
              <w:ind w:left="0"/>
              <w:rPr>
                <w:rFonts w:ascii="Bookman Old Style" w:hAnsi="Bookman Old Style" w:cs="Arial"/>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Contratos Agente </m:t>
                    </m:r>
                  </m:num>
                  <m:den>
                    <m:r>
                      <m:rPr>
                        <m:sty m:val="p"/>
                      </m:rPr>
                      <w:rPr>
                        <w:rFonts w:ascii="Cambria Math" w:hAnsi="Cambria Math" w:cs="Arial"/>
                        <w:sz w:val="18"/>
                        <w:lang w:val="en-US" w:eastAsia="es-MX"/>
                      </w:rPr>
                      <m:t>Oferta comprometida</m:t>
                    </m:r>
                  </m:den>
                </m:f>
              </m:oMath>
            </m:oMathPara>
          </w:p>
        </w:tc>
        <w:tc>
          <w:tcPr>
            <w:tcW w:w="3544" w:type="dxa"/>
            <w:vAlign w:val="center"/>
          </w:tcPr>
          <w:p w:rsidR="00AD61C4"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por fuente y por productor, calcular qué agentes tienen los contratos, así: contratos que tiene cada agente en relación con la oferta comprometida</w:t>
            </w:r>
            <w:r w:rsidR="00377853">
              <w:rPr>
                <w:rFonts w:ascii="Bookman Old Style" w:eastAsia="Calibri" w:hAnsi="Bookman Old Style" w:cs="Arial"/>
                <w:color w:val="000000"/>
                <w:kern w:val="24"/>
                <w:sz w:val="20"/>
                <w:szCs w:val="20"/>
                <w:lang w:eastAsia="es-MX"/>
              </w:rPr>
              <w:t xml:space="preserve">. </w:t>
            </w:r>
          </w:p>
          <w:p w:rsidR="00AD61C4" w:rsidRDefault="00AD61C4" w:rsidP="00EE080E">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En este cálculo no se tendrán en cuenta los contratos con interrupciones.</w:t>
            </w:r>
          </w:p>
          <w:p w:rsidR="00AD61C4" w:rsidRDefault="00AD61C4" w:rsidP="00EE080E">
            <w:pPr>
              <w:ind w:left="0"/>
              <w:jc w:val="both"/>
              <w:rPr>
                <w:rFonts w:ascii="Bookman Old Style" w:eastAsia="Calibri" w:hAnsi="Bookman Old Style" w:cs="Arial"/>
                <w:color w:val="000000"/>
                <w:kern w:val="24"/>
                <w:sz w:val="20"/>
                <w:szCs w:val="20"/>
                <w:lang w:eastAsia="es-MX"/>
              </w:rPr>
            </w:pPr>
          </w:p>
          <w:p w:rsidR="003D410A" w:rsidRPr="00EA7ACD" w:rsidRDefault="00377853" w:rsidP="00EE080E">
            <w:pPr>
              <w:ind w:left="0"/>
              <w:jc w:val="both"/>
              <w:rPr>
                <w:rFonts w:ascii="Bookman Old Style" w:hAnsi="Bookman Old Style" w:cs="Arial"/>
                <w:sz w:val="20"/>
                <w:szCs w:val="20"/>
                <w:lang w:eastAsia="es-MX"/>
              </w:rPr>
            </w:pPr>
            <w:r>
              <w:rPr>
                <w:rFonts w:ascii="Bookman Old Style" w:eastAsia="Calibri" w:hAnsi="Bookman Old Style" w:cs="Arial"/>
                <w:color w:val="000000"/>
                <w:kern w:val="24"/>
                <w:sz w:val="20"/>
                <w:szCs w:val="20"/>
                <w:lang w:eastAsia="es-MX"/>
              </w:rPr>
              <w:t xml:space="preserve">En la oferta comprometida también deben incluirse </w:t>
            </w:r>
            <w:r w:rsidR="00002D83">
              <w:rPr>
                <w:rFonts w:ascii="Bookman Old Style" w:eastAsia="Calibri" w:hAnsi="Bookman Old Style" w:cs="Arial"/>
                <w:color w:val="000000"/>
                <w:kern w:val="24"/>
                <w:sz w:val="20"/>
                <w:szCs w:val="20"/>
                <w:lang w:eastAsia="es-MX"/>
              </w:rPr>
              <w:t>todos los</w:t>
            </w:r>
            <w:r>
              <w:rPr>
                <w:rFonts w:ascii="Bookman Old Style" w:eastAsia="Calibri" w:hAnsi="Bookman Old Style" w:cs="Arial"/>
                <w:color w:val="000000"/>
                <w:kern w:val="24"/>
                <w:sz w:val="20"/>
                <w:szCs w:val="20"/>
                <w:lang w:eastAsia="es-MX"/>
              </w:rPr>
              <w:t xml:space="preserve"> contratos vigentes y negociados antes de la entrada en operación del gestor del mercado de gas natural.</w:t>
            </w:r>
            <w:r w:rsidR="003D410A" w:rsidRPr="00EA7ACD">
              <w:rPr>
                <w:rFonts w:ascii="Bookman Old Style" w:eastAsia="Calibri" w:hAnsi="Bookman Old Style" w:cs="Arial"/>
                <w:color w:val="000000"/>
                <w:kern w:val="24"/>
                <w:sz w:val="20"/>
                <w:szCs w:val="20"/>
                <w:lang w:eastAsia="es-MX"/>
              </w:rPr>
              <w:t xml:space="preserve"> </w:t>
            </w:r>
          </w:p>
          <w:p w:rsidR="003D410A" w:rsidRPr="00EA7ACD" w:rsidRDefault="003D410A" w:rsidP="00EE080E">
            <w:pPr>
              <w:jc w:val="both"/>
              <w:rPr>
                <w:rFonts w:ascii="Bookman Old Style" w:eastAsia="Calibri" w:hAnsi="Bookman Old Style" w:cs="Arial"/>
                <w:b/>
                <w:color w:val="000000"/>
                <w:kern w:val="24"/>
                <w:sz w:val="20"/>
                <w:szCs w:val="20"/>
                <w:lang w:eastAsia="es-MX"/>
              </w:rPr>
            </w:pPr>
          </w:p>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E080E">
            <w:pPr>
              <w:jc w:val="both"/>
              <w:rPr>
                <w:rFonts w:ascii="Bookman Old Style" w:eastAsia="Calibri" w:hAnsi="Bookman Old Style" w:cs="Arial"/>
                <w:color w:val="000000"/>
                <w:kern w:val="24"/>
                <w:sz w:val="20"/>
                <w:szCs w:val="20"/>
                <w:lang w:eastAsia="es-MX"/>
              </w:rPr>
            </w:pPr>
          </w:p>
          <w:p w:rsidR="003D410A" w:rsidRPr="00EA7ACD" w:rsidRDefault="003D410A" w:rsidP="00A94FD1">
            <w:pPr>
              <w:ind w:left="0"/>
              <w:jc w:val="both"/>
              <w:rPr>
                <w:rFonts w:ascii="Bookman Old Style" w:hAnsi="Bookman Old Style" w:cs="Arial"/>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para todos los meses en donde se haya comprometido la oferta.</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por agente, fuente y por productor para la SSPD, SIC y CREG </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w:t>
            </w:r>
            <w:r>
              <w:rPr>
                <w:rFonts w:ascii="Bookman Old Style" w:hAnsi="Bookman Old Style" w:cs="Arial"/>
                <w:color w:val="000000"/>
                <w:kern w:val="24"/>
                <w:sz w:val="16"/>
                <w:szCs w:val="20"/>
                <w:lang w:eastAsia="es-MX"/>
              </w:rPr>
              <w:t>2</w:t>
            </w:r>
            <w:r w:rsidR="004838C6">
              <w:rPr>
                <w:rFonts w:ascii="Bookman Old Style" w:hAnsi="Bookman Old Style" w:cs="Arial"/>
                <w:color w:val="000000"/>
                <w:kern w:val="24"/>
                <w:sz w:val="16"/>
                <w:szCs w:val="20"/>
                <w:lang w:eastAsia="es-MX"/>
              </w:rPr>
              <w:t>4</w:t>
            </w:r>
          </w:p>
        </w:tc>
        <w:tc>
          <w:tcPr>
            <w:tcW w:w="3544" w:type="dxa"/>
            <w:vAlign w:val="center"/>
          </w:tcPr>
          <w:p w:rsidR="003D410A" w:rsidRPr="002B4087" w:rsidRDefault="00D47C83" w:rsidP="00603D00">
            <w:pPr>
              <w:ind w:left="0"/>
              <w:rPr>
                <w:rFonts w:ascii="Bookman Old Style" w:hAnsi="Bookman Old Style" w:cs="Arial"/>
                <w:iCs/>
                <w:color w:val="000000"/>
                <w:kern w:val="24"/>
                <w:lang w:eastAsia="es-MX"/>
              </w:rPr>
            </w:pPr>
            <m:oMathPara>
              <m:oMath>
                <m:f>
                  <m:fPr>
                    <m:ctrlPr>
                      <w:rPr>
                        <w:rFonts w:ascii="Cambria Math" w:hAnsi="Cambria Math" w:cs="Arial"/>
                        <w:sz w:val="18"/>
                        <w:lang w:val="en-US" w:eastAsia="es-MX"/>
                      </w:rPr>
                    </m:ctrlPr>
                  </m:fPr>
                  <m:num>
                    <m:r>
                      <m:rPr>
                        <m:sty m:val="p"/>
                      </m:rPr>
                      <w:rPr>
                        <w:rFonts w:ascii="Cambria Math" w:hAnsi="Cambria Math" w:cs="Arial"/>
                        <w:sz w:val="18"/>
                        <w:lang w:val="en-US" w:eastAsia="es-MX"/>
                      </w:rPr>
                      <m:t xml:space="preserve">Contratos cap T Agente  </m:t>
                    </m:r>
                  </m:num>
                  <m:den>
                    <m:r>
                      <m:rPr>
                        <m:sty m:val="p"/>
                      </m:rPr>
                      <w:rPr>
                        <w:rFonts w:ascii="Cambria Math" w:hAnsi="Cambria Math" w:cs="Arial"/>
                        <w:sz w:val="18"/>
                        <w:lang w:val="en-US" w:eastAsia="es-MX"/>
                      </w:rPr>
                      <m:t>Cap del tramo</m:t>
                    </m:r>
                  </m:den>
                </m:f>
              </m:oMath>
            </m:oMathPara>
          </w:p>
        </w:tc>
        <w:tc>
          <w:tcPr>
            <w:tcW w:w="3544" w:type="dxa"/>
            <w:vAlign w:val="center"/>
          </w:tcPr>
          <w:p w:rsidR="003D410A"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por cada tramo regulatorio, calcular qué agentes tienen los contratos de capacidad de transporte, así: </w:t>
            </w:r>
            <w:r w:rsidR="008B4795">
              <w:rPr>
                <w:rFonts w:ascii="Bookman Old Style" w:eastAsia="Calibri" w:hAnsi="Bookman Old Style" w:cs="Arial"/>
                <w:color w:val="000000"/>
                <w:kern w:val="24"/>
                <w:sz w:val="20"/>
                <w:szCs w:val="20"/>
                <w:lang w:eastAsia="es-MX"/>
              </w:rPr>
              <w:t>contratos que tiene cada agente e</w:t>
            </w:r>
            <w:r w:rsidRPr="00EA7ACD">
              <w:rPr>
                <w:rFonts w:ascii="Bookman Old Style" w:eastAsia="Calibri" w:hAnsi="Bookman Old Style" w:cs="Arial"/>
                <w:color w:val="000000"/>
                <w:kern w:val="24"/>
                <w:sz w:val="20"/>
                <w:szCs w:val="20"/>
                <w:lang w:eastAsia="es-MX"/>
              </w:rPr>
              <w:t xml:space="preserve">n relación con </w:t>
            </w:r>
            <w:r w:rsidR="00CA1B84">
              <w:rPr>
                <w:rFonts w:ascii="Bookman Old Style" w:eastAsia="Calibri" w:hAnsi="Bookman Old Style" w:cs="Arial"/>
                <w:color w:val="000000"/>
                <w:kern w:val="24"/>
                <w:sz w:val="20"/>
                <w:szCs w:val="20"/>
                <w:lang w:eastAsia="es-MX"/>
              </w:rPr>
              <w:t>la capacidad del tramo.</w:t>
            </w:r>
          </w:p>
          <w:p w:rsidR="009D78B9" w:rsidRDefault="009D78B9" w:rsidP="00EE080E">
            <w:pPr>
              <w:ind w:left="0"/>
              <w:jc w:val="both"/>
              <w:rPr>
                <w:rFonts w:ascii="Bookman Old Style" w:eastAsia="Calibri" w:hAnsi="Bookman Old Style" w:cs="Arial"/>
                <w:color w:val="000000"/>
                <w:kern w:val="24"/>
                <w:sz w:val="20"/>
                <w:szCs w:val="20"/>
                <w:lang w:eastAsia="es-MX"/>
              </w:rPr>
            </w:pPr>
          </w:p>
          <w:p w:rsidR="009D78B9" w:rsidRDefault="009D78B9" w:rsidP="009D78B9">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En un mes, el valor de los contratos</w:t>
            </w:r>
            <w:r w:rsidR="008D1B79">
              <w:rPr>
                <w:rFonts w:ascii="Bookman Old Style" w:hAnsi="Bookman Old Style" w:cs="Arial"/>
                <w:sz w:val="20"/>
                <w:szCs w:val="20"/>
                <w:lang w:eastAsia="es-MX"/>
              </w:rPr>
              <w:t xml:space="preserve"> de un agente corresponderá al valor máximo de contratación de ese agente en algunos de los días del correspondiente mes.</w:t>
            </w:r>
          </w:p>
          <w:p w:rsidR="008D1B79" w:rsidRDefault="008D1B79" w:rsidP="009D78B9">
            <w:pPr>
              <w:ind w:left="0"/>
              <w:jc w:val="both"/>
              <w:rPr>
                <w:rFonts w:ascii="Bookman Old Style" w:hAnsi="Bookman Old Style" w:cs="Arial"/>
                <w:sz w:val="20"/>
                <w:szCs w:val="20"/>
                <w:lang w:eastAsia="es-MX"/>
              </w:rPr>
            </w:pPr>
          </w:p>
          <w:p w:rsidR="009D78B9" w:rsidRPr="00EA7ACD" w:rsidRDefault="009D78B9" w:rsidP="009D78B9">
            <w:pPr>
              <w:ind w:left="0"/>
              <w:jc w:val="both"/>
              <w:rPr>
                <w:rFonts w:ascii="Bookman Old Style" w:hAnsi="Bookman Old Style" w:cs="Arial"/>
                <w:sz w:val="20"/>
                <w:szCs w:val="20"/>
                <w:lang w:eastAsia="es-MX"/>
              </w:rPr>
            </w:pPr>
            <w:r>
              <w:rPr>
                <w:rFonts w:ascii="Bookman Old Style" w:hAnsi="Bookman Old Style" w:cs="Arial"/>
                <w:sz w:val="20"/>
                <w:szCs w:val="20"/>
                <w:lang w:eastAsia="es-MX"/>
              </w:rPr>
              <w:t>El valor de la capacidad del tramo corresponderá al valor de la CMMP que haya declarado el transportador al gestor.</w:t>
            </w:r>
          </w:p>
          <w:p w:rsidR="003D410A" w:rsidRPr="00AD61C4" w:rsidRDefault="003D410A" w:rsidP="00AD61C4">
            <w:pPr>
              <w:ind w:left="0"/>
              <w:jc w:val="both"/>
              <w:rPr>
                <w:rFonts w:ascii="Bookman Old Style" w:eastAsia="Calibri" w:hAnsi="Bookman Old Style" w:cs="Arial"/>
                <w:color w:val="000000"/>
                <w:kern w:val="24"/>
                <w:sz w:val="20"/>
                <w:szCs w:val="20"/>
                <w:lang w:eastAsia="es-MX"/>
              </w:rPr>
            </w:pPr>
          </w:p>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E080E">
            <w:pPr>
              <w:jc w:val="both"/>
              <w:rPr>
                <w:rFonts w:ascii="Bookman Old Style" w:eastAsia="Calibri" w:hAnsi="Bookman Old Style" w:cs="Arial"/>
                <w:color w:val="000000"/>
                <w:kern w:val="24"/>
                <w:sz w:val="20"/>
                <w:szCs w:val="20"/>
                <w:lang w:eastAsia="es-MX"/>
              </w:rPr>
            </w:pPr>
          </w:p>
          <w:p w:rsidR="003D410A" w:rsidRPr="00EA7ACD" w:rsidRDefault="003D410A" w:rsidP="00AF0780">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 xml:space="preserve">para </w:t>
            </w:r>
            <w:r w:rsidR="00AF0780">
              <w:rPr>
                <w:rFonts w:ascii="Bookman Old Style" w:eastAsia="Calibri" w:hAnsi="Bookman Old Style" w:cs="Arial"/>
                <w:color w:val="000000"/>
                <w:kern w:val="24"/>
                <w:sz w:val="20"/>
                <w:szCs w:val="20"/>
                <w:lang w:eastAsia="es-MX"/>
              </w:rPr>
              <w:t>cada uno de los meses de los siguientes 12 meses.</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 xml:space="preserve">Los indicadores por agente y tramo regulatorio para la </w:t>
            </w:r>
            <w:r w:rsidR="003432F2">
              <w:rPr>
                <w:rFonts w:ascii="Bookman Old Style" w:eastAsia="Calibri" w:hAnsi="Bookman Old Style" w:cs="Arial"/>
                <w:color w:val="000000"/>
                <w:kern w:val="24"/>
                <w:sz w:val="20"/>
                <w:szCs w:val="20"/>
                <w:lang w:eastAsia="es-MX"/>
              </w:rPr>
              <w:t>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lastRenderedPageBreak/>
              <w:t>MP</w:t>
            </w:r>
            <w:r>
              <w:rPr>
                <w:rFonts w:ascii="Bookman Old Style" w:hAnsi="Bookman Old Style" w:cs="Arial"/>
                <w:color w:val="000000"/>
                <w:kern w:val="24"/>
                <w:sz w:val="16"/>
                <w:szCs w:val="20"/>
                <w:lang w:eastAsia="es-MX"/>
              </w:rPr>
              <w:t>2</w:t>
            </w:r>
            <w:r w:rsidR="004838C6">
              <w:rPr>
                <w:rFonts w:ascii="Bookman Old Style" w:hAnsi="Bookman Old Style" w:cs="Arial"/>
                <w:color w:val="000000"/>
                <w:kern w:val="24"/>
                <w:sz w:val="16"/>
                <w:szCs w:val="20"/>
                <w:lang w:eastAsia="es-MX"/>
              </w:rPr>
              <w:t>5</w:t>
            </w:r>
          </w:p>
        </w:tc>
        <w:tc>
          <w:tcPr>
            <w:tcW w:w="3544" w:type="dxa"/>
            <w:vAlign w:val="center"/>
          </w:tcPr>
          <w:p w:rsidR="003D410A" w:rsidRPr="002B4087" w:rsidRDefault="003D410A" w:rsidP="001E5C02">
            <w:pPr>
              <w:ind w:left="0"/>
              <w:rPr>
                <w:rFonts w:ascii="Bookman Old Style" w:hAnsi="Bookman Old Style" w:cs="Arial"/>
              </w:rPr>
            </w:pPr>
            <m:oMathPara>
              <m:oMath>
                <m:r>
                  <m:rPr>
                    <m:sty m:val="p"/>
                  </m:rPr>
                  <w:rPr>
                    <w:rFonts w:ascii="Cambria Math" w:hAnsi="Cambria Math" w:cs="Arial"/>
                    <w:sz w:val="18"/>
                  </w:rPr>
                  <m:t>Precio contratos 1 año</m:t>
                </m:r>
              </m:oMath>
            </m:oMathPara>
          </w:p>
        </w:tc>
        <w:tc>
          <w:tcPr>
            <w:tcW w:w="3544" w:type="dxa"/>
            <w:vAlign w:val="center"/>
          </w:tcPr>
          <w:p w:rsidR="003D410A" w:rsidRPr="00EA7ACD" w:rsidRDefault="003D410A" w:rsidP="00EE080E">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de manera agregada y por fuente y por productor calcular precio promedio simple y ponderado por cantidades de los contratos a 1 año</w:t>
            </w:r>
            <w:r w:rsidR="00D03E49">
              <w:rPr>
                <w:rFonts w:ascii="Bookman Old Style" w:eastAsia="Calibri" w:hAnsi="Bookman Old Style" w:cs="Arial"/>
                <w:color w:val="000000"/>
                <w:kern w:val="24"/>
                <w:sz w:val="20"/>
                <w:szCs w:val="20"/>
                <w:lang w:eastAsia="es-MX"/>
              </w:rPr>
              <w:t>, resultantes del proceso de negociación.</w:t>
            </w:r>
          </w:p>
          <w:p w:rsidR="003D410A" w:rsidRPr="00EA7ACD" w:rsidRDefault="003D410A" w:rsidP="00EE080E">
            <w:pPr>
              <w:jc w:val="both"/>
              <w:rPr>
                <w:rFonts w:ascii="Bookman Old Style" w:eastAsia="Calibri" w:hAnsi="Bookman Old Style" w:cs="Arial"/>
                <w:b/>
                <w:color w:val="000000"/>
                <w:kern w:val="24"/>
                <w:sz w:val="20"/>
                <w:szCs w:val="20"/>
                <w:lang w:eastAsia="es-MX"/>
              </w:rPr>
            </w:pPr>
          </w:p>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F76AD1">
            <w:pPr>
              <w:rPr>
                <w:rFonts w:ascii="Bookman Old Style" w:eastAsia="Calibri" w:hAnsi="Bookman Old Style" w:cs="Arial"/>
                <w:color w:val="000000"/>
                <w:kern w:val="24"/>
                <w:sz w:val="20"/>
                <w:szCs w:val="20"/>
                <w:lang w:eastAsia="es-MX"/>
              </w:rPr>
            </w:pPr>
          </w:p>
          <w:p w:rsidR="003D410A" w:rsidRPr="00EA7ACD" w:rsidRDefault="003D410A" w:rsidP="00470BFA">
            <w:pPr>
              <w:ind w:left="0"/>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Puntual en el momento de cálculo.</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Los indicadores agregado</w:t>
            </w:r>
            <w:r w:rsidR="00F56BD4">
              <w:rPr>
                <w:rFonts w:ascii="Bookman Old Style" w:eastAsia="Calibri" w:hAnsi="Bookman Old Style" w:cs="Arial"/>
                <w:color w:val="000000"/>
                <w:kern w:val="24"/>
                <w:sz w:val="20"/>
                <w:szCs w:val="20"/>
                <w:lang w:eastAsia="es-MX"/>
              </w:rPr>
              <w:t>s</w:t>
            </w:r>
            <w:r>
              <w:rPr>
                <w:rFonts w:ascii="Bookman Old Style" w:eastAsia="Calibri" w:hAnsi="Bookman Old Style" w:cs="Arial"/>
                <w:color w:val="000000"/>
                <w:kern w:val="24"/>
                <w:sz w:val="20"/>
                <w:szCs w:val="20"/>
                <w:lang w:eastAsia="es-MX"/>
              </w:rPr>
              <w:t xml:space="preserve"> por fuente y productor para el </w:t>
            </w:r>
            <w:r w:rsidR="00172544">
              <w:rPr>
                <w:rFonts w:ascii="Bookman Old Style" w:eastAsia="Calibri" w:hAnsi="Bookman Old Style" w:cs="Arial"/>
                <w:color w:val="000000"/>
                <w:kern w:val="24"/>
                <w:sz w:val="20"/>
                <w:szCs w:val="20"/>
                <w:lang w:eastAsia="es-MX"/>
              </w:rPr>
              <w:t>p</w:t>
            </w:r>
            <w:r w:rsidR="003432F2">
              <w:rPr>
                <w:rFonts w:ascii="Bookman Old Style" w:eastAsia="Calibri" w:hAnsi="Bookman Old Style" w:cs="Arial"/>
                <w:color w:val="000000"/>
                <w:kern w:val="24"/>
                <w:sz w:val="20"/>
                <w:szCs w:val="20"/>
                <w:lang w:eastAsia="es-MX"/>
              </w:rPr>
              <w:t>úblico general</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MP2</w:t>
            </w:r>
            <w:r w:rsidR="004838C6">
              <w:rPr>
                <w:rFonts w:ascii="Bookman Old Style" w:hAnsi="Bookman Old Style" w:cs="Arial"/>
                <w:color w:val="000000"/>
                <w:kern w:val="24"/>
                <w:sz w:val="16"/>
                <w:szCs w:val="20"/>
                <w:lang w:eastAsia="es-MX"/>
              </w:rPr>
              <w:t>6</w:t>
            </w:r>
          </w:p>
        </w:tc>
        <w:tc>
          <w:tcPr>
            <w:tcW w:w="3544" w:type="dxa"/>
            <w:vAlign w:val="center"/>
          </w:tcPr>
          <w:p w:rsidR="003D410A" w:rsidRPr="002B4087" w:rsidRDefault="003D410A" w:rsidP="001E5C02">
            <w:pPr>
              <w:ind w:left="0"/>
              <w:rPr>
                <w:rFonts w:ascii="Bookman Old Style" w:hAnsi="Bookman Old Style" w:cs="Arial"/>
              </w:rPr>
            </w:pPr>
            <m:oMathPara>
              <m:oMath>
                <m:r>
                  <m:rPr>
                    <m:sty m:val="p"/>
                  </m:rPr>
                  <w:rPr>
                    <w:rFonts w:ascii="Cambria Math" w:hAnsi="Cambria Math" w:cs="Arial"/>
                    <w:sz w:val="18"/>
                  </w:rPr>
                  <m:t xml:space="preserve">Precio contratos 1 año por agente </m:t>
                </m:r>
              </m:oMath>
            </m:oMathPara>
          </w:p>
        </w:tc>
        <w:tc>
          <w:tcPr>
            <w:tcW w:w="3544" w:type="dxa"/>
            <w:vAlign w:val="center"/>
          </w:tcPr>
          <w:p w:rsidR="003D410A" w:rsidRPr="00EA7ACD" w:rsidRDefault="003D410A" w:rsidP="00EE080E">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por agente comprador y por tipo de demanda (</w:t>
            </w:r>
            <w:proofErr w:type="spellStart"/>
            <w:r w:rsidRPr="00EA7ACD">
              <w:rPr>
                <w:rFonts w:ascii="Bookman Old Style" w:eastAsia="Calibri" w:hAnsi="Bookman Old Style" w:cs="Arial"/>
                <w:color w:val="000000"/>
                <w:kern w:val="24"/>
                <w:sz w:val="20"/>
                <w:szCs w:val="20"/>
                <w:lang w:eastAsia="es-MX"/>
              </w:rPr>
              <w:t>e.g</w:t>
            </w:r>
            <w:proofErr w:type="spellEnd"/>
            <w:r w:rsidRPr="00EA7ACD">
              <w:rPr>
                <w:rFonts w:ascii="Bookman Old Style" w:eastAsia="Calibri" w:hAnsi="Bookman Old Style" w:cs="Arial"/>
                <w:color w:val="000000"/>
                <w:kern w:val="24"/>
                <w:sz w:val="20"/>
                <w:szCs w:val="20"/>
                <w:lang w:eastAsia="es-MX"/>
              </w:rPr>
              <w:t>. residencial, GNV, térmica…) calcular precio promedio simple y ponderado por cantidades de los contratos a 1 año</w:t>
            </w:r>
            <w:r w:rsidR="000033DC">
              <w:rPr>
                <w:rFonts w:ascii="Bookman Old Style" w:eastAsia="Calibri" w:hAnsi="Bookman Old Style" w:cs="Arial"/>
                <w:color w:val="000000"/>
                <w:kern w:val="24"/>
                <w:sz w:val="20"/>
                <w:szCs w:val="20"/>
                <w:lang w:eastAsia="es-MX"/>
              </w:rPr>
              <w:t>, resultantes del proceso de negociación.</w:t>
            </w:r>
          </w:p>
          <w:p w:rsidR="003D410A" w:rsidRPr="00EA7ACD" w:rsidRDefault="003D410A" w:rsidP="00EE080E">
            <w:pPr>
              <w:jc w:val="both"/>
              <w:rPr>
                <w:rFonts w:ascii="Bookman Old Style" w:eastAsia="Calibri" w:hAnsi="Bookman Old Style" w:cs="Arial"/>
                <w:b/>
                <w:color w:val="000000"/>
                <w:kern w:val="24"/>
                <w:sz w:val="20"/>
                <w:szCs w:val="20"/>
                <w:lang w:eastAsia="es-MX"/>
              </w:rPr>
            </w:pPr>
          </w:p>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E080E">
            <w:pPr>
              <w:jc w:val="both"/>
              <w:rPr>
                <w:rFonts w:ascii="Bookman Old Style" w:eastAsia="Calibri" w:hAnsi="Bookman Old Style" w:cs="Arial"/>
                <w:color w:val="000000"/>
                <w:kern w:val="24"/>
                <w:sz w:val="20"/>
                <w:szCs w:val="20"/>
                <w:lang w:eastAsia="es-MX"/>
              </w:rPr>
            </w:pPr>
          </w:p>
          <w:p w:rsidR="00541099" w:rsidRPr="00EA7ACD" w:rsidRDefault="003D410A" w:rsidP="00541099">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Puntual en el momento de cálculo.</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por agente comprador y por tipo de demanda para la </w:t>
            </w:r>
            <w:r w:rsidR="003432F2">
              <w:rPr>
                <w:rFonts w:ascii="Bookman Old Style" w:eastAsia="Calibri" w:hAnsi="Bookman Old Style" w:cs="Arial"/>
                <w:color w:val="000000"/>
                <w:kern w:val="24"/>
                <w:sz w:val="20"/>
                <w:szCs w:val="20"/>
                <w:lang w:eastAsia="es-MX"/>
              </w:rPr>
              <w:t>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t>MP2</w:t>
            </w:r>
            <w:r w:rsidR="004838C6">
              <w:rPr>
                <w:rFonts w:ascii="Bookman Old Style" w:hAnsi="Bookman Old Style" w:cs="Arial"/>
                <w:color w:val="000000"/>
                <w:kern w:val="24"/>
                <w:sz w:val="16"/>
                <w:szCs w:val="20"/>
                <w:lang w:eastAsia="es-MX"/>
              </w:rPr>
              <w:t>7</w:t>
            </w:r>
          </w:p>
        </w:tc>
        <w:tc>
          <w:tcPr>
            <w:tcW w:w="3544" w:type="dxa"/>
            <w:vAlign w:val="center"/>
          </w:tcPr>
          <w:p w:rsidR="003D410A" w:rsidRPr="002B4087" w:rsidRDefault="003D410A" w:rsidP="001E5C02">
            <w:pPr>
              <w:ind w:left="0"/>
              <w:rPr>
                <w:rFonts w:ascii="Bookman Old Style" w:hAnsi="Bookman Old Style" w:cs="Arial"/>
              </w:rPr>
            </w:pPr>
            <m:oMathPara>
              <m:oMath>
                <m:r>
                  <m:rPr>
                    <m:sty m:val="p"/>
                  </m:rPr>
                  <w:rPr>
                    <w:rFonts w:ascii="Cambria Math" w:hAnsi="Cambria Math" w:cs="Arial"/>
                    <w:sz w:val="18"/>
                  </w:rPr>
                  <m:t>Precio contratos 5 años</m:t>
                </m:r>
              </m:oMath>
            </m:oMathPara>
          </w:p>
        </w:tc>
        <w:tc>
          <w:tcPr>
            <w:tcW w:w="3544" w:type="dxa"/>
            <w:vAlign w:val="center"/>
          </w:tcPr>
          <w:p w:rsidR="003D410A" w:rsidRPr="00EA7ACD" w:rsidRDefault="003D410A" w:rsidP="00EE080E">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 xml:space="preserve">Después del proceso de negociación previsto en el artículo 24 de la Resolución CREG 089 de 2013, de manera agregada y por fuente y por productor calcular </w:t>
            </w:r>
            <w:r w:rsidRPr="00EA7ACD">
              <w:rPr>
                <w:rFonts w:ascii="Bookman Old Style" w:eastAsia="Calibri" w:hAnsi="Bookman Old Style" w:cs="Arial"/>
                <w:color w:val="000000"/>
                <w:kern w:val="24"/>
                <w:sz w:val="20"/>
                <w:szCs w:val="20"/>
                <w:lang w:eastAsia="es-MX"/>
              </w:rPr>
              <w:lastRenderedPageBreak/>
              <w:t>precio promedio simple y ponderado por cantidades de los contratos a 5 años</w:t>
            </w:r>
            <w:r w:rsidR="000033DC">
              <w:rPr>
                <w:rFonts w:ascii="Bookman Old Style" w:eastAsia="Calibri" w:hAnsi="Bookman Old Style" w:cs="Arial"/>
                <w:color w:val="000000"/>
                <w:kern w:val="24"/>
                <w:sz w:val="20"/>
                <w:szCs w:val="20"/>
                <w:lang w:eastAsia="es-MX"/>
              </w:rPr>
              <w:t>, resultantes del proceso de negociación.</w:t>
            </w:r>
          </w:p>
          <w:p w:rsidR="003D410A" w:rsidRPr="00EA7ACD" w:rsidRDefault="003D410A" w:rsidP="00EE080E">
            <w:pPr>
              <w:jc w:val="both"/>
              <w:rPr>
                <w:rFonts w:ascii="Bookman Old Style" w:eastAsia="Calibri" w:hAnsi="Bookman Old Style" w:cs="Arial"/>
                <w:b/>
                <w:color w:val="000000"/>
                <w:kern w:val="24"/>
                <w:sz w:val="20"/>
                <w:szCs w:val="20"/>
                <w:lang w:eastAsia="es-MX"/>
              </w:rPr>
            </w:pPr>
          </w:p>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E080E">
            <w:pPr>
              <w:jc w:val="both"/>
              <w:rPr>
                <w:rFonts w:ascii="Bookman Old Style" w:eastAsia="Calibri" w:hAnsi="Bookman Old Style" w:cs="Arial"/>
                <w:color w:val="000000"/>
                <w:kern w:val="24"/>
                <w:sz w:val="20"/>
                <w:szCs w:val="20"/>
                <w:lang w:eastAsia="es-MX"/>
              </w:rPr>
            </w:pPr>
          </w:p>
          <w:p w:rsidR="003D410A" w:rsidRPr="00EA7ACD" w:rsidRDefault="003D410A" w:rsidP="00EE080E">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Puntual en el momento de cálculo.</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 xml:space="preserve">Los indicadores agregado por fuente y por productor </w:t>
            </w:r>
            <w:r>
              <w:rPr>
                <w:rFonts w:ascii="Bookman Old Style" w:eastAsia="Calibri" w:hAnsi="Bookman Old Style" w:cs="Arial"/>
                <w:color w:val="000000"/>
                <w:kern w:val="24"/>
                <w:sz w:val="20"/>
                <w:szCs w:val="20"/>
                <w:lang w:eastAsia="es-MX"/>
              </w:rPr>
              <w:lastRenderedPageBreak/>
              <w:t xml:space="preserve">para el  </w:t>
            </w:r>
            <w:r w:rsidR="00172544">
              <w:rPr>
                <w:rFonts w:ascii="Bookman Old Style" w:eastAsia="Calibri" w:hAnsi="Bookman Old Style" w:cs="Arial"/>
                <w:color w:val="000000"/>
                <w:kern w:val="24"/>
                <w:sz w:val="20"/>
                <w:szCs w:val="20"/>
                <w:lang w:eastAsia="es-MX"/>
              </w:rPr>
              <w:t>p</w:t>
            </w:r>
            <w:r>
              <w:rPr>
                <w:rFonts w:ascii="Bookman Old Style" w:eastAsia="Calibri" w:hAnsi="Bookman Old Style" w:cs="Arial"/>
                <w:color w:val="000000"/>
                <w:kern w:val="24"/>
                <w:sz w:val="20"/>
                <w:szCs w:val="20"/>
                <w:lang w:eastAsia="es-MX"/>
              </w:rPr>
              <w:t>úblico general</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lastRenderedPageBreak/>
              <w:t>MP</w:t>
            </w:r>
            <w:r>
              <w:rPr>
                <w:rFonts w:ascii="Bookman Old Style" w:hAnsi="Bookman Old Style" w:cs="Arial"/>
                <w:color w:val="000000"/>
                <w:kern w:val="24"/>
                <w:sz w:val="16"/>
                <w:szCs w:val="20"/>
                <w:lang w:eastAsia="es-MX"/>
              </w:rPr>
              <w:t>2</w:t>
            </w:r>
            <w:r w:rsidR="004838C6">
              <w:rPr>
                <w:rFonts w:ascii="Bookman Old Style" w:hAnsi="Bookman Old Style" w:cs="Arial"/>
                <w:color w:val="000000"/>
                <w:kern w:val="24"/>
                <w:sz w:val="16"/>
                <w:szCs w:val="20"/>
                <w:lang w:eastAsia="es-MX"/>
              </w:rPr>
              <w:t>8</w:t>
            </w:r>
          </w:p>
        </w:tc>
        <w:tc>
          <w:tcPr>
            <w:tcW w:w="3544" w:type="dxa"/>
            <w:vAlign w:val="center"/>
          </w:tcPr>
          <w:p w:rsidR="003D410A" w:rsidRPr="00A43FB6" w:rsidRDefault="003D410A" w:rsidP="001E5C02">
            <w:pPr>
              <w:ind w:left="0"/>
              <w:rPr>
                <w:rFonts w:ascii="Bookman Old Style" w:hAnsi="Bookman Old Style" w:cs="Arial"/>
              </w:rPr>
            </w:pPr>
            <m:oMathPara>
              <m:oMath>
                <m:r>
                  <m:rPr>
                    <m:sty m:val="p"/>
                  </m:rPr>
                  <w:rPr>
                    <w:rFonts w:ascii="Cambria Math" w:hAnsi="Cambria Math" w:cs="Arial"/>
                    <w:sz w:val="18"/>
                  </w:rPr>
                  <m:t xml:space="preserve">Precio  contratos 5 años por agente </m:t>
                </m:r>
              </m:oMath>
            </m:oMathPara>
          </w:p>
        </w:tc>
        <w:tc>
          <w:tcPr>
            <w:tcW w:w="3544" w:type="dxa"/>
            <w:vAlign w:val="center"/>
          </w:tcPr>
          <w:p w:rsidR="003D410A" w:rsidRPr="00EA7ACD" w:rsidRDefault="003D410A" w:rsidP="00EE080E">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por agente comprador y por tipo de demanda (</w:t>
            </w:r>
            <w:proofErr w:type="spellStart"/>
            <w:r w:rsidRPr="00EA7ACD">
              <w:rPr>
                <w:rFonts w:ascii="Bookman Old Style" w:eastAsia="Calibri" w:hAnsi="Bookman Old Style" w:cs="Arial"/>
                <w:color w:val="000000"/>
                <w:kern w:val="24"/>
                <w:sz w:val="20"/>
                <w:szCs w:val="20"/>
                <w:lang w:eastAsia="es-MX"/>
              </w:rPr>
              <w:t>e.g</w:t>
            </w:r>
            <w:proofErr w:type="spellEnd"/>
            <w:r w:rsidRPr="00EA7ACD">
              <w:rPr>
                <w:rFonts w:ascii="Bookman Old Style" w:eastAsia="Calibri" w:hAnsi="Bookman Old Style" w:cs="Arial"/>
                <w:color w:val="000000"/>
                <w:kern w:val="24"/>
                <w:sz w:val="20"/>
                <w:szCs w:val="20"/>
                <w:lang w:eastAsia="es-MX"/>
              </w:rPr>
              <w:t>. residencial, GNV, térmica…) calcular precio promedio simple y ponderado por cantidades de los contratos a 5 años</w:t>
            </w:r>
            <w:r w:rsidR="0069607A">
              <w:rPr>
                <w:rFonts w:ascii="Bookman Old Style" w:eastAsia="Calibri" w:hAnsi="Bookman Old Style" w:cs="Arial"/>
                <w:color w:val="000000"/>
                <w:kern w:val="24"/>
                <w:sz w:val="20"/>
                <w:szCs w:val="20"/>
                <w:lang w:eastAsia="es-MX"/>
              </w:rPr>
              <w:t>, resultantes del proceso de negociación.</w:t>
            </w:r>
          </w:p>
          <w:p w:rsidR="003D410A" w:rsidRPr="00EA7ACD" w:rsidRDefault="003D410A" w:rsidP="00EE080E">
            <w:pPr>
              <w:jc w:val="both"/>
              <w:rPr>
                <w:rFonts w:ascii="Bookman Old Style" w:eastAsia="Calibri" w:hAnsi="Bookman Old Style" w:cs="Arial"/>
                <w:b/>
                <w:color w:val="000000"/>
                <w:kern w:val="24"/>
                <w:sz w:val="20"/>
                <w:szCs w:val="20"/>
                <w:lang w:eastAsia="es-MX"/>
              </w:rPr>
            </w:pPr>
          </w:p>
          <w:p w:rsidR="003D410A" w:rsidRPr="00EA7ACD" w:rsidRDefault="003D410A" w:rsidP="00A94FD1">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E080E">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Puntual en el momento de cálculo.</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Los indicadores por agente comprador y por tipo de demanda para la 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w:t>
            </w:r>
            <w:r>
              <w:rPr>
                <w:rFonts w:ascii="Bookman Old Style" w:hAnsi="Bookman Old Style" w:cs="Arial"/>
                <w:color w:val="000000"/>
                <w:kern w:val="24"/>
                <w:sz w:val="16"/>
                <w:szCs w:val="20"/>
                <w:lang w:eastAsia="es-MX"/>
              </w:rPr>
              <w:t>2</w:t>
            </w:r>
            <w:r w:rsidR="004838C6">
              <w:rPr>
                <w:rFonts w:ascii="Bookman Old Style" w:hAnsi="Bookman Old Style" w:cs="Arial"/>
                <w:color w:val="000000"/>
                <w:kern w:val="24"/>
                <w:sz w:val="16"/>
                <w:szCs w:val="20"/>
                <w:lang w:eastAsia="es-MX"/>
              </w:rPr>
              <w:t>9</w:t>
            </w:r>
          </w:p>
        </w:tc>
        <w:tc>
          <w:tcPr>
            <w:tcW w:w="3544" w:type="dxa"/>
            <w:vAlign w:val="center"/>
          </w:tcPr>
          <w:p w:rsidR="003D410A" w:rsidRPr="00EE080E" w:rsidRDefault="003D410A" w:rsidP="001E5C02">
            <w:pPr>
              <w:ind w:left="0"/>
              <w:rPr>
                <w:rFonts w:ascii="Bookman Old Style" w:hAnsi="Bookman Old Style" w:cs="Arial"/>
              </w:rPr>
            </w:pPr>
            <m:oMathPara>
              <m:oMathParaPr>
                <m:jc m:val="center"/>
              </m:oMathParaPr>
              <m:oMath>
                <m:r>
                  <m:rPr>
                    <m:sty m:val="p"/>
                  </m:rPr>
                  <w:rPr>
                    <w:rFonts w:ascii="Cambria Math" w:hAnsi="Cambria Math" w:cs="Arial"/>
                    <w:sz w:val="18"/>
                  </w:rPr>
                  <m:t>Precio contratos más de 5 años</m:t>
                </m:r>
              </m:oMath>
            </m:oMathPara>
          </w:p>
        </w:tc>
        <w:tc>
          <w:tcPr>
            <w:tcW w:w="3544" w:type="dxa"/>
            <w:vAlign w:val="center"/>
          </w:tcPr>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de manera agregada y por fuente y por productor calcular precio promedio simple y ponderado por cantidades de los contratos a más de 5 años</w:t>
            </w:r>
            <w:r w:rsidR="0069607A">
              <w:rPr>
                <w:rFonts w:ascii="Bookman Old Style" w:eastAsia="Calibri" w:hAnsi="Bookman Old Style" w:cs="Arial"/>
                <w:color w:val="000000"/>
                <w:kern w:val="24"/>
                <w:sz w:val="20"/>
                <w:szCs w:val="20"/>
                <w:lang w:eastAsia="es-MX"/>
              </w:rPr>
              <w:t>, resultantes del proceso de negociación.</w:t>
            </w:r>
          </w:p>
          <w:p w:rsidR="003D410A" w:rsidRPr="00EA7ACD" w:rsidRDefault="003D410A" w:rsidP="00F76AD1">
            <w:pPr>
              <w:rPr>
                <w:rFonts w:ascii="Bookman Old Style" w:eastAsia="Calibri" w:hAnsi="Bookman Old Style" w:cs="Arial"/>
                <w:b/>
                <w:color w:val="000000"/>
                <w:kern w:val="24"/>
                <w:sz w:val="20"/>
                <w:szCs w:val="20"/>
                <w:lang w:eastAsia="es-MX"/>
              </w:rPr>
            </w:pPr>
          </w:p>
          <w:p w:rsidR="003D410A" w:rsidRPr="00EA7ACD" w:rsidRDefault="003D410A" w:rsidP="00470BFA">
            <w:pPr>
              <w:ind w:left="0"/>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F76AD1">
            <w:pPr>
              <w:rPr>
                <w:rFonts w:ascii="Bookman Old Style" w:eastAsia="Calibri" w:hAnsi="Bookman Old Style" w:cs="Arial"/>
                <w:color w:val="000000"/>
                <w:kern w:val="24"/>
                <w:sz w:val="20"/>
                <w:szCs w:val="20"/>
                <w:lang w:eastAsia="es-MX"/>
              </w:rPr>
            </w:pPr>
          </w:p>
          <w:p w:rsidR="003D410A" w:rsidRPr="00EA7ACD" w:rsidRDefault="003D410A" w:rsidP="00470BFA">
            <w:pPr>
              <w:ind w:left="0"/>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Puntual en el momento de cálculo.</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agregado por fuente y por productor para el  </w:t>
            </w:r>
            <w:r w:rsidR="00172544">
              <w:rPr>
                <w:rFonts w:ascii="Bookman Old Style" w:eastAsia="Calibri" w:hAnsi="Bookman Old Style" w:cs="Arial"/>
                <w:color w:val="000000"/>
                <w:kern w:val="24"/>
                <w:sz w:val="20"/>
                <w:szCs w:val="20"/>
                <w:lang w:eastAsia="es-MX"/>
              </w:rPr>
              <w:t>p</w:t>
            </w:r>
            <w:r>
              <w:rPr>
                <w:rFonts w:ascii="Bookman Old Style" w:eastAsia="Calibri" w:hAnsi="Bookman Old Style" w:cs="Arial"/>
                <w:color w:val="000000"/>
                <w:kern w:val="24"/>
                <w:sz w:val="20"/>
                <w:szCs w:val="20"/>
                <w:lang w:eastAsia="es-MX"/>
              </w:rPr>
              <w:t>úblico general</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szCs w:val="20"/>
                <w:lang w:eastAsia="es-MX"/>
              </w:rPr>
            </w:pPr>
            <w:r w:rsidRPr="00EA3B2E">
              <w:rPr>
                <w:rFonts w:ascii="Bookman Old Style" w:hAnsi="Bookman Old Style" w:cs="Arial"/>
                <w:color w:val="000000"/>
                <w:kern w:val="24"/>
                <w:sz w:val="16"/>
                <w:szCs w:val="20"/>
                <w:lang w:eastAsia="es-MX"/>
              </w:rPr>
              <w:t>MP</w:t>
            </w:r>
            <w:r w:rsidR="004838C6">
              <w:rPr>
                <w:rFonts w:ascii="Bookman Old Style" w:hAnsi="Bookman Old Style" w:cs="Arial"/>
                <w:color w:val="000000"/>
                <w:kern w:val="24"/>
                <w:sz w:val="16"/>
                <w:szCs w:val="20"/>
                <w:lang w:eastAsia="es-MX"/>
              </w:rPr>
              <w:t>30</w:t>
            </w:r>
          </w:p>
        </w:tc>
        <w:tc>
          <w:tcPr>
            <w:tcW w:w="3544" w:type="dxa"/>
            <w:vAlign w:val="center"/>
          </w:tcPr>
          <w:p w:rsidR="003D410A" w:rsidRDefault="003D410A" w:rsidP="002B4087">
            <w:pPr>
              <w:ind w:left="34"/>
              <w:rPr>
                <w:rFonts w:ascii="Bookman Old Style" w:hAnsi="Bookman Old Style" w:cs="Arial"/>
                <w:sz w:val="20"/>
              </w:rPr>
            </w:pPr>
          </w:p>
          <w:p w:rsidR="003D410A" w:rsidRPr="002B4087" w:rsidRDefault="003D410A" w:rsidP="002B4087">
            <w:pPr>
              <w:ind w:left="34"/>
              <w:rPr>
                <w:rFonts w:ascii="Bookman Old Style" w:hAnsi="Bookman Old Style" w:cs="Arial"/>
              </w:rPr>
            </w:pPr>
            <m:oMathPara>
              <m:oMathParaPr>
                <m:jc m:val="left"/>
              </m:oMathParaPr>
              <m:oMath>
                <m:r>
                  <m:rPr>
                    <m:sty m:val="p"/>
                  </m:rPr>
                  <w:rPr>
                    <w:rFonts w:ascii="Cambria Math" w:hAnsi="Cambria Math" w:cs="Arial"/>
                    <w:sz w:val="18"/>
                  </w:rPr>
                  <m:t xml:space="preserve">Precio contratos más de 5 años por </m:t>
                </m:r>
                <m:r>
                  <m:rPr>
                    <m:sty m:val="p"/>
                  </m:rPr>
                  <w:rPr>
                    <w:rFonts w:ascii="Cambria Math" w:hAnsi="Cambria Math" w:cs="Arial"/>
                    <w:sz w:val="20"/>
                  </w:rPr>
                  <m:t>agente</m:t>
                </m:r>
              </m:oMath>
            </m:oMathPara>
          </w:p>
        </w:tc>
        <w:tc>
          <w:tcPr>
            <w:tcW w:w="3544" w:type="dxa"/>
            <w:vAlign w:val="center"/>
          </w:tcPr>
          <w:p w:rsidR="003D410A" w:rsidRPr="00EA7ACD" w:rsidRDefault="003D410A" w:rsidP="00EE080E">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por agente comprador y por tipo de demanda (</w:t>
            </w:r>
            <w:proofErr w:type="spellStart"/>
            <w:r w:rsidRPr="00EA7ACD">
              <w:rPr>
                <w:rFonts w:ascii="Bookman Old Style" w:eastAsia="Calibri" w:hAnsi="Bookman Old Style" w:cs="Arial"/>
                <w:color w:val="000000"/>
                <w:kern w:val="24"/>
                <w:sz w:val="20"/>
                <w:szCs w:val="20"/>
                <w:lang w:eastAsia="es-MX"/>
              </w:rPr>
              <w:t>e.g</w:t>
            </w:r>
            <w:proofErr w:type="spellEnd"/>
            <w:r w:rsidRPr="00EA7ACD">
              <w:rPr>
                <w:rFonts w:ascii="Bookman Old Style" w:eastAsia="Calibri" w:hAnsi="Bookman Old Style" w:cs="Arial"/>
                <w:color w:val="000000"/>
                <w:kern w:val="24"/>
                <w:sz w:val="20"/>
                <w:szCs w:val="20"/>
                <w:lang w:eastAsia="es-MX"/>
              </w:rPr>
              <w:t xml:space="preserve">. residencial, GNV, </w:t>
            </w:r>
            <w:proofErr w:type="gramStart"/>
            <w:r w:rsidRPr="00EA7ACD">
              <w:rPr>
                <w:rFonts w:ascii="Bookman Old Style" w:eastAsia="Calibri" w:hAnsi="Bookman Old Style" w:cs="Arial"/>
                <w:color w:val="000000"/>
                <w:kern w:val="24"/>
                <w:sz w:val="20"/>
                <w:szCs w:val="20"/>
                <w:lang w:eastAsia="es-MX"/>
              </w:rPr>
              <w:t>térmica …</w:t>
            </w:r>
            <w:proofErr w:type="gramEnd"/>
            <w:r w:rsidRPr="00EA7ACD">
              <w:rPr>
                <w:rFonts w:ascii="Bookman Old Style" w:eastAsia="Calibri" w:hAnsi="Bookman Old Style" w:cs="Arial"/>
                <w:color w:val="000000"/>
                <w:kern w:val="24"/>
                <w:sz w:val="20"/>
                <w:szCs w:val="20"/>
                <w:lang w:eastAsia="es-MX"/>
              </w:rPr>
              <w:t>) calcular precio promedio simple y ponderado por cantidades de los contratos a más de 5 años</w:t>
            </w:r>
            <w:r w:rsidR="0069607A">
              <w:rPr>
                <w:rFonts w:ascii="Bookman Old Style" w:eastAsia="Calibri" w:hAnsi="Bookman Old Style" w:cs="Arial"/>
                <w:color w:val="000000"/>
                <w:kern w:val="24"/>
                <w:sz w:val="20"/>
                <w:szCs w:val="20"/>
                <w:lang w:eastAsia="es-MX"/>
              </w:rPr>
              <w:t>, resultantes del proceso de negociación.</w:t>
            </w:r>
          </w:p>
          <w:p w:rsidR="003D410A" w:rsidRPr="00EA7ACD" w:rsidRDefault="003D410A" w:rsidP="00EE080E">
            <w:pPr>
              <w:jc w:val="both"/>
              <w:rPr>
                <w:rFonts w:ascii="Bookman Old Style" w:eastAsia="Calibri" w:hAnsi="Bookman Old Style" w:cs="Arial"/>
                <w:b/>
                <w:color w:val="000000"/>
                <w:kern w:val="24"/>
                <w:sz w:val="20"/>
                <w:szCs w:val="20"/>
                <w:lang w:eastAsia="es-MX"/>
              </w:rPr>
            </w:pPr>
          </w:p>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 xml:space="preserve">anual, después del proceso de </w:t>
            </w:r>
            <w:r w:rsidRPr="00EA7ACD">
              <w:rPr>
                <w:rFonts w:ascii="Bookman Old Style" w:eastAsia="Calibri" w:hAnsi="Bookman Old Style" w:cs="Arial"/>
                <w:color w:val="000000"/>
                <w:kern w:val="24"/>
                <w:sz w:val="20"/>
                <w:szCs w:val="20"/>
                <w:lang w:eastAsia="es-MX"/>
              </w:rPr>
              <w:lastRenderedPageBreak/>
              <w:t>negociación.</w:t>
            </w:r>
          </w:p>
          <w:p w:rsidR="003D410A" w:rsidRPr="00EA7ACD" w:rsidRDefault="003D410A" w:rsidP="00EE080E">
            <w:pPr>
              <w:jc w:val="both"/>
              <w:rPr>
                <w:rFonts w:ascii="Bookman Old Style" w:eastAsia="Calibri" w:hAnsi="Bookman Old Style" w:cs="Arial"/>
                <w:color w:val="000000"/>
                <w:kern w:val="24"/>
                <w:sz w:val="20"/>
                <w:szCs w:val="20"/>
                <w:lang w:eastAsia="es-MX"/>
              </w:rPr>
            </w:pPr>
          </w:p>
          <w:p w:rsidR="003D410A" w:rsidRPr="00EA7ACD" w:rsidRDefault="003D410A" w:rsidP="00EE080E">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Puntual en el momento de cálculo.</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lastRenderedPageBreak/>
              <w:t>Los indicadores por agente comprador y por tipo de demanda para la SSPD, SIC y CREG</w:t>
            </w:r>
          </w:p>
        </w:tc>
      </w:tr>
      <w:tr w:rsidR="003D410A" w:rsidRPr="00EA3B2E" w:rsidTr="008B24BA">
        <w:trPr>
          <w:trHeight w:val="584"/>
        </w:trPr>
        <w:tc>
          <w:tcPr>
            <w:tcW w:w="709" w:type="dxa"/>
            <w:vAlign w:val="center"/>
          </w:tcPr>
          <w:p w:rsidR="003D410A" w:rsidRPr="00EA3B2E" w:rsidRDefault="003D410A" w:rsidP="004838C6">
            <w:pPr>
              <w:ind w:left="0"/>
              <w:rPr>
                <w:rFonts w:ascii="Bookman Old Style" w:hAnsi="Bookman Old Style" w:cs="Arial"/>
                <w:color w:val="000000"/>
                <w:kern w:val="24"/>
                <w:sz w:val="16"/>
                <w:lang w:eastAsia="es-MX"/>
              </w:rPr>
            </w:pPr>
            <w:r w:rsidRPr="00EA3B2E">
              <w:rPr>
                <w:rFonts w:ascii="Bookman Old Style" w:hAnsi="Bookman Old Style" w:cs="Arial"/>
                <w:color w:val="000000"/>
                <w:kern w:val="24"/>
                <w:sz w:val="16"/>
                <w:szCs w:val="20"/>
                <w:lang w:eastAsia="es-MX"/>
              </w:rPr>
              <w:lastRenderedPageBreak/>
              <w:t>MP</w:t>
            </w:r>
            <w:r>
              <w:rPr>
                <w:rFonts w:ascii="Bookman Old Style" w:hAnsi="Bookman Old Style" w:cs="Arial"/>
                <w:color w:val="000000"/>
                <w:kern w:val="24"/>
                <w:sz w:val="16"/>
                <w:szCs w:val="20"/>
                <w:lang w:eastAsia="es-MX"/>
              </w:rPr>
              <w:t>3</w:t>
            </w:r>
            <w:r w:rsidR="004838C6">
              <w:rPr>
                <w:rFonts w:ascii="Bookman Old Style" w:hAnsi="Bookman Old Style" w:cs="Arial"/>
                <w:color w:val="000000"/>
                <w:kern w:val="24"/>
                <w:sz w:val="16"/>
                <w:szCs w:val="20"/>
                <w:lang w:eastAsia="es-MX"/>
              </w:rPr>
              <w:t>1</w:t>
            </w:r>
          </w:p>
        </w:tc>
        <w:tc>
          <w:tcPr>
            <w:tcW w:w="3544" w:type="dxa"/>
            <w:vAlign w:val="center"/>
          </w:tcPr>
          <w:p w:rsidR="003D410A" w:rsidRPr="00A43FB6" w:rsidRDefault="003D410A" w:rsidP="00A43FB6">
            <w:pPr>
              <w:ind w:left="34"/>
              <w:rPr>
                <w:rFonts w:ascii="Bookman Old Style" w:hAnsi="Bookman Old Style" w:cs="Arial"/>
              </w:rPr>
            </w:pPr>
            <m:oMathPara>
              <m:oMath>
                <m:r>
                  <m:rPr>
                    <m:sty m:val="p"/>
                  </m:rPr>
                  <w:rPr>
                    <w:rFonts w:ascii="Cambria Math" w:hAnsi="Cambria Math" w:cs="Arial"/>
                    <w:sz w:val="18"/>
                  </w:rPr>
                  <m:t xml:space="preserve">Precio </m:t>
                </m:r>
                <m:r>
                  <m:rPr>
                    <m:sty m:val="p"/>
                  </m:rPr>
                  <w:rPr>
                    <w:rFonts w:ascii="Cambria Math" w:hAnsi="Cambria Math" w:cs="Arial"/>
                    <w:sz w:val="20"/>
                  </w:rPr>
                  <m:t>contratos</m:t>
                </m:r>
                <m:r>
                  <m:rPr>
                    <m:sty m:val="p"/>
                  </m:rPr>
                  <w:rPr>
                    <w:rFonts w:ascii="Cambria Math" w:hAnsi="Cambria Math" w:cs="Arial"/>
                    <w:sz w:val="18"/>
                  </w:rPr>
                  <m:t xml:space="preserve"> por tipo demanda</m:t>
                </m:r>
              </m:oMath>
            </m:oMathPara>
          </w:p>
        </w:tc>
        <w:tc>
          <w:tcPr>
            <w:tcW w:w="3544" w:type="dxa"/>
            <w:vAlign w:val="center"/>
          </w:tcPr>
          <w:p w:rsidR="003D410A" w:rsidRPr="00EA7ACD" w:rsidRDefault="003D410A" w:rsidP="00EE080E">
            <w:pPr>
              <w:ind w:left="0"/>
              <w:jc w:val="both"/>
              <w:rPr>
                <w:rFonts w:ascii="Bookman Old Style" w:hAnsi="Bookman Old Style" w:cs="Arial"/>
                <w:sz w:val="20"/>
                <w:szCs w:val="20"/>
                <w:lang w:eastAsia="es-MX"/>
              </w:rPr>
            </w:pPr>
            <w:r w:rsidRPr="00EA7ACD">
              <w:rPr>
                <w:rFonts w:ascii="Bookman Old Style" w:eastAsia="Calibri" w:hAnsi="Bookman Old Style" w:cs="Arial"/>
                <w:color w:val="000000"/>
                <w:kern w:val="24"/>
                <w:sz w:val="20"/>
                <w:szCs w:val="20"/>
                <w:lang w:eastAsia="es-MX"/>
              </w:rPr>
              <w:t>Después del proceso de negociación previsto en el artículo 24 de la Resolución CREG 089 de 2013, por tipo de demanda (</w:t>
            </w:r>
            <w:proofErr w:type="spellStart"/>
            <w:r w:rsidRPr="00EA7ACD">
              <w:rPr>
                <w:rFonts w:ascii="Bookman Old Style" w:eastAsia="Calibri" w:hAnsi="Bookman Old Style" w:cs="Arial"/>
                <w:color w:val="000000"/>
                <w:kern w:val="24"/>
                <w:sz w:val="20"/>
                <w:szCs w:val="20"/>
                <w:lang w:eastAsia="es-MX"/>
              </w:rPr>
              <w:t>e.g</w:t>
            </w:r>
            <w:proofErr w:type="spellEnd"/>
            <w:r w:rsidRPr="00EA7ACD">
              <w:rPr>
                <w:rFonts w:ascii="Bookman Old Style" w:eastAsia="Calibri" w:hAnsi="Bookman Old Style" w:cs="Arial"/>
                <w:color w:val="000000"/>
                <w:kern w:val="24"/>
                <w:sz w:val="20"/>
                <w:szCs w:val="20"/>
                <w:lang w:eastAsia="es-MX"/>
              </w:rPr>
              <w:t xml:space="preserve">. residencial, GNV, </w:t>
            </w:r>
            <w:proofErr w:type="gramStart"/>
            <w:r w:rsidRPr="00EA7ACD">
              <w:rPr>
                <w:rFonts w:ascii="Bookman Old Style" w:eastAsia="Calibri" w:hAnsi="Bookman Old Style" w:cs="Arial"/>
                <w:color w:val="000000"/>
                <w:kern w:val="24"/>
                <w:sz w:val="20"/>
                <w:szCs w:val="20"/>
                <w:lang w:eastAsia="es-MX"/>
              </w:rPr>
              <w:t>térmica …</w:t>
            </w:r>
            <w:proofErr w:type="gramEnd"/>
            <w:r w:rsidRPr="00EA7ACD">
              <w:rPr>
                <w:rFonts w:ascii="Bookman Old Style" w:eastAsia="Calibri" w:hAnsi="Bookman Old Style" w:cs="Arial"/>
                <w:color w:val="000000"/>
                <w:kern w:val="24"/>
                <w:sz w:val="20"/>
                <w:szCs w:val="20"/>
                <w:lang w:eastAsia="es-MX"/>
              </w:rPr>
              <w:t>) calcular precio promedio simple y ponderado por cantidades de los contratos según cada una de las modalidades negociadas (</w:t>
            </w:r>
            <w:proofErr w:type="spellStart"/>
            <w:r w:rsidRPr="00EA7ACD">
              <w:rPr>
                <w:rFonts w:ascii="Bookman Old Style" w:eastAsia="Calibri" w:hAnsi="Bookman Old Style" w:cs="Arial"/>
                <w:color w:val="000000"/>
                <w:kern w:val="24"/>
                <w:sz w:val="20"/>
                <w:szCs w:val="20"/>
                <w:lang w:eastAsia="es-MX"/>
              </w:rPr>
              <w:t>e.g</w:t>
            </w:r>
            <w:proofErr w:type="spellEnd"/>
            <w:r w:rsidRPr="00EA7ACD">
              <w:rPr>
                <w:rFonts w:ascii="Bookman Old Style" w:eastAsia="Calibri" w:hAnsi="Bookman Old Style" w:cs="Arial"/>
                <w:color w:val="000000"/>
                <w:kern w:val="24"/>
                <w:sz w:val="20"/>
                <w:szCs w:val="20"/>
                <w:lang w:eastAsia="es-MX"/>
              </w:rPr>
              <w:t>. firmes, firmeza condicionada y opciones) y el tiempo (</w:t>
            </w:r>
            <w:proofErr w:type="spellStart"/>
            <w:r w:rsidRPr="00EA7ACD">
              <w:rPr>
                <w:rFonts w:ascii="Bookman Old Style" w:eastAsia="Calibri" w:hAnsi="Bookman Old Style" w:cs="Arial"/>
                <w:color w:val="000000"/>
                <w:kern w:val="24"/>
                <w:sz w:val="20"/>
                <w:szCs w:val="20"/>
                <w:lang w:eastAsia="es-MX"/>
              </w:rPr>
              <w:t>e.g</w:t>
            </w:r>
            <w:proofErr w:type="spellEnd"/>
            <w:r w:rsidRPr="00EA7ACD">
              <w:rPr>
                <w:rFonts w:ascii="Bookman Old Style" w:eastAsia="Calibri" w:hAnsi="Bookman Old Style" w:cs="Arial"/>
                <w:color w:val="000000"/>
                <w:kern w:val="24"/>
                <w:sz w:val="20"/>
                <w:szCs w:val="20"/>
                <w:lang w:eastAsia="es-MX"/>
              </w:rPr>
              <w:t>. 1, 5 o más años)</w:t>
            </w:r>
            <w:r w:rsidR="0069607A">
              <w:rPr>
                <w:rFonts w:ascii="Bookman Old Style" w:eastAsia="Calibri" w:hAnsi="Bookman Old Style" w:cs="Arial"/>
                <w:color w:val="000000"/>
                <w:kern w:val="24"/>
                <w:sz w:val="20"/>
                <w:szCs w:val="20"/>
                <w:lang w:eastAsia="es-MX"/>
              </w:rPr>
              <w:t>, resultantes del proceso de negociación.</w:t>
            </w:r>
          </w:p>
          <w:p w:rsidR="003D410A" w:rsidRPr="00EA7ACD" w:rsidRDefault="003D410A" w:rsidP="00EE080E">
            <w:pPr>
              <w:jc w:val="both"/>
              <w:rPr>
                <w:rFonts w:ascii="Bookman Old Style" w:eastAsia="Calibri" w:hAnsi="Bookman Old Style" w:cs="Arial"/>
                <w:b/>
                <w:color w:val="000000"/>
                <w:kern w:val="24"/>
                <w:sz w:val="20"/>
                <w:szCs w:val="20"/>
                <w:lang w:eastAsia="es-MX"/>
              </w:rPr>
            </w:pPr>
          </w:p>
          <w:p w:rsidR="003D410A" w:rsidRPr="00EA7ACD" w:rsidRDefault="003D410A" w:rsidP="00EE080E">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Periodicidad de cálculo: </w:t>
            </w:r>
            <w:r w:rsidRPr="00EA7ACD">
              <w:rPr>
                <w:rFonts w:ascii="Bookman Old Style" w:eastAsia="Calibri" w:hAnsi="Bookman Old Style" w:cs="Arial"/>
                <w:color w:val="000000"/>
                <w:kern w:val="24"/>
                <w:sz w:val="20"/>
                <w:szCs w:val="20"/>
                <w:lang w:eastAsia="es-MX"/>
              </w:rPr>
              <w:t>anual, después del proceso de negociación.</w:t>
            </w:r>
          </w:p>
          <w:p w:rsidR="003D410A" w:rsidRPr="00EA7ACD" w:rsidRDefault="003D410A" w:rsidP="00EE080E">
            <w:pPr>
              <w:jc w:val="both"/>
              <w:rPr>
                <w:rFonts w:ascii="Bookman Old Style" w:eastAsia="Calibri" w:hAnsi="Bookman Old Style" w:cs="Arial"/>
                <w:color w:val="000000"/>
                <w:kern w:val="24"/>
                <w:sz w:val="20"/>
                <w:szCs w:val="20"/>
                <w:lang w:eastAsia="es-MX"/>
              </w:rPr>
            </w:pPr>
          </w:p>
          <w:p w:rsidR="003D410A" w:rsidRPr="00EA7ACD" w:rsidRDefault="003D410A" w:rsidP="00EE080E">
            <w:pPr>
              <w:ind w:left="0"/>
              <w:jc w:val="both"/>
              <w:rPr>
                <w:rFonts w:ascii="Bookman Old Style" w:hAnsi="Bookman Old Style" w:cs="Arial"/>
                <w:color w:val="000000"/>
                <w:sz w:val="20"/>
                <w:szCs w:val="20"/>
              </w:rPr>
            </w:pPr>
            <w:r w:rsidRPr="00EA7ACD">
              <w:rPr>
                <w:rFonts w:ascii="Bookman Old Style" w:eastAsia="Calibri" w:hAnsi="Bookman Old Style" w:cs="Arial"/>
                <w:b/>
                <w:color w:val="000000"/>
                <w:kern w:val="24"/>
                <w:sz w:val="20"/>
                <w:szCs w:val="20"/>
                <w:lang w:eastAsia="es-MX"/>
              </w:rPr>
              <w:t xml:space="preserve">Horizonte de cálculo: </w:t>
            </w:r>
            <w:r w:rsidRPr="00EA7ACD">
              <w:rPr>
                <w:rFonts w:ascii="Bookman Old Style" w:eastAsia="Calibri" w:hAnsi="Bookman Old Style" w:cs="Arial"/>
                <w:color w:val="000000"/>
                <w:kern w:val="24"/>
                <w:sz w:val="20"/>
                <w:szCs w:val="20"/>
                <w:lang w:eastAsia="es-MX"/>
              </w:rPr>
              <w:t>Puntual en el momento de cálculo.</w:t>
            </w:r>
          </w:p>
        </w:tc>
        <w:tc>
          <w:tcPr>
            <w:tcW w:w="1559" w:type="dxa"/>
            <w:vAlign w:val="center"/>
          </w:tcPr>
          <w:p w:rsidR="003D410A"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por tipo de contrato y por tipo de demanda para </w:t>
            </w:r>
            <w:r w:rsidR="00F56BD4">
              <w:rPr>
                <w:rFonts w:ascii="Bookman Old Style" w:eastAsia="Calibri" w:hAnsi="Bookman Old Style" w:cs="Arial"/>
                <w:color w:val="000000"/>
                <w:kern w:val="24"/>
                <w:sz w:val="20"/>
                <w:szCs w:val="20"/>
                <w:lang w:eastAsia="es-MX"/>
              </w:rPr>
              <w:t>el público general</w:t>
            </w:r>
          </w:p>
        </w:tc>
      </w:tr>
      <w:tr w:rsidR="004838C6" w:rsidRPr="00EA3B2E" w:rsidTr="008B24BA">
        <w:trPr>
          <w:trHeight w:val="584"/>
        </w:trPr>
        <w:tc>
          <w:tcPr>
            <w:tcW w:w="709" w:type="dxa"/>
            <w:vAlign w:val="center"/>
          </w:tcPr>
          <w:p w:rsidR="004838C6" w:rsidRPr="00EA3B2E" w:rsidRDefault="004838C6" w:rsidP="00EA7ACD">
            <w:pPr>
              <w:ind w:left="0"/>
              <w:rPr>
                <w:rFonts w:ascii="Bookman Old Style" w:hAnsi="Bookman Old Style" w:cs="Arial"/>
                <w:color w:val="000000"/>
                <w:kern w:val="24"/>
                <w:sz w:val="16"/>
                <w:szCs w:val="20"/>
                <w:lang w:eastAsia="es-MX"/>
              </w:rPr>
            </w:pPr>
            <w:r>
              <w:rPr>
                <w:rFonts w:ascii="Bookman Old Style" w:hAnsi="Bookman Old Style" w:cs="Arial"/>
                <w:color w:val="000000"/>
                <w:kern w:val="24"/>
                <w:sz w:val="16"/>
                <w:szCs w:val="20"/>
                <w:lang w:eastAsia="es-MX"/>
              </w:rPr>
              <w:t>MP32</w:t>
            </w:r>
          </w:p>
        </w:tc>
        <w:tc>
          <w:tcPr>
            <w:tcW w:w="3544" w:type="dxa"/>
            <w:vAlign w:val="center"/>
          </w:tcPr>
          <w:p w:rsidR="004838C6" w:rsidRPr="004838C6" w:rsidRDefault="00D47C83" w:rsidP="004838C6">
            <w:pPr>
              <w:ind w:left="0"/>
              <w:rPr>
                <w:sz w:val="18"/>
                <w:szCs w:val="18"/>
                <w:lang w:val="es-MX" w:eastAsia="es-MX"/>
              </w:rPr>
            </w:pPr>
            <m:oMathPara>
              <m:oMathParaPr>
                <m:jc m:val="centerGroup"/>
              </m:oMathParaPr>
              <m:oMath>
                <m:f>
                  <m:fPr>
                    <m:ctrlPr>
                      <w:rPr>
                        <w:rFonts w:ascii="Cambria Math" w:eastAsia="+mn-ea" w:hAnsi="Cambria Math" w:cs="+mn-cs"/>
                        <w:color w:val="000000"/>
                        <w:kern w:val="24"/>
                        <w:sz w:val="18"/>
                        <w:szCs w:val="18"/>
                        <w:lang w:val="es-MX" w:eastAsia="es-MX"/>
                      </w:rPr>
                    </m:ctrlPr>
                  </m:fPr>
                  <m:num>
                    <m:r>
                      <m:rPr>
                        <m:sty m:val="p"/>
                      </m:rPr>
                      <w:rPr>
                        <w:rFonts w:ascii="Cambria Math" w:eastAsia="+mn-ea" w:hAnsi="Cambria Math" w:cs="+mn-cs"/>
                        <w:color w:val="000000"/>
                        <w:kern w:val="24"/>
                        <w:sz w:val="18"/>
                        <w:szCs w:val="18"/>
                        <w:lang w:val="es-MX" w:eastAsia="es-MX"/>
                      </w:rPr>
                      <m:t>Gas contratado en el punto de Entrada</m:t>
                    </m:r>
                  </m:num>
                  <m:den>
                    <m:r>
                      <m:rPr>
                        <m:sty m:val="p"/>
                      </m:rPr>
                      <w:rPr>
                        <w:rFonts w:ascii="Cambria Math" w:eastAsia="+mn-ea" w:hAnsi="Cambria Math" w:cs="+mn-cs"/>
                        <w:color w:val="000000"/>
                        <w:kern w:val="24"/>
                        <w:sz w:val="18"/>
                        <w:szCs w:val="18"/>
                        <w:lang w:val="es-MX" w:eastAsia="es-MX"/>
                      </w:rPr>
                      <m:t>Gas contratado en puntos de  Salida</m:t>
                    </m:r>
                  </m:den>
                </m:f>
              </m:oMath>
            </m:oMathPara>
          </w:p>
          <w:p w:rsidR="004838C6" w:rsidRPr="00EE080E" w:rsidRDefault="004838C6" w:rsidP="00A43FB6">
            <w:pPr>
              <w:ind w:left="34"/>
              <w:rPr>
                <w:rFonts w:ascii="Bookman Old Style" w:hAnsi="Bookman Old Style" w:cs="Arial"/>
                <w:sz w:val="18"/>
              </w:rPr>
            </w:pPr>
          </w:p>
        </w:tc>
        <w:tc>
          <w:tcPr>
            <w:tcW w:w="3544" w:type="dxa"/>
            <w:vAlign w:val="center"/>
          </w:tcPr>
          <w:p w:rsidR="004838C6" w:rsidRDefault="00BD5885" w:rsidP="00EE080E">
            <w:pPr>
              <w:ind w:left="0"/>
              <w:jc w:val="both"/>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Por contrato, g</w:t>
            </w:r>
            <w:r w:rsidR="004838C6">
              <w:rPr>
                <w:rFonts w:ascii="Bookman Old Style" w:eastAsia="Calibri" w:hAnsi="Bookman Old Style" w:cs="Arial"/>
                <w:color w:val="000000"/>
                <w:kern w:val="24"/>
                <w:sz w:val="20"/>
                <w:szCs w:val="20"/>
                <w:lang w:eastAsia="es-MX"/>
              </w:rPr>
              <w:t>as contratado en el punto estándar de entrega al sistema nacional de transporte en relación con el gas contratado en el punto de salida.</w:t>
            </w:r>
            <w:r w:rsidR="00C92C45">
              <w:rPr>
                <w:rFonts w:ascii="Bookman Old Style" w:eastAsia="Calibri" w:hAnsi="Bookman Old Style" w:cs="Arial"/>
                <w:color w:val="000000"/>
                <w:kern w:val="24"/>
                <w:sz w:val="20"/>
                <w:szCs w:val="20"/>
                <w:lang w:eastAsia="es-MX"/>
              </w:rPr>
              <w:t xml:space="preserve"> </w:t>
            </w:r>
          </w:p>
          <w:p w:rsidR="00BD5885" w:rsidRDefault="00BD5885" w:rsidP="00EE080E">
            <w:pPr>
              <w:ind w:left="0"/>
              <w:jc w:val="both"/>
              <w:rPr>
                <w:rFonts w:ascii="Bookman Old Style" w:eastAsia="Calibri" w:hAnsi="Bookman Old Style" w:cs="Arial"/>
                <w:color w:val="000000"/>
                <w:kern w:val="24"/>
                <w:sz w:val="20"/>
                <w:szCs w:val="20"/>
                <w:lang w:eastAsia="es-MX"/>
              </w:rPr>
            </w:pPr>
          </w:p>
          <w:p w:rsidR="00C92C45" w:rsidRPr="00EA7ACD" w:rsidRDefault="00C92C45" w:rsidP="00C92C45">
            <w:pPr>
              <w:ind w:left="0"/>
              <w:jc w:val="both"/>
              <w:rPr>
                <w:rFonts w:ascii="Bookman Old Style" w:hAnsi="Bookman Old Style" w:cs="Arial"/>
                <w:sz w:val="20"/>
                <w:szCs w:val="20"/>
                <w:lang w:eastAsia="es-MX"/>
              </w:rPr>
            </w:pPr>
            <w:r w:rsidRPr="00EA7ACD">
              <w:rPr>
                <w:rFonts w:ascii="Bookman Old Style" w:hAnsi="Bookman Old Style" w:cs="Arial"/>
                <w:b/>
                <w:sz w:val="20"/>
                <w:szCs w:val="20"/>
                <w:lang w:eastAsia="es-MX"/>
              </w:rPr>
              <w:t>Periodicidad de cálculo</w:t>
            </w:r>
            <w:r w:rsidR="00BD5885">
              <w:rPr>
                <w:rFonts w:ascii="Bookman Old Style" w:hAnsi="Bookman Old Style" w:cs="Arial"/>
                <w:sz w:val="20"/>
                <w:szCs w:val="20"/>
                <w:lang w:eastAsia="es-MX"/>
              </w:rPr>
              <w:t>: mensual, para cada contrato</w:t>
            </w:r>
          </w:p>
          <w:p w:rsidR="00C92C45" w:rsidRPr="00EA7ACD" w:rsidRDefault="00C92C45" w:rsidP="00C92C45">
            <w:pPr>
              <w:jc w:val="both"/>
              <w:rPr>
                <w:rFonts w:ascii="Bookman Old Style" w:hAnsi="Bookman Old Style" w:cs="Arial"/>
                <w:sz w:val="20"/>
                <w:szCs w:val="20"/>
                <w:lang w:eastAsia="es-MX"/>
              </w:rPr>
            </w:pPr>
          </w:p>
          <w:p w:rsidR="00C92C45" w:rsidRDefault="00C92C45" w:rsidP="00C92C45">
            <w:pPr>
              <w:ind w:left="0"/>
              <w:jc w:val="both"/>
              <w:rPr>
                <w:rFonts w:ascii="Bookman Old Style" w:eastAsia="Calibri" w:hAnsi="Bookman Old Style" w:cs="Arial"/>
                <w:color w:val="000000"/>
                <w:kern w:val="24"/>
                <w:sz w:val="20"/>
                <w:szCs w:val="20"/>
                <w:lang w:eastAsia="es-MX"/>
              </w:rPr>
            </w:pPr>
            <w:r w:rsidRPr="00EA7ACD">
              <w:rPr>
                <w:rFonts w:ascii="Bookman Old Style" w:eastAsia="Calibri" w:hAnsi="Bookman Old Style" w:cs="Arial"/>
                <w:b/>
                <w:color w:val="000000"/>
                <w:kern w:val="24"/>
                <w:sz w:val="20"/>
                <w:szCs w:val="20"/>
                <w:lang w:eastAsia="es-MX"/>
              </w:rPr>
              <w:t xml:space="preserve">Horizonte de cálculo: </w:t>
            </w:r>
            <w:r w:rsidR="00BD5885">
              <w:rPr>
                <w:rFonts w:ascii="Bookman Old Style" w:eastAsia="Calibri" w:hAnsi="Bookman Old Style" w:cs="Arial"/>
                <w:color w:val="000000"/>
                <w:kern w:val="24"/>
                <w:sz w:val="20"/>
                <w:szCs w:val="20"/>
                <w:lang w:eastAsia="es-MX"/>
              </w:rPr>
              <w:t>Mes anterior al mes de cálculo.</w:t>
            </w:r>
          </w:p>
          <w:p w:rsidR="004838C6" w:rsidRPr="00EA7ACD" w:rsidRDefault="004838C6" w:rsidP="00EE080E">
            <w:pPr>
              <w:ind w:left="0"/>
              <w:jc w:val="both"/>
              <w:rPr>
                <w:rFonts w:ascii="Bookman Old Style" w:eastAsia="Calibri" w:hAnsi="Bookman Old Style" w:cs="Arial"/>
                <w:color w:val="000000"/>
                <w:kern w:val="24"/>
                <w:sz w:val="20"/>
                <w:szCs w:val="20"/>
                <w:lang w:eastAsia="es-MX"/>
              </w:rPr>
            </w:pPr>
          </w:p>
        </w:tc>
        <w:tc>
          <w:tcPr>
            <w:tcW w:w="1559" w:type="dxa"/>
            <w:vAlign w:val="center"/>
          </w:tcPr>
          <w:p w:rsidR="004838C6" w:rsidRPr="00EA7ACD" w:rsidRDefault="00666652" w:rsidP="00F95DF1">
            <w:pPr>
              <w:ind w:left="0"/>
              <w:contextualSpacing/>
              <w:jc w:val="center"/>
              <w:rPr>
                <w:rFonts w:ascii="Bookman Old Style" w:eastAsia="Calibri" w:hAnsi="Bookman Old Style" w:cs="Arial"/>
                <w:color w:val="000000"/>
                <w:kern w:val="24"/>
                <w:sz w:val="20"/>
                <w:szCs w:val="20"/>
                <w:lang w:eastAsia="es-MX"/>
              </w:rPr>
            </w:pPr>
            <w:r>
              <w:rPr>
                <w:rFonts w:ascii="Bookman Old Style" w:eastAsia="Calibri" w:hAnsi="Bookman Old Style" w:cs="Arial"/>
                <w:color w:val="000000"/>
                <w:kern w:val="24"/>
                <w:sz w:val="20"/>
                <w:szCs w:val="20"/>
                <w:lang w:eastAsia="es-MX"/>
              </w:rPr>
              <w:t xml:space="preserve">Los indicadores por contrato para la </w:t>
            </w:r>
            <w:r w:rsidR="003432F2">
              <w:rPr>
                <w:rFonts w:ascii="Bookman Old Style" w:eastAsia="Calibri" w:hAnsi="Bookman Old Style" w:cs="Arial"/>
                <w:color w:val="000000"/>
                <w:kern w:val="24"/>
                <w:sz w:val="20"/>
                <w:szCs w:val="20"/>
                <w:lang w:eastAsia="es-MX"/>
              </w:rPr>
              <w:t>SSPD, SIC y CREG</w:t>
            </w:r>
          </w:p>
        </w:tc>
      </w:tr>
    </w:tbl>
    <w:p w:rsidR="00F76AD1" w:rsidRDefault="00F76AD1" w:rsidP="00DD11F8">
      <w:pPr>
        <w:jc w:val="center"/>
        <w:rPr>
          <w:rFonts w:ascii="Bookman Old Style" w:hAnsi="Bookman Old Style"/>
          <w:b/>
        </w:rPr>
      </w:pPr>
    </w:p>
    <w:p w:rsidR="000D67AA" w:rsidRDefault="000D67AA" w:rsidP="000D67AA">
      <w:pPr>
        <w:ind w:left="0"/>
        <w:jc w:val="both"/>
        <w:rPr>
          <w:rFonts w:ascii="Bookman Old Style" w:hAnsi="Bookman Old Style" w:cs="Arial"/>
        </w:rPr>
      </w:pPr>
      <w:r w:rsidRPr="00557744">
        <w:rPr>
          <w:rFonts w:ascii="Bookman Old Style" w:hAnsi="Bookman Old Style" w:cs="Arial"/>
          <w:b/>
          <w:color w:val="000000"/>
        </w:rPr>
        <w:t xml:space="preserve">Artículo </w:t>
      </w:r>
      <w:r w:rsidR="00AD1DE8">
        <w:rPr>
          <w:rFonts w:ascii="Bookman Old Style" w:hAnsi="Bookman Old Style" w:cs="Arial"/>
          <w:b/>
          <w:color w:val="000000"/>
        </w:rPr>
        <w:t>2</w:t>
      </w:r>
      <w:r w:rsidRPr="00557744">
        <w:rPr>
          <w:rFonts w:ascii="Bookman Old Style" w:hAnsi="Bookman Old Style" w:cs="Arial"/>
          <w:b/>
          <w:color w:val="000000"/>
        </w:rPr>
        <w:t xml:space="preserve">. </w:t>
      </w:r>
      <w:r>
        <w:rPr>
          <w:rFonts w:ascii="Bookman Old Style" w:hAnsi="Bookman Old Style" w:cs="Arial"/>
          <w:b/>
        </w:rPr>
        <w:t>Formulación de los indicadores</w:t>
      </w:r>
      <w:r w:rsidR="00AD1DE8">
        <w:rPr>
          <w:rFonts w:ascii="Bookman Old Style" w:hAnsi="Bookman Old Style" w:cs="Arial"/>
          <w:b/>
        </w:rPr>
        <w:t xml:space="preserve">. </w:t>
      </w:r>
      <w:r>
        <w:rPr>
          <w:rFonts w:ascii="Bookman Old Style" w:hAnsi="Bookman Old Style" w:cs="Arial"/>
        </w:rPr>
        <w:t xml:space="preserve">Dentro de los 10 días siguientes </w:t>
      </w:r>
      <w:r w:rsidR="008117A7">
        <w:rPr>
          <w:rFonts w:ascii="Bookman Old Style" w:hAnsi="Bookman Old Style" w:cs="Arial"/>
        </w:rPr>
        <w:t xml:space="preserve">de la entrada en vigencia de la presente </w:t>
      </w:r>
      <w:r>
        <w:rPr>
          <w:rFonts w:ascii="Bookman Old Style" w:hAnsi="Bookman Old Style" w:cs="Arial"/>
        </w:rPr>
        <w:t>resolución</w:t>
      </w:r>
      <w:r w:rsidR="00972CD8">
        <w:rPr>
          <w:rFonts w:ascii="Bookman Old Style" w:hAnsi="Bookman Old Style" w:cs="Arial"/>
        </w:rPr>
        <w:t>,</w:t>
      </w:r>
      <w:r>
        <w:rPr>
          <w:rFonts w:ascii="Bookman Old Style" w:hAnsi="Bookman Old Style" w:cs="Arial"/>
        </w:rPr>
        <w:t xml:space="preserve"> el gestor del mercado</w:t>
      </w:r>
      <w:r w:rsidR="00387BF0">
        <w:rPr>
          <w:rFonts w:ascii="Bookman Old Style" w:hAnsi="Bookman Old Style" w:cs="Arial"/>
        </w:rPr>
        <w:t xml:space="preserve"> de gas natural</w:t>
      </w:r>
      <w:r>
        <w:rPr>
          <w:rFonts w:ascii="Bookman Old Style" w:hAnsi="Bookman Old Style" w:cs="Arial"/>
        </w:rPr>
        <w:t xml:space="preserve"> deberá</w:t>
      </w:r>
      <w:r w:rsidR="006D16FC">
        <w:rPr>
          <w:rFonts w:ascii="Bookman Old Style" w:hAnsi="Bookman Old Style" w:cs="Arial"/>
        </w:rPr>
        <w:t>, mediante comunicación escrita dirigida a la CREG,</w:t>
      </w:r>
      <w:r>
        <w:rPr>
          <w:rFonts w:ascii="Bookman Old Style" w:hAnsi="Bookman Old Style" w:cs="Arial"/>
        </w:rPr>
        <w:t xml:space="preserve"> </w:t>
      </w:r>
      <w:r w:rsidR="00972CD8">
        <w:rPr>
          <w:rFonts w:ascii="Bookman Old Style" w:hAnsi="Bookman Old Style" w:cs="Arial"/>
        </w:rPr>
        <w:t xml:space="preserve">proponer </w:t>
      </w:r>
      <w:r>
        <w:rPr>
          <w:rFonts w:ascii="Bookman Old Style" w:hAnsi="Bookman Old Style" w:cs="Arial"/>
        </w:rPr>
        <w:t xml:space="preserve">cómo va a realizar </w:t>
      </w:r>
      <w:r w:rsidR="00A126A0">
        <w:rPr>
          <w:rFonts w:ascii="Bookman Old Style" w:hAnsi="Bookman Old Style" w:cs="Arial"/>
        </w:rPr>
        <w:t>la estimación</w:t>
      </w:r>
      <w:r w:rsidR="006D16FC">
        <w:rPr>
          <w:rFonts w:ascii="Bookman Old Style" w:hAnsi="Bookman Old Style" w:cs="Arial"/>
        </w:rPr>
        <w:t xml:space="preserve"> de cada indicador y qué plazo requiere </w:t>
      </w:r>
      <w:r w:rsidR="00A77790">
        <w:rPr>
          <w:rFonts w:ascii="Bookman Old Style" w:hAnsi="Bookman Old Style" w:cs="Arial"/>
        </w:rPr>
        <w:t>en cada caso, teniendo en cuenta el tiempo máximo de cálculo</w:t>
      </w:r>
      <w:r w:rsidR="000732E3">
        <w:rPr>
          <w:rFonts w:ascii="Bookman Old Style" w:hAnsi="Bookman Old Style" w:cs="Arial"/>
        </w:rPr>
        <w:t xml:space="preserve"> y publicación</w:t>
      </w:r>
      <w:r w:rsidR="00A77790">
        <w:rPr>
          <w:rFonts w:ascii="Bookman Old Style" w:hAnsi="Bookman Old Style" w:cs="Arial"/>
        </w:rPr>
        <w:t xml:space="preserve"> que se señala en el art</w:t>
      </w:r>
      <w:r w:rsidR="00A126A0">
        <w:rPr>
          <w:rFonts w:ascii="Bookman Old Style" w:hAnsi="Bookman Old Style" w:cs="Arial"/>
        </w:rPr>
        <w:t>ículo 3 de esta r</w:t>
      </w:r>
      <w:r w:rsidR="00A77790">
        <w:rPr>
          <w:rFonts w:ascii="Bookman Old Style" w:hAnsi="Bookman Old Style" w:cs="Arial"/>
        </w:rPr>
        <w:t>esolución.</w:t>
      </w:r>
    </w:p>
    <w:p w:rsidR="000D67AA" w:rsidRDefault="000D67AA" w:rsidP="000D67AA">
      <w:pPr>
        <w:ind w:left="0"/>
        <w:jc w:val="both"/>
        <w:rPr>
          <w:rFonts w:ascii="Bookman Old Style" w:hAnsi="Bookman Old Style" w:cs="Arial"/>
        </w:rPr>
      </w:pPr>
    </w:p>
    <w:p w:rsidR="000D67AA" w:rsidRPr="000D67AA" w:rsidRDefault="000D67AA" w:rsidP="000D67AA">
      <w:pPr>
        <w:ind w:left="0"/>
        <w:jc w:val="both"/>
        <w:rPr>
          <w:rFonts w:ascii="Bookman Old Style" w:hAnsi="Bookman Old Style" w:cs="Arial"/>
        </w:rPr>
      </w:pPr>
      <w:r>
        <w:rPr>
          <w:rFonts w:ascii="Bookman Old Style" w:hAnsi="Bookman Old Style" w:cs="Arial"/>
          <w:b/>
        </w:rPr>
        <w:t>Parágrafo</w:t>
      </w:r>
      <w:r w:rsidR="00A77790">
        <w:rPr>
          <w:rFonts w:ascii="Bookman Old Style" w:hAnsi="Bookman Old Style" w:cs="Arial"/>
          <w:b/>
        </w:rPr>
        <w:t xml:space="preserve"> 1</w:t>
      </w:r>
      <w:r>
        <w:rPr>
          <w:rFonts w:ascii="Bookman Old Style" w:hAnsi="Bookman Old Style" w:cs="Arial"/>
          <w:b/>
        </w:rPr>
        <w:t xml:space="preserve">. </w:t>
      </w:r>
      <w:r w:rsidR="00972CD8">
        <w:rPr>
          <w:rFonts w:ascii="Bookman Old Style" w:hAnsi="Bookman Old Style" w:cs="Arial"/>
        </w:rPr>
        <w:t>M</w:t>
      </w:r>
      <w:r>
        <w:rPr>
          <w:rFonts w:ascii="Bookman Old Style" w:hAnsi="Bookman Old Style" w:cs="Arial"/>
        </w:rPr>
        <w:t>ediante comunicación escrita</w:t>
      </w:r>
      <w:r w:rsidR="00972CD8" w:rsidRPr="00972CD8">
        <w:rPr>
          <w:rFonts w:ascii="Bookman Old Style" w:hAnsi="Bookman Old Style" w:cs="Arial"/>
        </w:rPr>
        <w:t xml:space="preserve"> </w:t>
      </w:r>
      <w:r w:rsidR="00972CD8">
        <w:rPr>
          <w:rFonts w:ascii="Bookman Old Style" w:hAnsi="Bookman Old Style" w:cs="Arial"/>
        </w:rPr>
        <w:t>al gestor del mercado de gas natural, la Dirección Ejecutiva de la CREG</w:t>
      </w:r>
      <w:r>
        <w:rPr>
          <w:rFonts w:ascii="Bookman Old Style" w:hAnsi="Bookman Old Style" w:cs="Arial"/>
        </w:rPr>
        <w:t xml:space="preserve"> </w:t>
      </w:r>
      <w:r w:rsidR="00972CD8">
        <w:rPr>
          <w:rFonts w:ascii="Bookman Old Style" w:hAnsi="Bookman Old Style" w:cs="Arial"/>
        </w:rPr>
        <w:t>informará la manera d</w:t>
      </w:r>
      <w:r w:rsidR="00582C8B">
        <w:rPr>
          <w:rFonts w:ascii="Bookman Old Style" w:hAnsi="Bookman Old Style" w:cs="Arial"/>
        </w:rPr>
        <w:t xml:space="preserve">el cálculo de </w:t>
      </w:r>
      <w:r w:rsidR="00972CD8">
        <w:rPr>
          <w:rFonts w:ascii="Bookman Old Style" w:hAnsi="Bookman Old Style" w:cs="Arial"/>
        </w:rPr>
        <w:t>los</w:t>
      </w:r>
      <w:r w:rsidR="00582C8B">
        <w:rPr>
          <w:rFonts w:ascii="Bookman Old Style" w:hAnsi="Bookman Old Style" w:cs="Arial"/>
        </w:rPr>
        <w:t xml:space="preserve"> indicadores</w:t>
      </w:r>
      <w:r w:rsidR="00972CD8">
        <w:rPr>
          <w:rFonts w:ascii="Bookman Old Style" w:hAnsi="Bookman Old Style" w:cs="Arial"/>
        </w:rPr>
        <w:t>, con los ajustes que considerare pertinentes</w:t>
      </w:r>
      <w:r w:rsidR="00582C8B">
        <w:rPr>
          <w:rFonts w:ascii="Bookman Old Style" w:hAnsi="Bookman Old Style" w:cs="Arial"/>
        </w:rPr>
        <w:t>.</w:t>
      </w:r>
    </w:p>
    <w:p w:rsidR="000D67AA" w:rsidRDefault="000D67AA" w:rsidP="000D67AA">
      <w:pPr>
        <w:ind w:left="0"/>
        <w:jc w:val="both"/>
        <w:rPr>
          <w:rFonts w:ascii="Bookman Old Style" w:hAnsi="Bookman Old Style" w:cs="Arial"/>
        </w:rPr>
      </w:pPr>
    </w:p>
    <w:p w:rsidR="00A77790" w:rsidRPr="000D67AA" w:rsidRDefault="00A77790" w:rsidP="00A77790">
      <w:pPr>
        <w:ind w:left="0"/>
        <w:jc w:val="both"/>
        <w:rPr>
          <w:rFonts w:ascii="Bookman Old Style" w:hAnsi="Bookman Old Style" w:cs="Arial"/>
        </w:rPr>
      </w:pPr>
      <w:r>
        <w:rPr>
          <w:rFonts w:ascii="Bookman Old Style" w:hAnsi="Bookman Old Style" w:cs="Arial"/>
          <w:b/>
        </w:rPr>
        <w:t xml:space="preserve">Parágrafo 2. </w:t>
      </w:r>
      <w:r w:rsidR="00972CD8" w:rsidRPr="00F95DF1">
        <w:rPr>
          <w:rFonts w:ascii="Bookman Old Style" w:hAnsi="Bookman Old Style" w:cs="Arial"/>
        </w:rPr>
        <w:t xml:space="preserve">Mediante </w:t>
      </w:r>
      <w:r w:rsidR="00972CD8">
        <w:rPr>
          <w:rFonts w:ascii="Bookman Old Style" w:hAnsi="Bookman Old Style" w:cs="Arial"/>
        </w:rPr>
        <w:t xml:space="preserve">circular CREG, </w:t>
      </w:r>
      <w:r>
        <w:rPr>
          <w:rFonts w:ascii="Bookman Old Style" w:hAnsi="Bookman Old Style" w:cs="Arial"/>
        </w:rPr>
        <w:t xml:space="preserve">se anunciará </w:t>
      </w:r>
      <w:r w:rsidR="00972CD8">
        <w:rPr>
          <w:rFonts w:ascii="Bookman Old Style" w:hAnsi="Bookman Old Style" w:cs="Arial"/>
        </w:rPr>
        <w:t>el cronograma de publicación de</w:t>
      </w:r>
      <w:r>
        <w:rPr>
          <w:rFonts w:ascii="Bookman Old Style" w:hAnsi="Bookman Old Style" w:cs="Arial"/>
        </w:rPr>
        <w:t xml:space="preserve"> cada indicador</w:t>
      </w:r>
      <w:r w:rsidR="00972CD8">
        <w:rPr>
          <w:rFonts w:ascii="Bookman Old Style" w:hAnsi="Bookman Old Style" w:cs="Arial"/>
        </w:rPr>
        <w:t>, con los ajustes que la CREG considerare pertinentes</w:t>
      </w:r>
      <w:r>
        <w:rPr>
          <w:rFonts w:ascii="Bookman Old Style" w:hAnsi="Bookman Old Style" w:cs="Arial"/>
        </w:rPr>
        <w:t>.</w:t>
      </w:r>
    </w:p>
    <w:p w:rsidR="00A77790" w:rsidRDefault="00A77790" w:rsidP="000D67AA">
      <w:pPr>
        <w:ind w:left="0"/>
        <w:jc w:val="both"/>
        <w:rPr>
          <w:rFonts w:ascii="Bookman Old Style" w:hAnsi="Bookman Old Style" w:cs="Arial"/>
        </w:rPr>
      </w:pPr>
    </w:p>
    <w:p w:rsidR="000D67AA" w:rsidRDefault="000D67AA" w:rsidP="000D67AA">
      <w:pPr>
        <w:ind w:left="0"/>
        <w:jc w:val="both"/>
        <w:rPr>
          <w:rFonts w:ascii="Bookman Old Style" w:hAnsi="Bookman Old Style" w:cs="Bookman Old Style"/>
          <w:color w:val="000000"/>
          <w:lang w:eastAsia="es-CO"/>
        </w:rPr>
      </w:pPr>
      <w:r>
        <w:rPr>
          <w:rFonts w:ascii="Bookman Old Style" w:hAnsi="Bookman Old Style" w:cs="Arial"/>
          <w:b/>
        </w:rPr>
        <w:t xml:space="preserve">Artículo </w:t>
      </w:r>
      <w:r w:rsidR="00AD1DE8">
        <w:rPr>
          <w:rFonts w:ascii="Bookman Old Style" w:hAnsi="Bookman Old Style" w:cs="Arial"/>
          <w:b/>
        </w:rPr>
        <w:t>3</w:t>
      </w:r>
      <w:r>
        <w:rPr>
          <w:rFonts w:ascii="Bookman Old Style" w:hAnsi="Bookman Old Style" w:cs="Arial"/>
          <w:b/>
        </w:rPr>
        <w:t xml:space="preserve">. Aplicación. </w:t>
      </w:r>
      <w:r w:rsidR="00BF58BD">
        <w:rPr>
          <w:rFonts w:ascii="Bookman Old Style" w:hAnsi="Bookman Old Style" w:cs="Bookman Old Style"/>
          <w:color w:val="000000"/>
          <w:lang w:eastAsia="es-CO"/>
        </w:rPr>
        <w:t xml:space="preserve">El gestor del mercado deberá publicar todos los resultados de los indicadores que se ordenan en el artículo 1 de esta </w:t>
      </w:r>
      <w:r w:rsidR="00BF58BD">
        <w:rPr>
          <w:rFonts w:ascii="Bookman Old Style" w:hAnsi="Bookman Old Style" w:cs="Bookman Old Style"/>
          <w:color w:val="000000"/>
          <w:lang w:eastAsia="es-CO"/>
        </w:rPr>
        <w:lastRenderedPageBreak/>
        <w:t xml:space="preserve">Resolución a más tardar el undécimo día hábil del mes que inicie inmediatamente después de cumplirse 60 días calendario de la entrada en vigencia de esta resolución. Con este fin, el </w:t>
      </w:r>
      <w:r>
        <w:rPr>
          <w:rFonts w:ascii="Bookman Old Style" w:hAnsi="Bookman Old Style" w:cs="Bookman Old Style"/>
          <w:color w:val="000000"/>
          <w:lang w:eastAsia="es-CO"/>
        </w:rPr>
        <w:t>gestor del mercado de gas natural</w:t>
      </w:r>
      <w:r w:rsidRPr="00E54525">
        <w:rPr>
          <w:rFonts w:ascii="Bookman Old Style" w:hAnsi="Bookman Old Style" w:cs="Bookman Old Style"/>
          <w:color w:val="000000"/>
          <w:lang w:eastAsia="es-CO"/>
        </w:rPr>
        <w:t xml:space="preserve"> deberá implementar </w:t>
      </w:r>
      <w:r w:rsidR="00BF58BD">
        <w:rPr>
          <w:rFonts w:ascii="Bookman Old Style" w:hAnsi="Bookman Old Style" w:cs="Bookman Old Style"/>
          <w:color w:val="000000"/>
          <w:lang w:eastAsia="es-CO"/>
        </w:rPr>
        <w:t xml:space="preserve">oportunamente </w:t>
      </w:r>
      <w:r w:rsidRPr="00E54525">
        <w:rPr>
          <w:rFonts w:ascii="Bookman Old Style" w:hAnsi="Bookman Old Style" w:cs="Bookman Old Style"/>
          <w:color w:val="000000"/>
          <w:lang w:eastAsia="es-CO"/>
        </w:rPr>
        <w:t xml:space="preserve">las herramientas y procesos que permitan el cálculo de </w:t>
      </w:r>
      <w:r>
        <w:rPr>
          <w:rFonts w:ascii="Bookman Old Style" w:hAnsi="Bookman Old Style" w:cs="Bookman Old Style"/>
          <w:color w:val="000000"/>
          <w:lang w:eastAsia="es-CO"/>
        </w:rPr>
        <w:t>los</w:t>
      </w:r>
      <w:r w:rsidRPr="00E54525">
        <w:rPr>
          <w:rFonts w:ascii="Bookman Old Style" w:hAnsi="Bookman Old Style" w:cs="Bookman Old Style"/>
          <w:color w:val="000000"/>
          <w:lang w:eastAsia="es-CO"/>
        </w:rPr>
        <w:t xml:space="preserve"> </w:t>
      </w:r>
      <w:r>
        <w:rPr>
          <w:rFonts w:ascii="Bookman Old Style" w:hAnsi="Bookman Old Style" w:cs="Bookman Old Style"/>
          <w:color w:val="000000"/>
          <w:lang w:eastAsia="es-CO"/>
        </w:rPr>
        <w:t>indicadores señalados en el artículo 1 de esta resolución</w:t>
      </w:r>
      <w:r w:rsidR="00BF58BD">
        <w:rPr>
          <w:rFonts w:ascii="Bookman Old Style" w:hAnsi="Bookman Old Style" w:cs="Bookman Old Style"/>
          <w:color w:val="000000"/>
          <w:lang w:eastAsia="es-CO"/>
        </w:rPr>
        <w:t>.</w:t>
      </w:r>
    </w:p>
    <w:p w:rsidR="007669F7" w:rsidRDefault="007669F7" w:rsidP="000D67AA">
      <w:pPr>
        <w:ind w:left="0"/>
        <w:jc w:val="both"/>
        <w:rPr>
          <w:rFonts w:ascii="Bookman Old Style" w:hAnsi="Bookman Old Style" w:cs="Bookman Old Style"/>
          <w:color w:val="000000"/>
          <w:lang w:eastAsia="es-CO"/>
        </w:rPr>
      </w:pPr>
    </w:p>
    <w:p w:rsidR="006977E6" w:rsidRPr="006977E6" w:rsidRDefault="006977E6" w:rsidP="000D67AA">
      <w:pPr>
        <w:ind w:left="0"/>
        <w:jc w:val="both"/>
        <w:rPr>
          <w:rFonts w:ascii="Bookman Old Style" w:hAnsi="Bookman Old Style" w:cs="Bookman Old Style"/>
          <w:color w:val="000000"/>
          <w:lang w:eastAsia="es-CO"/>
        </w:rPr>
      </w:pPr>
      <w:r>
        <w:rPr>
          <w:rFonts w:ascii="Bookman Old Style" w:hAnsi="Bookman Old Style" w:cs="Bookman Old Style"/>
          <w:b/>
          <w:color w:val="000000"/>
          <w:lang w:eastAsia="es-CO"/>
        </w:rPr>
        <w:t xml:space="preserve">Parágrafo </w:t>
      </w:r>
      <w:r w:rsidR="00BF58BD">
        <w:rPr>
          <w:rFonts w:ascii="Bookman Old Style" w:hAnsi="Bookman Old Style" w:cs="Bookman Old Style"/>
          <w:b/>
          <w:color w:val="000000"/>
          <w:lang w:eastAsia="es-CO"/>
        </w:rPr>
        <w:t>1</w:t>
      </w:r>
      <w:r>
        <w:rPr>
          <w:rFonts w:ascii="Bookman Old Style" w:hAnsi="Bookman Old Style" w:cs="Bookman Old Style"/>
          <w:b/>
          <w:color w:val="000000"/>
          <w:lang w:eastAsia="es-CO"/>
        </w:rPr>
        <w:t xml:space="preserve">. </w:t>
      </w:r>
      <w:r>
        <w:rPr>
          <w:rFonts w:ascii="Bookman Old Style" w:hAnsi="Bookman Old Style" w:cs="Bookman Old Style"/>
          <w:color w:val="000000"/>
          <w:lang w:eastAsia="es-CO"/>
        </w:rPr>
        <w:t>Las herramientas y procesos que desarrolle el gestor del mercado de gas natural deberán contener la memoria de cálculo de cada uno de los indicadores.</w:t>
      </w:r>
    </w:p>
    <w:p w:rsidR="006977E6" w:rsidRDefault="006977E6" w:rsidP="000D67AA">
      <w:pPr>
        <w:ind w:left="0"/>
        <w:jc w:val="both"/>
        <w:rPr>
          <w:rFonts w:ascii="Bookman Old Style" w:hAnsi="Bookman Old Style" w:cs="Bookman Old Style"/>
          <w:b/>
          <w:color w:val="000000"/>
          <w:lang w:eastAsia="es-CO"/>
        </w:rPr>
      </w:pPr>
    </w:p>
    <w:p w:rsidR="00AD1DE8" w:rsidRPr="00AD1DE8" w:rsidRDefault="00AD1DE8" w:rsidP="000D67AA">
      <w:pPr>
        <w:ind w:left="0"/>
        <w:jc w:val="both"/>
        <w:rPr>
          <w:rFonts w:ascii="Bookman Old Style" w:hAnsi="Bookman Old Style" w:cs="Bookman Old Style"/>
          <w:color w:val="000000"/>
          <w:lang w:eastAsia="es-CO"/>
        </w:rPr>
      </w:pPr>
      <w:r>
        <w:rPr>
          <w:rFonts w:ascii="Bookman Old Style" w:hAnsi="Bookman Old Style" w:cs="Bookman Old Style"/>
          <w:b/>
          <w:color w:val="000000"/>
          <w:lang w:eastAsia="es-CO"/>
        </w:rPr>
        <w:t xml:space="preserve">Parágrafo </w:t>
      </w:r>
      <w:r w:rsidR="00BF58BD">
        <w:rPr>
          <w:rFonts w:ascii="Bookman Old Style" w:hAnsi="Bookman Old Style" w:cs="Bookman Old Style"/>
          <w:b/>
          <w:color w:val="000000"/>
          <w:lang w:eastAsia="es-CO"/>
        </w:rPr>
        <w:t>2</w:t>
      </w:r>
      <w:r>
        <w:rPr>
          <w:rFonts w:ascii="Bookman Old Style" w:hAnsi="Bookman Old Style" w:cs="Bookman Old Style"/>
          <w:b/>
          <w:color w:val="000000"/>
          <w:lang w:eastAsia="es-CO"/>
        </w:rPr>
        <w:t xml:space="preserve">. </w:t>
      </w:r>
      <w:r w:rsidR="00BF58BD">
        <w:rPr>
          <w:rFonts w:ascii="Bookman Old Style" w:hAnsi="Bookman Old Style" w:cs="Bookman Old Style"/>
          <w:color w:val="000000"/>
          <w:lang w:eastAsia="es-CO"/>
        </w:rPr>
        <w:t xml:space="preserve">Para </w:t>
      </w:r>
      <w:r>
        <w:rPr>
          <w:rFonts w:ascii="Bookman Old Style" w:hAnsi="Bookman Old Style" w:cs="Bookman Old Style"/>
          <w:color w:val="000000"/>
          <w:lang w:eastAsia="es-CO"/>
        </w:rPr>
        <w:t xml:space="preserve">el cálculo </w:t>
      </w:r>
      <w:r w:rsidR="00BF58BD">
        <w:rPr>
          <w:rFonts w:ascii="Bookman Old Style" w:hAnsi="Bookman Old Style" w:cs="Bookman Old Style"/>
          <w:color w:val="000000"/>
          <w:lang w:eastAsia="es-CO"/>
        </w:rPr>
        <w:t xml:space="preserve">adecuado </w:t>
      </w:r>
      <w:r>
        <w:rPr>
          <w:rFonts w:ascii="Bookman Old Style" w:hAnsi="Bookman Old Style" w:cs="Bookman Old Style"/>
          <w:color w:val="000000"/>
          <w:lang w:eastAsia="es-CO"/>
        </w:rPr>
        <w:t>de los indicadores</w:t>
      </w:r>
      <w:r w:rsidR="00BF58BD">
        <w:rPr>
          <w:rFonts w:ascii="Bookman Old Style" w:hAnsi="Bookman Old Style" w:cs="Bookman Old Style"/>
          <w:color w:val="000000"/>
          <w:lang w:eastAsia="es-CO"/>
        </w:rPr>
        <w:t>,</w:t>
      </w:r>
      <w:r>
        <w:rPr>
          <w:rFonts w:ascii="Bookman Old Style" w:hAnsi="Bookman Old Style" w:cs="Bookman Old Style"/>
          <w:color w:val="000000"/>
          <w:lang w:eastAsia="es-CO"/>
        </w:rPr>
        <w:t xml:space="preserve"> el gestor del mercado</w:t>
      </w:r>
      <w:r w:rsidR="00BF58BD">
        <w:rPr>
          <w:rFonts w:ascii="Bookman Old Style" w:hAnsi="Bookman Old Style" w:cs="Bookman Old Style"/>
          <w:color w:val="000000"/>
          <w:lang w:eastAsia="es-CO"/>
        </w:rPr>
        <w:t xml:space="preserve"> deberá determinar</w:t>
      </w:r>
      <w:r w:rsidR="006A7A1B">
        <w:rPr>
          <w:rFonts w:ascii="Bookman Old Style" w:hAnsi="Bookman Old Style" w:cs="Bookman Old Style"/>
          <w:color w:val="000000"/>
          <w:lang w:eastAsia="es-CO"/>
        </w:rPr>
        <w:t xml:space="preserve"> y publicar oportunamente</w:t>
      </w:r>
      <w:r>
        <w:rPr>
          <w:rFonts w:ascii="Bookman Old Style" w:hAnsi="Bookman Old Style" w:cs="Bookman Old Style"/>
          <w:color w:val="000000"/>
          <w:lang w:eastAsia="es-CO"/>
        </w:rPr>
        <w:t xml:space="preserve"> los procedimientos, </w:t>
      </w:r>
      <w:r w:rsidR="00BF58BD">
        <w:rPr>
          <w:rFonts w:ascii="Bookman Old Style" w:hAnsi="Bookman Old Style" w:cs="Bookman Old Style"/>
          <w:color w:val="000000"/>
          <w:lang w:eastAsia="es-CO"/>
        </w:rPr>
        <w:t xml:space="preserve">maneras, </w:t>
      </w:r>
      <w:r>
        <w:rPr>
          <w:rFonts w:ascii="Bookman Old Style" w:hAnsi="Bookman Old Style" w:cs="Bookman Old Style"/>
          <w:color w:val="000000"/>
          <w:lang w:eastAsia="es-CO"/>
        </w:rPr>
        <w:t xml:space="preserve">medios y </w:t>
      </w:r>
      <w:r w:rsidR="00BF58BD">
        <w:rPr>
          <w:rFonts w:ascii="Bookman Old Style" w:hAnsi="Bookman Old Style" w:cs="Bookman Old Style"/>
          <w:color w:val="000000"/>
          <w:lang w:eastAsia="es-CO"/>
        </w:rPr>
        <w:t xml:space="preserve">plazos </w:t>
      </w:r>
      <w:r w:rsidR="006A7A1B">
        <w:rPr>
          <w:rFonts w:ascii="Bookman Old Style" w:hAnsi="Bookman Old Style" w:cs="Bookman Old Style"/>
          <w:color w:val="000000"/>
          <w:lang w:eastAsia="es-CO"/>
        </w:rPr>
        <w:t>de reporte de la información. Los agentes del mercado deberán declarar esa información al gestor de acuerdo con tales procedimientos, maneras, medios y plazos de reporte.</w:t>
      </w:r>
    </w:p>
    <w:p w:rsidR="00AD1DE8" w:rsidRDefault="00AD1DE8" w:rsidP="000D67AA">
      <w:pPr>
        <w:ind w:left="0"/>
        <w:jc w:val="both"/>
        <w:rPr>
          <w:rFonts w:ascii="Bookman Old Style" w:hAnsi="Bookman Old Style" w:cs="Bookman Old Style"/>
          <w:b/>
          <w:color w:val="000000"/>
          <w:lang w:eastAsia="es-CO"/>
        </w:rPr>
      </w:pPr>
    </w:p>
    <w:p w:rsidR="000D67AA" w:rsidRPr="00E54525" w:rsidRDefault="000D67AA" w:rsidP="000D67AA">
      <w:pPr>
        <w:ind w:left="0"/>
        <w:jc w:val="both"/>
        <w:rPr>
          <w:rFonts w:ascii="Bookman Old Style" w:hAnsi="Bookman Old Style" w:cs="Bookman Old Style"/>
          <w:color w:val="000000"/>
          <w:lang w:eastAsia="es-CO"/>
        </w:rPr>
      </w:pPr>
      <w:r w:rsidRPr="00557744">
        <w:rPr>
          <w:rFonts w:ascii="Bookman Old Style" w:hAnsi="Bookman Old Style" w:cs="Arial"/>
          <w:b/>
          <w:color w:val="000000"/>
        </w:rPr>
        <w:t xml:space="preserve">Artículo </w:t>
      </w:r>
      <w:r w:rsidR="00255BB3">
        <w:rPr>
          <w:rFonts w:ascii="Bookman Old Style" w:hAnsi="Bookman Old Style" w:cs="Arial"/>
          <w:b/>
          <w:color w:val="000000"/>
        </w:rPr>
        <w:t>4</w:t>
      </w:r>
      <w:r w:rsidRPr="00557744">
        <w:rPr>
          <w:rFonts w:ascii="Bookman Old Style" w:hAnsi="Bookman Old Style" w:cs="Arial"/>
          <w:b/>
          <w:color w:val="000000"/>
        </w:rPr>
        <w:t xml:space="preserve">. </w:t>
      </w:r>
      <w:r>
        <w:rPr>
          <w:rFonts w:ascii="Bookman Old Style" w:hAnsi="Bookman Old Style" w:cs="Arial"/>
          <w:b/>
        </w:rPr>
        <w:t xml:space="preserve">Divulgación.  </w:t>
      </w:r>
      <w:r>
        <w:rPr>
          <w:rFonts w:ascii="Bookman Old Style" w:hAnsi="Bookman Old Style" w:cs="Bookman Old Style"/>
          <w:color w:val="000000"/>
          <w:lang w:eastAsia="es-CO"/>
        </w:rPr>
        <w:t xml:space="preserve">El gestor del mercado de gas natural divulgará </w:t>
      </w:r>
      <w:r w:rsidR="00255BB3">
        <w:rPr>
          <w:rFonts w:ascii="Bookman Old Style" w:hAnsi="Bookman Old Style" w:cs="Bookman Old Style"/>
          <w:color w:val="000000"/>
          <w:lang w:eastAsia="es-CO"/>
        </w:rPr>
        <w:t xml:space="preserve">en el BEC </w:t>
      </w:r>
      <w:r w:rsidR="0090013C">
        <w:rPr>
          <w:rFonts w:ascii="Bookman Old Style" w:hAnsi="Bookman Old Style" w:cs="Bookman Old Style"/>
          <w:color w:val="000000"/>
          <w:lang w:eastAsia="es-CO"/>
        </w:rPr>
        <w:t>el cálculo de los indicadores</w:t>
      </w:r>
      <w:r w:rsidR="006A7A1B">
        <w:rPr>
          <w:rFonts w:ascii="Bookman Old Style" w:hAnsi="Bookman Old Style" w:cs="Bookman Old Style"/>
          <w:color w:val="000000"/>
          <w:lang w:eastAsia="es-CO"/>
        </w:rPr>
        <w:t xml:space="preserve"> destinados para el público general de acuerdo con el artículo 1 de la presente resolución</w:t>
      </w:r>
      <w:r w:rsidR="0090013C">
        <w:rPr>
          <w:rFonts w:ascii="Bookman Old Style" w:hAnsi="Bookman Old Style" w:cs="Bookman Old Style"/>
          <w:color w:val="000000"/>
          <w:lang w:eastAsia="es-CO"/>
        </w:rPr>
        <w:t>.</w:t>
      </w:r>
    </w:p>
    <w:p w:rsidR="0090013C" w:rsidRDefault="0090013C" w:rsidP="0090013C">
      <w:pPr>
        <w:ind w:left="0"/>
        <w:jc w:val="both"/>
        <w:rPr>
          <w:rFonts w:ascii="Bookman Old Style" w:hAnsi="Bookman Old Style" w:cs="Bookman Old Style"/>
          <w:b/>
          <w:color w:val="000000"/>
          <w:lang w:eastAsia="es-CO"/>
        </w:rPr>
      </w:pPr>
    </w:p>
    <w:p w:rsidR="00EA1CA4" w:rsidRDefault="0090013C" w:rsidP="0090013C">
      <w:pPr>
        <w:ind w:left="0"/>
        <w:jc w:val="both"/>
        <w:rPr>
          <w:rFonts w:ascii="Bookman Old Style" w:hAnsi="Bookman Old Style" w:cs="Bookman Old Style"/>
          <w:color w:val="000000"/>
          <w:lang w:eastAsia="es-CO"/>
        </w:rPr>
      </w:pPr>
      <w:r>
        <w:rPr>
          <w:rFonts w:ascii="Bookman Old Style" w:hAnsi="Bookman Old Style" w:cs="Bookman Old Style"/>
          <w:b/>
          <w:color w:val="000000"/>
          <w:lang w:eastAsia="es-CO"/>
        </w:rPr>
        <w:t>Parágrafo</w:t>
      </w:r>
      <w:r w:rsidR="00C472B5">
        <w:rPr>
          <w:rFonts w:ascii="Bookman Old Style" w:hAnsi="Bookman Old Style" w:cs="Bookman Old Style"/>
          <w:b/>
          <w:color w:val="000000"/>
          <w:lang w:eastAsia="es-CO"/>
        </w:rPr>
        <w:t xml:space="preserve"> 1</w:t>
      </w:r>
      <w:r>
        <w:rPr>
          <w:rFonts w:ascii="Bookman Old Style" w:hAnsi="Bookman Old Style" w:cs="Bookman Old Style"/>
          <w:b/>
          <w:color w:val="000000"/>
          <w:lang w:eastAsia="es-CO"/>
        </w:rPr>
        <w:t xml:space="preserve">. </w:t>
      </w:r>
      <w:r w:rsidR="0051101E">
        <w:rPr>
          <w:rFonts w:ascii="Bookman Old Style" w:hAnsi="Bookman Old Style" w:cs="Bookman Old Style"/>
          <w:color w:val="000000"/>
          <w:lang w:eastAsia="es-CO"/>
        </w:rPr>
        <w:t>Con periodicidad mensual,</w:t>
      </w:r>
      <w:r>
        <w:rPr>
          <w:rFonts w:ascii="Bookman Old Style" w:hAnsi="Bookman Old Style" w:cs="Bookman Old Style"/>
          <w:color w:val="000000"/>
          <w:lang w:eastAsia="es-CO"/>
        </w:rPr>
        <w:t xml:space="preserve"> el gestor del mercado</w:t>
      </w:r>
      <w:r w:rsidR="00EA1CA4">
        <w:rPr>
          <w:rFonts w:ascii="Bookman Old Style" w:hAnsi="Bookman Old Style" w:cs="Bookman Old Style"/>
          <w:color w:val="000000"/>
          <w:lang w:eastAsia="es-CO"/>
        </w:rPr>
        <w:t xml:space="preserve"> de gas natural</w:t>
      </w:r>
      <w:r>
        <w:rPr>
          <w:rFonts w:ascii="Bookman Old Style" w:hAnsi="Bookman Old Style" w:cs="Bookman Old Style"/>
          <w:color w:val="000000"/>
          <w:lang w:eastAsia="es-CO"/>
        </w:rPr>
        <w:t xml:space="preserve"> </w:t>
      </w:r>
      <w:r w:rsidR="00EA1CA4">
        <w:rPr>
          <w:rFonts w:ascii="Bookman Old Style" w:hAnsi="Bookman Old Style" w:cs="Bookman Old Style"/>
          <w:color w:val="000000"/>
          <w:lang w:eastAsia="es-CO"/>
        </w:rPr>
        <w:t xml:space="preserve">remitirá </w:t>
      </w:r>
      <w:r w:rsidR="0051101E">
        <w:rPr>
          <w:rFonts w:ascii="Bookman Old Style" w:hAnsi="Bookman Old Style" w:cs="Bookman Old Style"/>
          <w:color w:val="000000"/>
          <w:lang w:eastAsia="es-CO"/>
        </w:rPr>
        <w:t xml:space="preserve">a la SSPD, la CREG y la SIC </w:t>
      </w:r>
      <w:r w:rsidR="00EA1CA4">
        <w:rPr>
          <w:rFonts w:ascii="Bookman Old Style" w:hAnsi="Bookman Old Style" w:cs="Bookman Old Style"/>
          <w:color w:val="000000"/>
          <w:lang w:eastAsia="es-CO"/>
        </w:rPr>
        <w:t xml:space="preserve">un boletín </w:t>
      </w:r>
      <w:r w:rsidR="0051101E">
        <w:rPr>
          <w:rFonts w:ascii="Bookman Old Style" w:hAnsi="Bookman Old Style" w:cs="Bookman Old Style"/>
          <w:color w:val="000000"/>
          <w:lang w:eastAsia="es-CO"/>
        </w:rPr>
        <w:t xml:space="preserve">con los resultados </w:t>
      </w:r>
      <w:r w:rsidR="00EA1CA4">
        <w:rPr>
          <w:rFonts w:ascii="Bookman Old Style" w:hAnsi="Bookman Old Style" w:cs="Bookman Old Style"/>
          <w:color w:val="000000"/>
          <w:lang w:eastAsia="es-CO"/>
        </w:rPr>
        <w:t xml:space="preserve">de los indicadores </w:t>
      </w:r>
      <w:r w:rsidR="0051101E">
        <w:rPr>
          <w:rFonts w:ascii="Bookman Old Style" w:hAnsi="Bookman Old Style" w:cs="Bookman Old Style"/>
          <w:color w:val="000000"/>
          <w:lang w:eastAsia="es-CO"/>
        </w:rPr>
        <w:t xml:space="preserve">que el artículo 1 de la presente resolución establece como </w:t>
      </w:r>
      <w:r w:rsidR="00E81B2A">
        <w:rPr>
          <w:rFonts w:ascii="Bookman Old Style" w:hAnsi="Bookman Old Style" w:cs="Bookman Old Style"/>
          <w:color w:val="000000"/>
          <w:lang w:eastAsia="es-CO"/>
        </w:rPr>
        <w:t>de consulta restringida</w:t>
      </w:r>
      <w:r w:rsidR="0074647C">
        <w:rPr>
          <w:rFonts w:ascii="Bookman Old Style" w:hAnsi="Bookman Old Style" w:cs="Bookman Old Style"/>
          <w:color w:val="000000"/>
          <w:lang w:eastAsia="es-CO"/>
        </w:rPr>
        <w:t xml:space="preserve"> a esas entidades</w:t>
      </w:r>
      <w:r w:rsidR="00EA1CA4">
        <w:rPr>
          <w:rFonts w:ascii="Bookman Old Style" w:hAnsi="Bookman Old Style" w:cs="Bookman Old Style"/>
          <w:color w:val="000000"/>
          <w:lang w:eastAsia="es-CO"/>
        </w:rPr>
        <w:t>.</w:t>
      </w:r>
    </w:p>
    <w:p w:rsidR="00C472B5" w:rsidRDefault="00C472B5" w:rsidP="0090013C">
      <w:pPr>
        <w:ind w:left="0"/>
        <w:jc w:val="both"/>
        <w:rPr>
          <w:rFonts w:ascii="Bookman Old Style" w:hAnsi="Bookman Old Style" w:cs="Bookman Old Style"/>
          <w:color w:val="000000"/>
          <w:lang w:eastAsia="es-CO"/>
        </w:rPr>
      </w:pPr>
    </w:p>
    <w:p w:rsidR="00C472B5" w:rsidRPr="00C472B5" w:rsidRDefault="00C472B5" w:rsidP="0090013C">
      <w:pPr>
        <w:ind w:left="0"/>
        <w:jc w:val="both"/>
        <w:rPr>
          <w:rFonts w:ascii="Bookman Old Style" w:hAnsi="Bookman Old Style" w:cs="Bookman Old Style"/>
          <w:color w:val="000000"/>
          <w:lang w:eastAsia="es-CO"/>
        </w:rPr>
      </w:pPr>
      <w:r>
        <w:rPr>
          <w:rFonts w:ascii="Bookman Old Style" w:hAnsi="Bookman Old Style" w:cs="Bookman Old Style"/>
          <w:b/>
          <w:color w:val="000000"/>
          <w:lang w:eastAsia="es-CO"/>
        </w:rPr>
        <w:t xml:space="preserve">Parágrafo 2. </w:t>
      </w:r>
      <w:r>
        <w:rPr>
          <w:rFonts w:ascii="Bookman Old Style" w:hAnsi="Bookman Old Style" w:cs="Bookman Old Style"/>
          <w:color w:val="000000"/>
          <w:lang w:eastAsia="es-CO"/>
        </w:rPr>
        <w:t xml:space="preserve">Durante los primeros tres meses de cada año calendario, el gestor del mercado de gas natural deberá </w:t>
      </w:r>
      <w:r w:rsidR="0051101E">
        <w:rPr>
          <w:rFonts w:ascii="Bookman Old Style" w:hAnsi="Bookman Old Style" w:cs="Bookman Old Style"/>
          <w:color w:val="000000"/>
          <w:lang w:eastAsia="es-CO"/>
        </w:rPr>
        <w:t xml:space="preserve">publicar </w:t>
      </w:r>
      <w:r>
        <w:rPr>
          <w:rFonts w:ascii="Bookman Old Style" w:hAnsi="Bookman Old Style" w:cs="Bookman Old Style"/>
          <w:color w:val="000000"/>
          <w:lang w:eastAsia="es-CO"/>
        </w:rPr>
        <w:t xml:space="preserve">un boletín </w:t>
      </w:r>
      <w:r w:rsidR="0051101E">
        <w:rPr>
          <w:rFonts w:ascii="Bookman Old Style" w:hAnsi="Bookman Old Style" w:cs="Bookman Old Style"/>
          <w:color w:val="000000"/>
          <w:lang w:eastAsia="es-CO"/>
        </w:rPr>
        <w:t xml:space="preserve">que reporte de manera consolidada </w:t>
      </w:r>
      <w:r>
        <w:rPr>
          <w:rFonts w:ascii="Bookman Old Style" w:hAnsi="Bookman Old Style" w:cs="Bookman Old Style"/>
          <w:color w:val="000000"/>
          <w:lang w:eastAsia="es-CO"/>
        </w:rPr>
        <w:t xml:space="preserve">el resultado de los indicadores </w:t>
      </w:r>
      <w:r w:rsidR="0051101E">
        <w:rPr>
          <w:rFonts w:ascii="Bookman Old Style" w:hAnsi="Bookman Old Style" w:cs="Bookman Old Style"/>
          <w:color w:val="000000"/>
          <w:lang w:eastAsia="es-CO"/>
        </w:rPr>
        <w:t xml:space="preserve">publicados en el BEC durante </w:t>
      </w:r>
      <w:r>
        <w:rPr>
          <w:rFonts w:ascii="Bookman Old Style" w:hAnsi="Bookman Old Style" w:cs="Bookman Old Style"/>
          <w:color w:val="000000"/>
          <w:lang w:eastAsia="es-CO"/>
        </w:rPr>
        <w:t>el año calendario anterior.</w:t>
      </w:r>
      <w:r w:rsidR="00700BBA">
        <w:rPr>
          <w:rFonts w:ascii="Bookman Old Style" w:hAnsi="Bookman Old Style" w:cs="Bookman Old Style"/>
          <w:color w:val="000000"/>
          <w:lang w:eastAsia="es-CO"/>
        </w:rPr>
        <w:t xml:space="preserve"> Este boletín deberá estar disponible en el BEC.</w:t>
      </w:r>
    </w:p>
    <w:p w:rsidR="000D67AA" w:rsidRPr="000D67AA" w:rsidRDefault="000D67AA" w:rsidP="000D67AA">
      <w:pPr>
        <w:autoSpaceDE w:val="0"/>
        <w:autoSpaceDN w:val="0"/>
        <w:adjustRightInd w:val="0"/>
        <w:ind w:left="0"/>
        <w:jc w:val="both"/>
        <w:rPr>
          <w:rFonts w:ascii="Bookman Old Style" w:hAnsi="Bookman Old Style" w:cs="Bookman Old Style"/>
          <w:color w:val="000000"/>
          <w:lang w:eastAsia="es-CO"/>
        </w:rPr>
      </w:pPr>
    </w:p>
    <w:p w:rsidR="00FD650A" w:rsidRPr="00FD650A" w:rsidRDefault="00FD650A" w:rsidP="00FD650A">
      <w:pPr>
        <w:widowControl w:val="0"/>
        <w:adjustRightInd w:val="0"/>
        <w:ind w:left="0"/>
        <w:jc w:val="both"/>
        <w:textAlignment w:val="baseline"/>
        <w:rPr>
          <w:rFonts w:ascii="Bookman Old Style" w:hAnsi="Bookman Old Style"/>
          <w:b/>
        </w:rPr>
      </w:pPr>
      <w:r>
        <w:rPr>
          <w:rFonts w:ascii="Bookman Old Style" w:hAnsi="Bookman Old Style"/>
          <w:b/>
        </w:rPr>
        <w:t xml:space="preserve">Artículo 5. </w:t>
      </w:r>
      <w:r w:rsidRPr="00FD650A">
        <w:rPr>
          <w:rFonts w:ascii="Bookman Old Style" w:hAnsi="Bookman Old Style"/>
          <w:b/>
        </w:rPr>
        <w:t xml:space="preserve">Vigencia. </w:t>
      </w:r>
      <w:r w:rsidRPr="00FD650A">
        <w:rPr>
          <w:rFonts w:ascii="Bookman Old Style" w:hAnsi="Bookman Old Style"/>
        </w:rPr>
        <w:t xml:space="preserve">Esta resolución rige a partir de su publicación en el </w:t>
      </w:r>
      <w:r w:rsidRPr="00FD650A">
        <w:rPr>
          <w:rFonts w:ascii="Bookman Old Style" w:hAnsi="Bookman Old Style"/>
          <w:i/>
        </w:rPr>
        <w:t>Diario Oficial</w:t>
      </w:r>
      <w:r w:rsidRPr="00FD650A">
        <w:rPr>
          <w:rFonts w:ascii="Bookman Old Style" w:hAnsi="Bookman Old Style"/>
        </w:rPr>
        <w:t xml:space="preserve"> y deroga las normas que le sean contrarias. </w:t>
      </w:r>
    </w:p>
    <w:p w:rsidR="00F76AD1" w:rsidRPr="0080722A" w:rsidRDefault="00F76AD1" w:rsidP="0080722A">
      <w:pPr>
        <w:ind w:left="0"/>
        <w:jc w:val="both"/>
        <w:rPr>
          <w:rFonts w:ascii="Bookman Old Style" w:hAnsi="Bookman Old Style"/>
          <w:b/>
          <w:lang w:val="es-CO"/>
        </w:rPr>
      </w:pPr>
    </w:p>
    <w:p w:rsidR="00DD11F8" w:rsidRPr="00557744" w:rsidRDefault="00DD11F8" w:rsidP="00DD11F8">
      <w:pPr>
        <w:jc w:val="center"/>
        <w:rPr>
          <w:rFonts w:ascii="Bookman Old Style" w:hAnsi="Bookman Old Style"/>
          <w:b/>
        </w:rPr>
      </w:pPr>
      <w:r w:rsidRPr="00557744">
        <w:rPr>
          <w:rFonts w:ascii="Bookman Old Style" w:hAnsi="Bookman Old Style"/>
          <w:b/>
        </w:rPr>
        <w:t>PUBLÍQUESE Y CÚMPLASE</w:t>
      </w:r>
    </w:p>
    <w:p w:rsidR="00030FF1" w:rsidRPr="00557744" w:rsidRDefault="00030FF1" w:rsidP="00861186">
      <w:pPr>
        <w:ind w:left="0"/>
        <w:rPr>
          <w:rFonts w:ascii="Bookman Old Style" w:hAnsi="Bookman Old Style"/>
        </w:rPr>
      </w:pPr>
    </w:p>
    <w:p w:rsidR="00DD11F8" w:rsidRPr="00557744" w:rsidRDefault="008201B4" w:rsidP="00861186">
      <w:pPr>
        <w:ind w:left="0"/>
        <w:rPr>
          <w:rFonts w:ascii="Bookman Old Style" w:hAnsi="Bookman Old Style"/>
        </w:rPr>
      </w:pPr>
      <w:r>
        <w:rPr>
          <w:rFonts w:ascii="Bookman Old Style" w:hAnsi="Bookman Old Style"/>
        </w:rPr>
        <w:t>Firmas del proyecto,</w:t>
      </w:r>
    </w:p>
    <w:p w:rsidR="00E75ECF" w:rsidRPr="00557744" w:rsidRDefault="00E75ECF" w:rsidP="00861186">
      <w:pPr>
        <w:ind w:left="0"/>
        <w:rPr>
          <w:rFonts w:ascii="Bookman Old Style" w:hAnsi="Bookman Old Style"/>
        </w:rPr>
      </w:pPr>
    </w:p>
    <w:p w:rsidR="00E75ECF" w:rsidRPr="00557744" w:rsidRDefault="00E75ECF" w:rsidP="00861186">
      <w:pPr>
        <w:ind w:left="0"/>
        <w:rPr>
          <w:rFonts w:ascii="Bookman Old Style" w:hAnsi="Bookman Old Style"/>
        </w:rPr>
      </w:pPr>
    </w:p>
    <w:p w:rsidR="00E75ECF" w:rsidRPr="00557744" w:rsidRDefault="00E75ECF" w:rsidP="00861186">
      <w:pPr>
        <w:ind w:left="0"/>
        <w:rPr>
          <w:rFonts w:ascii="Bookman Old Style" w:hAnsi="Bookman Old Style"/>
        </w:rPr>
      </w:pPr>
    </w:p>
    <w:p w:rsidR="00861186" w:rsidRPr="00557744" w:rsidRDefault="00861186" w:rsidP="00DD11F8">
      <w:pPr>
        <w:rPr>
          <w:rFonts w:ascii="Bookman Old Style" w:hAnsi="Bookman Old Style"/>
        </w:rPr>
      </w:pPr>
    </w:p>
    <w:tbl>
      <w:tblPr>
        <w:tblW w:w="9782" w:type="dxa"/>
        <w:jc w:val="center"/>
        <w:tblCellSpacing w:w="0" w:type="dxa"/>
        <w:tblInd w:w="-284" w:type="dxa"/>
        <w:tblCellMar>
          <w:left w:w="0" w:type="dxa"/>
          <w:right w:w="0" w:type="dxa"/>
        </w:tblCellMar>
        <w:tblLook w:val="0000" w:firstRow="0" w:lastRow="0" w:firstColumn="0" w:lastColumn="0" w:noHBand="0" w:noVBand="0"/>
      </w:tblPr>
      <w:tblGrid>
        <w:gridCol w:w="5104"/>
        <w:gridCol w:w="4678"/>
      </w:tblGrid>
      <w:tr w:rsidR="00E75ECF" w:rsidRPr="00557744" w:rsidTr="00E37434">
        <w:trPr>
          <w:tblCellSpacing w:w="0" w:type="dxa"/>
          <w:jc w:val="center"/>
        </w:trPr>
        <w:tc>
          <w:tcPr>
            <w:tcW w:w="5104" w:type="dxa"/>
          </w:tcPr>
          <w:p w:rsidR="00E75ECF" w:rsidRPr="00557744" w:rsidRDefault="009D1BB1" w:rsidP="00E37434">
            <w:pPr>
              <w:ind w:left="89"/>
              <w:jc w:val="center"/>
              <w:rPr>
                <w:rFonts w:ascii="Bookman Old Style" w:hAnsi="Bookman Old Style" w:cs="Arial"/>
                <w:b/>
                <w:spacing w:val="-3"/>
              </w:rPr>
            </w:pPr>
            <w:r>
              <w:rPr>
                <w:rFonts w:ascii="Bookman Old Style" w:hAnsi="Bookman Old Style" w:cs="Arial"/>
                <w:b/>
                <w:spacing w:val="-3"/>
              </w:rPr>
              <w:t>CARLOS FERNANDO ERASO CALERO</w:t>
            </w:r>
          </w:p>
          <w:p w:rsidR="00E75ECF" w:rsidRDefault="009D1BB1" w:rsidP="009D1BB1">
            <w:pPr>
              <w:ind w:left="66"/>
              <w:jc w:val="center"/>
              <w:rPr>
                <w:rFonts w:ascii="Bookman Old Style" w:hAnsi="Bookman Old Style" w:cs="Arial"/>
                <w:spacing w:val="-3"/>
              </w:rPr>
            </w:pPr>
            <w:r>
              <w:rPr>
                <w:rFonts w:ascii="Bookman Old Style" w:hAnsi="Bookman Old Style" w:cs="Arial"/>
                <w:spacing w:val="-3"/>
              </w:rPr>
              <w:t>Viceministro de Energía</w:t>
            </w:r>
          </w:p>
          <w:p w:rsidR="009D1BB1" w:rsidRPr="00557744" w:rsidRDefault="009D1BB1" w:rsidP="009D1BB1">
            <w:pPr>
              <w:ind w:left="66"/>
              <w:jc w:val="center"/>
              <w:rPr>
                <w:rFonts w:ascii="Bookman Old Style" w:hAnsi="Bookman Old Style" w:cs="Arial"/>
                <w:spacing w:val="-3"/>
              </w:rPr>
            </w:pPr>
            <w:r>
              <w:rPr>
                <w:rFonts w:ascii="Bookman Old Style" w:hAnsi="Bookman Old Style" w:cs="Arial"/>
                <w:spacing w:val="-3"/>
              </w:rPr>
              <w:t>Delegado del Ministro de Minas y Energía</w:t>
            </w:r>
          </w:p>
        </w:tc>
        <w:tc>
          <w:tcPr>
            <w:tcW w:w="4678" w:type="dxa"/>
          </w:tcPr>
          <w:p w:rsidR="00E75ECF" w:rsidRPr="00557744" w:rsidRDefault="00E75ECF" w:rsidP="00E37434">
            <w:pPr>
              <w:ind w:left="89"/>
              <w:jc w:val="center"/>
              <w:rPr>
                <w:rFonts w:ascii="Bookman Old Style" w:hAnsi="Bookman Old Style" w:cs="Arial"/>
                <w:b/>
                <w:spacing w:val="-3"/>
              </w:rPr>
            </w:pPr>
            <w:r w:rsidRPr="00557744">
              <w:rPr>
                <w:rFonts w:ascii="Bookman Old Style" w:hAnsi="Bookman Old Style" w:cs="Arial"/>
                <w:b/>
                <w:spacing w:val="-3"/>
              </w:rPr>
              <w:t>JORGE PINTO NOLLA</w:t>
            </w:r>
          </w:p>
          <w:p w:rsidR="00E75ECF" w:rsidRPr="00557744" w:rsidRDefault="00E75ECF" w:rsidP="00E37434">
            <w:pPr>
              <w:ind w:left="89"/>
              <w:jc w:val="center"/>
              <w:rPr>
                <w:rFonts w:ascii="Bookman Old Style" w:eastAsia="Arial Unicode MS" w:hAnsi="Bookman Old Style" w:cs="Arial"/>
                <w:bCs/>
              </w:rPr>
            </w:pPr>
            <w:r w:rsidRPr="00557744">
              <w:rPr>
                <w:rFonts w:ascii="Bookman Old Style" w:hAnsi="Bookman Old Style" w:cs="Arial"/>
                <w:spacing w:val="-3"/>
              </w:rPr>
              <w:t>Director Ejecutivo</w:t>
            </w:r>
          </w:p>
        </w:tc>
      </w:tr>
      <w:tr w:rsidR="00E75ECF" w:rsidRPr="00EE5AC7" w:rsidTr="00E37434">
        <w:trPr>
          <w:tblCellSpacing w:w="0" w:type="dxa"/>
          <w:jc w:val="center"/>
        </w:trPr>
        <w:tc>
          <w:tcPr>
            <w:tcW w:w="5104" w:type="dxa"/>
          </w:tcPr>
          <w:p w:rsidR="00E75ECF" w:rsidRPr="00EE5AC7" w:rsidRDefault="00E75ECF" w:rsidP="00E37434">
            <w:pPr>
              <w:ind w:left="66"/>
              <w:jc w:val="center"/>
              <w:rPr>
                <w:rFonts w:ascii="Bookman Old Style" w:eastAsia="Arial Unicode MS" w:hAnsi="Bookman Old Style" w:cs="Arial"/>
                <w:color w:val="000000"/>
              </w:rPr>
            </w:pPr>
            <w:r w:rsidRPr="00557744">
              <w:rPr>
                <w:rFonts w:ascii="Bookman Old Style" w:hAnsi="Bookman Old Style" w:cs="Arial"/>
                <w:spacing w:val="-3"/>
              </w:rPr>
              <w:t>Presidente</w:t>
            </w:r>
          </w:p>
        </w:tc>
        <w:tc>
          <w:tcPr>
            <w:tcW w:w="4678" w:type="dxa"/>
          </w:tcPr>
          <w:p w:rsidR="00E75ECF" w:rsidRPr="00EE5AC7" w:rsidRDefault="00E75ECF" w:rsidP="00E37434">
            <w:pPr>
              <w:jc w:val="center"/>
              <w:rPr>
                <w:rFonts w:ascii="Bookman Old Style" w:eastAsia="Arial Unicode MS" w:hAnsi="Bookman Old Style" w:cs="Arial"/>
                <w:color w:val="000000"/>
              </w:rPr>
            </w:pPr>
          </w:p>
        </w:tc>
      </w:tr>
    </w:tbl>
    <w:p w:rsidR="00E75ECF" w:rsidRPr="007F428A" w:rsidRDefault="00E75ECF" w:rsidP="00E75ECF">
      <w:pPr>
        <w:tabs>
          <w:tab w:val="left" w:pos="0"/>
          <w:tab w:val="center" w:pos="4252"/>
          <w:tab w:val="right" w:pos="9356"/>
        </w:tabs>
        <w:ind w:left="0"/>
        <w:contextualSpacing/>
        <w:jc w:val="both"/>
        <w:rPr>
          <w:rFonts w:ascii="Bookman Old Style" w:hAnsi="Bookman Old Style"/>
          <w:lang w:val="es-CO"/>
        </w:rPr>
      </w:pPr>
    </w:p>
    <w:p w:rsidR="00DD11F8" w:rsidRDefault="00DD11F8" w:rsidP="00DD11F8">
      <w:pPr>
        <w:ind w:left="0"/>
        <w:rPr>
          <w:rFonts w:ascii="Bookman Old Style" w:hAnsi="Bookman Old Style"/>
        </w:rPr>
      </w:pPr>
    </w:p>
    <w:sectPr w:rsidR="00DD11F8"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F5F" w:rsidRDefault="00071F5F">
      <w:r>
        <w:separator/>
      </w:r>
    </w:p>
  </w:endnote>
  <w:endnote w:type="continuationSeparator" w:id="0">
    <w:p w:rsidR="00071F5F" w:rsidRDefault="00071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00"/>
    <w:family w:val="roman"/>
    <w:pitch w:val="variable"/>
    <w:sig w:usb0="E00002FF" w:usb1="420024FF" w:usb2="00000000" w:usb3="00000000" w:csb0="0000019F" w:csb1="00000000"/>
  </w:font>
  <w:font w:name="+mn-ea">
    <w:panose1 w:val="00000000000000000000"/>
    <w:charset w:val="00"/>
    <w:family w:val="roman"/>
    <w:notTrueType/>
    <w:pitch w:val="default"/>
  </w:font>
  <w:font w:name="+mn-cs">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F5F" w:rsidRDefault="00071F5F">
      <w:r>
        <w:separator/>
      </w:r>
    </w:p>
  </w:footnote>
  <w:footnote w:type="continuationSeparator" w:id="0">
    <w:p w:rsidR="00071F5F" w:rsidRDefault="00071F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E7E" w:rsidRDefault="00B41E7E" w:rsidP="00951F79">
    <w:pPr>
      <w:pStyle w:val="Ttulo1"/>
      <w:ind w:right="6"/>
      <w:jc w:val="left"/>
      <w:rPr>
        <w:rFonts w:ascii="Bookman Old Style" w:hAnsi="Bookman Old Style" w:cs="Arial"/>
        <w:b w:val="0"/>
        <w:sz w:val="22"/>
        <w:szCs w:val="22"/>
      </w:rPr>
    </w:pPr>
  </w:p>
  <w:p w:rsidR="00B41E7E" w:rsidRPr="00951F79" w:rsidRDefault="00B41E7E"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D47C83">
      <w:rPr>
        <w:rFonts w:ascii="Bookman Old Style" w:hAnsi="Bookman Old Style" w:cs="Arial"/>
        <w:b w:val="0"/>
        <w:noProof/>
        <w:sz w:val="22"/>
        <w:szCs w:val="22"/>
      </w:rPr>
      <w:t>19</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D47C83">
      <w:fldChar w:fldCharType="begin"/>
    </w:r>
    <w:r w:rsidR="00D47C83">
      <w:instrText xml:space="preserve"> NUMPAGES  \* MERGEFORMAT </w:instrText>
    </w:r>
    <w:r w:rsidR="00D47C83">
      <w:fldChar w:fldCharType="separate"/>
    </w:r>
    <w:r w:rsidR="00D47C83" w:rsidRPr="00D47C83">
      <w:rPr>
        <w:rFonts w:ascii="Bookman Old Style" w:hAnsi="Bookman Old Style" w:cs="Arial"/>
        <w:b w:val="0"/>
        <w:noProof/>
        <w:sz w:val="22"/>
        <w:szCs w:val="22"/>
      </w:rPr>
      <w:t>19</w:t>
    </w:r>
    <w:r w:rsidR="00D47C83">
      <w:rPr>
        <w:rFonts w:ascii="Bookman Old Style" w:hAnsi="Bookman Old Style" w:cs="Arial"/>
        <w:b w:val="0"/>
        <w:noProof/>
        <w:sz w:val="22"/>
        <w:szCs w:val="22"/>
      </w:rPr>
      <w:fldChar w:fldCharType="end"/>
    </w:r>
  </w:p>
  <w:p w:rsidR="00B41E7E" w:rsidRDefault="00B41E7E"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47562A84" wp14:editId="4FA9E01F">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B41E7E" w:rsidRPr="00557744" w:rsidRDefault="00B41E7E" w:rsidP="00DB5B7A">
    <w:pPr>
      <w:ind w:left="0"/>
      <w:jc w:val="both"/>
      <w:rPr>
        <w:rFonts w:ascii="Bookman Old Style" w:hAnsi="Bookman Old Style" w:cs="Arial"/>
        <w:color w:val="000000"/>
      </w:rPr>
    </w:pPr>
    <w:r w:rsidRPr="004F6D09">
      <w:rPr>
        <w:rFonts w:ascii="Bookman Old Style" w:hAnsi="Bookman Old Style"/>
      </w:rPr>
      <w:t xml:space="preserve">Por la cual se ordena hacer público un proyecto de resolución de carácter general, </w:t>
    </w:r>
    <w:r>
      <w:rPr>
        <w:rFonts w:ascii="Bookman Old Style" w:hAnsi="Bookman Old Style" w:cs="Arial"/>
        <w:color w:val="000000"/>
      </w:rPr>
      <w:t xml:space="preserve">  “</w:t>
    </w:r>
    <w:r w:rsidRPr="00557744">
      <w:rPr>
        <w:rFonts w:ascii="Bookman Old Style" w:hAnsi="Bookman Old Style" w:cs="Arial"/>
        <w:color w:val="000000"/>
      </w:rPr>
      <w:t xml:space="preserve">Por la cual se </w:t>
    </w:r>
    <w:r>
      <w:rPr>
        <w:rFonts w:ascii="Bookman Old Style" w:hAnsi="Bookman Old Style" w:cs="Arial"/>
        <w:color w:val="000000"/>
      </w:rPr>
      <w:t>adiciona un numeral al Anexo 2 de la Resolución CREG 089 de 2013</w:t>
    </w:r>
    <w:r w:rsidRPr="00557744">
      <w:rPr>
        <w:rFonts w:ascii="Bookman Old Style" w:hAnsi="Bookman Old Style" w:cs="Arial"/>
        <w:color w:val="000000"/>
      </w:rPr>
      <w:t>”</w:t>
    </w:r>
  </w:p>
  <w:p w:rsidR="00B41E7E" w:rsidRPr="00045D3D" w:rsidRDefault="00B41E7E" w:rsidP="00042175">
    <w:pPr>
      <w:pBdr>
        <w:bottom w:val="single" w:sz="4" w:space="1" w:color="auto"/>
      </w:pBdr>
      <w:ind w:left="142" w:right="148"/>
      <w:jc w:val="both"/>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1E7E" w:rsidRDefault="00B41E7E"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B41E7E" w:rsidRDefault="00B41E7E">
    <w:pPr>
      <w:pStyle w:val="Encabezado"/>
      <w:jc w:val="center"/>
      <w:rPr>
        <w:rFonts w:ascii="Arial" w:hAnsi="Arial" w:cs="Arial"/>
        <w:spacing w:val="20"/>
        <w:sz w:val="20"/>
      </w:rPr>
    </w:pPr>
  </w:p>
  <w:p w:rsidR="00B41E7E" w:rsidRDefault="00B41E7E"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14B23FBE" wp14:editId="1544150C">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F"/>
    <w:multiLevelType w:val="singleLevel"/>
    <w:tmpl w:val="240A000F"/>
    <w:lvl w:ilvl="0">
      <w:start w:val="1"/>
      <w:numFmt w:val="decimal"/>
      <w:lvlText w:val="%1."/>
      <w:lvlJc w:val="left"/>
      <w:pPr>
        <w:ind w:left="360" w:hanging="360"/>
      </w:pPr>
    </w:lvl>
  </w:abstractNum>
  <w:abstractNum w:abstractNumId="1">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nsid w:val="00EB67EB"/>
    <w:multiLevelType w:val="hybridMultilevel"/>
    <w:tmpl w:val="E7BA616C"/>
    <w:lvl w:ilvl="0" w:tplc="240A001B">
      <w:start w:val="1"/>
      <w:numFmt w:val="lowerRoman"/>
      <w:lvlText w:val="%1."/>
      <w:lvlJc w:val="right"/>
      <w:pPr>
        <w:ind w:left="795" w:hanging="360"/>
      </w:pPr>
    </w:lvl>
    <w:lvl w:ilvl="1" w:tplc="240A0019" w:tentative="1">
      <w:start w:val="1"/>
      <w:numFmt w:val="lowerLetter"/>
      <w:lvlText w:val="%2."/>
      <w:lvlJc w:val="left"/>
      <w:pPr>
        <w:ind w:left="1515" w:hanging="360"/>
      </w:pPr>
    </w:lvl>
    <w:lvl w:ilvl="2" w:tplc="240A001B" w:tentative="1">
      <w:start w:val="1"/>
      <w:numFmt w:val="lowerRoman"/>
      <w:lvlText w:val="%3."/>
      <w:lvlJc w:val="right"/>
      <w:pPr>
        <w:ind w:left="2235" w:hanging="180"/>
      </w:pPr>
    </w:lvl>
    <w:lvl w:ilvl="3" w:tplc="240A000F" w:tentative="1">
      <w:start w:val="1"/>
      <w:numFmt w:val="decimal"/>
      <w:lvlText w:val="%4."/>
      <w:lvlJc w:val="left"/>
      <w:pPr>
        <w:ind w:left="2955" w:hanging="360"/>
      </w:pPr>
    </w:lvl>
    <w:lvl w:ilvl="4" w:tplc="240A0019" w:tentative="1">
      <w:start w:val="1"/>
      <w:numFmt w:val="lowerLetter"/>
      <w:lvlText w:val="%5."/>
      <w:lvlJc w:val="left"/>
      <w:pPr>
        <w:ind w:left="3675" w:hanging="360"/>
      </w:pPr>
    </w:lvl>
    <w:lvl w:ilvl="5" w:tplc="240A001B" w:tentative="1">
      <w:start w:val="1"/>
      <w:numFmt w:val="lowerRoman"/>
      <w:lvlText w:val="%6."/>
      <w:lvlJc w:val="right"/>
      <w:pPr>
        <w:ind w:left="4395" w:hanging="180"/>
      </w:pPr>
    </w:lvl>
    <w:lvl w:ilvl="6" w:tplc="240A000F" w:tentative="1">
      <w:start w:val="1"/>
      <w:numFmt w:val="decimal"/>
      <w:lvlText w:val="%7."/>
      <w:lvlJc w:val="left"/>
      <w:pPr>
        <w:ind w:left="5115" w:hanging="360"/>
      </w:pPr>
    </w:lvl>
    <w:lvl w:ilvl="7" w:tplc="240A0019" w:tentative="1">
      <w:start w:val="1"/>
      <w:numFmt w:val="lowerLetter"/>
      <w:lvlText w:val="%8."/>
      <w:lvlJc w:val="left"/>
      <w:pPr>
        <w:ind w:left="5835" w:hanging="360"/>
      </w:pPr>
    </w:lvl>
    <w:lvl w:ilvl="8" w:tplc="240A001B" w:tentative="1">
      <w:start w:val="1"/>
      <w:numFmt w:val="lowerRoman"/>
      <w:lvlText w:val="%9."/>
      <w:lvlJc w:val="right"/>
      <w:pPr>
        <w:ind w:left="6555" w:hanging="180"/>
      </w:pPr>
    </w:lvl>
  </w:abstractNum>
  <w:abstractNum w:abstractNumId="3">
    <w:nsid w:val="04AB3AA4"/>
    <w:multiLevelType w:val="hybridMultilevel"/>
    <w:tmpl w:val="B74EAE22"/>
    <w:lvl w:ilvl="0" w:tplc="DFDCBF14">
      <w:start w:val="1"/>
      <w:numFmt w:val="lowerRoman"/>
      <w:lvlText w:val="%1."/>
      <w:lvlJc w:val="righ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nsid w:val="0A050C49"/>
    <w:multiLevelType w:val="hybridMultilevel"/>
    <w:tmpl w:val="2B582504"/>
    <w:lvl w:ilvl="0" w:tplc="240A0019">
      <w:start w:val="1"/>
      <w:numFmt w:val="lowerLetter"/>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nsid w:val="0D0A6709"/>
    <w:multiLevelType w:val="hybridMultilevel"/>
    <w:tmpl w:val="A37ECB4A"/>
    <w:lvl w:ilvl="0" w:tplc="240A001B">
      <w:start w:val="1"/>
      <w:numFmt w:val="lowerRoman"/>
      <w:lvlText w:val="%1."/>
      <w:lvlJc w:val="right"/>
      <w:pPr>
        <w:ind w:left="720" w:hanging="360"/>
      </w:pPr>
    </w:lvl>
    <w:lvl w:ilvl="1" w:tplc="240A0019">
      <w:start w:val="1"/>
      <w:numFmt w:val="lowerLetter"/>
      <w:lvlText w:val="%2."/>
      <w:lvlJc w:val="left"/>
      <w:pPr>
        <w:ind w:left="1440" w:hanging="360"/>
      </w:pPr>
    </w:lvl>
    <w:lvl w:ilvl="2" w:tplc="6E088022">
      <w:start w:val="1"/>
      <w:numFmt w:val="lowerLetter"/>
      <w:lvlText w:val="%3)"/>
      <w:lvlJc w:val="left"/>
      <w:pPr>
        <w:ind w:left="2688" w:hanging="708"/>
      </w:pPr>
      <w:rPr>
        <w:rFonts w:hint="default"/>
      </w:r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11017452"/>
    <w:multiLevelType w:val="hybridMultilevel"/>
    <w:tmpl w:val="80909A14"/>
    <w:lvl w:ilvl="0" w:tplc="EFC62378">
      <w:start w:val="4"/>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nsid w:val="14A36E7D"/>
    <w:multiLevelType w:val="hybridMultilevel"/>
    <w:tmpl w:val="2488E722"/>
    <w:lvl w:ilvl="0" w:tplc="240A001B">
      <w:start w:val="1"/>
      <w:numFmt w:val="lowerRoman"/>
      <w:lvlText w:val="%1."/>
      <w:lvlJc w:val="righ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nsid w:val="18DD0672"/>
    <w:multiLevelType w:val="hybridMultilevel"/>
    <w:tmpl w:val="3A9E1FAA"/>
    <w:lvl w:ilvl="0" w:tplc="2B20B50C">
      <w:start w:val="8"/>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nsid w:val="1A0A3314"/>
    <w:multiLevelType w:val="hybridMultilevel"/>
    <w:tmpl w:val="68E45E30"/>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nsid w:val="1B7C13C5"/>
    <w:multiLevelType w:val="hybridMultilevel"/>
    <w:tmpl w:val="58DC41FA"/>
    <w:lvl w:ilvl="0" w:tplc="952E9F34">
      <w:start w:val="1"/>
      <w:numFmt w:val="lowerRoman"/>
      <w:lvlText w:val="%1."/>
      <w:lvlJc w:val="righ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nsid w:val="1DB30709"/>
    <w:multiLevelType w:val="multilevel"/>
    <w:tmpl w:val="15A0DB38"/>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
    <w:nsid w:val="206C0A92"/>
    <w:multiLevelType w:val="hybridMultilevel"/>
    <w:tmpl w:val="4110539C"/>
    <w:lvl w:ilvl="0" w:tplc="240A0019">
      <w:start w:val="1"/>
      <w:numFmt w:val="lowerLetter"/>
      <w:lvlText w:val="%1."/>
      <w:lvlJc w:val="left"/>
      <w:pPr>
        <w:tabs>
          <w:tab w:val="num" w:pos="540"/>
        </w:tabs>
        <w:ind w:left="540" w:hanging="540"/>
      </w:pPr>
      <w:rPr>
        <w:rFonts w:hint="default"/>
      </w:rPr>
    </w:lvl>
    <w:lvl w:ilvl="1" w:tplc="240A001B"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13">
    <w:nsid w:val="207E435C"/>
    <w:multiLevelType w:val="hybridMultilevel"/>
    <w:tmpl w:val="C7FCC67E"/>
    <w:lvl w:ilvl="0" w:tplc="443AB2AA">
      <w:start w:val="6"/>
      <w:numFmt w:val="lowerLetter"/>
      <w:lvlText w:val="%1)"/>
      <w:lvlJc w:val="left"/>
      <w:pPr>
        <w:ind w:left="1419" w:hanging="360"/>
      </w:pPr>
      <w:rPr>
        <w:rFonts w:hint="default"/>
        <w:b w:val="0"/>
      </w:rPr>
    </w:lvl>
    <w:lvl w:ilvl="1" w:tplc="240A0019" w:tentative="1">
      <w:start w:val="1"/>
      <w:numFmt w:val="lowerLetter"/>
      <w:lvlText w:val="%2."/>
      <w:lvlJc w:val="left"/>
      <w:pPr>
        <w:ind w:left="2705" w:hanging="360"/>
      </w:pPr>
    </w:lvl>
    <w:lvl w:ilvl="2" w:tplc="240A001B" w:tentative="1">
      <w:start w:val="1"/>
      <w:numFmt w:val="lowerRoman"/>
      <w:lvlText w:val="%3."/>
      <w:lvlJc w:val="right"/>
      <w:pPr>
        <w:ind w:left="3425" w:hanging="180"/>
      </w:pPr>
    </w:lvl>
    <w:lvl w:ilvl="3" w:tplc="240A000F" w:tentative="1">
      <w:start w:val="1"/>
      <w:numFmt w:val="decimal"/>
      <w:lvlText w:val="%4."/>
      <w:lvlJc w:val="left"/>
      <w:pPr>
        <w:ind w:left="4145" w:hanging="360"/>
      </w:pPr>
    </w:lvl>
    <w:lvl w:ilvl="4" w:tplc="240A0019" w:tentative="1">
      <w:start w:val="1"/>
      <w:numFmt w:val="lowerLetter"/>
      <w:lvlText w:val="%5."/>
      <w:lvlJc w:val="left"/>
      <w:pPr>
        <w:ind w:left="4865" w:hanging="360"/>
      </w:pPr>
    </w:lvl>
    <w:lvl w:ilvl="5" w:tplc="240A001B" w:tentative="1">
      <w:start w:val="1"/>
      <w:numFmt w:val="lowerRoman"/>
      <w:lvlText w:val="%6."/>
      <w:lvlJc w:val="right"/>
      <w:pPr>
        <w:ind w:left="5585" w:hanging="180"/>
      </w:pPr>
    </w:lvl>
    <w:lvl w:ilvl="6" w:tplc="240A000F" w:tentative="1">
      <w:start w:val="1"/>
      <w:numFmt w:val="decimal"/>
      <w:lvlText w:val="%7."/>
      <w:lvlJc w:val="left"/>
      <w:pPr>
        <w:ind w:left="6305" w:hanging="360"/>
      </w:pPr>
    </w:lvl>
    <w:lvl w:ilvl="7" w:tplc="240A0019" w:tentative="1">
      <w:start w:val="1"/>
      <w:numFmt w:val="lowerLetter"/>
      <w:lvlText w:val="%8."/>
      <w:lvlJc w:val="left"/>
      <w:pPr>
        <w:ind w:left="7025" w:hanging="360"/>
      </w:pPr>
    </w:lvl>
    <w:lvl w:ilvl="8" w:tplc="240A001B" w:tentative="1">
      <w:start w:val="1"/>
      <w:numFmt w:val="lowerRoman"/>
      <w:lvlText w:val="%9."/>
      <w:lvlJc w:val="right"/>
      <w:pPr>
        <w:ind w:left="7745" w:hanging="180"/>
      </w:pPr>
    </w:lvl>
  </w:abstractNum>
  <w:abstractNum w:abstractNumId="14">
    <w:nsid w:val="24981B75"/>
    <w:multiLevelType w:val="hybridMultilevel"/>
    <w:tmpl w:val="FC26D358"/>
    <w:lvl w:ilvl="0" w:tplc="2F2C3B4C">
      <w:start w:val="1"/>
      <w:numFmt w:val="lowerRoman"/>
      <w:lvlText w:val="%1."/>
      <w:lvlJc w:val="righ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264138B1"/>
    <w:multiLevelType w:val="hybridMultilevel"/>
    <w:tmpl w:val="0EA29D4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nsid w:val="292931E4"/>
    <w:multiLevelType w:val="multilevel"/>
    <w:tmpl w:val="64EC2BA8"/>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2C2A7ABB"/>
    <w:multiLevelType w:val="hybridMultilevel"/>
    <w:tmpl w:val="6148705C"/>
    <w:lvl w:ilvl="0" w:tplc="9C108C4A">
      <w:start w:val="1"/>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nsid w:val="2C421E0B"/>
    <w:multiLevelType w:val="hybridMultilevel"/>
    <w:tmpl w:val="8ADC8D4E"/>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2DA13F37"/>
    <w:multiLevelType w:val="hybridMultilevel"/>
    <w:tmpl w:val="DABA9F78"/>
    <w:lvl w:ilvl="0" w:tplc="7E54C4EE">
      <w:start w:val="1"/>
      <w:numFmt w:val="lowerRoman"/>
      <w:lvlText w:val="%1."/>
      <w:lvlJc w:val="righ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nsid w:val="35C341BF"/>
    <w:multiLevelType w:val="hybridMultilevel"/>
    <w:tmpl w:val="16A4D9AE"/>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nsid w:val="365510E3"/>
    <w:multiLevelType w:val="hybridMultilevel"/>
    <w:tmpl w:val="9E74606E"/>
    <w:lvl w:ilvl="0" w:tplc="0818E5AC">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nsid w:val="395F2D30"/>
    <w:multiLevelType w:val="hybridMultilevel"/>
    <w:tmpl w:val="89C6DBC0"/>
    <w:lvl w:ilvl="0" w:tplc="240A0019">
      <w:start w:val="1"/>
      <w:numFmt w:val="lowerLetter"/>
      <w:lvlText w:val="%1."/>
      <w:lvlJc w:val="left"/>
      <w:pPr>
        <w:ind w:left="1776" w:hanging="360"/>
      </w:pPr>
    </w:lvl>
    <w:lvl w:ilvl="1" w:tplc="240A0019" w:tentative="1">
      <w:start w:val="1"/>
      <w:numFmt w:val="lowerLetter"/>
      <w:lvlText w:val="%2."/>
      <w:lvlJc w:val="left"/>
      <w:pPr>
        <w:ind w:left="2496" w:hanging="360"/>
      </w:pPr>
    </w:lvl>
    <w:lvl w:ilvl="2" w:tplc="240A001B" w:tentative="1">
      <w:start w:val="1"/>
      <w:numFmt w:val="lowerRoman"/>
      <w:lvlText w:val="%3."/>
      <w:lvlJc w:val="right"/>
      <w:pPr>
        <w:ind w:left="3216" w:hanging="180"/>
      </w:pPr>
    </w:lvl>
    <w:lvl w:ilvl="3" w:tplc="240A000F" w:tentative="1">
      <w:start w:val="1"/>
      <w:numFmt w:val="decimal"/>
      <w:lvlText w:val="%4."/>
      <w:lvlJc w:val="left"/>
      <w:pPr>
        <w:ind w:left="3936" w:hanging="360"/>
      </w:pPr>
    </w:lvl>
    <w:lvl w:ilvl="4" w:tplc="240A0019" w:tentative="1">
      <w:start w:val="1"/>
      <w:numFmt w:val="lowerLetter"/>
      <w:lvlText w:val="%5."/>
      <w:lvlJc w:val="left"/>
      <w:pPr>
        <w:ind w:left="4656" w:hanging="360"/>
      </w:pPr>
    </w:lvl>
    <w:lvl w:ilvl="5" w:tplc="240A001B" w:tentative="1">
      <w:start w:val="1"/>
      <w:numFmt w:val="lowerRoman"/>
      <w:lvlText w:val="%6."/>
      <w:lvlJc w:val="right"/>
      <w:pPr>
        <w:ind w:left="5376" w:hanging="180"/>
      </w:pPr>
    </w:lvl>
    <w:lvl w:ilvl="6" w:tplc="240A000F" w:tentative="1">
      <w:start w:val="1"/>
      <w:numFmt w:val="decimal"/>
      <w:lvlText w:val="%7."/>
      <w:lvlJc w:val="left"/>
      <w:pPr>
        <w:ind w:left="6096" w:hanging="360"/>
      </w:pPr>
    </w:lvl>
    <w:lvl w:ilvl="7" w:tplc="240A0019" w:tentative="1">
      <w:start w:val="1"/>
      <w:numFmt w:val="lowerLetter"/>
      <w:lvlText w:val="%8."/>
      <w:lvlJc w:val="left"/>
      <w:pPr>
        <w:ind w:left="6816" w:hanging="360"/>
      </w:pPr>
    </w:lvl>
    <w:lvl w:ilvl="8" w:tplc="240A001B" w:tentative="1">
      <w:start w:val="1"/>
      <w:numFmt w:val="lowerRoman"/>
      <w:lvlText w:val="%9."/>
      <w:lvlJc w:val="right"/>
      <w:pPr>
        <w:ind w:left="7536" w:hanging="180"/>
      </w:pPr>
    </w:lvl>
  </w:abstractNum>
  <w:abstractNum w:abstractNumId="23">
    <w:nsid w:val="3A8F4CE5"/>
    <w:multiLevelType w:val="hybridMultilevel"/>
    <w:tmpl w:val="485C71C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nsid w:val="3D4B24B3"/>
    <w:multiLevelType w:val="hybridMultilevel"/>
    <w:tmpl w:val="B9545EB8"/>
    <w:lvl w:ilvl="0" w:tplc="9CAC08FA">
      <w:start w:val="6"/>
      <w:numFmt w:val="decimal"/>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25">
    <w:nsid w:val="480944F9"/>
    <w:multiLevelType w:val="hybridMultilevel"/>
    <w:tmpl w:val="79BA72EA"/>
    <w:lvl w:ilvl="0" w:tplc="240A001B">
      <w:start w:val="1"/>
      <w:numFmt w:val="lowerRoman"/>
      <w:lvlText w:val="%1."/>
      <w:lvlJc w:val="right"/>
      <w:pPr>
        <w:ind w:left="720" w:hanging="360"/>
      </w:pPr>
      <w:rPr>
        <w:b/>
      </w:rPr>
    </w:lvl>
    <w:lvl w:ilvl="1" w:tplc="B630F2DC">
      <w:start w:val="1"/>
      <w:numFmt w:val="lowerLetter"/>
      <w:lvlText w:val="%2."/>
      <w:lvlJc w:val="left"/>
      <w:pPr>
        <w:ind w:left="1440" w:hanging="360"/>
      </w:pPr>
      <w:rPr>
        <w:rFonts w:hint="default"/>
      </w:r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nsid w:val="49DB0D2F"/>
    <w:multiLevelType w:val="multilevel"/>
    <w:tmpl w:val="B3AEB4E4"/>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7">
    <w:nsid w:val="4DCE2795"/>
    <w:multiLevelType w:val="hybridMultilevel"/>
    <w:tmpl w:val="0F8233BC"/>
    <w:lvl w:ilvl="0" w:tplc="17927ACA">
      <w:start w:val="8"/>
      <w:numFmt w:val="lowerRoman"/>
      <w:lvlText w:val="%1."/>
      <w:lvlJc w:val="left"/>
      <w:pPr>
        <w:ind w:left="2421" w:hanging="720"/>
      </w:pPr>
      <w:rPr>
        <w:rFonts w:hint="default"/>
        <w:color w:val="FF0000"/>
      </w:rPr>
    </w:lvl>
    <w:lvl w:ilvl="1" w:tplc="240A0019" w:tentative="1">
      <w:start w:val="1"/>
      <w:numFmt w:val="lowerLetter"/>
      <w:lvlText w:val="%2."/>
      <w:lvlJc w:val="left"/>
      <w:pPr>
        <w:ind w:left="2781" w:hanging="360"/>
      </w:pPr>
    </w:lvl>
    <w:lvl w:ilvl="2" w:tplc="240A001B" w:tentative="1">
      <w:start w:val="1"/>
      <w:numFmt w:val="lowerRoman"/>
      <w:lvlText w:val="%3."/>
      <w:lvlJc w:val="right"/>
      <w:pPr>
        <w:ind w:left="3501" w:hanging="180"/>
      </w:pPr>
    </w:lvl>
    <w:lvl w:ilvl="3" w:tplc="240A000F" w:tentative="1">
      <w:start w:val="1"/>
      <w:numFmt w:val="decimal"/>
      <w:lvlText w:val="%4."/>
      <w:lvlJc w:val="left"/>
      <w:pPr>
        <w:ind w:left="4221" w:hanging="360"/>
      </w:pPr>
    </w:lvl>
    <w:lvl w:ilvl="4" w:tplc="240A0019" w:tentative="1">
      <w:start w:val="1"/>
      <w:numFmt w:val="lowerLetter"/>
      <w:lvlText w:val="%5."/>
      <w:lvlJc w:val="left"/>
      <w:pPr>
        <w:ind w:left="4941" w:hanging="360"/>
      </w:pPr>
    </w:lvl>
    <w:lvl w:ilvl="5" w:tplc="240A001B" w:tentative="1">
      <w:start w:val="1"/>
      <w:numFmt w:val="lowerRoman"/>
      <w:lvlText w:val="%6."/>
      <w:lvlJc w:val="right"/>
      <w:pPr>
        <w:ind w:left="5661" w:hanging="180"/>
      </w:pPr>
    </w:lvl>
    <w:lvl w:ilvl="6" w:tplc="240A000F" w:tentative="1">
      <w:start w:val="1"/>
      <w:numFmt w:val="decimal"/>
      <w:lvlText w:val="%7."/>
      <w:lvlJc w:val="left"/>
      <w:pPr>
        <w:ind w:left="6381" w:hanging="360"/>
      </w:pPr>
    </w:lvl>
    <w:lvl w:ilvl="7" w:tplc="240A0019" w:tentative="1">
      <w:start w:val="1"/>
      <w:numFmt w:val="lowerLetter"/>
      <w:lvlText w:val="%8."/>
      <w:lvlJc w:val="left"/>
      <w:pPr>
        <w:ind w:left="7101" w:hanging="360"/>
      </w:pPr>
    </w:lvl>
    <w:lvl w:ilvl="8" w:tplc="240A001B" w:tentative="1">
      <w:start w:val="1"/>
      <w:numFmt w:val="lowerRoman"/>
      <w:lvlText w:val="%9."/>
      <w:lvlJc w:val="right"/>
      <w:pPr>
        <w:ind w:left="7821" w:hanging="180"/>
      </w:pPr>
    </w:lvl>
  </w:abstractNum>
  <w:abstractNum w:abstractNumId="28">
    <w:nsid w:val="521821C3"/>
    <w:multiLevelType w:val="hybridMultilevel"/>
    <w:tmpl w:val="D480E740"/>
    <w:lvl w:ilvl="0" w:tplc="5A4C74E2">
      <w:start w:val="5"/>
      <w:numFmt w:val="lowerLetter"/>
      <w:lvlText w:val="%1."/>
      <w:lvlJc w:val="left"/>
      <w:pPr>
        <w:ind w:left="36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nsid w:val="52B52B59"/>
    <w:multiLevelType w:val="hybridMultilevel"/>
    <w:tmpl w:val="6AE42044"/>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nsid w:val="56C80F8D"/>
    <w:multiLevelType w:val="hybridMultilevel"/>
    <w:tmpl w:val="9E74606E"/>
    <w:lvl w:ilvl="0" w:tplc="0818E5AC">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nsid w:val="62784F5E"/>
    <w:multiLevelType w:val="hybridMultilevel"/>
    <w:tmpl w:val="127A4170"/>
    <w:lvl w:ilvl="0" w:tplc="D2F8F01A">
      <w:start w:val="1"/>
      <w:numFmt w:val="lowerRoman"/>
      <w:lvlText w:val="%1."/>
      <w:lvlJc w:val="righ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nsid w:val="67A02633"/>
    <w:multiLevelType w:val="hybridMultilevel"/>
    <w:tmpl w:val="4EC41BDE"/>
    <w:lvl w:ilvl="0" w:tplc="C0CCEA12">
      <w:start w:val="1"/>
      <w:numFmt w:val="lowerLetter"/>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3">
    <w:nsid w:val="686376C1"/>
    <w:multiLevelType w:val="hybridMultilevel"/>
    <w:tmpl w:val="BF606EBA"/>
    <w:lvl w:ilvl="0" w:tplc="240A000F">
      <w:start w:val="1"/>
      <w:numFmt w:val="decimal"/>
      <w:lvlText w:val="%1."/>
      <w:lvlJc w:val="left"/>
      <w:pPr>
        <w:ind w:left="1065" w:hanging="705"/>
      </w:pPr>
      <w:rPr>
        <w:rFonts w:hint="default"/>
        <w:lang w:val="es-CO"/>
      </w:rPr>
    </w:lvl>
    <w:lvl w:ilvl="1" w:tplc="240A001B">
      <w:start w:val="1"/>
      <w:numFmt w:val="lowerRoman"/>
      <w:lvlText w:val="%2."/>
      <w:lvlJc w:val="right"/>
      <w:pPr>
        <w:ind w:left="1440" w:hanging="360"/>
      </w:pPr>
      <w:rPr>
        <w:rFonts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nsid w:val="68EF546C"/>
    <w:multiLevelType w:val="hybridMultilevel"/>
    <w:tmpl w:val="DB90D272"/>
    <w:lvl w:ilvl="0" w:tplc="BEE02D62">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5">
    <w:nsid w:val="6A187318"/>
    <w:multiLevelType w:val="hybridMultilevel"/>
    <w:tmpl w:val="5554FEBC"/>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6">
    <w:nsid w:val="6CDC0E7D"/>
    <w:multiLevelType w:val="hybridMultilevel"/>
    <w:tmpl w:val="34DC6078"/>
    <w:lvl w:ilvl="0" w:tplc="240A001B">
      <w:start w:val="1"/>
      <w:numFmt w:val="lowerRoman"/>
      <w:lvlText w:val="%1."/>
      <w:lvlJc w:val="right"/>
      <w:pPr>
        <w:ind w:left="720" w:hanging="360"/>
      </w:pPr>
      <w:rPr>
        <w:b/>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nsid w:val="6E075CA2"/>
    <w:multiLevelType w:val="hybridMultilevel"/>
    <w:tmpl w:val="68EEEF5E"/>
    <w:lvl w:ilvl="0" w:tplc="240A001B">
      <w:start w:val="1"/>
      <w:numFmt w:val="lowerRoman"/>
      <w:lvlText w:val="%1."/>
      <w:lvlJc w:val="righ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nsid w:val="713B2917"/>
    <w:multiLevelType w:val="hybridMultilevel"/>
    <w:tmpl w:val="79BA6FE8"/>
    <w:lvl w:ilvl="0" w:tplc="104EFEAA">
      <w:start w:val="1"/>
      <w:numFmt w:val="lowerRoman"/>
      <w:lvlText w:val="%1."/>
      <w:lvlJc w:val="left"/>
      <w:pPr>
        <w:ind w:left="435" w:hanging="360"/>
      </w:pPr>
      <w:rPr>
        <w:rFonts w:hint="default"/>
      </w:rPr>
    </w:lvl>
    <w:lvl w:ilvl="1" w:tplc="240A0019" w:tentative="1">
      <w:start w:val="1"/>
      <w:numFmt w:val="lowerLetter"/>
      <w:lvlText w:val="%2."/>
      <w:lvlJc w:val="left"/>
      <w:pPr>
        <w:ind w:left="1155" w:hanging="360"/>
      </w:pPr>
    </w:lvl>
    <w:lvl w:ilvl="2" w:tplc="240A001B" w:tentative="1">
      <w:start w:val="1"/>
      <w:numFmt w:val="lowerRoman"/>
      <w:lvlText w:val="%3."/>
      <w:lvlJc w:val="right"/>
      <w:pPr>
        <w:ind w:left="1875" w:hanging="180"/>
      </w:pPr>
    </w:lvl>
    <w:lvl w:ilvl="3" w:tplc="240A000F" w:tentative="1">
      <w:start w:val="1"/>
      <w:numFmt w:val="decimal"/>
      <w:lvlText w:val="%4."/>
      <w:lvlJc w:val="left"/>
      <w:pPr>
        <w:ind w:left="2595" w:hanging="360"/>
      </w:pPr>
    </w:lvl>
    <w:lvl w:ilvl="4" w:tplc="240A0019" w:tentative="1">
      <w:start w:val="1"/>
      <w:numFmt w:val="lowerLetter"/>
      <w:lvlText w:val="%5."/>
      <w:lvlJc w:val="left"/>
      <w:pPr>
        <w:ind w:left="3315" w:hanging="360"/>
      </w:pPr>
    </w:lvl>
    <w:lvl w:ilvl="5" w:tplc="240A001B" w:tentative="1">
      <w:start w:val="1"/>
      <w:numFmt w:val="lowerRoman"/>
      <w:lvlText w:val="%6."/>
      <w:lvlJc w:val="right"/>
      <w:pPr>
        <w:ind w:left="4035" w:hanging="180"/>
      </w:pPr>
    </w:lvl>
    <w:lvl w:ilvl="6" w:tplc="240A000F" w:tentative="1">
      <w:start w:val="1"/>
      <w:numFmt w:val="decimal"/>
      <w:lvlText w:val="%7."/>
      <w:lvlJc w:val="left"/>
      <w:pPr>
        <w:ind w:left="4755" w:hanging="360"/>
      </w:pPr>
    </w:lvl>
    <w:lvl w:ilvl="7" w:tplc="240A0019" w:tentative="1">
      <w:start w:val="1"/>
      <w:numFmt w:val="lowerLetter"/>
      <w:lvlText w:val="%8."/>
      <w:lvlJc w:val="left"/>
      <w:pPr>
        <w:ind w:left="5475" w:hanging="360"/>
      </w:pPr>
    </w:lvl>
    <w:lvl w:ilvl="8" w:tplc="240A001B" w:tentative="1">
      <w:start w:val="1"/>
      <w:numFmt w:val="lowerRoman"/>
      <w:lvlText w:val="%9."/>
      <w:lvlJc w:val="right"/>
      <w:pPr>
        <w:ind w:left="6195" w:hanging="180"/>
      </w:pPr>
    </w:lvl>
  </w:abstractNum>
  <w:abstractNum w:abstractNumId="39">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40">
    <w:nsid w:val="74484591"/>
    <w:multiLevelType w:val="hybridMultilevel"/>
    <w:tmpl w:val="1AB4CB5A"/>
    <w:lvl w:ilvl="0" w:tplc="BD50335E">
      <w:start w:val="1"/>
      <w:numFmt w:val="lowerRoman"/>
      <w:lvlText w:val="%1."/>
      <w:lvlJc w:val="right"/>
      <w:pPr>
        <w:ind w:left="720" w:hanging="36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7637649C"/>
    <w:multiLevelType w:val="hybridMultilevel"/>
    <w:tmpl w:val="067E6CC4"/>
    <w:lvl w:ilvl="0" w:tplc="4836D334">
      <w:start w:val="1"/>
      <w:numFmt w:val="lowerLetter"/>
      <w:lvlText w:val="%1."/>
      <w:lvlJc w:val="left"/>
      <w:pPr>
        <w:ind w:left="144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nsid w:val="797D030D"/>
    <w:multiLevelType w:val="hybridMultilevel"/>
    <w:tmpl w:val="5F2C7678"/>
    <w:lvl w:ilvl="0" w:tplc="8446F664">
      <w:start w:val="1"/>
      <w:numFmt w:val="lowerLetter"/>
      <w:lvlText w:val="%1."/>
      <w:lvlJc w:val="left"/>
      <w:pPr>
        <w:ind w:left="144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3">
    <w:nsid w:val="7E7655B3"/>
    <w:multiLevelType w:val="hybridMultilevel"/>
    <w:tmpl w:val="BDB202E0"/>
    <w:lvl w:ilvl="0" w:tplc="240A0019">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44">
    <w:nsid w:val="7EC938E4"/>
    <w:multiLevelType w:val="hybridMultilevel"/>
    <w:tmpl w:val="01D20E90"/>
    <w:lvl w:ilvl="0" w:tplc="E6ECAEBC">
      <w:start w:val="8"/>
      <w:numFmt w:val="lowerRoman"/>
      <w:lvlText w:val="%1."/>
      <w:lvlJc w:val="left"/>
      <w:pPr>
        <w:ind w:left="795" w:hanging="720"/>
      </w:pPr>
      <w:rPr>
        <w:rFonts w:hint="default"/>
        <w:color w:val="FF0000"/>
      </w:rPr>
    </w:lvl>
    <w:lvl w:ilvl="1" w:tplc="240A0019" w:tentative="1">
      <w:start w:val="1"/>
      <w:numFmt w:val="lowerLetter"/>
      <w:lvlText w:val="%2."/>
      <w:lvlJc w:val="left"/>
      <w:pPr>
        <w:ind w:left="1155" w:hanging="360"/>
      </w:pPr>
    </w:lvl>
    <w:lvl w:ilvl="2" w:tplc="240A001B" w:tentative="1">
      <w:start w:val="1"/>
      <w:numFmt w:val="lowerRoman"/>
      <w:lvlText w:val="%3."/>
      <w:lvlJc w:val="right"/>
      <w:pPr>
        <w:ind w:left="1875" w:hanging="180"/>
      </w:pPr>
    </w:lvl>
    <w:lvl w:ilvl="3" w:tplc="240A000F" w:tentative="1">
      <w:start w:val="1"/>
      <w:numFmt w:val="decimal"/>
      <w:lvlText w:val="%4."/>
      <w:lvlJc w:val="left"/>
      <w:pPr>
        <w:ind w:left="2595" w:hanging="360"/>
      </w:pPr>
    </w:lvl>
    <w:lvl w:ilvl="4" w:tplc="240A0019" w:tentative="1">
      <w:start w:val="1"/>
      <w:numFmt w:val="lowerLetter"/>
      <w:lvlText w:val="%5."/>
      <w:lvlJc w:val="left"/>
      <w:pPr>
        <w:ind w:left="3315" w:hanging="360"/>
      </w:pPr>
    </w:lvl>
    <w:lvl w:ilvl="5" w:tplc="240A001B" w:tentative="1">
      <w:start w:val="1"/>
      <w:numFmt w:val="lowerRoman"/>
      <w:lvlText w:val="%6."/>
      <w:lvlJc w:val="right"/>
      <w:pPr>
        <w:ind w:left="4035" w:hanging="180"/>
      </w:pPr>
    </w:lvl>
    <w:lvl w:ilvl="6" w:tplc="240A000F" w:tentative="1">
      <w:start w:val="1"/>
      <w:numFmt w:val="decimal"/>
      <w:lvlText w:val="%7."/>
      <w:lvlJc w:val="left"/>
      <w:pPr>
        <w:ind w:left="4755" w:hanging="360"/>
      </w:pPr>
    </w:lvl>
    <w:lvl w:ilvl="7" w:tplc="240A0019" w:tentative="1">
      <w:start w:val="1"/>
      <w:numFmt w:val="lowerLetter"/>
      <w:lvlText w:val="%8."/>
      <w:lvlJc w:val="left"/>
      <w:pPr>
        <w:ind w:left="5475" w:hanging="360"/>
      </w:pPr>
    </w:lvl>
    <w:lvl w:ilvl="8" w:tplc="240A001B" w:tentative="1">
      <w:start w:val="1"/>
      <w:numFmt w:val="lowerRoman"/>
      <w:lvlText w:val="%9."/>
      <w:lvlJc w:val="right"/>
      <w:pPr>
        <w:ind w:left="6195" w:hanging="180"/>
      </w:pPr>
    </w:lvl>
  </w:abstractNum>
  <w:num w:numId="1">
    <w:abstractNumId w:val="1"/>
  </w:num>
  <w:num w:numId="2">
    <w:abstractNumId w:val="0"/>
  </w:num>
  <w:num w:numId="3">
    <w:abstractNumId w:val="37"/>
  </w:num>
  <w:num w:numId="4">
    <w:abstractNumId w:val="36"/>
  </w:num>
  <w:num w:numId="5">
    <w:abstractNumId w:val="43"/>
  </w:num>
  <w:num w:numId="6">
    <w:abstractNumId w:val="5"/>
  </w:num>
  <w:num w:numId="7">
    <w:abstractNumId w:val="15"/>
  </w:num>
  <w:num w:numId="8">
    <w:abstractNumId w:val="16"/>
  </w:num>
  <w:num w:numId="9">
    <w:abstractNumId w:val="40"/>
  </w:num>
  <w:num w:numId="10">
    <w:abstractNumId w:val="12"/>
  </w:num>
  <w:num w:numId="11">
    <w:abstractNumId w:val="18"/>
  </w:num>
  <w:num w:numId="12">
    <w:abstractNumId w:val="35"/>
  </w:num>
  <w:num w:numId="13">
    <w:abstractNumId w:val="32"/>
  </w:num>
  <w:num w:numId="14">
    <w:abstractNumId w:val="6"/>
  </w:num>
  <w:num w:numId="15">
    <w:abstractNumId w:val="28"/>
  </w:num>
  <w:num w:numId="16">
    <w:abstractNumId w:val="4"/>
  </w:num>
  <w:num w:numId="17">
    <w:abstractNumId w:val="9"/>
  </w:num>
  <w:num w:numId="18">
    <w:abstractNumId w:val="31"/>
  </w:num>
  <w:num w:numId="19">
    <w:abstractNumId w:val="22"/>
  </w:num>
  <w:num w:numId="20">
    <w:abstractNumId w:val="41"/>
  </w:num>
  <w:num w:numId="21">
    <w:abstractNumId w:val="19"/>
  </w:num>
  <w:num w:numId="22">
    <w:abstractNumId w:val="10"/>
  </w:num>
  <w:num w:numId="23">
    <w:abstractNumId w:val="25"/>
  </w:num>
  <w:num w:numId="24">
    <w:abstractNumId w:val="42"/>
  </w:num>
  <w:num w:numId="25">
    <w:abstractNumId w:val="14"/>
  </w:num>
  <w:num w:numId="26">
    <w:abstractNumId w:val="29"/>
  </w:num>
  <w:num w:numId="27">
    <w:abstractNumId w:val="17"/>
  </w:num>
  <w:num w:numId="28">
    <w:abstractNumId w:val="34"/>
  </w:num>
  <w:num w:numId="29">
    <w:abstractNumId w:val="2"/>
  </w:num>
  <w:num w:numId="30">
    <w:abstractNumId w:val="20"/>
  </w:num>
  <w:num w:numId="31">
    <w:abstractNumId w:val="3"/>
  </w:num>
  <w:num w:numId="32">
    <w:abstractNumId w:val="23"/>
  </w:num>
  <w:num w:numId="33">
    <w:abstractNumId w:val="7"/>
  </w:num>
  <w:num w:numId="34">
    <w:abstractNumId w:val="13"/>
  </w:num>
  <w:num w:numId="35">
    <w:abstractNumId w:val="38"/>
  </w:num>
  <w:num w:numId="36">
    <w:abstractNumId w:val="27"/>
  </w:num>
  <w:num w:numId="37">
    <w:abstractNumId w:val="39"/>
  </w:num>
  <w:num w:numId="38">
    <w:abstractNumId w:val="33"/>
  </w:num>
  <w:num w:numId="39">
    <w:abstractNumId w:val="44"/>
  </w:num>
  <w:num w:numId="40">
    <w:abstractNumId w:val="39"/>
  </w:num>
  <w:num w:numId="41">
    <w:abstractNumId w:val="8"/>
  </w:num>
  <w:num w:numId="42">
    <w:abstractNumId w:val="30"/>
  </w:num>
  <w:num w:numId="43">
    <w:abstractNumId w:val="21"/>
  </w:num>
  <w:num w:numId="44">
    <w:abstractNumId w:val="11"/>
  </w:num>
  <w:num w:numId="45">
    <w:abstractNumId w:val="24"/>
  </w:num>
  <w:num w:numId="46">
    <w:abstractNumId w:val="39"/>
  </w:num>
  <w:num w:numId="47">
    <w:abstractNumId w:val="2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5FD"/>
    <w:rsid w:val="00000B37"/>
    <w:rsid w:val="000015FE"/>
    <w:rsid w:val="000025F1"/>
    <w:rsid w:val="00002D83"/>
    <w:rsid w:val="000033DC"/>
    <w:rsid w:val="00006AE2"/>
    <w:rsid w:val="00007261"/>
    <w:rsid w:val="000076A1"/>
    <w:rsid w:val="000078E0"/>
    <w:rsid w:val="0001134F"/>
    <w:rsid w:val="00012259"/>
    <w:rsid w:val="000131B5"/>
    <w:rsid w:val="0001402A"/>
    <w:rsid w:val="00021A70"/>
    <w:rsid w:val="0002357E"/>
    <w:rsid w:val="00023B78"/>
    <w:rsid w:val="00024697"/>
    <w:rsid w:val="00025383"/>
    <w:rsid w:val="00030FF1"/>
    <w:rsid w:val="000313A0"/>
    <w:rsid w:val="00031B7E"/>
    <w:rsid w:val="00033DC6"/>
    <w:rsid w:val="000357DA"/>
    <w:rsid w:val="00035ECB"/>
    <w:rsid w:val="00037DE6"/>
    <w:rsid w:val="00042175"/>
    <w:rsid w:val="00045D3D"/>
    <w:rsid w:val="00053B50"/>
    <w:rsid w:val="00055D3E"/>
    <w:rsid w:val="00056D36"/>
    <w:rsid w:val="000575A6"/>
    <w:rsid w:val="000577EC"/>
    <w:rsid w:val="00057B80"/>
    <w:rsid w:val="00060C2E"/>
    <w:rsid w:val="00060CB0"/>
    <w:rsid w:val="00063657"/>
    <w:rsid w:val="0006410B"/>
    <w:rsid w:val="00067F64"/>
    <w:rsid w:val="000706E3"/>
    <w:rsid w:val="00071F5F"/>
    <w:rsid w:val="000732E3"/>
    <w:rsid w:val="00073DB5"/>
    <w:rsid w:val="000741B7"/>
    <w:rsid w:val="00076680"/>
    <w:rsid w:val="00076A1D"/>
    <w:rsid w:val="0008073E"/>
    <w:rsid w:val="00081E66"/>
    <w:rsid w:val="00084F8F"/>
    <w:rsid w:val="00087C09"/>
    <w:rsid w:val="0009093A"/>
    <w:rsid w:val="00091CDB"/>
    <w:rsid w:val="000931F8"/>
    <w:rsid w:val="00094C28"/>
    <w:rsid w:val="00095BDE"/>
    <w:rsid w:val="00096FE2"/>
    <w:rsid w:val="00097331"/>
    <w:rsid w:val="000A00CC"/>
    <w:rsid w:val="000A0268"/>
    <w:rsid w:val="000A0B7F"/>
    <w:rsid w:val="000A19AC"/>
    <w:rsid w:val="000A21C1"/>
    <w:rsid w:val="000A527A"/>
    <w:rsid w:val="000A5DC5"/>
    <w:rsid w:val="000B0FF1"/>
    <w:rsid w:val="000B2EC9"/>
    <w:rsid w:val="000B3D44"/>
    <w:rsid w:val="000B4486"/>
    <w:rsid w:val="000B4F8A"/>
    <w:rsid w:val="000B6074"/>
    <w:rsid w:val="000C049B"/>
    <w:rsid w:val="000C1CA5"/>
    <w:rsid w:val="000C7FE5"/>
    <w:rsid w:val="000D0827"/>
    <w:rsid w:val="000D2472"/>
    <w:rsid w:val="000D26F8"/>
    <w:rsid w:val="000D3F4B"/>
    <w:rsid w:val="000D67AA"/>
    <w:rsid w:val="000D7755"/>
    <w:rsid w:val="000D7CEC"/>
    <w:rsid w:val="000D7E5E"/>
    <w:rsid w:val="000E4151"/>
    <w:rsid w:val="000E52BB"/>
    <w:rsid w:val="000F0C8A"/>
    <w:rsid w:val="000F3D98"/>
    <w:rsid w:val="000F477F"/>
    <w:rsid w:val="000F487C"/>
    <w:rsid w:val="00100514"/>
    <w:rsid w:val="0010144E"/>
    <w:rsid w:val="00106C3C"/>
    <w:rsid w:val="0011058F"/>
    <w:rsid w:val="00112A91"/>
    <w:rsid w:val="00124625"/>
    <w:rsid w:val="00125C5D"/>
    <w:rsid w:val="001317DA"/>
    <w:rsid w:val="0013526C"/>
    <w:rsid w:val="001405C6"/>
    <w:rsid w:val="00141013"/>
    <w:rsid w:val="0014618C"/>
    <w:rsid w:val="001474D4"/>
    <w:rsid w:val="00151D7D"/>
    <w:rsid w:val="001520CC"/>
    <w:rsid w:val="00152AB8"/>
    <w:rsid w:val="00154529"/>
    <w:rsid w:val="001600D7"/>
    <w:rsid w:val="00161866"/>
    <w:rsid w:val="00162E66"/>
    <w:rsid w:val="001640E6"/>
    <w:rsid w:val="001646F2"/>
    <w:rsid w:val="00164BCE"/>
    <w:rsid w:val="0016549D"/>
    <w:rsid w:val="00172544"/>
    <w:rsid w:val="00174A24"/>
    <w:rsid w:val="00182A27"/>
    <w:rsid w:val="00185A78"/>
    <w:rsid w:val="001866F9"/>
    <w:rsid w:val="001867DA"/>
    <w:rsid w:val="00191AD7"/>
    <w:rsid w:val="00192CBF"/>
    <w:rsid w:val="00192FF1"/>
    <w:rsid w:val="00195EB8"/>
    <w:rsid w:val="001A5671"/>
    <w:rsid w:val="001A5AF4"/>
    <w:rsid w:val="001A5F1B"/>
    <w:rsid w:val="001B1433"/>
    <w:rsid w:val="001B1C22"/>
    <w:rsid w:val="001B1D58"/>
    <w:rsid w:val="001B34C6"/>
    <w:rsid w:val="001B42E3"/>
    <w:rsid w:val="001B53A4"/>
    <w:rsid w:val="001B5904"/>
    <w:rsid w:val="001B7105"/>
    <w:rsid w:val="001C1F60"/>
    <w:rsid w:val="001C33AC"/>
    <w:rsid w:val="001C6406"/>
    <w:rsid w:val="001C6D96"/>
    <w:rsid w:val="001C7514"/>
    <w:rsid w:val="001D097B"/>
    <w:rsid w:val="001D0A0E"/>
    <w:rsid w:val="001D7832"/>
    <w:rsid w:val="001E05E9"/>
    <w:rsid w:val="001E2518"/>
    <w:rsid w:val="001E53FD"/>
    <w:rsid w:val="001E5C02"/>
    <w:rsid w:val="001E5C5F"/>
    <w:rsid w:val="001E6BF8"/>
    <w:rsid w:val="001E7781"/>
    <w:rsid w:val="001F1BA7"/>
    <w:rsid w:val="001F5192"/>
    <w:rsid w:val="001F59DC"/>
    <w:rsid w:val="001F6B5F"/>
    <w:rsid w:val="00202498"/>
    <w:rsid w:val="00203559"/>
    <w:rsid w:val="002043B4"/>
    <w:rsid w:val="00205DDC"/>
    <w:rsid w:val="00205EC3"/>
    <w:rsid w:val="002064D8"/>
    <w:rsid w:val="00206617"/>
    <w:rsid w:val="00207B62"/>
    <w:rsid w:val="00210DC1"/>
    <w:rsid w:val="00211D34"/>
    <w:rsid w:val="00213721"/>
    <w:rsid w:val="00214F04"/>
    <w:rsid w:val="00217898"/>
    <w:rsid w:val="002202E5"/>
    <w:rsid w:val="00220366"/>
    <w:rsid w:val="0022170F"/>
    <w:rsid w:val="00222085"/>
    <w:rsid w:val="00226BE9"/>
    <w:rsid w:val="002301FE"/>
    <w:rsid w:val="0023044C"/>
    <w:rsid w:val="00230FBA"/>
    <w:rsid w:val="0023174B"/>
    <w:rsid w:val="00231BFA"/>
    <w:rsid w:val="00235FD9"/>
    <w:rsid w:val="00240E51"/>
    <w:rsid w:val="0024138E"/>
    <w:rsid w:val="00244E04"/>
    <w:rsid w:val="00251033"/>
    <w:rsid w:val="00252334"/>
    <w:rsid w:val="00252495"/>
    <w:rsid w:val="002556A6"/>
    <w:rsid w:val="00255BB3"/>
    <w:rsid w:val="00260091"/>
    <w:rsid w:val="00262413"/>
    <w:rsid w:val="00264F30"/>
    <w:rsid w:val="00266CD6"/>
    <w:rsid w:val="0027164D"/>
    <w:rsid w:val="00272F3D"/>
    <w:rsid w:val="00275DAB"/>
    <w:rsid w:val="00280211"/>
    <w:rsid w:val="002809F2"/>
    <w:rsid w:val="00283C08"/>
    <w:rsid w:val="00283C59"/>
    <w:rsid w:val="002941B7"/>
    <w:rsid w:val="00294482"/>
    <w:rsid w:val="00294FFC"/>
    <w:rsid w:val="002A22B6"/>
    <w:rsid w:val="002A2AB3"/>
    <w:rsid w:val="002A326B"/>
    <w:rsid w:val="002A3CD9"/>
    <w:rsid w:val="002A622C"/>
    <w:rsid w:val="002A6428"/>
    <w:rsid w:val="002A782A"/>
    <w:rsid w:val="002A7E68"/>
    <w:rsid w:val="002B11E2"/>
    <w:rsid w:val="002B1EFD"/>
    <w:rsid w:val="002B24B8"/>
    <w:rsid w:val="002B4087"/>
    <w:rsid w:val="002B5912"/>
    <w:rsid w:val="002C0354"/>
    <w:rsid w:val="002C30E0"/>
    <w:rsid w:val="002C31A9"/>
    <w:rsid w:val="002C6239"/>
    <w:rsid w:val="002D3A8E"/>
    <w:rsid w:val="002D3AE9"/>
    <w:rsid w:val="002D4510"/>
    <w:rsid w:val="002D6BD5"/>
    <w:rsid w:val="002D723C"/>
    <w:rsid w:val="002E0C73"/>
    <w:rsid w:val="002E5A6A"/>
    <w:rsid w:val="002F0734"/>
    <w:rsid w:val="002F1D14"/>
    <w:rsid w:val="002F46E7"/>
    <w:rsid w:val="002F471C"/>
    <w:rsid w:val="002F5C99"/>
    <w:rsid w:val="002F6CF1"/>
    <w:rsid w:val="00301E31"/>
    <w:rsid w:val="00302176"/>
    <w:rsid w:val="003057F3"/>
    <w:rsid w:val="00306523"/>
    <w:rsid w:val="00306F0E"/>
    <w:rsid w:val="003101DA"/>
    <w:rsid w:val="00314757"/>
    <w:rsid w:val="00314837"/>
    <w:rsid w:val="003163BC"/>
    <w:rsid w:val="00317E66"/>
    <w:rsid w:val="003211CE"/>
    <w:rsid w:val="00321659"/>
    <w:rsid w:val="003226D3"/>
    <w:rsid w:val="00324F63"/>
    <w:rsid w:val="00327845"/>
    <w:rsid w:val="0032789E"/>
    <w:rsid w:val="00327CF8"/>
    <w:rsid w:val="00330A28"/>
    <w:rsid w:val="00331C7F"/>
    <w:rsid w:val="0034073A"/>
    <w:rsid w:val="003432F2"/>
    <w:rsid w:val="00344373"/>
    <w:rsid w:val="00345679"/>
    <w:rsid w:val="00351057"/>
    <w:rsid w:val="0035403A"/>
    <w:rsid w:val="00355580"/>
    <w:rsid w:val="003564B6"/>
    <w:rsid w:val="003608DD"/>
    <w:rsid w:val="0036394B"/>
    <w:rsid w:val="003642AC"/>
    <w:rsid w:val="00366894"/>
    <w:rsid w:val="00366DB6"/>
    <w:rsid w:val="0036749E"/>
    <w:rsid w:val="003709B5"/>
    <w:rsid w:val="00371162"/>
    <w:rsid w:val="00371889"/>
    <w:rsid w:val="003759C2"/>
    <w:rsid w:val="00377853"/>
    <w:rsid w:val="00381E22"/>
    <w:rsid w:val="00383BD9"/>
    <w:rsid w:val="00387BF0"/>
    <w:rsid w:val="00391C94"/>
    <w:rsid w:val="0039319D"/>
    <w:rsid w:val="00397365"/>
    <w:rsid w:val="003973BB"/>
    <w:rsid w:val="00397865"/>
    <w:rsid w:val="003A250F"/>
    <w:rsid w:val="003A31F6"/>
    <w:rsid w:val="003A4A12"/>
    <w:rsid w:val="003B3C29"/>
    <w:rsid w:val="003B60C7"/>
    <w:rsid w:val="003B6640"/>
    <w:rsid w:val="003B752B"/>
    <w:rsid w:val="003C0C73"/>
    <w:rsid w:val="003C3447"/>
    <w:rsid w:val="003C389E"/>
    <w:rsid w:val="003C3E73"/>
    <w:rsid w:val="003C4403"/>
    <w:rsid w:val="003C4C80"/>
    <w:rsid w:val="003C5D92"/>
    <w:rsid w:val="003C5E10"/>
    <w:rsid w:val="003C7D23"/>
    <w:rsid w:val="003D0673"/>
    <w:rsid w:val="003D076C"/>
    <w:rsid w:val="003D2014"/>
    <w:rsid w:val="003D3E22"/>
    <w:rsid w:val="003D410A"/>
    <w:rsid w:val="003D4C53"/>
    <w:rsid w:val="003D709F"/>
    <w:rsid w:val="003E3079"/>
    <w:rsid w:val="003E439A"/>
    <w:rsid w:val="003E4A1A"/>
    <w:rsid w:val="003E4E07"/>
    <w:rsid w:val="003E78B5"/>
    <w:rsid w:val="003F055B"/>
    <w:rsid w:val="003F6F00"/>
    <w:rsid w:val="003F786C"/>
    <w:rsid w:val="0040059C"/>
    <w:rsid w:val="00401668"/>
    <w:rsid w:val="004021E9"/>
    <w:rsid w:val="00405267"/>
    <w:rsid w:val="004126E8"/>
    <w:rsid w:val="0041270A"/>
    <w:rsid w:val="00412BC0"/>
    <w:rsid w:val="004140B9"/>
    <w:rsid w:val="0041473D"/>
    <w:rsid w:val="00415BAB"/>
    <w:rsid w:val="00415ED2"/>
    <w:rsid w:val="00417ECC"/>
    <w:rsid w:val="0042068C"/>
    <w:rsid w:val="00422314"/>
    <w:rsid w:val="00423B5E"/>
    <w:rsid w:val="00424A45"/>
    <w:rsid w:val="00424BF4"/>
    <w:rsid w:val="00425617"/>
    <w:rsid w:val="00433002"/>
    <w:rsid w:val="00433CCA"/>
    <w:rsid w:val="00436CFE"/>
    <w:rsid w:val="00441102"/>
    <w:rsid w:val="004412D3"/>
    <w:rsid w:val="004430BB"/>
    <w:rsid w:val="0044318E"/>
    <w:rsid w:val="004433F4"/>
    <w:rsid w:val="00443B35"/>
    <w:rsid w:val="0044507C"/>
    <w:rsid w:val="00445369"/>
    <w:rsid w:val="00447509"/>
    <w:rsid w:val="00452AA0"/>
    <w:rsid w:val="0045473F"/>
    <w:rsid w:val="004642CC"/>
    <w:rsid w:val="004670C1"/>
    <w:rsid w:val="00470BFA"/>
    <w:rsid w:val="00471070"/>
    <w:rsid w:val="0047122B"/>
    <w:rsid w:val="00473B7A"/>
    <w:rsid w:val="004756AE"/>
    <w:rsid w:val="00477D5A"/>
    <w:rsid w:val="004838C6"/>
    <w:rsid w:val="00491D93"/>
    <w:rsid w:val="00495466"/>
    <w:rsid w:val="00495D61"/>
    <w:rsid w:val="004960E9"/>
    <w:rsid w:val="004968BF"/>
    <w:rsid w:val="00497047"/>
    <w:rsid w:val="004A2E88"/>
    <w:rsid w:val="004A5305"/>
    <w:rsid w:val="004A7930"/>
    <w:rsid w:val="004A7ABA"/>
    <w:rsid w:val="004B082F"/>
    <w:rsid w:val="004B1081"/>
    <w:rsid w:val="004B188F"/>
    <w:rsid w:val="004B2A6F"/>
    <w:rsid w:val="004B3BDC"/>
    <w:rsid w:val="004B4BEE"/>
    <w:rsid w:val="004B517C"/>
    <w:rsid w:val="004B67F7"/>
    <w:rsid w:val="004C1248"/>
    <w:rsid w:val="004C1A97"/>
    <w:rsid w:val="004C1DE8"/>
    <w:rsid w:val="004C33BE"/>
    <w:rsid w:val="004C3483"/>
    <w:rsid w:val="004C3733"/>
    <w:rsid w:val="004D0342"/>
    <w:rsid w:val="004D0711"/>
    <w:rsid w:val="004D759F"/>
    <w:rsid w:val="004D7634"/>
    <w:rsid w:val="004D7AAC"/>
    <w:rsid w:val="004E22D9"/>
    <w:rsid w:val="004E2386"/>
    <w:rsid w:val="004E361F"/>
    <w:rsid w:val="004E4630"/>
    <w:rsid w:val="004E5334"/>
    <w:rsid w:val="004E611A"/>
    <w:rsid w:val="004F03DD"/>
    <w:rsid w:val="004F1673"/>
    <w:rsid w:val="004F3640"/>
    <w:rsid w:val="004F39AF"/>
    <w:rsid w:val="004F64C3"/>
    <w:rsid w:val="00500330"/>
    <w:rsid w:val="00501DA3"/>
    <w:rsid w:val="005029F7"/>
    <w:rsid w:val="00502BA6"/>
    <w:rsid w:val="00504ADC"/>
    <w:rsid w:val="00506327"/>
    <w:rsid w:val="00507134"/>
    <w:rsid w:val="00510203"/>
    <w:rsid w:val="005109F3"/>
    <w:rsid w:val="0051101E"/>
    <w:rsid w:val="00511525"/>
    <w:rsid w:val="00511C52"/>
    <w:rsid w:val="00513674"/>
    <w:rsid w:val="005167F4"/>
    <w:rsid w:val="0051695A"/>
    <w:rsid w:val="00517D94"/>
    <w:rsid w:val="00522C8E"/>
    <w:rsid w:val="00523BC4"/>
    <w:rsid w:val="00524932"/>
    <w:rsid w:val="00524F2E"/>
    <w:rsid w:val="00525579"/>
    <w:rsid w:val="005268B8"/>
    <w:rsid w:val="005300D3"/>
    <w:rsid w:val="00535967"/>
    <w:rsid w:val="005369A9"/>
    <w:rsid w:val="00537E6C"/>
    <w:rsid w:val="005401D7"/>
    <w:rsid w:val="00541099"/>
    <w:rsid w:val="00541254"/>
    <w:rsid w:val="00541B3A"/>
    <w:rsid w:val="00543CB7"/>
    <w:rsid w:val="00544F82"/>
    <w:rsid w:val="00546A11"/>
    <w:rsid w:val="005509D2"/>
    <w:rsid w:val="0055152C"/>
    <w:rsid w:val="00551CA0"/>
    <w:rsid w:val="005576BC"/>
    <w:rsid w:val="00557744"/>
    <w:rsid w:val="005701E8"/>
    <w:rsid w:val="005722D5"/>
    <w:rsid w:val="00574412"/>
    <w:rsid w:val="00577A2E"/>
    <w:rsid w:val="00580016"/>
    <w:rsid w:val="00580106"/>
    <w:rsid w:val="00582C8B"/>
    <w:rsid w:val="00582F38"/>
    <w:rsid w:val="00586025"/>
    <w:rsid w:val="005920DF"/>
    <w:rsid w:val="00592703"/>
    <w:rsid w:val="00593190"/>
    <w:rsid w:val="00593C4F"/>
    <w:rsid w:val="005946A8"/>
    <w:rsid w:val="005A25C9"/>
    <w:rsid w:val="005A29FF"/>
    <w:rsid w:val="005A2B4D"/>
    <w:rsid w:val="005A30BC"/>
    <w:rsid w:val="005A3BDF"/>
    <w:rsid w:val="005A4407"/>
    <w:rsid w:val="005A4ED1"/>
    <w:rsid w:val="005A59EF"/>
    <w:rsid w:val="005A7814"/>
    <w:rsid w:val="005A7BEF"/>
    <w:rsid w:val="005A7FBC"/>
    <w:rsid w:val="005B00A3"/>
    <w:rsid w:val="005B1C7E"/>
    <w:rsid w:val="005C1699"/>
    <w:rsid w:val="005C30E8"/>
    <w:rsid w:val="005C3F2A"/>
    <w:rsid w:val="005C5B63"/>
    <w:rsid w:val="005C680B"/>
    <w:rsid w:val="005C6976"/>
    <w:rsid w:val="005C6EAC"/>
    <w:rsid w:val="005D0ADA"/>
    <w:rsid w:val="005E17F4"/>
    <w:rsid w:val="005E2A46"/>
    <w:rsid w:val="005E4685"/>
    <w:rsid w:val="005E7986"/>
    <w:rsid w:val="005F3D59"/>
    <w:rsid w:val="005F6121"/>
    <w:rsid w:val="005F6F41"/>
    <w:rsid w:val="00602D2D"/>
    <w:rsid w:val="00603D00"/>
    <w:rsid w:val="00605029"/>
    <w:rsid w:val="006053AD"/>
    <w:rsid w:val="006062AF"/>
    <w:rsid w:val="00607275"/>
    <w:rsid w:val="00607296"/>
    <w:rsid w:val="00611A0B"/>
    <w:rsid w:val="006141A4"/>
    <w:rsid w:val="00614D01"/>
    <w:rsid w:val="00620147"/>
    <w:rsid w:val="0062286A"/>
    <w:rsid w:val="00625DC6"/>
    <w:rsid w:val="00627C92"/>
    <w:rsid w:val="00633E7A"/>
    <w:rsid w:val="00636B5E"/>
    <w:rsid w:val="00640382"/>
    <w:rsid w:val="00640E2F"/>
    <w:rsid w:val="00642AFB"/>
    <w:rsid w:val="0064391D"/>
    <w:rsid w:val="00651821"/>
    <w:rsid w:val="00652AB1"/>
    <w:rsid w:val="00654384"/>
    <w:rsid w:val="00656B47"/>
    <w:rsid w:val="00661E64"/>
    <w:rsid w:val="006641D4"/>
    <w:rsid w:val="0066441D"/>
    <w:rsid w:val="00666652"/>
    <w:rsid w:val="0066698F"/>
    <w:rsid w:val="006669C8"/>
    <w:rsid w:val="006675CD"/>
    <w:rsid w:val="0066789E"/>
    <w:rsid w:val="0067206E"/>
    <w:rsid w:val="00675009"/>
    <w:rsid w:val="00676709"/>
    <w:rsid w:val="00680722"/>
    <w:rsid w:val="00682947"/>
    <w:rsid w:val="00684D9B"/>
    <w:rsid w:val="0068510A"/>
    <w:rsid w:val="0068746B"/>
    <w:rsid w:val="00687E9A"/>
    <w:rsid w:val="00690AC9"/>
    <w:rsid w:val="006940C6"/>
    <w:rsid w:val="00694D7C"/>
    <w:rsid w:val="00695449"/>
    <w:rsid w:val="0069607A"/>
    <w:rsid w:val="00696155"/>
    <w:rsid w:val="00696608"/>
    <w:rsid w:val="00697556"/>
    <w:rsid w:val="0069756D"/>
    <w:rsid w:val="006977E6"/>
    <w:rsid w:val="006978D7"/>
    <w:rsid w:val="006A57CA"/>
    <w:rsid w:val="006A629B"/>
    <w:rsid w:val="006A7A1B"/>
    <w:rsid w:val="006B350B"/>
    <w:rsid w:val="006B4647"/>
    <w:rsid w:val="006B4C2B"/>
    <w:rsid w:val="006B50AF"/>
    <w:rsid w:val="006B5F53"/>
    <w:rsid w:val="006B6194"/>
    <w:rsid w:val="006B6766"/>
    <w:rsid w:val="006B6D47"/>
    <w:rsid w:val="006C145F"/>
    <w:rsid w:val="006C1EDD"/>
    <w:rsid w:val="006C3783"/>
    <w:rsid w:val="006C5AFE"/>
    <w:rsid w:val="006C6C91"/>
    <w:rsid w:val="006C76B0"/>
    <w:rsid w:val="006D16FC"/>
    <w:rsid w:val="006D1D2D"/>
    <w:rsid w:val="006D33A1"/>
    <w:rsid w:val="006D3475"/>
    <w:rsid w:val="006D3C71"/>
    <w:rsid w:val="006E1564"/>
    <w:rsid w:val="006E1AE9"/>
    <w:rsid w:val="006E320F"/>
    <w:rsid w:val="006E32F1"/>
    <w:rsid w:val="006E3F2A"/>
    <w:rsid w:val="006E4859"/>
    <w:rsid w:val="006E6274"/>
    <w:rsid w:val="006F05C5"/>
    <w:rsid w:val="006F22B5"/>
    <w:rsid w:val="006F6D95"/>
    <w:rsid w:val="00700BBA"/>
    <w:rsid w:val="0070362C"/>
    <w:rsid w:val="00704093"/>
    <w:rsid w:val="0070527B"/>
    <w:rsid w:val="00706F13"/>
    <w:rsid w:val="007072E8"/>
    <w:rsid w:val="0071210F"/>
    <w:rsid w:val="007124F3"/>
    <w:rsid w:val="00713A93"/>
    <w:rsid w:val="00713D6C"/>
    <w:rsid w:val="007142E0"/>
    <w:rsid w:val="0071618D"/>
    <w:rsid w:val="0072159C"/>
    <w:rsid w:val="00725FA4"/>
    <w:rsid w:val="007343EA"/>
    <w:rsid w:val="0073555D"/>
    <w:rsid w:val="0073712A"/>
    <w:rsid w:val="00737EE1"/>
    <w:rsid w:val="00737F10"/>
    <w:rsid w:val="00740446"/>
    <w:rsid w:val="00741AC1"/>
    <w:rsid w:val="00742503"/>
    <w:rsid w:val="00742B65"/>
    <w:rsid w:val="007438A9"/>
    <w:rsid w:val="0074491E"/>
    <w:rsid w:val="0074647C"/>
    <w:rsid w:val="00747121"/>
    <w:rsid w:val="00750E4E"/>
    <w:rsid w:val="00757AB1"/>
    <w:rsid w:val="0076247A"/>
    <w:rsid w:val="00765AF4"/>
    <w:rsid w:val="007669F7"/>
    <w:rsid w:val="0076768F"/>
    <w:rsid w:val="00767E19"/>
    <w:rsid w:val="00771817"/>
    <w:rsid w:val="00772CE8"/>
    <w:rsid w:val="00775964"/>
    <w:rsid w:val="007765FE"/>
    <w:rsid w:val="00776DAD"/>
    <w:rsid w:val="00777516"/>
    <w:rsid w:val="00785DCD"/>
    <w:rsid w:val="0079027B"/>
    <w:rsid w:val="00792978"/>
    <w:rsid w:val="00794CF6"/>
    <w:rsid w:val="00794E2E"/>
    <w:rsid w:val="00795BFB"/>
    <w:rsid w:val="0079603D"/>
    <w:rsid w:val="00796321"/>
    <w:rsid w:val="00797A49"/>
    <w:rsid w:val="007A009C"/>
    <w:rsid w:val="007A6B2D"/>
    <w:rsid w:val="007B2756"/>
    <w:rsid w:val="007B2760"/>
    <w:rsid w:val="007B5922"/>
    <w:rsid w:val="007B616A"/>
    <w:rsid w:val="007C1157"/>
    <w:rsid w:val="007C5EE2"/>
    <w:rsid w:val="007C652E"/>
    <w:rsid w:val="007C6982"/>
    <w:rsid w:val="007C74B8"/>
    <w:rsid w:val="007D0057"/>
    <w:rsid w:val="007E1530"/>
    <w:rsid w:val="007E1F12"/>
    <w:rsid w:val="007E5749"/>
    <w:rsid w:val="007E60EC"/>
    <w:rsid w:val="007F0A17"/>
    <w:rsid w:val="007F7175"/>
    <w:rsid w:val="00800CC4"/>
    <w:rsid w:val="0080102B"/>
    <w:rsid w:val="00801BF8"/>
    <w:rsid w:val="00805E3F"/>
    <w:rsid w:val="008066F0"/>
    <w:rsid w:val="00806C01"/>
    <w:rsid w:val="0080722A"/>
    <w:rsid w:val="008117A7"/>
    <w:rsid w:val="00812DCC"/>
    <w:rsid w:val="008148CC"/>
    <w:rsid w:val="0081575C"/>
    <w:rsid w:val="008201B4"/>
    <w:rsid w:val="00820DD5"/>
    <w:rsid w:val="008211A4"/>
    <w:rsid w:val="00822D8E"/>
    <w:rsid w:val="008277AE"/>
    <w:rsid w:val="0083338A"/>
    <w:rsid w:val="00833E79"/>
    <w:rsid w:val="00834DC9"/>
    <w:rsid w:val="00840AD5"/>
    <w:rsid w:val="00840F2C"/>
    <w:rsid w:val="00845EFB"/>
    <w:rsid w:val="0084624D"/>
    <w:rsid w:val="00854351"/>
    <w:rsid w:val="008547E0"/>
    <w:rsid w:val="00855F3F"/>
    <w:rsid w:val="00861186"/>
    <w:rsid w:val="00872A77"/>
    <w:rsid w:val="00873150"/>
    <w:rsid w:val="0087568D"/>
    <w:rsid w:val="00875920"/>
    <w:rsid w:val="0087657D"/>
    <w:rsid w:val="00876CA9"/>
    <w:rsid w:val="00877975"/>
    <w:rsid w:val="008807D5"/>
    <w:rsid w:val="00880832"/>
    <w:rsid w:val="00880AF9"/>
    <w:rsid w:val="0088328A"/>
    <w:rsid w:val="00883AFD"/>
    <w:rsid w:val="00886EE1"/>
    <w:rsid w:val="0088727D"/>
    <w:rsid w:val="008925C9"/>
    <w:rsid w:val="008954C9"/>
    <w:rsid w:val="00897C75"/>
    <w:rsid w:val="008A2039"/>
    <w:rsid w:val="008A423D"/>
    <w:rsid w:val="008A645A"/>
    <w:rsid w:val="008A64E3"/>
    <w:rsid w:val="008A6CC8"/>
    <w:rsid w:val="008B00E6"/>
    <w:rsid w:val="008B194E"/>
    <w:rsid w:val="008B24BA"/>
    <w:rsid w:val="008B3C90"/>
    <w:rsid w:val="008B4795"/>
    <w:rsid w:val="008B573C"/>
    <w:rsid w:val="008C0345"/>
    <w:rsid w:val="008C1130"/>
    <w:rsid w:val="008C2C5A"/>
    <w:rsid w:val="008C33D8"/>
    <w:rsid w:val="008C56A2"/>
    <w:rsid w:val="008D0E4E"/>
    <w:rsid w:val="008D10B7"/>
    <w:rsid w:val="008D18E6"/>
    <w:rsid w:val="008D1B79"/>
    <w:rsid w:val="008D2D17"/>
    <w:rsid w:val="008D2FF2"/>
    <w:rsid w:val="008D3774"/>
    <w:rsid w:val="008D502B"/>
    <w:rsid w:val="008D7A9B"/>
    <w:rsid w:val="008E0060"/>
    <w:rsid w:val="008E04F4"/>
    <w:rsid w:val="008E2243"/>
    <w:rsid w:val="008E3EFF"/>
    <w:rsid w:val="008E5DB1"/>
    <w:rsid w:val="008E7091"/>
    <w:rsid w:val="008E76AC"/>
    <w:rsid w:val="008F2097"/>
    <w:rsid w:val="008F21F6"/>
    <w:rsid w:val="008F27B0"/>
    <w:rsid w:val="008F2B56"/>
    <w:rsid w:val="008F489B"/>
    <w:rsid w:val="008F6FC7"/>
    <w:rsid w:val="0090013C"/>
    <w:rsid w:val="0090238B"/>
    <w:rsid w:val="00902CFA"/>
    <w:rsid w:val="00904856"/>
    <w:rsid w:val="00905646"/>
    <w:rsid w:val="00905CA9"/>
    <w:rsid w:val="00905CFA"/>
    <w:rsid w:val="00906440"/>
    <w:rsid w:val="009064A4"/>
    <w:rsid w:val="00910476"/>
    <w:rsid w:val="00910DEB"/>
    <w:rsid w:val="00913ADF"/>
    <w:rsid w:val="00913DC8"/>
    <w:rsid w:val="00917E2D"/>
    <w:rsid w:val="00917FDF"/>
    <w:rsid w:val="00922962"/>
    <w:rsid w:val="0092528D"/>
    <w:rsid w:val="00927FD7"/>
    <w:rsid w:val="00927FE2"/>
    <w:rsid w:val="00933ACF"/>
    <w:rsid w:val="00935660"/>
    <w:rsid w:val="00943E59"/>
    <w:rsid w:val="009445DC"/>
    <w:rsid w:val="009463E6"/>
    <w:rsid w:val="00946544"/>
    <w:rsid w:val="00946A97"/>
    <w:rsid w:val="009503E6"/>
    <w:rsid w:val="0095126F"/>
    <w:rsid w:val="00951F79"/>
    <w:rsid w:val="00952614"/>
    <w:rsid w:val="009549D8"/>
    <w:rsid w:val="00956A8E"/>
    <w:rsid w:val="009625F2"/>
    <w:rsid w:val="00963DA8"/>
    <w:rsid w:val="00964F16"/>
    <w:rsid w:val="00967A5C"/>
    <w:rsid w:val="00972CD8"/>
    <w:rsid w:val="00974AB5"/>
    <w:rsid w:val="00975314"/>
    <w:rsid w:val="0097632B"/>
    <w:rsid w:val="009763E9"/>
    <w:rsid w:val="00980FED"/>
    <w:rsid w:val="00981C84"/>
    <w:rsid w:val="00982465"/>
    <w:rsid w:val="009841D5"/>
    <w:rsid w:val="0098706D"/>
    <w:rsid w:val="009906D7"/>
    <w:rsid w:val="00991F35"/>
    <w:rsid w:val="00992A19"/>
    <w:rsid w:val="009935FB"/>
    <w:rsid w:val="0099453E"/>
    <w:rsid w:val="00995A1B"/>
    <w:rsid w:val="009A2368"/>
    <w:rsid w:val="009A3EEA"/>
    <w:rsid w:val="009A6772"/>
    <w:rsid w:val="009A7B7F"/>
    <w:rsid w:val="009B09AF"/>
    <w:rsid w:val="009B0EE3"/>
    <w:rsid w:val="009B27A6"/>
    <w:rsid w:val="009B2B99"/>
    <w:rsid w:val="009B6691"/>
    <w:rsid w:val="009C3BEE"/>
    <w:rsid w:val="009C643B"/>
    <w:rsid w:val="009C6A3D"/>
    <w:rsid w:val="009C7DB3"/>
    <w:rsid w:val="009D1BB1"/>
    <w:rsid w:val="009D2BC7"/>
    <w:rsid w:val="009D5264"/>
    <w:rsid w:val="009D78B9"/>
    <w:rsid w:val="009E7022"/>
    <w:rsid w:val="009F0C99"/>
    <w:rsid w:val="009F1672"/>
    <w:rsid w:val="009F2FD4"/>
    <w:rsid w:val="009F4A54"/>
    <w:rsid w:val="009F4BEC"/>
    <w:rsid w:val="009F5874"/>
    <w:rsid w:val="009F6F54"/>
    <w:rsid w:val="00A00382"/>
    <w:rsid w:val="00A11A7A"/>
    <w:rsid w:val="00A126A0"/>
    <w:rsid w:val="00A165DC"/>
    <w:rsid w:val="00A21E85"/>
    <w:rsid w:val="00A22954"/>
    <w:rsid w:val="00A25FD7"/>
    <w:rsid w:val="00A26CC4"/>
    <w:rsid w:val="00A278E9"/>
    <w:rsid w:val="00A3109B"/>
    <w:rsid w:val="00A310EC"/>
    <w:rsid w:val="00A3453E"/>
    <w:rsid w:val="00A41EF9"/>
    <w:rsid w:val="00A43728"/>
    <w:rsid w:val="00A43AFF"/>
    <w:rsid w:val="00A43CA4"/>
    <w:rsid w:val="00A43FB6"/>
    <w:rsid w:val="00A44B63"/>
    <w:rsid w:val="00A46AC7"/>
    <w:rsid w:val="00A506DD"/>
    <w:rsid w:val="00A60C08"/>
    <w:rsid w:val="00A755E7"/>
    <w:rsid w:val="00A75B79"/>
    <w:rsid w:val="00A77790"/>
    <w:rsid w:val="00A7793A"/>
    <w:rsid w:val="00A81A62"/>
    <w:rsid w:val="00A81BCA"/>
    <w:rsid w:val="00A85554"/>
    <w:rsid w:val="00A918E9"/>
    <w:rsid w:val="00A923AA"/>
    <w:rsid w:val="00A93BB1"/>
    <w:rsid w:val="00A94FD1"/>
    <w:rsid w:val="00A97001"/>
    <w:rsid w:val="00AA34DE"/>
    <w:rsid w:val="00AA4CC7"/>
    <w:rsid w:val="00AA5E8E"/>
    <w:rsid w:val="00AA63BE"/>
    <w:rsid w:val="00AB202B"/>
    <w:rsid w:val="00AB2C5F"/>
    <w:rsid w:val="00AB6CA7"/>
    <w:rsid w:val="00AC1A6B"/>
    <w:rsid w:val="00AC3213"/>
    <w:rsid w:val="00AC5421"/>
    <w:rsid w:val="00AC7C4E"/>
    <w:rsid w:val="00AD01E4"/>
    <w:rsid w:val="00AD0858"/>
    <w:rsid w:val="00AD0BD2"/>
    <w:rsid w:val="00AD1DE8"/>
    <w:rsid w:val="00AD2C46"/>
    <w:rsid w:val="00AD4B14"/>
    <w:rsid w:val="00AD61C4"/>
    <w:rsid w:val="00AE1881"/>
    <w:rsid w:val="00AE244A"/>
    <w:rsid w:val="00AE2BC9"/>
    <w:rsid w:val="00AE7340"/>
    <w:rsid w:val="00AF0780"/>
    <w:rsid w:val="00AF0BCC"/>
    <w:rsid w:val="00AF12EA"/>
    <w:rsid w:val="00AF1BBD"/>
    <w:rsid w:val="00AF221E"/>
    <w:rsid w:val="00AF2491"/>
    <w:rsid w:val="00AF2EDE"/>
    <w:rsid w:val="00AF4880"/>
    <w:rsid w:val="00AF63F5"/>
    <w:rsid w:val="00B004BE"/>
    <w:rsid w:val="00B01240"/>
    <w:rsid w:val="00B01CD6"/>
    <w:rsid w:val="00B06780"/>
    <w:rsid w:val="00B10207"/>
    <w:rsid w:val="00B116AE"/>
    <w:rsid w:val="00B1360B"/>
    <w:rsid w:val="00B141E7"/>
    <w:rsid w:val="00B1534C"/>
    <w:rsid w:val="00B153A4"/>
    <w:rsid w:val="00B15D06"/>
    <w:rsid w:val="00B179B2"/>
    <w:rsid w:val="00B223BF"/>
    <w:rsid w:val="00B26CA0"/>
    <w:rsid w:val="00B311C3"/>
    <w:rsid w:val="00B351B4"/>
    <w:rsid w:val="00B353B4"/>
    <w:rsid w:val="00B37993"/>
    <w:rsid w:val="00B40971"/>
    <w:rsid w:val="00B41E7E"/>
    <w:rsid w:val="00B447E5"/>
    <w:rsid w:val="00B468CA"/>
    <w:rsid w:val="00B46BCA"/>
    <w:rsid w:val="00B478AA"/>
    <w:rsid w:val="00B50AB8"/>
    <w:rsid w:val="00B53A10"/>
    <w:rsid w:val="00B634EA"/>
    <w:rsid w:val="00B642EA"/>
    <w:rsid w:val="00B65873"/>
    <w:rsid w:val="00B65E78"/>
    <w:rsid w:val="00B66EBC"/>
    <w:rsid w:val="00B70245"/>
    <w:rsid w:val="00B70679"/>
    <w:rsid w:val="00B70AB3"/>
    <w:rsid w:val="00B71BE8"/>
    <w:rsid w:val="00B75E93"/>
    <w:rsid w:val="00B7644C"/>
    <w:rsid w:val="00B77653"/>
    <w:rsid w:val="00B8290B"/>
    <w:rsid w:val="00B82BAB"/>
    <w:rsid w:val="00B84305"/>
    <w:rsid w:val="00B84776"/>
    <w:rsid w:val="00B87806"/>
    <w:rsid w:val="00B87EC9"/>
    <w:rsid w:val="00B91B77"/>
    <w:rsid w:val="00BA1DB7"/>
    <w:rsid w:val="00BA25F6"/>
    <w:rsid w:val="00BA2F9D"/>
    <w:rsid w:val="00BA3CCB"/>
    <w:rsid w:val="00BA7C4B"/>
    <w:rsid w:val="00BB02A5"/>
    <w:rsid w:val="00BB08A8"/>
    <w:rsid w:val="00BB0A82"/>
    <w:rsid w:val="00BB1822"/>
    <w:rsid w:val="00BB3777"/>
    <w:rsid w:val="00BB6211"/>
    <w:rsid w:val="00BC38FD"/>
    <w:rsid w:val="00BC4506"/>
    <w:rsid w:val="00BC4C75"/>
    <w:rsid w:val="00BC5493"/>
    <w:rsid w:val="00BC5C7E"/>
    <w:rsid w:val="00BC7A94"/>
    <w:rsid w:val="00BC7E5B"/>
    <w:rsid w:val="00BD5885"/>
    <w:rsid w:val="00BD6CFC"/>
    <w:rsid w:val="00BE4720"/>
    <w:rsid w:val="00BF316D"/>
    <w:rsid w:val="00BF58BD"/>
    <w:rsid w:val="00BF5B71"/>
    <w:rsid w:val="00C01E61"/>
    <w:rsid w:val="00C034CB"/>
    <w:rsid w:val="00C050A4"/>
    <w:rsid w:val="00C051A8"/>
    <w:rsid w:val="00C054BC"/>
    <w:rsid w:val="00C0581F"/>
    <w:rsid w:val="00C077B0"/>
    <w:rsid w:val="00C100E9"/>
    <w:rsid w:val="00C10BF5"/>
    <w:rsid w:val="00C10CD2"/>
    <w:rsid w:val="00C14A4F"/>
    <w:rsid w:val="00C165F2"/>
    <w:rsid w:val="00C1677E"/>
    <w:rsid w:val="00C16EF4"/>
    <w:rsid w:val="00C17897"/>
    <w:rsid w:val="00C2797E"/>
    <w:rsid w:val="00C30968"/>
    <w:rsid w:val="00C37C16"/>
    <w:rsid w:val="00C409D5"/>
    <w:rsid w:val="00C4282F"/>
    <w:rsid w:val="00C429E2"/>
    <w:rsid w:val="00C435C3"/>
    <w:rsid w:val="00C45836"/>
    <w:rsid w:val="00C462FD"/>
    <w:rsid w:val="00C472B5"/>
    <w:rsid w:val="00C502C0"/>
    <w:rsid w:val="00C5095A"/>
    <w:rsid w:val="00C51B82"/>
    <w:rsid w:val="00C527FD"/>
    <w:rsid w:val="00C54A65"/>
    <w:rsid w:val="00C57B23"/>
    <w:rsid w:val="00C6234B"/>
    <w:rsid w:val="00C63BBF"/>
    <w:rsid w:val="00C63EAE"/>
    <w:rsid w:val="00C73260"/>
    <w:rsid w:val="00C7629F"/>
    <w:rsid w:val="00C8049D"/>
    <w:rsid w:val="00C81C75"/>
    <w:rsid w:val="00C83960"/>
    <w:rsid w:val="00C8661B"/>
    <w:rsid w:val="00C87143"/>
    <w:rsid w:val="00C9105E"/>
    <w:rsid w:val="00C91212"/>
    <w:rsid w:val="00C91F76"/>
    <w:rsid w:val="00C92C45"/>
    <w:rsid w:val="00C9746F"/>
    <w:rsid w:val="00CA0786"/>
    <w:rsid w:val="00CA139A"/>
    <w:rsid w:val="00CA1B84"/>
    <w:rsid w:val="00CA1FFC"/>
    <w:rsid w:val="00CA2899"/>
    <w:rsid w:val="00CA3A3D"/>
    <w:rsid w:val="00CA642F"/>
    <w:rsid w:val="00CA7617"/>
    <w:rsid w:val="00CA77FB"/>
    <w:rsid w:val="00CB16DA"/>
    <w:rsid w:val="00CB379B"/>
    <w:rsid w:val="00CB5DD0"/>
    <w:rsid w:val="00CB6598"/>
    <w:rsid w:val="00CC0D34"/>
    <w:rsid w:val="00CC16B6"/>
    <w:rsid w:val="00CC239F"/>
    <w:rsid w:val="00CC36C0"/>
    <w:rsid w:val="00CC4ED2"/>
    <w:rsid w:val="00CC51D4"/>
    <w:rsid w:val="00CC5A52"/>
    <w:rsid w:val="00CC5F73"/>
    <w:rsid w:val="00CC65DA"/>
    <w:rsid w:val="00CC67F3"/>
    <w:rsid w:val="00CD2B14"/>
    <w:rsid w:val="00CD5E2B"/>
    <w:rsid w:val="00CD5F07"/>
    <w:rsid w:val="00CD713C"/>
    <w:rsid w:val="00CD7676"/>
    <w:rsid w:val="00CE00F2"/>
    <w:rsid w:val="00CE2A5F"/>
    <w:rsid w:val="00CE58B1"/>
    <w:rsid w:val="00CF0D18"/>
    <w:rsid w:val="00CF21B9"/>
    <w:rsid w:val="00CF39E4"/>
    <w:rsid w:val="00CF5F5B"/>
    <w:rsid w:val="00CF61A5"/>
    <w:rsid w:val="00CF6BF9"/>
    <w:rsid w:val="00D03501"/>
    <w:rsid w:val="00D03800"/>
    <w:rsid w:val="00D03E49"/>
    <w:rsid w:val="00D065D3"/>
    <w:rsid w:val="00D14C94"/>
    <w:rsid w:val="00D22290"/>
    <w:rsid w:val="00D22776"/>
    <w:rsid w:val="00D23890"/>
    <w:rsid w:val="00D24EA0"/>
    <w:rsid w:val="00D275D7"/>
    <w:rsid w:val="00D3164A"/>
    <w:rsid w:val="00D318DC"/>
    <w:rsid w:val="00D321BF"/>
    <w:rsid w:val="00D32F58"/>
    <w:rsid w:val="00D33A43"/>
    <w:rsid w:val="00D342A6"/>
    <w:rsid w:val="00D3463A"/>
    <w:rsid w:val="00D35E58"/>
    <w:rsid w:val="00D365E8"/>
    <w:rsid w:val="00D36D1A"/>
    <w:rsid w:val="00D37032"/>
    <w:rsid w:val="00D40BEF"/>
    <w:rsid w:val="00D44A7B"/>
    <w:rsid w:val="00D45CA6"/>
    <w:rsid w:val="00D45DF6"/>
    <w:rsid w:val="00D464BF"/>
    <w:rsid w:val="00D4687D"/>
    <w:rsid w:val="00D47C83"/>
    <w:rsid w:val="00D53201"/>
    <w:rsid w:val="00D53E26"/>
    <w:rsid w:val="00D56709"/>
    <w:rsid w:val="00D60BE4"/>
    <w:rsid w:val="00D66E45"/>
    <w:rsid w:val="00D71DA8"/>
    <w:rsid w:val="00D72F80"/>
    <w:rsid w:val="00D73248"/>
    <w:rsid w:val="00D73472"/>
    <w:rsid w:val="00D73BCE"/>
    <w:rsid w:val="00D74356"/>
    <w:rsid w:val="00D74B53"/>
    <w:rsid w:val="00D80DDD"/>
    <w:rsid w:val="00D82A14"/>
    <w:rsid w:val="00D8712E"/>
    <w:rsid w:val="00D904DC"/>
    <w:rsid w:val="00D92A01"/>
    <w:rsid w:val="00D94E04"/>
    <w:rsid w:val="00D967A6"/>
    <w:rsid w:val="00DA3E0B"/>
    <w:rsid w:val="00DA3F77"/>
    <w:rsid w:val="00DA5BA7"/>
    <w:rsid w:val="00DA761E"/>
    <w:rsid w:val="00DB2175"/>
    <w:rsid w:val="00DB41CD"/>
    <w:rsid w:val="00DB44E6"/>
    <w:rsid w:val="00DB587A"/>
    <w:rsid w:val="00DB5B7A"/>
    <w:rsid w:val="00DC2DC9"/>
    <w:rsid w:val="00DC3D97"/>
    <w:rsid w:val="00DC4F83"/>
    <w:rsid w:val="00DC54DC"/>
    <w:rsid w:val="00DC57CD"/>
    <w:rsid w:val="00DC5BAA"/>
    <w:rsid w:val="00DD11F8"/>
    <w:rsid w:val="00DD121C"/>
    <w:rsid w:val="00DD3A79"/>
    <w:rsid w:val="00DD4F0E"/>
    <w:rsid w:val="00DE37BD"/>
    <w:rsid w:val="00DE515A"/>
    <w:rsid w:val="00DE65E0"/>
    <w:rsid w:val="00DE6CA2"/>
    <w:rsid w:val="00DE7D5B"/>
    <w:rsid w:val="00DF0BF0"/>
    <w:rsid w:val="00DF3CA2"/>
    <w:rsid w:val="00DF3E56"/>
    <w:rsid w:val="00DF3EE6"/>
    <w:rsid w:val="00DF6D85"/>
    <w:rsid w:val="00DF6E9F"/>
    <w:rsid w:val="00E01463"/>
    <w:rsid w:val="00E0316A"/>
    <w:rsid w:val="00E03C38"/>
    <w:rsid w:val="00E05E0A"/>
    <w:rsid w:val="00E060BE"/>
    <w:rsid w:val="00E06AEF"/>
    <w:rsid w:val="00E10794"/>
    <w:rsid w:val="00E107AF"/>
    <w:rsid w:val="00E130FE"/>
    <w:rsid w:val="00E159AB"/>
    <w:rsid w:val="00E15B9C"/>
    <w:rsid w:val="00E23B97"/>
    <w:rsid w:val="00E26E1B"/>
    <w:rsid w:val="00E35C0C"/>
    <w:rsid w:val="00E35C41"/>
    <w:rsid w:val="00E35CFE"/>
    <w:rsid w:val="00E37434"/>
    <w:rsid w:val="00E449B9"/>
    <w:rsid w:val="00E46432"/>
    <w:rsid w:val="00E46BB3"/>
    <w:rsid w:val="00E52189"/>
    <w:rsid w:val="00E52279"/>
    <w:rsid w:val="00E52CAF"/>
    <w:rsid w:val="00E534CF"/>
    <w:rsid w:val="00E53D0C"/>
    <w:rsid w:val="00E56A73"/>
    <w:rsid w:val="00E60C09"/>
    <w:rsid w:val="00E61367"/>
    <w:rsid w:val="00E61576"/>
    <w:rsid w:val="00E63388"/>
    <w:rsid w:val="00E75ECF"/>
    <w:rsid w:val="00E76D75"/>
    <w:rsid w:val="00E81B2A"/>
    <w:rsid w:val="00E81CB4"/>
    <w:rsid w:val="00E847BF"/>
    <w:rsid w:val="00E84B0C"/>
    <w:rsid w:val="00E8585B"/>
    <w:rsid w:val="00E85F95"/>
    <w:rsid w:val="00E86F6A"/>
    <w:rsid w:val="00E920F7"/>
    <w:rsid w:val="00E93137"/>
    <w:rsid w:val="00E943AE"/>
    <w:rsid w:val="00E95942"/>
    <w:rsid w:val="00E971C6"/>
    <w:rsid w:val="00E97940"/>
    <w:rsid w:val="00EA142B"/>
    <w:rsid w:val="00EA1CA4"/>
    <w:rsid w:val="00EA24A6"/>
    <w:rsid w:val="00EA3F15"/>
    <w:rsid w:val="00EA472E"/>
    <w:rsid w:val="00EA4E4C"/>
    <w:rsid w:val="00EA67AE"/>
    <w:rsid w:val="00EA7847"/>
    <w:rsid w:val="00EA7ACD"/>
    <w:rsid w:val="00EB1590"/>
    <w:rsid w:val="00EB4C2F"/>
    <w:rsid w:val="00EB72BA"/>
    <w:rsid w:val="00EC5AAB"/>
    <w:rsid w:val="00ED0E5A"/>
    <w:rsid w:val="00ED0E88"/>
    <w:rsid w:val="00ED631E"/>
    <w:rsid w:val="00EE080E"/>
    <w:rsid w:val="00EE1C58"/>
    <w:rsid w:val="00EE2E6E"/>
    <w:rsid w:val="00EE4346"/>
    <w:rsid w:val="00EE463E"/>
    <w:rsid w:val="00EE4793"/>
    <w:rsid w:val="00EE534C"/>
    <w:rsid w:val="00EF0AFF"/>
    <w:rsid w:val="00EF0F59"/>
    <w:rsid w:val="00F0055F"/>
    <w:rsid w:val="00F026F9"/>
    <w:rsid w:val="00F03DF9"/>
    <w:rsid w:val="00F061BE"/>
    <w:rsid w:val="00F0759E"/>
    <w:rsid w:val="00F13E8E"/>
    <w:rsid w:val="00F153FC"/>
    <w:rsid w:val="00F16A43"/>
    <w:rsid w:val="00F16BFC"/>
    <w:rsid w:val="00F16EC7"/>
    <w:rsid w:val="00F22ACC"/>
    <w:rsid w:val="00F24BC1"/>
    <w:rsid w:val="00F27297"/>
    <w:rsid w:val="00F31B8B"/>
    <w:rsid w:val="00F33387"/>
    <w:rsid w:val="00F34756"/>
    <w:rsid w:val="00F4236B"/>
    <w:rsid w:val="00F430A1"/>
    <w:rsid w:val="00F44040"/>
    <w:rsid w:val="00F45114"/>
    <w:rsid w:val="00F45541"/>
    <w:rsid w:val="00F46780"/>
    <w:rsid w:val="00F505A9"/>
    <w:rsid w:val="00F52DA3"/>
    <w:rsid w:val="00F56BD4"/>
    <w:rsid w:val="00F616A3"/>
    <w:rsid w:val="00F6430F"/>
    <w:rsid w:val="00F67D3A"/>
    <w:rsid w:val="00F71CDA"/>
    <w:rsid w:val="00F7694F"/>
    <w:rsid w:val="00F76A7C"/>
    <w:rsid w:val="00F76AD1"/>
    <w:rsid w:val="00F77FDF"/>
    <w:rsid w:val="00F80FD4"/>
    <w:rsid w:val="00F821A3"/>
    <w:rsid w:val="00F83667"/>
    <w:rsid w:val="00F83B9D"/>
    <w:rsid w:val="00F8516D"/>
    <w:rsid w:val="00F90E62"/>
    <w:rsid w:val="00F9314A"/>
    <w:rsid w:val="00F93D24"/>
    <w:rsid w:val="00F940B2"/>
    <w:rsid w:val="00F94704"/>
    <w:rsid w:val="00F9478C"/>
    <w:rsid w:val="00F95DF1"/>
    <w:rsid w:val="00FA0E30"/>
    <w:rsid w:val="00FA1BB9"/>
    <w:rsid w:val="00FA1C49"/>
    <w:rsid w:val="00FA211C"/>
    <w:rsid w:val="00FA28B4"/>
    <w:rsid w:val="00FA2B45"/>
    <w:rsid w:val="00FA4E1D"/>
    <w:rsid w:val="00FB4010"/>
    <w:rsid w:val="00FC4907"/>
    <w:rsid w:val="00FC58EF"/>
    <w:rsid w:val="00FC7584"/>
    <w:rsid w:val="00FD13DE"/>
    <w:rsid w:val="00FD2694"/>
    <w:rsid w:val="00FD2EE5"/>
    <w:rsid w:val="00FD33DF"/>
    <w:rsid w:val="00FD650A"/>
    <w:rsid w:val="00FD6A9B"/>
    <w:rsid w:val="00FD6D4D"/>
    <w:rsid w:val="00FD6F23"/>
    <w:rsid w:val="00FE1B4B"/>
    <w:rsid w:val="00FE39D7"/>
    <w:rsid w:val="00FE4607"/>
    <w:rsid w:val="00FF3D49"/>
    <w:rsid w:val="00FF5D55"/>
    <w:rsid w:val="00FF6A7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styleId="Lista">
    <w:name w:val="List"/>
    <w:basedOn w:val="Textoindependiente"/>
    <w:semiHidden/>
    <w:rsid w:val="00F76A7C"/>
    <w:pPr>
      <w:suppressAutoHyphens/>
      <w:spacing w:after="120"/>
      <w:ind w:left="0"/>
      <w:jc w:val="both"/>
    </w:pPr>
    <w:rPr>
      <w:rFonts w:cs="Tahoma"/>
      <w:b w:val="0"/>
      <w:bCs w:val="0"/>
      <w:sz w:val="22"/>
      <w:lang w:eastAsia="ar-SA"/>
    </w:rPr>
  </w:style>
  <w:style w:type="paragraph" w:styleId="Sangra3detindependiente">
    <w:name w:val="Body Text Indent 3"/>
    <w:basedOn w:val="Normal"/>
    <w:link w:val="Sangra3detindependienteCar"/>
    <w:uiPriority w:val="99"/>
    <w:semiHidden/>
    <w:unhideWhenUsed/>
    <w:rsid w:val="00B91B77"/>
    <w:pPr>
      <w:spacing w:after="120"/>
      <w:ind w:left="283"/>
    </w:pPr>
    <w:rPr>
      <w:sz w:val="16"/>
      <w:szCs w:val="16"/>
    </w:rPr>
  </w:style>
  <w:style w:type="character" w:customStyle="1" w:styleId="Sangra3detindependienteCar">
    <w:name w:val="Sangría 3 de t. independiente Car"/>
    <w:link w:val="Sangra3detindependiente"/>
    <w:uiPriority w:val="99"/>
    <w:semiHidden/>
    <w:rsid w:val="00B91B77"/>
    <w:rPr>
      <w:sz w:val="16"/>
      <w:szCs w:val="16"/>
      <w:lang w:val="es-ES" w:eastAsia="es-ES"/>
    </w:rPr>
  </w:style>
  <w:style w:type="paragraph" w:styleId="NormalWeb">
    <w:name w:val="Normal (Web)"/>
    <w:basedOn w:val="Normal"/>
    <w:uiPriority w:val="99"/>
    <w:semiHidden/>
    <w:rsid w:val="00B91B77"/>
    <w:pPr>
      <w:spacing w:before="100" w:beforeAutospacing="1" w:after="100" w:afterAutospacing="1"/>
      <w:ind w:left="0"/>
    </w:pPr>
    <w:rPr>
      <w:rFonts w:ascii="Arial Unicode MS" w:eastAsia="Arial Unicode MS" w:hAnsi="Arial Unicode MS" w:cs="Arial Unicode MS"/>
      <w:color w:val="000000"/>
    </w:rPr>
  </w:style>
  <w:style w:type="paragraph" w:customStyle="1" w:styleId="Textoindependiente21">
    <w:name w:val="Texto independiente 21"/>
    <w:basedOn w:val="Normal"/>
    <w:rsid w:val="00B91B77"/>
    <w:pPr>
      <w:ind w:left="0"/>
      <w:jc w:val="both"/>
    </w:pPr>
    <w:rPr>
      <w:rFonts w:ascii="Arial" w:hAnsi="Arial"/>
      <w:sz w:val="22"/>
      <w:szCs w:val="20"/>
      <w:lang w:val="es-CO"/>
    </w:rPr>
  </w:style>
  <w:style w:type="character" w:styleId="Refdecomentario">
    <w:name w:val="annotation reference"/>
    <w:unhideWhenUsed/>
    <w:rsid w:val="00471070"/>
    <w:rPr>
      <w:sz w:val="16"/>
      <w:szCs w:val="16"/>
    </w:rPr>
  </w:style>
  <w:style w:type="paragraph" w:styleId="Textocomentario">
    <w:name w:val="annotation text"/>
    <w:basedOn w:val="Normal"/>
    <w:link w:val="TextocomentarioCar"/>
    <w:unhideWhenUsed/>
    <w:rsid w:val="00471070"/>
    <w:rPr>
      <w:sz w:val="20"/>
      <w:szCs w:val="20"/>
    </w:rPr>
  </w:style>
  <w:style w:type="character" w:customStyle="1" w:styleId="TextocomentarioCar">
    <w:name w:val="Texto comentario Car"/>
    <w:link w:val="Textocomentario"/>
    <w:rsid w:val="00471070"/>
    <w:rPr>
      <w:lang w:val="es-ES" w:eastAsia="es-ES"/>
    </w:rPr>
  </w:style>
  <w:style w:type="paragraph" w:styleId="Asuntodelcomentario">
    <w:name w:val="annotation subject"/>
    <w:basedOn w:val="Textocomentario"/>
    <w:next w:val="Textocomentario"/>
    <w:link w:val="AsuntodelcomentarioCar"/>
    <w:uiPriority w:val="99"/>
    <w:semiHidden/>
    <w:unhideWhenUsed/>
    <w:rsid w:val="00471070"/>
    <w:rPr>
      <w:b/>
      <w:bCs/>
    </w:rPr>
  </w:style>
  <w:style w:type="character" w:customStyle="1" w:styleId="AsuntodelcomentarioCar">
    <w:name w:val="Asunto del comentario Car"/>
    <w:link w:val="Asuntodelcomentario"/>
    <w:uiPriority w:val="99"/>
    <w:semiHidden/>
    <w:rsid w:val="00471070"/>
    <w:rPr>
      <w:b/>
      <w:bCs/>
      <w:lang w:val="es-ES" w:eastAsia="es-ES"/>
    </w:rPr>
  </w:style>
  <w:style w:type="paragraph" w:styleId="Mapadeldocumento">
    <w:name w:val="Document Map"/>
    <w:basedOn w:val="Normal"/>
    <w:link w:val="MapadeldocumentoCar"/>
    <w:uiPriority w:val="99"/>
    <w:semiHidden/>
    <w:unhideWhenUsed/>
    <w:rsid w:val="006A629B"/>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6A629B"/>
    <w:rPr>
      <w:rFonts w:ascii="Tahoma" w:hAnsi="Tahoma" w:cs="Tahoma"/>
      <w:sz w:val="16"/>
      <w:szCs w:val="16"/>
      <w:lang w:val="es-ES" w:eastAsia="es-ES"/>
    </w:rPr>
  </w:style>
  <w:style w:type="character" w:styleId="Textodelmarcadordeposicin">
    <w:name w:val="Placeholder Text"/>
    <w:basedOn w:val="Fuentedeprrafopredeter"/>
    <w:uiPriority w:val="99"/>
    <w:semiHidden/>
    <w:rsid w:val="0066789E"/>
    <w:rPr>
      <w:color w:val="808080"/>
    </w:rPr>
  </w:style>
  <w:style w:type="paragraph" w:customStyle="1" w:styleId="ARTICULOS">
    <w:name w:val="ARTICULOS"/>
    <w:basedOn w:val="Normal"/>
    <w:link w:val="ARTICULOSCar"/>
    <w:qFormat/>
    <w:rsid w:val="009B0EE3"/>
    <w:pPr>
      <w:widowControl w:val="0"/>
      <w:numPr>
        <w:numId w:val="37"/>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9B0EE3"/>
    <w:rPr>
      <w:rFonts w:ascii="Bookman Old Style" w:hAnsi="Bookman Old Style"/>
      <w:bCs/>
      <w:sz w:val="24"/>
      <w:szCs w:val="24"/>
      <w:lang w:val="x-none" w:eastAsia="x-none"/>
    </w:rPr>
  </w:style>
  <w:style w:type="character" w:customStyle="1" w:styleId="Ttulo1Car">
    <w:name w:val="Título 1 Car"/>
    <w:basedOn w:val="Fuentedeprrafopredeter"/>
    <w:link w:val="Ttulo1"/>
    <w:rsid w:val="00557744"/>
    <w:rPr>
      <w:rFonts w:ascii="CG Times" w:hAnsi="CG Times"/>
      <w:b/>
      <w:sz w:val="24"/>
      <w:lang w:eastAsia="es-ES"/>
    </w:rPr>
  </w:style>
  <w:style w:type="paragraph" w:styleId="Textonotaalfinal">
    <w:name w:val="endnote text"/>
    <w:basedOn w:val="Normal"/>
    <w:link w:val="TextonotaalfinalCar"/>
    <w:uiPriority w:val="99"/>
    <w:semiHidden/>
    <w:unhideWhenUsed/>
    <w:rsid w:val="009064A4"/>
    <w:rPr>
      <w:sz w:val="20"/>
      <w:szCs w:val="20"/>
    </w:rPr>
  </w:style>
  <w:style w:type="character" w:customStyle="1" w:styleId="TextonotaalfinalCar">
    <w:name w:val="Texto nota al final Car"/>
    <w:basedOn w:val="Fuentedeprrafopredeter"/>
    <w:link w:val="Textonotaalfinal"/>
    <w:uiPriority w:val="99"/>
    <w:semiHidden/>
    <w:rsid w:val="009064A4"/>
    <w:rPr>
      <w:lang w:val="es-ES" w:eastAsia="es-ES"/>
    </w:rPr>
  </w:style>
  <w:style w:type="character" w:styleId="Refdenotaalfinal">
    <w:name w:val="endnote reference"/>
    <w:basedOn w:val="Fuentedeprrafopredeter"/>
    <w:uiPriority w:val="99"/>
    <w:semiHidden/>
    <w:unhideWhenUsed/>
    <w:rsid w:val="009064A4"/>
    <w:rPr>
      <w:vertAlign w:val="superscript"/>
    </w:rPr>
  </w:style>
  <w:style w:type="paragraph" w:styleId="Textonotapie">
    <w:name w:val="footnote text"/>
    <w:basedOn w:val="Normal"/>
    <w:link w:val="TextonotapieCar"/>
    <w:uiPriority w:val="99"/>
    <w:semiHidden/>
    <w:unhideWhenUsed/>
    <w:rsid w:val="009064A4"/>
    <w:rPr>
      <w:sz w:val="20"/>
      <w:szCs w:val="20"/>
    </w:rPr>
  </w:style>
  <w:style w:type="character" w:customStyle="1" w:styleId="TextonotapieCar">
    <w:name w:val="Texto nota pie Car"/>
    <w:basedOn w:val="Fuentedeprrafopredeter"/>
    <w:link w:val="Textonotapie"/>
    <w:uiPriority w:val="99"/>
    <w:semiHidden/>
    <w:rsid w:val="009064A4"/>
    <w:rPr>
      <w:lang w:val="es-ES" w:eastAsia="es-ES"/>
    </w:rPr>
  </w:style>
  <w:style w:type="character" w:styleId="Refdenotaalpie">
    <w:name w:val="footnote reference"/>
    <w:basedOn w:val="Fuentedeprrafopredeter"/>
    <w:uiPriority w:val="99"/>
    <w:semiHidden/>
    <w:unhideWhenUsed/>
    <w:rsid w:val="009064A4"/>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Lis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styleId="Lista">
    <w:name w:val="List"/>
    <w:basedOn w:val="Textoindependiente"/>
    <w:semiHidden/>
    <w:rsid w:val="00F76A7C"/>
    <w:pPr>
      <w:suppressAutoHyphens/>
      <w:spacing w:after="120"/>
      <w:ind w:left="0"/>
      <w:jc w:val="both"/>
    </w:pPr>
    <w:rPr>
      <w:rFonts w:cs="Tahoma"/>
      <w:b w:val="0"/>
      <w:bCs w:val="0"/>
      <w:sz w:val="22"/>
      <w:lang w:eastAsia="ar-SA"/>
    </w:rPr>
  </w:style>
  <w:style w:type="paragraph" w:styleId="Sangra3detindependiente">
    <w:name w:val="Body Text Indent 3"/>
    <w:basedOn w:val="Normal"/>
    <w:link w:val="Sangra3detindependienteCar"/>
    <w:uiPriority w:val="99"/>
    <w:semiHidden/>
    <w:unhideWhenUsed/>
    <w:rsid w:val="00B91B77"/>
    <w:pPr>
      <w:spacing w:after="120"/>
      <w:ind w:left="283"/>
    </w:pPr>
    <w:rPr>
      <w:sz w:val="16"/>
      <w:szCs w:val="16"/>
    </w:rPr>
  </w:style>
  <w:style w:type="character" w:customStyle="1" w:styleId="Sangra3detindependienteCar">
    <w:name w:val="Sangría 3 de t. independiente Car"/>
    <w:link w:val="Sangra3detindependiente"/>
    <w:uiPriority w:val="99"/>
    <w:semiHidden/>
    <w:rsid w:val="00B91B77"/>
    <w:rPr>
      <w:sz w:val="16"/>
      <w:szCs w:val="16"/>
      <w:lang w:val="es-ES" w:eastAsia="es-ES"/>
    </w:rPr>
  </w:style>
  <w:style w:type="paragraph" w:styleId="NormalWeb">
    <w:name w:val="Normal (Web)"/>
    <w:basedOn w:val="Normal"/>
    <w:uiPriority w:val="99"/>
    <w:semiHidden/>
    <w:rsid w:val="00B91B77"/>
    <w:pPr>
      <w:spacing w:before="100" w:beforeAutospacing="1" w:after="100" w:afterAutospacing="1"/>
      <w:ind w:left="0"/>
    </w:pPr>
    <w:rPr>
      <w:rFonts w:ascii="Arial Unicode MS" w:eastAsia="Arial Unicode MS" w:hAnsi="Arial Unicode MS" w:cs="Arial Unicode MS"/>
      <w:color w:val="000000"/>
    </w:rPr>
  </w:style>
  <w:style w:type="paragraph" w:customStyle="1" w:styleId="Textoindependiente21">
    <w:name w:val="Texto independiente 21"/>
    <w:basedOn w:val="Normal"/>
    <w:rsid w:val="00B91B77"/>
    <w:pPr>
      <w:ind w:left="0"/>
      <w:jc w:val="both"/>
    </w:pPr>
    <w:rPr>
      <w:rFonts w:ascii="Arial" w:hAnsi="Arial"/>
      <w:sz w:val="22"/>
      <w:szCs w:val="20"/>
      <w:lang w:val="es-CO"/>
    </w:rPr>
  </w:style>
  <w:style w:type="character" w:styleId="Refdecomentario">
    <w:name w:val="annotation reference"/>
    <w:unhideWhenUsed/>
    <w:rsid w:val="00471070"/>
    <w:rPr>
      <w:sz w:val="16"/>
      <w:szCs w:val="16"/>
    </w:rPr>
  </w:style>
  <w:style w:type="paragraph" w:styleId="Textocomentario">
    <w:name w:val="annotation text"/>
    <w:basedOn w:val="Normal"/>
    <w:link w:val="TextocomentarioCar"/>
    <w:unhideWhenUsed/>
    <w:rsid w:val="00471070"/>
    <w:rPr>
      <w:sz w:val="20"/>
      <w:szCs w:val="20"/>
    </w:rPr>
  </w:style>
  <w:style w:type="character" w:customStyle="1" w:styleId="TextocomentarioCar">
    <w:name w:val="Texto comentario Car"/>
    <w:link w:val="Textocomentario"/>
    <w:rsid w:val="00471070"/>
    <w:rPr>
      <w:lang w:val="es-ES" w:eastAsia="es-ES"/>
    </w:rPr>
  </w:style>
  <w:style w:type="paragraph" w:styleId="Asuntodelcomentario">
    <w:name w:val="annotation subject"/>
    <w:basedOn w:val="Textocomentario"/>
    <w:next w:val="Textocomentario"/>
    <w:link w:val="AsuntodelcomentarioCar"/>
    <w:uiPriority w:val="99"/>
    <w:semiHidden/>
    <w:unhideWhenUsed/>
    <w:rsid w:val="00471070"/>
    <w:rPr>
      <w:b/>
      <w:bCs/>
    </w:rPr>
  </w:style>
  <w:style w:type="character" w:customStyle="1" w:styleId="AsuntodelcomentarioCar">
    <w:name w:val="Asunto del comentario Car"/>
    <w:link w:val="Asuntodelcomentario"/>
    <w:uiPriority w:val="99"/>
    <w:semiHidden/>
    <w:rsid w:val="00471070"/>
    <w:rPr>
      <w:b/>
      <w:bCs/>
      <w:lang w:val="es-ES" w:eastAsia="es-ES"/>
    </w:rPr>
  </w:style>
  <w:style w:type="paragraph" w:styleId="Mapadeldocumento">
    <w:name w:val="Document Map"/>
    <w:basedOn w:val="Normal"/>
    <w:link w:val="MapadeldocumentoCar"/>
    <w:uiPriority w:val="99"/>
    <w:semiHidden/>
    <w:unhideWhenUsed/>
    <w:rsid w:val="006A629B"/>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6A629B"/>
    <w:rPr>
      <w:rFonts w:ascii="Tahoma" w:hAnsi="Tahoma" w:cs="Tahoma"/>
      <w:sz w:val="16"/>
      <w:szCs w:val="16"/>
      <w:lang w:val="es-ES" w:eastAsia="es-ES"/>
    </w:rPr>
  </w:style>
  <w:style w:type="character" w:styleId="Textodelmarcadordeposicin">
    <w:name w:val="Placeholder Text"/>
    <w:basedOn w:val="Fuentedeprrafopredeter"/>
    <w:uiPriority w:val="99"/>
    <w:semiHidden/>
    <w:rsid w:val="0066789E"/>
    <w:rPr>
      <w:color w:val="808080"/>
    </w:rPr>
  </w:style>
  <w:style w:type="paragraph" w:customStyle="1" w:styleId="ARTICULOS">
    <w:name w:val="ARTICULOS"/>
    <w:basedOn w:val="Normal"/>
    <w:link w:val="ARTICULOSCar"/>
    <w:qFormat/>
    <w:rsid w:val="009B0EE3"/>
    <w:pPr>
      <w:widowControl w:val="0"/>
      <w:numPr>
        <w:numId w:val="37"/>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9B0EE3"/>
    <w:rPr>
      <w:rFonts w:ascii="Bookman Old Style" w:hAnsi="Bookman Old Style"/>
      <w:bCs/>
      <w:sz w:val="24"/>
      <w:szCs w:val="24"/>
      <w:lang w:val="x-none" w:eastAsia="x-none"/>
    </w:rPr>
  </w:style>
  <w:style w:type="character" w:customStyle="1" w:styleId="Ttulo1Car">
    <w:name w:val="Título 1 Car"/>
    <w:basedOn w:val="Fuentedeprrafopredeter"/>
    <w:link w:val="Ttulo1"/>
    <w:rsid w:val="00557744"/>
    <w:rPr>
      <w:rFonts w:ascii="CG Times" w:hAnsi="CG Times"/>
      <w:b/>
      <w:sz w:val="24"/>
      <w:lang w:eastAsia="es-ES"/>
    </w:rPr>
  </w:style>
  <w:style w:type="paragraph" w:styleId="Textonotaalfinal">
    <w:name w:val="endnote text"/>
    <w:basedOn w:val="Normal"/>
    <w:link w:val="TextonotaalfinalCar"/>
    <w:uiPriority w:val="99"/>
    <w:semiHidden/>
    <w:unhideWhenUsed/>
    <w:rsid w:val="009064A4"/>
    <w:rPr>
      <w:sz w:val="20"/>
      <w:szCs w:val="20"/>
    </w:rPr>
  </w:style>
  <w:style w:type="character" w:customStyle="1" w:styleId="TextonotaalfinalCar">
    <w:name w:val="Texto nota al final Car"/>
    <w:basedOn w:val="Fuentedeprrafopredeter"/>
    <w:link w:val="Textonotaalfinal"/>
    <w:uiPriority w:val="99"/>
    <w:semiHidden/>
    <w:rsid w:val="009064A4"/>
    <w:rPr>
      <w:lang w:val="es-ES" w:eastAsia="es-ES"/>
    </w:rPr>
  </w:style>
  <w:style w:type="character" w:styleId="Refdenotaalfinal">
    <w:name w:val="endnote reference"/>
    <w:basedOn w:val="Fuentedeprrafopredeter"/>
    <w:uiPriority w:val="99"/>
    <w:semiHidden/>
    <w:unhideWhenUsed/>
    <w:rsid w:val="009064A4"/>
    <w:rPr>
      <w:vertAlign w:val="superscript"/>
    </w:rPr>
  </w:style>
  <w:style w:type="paragraph" w:styleId="Textonotapie">
    <w:name w:val="footnote text"/>
    <w:basedOn w:val="Normal"/>
    <w:link w:val="TextonotapieCar"/>
    <w:uiPriority w:val="99"/>
    <w:semiHidden/>
    <w:unhideWhenUsed/>
    <w:rsid w:val="009064A4"/>
    <w:rPr>
      <w:sz w:val="20"/>
      <w:szCs w:val="20"/>
    </w:rPr>
  </w:style>
  <w:style w:type="character" w:customStyle="1" w:styleId="TextonotapieCar">
    <w:name w:val="Texto nota pie Car"/>
    <w:basedOn w:val="Fuentedeprrafopredeter"/>
    <w:link w:val="Textonotapie"/>
    <w:uiPriority w:val="99"/>
    <w:semiHidden/>
    <w:rsid w:val="009064A4"/>
    <w:rPr>
      <w:lang w:val="es-ES" w:eastAsia="es-ES"/>
    </w:rPr>
  </w:style>
  <w:style w:type="character" w:styleId="Refdenotaalpie">
    <w:name w:val="footnote reference"/>
    <w:basedOn w:val="Fuentedeprrafopredeter"/>
    <w:uiPriority w:val="99"/>
    <w:semiHidden/>
    <w:unhideWhenUsed/>
    <w:rsid w:val="009064A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43334">
      <w:bodyDiv w:val="1"/>
      <w:marLeft w:val="0"/>
      <w:marRight w:val="0"/>
      <w:marTop w:val="0"/>
      <w:marBottom w:val="0"/>
      <w:divBdr>
        <w:top w:val="none" w:sz="0" w:space="0" w:color="auto"/>
        <w:left w:val="none" w:sz="0" w:space="0" w:color="auto"/>
        <w:bottom w:val="none" w:sz="0" w:space="0" w:color="auto"/>
        <w:right w:val="none" w:sz="0" w:space="0" w:color="auto"/>
      </w:divBdr>
    </w:div>
    <w:div w:id="442923938">
      <w:bodyDiv w:val="1"/>
      <w:marLeft w:val="0"/>
      <w:marRight w:val="0"/>
      <w:marTop w:val="0"/>
      <w:marBottom w:val="0"/>
      <w:divBdr>
        <w:top w:val="none" w:sz="0" w:space="0" w:color="auto"/>
        <w:left w:val="none" w:sz="0" w:space="0" w:color="auto"/>
        <w:bottom w:val="none" w:sz="0" w:space="0" w:color="auto"/>
        <w:right w:val="none" w:sz="0" w:space="0" w:color="auto"/>
      </w:divBdr>
    </w:div>
    <w:div w:id="963653522">
      <w:bodyDiv w:val="1"/>
      <w:marLeft w:val="0"/>
      <w:marRight w:val="0"/>
      <w:marTop w:val="0"/>
      <w:marBottom w:val="0"/>
      <w:divBdr>
        <w:top w:val="none" w:sz="0" w:space="0" w:color="auto"/>
        <w:left w:val="none" w:sz="0" w:space="0" w:color="auto"/>
        <w:bottom w:val="none" w:sz="0" w:space="0" w:color="auto"/>
        <w:right w:val="none" w:sz="0" w:space="0" w:color="auto"/>
      </w:divBdr>
    </w:div>
    <w:div w:id="1204320033">
      <w:bodyDiv w:val="1"/>
      <w:marLeft w:val="0"/>
      <w:marRight w:val="0"/>
      <w:marTop w:val="0"/>
      <w:marBottom w:val="0"/>
      <w:divBdr>
        <w:top w:val="none" w:sz="0" w:space="0" w:color="auto"/>
        <w:left w:val="none" w:sz="0" w:space="0" w:color="auto"/>
        <w:bottom w:val="none" w:sz="0" w:space="0" w:color="auto"/>
        <w:right w:val="none" w:sz="0" w:space="0" w:color="auto"/>
      </w:divBdr>
    </w:div>
    <w:div w:id="1263417099">
      <w:bodyDiv w:val="1"/>
      <w:marLeft w:val="0"/>
      <w:marRight w:val="0"/>
      <w:marTop w:val="0"/>
      <w:marBottom w:val="0"/>
      <w:divBdr>
        <w:top w:val="none" w:sz="0" w:space="0" w:color="auto"/>
        <w:left w:val="none" w:sz="0" w:space="0" w:color="auto"/>
        <w:bottom w:val="none" w:sz="0" w:space="0" w:color="auto"/>
        <w:right w:val="none" w:sz="0" w:space="0" w:color="auto"/>
      </w:divBdr>
    </w:div>
    <w:div w:id="1330475220">
      <w:bodyDiv w:val="1"/>
      <w:marLeft w:val="0"/>
      <w:marRight w:val="0"/>
      <w:marTop w:val="0"/>
      <w:marBottom w:val="0"/>
      <w:divBdr>
        <w:top w:val="none" w:sz="0" w:space="0" w:color="auto"/>
        <w:left w:val="none" w:sz="0" w:space="0" w:color="auto"/>
        <w:bottom w:val="none" w:sz="0" w:space="0" w:color="auto"/>
        <w:right w:val="none" w:sz="0" w:space="0" w:color="auto"/>
      </w:divBdr>
    </w:div>
    <w:div w:id="1581984772">
      <w:bodyDiv w:val="1"/>
      <w:marLeft w:val="0"/>
      <w:marRight w:val="0"/>
      <w:marTop w:val="0"/>
      <w:marBottom w:val="0"/>
      <w:divBdr>
        <w:top w:val="none" w:sz="0" w:space="0" w:color="auto"/>
        <w:left w:val="none" w:sz="0" w:space="0" w:color="auto"/>
        <w:bottom w:val="none" w:sz="0" w:space="0" w:color="auto"/>
        <w:right w:val="none" w:sz="0" w:space="0" w:color="auto"/>
      </w:divBdr>
    </w:div>
    <w:div w:id="2069954635">
      <w:bodyDiv w:val="1"/>
      <w:marLeft w:val="0"/>
      <w:marRight w:val="0"/>
      <w:marTop w:val="0"/>
      <w:marBottom w:val="0"/>
      <w:divBdr>
        <w:top w:val="none" w:sz="0" w:space="0" w:color="auto"/>
        <w:left w:val="none" w:sz="0" w:space="0" w:color="auto"/>
        <w:bottom w:val="none" w:sz="0" w:space="0" w:color="auto"/>
        <w:right w:val="none" w:sz="0" w:space="0" w:color="auto"/>
      </w:divBdr>
    </w:div>
    <w:div w:id="213066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4AFC1C-4B93-4384-9BA4-5368D074CD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19</Pages>
  <Words>5327</Words>
  <Characters>27931</Characters>
  <Application>Microsoft Office Word</Application>
  <DocSecurity>0</DocSecurity>
  <Lines>232</Lines>
  <Paragraphs>66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33192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2016-05-18T13:39:00Z</cp:lastPrinted>
  <dcterms:created xsi:type="dcterms:W3CDTF">2016-05-23T15:43:00Z</dcterms:created>
  <dcterms:modified xsi:type="dcterms:W3CDTF">2016-05-23T15:43:00Z</dcterms:modified>
</cp:coreProperties>
</file>