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655E0" w14:textId="36911C3C" w:rsidR="00625DC6" w:rsidRPr="00E060BE" w:rsidRDefault="00943514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noProof/>
          <w:szCs w:val="24"/>
        </w:rPr>
        <w:object w:dxaOrig="1440" w:dyaOrig="1440" w14:anchorId="391921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8240" fillcolor="#0c9">
            <v:imagedata r:id="rId11" o:title=""/>
          </v:shape>
          <o:OLEObject Type="Embed" ProgID="PBrush" ShapeID="_x0000_s1026" DrawAspect="Content" ObjectID="_1690180165" r:id="rId12"/>
        </w:object>
      </w:r>
    </w:p>
    <w:p w14:paraId="5879349C" w14:textId="77777777" w:rsidR="00DF2CD7" w:rsidRPr="001A11B2" w:rsidRDefault="00DF2CD7" w:rsidP="00DF2CD7">
      <w:pPr>
        <w:pStyle w:val="Ttulo4"/>
        <w:tabs>
          <w:tab w:val="left" w:pos="0"/>
          <w:tab w:val="right" w:pos="9356"/>
        </w:tabs>
        <w:ind w:left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1A11B2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14:paraId="19BAB380" w14:textId="77777777" w:rsidR="00DF2CD7" w:rsidRPr="001A11B2" w:rsidRDefault="00DF2CD7" w:rsidP="00DF2CD7">
      <w:pPr>
        <w:pStyle w:val="Ttulo3"/>
        <w:tabs>
          <w:tab w:val="left" w:pos="0"/>
          <w:tab w:val="right" w:pos="9356"/>
        </w:tabs>
        <w:ind w:left="0"/>
        <w:rPr>
          <w:rFonts w:ascii="Bookman Old Style" w:hAnsi="Bookman Old Style" w:cs="Arial"/>
          <w:spacing w:val="20"/>
          <w:szCs w:val="24"/>
        </w:rPr>
      </w:pPr>
    </w:p>
    <w:p w14:paraId="2A8500CE" w14:textId="77777777" w:rsidR="00DF2CD7" w:rsidRPr="001A11B2" w:rsidRDefault="00DF2CD7" w:rsidP="00DF2CD7">
      <w:pPr>
        <w:pStyle w:val="Ttulo3"/>
        <w:ind w:left="0"/>
        <w:rPr>
          <w:rFonts w:ascii="Bookman Old Style" w:hAnsi="Bookman Old Style"/>
        </w:rPr>
      </w:pPr>
      <w:r w:rsidRPr="001A11B2">
        <w:rPr>
          <w:rFonts w:ascii="Bookman Old Style" w:hAnsi="Bookman Old Style"/>
        </w:rPr>
        <w:t>COMISIÓN DE REGULACIÓN DE ENERGÍA Y GAS</w:t>
      </w:r>
    </w:p>
    <w:p w14:paraId="082D9466" w14:textId="77777777" w:rsidR="00DF2CD7" w:rsidRPr="001A11B2" w:rsidRDefault="00DF2CD7" w:rsidP="00DF2CD7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</w:p>
    <w:p w14:paraId="57A2B8F6" w14:textId="15B1BC4B" w:rsidR="00DF2CD7" w:rsidRPr="001A11B2" w:rsidRDefault="00DF2CD7" w:rsidP="00DF2CD7">
      <w:pPr>
        <w:pStyle w:val="Ttulo5"/>
        <w:tabs>
          <w:tab w:val="left" w:pos="0"/>
          <w:tab w:val="right" w:pos="9356"/>
        </w:tabs>
        <w:ind w:left="0"/>
        <w:rPr>
          <w:rFonts w:ascii="Bookman Old Style" w:hAnsi="Bookman Old Style"/>
          <w:sz w:val="24"/>
          <w:szCs w:val="24"/>
        </w:rPr>
      </w:pPr>
      <w:r w:rsidRPr="001A11B2">
        <w:rPr>
          <w:rFonts w:ascii="Bookman Old Style" w:hAnsi="Bookman Old Style"/>
          <w:sz w:val="24"/>
          <w:szCs w:val="24"/>
        </w:rPr>
        <w:t>RESOLUCIÓ</w:t>
      </w:r>
      <w:r w:rsidR="00D53D9C">
        <w:rPr>
          <w:rFonts w:ascii="Bookman Old Style" w:hAnsi="Bookman Old Style"/>
          <w:sz w:val="24"/>
          <w:szCs w:val="24"/>
        </w:rPr>
        <w:t xml:space="preserve">N </w:t>
      </w:r>
      <w:proofErr w:type="gramStart"/>
      <w:r w:rsidR="00D53D9C">
        <w:rPr>
          <w:rFonts w:ascii="Bookman Old Style" w:hAnsi="Bookman Old Style"/>
          <w:sz w:val="24"/>
          <w:szCs w:val="24"/>
        </w:rPr>
        <w:t xml:space="preserve">No.  </w:t>
      </w:r>
      <w:r w:rsidR="002E7429" w:rsidRPr="002E7429">
        <w:rPr>
          <w:rFonts w:ascii="Bookman Old Style" w:hAnsi="Bookman Old Style"/>
          <w:sz w:val="32"/>
          <w:szCs w:val="32"/>
        </w:rPr>
        <w:t>094</w:t>
      </w:r>
      <w:proofErr w:type="gramEnd"/>
      <w:r w:rsidR="00D53D9C">
        <w:rPr>
          <w:rFonts w:ascii="Bookman Old Style" w:hAnsi="Bookman Old Style"/>
          <w:sz w:val="24"/>
          <w:szCs w:val="24"/>
        </w:rPr>
        <w:t xml:space="preserve">   DE 20</w:t>
      </w:r>
      <w:r w:rsidR="00FE5690">
        <w:rPr>
          <w:rFonts w:ascii="Bookman Old Style" w:hAnsi="Bookman Old Style"/>
          <w:sz w:val="24"/>
          <w:szCs w:val="24"/>
        </w:rPr>
        <w:t>21</w:t>
      </w:r>
    </w:p>
    <w:p w14:paraId="187258B3" w14:textId="77777777" w:rsidR="00DF2CD7" w:rsidRPr="001A11B2" w:rsidRDefault="00DF2CD7" w:rsidP="00DF2CD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 w:cs="Arial"/>
          <w:b/>
          <w:snapToGrid w:val="0"/>
          <w:color w:val="000000"/>
          <w:lang w:val="es-ES_tradnl"/>
        </w:rPr>
      </w:pPr>
    </w:p>
    <w:p w14:paraId="75C199C6" w14:textId="3941FD1F" w:rsidR="00DF2CD7" w:rsidRPr="001A11B2" w:rsidRDefault="00DF2CD7" w:rsidP="00DF2CD7">
      <w:pPr>
        <w:pStyle w:val="Ttulo3"/>
        <w:ind w:left="0"/>
      </w:pPr>
      <w:proofErr w:type="gramStart"/>
      <w:r w:rsidRPr="001A11B2">
        <w:t xml:space="preserve">(  </w:t>
      </w:r>
      <w:proofErr w:type="gramEnd"/>
      <w:r w:rsidRPr="001A11B2">
        <w:t xml:space="preserve"> </w:t>
      </w:r>
      <w:r w:rsidR="002E7429" w:rsidRPr="002E7429">
        <w:rPr>
          <w:rFonts w:ascii="Bookman Old Style" w:hAnsi="Bookman Old Style"/>
          <w:sz w:val="32"/>
          <w:szCs w:val="32"/>
        </w:rPr>
        <w:t>30 JUL. 2021</w:t>
      </w:r>
      <w:r w:rsidRPr="001A11B2">
        <w:t xml:space="preserve">    )</w:t>
      </w:r>
    </w:p>
    <w:p w14:paraId="1F353D76" w14:textId="77777777" w:rsidR="00DF2CD7" w:rsidRPr="001A11B2" w:rsidRDefault="00DF2CD7" w:rsidP="00DF2CD7">
      <w:pPr>
        <w:tabs>
          <w:tab w:val="left" w:pos="0"/>
          <w:tab w:val="right" w:pos="9356"/>
        </w:tabs>
        <w:ind w:left="0"/>
        <w:jc w:val="center"/>
        <w:rPr>
          <w:rFonts w:ascii="Bookman Old Style" w:hAnsi="Bookman Old Style"/>
          <w:lang w:val="es-ES_tradnl"/>
        </w:rPr>
      </w:pPr>
    </w:p>
    <w:p w14:paraId="5883AD82" w14:textId="77777777" w:rsidR="00DF2CD7" w:rsidRPr="001A11B2" w:rsidRDefault="00DF2CD7" w:rsidP="00DF2CD7">
      <w:pPr>
        <w:ind w:left="0"/>
        <w:jc w:val="center"/>
        <w:rPr>
          <w:rFonts w:ascii="Bookman Old Style" w:hAnsi="Bookman Old Style" w:cs="Arial"/>
        </w:rPr>
      </w:pPr>
    </w:p>
    <w:p w14:paraId="4EA445AB" w14:textId="24E73AF9" w:rsidR="00DF2CD7" w:rsidRPr="00D53D9C" w:rsidRDefault="00DF2CD7" w:rsidP="00DF2CD7">
      <w:pPr>
        <w:ind w:left="0"/>
        <w:jc w:val="center"/>
        <w:rPr>
          <w:rFonts w:ascii="Bookman Old Style" w:hAnsi="Bookman Old Style"/>
          <w:i/>
        </w:rPr>
      </w:pPr>
      <w:r w:rsidRPr="001A11B2">
        <w:rPr>
          <w:rFonts w:ascii="Bookman Old Style" w:hAnsi="Bookman Old Style" w:cs="Arial"/>
        </w:rPr>
        <w:t xml:space="preserve">Por la cual se ordena hacer público un proyecto de resolución </w:t>
      </w:r>
      <w:r w:rsidRPr="00D53D9C">
        <w:rPr>
          <w:rFonts w:ascii="Bookman Old Style" w:hAnsi="Bookman Old Style" w:cs="Arial"/>
          <w:i/>
        </w:rPr>
        <w:t>“</w:t>
      </w:r>
      <w:r w:rsidR="00D53D9C" w:rsidRPr="00D53D9C">
        <w:rPr>
          <w:rFonts w:ascii="Bookman Old Style" w:hAnsi="Bookman Old Style" w:cs="Arial"/>
          <w:i/>
          <w:szCs w:val="20"/>
          <w:lang w:val="es-CO"/>
        </w:rPr>
        <w:t xml:space="preserve">Condiciones de competencia </w:t>
      </w:r>
      <w:r w:rsidRPr="00D53D9C">
        <w:rPr>
          <w:rFonts w:ascii="Bookman Old Style" w:hAnsi="Bookman Old Style" w:cs="Arial"/>
          <w:i/>
          <w:szCs w:val="20"/>
          <w:lang w:val="es-CO"/>
        </w:rPr>
        <w:t>que debe cumplir el mecanismo de contratación de largo plazo del Ministerio de Minas y Energía</w:t>
      </w:r>
      <w:r w:rsidRPr="00D53D9C">
        <w:rPr>
          <w:rFonts w:ascii="Bookman Old Style" w:hAnsi="Bookman Old Style"/>
          <w:i/>
        </w:rPr>
        <w:t>”</w:t>
      </w:r>
    </w:p>
    <w:p w14:paraId="0F118B1D" w14:textId="77777777" w:rsidR="00DF2CD7" w:rsidRPr="001A11B2" w:rsidRDefault="00DF2CD7" w:rsidP="00DF2CD7">
      <w:pPr>
        <w:pStyle w:val="Textodebloque"/>
        <w:ind w:left="0" w:right="51"/>
        <w:jc w:val="center"/>
        <w:rPr>
          <w:rFonts w:ascii="Bookman Old Style" w:hAnsi="Bookman Old Style" w:cs="Arial"/>
          <w:lang w:val="es-ES"/>
        </w:rPr>
      </w:pPr>
    </w:p>
    <w:p w14:paraId="2F1290C8" w14:textId="77777777" w:rsidR="00DF2CD7" w:rsidRPr="001A11B2" w:rsidRDefault="00DF2CD7" w:rsidP="00DF2CD7">
      <w:pPr>
        <w:ind w:right="51"/>
        <w:jc w:val="center"/>
        <w:rPr>
          <w:rFonts w:ascii="Bookman Old Style" w:hAnsi="Bookman Old Style"/>
          <w:b/>
        </w:rPr>
      </w:pPr>
      <w:r w:rsidRPr="001A11B2">
        <w:rPr>
          <w:rFonts w:ascii="Bookman Old Style" w:hAnsi="Bookman Old Style"/>
          <w:b/>
        </w:rPr>
        <w:t>LA COMISIÓN DE REGULACIÓN DE ENERGÍA Y GAS</w:t>
      </w:r>
    </w:p>
    <w:p w14:paraId="764919CD" w14:textId="2B7AEEAD" w:rsidR="00DF2CD7" w:rsidRDefault="00DF2CD7" w:rsidP="00DF2CD7">
      <w:pPr>
        <w:ind w:left="0" w:right="51"/>
        <w:rPr>
          <w:rFonts w:ascii="Bookman Old Style" w:hAnsi="Bookman Old Style"/>
        </w:rPr>
      </w:pPr>
    </w:p>
    <w:p w14:paraId="26232C81" w14:textId="77777777" w:rsidR="002E7429" w:rsidRDefault="002E7429" w:rsidP="00DF2CD7">
      <w:pPr>
        <w:ind w:left="0" w:right="51"/>
        <w:rPr>
          <w:rFonts w:ascii="Bookman Old Style" w:hAnsi="Bookman Old Style"/>
        </w:rPr>
      </w:pPr>
    </w:p>
    <w:p w14:paraId="73916A6B" w14:textId="77777777" w:rsidR="00DF2CD7" w:rsidRPr="001A11B2" w:rsidRDefault="00DF2CD7" w:rsidP="00DF2CD7">
      <w:pPr>
        <w:pStyle w:val="Textoindependiente3"/>
        <w:ind w:left="0"/>
        <w:rPr>
          <w:rFonts w:ascii="Bookman Old Style" w:hAnsi="Bookman Old Style"/>
          <w:b w:val="0"/>
        </w:rPr>
      </w:pPr>
      <w:r w:rsidRPr="001A11B2">
        <w:rPr>
          <w:rFonts w:ascii="Bookman Old Style" w:hAnsi="Bookman Old Style"/>
          <w:b w:val="0"/>
        </w:rPr>
        <w:t>En ejercicio de sus atribuciones constitucionales y legales, en especial las conferidas por las Leyes 142 y 143 de 1994, y en desarrollo de los Decretos 1524, 2253 de 1994 y 1260 de 2013.</w:t>
      </w:r>
    </w:p>
    <w:p w14:paraId="71F8AE4D" w14:textId="2E6F198C" w:rsidR="00DF2CD7" w:rsidRDefault="00DF2CD7" w:rsidP="00DF2CD7">
      <w:pPr>
        <w:ind w:right="51"/>
        <w:rPr>
          <w:rFonts w:ascii="Bookman Old Style" w:hAnsi="Bookman Old Style"/>
        </w:rPr>
      </w:pPr>
    </w:p>
    <w:p w14:paraId="7733CAAD" w14:textId="77777777" w:rsidR="002E7429" w:rsidRPr="001A11B2" w:rsidRDefault="002E7429" w:rsidP="00DF2CD7">
      <w:pPr>
        <w:ind w:right="51"/>
        <w:rPr>
          <w:rFonts w:ascii="Bookman Old Style" w:hAnsi="Bookman Old Style"/>
        </w:rPr>
      </w:pPr>
    </w:p>
    <w:p w14:paraId="6C43C199" w14:textId="77777777" w:rsidR="00DF2CD7" w:rsidRPr="001A11B2" w:rsidRDefault="00DF2CD7" w:rsidP="00DF2CD7">
      <w:pPr>
        <w:ind w:right="51"/>
        <w:jc w:val="center"/>
        <w:rPr>
          <w:rFonts w:ascii="Bookman Old Style" w:hAnsi="Bookman Old Style"/>
          <w:b/>
        </w:rPr>
      </w:pPr>
      <w:r w:rsidRPr="001A11B2">
        <w:rPr>
          <w:rFonts w:ascii="Bookman Old Style" w:hAnsi="Bookman Old Style"/>
          <w:b/>
        </w:rPr>
        <w:t xml:space="preserve">C O N S I D E R A N D </w:t>
      </w:r>
      <w:proofErr w:type="gramStart"/>
      <w:r w:rsidRPr="001A11B2">
        <w:rPr>
          <w:rFonts w:ascii="Bookman Old Style" w:hAnsi="Bookman Old Style"/>
          <w:b/>
        </w:rPr>
        <w:t>O  Q</w:t>
      </w:r>
      <w:proofErr w:type="gramEnd"/>
      <w:r w:rsidRPr="001A11B2">
        <w:rPr>
          <w:rFonts w:ascii="Bookman Old Style" w:hAnsi="Bookman Old Style"/>
          <w:b/>
        </w:rPr>
        <w:t xml:space="preserve"> U E:</w:t>
      </w:r>
    </w:p>
    <w:p w14:paraId="7E66EDB5" w14:textId="77777777" w:rsidR="00DF2CD7" w:rsidRDefault="00DF2CD7" w:rsidP="00DF2CD7">
      <w:pPr>
        <w:ind w:right="51"/>
        <w:jc w:val="center"/>
        <w:rPr>
          <w:rFonts w:ascii="Bookman Old Style" w:hAnsi="Bookman Old Style"/>
          <w:b/>
        </w:rPr>
      </w:pPr>
    </w:p>
    <w:p w14:paraId="4DBA44F2" w14:textId="77449A88" w:rsidR="00DF2CD7" w:rsidRPr="00B23DC3" w:rsidRDefault="00DF2CD7" w:rsidP="00DF2CD7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  <w:r w:rsidRPr="00B23DC3">
        <w:rPr>
          <w:rFonts w:ascii="Bookman Old Style" w:hAnsi="Bookman Old Style" w:cs="Arial"/>
        </w:rPr>
        <w:t>Conforme a lo dispuesto por el artículo 8 del Código de Procedimiento Admi</w:t>
      </w:r>
      <w:r w:rsidR="00D53D9C" w:rsidRPr="00B23DC3">
        <w:rPr>
          <w:rFonts w:ascii="Bookman Old Style" w:hAnsi="Bookman Old Style" w:cs="Arial"/>
        </w:rPr>
        <w:t>nistrativo y de lo Contencioso A</w:t>
      </w:r>
      <w:r w:rsidRPr="00B23DC3">
        <w:rPr>
          <w:rFonts w:ascii="Bookman Old Style" w:hAnsi="Bookman Old Style" w:cs="Arial"/>
        </w:rPr>
        <w:t xml:space="preserve">dministrativo, </w:t>
      </w:r>
      <w:bookmarkStart w:id="0" w:name="_Hlk78968993"/>
      <w:r w:rsidRPr="00B23DC3">
        <w:rPr>
          <w:rFonts w:ascii="Bookman Old Style" w:hAnsi="Bookman Old Style" w:cs="Arial"/>
        </w:rPr>
        <w:t>el artículo 2.2.13.3.2 del Decreto 1078 de 2015</w:t>
      </w:r>
      <w:r w:rsidR="00850EF6">
        <w:rPr>
          <w:rFonts w:ascii="Bookman Old Style" w:hAnsi="Bookman Old Style" w:cs="Arial"/>
        </w:rPr>
        <w:t>,</w:t>
      </w:r>
      <w:r w:rsidRPr="00B23DC3">
        <w:rPr>
          <w:rFonts w:ascii="Bookman Old Style" w:hAnsi="Bookman Old Style" w:cs="Arial"/>
        </w:rPr>
        <w:t xml:space="preserve"> y el artículo 33 de la Resolución CREG 039 de 2017</w:t>
      </w:r>
      <w:bookmarkEnd w:id="0"/>
      <w:r w:rsidRPr="00B23DC3">
        <w:rPr>
          <w:rFonts w:ascii="Bookman Old Style" w:hAnsi="Bookman Old Style" w:cs="Arial"/>
        </w:rPr>
        <w:t>, la Comisión debe hacer público en su página web todos los proyectos de resolución de carácter general que pretenda adoptar.</w:t>
      </w:r>
    </w:p>
    <w:p w14:paraId="7DF3CC0E" w14:textId="06AF32CF" w:rsidR="00D53D9C" w:rsidRDefault="00D53D9C" w:rsidP="00DF2CD7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1B5E2955" w14:textId="1C057050" w:rsidR="00026700" w:rsidRPr="005F472E" w:rsidRDefault="00026700" w:rsidP="00026700">
      <w:pPr>
        <w:ind w:left="0"/>
        <w:jc w:val="both"/>
        <w:rPr>
          <w:rFonts w:ascii="Bookman Old Style" w:hAnsi="Bookman Old Style"/>
        </w:rPr>
      </w:pPr>
      <w:r w:rsidRPr="005F472E">
        <w:rPr>
          <w:rFonts w:ascii="Bookman Old Style" w:hAnsi="Bookman Old Style"/>
        </w:rPr>
        <w:t>Mediante la Resolución 4 0590 de 2019</w:t>
      </w:r>
      <w:r w:rsidR="00850EF6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0458D8">
        <w:rPr>
          <w:rFonts w:ascii="Bookman Old Style" w:hAnsi="Bookman Old Style"/>
        </w:rPr>
        <w:t>modificada por la Resolución 4 0678 de 2019, modificada por la Resolución 4 0141 de 2021 del Ministerio de Minas y Energía</w:t>
      </w:r>
      <w:r w:rsidR="00850EF6">
        <w:rPr>
          <w:rFonts w:ascii="Bookman Old Style" w:hAnsi="Bookman Old Style"/>
        </w:rPr>
        <w:t>,</w:t>
      </w:r>
      <w:r w:rsidRPr="000458D8">
        <w:rPr>
          <w:rFonts w:ascii="Bookman Old Style" w:hAnsi="Bookman Old Style"/>
        </w:rPr>
        <w:t xml:space="preserve"> </w:t>
      </w:r>
      <w:r w:rsidRPr="005F472E">
        <w:rPr>
          <w:rFonts w:ascii="Bookman Old Style" w:hAnsi="Bookman Old Style"/>
        </w:rPr>
        <w:t>definió el mecanismo para promover la contratación de largo plazo</w:t>
      </w:r>
      <w:r>
        <w:rPr>
          <w:rFonts w:ascii="Bookman Old Style" w:hAnsi="Bookman Old Style"/>
        </w:rPr>
        <w:t xml:space="preserve"> </w:t>
      </w:r>
      <w:r w:rsidRPr="005F472E">
        <w:rPr>
          <w:rFonts w:ascii="Bookman Old Style" w:hAnsi="Bookman Old Style"/>
        </w:rPr>
        <w:t xml:space="preserve">y señaló </w:t>
      </w:r>
      <w:r>
        <w:rPr>
          <w:rFonts w:ascii="Bookman Old Style" w:hAnsi="Bookman Old Style"/>
        </w:rPr>
        <w:t>al ASIC como administrador de la subasta a realizarse en el 2021</w:t>
      </w:r>
      <w:r w:rsidRPr="005F472E">
        <w:rPr>
          <w:rFonts w:ascii="Bookman Old Style" w:hAnsi="Bookman Old Style"/>
        </w:rPr>
        <w:t>.</w:t>
      </w:r>
    </w:p>
    <w:p w14:paraId="0664635F" w14:textId="77777777" w:rsidR="00026700" w:rsidRPr="005F472E" w:rsidRDefault="00026700" w:rsidP="00026700">
      <w:pPr>
        <w:ind w:left="0"/>
        <w:jc w:val="both"/>
        <w:rPr>
          <w:rFonts w:ascii="Bookman Old Style" w:hAnsi="Bookman Old Style"/>
        </w:rPr>
      </w:pPr>
    </w:p>
    <w:p w14:paraId="5444DD8C" w14:textId="77777777" w:rsidR="00026700" w:rsidRPr="005F472E" w:rsidRDefault="00026700" w:rsidP="00026700">
      <w:pPr>
        <w:ind w:left="0"/>
        <w:jc w:val="both"/>
        <w:rPr>
          <w:rFonts w:ascii="Bookman Old Style" w:hAnsi="Bookman Old Style"/>
        </w:rPr>
      </w:pPr>
      <w:r w:rsidRPr="005F472E">
        <w:rPr>
          <w:rFonts w:ascii="Bookman Old Style" w:hAnsi="Bookman Old Style"/>
        </w:rPr>
        <w:t xml:space="preserve">La Resolución 4 </w:t>
      </w:r>
      <w:r>
        <w:rPr>
          <w:rFonts w:ascii="Bookman Old Style" w:hAnsi="Bookman Old Style"/>
        </w:rPr>
        <w:t>0179</w:t>
      </w:r>
      <w:r w:rsidRPr="005F472E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21</w:t>
      </w:r>
      <w:r w:rsidRPr="005F472E">
        <w:rPr>
          <w:rFonts w:ascii="Bookman Old Style" w:hAnsi="Bookman Old Style"/>
        </w:rPr>
        <w:t xml:space="preserve"> del Ministerio de Minas y Energía ordenó la convocatoria para la subasta de contratación de largo plazo </w:t>
      </w:r>
      <w:r>
        <w:rPr>
          <w:rFonts w:ascii="Bookman Old Style" w:hAnsi="Bookman Old Style"/>
        </w:rPr>
        <w:t xml:space="preserve">de proyectos de generación </w:t>
      </w:r>
      <w:r w:rsidRPr="005F472E">
        <w:rPr>
          <w:rFonts w:ascii="Bookman Old Style" w:hAnsi="Bookman Old Style"/>
        </w:rPr>
        <w:t xml:space="preserve">de energía eléctrica </w:t>
      </w:r>
      <w:r>
        <w:rPr>
          <w:rFonts w:ascii="Bookman Old Style" w:hAnsi="Bookman Old Style"/>
        </w:rPr>
        <w:t>a adjudicarse a más tardar el 31 de octubre de 2021.</w:t>
      </w:r>
    </w:p>
    <w:p w14:paraId="0BCB8FF4" w14:textId="77777777" w:rsidR="00026700" w:rsidRPr="00B23DC3" w:rsidRDefault="00026700" w:rsidP="00DF2CD7">
      <w:pPr>
        <w:tabs>
          <w:tab w:val="left" w:pos="0"/>
        </w:tabs>
        <w:ind w:left="0"/>
        <w:jc w:val="both"/>
        <w:rPr>
          <w:rFonts w:ascii="Bookman Old Style" w:hAnsi="Bookman Old Style" w:cs="Arial"/>
        </w:rPr>
      </w:pPr>
    </w:p>
    <w:p w14:paraId="03AF150F" w14:textId="4BC09992" w:rsidR="00026700" w:rsidRDefault="00DF2CD7" w:rsidP="00026700">
      <w:pPr>
        <w:ind w:left="0"/>
        <w:jc w:val="both"/>
        <w:rPr>
          <w:rFonts w:ascii="Bookman Old Style" w:hAnsi="Bookman Old Style"/>
          <w:i/>
        </w:rPr>
      </w:pPr>
      <w:r w:rsidRPr="00B23DC3">
        <w:rPr>
          <w:rFonts w:ascii="Bookman Old Style" w:hAnsi="Bookman Old Style"/>
        </w:rPr>
        <w:t xml:space="preserve">La </w:t>
      </w:r>
      <w:r w:rsidRPr="00B23DC3">
        <w:rPr>
          <w:rFonts w:ascii="Bookman Old Style" w:hAnsi="Bookman Old Style" w:cs="Arial"/>
        </w:rPr>
        <w:t>Comisión</w:t>
      </w:r>
      <w:r w:rsidRPr="00B23DC3">
        <w:rPr>
          <w:rFonts w:ascii="Bookman Old Style" w:hAnsi="Bookman Old Style"/>
        </w:rPr>
        <w:t xml:space="preserve"> de Regulación de Energía y Gas, en su sesión No. </w:t>
      </w:r>
      <w:r w:rsidR="0092230D">
        <w:rPr>
          <w:rFonts w:ascii="Bookman Old Style" w:hAnsi="Bookman Old Style"/>
        </w:rPr>
        <w:t>1109</w:t>
      </w:r>
      <w:r w:rsidRPr="00B23DC3">
        <w:rPr>
          <w:rFonts w:ascii="Bookman Old Style" w:hAnsi="Bookman Old Style"/>
        </w:rPr>
        <w:t xml:space="preserve"> del </w:t>
      </w:r>
      <w:r w:rsidR="00AE0040">
        <w:rPr>
          <w:rFonts w:ascii="Bookman Old Style" w:hAnsi="Bookman Old Style"/>
        </w:rPr>
        <w:t>30</w:t>
      </w:r>
      <w:r w:rsidR="00B23DC3" w:rsidRPr="00B23DC3">
        <w:rPr>
          <w:rFonts w:ascii="Bookman Old Style" w:hAnsi="Bookman Old Style"/>
        </w:rPr>
        <w:t xml:space="preserve"> </w:t>
      </w:r>
      <w:r w:rsidRPr="00B23DC3">
        <w:rPr>
          <w:rFonts w:ascii="Bookman Old Style" w:hAnsi="Bookman Old Style"/>
        </w:rPr>
        <w:t xml:space="preserve">de </w:t>
      </w:r>
      <w:r w:rsidR="00B23DC3" w:rsidRPr="00B23DC3">
        <w:rPr>
          <w:rFonts w:ascii="Bookman Old Style" w:hAnsi="Bookman Old Style"/>
        </w:rPr>
        <w:t xml:space="preserve">Julio </w:t>
      </w:r>
      <w:r w:rsidRPr="00B23DC3">
        <w:rPr>
          <w:rFonts w:ascii="Bookman Old Style" w:hAnsi="Bookman Old Style"/>
        </w:rPr>
        <w:t>de 20</w:t>
      </w:r>
      <w:r w:rsidR="00AE0040">
        <w:rPr>
          <w:rFonts w:ascii="Bookman Old Style" w:hAnsi="Bookman Old Style"/>
        </w:rPr>
        <w:t>21</w:t>
      </w:r>
      <w:r w:rsidRPr="00B23DC3">
        <w:rPr>
          <w:rFonts w:ascii="Bookman Old Style" w:hAnsi="Bookman Old Style"/>
        </w:rPr>
        <w:t>, aprobó hacer púb</w:t>
      </w:r>
      <w:r w:rsidR="00D53D9C" w:rsidRPr="00B23DC3">
        <w:rPr>
          <w:rFonts w:ascii="Bookman Old Style" w:hAnsi="Bookman Old Style"/>
        </w:rPr>
        <w:t>lico el proyecto</w:t>
      </w:r>
      <w:r w:rsidR="00D53D9C">
        <w:rPr>
          <w:rFonts w:ascii="Bookman Old Style" w:hAnsi="Bookman Old Style"/>
        </w:rPr>
        <w:t xml:space="preserve"> de resolución: </w:t>
      </w:r>
      <w:r w:rsidR="00D53D9C" w:rsidRPr="001A11B2">
        <w:rPr>
          <w:rFonts w:ascii="Bookman Old Style" w:hAnsi="Bookman Old Style" w:cs="Arial"/>
          <w:i/>
        </w:rPr>
        <w:t>“</w:t>
      </w:r>
      <w:r w:rsidR="00D53D9C">
        <w:rPr>
          <w:rFonts w:ascii="Bookman Old Style" w:hAnsi="Bookman Old Style" w:cs="Arial"/>
          <w:szCs w:val="20"/>
          <w:lang w:val="es-CO"/>
        </w:rPr>
        <w:t xml:space="preserve">Condiciones de competencia </w:t>
      </w:r>
      <w:r w:rsidR="00D53D9C" w:rsidRPr="00EB5607">
        <w:rPr>
          <w:rFonts w:ascii="Bookman Old Style" w:hAnsi="Bookman Old Style" w:cs="Arial"/>
          <w:szCs w:val="20"/>
          <w:lang w:val="es-CO"/>
        </w:rPr>
        <w:t xml:space="preserve">que debe cumplir </w:t>
      </w:r>
      <w:r w:rsidR="00D53D9C">
        <w:rPr>
          <w:rFonts w:ascii="Bookman Old Style" w:hAnsi="Bookman Old Style" w:cs="Arial"/>
          <w:szCs w:val="20"/>
          <w:lang w:val="es-CO"/>
        </w:rPr>
        <w:t>el mecanismo de contratación de largo plazo del Ministerio de Minas y Energía</w:t>
      </w:r>
      <w:r w:rsidR="00D53D9C" w:rsidRPr="001A11B2">
        <w:rPr>
          <w:rFonts w:ascii="Bookman Old Style" w:hAnsi="Bookman Old Style"/>
          <w:i/>
        </w:rPr>
        <w:t>”</w:t>
      </w:r>
      <w:r w:rsidR="00A37703">
        <w:rPr>
          <w:rFonts w:ascii="Bookman Old Style" w:hAnsi="Bookman Old Style"/>
          <w:i/>
        </w:rPr>
        <w:t>.</w:t>
      </w:r>
    </w:p>
    <w:p w14:paraId="36D050EE" w14:textId="77777777" w:rsidR="009C3FF6" w:rsidRDefault="009C3FF6" w:rsidP="00026700">
      <w:pPr>
        <w:ind w:left="0"/>
        <w:jc w:val="both"/>
        <w:rPr>
          <w:rFonts w:ascii="Bookman Old Style" w:hAnsi="Bookman Old Style"/>
          <w:i/>
        </w:rPr>
      </w:pPr>
    </w:p>
    <w:p w14:paraId="49271E97" w14:textId="1C2378B7" w:rsidR="00026700" w:rsidRPr="00B2151C" w:rsidRDefault="00026700" w:rsidP="00026700">
      <w:pPr>
        <w:ind w:left="0"/>
        <w:jc w:val="both"/>
        <w:rPr>
          <w:rFonts w:ascii="Bookman Old Style" w:hAnsi="Bookman Old Style"/>
        </w:rPr>
      </w:pPr>
      <w:r w:rsidRPr="002E7429">
        <w:rPr>
          <w:rFonts w:ascii="Bookman Old Style" w:hAnsi="Bookman Old Style"/>
        </w:rPr>
        <w:t>En el Documento CREG</w:t>
      </w:r>
      <w:r w:rsidR="002E7429" w:rsidRPr="002E7429">
        <w:rPr>
          <w:rFonts w:ascii="Bookman Old Style" w:hAnsi="Bookman Old Style"/>
        </w:rPr>
        <w:t>-077</w:t>
      </w:r>
      <w:r w:rsidRPr="002E7429">
        <w:rPr>
          <w:rFonts w:ascii="Bookman Old Style" w:hAnsi="Bookman Old Style"/>
        </w:rPr>
        <w:t xml:space="preserve"> de 2021 se integran los fundamentos de la propuesta.</w:t>
      </w:r>
    </w:p>
    <w:p w14:paraId="10330AD1" w14:textId="1132B711" w:rsidR="00026700" w:rsidRDefault="00026700" w:rsidP="00D53D9C">
      <w:pPr>
        <w:ind w:left="0"/>
        <w:jc w:val="both"/>
        <w:rPr>
          <w:rFonts w:ascii="Bookman Old Style" w:hAnsi="Bookman Old Style"/>
          <w:sz w:val="22"/>
          <w:szCs w:val="22"/>
        </w:rPr>
      </w:pPr>
    </w:p>
    <w:p w14:paraId="3B400CB4" w14:textId="77777777" w:rsidR="00DF2CD7" w:rsidRPr="001A11B2" w:rsidRDefault="00DF2CD7" w:rsidP="00DF2CD7">
      <w:pPr>
        <w:pStyle w:val="Prrafodelista"/>
        <w:tabs>
          <w:tab w:val="left" w:pos="0"/>
        </w:tabs>
        <w:ind w:left="720"/>
        <w:jc w:val="both"/>
        <w:rPr>
          <w:rFonts w:ascii="Bookman Old Style" w:hAnsi="Bookman Old Style"/>
          <w:sz w:val="22"/>
          <w:szCs w:val="22"/>
        </w:rPr>
      </w:pPr>
    </w:p>
    <w:p w14:paraId="23341801" w14:textId="77777777" w:rsidR="00DF2CD7" w:rsidRPr="001A11B2" w:rsidRDefault="00DF2CD7" w:rsidP="00DF2CD7">
      <w:pPr>
        <w:suppressAutoHyphens/>
        <w:jc w:val="center"/>
        <w:rPr>
          <w:rFonts w:ascii="Bookman Old Style" w:hAnsi="Bookman Old Style"/>
          <w:spacing w:val="-3"/>
        </w:rPr>
      </w:pPr>
      <w:r w:rsidRPr="001A11B2">
        <w:rPr>
          <w:rFonts w:ascii="Bookman Old Style" w:hAnsi="Bookman Old Style"/>
          <w:b/>
          <w:spacing w:val="-3"/>
        </w:rPr>
        <w:t>R E S U E L V E:</w:t>
      </w:r>
    </w:p>
    <w:p w14:paraId="2089A433" w14:textId="77777777" w:rsidR="00DF2CD7" w:rsidRPr="001A11B2" w:rsidRDefault="00DF2CD7" w:rsidP="00DF2CD7">
      <w:pPr>
        <w:jc w:val="center"/>
        <w:rPr>
          <w:rFonts w:ascii="Bookman Old Style" w:hAnsi="Bookman Old Style"/>
        </w:rPr>
      </w:pPr>
    </w:p>
    <w:p w14:paraId="5B6CF717" w14:textId="728C2631" w:rsidR="00DF2CD7" w:rsidRPr="00E865BD" w:rsidRDefault="00A822E9" w:rsidP="00E865BD">
      <w:pPr>
        <w:pStyle w:val="Prrafodelista"/>
        <w:numPr>
          <w:ilvl w:val="0"/>
          <w:numId w:val="32"/>
        </w:numPr>
        <w:tabs>
          <w:tab w:val="left" w:pos="0"/>
        </w:tabs>
        <w:ind w:left="0" w:right="47" w:firstLine="0"/>
        <w:jc w:val="both"/>
        <w:rPr>
          <w:rFonts w:ascii="Bookman Old Style" w:hAnsi="Bookman Old Style"/>
          <w:sz w:val="24"/>
          <w:szCs w:val="24"/>
        </w:rPr>
      </w:pPr>
      <w:r w:rsidRPr="009C3FF6">
        <w:rPr>
          <w:rFonts w:ascii="Bookman Old Style" w:hAnsi="Bookman Old Style" w:cs="Arial"/>
          <w:b/>
          <w:bCs/>
          <w:sz w:val="24"/>
          <w:szCs w:val="24"/>
          <w:lang w:eastAsia="es-CO"/>
        </w:rPr>
        <w:t xml:space="preserve">Objeto. </w:t>
      </w:r>
      <w:r w:rsidR="00DF2CD7" w:rsidRPr="00E865BD">
        <w:rPr>
          <w:rFonts w:ascii="Bookman Old Style" w:hAnsi="Bookman Old Style" w:cs="Arial"/>
          <w:sz w:val="24"/>
          <w:szCs w:val="24"/>
          <w:lang w:eastAsia="es-CO"/>
        </w:rPr>
        <w:t>Hágase</w:t>
      </w:r>
      <w:r w:rsidR="00DF2CD7" w:rsidRPr="00E865BD">
        <w:rPr>
          <w:rFonts w:ascii="Bookman Old Style" w:hAnsi="Bookman Old Style" w:cs="Arial"/>
          <w:sz w:val="24"/>
          <w:szCs w:val="24"/>
        </w:rPr>
        <w:t xml:space="preserve"> público el siguiente proyecto de resolución: </w:t>
      </w:r>
      <w:r w:rsidR="00B20D8E" w:rsidRPr="00E865BD">
        <w:rPr>
          <w:rFonts w:ascii="Bookman Old Style" w:hAnsi="Bookman Old Style" w:cs="Arial"/>
          <w:i/>
          <w:sz w:val="24"/>
          <w:szCs w:val="24"/>
        </w:rPr>
        <w:t>“</w:t>
      </w:r>
      <w:r w:rsidR="00B20D8E" w:rsidRPr="00E865BD">
        <w:rPr>
          <w:rFonts w:ascii="Bookman Old Style" w:hAnsi="Bookman Old Style" w:cs="Arial"/>
          <w:sz w:val="24"/>
          <w:szCs w:val="24"/>
        </w:rPr>
        <w:t>Condiciones de competencia que debe cumplir el mecanismo de contratación de largo plazo del Ministerio de Minas y Energía</w:t>
      </w:r>
      <w:r w:rsidR="00B20D8E" w:rsidRPr="00E865BD">
        <w:rPr>
          <w:rFonts w:ascii="Bookman Old Style" w:hAnsi="Bookman Old Style"/>
          <w:i/>
          <w:sz w:val="24"/>
          <w:szCs w:val="24"/>
        </w:rPr>
        <w:t>”</w:t>
      </w:r>
    </w:p>
    <w:p w14:paraId="7E5020E4" w14:textId="77777777" w:rsidR="00B20D8E" w:rsidRPr="00E865BD" w:rsidRDefault="00B20D8E" w:rsidP="00B20D8E">
      <w:pPr>
        <w:pStyle w:val="Prrafodelista"/>
        <w:tabs>
          <w:tab w:val="left" w:pos="0"/>
        </w:tabs>
        <w:ind w:left="0"/>
        <w:jc w:val="both"/>
        <w:rPr>
          <w:rFonts w:ascii="Bookman Old Style" w:hAnsi="Bookman Old Style" w:cs="Arial"/>
          <w:sz w:val="24"/>
          <w:szCs w:val="24"/>
        </w:rPr>
      </w:pPr>
    </w:p>
    <w:p w14:paraId="630ACE7A" w14:textId="03838241" w:rsidR="00DF2CD7" w:rsidRPr="00A1149B" w:rsidRDefault="00A822E9" w:rsidP="0047194E">
      <w:pPr>
        <w:pStyle w:val="Prrafodelista"/>
        <w:numPr>
          <w:ilvl w:val="0"/>
          <w:numId w:val="32"/>
        </w:numPr>
        <w:tabs>
          <w:tab w:val="left" w:pos="0"/>
        </w:tabs>
        <w:ind w:left="0" w:right="47" w:firstLine="0"/>
        <w:jc w:val="both"/>
        <w:rPr>
          <w:rFonts w:ascii="Bookman Old Style" w:hAnsi="Bookman Old Style" w:cs="Arial"/>
          <w:sz w:val="24"/>
          <w:szCs w:val="24"/>
        </w:rPr>
      </w:pPr>
      <w:r w:rsidRPr="009C3FF6">
        <w:rPr>
          <w:rFonts w:ascii="Bookman Old Style" w:hAnsi="Bookman Old Style" w:cs="Arial"/>
          <w:b/>
          <w:bCs/>
          <w:sz w:val="24"/>
          <w:szCs w:val="24"/>
          <w:lang w:eastAsia="es-CO"/>
        </w:rPr>
        <w:t>Presentación de comentarios, observaciones y sugerencias.</w:t>
      </w:r>
      <w:r>
        <w:rPr>
          <w:rFonts w:ascii="Bookman Old Style" w:hAnsi="Bookman Old Style" w:cs="Arial"/>
          <w:sz w:val="24"/>
          <w:szCs w:val="24"/>
          <w:lang w:eastAsia="es-CO"/>
        </w:rPr>
        <w:t xml:space="preserve"> </w:t>
      </w:r>
      <w:r w:rsidR="00DF2CD7" w:rsidRPr="00A1149B">
        <w:rPr>
          <w:rFonts w:ascii="Bookman Old Style" w:hAnsi="Bookman Old Style" w:cs="Arial"/>
          <w:sz w:val="24"/>
          <w:szCs w:val="24"/>
          <w:lang w:eastAsia="es-CO"/>
        </w:rPr>
        <w:t xml:space="preserve">Se invita a los agentes, a los usuarios, a las autoridades competentes, a la Superintendencia de Servicios Públicos Domiciliarios y a la Superintendencia de Industria y Comercio, para que remitan sus observaciones o sugerencias sobre la propuesta, dentro de los </w:t>
      </w:r>
      <w:r w:rsidR="00B23DC3" w:rsidRPr="00A1149B">
        <w:rPr>
          <w:rFonts w:ascii="Bookman Old Style" w:hAnsi="Bookman Old Style" w:cs="Arial"/>
          <w:sz w:val="24"/>
          <w:szCs w:val="24"/>
          <w:lang w:eastAsia="es-CO"/>
        </w:rPr>
        <w:t xml:space="preserve">diez </w:t>
      </w:r>
      <w:r w:rsidR="00F03EF9" w:rsidRPr="00A1149B">
        <w:rPr>
          <w:rFonts w:ascii="Bookman Old Style" w:hAnsi="Bookman Old Style" w:cs="Arial"/>
          <w:sz w:val="24"/>
          <w:szCs w:val="24"/>
          <w:lang w:eastAsia="es-CO"/>
        </w:rPr>
        <w:t>(</w:t>
      </w:r>
      <w:r w:rsidR="00B23DC3" w:rsidRPr="00A1149B">
        <w:rPr>
          <w:rFonts w:ascii="Bookman Old Style" w:hAnsi="Bookman Old Style" w:cs="Arial"/>
          <w:sz w:val="24"/>
          <w:szCs w:val="24"/>
          <w:lang w:eastAsia="es-CO"/>
        </w:rPr>
        <w:t>10</w:t>
      </w:r>
      <w:r w:rsidR="00F03EF9" w:rsidRPr="00A1149B">
        <w:rPr>
          <w:rFonts w:ascii="Bookman Old Style" w:hAnsi="Bookman Old Style" w:cs="Arial"/>
          <w:sz w:val="24"/>
          <w:szCs w:val="24"/>
          <w:lang w:eastAsia="es-CO"/>
        </w:rPr>
        <w:t>)</w:t>
      </w:r>
      <w:r w:rsidR="00DF2CD7" w:rsidRPr="00A1149B">
        <w:rPr>
          <w:rFonts w:ascii="Bookman Old Style" w:hAnsi="Bookman Old Style" w:cs="Arial"/>
          <w:sz w:val="24"/>
          <w:szCs w:val="24"/>
          <w:lang w:eastAsia="es-CO"/>
        </w:rPr>
        <w:t xml:space="preserve"> días </w:t>
      </w:r>
      <w:r w:rsidR="001A170F">
        <w:rPr>
          <w:rFonts w:ascii="Bookman Old Style" w:hAnsi="Bookman Old Style" w:cs="Arial"/>
          <w:sz w:val="24"/>
          <w:szCs w:val="24"/>
          <w:lang w:eastAsia="es-CO"/>
        </w:rPr>
        <w:t xml:space="preserve">hábiles </w:t>
      </w:r>
      <w:r w:rsidR="00DF2CD7" w:rsidRPr="00A1149B">
        <w:rPr>
          <w:rFonts w:ascii="Bookman Old Style" w:hAnsi="Bookman Old Style" w:cs="Arial"/>
          <w:sz w:val="24"/>
          <w:szCs w:val="24"/>
          <w:lang w:eastAsia="es-CO"/>
        </w:rPr>
        <w:t>siguientes a</w:t>
      </w:r>
      <w:r w:rsidR="001A170F">
        <w:rPr>
          <w:rFonts w:ascii="Bookman Old Style" w:hAnsi="Bookman Old Style" w:cs="Arial"/>
          <w:sz w:val="24"/>
          <w:szCs w:val="24"/>
          <w:lang w:eastAsia="es-CO"/>
        </w:rPr>
        <w:t xml:space="preserve"> la</w:t>
      </w:r>
      <w:r w:rsidR="00DF2CD7" w:rsidRPr="00A1149B">
        <w:rPr>
          <w:rFonts w:ascii="Bookman Old Style" w:hAnsi="Bookman Old Style" w:cs="Arial"/>
          <w:sz w:val="24"/>
          <w:szCs w:val="24"/>
          <w:lang w:eastAsia="es-CO"/>
        </w:rPr>
        <w:t xml:space="preserve"> publicación del proyecto en la página web de la Comisión de Regulación de Energía y Gas. </w:t>
      </w:r>
    </w:p>
    <w:p w14:paraId="309FFDB5" w14:textId="77777777" w:rsidR="00DF2CD7" w:rsidRDefault="00DF2CD7" w:rsidP="003D4B0F">
      <w:pPr>
        <w:ind w:left="0"/>
        <w:rPr>
          <w:rFonts w:ascii="Bookman Old Style" w:hAnsi="Bookman Old Style" w:cs="Arial"/>
          <w:b/>
          <w:bCs/>
        </w:rPr>
      </w:pPr>
    </w:p>
    <w:p w14:paraId="719645F9" w14:textId="2219CFB3" w:rsidR="00DF2CD7" w:rsidRDefault="00301719" w:rsidP="00301719">
      <w:pPr>
        <w:ind w:left="0"/>
        <w:jc w:val="both"/>
        <w:rPr>
          <w:rFonts w:ascii="Bookman Old Style" w:hAnsi="Bookman Old Style"/>
        </w:rPr>
      </w:pPr>
      <w:r w:rsidRPr="00B2151C">
        <w:rPr>
          <w:rFonts w:ascii="Bookman Old Style" w:hAnsi="Bookman Old Style"/>
        </w:rPr>
        <w:t>Las observaciones y sugerencias sobre el proyecto deberán dirigirse al director ejecutivo de la Comisión al correo electrónico creg@creg.gov.co en el formato anexo.</w:t>
      </w:r>
    </w:p>
    <w:p w14:paraId="34249A38" w14:textId="77777777" w:rsidR="00301719" w:rsidRPr="00301719" w:rsidRDefault="00301719" w:rsidP="00301719">
      <w:pPr>
        <w:ind w:left="0"/>
        <w:rPr>
          <w:rFonts w:ascii="Bookman Old Style" w:hAnsi="Bookman Old Style" w:cs="Arial"/>
        </w:rPr>
      </w:pPr>
    </w:p>
    <w:p w14:paraId="558492E0" w14:textId="77777777" w:rsidR="006075FA" w:rsidRDefault="006075FA" w:rsidP="006075FA">
      <w:pPr>
        <w:ind w:left="0"/>
        <w:jc w:val="both"/>
        <w:rPr>
          <w:rFonts w:ascii="Bookman Old Style" w:hAnsi="Bookman Old Style"/>
        </w:rPr>
      </w:pPr>
      <w:r w:rsidRPr="00175A8B">
        <w:rPr>
          <w:rFonts w:ascii="Bookman Old Style" w:hAnsi="Bookman Old Style"/>
          <w:b/>
          <w:bCs/>
        </w:rPr>
        <w:t>Artículo 3.</w:t>
      </w:r>
      <w:r w:rsidRPr="00B2151C">
        <w:rPr>
          <w:rFonts w:ascii="Bookman Old Style" w:hAnsi="Bookman Old Style"/>
        </w:rPr>
        <w:t xml:space="preserve"> </w:t>
      </w:r>
      <w:r>
        <w:rPr>
          <w:rStyle w:val="normaltextrun"/>
          <w:rFonts w:ascii="Bookman Old Style" w:hAnsi="Bookman Old Style"/>
          <w:b/>
          <w:bCs/>
          <w:color w:val="000000"/>
          <w:shd w:val="clear" w:color="auto" w:fill="FFFFFF"/>
        </w:rPr>
        <w:t>Información del proyecto a la Superintendencia de Industria y Comercio.</w:t>
      </w:r>
      <w:r>
        <w:rPr>
          <w:rStyle w:val="normaltextrun"/>
          <w:rFonts w:ascii="Bookman Old Style" w:hAnsi="Bookman Old Style"/>
          <w:color w:val="000000"/>
          <w:shd w:val="clear" w:color="auto" w:fill="FFFFFF"/>
        </w:rPr>
        <w:t> Al vencimiento de la consulta pública, la CREG determinará si el proyecto debe ser informado a la Superintendencia de Industria y Comercio, para el ejercicio de la abogacía de la competencia, con fundamento en las disposiciones del Decreto 1074 de 2015, artículo 2.2.2.30.5.</w:t>
      </w:r>
      <w:r>
        <w:rPr>
          <w:rStyle w:val="eop"/>
          <w:rFonts w:ascii="Bookman Old Style" w:hAnsi="Bookman Old Style"/>
          <w:color w:val="000000"/>
          <w:shd w:val="clear" w:color="auto" w:fill="FFFFFF"/>
        </w:rPr>
        <w:t> </w:t>
      </w:r>
    </w:p>
    <w:p w14:paraId="5A03858C" w14:textId="77777777" w:rsidR="006075FA" w:rsidRDefault="006075FA" w:rsidP="006075FA">
      <w:pPr>
        <w:ind w:left="0"/>
        <w:jc w:val="both"/>
        <w:rPr>
          <w:rFonts w:ascii="Bookman Old Style" w:hAnsi="Bookman Old Style"/>
        </w:rPr>
      </w:pPr>
    </w:p>
    <w:p w14:paraId="0BE4A8A1" w14:textId="54273475" w:rsidR="00DF2CD7" w:rsidRPr="001A11B2" w:rsidRDefault="006075FA" w:rsidP="006075FA">
      <w:pPr>
        <w:ind w:left="0"/>
        <w:jc w:val="both"/>
        <w:rPr>
          <w:rFonts w:ascii="Bookman Old Style" w:hAnsi="Bookman Old Style"/>
        </w:rPr>
      </w:pPr>
      <w:r>
        <w:rPr>
          <w:rStyle w:val="normaltextrun"/>
          <w:rFonts w:ascii="Bookman Old Style" w:hAnsi="Bookman Old Style"/>
          <w:b/>
          <w:bCs/>
          <w:color w:val="000000"/>
          <w:shd w:val="clear" w:color="auto" w:fill="FFFFFF"/>
        </w:rPr>
        <w:t>Artículo 4. Publicación</w:t>
      </w:r>
      <w:r>
        <w:rPr>
          <w:rStyle w:val="normaltextrun"/>
          <w:rFonts w:ascii="Bookman Old Style" w:hAnsi="Bookman Old Style"/>
          <w:color w:val="000000"/>
          <w:shd w:val="clear" w:color="auto" w:fill="FFFFFF"/>
        </w:rPr>
        <w:t>. La presente resolución es un acto de trámite y se publicará en el portal Web de la CREG.</w:t>
      </w:r>
    </w:p>
    <w:p w14:paraId="5E25E5C7" w14:textId="77777777" w:rsidR="00DF2CD7" w:rsidRPr="001A11B2" w:rsidRDefault="00DF2CD7" w:rsidP="00DF2CD7">
      <w:pPr>
        <w:rPr>
          <w:rFonts w:ascii="Bookman Old Style" w:hAnsi="Bookman Old Style"/>
        </w:rPr>
      </w:pPr>
    </w:p>
    <w:p w14:paraId="6EECF375" w14:textId="77777777" w:rsidR="00DF2CD7" w:rsidRPr="001A11B2" w:rsidRDefault="00DF2CD7" w:rsidP="00DF2CD7">
      <w:pPr>
        <w:jc w:val="center"/>
        <w:rPr>
          <w:rFonts w:ascii="Bookman Old Style" w:hAnsi="Bookman Old Style"/>
          <w:b/>
        </w:rPr>
      </w:pPr>
      <w:r w:rsidRPr="001A11B2">
        <w:rPr>
          <w:rFonts w:ascii="Bookman Old Style" w:hAnsi="Bookman Old Style"/>
          <w:b/>
        </w:rPr>
        <w:t>PUBLÍQUESE Y CÚMPLASE</w:t>
      </w:r>
    </w:p>
    <w:p w14:paraId="1344CC7D" w14:textId="77777777" w:rsidR="00DF2CD7" w:rsidRPr="001A11B2" w:rsidRDefault="00DF2CD7" w:rsidP="00DF2CD7">
      <w:pPr>
        <w:rPr>
          <w:rFonts w:ascii="Bookman Old Style" w:hAnsi="Bookman Old Style"/>
        </w:rPr>
      </w:pPr>
    </w:p>
    <w:p w14:paraId="3F6B79B0" w14:textId="2577F58E" w:rsidR="00DF2CD7" w:rsidRPr="002E7429" w:rsidRDefault="00DF2CD7" w:rsidP="00DF2CD7">
      <w:pPr>
        <w:ind w:left="0"/>
        <w:rPr>
          <w:rFonts w:ascii="Bookman Old Style" w:hAnsi="Bookman Old Style"/>
          <w:b/>
          <w:bCs/>
        </w:rPr>
      </w:pPr>
      <w:r w:rsidRPr="001A11B2">
        <w:rPr>
          <w:rFonts w:ascii="Bookman Old Style" w:hAnsi="Bookman Old Style"/>
        </w:rPr>
        <w:t xml:space="preserve">Dada en Bogotá D.C., </w:t>
      </w:r>
      <w:r w:rsidR="002E7429" w:rsidRPr="002E7429">
        <w:rPr>
          <w:rFonts w:ascii="Bookman Old Style" w:hAnsi="Bookman Old Style"/>
          <w:b/>
          <w:bCs/>
        </w:rPr>
        <w:t>30 JUL. 2021</w:t>
      </w:r>
    </w:p>
    <w:p w14:paraId="1928396B" w14:textId="77777777" w:rsidR="006B2722" w:rsidRDefault="006B2722" w:rsidP="00DF2CD7">
      <w:pPr>
        <w:ind w:left="0"/>
        <w:rPr>
          <w:rFonts w:ascii="Bookman Old Style" w:hAnsi="Bookman Old Style"/>
        </w:rPr>
      </w:pPr>
    </w:p>
    <w:p w14:paraId="372F879A" w14:textId="31443068" w:rsidR="006B2722" w:rsidRDefault="006B2722" w:rsidP="00DF2CD7">
      <w:pPr>
        <w:ind w:left="0"/>
        <w:rPr>
          <w:rFonts w:ascii="Bookman Old Style" w:hAnsi="Bookman Old Style"/>
        </w:rPr>
      </w:pPr>
    </w:p>
    <w:p w14:paraId="2001DE59" w14:textId="77777777" w:rsidR="00DA4FDA" w:rsidRPr="001A11B2" w:rsidRDefault="00DA4FDA" w:rsidP="00DF2CD7">
      <w:pPr>
        <w:ind w:left="0"/>
        <w:rPr>
          <w:rFonts w:ascii="Bookman Old Style" w:hAnsi="Bookman Old Style"/>
        </w:rPr>
      </w:pPr>
    </w:p>
    <w:p w14:paraId="3571EE98" w14:textId="77777777" w:rsidR="00DF2CD7" w:rsidRPr="001A11B2" w:rsidRDefault="00DF2CD7" w:rsidP="00DF2CD7">
      <w:pPr>
        <w:ind w:left="0"/>
        <w:rPr>
          <w:rFonts w:ascii="Bookman Old Style" w:hAnsi="Bookman Old Style"/>
        </w:rPr>
      </w:pPr>
    </w:p>
    <w:p w14:paraId="24E48407" w14:textId="77777777" w:rsidR="00DF2CD7" w:rsidRPr="001A11B2" w:rsidRDefault="00DF2CD7" w:rsidP="00DF2CD7">
      <w:pPr>
        <w:ind w:left="0"/>
        <w:rPr>
          <w:rFonts w:ascii="Bookman Old Style" w:hAnsi="Bookman Old Style"/>
        </w:rPr>
      </w:pPr>
    </w:p>
    <w:tbl>
      <w:tblPr>
        <w:tblW w:w="9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672"/>
      </w:tblGrid>
      <w:tr w:rsidR="005140CB" w:rsidRPr="001F1B7A" w14:paraId="582011E9" w14:textId="77777777" w:rsidTr="005140CB">
        <w:trPr>
          <w:trHeight w:val="279"/>
          <w:tblCellSpacing w:w="0" w:type="dxa"/>
          <w:jc w:val="center"/>
        </w:trPr>
        <w:tc>
          <w:tcPr>
            <w:tcW w:w="4963" w:type="dxa"/>
          </w:tcPr>
          <w:p w14:paraId="5D9479FB" w14:textId="77777777" w:rsidR="005140CB" w:rsidRPr="001F1B7A" w:rsidRDefault="005140CB" w:rsidP="00175A8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MIGUEL LOTERO ROBLEDO</w:t>
            </w:r>
          </w:p>
        </w:tc>
        <w:tc>
          <w:tcPr>
            <w:tcW w:w="4672" w:type="dxa"/>
          </w:tcPr>
          <w:p w14:paraId="24186D26" w14:textId="77777777" w:rsidR="005140CB" w:rsidRPr="001F1B7A" w:rsidRDefault="005140CB" w:rsidP="00175A8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ALBERTO VALENCIA MARÍN</w:t>
            </w:r>
          </w:p>
        </w:tc>
      </w:tr>
      <w:tr w:rsidR="005140CB" w:rsidRPr="001F1B7A" w14:paraId="62E78821" w14:textId="77777777" w:rsidTr="005140CB">
        <w:trPr>
          <w:trHeight w:val="279"/>
          <w:tblCellSpacing w:w="0" w:type="dxa"/>
          <w:jc w:val="center"/>
        </w:trPr>
        <w:tc>
          <w:tcPr>
            <w:tcW w:w="4963" w:type="dxa"/>
            <w:hideMark/>
          </w:tcPr>
          <w:p w14:paraId="615BFFF1" w14:textId="62BC0395" w:rsidR="005140CB" w:rsidRPr="001F1B7A" w:rsidRDefault="005140CB" w:rsidP="00175A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</w:t>
            </w:r>
            <w:r w:rsidRPr="001F1B7A">
              <w:rPr>
                <w:rFonts w:ascii="Bookman Old Style" w:hAnsi="Bookman Old Style"/>
              </w:rPr>
              <w:t>inistr</w:t>
            </w:r>
            <w:r>
              <w:rPr>
                <w:rFonts w:ascii="Bookman Old Style" w:hAnsi="Bookman Old Style"/>
              </w:rPr>
              <w:t>o</w:t>
            </w:r>
            <w:r w:rsidRPr="001F1B7A">
              <w:rPr>
                <w:rFonts w:ascii="Bookman Old Style" w:hAnsi="Bookman Old Style"/>
              </w:rPr>
              <w:t xml:space="preserve"> de Energía</w:t>
            </w:r>
            <w:r w:rsidR="002E7429">
              <w:rPr>
                <w:rFonts w:ascii="Bookman Old Style" w:hAnsi="Bookman Old Style"/>
              </w:rPr>
              <w:t xml:space="preserve">, </w:t>
            </w:r>
            <w:proofErr w:type="gramStart"/>
            <w:r w:rsidR="002E7429">
              <w:rPr>
                <w:rFonts w:ascii="Bookman Old Style" w:hAnsi="Bookman Old Style"/>
              </w:rPr>
              <w:t>Delegado</w:t>
            </w:r>
            <w:proofErr w:type="gramEnd"/>
            <w:r w:rsidR="002E7429">
              <w:rPr>
                <w:rFonts w:ascii="Bookman Old Style" w:hAnsi="Bookman Old Style"/>
              </w:rPr>
              <w:t xml:space="preserve"> del Ministro de Minas y Energía</w:t>
            </w:r>
          </w:p>
        </w:tc>
        <w:tc>
          <w:tcPr>
            <w:tcW w:w="4672" w:type="dxa"/>
            <w:hideMark/>
          </w:tcPr>
          <w:p w14:paraId="2176BAC3" w14:textId="77777777" w:rsidR="005140CB" w:rsidRPr="001F1B7A" w:rsidRDefault="005140CB" w:rsidP="00175A8B">
            <w:pPr>
              <w:ind w:left="2" w:firstLine="565"/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Director Ejecutivo</w:t>
            </w:r>
          </w:p>
        </w:tc>
      </w:tr>
      <w:tr w:rsidR="005140CB" w:rsidRPr="001F1B7A" w14:paraId="383205BF" w14:textId="77777777" w:rsidTr="005140CB">
        <w:trPr>
          <w:trHeight w:val="290"/>
          <w:tblCellSpacing w:w="0" w:type="dxa"/>
          <w:jc w:val="center"/>
        </w:trPr>
        <w:tc>
          <w:tcPr>
            <w:tcW w:w="4963" w:type="dxa"/>
            <w:hideMark/>
          </w:tcPr>
          <w:p w14:paraId="675E4A27" w14:textId="77777777" w:rsidR="005140CB" w:rsidRPr="001F1B7A" w:rsidRDefault="005140CB" w:rsidP="00175A8B">
            <w:pPr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2" w:type="dxa"/>
          </w:tcPr>
          <w:p w14:paraId="274FB726" w14:textId="77777777" w:rsidR="005140CB" w:rsidRPr="001F1B7A" w:rsidRDefault="005140CB" w:rsidP="00175A8B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2BAE1909" w14:textId="77777777" w:rsidR="00DF2CD7" w:rsidRPr="001A11B2" w:rsidRDefault="00DF2CD7" w:rsidP="00DF2CD7">
      <w:pPr>
        <w:ind w:right="51"/>
        <w:rPr>
          <w:rFonts w:ascii="Bookman Old Style" w:hAnsi="Bookman Old Style"/>
        </w:rPr>
      </w:pPr>
    </w:p>
    <w:p w14:paraId="51032AA9" w14:textId="77777777" w:rsidR="00DF2CD7" w:rsidRPr="001A11B2" w:rsidRDefault="00DF2CD7" w:rsidP="00DF2CD7">
      <w:pPr>
        <w:ind w:right="51"/>
        <w:rPr>
          <w:rFonts w:ascii="Bookman Old Style" w:hAnsi="Bookman Old Style"/>
        </w:rPr>
      </w:pPr>
    </w:p>
    <w:p w14:paraId="01887EAC" w14:textId="77777777" w:rsidR="00DF2CD7" w:rsidRPr="001A11B2" w:rsidRDefault="00DF2CD7" w:rsidP="00DF2CD7">
      <w:pPr>
        <w:ind w:right="51"/>
        <w:rPr>
          <w:rFonts w:ascii="Bookman Old Style" w:hAnsi="Bookman Old Style"/>
        </w:rPr>
      </w:pPr>
    </w:p>
    <w:p w14:paraId="6C7047D3" w14:textId="77777777" w:rsidR="00DF2CD7" w:rsidRPr="001A11B2" w:rsidRDefault="00DF2CD7" w:rsidP="00DF2CD7">
      <w:pPr>
        <w:ind w:right="51"/>
        <w:rPr>
          <w:rFonts w:ascii="Bookman Old Style" w:hAnsi="Bookman Old Style"/>
        </w:rPr>
      </w:pPr>
    </w:p>
    <w:p w14:paraId="5DB2FB5F" w14:textId="77777777" w:rsidR="00A37703" w:rsidRDefault="00DF2CD7" w:rsidP="00DF2CD7">
      <w:pPr>
        <w:ind w:left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br w:type="page"/>
      </w:r>
    </w:p>
    <w:p w14:paraId="3E44D1CB" w14:textId="77777777" w:rsidR="00A37703" w:rsidRDefault="00A37703" w:rsidP="00DF2CD7">
      <w:pPr>
        <w:ind w:left="0"/>
        <w:jc w:val="center"/>
        <w:rPr>
          <w:rFonts w:ascii="Bookman Old Style" w:hAnsi="Bookman Old Style"/>
          <w:b/>
          <w:bCs/>
        </w:rPr>
      </w:pPr>
    </w:p>
    <w:p w14:paraId="2A806476" w14:textId="4877FD7F" w:rsidR="00DF2CD7" w:rsidRPr="003C2073" w:rsidRDefault="00DF2CD7" w:rsidP="00DF2CD7">
      <w:pPr>
        <w:ind w:left="0"/>
        <w:jc w:val="center"/>
        <w:rPr>
          <w:rFonts w:ascii="Bookman Old Style" w:hAnsi="Bookman Old Style"/>
          <w:b/>
          <w:bCs/>
          <w:lang w:val="es-CO"/>
        </w:rPr>
      </w:pPr>
      <w:r w:rsidRPr="003C2073">
        <w:rPr>
          <w:rFonts w:ascii="Bookman Old Style" w:hAnsi="Bookman Old Style"/>
          <w:b/>
          <w:bCs/>
          <w:lang w:val="es-CO"/>
        </w:rPr>
        <w:t>PROYECTO DE RESOLUCIÓN</w:t>
      </w:r>
    </w:p>
    <w:p w14:paraId="1A9ADD29" w14:textId="77777777" w:rsidR="006B2722" w:rsidRDefault="006B2722" w:rsidP="006B2722">
      <w:pPr>
        <w:pStyle w:val="Prrafodelista"/>
        <w:tabs>
          <w:tab w:val="left" w:pos="0"/>
        </w:tabs>
        <w:ind w:left="0" w:right="47"/>
        <w:jc w:val="both"/>
        <w:rPr>
          <w:rFonts w:ascii="Bookman Old Style" w:hAnsi="Bookman Old Style" w:cs="Arial"/>
          <w:i/>
          <w:sz w:val="24"/>
          <w:szCs w:val="24"/>
        </w:rPr>
      </w:pPr>
      <w:r w:rsidRPr="00E865BD">
        <w:rPr>
          <w:rFonts w:ascii="Bookman Old Style" w:hAnsi="Bookman Old Style" w:cs="Arial"/>
          <w:sz w:val="24"/>
          <w:szCs w:val="24"/>
        </w:rPr>
        <w:t xml:space="preserve"> </w:t>
      </w:r>
    </w:p>
    <w:p w14:paraId="42231CA6" w14:textId="353720E7" w:rsidR="006B2722" w:rsidRPr="00E865BD" w:rsidRDefault="006B2722" w:rsidP="006B2722">
      <w:pPr>
        <w:pStyle w:val="Prrafodelista"/>
        <w:tabs>
          <w:tab w:val="left" w:pos="0"/>
        </w:tabs>
        <w:ind w:left="0" w:right="47"/>
        <w:jc w:val="center"/>
        <w:rPr>
          <w:rFonts w:ascii="Bookman Old Style" w:hAnsi="Bookman Old Style"/>
          <w:sz w:val="24"/>
          <w:szCs w:val="24"/>
        </w:rPr>
      </w:pPr>
      <w:r w:rsidRPr="00E865BD">
        <w:rPr>
          <w:rFonts w:ascii="Bookman Old Style" w:hAnsi="Bookman Old Style" w:cs="Arial"/>
          <w:sz w:val="24"/>
          <w:szCs w:val="24"/>
        </w:rPr>
        <w:t>Condiciones de competencia que debe cumplir el mecanismo de contratación de largo plazo del Ministerio de Minas y Energía</w:t>
      </w:r>
      <w:r w:rsidR="00B55E33">
        <w:rPr>
          <w:rFonts w:ascii="Bookman Old Style" w:hAnsi="Bookman Old Style" w:cs="Arial"/>
          <w:sz w:val="24"/>
          <w:szCs w:val="24"/>
        </w:rPr>
        <w:t>.</w:t>
      </w:r>
    </w:p>
    <w:p w14:paraId="580EF354" w14:textId="77777777" w:rsidR="00045D3D" w:rsidRPr="00C435C3" w:rsidRDefault="00045D3D" w:rsidP="00045D3D">
      <w:pPr>
        <w:ind w:left="0"/>
        <w:jc w:val="center"/>
        <w:rPr>
          <w:rFonts w:ascii="Bookman Old Style" w:hAnsi="Bookman Old Style"/>
        </w:rPr>
      </w:pPr>
    </w:p>
    <w:p w14:paraId="5099D45A" w14:textId="77777777" w:rsidR="00045D3D" w:rsidRPr="00C435C3" w:rsidRDefault="00045D3D" w:rsidP="00045D3D">
      <w:pPr>
        <w:ind w:right="51"/>
        <w:rPr>
          <w:rFonts w:ascii="Bookman Old Style" w:hAnsi="Bookman Old Style"/>
        </w:rPr>
      </w:pPr>
    </w:p>
    <w:p w14:paraId="38745DAF" w14:textId="77777777"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LA COMISIÓN DE REGULACIÓN DE ENERGÍA Y GAS</w:t>
      </w:r>
    </w:p>
    <w:p w14:paraId="633AC602" w14:textId="77777777"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14:paraId="60CB26D9" w14:textId="77777777" w:rsidR="00045D3D" w:rsidRPr="00C435C3" w:rsidRDefault="00045D3D" w:rsidP="00045D3D">
      <w:pPr>
        <w:ind w:left="0" w:right="51"/>
        <w:rPr>
          <w:rFonts w:ascii="Bookman Old Style" w:hAnsi="Bookman Old Style"/>
        </w:rPr>
      </w:pPr>
    </w:p>
    <w:p w14:paraId="6C9E30CA" w14:textId="5F5DC74A" w:rsidR="00045D3D" w:rsidRDefault="00045D3D" w:rsidP="00045D3D">
      <w:pPr>
        <w:pStyle w:val="Textoindependiente3"/>
        <w:ind w:left="0"/>
        <w:rPr>
          <w:rFonts w:ascii="Bookman Old Style" w:hAnsi="Bookman Old Style"/>
          <w:b w:val="0"/>
        </w:rPr>
      </w:pPr>
      <w:r w:rsidRPr="00C435C3">
        <w:rPr>
          <w:rFonts w:ascii="Bookman Old Style" w:hAnsi="Bookman Old Style"/>
          <w:b w:val="0"/>
        </w:rPr>
        <w:t xml:space="preserve">En ejercicio de sus atribuciones constitucionales y legales, en especial las conferidas por las </w:t>
      </w:r>
      <w:r w:rsidR="002352B9">
        <w:rPr>
          <w:rFonts w:ascii="Bookman Old Style" w:hAnsi="Bookman Old Style"/>
          <w:b w:val="0"/>
        </w:rPr>
        <w:t>l</w:t>
      </w:r>
      <w:r w:rsidRPr="00C435C3">
        <w:rPr>
          <w:rFonts w:ascii="Bookman Old Style" w:hAnsi="Bookman Old Style"/>
          <w:b w:val="0"/>
        </w:rPr>
        <w:t xml:space="preserve">eyes 142 y 143 de 1994, y en desarrollo de los </w:t>
      </w:r>
      <w:r w:rsidR="002352B9">
        <w:rPr>
          <w:rFonts w:ascii="Bookman Old Style" w:hAnsi="Bookman Old Style"/>
          <w:b w:val="0"/>
        </w:rPr>
        <w:t>d</w:t>
      </w:r>
      <w:r w:rsidRPr="00C435C3">
        <w:rPr>
          <w:rFonts w:ascii="Bookman Old Style" w:hAnsi="Bookman Old Style"/>
          <w:b w:val="0"/>
        </w:rPr>
        <w:t xml:space="preserve">ecretos 1524 </w:t>
      </w:r>
      <w:r w:rsidR="00785E91" w:rsidRPr="00785E91">
        <w:rPr>
          <w:rFonts w:ascii="Bookman Old Style" w:hAnsi="Bookman Old Style"/>
          <w:b w:val="0"/>
        </w:rPr>
        <w:t>y 2253 de 1</w:t>
      </w:r>
      <w:r w:rsidR="00B23DC3">
        <w:rPr>
          <w:rFonts w:ascii="Bookman Old Style" w:hAnsi="Bookman Old Style"/>
          <w:b w:val="0"/>
        </w:rPr>
        <w:t>994,</w:t>
      </w:r>
      <w:r w:rsidR="00785E91" w:rsidRPr="00785E91">
        <w:rPr>
          <w:rFonts w:ascii="Bookman Old Style" w:hAnsi="Bookman Old Style"/>
          <w:b w:val="0"/>
        </w:rPr>
        <w:t xml:space="preserve"> el Decreto 1260 de 2013</w:t>
      </w:r>
      <w:r w:rsidR="003821E5">
        <w:rPr>
          <w:rFonts w:ascii="Bookman Old Style" w:hAnsi="Bookman Old Style"/>
          <w:b w:val="0"/>
        </w:rPr>
        <w:t xml:space="preserve"> y el Decreto 0570 de 2018. </w:t>
      </w:r>
    </w:p>
    <w:p w14:paraId="2BB34E4E" w14:textId="77777777" w:rsidR="003821E5" w:rsidRPr="00C435C3" w:rsidRDefault="003821E5" w:rsidP="00045D3D">
      <w:pPr>
        <w:pStyle w:val="Textoindependiente3"/>
        <w:ind w:left="0"/>
        <w:rPr>
          <w:rFonts w:ascii="Bookman Old Style" w:hAnsi="Bookman Old Style"/>
          <w:b w:val="0"/>
        </w:rPr>
      </w:pPr>
    </w:p>
    <w:p w14:paraId="46755BFB" w14:textId="77777777" w:rsidR="00045D3D" w:rsidRDefault="00045D3D" w:rsidP="00045D3D">
      <w:pPr>
        <w:ind w:right="51"/>
        <w:rPr>
          <w:rFonts w:ascii="Bookman Old Style" w:hAnsi="Bookman Old Style"/>
        </w:rPr>
      </w:pPr>
    </w:p>
    <w:p w14:paraId="1F5695FC" w14:textId="77777777"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C O N S I D E R A N D O</w:t>
      </w:r>
      <w:r>
        <w:rPr>
          <w:rFonts w:ascii="Bookman Old Style" w:hAnsi="Bookman Old Style"/>
          <w:b/>
        </w:rPr>
        <w:t xml:space="preserve"> </w:t>
      </w:r>
      <w:r w:rsidR="00785E91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 Q U E</w:t>
      </w:r>
      <w:r w:rsidRPr="00C435C3">
        <w:rPr>
          <w:rFonts w:ascii="Bookman Old Style" w:hAnsi="Bookman Old Style"/>
          <w:b/>
        </w:rPr>
        <w:t>:</w:t>
      </w:r>
    </w:p>
    <w:p w14:paraId="57C4AA4E" w14:textId="77777777" w:rsidR="00045D3D" w:rsidRPr="00C435C3" w:rsidRDefault="00045D3D" w:rsidP="00045D3D">
      <w:pPr>
        <w:ind w:right="51"/>
        <w:jc w:val="center"/>
        <w:rPr>
          <w:rFonts w:ascii="Bookman Old Style" w:hAnsi="Bookman Old Style"/>
          <w:b/>
        </w:rPr>
      </w:pPr>
    </w:p>
    <w:p w14:paraId="2EC6504C" w14:textId="0BACC247" w:rsidR="00785E91" w:rsidRPr="000B73A9" w:rsidRDefault="007A4A18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>
        <w:rPr>
          <w:rFonts w:ascii="Bookman Old Style" w:hAnsi="Bookman Old Style" w:cs="Arial"/>
          <w:szCs w:val="20"/>
          <w:lang w:val="es-CO"/>
        </w:rPr>
        <w:t>E</w:t>
      </w:r>
      <w:r w:rsidR="00785E91" w:rsidRPr="000B73A9">
        <w:rPr>
          <w:rFonts w:ascii="Bookman Old Style" w:hAnsi="Bookman Old Style" w:cs="Arial"/>
          <w:szCs w:val="20"/>
          <w:lang w:val="es-CO"/>
        </w:rPr>
        <w:t xml:space="preserve">l artículo 365 de la </w:t>
      </w:r>
      <w:r>
        <w:rPr>
          <w:rFonts w:ascii="Bookman Old Style" w:hAnsi="Bookman Old Style" w:cs="Arial"/>
          <w:szCs w:val="20"/>
          <w:lang w:val="es-CO"/>
        </w:rPr>
        <w:t xml:space="preserve">Constitución </w:t>
      </w:r>
      <w:r w:rsidR="00785E91" w:rsidRPr="000B73A9">
        <w:rPr>
          <w:rFonts w:ascii="Bookman Old Style" w:hAnsi="Bookman Old Style" w:cs="Arial"/>
          <w:szCs w:val="20"/>
          <w:lang w:val="es-CO"/>
        </w:rPr>
        <w:t xml:space="preserve">Política </w:t>
      </w:r>
      <w:r w:rsidR="00DA4FDA">
        <w:rPr>
          <w:rFonts w:ascii="Bookman Old Style" w:hAnsi="Bookman Old Style" w:cs="Arial"/>
          <w:szCs w:val="20"/>
          <w:lang w:val="es-CO"/>
        </w:rPr>
        <w:t xml:space="preserve">señala que </w:t>
      </w:r>
      <w:r w:rsidR="00785E91" w:rsidRPr="000B73A9">
        <w:rPr>
          <w:rFonts w:ascii="Bookman Old Style" w:hAnsi="Bookman Old Style" w:cs="Arial"/>
          <w:szCs w:val="20"/>
          <w:lang w:val="es-CO"/>
        </w:rPr>
        <w:t>los servicios públicos son inherentes a la finalidad social del Estado y es deber de éste asegurar su prestación eficiente a todos los habitantes del territorio nacional. Así mismo</w:t>
      </w:r>
      <w:r w:rsidR="007F2AB5">
        <w:rPr>
          <w:rFonts w:ascii="Bookman Old Style" w:hAnsi="Bookman Old Style" w:cs="Arial"/>
          <w:szCs w:val="20"/>
          <w:lang w:val="es-CO"/>
        </w:rPr>
        <w:t>,</w:t>
      </w:r>
      <w:r w:rsidR="00785E91" w:rsidRPr="000B73A9">
        <w:rPr>
          <w:rFonts w:ascii="Bookman Old Style" w:hAnsi="Bookman Old Style" w:cs="Arial"/>
          <w:szCs w:val="20"/>
          <w:lang w:val="es-CO"/>
        </w:rPr>
        <w:t xml:space="preserve"> el artículo 370 asigna al </w:t>
      </w:r>
      <w:proofErr w:type="gramStart"/>
      <w:r w:rsidR="00785E91" w:rsidRPr="000B73A9">
        <w:rPr>
          <w:rFonts w:ascii="Bookman Old Style" w:hAnsi="Bookman Old Style" w:cs="Arial"/>
          <w:szCs w:val="20"/>
          <w:lang w:val="es-CO"/>
        </w:rPr>
        <w:t>Presidente</w:t>
      </w:r>
      <w:proofErr w:type="gramEnd"/>
      <w:r w:rsidR="00785E91" w:rsidRPr="000B73A9">
        <w:rPr>
          <w:rFonts w:ascii="Bookman Old Style" w:hAnsi="Bookman Old Style" w:cs="Arial"/>
          <w:szCs w:val="20"/>
          <w:lang w:val="es-CO"/>
        </w:rPr>
        <w:t xml:space="preserve"> de la República la función de señalar, con sujeción a la ley, las políticas generales de administración y control de eficiencia de los servicios públicos domiciliarios.</w:t>
      </w:r>
    </w:p>
    <w:p w14:paraId="090344E9" w14:textId="77777777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14:paraId="5D775531" w14:textId="5C4BE1E5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szCs w:val="20"/>
          <w:lang w:val="es-CO"/>
        </w:rPr>
        <w:t>De conformidad con la </w:t>
      </w:r>
      <w:hyperlink r:id="rId13" w:tooltip="Haga clic para abrir TODA la Ley 142 de 1994" w:history="1">
        <w:r w:rsidRPr="000B73A9">
          <w:rPr>
            <w:rFonts w:ascii="Bookman Old Style" w:hAnsi="Bookman Old Style" w:cs="Arial"/>
            <w:szCs w:val="20"/>
            <w:lang w:val="es-CO"/>
          </w:rPr>
          <w:t>Ley 142 de 1994</w:t>
        </w:r>
      </w:hyperlink>
      <w:r w:rsidRPr="000B73A9">
        <w:rPr>
          <w:rFonts w:ascii="Bookman Old Style" w:hAnsi="Bookman Old Style" w:cs="Arial"/>
          <w:szCs w:val="20"/>
          <w:lang w:val="es-CO"/>
        </w:rPr>
        <w:t xml:space="preserve">, artículo 3° numeral 3, la regulación de los servicios </w:t>
      </w:r>
      <w:r w:rsidR="003E2E5E" w:rsidRPr="000B73A9">
        <w:rPr>
          <w:rFonts w:ascii="Bookman Old Style" w:hAnsi="Bookman Old Style" w:cs="Arial"/>
          <w:szCs w:val="20"/>
          <w:lang w:val="es-CO"/>
        </w:rPr>
        <w:t>públicos</w:t>
      </w:r>
      <w:r w:rsidRPr="000B73A9">
        <w:rPr>
          <w:rFonts w:ascii="Bookman Old Style" w:hAnsi="Bookman Old Style" w:cs="Arial"/>
          <w:szCs w:val="20"/>
          <w:lang w:val="es-CO"/>
        </w:rPr>
        <w:t xml:space="preserve"> es una forma de intervención del Estado en la economía. La función de regulación está orientada</w:t>
      </w:r>
      <w:r w:rsidR="007F2AB5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no solo a corregir fallas del mercado</w:t>
      </w:r>
      <w:r w:rsidR="007F2AB5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sino a desarrollar los fines esenciales de los servicios públicos.</w:t>
      </w:r>
    </w:p>
    <w:p w14:paraId="460C1BA2" w14:textId="77777777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14:paraId="598CDFBB" w14:textId="6DBA1EC2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szCs w:val="20"/>
          <w:lang w:val="es-CO"/>
        </w:rPr>
        <w:t>Ateniendo lo dispuesto en el artículo 3 de la Ley 142 de 1994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dentro de los fines que persigue la intervención del Estado en la prestación de los servicios públicos domiciliarios se encuentra</w:t>
      </w:r>
      <w:r w:rsidR="007A4A18">
        <w:rPr>
          <w:rFonts w:ascii="Bookman Old Style" w:hAnsi="Bookman Old Style" w:cs="Arial"/>
          <w:szCs w:val="20"/>
          <w:lang w:val="es-CO"/>
        </w:rPr>
        <w:t>n:</w:t>
      </w:r>
      <w:r w:rsidRPr="000B73A9">
        <w:rPr>
          <w:rFonts w:ascii="Bookman Old Style" w:hAnsi="Bookman Old Style" w:cs="Arial"/>
          <w:szCs w:val="20"/>
          <w:lang w:val="es-CO"/>
        </w:rPr>
        <w:t xml:space="preserve"> la prestación eficiente, continua e ininterrumpida, la libre competencia, la no utilización abusiva de la posición dominante. Así mismo, dentro de los instrumentos que permite</w:t>
      </w:r>
      <w:r w:rsidR="00DA4FDA">
        <w:rPr>
          <w:rFonts w:ascii="Bookman Old Style" w:hAnsi="Bookman Old Style" w:cs="Arial"/>
          <w:szCs w:val="20"/>
          <w:lang w:val="es-CO"/>
        </w:rPr>
        <w:t>n</w:t>
      </w:r>
      <w:r w:rsidRPr="000B73A9">
        <w:rPr>
          <w:rFonts w:ascii="Bookman Old Style" w:hAnsi="Bookman Old Style" w:cs="Arial"/>
          <w:szCs w:val="20"/>
          <w:lang w:val="es-CO"/>
        </w:rPr>
        <w:t xml:space="preserve"> dar cumplimiento a dichos fines se encuentra</w:t>
      </w:r>
      <w:r w:rsidR="00DA4FDA">
        <w:rPr>
          <w:rFonts w:ascii="Bookman Old Style" w:hAnsi="Bookman Old Style" w:cs="Arial"/>
          <w:szCs w:val="20"/>
          <w:lang w:val="es-CO"/>
        </w:rPr>
        <w:t>n:</w:t>
      </w:r>
      <w:r w:rsidRPr="000B73A9">
        <w:rPr>
          <w:rFonts w:ascii="Bookman Old Style" w:hAnsi="Bookman Old Style" w:cs="Arial"/>
          <w:szCs w:val="20"/>
          <w:lang w:val="es-CO"/>
        </w:rPr>
        <w:t xml:space="preserve"> la regulación, incluyendo la fijación de metas de eficiencia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y la definición del régimen tarifario. </w:t>
      </w:r>
    </w:p>
    <w:p w14:paraId="0C6FE686" w14:textId="77777777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14:paraId="3BEB5123" w14:textId="7DD0E3B4" w:rsidR="00785E91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szCs w:val="20"/>
          <w:lang w:val="es-CO"/>
        </w:rPr>
        <w:t>La Ley 142 de 1994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en su artículo 74.1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establece que es función de la C</w:t>
      </w:r>
      <w:r w:rsidR="00410E0C">
        <w:rPr>
          <w:rFonts w:ascii="Bookman Old Style" w:hAnsi="Bookman Old Style" w:cs="Arial"/>
          <w:szCs w:val="20"/>
          <w:lang w:val="es-CO"/>
        </w:rPr>
        <w:t>omisión de Regulación de Energía y Gas</w:t>
      </w:r>
      <w:r w:rsidR="00850EF6">
        <w:rPr>
          <w:rFonts w:ascii="Bookman Old Style" w:hAnsi="Bookman Old Style" w:cs="Arial"/>
          <w:szCs w:val="20"/>
          <w:lang w:val="es-CO"/>
        </w:rPr>
        <w:t xml:space="preserve">, </w:t>
      </w:r>
      <w:r w:rsidR="00410E0C">
        <w:rPr>
          <w:rFonts w:ascii="Bookman Old Style" w:hAnsi="Bookman Old Style" w:cs="Arial"/>
          <w:szCs w:val="20"/>
          <w:lang w:val="es-CO"/>
        </w:rPr>
        <w:t>C</w:t>
      </w:r>
      <w:r w:rsidRPr="000B73A9">
        <w:rPr>
          <w:rFonts w:ascii="Bookman Old Style" w:hAnsi="Bookman Old Style" w:cs="Arial"/>
          <w:szCs w:val="20"/>
          <w:lang w:val="es-CO"/>
        </w:rPr>
        <w:t>REG</w:t>
      </w:r>
      <w:r w:rsidR="00850EF6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regular el ejercicio de las actividades del sector de energía para asegurar la disponibilidad de una oferta energética eficiente, propiciar la competencia, adoptar medidas para impedir abusos de posición dominante y buscar la liberación gradual de los mercados hacia la libre competencia. Además, la Comisión podrá adoptar reglas de comportamiento diferencial, según la posición de las empresas en el mercado.</w:t>
      </w:r>
    </w:p>
    <w:p w14:paraId="4D9476DE" w14:textId="77777777" w:rsidR="003D4B0F" w:rsidRDefault="003D4B0F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14:paraId="53A1039B" w14:textId="638B4347" w:rsidR="003D4B0F" w:rsidRPr="000B73A9" w:rsidRDefault="003D4B0F" w:rsidP="003D4B0F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szCs w:val="20"/>
          <w:lang w:val="es-CO"/>
        </w:rPr>
        <w:t>E</w:t>
      </w:r>
      <w:r>
        <w:rPr>
          <w:rFonts w:ascii="Bookman Old Style" w:hAnsi="Bookman Old Style" w:cs="Arial"/>
          <w:szCs w:val="20"/>
          <w:lang w:val="es-CO"/>
        </w:rPr>
        <w:t>n este mismo sentido, e</w:t>
      </w:r>
      <w:r w:rsidRPr="000B73A9">
        <w:rPr>
          <w:rFonts w:ascii="Bookman Old Style" w:hAnsi="Bookman Old Style" w:cs="Arial"/>
          <w:szCs w:val="20"/>
          <w:lang w:val="es-CO"/>
        </w:rPr>
        <w:t>l artículo 23 de la Ley 143 de 1994 define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dentro de las funciones de la CREG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la de establecer condiciones para una oferta energética eficiente, capaz de abastecer la demanda bajo criterios sociales, económicos, ambientales y de viabilidad financiera, promover y preservar la competencia. </w:t>
      </w:r>
    </w:p>
    <w:p w14:paraId="3ABA54FD" w14:textId="77777777" w:rsidR="003D4B0F" w:rsidRDefault="003D4B0F" w:rsidP="003D4B0F">
      <w:pPr>
        <w:tabs>
          <w:tab w:val="left" w:pos="-284"/>
        </w:tabs>
        <w:ind w:left="0"/>
        <w:jc w:val="both"/>
        <w:rPr>
          <w:rFonts w:ascii="Bookman Old Style" w:hAnsi="Bookman Old Style" w:cs="Arial"/>
          <w:szCs w:val="20"/>
          <w:lang w:val="es-CO"/>
        </w:rPr>
      </w:pPr>
    </w:p>
    <w:p w14:paraId="420135DE" w14:textId="77777777" w:rsidR="00785E91" w:rsidRPr="000B73A9" w:rsidRDefault="00785E91" w:rsidP="00E542D6">
      <w:pPr>
        <w:ind w:left="0" w:right="284"/>
        <w:jc w:val="both"/>
        <w:rPr>
          <w:rFonts w:ascii="Bookman Old Style" w:eastAsia="Calibri" w:hAnsi="Bookman Old Style" w:cs="Arial"/>
          <w:i/>
          <w:sz w:val="22"/>
          <w:szCs w:val="22"/>
          <w:lang w:val="es-ES_tradnl" w:eastAsia="en-US"/>
        </w:rPr>
      </w:pPr>
    </w:p>
    <w:p w14:paraId="445DB7A0" w14:textId="70A0D681" w:rsidR="00785E91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szCs w:val="20"/>
          <w:lang w:val="es-CO"/>
        </w:rPr>
        <w:lastRenderedPageBreak/>
        <w:t>El artículo 6 de la Ley 143 de 1994 señaló que las actividades relacionadas con el servicio de electricidad se regirían</w:t>
      </w:r>
      <w:r w:rsidR="009A71EF">
        <w:rPr>
          <w:rFonts w:ascii="Bookman Old Style" w:hAnsi="Bookman Old Style" w:cs="Arial"/>
          <w:szCs w:val="20"/>
          <w:lang w:val="es-CO"/>
        </w:rPr>
        <w:t>,</w:t>
      </w:r>
      <w:r w:rsidRPr="000B73A9">
        <w:rPr>
          <w:rFonts w:ascii="Bookman Old Style" w:hAnsi="Bookman Old Style" w:cs="Arial"/>
          <w:szCs w:val="20"/>
          <w:lang w:val="es-CO"/>
        </w:rPr>
        <w:t xml:space="preserve"> entre otros principios, por el de adaptabilidad. Este principio conduce a la incorporación de los avances de la ciencia y de la tecnología que aporten mayor calidad y eficiencia en la prestación del servicio al menor costo económico.</w:t>
      </w:r>
    </w:p>
    <w:p w14:paraId="66264916" w14:textId="68A67FC1" w:rsidR="00785E91" w:rsidRPr="000B73A9" w:rsidRDefault="00785E91" w:rsidP="00785E91">
      <w:pPr>
        <w:ind w:left="0"/>
        <w:jc w:val="both"/>
        <w:rPr>
          <w:rFonts w:ascii="Bookman Old Style" w:hAnsi="Bookman Old Style" w:cs="Arial"/>
          <w:szCs w:val="20"/>
          <w:lang w:val="es-CO"/>
        </w:rPr>
      </w:pPr>
      <w:r w:rsidRPr="000B73A9">
        <w:rPr>
          <w:rFonts w:ascii="Bookman Old Style" w:hAnsi="Bookman Old Style" w:cs="Arial"/>
          <w:lang w:val="es-ES_tradnl"/>
        </w:rPr>
        <w:t xml:space="preserve"> </w:t>
      </w:r>
    </w:p>
    <w:p w14:paraId="65CEBC5D" w14:textId="77777777" w:rsidR="00785E91" w:rsidRDefault="00785E91" w:rsidP="00785E91">
      <w:pPr>
        <w:ind w:left="0"/>
        <w:jc w:val="both"/>
        <w:rPr>
          <w:rFonts w:ascii="Bookman Old Style" w:hAnsi="Bookman Old Style" w:cs="Arial"/>
        </w:rPr>
      </w:pPr>
      <w:r w:rsidRPr="000B73A9">
        <w:rPr>
          <w:rFonts w:ascii="Bookman Old Style" w:hAnsi="Bookman Old Style" w:cs="Arial"/>
        </w:rPr>
        <w:t>Conforme a lo dispuesto en la Ley 142 y 143 de 1994, la CREG cuenta con la facultad de establecer medidas regulatorias de carácter general frente a la definición de nuevos mecanismos para la comercialización de energía eléctrica que permitan la gestión de riesgo de ingresos para los agentes del mercado en diferentes horizontes de tiempo, siempre y cuando permita la formación de precios eficientes a afectos de ser trasladado a los usuarios finales.</w:t>
      </w:r>
    </w:p>
    <w:p w14:paraId="514E273D" w14:textId="77777777" w:rsidR="009965E0" w:rsidRDefault="009965E0" w:rsidP="00785E91">
      <w:pPr>
        <w:ind w:left="0"/>
        <w:jc w:val="both"/>
        <w:rPr>
          <w:rFonts w:ascii="Bookman Old Style" w:hAnsi="Bookman Old Style" w:cs="Arial"/>
        </w:rPr>
      </w:pPr>
    </w:p>
    <w:p w14:paraId="437FB987" w14:textId="7B1AE19C" w:rsidR="00410E0C" w:rsidRPr="004E7CE7" w:rsidRDefault="00415905" w:rsidP="00785E91">
      <w:pPr>
        <w:ind w:left="0"/>
        <w:jc w:val="both"/>
        <w:rPr>
          <w:rFonts w:ascii="Bookman Old Style" w:hAnsi="Bookman Old Style" w:cs="Arial"/>
          <w:lang w:val="es-ES_tradnl"/>
        </w:rPr>
      </w:pPr>
      <w:r w:rsidRPr="004E7CE7">
        <w:rPr>
          <w:rFonts w:ascii="Bookman Old Style" w:hAnsi="Bookman Old Style" w:cs="Arial"/>
          <w:lang w:val="es-ES_tradnl"/>
        </w:rPr>
        <w:t>El Gobierno Nacional expidió el Decreto 0570 de 2018, en donde se establecen los lineamientos de política pública para la contratación a largo plazo de proyectos de generación de energía eléctrica. En el mencionado decreto se delega a la CREG como la entidad encargada de definir el esquema para trasladar los costos eficientes de compra resultantes de la aplicación del mecanismo.</w:t>
      </w:r>
    </w:p>
    <w:p w14:paraId="15FD4936" w14:textId="77777777" w:rsidR="00415905" w:rsidRPr="008A5268" w:rsidRDefault="00415905" w:rsidP="00785E91">
      <w:pPr>
        <w:ind w:left="0"/>
        <w:jc w:val="both"/>
        <w:rPr>
          <w:rFonts w:ascii="Bookman Old Style" w:hAnsi="Bookman Old Style" w:cs="Arial"/>
          <w:sz w:val="32"/>
          <w:lang w:val="es-ES_tradnl"/>
        </w:rPr>
      </w:pPr>
    </w:p>
    <w:p w14:paraId="6CCA137D" w14:textId="5B6CA7B4" w:rsidR="00192F7A" w:rsidRDefault="00192F7A" w:rsidP="00192F7A">
      <w:pPr>
        <w:ind w:left="0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>E</w:t>
      </w:r>
      <w:r w:rsidRPr="005C7414">
        <w:rPr>
          <w:rFonts w:ascii="Bookman Old Style" w:hAnsi="Bookman Old Style" w:cs="Arial"/>
          <w:lang w:val="es-ES_tradnl"/>
        </w:rPr>
        <w:t>l Ministerio de Minas y Energía expidió la Resolución 40590 de 2019</w:t>
      </w:r>
      <w:r w:rsidR="009A71EF">
        <w:rPr>
          <w:rFonts w:ascii="Bookman Old Style" w:hAnsi="Bookman Old Style" w:cs="Arial"/>
          <w:lang w:val="es-ES_tradnl"/>
        </w:rPr>
        <w:t>,</w:t>
      </w:r>
      <w:r w:rsidRPr="005C7414">
        <w:rPr>
          <w:rFonts w:ascii="Bookman Old Style" w:hAnsi="Bookman Old Style" w:cs="Arial"/>
          <w:lang w:val="es-ES_tradnl"/>
        </w:rPr>
        <w:t xml:space="preserve"> mediante la </w:t>
      </w:r>
      <w:r>
        <w:rPr>
          <w:rFonts w:ascii="Bookman Old Style" w:hAnsi="Bookman Old Style" w:cs="Arial"/>
          <w:lang w:val="es-ES_tradnl"/>
        </w:rPr>
        <w:t>cual estableció</w:t>
      </w:r>
      <w:r w:rsidRPr="005C7414">
        <w:rPr>
          <w:rFonts w:ascii="Bookman Old Style" w:hAnsi="Bookman Old Style" w:cs="Arial"/>
          <w:lang w:val="es-ES_tradnl"/>
        </w:rPr>
        <w:t xml:space="preserve"> un nuevo mecanismo de subasta para la compraventa de contratos de energía de largo plazo</w:t>
      </w:r>
      <w:r w:rsidR="009A71EF">
        <w:rPr>
          <w:rFonts w:ascii="Bookman Old Style" w:hAnsi="Bookman Old Style" w:cs="Arial"/>
          <w:lang w:val="es-ES_tradnl"/>
        </w:rPr>
        <w:t>,</w:t>
      </w:r>
      <w:r w:rsidRPr="005C7414">
        <w:rPr>
          <w:rFonts w:ascii="Bookman Old Style" w:hAnsi="Bookman Old Style" w:cs="Arial"/>
          <w:lang w:val="es-ES_tradnl"/>
        </w:rPr>
        <w:t xml:space="preserve"> </w:t>
      </w:r>
      <w:r>
        <w:rPr>
          <w:rFonts w:ascii="Bookman Old Style" w:hAnsi="Bookman Old Style" w:cs="Arial"/>
          <w:lang w:val="es-ES_tradnl"/>
        </w:rPr>
        <w:t>y derogó</w:t>
      </w:r>
      <w:r w:rsidRPr="005C7414">
        <w:rPr>
          <w:rFonts w:ascii="Bookman Old Style" w:hAnsi="Bookman Old Style" w:cs="Arial"/>
          <w:lang w:val="es-ES_tradnl"/>
        </w:rPr>
        <w:t xml:space="preserve"> la Resolución 40791 de 2018</w:t>
      </w:r>
      <w:r w:rsidR="009A71EF">
        <w:rPr>
          <w:rFonts w:ascii="Bookman Old Style" w:hAnsi="Bookman Old Style" w:cs="Arial"/>
          <w:lang w:val="es-ES_tradnl"/>
        </w:rPr>
        <w:t>,</w:t>
      </w:r>
      <w:r w:rsidRPr="005C7414">
        <w:rPr>
          <w:rFonts w:ascii="Bookman Old Style" w:hAnsi="Bookman Old Style" w:cs="Arial"/>
          <w:lang w:val="es-ES_tradnl"/>
        </w:rPr>
        <w:t xml:space="preserve"> así como sus modificaciones.</w:t>
      </w:r>
      <w:r>
        <w:rPr>
          <w:rFonts w:ascii="Bookman Old Style" w:hAnsi="Bookman Old Style" w:cs="Arial"/>
          <w:lang w:val="es-ES_tradnl"/>
        </w:rPr>
        <w:t xml:space="preserve">  La Resolución 40590 de 2019 fue modificada por la Resolución 40678 de 2019</w:t>
      </w:r>
      <w:r w:rsidR="0078785F">
        <w:rPr>
          <w:rFonts w:ascii="Bookman Old Style" w:hAnsi="Bookman Old Style" w:cs="Arial"/>
          <w:lang w:val="es-ES_tradnl"/>
        </w:rPr>
        <w:t xml:space="preserve"> y por la </w:t>
      </w:r>
      <w:r w:rsidR="00054F79">
        <w:rPr>
          <w:rFonts w:ascii="Bookman Old Style" w:hAnsi="Bookman Old Style" w:cs="Arial"/>
          <w:lang w:val="es-ES_tradnl"/>
        </w:rPr>
        <w:t>Resolución 40141 de 2021</w:t>
      </w:r>
      <w:r w:rsidR="00D44AFB">
        <w:rPr>
          <w:rFonts w:ascii="Bookman Old Style" w:hAnsi="Bookman Old Style" w:cs="Arial"/>
          <w:lang w:val="es-ES_tradnl"/>
        </w:rPr>
        <w:t>.</w:t>
      </w:r>
    </w:p>
    <w:p w14:paraId="44461DED" w14:textId="77777777" w:rsidR="00410E0C" w:rsidRPr="00766E80" w:rsidRDefault="00410E0C" w:rsidP="00785E91">
      <w:pPr>
        <w:ind w:left="0"/>
        <w:jc w:val="both"/>
        <w:rPr>
          <w:rFonts w:ascii="Bookman Old Style" w:hAnsi="Bookman Old Style" w:cs="Arial"/>
          <w:lang w:val="es-ES_tradnl"/>
        </w:rPr>
      </w:pPr>
    </w:p>
    <w:p w14:paraId="35F19EAA" w14:textId="4CB0266B" w:rsidR="00AF0338" w:rsidRDefault="00BB7A98" w:rsidP="00AF0338">
      <w:pPr>
        <w:ind w:left="0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>Mediante l</w:t>
      </w:r>
      <w:r w:rsidR="00AF0338" w:rsidRPr="00611D2F">
        <w:rPr>
          <w:rFonts w:ascii="Bookman Old Style" w:hAnsi="Bookman Old Style" w:cs="Arial"/>
          <w:lang w:val="es-ES_tradnl"/>
        </w:rPr>
        <w:t xml:space="preserve">a Resolución 4 </w:t>
      </w:r>
      <w:r w:rsidR="00AF0338">
        <w:rPr>
          <w:rFonts w:ascii="Bookman Old Style" w:hAnsi="Bookman Old Style" w:cs="Arial"/>
          <w:lang w:val="es-ES_tradnl"/>
        </w:rPr>
        <w:t>0141</w:t>
      </w:r>
      <w:r w:rsidR="00AF0338" w:rsidRPr="00611D2F">
        <w:rPr>
          <w:rFonts w:ascii="Bookman Old Style" w:hAnsi="Bookman Old Style" w:cs="Arial"/>
          <w:lang w:val="es-ES_tradnl"/>
        </w:rPr>
        <w:t xml:space="preserve"> </w:t>
      </w:r>
      <w:r w:rsidR="00AF0338">
        <w:rPr>
          <w:rFonts w:ascii="Bookman Old Style" w:hAnsi="Bookman Old Style" w:cs="Arial"/>
          <w:lang w:val="es-ES_tradnl"/>
        </w:rPr>
        <w:t xml:space="preserve">del </w:t>
      </w:r>
      <w:r w:rsidR="00DE4C60">
        <w:rPr>
          <w:rFonts w:ascii="Bookman Old Style" w:hAnsi="Bookman Old Style" w:cs="Arial"/>
          <w:lang w:val="es-ES_tradnl"/>
        </w:rPr>
        <w:t>7</w:t>
      </w:r>
      <w:r w:rsidR="00AF0338" w:rsidRPr="00611D2F">
        <w:rPr>
          <w:rFonts w:ascii="Bookman Old Style" w:hAnsi="Bookman Old Style" w:cs="Arial"/>
          <w:lang w:val="es-ES_tradnl"/>
        </w:rPr>
        <w:t xml:space="preserve"> de</w:t>
      </w:r>
      <w:r w:rsidR="00AF0338">
        <w:rPr>
          <w:rFonts w:ascii="Bookman Old Style" w:hAnsi="Bookman Old Style" w:cs="Arial"/>
          <w:lang w:val="es-ES_tradnl"/>
        </w:rPr>
        <w:t xml:space="preserve"> mayo</w:t>
      </w:r>
      <w:r w:rsidR="00AF0338" w:rsidRPr="00611D2F">
        <w:rPr>
          <w:rFonts w:ascii="Bookman Old Style" w:hAnsi="Bookman Old Style" w:cs="Arial"/>
          <w:lang w:val="es-ES_tradnl"/>
        </w:rPr>
        <w:t xml:space="preserve"> de 20</w:t>
      </w:r>
      <w:r w:rsidR="00AF0338">
        <w:rPr>
          <w:rFonts w:ascii="Bookman Old Style" w:hAnsi="Bookman Old Style" w:cs="Arial"/>
          <w:lang w:val="es-ES_tradnl"/>
        </w:rPr>
        <w:t>21</w:t>
      </w:r>
      <w:r>
        <w:rPr>
          <w:rFonts w:ascii="Bookman Old Style" w:hAnsi="Bookman Old Style" w:cs="Arial"/>
          <w:lang w:val="es-ES_tradnl"/>
        </w:rPr>
        <w:t xml:space="preserve"> del Ministerio de Minas y Energía</w:t>
      </w:r>
      <w:r w:rsidR="00AF0338" w:rsidRPr="00611D2F">
        <w:rPr>
          <w:rFonts w:ascii="Bookman Old Style" w:hAnsi="Bookman Old Style" w:cs="Arial"/>
          <w:lang w:val="es-ES_tradnl"/>
        </w:rPr>
        <w:t>,</w:t>
      </w:r>
      <w:r>
        <w:rPr>
          <w:rFonts w:ascii="Bookman Old Style" w:hAnsi="Bookman Old Style" w:cs="Arial"/>
          <w:lang w:val="es-ES_tradnl"/>
        </w:rPr>
        <w:t xml:space="preserve"> se</w:t>
      </w:r>
      <w:r w:rsidR="00AF0338" w:rsidRPr="00611D2F">
        <w:rPr>
          <w:rFonts w:ascii="Bookman Old Style" w:hAnsi="Bookman Old Style" w:cs="Arial"/>
          <w:lang w:val="es-ES_tradnl"/>
        </w:rPr>
        <w:t xml:space="preserve"> </w:t>
      </w:r>
      <w:r w:rsidR="00AF0338">
        <w:rPr>
          <w:rFonts w:ascii="Bookman Old Style" w:hAnsi="Bookman Old Style" w:cs="Arial"/>
          <w:lang w:val="es-ES_tradnl"/>
        </w:rPr>
        <w:t>modific</w:t>
      </w:r>
      <w:r>
        <w:rPr>
          <w:rFonts w:ascii="Bookman Old Style" w:hAnsi="Bookman Old Style" w:cs="Arial"/>
          <w:lang w:val="es-ES_tradnl"/>
        </w:rPr>
        <w:t>ó</w:t>
      </w:r>
      <w:r w:rsidR="00AF0338">
        <w:rPr>
          <w:rFonts w:ascii="Bookman Old Style" w:hAnsi="Bookman Old Style" w:cs="Arial"/>
          <w:lang w:val="es-ES_tradnl"/>
        </w:rPr>
        <w:t xml:space="preserve"> la Resolución 4 0590 de 2019 y se design</w:t>
      </w:r>
      <w:r>
        <w:rPr>
          <w:rFonts w:ascii="Bookman Old Style" w:hAnsi="Bookman Old Style" w:cs="Arial"/>
          <w:lang w:val="es-ES_tradnl"/>
        </w:rPr>
        <w:t>ó</w:t>
      </w:r>
      <w:r w:rsidR="00AF0338">
        <w:rPr>
          <w:rFonts w:ascii="Bookman Old Style" w:hAnsi="Bookman Old Style" w:cs="Arial"/>
          <w:lang w:val="es-ES_tradnl"/>
        </w:rPr>
        <w:t xml:space="preserve"> a el </w:t>
      </w:r>
      <w:r w:rsidR="00AF0338" w:rsidRPr="001C1ABC">
        <w:rPr>
          <w:rFonts w:ascii="Bookman Old Style" w:hAnsi="Bookman Old Style" w:cs="Arial"/>
          <w:lang w:val="es-ES_tradnl"/>
        </w:rPr>
        <w:t xml:space="preserve">Administrador </w:t>
      </w:r>
      <w:r>
        <w:rPr>
          <w:rFonts w:ascii="Bookman Old Style" w:hAnsi="Bookman Old Style" w:cs="Arial"/>
          <w:lang w:val="es-ES_tradnl"/>
        </w:rPr>
        <w:t>d</w:t>
      </w:r>
      <w:r w:rsidR="00AF0338" w:rsidRPr="001C1ABC">
        <w:rPr>
          <w:rFonts w:ascii="Bookman Old Style" w:hAnsi="Bookman Old Style" w:cs="Arial"/>
          <w:lang w:val="es-ES_tradnl"/>
        </w:rPr>
        <w:t>e</w:t>
      </w:r>
      <w:r w:rsidR="009A71EF">
        <w:rPr>
          <w:rFonts w:ascii="Bookman Old Style" w:hAnsi="Bookman Old Style" w:cs="Arial"/>
          <w:lang w:val="es-ES_tradnl"/>
        </w:rPr>
        <w:t>l Sistema de</w:t>
      </w:r>
      <w:r w:rsidR="00AF0338" w:rsidRPr="001C1ABC">
        <w:rPr>
          <w:rFonts w:ascii="Bookman Old Style" w:hAnsi="Bookman Old Style" w:cs="Arial"/>
          <w:lang w:val="es-ES_tradnl"/>
        </w:rPr>
        <w:t xml:space="preserve"> Intercambios Comerciales</w:t>
      </w:r>
      <w:r w:rsidR="009A71EF">
        <w:rPr>
          <w:rFonts w:ascii="Bookman Old Style" w:hAnsi="Bookman Old Style" w:cs="Arial"/>
          <w:lang w:val="es-ES_tradnl"/>
        </w:rPr>
        <w:t>,</w:t>
      </w:r>
      <w:r w:rsidR="00AF0338">
        <w:rPr>
          <w:rFonts w:ascii="Bookman Old Style" w:hAnsi="Bookman Old Style" w:cs="Arial"/>
          <w:lang w:val="es-ES_tradnl"/>
        </w:rPr>
        <w:t xml:space="preserve"> ASIC</w:t>
      </w:r>
      <w:r w:rsidR="009A71EF">
        <w:rPr>
          <w:rFonts w:ascii="Bookman Old Style" w:hAnsi="Bookman Old Style" w:cs="Arial"/>
          <w:lang w:val="es-ES_tradnl"/>
        </w:rPr>
        <w:t>,</w:t>
      </w:r>
      <w:r w:rsidR="00AF0338">
        <w:rPr>
          <w:rFonts w:ascii="Bookman Old Style" w:hAnsi="Bookman Old Style" w:cs="Arial"/>
          <w:lang w:val="es-ES_tradnl"/>
        </w:rPr>
        <w:t xml:space="preserve"> como administrador de la subasta de contratación de largo plazo de energía eléctrica a desarrollarse en el 2021</w:t>
      </w:r>
      <w:r w:rsidR="00AF0338" w:rsidRPr="00611D2F">
        <w:rPr>
          <w:rFonts w:ascii="Bookman Old Style" w:hAnsi="Bookman Old Style" w:cs="Arial"/>
          <w:lang w:val="es-ES_tradnl"/>
        </w:rPr>
        <w:t>.</w:t>
      </w:r>
      <w:r w:rsidR="00895B99">
        <w:rPr>
          <w:rFonts w:ascii="Bookman Old Style" w:hAnsi="Bookman Old Style" w:cs="Arial"/>
          <w:lang w:val="es-ES_tradnl"/>
        </w:rPr>
        <w:t xml:space="preserve"> En el artículo </w:t>
      </w:r>
      <w:r w:rsidR="00AD3782">
        <w:rPr>
          <w:rFonts w:ascii="Bookman Old Style" w:hAnsi="Bookman Old Style" w:cs="Arial"/>
          <w:lang w:val="es-ES_tradnl"/>
        </w:rPr>
        <w:t>5 de la precitada resolución se modificó el artículo 19 de la Resolución 4 0590 de 2019, en la cual se establece lo siguiente:</w:t>
      </w:r>
    </w:p>
    <w:p w14:paraId="70435296" w14:textId="77777777" w:rsidR="00AD3782" w:rsidRDefault="00AD3782" w:rsidP="00AF0338">
      <w:pPr>
        <w:ind w:left="0"/>
        <w:jc w:val="both"/>
        <w:rPr>
          <w:rFonts w:ascii="Bookman Old Style" w:hAnsi="Bookman Old Style" w:cs="Arial"/>
          <w:lang w:val="es-ES_tradnl"/>
        </w:rPr>
      </w:pPr>
    </w:p>
    <w:p w14:paraId="41193796" w14:textId="42C6408A" w:rsidR="00AD3782" w:rsidRPr="002E7429" w:rsidRDefault="00261709" w:rsidP="002E7429">
      <w:pPr>
        <w:ind w:left="284"/>
        <w:jc w:val="both"/>
        <w:rPr>
          <w:rFonts w:ascii="Bookman Old Style" w:hAnsi="Bookman Old Style" w:cs="Arial"/>
          <w:i/>
          <w:iCs/>
          <w:sz w:val="22"/>
          <w:szCs w:val="22"/>
          <w:lang w:val="es-ES_tradnl"/>
        </w:rPr>
      </w:pPr>
      <w:r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“</w:t>
      </w:r>
      <w:r w:rsidR="00086945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 xml:space="preserve">Artículo 19 – Condiciones de competencia. La CREG, mediante resolución, determinará las condiciones de competencia </w:t>
      </w:r>
      <w:r w:rsidR="00085F75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que garanticen un proceso de asignación eficiente, así como la forma y el momento en que dichas condiciones deber ser verificadas. Esta resol</w:t>
      </w:r>
      <w:r w:rsidR="00363A18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ución deberá estar en firme antes de la fecha de radica</w:t>
      </w:r>
      <w:r w:rsidR="00BC2133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c</w:t>
      </w:r>
      <w:r w:rsidR="00363A18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ión de la información requerid</w:t>
      </w:r>
      <w:r w:rsidR="00BC2133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a</w:t>
      </w:r>
      <w:r w:rsidR="00363A18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 xml:space="preserve"> para la precalificación de los participantes en la Subasta. </w:t>
      </w:r>
    </w:p>
    <w:p w14:paraId="1160C19E" w14:textId="77777777" w:rsidR="00AF0338" w:rsidRPr="002E7429" w:rsidRDefault="00AF0338" w:rsidP="002E7429">
      <w:pPr>
        <w:ind w:left="284"/>
        <w:jc w:val="both"/>
        <w:rPr>
          <w:rFonts w:ascii="Bookman Old Style" w:hAnsi="Bookman Old Style" w:cs="Arial"/>
          <w:i/>
          <w:iCs/>
          <w:sz w:val="22"/>
          <w:szCs w:val="22"/>
          <w:lang w:val="es-ES_tradnl"/>
        </w:rPr>
      </w:pPr>
    </w:p>
    <w:p w14:paraId="3CC1D358" w14:textId="4E97C534" w:rsidR="00BC2133" w:rsidRPr="002E7429" w:rsidRDefault="00BC2133" w:rsidP="002E7429">
      <w:pPr>
        <w:ind w:left="284"/>
        <w:jc w:val="both"/>
        <w:rPr>
          <w:rFonts w:ascii="Bookman Old Style" w:hAnsi="Bookman Old Style" w:cs="Arial"/>
          <w:i/>
          <w:iCs/>
          <w:sz w:val="22"/>
          <w:szCs w:val="22"/>
          <w:lang w:val="es-ES_tradnl"/>
        </w:rPr>
      </w:pPr>
      <w:r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E</w:t>
      </w:r>
      <w:r w:rsidR="000C70BC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 xml:space="preserve">l Subastador verificará el cumplimiento de las condiciones de competencia definidas </w:t>
      </w:r>
      <w:r w:rsidR="00172946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por la CREG y en caso</w:t>
      </w:r>
      <w:r w:rsidR="00271A69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 xml:space="preserve"> de que no haya cumplimiento de </w:t>
      </w:r>
      <w:proofErr w:type="gramStart"/>
      <w:r w:rsidR="00271A69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las mismas</w:t>
      </w:r>
      <w:proofErr w:type="gramEnd"/>
      <w:r w:rsidR="00271A69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, la Subasta y sus resultados de asignación</w:t>
      </w:r>
      <w:r w:rsidR="00DB1238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 xml:space="preserve"> </w:t>
      </w:r>
      <w:r w:rsidR="00261709" w:rsidRPr="002E7429">
        <w:rPr>
          <w:rFonts w:ascii="Bookman Old Style" w:hAnsi="Bookman Old Style" w:cs="Arial"/>
          <w:i/>
          <w:iCs/>
          <w:sz w:val="22"/>
          <w:szCs w:val="22"/>
          <w:lang w:val="es-ES_tradnl"/>
        </w:rPr>
        <w:t>no producirán efecto jurídico alguno”</w:t>
      </w:r>
    </w:p>
    <w:p w14:paraId="0BC17D4E" w14:textId="77777777" w:rsidR="00BC2133" w:rsidRDefault="00BC2133" w:rsidP="00AF0338">
      <w:pPr>
        <w:ind w:left="0"/>
        <w:jc w:val="both"/>
        <w:rPr>
          <w:rFonts w:ascii="Bookman Old Style" w:hAnsi="Bookman Old Style" w:cs="Arial"/>
          <w:lang w:val="es-ES_tradnl"/>
        </w:rPr>
      </w:pPr>
    </w:p>
    <w:p w14:paraId="47F0866A" w14:textId="366D8D99" w:rsidR="00AF0338" w:rsidRPr="00175A8B" w:rsidRDefault="00AF0338" w:rsidP="00AF0338">
      <w:pPr>
        <w:ind w:left="0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 xml:space="preserve">Mediante la Resolución 4 0179 del 9 de junio de 2021 del Ministerio de Minas y Energía, </w:t>
      </w:r>
      <w:r w:rsidR="00271E1C">
        <w:rPr>
          <w:rFonts w:ascii="Bookman Old Style" w:hAnsi="Bookman Old Style" w:cs="Arial"/>
          <w:lang w:val="es-ES_tradnl"/>
        </w:rPr>
        <w:t xml:space="preserve">se </w:t>
      </w:r>
      <w:r>
        <w:rPr>
          <w:rFonts w:ascii="Bookman Old Style" w:hAnsi="Bookman Old Style" w:cs="Arial"/>
          <w:lang w:val="es-ES_tradnl"/>
        </w:rPr>
        <w:t>convoca a la subasta de contratación de largo plazo para proyectos de generación de energía eléctrica</w:t>
      </w:r>
      <w:r w:rsidR="009A71EF">
        <w:rPr>
          <w:rFonts w:ascii="Bookman Old Style" w:hAnsi="Bookman Old Style" w:cs="Arial"/>
          <w:lang w:val="es-ES_tradnl"/>
        </w:rPr>
        <w:t>,</w:t>
      </w:r>
      <w:r>
        <w:rPr>
          <w:rFonts w:ascii="Bookman Old Style" w:hAnsi="Bookman Old Style" w:cs="Arial"/>
          <w:lang w:val="es-ES_tradnl"/>
        </w:rPr>
        <w:t xml:space="preserve"> y </w:t>
      </w:r>
      <w:r w:rsidRPr="00175A8B">
        <w:rPr>
          <w:rFonts w:ascii="Bookman Old Style" w:hAnsi="Bookman Old Style" w:cs="Arial"/>
          <w:lang w:val="es-ES_tradnl"/>
        </w:rPr>
        <w:t xml:space="preserve">se definen los parámetros de su aplicación. </w:t>
      </w:r>
    </w:p>
    <w:p w14:paraId="109378B5" w14:textId="77777777" w:rsidR="00AF0338" w:rsidRDefault="00AF0338" w:rsidP="002C5547">
      <w:pPr>
        <w:ind w:left="0"/>
        <w:jc w:val="both"/>
        <w:rPr>
          <w:rFonts w:ascii="Bookman Old Style" w:hAnsi="Bookman Old Style" w:cs="Arial"/>
          <w:lang w:val="es-ES_tradnl"/>
        </w:rPr>
      </w:pPr>
    </w:p>
    <w:p w14:paraId="742567BF" w14:textId="2E1A1D2F" w:rsidR="00415905" w:rsidRDefault="00600460" w:rsidP="002C5547">
      <w:pPr>
        <w:ind w:left="0"/>
        <w:jc w:val="both"/>
        <w:rPr>
          <w:rFonts w:ascii="Bookman Old Style" w:hAnsi="Bookman Old Style" w:cs="Arial"/>
          <w:lang w:val="es-ES_tradnl"/>
        </w:rPr>
      </w:pPr>
      <w:r>
        <w:rPr>
          <w:rFonts w:ascii="Bookman Old Style" w:hAnsi="Bookman Old Style" w:cs="Arial"/>
          <w:lang w:val="es-ES_tradnl"/>
        </w:rPr>
        <w:t xml:space="preserve">Teniendo </w:t>
      </w:r>
      <w:r w:rsidR="002C5547">
        <w:rPr>
          <w:rFonts w:ascii="Bookman Old Style" w:hAnsi="Bookman Old Style" w:cs="Arial"/>
          <w:lang w:val="es-ES_tradnl"/>
        </w:rPr>
        <w:t>en cuenta que el artículo 19 de la Resolución 4</w:t>
      </w:r>
      <w:r w:rsidR="00E9108C">
        <w:rPr>
          <w:rFonts w:ascii="Bookman Old Style" w:hAnsi="Bookman Old Style" w:cs="Arial"/>
          <w:lang w:val="es-ES_tradnl"/>
        </w:rPr>
        <w:t xml:space="preserve"> </w:t>
      </w:r>
      <w:r w:rsidR="002C5547">
        <w:rPr>
          <w:rFonts w:ascii="Bookman Old Style" w:hAnsi="Bookman Old Style" w:cs="Arial"/>
          <w:lang w:val="es-ES_tradnl"/>
        </w:rPr>
        <w:t xml:space="preserve">0590 de 2019 </w:t>
      </w:r>
      <w:r w:rsidR="00045037">
        <w:rPr>
          <w:rFonts w:ascii="Bookman Old Style" w:hAnsi="Bookman Old Style" w:cs="Arial"/>
          <w:lang w:val="es-ES_tradnl"/>
        </w:rPr>
        <w:t xml:space="preserve">determinó que la </w:t>
      </w:r>
      <w:r w:rsidR="00E74A13">
        <w:rPr>
          <w:rFonts w:ascii="Bookman Old Style" w:hAnsi="Bookman Old Style" w:cs="Arial"/>
          <w:lang w:val="es-ES_tradnl"/>
        </w:rPr>
        <w:t>CREG</w:t>
      </w:r>
      <w:r w:rsidR="006F747D">
        <w:rPr>
          <w:rFonts w:ascii="Bookman Old Style" w:hAnsi="Bookman Old Style" w:cs="Arial"/>
          <w:lang w:val="es-ES_tradnl"/>
        </w:rPr>
        <w:t xml:space="preserve"> debe</w:t>
      </w:r>
      <w:r w:rsidR="00E74A13">
        <w:rPr>
          <w:rFonts w:ascii="Bookman Old Style" w:hAnsi="Bookman Old Style" w:cs="Arial"/>
          <w:lang w:val="es-ES_tradnl"/>
        </w:rPr>
        <w:t xml:space="preserve"> establecer indicadores de competencia que estén acordes con el</w:t>
      </w:r>
      <w:r w:rsidR="00045037">
        <w:rPr>
          <w:rFonts w:ascii="Bookman Old Style" w:hAnsi="Bookman Old Style" w:cs="Arial"/>
          <w:lang w:val="es-ES_tradnl"/>
        </w:rPr>
        <w:t xml:space="preserve"> </w:t>
      </w:r>
      <w:r w:rsidR="00E74A13">
        <w:rPr>
          <w:rFonts w:ascii="Bookman Old Style" w:hAnsi="Bookman Old Style" w:cs="Arial"/>
          <w:lang w:val="es-ES_tradnl"/>
        </w:rPr>
        <w:t>mecanismo y producto</w:t>
      </w:r>
      <w:r w:rsidR="000D3E51">
        <w:rPr>
          <w:rFonts w:ascii="Bookman Old Style" w:hAnsi="Bookman Old Style" w:cs="Arial"/>
          <w:lang w:val="es-ES_tradnl"/>
        </w:rPr>
        <w:t xml:space="preserve"> de la subasta a desarrollarse</w:t>
      </w:r>
      <w:r w:rsidR="007879FE">
        <w:rPr>
          <w:rFonts w:ascii="Bookman Old Style" w:hAnsi="Bookman Old Style" w:cs="Arial"/>
          <w:lang w:val="es-ES_tradnl"/>
        </w:rPr>
        <w:t xml:space="preserve"> conforme a la Resolución 4 0179 de 2021, </w:t>
      </w:r>
      <w:r w:rsidR="00E74A13">
        <w:rPr>
          <w:rFonts w:ascii="Bookman Old Style" w:hAnsi="Bookman Old Style" w:cs="Arial"/>
          <w:lang w:val="es-ES_tradnl"/>
        </w:rPr>
        <w:t xml:space="preserve">que permitan entender </w:t>
      </w:r>
      <w:r w:rsidR="000F0550">
        <w:rPr>
          <w:rFonts w:ascii="Bookman Old Style" w:hAnsi="Bookman Old Style" w:cs="Arial"/>
          <w:lang w:val="es-ES_tradnl"/>
        </w:rPr>
        <w:t>q</w:t>
      </w:r>
      <w:r w:rsidR="00E74A13">
        <w:rPr>
          <w:rFonts w:ascii="Bookman Old Style" w:hAnsi="Bookman Old Style" w:cs="Arial"/>
          <w:lang w:val="es-ES_tradnl"/>
        </w:rPr>
        <w:t xml:space="preserve">ue el proceso de interacción de oferta </w:t>
      </w:r>
      <w:r w:rsidR="00E74A13">
        <w:rPr>
          <w:rFonts w:ascii="Bookman Old Style" w:hAnsi="Bookman Old Style" w:cs="Arial"/>
          <w:lang w:val="es-ES_tradnl"/>
        </w:rPr>
        <w:lastRenderedPageBreak/>
        <w:t>y demanda fue eficiente</w:t>
      </w:r>
      <w:r w:rsidR="0043706C">
        <w:rPr>
          <w:rFonts w:ascii="Bookman Old Style" w:hAnsi="Bookman Old Style" w:cs="Arial"/>
          <w:lang w:val="es-ES_tradnl"/>
        </w:rPr>
        <w:t xml:space="preserve">, mediante la presente resolución </w:t>
      </w:r>
      <w:r w:rsidR="00EE1824">
        <w:rPr>
          <w:rFonts w:ascii="Bookman Old Style" w:hAnsi="Bookman Old Style" w:cs="Arial"/>
          <w:lang w:val="es-ES_tradnl"/>
        </w:rPr>
        <w:t>se definen las condiciones de</w:t>
      </w:r>
      <w:r w:rsidR="00BD5AC3">
        <w:rPr>
          <w:rFonts w:ascii="Bookman Old Style" w:hAnsi="Bookman Old Style" w:cs="Arial"/>
          <w:lang w:val="es-ES_tradnl"/>
        </w:rPr>
        <w:t xml:space="preserve"> competencia </w:t>
      </w:r>
      <w:r w:rsidR="00E12C46">
        <w:rPr>
          <w:rFonts w:ascii="Bookman Old Style" w:hAnsi="Bookman Old Style" w:cs="Arial"/>
          <w:lang w:val="es-ES_tradnl"/>
        </w:rPr>
        <w:t>a aplicarse</w:t>
      </w:r>
      <w:r w:rsidR="00DC59BC" w:rsidRPr="00E12C46">
        <w:rPr>
          <w:rFonts w:ascii="Bookman Old Style" w:hAnsi="Bookman Old Style" w:cs="Arial"/>
          <w:lang w:val="es-ES_tradnl"/>
        </w:rPr>
        <w:t>.</w:t>
      </w:r>
      <w:r w:rsidR="00DC59BC">
        <w:rPr>
          <w:rFonts w:ascii="Bookman Old Style" w:hAnsi="Bookman Old Style" w:cs="Arial"/>
          <w:lang w:val="es-ES_tradnl"/>
        </w:rPr>
        <w:t xml:space="preserve"> </w:t>
      </w:r>
    </w:p>
    <w:p w14:paraId="4C4E0B29" w14:textId="77777777" w:rsidR="00045D3D" w:rsidRDefault="00045D3D" w:rsidP="00045D3D">
      <w:pPr>
        <w:suppressAutoHyphens/>
        <w:jc w:val="center"/>
        <w:rPr>
          <w:rFonts w:ascii="Bookman Old Style" w:hAnsi="Bookman Old Style"/>
          <w:b/>
          <w:spacing w:val="-3"/>
        </w:rPr>
      </w:pPr>
    </w:p>
    <w:p w14:paraId="690EF590" w14:textId="77777777" w:rsidR="00045D3D" w:rsidRPr="00C435C3" w:rsidRDefault="00045D3D" w:rsidP="00045D3D">
      <w:pPr>
        <w:suppressAutoHyphens/>
        <w:jc w:val="center"/>
        <w:rPr>
          <w:rFonts w:ascii="Bookman Old Style" w:hAnsi="Bookman Old Style"/>
          <w:spacing w:val="-3"/>
        </w:rPr>
      </w:pPr>
      <w:r w:rsidRPr="00C435C3">
        <w:rPr>
          <w:rFonts w:ascii="Bookman Old Style" w:hAnsi="Bookman Old Style"/>
          <w:b/>
          <w:spacing w:val="-3"/>
        </w:rPr>
        <w:t>R E S U E L V E:</w:t>
      </w:r>
    </w:p>
    <w:p w14:paraId="7DEF9510" w14:textId="77777777" w:rsidR="00045D3D" w:rsidRDefault="00045D3D" w:rsidP="00045D3D">
      <w:pPr>
        <w:jc w:val="center"/>
        <w:rPr>
          <w:rFonts w:ascii="Bookman Old Style" w:hAnsi="Bookman Old Style"/>
        </w:rPr>
      </w:pPr>
    </w:p>
    <w:p w14:paraId="00D34F20" w14:textId="49FEC66F" w:rsidR="00045D3D" w:rsidRPr="00441572" w:rsidRDefault="00FF07E5" w:rsidP="00441572">
      <w:pPr>
        <w:pStyle w:val="Prrafodelista"/>
        <w:numPr>
          <w:ilvl w:val="0"/>
          <w:numId w:val="33"/>
        </w:numPr>
        <w:tabs>
          <w:tab w:val="left" w:pos="0"/>
        </w:tabs>
        <w:ind w:left="0" w:firstLine="0"/>
        <w:jc w:val="both"/>
        <w:rPr>
          <w:rFonts w:ascii="Bookman Old Style" w:hAnsi="Bookman Old Style"/>
        </w:rPr>
      </w:pPr>
      <w:r w:rsidRPr="00882C61">
        <w:rPr>
          <w:rFonts w:ascii="Bookman Old Style" w:hAnsi="Bookman Old Style" w:cs="Arial"/>
          <w:b/>
          <w:sz w:val="24"/>
          <w:szCs w:val="24"/>
          <w:lang w:val="es-ES_tradnl"/>
        </w:rPr>
        <w:t>Objeto</w:t>
      </w:r>
      <w:r w:rsidRPr="00882C61">
        <w:rPr>
          <w:rFonts w:ascii="Bookman Old Style" w:hAnsi="Bookman Old Style" w:cs="Arial"/>
          <w:sz w:val="24"/>
          <w:szCs w:val="24"/>
          <w:lang w:val="es-ES_tradnl"/>
        </w:rPr>
        <w:t xml:space="preserve">. </w:t>
      </w:r>
      <w:r w:rsidR="00441572" w:rsidRPr="00441572">
        <w:rPr>
          <w:rFonts w:ascii="Bookman Old Style" w:hAnsi="Bookman Old Style" w:cs="Arial"/>
          <w:sz w:val="24"/>
          <w:szCs w:val="24"/>
          <w:lang w:val="es-ES_tradnl"/>
        </w:rPr>
        <w:t>En cumplimiento de lo señalado en el artículo 19 de la Resolución 4</w:t>
      </w:r>
      <w:r w:rsidR="00336E51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r w:rsidR="00441572" w:rsidRPr="00441572">
        <w:rPr>
          <w:rFonts w:ascii="Bookman Old Style" w:hAnsi="Bookman Old Style" w:cs="Arial"/>
          <w:sz w:val="24"/>
          <w:szCs w:val="24"/>
          <w:lang w:val="es-ES_tradnl"/>
        </w:rPr>
        <w:t>0590 de 2019</w:t>
      </w:r>
      <w:r w:rsidR="007075EC">
        <w:rPr>
          <w:rFonts w:ascii="Bookman Old Style" w:hAnsi="Bookman Old Style" w:cs="Arial"/>
          <w:sz w:val="24"/>
          <w:szCs w:val="24"/>
          <w:lang w:val="es-ES_tradnl"/>
        </w:rPr>
        <w:t>, modificada por la</w:t>
      </w:r>
      <w:r w:rsidR="00336E51">
        <w:rPr>
          <w:rFonts w:ascii="Bookman Old Style" w:hAnsi="Bookman Old Style" w:cs="Arial"/>
          <w:sz w:val="24"/>
          <w:szCs w:val="24"/>
          <w:lang w:val="es-ES_tradnl"/>
        </w:rPr>
        <w:t>s resoluciones</w:t>
      </w:r>
      <w:r w:rsidR="007075EC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r w:rsidR="007873B7">
        <w:rPr>
          <w:rFonts w:ascii="Bookman Old Style" w:hAnsi="Bookman Old Style" w:cs="Arial"/>
          <w:sz w:val="24"/>
          <w:szCs w:val="24"/>
          <w:lang w:val="es-ES_tradnl"/>
        </w:rPr>
        <w:t xml:space="preserve">4 0678 de 2019 y </w:t>
      </w:r>
      <w:r w:rsidR="007075EC">
        <w:rPr>
          <w:rFonts w:ascii="Bookman Old Style" w:hAnsi="Bookman Old Style" w:cs="Arial"/>
          <w:sz w:val="24"/>
          <w:szCs w:val="24"/>
          <w:lang w:val="es-ES_tradnl"/>
        </w:rPr>
        <w:t>40141 de 2021</w:t>
      </w:r>
      <w:r w:rsidR="00441572" w:rsidRPr="00441572">
        <w:rPr>
          <w:rFonts w:ascii="Bookman Old Style" w:hAnsi="Bookman Old Style" w:cs="Arial"/>
          <w:sz w:val="24"/>
          <w:szCs w:val="24"/>
          <w:lang w:val="es-ES_tradnl"/>
        </w:rPr>
        <w:t xml:space="preserve"> del Ministerio de Minas y Energía, en esta resolución se definen las condiciones de competencia que garantizan un proceso de asignación eficiente en la subasta de contratos de largo plazo.</w:t>
      </w:r>
    </w:p>
    <w:p w14:paraId="05B7366E" w14:textId="77777777" w:rsidR="00441572" w:rsidRPr="00C435C3" w:rsidRDefault="00441572" w:rsidP="00441572">
      <w:pPr>
        <w:pStyle w:val="Prrafodelista"/>
        <w:tabs>
          <w:tab w:val="left" w:pos="0"/>
        </w:tabs>
        <w:ind w:left="0"/>
        <w:jc w:val="both"/>
        <w:rPr>
          <w:rFonts w:ascii="Bookman Old Style" w:hAnsi="Bookman Old Style"/>
        </w:rPr>
      </w:pPr>
    </w:p>
    <w:p w14:paraId="3C46669C" w14:textId="3F951BE2" w:rsidR="00CA4180" w:rsidRDefault="00E74A13" w:rsidP="00CA4180">
      <w:pPr>
        <w:pStyle w:val="Prrafodelista"/>
        <w:numPr>
          <w:ilvl w:val="0"/>
          <w:numId w:val="33"/>
        </w:numPr>
        <w:tabs>
          <w:tab w:val="left" w:pos="0"/>
          <w:tab w:val="left" w:pos="284"/>
        </w:tabs>
        <w:ind w:left="0" w:firstLine="0"/>
        <w:jc w:val="both"/>
        <w:rPr>
          <w:rFonts w:ascii="Bookman Old Style" w:hAnsi="Bookman Old Style"/>
        </w:rPr>
      </w:pPr>
      <w:r w:rsidRPr="009B443C">
        <w:rPr>
          <w:rFonts w:ascii="Bookman Old Style" w:hAnsi="Bookman Old Style"/>
          <w:b/>
          <w:sz w:val="24"/>
          <w:szCs w:val="24"/>
        </w:rPr>
        <w:t>Condiciones de competencia.</w:t>
      </w:r>
      <w:r w:rsidR="00FF07E5" w:rsidRPr="009B443C">
        <w:rPr>
          <w:rFonts w:ascii="Bookman Old Style" w:hAnsi="Bookman Old Style"/>
          <w:b/>
          <w:sz w:val="24"/>
          <w:szCs w:val="24"/>
        </w:rPr>
        <w:t xml:space="preserve"> </w:t>
      </w:r>
      <w:r w:rsidR="00CA4180" w:rsidRPr="009B135D">
        <w:rPr>
          <w:rFonts w:ascii="Bookman Old Style" w:hAnsi="Bookman Old Style"/>
          <w:sz w:val="24"/>
          <w:szCs w:val="24"/>
        </w:rPr>
        <w:t>La única condición de competencia que se deberá evaluar en la aplicación del mecanismo de subasta de contratos de largo plazo establecido en la Resolución 4</w:t>
      </w:r>
      <w:r w:rsidR="00F01EEE">
        <w:rPr>
          <w:rFonts w:ascii="Bookman Old Style" w:hAnsi="Bookman Old Style"/>
          <w:sz w:val="24"/>
          <w:szCs w:val="24"/>
        </w:rPr>
        <w:t xml:space="preserve"> </w:t>
      </w:r>
      <w:r w:rsidR="00CA4180" w:rsidRPr="009B135D">
        <w:rPr>
          <w:rFonts w:ascii="Bookman Old Style" w:hAnsi="Bookman Old Style"/>
          <w:sz w:val="24"/>
          <w:szCs w:val="24"/>
        </w:rPr>
        <w:t>0590 de 2019</w:t>
      </w:r>
      <w:r w:rsidR="007E2F12">
        <w:rPr>
          <w:rFonts w:ascii="Bookman Old Style" w:hAnsi="Bookman Old Style"/>
          <w:sz w:val="24"/>
          <w:szCs w:val="24"/>
        </w:rPr>
        <w:t xml:space="preserve"> </w:t>
      </w:r>
      <w:r w:rsidR="00BD0A5A">
        <w:rPr>
          <w:rFonts w:ascii="Bookman Old Style" w:hAnsi="Bookman Old Style" w:cs="Arial"/>
          <w:sz w:val="24"/>
          <w:szCs w:val="24"/>
          <w:lang w:val="es-ES_tradnl"/>
        </w:rPr>
        <w:t>modificada por las resoluciones 4 0678 de 2019 y 4</w:t>
      </w:r>
      <w:r w:rsidR="00D3732E">
        <w:rPr>
          <w:rFonts w:ascii="Bookman Old Style" w:hAnsi="Bookman Old Style" w:cs="Arial"/>
          <w:sz w:val="24"/>
          <w:szCs w:val="24"/>
          <w:lang w:val="es-ES_tradnl"/>
        </w:rPr>
        <w:t xml:space="preserve"> </w:t>
      </w:r>
      <w:r w:rsidR="00BD0A5A">
        <w:rPr>
          <w:rFonts w:ascii="Bookman Old Style" w:hAnsi="Bookman Old Style" w:cs="Arial"/>
          <w:sz w:val="24"/>
          <w:szCs w:val="24"/>
          <w:lang w:val="es-ES_tradnl"/>
        </w:rPr>
        <w:t>0141 de 2021</w:t>
      </w:r>
      <w:r w:rsidR="00BD0A5A" w:rsidRPr="00441572">
        <w:rPr>
          <w:rFonts w:ascii="Bookman Old Style" w:hAnsi="Bookman Old Style" w:cs="Arial"/>
          <w:sz w:val="24"/>
          <w:szCs w:val="24"/>
          <w:lang w:val="es-ES_tradnl"/>
        </w:rPr>
        <w:t xml:space="preserve"> del Ministerio de Minas y Energía</w:t>
      </w:r>
      <w:r w:rsidR="00BD0A5A">
        <w:rPr>
          <w:rFonts w:ascii="Bookman Old Style" w:hAnsi="Bookman Old Style"/>
          <w:sz w:val="24"/>
          <w:szCs w:val="24"/>
        </w:rPr>
        <w:t xml:space="preserve"> </w:t>
      </w:r>
      <w:r w:rsidR="00CA4180">
        <w:rPr>
          <w:rFonts w:ascii="Bookman Old Style" w:hAnsi="Bookman Old Style"/>
          <w:sz w:val="24"/>
          <w:szCs w:val="24"/>
        </w:rPr>
        <w:t>es que ningún vendedor en la subasta tenga una participación en la oferta de energía máxima diaria garantizada superior al cuarenta por ciento (40%).</w:t>
      </w:r>
    </w:p>
    <w:p w14:paraId="73DB39F9" w14:textId="77777777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</w:rPr>
      </w:pPr>
    </w:p>
    <w:p w14:paraId="3C4BF45A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w:r>
        <w:rPr>
          <w:rFonts w:ascii="Bookman Old Style" w:hAnsi="Bookman Old Style"/>
          <w:szCs w:val="20"/>
          <w:lang w:val="es-CO"/>
        </w:rPr>
        <w:t>Para el cálculo de la participación en la oferta de energía máxima diaria garantizada de cada vendedor</w:t>
      </w:r>
      <w:r>
        <w:rPr>
          <w:rFonts w:ascii="Bookman Old Style" w:hAnsi="Bookman Old Style"/>
        </w:rPr>
        <w:t xml:space="preserve"> deberán llevarse a cabo los siguientes pasos:</w:t>
      </w:r>
    </w:p>
    <w:p w14:paraId="48E9F3F1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p w14:paraId="524036D2" w14:textId="1361C7D6" w:rsidR="00CA4180" w:rsidRPr="00D22DA3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lang w:val="es-CO"/>
        </w:rPr>
      </w:pPr>
      <w:r w:rsidRPr="005D62A4">
        <w:rPr>
          <w:rFonts w:ascii="Bookman Old Style" w:hAnsi="Bookman Old Style"/>
        </w:rPr>
        <w:t>Paso</w:t>
      </w:r>
      <w:r w:rsidR="009A71EF">
        <w:rPr>
          <w:rFonts w:ascii="Bookman Old Style" w:hAnsi="Bookman Old Style"/>
        </w:rPr>
        <w:t xml:space="preserve"> </w:t>
      </w:r>
      <w:r w:rsidRPr="005D62A4">
        <w:rPr>
          <w:rFonts w:ascii="Bookman Old Style" w:hAnsi="Bookman Old Style"/>
        </w:rPr>
        <w:t xml:space="preserve">1. </w:t>
      </w:r>
      <w:r>
        <w:rPr>
          <w:rFonts w:ascii="Bookman Old Style" w:hAnsi="Bookman Old Style"/>
        </w:rPr>
        <w:t xml:space="preserve">Se identifican los vendedores en la subasta como aquellos </w:t>
      </w:r>
      <w:r w:rsidRPr="00D22DA3">
        <w:rPr>
          <w:rFonts w:ascii="Bookman Old Style" w:hAnsi="Bookman Old Style"/>
          <w:lang w:val="es-CO"/>
        </w:rPr>
        <w:t xml:space="preserve">que han cumplido con los requisitos de precalificación y </w:t>
      </w:r>
      <w:r>
        <w:rPr>
          <w:rFonts w:ascii="Bookman Old Style" w:hAnsi="Bookman Old Style"/>
          <w:lang w:val="es-CO"/>
        </w:rPr>
        <w:t>cuya garantía de seriedad de la oferta, de la que trata el artículo 33 de la Resolución 4</w:t>
      </w:r>
      <w:r w:rsidR="00F01EEE">
        <w:rPr>
          <w:rFonts w:ascii="Bookman Old Style" w:hAnsi="Bookman Old Style"/>
          <w:lang w:val="es-CO"/>
        </w:rPr>
        <w:t xml:space="preserve"> </w:t>
      </w:r>
      <w:r>
        <w:rPr>
          <w:rFonts w:ascii="Bookman Old Style" w:hAnsi="Bookman Old Style"/>
          <w:lang w:val="es-CO"/>
        </w:rPr>
        <w:t xml:space="preserve">0590 de 2019 del Ministerio de Minas y Energía, ha sido aceptada en las condiciones definidas por </w:t>
      </w:r>
      <w:r w:rsidR="002615F1">
        <w:rPr>
          <w:rFonts w:ascii="Bookman Old Style" w:hAnsi="Bookman Old Style"/>
          <w:lang w:val="es-CO"/>
        </w:rPr>
        <w:t>el subastador</w:t>
      </w:r>
      <w:r>
        <w:rPr>
          <w:rFonts w:ascii="Bookman Old Style" w:hAnsi="Bookman Old Style"/>
          <w:lang w:val="es-CO"/>
        </w:rPr>
        <w:t xml:space="preserve"> </w:t>
      </w:r>
      <w:r w:rsidR="00D84AB9">
        <w:rPr>
          <w:rFonts w:ascii="Bookman Old Style" w:hAnsi="Bookman Old Style"/>
          <w:lang w:val="es-CO"/>
        </w:rPr>
        <w:t xml:space="preserve">en </w:t>
      </w:r>
      <w:r>
        <w:rPr>
          <w:rFonts w:ascii="Bookman Old Style" w:hAnsi="Bookman Old Style"/>
          <w:lang w:val="es-CO"/>
        </w:rPr>
        <w:t>el pliego de términos y condiciones específicas</w:t>
      </w:r>
      <w:r w:rsidRPr="00D22DA3">
        <w:rPr>
          <w:rFonts w:ascii="Bookman Old Style" w:hAnsi="Bookman Old Style"/>
          <w:lang w:val="es-CO"/>
        </w:rPr>
        <w:t>.</w:t>
      </w:r>
    </w:p>
    <w:p w14:paraId="04840111" w14:textId="77777777" w:rsidR="00CA4180" w:rsidRPr="00D22DA3" w:rsidRDefault="00CA4180" w:rsidP="00CA4180">
      <w:pPr>
        <w:tabs>
          <w:tab w:val="left" w:pos="284"/>
        </w:tabs>
        <w:jc w:val="both"/>
        <w:rPr>
          <w:rFonts w:ascii="Bookman Old Style" w:hAnsi="Bookman Old Style"/>
          <w:szCs w:val="20"/>
          <w:lang w:val="es-CO"/>
        </w:rPr>
      </w:pPr>
    </w:p>
    <w:p w14:paraId="5729966E" w14:textId="1297EC55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w:r w:rsidRPr="003410C8">
        <w:rPr>
          <w:rFonts w:ascii="Bookman Old Style" w:hAnsi="Bookman Old Style"/>
        </w:rPr>
        <w:t xml:space="preserve">Paso </w:t>
      </w:r>
      <w:r>
        <w:rPr>
          <w:rFonts w:ascii="Bookman Old Style" w:hAnsi="Bookman Old Style"/>
        </w:rPr>
        <w:t>2</w:t>
      </w:r>
      <w:r w:rsidRPr="003410C8">
        <w:rPr>
          <w:rFonts w:ascii="Bookman Old Style" w:hAnsi="Bookman Old Style"/>
        </w:rPr>
        <w:t xml:space="preserve">. </w:t>
      </w:r>
      <w:r w:rsidRPr="00A56AB3">
        <w:rPr>
          <w:rFonts w:ascii="Bookman Old Style" w:hAnsi="Bookman Old Style"/>
          <w:szCs w:val="20"/>
          <w:lang w:val="es-CO"/>
        </w:rPr>
        <w:t>Para cada vendedor</w:t>
      </w:r>
      <w:r>
        <w:rPr>
          <w:rFonts w:ascii="Bookman Old Style" w:hAnsi="Bookman Old Style"/>
          <w:szCs w:val="20"/>
          <w:lang w:val="es-CO"/>
        </w:rPr>
        <w:t xml:space="preserve"> identificado en el Paso 1,</w:t>
      </w:r>
      <w:r w:rsidRPr="00A56AB3">
        <w:rPr>
          <w:rFonts w:ascii="Bookman Old Style" w:hAnsi="Bookman Old Style"/>
          <w:szCs w:val="20"/>
          <w:lang w:val="es-CO"/>
        </w:rPr>
        <w:t xml:space="preserve"> </w:t>
      </w:r>
      <w:r>
        <w:rPr>
          <w:rFonts w:ascii="Bookman Old Style" w:hAnsi="Bookman Old Style"/>
          <w:szCs w:val="20"/>
          <w:lang w:val="es-CO"/>
        </w:rPr>
        <w:t xml:space="preserve">se determina </w:t>
      </w:r>
      <w:r w:rsidRPr="00A56AB3">
        <w:rPr>
          <w:rFonts w:ascii="Bookman Old Style" w:hAnsi="Bookman Old Style"/>
          <w:szCs w:val="20"/>
          <w:lang w:val="es-CO"/>
        </w:rPr>
        <w:t>la cantidad máxima de energía disponible</w:t>
      </w:r>
      <w:r>
        <w:rPr>
          <w:rFonts w:ascii="Bookman Old Style" w:hAnsi="Bookman Old Style"/>
          <w:szCs w:val="20"/>
          <w:lang w:val="es-CO"/>
        </w:rPr>
        <w:t xml:space="preserve"> a vender expresada en kilovatios hora día (kWh-día). Esta corresponde a la energía</w:t>
      </w:r>
      <w:r w:rsidRPr="00A56AB3">
        <w:rPr>
          <w:rFonts w:ascii="Bookman Old Style" w:hAnsi="Bookman Old Style"/>
          <w:szCs w:val="20"/>
          <w:lang w:val="es-CO"/>
        </w:rPr>
        <w:t xml:space="preserve"> disponible</w:t>
      </w:r>
      <w:r>
        <w:rPr>
          <w:rFonts w:ascii="Bookman Old Style" w:hAnsi="Bookman Old Style"/>
          <w:szCs w:val="20"/>
          <w:lang w:val="es-CO"/>
        </w:rPr>
        <w:t xml:space="preserve"> a vender </w:t>
      </w:r>
      <w:r w:rsidR="004822DB">
        <w:rPr>
          <w:rFonts w:ascii="Bookman Old Style" w:hAnsi="Bookman Old Style"/>
          <w:szCs w:val="20"/>
          <w:lang w:val="es-CO"/>
        </w:rPr>
        <w:t>presentada</w:t>
      </w:r>
      <w:r>
        <w:rPr>
          <w:rFonts w:ascii="Bookman Old Style" w:hAnsi="Bookman Old Style"/>
          <w:szCs w:val="20"/>
          <w:lang w:val="es-CO"/>
        </w:rPr>
        <w:t xml:space="preserve"> por cada vendedor, de acuerdo con los pliegos de términos y condiciones específicas definidos por </w:t>
      </w:r>
      <w:r w:rsidR="00166B7E">
        <w:rPr>
          <w:rFonts w:ascii="Bookman Old Style" w:hAnsi="Bookman Old Style"/>
          <w:szCs w:val="20"/>
          <w:lang w:val="es-CO"/>
        </w:rPr>
        <w:t>el subastador</w:t>
      </w:r>
      <w:r>
        <w:rPr>
          <w:rFonts w:ascii="Bookman Old Style" w:hAnsi="Bookman Old Style"/>
          <w:szCs w:val="20"/>
          <w:lang w:val="es-CO"/>
        </w:rPr>
        <w:t>.</w:t>
      </w:r>
    </w:p>
    <w:p w14:paraId="717CEF12" w14:textId="77777777" w:rsidR="00CA4180" w:rsidRPr="0070411D" w:rsidRDefault="00CA4180" w:rsidP="00CA4180">
      <w:pPr>
        <w:tabs>
          <w:tab w:val="left" w:pos="284"/>
        </w:tabs>
        <w:jc w:val="both"/>
        <w:rPr>
          <w:rFonts w:ascii="Bookman Old Style" w:hAnsi="Bookman Old Style"/>
          <w:lang w:val="es-CO"/>
        </w:rPr>
      </w:pPr>
    </w:p>
    <w:p w14:paraId="60EC8211" w14:textId="1F4B6F40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w:r w:rsidRPr="009B135D">
        <w:rPr>
          <w:rFonts w:ascii="Bookman Old Style" w:hAnsi="Bookman Old Style"/>
        </w:rPr>
        <w:t xml:space="preserve">Paso 3. </w:t>
      </w:r>
      <w:r w:rsidRPr="003410C8">
        <w:rPr>
          <w:rFonts w:ascii="Bookman Old Style" w:hAnsi="Bookman Old Style"/>
          <w:szCs w:val="20"/>
          <w:lang w:val="es-CO"/>
        </w:rPr>
        <w:t xml:space="preserve">Se identifican los vendedores con un </w:t>
      </w:r>
      <w:proofErr w:type="gramStart"/>
      <w:r w:rsidRPr="003410C8">
        <w:rPr>
          <w:rFonts w:ascii="Bookman Old Style" w:hAnsi="Bookman Old Style"/>
          <w:szCs w:val="20"/>
          <w:lang w:val="es-CO"/>
        </w:rPr>
        <w:t>mismo controlante</w:t>
      </w:r>
      <w:proofErr w:type="gramEnd"/>
      <w:r w:rsidR="00253B8B">
        <w:rPr>
          <w:rFonts w:ascii="Bookman Old Style" w:hAnsi="Bookman Old Style"/>
          <w:szCs w:val="20"/>
          <w:lang w:val="es-CO"/>
        </w:rPr>
        <w:t>,</w:t>
      </w:r>
      <w:r w:rsidRPr="003410C8">
        <w:rPr>
          <w:rFonts w:ascii="Bookman Old Style" w:hAnsi="Bookman Old Style"/>
          <w:szCs w:val="20"/>
          <w:lang w:val="es-CO"/>
        </w:rPr>
        <w:t xml:space="preserve"> o entre los que exista situación de control. Todos los vendedores que tengan un </w:t>
      </w:r>
      <w:proofErr w:type="gramStart"/>
      <w:r w:rsidRPr="003410C8">
        <w:rPr>
          <w:rFonts w:ascii="Bookman Old Style" w:hAnsi="Bookman Old Style"/>
          <w:szCs w:val="20"/>
          <w:lang w:val="es-CO"/>
        </w:rPr>
        <w:t>mismo controlante</w:t>
      </w:r>
      <w:proofErr w:type="gramEnd"/>
      <w:r w:rsidR="00253B8B">
        <w:rPr>
          <w:rFonts w:ascii="Bookman Old Style" w:hAnsi="Bookman Old Style"/>
          <w:szCs w:val="20"/>
          <w:lang w:val="es-CO"/>
        </w:rPr>
        <w:t>,</w:t>
      </w:r>
      <w:r w:rsidRPr="003410C8">
        <w:rPr>
          <w:rFonts w:ascii="Bookman Old Style" w:hAnsi="Bookman Old Style"/>
          <w:szCs w:val="20"/>
          <w:lang w:val="es-CO"/>
        </w:rPr>
        <w:t xml:space="preserve"> o entre los que exista una situación de control</w:t>
      </w:r>
      <w:r w:rsidR="00253B8B">
        <w:rPr>
          <w:rFonts w:ascii="Bookman Old Style" w:hAnsi="Bookman Old Style"/>
          <w:szCs w:val="20"/>
          <w:lang w:val="es-CO"/>
        </w:rPr>
        <w:t>,</w:t>
      </w:r>
      <w:r w:rsidRPr="003410C8">
        <w:rPr>
          <w:rFonts w:ascii="Bookman Old Style" w:hAnsi="Bookman Old Style"/>
          <w:szCs w:val="20"/>
          <w:lang w:val="es-CO"/>
        </w:rPr>
        <w:t xml:space="preserve"> serán </w:t>
      </w:r>
      <w:r>
        <w:rPr>
          <w:rFonts w:ascii="Bookman Old Style" w:hAnsi="Bookman Old Style"/>
          <w:szCs w:val="20"/>
          <w:lang w:val="es-CO"/>
        </w:rPr>
        <w:t xml:space="preserve">tenidos en cuenta para la determinación de la energía máxima disponible a vender </w:t>
      </w:r>
      <w:r w:rsidRPr="003410C8">
        <w:rPr>
          <w:rFonts w:ascii="Bookman Old Style" w:hAnsi="Bookman Old Style"/>
          <w:szCs w:val="20"/>
          <w:lang w:val="es-CO"/>
        </w:rPr>
        <w:t>como un (1) solo vendedor.</w:t>
      </w:r>
      <w:r>
        <w:rPr>
          <w:rFonts w:ascii="Bookman Old Style" w:hAnsi="Bookman Old Style"/>
          <w:szCs w:val="20"/>
          <w:lang w:val="es-CO"/>
        </w:rPr>
        <w:t xml:space="preserve"> </w:t>
      </w:r>
    </w:p>
    <w:p w14:paraId="6C46C22E" w14:textId="77777777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p w14:paraId="71945026" w14:textId="57B51FDC" w:rsidR="00CA4180" w:rsidRPr="009B135D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Cs w:val="20"/>
          <w:lang w:val="es-CO"/>
        </w:rPr>
        <w:t xml:space="preserve">Paso 4. La energía máxima disponible a vender para los vendedores del Paso 3 será la suma de las cantidades máximas de energía disponible a vender de los vendedores con un </w:t>
      </w:r>
      <w:proofErr w:type="gramStart"/>
      <w:r>
        <w:rPr>
          <w:rFonts w:ascii="Bookman Old Style" w:hAnsi="Bookman Old Style"/>
          <w:szCs w:val="20"/>
          <w:lang w:val="es-CO"/>
        </w:rPr>
        <w:t>mismo controlante</w:t>
      </w:r>
      <w:proofErr w:type="gramEnd"/>
      <w:r w:rsidR="00253B8B">
        <w:rPr>
          <w:rFonts w:ascii="Bookman Old Style" w:hAnsi="Bookman Old Style"/>
          <w:szCs w:val="20"/>
          <w:lang w:val="es-CO"/>
        </w:rPr>
        <w:t>,</w:t>
      </w:r>
      <w:r>
        <w:rPr>
          <w:rFonts w:ascii="Bookman Old Style" w:hAnsi="Bookman Old Style"/>
          <w:szCs w:val="20"/>
          <w:lang w:val="es-CO"/>
        </w:rPr>
        <w:t xml:space="preserve"> o entre quienes exista situación de control. Para aquellos vendedores que no tienen el </w:t>
      </w:r>
      <w:proofErr w:type="gramStart"/>
      <w:r>
        <w:rPr>
          <w:rFonts w:ascii="Bookman Old Style" w:hAnsi="Bookman Old Style"/>
          <w:szCs w:val="20"/>
          <w:lang w:val="es-CO"/>
        </w:rPr>
        <w:t>mismo controlante</w:t>
      </w:r>
      <w:proofErr w:type="gramEnd"/>
      <w:r w:rsidR="00253B8B">
        <w:rPr>
          <w:rFonts w:ascii="Bookman Old Style" w:hAnsi="Bookman Old Style"/>
          <w:szCs w:val="20"/>
          <w:lang w:val="es-CO"/>
        </w:rPr>
        <w:t>,</w:t>
      </w:r>
      <w:r>
        <w:rPr>
          <w:rFonts w:ascii="Bookman Old Style" w:hAnsi="Bookman Old Style"/>
          <w:szCs w:val="20"/>
          <w:lang w:val="es-CO"/>
        </w:rPr>
        <w:t xml:space="preserve"> o que no están en situación de control con otros vendedores, la energía máxima disponible a vender será la identificada en el Paso 2.</w:t>
      </w:r>
    </w:p>
    <w:p w14:paraId="61D3C24E" w14:textId="77777777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</w:rPr>
      </w:pPr>
    </w:p>
    <w:p w14:paraId="13D217F6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Paso 5. Se calcula la participación</w:t>
      </w:r>
      <w:r w:rsidRPr="003410C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en la oferta de energía máxima diaria garantizada </w:t>
      </w:r>
      <w:r w:rsidRPr="003410C8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cada</w:t>
      </w:r>
      <w:r w:rsidRPr="003410C8">
        <w:rPr>
          <w:rFonts w:ascii="Bookman Old Style" w:hAnsi="Bookman Old Style"/>
        </w:rPr>
        <w:t xml:space="preserve"> vendedor</w:t>
      </w:r>
      <w:r>
        <w:rPr>
          <w:rFonts w:ascii="Bookman Old Style" w:hAnsi="Bookman Old Style"/>
        </w:rPr>
        <w:t>, a</w:t>
      </w:r>
      <w:r w:rsidRPr="003410C8">
        <w:rPr>
          <w:rFonts w:ascii="Bookman Old Style" w:hAnsi="Bookman Old Style"/>
        </w:rPr>
        <w:t xml:space="preserve"> partir de la siguiente expresión:</w:t>
      </w:r>
    </w:p>
    <w:p w14:paraId="7DEDE1E0" w14:textId="77777777" w:rsidR="00CA4180" w:rsidRPr="003410C8" w:rsidRDefault="00CA4180" w:rsidP="00CA4180">
      <w:pPr>
        <w:pStyle w:val="Prrafodelista"/>
        <w:tabs>
          <w:tab w:val="left" w:pos="284"/>
        </w:tabs>
        <w:ind w:left="720"/>
        <w:jc w:val="both"/>
        <w:rPr>
          <w:rFonts w:ascii="Bookman Old Style" w:hAnsi="Bookman Old Style"/>
          <w:sz w:val="24"/>
        </w:rPr>
      </w:pPr>
    </w:p>
    <w:p w14:paraId="29FF4058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m:oMathPara>
        <m:oMath>
          <m:r>
            <w:rPr>
              <w:rFonts w:ascii="Cambria Math" w:hAnsi="Cambria Math"/>
              <w:szCs w:val="20"/>
              <w:lang w:val="es-CO"/>
            </w:rPr>
            <w:lastRenderedPageBreak/>
            <m:t>P</m:t>
          </m:r>
          <m:sSub>
            <m:sSubPr>
              <m:ctrlPr>
                <w:rPr>
                  <w:rFonts w:ascii="Cambria Math" w:hAnsi="Cambria Math"/>
                  <w:i/>
                  <w:szCs w:val="20"/>
                  <w:lang w:val="es-CO"/>
                </w:rPr>
              </m:ctrlPr>
            </m:sSubPr>
            <m:e>
              <m:r>
                <w:rPr>
                  <w:rFonts w:ascii="Cambria Math" w:hAnsi="Cambria Math"/>
                  <w:szCs w:val="20"/>
                  <w:lang w:val="es-CO"/>
                </w:rPr>
                <m:t>EMD</m:t>
              </m:r>
            </m:e>
            <m:sub>
              <m:r>
                <w:rPr>
                  <w:rFonts w:ascii="Cambria Math" w:hAnsi="Cambria Math"/>
                  <w:szCs w:val="20"/>
                  <w:lang w:val="es-CO"/>
                </w:rPr>
                <m:t>i</m:t>
              </m:r>
            </m:sub>
          </m:sSub>
          <m:r>
            <w:rPr>
              <w:rFonts w:ascii="Cambria Math" w:hAnsi="Cambria Math"/>
              <w:szCs w:val="20"/>
              <w:lang w:val="es-CO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0"/>
                  <w:lang w:val="es-CO"/>
                </w:rPr>
              </m:ctrlPr>
            </m:fPr>
            <m:num>
              <m:r>
                <w:rPr>
                  <w:rFonts w:ascii="Cambria Math" w:hAnsi="Cambria Math"/>
                  <w:szCs w:val="20"/>
                  <w:lang w:val="es-CO"/>
                </w:rPr>
                <m:t>E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  <w:lang w:val="es-CO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s-C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0"/>
                      <w:lang w:val="es-CO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0"/>
                      <w:lang w:val="es-CO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  <w:lang w:val="es-CO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/>
                      <w:szCs w:val="20"/>
                      <w:lang w:val="es-CO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  <w:lang w:val="es-C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  <w:lang w:val="es-C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  <w:lang w:val="es-CO"/>
                        </w:rPr>
                        <m:t>j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/>
              <w:szCs w:val="20"/>
              <w:lang w:val="es-CO"/>
            </w:rPr>
            <m:t>*100%</m:t>
          </m:r>
        </m:oMath>
      </m:oMathPara>
    </w:p>
    <w:p w14:paraId="40542E16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p w14:paraId="7878CBB8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w:r w:rsidRPr="003410C8">
        <w:rPr>
          <w:rFonts w:ascii="Bookman Old Style" w:hAnsi="Bookman Old Style"/>
          <w:szCs w:val="20"/>
          <w:lang w:val="es-CO"/>
        </w:rPr>
        <w:t>Donde:</w:t>
      </w:r>
    </w:p>
    <w:p w14:paraId="4D2C47DB" w14:textId="77777777" w:rsidR="00CA4180" w:rsidRPr="003410C8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217"/>
      </w:tblGrid>
      <w:tr w:rsidR="00CA4180" w:rsidRPr="003410C8" w14:paraId="5BE00483" w14:textId="77777777" w:rsidTr="00C31AD8">
        <w:tc>
          <w:tcPr>
            <w:tcW w:w="1129" w:type="dxa"/>
          </w:tcPr>
          <w:p w14:paraId="36CD79B2" w14:textId="77777777" w:rsidR="00CA4180" w:rsidRPr="003410C8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m:oMath>
              <m:r>
                <w:rPr>
                  <w:rFonts w:ascii="Cambria Math" w:hAnsi="Cambria Math"/>
                  <w:szCs w:val="20"/>
                  <w:lang w:val="es-CO"/>
                </w:rPr>
                <m:t>PEM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  <w:lang w:val="es-CO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s-CO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  <w:szCs w:val="20"/>
                      <w:lang w:val="es-CO"/>
                    </w:rPr>
                    <m:t>i</m:t>
                  </m:r>
                </m:sub>
              </m:sSub>
            </m:oMath>
            <w:r w:rsidRPr="003410C8">
              <w:rPr>
                <w:rFonts w:ascii="Bookman Old Style" w:hAnsi="Bookman Old Style"/>
                <w:szCs w:val="20"/>
                <w:lang w:val="es-CO"/>
              </w:rPr>
              <w:t>:</w:t>
            </w:r>
          </w:p>
        </w:tc>
        <w:tc>
          <w:tcPr>
            <w:tcW w:w="8217" w:type="dxa"/>
          </w:tcPr>
          <w:p w14:paraId="03C2730A" w14:textId="77777777" w:rsidR="00CA4180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w:r w:rsidRPr="003410C8">
              <w:rPr>
                <w:rFonts w:ascii="Bookman Old Style" w:hAnsi="Bookman Old Style"/>
                <w:szCs w:val="20"/>
                <w:lang w:val="es-CO"/>
              </w:rPr>
              <w:t>Participación en la oferta de</w:t>
            </w:r>
            <w:r>
              <w:rPr>
                <w:rFonts w:ascii="Bookman Old Style" w:hAnsi="Bookman Old Style"/>
                <w:szCs w:val="20"/>
                <w:lang w:val="es-CO"/>
              </w:rPr>
              <w:t xml:space="preserve"> energía máxima</w:t>
            </w:r>
            <w:r w:rsidRPr="003410C8">
              <w:rPr>
                <w:rFonts w:ascii="Bookman Old Style" w:hAnsi="Bookman Old Style"/>
                <w:szCs w:val="20"/>
                <w:lang w:val="es-CO"/>
              </w:rPr>
              <w:t xml:space="preserve"> </w:t>
            </w:r>
            <w:r>
              <w:rPr>
                <w:rFonts w:ascii="Bookman Old Style" w:hAnsi="Bookman Old Style"/>
                <w:szCs w:val="20"/>
                <w:lang w:val="es-CO"/>
              </w:rPr>
              <w:t xml:space="preserve">diaria garantizada del </w:t>
            </w:r>
            <w:r w:rsidRPr="003410C8">
              <w:rPr>
                <w:rFonts w:ascii="Bookman Old Style" w:hAnsi="Bookman Old Style"/>
                <w:szCs w:val="20"/>
                <w:lang w:val="es-CO"/>
              </w:rPr>
              <w:t xml:space="preserve">vendedor </w:t>
            </w:r>
            <w:r w:rsidRPr="003410C8">
              <w:rPr>
                <w:rFonts w:ascii="Bookman Old Style" w:hAnsi="Bookman Old Style"/>
                <w:i/>
                <w:szCs w:val="20"/>
                <w:lang w:val="es-CO"/>
              </w:rPr>
              <w:t>i</w:t>
            </w:r>
            <w:r w:rsidRPr="003410C8">
              <w:rPr>
                <w:rFonts w:ascii="Bookman Old Style" w:hAnsi="Bookman Old Style"/>
                <w:szCs w:val="20"/>
                <w:lang w:val="es-CO"/>
              </w:rPr>
              <w:t>.</w:t>
            </w:r>
            <w:r>
              <w:rPr>
                <w:rFonts w:ascii="Bookman Old Style" w:hAnsi="Bookman Old Style"/>
                <w:szCs w:val="20"/>
                <w:lang w:val="es-CO"/>
              </w:rPr>
              <w:t xml:space="preserve"> La participación en la oferta de energía máxima diaria garantizada de cada vendedor toma valores positivos hasta un máximo de cien por ciento (100%). </w:t>
            </w:r>
          </w:p>
          <w:p w14:paraId="55C40426" w14:textId="77777777" w:rsidR="00CA4180" w:rsidRPr="003410C8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</w:p>
        </w:tc>
      </w:tr>
      <w:tr w:rsidR="00CA4180" w:rsidRPr="003410C8" w14:paraId="7495C9AD" w14:textId="77777777" w:rsidTr="00C31AD8">
        <w:tc>
          <w:tcPr>
            <w:tcW w:w="1129" w:type="dxa"/>
          </w:tcPr>
          <w:p w14:paraId="3C1A0635" w14:textId="77777777" w:rsidR="00CA4180" w:rsidRDefault="00CA4180" w:rsidP="00C31AD8">
            <w:pPr>
              <w:tabs>
                <w:tab w:val="left" w:pos="284"/>
              </w:tabs>
              <w:ind w:left="0"/>
              <w:jc w:val="both"/>
              <w:rPr>
                <w:szCs w:val="20"/>
                <w:lang w:val="es-CO"/>
              </w:rPr>
            </w:pPr>
          </w:p>
          <w:p w14:paraId="4D6CF951" w14:textId="77777777" w:rsidR="00CA4180" w:rsidRPr="003E4421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m:oMath>
              <m:r>
                <w:rPr>
                  <w:rFonts w:ascii="Cambria Math" w:hAnsi="Cambria Math"/>
                  <w:szCs w:val="20"/>
                  <w:lang w:val="es-CO"/>
                </w:rPr>
                <m:t>E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0"/>
                      <w:lang w:val="es-CO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s-C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Cs w:val="20"/>
                      <w:lang w:val="es-CO"/>
                    </w:rPr>
                    <m:t>i</m:t>
                  </m:r>
                </m:sub>
              </m:sSub>
            </m:oMath>
            <w:r w:rsidRPr="003E4421">
              <w:rPr>
                <w:rFonts w:ascii="Bookman Old Style" w:hAnsi="Bookman Old Style"/>
                <w:szCs w:val="20"/>
                <w:lang w:val="es-CO"/>
              </w:rPr>
              <w:t>:</w:t>
            </w:r>
          </w:p>
        </w:tc>
        <w:tc>
          <w:tcPr>
            <w:tcW w:w="8217" w:type="dxa"/>
          </w:tcPr>
          <w:p w14:paraId="68A57F00" w14:textId="77777777" w:rsidR="00CA4180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w:r w:rsidRPr="003E4421">
              <w:rPr>
                <w:rFonts w:ascii="Bookman Old Style" w:hAnsi="Bookman Old Style"/>
                <w:szCs w:val="20"/>
                <w:lang w:val="es-CO"/>
              </w:rPr>
              <w:t xml:space="preserve">Cantidad máxima de energía disponible a vender </w:t>
            </w:r>
            <w:r>
              <w:rPr>
                <w:rFonts w:ascii="Bookman Old Style" w:hAnsi="Bookman Old Style"/>
                <w:szCs w:val="20"/>
                <w:lang w:val="es-CO"/>
              </w:rPr>
              <w:t>de</w:t>
            </w:r>
            <w:r w:rsidRPr="003E4421">
              <w:rPr>
                <w:rFonts w:ascii="Bookman Old Style" w:hAnsi="Bookman Old Style"/>
                <w:szCs w:val="20"/>
                <w:lang w:val="es-CO"/>
              </w:rPr>
              <w:t xml:space="preserve">l vendedor </w:t>
            </w:r>
            <w:r w:rsidRPr="003E4421">
              <w:rPr>
                <w:rFonts w:ascii="Bookman Old Style" w:hAnsi="Bookman Old Style"/>
                <w:i/>
                <w:szCs w:val="20"/>
                <w:lang w:val="es-CO"/>
              </w:rPr>
              <w:t>i</w:t>
            </w:r>
            <w:r w:rsidRPr="003E4421">
              <w:rPr>
                <w:rFonts w:ascii="Bookman Old Style" w:hAnsi="Bookman Old Style"/>
                <w:szCs w:val="20"/>
                <w:lang w:val="es-CO"/>
              </w:rPr>
              <w:t xml:space="preserve"> </w:t>
            </w:r>
            <w:r>
              <w:rPr>
                <w:rFonts w:ascii="Bookman Old Style" w:hAnsi="Bookman Old Style"/>
                <w:szCs w:val="20"/>
                <w:lang w:val="es-CO"/>
              </w:rPr>
              <w:t>determinada en el Paso 4,</w:t>
            </w:r>
            <w:r w:rsidRPr="003E4421">
              <w:rPr>
                <w:rFonts w:ascii="Bookman Old Style" w:hAnsi="Bookman Old Style"/>
                <w:szCs w:val="20"/>
                <w:lang w:val="es-CO"/>
              </w:rPr>
              <w:t xml:space="preserve"> expresada en kilovatios hora-día (kWh-día)</w:t>
            </w:r>
            <w:r>
              <w:rPr>
                <w:rFonts w:ascii="Bookman Old Style" w:hAnsi="Bookman Old Style"/>
                <w:szCs w:val="20"/>
                <w:lang w:val="es-CO"/>
              </w:rPr>
              <w:t>.</w:t>
            </w:r>
          </w:p>
          <w:p w14:paraId="30061664" w14:textId="77777777" w:rsidR="00CA4180" w:rsidRPr="003E4421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</w:p>
        </w:tc>
      </w:tr>
      <w:tr w:rsidR="00CA4180" w:rsidRPr="003410C8" w14:paraId="4096DBCB" w14:textId="77777777" w:rsidTr="00C31AD8">
        <w:trPr>
          <w:trHeight w:val="76"/>
        </w:trPr>
        <w:tc>
          <w:tcPr>
            <w:tcW w:w="1129" w:type="dxa"/>
          </w:tcPr>
          <w:p w14:paraId="3166D966" w14:textId="77777777" w:rsidR="00CA4180" w:rsidRPr="003410C8" w:rsidRDefault="00943514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Cs w:val="20"/>
                      <w:lang w:val="es-CO"/>
                    </w:rPr>
                  </m:ctrlPr>
                </m:naryPr>
                <m:sub>
                  <m:r>
                    <w:rPr>
                      <w:rFonts w:ascii="Cambria Math" w:hAnsi="Cambria Math"/>
                      <w:szCs w:val="20"/>
                      <w:lang w:val="es-CO"/>
                    </w:rPr>
                    <m:t>j</m:t>
                  </m:r>
                </m:sub>
                <m:sup/>
                <m:e>
                  <m:r>
                    <w:rPr>
                      <w:rFonts w:ascii="Cambria Math" w:hAnsi="Cambria Math"/>
                      <w:szCs w:val="20"/>
                      <w:lang w:val="es-CO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0"/>
                          <w:lang w:val="es-C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0"/>
                          <w:lang w:val="es-C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Cs w:val="20"/>
                          <w:lang w:val="es-CO"/>
                        </w:rPr>
                        <m:t>j</m:t>
                      </m:r>
                    </m:sub>
                  </m:sSub>
                </m:e>
              </m:nary>
            </m:oMath>
            <w:r w:rsidR="00CA4180" w:rsidRPr="003410C8">
              <w:rPr>
                <w:rFonts w:ascii="Bookman Old Style" w:hAnsi="Bookman Old Style"/>
                <w:szCs w:val="20"/>
                <w:lang w:val="es-CO"/>
              </w:rPr>
              <w:t>:</w:t>
            </w:r>
          </w:p>
        </w:tc>
        <w:tc>
          <w:tcPr>
            <w:tcW w:w="8217" w:type="dxa"/>
          </w:tcPr>
          <w:p w14:paraId="51AEF918" w14:textId="449CFDFB" w:rsidR="00CA4180" w:rsidRPr="003410C8" w:rsidRDefault="00CA4180" w:rsidP="00C31AD8">
            <w:pPr>
              <w:tabs>
                <w:tab w:val="left" w:pos="284"/>
              </w:tabs>
              <w:ind w:left="0"/>
              <w:jc w:val="both"/>
              <w:rPr>
                <w:rFonts w:ascii="Bookman Old Style" w:hAnsi="Bookman Old Style"/>
                <w:szCs w:val="20"/>
                <w:lang w:val="es-CO"/>
              </w:rPr>
            </w:pPr>
            <w:r w:rsidRPr="003410C8">
              <w:rPr>
                <w:rFonts w:ascii="Bookman Old Style" w:hAnsi="Bookman Old Style"/>
                <w:szCs w:val="20"/>
                <w:lang w:val="es-CO"/>
              </w:rPr>
              <w:t>Sumatoria de la</w:t>
            </w:r>
            <w:r>
              <w:rPr>
                <w:rFonts w:ascii="Bookman Old Style" w:hAnsi="Bookman Old Style"/>
                <w:szCs w:val="20"/>
                <w:lang w:val="es-CO"/>
              </w:rPr>
              <w:t xml:space="preserve">s cantidades máximas de energía disponibles a vender informadas por los </w:t>
            </w:r>
            <w:r>
              <w:rPr>
                <w:rFonts w:ascii="Bookman Old Style" w:hAnsi="Bookman Old Style"/>
                <w:i/>
                <w:szCs w:val="20"/>
                <w:lang w:val="es-CO"/>
              </w:rPr>
              <w:t>j</w:t>
            </w:r>
            <w:r>
              <w:rPr>
                <w:rFonts w:ascii="Bookman Old Style" w:hAnsi="Bookman Old Style"/>
                <w:szCs w:val="20"/>
                <w:lang w:val="es-CO"/>
              </w:rPr>
              <w:t xml:space="preserve"> vendedores identificadas en el Paso 4.</w:t>
            </w:r>
          </w:p>
        </w:tc>
      </w:tr>
    </w:tbl>
    <w:p w14:paraId="767ADEEC" w14:textId="77777777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p w14:paraId="62C6FE51" w14:textId="77777777" w:rsidR="00CA4180" w:rsidRPr="00045037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</w:rPr>
      </w:pPr>
      <w:r w:rsidRPr="00045037">
        <w:rPr>
          <w:rFonts w:ascii="Bookman Old Style" w:hAnsi="Bookman Old Style"/>
        </w:rPr>
        <w:t xml:space="preserve">Paso </w:t>
      </w:r>
      <w:r>
        <w:rPr>
          <w:rFonts w:ascii="Bookman Old Style" w:hAnsi="Bookman Old Style"/>
        </w:rPr>
        <w:t>6</w:t>
      </w:r>
      <w:r w:rsidRPr="00045037">
        <w:rPr>
          <w:rFonts w:ascii="Bookman Old Style" w:hAnsi="Bookman Old Style"/>
        </w:rPr>
        <w:t>. A partir de las participaciones en la oferta</w:t>
      </w:r>
      <w:r>
        <w:rPr>
          <w:rFonts w:ascii="Bookman Old Style" w:hAnsi="Bookman Old Style"/>
        </w:rPr>
        <w:t xml:space="preserve"> de energía máxima diaria garantizada</w:t>
      </w:r>
      <w:r w:rsidRPr="00045037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</w:rPr>
          <m:t>(P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EMD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ascii="Bookman Old Style" w:hAnsi="Bookman Old Style"/>
        </w:rPr>
        <w:t>)</w:t>
      </w:r>
      <w:r w:rsidRPr="00045037">
        <w:rPr>
          <w:rFonts w:ascii="Bookman Old Style" w:hAnsi="Bookman Old Style"/>
        </w:rPr>
        <w:t xml:space="preserve"> calculadas en el </w:t>
      </w:r>
      <w:r>
        <w:rPr>
          <w:rFonts w:ascii="Bookman Old Style" w:hAnsi="Bookman Old Style"/>
        </w:rPr>
        <w:t>P</w:t>
      </w:r>
      <w:r w:rsidRPr="00045037">
        <w:rPr>
          <w:rFonts w:ascii="Bookman Old Style" w:hAnsi="Bookman Old Style"/>
        </w:rPr>
        <w:t xml:space="preserve">aso </w:t>
      </w:r>
      <w:r>
        <w:rPr>
          <w:rFonts w:ascii="Bookman Old Style" w:hAnsi="Bookman Old Style"/>
        </w:rPr>
        <w:t>5</w:t>
      </w:r>
      <w:r w:rsidRPr="00045037">
        <w:rPr>
          <w:rFonts w:ascii="Bookman Old Style" w:hAnsi="Bookman Old Style"/>
        </w:rPr>
        <w:t xml:space="preserve">, se </w:t>
      </w:r>
      <w:r>
        <w:rPr>
          <w:rFonts w:ascii="Bookman Old Style" w:hAnsi="Bookman Old Style"/>
        </w:rPr>
        <w:t xml:space="preserve">verifica que ningún vendedor </w:t>
      </w:r>
      <w:r w:rsidRPr="00045037">
        <w:rPr>
          <w:rFonts w:ascii="Bookman Old Style" w:hAnsi="Bookman Old Style"/>
        </w:rPr>
        <w:t xml:space="preserve">tenga una participación </w:t>
      </w:r>
      <w:r>
        <w:rPr>
          <w:rFonts w:ascii="Bookman Old Style" w:hAnsi="Bookman Old Style"/>
        </w:rPr>
        <w:t>superior al 40%.</w:t>
      </w:r>
    </w:p>
    <w:p w14:paraId="07174990" w14:textId="77777777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</w:p>
    <w:p w14:paraId="236DCE83" w14:textId="148C4B5C" w:rsidR="00CA4180" w:rsidRDefault="00CA4180" w:rsidP="00CA4180">
      <w:pPr>
        <w:tabs>
          <w:tab w:val="left" w:pos="284"/>
        </w:tabs>
        <w:ind w:left="0"/>
        <w:jc w:val="both"/>
        <w:rPr>
          <w:rFonts w:ascii="Bookman Old Style" w:hAnsi="Bookman Old Style"/>
          <w:szCs w:val="20"/>
          <w:lang w:val="es-CO"/>
        </w:rPr>
      </w:pPr>
      <w:r>
        <w:rPr>
          <w:rFonts w:ascii="Bookman Old Style" w:hAnsi="Bookman Old Style"/>
          <w:szCs w:val="20"/>
          <w:lang w:val="es-CO"/>
        </w:rPr>
        <w:t>Se entenderá como cumplida la condición de competencia</w:t>
      </w:r>
      <w:r w:rsidRPr="003410C8">
        <w:rPr>
          <w:rFonts w:ascii="Bookman Old Style" w:hAnsi="Bookman Old Style"/>
          <w:szCs w:val="20"/>
          <w:lang w:val="es-CO"/>
        </w:rPr>
        <w:t xml:space="preserve"> si</w:t>
      </w:r>
      <w:r w:rsidR="00253B8B">
        <w:rPr>
          <w:rFonts w:ascii="Bookman Old Style" w:hAnsi="Bookman Old Style"/>
          <w:szCs w:val="20"/>
          <w:lang w:val="es-CO"/>
        </w:rPr>
        <w:t>,</w:t>
      </w:r>
      <w:r w:rsidRPr="003410C8">
        <w:rPr>
          <w:rFonts w:ascii="Bookman Old Style" w:hAnsi="Bookman Old Style"/>
          <w:szCs w:val="20"/>
          <w:lang w:val="es-CO"/>
        </w:rPr>
        <w:t xml:space="preserve"> después de surtido el proceso descrito anteriormente</w:t>
      </w:r>
      <w:r w:rsidR="00253B8B">
        <w:rPr>
          <w:rFonts w:ascii="Bookman Old Style" w:hAnsi="Bookman Old Style"/>
          <w:szCs w:val="20"/>
          <w:lang w:val="es-CO"/>
        </w:rPr>
        <w:t>,</w:t>
      </w:r>
      <w:r w:rsidRPr="003410C8">
        <w:rPr>
          <w:rFonts w:ascii="Bookman Old Style" w:hAnsi="Bookman Old Style"/>
          <w:szCs w:val="20"/>
          <w:lang w:val="es-CO"/>
        </w:rPr>
        <w:t xml:space="preserve"> se encuentra que </w:t>
      </w:r>
      <w:r>
        <w:rPr>
          <w:rFonts w:ascii="Bookman Old Style" w:hAnsi="Bookman Old Style"/>
          <w:szCs w:val="20"/>
          <w:lang w:val="es-CO"/>
        </w:rPr>
        <w:t xml:space="preserve">la participación en la oferta de cada uno de los </w:t>
      </w:r>
      <w:r>
        <w:rPr>
          <w:rFonts w:ascii="Bookman Old Style" w:hAnsi="Bookman Old Style"/>
          <w:i/>
          <w:szCs w:val="20"/>
          <w:lang w:val="es-CO"/>
        </w:rPr>
        <w:t>j</w:t>
      </w:r>
      <w:r>
        <w:rPr>
          <w:rFonts w:ascii="Bookman Old Style" w:hAnsi="Bookman Old Style"/>
          <w:szCs w:val="20"/>
          <w:lang w:val="es-CO"/>
        </w:rPr>
        <w:t xml:space="preserve"> vendedores es menor o igual a cuarenta por ciento (40%).</w:t>
      </w:r>
    </w:p>
    <w:p w14:paraId="37CAF8F1" w14:textId="46985015" w:rsidR="006C2A67" w:rsidRPr="003410C8" w:rsidRDefault="006C2A67" w:rsidP="00CA4180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</w:p>
    <w:p w14:paraId="77C46353" w14:textId="6533B7ED" w:rsidR="007E6697" w:rsidRPr="00A65FAE" w:rsidRDefault="006C2A67" w:rsidP="007E6697">
      <w:pPr>
        <w:pStyle w:val="Prrafodelista"/>
        <w:numPr>
          <w:ilvl w:val="0"/>
          <w:numId w:val="33"/>
        </w:numPr>
        <w:tabs>
          <w:tab w:val="left" w:pos="0"/>
          <w:tab w:val="left" w:pos="284"/>
        </w:tabs>
        <w:ind w:left="0" w:firstLine="0"/>
        <w:jc w:val="both"/>
        <w:rPr>
          <w:rFonts w:ascii="Bookman Old Style" w:hAnsi="Bookman Old Style"/>
        </w:rPr>
      </w:pPr>
      <w:r w:rsidRPr="003410C8">
        <w:rPr>
          <w:rFonts w:ascii="Bookman Old Style" w:hAnsi="Bookman Old Style"/>
          <w:b/>
          <w:sz w:val="24"/>
          <w:szCs w:val="24"/>
        </w:rPr>
        <w:t xml:space="preserve"> </w:t>
      </w:r>
      <w:r w:rsidR="007E6697" w:rsidRPr="003410C8">
        <w:rPr>
          <w:rFonts w:ascii="Bookman Old Style" w:hAnsi="Bookman Old Style"/>
          <w:b/>
          <w:sz w:val="24"/>
          <w:szCs w:val="24"/>
        </w:rPr>
        <w:t xml:space="preserve">Requerimientos de información para </w:t>
      </w:r>
      <w:r w:rsidR="007E6697">
        <w:rPr>
          <w:rFonts w:ascii="Bookman Old Style" w:hAnsi="Bookman Old Style"/>
          <w:b/>
          <w:sz w:val="24"/>
          <w:szCs w:val="24"/>
        </w:rPr>
        <w:t>el cálculo del indicador de competencia</w:t>
      </w:r>
      <w:r w:rsidR="007E6697" w:rsidRPr="003410C8">
        <w:rPr>
          <w:rFonts w:ascii="Bookman Old Style" w:hAnsi="Bookman Old Style"/>
          <w:b/>
          <w:sz w:val="24"/>
          <w:szCs w:val="24"/>
        </w:rPr>
        <w:t xml:space="preserve"> del mecanismo para la contratación de largo plazo. </w:t>
      </w:r>
      <w:r w:rsidR="007E6697">
        <w:rPr>
          <w:rFonts w:ascii="Bookman Old Style" w:hAnsi="Bookman Old Style"/>
          <w:sz w:val="24"/>
          <w:szCs w:val="24"/>
        </w:rPr>
        <w:t>Quienes estén interesados en participar en la subasta como</w:t>
      </w:r>
      <w:r w:rsidR="007E6697" w:rsidRPr="003410C8">
        <w:rPr>
          <w:rFonts w:ascii="Bookman Old Style" w:hAnsi="Bookman Old Style"/>
          <w:sz w:val="24"/>
          <w:szCs w:val="24"/>
        </w:rPr>
        <w:t xml:space="preserve"> vendedores deberán entregar a</w:t>
      </w:r>
      <w:r w:rsidR="007E6697">
        <w:rPr>
          <w:rFonts w:ascii="Bookman Old Style" w:hAnsi="Bookman Old Style"/>
          <w:sz w:val="24"/>
          <w:szCs w:val="24"/>
        </w:rPr>
        <w:t>l subastador</w:t>
      </w:r>
      <w:r w:rsidR="007E6697" w:rsidRPr="003410C8">
        <w:rPr>
          <w:rFonts w:ascii="Bookman Old Style" w:hAnsi="Bookman Old Style"/>
          <w:sz w:val="24"/>
          <w:szCs w:val="24"/>
        </w:rPr>
        <w:t>, en su calidad de administrador de la subasta, una declaración juramentada suscrita por el representante legal</w:t>
      </w:r>
      <w:r w:rsidR="00460E27">
        <w:rPr>
          <w:rFonts w:ascii="Bookman Old Style" w:hAnsi="Bookman Old Style"/>
          <w:sz w:val="24"/>
          <w:szCs w:val="24"/>
        </w:rPr>
        <w:t>,</w:t>
      </w:r>
      <w:r w:rsidR="007E6697" w:rsidRPr="003410C8">
        <w:rPr>
          <w:rFonts w:ascii="Bookman Old Style" w:hAnsi="Bookman Old Style"/>
          <w:sz w:val="24"/>
          <w:szCs w:val="24"/>
        </w:rPr>
        <w:t xml:space="preserve"> con información exacta, veraz, oportuna y verificable sobre los vínculos económicos existentes con otros vendedores</w:t>
      </w:r>
      <w:r w:rsidR="007E6697">
        <w:rPr>
          <w:rFonts w:ascii="Bookman Old Style" w:hAnsi="Bookman Old Style"/>
          <w:sz w:val="24"/>
          <w:szCs w:val="24"/>
        </w:rPr>
        <w:t xml:space="preserve"> </w:t>
      </w:r>
      <w:r w:rsidR="007E6697" w:rsidRPr="003410C8">
        <w:rPr>
          <w:rFonts w:ascii="Bookman Old Style" w:hAnsi="Bookman Old Style"/>
          <w:sz w:val="24"/>
          <w:szCs w:val="24"/>
        </w:rPr>
        <w:t xml:space="preserve">que pudiesen participar en la subasta, así como las relaciones de control en las que se encuentran, con el fin de contar con los insumos que permitan medir adecuadamente </w:t>
      </w:r>
      <w:r w:rsidR="007E6697">
        <w:rPr>
          <w:rFonts w:ascii="Bookman Old Style" w:hAnsi="Bookman Old Style"/>
          <w:sz w:val="24"/>
          <w:szCs w:val="24"/>
        </w:rPr>
        <w:t>el indicador de competencia.</w:t>
      </w:r>
    </w:p>
    <w:p w14:paraId="442369AD" w14:textId="77777777" w:rsidR="007E6697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14:paraId="1D99FBE0" w14:textId="5A5A4A1E" w:rsidR="007E6697" w:rsidRPr="00A65FAE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  <w:r w:rsidRPr="00A65FAE">
        <w:rPr>
          <w:rFonts w:ascii="Bookman Old Style" w:hAnsi="Bookman Old Style"/>
          <w:sz w:val="24"/>
          <w:szCs w:val="24"/>
        </w:rPr>
        <w:t>Se entiende situación de control</w:t>
      </w:r>
      <w:r w:rsidR="00460E27">
        <w:rPr>
          <w:rFonts w:ascii="Bookman Old Style" w:hAnsi="Bookman Old Style"/>
          <w:sz w:val="24"/>
          <w:szCs w:val="24"/>
        </w:rPr>
        <w:t>,</w:t>
      </w:r>
      <w:r w:rsidRPr="00A65FAE">
        <w:rPr>
          <w:rFonts w:ascii="Bookman Old Style" w:hAnsi="Bookman Old Style"/>
          <w:sz w:val="24"/>
          <w:szCs w:val="24"/>
        </w:rPr>
        <w:t xml:space="preserve"> de acuerdo con lo dispuesto en el numeral 4 del artículo 45 del Decreto 2153 de 1992</w:t>
      </w:r>
      <w:r w:rsidR="00460E27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la posibilidad de influenciar directa o indirectamente la política empresarial, la iniciación o terminación de la actividad de la empresa o la disposición de los bienes o </w:t>
      </w:r>
      <w:r w:rsidRPr="00E93887">
        <w:rPr>
          <w:rFonts w:ascii="Bookman Old Style" w:hAnsi="Bookman Old Style"/>
          <w:sz w:val="24"/>
          <w:szCs w:val="24"/>
        </w:rPr>
        <w:t xml:space="preserve">derechos esenciales para el desarrollo de </w:t>
      </w:r>
      <w:proofErr w:type="gramStart"/>
      <w:r w:rsidRPr="00E93887">
        <w:rPr>
          <w:rFonts w:ascii="Bookman Old Style" w:hAnsi="Bookman Old Style"/>
          <w:sz w:val="24"/>
          <w:szCs w:val="24"/>
        </w:rPr>
        <w:t>la misma</w:t>
      </w:r>
      <w:proofErr w:type="gramEnd"/>
      <w:r w:rsidRPr="00E93887">
        <w:rPr>
          <w:rFonts w:ascii="Bookman Old Style" w:hAnsi="Bookman Old Style"/>
          <w:sz w:val="24"/>
          <w:szCs w:val="24"/>
        </w:rPr>
        <w:t>. Así mismo, hay situación de control entre la matriz y sus subordinadas (filiales y subsidiarias) en los términos seña</w:t>
      </w:r>
      <w:r>
        <w:rPr>
          <w:rFonts w:ascii="Bookman Old Style" w:hAnsi="Bookman Old Style"/>
          <w:sz w:val="24"/>
          <w:szCs w:val="24"/>
        </w:rPr>
        <w:t>lados en los artículos 260 y 261 del Código de Comercio, así como aquellos que lo modifiquen.</w:t>
      </w:r>
    </w:p>
    <w:p w14:paraId="376074AD" w14:textId="77777777" w:rsidR="007E6697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14:paraId="0A68E273" w14:textId="4CFE401D" w:rsidR="007E6697" w:rsidRPr="00785738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  <w:r w:rsidRPr="005C6A11">
        <w:rPr>
          <w:rFonts w:ascii="Bookman Old Style" w:hAnsi="Bookman Old Style"/>
          <w:sz w:val="24"/>
          <w:szCs w:val="24"/>
        </w:rPr>
        <w:t xml:space="preserve">Esta declaración deberá ser remitida </w:t>
      </w:r>
      <w:r>
        <w:rPr>
          <w:rFonts w:ascii="Bookman Old Style" w:hAnsi="Bookman Old Style"/>
          <w:sz w:val="24"/>
          <w:szCs w:val="24"/>
        </w:rPr>
        <w:t>al subastador</w:t>
      </w:r>
      <w:r w:rsidRPr="005C6A11">
        <w:rPr>
          <w:rFonts w:ascii="Bookman Old Style" w:hAnsi="Bookman Old Style"/>
          <w:sz w:val="24"/>
          <w:szCs w:val="24"/>
        </w:rPr>
        <w:t xml:space="preserve"> en el término </w:t>
      </w:r>
      <w:r>
        <w:rPr>
          <w:rFonts w:ascii="Bookman Old Style" w:hAnsi="Bookman Old Style"/>
          <w:sz w:val="24"/>
          <w:szCs w:val="24"/>
        </w:rPr>
        <w:t xml:space="preserve">y condiciones definidas en los pliegos de términos y condiciones específicas de la subasta. </w:t>
      </w:r>
    </w:p>
    <w:p w14:paraId="74C401D5" w14:textId="77777777" w:rsidR="007E6697" w:rsidRPr="006C2A67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sz w:val="24"/>
          <w:szCs w:val="24"/>
        </w:rPr>
      </w:pPr>
    </w:p>
    <w:p w14:paraId="1E874117" w14:textId="54DA37BD" w:rsidR="007E6697" w:rsidRDefault="007E6697" w:rsidP="007E6697">
      <w:pPr>
        <w:pStyle w:val="Prrafodelista"/>
        <w:numPr>
          <w:ilvl w:val="0"/>
          <w:numId w:val="33"/>
        </w:numPr>
        <w:tabs>
          <w:tab w:val="left" w:pos="0"/>
          <w:tab w:val="left" w:pos="284"/>
        </w:tabs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347E90">
        <w:rPr>
          <w:rFonts w:ascii="Bookman Old Style" w:hAnsi="Bookman Old Style"/>
          <w:b/>
          <w:sz w:val="24"/>
          <w:szCs w:val="24"/>
        </w:rPr>
        <w:t>Evaluación de</w:t>
      </w:r>
      <w:r>
        <w:rPr>
          <w:rFonts w:ascii="Bookman Old Style" w:hAnsi="Bookman Old Style"/>
          <w:b/>
          <w:sz w:val="24"/>
          <w:szCs w:val="24"/>
        </w:rPr>
        <w:t>l cumplimiento del indicador de competencia</w:t>
      </w:r>
      <w:r w:rsidRPr="00347E90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El auditor independiente del que trata el Anexo de la Resolución 4</w:t>
      </w:r>
      <w:r w:rsidR="008A01E1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0590 de 2019 del Ministerio de Minas y Energía</w:t>
      </w:r>
      <w:r w:rsidR="00460E27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deberá evaluar el indicador de competencia establecido en esta resolución.</w:t>
      </w:r>
    </w:p>
    <w:p w14:paraId="45D8DACF" w14:textId="77777777" w:rsidR="007E6697" w:rsidRDefault="007E6697" w:rsidP="007E6697">
      <w:pPr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</w:p>
    <w:p w14:paraId="2B4F0DAB" w14:textId="5A97B925" w:rsidR="007E6697" w:rsidRPr="003410C8" w:rsidRDefault="007E6697" w:rsidP="007E6697">
      <w:pPr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  <w:r w:rsidRPr="007C0C8B">
        <w:rPr>
          <w:rFonts w:ascii="Bookman Old Style" w:hAnsi="Bookman Old Style"/>
        </w:rPr>
        <w:t>El informe al que hace referencia</w:t>
      </w:r>
      <w:r>
        <w:rPr>
          <w:rFonts w:ascii="Bookman Old Style" w:hAnsi="Bookman Old Style"/>
        </w:rPr>
        <w:t xml:space="preserve"> el</w:t>
      </w:r>
      <w:r w:rsidRPr="007C0C8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literal e, </w:t>
      </w:r>
      <w:r w:rsidRPr="007C0C8B">
        <w:rPr>
          <w:rFonts w:ascii="Bookman Old Style" w:hAnsi="Bookman Old Style"/>
        </w:rPr>
        <w:t xml:space="preserve">numeral 2 </w:t>
      </w:r>
      <w:r>
        <w:rPr>
          <w:rFonts w:ascii="Bookman Old Style" w:hAnsi="Bookman Old Style"/>
        </w:rPr>
        <w:t xml:space="preserve">del </w:t>
      </w:r>
      <w:r w:rsidRPr="007C0C8B">
        <w:rPr>
          <w:rFonts w:ascii="Bookman Old Style" w:hAnsi="Bookman Old Style"/>
        </w:rPr>
        <w:t xml:space="preserve">Anexo de la Resolución </w:t>
      </w:r>
      <w:r>
        <w:rPr>
          <w:rFonts w:ascii="Bookman Old Style" w:hAnsi="Bookman Old Style"/>
        </w:rPr>
        <w:t>4</w:t>
      </w:r>
      <w:r w:rsidR="000C4C35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0590</w:t>
      </w:r>
      <w:r w:rsidRPr="007C0C8B">
        <w:rPr>
          <w:rFonts w:ascii="Bookman Old Style" w:hAnsi="Bookman Old Style"/>
        </w:rPr>
        <w:t xml:space="preserve"> de 2019</w:t>
      </w:r>
      <w:r w:rsidRPr="003410C8">
        <w:rPr>
          <w:rFonts w:ascii="Bookman Old Style" w:hAnsi="Bookman Old Style"/>
        </w:rPr>
        <w:t xml:space="preserve"> del Ministerio de Minas y Energía</w:t>
      </w:r>
      <w:r w:rsidR="00460E27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  <w:r w:rsidRPr="003410C8">
        <w:rPr>
          <w:rFonts w:ascii="Bookman Old Style" w:hAnsi="Bookman Old Style"/>
        </w:rPr>
        <w:t>deberá contener lo siguiente:</w:t>
      </w:r>
    </w:p>
    <w:p w14:paraId="12CC2421" w14:textId="77777777" w:rsidR="007E6697" w:rsidRPr="003410C8" w:rsidRDefault="007E6697" w:rsidP="007E6697">
      <w:pPr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</w:rPr>
      </w:pPr>
    </w:p>
    <w:p w14:paraId="3C92B2A5" w14:textId="77777777" w:rsidR="007E6697" w:rsidRPr="006C2A67" w:rsidRDefault="007E6697" w:rsidP="007E6697">
      <w:pPr>
        <w:pStyle w:val="Prrafodelista"/>
        <w:numPr>
          <w:ilvl w:val="0"/>
          <w:numId w:val="43"/>
        </w:numPr>
        <w:tabs>
          <w:tab w:val="left" w:pos="0"/>
          <w:tab w:val="left" w:pos="284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Resultado del cálculo de la participación de </w:t>
      </w:r>
      <w:r w:rsidRPr="00E93887">
        <w:rPr>
          <w:rFonts w:ascii="Bookman Old Style" w:hAnsi="Bookman Old Style"/>
          <w:sz w:val="24"/>
          <w:szCs w:val="24"/>
        </w:rPr>
        <w:t xml:space="preserve">la energía </w:t>
      </w:r>
      <w:r w:rsidRPr="00FD40CE">
        <w:rPr>
          <w:rFonts w:ascii="Bookman Old Style" w:hAnsi="Bookman Old Style"/>
          <w:sz w:val="24"/>
          <w:szCs w:val="24"/>
        </w:rPr>
        <w:t>máxima</w:t>
      </w:r>
      <w:r w:rsidRPr="00E93887">
        <w:rPr>
          <w:rFonts w:ascii="Bookman Old Style" w:hAnsi="Bookman Old Style"/>
          <w:sz w:val="24"/>
          <w:szCs w:val="24"/>
        </w:rPr>
        <w:t xml:space="preserve"> diaria</w:t>
      </w:r>
      <w:r>
        <w:rPr>
          <w:rFonts w:ascii="Bookman Old Style" w:hAnsi="Bookman Old Style"/>
          <w:sz w:val="24"/>
          <w:szCs w:val="24"/>
        </w:rPr>
        <w:t xml:space="preserve"> garantizada de cada uno de los vendedores identificados de acuerdo con lo establecido en el artículo 2 de la presente resolución</w:t>
      </w:r>
      <w:r w:rsidRPr="006C2A67">
        <w:rPr>
          <w:rFonts w:ascii="Bookman Old Style" w:hAnsi="Bookman Old Style"/>
          <w:sz w:val="24"/>
          <w:szCs w:val="24"/>
        </w:rPr>
        <w:t>.</w:t>
      </w:r>
    </w:p>
    <w:p w14:paraId="62DC47AB" w14:textId="77777777" w:rsidR="007E6697" w:rsidRPr="006C2A67" w:rsidRDefault="007E6697" w:rsidP="007E6697">
      <w:pPr>
        <w:pStyle w:val="Prrafodelista"/>
        <w:numPr>
          <w:ilvl w:val="0"/>
          <w:numId w:val="43"/>
        </w:numPr>
        <w:tabs>
          <w:tab w:val="left" w:pos="0"/>
          <w:tab w:val="left" w:pos="284"/>
        </w:tabs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Determinar si la participación de la energía máxima diaria garantizada de cada uno de los vendedores identificados fue menor o igual al cuarenta por ciento (40%).</w:t>
      </w:r>
    </w:p>
    <w:p w14:paraId="37B66242" w14:textId="77777777" w:rsidR="007E6697" w:rsidRPr="00AD1538" w:rsidRDefault="007E6697" w:rsidP="007E6697">
      <w:pPr>
        <w:tabs>
          <w:tab w:val="left" w:pos="0"/>
          <w:tab w:val="left" w:pos="284"/>
        </w:tabs>
        <w:ind w:left="360"/>
        <w:jc w:val="both"/>
        <w:rPr>
          <w:rFonts w:ascii="Bookman Old Style" w:hAnsi="Bookman Old Style"/>
          <w:b/>
        </w:rPr>
      </w:pPr>
    </w:p>
    <w:p w14:paraId="6AE45078" w14:textId="0C1B93C7" w:rsidR="007E6697" w:rsidRPr="003410C8" w:rsidRDefault="007E6697" w:rsidP="007E6697">
      <w:pPr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b/>
        </w:rPr>
      </w:pPr>
      <w:r w:rsidRPr="003410C8">
        <w:rPr>
          <w:rFonts w:ascii="Bookman Old Style" w:hAnsi="Bookman Old Style"/>
        </w:rPr>
        <w:t xml:space="preserve">El auditor deberá remitir una copia del informe </w:t>
      </w:r>
      <w:r>
        <w:rPr>
          <w:rFonts w:ascii="Bookman Old Style" w:hAnsi="Bookman Old Style"/>
        </w:rPr>
        <w:t xml:space="preserve">con los resultados explícitos de los numerales 1 y 2 del presente artículo </w:t>
      </w:r>
      <w:r w:rsidRPr="003410C8">
        <w:rPr>
          <w:rFonts w:ascii="Bookman Old Style" w:hAnsi="Bookman Old Style"/>
        </w:rPr>
        <w:t>a la Superintendencia de Se</w:t>
      </w:r>
      <w:r>
        <w:rPr>
          <w:rFonts w:ascii="Bookman Old Style" w:hAnsi="Bookman Old Style"/>
        </w:rPr>
        <w:t xml:space="preserve">rvicios Públicos Domiciliarios, </w:t>
      </w:r>
      <w:r w:rsidRPr="003410C8">
        <w:rPr>
          <w:rFonts w:ascii="Bookman Old Style" w:hAnsi="Bookman Old Style"/>
        </w:rPr>
        <w:t>SSPD</w:t>
      </w:r>
      <w:r>
        <w:rPr>
          <w:rFonts w:ascii="Bookman Old Style" w:hAnsi="Bookman Old Style"/>
        </w:rPr>
        <w:t>,</w:t>
      </w:r>
      <w:r w:rsidRPr="003410C8">
        <w:rPr>
          <w:rFonts w:ascii="Bookman Old Style" w:hAnsi="Bookman Old Style"/>
        </w:rPr>
        <w:t xml:space="preserve"> y a la CREG a más tardar cinco (5) días </w:t>
      </w:r>
      <w:r w:rsidRPr="006C2A67">
        <w:rPr>
          <w:rFonts w:ascii="Bookman Old Style" w:hAnsi="Bookman Old Style"/>
        </w:rPr>
        <w:t>hábiles</w:t>
      </w:r>
      <w:r>
        <w:rPr>
          <w:rFonts w:ascii="Bookman Old Style" w:hAnsi="Bookman Old Style"/>
        </w:rPr>
        <w:t>,</w:t>
      </w:r>
      <w:r w:rsidRPr="006C2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a partir de la</w:t>
      </w:r>
      <w:r w:rsidRPr="006C2A6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fecha definida por </w:t>
      </w:r>
      <w:r w:rsidR="009432A0">
        <w:rPr>
          <w:rFonts w:ascii="Bookman Old Style" w:hAnsi="Bookman Old Style"/>
        </w:rPr>
        <w:t>el subastador</w:t>
      </w:r>
      <w:r>
        <w:rPr>
          <w:rFonts w:ascii="Bookman Old Style" w:hAnsi="Bookman Old Style"/>
        </w:rPr>
        <w:t xml:space="preserve"> para la validación de los indicadores de competencia establecida en los pliegos de términos y condiciones específicas.</w:t>
      </w:r>
    </w:p>
    <w:p w14:paraId="53F00B45" w14:textId="77777777" w:rsidR="007E6697" w:rsidRPr="007C0C8B" w:rsidRDefault="007E6697" w:rsidP="007E6697">
      <w:pPr>
        <w:pStyle w:val="Prrafodelista"/>
        <w:tabs>
          <w:tab w:val="left" w:pos="0"/>
          <w:tab w:val="left" w:pos="284"/>
        </w:tabs>
        <w:ind w:left="0"/>
        <w:jc w:val="both"/>
        <w:rPr>
          <w:rFonts w:ascii="Bookman Old Style" w:hAnsi="Bookman Old Style"/>
          <w:sz w:val="24"/>
        </w:rPr>
      </w:pPr>
    </w:p>
    <w:p w14:paraId="3AED43B0" w14:textId="6C625EB6" w:rsidR="007E6697" w:rsidRPr="00DA0451" w:rsidRDefault="007E6697" w:rsidP="007E6697">
      <w:pPr>
        <w:pStyle w:val="Prrafodelista"/>
        <w:numPr>
          <w:ilvl w:val="0"/>
          <w:numId w:val="33"/>
        </w:numPr>
        <w:tabs>
          <w:tab w:val="left" w:pos="0"/>
          <w:tab w:val="left" w:pos="284"/>
        </w:tabs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CB1407">
        <w:rPr>
          <w:rFonts w:ascii="Bookman Old Style" w:hAnsi="Bookman Old Style"/>
          <w:b/>
          <w:sz w:val="24"/>
          <w:szCs w:val="24"/>
        </w:rPr>
        <w:t>Vigencia.</w:t>
      </w:r>
      <w:r w:rsidRPr="00CB1407">
        <w:rPr>
          <w:rFonts w:ascii="Bookman Old Style" w:hAnsi="Bookman Old Style"/>
          <w:sz w:val="24"/>
          <w:szCs w:val="24"/>
        </w:rPr>
        <w:t xml:space="preserve"> </w:t>
      </w:r>
      <w:r w:rsidRPr="009C612F">
        <w:rPr>
          <w:rFonts w:ascii="Bookman Old Style" w:hAnsi="Bookman Old Style"/>
          <w:sz w:val="24"/>
          <w:szCs w:val="24"/>
        </w:rPr>
        <w:t xml:space="preserve">La presente resolución </w:t>
      </w:r>
      <w:r w:rsidRPr="00CB1407">
        <w:rPr>
          <w:rFonts w:ascii="Bookman Old Style" w:hAnsi="Bookman Old Style"/>
          <w:sz w:val="24"/>
          <w:szCs w:val="24"/>
        </w:rPr>
        <w:t>rige a partir de su publicación en el Diario</w:t>
      </w:r>
      <w:r w:rsidRPr="00CB1407">
        <w:rPr>
          <w:rFonts w:ascii="Bookman Old Style" w:hAnsi="Bookman Old Style"/>
          <w:i/>
          <w:sz w:val="24"/>
          <w:szCs w:val="24"/>
        </w:rPr>
        <w:t xml:space="preserve"> Oficial</w:t>
      </w:r>
      <w:r w:rsidR="00852F73">
        <w:rPr>
          <w:rFonts w:ascii="Bookman Old Style" w:hAnsi="Bookman Old Style"/>
          <w:iCs/>
          <w:sz w:val="24"/>
          <w:szCs w:val="24"/>
        </w:rPr>
        <w:t xml:space="preserve"> y deroga todas las disposiciones que le sean contrarias</w:t>
      </w:r>
      <w:r w:rsidRPr="00CB1407">
        <w:rPr>
          <w:rFonts w:ascii="Bookman Old Style" w:hAnsi="Bookman Old Style"/>
          <w:sz w:val="24"/>
          <w:szCs w:val="24"/>
        </w:rPr>
        <w:t>.</w:t>
      </w:r>
    </w:p>
    <w:p w14:paraId="2C81F59F" w14:textId="77777777" w:rsidR="00045D3D" w:rsidRPr="00C435C3" w:rsidRDefault="00045D3D" w:rsidP="00045D3D">
      <w:pPr>
        <w:ind w:left="0"/>
        <w:rPr>
          <w:rFonts w:ascii="Bookman Old Style" w:hAnsi="Bookman Old Style"/>
        </w:rPr>
      </w:pPr>
    </w:p>
    <w:p w14:paraId="10B8A1A4" w14:textId="77777777" w:rsidR="006C2A67" w:rsidRDefault="006C2A67" w:rsidP="00045D3D">
      <w:pPr>
        <w:jc w:val="center"/>
        <w:rPr>
          <w:rFonts w:ascii="Bookman Old Style" w:hAnsi="Bookman Old Style"/>
          <w:b/>
        </w:rPr>
      </w:pPr>
    </w:p>
    <w:p w14:paraId="161DD1FE" w14:textId="77777777" w:rsidR="00045D3D" w:rsidRPr="00C435C3" w:rsidRDefault="00045D3D" w:rsidP="00045D3D">
      <w:pPr>
        <w:jc w:val="center"/>
        <w:rPr>
          <w:rFonts w:ascii="Bookman Old Style" w:hAnsi="Bookman Old Style"/>
          <w:b/>
        </w:rPr>
      </w:pPr>
      <w:r w:rsidRPr="00C435C3">
        <w:rPr>
          <w:rFonts w:ascii="Bookman Old Style" w:hAnsi="Bookman Old Style"/>
          <w:b/>
        </w:rPr>
        <w:t>PU</w:t>
      </w:r>
      <w:r w:rsidR="00CA03C8">
        <w:rPr>
          <w:rFonts w:ascii="Bookman Old Style" w:hAnsi="Bookman Old Style"/>
          <w:b/>
        </w:rPr>
        <w:t>B</w:t>
      </w:r>
      <w:r w:rsidRPr="00C435C3">
        <w:rPr>
          <w:rFonts w:ascii="Bookman Old Style" w:hAnsi="Bookman Old Style"/>
          <w:b/>
        </w:rPr>
        <w:t>LÍQUESE Y CÚMPLASE</w:t>
      </w:r>
    </w:p>
    <w:p w14:paraId="110DC6B5" w14:textId="77777777" w:rsidR="00246929" w:rsidRDefault="00246929" w:rsidP="00246929">
      <w:pPr>
        <w:ind w:left="0"/>
        <w:rPr>
          <w:rFonts w:ascii="Bookman Old Style" w:hAnsi="Bookman Old Style"/>
        </w:rPr>
      </w:pPr>
    </w:p>
    <w:p w14:paraId="521F7AC3" w14:textId="77777777" w:rsidR="00246929" w:rsidRDefault="00246929" w:rsidP="00246929">
      <w:pPr>
        <w:ind w:left="0"/>
        <w:rPr>
          <w:rFonts w:ascii="Bookman Old Style" w:hAnsi="Bookman Old Style"/>
        </w:rPr>
      </w:pPr>
      <w:r>
        <w:rPr>
          <w:rFonts w:ascii="Bookman Old Style" w:hAnsi="Bookman Old Style"/>
        </w:rPr>
        <w:t>Firmas del proyecto,</w:t>
      </w:r>
    </w:p>
    <w:p w14:paraId="28453841" w14:textId="371E4A6F" w:rsidR="00FF07E5" w:rsidRDefault="00FF07E5" w:rsidP="00045D3D">
      <w:pPr>
        <w:ind w:left="0"/>
        <w:rPr>
          <w:rFonts w:ascii="Bookman Old Style" w:hAnsi="Bookman Old Style"/>
        </w:rPr>
      </w:pPr>
    </w:p>
    <w:p w14:paraId="201A48A9" w14:textId="77777777" w:rsidR="0024662D" w:rsidRDefault="0024662D" w:rsidP="00045D3D">
      <w:pPr>
        <w:ind w:left="0"/>
        <w:rPr>
          <w:rFonts w:ascii="Bookman Old Style" w:hAnsi="Bookman Old Style"/>
        </w:rPr>
      </w:pPr>
    </w:p>
    <w:p w14:paraId="028BD7C7" w14:textId="77777777" w:rsidR="00FF07E5" w:rsidRDefault="00FF07E5" w:rsidP="00045D3D">
      <w:pPr>
        <w:ind w:left="0"/>
        <w:rPr>
          <w:rFonts w:ascii="Bookman Old Style" w:hAnsi="Bookman Old Style"/>
        </w:rPr>
      </w:pPr>
    </w:p>
    <w:p w14:paraId="49E1AFAE" w14:textId="77777777" w:rsidR="00246929" w:rsidRPr="001A11B2" w:rsidRDefault="00246929" w:rsidP="00246929">
      <w:pPr>
        <w:ind w:left="0"/>
        <w:rPr>
          <w:rFonts w:ascii="Bookman Old Style" w:hAnsi="Bookman Old Style"/>
        </w:rPr>
      </w:pPr>
    </w:p>
    <w:tbl>
      <w:tblPr>
        <w:tblW w:w="963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3"/>
        <w:gridCol w:w="4672"/>
      </w:tblGrid>
      <w:tr w:rsidR="00D64F32" w:rsidRPr="001F1B7A" w14:paraId="55894671" w14:textId="77777777" w:rsidTr="00175A8B">
        <w:trPr>
          <w:trHeight w:val="279"/>
          <w:tblCellSpacing w:w="0" w:type="dxa"/>
          <w:jc w:val="center"/>
        </w:trPr>
        <w:tc>
          <w:tcPr>
            <w:tcW w:w="4963" w:type="dxa"/>
          </w:tcPr>
          <w:p w14:paraId="06085857" w14:textId="77777777" w:rsidR="00D64F32" w:rsidRPr="001F1B7A" w:rsidRDefault="00D64F32" w:rsidP="00175A8B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MIGUEL LOTERO ROBLEDO</w:t>
            </w:r>
          </w:p>
        </w:tc>
        <w:tc>
          <w:tcPr>
            <w:tcW w:w="4672" w:type="dxa"/>
          </w:tcPr>
          <w:p w14:paraId="0931C618" w14:textId="77777777" w:rsidR="00D64F32" w:rsidRPr="001F1B7A" w:rsidRDefault="00D64F32" w:rsidP="00175A8B">
            <w:pPr>
              <w:ind w:left="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JORGE ALBERTO VALENCIA MARÍN</w:t>
            </w:r>
          </w:p>
        </w:tc>
      </w:tr>
      <w:tr w:rsidR="00D64F32" w:rsidRPr="001F1B7A" w14:paraId="0076014E" w14:textId="77777777" w:rsidTr="00175A8B">
        <w:trPr>
          <w:trHeight w:val="279"/>
          <w:tblCellSpacing w:w="0" w:type="dxa"/>
          <w:jc w:val="center"/>
        </w:trPr>
        <w:tc>
          <w:tcPr>
            <w:tcW w:w="4963" w:type="dxa"/>
            <w:hideMark/>
          </w:tcPr>
          <w:p w14:paraId="0E602EB5" w14:textId="6F3ABC80" w:rsidR="00D64F32" w:rsidRPr="001F1B7A" w:rsidRDefault="00D64F32" w:rsidP="00175A8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Vicem</w:t>
            </w:r>
            <w:r w:rsidRPr="001F1B7A">
              <w:rPr>
                <w:rFonts w:ascii="Bookman Old Style" w:hAnsi="Bookman Old Style"/>
              </w:rPr>
              <w:t>inistr</w:t>
            </w:r>
            <w:r>
              <w:rPr>
                <w:rFonts w:ascii="Bookman Old Style" w:hAnsi="Bookman Old Style"/>
              </w:rPr>
              <w:t>o</w:t>
            </w:r>
            <w:r w:rsidRPr="001F1B7A">
              <w:rPr>
                <w:rFonts w:ascii="Bookman Old Style" w:hAnsi="Bookman Old Style"/>
              </w:rPr>
              <w:t xml:space="preserve"> de Energía</w:t>
            </w:r>
            <w:r w:rsidR="002E7429">
              <w:rPr>
                <w:rFonts w:ascii="Bookman Old Style" w:hAnsi="Bookman Old Style"/>
              </w:rPr>
              <w:t xml:space="preserve">, </w:t>
            </w:r>
            <w:proofErr w:type="gramStart"/>
            <w:r w:rsidR="002E7429">
              <w:rPr>
                <w:rFonts w:ascii="Bookman Old Style" w:hAnsi="Bookman Old Style"/>
              </w:rPr>
              <w:t>Delegado</w:t>
            </w:r>
            <w:proofErr w:type="gramEnd"/>
            <w:r w:rsidR="002E7429">
              <w:rPr>
                <w:rFonts w:ascii="Bookman Old Style" w:hAnsi="Bookman Old Style"/>
              </w:rPr>
              <w:t xml:space="preserve"> del Ministro de Minas y Energía</w:t>
            </w:r>
          </w:p>
        </w:tc>
        <w:tc>
          <w:tcPr>
            <w:tcW w:w="4672" w:type="dxa"/>
            <w:hideMark/>
          </w:tcPr>
          <w:p w14:paraId="1AEC90A6" w14:textId="77777777" w:rsidR="00D64F32" w:rsidRPr="001F1B7A" w:rsidRDefault="00D64F32" w:rsidP="00175A8B">
            <w:pPr>
              <w:ind w:left="2" w:firstLine="565"/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Director Ejecutivo</w:t>
            </w:r>
          </w:p>
        </w:tc>
      </w:tr>
      <w:tr w:rsidR="00D64F32" w:rsidRPr="001F1B7A" w14:paraId="23BA69DD" w14:textId="77777777" w:rsidTr="00175A8B">
        <w:trPr>
          <w:trHeight w:val="290"/>
          <w:tblCellSpacing w:w="0" w:type="dxa"/>
          <w:jc w:val="center"/>
        </w:trPr>
        <w:tc>
          <w:tcPr>
            <w:tcW w:w="4963" w:type="dxa"/>
            <w:hideMark/>
          </w:tcPr>
          <w:p w14:paraId="4A1CCE60" w14:textId="77777777" w:rsidR="00D64F32" w:rsidRPr="001F1B7A" w:rsidRDefault="00D64F32" w:rsidP="00175A8B">
            <w:pPr>
              <w:jc w:val="center"/>
              <w:rPr>
                <w:rFonts w:ascii="Bookman Old Style" w:hAnsi="Bookman Old Style"/>
              </w:rPr>
            </w:pPr>
            <w:r w:rsidRPr="001F1B7A">
              <w:rPr>
                <w:rFonts w:ascii="Bookman Old Style" w:hAnsi="Bookman Old Style"/>
              </w:rPr>
              <w:t>Presidente</w:t>
            </w:r>
          </w:p>
        </w:tc>
        <w:tc>
          <w:tcPr>
            <w:tcW w:w="4672" w:type="dxa"/>
          </w:tcPr>
          <w:p w14:paraId="4E2605D4" w14:textId="77777777" w:rsidR="00D64F32" w:rsidRPr="001F1B7A" w:rsidRDefault="00D64F32" w:rsidP="00175A8B">
            <w:pPr>
              <w:jc w:val="center"/>
              <w:rPr>
                <w:rFonts w:ascii="Bookman Old Style" w:hAnsi="Bookman Old Style"/>
              </w:rPr>
            </w:pPr>
          </w:p>
        </w:tc>
      </w:tr>
    </w:tbl>
    <w:p w14:paraId="5D3443C7" w14:textId="77777777" w:rsidR="00E060BE" w:rsidRPr="00E060BE" w:rsidRDefault="00E060BE" w:rsidP="00DF3E24">
      <w:pPr>
        <w:ind w:left="0"/>
        <w:rPr>
          <w:rFonts w:ascii="Bookman Old Style" w:hAnsi="Bookman Old Style" w:cs="Arial"/>
        </w:rPr>
      </w:pPr>
    </w:p>
    <w:sectPr w:rsidR="00E060BE" w:rsidRPr="00E060BE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C260" w14:textId="77777777" w:rsidR="003B0A93" w:rsidRDefault="003B0A93">
      <w:r>
        <w:separator/>
      </w:r>
    </w:p>
  </w:endnote>
  <w:endnote w:type="continuationSeparator" w:id="0">
    <w:p w14:paraId="3FD63F12" w14:textId="77777777" w:rsidR="003B0A93" w:rsidRDefault="003B0A93">
      <w:r>
        <w:continuationSeparator/>
      </w:r>
    </w:p>
  </w:endnote>
  <w:endnote w:type="continuationNotice" w:id="1">
    <w:p w14:paraId="0B382E6E" w14:textId="77777777" w:rsidR="003B0A93" w:rsidRDefault="003B0A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C526" w14:textId="77777777" w:rsidR="003B0A93" w:rsidRDefault="003B0A93">
      <w:r>
        <w:separator/>
      </w:r>
    </w:p>
  </w:footnote>
  <w:footnote w:type="continuationSeparator" w:id="0">
    <w:p w14:paraId="474346AC" w14:textId="77777777" w:rsidR="003B0A93" w:rsidRDefault="003B0A93">
      <w:r>
        <w:continuationSeparator/>
      </w:r>
    </w:p>
  </w:footnote>
  <w:footnote w:type="continuationNotice" w:id="1">
    <w:p w14:paraId="0BE5BD64" w14:textId="77777777" w:rsidR="003B0A93" w:rsidRDefault="003B0A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DA78" w14:textId="77777777" w:rsidR="00144DFF" w:rsidRDefault="00144DFF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14:paraId="189FF980" w14:textId="320BC299" w:rsidR="00144DFF" w:rsidRPr="00951F79" w:rsidRDefault="00144DFF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 w:rsidRPr="002E7429">
      <w:rPr>
        <w:rFonts w:ascii="Bookman Old Style" w:hAnsi="Bookman Old Style" w:cs="Arial"/>
        <w:bCs/>
        <w:szCs w:val="24"/>
        <w:u w:val="single"/>
      </w:rPr>
      <w:t xml:space="preserve"> </w:t>
    </w:r>
    <w:r w:rsidR="002E7429" w:rsidRPr="002E7429">
      <w:rPr>
        <w:rFonts w:ascii="Bookman Old Style" w:hAnsi="Bookman Old Style" w:cs="Arial"/>
        <w:bCs/>
        <w:szCs w:val="24"/>
        <w:u w:val="single"/>
      </w:rPr>
      <w:t>094</w:t>
    </w:r>
    <w:r w:rsidR="002E7429">
      <w:rPr>
        <w:rFonts w:ascii="Bookman Old Style" w:hAnsi="Bookman Old Style" w:cs="Arial"/>
        <w:b w:val="0"/>
        <w:sz w:val="22"/>
        <w:szCs w:val="22"/>
      </w:rPr>
      <w:t xml:space="preserve">   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 xml:space="preserve">DE </w:t>
    </w:r>
    <w:r w:rsidR="002E7429" w:rsidRPr="002E7429">
      <w:rPr>
        <w:rFonts w:ascii="Bookman Old Style" w:hAnsi="Bookman Old Style" w:cs="Arial"/>
        <w:bCs/>
        <w:szCs w:val="24"/>
        <w:u w:val="single"/>
      </w:rPr>
      <w:t>30 JUL. 2021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8158CF">
      <w:rPr>
        <w:rFonts w:ascii="Bookman Old Style" w:hAnsi="Bookman Old Style" w:cs="Arial"/>
        <w:b w:val="0"/>
        <w:noProof/>
        <w:sz w:val="22"/>
        <w:szCs w:val="22"/>
      </w:rPr>
      <w:t>12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8158CF" w:rsidRPr="008158CF">
        <w:rPr>
          <w:rFonts w:ascii="Bookman Old Style" w:hAnsi="Bookman Old Style" w:cs="Arial"/>
          <w:b w:val="0"/>
          <w:noProof/>
          <w:sz w:val="22"/>
          <w:szCs w:val="22"/>
        </w:rPr>
        <w:t>12</w:t>
      </w:r>
    </w:fldSimple>
  </w:p>
  <w:p w14:paraId="4C33570D" w14:textId="77777777" w:rsidR="00144DFF" w:rsidRDefault="00144DFF" w:rsidP="00AD01E4">
    <w:pPr>
      <w:ind w:left="142" w:right="148"/>
      <w:rPr>
        <w:rFonts w:ascii="Bookman Old Style" w:hAnsi="Bookman Old Style" w:cs="Arial"/>
      </w:rPr>
    </w:pPr>
    <w:r w:rsidRPr="0042068C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040D31" wp14:editId="017ADD02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9525" t="12065" r="9525" b="1206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978204" id="Rectangle 1" o:spid="_x0000_s1026" style="position:absolute;margin-left:-13.8pt;margin-top:10.95pt;width:493.5pt;height:77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" filled="f" strokeweight="1.5pt"/>
          </w:pict>
        </mc:Fallback>
      </mc:AlternateContent>
    </w:r>
  </w:p>
  <w:p w14:paraId="689F665C" w14:textId="110D1992" w:rsidR="00144DFF" w:rsidRPr="002E7429" w:rsidRDefault="00144DFF" w:rsidP="003F7032">
    <w:pPr>
      <w:ind w:left="0"/>
      <w:jc w:val="both"/>
      <w:rPr>
        <w:rFonts w:ascii="Bookman Old Style" w:hAnsi="Bookman Old Style"/>
        <w:i/>
        <w:sz w:val="22"/>
        <w:szCs w:val="22"/>
      </w:rPr>
    </w:pPr>
    <w:r w:rsidRPr="002E7429">
      <w:rPr>
        <w:rFonts w:ascii="Bookman Old Style" w:hAnsi="Bookman Old Style" w:cs="Arial"/>
        <w:sz w:val="22"/>
        <w:szCs w:val="22"/>
      </w:rPr>
      <w:t xml:space="preserve">Por la cual se ordena hacer público un proyecto de resolución </w:t>
    </w:r>
    <w:r w:rsidRPr="002E7429">
      <w:rPr>
        <w:rFonts w:ascii="Bookman Old Style" w:hAnsi="Bookman Old Style" w:cs="Arial"/>
        <w:i/>
        <w:sz w:val="22"/>
        <w:szCs w:val="22"/>
      </w:rPr>
      <w:t>“</w:t>
    </w:r>
    <w:r w:rsidRPr="002E7429">
      <w:rPr>
        <w:rFonts w:ascii="Bookman Old Style" w:hAnsi="Bookman Old Style" w:cs="Arial"/>
        <w:i/>
        <w:sz w:val="22"/>
        <w:szCs w:val="22"/>
        <w:lang w:val="es-CO"/>
      </w:rPr>
      <w:t>Condiciones de competencia que debe cumplir el mecanismo de contratación de largo plazo del Ministerio de Minas y Energía</w:t>
    </w:r>
    <w:r w:rsidRPr="002E7429">
      <w:rPr>
        <w:rFonts w:ascii="Bookman Old Style" w:hAnsi="Bookman Old Style"/>
        <w:i/>
        <w:sz w:val="22"/>
        <w:szCs w:val="22"/>
      </w:rPr>
      <w:t>”</w:t>
    </w:r>
  </w:p>
  <w:p w14:paraId="7196FD5A" w14:textId="0AEBF3E6" w:rsidR="00A37703" w:rsidRPr="00133C2E" w:rsidRDefault="00A37703" w:rsidP="003F7032">
    <w:pPr>
      <w:ind w:left="0"/>
      <w:jc w:val="both"/>
      <w:rPr>
        <w:rFonts w:ascii="Bookman Old Style" w:hAnsi="Bookman Old Style"/>
        <w:i/>
      </w:rPr>
    </w:pPr>
    <w:r>
      <w:rPr>
        <w:rFonts w:ascii="Bookman Old Style" w:hAnsi="Bookman Old Style"/>
        <w:i/>
      </w:rP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8EAF" w14:textId="77777777" w:rsidR="00144DFF" w:rsidRDefault="00144DFF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República de Colombia</w:t>
    </w:r>
  </w:p>
  <w:p w14:paraId="511DBE2B" w14:textId="77777777" w:rsidR="00144DFF" w:rsidRDefault="00144DFF">
    <w:pPr>
      <w:pStyle w:val="Encabezado"/>
      <w:jc w:val="center"/>
      <w:rPr>
        <w:rFonts w:ascii="Arial" w:hAnsi="Arial" w:cs="Arial"/>
        <w:spacing w:val="20"/>
        <w:sz w:val="20"/>
      </w:rPr>
    </w:pPr>
  </w:p>
  <w:p w14:paraId="7D15555A" w14:textId="77777777" w:rsidR="00144DFF" w:rsidRDefault="00144DFF" w:rsidP="00CA77FB">
    <w:pPr>
      <w:pStyle w:val="Encabezado"/>
      <w:jc w:val="center"/>
    </w:pPr>
    <w:r w:rsidRPr="0042068C"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17D3EC9" wp14:editId="1CDE938B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9525" t="14605" r="9525" b="1397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DC52A3" id="Rectangle 2" o:spid="_x0000_s1026" style="position:absolute;margin-left:-16.8pt;margin-top:29.7pt;width:499.5pt;height:77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12801E2"/>
    <w:multiLevelType w:val="hybridMultilevel"/>
    <w:tmpl w:val="DBD61922"/>
    <w:lvl w:ilvl="0" w:tplc="240A000F">
      <w:start w:val="1"/>
      <w:numFmt w:val="decimal"/>
      <w:lvlText w:val="%1."/>
      <w:lvlJc w:val="left"/>
      <w:pPr>
        <w:ind w:left="1287" w:hanging="360"/>
      </w:pPr>
    </w:lvl>
    <w:lvl w:ilvl="1" w:tplc="240A0019">
      <w:start w:val="1"/>
      <w:numFmt w:val="lowerLetter"/>
      <w:lvlText w:val="%2."/>
      <w:lvlJc w:val="left"/>
      <w:pPr>
        <w:ind w:left="2007" w:hanging="360"/>
      </w:pPr>
    </w:lvl>
    <w:lvl w:ilvl="2" w:tplc="240A001B">
      <w:start w:val="1"/>
      <w:numFmt w:val="lowerRoman"/>
      <w:lvlText w:val="%3."/>
      <w:lvlJc w:val="right"/>
      <w:pPr>
        <w:ind w:left="2727" w:hanging="180"/>
      </w:pPr>
    </w:lvl>
    <w:lvl w:ilvl="3" w:tplc="240A000F">
      <w:start w:val="1"/>
      <w:numFmt w:val="decimal"/>
      <w:lvlText w:val="%4."/>
      <w:lvlJc w:val="left"/>
      <w:pPr>
        <w:ind w:left="3447" w:hanging="360"/>
      </w:pPr>
    </w:lvl>
    <w:lvl w:ilvl="4" w:tplc="240A0019" w:tentative="1">
      <w:start w:val="1"/>
      <w:numFmt w:val="lowerLetter"/>
      <w:lvlText w:val="%5."/>
      <w:lvlJc w:val="left"/>
      <w:pPr>
        <w:ind w:left="4167" w:hanging="360"/>
      </w:pPr>
    </w:lvl>
    <w:lvl w:ilvl="5" w:tplc="240A001B" w:tentative="1">
      <w:start w:val="1"/>
      <w:numFmt w:val="lowerRoman"/>
      <w:lvlText w:val="%6."/>
      <w:lvlJc w:val="right"/>
      <w:pPr>
        <w:ind w:left="4887" w:hanging="180"/>
      </w:pPr>
    </w:lvl>
    <w:lvl w:ilvl="6" w:tplc="240A000F" w:tentative="1">
      <w:start w:val="1"/>
      <w:numFmt w:val="decimal"/>
      <w:lvlText w:val="%7."/>
      <w:lvlJc w:val="left"/>
      <w:pPr>
        <w:ind w:left="5607" w:hanging="360"/>
      </w:pPr>
    </w:lvl>
    <w:lvl w:ilvl="7" w:tplc="240A0019" w:tentative="1">
      <w:start w:val="1"/>
      <w:numFmt w:val="lowerLetter"/>
      <w:lvlText w:val="%8."/>
      <w:lvlJc w:val="left"/>
      <w:pPr>
        <w:ind w:left="6327" w:hanging="360"/>
      </w:pPr>
    </w:lvl>
    <w:lvl w:ilvl="8" w:tplc="2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A4E167B"/>
    <w:multiLevelType w:val="hybridMultilevel"/>
    <w:tmpl w:val="C9F430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34E68"/>
    <w:multiLevelType w:val="hybridMultilevel"/>
    <w:tmpl w:val="AB9E58D8"/>
    <w:lvl w:ilvl="0" w:tplc="2990F024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704D3"/>
    <w:multiLevelType w:val="hybridMultilevel"/>
    <w:tmpl w:val="BAC227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F1C7E"/>
    <w:multiLevelType w:val="hybridMultilevel"/>
    <w:tmpl w:val="AB9E58D8"/>
    <w:lvl w:ilvl="0" w:tplc="2990F024">
      <w:start w:val="1"/>
      <w:numFmt w:val="decimal"/>
      <w:lvlText w:val="Artículo 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43BDE"/>
    <w:multiLevelType w:val="hybridMultilevel"/>
    <w:tmpl w:val="88C69FD6"/>
    <w:lvl w:ilvl="0" w:tplc="7EC2704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6397C"/>
    <w:multiLevelType w:val="hybridMultilevel"/>
    <w:tmpl w:val="4510CA24"/>
    <w:lvl w:ilvl="0" w:tplc="240A0017">
      <w:start w:val="1"/>
      <w:numFmt w:val="lowerLetter"/>
      <w:lvlText w:val="%1)"/>
      <w:lvlJc w:val="left"/>
      <w:pPr>
        <w:ind w:left="1522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3" w15:restartNumberingAfterBreak="0">
    <w:nsid w:val="24D95FE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3645B"/>
    <w:multiLevelType w:val="hybridMultilevel"/>
    <w:tmpl w:val="1694859A"/>
    <w:lvl w:ilvl="0" w:tplc="C40C8C5C"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299161C9"/>
    <w:multiLevelType w:val="hybridMultilevel"/>
    <w:tmpl w:val="E5C09086"/>
    <w:lvl w:ilvl="0" w:tplc="CB0AE6F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BEE0B56"/>
    <w:multiLevelType w:val="multilevel"/>
    <w:tmpl w:val="7F7AF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63922"/>
    <w:multiLevelType w:val="hybridMultilevel"/>
    <w:tmpl w:val="23327FA2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6" w15:restartNumberingAfterBreak="0">
    <w:nsid w:val="4A2F3B3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BD56427"/>
    <w:multiLevelType w:val="hybridMultilevel"/>
    <w:tmpl w:val="DC10F046"/>
    <w:lvl w:ilvl="0" w:tplc="240A0019">
      <w:start w:val="1"/>
      <w:numFmt w:val="lowerLetter"/>
      <w:lvlText w:val="%1."/>
      <w:lvlJc w:val="left"/>
      <w:pPr>
        <w:ind w:left="1647" w:hanging="360"/>
      </w:pPr>
    </w:lvl>
    <w:lvl w:ilvl="1" w:tplc="3C5A937A">
      <w:start w:val="1"/>
      <w:numFmt w:val="decimal"/>
      <w:lvlText w:val="%2."/>
      <w:lvlJc w:val="left"/>
      <w:pPr>
        <w:ind w:left="2407" w:hanging="40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3087" w:hanging="180"/>
      </w:pPr>
    </w:lvl>
    <w:lvl w:ilvl="3" w:tplc="240A000F" w:tentative="1">
      <w:start w:val="1"/>
      <w:numFmt w:val="decimal"/>
      <w:lvlText w:val="%4."/>
      <w:lvlJc w:val="left"/>
      <w:pPr>
        <w:ind w:left="3807" w:hanging="360"/>
      </w:pPr>
    </w:lvl>
    <w:lvl w:ilvl="4" w:tplc="240A0019" w:tentative="1">
      <w:start w:val="1"/>
      <w:numFmt w:val="lowerLetter"/>
      <w:lvlText w:val="%5."/>
      <w:lvlJc w:val="left"/>
      <w:pPr>
        <w:ind w:left="4527" w:hanging="360"/>
      </w:pPr>
    </w:lvl>
    <w:lvl w:ilvl="5" w:tplc="240A001B" w:tentative="1">
      <w:start w:val="1"/>
      <w:numFmt w:val="lowerRoman"/>
      <w:lvlText w:val="%6."/>
      <w:lvlJc w:val="right"/>
      <w:pPr>
        <w:ind w:left="5247" w:hanging="180"/>
      </w:pPr>
    </w:lvl>
    <w:lvl w:ilvl="6" w:tplc="240A000F" w:tentative="1">
      <w:start w:val="1"/>
      <w:numFmt w:val="decimal"/>
      <w:lvlText w:val="%7."/>
      <w:lvlJc w:val="left"/>
      <w:pPr>
        <w:ind w:left="5967" w:hanging="360"/>
      </w:pPr>
    </w:lvl>
    <w:lvl w:ilvl="7" w:tplc="240A0019" w:tentative="1">
      <w:start w:val="1"/>
      <w:numFmt w:val="lowerLetter"/>
      <w:lvlText w:val="%8."/>
      <w:lvlJc w:val="left"/>
      <w:pPr>
        <w:ind w:left="6687" w:hanging="360"/>
      </w:pPr>
    </w:lvl>
    <w:lvl w:ilvl="8" w:tplc="2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59E657D"/>
    <w:multiLevelType w:val="hybridMultilevel"/>
    <w:tmpl w:val="C61803D6"/>
    <w:lvl w:ilvl="0" w:tplc="9ED4A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F1FB5"/>
    <w:multiLevelType w:val="hybridMultilevel"/>
    <w:tmpl w:val="46C2CFBA"/>
    <w:lvl w:ilvl="0" w:tplc="240A0019">
      <w:start w:val="1"/>
      <w:numFmt w:val="lowerLetter"/>
      <w:lvlText w:val="%1."/>
      <w:lvlJc w:val="left"/>
      <w:pPr>
        <w:ind w:left="1647" w:hanging="360"/>
      </w:pPr>
    </w:lvl>
    <w:lvl w:ilvl="1" w:tplc="240A0019" w:tentative="1">
      <w:start w:val="1"/>
      <w:numFmt w:val="lowerLetter"/>
      <w:lvlText w:val="%2."/>
      <w:lvlJc w:val="left"/>
      <w:pPr>
        <w:ind w:left="2367" w:hanging="360"/>
      </w:pPr>
    </w:lvl>
    <w:lvl w:ilvl="2" w:tplc="240A001B" w:tentative="1">
      <w:start w:val="1"/>
      <w:numFmt w:val="lowerRoman"/>
      <w:lvlText w:val="%3."/>
      <w:lvlJc w:val="right"/>
      <w:pPr>
        <w:ind w:left="3087" w:hanging="180"/>
      </w:pPr>
    </w:lvl>
    <w:lvl w:ilvl="3" w:tplc="240A000F" w:tentative="1">
      <w:start w:val="1"/>
      <w:numFmt w:val="decimal"/>
      <w:lvlText w:val="%4."/>
      <w:lvlJc w:val="left"/>
      <w:pPr>
        <w:ind w:left="3807" w:hanging="360"/>
      </w:pPr>
    </w:lvl>
    <w:lvl w:ilvl="4" w:tplc="240A0019" w:tentative="1">
      <w:start w:val="1"/>
      <w:numFmt w:val="lowerLetter"/>
      <w:lvlText w:val="%5."/>
      <w:lvlJc w:val="left"/>
      <w:pPr>
        <w:ind w:left="4527" w:hanging="360"/>
      </w:pPr>
    </w:lvl>
    <w:lvl w:ilvl="5" w:tplc="240A001B" w:tentative="1">
      <w:start w:val="1"/>
      <w:numFmt w:val="lowerRoman"/>
      <w:lvlText w:val="%6."/>
      <w:lvlJc w:val="right"/>
      <w:pPr>
        <w:ind w:left="5247" w:hanging="180"/>
      </w:pPr>
    </w:lvl>
    <w:lvl w:ilvl="6" w:tplc="240A000F" w:tentative="1">
      <w:start w:val="1"/>
      <w:numFmt w:val="decimal"/>
      <w:lvlText w:val="%7."/>
      <w:lvlJc w:val="left"/>
      <w:pPr>
        <w:ind w:left="5967" w:hanging="360"/>
      </w:pPr>
    </w:lvl>
    <w:lvl w:ilvl="7" w:tplc="240A0019" w:tentative="1">
      <w:start w:val="1"/>
      <w:numFmt w:val="lowerLetter"/>
      <w:lvlText w:val="%8."/>
      <w:lvlJc w:val="left"/>
      <w:pPr>
        <w:ind w:left="6687" w:hanging="360"/>
      </w:pPr>
    </w:lvl>
    <w:lvl w:ilvl="8" w:tplc="24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 w15:restartNumberingAfterBreak="0">
    <w:nsid w:val="5AAC48EB"/>
    <w:multiLevelType w:val="hybridMultilevel"/>
    <w:tmpl w:val="8430B1EE"/>
    <w:lvl w:ilvl="0" w:tplc="6A640600">
      <w:start w:val="1"/>
      <w:numFmt w:val="decimal"/>
      <w:pStyle w:val="Numeracin"/>
      <w:lvlText w:val="%1."/>
      <w:lvlJc w:val="left"/>
      <w:pPr>
        <w:ind w:left="927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4B150F"/>
    <w:multiLevelType w:val="hybridMultilevel"/>
    <w:tmpl w:val="562099D2"/>
    <w:lvl w:ilvl="0" w:tplc="820C9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4562F2"/>
    <w:multiLevelType w:val="hybridMultilevel"/>
    <w:tmpl w:val="4C1C4C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85A88"/>
    <w:multiLevelType w:val="multilevel"/>
    <w:tmpl w:val="87C28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23FC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41"/>
  </w:num>
  <w:num w:numId="4">
    <w:abstractNumId w:val="14"/>
  </w:num>
  <w:num w:numId="5">
    <w:abstractNumId w:val="32"/>
  </w:num>
  <w:num w:numId="6">
    <w:abstractNumId w:val="5"/>
  </w:num>
  <w:num w:numId="7">
    <w:abstractNumId w:val="4"/>
  </w:num>
  <w:num w:numId="8">
    <w:abstractNumId w:val="35"/>
  </w:num>
  <w:num w:numId="9">
    <w:abstractNumId w:val="33"/>
  </w:num>
  <w:num w:numId="10">
    <w:abstractNumId w:val="24"/>
  </w:num>
  <w:num w:numId="11">
    <w:abstractNumId w:val="42"/>
  </w:num>
  <w:num w:numId="12">
    <w:abstractNumId w:val="39"/>
  </w:num>
  <w:num w:numId="13">
    <w:abstractNumId w:val="21"/>
  </w:num>
  <w:num w:numId="14">
    <w:abstractNumId w:val="3"/>
  </w:num>
  <w:num w:numId="15">
    <w:abstractNumId w:val="25"/>
  </w:num>
  <w:num w:numId="16">
    <w:abstractNumId w:val="1"/>
  </w:num>
  <w:num w:numId="17">
    <w:abstractNumId w:val="20"/>
  </w:num>
  <w:num w:numId="18">
    <w:abstractNumId w:val="0"/>
  </w:num>
  <w:num w:numId="19">
    <w:abstractNumId w:val="37"/>
  </w:num>
  <w:num w:numId="20">
    <w:abstractNumId w:val="28"/>
  </w:num>
  <w:num w:numId="21">
    <w:abstractNumId w:val="15"/>
  </w:num>
  <w:num w:numId="22">
    <w:abstractNumId w:val="19"/>
  </w:num>
  <w:num w:numId="23">
    <w:abstractNumId w:val="31"/>
  </w:num>
  <w:num w:numId="24">
    <w:abstractNumId w:val="2"/>
  </w:num>
  <w:num w:numId="25">
    <w:abstractNumId w:val="27"/>
  </w:num>
  <w:num w:numId="26">
    <w:abstractNumId w:val="30"/>
  </w:num>
  <w:num w:numId="27">
    <w:abstractNumId w:val="40"/>
  </w:num>
  <w:num w:numId="28">
    <w:abstractNumId w:val="26"/>
  </w:num>
  <w:num w:numId="29">
    <w:abstractNumId w:val="13"/>
  </w:num>
  <w:num w:numId="30">
    <w:abstractNumId w:val="31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10"/>
  </w:num>
  <w:num w:numId="33">
    <w:abstractNumId w:val="7"/>
  </w:num>
  <w:num w:numId="34">
    <w:abstractNumId w:val="18"/>
  </w:num>
  <w:num w:numId="35">
    <w:abstractNumId w:val="6"/>
  </w:num>
  <w:num w:numId="36">
    <w:abstractNumId w:val="12"/>
  </w:num>
  <w:num w:numId="37">
    <w:abstractNumId w:val="9"/>
  </w:num>
  <w:num w:numId="38">
    <w:abstractNumId w:val="38"/>
  </w:num>
  <w:num w:numId="39">
    <w:abstractNumId w:val="11"/>
  </w:num>
  <w:num w:numId="40">
    <w:abstractNumId w:val="34"/>
  </w:num>
  <w:num w:numId="41">
    <w:abstractNumId w:val="17"/>
  </w:num>
  <w:num w:numId="42">
    <w:abstractNumId w:val="22"/>
  </w:num>
  <w:num w:numId="43">
    <w:abstractNumId w:val="29"/>
  </w:num>
  <w:num w:numId="44">
    <w:abstractNumId w:val="16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6AE2"/>
    <w:rsid w:val="000076A1"/>
    <w:rsid w:val="00012259"/>
    <w:rsid w:val="0001333F"/>
    <w:rsid w:val="00020BC9"/>
    <w:rsid w:val="00021561"/>
    <w:rsid w:val="00025383"/>
    <w:rsid w:val="00026700"/>
    <w:rsid w:val="0003231F"/>
    <w:rsid w:val="00045037"/>
    <w:rsid w:val="00045D3D"/>
    <w:rsid w:val="00054F79"/>
    <w:rsid w:val="00055837"/>
    <w:rsid w:val="00063657"/>
    <w:rsid w:val="000675D6"/>
    <w:rsid w:val="00067C79"/>
    <w:rsid w:val="00076680"/>
    <w:rsid w:val="00076A1D"/>
    <w:rsid w:val="0008073E"/>
    <w:rsid w:val="00085F75"/>
    <w:rsid w:val="00086945"/>
    <w:rsid w:val="00091CDB"/>
    <w:rsid w:val="00097220"/>
    <w:rsid w:val="000A19AC"/>
    <w:rsid w:val="000B2EC9"/>
    <w:rsid w:val="000C1FB2"/>
    <w:rsid w:val="000C4C35"/>
    <w:rsid w:val="000C70BC"/>
    <w:rsid w:val="000D26F8"/>
    <w:rsid w:val="000D3E51"/>
    <w:rsid w:val="000E5285"/>
    <w:rsid w:val="000F0550"/>
    <w:rsid w:val="00106654"/>
    <w:rsid w:val="00133C2E"/>
    <w:rsid w:val="0013526C"/>
    <w:rsid w:val="001405C6"/>
    <w:rsid w:val="00141013"/>
    <w:rsid w:val="00144DFF"/>
    <w:rsid w:val="0014651F"/>
    <w:rsid w:val="00166B7E"/>
    <w:rsid w:val="00172946"/>
    <w:rsid w:val="00177292"/>
    <w:rsid w:val="00192CBF"/>
    <w:rsid w:val="00192F7A"/>
    <w:rsid w:val="00192FF1"/>
    <w:rsid w:val="001A170F"/>
    <w:rsid w:val="001A4478"/>
    <w:rsid w:val="001A5F1B"/>
    <w:rsid w:val="001B1C22"/>
    <w:rsid w:val="001B34C6"/>
    <w:rsid w:val="001C35E4"/>
    <w:rsid w:val="001C670F"/>
    <w:rsid w:val="001D7832"/>
    <w:rsid w:val="001E0BF0"/>
    <w:rsid w:val="001E3149"/>
    <w:rsid w:val="001F1DF8"/>
    <w:rsid w:val="00210DC1"/>
    <w:rsid w:val="00211D34"/>
    <w:rsid w:val="00214F04"/>
    <w:rsid w:val="002161CB"/>
    <w:rsid w:val="00227820"/>
    <w:rsid w:val="002352B9"/>
    <w:rsid w:val="00242C6F"/>
    <w:rsid w:val="0024662D"/>
    <w:rsid w:val="00246929"/>
    <w:rsid w:val="00253B8B"/>
    <w:rsid w:val="00254494"/>
    <w:rsid w:val="002615F1"/>
    <w:rsid w:val="00261709"/>
    <w:rsid w:val="00266CD6"/>
    <w:rsid w:val="002673AC"/>
    <w:rsid w:val="002710F5"/>
    <w:rsid w:val="00271A69"/>
    <w:rsid w:val="00271E1C"/>
    <w:rsid w:val="002734A8"/>
    <w:rsid w:val="00275DAB"/>
    <w:rsid w:val="002766AD"/>
    <w:rsid w:val="00282A84"/>
    <w:rsid w:val="002903C0"/>
    <w:rsid w:val="002A782A"/>
    <w:rsid w:val="002B11E2"/>
    <w:rsid w:val="002B24B8"/>
    <w:rsid w:val="002C110D"/>
    <w:rsid w:val="002C5547"/>
    <w:rsid w:val="002D0E6E"/>
    <w:rsid w:val="002D3AE9"/>
    <w:rsid w:val="002D4510"/>
    <w:rsid w:val="002E41B4"/>
    <w:rsid w:val="002E7429"/>
    <w:rsid w:val="002F0734"/>
    <w:rsid w:val="002F46E7"/>
    <w:rsid w:val="00301719"/>
    <w:rsid w:val="003101DA"/>
    <w:rsid w:val="003111C3"/>
    <w:rsid w:val="00314757"/>
    <w:rsid w:val="003163BC"/>
    <w:rsid w:val="003211CE"/>
    <w:rsid w:val="00324836"/>
    <w:rsid w:val="003337D0"/>
    <w:rsid w:val="00336E51"/>
    <w:rsid w:val="00344DD9"/>
    <w:rsid w:val="00345D60"/>
    <w:rsid w:val="00347E90"/>
    <w:rsid w:val="0035403A"/>
    <w:rsid w:val="0036394B"/>
    <w:rsid w:val="00363A18"/>
    <w:rsid w:val="00366DB6"/>
    <w:rsid w:val="00370799"/>
    <w:rsid w:val="003709B5"/>
    <w:rsid w:val="003759C2"/>
    <w:rsid w:val="003811F8"/>
    <w:rsid w:val="003821E5"/>
    <w:rsid w:val="0038723F"/>
    <w:rsid w:val="00397365"/>
    <w:rsid w:val="003A31F6"/>
    <w:rsid w:val="003B0A93"/>
    <w:rsid w:val="003C3447"/>
    <w:rsid w:val="003D076C"/>
    <w:rsid w:val="003D4B0F"/>
    <w:rsid w:val="003E0BA8"/>
    <w:rsid w:val="003E2E5E"/>
    <w:rsid w:val="003E78B5"/>
    <w:rsid w:val="003F7032"/>
    <w:rsid w:val="00410E0C"/>
    <w:rsid w:val="00415905"/>
    <w:rsid w:val="00415BAB"/>
    <w:rsid w:val="00415ED2"/>
    <w:rsid w:val="0042068C"/>
    <w:rsid w:val="00432C1E"/>
    <w:rsid w:val="0043706C"/>
    <w:rsid w:val="00441572"/>
    <w:rsid w:val="0044318E"/>
    <w:rsid w:val="00443B35"/>
    <w:rsid w:val="0044646D"/>
    <w:rsid w:val="00451B33"/>
    <w:rsid w:val="00460E27"/>
    <w:rsid w:val="004656BD"/>
    <w:rsid w:val="0047122B"/>
    <w:rsid w:val="00473B7A"/>
    <w:rsid w:val="004822DB"/>
    <w:rsid w:val="004960E9"/>
    <w:rsid w:val="004A2E88"/>
    <w:rsid w:val="004A5305"/>
    <w:rsid w:val="004D2890"/>
    <w:rsid w:val="004D7634"/>
    <w:rsid w:val="004E611A"/>
    <w:rsid w:val="004E7CE7"/>
    <w:rsid w:val="004F6460"/>
    <w:rsid w:val="00510208"/>
    <w:rsid w:val="005140CB"/>
    <w:rsid w:val="005300D3"/>
    <w:rsid w:val="00533FAD"/>
    <w:rsid w:val="00542A10"/>
    <w:rsid w:val="00544F82"/>
    <w:rsid w:val="005509D2"/>
    <w:rsid w:val="00552DAB"/>
    <w:rsid w:val="00560208"/>
    <w:rsid w:val="00590172"/>
    <w:rsid w:val="00593C4F"/>
    <w:rsid w:val="005946A8"/>
    <w:rsid w:val="005A4407"/>
    <w:rsid w:val="005A59EF"/>
    <w:rsid w:val="005A6182"/>
    <w:rsid w:val="005B1C7E"/>
    <w:rsid w:val="005B28E8"/>
    <w:rsid w:val="005B662D"/>
    <w:rsid w:val="005C0254"/>
    <w:rsid w:val="005C6976"/>
    <w:rsid w:val="005D3884"/>
    <w:rsid w:val="005D62A4"/>
    <w:rsid w:val="005F6F41"/>
    <w:rsid w:val="00600460"/>
    <w:rsid w:val="00602F23"/>
    <w:rsid w:val="00603B97"/>
    <w:rsid w:val="006075FA"/>
    <w:rsid w:val="006215CC"/>
    <w:rsid w:val="00625DC6"/>
    <w:rsid w:val="00640B15"/>
    <w:rsid w:val="0064391D"/>
    <w:rsid w:val="00651821"/>
    <w:rsid w:val="00654384"/>
    <w:rsid w:val="00654EB9"/>
    <w:rsid w:val="006675CD"/>
    <w:rsid w:val="00683BDF"/>
    <w:rsid w:val="00684D9B"/>
    <w:rsid w:val="0068510A"/>
    <w:rsid w:val="00697556"/>
    <w:rsid w:val="006A51FB"/>
    <w:rsid w:val="006B2722"/>
    <w:rsid w:val="006B4647"/>
    <w:rsid w:val="006B4C2B"/>
    <w:rsid w:val="006B6194"/>
    <w:rsid w:val="006B6D47"/>
    <w:rsid w:val="006C2A67"/>
    <w:rsid w:val="006C5AFE"/>
    <w:rsid w:val="006E6A60"/>
    <w:rsid w:val="006F2EC8"/>
    <w:rsid w:val="006F6D95"/>
    <w:rsid w:val="006F747D"/>
    <w:rsid w:val="00706F13"/>
    <w:rsid w:val="007072E8"/>
    <w:rsid w:val="007075EC"/>
    <w:rsid w:val="0071618D"/>
    <w:rsid w:val="00725FA4"/>
    <w:rsid w:val="00740446"/>
    <w:rsid w:val="007438A9"/>
    <w:rsid w:val="0074491E"/>
    <w:rsid w:val="007519F8"/>
    <w:rsid w:val="0076247A"/>
    <w:rsid w:val="00766E80"/>
    <w:rsid w:val="00772168"/>
    <w:rsid w:val="00775964"/>
    <w:rsid w:val="007765FE"/>
    <w:rsid w:val="00780288"/>
    <w:rsid w:val="007857C1"/>
    <w:rsid w:val="00785E91"/>
    <w:rsid w:val="00786BF6"/>
    <w:rsid w:val="007873B7"/>
    <w:rsid w:val="0078785F"/>
    <w:rsid w:val="007879FE"/>
    <w:rsid w:val="00793B74"/>
    <w:rsid w:val="00794E2E"/>
    <w:rsid w:val="00795BFB"/>
    <w:rsid w:val="007A0004"/>
    <w:rsid w:val="007A4A18"/>
    <w:rsid w:val="007B2760"/>
    <w:rsid w:val="007D69FA"/>
    <w:rsid w:val="007E2F12"/>
    <w:rsid w:val="007E421F"/>
    <w:rsid w:val="007E6697"/>
    <w:rsid w:val="007F2AB5"/>
    <w:rsid w:val="00806C01"/>
    <w:rsid w:val="008074C9"/>
    <w:rsid w:val="00812264"/>
    <w:rsid w:val="00813BE7"/>
    <w:rsid w:val="008148CC"/>
    <w:rsid w:val="008158CF"/>
    <w:rsid w:val="008211A4"/>
    <w:rsid w:val="008232E5"/>
    <w:rsid w:val="0084693A"/>
    <w:rsid w:val="00850EF6"/>
    <w:rsid w:val="0085180C"/>
    <w:rsid w:val="00852F73"/>
    <w:rsid w:val="00856B1B"/>
    <w:rsid w:val="0086253B"/>
    <w:rsid w:val="00866279"/>
    <w:rsid w:val="00873150"/>
    <w:rsid w:val="0087657D"/>
    <w:rsid w:val="008807D5"/>
    <w:rsid w:val="00880832"/>
    <w:rsid w:val="00882C61"/>
    <w:rsid w:val="00885879"/>
    <w:rsid w:val="00886EE1"/>
    <w:rsid w:val="0088727D"/>
    <w:rsid w:val="00895B99"/>
    <w:rsid w:val="00897C75"/>
    <w:rsid w:val="008A01E1"/>
    <w:rsid w:val="008A5268"/>
    <w:rsid w:val="008A7A76"/>
    <w:rsid w:val="008B2E33"/>
    <w:rsid w:val="008C1130"/>
    <w:rsid w:val="008C71D2"/>
    <w:rsid w:val="008D18E6"/>
    <w:rsid w:val="008D1CE1"/>
    <w:rsid w:val="008D7A9B"/>
    <w:rsid w:val="008E0060"/>
    <w:rsid w:val="008E360C"/>
    <w:rsid w:val="008E7091"/>
    <w:rsid w:val="008E76AC"/>
    <w:rsid w:val="008F21F6"/>
    <w:rsid w:val="0091503C"/>
    <w:rsid w:val="00921870"/>
    <w:rsid w:val="0092230D"/>
    <w:rsid w:val="009325BB"/>
    <w:rsid w:val="009432A0"/>
    <w:rsid w:val="00943514"/>
    <w:rsid w:val="00951F79"/>
    <w:rsid w:val="00957D56"/>
    <w:rsid w:val="009711E2"/>
    <w:rsid w:val="00974AB5"/>
    <w:rsid w:val="009851AE"/>
    <w:rsid w:val="0098706D"/>
    <w:rsid w:val="00991C29"/>
    <w:rsid w:val="009935FB"/>
    <w:rsid w:val="009965E0"/>
    <w:rsid w:val="009A0267"/>
    <w:rsid w:val="009A71EF"/>
    <w:rsid w:val="009B2F67"/>
    <w:rsid w:val="009B443C"/>
    <w:rsid w:val="009C2787"/>
    <w:rsid w:val="009C3FF6"/>
    <w:rsid w:val="009F4A54"/>
    <w:rsid w:val="009F4BEC"/>
    <w:rsid w:val="009F5874"/>
    <w:rsid w:val="00A01468"/>
    <w:rsid w:val="00A1149B"/>
    <w:rsid w:val="00A179DD"/>
    <w:rsid w:val="00A25CDB"/>
    <w:rsid w:val="00A25FD7"/>
    <w:rsid w:val="00A37703"/>
    <w:rsid w:val="00A37E36"/>
    <w:rsid w:val="00A43AFF"/>
    <w:rsid w:val="00A71FDB"/>
    <w:rsid w:val="00A7793A"/>
    <w:rsid w:val="00A822E9"/>
    <w:rsid w:val="00A96F6C"/>
    <w:rsid w:val="00AA0674"/>
    <w:rsid w:val="00AA22DE"/>
    <w:rsid w:val="00AA4CC7"/>
    <w:rsid w:val="00AA5164"/>
    <w:rsid w:val="00AA5E8E"/>
    <w:rsid w:val="00AA7940"/>
    <w:rsid w:val="00AB2BAD"/>
    <w:rsid w:val="00AB6CA7"/>
    <w:rsid w:val="00AC7E8C"/>
    <w:rsid w:val="00AD01E4"/>
    <w:rsid w:val="00AD0858"/>
    <w:rsid w:val="00AD1538"/>
    <w:rsid w:val="00AD3782"/>
    <w:rsid w:val="00AE0040"/>
    <w:rsid w:val="00AE02E3"/>
    <w:rsid w:val="00AE7340"/>
    <w:rsid w:val="00AF0338"/>
    <w:rsid w:val="00AF1BBD"/>
    <w:rsid w:val="00B10207"/>
    <w:rsid w:val="00B141E7"/>
    <w:rsid w:val="00B209A5"/>
    <w:rsid w:val="00B20D8E"/>
    <w:rsid w:val="00B21011"/>
    <w:rsid w:val="00B212CC"/>
    <w:rsid w:val="00B23DC3"/>
    <w:rsid w:val="00B34CED"/>
    <w:rsid w:val="00B351B4"/>
    <w:rsid w:val="00B368C1"/>
    <w:rsid w:val="00B45CD8"/>
    <w:rsid w:val="00B46BCA"/>
    <w:rsid w:val="00B478AA"/>
    <w:rsid w:val="00B55E33"/>
    <w:rsid w:val="00B567F8"/>
    <w:rsid w:val="00B6562C"/>
    <w:rsid w:val="00B67906"/>
    <w:rsid w:val="00B84F72"/>
    <w:rsid w:val="00B87806"/>
    <w:rsid w:val="00B87EC9"/>
    <w:rsid w:val="00B94B5C"/>
    <w:rsid w:val="00BB673D"/>
    <w:rsid w:val="00BB7A98"/>
    <w:rsid w:val="00BC2133"/>
    <w:rsid w:val="00BC2523"/>
    <w:rsid w:val="00BC38FD"/>
    <w:rsid w:val="00BC606A"/>
    <w:rsid w:val="00BD0A5A"/>
    <w:rsid w:val="00BD5AC3"/>
    <w:rsid w:val="00BD7A67"/>
    <w:rsid w:val="00C034CB"/>
    <w:rsid w:val="00C04BED"/>
    <w:rsid w:val="00C051A8"/>
    <w:rsid w:val="00C054BC"/>
    <w:rsid w:val="00C0681D"/>
    <w:rsid w:val="00C077BB"/>
    <w:rsid w:val="00C17897"/>
    <w:rsid w:val="00C2093A"/>
    <w:rsid w:val="00C409D5"/>
    <w:rsid w:val="00C41252"/>
    <w:rsid w:val="00C435C3"/>
    <w:rsid w:val="00C4486D"/>
    <w:rsid w:val="00C44E5F"/>
    <w:rsid w:val="00C51B7C"/>
    <w:rsid w:val="00C56158"/>
    <w:rsid w:val="00C6234B"/>
    <w:rsid w:val="00C63EAE"/>
    <w:rsid w:val="00C73260"/>
    <w:rsid w:val="00C7629F"/>
    <w:rsid w:val="00C8661B"/>
    <w:rsid w:val="00CA03C8"/>
    <w:rsid w:val="00CA0DF3"/>
    <w:rsid w:val="00CA139A"/>
    <w:rsid w:val="00CA2899"/>
    <w:rsid w:val="00CA3A3D"/>
    <w:rsid w:val="00CA3AA6"/>
    <w:rsid w:val="00CA4180"/>
    <w:rsid w:val="00CA4926"/>
    <w:rsid w:val="00CA4B2F"/>
    <w:rsid w:val="00CA6EC3"/>
    <w:rsid w:val="00CA77FB"/>
    <w:rsid w:val="00CB1407"/>
    <w:rsid w:val="00CB379B"/>
    <w:rsid w:val="00CB5A21"/>
    <w:rsid w:val="00CB5DD0"/>
    <w:rsid w:val="00CC2007"/>
    <w:rsid w:val="00CC51D4"/>
    <w:rsid w:val="00CC58DE"/>
    <w:rsid w:val="00CC65DA"/>
    <w:rsid w:val="00CF1239"/>
    <w:rsid w:val="00CF21B9"/>
    <w:rsid w:val="00CF3BE2"/>
    <w:rsid w:val="00CF6BF9"/>
    <w:rsid w:val="00D03800"/>
    <w:rsid w:val="00D065D3"/>
    <w:rsid w:val="00D11479"/>
    <w:rsid w:val="00D14C94"/>
    <w:rsid w:val="00D22DA3"/>
    <w:rsid w:val="00D32274"/>
    <w:rsid w:val="00D342A6"/>
    <w:rsid w:val="00D3586C"/>
    <w:rsid w:val="00D3732E"/>
    <w:rsid w:val="00D44AFB"/>
    <w:rsid w:val="00D45CA6"/>
    <w:rsid w:val="00D464BF"/>
    <w:rsid w:val="00D53D9C"/>
    <w:rsid w:val="00D53E26"/>
    <w:rsid w:val="00D57FD9"/>
    <w:rsid w:val="00D64F32"/>
    <w:rsid w:val="00D66884"/>
    <w:rsid w:val="00D84AB9"/>
    <w:rsid w:val="00D86966"/>
    <w:rsid w:val="00DA0451"/>
    <w:rsid w:val="00DA4FDA"/>
    <w:rsid w:val="00DB1238"/>
    <w:rsid w:val="00DB182C"/>
    <w:rsid w:val="00DC59BC"/>
    <w:rsid w:val="00DC6851"/>
    <w:rsid w:val="00DD4F0E"/>
    <w:rsid w:val="00DE0EAF"/>
    <w:rsid w:val="00DE4234"/>
    <w:rsid w:val="00DE4C60"/>
    <w:rsid w:val="00DF0BF0"/>
    <w:rsid w:val="00DF2CD7"/>
    <w:rsid w:val="00DF3CA2"/>
    <w:rsid w:val="00DF3E24"/>
    <w:rsid w:val="00E01463"/>
    <w:rsid w:val="00E05E0A"/>
    <w:rsid w:val="00E060BE"/>
    <w:rsid w:val="00E12C46"/>
    <w:rsid w:val="00E215FE"/>
    <w:rsid w:val="00E32450"/>
    <w:rsid w:val="00E534CF"/>
    <w:rsid w:val="00E542D6"/>
    <w:rsid w:val="00E56DE1"/>
    <w:rsid w:val="00E71E8D"/>
    <w:rsid w:val="00E74A13"/>
    <w:rsid w:val="00E81CB4"/>
    <w:rsid w:val="00E8271A"/>
    <w:rsid w:val="00E8585B"/>
    <w:rsid w:val="00E865BD"/>
    <w:rsid w:val="00E87F41"/>
    <w:rsid w:val="00E9108C"/>
    <w:rsid w:val="00E91CAE"/>
    <w:rsid w:val="00EA2F07"/>
    <w:rsid w:val="00EA3F15"/>
    <w:rsid w:val="00EA7481"/>
    <w:rsid w:val="00EA7847"/>
    <w:rsid w:val="00EB064A"/>
    <w:rsid w:val="00EB464F"/>
    <w:rsid w:val="00EB4C2F"/>
    <w:rsid w:val="00EE1824"/>
    <w:rsid w:val="00EE2E6E"/>
    <w:rsid w:val="00F01EEE"/>
    <w:rsid w:val="00F03EF9"/>
    <w:rsid w:val="00F0759E"/>
    <w:rsid w:val="00F13CB1"/>
    <w:rsid w:val="00F16A43"/>
    <w:rsid w:val="00F17FAC"/>
    <w:rsid w:val="00F2765F"/>
    <w:rsid w:val="00F40AAB"/>
    <w:rsid w:val="00F46780"/>
    <w:rsid w:val="00F77D2D"/>
    <w:rsid w:val="00F821A3"/>
    <w:rsid w:val="00F9314A"/>
    <w:rsid w:val="00F940B2"/>
    <w:rsid w:val="00F974D6"/>
    <w:rsid w:val="00FA117B"/>
    <w:rsid w:val="00FC58EF"/>
    <w:rsid w:val="00FD0865"/>
    <w:rsid w:val="00FD30B8"/>
    <w:rsid w:val="00FD33DF"/>
    <w:rsid w:val="00FE0DD8"/>
    <w:rsid w:val="00FE39D7"/>
    <w:rsid w:val="00FE5690"/>
    <w:rsid w:val="00FF07E5"/>
    <w:rsid w:val="00FF67B8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3004464C"/>
  <w15:chartTrackingRefBased/>
  <w15:docId w15:val="{58EB9C1C-D554-40B0-B54C-325747AD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 w:cs="Arial"/>
      <w:b/>
      <w:bCs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 w:cs="Arial"/>
      <w:b/>
      <w:bCs/>
      <w:spacing w:val="-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aliases w:val="Párrafo de lista1"/>
    <w:basedOn w:val="Normal"/>
    <w:link w:val="PrrafodelistaCar"/>
    <w:qFormat/>
    <w:rsid w:val="001405C6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aliases w:val="Párrafo de lista1 Car"/>
    <w:link w:val="Prrafodelista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customStyle="1" w:styleId="Epgrafe">
    <w:name w:val="Epígrafe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785E9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785E91"/>
    <w:pPr>
      <w:ind w:left="0"/>
      <w:jc w:val="both"/>
    </w:pPr>
    <w:rPr>
      <w:rFonts w:ascii="CG Times (W1)" w:hAnsi="CG Times (W1)"/>
      <w:sz w:val="20"/>
      <w:szCs w:val="20"/>
      <w:lang w:val="es-ES_tradnl"/>
    </w:rPr>
  </w:style>
  <w:style w:type="character" w:customStyle="1" w:styleId="TextonotapieCar">
    <w:name w:val="Texto nota pie Car"/>
    <w:link w:val="Textonotapie"/>
    <w:uiPriority w:val="99"/>
    <w:semiHidden/>
    <w:rsid w:val="00785E91"/>
    <w:rPr>
      <w:rFonts w:ascii="CG Times (W1)" w:hAnsi="CG Times (W1)"/>
      <w:lang w:val="es-ES_tradnl" w:eastAsia="es-ES"/>
    </w:rPr>
  </w:style>
  <w:style w:type="paragraph" w:customStyle="1" w:styleId="Numeracin">
    <w:name w:val="Numeración"/>
    <w:basedOn w:val="Prrafodelista"/>
    <w:link w:val="NumeracinCar"/>
    <w:qFormat/>
    <w:rsid w:val="00FF07E5"/>
    <w:pPr>
      <w:numPr>
        <w:numId w:val="23"/>
      </w:numPr>
      <w:tabs>
        <w:tab w:val="left" w:pos="284"/>
      </w:tabs>
      <w:spacing w:before="120" w:after="120"/>
      <w:ind w:left="924" w:hanging="357"/>
      <w:jc w:val="both"/>
    </w:pPr>
    <w:rPr>
      <w:rFonts w:ascii="Bookman Old Style" w:hAnsi="Bookman Old Style"/>
      <w:sz w:val="24"/>
    </w:rPr>
  </w:style>
  <w:style w:type="character" w:customStyle="1" w:styleId="NumeracinCar">
    <w:name w:val="Numeración Car"/>
    <w:link w:val="Numeracin"/>
    <w:rsid w:val="00FF07E5"/>
    <w:rPr>
      <w:rFonts w:ascii="Bookman Old Style" w:hAnsi="Bookman Old Style"/>
      <w:sz w:val="24"/>
      <w:lang w:eastAsia="es-ES"/>
    </w:rPr>
  </w:style>
  <w:style w:type="character" w:styleId="Refdecomentario">
    <w:name w:val="annotation reference"/>
    <w:uiPriority w:val="99"/>
    <w:semiHidden/>
    <w:unhideWhenUsed/>
    <w:rsid w:val="005602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020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60208"/>
    <w:rPr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D66884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D4B0F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11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A117B"/>
    <w:rPr>
      <w:b/>
      <w:bCs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22DA3"/>
    <w:pPr>
      <w:spacing w:before="100" w:beforeAutospacing="1" w:after="100" w:afterAutospacing="1"/>
      <w:ind w:left="0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6075FA"/>
  </w:style>
  <w:style w:type="character" w:customStyle="1" w:styleId="eop">
    <w:name w:val="eop"/>
    <w:basedOn w:val="Fuentedeprrafopredeter"/>
    <w:rsid w:val="0060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xbase.biz/lexbase/normas/leyes/1994/L0142de1994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DDBF8EA4AC10409E5DD136B884FF26" ma:contentTypeVersion="6" ma:contentTypeDescription="Crear nuevo documento." ma:contentTypeScope="" ma:versionID="ad9f67129c7c1b57f3e379657ef6ee3d">
  <xsd:schema xmlns:xsd="http://www.w3.org/2001/XMLSchema" xmlns:xs="http://www.w3.org/2001/XMLSchema" xmlns:p="http://schemas.microsoft.com/office/2006/metadata/properties" xmlns:ns2="dc013113-1dca-4df1-85dc-f9b02cbd6c8a" targetNamespace="http://schemas.microsoft.com/office/2006/metadata/properties" ma:root="true" ma:fieldsID="a45fadda117c48f7ecaf60d7c5d56dc1" ns2:_="">
    <xsd:import namespace="dc013113-1dca-4df1-85dc-f9b02cbd6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13113-1dca-4df1-85dc-f9b02cbd6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54D05-0C80-4D12-B169-789F1F67E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D3AFF-8360-4CCC-97C6-4D4BA0EF26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96F78-FAD4-4207-8385-566E5C1D9F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3013A3-4164-42EC-AEF2-FE0FAC6B6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13113-1dca-4df1-85dc-f9b02cbd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1</TotalTime>
  <Pages>7</Pages>
  <Words>2573</Words>
  <Characters>13310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15852</CharactersWithSpaces>
  <SharedDoc>false</SharedDoc>
  <HLinks>
    <vt:vector size="12" baseType="variant">
      <vt:variant>
        <vt:i4>4259861</vt:i4>
      </vt:variant>
      <vt:variant>
        <vt:i4>3</vt:i4>
      </vt:variant>
      <vt:variant>
        <vt:i4>0</vt:i4>
      </vt:variant>
      <vt:variant>
        <vt:i4>5</vt:i4>
      </vt:variant>
      <vt:variant>
        <vt:lpwstr>http://www.lexbase.biz/lexbase/normas/leyes/1994/L0142de1994.htm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cp:lastModifiedBy>Diana Patino</cp:lastModifiedBy>
  <cp:revision>2</cp:revision>
  <cp:lastPrinted>2021-08-05T15:19:00Z</cp:lastPrinted>
  <dcterms:created xsi:type="dcterms:W3CDTF">2021-08-11T14:43:00Z</dcterms:created>
  <dcterms:modified xsi:type="dcterms:W3CDTF">2021-08-11T14:43:00Z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0x010100F9DDBF8EA4AC10409E5DD136B884FF26</vt:lpwstr>
  </property>
</Properties>
</file>