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DC6" w:rsidRPr="006B4647" w:rsidRDefault="00857DE0" w:rsidP="00012259">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2.4pt;margin-top:-53.35pt;width:52.5pt;height:48.75pt;z-index:251657728" fillcolor="#0c9">
            <v:imagedata r:id="rId7" o:title=""/>
          </v:shape>
          <o:OLEObject Type="Embed" ProgID="PBrush" ShapeID="_x0000_s1026" DrawAspect="Content" ObjectID="_1632137652" r:id="rId8"/>
        </w:object>
      </w:r>
    </w:p>
    <w:p w:rsidR="00CA77FB" w:rsidRPr="006B4647" w:rsidRDefault="00CA77FB" w:rsidP="00012259">
      <w:pPr>
        <w:pStyle w:val="Ttulo4"/>
        <w:tabs>
          <w:tab w:val="left" w:pos="0"/>
          <w:tab w:val="right" w:pos="9356"/>
        </w:tabs>
        <w:ind w:left="0"/>
        <w:rPr>
          <w:rFonts w:ascii="Bookman Old Style" w:hAnsi="Bookman Old Style"/>
          <w:b w:val="0"/>
          <w:bCs/>
          <w:noProof/>
          <w:sz w:val="24"/>
          <w:szCs w:val="24"/>
          <w:lang w:val="es-ES"/>
        </w:rPr>
      </w:pPr>
      <w:r w:rsidRPr="006B4647">
        <w:rPr>
          <w:rFonts w:ascii="Bookman Old Style" w:hAnsi="Bookman Old Style"/>
          <w:b w:val="0"/>
          <w:bCs/>
          <w:sz w:val="24"/>
          <w:szCs w:val="24"/>
        </w:rPr>
        <w:t>Ministerio de Minas y Energía</w:t>
      </w:r>
    </w:p>
    <w:p w:rsidR="00CA77FB" w:rsidRPr="006B4647" w:rsidRDefault="00CA77FB" w:rsidP="00012259">
      <w:pPr>
        <w:pStyle w:val="Ttulo4"/>
        <w:tabs>
          <w:tab w:val="left" w:pos="0"/>
          <w:tab w:val="right" w:pos="9356"/>
        </w:tabs>
        <w:ind w:left="0"/>
        <w:rPr>
          <w:rFonts w:ascii="Bookman Old Style" w:hAnsi="Bookman Old Style"/>
          <w:b w:val="0"/>
          <w:bCs/>
          <w:sz w:val="24"/>
          <w:szCs w:val="24"/>
        </w:rPr>
      </w:pPr>
    </w:p>
    <w:p w:rsidR="00CA77FB" w:rsidRPr="006B4647" w:rsidRDefault="00CA77FB" w:rsidP="00012259">
      <w:pPr>
        <w:pStyle w:val="Ttulo3"/>
        <w:tabs>
          <w:tab w:val="left" w:pos="0"/>
          <w:tab w:val="right" w:pos="9356"/>
        </w:tabs>
        <w:ind w:left="0"/>
        <w:rPr>
          <w:rFonts w:ascii="Bookman Old Style" w:hAnsi="Bookman Old Style" w:cs="Arial"/>
          <w:spacing w:val="20"/>
          <w:szCs w:val="24"/>
        </w:rPr>
      </w:pPr>
      <w:r w:rsidRPr="006B4647">
        <w:rPr>
          <w:rFonts w:ascii="Bookman Old Style" w:hAnsi="Bookman Old Style" w:cs="Arial"/>
          <w:spacing w:val="20"/>
          <w:szCs w:val="24"/>
        </w:rPr>
        <w:t>COMISIÓN DE REGULACIÓN DE ENERGÍA Y GAS</w:t>
      </w:r>
    </w:p>
    <w:p w:rsidR="00CA77FB" w:rsidRPr="006B4647" w:rsidRDefault="00CA77FB" w:rsidP="00012259">
      <w:pPr>
        <w:pStyle w:val="Ttulo5"/>
        <w:tabs>
          <w:tab w:val="left" w:pos="0"/>
          <w:tab w:val="right" w:pos="9356"/>
        </w:tabs>
        <w:ind w:left="0"/>
        <w:rPr>
          <w:rFonts w:ascii="Bookman Old Style" w:hAnsi="Bookman Old Style"/>
          <w:sz w:val="24"/>
          <w:szCs w:val="24"/>
        </w:rPr>
      </w:pPr>
    </w:p>
    <w:p w:rsidR="00CA77FB" w:rsidRPr="006B4647" w:rsidRDefault="00CA77FB" w:rsidP="00012259">
      <w:pPr>
        <w:pStyle w:val="Ttulo5"/>
        <w:tabs>
          <w:tab w:val="left" w:pos="0"/>
          <w:tab w:val="right" w:pos="9356"/>
        </w:tabs>
        <w:ind w:left="0"/>
        <w:rPr>
          <w:rFonts w:ascii="Bookman Old Style" w:hAnsi="Bookman Old Style"/>
          <w:sz w:val="24"/>
          <w:szCs w:val="24"/>
        </w:rPr>
      </w:pPr>
    </w:p>
    <w:p w:rsidR="00CA77FB" w:rsidRPr="006B4647" w:rsidRDefault="00CA77FB" w:rsidP="00012259">
      <w:pPr>
        <w:pStyle w:val="Ttulo5"/>
        <w:tabs>
          <w:tab w:val="left" w:pos="0"/>
          <w:tab w:val="right" w:pos="9356"/>
        </w:tabs>
        <w:ind w:left="0"/>
        <w:rPr>
          <w:rFonts w:ascii="Bookman Old Style" w:hAnsi="Bookman Old Style"/>
          <w:sz w:val="24"/>
          <w:szCs w:val="24"/>
        </w:rPr>
      </w:pPr>
      <w:r w:rsidRPr="006B4647">
        <w:rPr>
          <w:rFonts w:ascii="Bookman Old Style" w:hAnsi="Bookman Old Style"/>
          <w:sz w:val="24"/>
          <w:szCs w:val="24"/>
        </w:rPr>
        <w:t xml:space="preserve">RESOLUCIÓN No. </w:t>
      </w:r>
      <w:r w:rsidR="00795BFB" w:rsidRPr="006B4647">
        <w:rPr>
          <w:rFonts w:ascii="Bookman Old Style" w:hAnsi="Bookman Old Style"/>
          <w:sz w:val="24"/>
          <w:szCs w:val="24"/>
        </w:rPr>
        <w:t xml:space="preserve">                  </w:t>
      </w:r>
      <w:r w:rsidRPr="006B4647">
        <w:rPr>
          <w:rFonts w:ascii="Bookman Old Style" w:hAnsi="Bookman Old Style"/>
          <w:sz w:val="24"/>
          <w:szCs w:val="24"/>
        </w:rPr>
        <w:t>DE 20</w:t>
      </w:r>
      <w:r w:rsidR="00795BFB" w:rsidRPr="006B4647">
        <w:rPr>
          <w:rFonts w:ascii="Bookman Old Style" w:hAnsi="Bookman Old Style"/>
          <w:sz w:val="24"/>
          <w:szCs w:val="24"/>
        </w:rPr>
        <w:t>1</w:t>
      </w:r>
      <w:r w:rsidR="00F97424">
        <w:rPr>
          <w:rFonts w:ascii="Bookman Old Style" w:hAnsi="Bookman Old Style"/>
          <w:sz w:val="24"/>
          <w:szCs w:val="24"/>
        </w:rPr>
        <w:t>9</w:t>
      </w:r>
    </w:p>
    <w:p w:rsidR="00CA77FB" w:rsidRPr="006B4647" w:rsidRDefault="00CA77FB" w:rsidP="00012259">
      <w:pPr>
        <w:tabs>
          <w:tab w:val="left" w:pos="0"/>
          <w:tab w:val="right" w:pos="9356"/>
        </w:tabs>
        <w:ind w:left="0"/>
        <w:jc w:val="center"/>
        <w:rPr>
          <w:rFonts w:ascii="Bookman Old Style" w:hAnsi="Bookman Old Style" w:cs="Arial"/>
          <w:b/>
          <w:snapToGrid w:val="0"/>
          <w:color w:val="000000"/>
          <w:lang w:val="es-ES_tradnl"/>
        </w:rPr>
      </w:pPr>
    </w:p>
    <w:p w:rsidR="00CA77FB" w:rsidRPr="006B4647" w:rsidRDefault="00CA77FB" w:rsidP="00012259">
      <w:pPr>
        <w:pStyle w:val="Ttulo3"/>
        <w:tabs>
          <w:tab w:val="left" w:pos="0"/>
          <w:tab w:val="right" w:pos="9356"/>
        </w:tabs>
        <w:ind w:left="0"/>
        <w:rPr>
          <w:rFonts w:ascii="Bookman Old Style" w:hAnsi="Bookman Old Style"/>
          <w:b w:val="0"/>
          <w:szCs w:val="24"/>
        </w:rPr>
      </w:pPr>
      <w:r w:rsidRPr="006B4647">
        <w:rPr>
          <w:rFonts w:ascii="Bookman Old Style" w:hAnsi="Bookman Old Style"/>
          <w:b w:val="0"/>
          <w:szCs w:val="24"/>
        </w:rPr>
        <w:t>(                                  )</w:t>
      </w:r>
    </w:p>
    <w:p w:rsidR="00CA77FB" w:rsidRDefault="00CA77FB" w:rsidP="00012259">
      <w:pPr>
        <w:tabs>
          <w:tab w:val="left" w:pos="0"/>
          <w:tab w:val="right" w:pos="9356"/>
        </w:tabs>
        <w:ind w:left="0"/>
        <w:jc w:val="center"/>
        <w:rPr>
          <w:rFonts w:ascii="Bookman Old Style" w:hAnsi="Bookman Old Style"/>
          <w:lang w:val="es-ES_tradnl"/>
        </w:rPr>
      </w:pPr>
    </w:p>
    <w:p w:rsidR="00F57D37" w:rsidRDefault="00F57D37" w:rsidP="00012259">
      <w:pPr>
        <w:tabs>
          <w:tab w:val="left" w:pos="0"/>
          <w:tab w:val="right" w:pos="9356"/>
        </w:tabs>
        <w:ind w:left="0"/>
        <w:jc w:val="center"/>
        <w:rPr>
          <w:rFonts w:ascii="Bookman Old Style" w:hAnsi="Bookman Old Style"/>
          <w:lang w:val="es-ES_tradnl"/>
        </w:rPr>
      </w:pPr>
    </w:p>
    <w:p w:rsidR="00F57D37" w:rsidRPr="006B4647" w:rsidRDefault="00F57D37" w:rsidP="00012259">
      <w:pPr>
        <w:tabs>
          <w:tab w:val="left" w:pos="0"/>
          <w:tab w:val="right" w:pos="9356"/>
        </w:tabs>
        <w:ind w:left="0"/>
        <w:jc w:val="center"/>
        <w:rPr>
          <w:rFonts w:ascii="Bookman Old Style" w:hAnsi="Bookman Old Style"/>
          <w:lang w:val="es-ES_tradnl"/>
        </w:rPr>
      </w:pPr>
    </w:p>
    <w:p w:rsidR="009D4454" w:rsidRPr="00B84711" w:rsidRDefault="00A61518" w:rsidP="009D4454">
      <w:pPr>
        <w:ind w:left="0"/>
        <w:jc w:val="both"/>
        <w:rPr>
          <w:rFonts w:ascii="Bookman Old Style" w:hAnsi="Bookman Old Style"/>
        </w:rPr>
      </w:pPr>
      <w:r w:rsidRPr="00A61518">
        <w:rPr>
          <w:rFonts w:ascii="Bookman Old Style" w:hAnsi="Bookman Old Style"/>
        </w:rPr>
        <w:t>Por la cual se actualiza la base de activos de Transelca S.A. E.S.P. y se modifican los parámetros necesarios para determinar su remuneración en el Sistema de Transmisión Nacional</w:t>
      </w:r>
      <w:r w:rsidR="00CD7469">
        <w:rPr>
          <w:rFonts w:ascii="Bookman Old Style" w:hAnsi="Bookman Old Style"/>
        </w:rPr>
        <w:t>.</w:t>
      </w:r>
      <w:r w:rsidR="00CD7469" w:rsidRPr="00CD7469">
        <w:rPr>
          <w:rFonts w:ascii="Bookman Old Style" w:hAnsi="Bookman Old Style"/>
        </w:rPr>
        <w:t xml:space="preserve"> </w:t>
      </w:r>
    </w:p>
    <w:p w:rsidR="009D4454" w:rsidRPr="00B84711" w:rsidRDefault="009D4454" w:rsidP="009D4454">
      <w:pPr>
        <w:ind w:left="0"/>
        <w:rPr>
          <w:rFonts w:ascii="Bookman Old Style" w:hAnsi="Bookman Old Style"/>
        </w:rPr>
      </w:pPr>
    </w:p>
    <w:p w:rsidR="009D4454" w:rsidRPr="00B84711" w:rsidRDefault="009D4454" w:rsidP="009D4454">
      <w:pPr>
        <w:ind w:left="0"/>
        <w:rPr>
          <w:rFonts w:ascii="Bookman Old Style" w:hAnsi="Bookman Old Style"/>
        </w:rPr>
      </w:pPr>
    </w:p>
    <w:p w:rsidR="009D4454" w:rsidRPr="00B84711" w:rsidRDefault="009D4454" w:rsidP="00396D7A">
      <w:pPr>
        <w:ind w:left="0"/>
        <w:jc w:val="center"/>
        <w:rPr>
          <w:rFonts w:ascii="Bookman Old Style" w:hAnsi="Bookman Old Style" w:cs="Arial"/>
          <w:b/>
        </w:rPr>
      </w:pPr>
      <w:r w:rsidRPr="00B84711">
        <w:rPr>
          <w:rFonts w:ascii="Bookman Old Style" w:hAnsi="Bookman Old Style" w:cs="Arial"/>
          <w:b/>
        </w:rPr>
        <w:t>LA COMISIÓN DE REGULACIÓN DE ENERGÍA Y GAS</w:t>
      </w:r>
    </w:p>
    <w:p w:rsidR="009D4454" w:rsidRDefault="009D4454" w:rsidP="009D4454">
      <w:pPr>
        <w:ind w:left="0"/>
        <w:jc w:val="center"/>
        <w:rPr>
          <w:rFonts w:ascii="Bookman Old Style" w:hAnsi="Bookman Old Style" w:cs="Arial"/>
        </w:rPr>
      </w:pPr>
    </w:p>
    <w:p w:rsidR="00F57D37" w:rsidRPr="00B84711" w:rsidRDefault="00F57D37" w:rsidP="009D4454">
      <w:pPr>
        <w:ind w:left="0"/>
        <w:jc w:val="center"/>
        <w:rPr>
          <w:rFonts w:ascii="Bookman Old Style" w:hAnsi="Bookman Old Style" w:cs="Arial"/>
        </w:rPr>
      </w:pPr>
    </w:p>
    <w:p w:rsidR="009D4454" w:rsidRPr="00B84711" w:rsidRDefault="009D4454" w:rsidP="009D4454">
      <w:pPr>
        <w:ind w:left="0"/>
        <w:jc w:val="both"/>
        <w:rPr>
          <w:rFonts w:ascii="Bookman Old Style" w:hAnsi="Bookman Old Style"/>
        </w:rPr>
      </w:pPr>
      <w:r w:rsidRPr="00B84711">
        <w:rPr>
          <w:rFonts w:ascii="Bookman Old Style" w:hAnsi="Bookman Old Style"/>
        </w:rPr>
        <w:t>En ejercicio de sus atribuciones constitucionales y legales, en especial las conferidas por las Leyes 142 y 143 de 1994, y en desarrollo de los Decretos 1524 y 2253 de 1994</w:t>
      </w:r>
      <w:r w:rsidR="00396D7A">
        <w:rPr>
          <w:rFonts w:ascii="Bookman Old Style" w:hAnsi="Bookman Old Style"/>
        </w:rPr>
        <w:t xml:space="preserve"> </w:t>
      </w:r>
      <w:r w:rsidR="00396D7A" w:rsidRPr="00396D7A">
        <w:rPr>
          <w:rFonts w:ascii="Bookman Old Style" w:hAnsi="Bookman Old Style"/>
        </w:rPr>
        <w:t>y 1260 de 2013</w:t>
      </w:r>
      <w:r w:rsidR="00AE16B2">
        <w:rPr>
          <w:rFonts w:ascii="Bookman Old Style" w:hAnsi="Bookman Old Style"/>
        </w:rPr>
        <w:t>, y</w:t>
      </w:r>
    </w:p>
    <w:p w:rsidR="009D4454" w:rsidRDefault="009D4454" w:rsidP="009D4454">
      <w:pPr>
        <w:jc w:val="center"/>
        <w:rPr>
          <w:rFonts w:ascii="Bookman Old Style" w:hAnsi="Bookman Old Style" w:cs="Arial"/>
        </w:rPr>
      </w:pPr>
    </w:p>
    <w:p w:rsidR="009D4454" w:rsidRPr="00B84711" w:rsidRDefault="009D4454" w:rsidP="009D4454">
      <w:pPr>
        <w:jc w:val="center"/>
        <w:rPr>
          <w:rFonts w:ascii="Bookman Old Style" w:hAnsi="Bookman Old Style" w:cs="Arial"/>
        </w:rPr>
      </w:pPr>
    </w:p>
    <w:p w:rsidR="00F57D37" w:rsidRDefault="00F57D37" w:rsidP="00921BC0">
      <w:pPr>
        <w:ind w:left="0"/>
        <w:jc w:val="center"/>
        <w:rPr>
          <w:rFonts w:ascii="Bookman Old Style" w:hAnsi="Bookman Old Style"/>
          <w:b/>
          <w:spacing w:val="100"/>
        </w:rPr>
      </w:pPr>
    </w:p>
    <w:p w:rsidR="009D4454" w:rsidRPr="000B4378" w:rsidRDefault="009D4454" w:rsidP="00921BC0">
      <w:pPr>
        <w:ind w:left="0"/>
        <w:jc w:val="center"/>
        <w:rPr>
          <w:rFonts w:ascii="Bookman Old Style" w:hAnsi="Bookman Old Style"/>
          <w:b/>
          <w:spacing w:val="60"/>
        </w:rPr>
      </w:pPr>
      <w:r w:rsidRPr="000B4378">
        <w:rPr>
          <w:rFonts w:ascii="Bookman Old Style" w:hAnsi="Bookman Old Style"/>
          <w:b/>
          <w:spacing w:val="60"/>
        </w:rPr>
        <w:t>CONSIDERANDO</w:t>
      </w:r>
      <w:r w:rsidR="00FB5434" w:rsidRPr="000B4378">
        <w:rPr>
          <w:rFonts w:ascii="Bookman Old Style" w:hAnsi="Bookman Old Style"/>
          <w:b/>
          <w:spacing w:val="60"/>
        </w:rPr>
        <w:t xml:space="preserve"> QUE</w:t>
      </w:r>
      <w:r w:rsidRPr="000B4378">
        <w:rPr>
          <w:rFonts w:ascii="Bookman Old Style" w:hAnsi="Bookman Old Style"/>
          <w:b/>
          <w:spacing w:val="60"/>
        </w:rPr>
        <w:t>:</w:t>
      </w:r>
    </w:p>
    <w:p w:rsidR="009D4454" w:rsidRDefault="009D4454" w:rsidP="009D4454">
      <w:pPr>
        <w:ind w:left="0"/>
        <w:rPr>
          <w:rFonts w:ascii="Bookman Old Style" w:hAnsi="Bookman Old Style"/>
        </w:rPr>
      </w:pPr>
    </w:p>
    <w:p w:rsidR="00F57D37" w:rsidRDefault="00F57D37" w:rsidP="009D4454">
      <w:pPr>
        <w:ind w:left="0"/>
        <w:rPr>
          <w:rFonts w:ascii="Bookman Old Style" w:hAnsi="Bookman Old Style"/>
        </w:rPr>
      </w:pPr>
    </w:p>
    <w:p w:rsidR="009D4454" w:rsidRPr="00C63A34" w:rsidRDefault="00FB5434" w:rsidP="009D4454">
      <w:pPr>
        <w:ind w:left="0"/>
        <w:jc w:val="both"/>
        <w:rPr>
          <w:rFonts w:ascii="Bookman Old Style" w:hAnsi="Bookman Old Style"/>
        </w:rPr>
      </w:pPr>
      <w:r>
        <w:rPr>
          <w:rFonts w:ascii="Bookman Old Style" w:hAnsi="Bookman Old Style"/>
        </w:rPr>
        <w:t>D</w:t>
      </w:r>
      <w:r w:rsidR="009D4454" w:rsidRPr="00C63A34">
        <w:rPr>
          <w:rFonts w:ascii="Bookman Old Style" w:hAnsi="Bookman Old Style"/>
        </w:rPr>
        <w:t xml:space="preserve">e acuerdo con lo previsto en el </w:t>
      </w:r>
      <w:r w:rsidR="00396D7A" w:rsidRPr="00C63A34">
        <w:rPr>
          <w:rFonts w:ascii="Bookman Old Style" w:hAnsi="Bookman Old Style"/>
        </w:rPr>
        <w:t>literal d)</w:t>
      </w:r>
      <w:r w:rsidR="00396D7A">
        <w:rPr>
          <w:rFonts w:ascii="Bookman Old Style" w:hAnsi="Bookman Old Style"/>
        </w:rPr>
        <w:t xml:space="preserve"> del</w:t>
      </w:r>
      <w:r w:rsidR="00396D7A" w:rsidRPr="00C63A34">
        <w:rPr>
          <w:rFonts w:ascii="Bookman Old Style" w:hAnsi="Bookman Old Style"/>
        </w:rPr>
        <w:t xml:space="preserve"> </w:t>
      </w:r>
      <w:r>
        <w:rPr>
          <w:rFonts w:ascii="Bookman Old Style" w:hAnsi="Bookman Old Style"/>
        </w:rPr>
        <w:t>a</w:t>
      </w:r>
      <w:r w:rsidR="009D4454" w:rsidRPr="00C63A34">
        <w:rPr>
          <w:rFonts w:ascii="Bookman Old Style" w:hAnsi="Bookman Old Style"/>
        </w:rPr>
        <w:t xml:space="preserve">rtículo 23 y </w:t>
      </w:r>
      <w:r w:rsidR="00396D7A">
        <w:rPr>
          <w:rFonts w:ascii="Bookman Old Style" w:hAnsi="Bookman Old Style"/>
        </w:rPr>
        <w:t>en el</w:t>
      </w:r>
      <w:r w:rsidR="00396D7A" w:rsidRPr="00C63A34">
        <w:rPr>
          <w:rFonts w:ascii="Bookman Old Style" w:hAnsi="Bookman Old Style"/>
        </w:rPr>
        <w:t xml:space="preserve"> </w:t>
      </w:r>
      <w:r w:rsidR="00396D7A">
        <w:rPr>
          <w:rFonts w:ascii="Bookman Old Style" w:hAnsi="Bookman Old Style"/>
        </w:rPr>
        <w:t>a</w:t>
      </w:r>
      <w:r w:rsidR="00396D7A" w:rsidRPr="00C63A34">
        <w:rPr>
          <w:rFonts w:ascii="Bookman Old Style" w:hAnsi="Bookman Old Style"/>
        </w:rPr>
        <w:t>rtículo</w:t>
      </w:r>
      <w:r w:rsidR="00396D7A">
        <w:rPr>
          <w:rFonts w:ascii="Bookman Old Style" w:hAnsi="Bookman Old Style"/>
        </w:rPr>
        <w:t xml:space="preserve"> </w:t>
      </w:r>
      <w:r w:rsidR="009D4454" w:rsidRPr="00C63A34">
        <w:rPr>
          <w:rFonts w:ascii="Bookman Old Style" w:hAnsi="Bookman Old Style"/>
        </w:rPr>
        <w:t>41</w:t>
      </w:r>
      <w:r w:rsidR="008758FC">
        <w:rPr>
          <w:rFonts w:ascii="Bookman Old Style" w:hAnsi="Bookman Old Style"/>
        </w:rPr>
        <w:t>,</w:t>
      </w:r>
      <w:r w:rsidR="009D4454" w:rsidRPr="00C63A34">
        <w:rPr>
          <w:rFonts w:ascii="Bookman Old Style" w:hAnsi="Bookman Old Style"/>
        </w:rPr>
        <w:t xml:space="preserve">  </w:t>
      </w:r>
      <w:r w:rsidR="00AE16B2">
        <w:rPr>
          <w:rFonts w:ascii="Bookman Old Style" w:hAnsi="Bookman Old Style"/>
        </w:rPr>
        <w:t xml:space="preserve">ambos de </w:t>
      </w:r>
      <w:r w:rsidR="009D4454" w:rsidRPr="00C63A34">
        <w:rPr>
          <w:rFonts w:ascii="Bookman Old Style" w:hAnsi="Bookman Old Style"/>
        </w:rPr>
        <w:t>la Ley 143 de 1994, es función de la Comisión de Regulación de Energía y Gas</w:t>
      </w:r>
      <w:r>
        <w:rPr>
          <w:rFonts w:ascii="Bookman Old Style" w:hAnsi="Bookman Old Style"/>
        </w:rPr>
        <w:t>, CREG,</w:t>
      </w:r>
      <w:r w:rsidR="009D4454" w:rsidRPr="00C63A34">
        <w:rPr>
          <w:rFonts w:ascii="Bookman Old Style" w:hAnsi="Bookman Old Style"/>
        </w:rPr>
        <w:t xml:space="preserve"> fijar las tarifas por el acceso y uso de las redes eléctricas.</w:t>
      </w:r>
    </w:p>
    <w:p w:rsidR="009D4454" w:rsidRPr="00C63A34" w:rsidRDefault="009D4454" w:rsidP="009D4454">
      <w:pPr>
        <w:ind w:left="0"/>
        <w:jc w:val="both"/>
        <w:rPr>
          <w:rFonts w:ascii="Bookman Old Style" w:hAnsi="Bookman Old Style"/>
        </w:rPr>
      </w:pPr>
    </w:p>
    <w:p w:rsidR="00A5656A" w:rsidRDefault="00A5656A" w:rsidP="00A5656A">
      <w:pPr>
        <w:ind w:left="0"/>
        <w:jc w:val="both"/>
        <w:rPr>
          <w:rFonts w:ascii="Bookman Old Style" w:hAnsi="Bookman Old Style" w:cs="Arial"/>
          <w:spacing w:val="-3"/>
        </w:rPr>
      </w:pPr>
      <w:r>
        <w:rPr>
          <w:rFonts w:ascii="Bookman Old Style" w:hAnsi="Bookman Old Style" w:cs="Arial"/>
          <w:spacing w:val="-3"/>
        </w:rPr>
        <w:t>M</w:t>
      </w:r>
      <w:r w:rsidRPr="00934E08">
        <w:rPr>
          <w:rFonts w:ascii="Bookman Old Style" w:hAnsi="Bookman Old Style" w:cs="Arial"/>
          <w:spacing w:val="-3"/>
        </w:rPr>
        <w:t xml:space="preserve">ediante la Resolución CREG 011 de 2009 se </w:t>
      </w:r>
      <w:r w:rsidR="00A15A66">
        <w:rPr>
          <w:rFonts w:ascii="Bookman Old Style" w:hAnsi="Bookman Old Style" w:cs="Arial"/>
          <w:spacing w:val="-3"/>
        </w:rPr>
        <w:t>definieron</w:t>
      </w:r>
      <w:r w:rsidRPr="00934E08">
        <w:rPr>
          <w:rFonts w:ascii="Bookman Old Style" w:hAnsi="Bookman Old Style" w:cs="Arial"/>
          <w:spacing w:val="-3"/>
        </w:rPr>
        <w:t xml:space="preserve"> la metodología y </w:t>
      </w:r>
      <w:r w:rsidR="00A15A66">
        <w:rPr>
          <w:rFonts w:ascii="Bookman Old Style" w:hAnsi="Bookman Old Style" w:cs="Arial"/>
          <w:spacing w:val="-3"/>
        </w:rPr>
        <w:t xml:space="preserve">las </w:t>
      </w:r>
      <w:r w:rsidRPr="00934E08">
        <w:rPr>
          <w:rFonts w:ascii="Bookman Old Style" w:hAnsi="Bookman Old Style" w:cs="Arial"/>
          <w:spacing w:val="-3"/>
        </w:rPr>
        <w:t xml:space="preserve">fórmulas tarifarias para la remuneración de la actividad de transmisión de energía eléctrica en el </w:t>
      </w:r>
      <w:r>
        <w:rPr>
          <w:rFonts w:ascii="Bookman Old Style" w:hAnsi="Bookman Old Style" w:cs="Arial"/>
          <w:spacing w:val="-3"/>
        </w:rPr>
        <w:t>STN</w:t>
      </w:r>
      <w:r w:rsidRPr="00934E08">
        <w:rPr>
          <w:rFonts w:ascii="Bookman Old Style" w:hAnsi="Bookman Old Style" w:cs="Arial"/>
          <w:spacing w:val="-3"/>
        </w:rPr>
        <w:t>.</w:t>
      </w:r>
      <w:r>
        <w:rPr>
          <w:rFonts w:ascii="Bookman Old Style" w:hAnsi="Bookman Old Style" w:cs="Arial"/>
          <w:spacing w:val="-3"/>
        </w:rPr>
        <w:t xml:space="preserve"> </w:t>
      </w:r>
    </w:p>
    <w:p w:rsidR="000171CD" w:rsidRDefault="000171CD" w:rsidP="00A5656A">
      <w:pPr>
        <w:ind w:left="0"/>
        <w:jc w:val="both"/>
        <w:rPr>
          <w:rFonts w:ascii="Bookman Old Style" w:hAnsi="Bookman Old Style" w:cs="Arial"/>
          <w:spacing w:val="-3"/>
        </w:rPr>
      </w:pPr>
    </w:p>
    <w:p w:rsidR="00A5656A" w:rsidRDefault="000171CD" w:rsidP="00A5656A">
      <w:pPr>
        <w:ind w:left="0"/>
        <w:jc w:val="both"/>
        <w:rPr>
          <w:rFonts w:ascii="Bookman Old Style" w:hAnsi="Bookman Old Style" w:cs="Arial"/>
          <w:spacing w:val="-3"/>
        </w:rPr>
      </w:pPr>
      <w:r w:rsidRPr="00C02254">
        <w:rPr>
          <w:rFonts w:ascii="Bookman Old Style" w:hAnsi="Bookman Old Style" w:cs="Arial"/>
          <w:spacing w:val="-3"/>
        </w:rPr>
        <w:t xml:space="preserve">Mediante la Resolución </w:t>
      </w:r>
      <w:r w:rsidRPr="000171CD">
        <w:rPr>
          <w:rFonts w:ascii="Bookman Old Style" w:hAnsi="Bookman Old Style" w:cs="Arial"/>
          <w:spacing w:val="-3"/>
        </w:rPr>
        <w:t xml:space="preserve">CREG 107 de 2010, modificada por las resoluciones CREG 061 </w:t>
      </w:r>
      <w:r w:rsidR="00A95685">
        <w:rPr>
          <w:rFonts w:ascii="Bookman Old Style" w:hAnsi="Bookman Old Style" w:cs="Arial"/>
          <w:spacing w:val="-3"/>
        </w:rPr>
        <w:t>y</w:t>
      </w:r>
      <w:r w:rsidRPr="000171CD">
        <w:rPr>
          <w:rFonts w:ascii="Bookman Old Style" w:hAnsi="Bookman Old Style" w:cs="Arial"/>
          <w:spacing w:val="-3"/>
        </w:rPr>
        <w:t xml:space="preserve"> 105 de 2011, 107 de</w:t>
      </w:r>
      <w:r w:rsidR="009B35CF">
        <w:rPr>
          <w:rFonts w:ascii="Bookman Old Style" w:hAnsi="Bookman Old Style" w:cs="Arial"/>
          <w:spacing w:val="-3"/>
        </w:rPr>
        <w:t xml:space="preserve"> 2012, 009 </w:t>
      </w:r>
      <w:r w:rsidR="004F06A8">
        <w:rPr>
          <w:rFonts w:ascii="Bookman Old Style" w:hAnsi="Bookman Old Style" w:cs="Arial"/>
          <w:spacing w:val="-3"/>
        </w:rPr>
        <w:t>y</w:t>
      </w:r>
      <w:r w:rsidR="009B35CF">
        <w:rPr>
          <w:rFonts w:ascii="Bookman Old Style" w:hAnsi="Bookman Old Style" w:cs="Arial"/>
          <w:spacing w:val="-3"/>
        </w:rPr>
        <w:t xml:space="preserve"> 091 de 2013,</w:t>
      </w:r>
      <w:r w:rsidRPr="000171CD">
        <w:rPr>
          <w:rFonts w:ascii="Bookman Old Style" w:hAnsi="Bookman Old Style" w:cs="Arial"/>
          <w:spacing w:val="-3"/>
        </w:rPr>
        <w:t xml:space="preserve"> 072 de 2015</w:t>
      </w:r>
      <w:r w:rsidR="00A95685">
        <w:rPr>
          <w:rFonts w:ascii="Bookman Old Style" w:hAnsi="Bookman Old Style" w:cs="Arial"/>
          <w:spacing w:val="-3"/>
        </w:rPr>
        <w:t>,</w:t>
      </w:r>
      <w:r w:rsidR="009B35CF">
        <w:rPr>
          <w:rFonts w:ascii="Bookman Old Style" w:hAnsi="Bookman Old Style" w:cs="Arial"/>
          <w:spacing w:val="-3"/>
        </w:rPr>
        <w:t xml:space="preserve"> 173 de 2016</w:t>
      </w:r>
      <w:r w:rsidR="00B34976">
        <w:rPr>
          <w:rFonts w:ascii="Bookman Old Style" w:hAnsi="Bookman Old Style" w:cs="Arial"/>
          <w:spacing w:val="-3"/>
        </w:rPr>
        <w:t xml:space="preserve"> </w:t>
      </w:r>
      <w:r w:rsidR="00A95685">
        <w:rPr>
          <w:rFonts w:ascii="Bookman Old Style" w:hAnsi="Bookman Old Style" w:cs="Arial"/>
          <w:spacing w:val="-3"/>
        </w:rPr>
        <w:t>y 136A de 2018</w:t>
      </w:r>
      <w:r>
        <w:rPr>
          <w:rFonts w:ascii="Bookman Old Style" w:hAnsi="Bookman Old Style" w:cs="Arial"/>
          <w:spacing w:val="-3"/>
        </w:rPr>
        <w:t xml:space="preserve">, </w:t>
      </w:r>
      <w:r w:rsidRPr="00C02254">
        <w:rPr>
          <w:rFonts w:ascii="Bookman Old Style" w:hAnsi="Bookman Old Style" w:cs="Arial"/>
          <w:spacing w:val="-3"/>
        </w:rPr>
        <w:t xml:space="preserve">se </w:t>
      </w:r>
      <w:r w:rsidR="008758FC" w:rsidRPr="00C02254">
        <w:rPr>
          <w:rFonts w:ascii="Bookman Old Style" w:hAnsi="Bookman Old Style" w:cs="Arial"/>
          <w:spacing w:val="-3"/>
        </w:rPr>
        <w:t>aprob</w:t>
      </w:r>
      <w:r w:rsidR="008758FC">
        <w:rPr>
          <w:rFonts w:ascii="Bookman Old Style" w:hAnsi="Bookman Old Style" w:cs="Arial"/>
          <w:spacing w:val="-3"/>
        </w:rPr>
        <w:t>aron</w:t>
      </w:r>
      <w:r w:rsidR="008758FC" w:rsidRPr="00C02254">
        <w:rPr>
          <w:rFonts w:ascii="Bookman Old Style" w:hAnsi="Bookman Old Style" w:cs="Arial"/>
          <w:spacing w:val="-3"/>
        </w:rPr>
        <w:t xml:space="preserve"> </w:t>
      </w:r>
      <w:r w:rsidRPr="00C02254">
        <w:rPr>
          <w:rFonts w:ascii="Bookman Old Style" w:hAnsi="Bookman Old Style" w:cs="Arial"/>
          <w:spacing w:val="-3"/>
        </w:rPr>
        <w:t xml:space="preserve">la base de activos y los parámetros necesarios para determinar la remuneración de </w:t>
      </w:r>
      <w:r>
        <w:rPr>
          <w:rFonts w:ascii="Bookman Old Style" w:hAnsi="Bookman Old Style" w:cs="Arial"/>
          <w:spacing w:val="-3"/>
        </w:rPr>
        <w:t>Transelca</w:t>
      </w:r>
      <w:r w:rsidRPr="00C02254">
        <w:rPr>
          <w:rFonts w:ascii="Bookman Old Style" w:hAnsi="Bookman Old Style" w:cs="Arial"/>
          <w:spacing w:val="-3"/>
        </w:rPr>
        <w:t xml:space="preserve"> S.A. E.S.P., en el STN</w:t>
      </w:r>
      <w:r w:rsidR="00941AFB">
        <w:rPr>
          <w:rFonts w:ascii="Bookman Old Style" w:hAnsi="Bookman Old Style" w:cs="Arial"/>
          <w:spacing w:val="-3"/>
        </w:rPr>
        <w:t>.</w:t>
      </w:r>
    </w:p>
    <w:p w:rsidR="000171CD" w:rsidRDefault="000171CD" w:rsidP="00A5656A">
      <w:pPr>
        <w:ind w:left="0"/>
        <w:jc w:val="both"/>
        <w:rPr>
          <w:rFonts w:ascii="Bookman Old Style" w:hAnsi="Bookman Old Style" w:cs="Arial"/>
          <w:spacing w:val="-3"/>
        </w:rPr>
      </w:pPr>
    </w:p>
    <w:p w:rsidR="003A3A70" w:rsidRDefault="003A3A70" w:rsidP="003A3A70">
      <w:pPr>
        <w:ind w:left="0"/>
        <w:jc w:val="both"/>
        <w:rPr>
          <w:rFonts w:ascii="Bookman Old Style" w:hAnsi="Bookman Old Style" w:cs="Arial"/>
          <w:spacing w:val="-3"/>
        </w:rPr>
      </w:pPr>
      <w:r>
        <w:rPr>
          <w:rFonts w:ascii="Bookman Old Style" w:hAnsi="Bookman Old Style" w:cs="Arial"/>
          <w:spacing w:val="-3"/>
        </w:rPr>
        <w:t>El artículo 6 de la Resolución CREG 022 de 2001, modificado por las resoluciones CREG 085 de 2002, 120 de 2003 y 147 de 2011, establece:</w:t>
      </w:r>
    </w:p>
    <w:p w:rsidR="003A3A70" w:rsidRDefault="003A3A70" w:rsidP="003A3A70">
      <w:pPr>
        <w:spacing w:before="120"/>
        <w:ind w:left="284" w:right="284"/>
        <w:jc w:val="both"/>
        <w:rPr>
          <w:rFonts w:ascii="Bookman Old Style" w:hAnsi="Bookman Old Style"/>
          <w:i/>
          <w:lang w:val="es-CO"/>
        </w:rPr>
      </w:pPr>
      <w:r w:rsidRPr="00D75283">
        <w:rPr>
          <w:rFonts w:ascii="Bookman Old Style" w:hAnsi="Bookman Old Style"/>
          <w:b/>
          <w:i/>
          <w:lang w:val="es-CO"/>
        </w:rPr>
        <w:t xml:space="preserve">“Artículo 6. Ampliaciones de las Instalaciones del STN que se encuentren en servicio. </w:t>
      </w:r>
      <w:r w:rsidRPr="00D75283">
        <w:rPr>
          <w:rFonts w:ascii="Bookman Old Style" w:hAnsi="Bookman Old Style"/>
          <w:i/>
          <w:lang w:val="es-CO"/>
        </w:rPr>
        <w:t>Los proyectos consistentes en la ampliación de las instalaciones del STN que se encuentren en operación, tales como:</w:t>
      </w:r>
    </w:p>
    <w:p w:rsidR="003A3A70" w:rsidRPr="003A3A70" w:rsidRDefault="003A3A70" w:rsidP="003A3A70">
      <w:pPr>
        <w:spacing w:before="120"/>
        <w:ind w:left="284" w:right="284"/>
        <w:jc w:val="both"/>
        <w:rPr>
          <w:rFonts w:ascii="Bookman Old Style" w:hAnsi="Bookman Old Style"/>
          <w:i/>
          <w:lang w:val="es-CO"/>
        </w:rPr>
      </w:pPr>
      <w:r w:rsidRPr="003A3A70">
        <w:rPr>
          <w:rFonts w:ascii="Bookman Old Style" w:hAnsi="Bookman Old Style"/>
          <w:i/>
          <w:lang w:val="es-CO"/>
        </w:rPr>
        <w:t>(…)</w:t>
      </w:r>
    </w:p>
    <w:p w:rsidR="003A3A70" w:rsidRPr="003A3A70" w:rsidRDefault="003A3A70" w:rsidP="003A3A70">
      <w:pPr>
        <w:numPr>
          <w:ilvl w:val="0"/>
          <w:numId w:val="23"/>
        </w:numPr>
        <w:spacing w:before="120"/>
        <w:ind w:left="709" w:right="284" w:hanging="283"/>
        <w:jc w:val="both"/>
        <w:rPr>
          <w:rFonts w:ascii="Bookman Old Style" w:hAnsi="Bookman Old Style"/>
          <w:i/>
          <w:szCs w:val="20"/>
          <w:lang w:val="es-CO"/>
        </w:rPr>
      </w:pPr>
      <w:r w:rsidRPr="003A3A70">
        <w:rPr>
          <w:rFonts w:ascii="Bookman Old Style" w:hAnsi="Bookman Old Style"/>
          <w:i/>
          <w:szCs w:val="20"/>
          <w:lang w:val="es-CO"/>
        </w:rPr>
        <w:lastRenderedPageBreak/>
        <w:t>montaje de nuevas bahías de transformador con tensión igual o superior a 220 kV que utilice un Operador de Red para conectarse al STN en subestaciones con configuración de anillo o de interruptor y medio;</w:t>
      </w:r>
    </w:p>
    <w:p w:rsidR="003A3A70" w:rsidRPr="00D75283" w:rsidRDefault="003A3A70" w:rsidP="003A3A70">
      <w:pPr>
        <w:spacing w:before="120"/>
        <w:ind w:left="210" w:right="284"/>
        <w:jc w:val="both"/>
        <w:rPr>
          <w:rFonts w:ascii="Bookman Old Style" w:hAnsi="Bookman Old Style"/>
          <w:i/>
        </w:rPr>
      </w:pPr>
      <w:r w:rsidRPr="003A3A70">
        <w:rPr>
          <w:rFonts w:ascii="Bookman Old Style" w:hAnsi="Bookman Old Style"/>
          <w:i/>
          <w:szCs w:val="20"/>
        </w:rPr>
        <w:t xml:space="preserve"> </w:t>
      </w:r>
      <w:r>
        <w:rPr>
          <w:rFonts w:ascii="Bookman Old Style" w:hAnsi="Bookman Old Style"/>
          <w:i/>
        </w:rPr>
        <w:t>(…)</w:t>
      </w:r>
    </w:p>
    <w:p w:rsidR="003A3A70" w:rsidRPr="00D75283" w:rsidRDefault="003A3A70" w:rsidP="003A3A70">
      <w:pPr>
        <w:spacing w:before="120"/>
        <w:ind w:left="284" w:right="284"/>
        <w:jc w:val="both"/>
        <w:rPr>
          <w:rFonts w:ascii="Bookman Old Style" w:hAnsi="Bookman Old Style" w:cs="Arial"/>
          <w:spacing w:val="-3"/>
          <w:lang w:val="es-CO"/>
        </w:rPr>
      </w:pPr>
      <w:r w:rsidRPr="00D75283">
        <w:rPr>
          <w:rFonts w:ascii="Bookman Old Style" w:hAnsi="Bookman Old Style"/>
          <w:i/>
          <w:lang w:val="es-CO"/>
        </w:rPr>
        <w:t>harán parte del Plan de Expansión de Referencia, de acuerdo con lo dispuesto en el artículo 3 de la presente Resolución y en esta medida su ejecución podrá ser objetada. De ser incluida la respectiva ampliación en el Plan de Expansión de Referencia, será desarrollada por el transmisor que representa ante el Liquidador y Administrador de Cuentas, LAC, los activos objeto de la ampliación</w:t>
      </w:r>
      <w:r>
        <w:rPr>
          <w:rFonts w:ascii="Bookman Old Style" w:hAnsi="Bookman Old Style"/>
          <w:i/>
          <w:lang w:val="es-CO"/>
        </w:rPr>
        <w:t>. (…)</w:t>
      </w:r>
    </w:p>
    <w:p w:rsidR="003A3A70" w:rsidRDefault="003A3A70" w:rsidP="00A5656A">
      <w:pPr>
        <w:ind w:left="0"/>
        <w:jc w:val="both"/>
        <w:rPr>
          <w:rFonts w:ascii="Bookman Old Style" w:hAnsi="Bookman Old Style" w:cs="Arial"/>
          <w:spacing w:val="-3"/>
          <w:lang w:val="es-CO"/>
        </w:rPr>
      </w:pPr>
    </w:p>
    <w:p w:rsidR="00A5656A" w:rsidRDefault="00A5656A" w:rsidP="004D1EB2">
      <w:pPr>
        <w:spacing w:after="240"/>
        <w:ind w:left="0"/>
        <w:jc w:val="both"/>
        <w:rPr>
          <w:rFonts w:ascii="Bookman Old Style" w:hAnsi="Bookman Old Style" w:cs="Arial"/>
          <w:spacing w:val="-3"/>
        </w:rPr>
      </w:pPr>
      <w:r>
        <w:rPr>
          <w:rFonts w:ascii="Bookman Old Style" w:hAnsi="Bookman Old Style" w:cs="Arial"/>
          <w:spacing w:val="-3"/>
        </w:rPr>
        <w:t xml:space="preserve">De acuerdo con el artículo 7 de la Resolución CREG 011 de 2009 el ingreso anual del transmisor, IAT, “(…) </w:t>
      </w:r>
      <w:r w:rsidRPr="00B435AE">
        <w:rPr>
          <w:rFonts w:ascii="Bookman Old Style" w:hAnsi="Bookman Old Style" w:cs="Arial"/>
          <w:i/>
          <w:spacing w:val="-3"/>
        </w:rPr>
        <w:t>s</w:t>
      </w:r>
      <w:r>
        <w:rPr>
          <w:rFonts w:ascii="Bookman Old Style" w:hAnsi="Bookman Old Style" w:cs="Arial"/>
          <w:i/>
          <w:spacing w:val="-3"/>
        </w:rPr>
        <w:t>o</w:t>
      </w:r>
      <w:r w:rsidRPr="00B435AE">
        <w:rPr>
          <w:rFonts w:ascii="Bookman Old Style" w:hAnsi="Bookman Old Style" w:cs="Arial"/>
          <w:i/>
          <w:spacing w:val="-3"/>
        </w:rPr>
        <w:t xml:space="preserve">lo se ajustará si la CREG llegare a modificar los valores de la Unidades Constructivas, cuando se modifique el valor del AOM reconocido o cuando, en cumplimiento de la regulación vigente, se excluyan Activos de Uso en operación, ingresen nuevos Activos de Uso o se </w:t>
      </w:r>
      <w:r w:rsidRPr="009F7D9B">
        <w:rPr>
          <w:rFonts w:ascii="Bookman Old Style" w:hAnsi="Bookman Old Style" w:cs="Arial"/>
          <w:i/>
          <w:spacing w:val="-3"/>
        </w:rPr>
        <w:t>remplacen</w:t>
      </w:r>
      <w:r w:rsidRPr="00B435AE">
        <w:rPr>
          <w:rFonts w:ascii="Bookman Old Style" w:hAnsi="Bookman Old Style" w:cs="Arial"/>
          <w:i/>
          <w:spacing w:val="-3"/>
        </w:rPr>
        <w:t xml:space="preserve"> las Unidades Constructivas instaladas por otras de clasificación diferente de acuerdo con lo establecido en el Artículo 6 de la presente Resolución.</w:t>
      </w:r>
      <w:r>
        <w:rPr>
          <w:rFonts w:ascii="Bookman Old Style" w:hAnsi="Bookman Old Style" w:cs="Arial"/>
          <w:spacing w:val="-3"/>
        </w:rPr>
        <w:t>”</w:t>
      </w:r>
    </w:p>
    <w:p w:rsidR="00952B23" w:rsidRDefault="00941AFB" w:rsidP="004D1EB2">
      <w:pPr>
        <w:spacing w:after="240"/>
        <w:ind w:left="0"/>
        <w:jc w:val="both"/>
        <w:rPr>
          <w:rFonts w:ascii="Bookman Old Style" w:hAnsi="Bookman Old Style"/>
        </w:rPr>
      </w:pPr>
      <w:r w:rsidRPr="00941AFB">
        <w:rPr>
          <w:rFonts w:ascii="Bookman Old Style" w:hAnsi="Bookman Old Style"/>
        </w:rPr>
        <w:t>Transelca S.A. E.S.P., mediante la</w:t>
      </w:r>
      <w:r w:rsidR="00727DF7">
        <w:rPr>
          <w:rFonts w:ascii="Bookman Old Style" w:hAnsi="Bookman Old Style"/>
        </w:rPr>
        <w:t>s</w:t>
      </w:r>
      <w:r w:rsidRPr="00941AFB">
        <w:rPr>
          <w:rFonts w:ascii="Bookman Old Style" w:hAnsi="Bookman Old Style"/>
        </w:rPr>
        <w:t xml:space="preserve"> comunicaci</w:t>
      </w:r>
      <w:r w:rsidR="00727DF7">
        <w:rPr>
          <w:rFonts w:ascii="Bookman Old Style" w:hAnsi="Bookman Old Style"/>
        </w:rPr>
        <w:t>ones</w:t>
      </w:r>
      <w:r w:rsidRPr="00941AFB">
        <w:rPr>
          <w:rFonts w:ascii="Bookman Old Style" w:hAnsi="Bookman Old Style"/>
        </w:rPr>
        <w:t xml:space="preserve"> radicada</w:t>
      </w:r>
      <w:r w:rsidR="00727DF7">
        <w:rPr>
          <w:rFonts w:ascii="Bookman Old Style" w:hAnsi="Bookman Old Style"/>
        </w:rPr>
        <w:t>s</w:t>
      </w:r>
      <w:r w:rsidRPr="00941AFB">
        <w:rPr>
          <w:rFonts w:ascii="Bookman Old Style" w:hAnsi="Bookman Old Style"/>
        </w:rPr>
        <w:t xml:space="preserve"> en la CREG con </w:t>
      </w:r>
      <w:r w:rsidR="00727DF7">
        <w:rPr>
          <w:rFonts w:ascii="Bookman Old Style" w:hAnsi="Bookman Old Style"/>
        </w:rPr>
        <w:t>los</w:t>
      </w:r>
      <w:r w:rsidRPr="00941AFB">
        <w:rPr>
          <w:rFonts w:ascii="Bookman Old Style" w:hAnsi="Bookman Old Style"/>
        </w:rPr>
        <w:t xml:space="preserve"> número</w:t>
      </w:r>
      <w:r w:rsidR="00727DF7">
        <w:rPr>
          <w:rFonts w:ascii="Bookman Old Style" w:hAnsi="Bookman Old Style"/>
        </w:rPr>
        <w:t>s</w:t>
      </w:r>
      <w:r w:rsidRPr="00941AFB">
        <w:rPr>
          <w:rFonts w:ascii="Bookman Old Style" w:hAnsi="Bookman Old Style"/>
        </w:rPr>
        <w:t xml:space="preserve"> E-201</w:t>
      </w:r>
      <w:r w:rsidR="00727DF7">
        <w:rPr>
          <w:rFonts w:ascii="Bookman Old Style" w:hAnsi="Bookman Old Style"/>
        </w:rPr>
        <w:t>9</w:t>
      </w:r>
      <w:r w:rsidRPr="00941AFB">
        <w:rPr>
          <w:rFonts w:ascii="Bookman Old Style" w:hAnsi="Bookman Old Style"/>
        </w:rPr>
        <w:t>-0</w:t>
      </w:r>
      <w:r w:rsidR="009E4A48">
        <w:rPr>
          <w:rFonts w:ascii="Bookman Old Style" w:hAnsi="Bookman Old Style"/>
        </w:rPr>
        <w:t>075</w:t>
      </w:r>
      <w:r w:rsidR="00727DF7">
        <w:rPr>
          <w:rFonts w:ascii="Bookman Old Style" w:hAnsi="Bookman Old Style"/>
        </w:rPr>
        <w:t xml:space="preserve">52 y </w:t>
      </w:r>
      <w:r w:rsidR="00727DF7" w:rsidRPr="00941AFB">
        <w:rPr>
          <w:rFonts w:ascii="Bookman Old Style" w:hAnsi="Bookman Old Style"/>
        </w:rPr>
        <w:t>E-201</w:t>
      </w:r>
      <w:r w:rsidR="00727DF7">
        <w:rPr>
          <w:rFonts w:ascii="Bookman Old Style" w:hAnsi="Bookman Old Style"/>
        </w:rPr>
        <w:t>9</w:t>
      </w:r>
      <w:r w:rsidR="00727DF7" w:rsidRPr="00941AFB">
        <w:rPr>
          <w:rFonts w:ascii="Bookman Old Style" w:hAnsi="Bookman Old Style"/>
        </w:rPr>
        <w:t>-0</w:t>
      </w:r>
      <w:r w:rsidR="00727DF7">
        <w:rPr>
          <w:rFonts w:ascii="Bookman Old Style" w:hAnsi="Bookman Old Style"/>
        </w:rPr>
        <w:t>07882</w:t>
      </w:r>
      <w:r w:rsidRPr="00941AFB">
        <w:rPr>
          <w:rFonts w:ascii="Bookman Old Style" w:hAnsi="Bookman Old Style"/>
        </w:rPr>
        <w:t xml:space="preserve">, solicita </w:t>
      </w:r>
      <w:r w:rsidR="00952B23">
        <w:rPr>
          <w:rFonts w:ascii="Bookman Old Style" w:hAnsi="Bookman Old Style"/>
        </w:rPr>
        <w:t xml:space="preserve">la </w:t>
      </w:r>
      <w:r w:rsidR="009E4A48">
        <w:rPr>
          <w:rFonts w:ascii="Bookman Old Style" w:hAnsi="Bookman Old Style"/>
        </w:rPr>
        <w:t xml:space="preserve">inclusión de una bahía de transformador en la subestación </w:t>
      </w:r>
      <w:proofErr w:type="spellStart"/>
      <w:r w:rsidR="00727DF7">
        <w:rPr>
          <w:rFonts w:ascii="Bookman Old Style" w:hAnsi="Bookman Old Style"/>
        </w:rPr>
        <w:t>Tebsa</w:t>
      </w:r>
      <w:proofErr w:type="spellEnd"/>
      <w:r w:rsidR="00952B23">
        <w:rPr>
          <w:rFonts w:ascii="Bookman Old Style" w:hAnsi="Bookman Old Style"/>
        </w:rPr>
        <w:t xml:space="preserve">, en </w:t>
      </w:r>
      <w:r w:rsidRPr="00941AFB">
        <w:rPr>
          <w:rFonts w:ascii="Bookman Old Style" w:hAnsi="Bookman Old Style"/>
        </w:rPr>
        <w:t>la base de activos de la empresa y</w:t>
      </w:r>
      <w:r w:rsidR="00952B23">
        <w:rPr>
          <w:rFonts w:ascii="Bookman Old Style" w:hAnsi="Bookman Old Style"/>
        </w:rPr>
        <w:t>,</w:t>
      </w:r>
      <w:r w:rsidRPr="00941AFB">
        <w:rPr>
          <w:rFonts w:ascii="Bookman Old Style" w:hAnsi="Bookman Old Style"/>
        </w:rPr>
        <w:t xml:space="preserve"> </w:t>
      </w:r>
      <w:r w:rsidR="00A22AF8">
        <w:rPr>
          <w:rFonts w:ascii="Bookman Old Style" w:hAnsi="Bookman Old Style"/>
        </w:rPr>
        <w:t xml:space="preserve">en consecuencia, actualizar </w:t>
      </w:r>
      <w:r w:rsidRPr="00941AFB">
        <w:rPr>
          <w:rFonts w:ascii="Bookman Old Style" w:hAnsi="Bookman Old Style"/>
        </w:rPr>
        <w:t>el ingreso anual del transmisor</w:t>
      </w:r>
      <w:r w:rsidR="00952B23">
        <w:rPr>
          <w:rFonts w:ascii="Bookman Old Style" w:hAnsi="Bookman Old Style"/>
        </w:rPr>
        <w:t>.</w:t>
      </w:r>
    </w:p>
    <w:p w:rsidR="00901517" w:rsidRDefault="00901517" w:rsidP="004D1EB2">
      <w:pPr>
        <w:spacing w:after="240"/>
        <w:ind w:left="0"/>
        <w:jc w:val="both"/>
        <w:rPr>
          <w:rFonts w:ascii="Bookman Old Style" w:hAnsi="Bookman Old Style" w:cs="Arial"/>
          <w:spacing w:val="-3"/>
          <w:lang w:val="es-CO"/>
        </w:rPr>
      </w:pPr>
      <w:r>
        <w:rPr>
          <w:rFonts w:ascii="Bookman Old Style" w:hAnsi="Bookman Old Style" w:cs="Arial"/>
          <w:spacing w:val="-3"/>
          <w:lang w:val="es-CO"/>
        </w:rPr>
        <w:t xml:space="preserve">Además, </w:t>
      </w:r>
      <w:r w:rsidR="00727DF7">
        <w:rPr>
          <w:rFonts w:ascii="Bookman Old Style" w:hAnsi="Bookman Old Style" w:cs="Arial"/>
          <w:spacing w:val="-3"/>
          <w:lang w:val="es-CO"/>
        </w:rPr>
        <w:t xml:space="preserve">mediante comunicación con radicado CREG E-2109-009822, </w:t>
      </w:r>
      <w:r>
        <w:rPr>
          <w:rFonts w:ascii="Bookman Old Style" w:hAnsi="Bookman Old Style" w:cs="Arial"/>
          <w:spacing w:val="-3"/>
          <w:lang w:val="es-CO"/>
        </w:rPr>
        <w:t xml:space="preserve">entrega copia de la carta </w:t>
      </w:r>
      <w:r w:rsidR="00522654">
        <w:rPr>
          <w:rFonts w:ascii="Bookman Old Style" w:hAnsi="Bookman Old Style" w:cs="Arial"/>
          <w:spacing w:val="-3"/>
          <w:lang w:val="es-CO"/>
        </w:rPr>
        <w:t>201</w:t>
      </w:r>
      <w:r w:rsidR="00727DF7">
        <w:rPr>
          <w:rFonts w:ascii="Bookman Old Style" w:hAnsi="Bookman Old Style" w:cs="Arial"/>
          <w:spacing w:val="-3"/>
          <w:lang w:val="es-CO"/>
        </w:rPr>
        <w:t>6</w:t>
      </w:r>
      <w:r w:rsidR="00522654">
        <w:rPr>
          <w:rFonts w:ascii="Bookman Old Style" w:hAnsi="Bookman Old Style" w:cs="Arial"/>
          <w:spacing w:val="-3"/>
          <w:lang w:val="es-CO"/>
        </w:rPr>
        <w:t>15</w:t>
      </w:r>
      <w:r w:rsidR="00727DF7">
        <w:rPr>
          <w:rFonts w:ascii="Bookman Old Style" w:hAnsi="Bookman Old Style" w:cs="Arial"/>
          <w:spacing w:val="-3"/>
          <w:lang w:val="es-CO"/>
        </w:rPr>
        <w:t>3</w:t>
      </w:r>
      <w:r w:rsidR="00522654">
        <w:rPr>
          <w:rFonts w:ascii="Bookman Old Style" w:hAnsi="Bookman Old Style" w:cs="Arial"/>
          <w:spacing w:val="-3"/>
          <w:lang w:val="es-CO"/>
        </w:rPr>
        <w:t>00</w:t>
      </w:r>
      <w:r w:rsidR="00727DF7">
        <w:rPr>
          <w:rFonts w:ascii="Bookman Old Style" w:hAnsi="Bookman Old Style" w:cs="Arial"/>
          <w:spacing w:val="-3"/>
          <w:lang w:val="es-CO"/>
        </w:rPr>
        <w:t>4375</w:t>
      </w:r>
      <w:r w:rsidR="00522654">
        <w:rPr>
          <w:rFonts w:ascii="Bookman Old Style" w:hAnsi="Bookman Old Style" w:cs="Arial"/>
          <w:spacing w:val="-3"/>
          <w:lang w:val="es-CO"/>
        </w:rPr>
        <w:t>1 de</w:t>
      </w:r>
      <w:r>
        <w:rPr>
          <w:rFonts w:ascii="Bookman Old Style" w:hAnsi="Bookman Old Style" w:cs="Arial"/>
          <w:spacing w:val="-3"/>
          <w:lang w:val="es-CO"/>
        </w:rPr>
        <w:t xml:space="preserve"> la UPME</w:t>
      </w:r>
      <w:r w:rsidR="00522654">
        <w:rPr>
          <w:rFonts w:ascii="Bookman Old Style" w:hAnsi="Bookman Old Style" w:cs="Arial"/>
          <w:spacing w:val="-3"/>
          <w:lang w:val="es-CO"/>
        </w:rPr>
        <w:t xml:space="preserve">, con fecha del </w:t>
      </w:r>
      <w:r w:rsidR="00727DF7">
        <w:rPr>
          <w:rFonts w:ascii="Bookman Old Style" w:hAnsi="Bookman Old Style" w:cs="Arial"/>
          <w:spacing w:val="-3"/>
          <w:lang w:val="es-CO"/>
        </w:rPr>
        <w:t>25</w:t>
      </w:r>
      <w:r w:rsidR="00522654">
        <w:rPr>
          <w:rFonts w:ascii="Bookman Old Style" w:hAnsi="Bookman Old Style" w:cs="Arial"/>
          <w:spacing w:val="-3"/>
          <w:lang w:val="es-CO"/>
        </w:rPr>
        <w:t xml:space="preserve"> de octubre de 2015, donde l</w:t>
      </w:r>
      <w:r>
        <w:rPr>
          <w:rFonts w:ascii="Bookman Old Style" w:hAnsi="Bookman Old Style" w:cs="Arial"/>
          <w:spacing w:val="-3"/>
          <w:lang w:val="es-CO"/>
        </w:rPr>
        <w:t xml:space="preserve">e solicita </w:t>
      </w:r>
      <w:r w:rsidR="00522654">
        <w:rPr>
          <w:rFonts w:ascii="Bookman Old Style" w:hAnsi="Bookman Old Style" w:cs="Arial"/>
          <w:spacing w:val="-3"/>
          <w:lang w:val="es-CO"/>
        </w:rPr>
        <w:t xml:space="preserve">a Transelca </w:t>
      </w:r>
      <w:r>
        <w:rPr>
          <w:rFonts w:ascii="Bookman Old Style" w:hAnsi="Bookman Old Style" w:cs="Arial"/>
          <w:spacing w:val="-3"/>
          <w:lang w:val="es-CO"/>
        </w:rPr>
        <w:t xml:space="preserve">la manifestación de interés para construir una bahía de transformador, configuración interruptor y medio, en la subestación </w:t>
      </w:r>
      <w:proofErr w:type="spellStart"/>
      <w:r w:rsidR="00B23B02">
        <w:rPr>
          <w:rFonts w:ascii="Bookman Old Style" w:hAnsi="Bookman Old Style" w:cs="Arial"/>
          <w:spacing w:val="-3"/>
          <w:lang w:val="es-CO"/>
        </w:rPr>
        <w:t>Tebsa</w:t>
      </w:r>
      <w:proofErr w:type="spellEnd"/>
      <w:r>
        <w:rPr>
          <w:rFonts w:ascii="Bookman Old Style" w:hAnsi="Bookman Old Style" w:cs="Arial"/>
          <w:spacing w:val="-3"/>
          <w:lang w:val="es-CO"/>
        </w:rPr>
        <w:t xml:space="preserve">, 220 </w:t>
      </w:r>
      <w:proofErr w:type="spellStart"/>
      <w:r>
        <w:rPr>
          <w:rFonts w:ascii="Bookman Old Style" w:hAnsi="Bookman Old Style" w:cs="Arial"/>
          <w:spacing w:val="-3"/>
          <w:lang w:val="es-CO"/>
        </w:rPr>
        <w:t>kV</w:t>
      </w:r>
      <w:proofErr w:type="spellEnd"/>
      <w:r w:rsidR="00522654">
        <w:rPr>
          <w:rFonts w:ascii="Bookman Old Style" w:hAnsi="Bookman Old Style" w:cs="Arial"/>
          <w:spacing w:val="-3"/>
          <w:lang w:val="es-CO"/>
        </w:rPr>
        <w:t>, proyecto incluido en el Plan de Expansión 201</w:t>
      </w:r>
      <w:r w:rsidR="00722FB1">
        <w:rPr>
          <w:rFonts w:ascii="Bookman Old Style" w:hAnsi="Bookman Old Style" w:cs="Arial"/>
          <w:spacing w:val="-3"/>
          <w:lang w:val="es-CO"/>
        </w:rPr>
        <w:t>5</w:t>
      </w:r>
      <w:r w:rsidR="00522654">
        <w:rPr>
          <w:rFonts w:ascii="Bookman Old Style" w:hAnsi="Bookman Old Style" w:cs="Arial"/>
          <w:spacing w:val="-3"/>
          <w:lang w:val="es-CO"/>
        </w:rPr>
        <w:t>-202</w:t>
      </w:r>
      <w:r w:rsidR="00722FB1">
        <w:rPr>
          <w:rFonts w:ascii="Bookman Old Style" w:hAnsi="Bookman Old Style" w:cs="Arial"/>
          <w:spacing w:val="-3"/>
          <w:lang w:val="es-CO"/>
        </w:rPr>
        <w:t>9</w:t>
      </w:r>
      <w:r w:rsidR="00522654">
        <w:rPr>
          <w:rFonts w:ascii="Bookman Old Style" w:hAnsi="Bookman Old Style" w:cs="Arial"/>
          <w:spacing w:val="-3"/>
          <w:lang w:val="es-CO"/>
        </w:rPr>
        <w:t xml:space="preserve">, la cual se requería que entrara en operación en </w:t>
      </w:r>
      <w:r w:rsidR="00722FB1">
        <w:rPr>
          <w:rFonts w:ascii="Bookman Old Style" w:hAnsi="Bookman Old Style" w:cs="Arial"/>
          <w:spacing w:val="-3"/>
          <w:lang w:val="es-CO"/>
        </w:rPr>
        <w:t>agosto</w:t>
      </w:r>
      <w:r w:rsidR="00522654">
        <w:rPr>
          <w:rFonts w:ascii="Bookman Old Style" w:hAnsi="Bookman Old Style" w:cs="Arial"/>
          <w:spacing w:val="-3"/>
          <w:lang w:val="es-CO"/>
        </w:rPr>
        <w:t xml:space="preserve"> de 2018</w:t>
      </w:r>
      <w:r>
        <w:rPr>
          <w:rFonts w:ascii="Bookman Old Style" w:hAnsi="Bookman Old Style" w:cs="Arial"/>
          <w:spacing w:val="-3"/>
          <w:lang w:val="es-CO"/>
        </w:rPr>
        <w:t>.</w:t>
      </w:r>
    </w:p>
    <w:p w:rsidR="00901517" w:rsidRDefault="00522654" w:rsidP="004D1EB2">
      <w:pPr>
        <w:spacing w:after="240"/>
        <w:ind w:left="0"/>
        <w:jc w:val="both"/>
        <w:rPr>
          <w:rFonts w:ascii="Bookman Old Style" w:hAnsi="Bookman Old Style" w:cs="Arial"/>
          <w:spacing w:val="-3"/>
          <w:lang w:val="es-CO"/>
        </w:rPr>
      </w:pPr>
      <w:r>
        <w:rPr>
          <w:rFonts w:ascii="Bookman Old Style" w:hAnsi="Bookman Old Style" w:cs="Arial"/>
          <w:spacing w:val="-3"/>
          <w:lang w:val="es-CO"/>
        </w:rPr>
        <w:t>Transelca, mediante comunicación 00</w:t>
      </w:r>
      <w:r w:rsidR="00722FB1">
        <w:rPr>
          <w:rFonts w:ascii="Bookman Old Style" w:hAnsi="Bookman Old Style" w:cs="Arial"/>
          <w:spacing w:val="-3"/>
          <w:lang w:val="es-CO"/>
        </w:rPr>
        <w:t>0047</w:t>
      </w:r>
      <w:r>
        <w:rPr>
          <w:rFonts w:ascii="Bookman Old Style" w:hAnsi="Bookman Old Style" w:cs="Arial"/>
          <w:spacing w:val="-3"/>
          <w:lang w:val="es-CO"/>
        </w:rPr>
        <w:t>-201</w:t>
      </w:r>
      <w:r w:rsidR="00722FB1">
        <w:rPr>
          <w:rFonts w:ascii="Bookman Old Style" w:hAnsi="Bookman Old Style" w:cs="Arial"/>
          <w:spacing w:val="-3"/>
          <w:lang w:val="es-CO"/>
        </w:rPr>
        <w:t>7</w:t>
      </w:r>
      <w:r>
        <w:rPr>
          <w:rFonts w:ascii="Bookman Old Style" w:hAnsi="Bookman Old Style" w:cs="Arial"/>
          <w:spacing w:val="-3"/>
          <w:lang w:val="es-CO"/>
        </w:rPr>
        <w:t xml:space="preserve"> del </w:t>
      </w:r>
      <w:r w:rsidR="00722FB1">
        <w:rPr>
          <w:rFonts w:ascii="Bookman Old Style" w:hAnsi="Bookman Old Style" w:cs="Arial"/>
          <w:spacing w:val="-3"/>
          <w:lang w:val="es-CO"/>
        </w:rPr>
        <w:t>6</w:t>
      </w:r>
      <w:r>
        <w:rPr>
          <w:rFonts w:ascii="Bookman Old Style" w:hAnsi="Bookman Old Style" w:cs="Arial"/>
          <w:spacing w:val="-3"/>
          <w:lang w:val="es-CO"/>
        </w:rPr>
        <w:t xml:space="preserve"> de </w:t>
      </w:r>
      <w:r w:rsidR="00722FB1">
        <w:rPr>
          <w:rFonts w:ascii="Bookman Old Style" w:hAnsi="Bookman Old Style" w:cs="Arial"/>
          <w:spacing w:val="-3"/>
          <w:lang w:val="es-CO"/>
        </w:rPr>
        <w:t>enero</w:t>
      </w:r>
      <w:r>
        <w:rPr>
          <w:rFonts w:ascii="Bookman Old Style" w:hAnsi="Bookman Old Style" w:cs="Arial"/>
          <w:spacing w:val="-3"/>
          <w:lang w:val="es-CO"/>
        </w:rPr>
        <w:t xml:space="preserve"> de 201</w:t>
      </w:r>
      <w:r w:rsidR="00722FB1">
        <w:rPr>
          <w:rFonts w:ascii="Bookman Old Style" w:hAnsi="Bookman Old Style" w:cs="Arial"/>
          <w:spacing w:val="-3"/>
          <w:lang w:val="es-CO"/>
        </w:rPr>
        <w:t>7</w:t>
      </w:r>
      <w:r>
        <w:rPr>
          <w:rFonts w:ascii="Bookman Old Style" w:hAnsi="Bookman Old Style" w:cs="Arial"/>
          <w:spacing w:val="-3"/>
          <w:lang w:val="es-CO"/>
        </w:rPr>
        <w:t>, confirm</w:t>
      </w:r>
      <w:r w:rsidR="004D1EB2">
        <w:rPr>
          <w:rFonts w:ascii="Bookman Old Style" w:hAnsi="Bookman Old Style" w:cs="Arial"/>
          <w:spacing w:val="-3"/>
          <w:lang w:val="es-CO"/>
        </w:rPr>
        <w:t>ó</w:t>
      </w:r>
      <w:r>
        <w:rPr>
          <w:rFonts w:ascii="Bookman Old Style" w:hAnsi="Bookman Old Style" w:cs="Arial"/>
          <w:spacing w:val="-3"/>
          <w:lang w:val="es-CO"/>
        </w:rPr>
        <w:t xml:space="preserve"> el interés en la construcción de la mencionada bahía de transformador.</w:t>
      </w:r>
    </w:p>
    <w:p w:rsidR="008F6B31" w:rsidRPr="008F6B31" w:rsidRDefault="008F6B31" w:rsidP="004D1EB2">
      <w:pPr>
        <w:spacing w:after="240"/>
        <w:ind w:left="0"/>
        <w:jc w:val="both"/>
        <w:rPr>
          <w:rFonts w:ascii="Bookman Old Style" w:hAnsi="Bookman Old Style" w:cs="Arial"/>
          <w:spacing w:val="-3"/>
          <w:lang w:val="es-CO"/>
        </w:rPr>
      </w:pPr>
      <w:r>
        <w:rPr>
          <w:rFonts w:ascii="Bookman Old Style" w:hAnsi="Bookman Old Style" w:cs="Arial"/>
          <w:spacing w:val="-3"/>
          <w:lang w:val="es-CO"/>
        </w:rPr>
        <w:t xml:space="preserve">Mediante auto del </w:t>
      </w:r>
      <w:r w:rsidR="006D0906">
        <w:rPr>
          <w:rFonts w:ascii="Bookman Old Style" w:hAnsi="Bookman Old Style" w:cs="Arial"/>
          <w:spacing w:val="-3"/>
          <w:lang w:val="es-CO"/>
        </w:rPr>
        <w:t>16</w:t>
      </w:r>
      <w:r w:rsidR="002A653A">
        <w:rPr>
          <w:rFonts w:ascii="Bookman Old Style" w:hAnsi="Bookman Old Style" w:cs="Arial"/>
          <w:spacing w:val="-3"/>
          <w:lang w:val="es-CO"/>
        </w:rPr>
        <w:t xml:space="preserve"> de </w:t>
      </w:r>
      <w:r w:rsidR="009E4A48">
        <w:rPr>
          <w:rFonts w:ascii="Bookman Old Style" w:hAnsi="Bookman Old Style" w:cs="Arial"/>
          <w:spacing w:val="-3"/>
          <w:lang w:val="es-CO"/>
        </w:rPr>
        <w:t xml:space="preserve">septiembre </w:t>
      </w:r>
      <w:r w:rsidR="002A653A">
        <w:rPr>
          <w:rFonts w:ascii="Bookman Old Style" w:hAnsi="Bookman Old Style" w:cs="Arial"/>
          <w:spacing w:val="-3"/>
          <w:lang w:val="es-CO"/>
        </w:rPr>
        <w:t>de</w:t>
      </w:r>
      <w:r>
        <w:rPr>
          <w:rFonts w:ascii="Bookman Old Style" w:hAnsi="Bookman Old Style" w:cs="Arial"/>
          <w:spacing w:val="-3"/>
          <w:lang w:val="es-CO"/>
        </w:rPr>
        <w:t xml:space="preserve"> 201</w:t>
      </w:r>
      <w:r w:rsidR="006D0906">
        <w:rPr>
          <w:rFonts w:ascii="Bookman Old Style" w:hAnsi="Bookman Old Style" w:cs="Arial"/>
          <w:spacing w:val="-3"/>
          <w:lang w:val="es-CO"/>
        </w:rPr>
        <w:t>9</w:t>
      </w:r>
      <w:r w:rsidRPr="008F6B31">
        <w:rPr>
          <w:rFonts w:ascii="Bookman Old Style" w:hAnsi="Bookman Old Style" w:cs="Arial"/>
          <w:spacing w:val="-3"/>
          <w:lang w:val="es-CO"/>
        </w:rPr>
        <w:t xml:space="preserve">, la Comisión dio inicio a la actuación administrativa tendiente a actualizar el ingreso anual de la actividad de transmisión de </w:t>
      </w:r>
      <w:r w:rsidR="0051050B">
        <w:rPr>
          <w:rFonts w:ascii="Bookman Old Style" w:hAnsi="Bookman Old Style" w:cs="Arial"/>
          <w:spacing w:val="-3"/>
          <w:lang w:val="es-CO"/>
        </w:rPr>
        <w:t>Transelca</w:t>
      </w:r>
      <w:r w:rsidRPr="008F6B31">
        <w:rPr>
          <w:rFonts w:ascii="Bookman Old Style" w:hAnsi="Bookman Old Style" w:cs="Arial"/>
          <w:spacing w:val="-3"/>
          <w:lang w:val="es-CO"/>
        </w:rPr>
        <w:t xml:space="preserve"> S.A. E.S.P., y ordenó la apertura del respectivo expediente que fu</w:t>
      </w:r>
      <w:r w:rsidR="009F4209">
        <w:rPr>
          <w:rFonts w:ascii="Bookman Old Style" w:hAnsi="Bookman Old Style" w:cs="Arial"/>
          <w:spacing w:val="-3"/>
          <w:lang w:val="es-CO"/>
        </w:rPr>
        <w:t>e distinguido con el número 201</w:t>
      </w:r>
      <w:r w:rsidR="006D0906">
        <w:rPr>
          <w:rFonts w:ascii="Bookman Old Style" w:hAnsi="Bookman Old Style" w:cs="Arial"/>
          <w:spacing w:val="-3"/>
          <w:lang w:val="es-CO"/>
        </w:rPr>
        <w:t>9</w:t>
      </w:r>
      <w:r>
        <w:rPr>
          <w:rFonts w:ascii="Bookman Old Style" w:hAnsi="Bookman Old Style" w:cs="Arial"/>
          <w:spacing w:val="-3"/>
          <w:lang w:val="es-CO"/>
        </w:rPr>
        <w:t>-0</w:t>
      </w:r>
      <w:r w:rsidR="009E4A48">
        <w:rPr>
          <w:rFonts w:ascii="Bookman Old Style" w:hAnsi="Bookman Old Style" w:cs="Arial"/>
          <w:spacing w:val="-3"/>
          <w:lang w:val="es-CO"/>
        </w:rPr>
        <w:t>1</w:t>
      </w:r>
      <w:r w:rsidR="006D0906">
        <w:rPr>
          <w:rFonts w:ascii="Bookman Old Style" w:hAnsi="Bookman Old Style" w:cs="Arial"/>
          <w:spacing w:val="-3"/>
          <w:lang w:val="es-CO"/>
        </w:rPr>
        <w:t>63</w:t>
      </w:r>
      <w:r w:rsidRPr="008F6B31">
        <w:rPr>
          <w:rFonts w:ascii="Bookman Old Style" w:hAnsi="Bookman Old Style" w:cs="Arial"/>
          <w:spacing w:val="-3"/>
          <w:lang w:val="es-CO"/>
        </w:rPr>
        <w:t xml:space="preserve">. </w:t>
      </w:r>
    </w:p>
    <w:p w:rsidR="0018302B" w:rsidRDefault="008F6B31" w:rsidP="004D1EB2">
      <w:pPr>
        <w:spacing w:after="240"/>
        <w:ind w:left="0"/>
        <w:jc w:val="both"/>
        <w:rPr>
          <w:rFonts w:ascii="Bookman Old Style" w:hAnsi="Bookman Old Style" w:cs="Arial"/>
          <w:spacing w:val="-3"/>
          <w:lang w:val="es-CO"/>
        </w:rPr>
      </w:pPr>
      <w:r w:rsidRPr="008F6B31">
        <w:rPr>
          <w:rFonts w:ascii="Bookman Old Style" w:hAnsi="Bookman Old Style" w:cs="Arial"/>
          <w:spacing w:val="-3"/>
          <w:lang w:val="es-CO"/>
        </w:rPr>
        <w:t xml:space="preserve">Posteriormente y en cumplimiento de lo establecido en el artículo 37 del Código de Procedimiento Administrativo y de lo Contencioso Administrativo, la CREG publicó en el </w:t>
      </w:r>
      <w:r w:rsidRPr="0071250D">
        <w:rPr>
          <w:rFonts w:ascii="Bookman Old Style" w:hAnsi="Bookman Old Style" w:cs="Arial"/>
          <w:i/>
          <w:spacing w:val="-3"/>
          <w:lang w:val="es-CO"/>
        </w:rPr>
        <w:t>Diario Oficial</w:t>
      </w:r>
      <w:r w:rsidRPr="008F6B31">
        <w:rPr>
          <w:rFonts w:ascii="Bookman Old Style" w:hAnsi="Bookman Old Style" w:cs="Arial"/>
          <w:spacing w:val="-3"/>
          <w:lang w:val="es-CO"/>
        </w:rPr>
        <w:t xml:space="preserve"> y en la página web de la entidad un resumen de la solicitud, con el fin de que los terceros interesados pudieran intervenir en la actuación administrativa.</w:t>
      </w:r>
    </w:p>
    <w:p w:rsidR="009E4A48" w:rsidRDefault="009E4A48" w:rsidP="004D1EB2">
      <w:pPr>
        <w:tabs>
          <w:tab w:val="center" w:pos="4680"/>
        </w:tabs>
        <w:spacing w:after="240"/>
        <w:ind w:left="0"/>
        <w:jc w:val="both"/>
        <w:rPr>
          <w:rFonts w:ascii="Bookman Old Style" w:hAnsi="Bookman Old Style" w:cs="Arial"/>
          <w:spacing w:val="-3"/>
        </w:rPr>
      </w:pPr>
      <w:r>
        <w:rPr>
          <w:rFonts w:ascii="Bookman Old Style" w:hAnsi="Bookman Old Style" w:cs="Arial"/>
          <w:spacing w:val="-3"/>
        </w:rPr>
        <w:t>C</w:t>
      </w:r>
      <w:r w:rsidRPr="00B24858">
        <w:rPr>
          <w:rFonts w:ascii="Bookman Old Style" w:hAnsi="Bookman Old Style" w:cs="Arial"/>
          <w:spacing w:val="-3"/>
        </w:rPr>
        <w:t>on base en los análisis efectuados</w:t>
      </w:r>
      <w:r>
        <w:rPr>
          <w:rFonts w:ascii="Bookman Old Style" w:hAnsi="Bookman Old Style" w:cs="Arial"/>
          <w:spacing w:val="-3"/>
        </w:rPr>
        <w:t xml:space="preserve"> </w:t>
      </w:r>
      <w:r w:rsidRPr="00B24858">
        <w:rPr>
          <w:rFonts w:ascii="Bookman Old Style" w:hAnsi="Bookman Old Style" w:cs="Arial"/>
          <w:spacing w:val="-3"/>
        </w:rPr>
        <w:t xml:space="preserve">y aplicando la metodología contenida en la Resolución </w:t>
      </w:r>
      <w:r w:rsidRPr="00B84711">
        <w:rPr>
          <w:rFonts w:ascii="Bookman Old Style" w:hAnsi="Bookman Old Style" w:cs="Arial"/>
          <w:spacing w:val="-3"/>
        </w:rPr>
        <w:t xml:space="preserve">CREG 011 de 2009 </w:t>
      </w:r>
      <w:r w:rsidRPr="00B24858">
        <w:rPr>
          <w:rFonts w:ascii="Bookman Old Style" w:hAnsi="Bookman Old Style" w:cs="Arial"/>
          <w:spacing w:val="-3"/>
        </w:rPr>
        <w:t xml:space="preserve">se realizaron los ajustes pertinentes para </w:t>
      </w:r>
      <w:r>
        <w:rPr>
          <w:rFonts w:ascii="Bookman Old Style" w:hAnsi="Bookman Old Style"/>
        </w:rPr>
        <w:t xml:space="preserve">actualizar el ingreso anual de la actividad de transmisión </w:t>
      </w:r>
      <w:r w:rsidRPr="00A8635E">
        <w:rPr>
          <w:rFonts w:ascii="Bookman Old Style" w:hAnsi="Bookman Old Style"/>
        </w:rPr>
        <w:t xml:space="preserve">de </w:t>
      </w:r>
      <w:r>
        <w:rPr>
          <w:rFonts w:ascii="Bookman Old Style" w:hAnsi="Bookman Old Style"/>
        </w:rPr>
        <w:t>Transelca</w:t>
      </w:r>
      <w:r w:rsidRPr="00FF7119">
        <w:rPr>
          <w:rFonts w:ascii="Bookman Old Style" w:hAnsi="Bookman Old Style"/>
        </w:rPr>
        <w:t xml:space="preserve"> S.A. E.S.P.</w:t>
      </w:r>
      <w:r>
        <w:rPr>
          <w:rFonts w:ascii="Bookman Old Style" w:hAnsi="Bookman Old Style" w:cs="Arial"/>
          <w:spacing w:val="-3"/>
        </w:rPr>
        <w:t>, p</w:t>
      </w:r>
      <w:r w:rsidRPr="009D4454">
        <w:rPr>
          <w:rFonts w:ascii="Bookman Old Style" w:hAnsi="Bookman Old Style" w:cs="Arial"/>
          <w:spacing w:val="-3"/>
        </w:rPr>
        <w:t xml:space="preserve">or </w:t>
      </w:r>
      <w:r>
        <w:rPr>
          <w:rFonts w:ascii="Bookman Old Style" w:hAnsi="Bookman Old Style" w:cs="Arial"/>
          <w:spacing w:val="-3"/>
        </w:rPr>
        <w:t xml:space="preserve">la inclusión de una </w:t>
      </w:r>
      <w:r w:rsidRPr="00C472B9">
        <w:rPr>
          <w:rFonts w:ascii="Bookman Old Style" w:hAnsi="Bookman Old Style" w:cs="Arial"/>
          <w:spacing w:val="-3"/>
        </w:rPr>
        <w:t>bahía de transformador con configuración interruptor y medio</w:t>
      </w:r>
      <w:r>
        <w:rPr>
          <w:rFonts w:ascii="Bookman Old Style" w:hAnsi="Bookman Old Style" w:cs="Arial"/>
          <w:spacing w:val="-3"/>
        </w:rPr>
        <w:t>,</w:t>
      </w:r>
      <w:r w:rsidRPr="00C472B9">
        <w:rPr>
          <w:rFonts w:ascii="Bookman Old Style" w:hAnsi="Bookman Old Style" w:cs="Arial"/>
          <w:spacing w:val="-3"/>
        </w:rPr>
        <w:t xml:space="preserve"> </w:t>
      </w:r>
      <w:r>
        <w:rPr>
          <w:rFonts w:ascii="Bookman Old Style" w:hAnsi="Bookman Old Style" w:cs="Arial"/>
          <w:spacing w:val="-3"/>
        </w:rPr>
        <w:t xml:space="preserve">en la </w:t>
      </w:r>
      <w:r w:rsidRPr="00C472B9">
        <w:rPr>
          <w:rFonts w:ascii="Bookman Old Style" w:hAnsi="Bookman Old Style" w:cs="Arial"/>
          <w:spacing w:val="-3"/>
        </w:rPr>
        <w:t xml:space="preserve">subestación </w:t>
      </w:r>
      <w:proofErr w:type="spellStart"/>
      <w:r w:rsidR="006D0906">
        <w:rPr>
          <w:rFonts w:ascii="Bookman Old Style" w:hAnsi="Bookman Old Style" w:cs="Arial"/>
          <w:spacing w:val="-3"/>
        </w:rPr>
        <w:t>Tebsa</w:t>
      </w:r>
      <w:proofErr w:type="spellEnd"/>
      <w:r>
        <w:rPr>
          <w:rFonts w:ascii="Bookman Old Style" w:hAnsi="Bookman Old Style" w:cs="Arial"/>
          <w:spacing w:val="-3"/>
        </w:rPr>
        <w:t>.</w:t>
      </w:r>
    </w:p>
    <w:p w:rsidR="009E4A48" w:rsidRPr="00193601" w:rsidRDefault="009E4A48" w:rsidP="004D1EB2">
      <w:pPr>
        <w:tabs>
          <w:tab w:val="center" w:pos="4680"/>
        </w:tabs>
        <w:spacing w:after="240"/>
        <w:ind w:left="0"/>
        <w:jc w:val="both"/>
        <w:rPr>
          <w:rFonts w:ascii="Bookman Old Style" w:hAnsi="Bookman Old Style" w:cs="Arial"/>
          <w:spacing w:val="-3"/>
        </w:rPr>
      </w:pPr>
      <w:r>
        <w:rPr>
          <w:rFonts w:ascii="Bookman Old Style" w:hAnsi="Bookman Old Style" w:cs="Arial"/>
          <w:spacing w:val="-3"/>
        </w:rPr>
        <w:lastRenderedPageBreak/>
        <w:t xml:space="preserve">Teniendo en cuenta lo anterior, a partir de la aplicación de la metodología contenida en la Resolución CREG 011 de 2009, se calculan las siguientes variables principales: </w:t>
      </w:r>
    </w:p>
    <w:p w:rsidR="00766A4B" w:rsidRDefault="00766A4B" w:rsidP="009E4A48">
      <w:pPr>
        <w:tabs>
          <w:tab w:val="center" w:pos="4680"/>
        </w:tabs>
        <w:ind w:left="0"/>
        <w:jc w:val="center"/>
        <w:rPr>
          <w:rFonts w:ascii="Bookman Old Style" w:hAnsi="Bookman Old Style" w:cs="Arial"/>
          <w:spacing w:val="-3"/>
        </w:rPr>
      </w:pPr>
      <w:r w:rsidRPr="00766A4B">
        <w:rPr>
          <w:noProof/>
          <w:lang w:val="es-CO" w:eastAsia="es-CO"/>
        </w:rPr>
        <w:drawing>
          <wp:inline distT="0" distB="0" distL="0" distR="0">
            <wp:extent cx="4892675" cy="1351280"/>
            <wp:effectExtent l="0" t="0" r="3175" b="127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92675" cy="1351280"/>
                    </a:xfrm>
                    <a:prstGeom prst="rect">
                      <a:avLst/>
                    </a:prstGeom>
                    <a:noFill/>
                    <a:ln>
                      <a:noFill/>
                    </a:ln>
                  </pic:spPr>
                </pic:pic>
              </a:graphicData>
            </a:graphic>
          </wp:inline>
        </w:drawing>
      </w:r>
    </w:p>
    <w:p w:rsidR="00766A4B" w:rsidRDefault="00766A4B" w:rsidP="009E4A48">
      <w:pPr>
        <w:tabs>
          <w:tab w:val="center" w:pos="4680"/>
        </w:tabs>
        <w:ind w:left="0"/>
        <w:jc w:val="center"/>
        <w:rPr>
          <w:rFonts w:ascii="Bookman Old Style" w:hAnsi="Bookman Old Style" w:cs="Arial"/>
          <w:spacing w:val="-3"/>
        </w:rPr>
      </w:pPr>
    </w:p>
    <w:p w:rsidR="009E4A48" w:rsidRPr="00B84711" w:rsidRDefault="009E4A48" w:rsidP="009E4A48">
      <w:pPr>
        <w:tabs>
          <w:tab w:val="center" w:pos="4680"/>
        </w:tabs>
        <w:ind w:left="0"/>
        <w:jc w:val="both"/>
        <w:rPr>
          <w:rFonts w:ascii="Bookman Old Style" w:hAnsi="Bookman Old Style" w:cs="Arial"/>
          <w:spacing w:val="-3"/>
        </w:rPr>
      </w:pPr>
      <w:r>
        <w:rPr>
          <w:rFonts w:ascii="Bookman Old Style" w:hAnsi="Bookman Old Style" w:cs="Arial"/>
          <w:spacing w:val="-3"/>
        </w:rPr>
        <w:t>L</w:t>
      </w:r>
      <w:r w:rsidRPr="00B84711">
        <w:rPr>
          <w:rFonts w:ascii="Bookman Old Style" w:hAnsi="Bookman Old Style" w:cs="Arial"/>
          <w:spacing w:val="-3"/>
        </w:rPr>
        <w:t xml:space="preserve">a Comisión de Regulación de Energía y Gas en su sesión </w:t>
      </w:r>
      <w:r w:rsidR="00F97424">
        <w:rPr>
          <w:rFonts w:ascii="Bookman Old Style" w:hAnsi="Bookman Old Style" w:cs="Arial"/>
          <w:spacing w:val="-3"/>
        </w:rPr>
        <w:t>947</w:t>
      </w:r>
      <w:r w:rsidRPr="00B84711">
        <w:rPr>
          <w:rFonts w:ascii="Bookman Old Style" w:hAnsi="Bookman Old Style" w:cs="Arial"/>
          <w:spacing w:val="-3"/>
        </w:rPr>
        <w:t xml:space="preserve"> del </w:t>
      </w:r>
      <w:r w:rsidR="00F97424">
        <w:rPr>
          <w:rFonts w:ascii="Bookman Old Style" w:hAnsi="Bookman Old Style" w:cs="Arial"/>
          <w:spacing w:val="-3"/>
        </w:rPr>
        <w:t>27</w:t>
      </w:r>
      <w:r w:rsidRPr="00B84711">
        <w:rPr>
          <w:rFonts w:ascii="Bookman Old Style" w:hAnsi="Bookman Old Style" w:cs="Arial"/>
          <w:spacing w:val="-3"/>
        </w:rPr>
        <w:t xml:space="preserve"> de </w:t>
      </w:r>
      <w:r w:rsidR="00766A4B">
        <w:rPr>
          <w:rFonts w:ascii="Bookman Old Style" w:hAnsi="Bookman Old Style" w:cs="Arial"/>
          <w:spacing w:val="-3"/>
        </w:rPr>
        <w:t>sept</w:t>
      </w:r>
      <w:r w:rsidR="0036215D">
        <w:rPr>
          <w:rFonts w:ascii="Bookman Old Style" w:hAnsi="Bookman Old Style" w:cs="Arial"/>
          <w:spacing w:val="-3"/>
        </w:rPr>
        <w:t>iem</w:t>
      </w:r>
      <w:r>
        <w:rPr>
          <w:rFonts w:ascii="Bookman Old Style" w:hAnsi="Bookman Old Style" w:cs="Arial"/>
          <w:spacing w:val="-3"/>
        </w:rPr>
        <w:t>bre</w:t>
      </w:r>
      <w:r w:rsidRPr="00B84711">
        <w:rPr>
          <w:rFonts w:ascii="Bookman Old Style" w:hAnsi="Bookman Old Style" w:cs="Arial"/>
          <w:spacing w:val="-3"/>
        </w:rPr>
        <w:t xml:space="preserve"> de 201</w:t>
      </w:r>
      <w:r w:rsidR="00766A4B">
        <w:rPr>
          <w:rFonts w:ascii="Bookman Old Style" w:hAnsi="Bookman Old Style" w:cs="Arial"/>
          <w:spacing w:val="-3"/>
        </w:rPr>
        <w:t>9</w:t>
      </w:r>
      <w:r w:rsidRPr="00B84711">
        <w:rPr>
          <w:rFonts w:ascii="Bookman Old Style" w:hAnsi="Bookman Old Style" w:cs="Arial"/>
          <w:spacing w:val="-3"/>
        </w:rPr>
        <w:t xml:space="preserve"> aprobó </w:t>
      </w:r>
      <w:r>
        <w:rPr>
          <w:rFonts w:ascii="Bookman Old Style" w:hAnsi="Bookman Old Style" w:cs="Arial"/>
          <w:spacing w:val="-3"/>
        </w:rPr>
        <w:t>actualizar la base de activos de Transelca</w:t>
      </w:r>
      <w:r w:rsidRPr="00451D5E">
        <w:rPr>
          <w:rFonts w:ascii="Bookman Old Style" w:hAnsi="Bookman Old Style" w:cs="Arial"/>
          <w:spacing w:val="-3"/>
        </w:rPr>
        <w:t xml:space="preserve"> S.A. E.S.P.</w:t>
      </w:r>
      <w:r w:rsidRPr="00B84711">
        <w:rPr>
          <w:rFonts w:ascii="Bookman Old Style" w:hAnsi="Bookman Old Style" w:cs="Arial"/>
          <w:spacing w:val="-3"/>
        </w:rPr>
        <w:t xml:space="preserve"> </w:t>
      </w:r>
      <w:r>
        <w:rPr>
          <w:rFonts w:ascii="Bookman Old Style" w:hAnsi="Bookman Old Style" w:cs="Arial"/>
          <w:spacing w:val="-3"/>
        </w:rPr>
        <w:t xml:space="preserve">y </w:t>
      </w:r>
      <w:r>
        <w:rPr>
          <w:rFonts w:ascii="Bookman Old Style" w:hAnsi="Bookman Old Style"/>
        </w:rPr>
        <w:t>expedir la presente resolución</w:t>
      </w:r>
      <w:r w:rsidRPr="00B84711">
        <w:rPr>
          <w:rFonts w:ascii="Bookman Old Style" w:hAnsi="Bookman Old Style" w:cs="Arial"/>
          <w:spacing w:val="-3"/>
        </w:rPr>
        <w:t>.</w:t>
      </w:r>
    </w:p>
    <w:p w:rsidR="009D4454" w:rsidRDefault="009D4454" w:rsidP="009D4454">
      <w:pPr>
        <w:jc w:val="center"/>
        <w:rPr>
          <w:rFonts w:ascii="Bookman Old Style" w:hAnsi="Bookman Old Style"/>
          <w:b/>
        </w:rPr>
      </w:pPr>
    </w:p>
    <w:p w:rsidR="00901517" w:rsidRPr="00B84711" w:rsidRDefault="00901517" w:rsidP="009D4454">
      <w:pPr>
        <w:jc w:val="center"/>
        <w:rPr>
          <w:rFonts w:ascii="Bookman Old Style" w:hAnsi="Bookman Old Style"/>
          <w:b/>
        </w:rPr>
      </w:pPr>
    </w:p>
    <w:p w:rsidR="009D4454" w:rsidRPr="000B4378" w:rsidRDefault="009D4454" w:rsidP="000B4378">
      <w:pPr>
        <w:ind w:left="0"/>
        <w:jc w:val="center"/>
        <w:rPr>
          <w:rFonts w:ascii="Bookman Old Style" w:hAnsi="Bookman Old Style"/>
          <w:b/>
          <w:spacing w:val="60"/>
        </w:rPr>
      </w:pPr>
      <w:r w:rsidRPr="000B4378">
        <w:rPr>
          <w:rFonts w:ascii="Bookman Old Style" w:hAnsi="Bookman Old Style"/>
          <w:b/>
          <w:spacing w:val="60"/>
        </w:rPr>
        <w:t>RESUELVE:</w:t>
      </w:r>
    </w:p>
    <w:p w:rsidR="00D81DB4" w:rsidRPr="00FE4995" w:rsidRDefault="00D81DB4" w:rsidP="003A3A70">
      <w:pPr>
        <w:keepNext/>
        <w:jc w:val="center"/>
        <w:rPr>
          <w:rFonts w:ascii="Bookman Old Style" w:hAnsi="Bookman Old Style"/>
          <w:b/>
          <w:sz w:val="32"/>
          <w:szCs w:val="22"/>
        </w:rPr>
      </w:pPr>
    </w:p>
    <w:p w:rsidR="00D81DB4" w:rsidRDefault="00D81DB4" w:rsidP="00D81DB4">
      <w:pPr>
        <w:pStyle w:val="Prrafodelista"/>
        <w:numPr>
          <w:ilvl w:val="0"/>
          <w:numId w:val="17"/>
        </w:numPr>
        <w:jc w:val="both"/>
        <w:rPr>
          <w:rFonts w:ascii="Bookman Old Style" w:hAnsi="Bookman Old Style"/>
          <w:sz w:val="24"/>
        </w:rPr>
      </w:pPr>
      <w:r w:rsidRPr="008D1CA9">
        <w:rPr>
          <w:rFonts w:ascii="Bookman Old Style" w:hAnsi="Bookman Old Style"/>
          <w:sz w:val="24"/>
        </w:rPr>
        <w:t xml:space="preserve">Modificar la base de activos de Transelca S.A. E.S.P., aprobada en el </w:t>
      </w:r>
      <w:r>
        <w:rPr>
          <w:rFonts w:ascii="Bookman Old Style" w:hAnsi="Bookman Old Style"/>
          <w:sz w:val="24"/>
        </w:rPr>
        <w:t>a</w:t>
      </w:r>
      <w:r w:rsidRPr="008D1CA9">
        <w:rPr>
          <w:rFonts w:ascii="Bookman Old Style" w:hAnsi="Bookman Old Style"/>
          <w:sz w:val="24"/>
        </w:rPr>
        <w:t xml:space="preserve">rtículo 3 de la Resolución CREG 107 de 2010, </w:t>
      </w:r>
      <w:r w:rsidRPr="00667BF5">
        <w:rPr>
          <w:rFonts w:ascii="Bookman Old Style" w:hAnsi="Bookman Old Style"/>
          <w:sz w:val="24"/>
        </w:rPr>
        <w:t>adicionan</w:t>
      </w:r>
      <w:r>
        <w:rPr>
          <w:rFonts w:ascii="Bookman Old Style" w:hAnsi="Bookman Old Style"/>
          <w:sz w:val="24"/>
        </w:rPr>
        <w:t>do</w:t>
      </w:r>
      <w:r w:rsidRPr="00667BF5">
        <w:rPr>
          <w:rFonts w:ascii="Bookman Old Style" w:hAnsi="Bookman Old Style"/>
          <w:sz w:val="24"/>
        </w:rPr>
        <w:t xml:space="preserve"> </w:t>
      </w:r>
      <w:r>
        <w:rPr>
          <w:rFonts w:ascii="Bookman Old Style" w:hAnsi="Bookman Old Style"/>
          <w:sz w:val="24"/>
        </w:rPr>
        <w:t>e</w:t>
      </w:r>
      <w:r w:rsidRPr="00667BF5">
        <w:rPr>
          <w:rFonts w:ascii="Bookman Old Style" w:hAnsi="Bookman Old Style"/>
          <w:sz w:val="24"/>
        </w:rPr>
        <w:t xml:space="preserve">l </w:t>
      </w:r>
      <w:r w:rsidRPr="00667BF5">
        <w:rPr>
          <w:rFonts w:ascii="Bookman Old Style" w:hAnsi="Bookman Old Style"/>
          <w:sz w:val="24"/>
          <w:szCs w:val="24"/>
        </w:rPr>
        <w:t xml:space="preserve">siguiente registro al numeral </w:t>
      </w:r>
      <w:r w:rsidRPr="00667BF5">
        <w:rPr>
          <w:rFonts w:ascii="Bookman Old Style" w:hAnsi="Bookman Old Style"/>
          <w:i/>
          <w:sz w:val="24"/>
          <w:szCs w:val="24"/>
        </w:rPr>
        <w:t>1</w:t>
      </w:r>
      <w:r w:rsidRPr="00667BF5">
        <w:rPr>
          <w:rFonts w:ascii="Bookman Old Style" w:hAnsi="Bookman Old Style"/>
          <w:sz w:val="24"/>
          <w:szCs w:val="24"/>
        </w:rPr>
        <w:t xml:space="preserve"> </w:t>
      </w:r>
      <w:r w:rsidRPr="00667BF5">
        <w:rPr>
          <w:rFonts w:ascii="Bookman Old Style" w:hAnsi="Bookman Old Style"/>
          <w:i/>
          <w:sz w:val="24"/>
          <w:szCs w:val="24"/>
        </w:rPr>
        <w:t>Subestaciones</w:t>
      </w:r>
      <w:r w:rsidRPr="00667BF5">
        <w:rPr>
          <w:rFonts w:ascii="Bookman Old Style" w:hAnsi="Bookman Old Style"/>
          <w:sz w:val="24"/>
          <w:szCs w:val="24"/>
        </w:rPr>
        <w:t xml:space="preserve"> de la base de activos</w:t>
      </w:r>
      <w:r w:rsidRPr="00667BF5">
        <w:rPr>
          <w:rFonts w:ascii="Bookman Old Style" w:hAnsi="Bookman Old Style"/>
          <w:sz w:val="24"/>
        </w:rPr>
        <w:t xml:space="preserve"> del anexo de la </w:t>
      </w:r>
      <w:r>
        <w:rPr>
          <w:rFonts w:ascii="Bookman Old Style" w:hAnsi="Bookman Old Style"/>
          <w:sz w:val="24"/>
        </w:rPr>
        <w:t xml:space="preserve">citada </w:t>
      </w:r>
      <w:r w:rsidRPr="00667BF5">
        <w:rPr>
          <w:rFonts w:ascii="Bookman Old Style" w:hAnsi="Bookman Old Style"/>
          <w:sz w:val="24"/>
          <w:lang w:val="es-ES"/>
        </w:rPr>
        <w:t>resolución</w:t>
      </w:r>
      <w:r w:rsidRPr="003A3A4C">
        <w:rPr>
          <w:rFonts w:ascii="Bookman Old Style" w:hAnsi="Bookman Old Style"/>
          <w:sz w:val="24"/>
        </w:rPr>
        <w:t>, así:</w:t>
      </w:r>
    </w:p>
    <w:p w:rsidR="00D81DB4" w:rsidRPr="00D15E57" w:rsidRDefault="00D81DB4" w:rsidP="00D81DB4">
      <w:pPr>
        <w:pStyle w:val="Prrafodelista"/>
        <w:ind w:left="0"/>
        <w:jc w:val="both"/>
        <w:rPr>
          <w:rFonts w:ascii="Bookman Old Style" w:hAnsi="Bookman Old Style"/>
          <w:sz w:val="24"/>
        </w:rPr>
      </w:pPr>
    </w:p>
    <w:tbl>
      <w:tblPr>
        <w:tblW w:w="59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8" w:type="dxa"/>
          <w:right w:w="70" w:type="dxa"/>
        </w:tblCellMar>
        <w:tblLook w:val="04A0" w:firstRow="1" w:lastRow="0" w:firstColumn="1" w:lastColumn="0" w:noHBand="0" w:noVBand="1"/>
      </w:tblPr>
      <w:tblGrid>
        <w:gridCol w:w="846"/>
        <w:gridCol w:w="2835"/>
        <w:gridCol w:w="992"/>
        <w:gridCol w:w="1276"/>
      </w:tblGrid>
      <w:tr w:rsidR="00D81DB4" w:rsidRPr="00B84711" w:rsidTr="00D15E57">
        <w:trPr>
          <w:trHeight w:val="326"/>
          <w:tblHeader/>
          <w:jc w:val="center"/>
        </w:trPr>
        <w:tc>
          <w:tcPr>
            <w:tcW w:w="846" w:type="dxa"/>
            <w:vAlign w:val="center"/>
          </w:tcPr>
          <w:p w:rsidR="00D81DB4" w:rsidRPr="00B84711" w:rsidRDefault="00D81DB4" w:rsidP="004E692E">
            <w:pPr>
              <w:keepNext/>
              <w:ind w:left="0"/>
              <w:jc w:val="center"/>
              <w:rPr>
                <w:rFonts w:ascii="Bookman Old Style" w:hAnsi="Bookman Old Style" w:cs="Arial"/>
                <w:b/>
                <w:bCs/>
                <w:i/>
                <w:color w:val="000000"/>
                <w:sz w:val="22"/>
                <w:szCs w:val="18"/>
              </w:rPr>
            </w:pPr>
            <w:r w:rsidRPr="00B84711">
              <w:rPr>
                <w:rFonts w:ascii="Bookman Old Style" w:hAnsi="Bookman Old Style" w:cs="Arial"/>
                <w:b/>
                <w:bCs/>
                <w:i/>
                <w:color w:val="000000"/>
                <w:sz w:val="22"/>
                <w:szCs w:val="18"/>
              </w:rPr>
              <w:t>No.</w:t>
            </w:r>
          </w:p>
        </w:tc>
        <w:tc>
          <w:tcPr>
            <w:tcW w:w="2835" w:type="dxa"/>
            <w:shd w:val="clear" w:color="auto" w:fill="auto"/>
            <w:noWrap/>
            <w:vAlign w:val="center"/>
            <w:hideMark/>
          </w:tcPr>
          <w:p w:rsidR="00D81DB4" w:rsidRPr="00B84711" w:rsidRDefault="00D81DB4" w:rsidP="004E692E">
            <w:pPr>
              <w:keepNext/>
              <w:ind w:left="0"/>
              <w:jc w:val="center"/>
              <w:rPr>
                <w:rFonts w:ascii="Bookman Old Style" w:hAnsi="Bookman Old Style" w:cs="Arial"/>
                <w:b/>
                <w:bCs/>
                <w:i/>
                <w:color w:val="000000"/>
                <w:sz w:val="22"/>
                <w:szCs w:val="18"/>
              </w:rPr>
            </w:pPr>
            <w:r w:rsidRPr="00B84711">
              <w:rPr>
                <w:rFonts w:ascii="Bookman Old Style" w:hAnsi="Bookman Old Style" w:cs="Arial"/>
                <w:b/>
                <w:bCs/>
                <w:i/>
                <w:color w:val="000000"/>
                <w:sz w:val="22"/>
                <w:szCs w:val="18"/>
              </w:rPr>
              <w:t>Subestación</w:t>
            </w:r>
          </w:p>
        </w:tc>
        <w:tc>
          <w:tcPr>
            <w:tcW w:w="992" w:type="dxa"/>
            <w:shd w:val="clear" w:color="auto" w:fill="auto"/>
            <w:noWrap/>
            <w:vAlign w:val="center"/>
            <w:hideMark/>
          </w:tcPr>
          <w:p w:rsidR="00D81DB4" w:rsidRPr="00B84711" w:rsidRDefault="00D81DB4" w:rsidP="004E692E">
            <w:pPr>
              <w:keepNext/>
              <w:ind w:left="0"/>
              <w:jc w:val="center"/>
              <w:rPr>
                <w:rFonts w:ascii="Bookman Old Style" w:hAnsi="Bookman Old Style" w:cs="Arial"/>
                <w:b/>
                <w:bCs/>
                <w:i/>
                <w:color w:val="000000"/>
                <w:sz w:val="22"/>
                <w:szCs w:val="18"/>
              </w:rPr>
            </w:pPr>
            <w:r w:rsidRPr="00B84711">
              <w:rPr>
                <w:rFonts w:ascii="Bookman Old Style" w:hAnsi="Bookman Old Style" w:cs="Arial"/>
                <w:b/>
                <w:bCs/>
                <w:i/>
                <w:color w:val="000000"/>
                <w:sz w:val="22"/>
                <w:szCs w:val="18"/>
              </w:rPr>
              <w:t>UC</w:t>
            </w:r>
          </w:p>
        </w:tc>
        <w:tc>
          <w:tcPr>
            <w:tcW w:w="1276" w:type="dxa"/>
            <w:shd w:val="clear" w:color="auto" w:fill="auto"/>
            <w:noWrap/>
            <w:vAlign w:val="center"/>
            <w:hideMark/>
          </w:tcPr>
          <w:p w:rsidR="00D81DB4" w:rsidRPr="00B84711" w:rsidRDefault="00D81DB4" w:rsidP="004E692E">
            <w:pPr>
              <w:keepNext/>
              <w:ind w:left="0"/>
              <w:jc w:val="center"/>
              <w:rPr>
                <w:rFonts w:ascii="Bookman Old Style" w:hAnsi="Bookman Old Style" w:cs="Arial"/>
                <w:b/>
                <w:bCs/>
                <w:i/>
                <w:color w:val="000000"/>
                <w:sz w:val="22"/>
                <w:szCs w:val="18"/>
              </w:rPr>
            </w:pPr>
            <w:r w:rsidRPr="00B84711">
              <w:rPr>
                <w:rFonts w:ascii="Bookman Old Style" w:hAnsi="Bookman Old Style" w:cs="Arial"/>
                <w:b/>
                <w:bCs/>
                <w:i/>
                <w:color w:val="000000"/>
                <w:sz w:val="22"/>
                <w:szCs w:val="18"/>
              </w:rPr>
              <w:t>PU</w:t>
            </w:r>
          </w:p>
        </w:tc>
      </w:tr>
      <w:tr w:rsidR="00D15E57" w:rsidRPr="00B84711" w:rsidTr="00D15E57">
        <w:trPr>
          <w:trHeight w:val="326"/>
          <w:jc w:val="center"/>
        </w:trPr>
        <w:tc>
          <w:tcPr>
            <w:tcW w:w="846" w:type="dxa"/>
            <w:vAlign w:val="center"/>
          </w:tcPr>
          <w:p w:rsidR="00D81DB4" w:rsidRPr="00531505" w:rsidRDefault="00D81DB4" w:rsidP="00766A4B">
            <w:pPr>
              <w:ind w:left="-70" w:right="-71"/>
              <w:jc w:val="center"/>
              <w:rPr>
                <w:rFonts w:ascii="Bookman Old Style" w:hAnsi="Bookman Old Style" w:cs="Arial"/>
                <w:i/>
                <w:color w:val="000000"/>
                <w:sz w:val="22"/>
                <w:szCs w:val="18"/>
              </w:rPr>
            </w:pPr>
            <w:r>
              <w:rPr>
                <w:rFonts w:ascii="Bookman Old Style" w:hAnsi="Bookman Old Style" w:cs="Arial"/>
                <w:i/>
                <w:color w:val="000000"/>
                <w:sz w:val="22"/>
                <w:szCs w:val="18"/>
              </w:rPr>
              <w:t>1</w:t>
            </w:r>
            <w:r w:rsidR="00766A4B">
              <w:rPr>
                <w:rFonts w:ascii="Bookman Old Style" w:hAnsi="Bookman Old Style" w:cs="Arial"/>
                <w:i/>
                <w:color w:val="000000"/>
                <w:sz w:val="22"/>
                <w:szCs w:val="18"/>
              </w:rPr>
              <w:t>50</w:t>
            </w:r>
          </w:p>
        </w:tc>
        <w:tc>
          <w:tcPr>
            <w:tcW w:w="2835" w:type="dxa"/>
            <w:shd w:val="clear" w:color="auto" w:fill="auto"/>
            <w:noWrap/>
            <w:vAlign w:val="center"/>
          </w:tcPr>
          <w:p w:rsidR="00D81DB4" w:rsidRPr="00531505" w:rsidRDefault="00766A4B" w:rsidP="00D15E57">
            <w:pPr>
              <w:ind w:left="0"/>
              <w:jc w:val="center"/>
              <w:rPr>
                <w:rFonts w:ascii="Bookman Old Style" w:hAnsi="Bookman Old Style" w:cs="Arial"/>
                <w:i/>
                <w:color w:val="000000"/>
                <w:sz w:val="22"/>
                <w:szCs w:val="18"/>
              </w:rPr>
            </w:pPr>
            <w:r>
              <w:rPr>
                <w:rFonts w:ascii="Bookman Old Style" w:hAnsi="Bookman Old Style" w:cs="Arial"/>
                <w:i/>
                <w:color w:val="000000"/>
                <w:sz w:val="22"/>
                <w:szCs w:val="18"/>
              </w:rPr>
              <w:t>TEBSA</w:t>
            </w:r>
          </w:p>
        </w:tc>
        <w:tc>
          <w:tcPr>
            <w:tcW w:w="992" w:type="dxa"/>
            <w:shd w:val="clear" w:color="auto" w:fill="auto"/>
            <w:noWrap/>
            <w:vAlign w:val="center"/>
          </w:tcPr>
          <w:p w:rsidR="008205FD" w:rsidRPr="00531505" w:rsidRDefault="00D81DB4" w:rsidP="00D15E57">
            <w:pPr>
              <w:ind w:left="-66" w:right="-66"/>
              <w:jc w:val="center"/>
              <w:rPr>
                <w:rFonts w:ascii="Bookman Old Style" w:hAnsi="Bookman Old Style" w:cs="Arial"/>
                <w:i/>
                <w:color w:val="000000"/>
                <w:sz w:val="22"/>
                <w:szCs w:val="18"/>
              </w:rPr>
            </w:pPr>
            <w:r>
              <w:rPr>
                <w:rFonts w:ascii="Bookman Old Style" w:hAnsi="Bookman Old Style" w:cs="Arial"/>
                <w:i/>
                <w:color w:val="000000"/>
                <w:sz w:val="22"/>
                <w:szCs w:val="18"/>
              </w:rPr>
              <w:t>SE2</w:t>
            </w:r>
            <w:r w:rsidR="008205FD">
              <w:rPr>
                <w:rFonts w:ascii="Bookman Old Style" w:hAnsi="Bookman Old Style" w:cs="Arial"/>
                <w:i/>
                <w:color w:val="000000"/>
                <w:sz w:val="22"/>
                <w:szCs w:val="18"/>
              </w:rPr>
              <w:t>12</w:t>
            </w:r>
          </w:p>
        </w:tc>
        <w:tc>
          <w:tcPr>
            <w:tcW w:w="1276" w:type="dxa"/>
            <w:shd w:val="clear" w:color="auto" w:fill="auto"/>
            <w:noWrap/>
            <w:vAlign w:val="center"/>
          </w:tcPr>
          <w:p w:rsidR="00D81DB4" w:rsidRPr="00531505" w:rsidRDefault="00D81DB4" w:rsidP="00D15E57">
            <w:pPr>
              <w:ind w:left="-64"/>
              <w:jc w:val="center"/>
              <w:rPr>
                <w:rFonts w:ascii="Bookman Old Style" w:hAnsi="Bookman Old Style" w:cs="Arial"/>
                <w:i/>
                <w:color w:val="000000"/>
                <w:sz w:val="22"/>
                <w:szCs w:val="18"/>
              </w:rPr>
            </w:pPr>
            <w:r w:rsidRPr="00531505">
              <w:rPr>
                <w:rFonts w:ascii="Bookman Old Style" w:hAnsi="Bookman Old Style" w:cs="Arial"/>
                <w:i/>
                <w:color w:val="000000"/>
                <w:sz w:val="22"/>
                <w:szCs w:val="18"/>
              </w:rPr>
              <w:t>1,00000</w:t>
            </w:r>
          </w:p>
        </w:tc>
      </w:tr>
    </w:tbl>
    <w:p w:rsidR="00D81DB4" w:rsidRDefault="00D81DB4" w:rsidP="00D81DB4">
      <w:pPr>
        <w:ind w:left="0"/>
        <w:jc w:val="both"/>
        <w:rPr>
          <w:rFonts w:ascii="Bookman Old Style" w:hAnsi="Bookman Old Style"/>
        </w:rPr>
      </w:pPr>
    </w:p>
    <w:p w:rsidR="00901517" w:rsidRPr="00D15E57" w:rsidRDefault="00901517" w:rsidP="00D81DB4">
      <w:pPr>
        <w:ind w:left="0"/>
        <w:jc w:val="both"/>
        <w:rPr>
          <w:rFonts w:ascii="Bookman Old Style" w:hAnsi="Bookman Old Style"/>
        </w:rPr>
      </w:pPr>
    </w:p>
    <w:p w:rsidR="00D81DB4" w:rsidRPr="00F5478C" w:rsidRDefault="00D81DB4" w:rsidP="00D81DB4">
      <w:pPr>
        <w:pStyle w:val="Prrafodelista"/>
        <w:numPr>
          <w:ilvl w:val="0"/>
          <w:numId w:val="17"/>
        </w:numPr>
        <w:jc w:val="both"/>
        <w:rPr>
          <w:rFonts w:ascii="Bookman Old Style" w:hAnsi="Bookman Old Style"/>
        </w:rPr>
      </w:pPr>
      <w:r>
        <w:rPr>
          <w:rFonts w:ascii="Bookman Old Style" w:hAnsi="Bookman Old Style"/>
          <w:sz w:val="24"/>
        </w:rPr>
        <w:t>Modificar el artículo 1</w:t>
      </w:r>
      <w:r w:rsidRPr="00F5478C">
        <w:rPr>
          <w:rFonts w:ascii="Bookman Old Style" w:hAnsi="Bookman Old Style"/>
          <w:sz w:val="24"/>
        </w:rPr>
        <w:t xml:space="preserve"> </w:t>
      </w:r>
      <w:r>
        <w:rPr>
          <w:rFonts w:ascii="Bookman Old Style" w:hAnsi="Bookman Old Style"/>
          <w:sz w:val="24"/>
        </w:rPr>
        <w:t>de la Resolución CREG 107</w:t>
      </w:r>
      <w:r w:rsidRPr="002C2007">
        <w:rPr>
          <w:rFonts w:ascii="Bookman Old Style" w:hAnsi="Bookman Old Style"/>
          <w:sz w:val="24"/>
        </w:rPr>
        <w:t xml:space="preserve"> de 201</w:t>
      </w:r>
      <w:r>
        <w:rPr>
          <w:rFonts w:ascii="Bookman Old Style" w:hAnsi="Bookman Old Style"/>
          <w:sz w:val="24"/>
        </w:rPr>
        <w:t>0,</w:t>
      </w:r>
      <w:r w:rsidRPr="00F5478C">
        <w:rPr>
          <w:rFonts w:ascii="Bookman Old Style" w:hAnsi="Bookman Old Style"/>
          <w:sz w:val="24"/>
        </w:rPr>
        <w:t xml:space="preserve"> el cual quedará así:</w:t>
      </w:r>
    </w:p>
    <w:p w:rsidR="00D81DB4" w:rsidRPr="007D400D" w:rsidRDefault="00D81DB4" w:rsidP="00D81DB4">
      <w:pPr>
        <w:pStyle w:val="Prrafodelista"/>
        <w:ind w:left="0"/>
        <w:rPr>
          <w:rFonts w:ascii="Bookman Old Style" w:hAnsi="Bookman Old Style"/>
          <w:sz w:val="28"/>
        </w:rPr>
      </w:pPr>
    </w:p>
    <w:p w:rsidR="00D81DB4" w:rsidRPr="00384C39" w:rsidRDefault="00D81DB4" w:rsidP="00D81DB4">
      <w:pPr>
        <w:ind w:left="426" w:right="335"/>
        <w:jc w:val="both"/>
        <w:rPr>
          <w:rFonts w:ascii="Bookman Old Style" w:hAnsi="Bookman Old Style"/>
          <w:i/>
        </w:rPr>
      </w:pPr>
      <w:r w:rsidRPr="00384C39">
        <w:rPr>
          <w:rFonts w:ascii="Bookman Old Style" w:hAnsi="Bookman Old Style"/>
          <w:b/>
          <w:i/>
          <w:spacing w:val="-3"/>
        </w:rPr>
        <w:t>Artículo 1.</w:t>
      </w:r>
      <w:r w:rsidRPr="00384C39">
        <w:rPr>
          <w:rFonts w:ascii="Bookman Old Style" w:hAnsi="Bookman Old Style"/>
          <w:b/>
          <w:i/>
          <w:spacing w:val="-3"/>
        </w:rPr>
        <w:tab/>
      </w:r>
      <w:r w:rsidRPr="00384C39">
        <w:rPr>
          <w:rFonts w:ascii="Bookman Old Style" w:hAnsi="Bookman Old Style"/>
          <w:b/>
          <w:i/>
        </w:rPr>
        <w:t xml:space="preserve">Ingreso Anual. </w:t>
      </w:r>
      <w:r w:rsidRPr="00384C39">
        <w:rPr>
          <w:rFonts w:ascii="Bookman Old Style" w:hAnsi="Bookman Old Style"/>
          <w:i/>
        </w:rPr>
        <w:t>El Ingreso Anual (</w:t>
      </w:r>
      <w:proofErr w:type="spellStart"/>
      <w:r w:rsidRPr="00384C39">
        <w:rPr>
          <w:rFonts w:ascii="Bookman Old Style" w:hAnsi="Bookman Old Style"/>
          <w:i/>
        </w:rPr>
        <w:t>IAT</w:t>
      </w:r>
      <w:r w:rsidRPr="00384C39">
        <w:rPr>
          <w:rFonts w:ascii="Bookman Old Style" w:hAnsi="Bookman Old Style"/>
          <w:i/>
          <w:vertAlign w:val="subscript"/>
        </w:rPr>
        <w:t>j</w:t>
      </w:r>
      <w:proofErr w:type="spellEnd"/>
      <w:r w:rsidRPr="00384C39">
        <w:rPr>
          <w:rFonts w:ascii="Bookman Old Style" w:hAnsi="Bookman Old Style"/>
          <w:i/>
        </w:rPr>
        <w:t>) por los activos representados por T</w:t>
      </w:r>
      <w:r>
        <w:rPr>
          <w:rFonts w:ascii="Bookman Old Style" w:hAnsi="Bookman Old Style"/>
          <w:i/>
        </w:rPr>
        <w:t>ranselca</w:t>
      </w:r>
      <w:r w:rsidRPr="00384C39">
        <w:rPr>
          <w:rFonts w:ascii="Bookman Old Style" w:hAnsi="Bookman Old Style"/>
          <w:i/>
        </w:rPr>
        <w:t xml:space="preserve"> S.A. E.S.P. en el Sistema de Transmisión Nacional, calculado en la forma establecida en la Resolución CREG 011 de 2009, es el siguiente:</w:t>
      </w:r>
    </w:p>
    <w:p w:rsidR="00D81DB4" w:rsidRPr="00901517" w:rsidRDefault="00D81DB4" w:rsidP="00D81DB4">
      <w:pPr>
        <w:ind w:left="0"/>
        <w:jc w:val="both"/>
        <w:rPr>
          <w:rFonts w:ascii="Bookman Old Style" w:hAnsi="Bookman Old Style"/>
          <w:i/>
        </w:rPr>
      </w:pPr>
    </w:p>
    <w:p w:rsidR="00766A4B" w:rsidRDefault="00766A4B" w:rsidP="00901517">
      <w:pPr>
        <w:ind w:left="0"/>
        <w:jc w:val="center"/>
        <w:rPr>
          <w:rFonts w:ascii="Bookman Old Style" w:hAnsi="Bookman Old Style"/>
          <w:i/>
          <w:sz w:val="36"/>
        </w:rPr>
      </w:pPr>
      <w:r w:rsidRPr="00766A4B">
        <w:rPr>
          <w:noProof/>
          <w:lang w:val="es-CO" w:eastAsia="es-CO"/>
        </w:rPr>
        <w:drawing>
          <wp:inline distT="0" distB="0" distL="0" distR="0">
            <wp:extent cx="3869055" cy="57340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69055" cy="573405"/>
                    </a:xfrm>
                    <a:prstGeom prst="rect">
                      <a:avLst/>
                    </a:prstGeom>
                    <a:noFill/>
                    <a:ln>
                      <a:noFill/>
                    </a:ln>
                  </pic:spPr>
                </pic:pic>
              </a:graphicData>
            </a:graphic>
          </wp:inline>
        </w:drawing>
      </w:r>
    </w:p>
    <w:p w:rsidR="00D81DB4" w:rsidRDefault="00D81DB4" w:rsidP="00D81DB4">
      <w:pPr>
        <w:pStyle w:val="Prrafodelista"/>
        <w:ind w:left="0"/>
        <w:jc w:val="both"/>
        <w:rPr>
          <w:rFonts w:ascii="Bookman Old Style" w:hAnsi="Bookman Old Style"/>
          <w:sz w:val="24"/>
        </w:rPr>
      </w:pPr>
    </w:p>
    <w:p w:rsidR="00901517" w:rsidRPr="00B84711" w:rsidRDefault="00901517" w:rsidP="00D81DB4">
      <w:pPr>
        <w:pStyle w:val="Prrafodelista"/>
        <w:ind w:left="0"/>
        <w:jc w:val="both"/>
        <w:rPr>
          <w:rFonts w:ascii="Bookman Old Style" w:hAnsi="Bookman Old Style"/>
          <w:sz w:val="24"/>
        </w:rPr>
      </w:pPr>
    </w:p>
    <w:p w:rsidR="00D81DB4" w:rsidRPr="00F5478C" w:rsidRDefault="00D81DB4" w:rsidP="00D81DB4">
      <w:pPr>
        <w:pStyle w:val="Prrafodelista"/>
        <w:numPr>
          <w:ilvl w:val="0"/>
          <w:numId w:val="17"/>
        </w:numPr>
        <w:jc w:val="both"/>
        <w:rPr>
          <w:rFonts w:ascii="Bookman Old Style" w:hAnsi="Bookman Old Style"/>
          <w:sz w:val="24"/>
        </w:rPr>
      </w:pPr>
      <w:r w:rsidRPr="00F5478C">
        <w:rPr>
          <w:rFonts w:ascii="Bookman Old Style" w:hAnsi="Bookman Old Style"/>
          <w:sz w:val="24"/>
          <w:lang w:val="es-ES"/>
        </w:rPr>
        <w:t xml:space="preserve">Modificar el </w:t>
      </w:r>
      <w:r>
        <w:rPr>
          <w:rFonts w:ascii="Bookman Old Style" w:hAnsi="Bookman Old Style"/>
          <w:sz w:val="24"/>
          <w:lang w:val="es-ES"/>
        </w:rPr>
        <w:t>a</w:t>
      </w:r>
      <w:r w:rsidRPr="00F5478C">
        <w:rPr>
          <w:rFonts w:ascii="Bookman Old Style" w:hAnsi="Bookman Old Style"/>
          <w:sz w:val="24"/>
          <w:lang w:val="es-ES"/>
        </w:rPr>
        <w:t xml:space="preserve">rtículo </w:t>
      </w:r>
      <w:r>
        <w:rPr>
          <w:rFonts w:ascii="Bookman Old Style" w:hAnsi="Bookman Old Style"/>
          <w:sz w:val="24"/>
          <w:lang w:val="es-ES"/>
        </w:rPr>
        <w:t>4</w:t>
      </w:r>
      <w:r w:rsidRPr="00F5478C">
        <w:rPr>
          <w:rFonts w:ascii="Bookman Old Style" w:hAnsi="Bookman Old Style"/>
          <w:sz w:val="24"/>
          <w:lang w:val="es-ES"/>
        </w:rPr>
        <w:t xml:space="preserve"> de la Resolución CREG </w:t>
      </w:r>
      <w:r>
        <w:rPr>
          <w:rFonts w:ascii="Bookman Old Style" w:hAnsi="Bookman Old Style"/>
          <w:sz w:val="24"/>
          <w:lang w:val="es-ES"/>
        </w:rPr>
        <w:t>107</w:t>
      </w:r>
      <w:r w:rsidRPr="00F5478C">
        <w:rPr>
          <w:rFonts w:ascii="Bookman Old Style" w:hAnsi="Bookman Old Style"/>
          <w:sz w:val="24"/>
          <w:lang w:val="es-ES"/>
        </w:rPr>
        <w:t xml:space="preserve"> de 201</w:t>
      </w:r>
      <w:r>
        <w:rPr>
          <w:rFonts w:ascii="Bookman Old Style" w:hAnsi="Bookman Old Style"/>
          <w:sz w:val="24"/>
          <w:lang w:val="es-ES"/>
        </w:rPr>
        <w:t xml:space="preserve">0, </w:t>
      </w:r>
      <w:r w:rsidRPr="00F5478C">
        <w:rPr>
          <w:rFonts w:ascii="Bookman Old Style" w:hAnsi="Bookman Old Style"/>
          <w:sz w:val="24"/>
          <w:lang w:val="es-ES"/>
        </w:rPr>
        <w:t>el cual quedará así:</w:t>
      </w:r>
    </w:p>
    <w:p w:rsidR="00D81DB4" w:rsidRPr="00901517" w:rsidRDefault="00D81DB4" w:rsidP="00D81DB4">
      <w:pPr>
        <w:pStyle w:val="Prrafodelista"/>
        <w:ind w:left="0"/>
        <w:rPr>
          <w:rFonts w:ascii="Bookman Old Style" w:hAnsi="Bookman Old Style"/>
          <w:sz w:val="24"/>
        </w:rPr>
      </w:pPr>
    </w:p>
    <w:p w:rsidR="00D81DB4" w:rsidRDefault="00D81DB4" w:rsidP="00D81DB4">
      <w:pPr>
        <w:ind w:left="426" w:right="425"/>
        <w:jc w:val="both"/>
        <w:rPr>
          <w:rFonts w:ascii="Bookman Old Style" w:hAnsi="Bookman Old Style" w:cs="Arial"/>
          <w:i/>
        </w:rPr>
      </w:pPr>
      <w:r w:rsidRPr="002C2007">
        <w:rPr>
          <w:rFonts w:ascii="Bookman Old Style" w:hAnsi="Bookman Old Style" w:cs="Arial"/>
          <w:b/>
          <w:i/>
        </w:rPr>
        <w:t>Artículo 4. Costo de Reposición de los Activos Eléctricos.</w:t>
      </w:r>
      <w:r w:rsidRPr="002C2007">
        <w:rPr>
          <w:rFonts w:ascii="Bookman Old Style" w:hAnsi="Bookman Old Style" w:cs="Arial"/>
          <w:i/>
        </w:rPr>
        <w:t xml:space="preserve"> El costo de reposición de los activos eléctricos (</w:t>
      </w:r>
      <w:proofErr w:type="spellStart"/>
      <w:r w:rsidRPr="002C2007">
        <w:rPr>
          <w:rFonts w:ascii="Bookman Old Style" w:hAnsi="Bookman Old Style" w:cs="Arial"/>
          <w:i/>
        </w:rPr>
        <w:t>CRE</w:t>
      </w:r>
      <w:r w:rsidRPr="002C2007">
        <w:rPr>
          <w:rFonts w:ascii="Bookman Old Style" w:hAnsi="Bookman Old Style" w:cs="Arial"/>
          <w:i/>
          <w:vertAlign w:val="subscript"/>
        </w:rPr>
        <w:t>j</w:t>
      </w:r>
      <w:proofErr w:type="spellEnd"/>
      <w:r w:rsidRPr="002C2007">
        <w:rPr>
          <w:rFonts w:ascii="Bookman Old Style" w:hAnsi="Bookman Old Style" w:cs="Arial"/>
          <w:i/>
        </w:rPr>
        <w:t>) remunerados mediante cargos por uso a T</w:t>
      </w:r>
      <w:r>
        <w:rPr>
          <w:rFonts w:ascii="Bookman Old Style" w:hAnsi="Bookman Old Style" w:cs="Arial"/>
          <w:i/>
        </w:rPr>
        <w:t>ranselca</w:t>
      </w:r>
      <w:r w:rsidRPr="002C2007">
        <w:rPr>
          <w:rFonts w:ascii="Bookman Old Style" w:hAnsi="Bookman Old Style" w:cs="Arial"/>
          <w:i/>
        </w:rPr>
        <w:t xml:space="preserve"> S.A. E.S.P., calculado con la base de activos a</w:t>
      </w:r>
      <w:r>
        <w:rPr>
          <w:rFonts w:ascii="Bookman Old Style" w:hAnsi="Bookman Old Style" w:cs="Arial"/>
          <w:i/>
        </w:rPr>
        <w:t xml:space="preserve"> </w:t>
      </w:r>
      <w:r w:rsidRPr="002C2007">
        <w:rPr>
          <w:rFonts w:ascii="Bookman Old Style" w:hAnsi="Bookman Old Style" w:cs="Arial"/>
          <w:i/>
        </w:rPr>
        <w:t>l</w:t>
      </w:r>
      <w:r>
        <w:rPr>
          <w:rFonts w:ascii="Bookman Old Style" w:hAnsi="Bookman Old Style" w:cs="Arial"/>
          <w:i/>
        </w:rPr>
        <w:t>a</w:t>
      </w:r>
      <w:r w:rsidRPr="002C2007">
        <w:rPr>
          <w:rFonts w:ascii="Bookman Old Style" w:hAnsi="Bookman Old Style" w:cs="Arial"/>
          <w:i/>
        </w:rPr>
        <w:t xml:space="preserve"> que hace referencia el artículo 3 de la presente Resolución y de acuerdo con lo señalado en la Resolución CREG 011 de 2009 es:</w:t>
      </w:r>
    </w:p>
    <w:p w:rsidR="00766A4B" w:rsidRDefault="00766A4B" w:rsidP="00901517">
      <w:pPr>
        <w:ind w:left="0"/>
        <w:jc w:val="center"/>
        <w:rPr>
          <w:rFonts w:ascii="Bookman Old Style" w:hAnsi="Bookman Old Style"/>
        </w:rPr>
      </w:pPr>
      <w:r w:rsidRPr="00766A4B">
        <w:rPr>
          <w:noProof/>
          <w:lang w:val="es-CO" w:eastAsia="es-CO"/>
        </w:rPr>
        <w:lastRenderedPageBreak/>
        <w:drawing>
          <wp:inline distT="0" distB="0" distL="0" distR="0">
            <wp:extent cx="4892675" cy="628015"/>
            <wp:effectExtent l="0" t="0" r="3175" b="63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92675" cy="628015"/>
                    </a:xfrm>
                    <a:prstGeom prst="rect">
                      <a:avLst/>
                    </a:prstGeom>
                    <a:noFill/>
                    <a:ln>
                      <a:noFill/>
                    </a:ln>
                  </pic:spPr>
                </pic:pic>
              </a:graphicData>
            </a:graphic>
          </wp:inline>
        </w:drawing>
      </w:r>
    </w:p>
    <w:p w:rsidR="00D81DB4" w:rsidRPr="002C2007" w:rsidRDefault="00D81DB4" w:rsidP="00D81DB4">
      <w:pPr>
        <w:ind w:left="426" w:right="425"/>
        <w:jc w:val="both"/>
        <w:rPr>
          <w:rFonts w:ascii="Bookman Old Style" w:hAnsi="Bookman Old Style" w:cs="Arial"/>
          <w:i/>
          <w:sz w:val="22"/>
          <w:szCs w:val="22"/>
        </w:rPr>
      </w:pPr>
    </w:p>
    <w:p w:rsidR="00D81DB4" w:rsidRPr="002C2007" w:rsidRDefault="00D81DB4" w:rsidP="00D81DB4">
      <w:pPr>
        <w:ind w:left="426" w:right="425"/>
        <w:jc w:val="both"/>
        <w:rPr>
          <w:rFonts w:ascii="Bookman Old Style" w:hAnsi="Bookman Old Style" w:cs="Arial"/>
          <w:i/>
        </w:rPr>
      </w:pPr>
      <w:bookmarkStart w:id="1" w:name="_Ref188082874"/>
      <w:r w:rsidRPr="002C2007">
        <w:rPr>
          <w:rFonts w:ascii="Bookman Old Style" w:hAnsi="Bookman Old Style" w:cs="Arial"/>
          <w:i/>
        </w:rPr>
        <w:t>La base de activos y los valores aquí aprobados resultan de las variables y de la información que se identifican en la parte motiva de este acto y de las contenidas en el documento soporte.</w:t>
      </w:r>
      <w:bookmarkEnd w:id="1"/>
      <w:r w:rsidRPr="002C2007">
        <w:rPr>
          <w:rFonts w:ascii="Bookman Old Style" w:hAnsi="Bookman Old Style" w:cs="Arial"/>
          <w:i/>
        </w:rPr>
        <w:t>”</w:t>
      </w:r>
    </w:p>
    <w:p w:rsidR="00D81DB4" w:rsidRDefault="00D81DB4" w:rsidP="00D81DB4">
      <w:pPr>
        <w:jc w:val="both"/>
        <w:rPr>
          <w:rFonts w:ascii="Bookman Old Style" w:hAnsi="Bookman Old Style" w:cs="Arial"/>
        </w:rPr>
      </w:pPr>
    </w:p>
    <w:p w:rsidR="00D81DB4" w:rsidRDefault="00D81DB4" w:rsidP="00D81DB4">
      <w:pPr>
        <w:jc w:val="both"/>
        <w:rPr>
          <w:rFonts w:ascii="Bookman Old Style" w:hAnsi="Bookman Old Style" w:cs="Arial"/>
        </w:rPr>
      </w:pPr>
    </w:p>
    <w:p w:rsidR="00D81DB4" w:rsidRPr="00531505" w:rsidRDefault="00D81DB4" w:rsidP="00D81DB4">
      <w:pPr>
        <w:pStyle w:val="Prrafodelista"/>
        <w:numPr>
          <w:ilvl w:val="0"/>
          <w:numId w:val="17"/>
        </w:numPr>
        <w:jc w:val="both"/>
        <w:rPr>
          <w:rFonts w:ascii="Bookman Old Style" w:hAnsi="Bookman Old Style"/>
          <w:sz w:val="24"/>
        </w:rPr>
      </w:pPr>
      <w:r w:rsidRPr="00531505">
        <w:rPr>
          <w:rFonts w:ascii="Bookman Old Style" w:hAnsi="Bookman Old Style"/>
          <w:sz w:val="24"/>
        </w:rPr>
        <w:t xml:space="preserve">La presente Resolución deberá notificarse a Transelca S.A. E.S.P. y publicarse en el </w:t>
      </w:r>
      <w:r w:rsidRPr="00531505">
        <w:rPr>
          <w:rFonts w:ascii="Bookman Old Style" w:hAnsi="Bookman Old Style"/>
          <w:i/>
          <w:sz w:val="24"/>
        </w:rPr>
        <w:t>Diario Oficial</w:t>
      </w:r>
      <w:r w:rsidRPr="00531505">
        <w:rPr>
          <w:rFonts w:ascii="Bookman Old Style" w:hAnsi="Bookman Old Style"/>
          <w:sz w:val="24"/>
        </w:rPr>
        <w:t>. Contra lo dispuesto en este acto procede el recurso de reposición, el cual se podrá interponer ante la Dirección Ejecutiva de la CREG dentro de los cinco (5) días hábiles siguientes a la fecha de su notificación.</w:t>
      </w:r>
    </w:p>
    <w:p w:rsidR="001A6C12" w:rsidRPr="00B84711" w:rsidRDefault="001A6C12" w:rsidP="009D4454">
      <w:pPr>
        <w:pStyle w:val="Prrafodelista"/>
        <w:ind w:left="0"/>
        <w:jc w:val="both"/>
        <w:rPr>
          <w:rFonts w:ascii="Bookman Old Style" w:hAnsi="Bookman Old Style"/>
          <w:sz w:val="24"/>
        </w:rPr>
      </w:pPr>
    </w:p>
    <w:p w:rsidR="009D4454" w:rsidRPr="00B84711" w:rsidRDefault="009D4454" w:rsidP="009D4454">
      <w:pPr>
        <w:jc w:val="center"/>
        <w:rPr>
          <w:rFonts w:ascii="Bookman Old Style" w:hAnsi="Bookman Old Style" w:cs="Courier New"/>
          <w:b/>
          <w:bCs/>
          <w:spacing w:val="-3"/>
        </w:rPr>
      </w:pPr>
      <w:r w:rsidRPr="00B84711">
        <w:rPr>
          <w:rFonts w:ascii="Bookman Old Style" w:hAnsi="Bookman Old Style"/>
          <w:b/>
          <w:bCs/>
        </w:rPr>
        <w:t>NOTIFÍQUESE</w:t>
      </w:r>
      <w:r w:rsidR="0007269D">
        <w:rPr>
          <w:rFonts w:ascii="Bookman Old Style" w:hAnsi="Bookman Old Style"/>
          <w:b/>
          <w:bCs/>
        </w:rPr>
        <w:t>, PUBLÍQUESE</w:t>
      </w:r>
      <w:r w:rsidRPr="00B84711">
        <w:rPr>
          <w:rFonts w:ascii="Bookman Old Style" w:hAnsi="Bookman Old Style"/>
          <w:b/>
          <w:bCs/>
        </w:rPr>
        <w:t xml:space="preserve"> Y CÚMPLASE</w:t>
      </w:r>
    </w:p>
    <w:p w:rsidR="009D4454" w:rsidRPr="00B84711" w:rsidRDefault="009D4454" w:rsidP="009D4454">
      <w:pPr>
        <w:rPr>
          <w:rFonts w:ascii="Bookman Old Style" w:hAnsi="Bookman Old Style" w:cs="Arial"/>
          <w:spacing w:val="-3"/>
        </w:rPr>
      </w:pPr>
    </w:p>
    <w:p w:rsidR="009D4454" w:rsidRPr="00B84711" w:rsidRDefault="009D4454" w:rsidP="009D4454">
      <w:pPr>
        <w:rPr>
          <w:rFonts w:ascii="Bookman Old Style" w:hAnsi="Bookman Old Style" w:cs="Arial"/>
          <w:spacing w:val="-3"/>
        </w:rPr>
      </w:pPr>
    </w:p>
    <w:p w:rsidR="009D4454" w:rsidRPr="00B84711" w:rsidRDefault="009D4454" w:rsidP="009D4454">
      <w:pPr>
        <w:ind w:left="0"/>
        <w:rPr>
          <w:rFonts w:ascii="Bookman Old Style" w:hAnsi="Bookman Old Style" w:cs="Arial"/>
          <w:spacing w:val="-3"/>
        </w:rPr>
      </w:pPr>
      <w:r w:rsidRPr="00B84711">
        <w:rPr>
          <w:rFonts w:ascii="Bookman Old Style" w:hAnsi="Bookman Old Style" w:cs="Arial"/>
          <w:spacing w:val="-3"/>
        </w:rPr>
        <w:t xml:space="preserve">Dada en Bogotá, D.C. a </w:t>
      </w:r>
    </w:p>
    <w:p w:rsidR="00FA01FF" w:rsidRDefault="00FA01FF" w:rsidP="009D4454">
      <w:pPr>
        <w:ind w:left="0"/>
        <w:rPr>
          <w:rFonts w:ascii="Bookman Old Style" w:hAnsi="Bookman Old Style" w:cs="Arial"/>
        </w:rPr>
      </w:pPr>
    </w:p>
    <w:p w:rsidR="00A61518" w:rsidRDefault="00A61518" w:rsidP="009D4454">
      <w:pPr>
        <w:ind w:left="0"/>
        <w:rPr>
          <w:rFonts w:ascii="Bookman Old Style" w:hAnsi="Bookman Old Style" w:cs="Arial"/>
        </w:rPr>
      </w:pPr>
    </w:p>
    <w:p w:rsidR="00F97424" w:rsidRDefault="00F97424" w:rsidP="009D4454">
      <w:pPr>
        <w:ind w:left="0"/>
        <w:rPr>
          <w:rFonts w:ascii="Bookman Old Style" w:hAnsi="Bookman Old Style" w:cs="Arial"/>
        </w:rPr>
      </w:pPr>
    </w:p>
    <w:p w:rsidR="00F97424" w:rsidRDefault="00F97424" w:rsidP="009D4454">
      <w:pPr>
        <w:ind w:left="0"/>
        <w:rPr>
          <w:rFonts w:ascii="Bookman Old Style" w:hAnsi="Bookman Old Style" w:cs="Arial"/>
        </w:rPr>
      </w:pPr>
    </w:p>
    <w:p w:rsidR="00FA01FF" w:rsidRDefault="00FA01FF" w:rsidP="009D4454">
      <w:pPr>
        <w:ind w:left="0"/>
        <w:rPr>
          <w:rFonts w:ascii="Bookman Old Style" w:hAnsi="Bookman Old Style" w:cs="Arial"/>
        </w:rPr>
      </w:pPr>
    </w:p>
    <w:tbl>
      <w:tblPr>
        <w:tblW w:w="9498" w:type="dxa"/>
        <w:tblInd w:w="-147" w:type="dxa"/>
        <w:tblLayout w:type="fixed"/>
        <w:tblCellMar>
          <w:left w:w="0" w:type="dxa"/>
          <w:right w:w="0" w:type="dxa"/>
        </w:tblCellMar>
        <w:tblLook w:val="04A0" w:firstRow="1" w:lastRow="0" w:firstColumn="1" w:lastColumn="0" w:noHBand="0" w:noVBand="1"/>
      </w:tblPr>
      <w:tblGrid>
        <w:gridCol w:w="4964"/>
        <w:gridCol w:w="4534"/>
      </w:tblGrid>
      <w:tr w:rsidR="00F97424" w:rsidRPr="00D85312" w:rsidTr="00A059B1">
        <w:tc>
          <w:tcPr>
            <w:tcW w:w="4964" w:type="dxa"/>
            <w:hideMark/>
          </w:tcPr>
          <w:p w:rsidR="00F97424" w:rsidRPr="00D85312" w:rsidRDefault="00F97424" w:rsidP="00F97424">
            <w:pPr>
              <w:snapToGrid w:val="0"/>
              <w:ind w:left="0"/>
              <w:jc w:val="center"/>
              <w:rPr>
                <w:rFonts w:ascii="Bookman Old Style" w:hAnsi="Bookman Old Style" w:cs="Arial"/>
                <w:b/>
                <w:bCs/>
              </w:rPr>
            </w:pPr>
            <w:r>
              <w:rPr>
                <w:rFonts w:ascii="Bookman Old Style" w:hAnsi="Bookman Old Style" w:cs="Arial"/>
                <w:b/>
                <w:bCs/>
              </w:rPr>
              <w:t>DIEGO MESA PUYO</w:t>
            </w:r>
          </w:p>
        </w:tc>
        <w:tc>
          <w:tcPr>
            <w:tcW w:w="4534" w:type="dxa"/>
            <w:hideMark/>
          </w:tcPr>
          <w:p w:rsidR="00F97424" w:rsidRPr="00D85312" w:rsidRDefault="00F97424" w:rsidP="00A059B1">
            <w:pPr>
              <w:snapToGrid w:val="0"/>
              <w:ind w:left="141"/>
              <w:jc w:val="center"/>
              <w:rPr>
                <w:rFonts w:ascii="Bookman Old Style" w:hAnsi="Bookman Old Style" w:cs="Arial"/>
                <w:b/>
                <w:bCs/>
              </w:rPr>
            </w:pPr>
            <w:r w:rsidRPr="00D85312">
              <w:rPr>
                <w:rFonts w:ascii="Bookman Old Style" w:hAnsi="Bookman Old Style" w:cs="Arial"/>
                <w:b/>
                <w:bCs/>
              </w:rPr>
              <w:t>CHRISTIAN JARAMILLO HERRERA</w:t>
            </w:r>
          </w:p>
        </w:tc>
      </w:tr>
      <w:tr w:rsidR="00F97424" w:rsidRPr="00D85312" w:rsidTr="00A059B1">
        <w:tc>
          <w:tcPr>
            <w:tcW w:w="4964" w:type="dxa"/>
            <w:hideMark/>
          </w:tcPr>
          <w:p w:rsidR="00F97424" w:rsidRDefault="00F97424" w:rsidP="00F97424">
            <w:pPr>
              <w:snapToGrid w:val="0"/>
              <w:ind w:left="0"/>
              <w:jc w:val="center"/>
              <w:rPr>
                <w:rFonts w:ascii="Bookman Old Style" w:hAnsi="Bookman Old Style" w:cs="Arial"/>
              </w:rPr>
            </w:pPr>
            <w:r>
              <w:rPr>
                <w:rFonts w:ascii="Bookman Old Style" w:hAnsi="Bookman Old Style" w:cs="Arial"/>
              </w:rPr>
              <w:t>Viceministro de</w:t>
            </w:r>
            <w:r w:rsidRPr="00082D81">
              <w:rPr>
                <w:rFonts w:ascii="Bookman Old Style" w:hAnsi="Bookman Old Style" w:cs="Arial"/>
              </w:rPr>
              <w:t xml:space="preserve"> Energía</w:t>
            </w:r>
          </w:p>
          <w:p w:rsidR="00F97424" w:rsidRPr="000D2671" w:rsidRDefault="00F97424" w:rsidP="00F97424">
            <w:pPr>
              <w:snapToGrid w:val="0"/>
              <w:ind w:left="8"/>
              <w:jc w:val="center"/>
              <w:rPr>
                <w:rFonts w:ascii="Bookman Old Style" w:hAnsi="Bookman Old Style" w:cs="Arial"/>
              </w:rPr>
            </w:pPr>
            <w:r w:rsidRPr="000D2671">
              <w:rPr>
                <w:rFonts w:ascii="Bookman Old Style" w:hAnsi="Bookman Old Style" w:cs="Arial"/>
                <w:spacing w:val="-3"/>
              </w:rPr>
              <w:t>Delegado de la Ministra de Minas y Energía</w:t>
            </w:r>
          </w:p>
          <w:p w:rsidR="00F97424" w:rsidRPr="00D85312" w:rsidRDefault="00F97424" w:rsidP="00F97424">
            <w:pPr>
              <w:snapToGrid w:val="0"/>
              <w:rPr>
                <w:rFonts w:ascii="Bookman Old Style" w:hAnsi="Bookman Old Style" w:cs="Arial"/>
              </w:rPr>
            </w:pPr>
            <w:r>
              <w:rPr>
                <w:rFonts w:ascii="Bookman Old Style" w:hAnsi="Bookman Old Style" w:cs="Arial"/>
              </w:rPr>
              <w:t xml:space="preserve">                 </w:t>
            </w:r>
            <w:r w:rsidRPr="00D85312">
              <w:rPr>
                <w:rFonts w:ascii="Bookman Old Style" w:hAnsi="Bookman Old Style" w:cs="Arial"/>
              </w:rPr>
              <w:t>Presidente</w:t>
            </w:r>
          </w:p>
        </w:tc>
        <w:tc>
          <w:tcPr>
            <w:tcW w:w="4534" w:type="dxa"/>
            <w:hideMark/>
          </w:tcPr>
          <w:p w:rsidR="00F97424" w:rsidRPr="00D85312" w:rsidRDefault="00F97424" w:rsidP="00A059B1">
            <w:pPr>
              <w:snapToGrid w:val="0"/>
              <w:jc w:val="center"/>
              <w:rPr>
                <w:rFonts w:ascii="Bookman Old Style" w:hAnsi="Bookman Old Style" w:cs="Arial"/>
              </w:rPr>
            </w:pPr>
            <w:r w:rsidRPr="00D85312">
              <w:rPr>
                <w:rFonts w:ascii="Bookman Old Style" w:hAnsi="Bookman Old Style" w:cs="Arial"/>
              </w:rPr>
              <w:t>Director Ejecutivo</w:t>
            </w:r>
          </w:p>
        </w:tc>
      </w:tr>
    </w:tbl>
    <w:p w:rsidR="00A61518" w:rsidRPr="00576D9E" w:rsidRDefault="00A61518" w:rsidP="00A61518">
      <w:pPr>
        <w:ind w:left="0"/>
        <w:rPr>
          <w:rFonts w:ascii="Bookman Old Style" w:hAnsi="Bookman Old Style"/>
        </w:rPr>
      </w:pPr>
    </w:p>
    <w:sectPr w:rsidR="00A61518" w:rsidRPr="00576D9E" w:rsidSect="005A59EF">
      <w:headerReference w:type="default" r:id="rId12"/>
      <w:headerReference w:type="first" r:id="rId13"/>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A9C" w:rsidRDefault="00C37A9C">
      <w:r>
        <w:separator/>
      </w:r>
    </w:p>
  </w:endnote>
  <w:endnote w:type="continuationSeparator" w:id="0">
    <w:p w:rsidR="00C37A9C" w:rsidRDefault="00C37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A9C" w:rsidRDefault="00C37A9C">
      <w:r>
        <w:separator/>
      </w:r>
    </w:p>
  </w:footnote>
  <w:footnote w:type="continuationSeparator" w:id="0">
    <w:p w:rsidR="00C37A9C" w:rsidRDefault="00C37A9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32C" w:rsidRDefault="0061132C" w:rsidP="00951F79">
    <w:pPr>
      <w:pStyle w:val="Ttulo1"/>
      <w:ind w:right="6"/>
      <w:jc w:val="left"/>
      <w:rPr>
        <w:rFonts w:ascii="Bookman Old Style" w:hAnsi="Bookman Old Style" w:cs="Arial"/>
        <w:b w:val="0"/>
        <w:sz w:val="22"/>
        <w:szCs w:val="22"/>
      </w:rPr>
    </w:pPr>
  </w:p>
  <w:p w:rsidR="0061132C" w:rsidRPr="00951F79" w:rsidRDefault="0061132C"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857DE0">
      <w:rPr>
        <w:rFonts w:ascii="Bookman Old Style" w:hAnsi="Bookman Old Style" w:cs="Arial"/>
        <w:b w:val="0"/>
        <w:noProof/>
        <w:sz w:val="22"/>
        <w:szCs w:val="22"/>
      </w:rPr>
      <w:t>4</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857DE0" w:rsidRPr="00857DE0">
        <w:rPr>
          <w:rFonts w:ascii="Bookman Old Style" w:hAnsi="Bookman Old Style" w:cs="Arial"/>
          <w:b w:val="0"/>
          <w:noProof/>
          <w:sz w:val="22"/>
          <w:szCs w:val="22"/>
        </w:rPr>
        <w:t>4</w:t>
      </w:r>
    </w:fldSimple>
  </w:p>
  <w:p w:rsidR="0061132C" w:rsidRDefault="00FB5434"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14:anchorId="5E728E02" wp14:editId="6BBED2D1">
              <wp:simplePos x="0" y="0"/>
              <wp:positionH relativeFrom="column">
                <wp:posOffset>-175260</wp:posOffset>
              </wp:positionH>
              <wp:positionV relativeFrom="paragraph">
                <wp:posOffset>139065</wp:posOffset>
              </wp:positionV>
              <wp:extent cx="6267450" cy="9900920"/>
              <wp:effectExtent l="15240" t="15240" r="13335" b="184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FCBDD4"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61132C" w:rsidRDefault="00A61518" w:rsidP="0081600D">
    <w:pPr>
      <w:pBdr>
        <w:bottom w:val="single" w:sz="4" w:space="1" w:color="auto"/>
      </w:pBdr>
      <w:ind w:left="142" w:right="148"/>
      <w:jc w:val="both"/>
      <w:rPr>
        <w:rFonts w:ascii="Bookman Old Style" w:hAnsi="Bookman Old Style" w:cs="Arial"/>
        <w:sz w:val="22"/>
        <w:szCs w:val="22"/>
      </w:rPr>
    </w:pPr>
    <w:r w:rsidRPr="009F7D9B">
      <w:rPr>
        <w:rFonts w:ascii="Bookman Old Style" w:hAnsi="Bookman Old Style" w:cs="Arial"/>
        <w:sz w:val="22"/>
        <w:szCs w:val="22"/>
      </w:rPr>
      <w:t xml:space="preserve">Por la cual se actualiza la base de activos de </w:t>
    </w:r>
    <w:r>
      <w:rPr>
        <w:rFonts w:ascii="Bookman Old Style" w:hAnsi="Bookman Old Style" w:cs="Arial"/>
        <w:sz w:val="22"/>
        <w:szCs w:val="22"/>
      </w:rPr>
      <w:t xml:space="preserve">Transelca </w:t>
    </w:r>
    <w:r w:rsidRPr="009F7D9B">
      <w:rPr>
        <w:rFonts w:ascii="Bookman Old Style" w:hAnsi="Bookman Old Style" w:cs="Arial"/>
        <w:sz w:val="22"/>
        <w:szCs w:val="22"/>
      </w:rPr>
      <w:t>S.A. E.S.P. y se modifican los parámetros necesarios para determinar su remuneración en el Sistema de Transmisión Nacional</w:t>
    </w:r>
    <w:r w:rsidR="009F7D9B" w:rsidRPr="009F7D9B">
      <w:rPr>
        <w:rFonts w:ascii="Bookman Old Style" w:hAnsi="Bookman Old Style" w:cs="Arial"/>
        <w:sz w:val="22"/>
        <w:szCs w:val="22"/>
      </w:rPr>
      <w:t>.</w:t>
    </w:r>
  </w:p>
  <w:p w:rsidR="0081600D" w:rsidRPr="006B4647" w:rsidRDefault="0081600D" w:rsidP="0081600D">
    <w:pPr>
      <w:ind w:left="142" w:right="148"/>
      <w:jc w:val="both"/>
      <w:rPr>
        <w:b/>
        <w:lang w:val="es-CO"/>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32C" w:rsidRDefault="0061132C"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61132C" w:rsidRDefault="0061132C">
    <w:pPr>
      <w:pStyle w:val="Encabezado"/>
      <w:jc w:val="center"/>
      <w:rPr>
        <w:rFonts w:ascii="Arial" w:hAnsi="Arial" w:cs="Arial"/>
        <w:spacing w:val="20"/>
        <w:sz w:val="20"/>
      </w:rPr>
    </w:pPr>
  </w:p>
  <w:p w:rsidR="0061132C" w:rsidRDefault="00FB5434"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simplePos x="0" y="0"/>
              <wp:positionH relativeFrom="column">
                <wp:posOffset>-213360</wp:posOffset>
              </wp:positionH>
              <wp:positionV relativeFrom="paragraph">
                <wp:posOffset>377190</wp:posOffset>
              </wp:positionV>
              <wp:extent cx="6343650" cy="9839325"/>
              <wp:effectExtent l="15240" t="15240" r="1333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FEC0EE"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1"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2"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B8A41E2"/>
    <w:multiLevelType w:val="hybridMultilevel"/>
    <w:tmpl w:val="734EFB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1553C23"/>
    <w:multiLevelType w:val="hybridMultilevel"/>
    <w:tmpl w:val="7E343912"/>
    <w:lvl w:ilvl="0" w:tplc="D89E9FD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AC0FD1"/>
    <w:multiLevelType w:val="multilevel"/>
    <w:tmpl w:val="B3AEB4E4"/>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0" w15:restartNumberingAfterBreak="0">
    <w:nsid w:val="44332366"/>
    <w:multiLevelType w:val="hybridMultilevel"/>
    <w:tmpl w:val="49B06B2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2"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4"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6"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15:restartNumberingAfterBreak="0">
    <w:nsid w:val="674D411F"/>
    <w:multiLevelType w:val="hybridMultilevel"/>
    <w:tmpl w:val="5596C7A4"/>
    <w:lvl w:ilvl="0" w:tplc="25BAD75A">
      <w:start w:val="3"/>
      <w:numFmt w:val="lowerLetter"/>
      <w:lvlText w:val="%1)"/>
      <w:lvlJc w:val="left"/>
      <w:pPr>
        <w:ind w:left="1287" w:hanging="360"/>
      </w:pPr>
      <w:rPr>
        <w:rFonts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18" w15:restartNumberingAfterBreak="0">
    <w:nsid w:val="67771BC6"/>
    <w:multiLevelType w:val="hybridMultilevel"/>
    <w:tmpl w:val="A98AB71C"/>
    <w:lvl w:ilvl="0" w:tplc="5F442DE2">
      <w:numFmt w:val="bullet"/>
      <w:lvlText w:val="•"/>
      <w:lvlJc w:val="left"/>
      <w:pPr>
        <w:ind w:left="1068" w:hanging="708"/>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6F0845FC"/>
    <w:multiLevelType w:val="hybridMultilevel"/>
    <w:tmpl w:val="11F897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2"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21"/>
  </w:num>
  <w:num w:numId="4">
    <w:abstractNumId w:val="6"/>
  </w:num>
  <w:num w:numId="5">
    <w:abstractNumId w:val="14"/>
  </w:num>
  <w:num w:numId="6">
    <w:abstractNumId w:val="3"/>
  </w:num>
  <w:num w:numId="7">
    <w:abstractNumId w:val="2"/>
  </w:num>
  <w:num w:numId="8">
    <w:abstractNumId w:val="16"/>
  </w:num>
  <w:num w:numId="9">
    <w:abstractNumId w:val="15"/>
  </w:num>
  <w:num w:numId="10">
    <w:abstractNumId w:val="12"/>
  </w:num>
  <w:num w:numId="11">
    <w:abstractNumId w:val="22"/>
  </w:num>
  <w:num w:numId="12">
    <w:abstractNumId w:val="20"/>
  </w:num>
  <w:num w:numId="13">
    <w:abstractNumId w:val="8"/>
  </w:num>
  <w:num w:numId="14">
    <w:abstractNumId w:val="1"/>
  </w:num>
  <w:num w:numId="15">
    <w:abstractNumId w:val="13"/>
  </w:num>
  <w:num w:numId="16">
    <w:abstractNumId w:val="0"/>
  </w:num>
  <w:num w:numId="17">
    <w:abstractNumId w:val="9"/>
  </w:num>
  <w:num w:numId="18">
    <w:abstractNumId w:val="19"/>
  </w:num>
  <w:num w:numId="19">
    <w:abstractNumId w:val="18"/>
  </w:num>
  <w:num w:numId="20">
    <w:abstractNumId w:val="10"/>
  </w:num>
  <w:num w:numId="21">
    <w:abstractNumId w:val="7"/>
  </w:num>
  <w:num w:numId="22">
    <w:abstractNumId w:val="5"/>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40"/>
    <w:rsid w:val="00006AE2"/>
    <w:rsid w:val="000076A1"/>
    <w:rsid w:val="00012259"/>
    <w:rsid w:val="000171CD"/>
    <w:rsid w:val="00025383"/>
    <w:rsid w:val="00037C5B"/>
    <w:rsid w:val="00063657"/>
    <w:rsid w:val="0007269D"/>
    <w:rsid w:val="00076680"/>
    <w:rsid w:val="00076A1D"/>
    <w:rsid w:val="0008073E"/>
    <w:rsid w:val="00082146"/>
    <w:rsid w:val="00084CCD"/>
    <w:rsid w:val="00091CDB"/>
    <w:rsid w:val="00092A53"/>
    <w:rsid w:val="000A19AC"/>
    <w:rsid w:val="000B4378"/>
    <w:rsid w:val="000B6BA7"/>
    <w:rsid w:val="000D0108"/>
    <w:rsid w:val="000D26F8"/>
    <w:rsid w:val="000D3171"/>
    <w:rsid w:val="00103A1E"/>
    <w:rsid w:val="001139D5"/>
    <w:rsid w:val="001216BE"/>
    <w:rsid w:val="001233C1"/>
    <w:rsid w:val="0012367A"/>
    <w:rsid w:val="001271BF"/>
    <w:rsid w:val="00127F03"/>
    <w:rsid w:val="00130107"/>
    <w:rsid w:val="001405C6"/>
    <w:rsid w:val="00141013"/>
    <w:rsid w:val="001646B1"/>
    <w:rsid w:val="00177CA1"/>
    <w:rsid w:val="0018302B"/>
    <w:rsid w:val="0018336D"/>
    <w:rsid w:val="00187F48"/>
    <w:rsid w:val="00192CBF"/>
    <w:rsid w:val="00192FF1"/>
    <w:rsid w:val="001933B5"/>
    <w:rsid w:val="00195FA7"/>
    <w:rsid w:val="001A5F1B"/>
    <w:rsid w:val="001A6C12"/>
    <w:rsid w:val="001B1C22"/>
    <w:rsid w:val="001B25D2"/>
    <w:rsid w:val="001B34C6"/>
    <w:rsid w:val="001D4FF5"/>
    <w:rsid w:val="001D7832"/>
    <w:rsid w:val="00204726"/>
    <w:rsid w:val="00211D34"/>
    <w:rsid w:val="00214F04"/>
    <w:rsid w:val="00234F36"/>
    <w:rsid w:val="00266CD6"/>
    <w:rsid w:val="00275DAB"/>
    <w:rsid w:val="00290144"/>
    <w:rsid w:val="002956BD"/>
    <w:rsid w:val="002A653A"/>
    <w:rsid w:val="002A782A"/>
    <w:rsid w:val="002B11E2"/>
    <w:rsid w:val="002B24B8"/>
    <w:rsid w:val="002D3AE9"/>
    <w:rsid w:val="002D4510"/>
    <w:rsid w:val="002F0734"/>
    <w:rsid w:val="002F46E7"/>
    <w:rsid w:val="00306D37"/>
    <w:rsid w:val="003101DA"/>
    <w:rsid w:val="00314757"/>
    <w:rsid w:val="00316246"/>
    <w:rsid w:val="003211CE"/>
    <w:rsid w:val="00332BDB"/>
    <w:rsid w:val="00345CDC"/>
    <w:rsid w:val="0035403A"/>
    <w:rsid w:val="0036215D"/>
    <w:rsid w:val="0036394B"/>
    <w:rsid w:val="00366DB6"/>
    <w:rsid w:val="00366DFB"/>
    <w:rsid w:val="003709B5"/>
    <w:rsid w:val="003759C2"/>
    <w:rsid w:val="00396D7A"/>
    <w:rsid w:val="00397365"/>
    <w:rsid w:val="003A31F6"/>
    <w:rsid w:val="003A3A70"/>
    <w:rsid w:val="003A3B14"/>
    <w:rsid w:val="003C3447"/>
    <w:rsid w:val="003D076C"/>
    <w:rsid w:val="003E78B5"/>
    <w:rsid w:val="00400A11"/>
    <w:rsid w:val="00412483"/>
    <w:rsid w:val="00415BAB"/>
    <w:rsid w:val="00415ED2"/>
    <w:rsid w:val="0041633E"/>
    <w:rsid w:val="0042068C"/>
    <w:rsid w:val="00426A17"/>
    <w:rsid w:val="004313A8"/>
    <w:rsid w:val="004354C0"/>
    <w:rsid w:val="00451D5E"/>
    <w:rsid w:val="004533F6"/>
    <w:rsid w:val="0046291D"/>
    <w:rsid w:val="004629A9"/>
    <w:rsid w:val="00470F2F"/>
    <w:rsid w:val="0047122B"/>
    <w:rsid w:val="00473B7A"/>
    <w:rsid w:val="004858E5"/>
    <w:rsid w:val="004960E9"/>
    <w:rsid w:val="004A2E88"/>
    <w:rsid w:val="004A5305"/>
    <w:rsid w:val="004D1EB2"/>
    <w:rsid w:val="004D7634"/>
    <w:rsid w:val="004F06A8"/>
    <w:rsid w:val="004F756F"/>
    <w:rsid w:val="0051050B"/>
    <w:rsid w:val="005125DB"/>
    <w:rsid w:val="00516DDD"/>
    <w:rsid w:val="00517AF4"/>
    <w:rsid w:val="00517D29"/>
    <w:rsid w:val="00522654"/>
    <w:rsid w:val="005300D3"/>
    <w:rsid w:val="00531433"/>
    <w:rsid w:val="0054352E"/>
    <w:rsid w:val="00544F82"/>
    <w:rsid w:val="0054514C"/>
    <w:rsid w:val="00556228"/>
    <w:rsid w:val="0056051E"/>
    <w:rsid w:val="005654E6"/>
    <w:rsid w:val="005853D5"/>
    <w:rsid w:val="00593C4F"/>
    <w:rsid w:val="005946A8"/>
    <w:rsid w:val="0059581F"/>
    <w:rsid w:val="005A4407"/>
    <w:rsid w:val="005A59EF"/>
    <w:rsid w:val="005B1C7E"/>
    <w:rsid w:val="005C6976"/>
    <w:rsid w:val="005E0E19"/>
    <w:rsid w:val="005F0A19"/>
    <w:rsid w:val="005F4EF7"/>
    <w:rsid w:val="005F6F41"/>
    <w:rsid w:val="0061132C"/>
    <w:rsid w:val="00617F9D"/>
    <w:rsid w:val="00622AB5"/>
    <w:rsid w:val="00625DC6"/>
    <w:rsid w:val="0064391D"/>
    <w:rsid w:val="00651821"/>
    <w:rsid w:val="00654384"/>
    <w:rsid w:val="006675CD"/>
    <w:rsid w:val="006837CA"/>
    <w:rsid w:val="00684D9B"/>
    <w:rsid w:val="00697556"/>
    <w:rsid w:val="006B07BC"/>
    <w:rsid w:val="006B087F"/>
    <w:rsid w:val="006B2C6A"/>
    <w:rsid w:val="006B4647"/>
    <w:rsid w:val="006B4C2B"/>
    <w:rsid w:val="006B6D47"/>
    <w:rsid w:val="006C5AFE"/>
    <w:rsid w:val="006C6DEA"/>
    <w:rsid w:val="006D0906"/>
    <w:rsid w:val="006E2272"/>
    <w:rsid w:val="006F6D95"/>
    <w:rsid w:val="00706F13"/>
    <w:rsid w:val="007072E8"/>
    <w:rsid w:val="00711124"/>
    <w:rsid w:val="0071250D"/>
    <w:rsid w:val="0071618D"/>
    <w:rsid w:val="00722FB1"/>
    <w:rsid w:val="00725FA4"/>
    <w:rsid w:val="00727DF7"/>
    <w:rsid w:val="00740446"/>
    <w:rsid w:val="007438A9"/>
    <w:rsid w:val="0074491E"/>
    <w:rsid w:val="0075661B"/>
    <w:rsid w:val="0076247A"/>
    <w:rsid w:val="00766A4B"/>
    <w:rsid w:val="00775964"/>
    <w:rsid w:val="007765FE"/>
    <w:rsid w:val="00777D1C"/>
    <w:rsid w:val="007933A3"/>
    <w:rsid w:val="00795BFB"/>
    <w:rsid w:val="007A003E"/>
    <w:rsid w:val="007A3B96"/>
    <w:rsid w:val="007B2760"/>
    <w:rsid w:val="007D3154"/>
    <w:rsid w:val="007D3D7C"/>
    <w:rsid w:val="00806C01"/>
    <w:rsid w:val="008148CC"/>
    <w:rsid w:val="0081600D"/>
    <w:rsid w:val="00817774"/>
    <w:rsid w:val="008205FD"/>
    <w:rsid w:val="008211A4"/>
    <w:rsid w:val="00826EE6"/>
    <w:rsid w:val="00846CC1"/>
    <w:rsid w:val="008505BC"/>
    <w:rsid w:val="00857DE0"/>
    <w:rsid w:val="00873150"/>
    <w:rsid w:val="008758FC"/>
    <w:rsid w:val="0087657D"/>
    <w:rsid w:val="008807D5"/>
    <w:rsid w:val="00880832"/>
    <w:rsid w:val="00886EE1"/>
    <w:rsid w:val="0088727D"/>
    <w:rsid w:val="00897C75"/>
    <w:rsid w:val="008C1130"/>
    <w:rsid w:val="008C1FF8"/>
    <w:rsid w:val="008D18E6"/>
    <w:rsid w:val="008D7A9B"/>
    <w:rsid w:val="008E017C"/>
    <w:rsid w:val="008E76AC"/>
    <w:rsid w:val="008F21F6"/>
    <w:rsid w:val="008F6B31"/>
    <w:rsid w:val="00901517"/>
    <w:rsid w:val="00912523"/>
    <w:rsid w:val="00921BC0"/>
    <w:rsid w:val="00926AAC"/>
    <w:rsid w:val="00936D1C"/>
    <w:rsid w:val="00941AFB"/>
    <w:rsid w:val="00951F79"/>
    <w:rsid w:val="00952B23"/>
    <w:rsid w:val="00956EBF"/>
    <w:rsid w:val="00974AB5"/>
    <w:rsid w:val="009801EC"/>
    <w:rsid w:val="0098706D"/>
    <w:rsid w:val="009935FB"/>
    <w:rsid w:val="009B35CF"/>
    <w:rsid w:val="009B600B"/>
    <w:rsid w:val="009B713E"/>
    <w:rsid w:val="009C7A6D"/>
    <w:rsid w:val="009D379D"/>
    <w:rsid w:val="009D4454"/>
    <w:rsid w:val="009E4A48"/>
    <w:rsid w:val="009F4209"/>
    <w:rsid w:val="009F4A54"/>
    <w:rsid w:val="009F4BEC"/>
    <w:rsid w:val="009F7D9B"/>
    <w:rsid w:val="00A11151"/>
    <w:rsid w:val="00A15A66"/>
    <w:rsid w:val="00A22AF8"/>
    <w:rsid w:val="00A25FD7"/>
    <w:rsid w:val="00A43AFF"/>
    <w:rsid w:val="00A5656A"/>
    <w:rsid w:val="00A61518"/>
    <w:rsid w:val="00A6198D"/>
    <w:rsid w:val="00A74BFE"/>
    <w:rsid w:val="00A76ED0"/>
    <w:rsid w:val="00A7793A"/>
    <w:rsid w:val="00A94DB2"/>
    <w:rsid w:val="00A95685"/>
    <w:rsid w:val="00A95753"/>
    <w:rsid w:val="00A958CE"/>
    <w:rsid w:val="00AA4CC7"/>
    <w:rsid w:val="00AA5E8E"/>
    <w:rsid w:val="00AB6CA7"/>
    <w:rsid w:val="00AC081C"/>
    <w:rsid w:val="00AD01E4"/>
    <w:rsid w:val="00AD0858"/>
    <w:rsid w:val="00AD5111"/>
    <w:rsid w:val="00AD7F46"/>
    <w:rsid w:val="00AE16B2"/>
    <w:rsid w:val="00AE7340"/>
    <w:rsid w:val="00AF1BBD"/>
    <w:rsid w:val="00B0182E"/>
    <w:rsid w:val="00B10207"/>
    <w:rsid w:val="00B141E7"/>
    <w:rsid w:val="00B23B02"/>
    <w:rsid w:val="00B34976"/>
    <w:rsid w:val="00B34ADA"/>
    <w:rsid w:val="00B351B4"/>
    <w:rsid w:val="00B46BCA"/>
    <w:rsid w:val="00B47341"/>
    <w:rsid w:val="00B478AA"/>
    <w:rsid w:val="00B5138A"/>
    <w:rsid w:val="00B556D6"/>
    <w:rsid w:val="00B76DEE"/>
    <w:rsid w:val="00B824FC"/>
    <w:rsid w:val="00B87806"/>
    <w:rsid w:val="00B87EC9"/>
    <w:rsid w:val="00B964BE"/>
    <w:rsid w:val="00BB3F88"/>
    <w:rsid w:val="00BC38FD"/>
    <w:rsid w:val="00BF6B29"/>
    <w:rsid w:val="00C02254"/>
    <w:rsid w:val="00C034CB"/>
    <w:rsid w:val="00C051A8"/>
    <w:rsid w:val="00C054BC"/>
    <w:rsid w:val="00C078D7"/>
    <w:rsid w:val="00C17897"/>
    <w:rsid w:val="00C37A9C"/>
    <w:rsid w:val="00C409D5"/>
    <w:rsid w:val="00C435C3"/>
    <w:rsid w:val="00C472B9"/>
    <w:rsid w:val="00C6234B"/>
    <w:rsid w:val="00C63EAE"/>
    <w:rsid w:val="00C64382"/>
    <w:rsid w:val="00C7629F"/>
    <w:rsid w:val="00C8661B"/>
    <w:rsid w:val="00C90DD5"/>
    <w:rsid w:val="00CA139A"/>
    <w:rsid w:val="00CA2899"/>
    <w:rsid w:val="00CA3A3D"/>
    <w:rsid w:val="00CA77FB"/>
    <w:rsid w:val="00CB379B"/>
    <w:rsid w:val="00CB5DD0"/>
    <w:rsid w:val="00CC51D4"/>
    <w:rsid w:val="00CC65DA"/>
    <w:rsid w:val="00CD7469"/>
    <w:rsid w:val="00CF21B9"/>
    <w:rsid w:val="00CF48E0"/>
    <w:rsid w:val="00CF6BF9"/>
    <w:rsid w:val="00D03800"/>
    <w:rsid w:val="00D065D3"/>
    <w:rsid w:val="00D14C94"/>
    <w:rsid w:val="00D15E57"/>
    <w:rsid w:val="00D30714"/>
    <w:rsid w:val="00D342A6"/>
    <w:rsid w:val="00D3543B"/>
    <w:rsid w:val="00D37081"/>
    <w:rsid w:val="00D41DBF"/>
    <w:rsid w:val="00D437CB"/>
    <w:rsid w:val="00D464BF"/>
    <w:rsid w:val="00D53E26"/>
    <w:rsid w:val="00D555CB"/>
    <w:rsid w:val="00D60925"/>
    <w:rsid w:val="00D81DB4"/>
    <w:rsid w:val="00D8517B"/>
    <w:rsid w:val="00DA47DC"/>
    <w:rsid w:val="00DB3FB0"/>
    <w:rsid w:val="00DD4F0E"/>
    <w:rsid w:val="00DD7450"/>
    <w:rsid w:val="00DE4B0A"/>
    <w:rsid w:val="00DF0BF0"/>
    <w:rsid w:val="00DF5714"/>
    <w:rsid w:val="00E01463"/>
    <w:rsid w:val="00E05E0A"/>
    <w:rsid w:val="00E27ECF"/>
    <w:rsid w:val="00E534CF"/>
    <w:rsid w:val="00E81CB4"/>
    <w:rsid w:val="00E8585B"/>
    <w:rsid w:val="00EA3F15"/>
    <w:rsid w:val="00EA7847"/>
    <w:rsid w:val="00EB4C2F"/>
    <w:rsid w:val="00EE2E6E"/>
    <w:rsid w:val="00F0759E"/>
    <w:rsid w:val="00F16A43"/>
    <w:rsid w:val="00F222AC"/>
    <w:rsid w:val="00F46780"/>
    <w:rsid w:val="00F56459"/>
    <w:rsid w:val="00F57D37"/>
    <w:rsid w:val="00F605C8"/>
    <w:rsid w:val="00F821A3"/>
    <w:rsid w:val="00F9314A"/>
    <w:rsid w:val="00F93883"/>
    <w:rsid w:val="00F97424"/>
    <w:rsid w:val="00FA01FF"/>
    <w:rsid w:val="00FA5C2F"/>
    <w:rsid w:val="00FB107B"/>
    <w:rsid w:val="00FB5434"/>
    <w:rsid w:val="00FB723A"/>
    <w:rsid w:val="00FC58EF"/>
    <w:rsid w:val="00FD33DF"/>
    <w:rsid w:val="00FD37EE"/>
    <w:rsid w:val="00FE39D7"/>
    <w:rsid w:val="00FF711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DC023423-35A6-40F0-9398-D1BFBEA0E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styleId="Descripcin">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6"/>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Cita">
    <w:name w:val="Quote"/>
    <w:basedOn w:val="Normal"/>
    <w:next w:val="Normal"/>
    <w:link w:val="CitaCar"/>
    <w:uiPriority w:val="29"/>
    <w:qFormat/>
    <w:rsid w:val="005654E6"/>
    <w:pPr>
      <w:spacing w:before="120"/>
      <w:ind w:right="567"/>
      <w:jc w:val="both"/>
    </w:pPr>
    <w:rPr>
      <w:rFonts w:ascii="Bookman Old Style" w:hAnsi="Bookman Old Style"/>
      <w:i/>
      <w:sz w:val="22"/>
      <w:lang w:val="es-CO"/>
    </w:rPr>
  </w:style>
  <w:style w:type="character" w:customStyle="1" w:styleId="CitaCar">
    <w:name w:val="Cita Car"/>
    <w:basedOn w:val="Fuentedeprrafopredeter"/>
    <w:link w:val="Cita"/>
    <w:uiPriority w:val="29"/>
    <w:rsid w:val="005654E6"/>
    <w:rPr>
      <w:rFonts w:ascii="Bookman Old Style" w:hAnsi="Bookman Old Style"/>
      <w:i/>
      <w:sz w:val="22"/>
      <w:szCs w:val="24"/>
      <w:lang w:eastAsia="es-ES"/>
    </w:rPr>
  </w:style>
  <w:style w:type="character" w:styleId="Refdecomentario">
    <w:name w:val="annotation reference"/>
    <w:basedOn w:val="Fuentedeprrafopredeter"/>
    <w:uiPriority w:val="99"/>
    <w:semiHidden/>
    <w:unhideWhenUsed/>
    <w:rsid w:val="009C7A6D"/>
    <w:rPr>
      <w:sz w:val="16"/>
      <w:szCs w:val="16"/>
    </w:rPr>
  </w:style>
  <w:style w:type="paragraph" w:styleId="Textocomentario">
    <w:name w:val="annotation text"/>
    <w:basedOn w:val="Normal"/>
    <w:link w:val="TextocomentarioCar"/>
    <w:uiPriority w:val="99"/>
    <w:semiHidden/>
    <w:unhideWhenUsed/>
    <w:rsid w:val="009C7A6D"/>
    <w:rPr>
      <w:sz w:val="20"/>
      <w:szCs w:val="20"/>
    </w:rPr>
  </w:style>
  <w:style w:type="character" w:customStyle="1" w:styleId="TextocomentarioCar">
    <w:name w:val="Texto comentario Car"/>
    <w:basedOn w:val="Fuentedeprrafopredeter"/>
    <w:link w:val="Textocomentario"/>
    <w:uiPriority w:val="99"/>
    <w:semiHidden/>
    <w:rsid w:val="009C7A6D"/>
    <w:rPr>
      <w:lang w:val="es-ES" w:eastAsia="es-ES"/>
    </w:rPr>
  </w:style>
  <w:style w:type="paragraph" w:styleId="Asuntodelcomentario">
    <w:name w:val="annotation subject"/>
    <w:basedOn w:val="Textocomentario"/>
    <w:next w:val="Textocomentario"/>
    <w:link w:val="AsuntodelcomentarioCar"/>
    <w:uiPriority w:val="99"/>
    <w:semiHidden/>
    <w:unhideWhenUsed/>
    <w:rsid w:val="009C7A6D"/>
    <w:rPr>
      <w:b/>
      <w:bCs/>
    </w:rPr>
  </w:style>
  <w:style w:type="character" w:customStyle="1" w:styleId="AsuntodelcomentarioCar">
    <w:name w:val="Asunto del comentario Car"/>
    <w:basedOn w:val="TextocomentarioCar"/>
    <w:link w:val="Asuntodelcomentario"/>
    <w:uiPriority w:val="99"/>
    <w:semiHidden/>
    <w:rsid w:val="009C7A6D"/>
    <w:rPr>
      <w:b/>
      <w:bCs/>
      <w:lang w:val="es-ES" w:eastAsia="es-ES"/>
    </w:rPr>
  </w:style>
  <w:style w:type="paragraph" w:styleId="Revisin">
    <w:name w:val="Revision"/>
    <w:hidden/>
    <w:uiPriority w:val="99"/>
    <w:semiHidden/>
    <w:rsid w:val="008758FC"/>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05">
      <w:bodyDiv w:val="1"/>
      <w:marLeft w:val="0"/>
      <w:marRight w:val="0"/>
      <w:marTop w:val="0"/>
      <w:marBottom w:val="0"/>
      <w:divBdr>
        <w:top w:val="none" w:sz="0" w:space="0" w:color="auto"/>
        <w:left w:val="none" w:sz="0" w:space="0" w:color="auto"/>
        <w:bottom w:val="none" w:sz="0" w:space="0" w:color="auto"/>
        <w:right w:val="none" w:sz="0" w:space="0" w:color="auto"/>
      </w:divBdr>
    </w:div>
    <w:div w:id="49354584">
      <w:bodyDiv w:val="1"/>
      <w:marLeft w:val="0"/>
      <w:marRight w:val="0"/>
      <w:marTop w:val="0"/>
      <w:marBottom w:val="0"/>
      <w:divBdr>
        <w:top w:val="none" w:sz="0" w:space="0" w:color="auto"/>
        <w:left w:val="none" w:sz="0" w:space="0" w:color="auto"/>
        <w:bottom w:val="none" w:sz="0" w:space="0" w:color="auto"/>
        <w:right w:val="none" w:sz="0" w:space="0" w:color="auto"/>
      </w:divBdr>
    </w:div>
    <w:div w:id="98255799">
      <w:bodyDiv w:val="1"/>
      <w:marLeft w:val="0"/>
      <w:marRight w:val="0"/>
      <w:marTop w:val="0"/>
      <w:marBottom w:val="0"/>
      <w:divBdr>
        <w:top w:val="none" w:sz="0" w:space="0" w:color="auto"/>
        <w:left w:val="none" w:sz="0" w:space="0" w:color="auto"/>
        <w:bottom w:val="none" w:sz="0" w:space="0" w:color="auto"/>
        <w:right w:val="none" w:sz="0" w:space="0" w:color="auto"/>
      </w:divBdr>
    </w:div>
    <w:div w:id="141968947">
      <w:bodyDiv w:val="1"/>
      <w:marLeft w:val="0"/>
      <w:marRight w:val="0"/>
      <w:marTop w:val="0"/>
      <w:marBottom w:val="0"/>
      <w:divBdr>
        <w:top w:val="none" w:sz="0" w:space="0" w:color="auto"/>
        <w:left w:val="none" w:sz="0" w:space="0" w:color="auto"/>
        <w:bottom w:val="none" w:sz="0" w:space="0" w:color="auto"/>
        <w:right w:val="none" w:sz="0" w:space="0" w:color="auto"/>
      </w:divBdr>
    </w:div>
    <w:div w:id="148642267">
      <w:bodyDiv w:val="1"/>
      <w:marLeft w:val="0"/>
      <w:marRight w:val="0"/>
      <w:marTop w:val="0"/>
      <w:marBottom w:val="0"/>
      <w:divBdr>
        <w:top w:val="none" w:sz="0" w:space="0" w:color="auto"/>
        <w:left w:val="none" w:sz="0" w:space="0" w:color="auto"/>
        <w:bottom w:val="none" w:sz="0" w:space="0" w:color="auto"/>
        <w:right w:val="none" w:sz="0" w:space="0" w:color="auto"/>
      </w:divBdr>
    </w:div>
    <w:div w:id="208811000">
      <w:bodyDiv w:val="1"/>
      <w:marLeft w:val="0"/>
      <w:marRight w:val="0"/>
      <w:marTop w:val="0"/>
      <w:marBottom w:val="0"/>
      <w:divBdr>
        <w:top w:val="none" w:sz="0" w:space="0" w:color="auto"/>
        <w:left w:val="none" w:sz="0" w:space="0" w:color="auto"/>
        <w:bottom w:val="none" w:sz="0" w:space="0" w:color="auto"/>
        <w:right w:val="none" w:sz="0" w:space="0" w:color="auto"/>
      </w:divBdr>
    </w:div>
    <w:div w:id="215551041">
      <w:bodyDiv w:val="1"/>
      <w:marLeft w:val="0"/>
      <w:marRight w:val="0"/>
      <w:marTop w:val="0"/>
      <w:marBottom w:val="0"/>
      <w:divBdr>
        <w:top w:val="none" w:sz="0" w:space="0" w:color="auto"/>
        <w:left w:val="none" w:sz="0" w:space="0" w:color="auto"/>
        <w:bottom w:val="none" w:sz="0" w:space="0" w:color="auto"/>
        <w:right w:val="none" w:sz="0" w:space="0" w:color="auto"/>
      </w:divBdr>
    </w:div>
    <w:div w:id="227768326">
      <w:bodyDiv w:val="1"/>
      <w:marLeft w:val="0"/>
      <w:marRight w:val="0"/>
      <w:marTop w:val="0"/>
      <w:marBottom w:val="0"/>
      <w:divBdr>
        <w:top w:val="none" w:sz="0" w:space="0" w:color="auto"/>
        <w:left w:val="none" w:sz="0" w:space="0" w:color="auto"/>
        <w:bottom w:val="none" w:sz="0" w:space="0" w:color="auto"/>
        <w:right w:val="none" w:sz="0" w:space="0" w:color="auto"/>
      </w:divBdr>
    </w:div>
    <w:div w:id="519588526">
      <w:bodyDiv w:val="1"/>
      <w:marLeft w:val="0"/>
      <w:marRight w:val="0"/>
      <w:marTop w:val="0"/>
      <w:marBottom w:val="0"/>
      <w:divBdr>
        <w:top w:val="none" w:sz="0" w:space="0" w:color="auto"/>
        <w:left w:val="none" w:sz="0" w:space="0" w:color="auto"/>
        <w:bottom w:val="none" w:sz="0" w:space="0" w:color="auto"/>
        <w:right w:val="none" w:sz="0" w:space="0" w:color="auto"/>
      </w:divBdr>
    </w:div>
    <w:div w:id="548497739">
      <w:bodyDiv w:val="1"/>
      <w:marLeft w:val="0"/>
      <w:marRight w:val="0"/>
      <w:marTop w:val="0"/>
      <w:marBottom w:val="0"/>
      <w:divBdr>
        <w:top w:val="none" w:sz="0" w:space="0" w:color="auto"/>
        <w:left w:val="none" w:sz="0" w:space="0" w:color="auto"/>
        <w:bottom w:val="none" w:sz="0" w:space="0" w:color="auto"/>
        <w:right w:val="none" w:sz="0" w:space="0" w:color="auto"/>
      </w:divBdr>
    </w:div>
    <w:div w:id="548880177">
      <w:bodyDiv w:val="1"/>
      <w:marLeft w:val="0"/>
      <w:marRight w:val="0"/>
      <w:marTop w:val="0"/>
      <w:marBottom w:val="0"/>
      <w:divBdr>
        <w:top w:val="none" w:sz="0" w:space="0" w:color="auto"/>
        <w:left w:val="none" w:sz="0" w:space="0" w:color="auto"/>
        <w:bottom w:val="none" w:sz="0" w:space="0" w:color="auto"/>
        <w:right w:val="none" w:sz="0" w:space="0" w:color="auto"/>
      </w:divBdr>
    </w:div>
    <w:div w:id="639920108">
      <w:bodyDiv w:val="1"/>
      <w:marLeft w:val="0"/>
      <w:marRight w:val="0"/>
      <w:marTop w:val="0"/>
      <w:marBottom w:val="0"/>
      <w:divBdr>
        <w:top w:val="none" w:sz="0" w:space="0" w:color="auto"/>
        <w:left w:val="none" w:sz="0" w:space="0" w:color="auto"/>
        <w:bottom w:val="none" w:sz="0" w:space="0" w:color="auto"/>
        <w:right w:val="none" w:sz="0" w:space="0" w:color="auto"/>
      </w:divBdr>
    </w:div>
    <w:div w:id="983006737">
      <w:bodyDiv w:val="1"/>
      <w:marLeft w:val="0"/>
      <w:marRight w:val="0"/>
      <w:marTop w:val="0"/>
      <w:marBottom w:val="0"/>
      <w:divBdr>
        <w:top w:val="none" w:sz="0" w:space="0" w:color="auto"/>
        <w:left w:val="none" w:sz="0" w:space="0" w:color="auto"/>
        <w:bottom w:val="none" w:sz="0" w:space="0" w:color="auto"/>
        <w:right w:val="none" w:sz="0" w:space="0" w:color="auto"/>
      </w:divBdr>
    </w:div>
    <w:div w:id="1076786642">
      <w:bodyDiv w:val="1"/>
      <w:marLeft w:val="0"/>
      <w:marRight w:val="0"/>
      <w:marTop w:val="0"/>
      <w:marBottom w:val="0"/>
      <w:divBdr>
        <w:top w:val="none" w:sz="0" w:space="0" w:color="auto"/>
        <w:left w:val="none" w:sz="0" w:space="0" w:color="auto"/>
        <w:bottom w:val="none" w:sz="0" w:space="0" w:color="auto"/>
        <w:right w:val="none" w:sz="0" w:space="0" w:color="auto"/>
      </w:divBdr>
    </w:div>
    <w:div w:id="1110277148">
      <w:bodyDiv w:val="1"/>
      <w:marLeft w:val="0"/>
      <w:marRight w:val="0"/>
      <w:marTop w:val="0"/>
      <w:marBottom w:val="0"/>
      <w:divBdr>
        <w:top w:val="none" w:sz="0" w:space="0" w:color="auto"/>
        <w:left w:val="none" w:sz="0" w:space="0" w:color="auto"/>
        <w:bottom w:val="none" w:sz="0" w:space="0" w:color="auto"/>
        <w:right w:val="none" w:sz="0" w:space="0" w:color="auto"/>
      </w:divBdr>
    </w:div>
    <w:div w:id="1164979011">
      <w:bodyDiv w:val="1"/>
      <w:marLeft w:val="0"/>
      <w:marRight w:val="0"/>
      <w:marTop w:val="0"/>
      <w:marBottom w:val="0"/>
      <w:divBdr>
        <w:top w:val="none" w:sz="0" w:space="0" w:color="auto"/>
        <w:left w:val="none" w:sz="0" w:space="0" w:color="auto"/>
        <w:bottom w:val="none" w:sz="0" w:space="0" w:color="auto"/>
        <w:right w:val="none" w:sz="0" w:space="0" w:color="auto"/>
      </w:divBdr>
    </w:div>
    <w:div w:id="1171338896">
      <w:bodyDiv w:val="1"/>
      <w:marLeft w:val="0"/>
      <w:marRight w:val="0"/>
      <w:marTop w:val="0"/>
      <w:marBottom w:val="0"/>
      <w:divBdr>
        <w:top w:val="none" w:sz="0" w:space="0" w:color="auto"/>
        <w:left w:val="none" w:sz="0" w:space="0" w:color="auto"/>
        <w:bottom w:val="none" w:sz="0" w:space="0" w:color="auto"/>
        <w:right w:val="none" w:sz="0" w:space="0" w:color="auto"/>
      </w:divBdr>
    </w:div>
    <w:div w:id="1255748011">
      <w:bodyDiv w:val="1"/>
      <w:marLeft w:val="0"/>
      <w:marRight w:val="0"/>
      <w:marTop w:val="0"/>
      <w:marBottom w:val="0"/>
      <w:divBdr>
        <w:top w:val="none" w:sz="0" w:space="0" w:color="auto"/>
        <w:left w:val="none" w:sz="0" w:space="0" w:color="auto"/>
        <w:bottom w:val="none" w:sz="0" w:space="0" w:color="auto"/>
        <w:right w:val="none" w:sz="0" w:space="0" w:color="auto"/>
      </w:divBdr>
    </w:div>
    <w:div w:id="1297763816">
      <w:bodyDiv w:val="1"/>
      <w:marLeft w:val="0"/>
      <w:marRight w:val="0"/>
      <w:marTop w:val="0"/>
      <w:marBottom w:val="0"/>
      <w:divBdr>
        <w:top w:val="none" w:sz="0" w:space="0" w:color="auto"/>
        <w:left w:val="none" w:sz="0" w:space="0" w:color="auto"/>
        <w:bottom w:val="none" w:sz="0" w:space="0" w:color="auto"/>
        <w:right w:val="none" w:sz="0" w:space="0" w:color="auto"/>
      </w:divBdr>
    </w:div>
    <w:div w:id="1324167653">
      <w:bodyDiv w:val="1"/>
      <w:marLeft w:val="0"/>
      <w:marRight w:val="0"/>
      <w:marTop w:val="0"/>
      <w:marBottom w:val="0"/>
      <w:divBdr>
        <w:top w:val="none" w:sz="0" w:space="0" w:color="auto"/>
        <w:left w:val="none" w:sz="0" w:space="0" w:color="auto"/>
        <w:bottom w:val="none" w:sz="0" w:space="0" w:color="auto"/>
        <w:right w:val="none" w:sz="0" w:space="0" w:color="auto"/>
      </w:divBdr>
    </w:div>
    <w:div w:id="1345400800">
      <w:bodyDiv w:val="1"/>
      <w:marLeft w:val="0"/>
      <w:marRight w:val="0"/>
      <w:marTop w:val="0"/>
      <w:marBottom w:val="0"/>
      <w:divBdr>
        <w:top w:val="none" w:sz="0" w:space="0" w:color="auto"/>
        <w:left w:val="none" w:sz="0" w:space="0" w:color="auto"/>
        <w:bottom w:val="none" w:sz="0" w:space="0" w:color="auto"/>
        <w:right w:val="none" w:sz="0" w:space="0" w:color="auto"/>
      </w:divBdr>
    </w:div>
    <w:div w:id="1401102372">
      <w:bodyDiv w:val="1"/>
      <w:marLeft w:val="0"/>
      <w:marRight w:val="0"/>
      <w:marTop w:val="0"/>
      <w:marBottom w:val="0"/>
      <w:divBdr>
        <w:top w:val="none" w:sz="0" w:space="0" w:color="auto"/>
        <w:left w:val="none" w:sz="0" w:space="0" w:color="auto"/>
        <w:bottom w:val="none" w:sz="0" w:space="0" w:color="auto"/>
        <w:right w:val="none" w:sz="0" w:space="0" w:color="auto"/>
      </w:divBdr>
    </w:div>
    <w:div w:id="1528368121">
      <w:bodyDiv w:val="1"/>
      <w:marLeft w:val="0"/>
      <w:marRight w:val="0"/>
      <w:marTop w:val="0"/>
      <w:marBottom w:val="0"/>
      <w:divBdr>
        <w:top w:val="none" w:sz="0" w:space="0" w:color="auto"/>
        <w:left w:val="none" w:sz="0" w:space="0" w:color="auto"/>
        <w:bottom w:val="none" w:sz="0" w:space="0" w:color="auto"/>
        <w:right w:val="none" w:sz="0" w:space="0" w:color="auto"/>
      </w:divBdr>
    </w:div>
    <w:div w:id="1663774870">
      <w:bodyDiv w:val="1"/>
      <w:marLeft w:val="0"/>
      <w:marRight w:val="0"/>
      <w:marTop w:val="0"/>
      <w:marBottom w:val="0"/>
      <w:divBdr>
        <w:top w:val="none" w:sz="0" w:space="0" w:color="auto"/>
        <w:left w:val="none" w:sz="0" w:space="0" w:color="auto"/>
        <w:bottom w:val="none" w:sz="0" w:space="0" w:color="auto"/>
        <w:right w:val="none" w:sz="0" w:space="0" w:color="auto"/>
      </w:divBdr>
    </w:div>
    <w:div w:id="1674801360">
      <w:bodyDiv w:val="1"/>
      <w:marLeft w:val="0"/>
      <w:marRight w:val="0"/>
      <w:marTop w:val="0"/>
      <w:marBottom w:val="0"/>
      <w:divBdr>
        <w:top w:val="none" w:sz="0" w:space="0" w:color="auto"/>
        <w:left w:val="none" w:sz="0" w:space="0" w:color="auto"/>
        <w:bottom w:val="none" w:sz="0" w:space="0" w:color="auto"/>
        <w:right w:val="none" w:sz="0" w:space="0" w:color="auto"/>
      </w:divBdr>
    </w:div>
    <w:div w:id="1713722971">
      <w:bodyDiv w:val="1"/>
      <w:marLeft w:val="0"/>
      <w:marRight w:val="0"/>
      <w:marTop w:val="0"/>
      <w:marBottom w:val="0"/>
      <w:divBdr>
        <w:top w:val="none" w:sz="0" w:space="0" w:color="auto"/>
        <w:left w:val="none" w:sz="0" w:space="0" w:color="auto"/>
        <w:bottom w:val="none" w:sz="0" w:space="0" w:color="auto"/>
        <w:right w:val="none" w:sz="0" w:space="0" w:color="auto"/>
      </w:divBdr>
    </w:div>
    <w:div w:id="1757242185">
      <w:bodyDiv w:val="1"/>
      <w:marLeft w:val="0"/>
      <w:marRight w:val="0"/>
      <w:marTop w:val="0"/>
      <w:marBottom w:val="0"/>
      <w:divBdr>
        <w:top w:val="none" w:sz="0" w:space="0" w:color="auto"/>
        <w:left w:val="none" w:sz="0" w:space="0" w:color="auto"/>
        <w:bottom w:val="none" w:sz="0" w:space="0" w:color="auto"/>
        <w:right w:val="none" w:sz="0" w:space="0" w:color="auto"/>
      </w:divBdr>
    </w:div>
    <w:div w:id="1941064619">
      <w:bodyDiv w:val="1"/>
      <w:marLeft w:val="0"/>
      <w:marRight w:val="0"/>
      <w:marTop w:val="0"/>
      <w:marBottom w:val="0"/>
      <w:divBdr>
        <w:top w:val="none" w:sz="0" w:space="0" w:color="auto"/>
        <w:left w:val="none" w:sz="0" w:space="0" w:color="auto"/>
        <w:bottom w:val="none" w:sz="0" w:space="0" w:color="auto"/>
        <w:right w:val="none" w:sz="0" w:space="0" w:color="auto"/>
      </w:divBdr>
    </w:div>
    <w:div w:id="1974215209">
      <w:bodyDiv w:val="1"/>
      <w:marLeft w:val="0"/>
      <w:marRight w:val="0"/>
      <w:marTop w:val="0"/>
      <w:marBottom w:val="0"/>
      <w:divBdr>
        <w:top w:val="none" w:sz="0" w:space="0" w:color="auto"/>
        <w:left w:val="none" w:sz="0" w:space="0" w:color="auto"/>
        <w:bottom w:val="none" w:sz="0" w:space="0" w:color="auto"/>
        <w:right w:val="none" w:sz="0" w:space="0" w:color="auto"/>
      </w:divBdr>
    </w:div>
    <w:div w:id="2019042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PLANTILLA1.dotx</Template>
  <TotalTime>1</TotalTime>
  <Pages>4</Pages>
  <Words>1124</Words>
  <Characters>5677</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2016-06-08T20:38:00Z</cp:lastPrinted>
  <dcterms:created xsi:type="dcterms:W3CDTF">2019-10-09T19:48:00Z</dcterms:created>
  <dcterms:modified xsi:type="dcterms:W3CDTF">2019-10-09T19:48:00Z</dcterms:modified>
</cp:coreProperties>
</file>