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D34DBB" w:rsidRDefault="00265EEE"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5.05pt;width:52.5pt;height:48.75pt;z-index:251660288" fillcolor="#0c9">
            <v:imagedata r:id="rId9" o:title=""/>
          </v:shape>
          <o:OLEObject Type="Embed" ProgID="PBrush" ShapeID="_x0000_s1026" DrawAspect="Content" ObjectID="_1366099362" r:id="rId10"/>
        </w:pict>
      </w:r>
    </w:p>
    <w:p w:rsidR="00E433F6" w:rsidRPr="00D34DBB" w:rsidRDefault="00E433F6" w:rsidP="00E433F6">
      <w:pPr>
        <w:pStyle w:val="Ttulo4"/>
        <w:tabs>
          <w:tab w:val="left" w:pos="0"/>
          <w:tab w:val="right" w:pos="9356"/>
        </w:tabs>
        <w:ind w:left="0"/>
        <w:rPr>
          <w:rFonts w:ascii="Bookman Old Style" w:hAnsi="Bookman Old Style"/>
          <w:b w:val="0"/>
          <w:bCs/>
          <w:noProof/>
          <w:sz w:val="24"/>
          <w:szCs w:val="24"/>
          <w:lang w:val="es-ES"/>
        </w:rPr>
      </w:pPr>
      <w:r w:rsidRPr="00D34DBB">
        <w:rPr>
          <w:rFonts w:ascii="Bookman Old Style" w:hAnsi="Bookman Old Style"/>
          <w:b w:val="0"/>
          <w:bCs/>
          <w:sz w:val="24"/>
          <w:szCs w:val="24"/>
        </w:rPr>
        <w:t>Ministerio de Minas y Energía</w:t>
      </w:r>
    </w:p>
    <w:p w:rsidR="00E433F6" w:rsidRPr="00E20436" w:rsidRDefault="00E433F6" w:rsidP="00E433F6">
      <w:pPr>
        <w:pStyle w:val="Ttulo4"/>
        <w:tabs>
          <w:tab w:val="left" w:pos="0"/>
          <w:tab w:val="right" w:pos="9356"/>
        </w:tabs>
        <w:ind w:left="0"/>
        <w:rPr>
          <w:rFonts w:ascii="Bookman Old Style" w:hAnsi="Bookman Old Style"/>
          <w:b w:val="0"/>
          <w:bCs/>
          <w:sz w:val="24"/>
          <w:szCs w:val="24"/>
          <w:lang w:val="es-ES"/>
        </w:rPr>
      </w:pPr>
    </w:p>
    <w:p w:rsidR="00E433F6" w:rsidRPr="00D34DBB" w:rsidRDefault="00E433F6" w:rsidP="00E433F6">
      <w:pPr>
        <w:pStyle w:val="Ttulo3"/>
        <w:tabs>
          <w:tab w:val="left" w:pos="0"/>
          <w:tab w:val="right" w:pos="9356"/>
        </w:tabs>
        <w:ind w:left="0"/>
        <w:rPr>
          <w:rFonts w:ascii="Bookman Old Style" w:hAnsi="Bookman Old Style" w:cs="Arial"/>
          <w:spacing w:val="20"/>
          <w:szCs w:val="24"/>
        </w:rPr>
      </w:pPr>
      <w:r w:rsidRPr="00D34DBB">
        <w:rPr>
          <w:rFonts w:ascii="Bookman Old Style" w:hAnsi="Bookman Old Style" w:cs="Arial"/>
          <w:spacing w:val="20"/>
          <w:szCs w:val="24"/>
        </w:rPr>
        <w:t>COMISIÓN DE REGULACIÓN DE ENERGÍA Y GAS</w:t>
      </w:r>
    </w:p>
    <w:p w:rsidR="00E433F6" w:rsidRPr="00D34DBB" w:rsidRDefault="00E433F6" w:rsidP="00E433F6">
      <w:pPr>
        <w:pStyle w:val="Ttulo5"/>
        <w:tabs>
          <w:tab w:val="left" w:pos="0"/>
          <w:tab w:val="right" w:pos="9356"/>
        </w:tabs>
        <w:ind w:left="0"/>
        <w:rPr>
          <w:rFonts w:ascii="Bookman Old Style" w:hAnsi="Bookman Old Style"/>
          <w:sz w:val="24"/>
          <w:szCs w:val="24"/>
        </w:rPr>
      </w:pPr>
    </w:p>
    <w:p w:rsidR="00E433F6" w:rsidRPr="00D34DBB" w:rsidRDefault="00E433F6" w:rsidP="00E433F6">
      <w:pPr>
        <w:pStyle w:val="Ttulo5"/>
        <w:tabs>
          <w:tab w:val="left" w:pos="0"/>
          <w:tab w:val="right" w:pos="9356"/>
        </w:tabs>
        <w:ind w:left="0"/>
        <w:rPr>
          <w:rFonts w:ascii="Bookman Old Style" w:hAnsi="Bookman Old Style"/>
          <w:sz w:val="24"/>
          <w:szCs w:val="24"/>
        </w:rPr>
      </w:pPr>
    </w:p>
    <w:p w:rsidR="00E433F6" w:rsidRPr="00D34DBB" w:rsidRDefault="00E433F6" w:rsidP="00E433F6">
      <w:pPr>
        <w:pStyle w:val="Ttulo5"/>
        <w:tabs>
          <w:tab w:val="left" w:pos="0"/>
          <w:tab w:val="right" w:pos="9356"/>
        </w:tabs>
        <w:ind w:left="0"/>
        <w:rPr>
          <w:rFonts w:ascii="Bookman Old Style" w:hAnsi="Bookman Old Style"/>
          <w:sz w:val="24"/>
          <w:szCs w:val="24"/>
        </w:rPr>
      </w:pPr>
      <w:r w:rsidRPr="00D34DBB">
        <w:rPr>
          <w:rFonts w:ascii="Bookman Old Style" w:hAnsi="Bookman Old Style"/>
          <w:sz w:val="24"/>
          <w:szCs w:val="24"/>
        </w:rPr>
        <w:t>RESOLUCIÓN No.                   DE 201</w:t>
      </w:r>
      <w:r w:rsidR="00D107F5">
        <w:rPr>
          <w:rFonts w:ascii="Bookman Old Style" w:hAnsi="Bookman Old Style"/>
          <w:sz w:val="24"/>
          <w:szCs w:val="24"/>
        </w:rPr>
        <w:t>1</w:t>
      </w:r>
    </w:p>
    <w:p w:rsidR="00E433F6" w:rsidRPr="00D34DBB"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D34DBB" w:rsidRDefault="00E433F6" w:rsidP="00E433F6">
      <w:pPr>
        <w:pStyle w:val="Ttulo3"/>
        <w:tabs>
          <w:tab w:val="left" w:pos="0"/>
          <w:tab w:val="right" w:pos="9356"/>
        </w:tabs>
        <w:ind w:left="0"/>
        <w:rPr>
          <w:rFonts w:ascii="Bookman Old Style" w:hAnsi="Bookman Old Style"/>
          <w:b w:val="0"/>
          <w:szCs w:val="24"/>
        </w:rPr>
      </w:pPr>
      <w:r w:rsidRPr="00D34DBB">
        <w:rPr>
          <w:rFonts w:ascii="Bookman Old Style" w:hAnsi="Bookman Old Style"/>
          <w:b w:val="0"/>
          <w:szCs w:val="24"/>
        </w:rPr>
        <w:t>(                                  )</w:t>
      </w:r>
    </w:p>
    <w:p w:rsidR="00E433F6" w:rsidRPr="00D34DBB" w:rsidRDefault="00E433F6" w:rsidP="00E433F6">
      <w:pPr>
        <w:tabs>
          <w:tab w:val="left" w:pos="0"/>
          <w:tab w:val="right" w:pos="9356"/>
        </w:tabs>
        <w:ind w:left="0"/>
        <w:jc w:val="center"/>
        <w:rPr>
          <w:rFonts w:ascii="Bookman Old Style" w:hAnsi="Bookman Old Style"/>
          <w:lang w:val="es-ES_tradnl"/>
        </w:rPr>
      </w:pPr>
    </w:p>
    <w:p w:rsidR="008A0C8F" w:rsidRDefault="008A0C8F" w:rsidP="009B125B">
      <w:pPr>
        <w:ind w:left="0"/>
        <w:jc w:val="both"/>
        <w:rPr>
          <w:rFonts w:ascii="Bookman Old Style" w:hAnsi="Bookman Old Style"/>
        </w:rPr>
      </w:pPr>
    </w:p>
    <w:p w:rsidR="008A0C8F" w:rsidRDefault="008A0C8F" w:rsidP="009B125B">
      <w:pPr>
        <w:ind w:left="0"/>
        <w:jc w:val="both"/>
        <w:rPr>
          <w:rFonts w:ascii="Bookman Old Style" w:hAnsi="Bookman Old Style"/>
        </w:rPr>
      </w:pPr>
    </w:p>
    <w:p w:rsidR="009B125B" w:rsidRPr="009B125B" w:rsidRDefault="009B125B" w:rsidP="009B125B">
      <w:pPr>
        <w:ind w:left="0"/>
        <w:jc w:val="both"/>
        <w:rPr>
          <w:rFonts w:ascii="Bookman Old Style" w:hAnsi="Bookman Old Style"/>
        </w:rPr>
      </w:pPr>
      <w:r w:rsidRPr="009B125B">
        <w:rPr>
          <w:rFonts w:ascii="Bookman Old Style" w:hAnsi="Bookman Old Style"/>
        </w:rPr>
        <w:t xml:space="preserve">Por la cual se resuelve el Recurso de Reposición interpuesto por </w:t>
      </w:r>
      <w:r w:rsidR="007776CD">
        <w:rPr>
          <w:rFonts w:ascii="Bookman Old Style" w:hAnsi="Bookman Old Style"/>
        </w:rPr>
        <w:t xml:space="preserve">la </w:t>
      </w:r>
      <w:r w:rsidR="007776CD" w:rsidRPr="007776CD">
        <w:rPr>
          <w:rFonts w:ascii="Bookman Old Style" w:hAnsi="Bookman Old Style"/>
        </w:rPr>
        <w:t>Compañía Energética del Tolima S.A. E.S.P.</w:t>
      </w:r>
      <w:r w:rsidRPr="009B125B">
        <w:rPr>
          <w:rFonts w:ascii="Bookman Old Style" w:hAnsi="Bookman Old Style"/>
        </w:rPr>
        <w:t xml:space="preserve">, contra la Resolución CREG </w:t>
      </w:r>
      <w:r w:rsidR="007776CD">
        <w:rPr>
          <w:rFonts w:ascii="Bookman Old Style" w:hAnsi="Bookman Old Style"/>
        </w:rPr>
        <w:t>167</w:t>
      </w:r>
      <w:r w:rsidRPr="009B125B">
        <w:rPr>
          <w:rFonts w:ascii="Bookman Old Style" w:hAnsi="Bookman Old Style"/>
        </w:rPr>
        <w:t xml:space="preserve"> de 20</w:t>
      </w:r>
      <w:r w:rsidR="005D5727">
        <w:rPr>
          <w:rFonts w:ascii="Bookman Old Style" w:hAnsi="Bookman Old Style"/>
        </w:rPr>
        <w:t>1</w:t>
      </w:r>
      <w:r w:rsidRPr="009B125B">
        <w:rPr>
          <w:rFonts w:ascii="Bookman Old Style" w:hAnsi="Bookman Old Style"/>
        </w:rPr>
        <w:t>0.</w:t>
      </w:r>
    </w:p>
    <w:p w:rsidR="000339B5" w:rsidRPr="00D2714F" w:rsidRDefault="000339B5" w:rsidP="00DB69FA">
      <w:pPr>
        <w:ind w:left="0"/>
        <w:rPr>
          <w:rFonts w:ascii="Bookman Old Style" w:hAnsi="Bookman Old Style"/>
        </w:rPr>
      </w:pPr>
    </w:p>
    <w:p w:rsidR="000339B5" w:rsidRPr="00D2714F" w:rsidRDefault="000339B5" w:rsidP="00DB69FA">
      <w:pPr>
        <w:ind w:left="0"/>
        <w:rPr>
          <w:rFonts w:ascii="Bookman Old Style" w:hAnsi="Bookman Old Style"/>
        </w:rPr>
      </w:pPr>
    </w:p>
    <w:p w:rsidR="000339B5" w:rsidRPr="00D2714F" w:rsidRDefault="000339B5" w:rsidP="000339B5">
      <w:pPr>
        <w:jc w:val="center"/>
        <w:rPr>
          <w:rFonts w:ascii="Bookman Old Style" w:hAnsi="Bookman Old Style" w:cs="Arial"/>
          <w:b/>
        </w:rPr>
      </w:pPr>
      <w:smartTag w:uri="urn:schemas-microsoft-com:office:smarttags" w:element="PersonName">
        <w:smartTagPr>
          <w:attr w:name="ProductID" w:val="LA COMISIￓN DE"/>
        </w:smartTagPr>
        <w:r w:rsidRPr="00D2714F">
          <w:rPr>
            <w:rFonts w:ascii="Bookman Old Style" w:hAnsi="Bookman Old Style" w:cs="Arial"/>
            <w:b/>
          </w:rPr>
          <w:t>LA COMISIÓN DE</w:t>
        </w:r>
      </w:smartTag>
      <w:r w:rsidRPr="00D2714F">
        <w:rPr>
          <w:rFonts w:ascii="Bookman Old Style" w:hAnsi="Bookman Old Style" w:cs="Arial"/>
          <w:b/>
        </w:rPr>
        <w:t xml:space="preserve"> REGULACIÓN DE ENERGÍA Y GAS</w:t>
      </w:r>
    </w:p>
    <w:p w:rsidR="000339B5" w:rsidRDefault="000339B5" w:rsidP="000339B5">
      <w:pPr>
        <w:jc w:val="center"/>
        <w:rPr>
          <w:rFonts w:ascii="Bookman Old Style" w:hAnsi="Bookman Old Style" w:cs="Arial"/>
        </w:rPr>
      </w:pPr>
    </w:p>
    <w:p w:rsidR="000339B5" w:rsidRPr="00D2714F" w:rsidRDefault="000339B5" w:rsidP="000339B5">
      <w:pPr>
        <w:jc w:val="center"/>
        <w:rPr>
          <w:rFonts w:ascii="Bookman Old Style" w:hAnsi="Bookman Old Style" w:cs="Arial"/>
        </w:rPr>
      </w:pPr>
    </w:p>
    <w:p w:rsidR="000339B5" w:rsidRPr="00D2714F" w:rsidRDefault="009B125B" w:rsidP="009B125B">
      <w:pPr>
        <w:ind w:left="0"/>
        <w:jc w:val="both"/>
        <w:rPr>
          <w:rFonts w:ascii="Bookman Old Style" w:hAnsi="Bookman Old Style"/>
        </w:rPr>
      </w:pPr>
      <w:r w:rsidRPr="009B125B">
        <w:rPr>
          <w:rFonts w:ascii="Bookman Old Style" w:hAnsi="Bookman Old Style"/>
        </w:rPr>
        <w:t>En ejercicio de sus atribuciones constitucionales y legales, en especial las conferidas por las Leyes 142  y 143 de 1994, y en desarrollo de los Decretos 1524 y 2253 de 1994.</w:t>
      </w:r>
    </w:p>
    <w:p w:rsidR="000339B5" w:rsidRDefault="000339B5" w:rsidP="000339B5">
      <w:pPr>
        <w:jc w:val="center"/>
        <w:rPr>
          <w:rFonts w:ascii="Bookman Old Style" w:hAnsi="Bookman Old Style" w:cs="Arial"/>
        </w:rPr>
      </w:pPr>
    </w:p>
    <w:p w:rsidR="00D107F5" w:rsidRPr="00D2714F" w:rsidRDefault="00D107F5" w:rsidP="000339B5">
      <w:pPr>
        <w:jc w:val="center"/>
        <w:rPr>
          <w:rFonts w:ascii="Bookman Old Style" w:hAnsi="Bookman Old Style" w:cs="Arial"/>
        </w:rPr>
      </w:pPr>
    </w:p>
    <w:p w:rsidR="000339B5" w:rsidRPr="00D2714F" w:rsidRDefault="000339B5" w:rsidP="000339B5">
      <w:pPr>
        <w:jc w:val="center"/>
        <w:rPr>
          <w:rFonts w:ascii="Bookman Old Style" w:hAnsi="Bookman Old Style" w:cs="Arial"/>
          <w:b/>
        </w:rPr>
      </w:pPr>
      <w:r w:rsidRPr="00D2714F">
        <w:rPr>
          <w:rFonts w:ascii="Bookman Old Style" w:hAnsi="Bookman Old Style"/>
          <w:b/>
          <w:spacing w:val="100"/>
        </w:rPr>
        <w:t>CONSIDERANDO</w:t>
      </w:r>
      <w:r w:rsidR="00821375">
        <w:rPr>
          <w:rFonts w:ascii="Bookman Old Style" w:hAnsi="Bookman Old Style"/>
          <w:b/>
          <w:spacing w:val="100"/>
        </w:rPr>
        <w:t xml:space="preserve"> QUE</w:t>
      </w:r>
      <w:r w:rsidRPr="00D2714F">
        <w:rPr>
          <w:rFonts w:ascii="Bookman Old Style" w:hAnsi="Bookman Old Style" w:cs="Arial"/>
          <w:b/>
        </w:rPr>
        <w:t>:</w:t>
      </w:r>
    </w:p>
    <w:p w:rsidR="000339B5" w:rsidRPr="00D2714F" w:rsidRDefault="000339B5" w:rsidP="00DB69FA">
      <w:pPr>
        <w:ind w:left="0"/>
        <w:rPr>
          <w:rFonts w:ascii="Bookman Old Style" w:hAnsi="Bookman Old Style"/>
        </w:rPr>
      </w:pPr>
    </w:p>
    <w:p w:rsidR="000339B5" w:rsidRDefault="000339B5" w:rsidP="00DB69FA">
      <w:pPr>
        <w:ind w:left="0"/>
        <w:rPr>
          <w:rFonts w:ascii="Bookman Old Style" w:hAnsi="Bookman Old Style" w:cs="Arial"/>
          <w:b/>
          <w:highlight w:val="yellow"/>
        </w:rPr>
      </w:pPr>
    </w:p>
    <w:p w:rsidR="00D107F5" w:rsidRPr="00D2714F" w:rsidRDefault="00D107F5" w:rsidP="00DB69FA">
      <w:pPr>
        <w:ind w:left="0"/>
        <w:rPr>
          <w:rFonts w:ascii="Bookman Old Style" w:hAnsi="Bookman Old Style" w:cs="Arial"/>
          <w:b/>
          <w:highlight w:val="yellow"/>
        </w:rPr>
      </w:pPr>
    </w:p>
    <w:p w:rsidR="00B536F6" w:rsidRPr="00190ADA" w:rsidRDefault="00B536F6" w:rsidP="00B536F6">
      <w:pPr>
        <w:numPr>
          <w:ilvl w:val="0"/>
          <w:numId w:val="18"/>
        </w:numPr>
        <w:overflowPunct w:val="0"/>
        <w:autoSpaceDE w:val="0"/>
        <w:autoSpaceDN w:val="0"/>
        <w:adjustRightInd w:val="0"/>
        <w:jc w:val="both"/>
        <w:textAlignment w:val="baseline"/>
        <w:rPr>
          <w:rFonts w:ascii="Bookman Old Style" w:hAnsi="Bookman Old Style"/>
          <w:b/>
        </w:rPr>
      </w:pPr>
      <w:r w:rsidRPr="00190ADA">
        <w:rPr>
          <w:rFonts w:ascii="Bookman Old Style" w:hAnsi="Bookman Old Style"/>
          <w:b/>
        </w:rPr>
        <w:t>ANTECEDENTES.</w:t>
      </w:r>
    </w:p>
    <w:p w:rsidR="00B536F6" w:rsidRPr="00190ADA" w:rsidRDefault="00B536F6" w:rsidP="00B536F6">
      <w:pPr>
        <w:rPr>
          <w:rFonts w:ascii="Bookman Old Style" w:hAnsi="Bookman Old Style"/>
        </w:rPr>
      </w:pPr>
    </w:p>
    <w:p w:rsidR="005D5727" w:rsidRPr="005D5727" w:rsidRDefault="00821375" w:rsidP="00CC4104">
      <w:pPr>
        <w:ind w:left="0" w:right="51"/>
        <w:jc w:val="both"/>
        <w:rPr>
          <w:rFonts w:ascii="Bookman Old Style" w:hAnsi="Bookman Old Style"/>
        </w:rPr>
      </w:pPr>
      <w:r>
        <w:rPr>
          <w:rFonts w:ascii="Bookman Old Style" w:hAnsi="Bookman Old Style"/>
        </w:rPr>
        <w:t>M</w:t>
      </w:r>
      <w:r w:rsidR="005D5727" w:rsidRPr="005D5727">
        <w:rPr>
          <w:rFonts w:ascii="Bookman Old Style" w:hAnsi="Bookman Old Style"/>
        </w:rPr>
        <w:t>ediante la Resolución CREG 097 de 2008, la Comisión aprobó los principios generales y la metodología para el establecimiento de los Cargos por Uso de los Sistemas de Transmisión Regional (STR</w:t>
      </w:r>
      <w:r>
        <w:rPr>
          <w:rFonts w:ascii="Bookman Old Style" w:hAnsi="Bookman Old Style"/>
        </w:rPr>
        <w:t>) y de Distribución Local (SDL).</w:t>
      </w:r>
    </w:p>
    <w:p w:rsidR="005D5727" w:rsidRPr="005D5727" w:rsidRDefault="005D5727" w:rsidP="005D5727">
      <w:pPr>
        <w:ind w:right="51"/>
        <w:jc w:val="both"/>
        <w:rPr>
          <w:rFonts w:ascii="Bookman Old Style" w:hAnsi="Bookman Old Style"/>
        </w:rPr>
      </w:pPr>
    </w:p>
    <w:p w:rsidR="00B536F6" w:rsidRDefault="00821375" w:rsidP="00CC4104">
      <w:pPr>
        <w:ind w:left="0" w:right="51"/>
        <w:jc w:val="both"/>
        <w:rPr>
          <w:rFonts w:ascii="Bookman Old Style" w:hAnsi="Bookman Old Style"/>
        </w:rPr>
      </w:pPr>
      <w:r>
        <w:rPr>
          <w:rFonts w:ascii="Bookman Old Style" w:hAnsi="Bookman Old Style"/>
        </w:rPr>
        <w:t>E</w:t>
      </w:r>
      <w:r w:rsidR="005D5727" w:rsidRPr="005D5727">
        <w:rPr>
          <w:rFonts w:ascii="Bookman Old Style" w:hAnsi="Bookman Old Style"/>
        </w:rPr>
        <w:t>n el numeral 11.2 del capítulo 11 del anexo general de la Resolución CREG 097 de 2008 se estableció la metodología de evaluación de la calidad del servicio en e</w:t>
      </w:r>
      <w:r>
        <w:rPr>
          <w:rFonts w:ascii="Bookman Old Style" w:hAnsi="Bookman Old Style"/>
        </w:rPr>
        <w:t>l Sistema de Distribución Local.</w:t>
      </w:r>
    </w:p>
    <w:p w:rsidR="00821375" w:rsidRPr="00821375" w:rsidRDefault="00821375" w:rsidP="00821375">
      <w:pPr>
        <w:ind w:right="51"/>
        <w:jc w:val="both"/>
        <w:rPr>
          <w:rFonts w:ascii="Bookman Old Style" w:hAnsi="Bookman Old Style"/>
        </w:rPr>
      </w:pPr>
    </w:p>
    <w:p w:rsidR="00821375" w:rsidRDefault="00821375" w:rsidP="00CC4104">
      <w:pPr>
        <w:ind w:left="0" w:right="51"/>
        <w:jc w:val="both"/>
        <w:rPr>
          <w:rFonts w:ascii="Bookman Old Style" w:hAnsi="Bookman Old Style"/>
        </w:rPr>
      </w:pPr>
      <w:r>
        <w:rPr>
          <w:rFonts w:ascii="Bookman Old Style" w:hAnsi="Bookman Old Style"/>
        </w:rPr>
        <w:t>M</w:t>
      </w:r>
      <w:r w:rsidRPr="00821375">
        <w:rPr>
          <w:rFonts w:ascii="Bookman Old Style" w:hAnsi="Bookman Old Style"/>
        </w:rPr>
        <w:t>ediante la Resolución CREG 1</w:t>
      </w:r>
      <w:r w:rsidR="007776CD">
        <w:rPr>
          <w:rFonts w:ascii="Bookman Old Style" w:hAnsi="Bookman Old Style"/>
        </w:rPr>
        <w:t>67</w:t>
      </w:r>
      <w:r w:rsidRPr="00821375">
        <w:rPr>
          <w:rFonts w:ascii="Bookman Old Style" w:hAnsi="Bookman Old Style"/>
        </w:rPr>
        <w:t xml:space="preserve"> de 2010, la Comisión aprobó</w:t>
      </w:r>
      <w:r w:rsidRPr="00821375">
        <w:t xml:space="preserve"> </w:t>
      </w:r>
      <w:r w:rsidRPr="00821375">
        <w:rPr>
          <w:rFonts w:ascii="Bookman Old Style" w:hAnsi="Bookman Old Style"/>
        </w:rPr>
        <w:t>los Índices de Ref</w:t>
      </w:r>
      <w:r w:rsidR="007776CD">
        <w:rPr>
          <w:rFonts w:ascii="Bookman Old Style" w:hAnsi="Bookman Old Style"/>
        </w:rPr>
        <w:t xml:space="preserve">erencia de la Discontinuidad de la </w:t>
      </w:r>
      <w:r w:rsidR="007776CD" w:rsidRPr="007776CD">
        <w:rPr>
          <w:rFonts w:ascii="Bookman Old Style" w:hAnsi="Bookman Old Style"/>
        </w:rPr>
        <w:t>Compañía Energética del Tolima S.A. E.S.P.</w:t>
      </w:r>
    </w:p>
    <w:p w:rsidR="005D5727" w:rsidRPr="00190ADA" w:rsidRDefault="005D5727" w:rsidP="005D5727">
      <w:pPr>
        <w:ind w:right="51"/>
        <w:jc w:val="both"/>
        <w:rPr>
          <w:rFonts w:ascii="Bookman Old Style" w:hAnsi="Bookman Old Style"/>
        </w:rPr>
      </w:pPr>
    </w:p>
    <w:p w:rsidR="00B536F6" w:rsidRPr="00190ADA" w:rsidRDefault="00822826" w:rsidP="00CC4104">
      <w:pPr>
        <w:ind w:left="0" w:right="51"/>
        <w:jc w:val="both"/>
        <w:rPr>
          <w:rFonts w:ascii="Bookman Old Style" w:hAnsi="Bookman Old Style"/>
        </w:rPr>
      </w:pPr>
      <w:r>
        <w:rPr>
          <w:rFonts w:ascii="Bookman Old Style" w:hAnsi="Bookman Old Style"/>
        </w:rPr>
        <w:t>M</w:t>
      </w:r>
      <w:r w:rsidR="00B536F6" w:rsidRPr="00190ADA">
        <w:rPr>
          <w:rFonts w:ascii="Bookman Old Style" w:hAnsi="Bookman Old Style"/>
        </w:rPr>
        <w:t xml:space="preserve">ediante radicado CREG </w:t>
      </w:r>
      <w:r w:rsidR="00E43CBE">
        <w:rPr>
          <w:rFonts w:ascii="Bookman Old Style" w:hAnsi="Bookman Old Style"/>
          <w:lang w:val="es-CO"/>
        </w:rPr>
        <w:t>E-201</w:t>
      </w:r>
      <w:r w:rsidR="007776CD">
        <w:rPr>
          <w:rFonts w:ascii="Bookman Old Style" w:hAnsi="Bookman Old Style"/>
          <w:lang w:val="es-CO"/>
        </w:rPr>
        <w:t>1</w:t>
      </w:r>
      <w:r w:rsidR="00E43CBE">
        <w:rPr>
          <w:rFonts w:ascii="Bookman Old Style" w:hAnsi="Bookman Old Style"/>
          <w:lang w:val="es-CO"/>
        </w:rPr>
        <w:t>-00</w:t>
      </w:r>
      <w:r w:rsidR="007776CD">
        <w:rPr>
          <w:rFonts w:ascii="Bookman Old Style" w:hAnsi="Bookman Old Style"/>
          <w:lang w:val="es-CO"/>
        </w:rPr>
        <w:t>0952</w:t>
      </w:r>
      <w:r w:rsidR="00B536F6" w:rsidRPr="00190ADA">
        <w:rPr>
          <w:rFonts w:ascii="Bookman Old Style" w:hAnsi="Bookman Old Style"/>
        </w:rPr>
        <w:t xml:space="preserve"> de fecha </w:t>
      </w:r>
      <w:r w:rsidR="007776CD">
        <w:rPr>
          <w:rFonts w:ascii="Bookman Old Style" w:hAnsi="Bookman Old Style"/>
        </w:rPr>
        <w:t>31</w:t>
      </w:r>
      <w:r w:rsidR="00B536F6" w:rsidRPr="00190ADA">
        <w:rPr>
          <w:rFonts w:ascii="Bookman Old Style" w:hAnsi="Bookman Old Style"/>
        </w:rPr>
        <w:t xml:space="preserve"> de </w:t>
      </w:r>
      <w:r w:rsidR="007776CD">
        <w:rPr>
          <w:rFonts w:ascii="Bookman Old Style" w:hAnsi="Bookman Old Style"/>
        </w:rPr>
        <w:t xml:space="preserve">enero </w:t>
      </w:r>
      <w:r w:rsidR="00B536F6" w:rsidRPr="00190ADA">
        <w:rPr>
          <w:rFonts w:ascii="Bookman Old Style" w:hAnsi="Bookman Old Style"/>
        </w:rPr>
        <w:t>de 20</w:t>
      </w:r>
      <w:r w:rsidR="00485A63">
        <w:rPr>
          <w:rFonts w:ascii="Bookman Old Style" w:hAnsi="Bookman Old Style"/>
        </w:rPr>
        <w:t>1</w:t>
      </w:r>
      <w:r w:rsidR="007776CD">
        <w:rPr>
          <w:rFonts w:ascii="Bookman Old Style" w:hAnsi="Bookman Old Style"/>
        </w:rPr>
        <w:t>1</w:t>
      </w:r>
      <w:r w:rsidR="00B536F6" w:rsidRPr="00190ADA">
        <w:rPr>
          <w:rFonts w:ascii="Bookman Old Style" w:hAnsi="Bookman Old Style"/>
        </w:rPr>
        <w:t>,</w:t>
      </w:r>
      <w:r w:rsidR="00485A63">
        <w:rPr>
          <w:rFonts w:ascii="Bookman Old Style" w:hAnsi="Bookman Old Style"/>
        </w:rPr>
        <w:t xml:space="preserve"> </w:t>
      </w:r>
      <w:r w:rsidR="007776CD">
        <w:rPr>
          <w:rFonts w:ascii="Bookman Old Style" w:hAnsi="Bookman Old Style"/>
        </w:rPr>
        <w:t xml:space="preserve">la </w:t>
      </w:r>
      <w:r w:rsidR="007776CD" w:rsidRPr="007776CD">
        <w:rPr>
          <w:rFonts w:ascii="Bookman Old Style" w:hAnsi="Bookman Old Style"/>
        </w:rPr>
        <w:t>Compañía Energética del Tolima S.A. E.S.P.</w:t>
      </w:r>
      <w:r w:rsidR="00B536F6" w:rsidRPr="007776CD">
        <w:rPr>
          <w:rFonts w:ascii="Bookman Old Style" w:hAnsi="Bookman Old Style"/>
        </w:rPr>
        <w:t>,</w:t>
      </w:r>
      <w:r w:rsidR="00B536F6" w:rsidRPr="00190ADA">
        <w:rPr>
          <w:rFonts w:ascii="Bookman Old Style" w:hAnsi="Bookman Old Style"/>
        </w:rPr>
        <w:t xml:space="preserve"> interpuso un recurso de reposic</w:t>
      </w:r>
      <w:r w:rsidR="00574558">
        <w:rPr>
          <w:rFonts w:ascii="Bookman Old Style" w:hAnsi="Bookman Old Style"/>
        </w:rPr>
        <w:t>ión contra la Resolución CREG 1</w:t>
      </w:r>
      <w:r w:rsidR="007776CD">
        <w:rPr>
          <w:rFonts w:ascii="Bookman Old Style" w:hAnsi="Bookman Old Style"/>
        </w:rPr>
        <w:t>67</w:t>
      </w:r>
      <w:r w:rsidR="00B536F6" w:rsidRPr="00190ADA">
        <w:rPr>
          <w:rFonts w:ascii="Bookman Old Style" w:hAnsi="Bookman Old Style"/>
        </w:rPr>
        <w:t xml:space="preserve"> de 20</w:t>
      </w:r>
      <w:r w:rsidR="00574558">
        <w:rPr>
          <w:rFonts w:ascii="Bookman Old Style" w:hAnsi="Bookman Old Style"/>
        </w:rPr>
        <w:t>10</w:t>
      </w:r>
      <w:r w:rsidR="00B536F6" w:rsidRPr="00190ADA">
        <w:rPr>
          <w:rFonts w:ascii="Bookman Old Style" w:hAnsi="Bookman Old Style"/>
        </w:rPr>
        <w:t xml:space="preserve">, con los siguientes argumentos: </w:t>
      </w:r>
    </w:p>
    <w:p w:rsidR="00B536F6" w:rsidRDefault="00B536F6" w:rsidP="001D07EF">
      <w:pPr>
        <w:pStyle w:val="Sangradetextonormal"/>
        <w:ind w:left="284" w:right="567" w:firstLine="424"/>
        <w:rPr>
          <w:rFonts w:ascii="Bookman Old Style" w:hAnsi="Bookman Old Style"/>
          <w:i/>
        </w:rPr>
      </w:pPr>
    </w:p>
    <w:p w:rsidR="00D42FEA" w:rsidRDefault="00403F64" w:rsidP="00D87B20">
      <w:pPr>
        <w:pStyle w:val="Sangradetextonormal"/>
        <w:ind w:left="284" w:right="567" w:firstLine="424"/>
        <w:jc w:val="both"/>
        <w:rPr>
          <w:rFonts w:ascii="Bookman Old Style" w:hAnsi="Bookman Old Style"/>
          <w:i/>
        </w:rPr>
      </w:pPr>
      <w:r w:rsidRPr="00403F64">
        <w:rPr>
          <w:rFonts w:ascii="Bookman Old Style" w:hAnsi="Bookman Old Style"/>
          <w:i/>
        </w:rPr>
        <w:t>“</w:t>
      </w:r>
      <w:r w:rsidR="00D87B20" w:rsidRPr="003E6FCC">
        <w:rPr>
          <w:rFonts w:ascii="Bookman Old Style" w:hAnsi="Bookman Old Style"/>
          <w:b/>
          <w:i/>
        </w:rPr>
        <w:t>1. PRETENSIÓN</w:t>
      </w:r>
    </w:p>
    <w:p w:rsidR="00D87B20" w:rsidRDefault="00D87B20" w:rsidP="00D87B20">
      <w:pPr>
        <w:pStyle w:val="Sangradetextonormal"/>
        <w:ind w:left="851" w:right="567"/>
        <w:jc w:val="both"/>
        <w:rPr>
          <w:rFonts w:ascii="Bookman Old Style" w:hAnsi="Bookman Old Style"/>
          <w:i/>
        </w:rPr>
      </w:pPr>
      <w:r>
        <w:rPr>
          <w:rFonts w:ascii="Bookman Old Style" w:hAnsi="Bookman Old Style"/>
          <w:i/>
        </w:rPr>
        <w:t>Se calcule el índice de referencia agrupado de la discontinuidad (IRAD</w:t>
      </w:r>
      <w:r w:rsidRPr="00D87B20">
        <w:rPr>
          <w:rFonts w:ascii="Bookman Old Style" w:hAnsi="Bookman Old Style"/>
          <w:i/>
          <w:vertAlign w:val="subscript"/>
        </w:rPr>
        <w:t>np</w:t>
      </w:r>
      <w:r>
        <w:rPr>
          <w:rFonts w:ascii="Bookman Old Style" w:hAnsi="Bookman Old Style"/>
          <w:i/>
        </w:rPr>
        <w:t xml:space="preserve">), el índice de referencia agrupado de la discontinuidad para </w:t>
      </w:r>
      <w:r>
        <w:rPr>
          <w:rFonts w:ascii="Bookman Old Style" w:hAnsi="Bookman Old Style"/>
          <w:i/>
        </w:rPr>
        <w:lastRenderedPageBreak/>
        <w:t>el año K (IRAD</w:t>
      </w:r>
      <w:r w:rsidRPr="00D87B20">
        <w:rPr>
          <w:rFonts w:ascii="Bookman Old Style" w:hAnsi="Bookman Old Style"/>
          <w:i/>
          <w:vertAlign w:val="subscript"/>
        </w:rPr>
        <w:t>K</w:t>
      </w:r>
      <w:r>
        <w:rPr>
          <w:rFonts w:ascii="Bookman Old Style" w:hAnsi="Bookman Old Style"/>
          <w:i/>
        </w:rPr>
        <w:t>) y el promedio de los índices de referencia de la discontinuidad por grupo de calidad (IRGP</w:t>
      </w:r>
      <w:r w:rsidRPr="00D87B20">
        <w:rPr>
          <w:rFonts w:ascii="Bookman Old Style" w:hAnsi="Bookman Old Style"/>
          <w:i/>
          <w:vertAlign w:val="subscript"/>
        </w:rPr>
        <w:t>n,q,p</w:t>
      </w:r>
      <w:r>
        <w:rPr>
          <w:rFonts w:ascii="Bookman Old Style" w:hAnsi="Bookman Old Style"/>
          <w:i/>
        </w:rPr>
        <w:t>) para el sistema de distribución local (SDL) operado por Enertolima S.A. ESP, con base en la información técnica de amarre cliente transformador contenida en el sistema de información técnico (SIT) de la compañía para el año 2006 y el primer semestre del año 2007.</w:t>
      </w:r>
    </w:p>
    <w:p w:rsidR="00D87B20" w:rsidRDefault="00D87B20" w:rsidP="00D87B20">
      <w:pPr>
        <w:pStyle w:val="Sangradetextonormal"/>
        <w:ind w:left="851" w:right="567"/>
        <w:jc w:val="both"/>
        <w:rPr>
          <w:rFonts w:ascii="Bookman Old Style" w:hAnsi="Bookman Old Style"/>
          <w:i/>
        </w:rPr>
      </w:pPr>
      <w:r>
        <w:rPr>
          <w:rFonts w:ascii="Bookman Old Style" w:hAnsi="Bookman Old Style"/>
          <w:i/>
        </w:rPr>
        <w:t>La anterior pretensión se eleva conforme los siguientes:</w:t>
      </w:r>
    </w:p>
    <w:p w:rsidR="00D107F5" w:rsidRDefault="00D107F5" w:rsidP="00D87B20">
      <w:pPr>
        <w:pStyle w:val="Sangradetextonormal"/>
        <w:ind w:left="851" w:right="567"/>
        <w:jc w:val="both"/>
        <w:rPr>
          <w:rFonts w:ascii="Bookman Old Style" w:hAnsi="Bookman Old Style"/>
          <w:i/>
        </w:rPr>
      </w:pPr>
    </w:p>
    <w:p w:rsidR="00D87B20" w:rsidRPr="003E6FCC" w:rsidRDefault="00D87B20" w:rsidP="00D87B20">
      <w:pPr>
        <w:pStyle w:val="Sangradetextonormal"/>
        <w:ind w:left="851" w:right="567"/>
        <w:jc w:val="both"/>
        <w:rPr>
          <w:rFonts w:ascii="Bookman Old Style" w:hAnsi="Bookman Old Style"/>
          <w:b/>
          <w:i/>
        </w:rPr>
      </w:pPr>
      <w:r w:rsidRPr="003E6FCC">
        <w:rPr>
          <w:rFonts w:ascii="Bookman Old Style" w:hAnsi="Bookman Old Style"/>
          <w:b/>
          <w:i/>
        </w:rPr>
        <w:t>2. FUNDAMENTOS</w:t>
      </w:r>
    </w:p>
    <w:p w:rsidR="00D87B20" w:rsidRPr="003E6FCC" w:rsidRDefault="00D87B20" w:rsidP="00D87B20">
      <w:pPr>
        <w:pStyle w:val="Sangradetextonormal"/>
        <w:ind w:left="851" w:right="567"/>
        <w:jc w:val="both"/>
        <w:rPr>
          <w:rFonts w:ascii="Bookman Old Style" w:hAnsi="Bookman Old Style"/>
          <w:b/>
          <w:i/>
        </w:rPr>
      </w:pPr>
      <w:r w:rsidRPr="003E6FCC">
        <w:rPr>
          <w:rFonts w:ascii="Bookman Old Style" w:hAnsi="Bookman Old Style"/>
          <w:b/>
          <w:i/>
        </w:rPr>
        <w:t>2.1 Fundamentos de Hecho</w:t>
      </w:r>
    </w:p>
    <w:p w:rsidR="00D87B20" w:rsidRDefault="00D87B20" w:rsidP="00D87B20">
      <w:pPr>
        <w:pStyle w:val="Sangradetextonormal"/>
        <w:ind w:left="851" w:right="567"/>
        <w:jc w:val="both"/>
        <w:rPr>
          <w:rFonts w:ascii="Bookman Old Style" w:hAnsi="Bookman Old Style"/>
          <w:i/>
        </w:rPr>
      </w:pPr>
      <w:r>
        <w:rPr>
          <w:rFonts w:ascii="Bookman Old Style" w:hAnsi="Bookman Old Style"/>
          <w:i/>
        </w:rPr>
        <w:t>(…)</w:t>
      </w:r>
    </w:p>
    <w:p w:rsidR="00D254E6" w:rsidRDefault="00D254E6" w:rsidP="00D87B20">
      <w:pPr>
        <w:pStyle w:val="Sangradetextonormal"/>
        <w:ind w:left="851" w:right="567"/>
        <w:jc w:val="both"/>
        <w:rPr>
          <w:rFonts w:ascii="Bookman Old Style" w:hAnsi="Bookman Old Style"/>
          <w:i/>
        </w:rPr>
      </w:pPr>
      <w:r>
        <w:rPr>
          <w:rFonts w:ascii="Bookman Old Style" w:hAnsi="Bookman Old Style"/>
          <w:i/>
        </w:rPr>
        <w:t>La resolución CREG No 043 de 2010, en sus considerandos dispone que en un esquema de incentivos y compensaciones se requiere garantizar un nivel alto de confiabilidad en la información para lo cual es indispensable que la información empleada por la CREG para aprobar los índices no presente inconsistencias ni diferencias con la realidad.</w:t>
      </w:r>
    </w:p>
    <w:p w:rsidR="00D87B20" w:rsidRDefault="00D87B20" w:rsidP="00D87B20">
      <w:pPr>
        <w:pStyle w:val="Sangradetextonormal"/>
        <w:ind w:left="851" w:right="567"/>
        <w:jc w:val="both"/>
        <w:rPr>
          <w:rFonts w:ascii="Bookman Old Style" w:hAnsi="Bookman Old Style"/>
          <w:i/>
        </w:rPr>
      </w:pPr>
      <w:r>
        <w:rPr>
          <w:rFonts w:ascii="Bookman Old Style" w:hAnsi="Bookman Old Style"/>
          <w:i/>
        </w:rPr>
        <w:t>La Compañía Energética del Tolima S.A. ESP, actuando conforme a los establecido en el capítulo 11 del Anexo General  de la Resolución CREG 097 de 2008</w:t>
      </w:r>
      <w:r w:rsidR="00D254E6">
        <w:rPr>
          <w:rFonts w:ascii="Bookman Old Style" w:hAnsi="Bookman Old Style"/>
          <w:i/>
        </w:rPr>
        <w:t>, desde el mismo momento de entrada en vigencia de la mencionada resolución ha venido trabajando intensamente en el cumplimiento de los requisitos exigidos para la entrada en aplicación del esquema de calidad para el STR y para el SDL.</w:t>
      </w:r>
    </w:p>
    <w:p w:rsidR="00D254E6" w:rsidRDefault="00D254E6" w:rsidP="00D87B20">
      <w:pPr>
        <w:pStyle w:val="Sangradetextonormal"/>
        <w:ind w:left="851" w:right="567"/>
        <w:jc w:val="both"/>
        <w:rPr>
          <w:rFonts w:ascii="Bookman Old Style" w:hAnsi="Bookman Old Style"/>
          <w:i/>
        </w:rPr>
      </w:pPr>
      <w:r>
        <w:rPr>
          <w:rFonts w:ascii="Bookman Old Style" w:hAnsi="Bookman Old Style"/>
          <w:i/>
        </w:rPr>
        <w:t>En aras de consolidar su base de datos de inventario, comenzó desde finales del año 2006 el proceso de levantamiento y digitalización de la información de inventario de redes de los niveles de tensión 1, 2, 3 y 4 incluyendo el levantamiento del vínculo cliente-transformador-circuito y la información de todas las subestaciones de sus sistema; el proyecto de gran magnitud terminó en el mes de junio del año 2008 y logró consolidar el 100% de la información de inventario y su digitalización</w:t>
      </w:r>
    </w:p>
    <w:p w:rsidR="00D254E6" w:rsidRDefault="00D254E6" w:rsidP="00D87B20">
      <w:pPr>
        <w:pStyle w:val="Sangradetextonormal"/>
        <w:ind w:left="851" w:right="567"/>
        <w:jc w:val="both"/>
        <w:rPr>
          <w:rFonts w:ascii="Bookman Old Style" w:hAnsi="Bookman Old Style"/>
          <w:i/>
        </w:rPr>
      </w:pPr>
      <w:r>
        <w:rPr>
          <w:rFonts w:ascii="Bookman Old Style" w:hAnsi="Bookman Old Style"/>
          <w:i/>
        </w:rPr>
        <w:t>Actualmente Enertolima cuanta con un sistema de información georreferenciado – SIG, de todos sus activos y la información actualizada del vínculo cliente-transformador-circuito, (…)</w:t>
      </w:r>
    </w:p>
    <w:p w:rsidR="00D254E6" w:rsidRDefault="00D254E6" w:rsidP="00D87B20">
      <w:pPr>
        <w:pStyle w:val="Sangradetextonormal"/>
        <w:ind w:left="851" w:right="567"/>
        <w:jc w:val="both"/>
        <w:rPr>
          <w:rFonts w:ascii="Bookman Old Style" w:hAnsi="Bookman Old Style"/>
          <w:i/>
        </w:rPr>
      </w:pPr>
      <w:r>
        <w:rPr>
          <w:rFonts w:ascii="Bookman Old Style" w:hAnsi="Bookman Old Style"/>
          <w:i/>
        </w:rPr>
        <w:t xml:space="preserve">Como es de su conocimiento, la Compañía Energética del Tolima inició su operación sólo hasta el 13 de agosto de 2003 tras la liquidación ordenada por la Superintendencia de Servicios Públicos de la Electrificadora del Tolima S.A. E.S.P., quien hasta esa fecha venia asumiendo la prestación del servicio en el departamento del Tolima con una infraestructura que además de ser obsoleta </w:t>
      </w:r>
      <w:r w:rsidR="002F38FF">
        <w:rPr>
          <w:rFonts w:ascii="Bookman Old Style" w:hAnsi="Bookman Old Style"/>
          <w:i/>
        </w:rPr>
        <w:t>se encontraba en pésimo estado.</w:t>
      </w:r>
    </w:p>
    <w:p w:rsidR="002F38FF" w:rsidRDefault="002F38FF" w:rsidP="00D87B20">
      <w:pPr>
        <w:pStyle w:val="Sangradetextonormal"/>
        <w:ind w:left="851" w:right="567"/>
        <w:jc w:val="both"/>
        <w:rPr>
          <w:rFonts w:ascii="Bookman Old Style" w:hAnsi="Bookman Old Style"/>
          <w:i/>
        </w:rPr>
      </w:pPr>
      <w:r>
        <w:rPr>
          <w:rFonts w:ascii="Bookman Old Style" w:hAnsi="Bookman Old Style"/>
          <w:i/>
        </w:rPr>
        <w:t xml:space="preserve">Frente a la apremiante necesidad de garantizar la continuidad del servicio, Enertolima se constituyó con un capital social mínimo, el cual fue aumentando mediante un proceso de capitalización que finalmente tuvo lugar hasta el 4 de mayo de 2006, tras las múltiples </w:t>
      </w:r>
      <w:r>
        <w:rPr>
          <w:rFonts w:ascii="Bookman Old Style" w:hAnsi="Bookman Old Style"/>
          <w:i/>
        </w:rPr>
        <w:lastRenderedPageBreak/>
        <w:t>dificultades, suspensiones y aplazamientos que tuvieron lugar. Por su parte y hasta la fecha indicada, Enertolima operó u</w:t>
      </w:r>
      <w:r w:rsidR="00E85F2A">
        <w:rPr>
          <w:rFonts w:ascii="Bookman Old Style" w:hAnsi="Bookman Old Style"/>
          <w:i/>
        </w:rPr>
        <w:t>na</w:t>
      </w:r>
      <w:r>
        <w:rPr>
          <w:rFonts w:ascii="Bookman Old Style" w:hAnsi="Bookman Old Style"/>
          <w:i/>
        </w:rPr>
        <w:t xml:space="preserve"> red que no era de su propiedad, y a la cual por obvias razones y por decisión del alto gobierno no le podía realizar inversiones o mejoras significativas, sino simplemente las adecuaciones que fueran totalmente necesarias para asegurar con median calidad la prestación del servicio en ese departamento</w:t>
      </w:r>
    </w:p>
    <w:p w:rsidR="002F38FF" w:rsidRDefault="002F38FF" w:rsidP="00D87B20">
      <w:pPr>
        <w:pStyle w:val="Sangradetextonormal"/>
        <w:ind w:left="851" w:right="567"/>
        <w:jc w:val="both"/>
        <w:rPr>
          <w:rFonts w:ascii="Bookman Old Style" w:hAnsi="Bookman Old Style"/>
          <w:i/>
        </w:rPr>
      </w:pPr>
      <w:r>
        <w:rPr>
          <w:rFonts w:ascii="Bookman Old Style" w:hAnsi="Bookman Old Style"/>
          <w:i/>
        </w:rPr>
        <w:t>Así las cosas, sólo hasta el año 2007, Enertolima pudo desarrollar un plan de inversión que tuvo como prioridad realizar mantenimientos, adquisiciones, remodelaciones, repotenciaciones, ampliaciones y correcciones en equipos o redes necesarios para la prestación del servicio.</w:t>
      </w:r>
    </w:p>
    <w:p w:rsidR="002F38FF" w:rsidRDefault="002F38FF" w:rsidP="00D87B20">
      <w:pPr>
        <w:pStyle w:val="Sangradetextonormal"/>
        <w:ind w:left="851" w:right="567"/>
        <w:jc w:val="both"/>
        <w:rPr>
          <w:rFonts w:ascii="Bookman Old Style" w:hAnsi="Bookman Old Style"/>
          <w:i/>
        </w:rPr>
      </w:pPr>
      <w:r>
        <w:rPr>
          <w:rFonts w:ascii="Bookman Old Style" w:hAnsi="Bookman Old Style"/>
          <w:i/>
        </w:rPr>
        <w:t>En ejecuci</w:t>
      </w:r>
      <w:r w:rsidR="00587B93">
        <w:rPr>
          <w:rFonts w:ascii="Bookman Old Style" w:hAnsi="Bookman Old Style"/>
          <w:i/>
        </w:rPr>
        <w:t>ón de est</w:t>
      </w:r>
      <w:r>
        <w:rPr>
          <w:rFonts w:ascii="Bookman Old Style" w:hAnsi="Bookman Old Style"/>
          <w:i/>
        </w:rPr>
        <w:t xml:space="preserve">e plan de inversión y de las demás actividades desarrolladas para mejorar la calidad del servicio, se encontró que la información del amarre cliente transformador para el año 2006, presenta incongruencias con la información suministrada por ELECTROLIMA en su época, que no hace posible determinar los indicadores mencionados </w:t>
      </w:r>
      <w:r w:rsidR="003E6FCC">
        <w:rPr>
          <w:rFonts w:ascii="Bookman Old Style" w:hAnsi="Bookman Old Style"/>
          <w:i/>
        </w:rPr>
        <w:t>de tal manera que se asegure su consistencia frente a la situación real de la calidad del servicio prestado por Enertolima, situación que ocasiona ineludiblemente que los parámetros utilizados para el cálculo de los índices de referencia agrupado de la discontinuidad sean inexactos y alejados de la realidad de la compañía.</w:t>
      </w:r>
    </w:p>
    <w:p w:rsidR="003E6FCC" w:rsidRDefault="003E6FCC" w:rsidP="00D87B20">
      <w:pPr>
        <w:pStyle w:val="Sangradetextonormal"/>
        <w:ind w:left="851" w:right="567"/>
        <w:jc w:val="both"/>
        <w:rPr>
          <w:rFonts w:ascii="Bookman Old Style" w:hAnsi="Bookman Old Style"/>
          <w:i/>
        </w:rPr>
      </w:pPr>
      <w:r w:rsidRPr="003E6FCC">
        <w:rPr>
          <w:rFonts w:ascii="Bookman Old Style" w:hAnsi="Bookman Old Style"/>
          <w:i/>
        </w:rPr>
        <w:t>(…)</w:t>
      </w:r>
    </w:p>
    <w:p w:rsidR="003E6FCC" w:rsidRDefault="003E6FCC" w:rsidP="00D87B20">
      <w:pPr>
        <w:pStyle w:val="Sangradetextonormal"/>
        <w:ind w:left="851" w:right="567"/>
        <w:jc w:val="both"/>
        <w:rPr>
          <w:rFonts w:ascii="Bookman Old Style" w:hAnsi="Bookman Old Style"/>
          <w:i/>
        </w:rPr>
      </w:pPr>
      <w:r>
        <w:rPr>
          <w:rFonts w:ascii="Bookman Old Style" w:hAnsi="Bookman Old Style"/>
          <w:i/>
        </w:rPr>
        <w:t>Para brindar una mayor confiabilidad en la información de los usuarios asociados a los transformadores para el año 2006 y 2007, la compañía ha iniciado el trámite pertinente ante la superintendencia de servicios públicos domiciliarios para actualizar la información de los usuarios reportados en los formatos B1, B2, C1 y C2 del año 2007 [sic] y primer semestre del año 2007 con el vínculo cliente transformador real</w:t>
      </w:r>
    </w:p>
    <w:p w:rsidR="003E6FCC" w:rsidRDefault="003E6FCC" w:rsidP="00D87B20">
      <w:pPr>
        <w:pStyle w:val="Sangradetextonormal"/>
        <w:ind w:left="851" w:right="567"/>
        <w:jc w:val="both"/>
        <w:rPr>
          <w:rFonts w:ascii="Bookman Old Style" w:hAnsi="Bookman Old Style"/>
          <w:b/>
          <w:i/>
        </w:rPr>
      </w:pPr>
      <w:r w:rsidRPr="003E6FCC">
        <w:rPr>
          <w:rFonts w:ascii="Bookman Old Style" w:hAnsi="Bookman Old Style"/>
          <w:b/>
          <w:i/>
        </w:rPr>
        <w:t>2.2 Fundamentos de derecho</w:t>
      </w:r>
    </w:p>
    <w:p w:rsidR="003E6FCC" w:rsidRPr="003E6FCC" w:rsidRDefault="003E6FCC" w:rsidP="00D87B20">
      <w:pPr>
        <w:pStyle w:val="Sangradetextonormal"/>
        <w:ind w:left="851" w:right="567"/>
        <w:jc w:val="both"/>
        <w:rPr>
          <w:rFonts w:ascii="Bookman Old Style" w:hAnsi="Bookman Old Style"/>
          <w:i/>
        </w:rPr>
      </w:pPr>
      <w:r w:rsidRPr="003E6FCC">
        <w:rPr>
          <w:rFonts w:ascii="Bookman Old Style" w:hAnsi="Bookman Old Style"/>
          <w:i/>
        </w:rPr>
        <w:t>(…)</w:t>
      </w:r>
    </w:p>
    <w:p w:rsidR="003E6FCC" w:rsidRDefault="003E6FCC" w:rsidP="00D87B20">
      <w:pPr>
        <w:pStyle w:val="Sangradetextonormal"/>
        <w:ind w:left="851" w:right="567"/>
        <w:jc w:val="both"/>
        <w:rPr>
          <w:rFonts w:ascii="Bookman Old Style" w:hAnsi="Bookman Old Style"/>
          <w:i/>
        </w:rPr>
      </w:pPr>
      <w:r>
        <w:rPr>
          <w:rFonts w:ascii="Bookman Old Style" w:hAnsi="Bookman Old Style"/>
          <w:i/>
        </w:rPr>
        <w:t>(…) cuando el regulador no tiene la información necesaria o parte de una información equivocada para el cálculo de cualquier variable, el resultado que se establece en el cálculo de la remuneración a la que tiene derecho el prestador del servicio, resulta inadecuada y en ese mismo sentido, ineficaz frente a los objetivos propuestos.</w:t>
      </w:r>
    </w:p>
    <w:p w:rsidR="003E6FCC" w:rsidRDefault="00F115FA" w:rsidP="00D87B20">
      <w:pPr>
        <w:pStyle w:val="Sangradetextonormal"/>
        <w:ind w:left="851" w:right="567"/>
        <w:jc w:val="both"/>
        <w:rPr>
          <w:rFonts w:ascii="Bookman Old Style" w:hAnsi="Bookman Old Style"/>
          <w:i/>
        </w:rPr>
      </w:pPr>
      <w:r>
        <w:rPr>
          <w:rFonts w:ascii="Bookman Old Style" w:hAnsi="Bookman Old Style"/>
          <w:i/>
        </w:rPr>
        <w:t>En el caso que nos ocupa, tal y como se desprende de los fundamentos de hecho, el regulador recurrió a una fuente oficial como es el Sistema Único de Información, administ</w:t>
      </w:r>
      <w:r w:rsidR="00587B93">
        <w:rPr>
          <w:rFonts w:ascii="Bookman Old Style" w:hAnsi="Bookman Old Style"/>
          <w:i/>
        </w:rPr>
        <w:t>r</w:t>
      </w:r>
      <w:r>
        <w:rPr>
          <w:rFonts w:ascii="Bookman Old Style" w:hAnsi="Bookman Old Style"/>
          <w:i/>
        </w:rPr>
        <w:t>ado por la Superintendencia de Servicios Públicos Domiciliarios, que en estricto sentido es una fuente válida, y cuyo objetivo era precisamente darle herramientas a los organismos de regulación y de control y vigilancia, para el cumplimiento de sus funciones.</w:t>
      </w:r>
    </w:p>
    <w:p w:rsidR="00F115FA" w:rsidRDefault="00F115FA" w:rsidP="00D87B20">
      <w:pPr>
        <w:pStyle w:val="Sangradetextonormal"/>
        <w:ind w:left="851" w:right="567"/>
        <w:jc w:val="both"/>
        <w:rPr>
          <w:rFonts w:ascii="Bookman Old Style" w:hAnsi="Bookman Old Style"/>
          <w:i/>
        </w:rPr>
      </w:pPr>
      <w:r>
        <w:rPr>
          <w:rFonts w:ascii="Bookman Old Style" w:hAnsi="Bookman Old Style"/>
          <w:i/>
        </w:rPr>
        <w:t xml:space="preserve">Sin embargo, con independencia de la naturaleza jurídica de la fuente de información, los datos que se pueden capturar del Sistema </w:t>
      </w:r>
      <w:r>
        <w:rPr>
          <w:rFonts w:ascii="Bookman Old Style" w:hAnsi="Bookman Old Style"/>
          <w:i/>
        </w:rPr>
        <w:lastRenderedPageBreak/>
        <w:t>Único de Información, son en estricto sentido, una fuente secundaria, siendo la fuente primaria, los datos reales de las empresas, con los cuales se cargan los datos a las bases definidas por el organismo de control</w:t>
      </w:r>
      <w:r w:rsidR="00587B93">
        <w:rPr>
          <w:rFonts w:ascii="Bookman Old Style" w:hAnsi="Bookman Old Style"/>
          <w:i/>
        </w:rPr>
        <w:t>.</w:t>
      </w:r>
    </w:p>
    <w:p w:rsidR="00587B93" w:rsidRDefault="00587B93" w:rsidP="00D87B20">
      <w:pPr>
        <w:pStyle w:val="Sangradetextonormal"/>
        <w:ind w:left="851" w:right="567"/>
        <w:jc w:val="both"/>
        <w:rPr>
          <w:rFonts w:ascii="Bookman Old Style" w:hAnsi="Bookman Old Style"/>
          <w:i/>
        </w:rPr>
      </w:pPr>
      <w:r>
        <w:rPr>
          <w:rFonts w:ascii="Bookman Old Style" w:hAnsi="Bookman Old Style"/>
          <w:i/>
        </w:rPr>
        <w:t>El carácter de fuente secundaria, implica que exista necesariamente una fuente real de información de la cual se alimenta, a la que se puede recurrir para efectos de determinar cualquier discrepancia que pudiera existir.</w:t>
      </w:r>
    </w:p>
    <w:p w:rsidR="00587B93" w:rsidRDefault="00587B93" w:rsidP="00D87B20">
      <w:pPr>
        <w:pStyle w:val="Sangradetextonormal"/>
        <w:ind w:left="851" w:right="567"/>
        <w:jc w:val="both"/>
        <w:rPr>
          <w:rFonts w:ascii="Bookman Old Style" w:hAnsi="Bookman Old Style"/>
          <w:i/>
        </w:rPr>
      </w:pPr>
      <w:r>
        <w:rPr>
          <w:rFonts w:ascii="Bookman Old Style" w:hAnsi="Bookman Old Style"/>
          <w:i/>
        </w:rPr>
        <w:t>Si bien es claro que la metodología establece que el regulador recurriría al Sistema Único de Información, es también claro que el regulador tiene amplias facultades, para solicitar la información adicional que requiera tanto dentro del proceso del cálculo  de los índices de referencia IRAD, como dentro del ejercicio de los derechos de contradicción que se ejercen a través del presente documento. En ese sentido, el artículo 73.26 de la ley 142 de 1994, señala lao siguiente:</w:t>
      </w:r>
    </w:p>
    <w:p w:rsidR="00587B93" w:rsidRDefault="00587B93" w:rsidP="00D87B20">
      <w:pPr>
        <w:pStyle w:val="Sangradetextonormal"/>
        <w:ind w:left="851" w:right="567"/>
        <w:jc w:val="both"/>
        <w:rPr>
          <w:rFonts w:ascii="Bookman Old Style" w:hAnsi="Bookman Old Style"/>
          <w:i/>
        </w:rPr>
      </w:pPr>
      <w:r>
        <w:rPr>
          <w:rFonts w:ascii="Bookman Old Style" w:hAnsi="Bookman Old Style"/>
          <w:i/>
        </w:rPr>
        <w:t>“73.26. Todas las demás que le asigne la ley y las facultades previstas en ella que no se hayan atribuido a una autoridad específica.</w:t>
      </w:r>
    </w:p>
    <w:p w:rsidR="00587B93" w:rsidRDefault="00587B93" w:rsidP="00D87B20">
      <w:pPr>
        <w:pStyle w:val="Sangradetextonormal"/>
        <w:ind w:left="851" w:right="567"/>
        <w:jc w:val="both"/>
        <w:rPr>
          <w:rFonts w:ascii="Bookman Old Style" w:hAnsi="Bookman Old Style"/>
          <w:i/>
        </w:rPr>
      </w:pPr>
      <w:r>
        <w:rPr>
          <w:rFonts w:ascii="Bookman Old Style" w:hAnsi="Bookman Old Style"/>
          <w:i/>
        </w:rPr>
        <w:t xml:space="preserve">Salvo cuando esta Ley diga lo contario en forma explícita, no se requiere autorización </w:t>
      </w:r>
      <w:r w:rsidR="00F05C63">
        <w:rPr>
          <w:rFonts w:ascii="Bookman Old Style" w:hAnsi="Bookman Old Style"/>
          <w:i/>
        </w:rPr>
        <w:t xml:space="preserve">previa de las comisiones para adelantar ninguna actividad o contrato relacionado con los servicios públicos; ni el envío rutinario de la información. </w:t>
      </w:r>
      <w:r w:rsidR="00F05C63" w:rsidRPr="00F05C63">
        <w:rPr>
          <w:rFonts w:ascii="Bookman Old Style" w:hAnsi="Bookman Old Style"/>
          <w:i/>
          <w:u w:val="single"/>
        </w:rPr>
        <w:t>Pero las comisiones, tendrán facultad selectiva de pedir información amplia, exacta, veraz y oportuna a quienes prestan los servicios públicos a los que esta Ley se refiere.</w:t>
      </w:r>
      <w:r w:rsidR="00F05C63">
        <w:rPr>
          <w:rFonts w:ascii="Bookman Old Style" w:hAnsi="Bookman Old Style"/>
          <w:i/>
          <w:u w:val="single"/>
        </w:rPr>
        <w:t xml:space="preserve"> (</w:t>
      </w:r>
      <w:r w:rsidR="00F05C63">
        <w:rPr>
          <w:rFonts w:ascii="Bookman Old Style" w:hAnsi="Bookman Old Style"/>
          <w:i/>
        </w:rPr>
        <w:t>…)”</w:t>
      </w:r>
    </w:p>
    <w:p w:rsidR="00F05C63" w:rsidRDefault="00F05C63" w:rsidP="00D87B20">
      <w:pPr>
        <w:pStyle w:val="Sangradetextonormal"/>
        <w:ind w:left="851" w:right="567"/>
        <w:jc w:val="both"/>
        <w:rPr>
          <w:rFonts w:ascii="Bookman Old Style" w:hAnsi="Bookman Old Style"/>
          <w:i/>
        </w:rPr>
      </w:pPr>
      <w:r>
        <w:rPr>
          <w:rFonts w:ascii="Bookman Old Style" w:hAnsi="Bookman Old Style"/>
          <w:i/>
        </w:rPr>
        <w:t>De la misma manera, los artículos 108 y 109 de la ley 142 de 1994, señalan la forma como el regulador puede disminuir la asimetría de información que le asiste, a través del decreto de pruebas como aquellas que se solicitarán dentro del presente documento.</w:t>
      </w:r>
    </w:p>
    <w:p w:rsidR="00F05C63" w:rsidRDefault="00F05C63" w:rsidP="00D87B20">
      <w:pPr>
        <w:pStyle w:val="Sangradetextonormal"/>
        <w:ind w:left="851" w:right="567"/>
        <w:jc w:val="both"/>
        <w:rPr>
          <w:rFonts w:ascii="Bookman Old Style" w:hAnsi="Bookman Old Style"/>
          <w:i/>
        </w:rPr>
      </w:pPr>
      <w:r>
        <w:rPr>
          <w:rFonts w:ascii="Bookman Old Style" w:hAnsi="Bookman Old Style"/>
          <w:i/>
        </w:rPr>
        <w:t>Como puede resultar evidente, los índices de referencia contenidos en la resolución 167 de 2010, no reflejan la realidad de la empresa y por tanto, no retribuyen de manera adecuada a la misma, conforme a los parámetros establecidos por el mismo regulador.</w:t>
      </w:r>
    </w:p>
    <w:p w:rsidR="00F05C63" w:rsidRDefault="00F05C63" w:rsidP="00D87B20">
      <w:pPr>
        <w:pStyle w:val="Sangradetextonormal"/>
        <w:ind w:left="851" w:right="567"/>
        <w:jc w:val="both"/>
        <w:rPr>
          <w:rFonts w:ascii="Bookman Old Style" w:hAnsi="Bookman Old Style"/>
          <w:i/>
        </w:rPr>
      </w:pPr>
      <w:r>
        <w:rPr>
          <w:rFonts w:ascii="Bookman Old Style" w:hAnsi="Bookman Old Style"/>
          <w:i/>
        </w:rPr>
        <w:t>Desde el punto de vista de ingresos, el error en la fuente de información que utilizó el regulador, tiene implicaciones, al comparar los cálculos la Resolución 167 de 2010 con los que obtendría si la fuente información hubiese reflejado de manera adecuada, los datos reales del amarre cliente transformador.</w:t>
      </w:r>
    </w:p>
    <w:p w:rsidR="00F05C63" w:rsidRDefault="00F05C63" w:rsidP="00D87B20">
      <w:pPr>
        <w:pStyle w:val="Sangradetextonormal"/>
        <w:ind w:left="851" w:right="567"/>
        <w:jc w:val="both"/>
        <w:rPr>
          <w:rFonts w:ascii="Bookman Old Style" w:hAnsi="Bookman Old Style"/>
          <w:i/>
        </w:rPr>
      </w:pPr>
      <w:r>
        <w:rPr>
          <w:rFonts w:ascii="Bookman Old Style" w:hAnsi="Bookman Old Style"/>
          <w:i/>
        </w:rPr>
        <w:t>(…)</w:t>
      </w:r>
    </w:p>
    <w:p w:rsidR="00D107F5" w:rsidRDefault="00D107F5" w:rsidP="00D87B20">
      <w:pPr>
        <w:pStyle w:val="Sangradetextonormal"/>
        <w:ind w:left="851" w:right="567"/>
        <w:jc w:val="both"/>
        <w:rPr>
          <w:rFonts w:ascii="Bookman Old Style" w:hAnsi="Bookman Old Style"/>
          <w:i/>
        </w:rPr>
      </w:pPr>
    </w:p>
    <w:p w:rsidR="00F05C63" w:rsidRPr="00F05C63" w:rsidRDefault="00F05C63" w:rsidP="00D87B20">
      <w:pPr>
        <w:pStyle w:val="Sangradetextonormal"/>
        <w:ind w:left="851" w:right="567"/>
        <w:jc w:val="both"/>
        <w:rPr>
          <w:rFonts w:ascii="Bookman Old Style" w:hAnsi="Bookman Old Style"/>
          <w:b/>
          <w:i/>
          <w:lang w:val="es-CO"/>
        </w:rPr>
      </w:pPr>
      <w:r w:rsidRPr="00F05C63">
        <w:rPr>
          <w:rFonts w:ascii="Bookman Old Style" w:hAnsi="Bookman Old Style"/>
          <w:b/>
          <w:i/>
        </w:rPr>
        <w:t>4. PRUEBAS</w:t>
      </w:r>
    </w:p>
    <w:p w:rsidR="00F05C63" w:rsidRDefault="00F05C63" w:rsidP="00D87B20">
      <w:pPr>
        <w:pStyle w:val="Sangradetextonormal"/>
        <w:ind w:left="851" w:right="567"/>
        <w:jc w:val="both"/>
        <w:rPr>
          <w:rFonts w:ascii="Bookman Old Style" w:hAnsi="Bookman Old Style"/>
          <w:i/>
          <w:lang w:val="es-CO"/>
        </w:rPr>
      </w:pPr>
      <w:r>
        <w:rPr>
          <w:rFonts w:ascii="Bookman Old Style" w:hAnsi="Bookman Old Style"/>
          <w:i/>
          <w:lang w:val="es-CO"/>
        </w:rPr>
        <w:t>Con base en lo establecido en los artículos 56, 57 y 58 del código contencioso administrativo, solicito la práctica de las siguientes pruebas:</w:t>
      </w:r>
    </w:p>
    <w:p w:rsidR="00D107F5" w:rsidRPr="00F05C63" w:rsidRDefault="00D107F5" w:rsidP="00D87B20">
      <w:pPr>
        <w:pStyle w:val="Sangradetextonormal"/>
        <w:ind w:left="851" w:right="567"/>
        <w:jc w:val="both"/>
        <w:rPr>
          <w:rFonts w:ascii="Bookman Old Style" w:hAnsi="Bookman Old Style"/>
          <w:i/>
          <w:lang w:val="es-CO"/>
        </w:rPr>
      </w:pPr>
    </w:p>
    <w:p w:rsidR="003E6FCC" w:rsidRDefault="003B11C0" w:rsidP="00D87B20">
      <w:pPr>
        <w:pStyle w:val="Sangradetextonormal"/>
        <w:ind w:left="851" w:right="567"/>
        <w:jc w:val="both"/>
        <w:rPr>
          <w:rFonts w:ascii="Bookman Old Style" w:hAnsi="Bookman Old Style"/>
          <w:b/>
          <w:i/>
        </w:rPr>
      </w:pPr>
      <w:r>
        <w:rPr>
          <w:rFonts w:ascii="Bookman Old Style" w:hAnsi="Bookman Old Style"/>
          <w:b/>
          <w:i/>
        </w:rPr>
        <w:lastRenderedPageBreak/>
        <w:t>4.1 Testimoniales</w:t>
      </w:r>
    </w:p>
    <w:p w:rsidR="003B11C0" w:rsidRDefault="003B11C0" w:rsidP="00D87B20">
      <w:pPr>
        <w:pStyle w:val="Sangradetextonormal"/>
        <w:ind w:left="851" w:right="567"/>
        <w:jc w:val="both"/>
        <w:rPr>
          <w:rFonts w:ascii="Bookman Old Style" w:hAnsi="Bookman Old Style"/>
          <w:i/>
        </w:rPr>
      </w:pPr>
      <w:r>
        <w:rPr>
          <w:rFonts w:ascii="Bookman Old Style" w:hAnsi="Bookman Old Style"/>
          <w:i/>
        </w:rPr>
        <w:t xml:space="preserve">Ruego se decrete y se recepcione el testimonio de los Ingenieros José Alexander Rincón Guerrero (…) quien en la actualidad se desempeña como Director de Ingeniería de Enertolima, Mónica Johana Gualdrón Villarraga (…) quien se desempeña como Directora de Operación y Mantenimiento y José Julián </w:t>
      </w:r>
      <w:r w:rsidR="00E85F2A">
        <w:rPr>
          <w:rFonts w:ascii="Bookman Old Style" w:hAnsi="Bookman Old Style"/>
          <w:i/>
        </w:rPr>
        <w:t>López</w:t>
      </w:r>
      <w:r>
        <w:rPr>
          <w:rFonts w:ascii="Bookman Old Style" w:hAnsi="Bookman Old Style"/>
          <w:i/>
        </w:rPr>
        <w:t xml:space="preserve"> Bedoya (…) como Analista del Centro de Control</w:t>
      </w:r>
    </w:p>
    <w:p w:rsidR="003B11C0" w:rsidRDefault="003B11C0" w:rsidP="00D87B20">
      <w:pPr>
        <w:pStyle w:val="Sangradetextonormal"/>
        <w:ind w:left="851" w:right="567"/>
        <w:jc w:val="both"/>
        <w:rPr>
          <w:rFonts w:ascii="Bookman Old Style" w:hAnsi="Bookman Old Style"/>
          <w:i/>
        </w:rPr>
      </w:pPr>
      <w:r>
        <w:rPr>
          <w:rFonts w:ascii="Bookman Old Style" w:hAnsi="Bookman Old Style"/>
          <w:i/>
        </w:rPr>
        <w:t>Funcionarios que podrán dar claridad a la CREG acerca de los hechos expuestos anteriormente, especialmente en la calidad del sistema de distribución de Enertolima, la calidad de la información existente al momento de capitalización de la Empresa y as causas de los reportes inexactos que se efectuaron al SUI en los años 2006 y 2007 referentes al amarre cliente-transformador-circuito.</w:t>
      </w:r>
    </w:p>
    <w:p w:rsidR="008A0C8F" w:rsidRDefault="003B11C0" w:rsidP="003B11C0">
      <w:pPr>
        <w:pStyle w:val="Sangradetextonormal"/>
        <w:ind w:left="851" w:right="567"/>
        <w:jc w:val="both"/>
        <w:rPr>
          <w:rFonts w:ascii="Bookman Old Style" w:hAnsi="Bookman Old Style"/>
          <w:i/>
        </w:rPr>
      </w:pPr>
      <w:r>
        <w:rPr>
          <w:rFonts w:ascii="Bookman Old Style" w:hAnsi="Bookman Old Style"/>
          <w:i/>
        </w:rPr>
        <w:t>Así mismo, los deponentes podrán testificar sobre las actividades desarrolladas a partir del año 2007 tendientes a mejorar la confiabilidad de los sistemas de información de la compañía.</w:t>
      </w:r>
    </w:p>
    <w:p w:rsidR="004B0BFC" w:rsidRDefault="003B11C0" w:rsidP="003B11C0">
      <w:pPr>
        <w:pStyle w:val="Sangradetextonormal"/>
        <w:ind w:left="851" w:right="567"/>
        <w:jc w:val="both"/>
        <w:rPr>
          <w:rFonts w:ascii="Bookman Old Style" w:hAnsi="Bookman Old Style"/>
          <w:i/>
        </w:rPr>
      </w:pPr>
      <w:r>
        <w:rPr>
          <w:rFonts w:ascii="Bookman Old Style" w:hAnsi="Bookman Old Style"/>
          <w:i/>
        </w:rPr>
        <w:t>(…)</w:t>
      </w:r>
    </w:p>
    <w:p w:rsidR="003B11C0" w:rsidRPr="003B11C0" w:rsidRDefault="003B11C0" w:rsidP="003B11C0">
      <w:pPr>
        <w:pStyle w:val="Sangradetextonormal"/>
        <w:ind w:left="851" w:right="567"/>
        <w:jc w:val="both"/>
        <w:rPr>
          <w:rFonts w:ascii="Bookman Old Style" w:hAnsi="Bookman Old Style"/>
          <w:b/>
          <w:i/>
        </w:rPr>
      </w:pPr>
      <w:r w:rsidRPr="003B11C0">
        <w:rPr>
          <w:rFonts w:ascii="Bookman Old Style" w:hAnsi="Bookman Old Style"/>
          <w:b/>
          <w:i/>
        </w:rPr>
        <w:t>4.2 Inspección Administrativa</w:t>
      </w:r>
    </w:p>
    <w:p w:rsidR="003B11C0" w:rsidRDefault="003B11C0" w:rsidP="00DF2F4B">
      <w:pPr>
        <w:pStyle w:val="Sangradetextonormal"/>
        <w:spacing w:after="0"/>
        <w:ind w:left="851" w:right="567"/>
        <w:jc w:val="both"/>
        <w:rPr>
          <w:rFonts w:ascii="Bookman Old Style" w:hAnsi="Bookman Old Style"/>
          <w:i/>
        </w:rPr>
      </w:pPr>
      <w:r>
        <w:rPr>
          <w:rFonts w:ascii="Bookman Old Style" w:hAnsi="Bookman Old Style"/>
          <w:i/>
        </w:rPr>
        <w:t>Ruego se decrete y practique una inspección al sistema del información técnico (SIT) de Enertolima con el fin de verificar la información real de los amarres clientes-transformador-circuito para el año 2006 y el primer semestre del año 2007, los cuales modifican ostensiblemente el IRAD calculado en la resolución que aquí se recurre.”</w:t>
      </w:r>
    </w:p>
    <w:p w:rsidR="00F76A84" w:rsidRDefault="00F76A84" w:rsidP="003B11C0">
      <w:pPr>
        <w:pStyle w:val="Sangradetextonormal"/>
        <w:ind w:left="851" w:right="567"/>
        <w:jc w:val="both"/>
        <w:rPr>
          <w:rFonts w:ascii="Bookman Old Style" w:hAnsi="Bookman Old Style"/>
          <w:i/>
        </w:rPr>
      </w:pPr>
    </w:p>
    <w:p w:rsidR="00ED16FC" w:rsidRDefault="00ED16FC" w:rsidP="00F76A84">
      <w:pPr>
        <w:pStyle w:val="Sangradetextonormal"/>
        <w:ind w:left="0"/>
        <w:jc w:val="both"/>
        <w:rPr>
          <w:rFonts w:ascii="Bookman Old Style" w:hAnsi="Bookman Old Style"/>
        </w:rPr>
      </w:pPr>
      <w:r w:rsidRPr="00ED16FC">
        <w:rPr>
          <w:rFonts w:ascii="Bookman Old Style" w:hAnsi="Bookman Old Style"/>
        </w:rPr>
        <w:t>Que mediante Auto</w:t>
      </w:r>
      <w:r>
        <w:rPr>
          <w:rFonts w:ascii="Bookman Old Style" w:hAnsi="Bookman Old Style"/>
        </w:rPr>
        <w:t xml:space="preserve"> del </w:t>
      </w:r>
      <w:r w:rsidR="006E3DDD">
        <w:rPr>
          <w:rFonts w:ascii="Bookman Old Style" w:hAnsi="Bookman Old Style"/>
        </w:rPr>
        <w:t>4</w:t>
      </w:r>
      <w:r>
        <w:rPr>
          <w:rFonts w:ascii="Bookman Old Style" w:hAnsi="Bookman Old Style"/>
        </w:rPr>
        <w:t xml:space="preserve"> de </w:t>
      </w:r>
      <w:r w:rsidR="006E3DDD">
        <w:rPr>
          <w:rFonts w:ascii="Bookman Old Style" w:hAnsi="Bookman Old Style"/>
        </w:rPr>
        <w:t>abril</w:t>
      </w:r>
      <w:r>
        <w:rPr>
          <w:rFonts w:ascii="Bookman Old Style" w:hAnsi="Bookman Old Style"/>
        </w:rPr>
        <w:t xml:space="preserve"> de </w:t>
      </w:r>
      <w:r w:rsidR="00984C26">
        <w:rPr>
          <w:rFonts w:ascii="Bookman Old Style" w:hAnsi="Bookman Old Style"/>
        </w:rPr>
        <w:t>2011, esta Comisión se pronunció</w:t>
      </w:r>
      <w:r>
        <w:rPr>
          <w:rFonts w:ascii="Bookman Old Style" w:hAnsi="Bookman Old Style"/>
        </w:rPr>
        <w:t xml:space="preserve"> respecto a la </w:t>
      </w:r>
      <w:r w:rsidR="00345C33">
        <w:rPr>
          <w:rFonts w:ascii="Bookman Old Style" w:hAnsi="Bookman Old Style"/>
        </w:rPr>
        <w:t xml:space="preserve">solicitud de </w:t>
      </w:r>
      <w:r>
        <w:rPr>
          <w:rFonts w:ascii="Bookman Old Style" w:hAnsi="Bookman Old Style"/>
        </w:rPr>
        <w:t xml:space="preserve">práctica de pruebas </w:t>
      </w:r>
      <w:r w:rsidR="00DD06FF">
        <w:rPr>
          <w:rFonts w:ascii="Bookman Old Style" w:hAnsi="Bookman Old Style"/>
        </w:rPr>
        <w:t>realizada por la</w:t>
      </w:r>
      <w:r w:rsidR="00345C33">
        <w:rPr>
          <w:rFonts w:ascii="Bookman Old Style" w:hAnsi="Bookman Old Style"/>
        </w:rPr>
        <w:t xml:space="preserve"> recurrente</w:t>
      </w:r>
      <w:r>
        <w:rPr>
          <w:rFonts w:ascii="Bookman Old Style" w:hAnsi="Bookman Old Style"/>
        </w:rPr>
        <w:t>, negando las mismas por considerarlas impertinentes e inconducentes por las razones expresadas en la parte motiva de</w:t>
      </w:r>
      <w:r w:rsidR="00345C33">
        <w:rPr>
          <w:rFonts w:ascii="Bookman Old Style" w:hAnsi="Bookman Old Style"/>
        </w:rPr>
        <w:t>l respectivo Au</w:t>
      </w:r>
      <w:r>
        <w:rPr>
          <w:rFonts w:ascii="Bookman Old Style" w:hAnsi="Bookman Old Style"/>
        </w:rPr>
        <w:t>to.</w:t>
      </w:r>
    </w:p>
    <w:p w:rsidR="00F76A84" w:rsidRPr="00D107F5" w:rsidRDefault="00F76A84" w:rsidP="00F76A84">
      <w:pPr>
        <w:pStyle w:val="Sangradetextonormal"/>
        <w:jc w:val="both"/>
        <w:rPr>
          <w:rFonts w:ascii="Bookman Old Style" w:hAnsi="Bookman Old Style"/>
          <w:sz w:val="10"/>
        </w:rPr>
      </w:pPr>
    </w:p>
    <w:p w:rsidR="00345C33" w:rsidRDefault="00ED16FC" w:rsidP="00F76A84">
      <w:pPr>
        <w:pStyle w:val="Sangradetextonormal"/>
        <w:ind w:left="0"/>
        <w:jc w:val="both"/>
        <w:rPr>
          <w:rFonts w:ascii="Bookman Old Style" w:hAnsi="Bookman Old Style"/>
        </w:rPr>
      </w:pPr>
      <w:r w:rsidRPr="00ED16FC">
        <w:rPr>
          <w:rFonts w:ascii="Bookman Old Style" w:hAnsi="Bookman Old Style"/>
        </w:rPr>
        <w:t xml:space="preserve">Que una vez resulta la solicitud de pruebas </w:t>
      </w:r>
      <w:r w:rsidR="00345C33">
        <w:rPr>
          <w:rFonts w:ascii="Bookman Old Style" w:hAnsi="Bookman Old Style"/>
        </w:rPr>
        <w:t>y debidamente notificado el Auto</w:t>
      </w:r>
      <w:r w:rsidR="00345C33" w:rsidRPr="00345C33">
        <w:rPr>
          <w:rFonts w:ascii="Bookman Old Style" w:hAnsi="Bookman Old Style"/>
        </w:rPr>
        <w:t xml:space="preserve"> </w:t>
      </w:r>
      <w:r w:rsidR="00345C33">
        <w:rPr>
          <w:rFonts w:ascii="Bookman Old Style" w:hAnsi="Bookman Old Style"/>
        </w:rPr>
        <w:t xml:space="preserve">correspondiente, </w:t>
      </w:r>
      <w:r w:rsidRPr="00ED16FC">
        <w:rPr>
          <w:rFonts w:ascii="Bookman Old Style" w:hAnsi="Bookman Old Style"/>
        </w:rPr>
        <w:t xml:space="preserve">procede </w:t>
      </w:r>
      <w:r>
        <w:rPr>
          <w:rFonts w:ascii="Bookman Old Style" w:hAnsi="Bookman Old Style"/>
        </w:rPr>
        <w:t xml:space="preserve">la CREG a resolver </w:t>
      </w:r>
      <w:r w:rsidR="00345C33">
        <w:rPr>
          <w:rFonts w:ascii="Bookman Old Style" w:hAnsi="Bookman Old Style"/>
        </w:rPr>
        <w:t>d</w:t>
      </w:r>
      <w:r>
        <w:rPr>
          <w:rFonts w:ascii="Bookman Old Style" w:hAnsi="Bookman Old Style"/>
        </w:rPr>
        <w:t>e fondo</w:t>
      </w:r>
      <w:r w:rsidR="00345C33">
        <w:rPr>
          <w:rFonts w:ascii="Bookman Old Style" w:hAnsi="Bookman Old Style"/>
        </w:rPr>
        <w:t xml:space="preserve"> </w:t>
      </w:r>
      <w:r>
        <w:rPr>
          <w:rFonts w:ascii="Bookman Old Style" w:hAnsi="Bookman Old Style"/>
        </w:rPr>
        <w:t xml:space="preserve">el recurso de reposición presentado </w:t>
      </w:r>
      <w:r w:rsidR="00345C33">
        <w:rPr>
          <w:rFonts w:ascii="Bookman Old Style" w:hAnsi="Bookman Old Style"/>
        </w:rPr>
        <w:t xml:space="preserve">con fundamento en las siguientes consideraciones. </w:t>
      </w:r>
    </w:p>
    <w:p w:rsidR="00F76A84" w:rsidRPr="00D107F5" w:rsidRDefault="00F76A84" w:rsidP="00ED16FC">
      <w:pPr>
        <w:pStyle w:val="Sangradetextonormal"/>
        <w:ind w:right="567"/>
        <w:jc w:val="both"/>
        <w:rPr>
          <w:rFonts w:ascii="Bookman Old Style" w:hAnsi="Bookman Old Style"/>
          <w:sz w:val="10"/>
        </w:rPr>
      </w:pPr>
    </w:p>
    <w:p w:rsidR="00B536F6" w:rsidRPr="00190ADA" w:rsidRDefault="00ED16FC" w:rsidP="00B536F6">
      <w:pPr>
        <w:numPr>
          <w:ilvl w:val="0"/>
          <w:numId w:val="18"/>
        </w:numPr>
        <w:overflowPunct w:val="0"/>
        <w:autoSpaceDE w:val="0"/>
        <w:autoSpaceDN w:val="0"/>
        <w:adjustRightInd w:val="0"/>
        <w:jc w:val="both"/>
        <w:textAlignment w:val="baseline"/>
        <w:rPr>
          <w:rFonts w:ascii="Bookman Old Style" w:hAnsi="Bookman Old Style"/>
          <w:b/>
          <w:bCs/>
        </w:rPr>
      </w:pPr>
      <w:r>
        <w:rPr>
          <w:rFonts w:ascii="Bookman Old Style" w:hAnsi="Bookman Old Style"/>
        </w:rPr>
        <w:t xml:space="preserve"> </w:t>
      </w:r>
      <w:r w:rsidRPr="00ED16FC">
        <w:rPr>
          <w:rFonts w:ascii="Bookman Old Style" w:hAnsi="Bookman Old Style"/>
        </w:rPr>
        <w:t xml:space="preserve">  </w:t>
      </w:r>
      <w:r w:rsidR="00B536F6" w:rsidRPr="00190ADA">
        <w:rPr>
          <w:rFonts w:ascii="Bookman Old Style" w:hAnsi="Bookman Old Style"/>
          <w:b/>
          <w:bCs/>
        </w:rPr>
        <w:t>CONSIDERACIONES DE LA CREG.</w:t>
      </w:r>
    </w:p>
    <w:p w:rsidR="00B536F6" w:rsidRDefault="00B536F6" w:rsidP="00B536F6">
      <w:pPr>
        <w:pStyle w:val="Textoindependiente2"/>
        <w:spacing w:line="240" w:lineRule="auto"/>
        <w:rPr>
          <w:rFonts w:ascii="Bookman Old Style" w:hAnsi="Bookman Old Style"/>
        </w:rPr>
      </w:pPr>
    </w:p>
    <w:p w:rsidR="00AA74E9" w:rsidRDefault="00AA74E9" w:rsidP="00D107F5">
      <w:pPr>
        <w:pStyle w:val="Textoindependiente2"/>
        <w:spacing w:after="0" w:line="240" w:lineRule="auto"/>
        <w:ind w:left="0"/>
        <w:jc w:val="both"/>
        <w:rPr>
          <w:rFonts w:ascii="Bookman Old Style" w:hAnsi="Bookman Old Style"/>
        </w:rPr>
      </w:pPr>
      <w:r>
        <w:rPr>
          <w:rFonts w:ascii="Bookman Old Style" w:hAnsi="Bookman Old Style"/>
        </w:rPr>
        <w:t xml:space="preserve">El numeral 11.2 del anexo general de la Resolución CREG 097 de septiembre 26 de 2008, establece la metodología sobre calidad del servicio en el SDL. Esta metodología determina que el Índice de Referencia Agrupado de la Discontinuidad (IRAD) se calcula a partir de la información reportada por los agentes, para los años 2006 y 2007, en el Sistema Único de Información, SUI. </w:t>
      </w:r>
    </w:p>
    <w:p w:rsidR="00D107F5" w:rsidRDefault="00D107F5" w:rsidP="008B4013">
      <w:pPr>
        <w:pStyle w:val="Textoindependiente2"/>
        <w:spacing w:line="240" w:lineRule="auto"/>
        <w:ind w:left="0"/>
        <w:jc w:val="both"/>
        <w:rPr>
          <w:rFonts w:ascii="Bookman Old Style" w:hAnsi="Bookman Old Style"/>
        </w:rPr>
      </w:pPr>
    </w:p>
    <w:p w:rsidR="00AA74E9" w:rsidRDefault="008B4013" w:rsidP="00DF2F4B">
      <w:pPr>
        <w:pStyle w:val="Textoindependiente2"/>
        <w:spacing w:after="0" w:line="240" w:lineRule="auto"/>
        <w:ind w:left="0"/>
        <w:jc w:val="both"/>
        <w:rPr>
          <w:rFonts w:ascii="Bookman Old Style" w:hAnsi="Bookman Old Style"/>
        </w:rPr>
      </w:pPr>
      <w:r>
        <w:rPr>
          <w:rFonts w:ascii="Bookman Old Style" w:hAnsi="Bookman Old Style"/>
        </w:rPr>
        <w:t xml:space="preserve">De acuerdo con </w:t>
      </w:r>
      <w:r w:rsidR="00AA74E9">
        <w:rPr>
          <w:rFonts w:ascii="Bookman Old Style" w:hAnsi="Bookman Old Style"/>
        </w:rPr>
        <w:t xml:space="preserve"> lo anterior, la información utilizada </w:t>
      </w:r>
      <w:r w:rsidR="00294776">
        <w:rPr>
          <w:rFonts w:ascii="Bookman Old Style" w:hAnsi="Bookman Old Style"/>
        </w:rPr>
        <w:t xml:space="preserve">por esta Comisión </w:t>
      </w:r>
      <w:r w:rsidR="00AA74E9">
        <w:rPr>
          <w:rFonts w:ascii="Bookman Old Style" w:hAnsi="Bookman Old Style"/>
        </w:rPr>
        <w:t>para calcular el IRAD y demás índices de referencia establecidos mediante la Resolución CREG 16</w:t>
      </w:r>
      <w:r w:rsidR="00C4159E">
        <w:rPr>
          <w:rFonts w:ascii="Bookman Old Style" w:hAnsi="Bookman Old Style"/>
        </w:rPr>
        <w:t>7</w:t>
      </w:r>
      <w:r w:rsidR="00AA74E9">
        <w:rPr>
          <w:rFonts w:ascii="Bookman Old Style" w:hAnsi="Bookman Old Style"/>
        </w:rPr>
        <w:t xml:space="preserve"> de 2010 fue consultada en la base de datos de calidad y en la </w:t>
      </w:r>
      <w:r w:rsidR="00CC64CD">
        <w:rPr>
          <w:rFonts w:ascii="Bookman Old Style" w:hAnsi="Bookman Old Style"/>
        </w:rPr>
        <w:t>base de datos comercial del SUI</w:t>
      </w:r>
      <w:r w:rsidR="00AA74E9" w:rsidRPr="00823E4D">
        <w:rPr>
          <w:rFonts w:ascii="Bookman Old Style" w:hAnsi="Bookman Old Style"/>
        </w:rPr>
        <w:t xml:space="preserve"> </w:t>
      </w:r>
      <w:r w:rsidR="00AA74E9">
        <w:rPr>
          <w:rFonts w:ascii="Bookman Old Style" w:hAnsi="Bookman Old Style"/>
        </w:rPr>
        <w:t>q</w:t>
      </w:r>
      <w:r w:rsidR="00AA74E9" w:rsidRPr="00FA1B5E">
        <w:rPr>
          <w:rFonts w:ascii="Bookman Old Style" w:hAnsi="Bookman Old Style"/>
        </w:rPr>
        <w:t>ue</w:t>
      </w:r>
      <w:r w:rsidR="00CC64CD">
        <w:rPr>
          <w:rFonts w:ascii="Bookman Old Style" w:hAnsi="Bookman Old Style"/>
        </w:rPr>
        <w:t>,</w:t>
      </w:r>
      <w:r w:rsidR="00AA74E9" w:rsidRPr="00FA1B5E">
        <w:rPr>
          <w:rFonts w:ascii="Bookman Old Style" w:hAnsi="Bookman Old Style"/>
        </w:rPr>
        <w:t xml:space="preserve"> según lo establecido por la Ley 689 </w:t>
      </w:r>
      <w:r w:rsidR="00AA74E9" w:rsidRPr="00FA1B5E">
        <w:rPr>
          <w:rFonts w:ascii="Bookman Old Style" w:hAnsi="Bookman Old Style"/>
        </w:rPr>
        <w:lastRenderedPageBreak/>
        <w:t>de 2001, es el único sistema de información sobre el cual la CREG debe apoyarse</w:t>
      </w:r>
      <w:r w:rsidR="00AA74E9">
        <w:rPr>
          <w:rFonts w:ascii="Bookman Old Style" w:hAnsi="Bookman Old Style"/>
        </w:rPr>
        <w:t>,</w:t>
      </w:r>
      <w:r w:rsidR="00AA74E9" w:rsidRPr="00FA1B5E">
        <w:rPr>
          <w:rFonts w:ascii="Bookman Old Style" w:hAnsi="Bookman Old Style"/>
        </w:rPr>
        <w:t xml:space="preserve"> </w:t>
      </w:r>
      <w:r w:rsidR="00AA74E9">
        <w:rPr>
          <w:rFonts w:ascii="Bookman Old Style" w:hAnsi="Bookman Old Style"/>
        </w:rPr>
        <w:t xml:space="preserve">toda vez que la información que allí reposa </w:t>
      </w:r>
      <w:r w:rsidR="00B466E6">
        <w:rPr>
          <w:rFonts w:ascii="Bookman Old Style" w:hAnsi="Bookman Old Style"/>
        </w:rPr>
        <w:t>es de carácter oficial</w:t>
      </w:r>
      <w:r w:rsidR="00AA74E9">
        <w:rPr>
          <w:rFonts w:ascii="Bookman Old Style" w:hAnsi="Bookman Old Style"/>
        </w:rPr>
        <w:t>.</w:t>
      </w:r>
    </w:p>
    <w:p w:rsidR="00DF2F4B" w:rsidRDefault="00DF2F4B" w:rsidP="00DF2F4B">
      <w:pPr>
        <w:pStyle w:val="Textoindependiente2"/>
        <w:spacing w:after="0" w:line="240" w:lineRule="auto"/>
        <w:ind w:left="0"/>
        <w:jc w:val="both"/>
        <w:rPr>
          <w:rFonts w:ascii="Bookman Old Style" w:hAnsi="Bookman Old Style"/>
        </w:rPr>
      </w:pPr>
    </w:p>
    <w:p w:rsidR="004D39AF" w:rsidRDefault="008B4013" w:rsidP="00D107F5">
      <w:pPr>
        <w:pStyle w:val="Textoindependiente2"/>
        <w:spacing w:after="0" w:line="240" w:lineRule="auto"/>
        <w:ind w:left="0"/>
        <w:jc w:val="both"/>
        <w:rPr>
          <w:rFonts w:ascii="Bookman Old Style" w:hAnsi="Bookman Old Style"/>
        </w:rPr>
      </w:pPr>
      <w:r>
        <w:rPr>
          <w:rFonts w:ascii="Bookman Old Style" w:hAnsi="Bookman Old Style"/>
        </w:rPr>
        <w:t>Teniendo en cuenta que existe una metodología previamente establecida y un mandato legal que exige que la</w:t>
      </w:r>
      <w:r w:rsidR="004D39AF">
        <w:rPr>
          <w:rFonts w:ascii="Bookman Old Style" w:hAnsi="Bookman Old Style"/>
        </w:rPr>
        <w:t>s funciones de las comisiones de regulación deben estar apoyadas</w:t>
      </w:r>
      <w:r w:rsidR="007A5A24">
        <w:rPr>
          <w:rFonts w:ascii="Bookman Old Style" w:hAnsi="Bookman Old Style"/>
        </w:rPr>
        <w:t xml:space="preserve"> en </w:t>
      </w:r>
      <w:r w:rsidR="004D39AF">
        <w:rPr>
          <w:rFonts w:ascii="Bookman Old Style" w:hAnsi="Bookman Old Style"/>
        </w:rPr>
        <w:t>l</w:t>
      </w:r>
      <w:r w:rsidR="007A5A24">
        <w:rPr>
          <w:rFonts w:ascii="Bookman Old Style" w:hAnsi="Bookman Old Style"/>
        </w:rPr>
        <w:t>a</w:t>
      </w:r>
      <w:r w:rsidR="004D39AF">
        <w:rPr>
          <w:rFonts w:ascii="Bookman Old Style" w:hAnsi="Bookman Old Style"/>
        </w:rPr>
        <w:t xml:space="preserve"> </w:t>
      </w:r>
      <w:r w:rsidR="007A5A24">
        <w:rPr>
          <w:rFonts w:ascii="Bookman Old Style" w:hAnsi="Bookman Old Style"/>
        </w:rPr>
        <w:t xml:space="preserve">información que reposa en el </w:t>
      </w:r>
      <w:r w:rsidR="00984C26">
        <w:rPr>
          <w:rFonts w:ascii="Bookman Old Style" w:hAnsi="Bookman Old Style"/>
        </w:rPr>
        <w:t>Sistema Único de I</w:t>
      </w:r>
      <w:r w:rsidR="004D39AF">
        <w:rPr>
          <w:rFonts w:ascii="Bookman Old Style" w:hAnsi="Bookman Old Style"/>
        </w:rPr>
        <w:t>nformación, es claro para esta Comisión que no se puede acceder a la pretensión de</w:t>
      </w:r>
      <w:r w:rsidR="00984C26">
        <w:rPr>
          <w:rFonts w:ascii="Bookman Old Style" w:hAnsi="Bookman Old Style"/>
        </w:rPr>
        <w:t xml:space="preserve"> </w:t>
      </w:r>
      <w:r w:rsidR="004D39AF">
        <w:rPr>
          <w:rFonts w:ascii="Bookman Old Style" w:hAnsi="Bookman Old Style"/>
        </w:rPr>
        <w:t>l</w:t>
      </w:r>
      <w:r w:rsidR="00984C26">
        <w:rPr>
          <w:rFonts w:ascii="Bookman Old Style" w:hAnsi="Bookman Old Style"/>
        </w:rPr>
        <w:t>a</w:t>
      </w:r>
      <w:r w:rsidR="004D39AF">
        <w:rPr>
          <w:rFonts w:ascii="Bookman Old Style" w:hAnsi="Bookman Old Style"/>
        </w:rPr>
        <w:t xml:space="preserve"> recurrente de calcular nuevamente el  </w:t>
      </w:r>
      <w:r w:rsidR="00984C26">
        <w:rPr>
          <w:rFonts w:ascii="Bookman Old Style" w:hAnsi="Bookman Old Style"/>
        </w:rPr>
        <w:t>Índice de R</w:t>
      </w:r>
      <w:r w:rsidR="004D39AF" w:rsidRPr="004D39AF">
        <w:rPr>
          <w:rFonts w:ascii="Bookman Old Style" w:hAnsi="Bookman Old Style"/>
        </w:rPr>
        <w:t xml:space="preserve">eferencia </w:t>
      </w:r>
      <w:r w:rsidR="00984C26">
        <w:rPr>
          <w:rFonts w:ascii="Bookman Old Style" w:hAnsi="Bookman Old Style"/>
        </w:rPr>
        <w:t>Agrupado de la D</w:t>
      </w:r>
      <w:r w:rsidR="004D39AF" w:rsidRPr="004D39AF">
        <w:rPr>
          <w:rFonts w:ascii="Bookman Old Style" w:hAnsi="Bookman Old Style"/>
        </w:rPr>
        <w:t>iscontinuidad (IRAD</w:t>
      </w:r>
      <w:r w:rsidR="004D39AF" w:rsidRPr="00984C26">
        <w:rPr>
          <w:rFonts w:ascii="Bookman Old Style" w:hAnsi="Bookman Old Style"/>
          <w:vertAlign w:val="subscript"/>
        </w:rPr>
        <w:t>n</w:t>
      </w:r>
      <w:r w:rsidR="00984C26">
        <w:rPr>
          <w:rFonts w:ascii="Bookman Old Style" w:hAnsi="Bookman Old Style"/>
          <w:vertAlign w:val="subscript"/>
        </w:rPr>
        <w:t>,</w:t>
      </w:r>
      <w:r w:rsidR="004D39AF" w:rsidRPr="00984C26">
        <w:rPr>
          <w:rFonts w:ascii="Bookman Old Style" w:hAnsi="Bookman Old Style"/>
          <w:vertAlign w:val="subscript"/>
        </w:rPr>
        <w:t>p</w:t>
      </w:r>
      <w:r w:rsidR="00984C26">
        <w:rPr>
          <w:rFonts w:ascii="Bookman Old Style" w:hAnsi="Bookman Old Style"/>
        </w:rPr>
        <w:t>), el Í</w:t>
      </w:r>
      <w:r w:rsidR="004D39AF" w:rsidRPr="004D39AF">
        <w:rPr>
          <w:rFonts w:ascii="Bookman Old Style" w:hAnsi="Bookman Old Style"/>
        </w:rPr>
        <w:t>nd</w:t>
      </w:r>
      <w:r w:rsidR="00984C26">
        <w:rPr>
          <w:rFonts w:ascii="Bookman Old Style" w:hAnsi="Bookman Old Style"/>
        </w:rPr>
        <w:t>ice de Referencia A</w:t>
      </w:r>
      <w:r w:rsidR="004D39AF">
        <w:rPr>
          <w:rFonts w:ascii="Bookman Old Style" w:hAnsi="Bookman Old Style"/>
        </w:rPr>
        <w:t>grupado de l</w:t>
      </w:r>
      <w:r w:rsidR="004D39AF" w:rsidRPr="004D39AF">
        <w:rPr>
          <w:rFonts w:ascii="Bookman Old Style" w:hAnsi="Bookman Old Style"/>
        </w:rPr>
        <w:t>a discontinuidad para el año K (IRADK) y</w:t>
      </w:r>
      <w:r w:rsidR="00984C26">
        <w:rPr>
          <w:rFonts w:ascii="Bookman Old Style" w:hAnsi="Bookman Old Style"/>
        </w:rPr>
        <w:t xml:space="preserve"> el promedio de los índices de Referencia de la Discontinuidad por Grupo de C</w:t>
      </w:r>
      <w:r w:rsidR="004D39AF" w:rsidRPr="004D39AF">
        <w:rPr>
          <w:rFonts w:ascii="Bookman Old Style" w:hAnsi="Bookman Old Style"/>
        </w:rPr>
        <w:t>alidad (IRGP</w:t>
      </w:r>
      <w:r w:rsidR="004D39AF" w:rsidRPr="00984C26">
        <w:rPr>
          <w:rFonts w:ascii="Bookman Old Style" w:hAnsi="Bookman Old Style"/>
          <w:vertAlign w:val="subscript"/>
        </w:rPr>
        <w:t>n,q,p</w:t>
      </w:r>
      <w:r w:rsidR="004D39AF" w:rsidRPr="004D39AF">
        <w:rPr>
          <w:rFonts w:ascii="Bookman Old Style" w:hAnsi="Bookman Old Style"/>
        </w:rPr>
        <w:t>) para el sistema de distribución local (SDL)</w:t>
      </w:r>
      <w:r w:rsidR="004D39AF">
        <w:rPr>
          <w:rFonts w:ascii="Bookman Old Style" w:hAnsi="Bookman Old Style"/>
        </w:rPr>
        <w:t>,</w:t>
      </w:r>
      <w:r w:rsidR="004D39AF" w:rsidRPr="004D39AF">
        <w:rPr>
          <w:rFonts w:ascii="Bookman Old Style" w:hAnsi="Bookman Old Style"/>
        </w:rPr>
        <w:t xml:space="preserve"> con base en la información </w:t>
      </w:r>
      <w:r w:rsidR="004D39AF">
        <w:rPr>
          <w:rFonts w:ascii="Bookman Old Style" w:hAnsi="Bookman Old Style"/>
        </w:rPr>
        <w:t>del</w:t>
      </w:r>
      <w:r w:rsidR="004D39AF" w:rsidRPr="004D39AF">
        <w:rPr>
          <w:rFonts w:ascii="Bookman Old Style" w:hAnsi="Bookman Old Style"/>
        </w:rPr>
        <w:t xml:space="preserve"> sistema de información técnico (SIT) de la compañía</w:t>
      </w:r>
      <w:r w:rsidR="004D39AF">
        <w:rPr>
          <w:rFonts w:ascii="Bookman Old Style" w:hAnsi="Bookman Old Style"/>
        </w:rPr>
        <w:t>.</w:t>
      </w:r>
    </w:p>
    <w:p w:rsidR="00C4159E" w:rsidRDefault="00C4159E" w:rsidP="008B4013">
      <w:pPr>
        <w:pStyle w:val="Textoindependiente2"/>
        <w:spacing w:line="240" w:lineRule="auto"/>
        <w:ind w:left="0"/>
        <w:jc w:val="both"/>
        <w:rPr>
          <w:rFonts w:ascii="Bookman Old Style" w:hAnsi="Bookman Old Style"/>
        </w:rPr>
      </w:pPr>
    </w:p>
    <w:p w:rsidR="004D39AF" w:rsidRDefault="00C4159E" w:rsidP="00D107F5">
      <w:pPr>
        <w:pStyle w:val="Textoindependiente2"/>
        <w:spacing w:after="0" w:line="240" w:lineRule="auto"/>
        <w:ind w:left="0"/>
        <w:jc w:val="both"/>
        <w:rPr>
          <w:rFonts w:ascii="Bookman Old Style" w:hAnsi="Bookman Old Style"/>
        </w:rPr>
      </w:pPr>
      <w:r>
        <w:rPr>
          <w:rFonts w:ascii="Bookman Old Style" w:hAnsi="Bookman Old Style"/>
        </w:rPr>
        <w:t>Por regla general l</w:t>
      </w:r>
      <w:r w:rsidR="007A5A24">
        <w:rPr>
          <w:rFonts w:ascii="Bookman Old Style" w:hAnsi="Bookman Old Style"/>
        </w:rPr>
        <w:t>as actuaciones de la CREG deben estar ajustadas a las metodologías establecidas y s</w:t>
      </w:r>
      <w:r w:rsidR="00984C26">
        <w:rPr>
          <w:rFonts w:ascii="Bookman Old Style" w:hAnsi="Bookman Old Style"/>
        </w:rPr>
        <w:t>obre todo al mandato de la Ley.</w:t>
      </w:r>
      <w:r w:rsidR="007A5A24">
        <w:rPr>
          <w:rFonts w:ascii="Bookman Old Style" w:hAnsi="Bookman Old Style"/>
        </w:rPr>
        <w:t xml:space="preserve"> </w:t>
      </w:r>
      <w:r w:rsidR="00984C26">
        <w:rPr>
          <w:rFonts w:ascii="Bookman Old Style" w:hAnsi="Bookman Old Style"/>
        </w:rPr>
        <w:t>E</w:t>
      </w:r>
      <w:r w:rsidR="007A5A24">
        <w:rPr>
          <w:rFonts w:ascii="Bookman Old Style" w:hAnsi="Bookman Old Style"/>
        </w:rPr>
        <w:t>n ese orden de ideas</w:t>
      </w:r>
      <w:r w:rsidR="00984C26">
        <w:rPr>
          <w:rFonts w:ascii="Bookman Old Style" w:hAnsi="Bookman Old Style"/>
        </w:rPr>
        <w:t>,</w:t>
      </w:r>
      <w:r w:rsidR="007A5A24">
        <w:rPr>
          <w:rFonts w:ascii="Bookman Old Style" w:hAnsi="Bookman Old Style"/>
        </w:rPr>
        <w:t xml:space="preserve"> no se podrá desconocer la información que se encuen</w:t>
      </w:r>
      <w:r w:rsidR="00984C26">
        <w:rPr>
          <w:rFonts w:ascii="Bookman Old Style" w:hAnsi="Bookman Old Style"/>
        </w:rPr>
        <w:t>tra reportada en el SUI, siendo é</w:t>
      </w:r>
      <w:r w:rsidR="007A5A24">
        <w:rPr>
          <w:rFonts w:ascii="Bookman Old Style" w:hAnsi="Bookman Old Style"/>
        </w:rPr>
        <w:t xml:space="preserve">sta de carácter oficial, para realizar cálculos con una información de carácter privado. </w:t>
      </w:r>
      <w:r w:rsidR="004D39AF">
        <w:rPr>
          <w:rFonts w:ascii="Bookman Old Style" w:hAnsi="Bookman Old Style"/>
        </w:rPr>
        <w:t xml:space="preserve"> </w:t>
      </w:r>
    </w:p>
    <w:p w:rsidR="00C4159E" w:rsidRPr="00D107F5" w:rsidRDefault="00C4159E" w:rsidP="007A5A24">
      <w:pPr>
        <w:pStyle w:val="Textoindependiente2"/>
        <w:spacing w:line="240" w:lineRule="auto"/>
        <w:ind w:left="0"/>
        <w:jc w:val="both"/>
        <w:rPr>
          <w:rFonts w:ascii="Bookman Old Style" w:hAnsi="Bookman Old Style"/>
          <w:sz w:val="14"/>
        </w:rPr>
      </w:pPr>
    </w:p>
    <w:p w:rsidR="007A5A24" w:rsidRDefault="00984C26" w:rsidP="007A5A24">
      <w:pPr>
        <w:pStyle w:val="Textoindependiente2"/>
        <w:spacing w:line="240" w:lineRule="auto"/>
        <w:ind w:left="0"/>
        <w:jc w:val="both"/>
        <w:rPr>
          <w:rFonts w:ascii="Bookman Old Style" w:hAnsi="Bookman Old Style"/>
        </w:rPr>
      </w:pPr>
      <w:r>
        <w:rPr>
          <w:rFonts w:ascii="Bookman Old Style" w:hAnsi="Bookman Old Style"/>
        </w:rPr>
        <w:t>Sin embargo, alega la</w:t>
      </w:r>
      <w:r w:rsidR="007A5A24">
        <w:rPr>
          <w:rFonts w:ascii="Bookman Old Style" w:hAnsi="Bookman Old Style"/>
        </w:rPr>
        <w:t xml:space="preserve"> recurrente en su escrito</w:t>
      </w:r>
      <w:r w:rsidR="00C4159E">
        <w:rPr>
          <w:rFonts w:ascii="Bookman Old Style" w:hAnsi="Bookman Old Style"/>
        </w:rPr>
        <w:t>,</w:t>
      </w:r>
      <w:r w:rsidR="007A5A24">
        <w:rPr>
          <w:rFonts w:ascii="Bookman Old Style" w:hAnsi="Bookman Old Style"/>
        </w:rPr>
        <w:t xml:space="preserve"> que la CREG no hizo uso de las facultades que le confiere la ley para ampliar o complementar la información reportada en el SUI.  </w:t>
      </w:r>
    </w:p>
    <w:p w:rsidR="00D107F5" w:rsidRPr="00D107F5" w:rsidRDefault="00D107F5" w:rsidP="007A5A24">
      <w:pPr>
        <w:pStyle w:val="Textoindependiente2"/>
        <w:spacing w:line="240" w:lineRule="auto"/>
        <w:ind w:left="0"/>
        <w:jc w:val="both"/>
        <w:rPr>
          <w:rFonts w:ascii="Bookman Old Style" w:hAnsi="Bookman Old Style"/>
          <w:sz w:val="8"/>
        </w:rPr>
      </w:pPr>
    </w:p>
    <w:p w:rsidR="002C16AD" w:rsidRDefault="007A5A24" w:rsidP="00D107F5">
      <w:pPr>
        <w:pStyle w:val="Textoindependiente2"/>
        <w:spacing w:after="0" w:line="240" w:lineRule="auto"/>
        <w:ind w:left="0"/>
        <w:jc w:val="both"/>
        <w:rPr>
          <w:rFonts w:ascii="Bookman Old Style" w:hAnsi="Bookman Old Style"/>
        </w:rPr>
      </w:pPr>
      <w:r>
        <w:rPr>
          <w:rFonts w:ascii="Bookman Old Style" w:hAnsi="Bookman Old Style"/>
        </w:rPr>
        <w:t>Al respecto</w:t>
      </w:r>
      <w:r w:rsidR="005F51A7">
        <w:rPr>
          <w:rFonts w:ascii="Bookman Old Style" w:hAnsi="Bookman Old Style"/>
        </w:rPr>
        <w:t>,</w:t>
      </w:r>
      <w:r>
        <w:rPr>
          <w:rFonts w:ascii="Bookman Old Style" w:hAnsi="Bookman Old Style"/>
        </w:rPr>
        <w:t xml:space="preserve"> debe precisarse que e</w:t>
      </w:r>
      <w:r w:rsidR="00B466E6">
        <w:rPr>
          <w:rFonts w:ascii="Bookman Old Style" w:hAnsi="Bookman Old Style"/>
        </w:rPr>
        <w:t xml:space="preserve">n cuanto a la facultad que tiene la CREG de solicitar información a los prestadores de servicios públicos </w:t>
      </w:r>
      <w:r w:rsidR="00C4159E">
        <w:rPr>
          <w:rFonts w:ascii="Bookman Old Style" w:hAnsi="Bookman Old Style"/>
        </w:rPr>
        <w:t xml:space="preserve">contenida en </w:t>
      </w:r>
      <w:r w:rsidRPr="007A5A24">
        <w:rPr>
          <w:rFonts w:ascii="Bookman Old Style" w:hAnsi="Bookman Old Style"/>
        </w:rPr>
        <w:t>el artículo 73.26 de la ley 142 de 1994</w:t>
      </w:r>
      <w:r w:rsidR="00B466E6">
        <w:rPr>
          <w:rFonts w:ascii="Bookman Old Style" w:hAnsi="Bookman Old Style"/>
        </w:rPr>
        <w:t xml:space="preserve">, esta Comisión ejerció </w:t>
      </w:r>
      <w:r w:rsidR="00C4159E">
        <w:rPr>
          <w:rFonts w:ascii="Bookman Old Style" w:hAnsi="Bookman Old Style"/>
        </w:rPr>
        <w:t>dicha facultad,</w:t>
      </w:r>
      <w:r w:rsidR="00B466E6">
        <w:rPr>
          <w:rFonts w:ascii="Bookman Old Style" w:hAnsi="Bookman Old Style"/>
        </w:rPr>
        <w:t xml:space="preserve"> </w:t>
      </w:r>
      <w:r w:rsidR="009272D0">
        <w:rPr>
          <w:rFonts w:ascii="Bookman Old Style" w:hAnsi="Bookman Old Style"/>
        </w:rPr>
        <w:t xml:space="preserve">no solo durante la actuación administrativa </w:t>
      </w:r>
      <w:r w:rsidR="00C4159E">
        <w:rPr>
          <w:rFonts w:ascii="Bookman Old Style" w:hAnsi="Bookman Old Style"/>
        </w:rPr>
        <w:t>adelantada</w:t>
      </w:r>
      <w:r w:rsidR="009272D0">
        <w:rPr>
          <w:rFonts w:ascii="Bookman Old Style" w:hAnsi="Bookman Old Style"/>
        </w:rPr>
        <w:t xml:space="preserve"> sino con anterioridad al procedimiento</w:t>
      </w:r>
      <w:r w:rsidR="005F51A7">
        <w:rPr>
          <w:rFonts w:ascii="Bookman Old Style" w:hAnsi="Bookman Old Style"/>
        </w:rPr>
        <w:t xml:space="preserve"> mismo</w:t>
      </w:r>
      <w:r w:rsidR="009272D0">
        <w:rPr>
          <w:rFonts w:ascii="Bookman Old Style" w:hAnsi="Bookman Old Style"/>
        </w:rPr>
        <w:t xml:space="preserve">, </w:t>
      </w:r>
      <w:r w:rsidR="00B466E6">
        <w:rPr>
          <w:rFonts w:ascii="Bookman Old Style" w:hAnsi="Bookman Old Style"/>
        </w:rPr>
        <w:t>d</w:t>
      </w:r>
      <w:r w:rsidR="00AA74E9">
        <w:rPr>
          <w:rFonts w:ascii="Bookman Old Style" w:hAnsi="Bookman Old Style"/>
        </w:rPr>
        <w:t xml:space="preserve">ebido a que la CREG enfrentó problemas para realizar el cruce de las bases de datos de calidad y </w:t>
      </w:r>
      <w:r w:rsidR="005F51A7">
        <w:rPr>
          <w:rFonts w:ascii="Bookman Old Style" w:hAnsi="Bookman Old Style"/>
        </w:rPr>
        <w:t xml:space="preserve">de información </w:t>
      </w:r>
      <w:r w:rsidR="00AA74E9">
        <w:rPr>
          <w:rFonts w:ascii="Bookman Old Style" w:hAnsi="Bookman Old Style"/>
        </w:rPr>
        <w:t>comercial en diciembre del año 2008</w:t>
      </w:r>
      <w:r w:rsidR="005F51A7">
        <w:rPr>
          <w:rFonts w:ascii="Bookman Old Style" w:hAnsi="Bookman Old Style"/>
        </w:rPr>
        <w:t>,</w:t>
      </w:r>
      <w:r w:rsidR="00AA74E9">
        <w:rPr>
          <w:rFonts w:ascii="Bookman Old Style" w:hAnsi="Bookman Old Style"/>
        </w:rPr>
        <w:t xml:space="preserve"> </w:t>
      </w:r>
      <w:r w:rsidR="00FD0F8E">
        <w:rPr>
          <w:rFonts w:ascii="Bookman Old Style" w:hAnsi="Bookman Old Style"/>
        </w:rPr>
        <w:t xml:space="preserve">y con motivo de ello </w:t>
      </w:r>
      <w:r w:rsidR="00AA74E9">
        <w:rPr>
          <w:rFonts w:ascii="Bookman Old Style" w:hAnsi="Bookman Old Style"/>
        </w:rPr>
        <w:t>se expidió la Circular CREG 123 de 2008</w:t>
      </w:r>
      <w:r w:rsidR="005F51A7">
        <w:rPr>
          <w:rFonts w:ascii="Bookman Old Style" w:hAnsi="Bookman Old Style"/>
        </w:rPr>
        <w:t>,</w:t>
      </w:r>
      <w:r w:rsidR="00AA74E9">
        <w:rPr>
          <w:rFonts w:ascii="Bookman Old Style" w:hAnsi="Bookman Old Style"/>
        </w:rPr>
        <w:t xml:space="preserve"> a partir de la cual se dio la posibilidad a los OR de </w:t>
      </w:r>
      <w:r w:rsidR="005C10AC">
        <w:rPr>
          <w:rFonts w:ascii="Bookman Old Style" w:hAnsi="Bookman Old Style"/>
        </w:rPr>
        <w:t>informar sobre las equivalencias de códigos reportados entre las dos bases de datos.</w:t>
      </w:r>
    </w:p>
    <w:p w:rsidR="00F76A84" w:rsidRPr="00D107F5" w:rsidRDefault="00F76A84" w:rsidP="007A5A24">
      <w:pPr>
        <w:pStyle w:val="Textoindependiente2"/>
        <w:spacing w:line="240" w:lineRule="auto"/>
        <w:ind w:left="0"/>
        <w:jc w:val="both"/>
        <w:rPr>
          <w:rFonts w:ascii="Bookman Old Style" w:hAnsi="Bookman Old Style"/>
          <w:sz w:val="12"/>
        </w:rPr>
      </w:pPr>
    </w:p>
    <w:p w:rsidR="007D6F8D" w:rsidRDefault="005C10AC"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En respuesta a la citada circular, mediante la comunicación con radicado CREG E-2009-001401 del febrero 20 de 2009, la </w:t>
      </w:r>
      <w:r w:rsidRPr="005C10AC">
        <w:rPr>
          <w:rFonts w:ascii="Bookman Old Style" w:hAnsi="Bookman Old Style"/>
          <w:lang w:val="es-CO"/>
        </w:rPr>
        <w:t>Compañía Energética del Tolima S.A. E.S.P.</w:t>
      </w:r>
      <w:r>
        <w:rPr>
          <w:rFonts w:ascii="Bookman Old Style" w:hAnsi="Bookman Old Style"/>
          <w:lang w:val="es-CO"/>
        </w:rPr>
        <w:t xml:space="preserve"> entregó a la CREG la información sobre “</w:t>
      </w:r>
      <w:r w:rsidRPr="00034E89">
        <w:rPr>
          <w:rFonts w:ascii="Bookman Old Style" w:hAnsi="Bookman Old Style"/>
          <w:i/>
          <w:lang w:val="es-CO"/>
        </w:rPr>
        <w:t>los transforma</w:t>
      </w:r>
      <w:r w:rsidR="00034E89">
        <w:rPr>
          <w:rFonts w:ascii="Bookman Old Style" w:hAnsi="Bookman Old Style"/>
          <w:i/>
          <w:lang w:val="es-CO"/>
        </w:rPr>
        <w:t>dores reportados en el formato B</w:t>
      </w:r>
      <w:r w:rsidRPr="00034E89">
        <w:rPr>
          <w:rFonts w:ascii="Bookman Old Style" w:hAnsi="Bookman Old Style"/>
          <w:i/>
          <w:lang w:val="es-CO"/>
        </w:rPr>
        <w:t xml:space="preserve">2 del </w:t>
      </w:r>
      <w:r w:rsidR="00034E89" w:rsidRPr="00034E89">
        <w:rPr>
          <w:rFonts w:ascii="Bookman Old Style" w:hAnsi="Bookman Old Style"/>
          <w:i/>
          <w:lang w:val="es-CO"/>
        </w:rPr>
        <w:t xml:space="preserve">SUI </w:t>
      </w:r>
      <w:r w:rsidRPr="00034E89">
        <w:rPr>
          <w:rFonts w:ascii="Bookman Old Style" w:hAnsi="Bookman Old Style"/>
          <w:i/>
          <w:lang w:val="es-CO"/>
        </w:rPr>
        <w:t>y los código</w:t>
      </w:r>
      <w:r w:rsidR="00034E89">
        <w:rPr>
          <w:rFonts w:ascii="Bookman Old Style" w:hAnsi="Bookman Old Style"/>
          <w:i/>
          <w:lang w:val="es-CO"/>
        </w:rPr>
        <w:t>s equivalentes en los formatos C1 y C</w:t>
      </w:r>
      <w:r w:rsidRPr="00034E89">
        <w:rPr>
          <w:rFonts w:ascii="Bookman Old Style" w:hAnsi="Bookman Old Style"/>
          <w:i/>
          <w:lang w:val="es-CO"/>
        </w:rPr>
        <w:t>2, incluyendo la información reportada por otros comercializadores que atienden usuarios finales conectados a nuestra red.</w:t>
      </w:r>
      <w:r>
        <w:rPr>
          <w:rFonts w:ascii="Bookman Old Style" w:hAnsi="Bookman Old Style"/>
          <w:lang w:val="es-CO"/>
        </w:rPr>
        <w:t>”</w:t>
      </w:r>
      <w:r w:rsidR="00034E89">
        <w:rPr>
          <w:rFonts w:ascii="Bookman Old Style" w:hAnsi="Bookman Old Style"/>
          <w:lang w:val="es-CO"/>
        </w:rPr>
        <w:t xml:space="preserve"> </w:t>
      </w:r>
    </w:p>
    <w:p w:rsidR="00F76A84" w:rsidRPr="00D107F5" w:rsidRDefault="00F76A84" w:rsidP="00E950FF">
      <w:pPr>
        <w:pStyle w:val="Textoindependiente2"/>
        <w:spacing w:line="240" w:lineRule="auto"/>
        <w:ind w:left="0"/>
        <w:jc w:val="both"/>
        <w:rPr>
          <w:rFonts w:ascii="Bookman Old Style" w:hAnsi="Bookman Old Style"/>
          <w:sz w:val="18"/>
          <w:lang w:val="es-CO"/>
        </w:rPr>
      </w:pPr>
    </w:p>
    <w:p w:rsidR="002C16AD" w:rsidRDefault="00034E89" w:rsidP="00E950FF">
      <w:pPr>
        <w:pStyle w:val="Textoindependiente2"/>
        <w:spacing w:line="240" w:lineRule="auto"/>
        <w:ind w:left="0"/>
        <w:jc w:val="both"/>
        <w:rPr>
          <w:rFonts w:ascii="Bookman Old Style" w:hAnsi="Bookman Old Style"/>
          <w:lang w:val="es-CO"/>
        </w:rPr>
      </w:pPr>
      <w:r>
        <w:rPr>
          <w:rFonts w:ascii="Bookman Old Style" w:hAnsi="Bookman Old Style"/>
          <w:lang w:val="es-CO"/>
        </w:rPr>
        <w:t>En la m</w:t>
      </w:r>
      <w:r w:rsidR="005F51A7">
        <w:rPr>
          <w:rFonts w:ascii="Bookman Old Style" w:hAnsi="Bookman Old Style"/>
          <w:lang w:val="es-CO"/>
        </w:rPr>
        <w:t xml:space="preserve">encionada </w:t>
      </w:r>
      <w:r>
        <w:rPr>
          <w:rFonts w:ascii="Bookman Old Style" w:hAnsi="Bookman Old Style"/>
          <w:lang w:val="es-CO"/>
        </w:rPr>
        <w:t xml:space="preserve">comunicación la empresa afirma </w:t>
      </w:r>
      <w:r w:rsidR="005F51A7">
        <w:rPr>
          <w:rFonts w:ascii="Bookman Old Style" w:hAnsi="Bookman Old Style"/>
          <w:lang w:val="es-CO"/>
        </w:rPr>
        <w:t>lo siguiente</w:t>
      </w:r>
      <w:r>
        <w:rPr>
          <w:rFonts w:ascii="Bookman Old Style" w:hAnsi="Bookman Old Style"/>
          <w:lang w:val="es-CO"/>
        </w:rPr>
        <w:t>:</w:t>
      </w:r>
    </w:p>
    <w:p w:rsidR="00034E89" w:rsidRPr="007D6F8D" w:rsidRDefault="00034E89" w:rsidP="007D6F8D">
      <w:pPr>
        <w:pStyle w:val="Textoindependiente2"/>
        <w:tabs>
          <w:tab w:val="left" w:pos="8789"/>
        </w:tabs>
        <w:spacing w:line="240" w:lineRule="auto"/>
        <w:ind w:left="1134" w:right="567"/>
        <w:jc w:val="both"/>
        <w:rPr>
          <w:rFonts w:ascii="Bookman Old Style" w:hAnsi="Bookman Old Style"/>
          <w:i/>
          <w:lang w:val="es-CO"/>
        </w:rPr>
      </w:pPr>
      <w:r>
        <w:rPr>
          <w:rFonts w:ascii="Bookman Old Style" w:hAnsi="Bookman Old Style"/>
          <w:lang w:val="es-CO"/>
        </w:rPr>
        <w:t>“</w:t>
      </w:r>
      <w:r w:rsidRPr="007D6F8D">
        <w:rPr>
          <w:rFonts w:ascii="Bookman Old Style" w:hAnsi="Bookman Old Style"/>
          <w:i/>
          <w:lang w:val="es-CO"/>
        </w:rPr>
        <w:t xml:space="preserve">Con relación a la diferencia de transformadores reportados en el 2006 y 2007, es importante tener en cuenta que la compañía desarrolló un proyecto denominado sistema de información técnico SIT, que inició el primer semestre del 2007 y cuyo objeto fue levantamiento físico georreferenciado de la infraestructura </w:t>
      </w:r>
      <w:r w:rsidR="007D6F8D" w:rsidRPr="007D6F8D">
        <w:rPr>
          <w:rFonts w:ascii="Bookman Old Style" w:hAnsi="Bookman Old Style"/>
          <w:i/>
          <w:lang w:val="es-CO"/>
        </w:rPr>
        <w:t>eléctrica del D</w:t>
      </w:r>
      <w:r w:rsidRPr="007D6F8D">
        <w:rPr>
          <w:rFonts w:ascii="Bookman Old Style" w:hAnsi="Bookman Old Style"/>
          <w:i/>
          <w:lang w:val="es-CO"/>
        </w:rPr>
        <w:t xml:space="preserve">epartamento del </w:t>
      </w:r>
      <w:r w:rsidR="007D6F8D" w:rsidRPr="007D6F8D">
        <w:rPr>
          <w:rFonts w:ascii="Bookman Old Style" w:hAnsi="Bookman Old Style"/>
          <w:i/>
          <w:lang w:val="es-CO"/>
        </w:rPr>
        <w:t>T</w:t>
      </w:r>
      <w:r w:rsidRPr="007D6F8D">
        <w:rPr>
          <w:rFonts w:ascii="Bookman Old Style" w:hAnsi="Bookman Old Style"/>
          <w:i/>
          <w:lang w:val="es-CO"/>
        </w:rPr>
        <w:t xml:space="preserve">olima, que le permitió identificar los transformadores con sus respectivos clientes asociados y establecer compromisos de actualización de la información </w:t>
      </w:r>
      <w:r w:rsidRPr="007D6F8D">
        <w:rPr>
          <w:rFonts w:ascii="Bookman Old Style" w:hAnsi="Bookman Old Style"/>
          <w:i/>
          <w:lang w:val="es-CO"/>
        </w:rPr>
        <w:lastRenderedPageBreak/>
        <w:t>reportada en los</w:t>
      </w:r>
      <w:r w:rsidR="007D6F8D" w:rsidRPr="007D6F8D">
        <w:rPr>
          <w:rFonts w:ascii="Bookman Old Style" w:hAnsi="Bookman Old Style"/>
          <w:i/>
          <w:lang w:val="es-CO"/>
        </w:rPr>
        <w:t xml:space="preserve"> formatos B1, B</w:t>
      </w:r>
      <w:r w:rsidRPr="007D6F8D">
        <w:rPr>
          <w:rFonts w:ascii="Bookman Old Style" w:hAnsi="Bookman Old Style"/>
          <w:i/>
          <w:lang w:val="es-CO"/>
        </w:rPr>
        <w:t xml:space="preserve">2, </w:t>
      </w:r>
      <w:r w:rsidR="007D6F8D" w:rsidRPr="007D6F8D">
        <w:rPr>
          <w:rFonts w:ascii="Bookman Old Style" w:hAnsi="Bookman Old Style"/>
          <w:i/>
          <w:lang w:val="es-CO"/>
        </w:rPr>
        <w:t>C1 y C</w:t>
      </w:r>
      <w:r w:rsidRPr="007D6F8D">
        <w:rPr>
          <w:rFonts w:ascii="Bookman Old Style" w:hAnsi="Bookman Old Style"/>
          <w:i/>
          <w:lang w:val="es-CO"/>
        </w:rPr>
        <w:t xml:space="preserve">2 con la </w:t>
      </w:r>
      <w:r w:rsidR="007D6F8D" w:rsidRPr="007D6F8D">
        <w:rPr>
          <w:rFonts w:ascii="Bookman Old Style" w:hAnsi="Bookman Old Style"/>
          <w:i/>
          <w:lang w:val="es-CO"/>
        </w:rPr>
        <w:t>S</w:t>
      </w:r>
      <w:r w:rsidRPr="007D6F8D">
        <w:rPr>
          <w:rFonts w:ascii="Bookman Old Style" w:hAnsi="Bookman Old Style"/>
          <w:i/>
          <w:lang w:val="es-CO"/>
        </w:rPr>
        <w:t>uperintendencia</w:t>
      </w:r>
      <w:r w:rsidR="007D6F8D" w:rsidRPr="007D6F8D">
        <w:rPr>
          <w:rFonts w:ascii="Bookman Old Style" w:hAnsi="Bookman Old Style"/>
          <w:i/>
          <w:lang w:val="es-CO"/>
        </w:rPr>
        <w:t xml:space="preserve"> </w:t>
      </w:r>
      <w:r w:rsidRPr="007D6F8D">
        <w:rPr>
          <w:rFonts w:ascii="Bookman Old Style" w:hAnsi="Bookman Old Style"/>
          <w:i/>
          <w:lang w:val="es-CO"/>
        </w:rPr>
        <w:t xml:space="preserve">de </w:t>
      </w:r>
      <w:r w:rsidR="007D6F8D" w:rsidRPr="007D6F8D">
        <w:rPr>
          <w:rFonts w:ascii="Bookman Old Style" w:hAnsi="Bookman Old Style"/>
          <w:i/>
          <w:lang w:val="es-CO"/>
        </w:rPr>
        <w:t>S</w:t>
      </w:r>
      <w:r w:rsidRPr="007D6F8D">
        <w:rPr>
          <w:rFonts w:ascii="Bookman Old Style" w:hAnsi="Bookman Old Style"/>
          <w:i/>
          <w:lang w:val="es-CO"/>
        </w:rPr>
        <w:t xml:space="preserve">ervicios </w:t>
      </w:r>
      <w:r w:rsidR="007D6F8D" w:rsidRPr="007D6F8D">
        <w:rPr>
          <w:rFonts w:ascii="Bookman Old Style" w:hAnsi="Bookman Old Style"/>
          <w:i/>
          <w:lang w:val="es-CO"/>
        </w:rPr>
        <w:t>Públicos D</w:t>
      </w:r>
      <w:r w:rsidRPr="007D6F8D">
        <w:rPr>
          <w:rFonts w:ascii="Bookman Old Style" w:hAnsi="Bookman Old Style"/>
          <w:i/>
          <w:lang w:val="es-CO"/>
        </w:rPr>
        <w:t xml:space="preserve">omiciliarios a partir del año2007, que finalmente fueron plasmados en acta de fecha febrero 6 de 2008. </w:t>
      </w:r>
    </w:p>
    <w:p w:rsidR="00034E89" w:rsidRPr="007D6F8D" w:rsidRDefault="00034E89" w:rsidP="007D6F8D">
      <w:pPr>
        <w:pStyle w:val="Textoindependiente2"/>
        <w:tabs>
          <w:tab w:val="left" w:pos="8789"/>
        </w:tabs>
        <w:spacing w:line="240" w:lineRule="auto"/>
        <w:ind w:left="1134" w:right="567"/>
        <w:jc w:val="both"/>
        <w:rPr>
          <w:rFonts w:ascii="Bookman Old Style" w:hAnsi="Bookman Old Style"/>
          <w:i/>
          <w:lang w:val="es-CO"/>
        </w:rPr>
      </w:pPr>
      <w:r w:rsidRPr="007D6F8D">
        <w:rPr>
          <w:rFonts w:ascii="Bookman Old Style" w:hAnsi="Bookman Old Style"/>
          <w:i/>
          <w:lang w:val="es-CO"/>
        </w:rPr>
        <w:t xml:space="preserve">Puesto que la actualización de la información del </w:t>
      </w:r>
      <w:r w:rsidR="007D6F8D" w:rsidRPr="007D6F8D">
        <w:rPr>
          <w:rFonts w:ascii="Bookman Old Style" w:hAnsi="Bookman Old Style"/>
          <w:i/>
          <w:lang w:val="es-CO"/>
        </w:rPr>
        <w:t xml:space="preserve">SUI </w:t>
      </w:r>
      <w:r w:rsidRPr="007D6F8D">
        <w:rPr>
          <w:rFonts w:ascii="Bookman Old Style" w:hAnsi="Bookman Old Style"/>
          <w:i/>
          <w:lang w:val="es-CO"/>
        </w:rPr>
        <w:t>se realiz</w:t>
      </w:r>
      <w:r w:rsidR="007D6F8D" w:rsidRPr="007D6F8D">
        <w:rPr>
          <w:rFonts w:ascii="Bookman Old Style" w:hAnsi="Bookman Old Style"/>
          <w:i/>
          <w:lang w:val="es-CO"/>
        </w:rPr>
        <w:t>ó</w:t>
      </w:r>
      <w:r w:rsidRPr="007D6F8D">
        <w:rPr>
          <w:rFonts w:ascii="Bookman Old Style" w:hAnsi="Bookman Old Style"/>
          <w:i/>
          <w:lang w:val="es-CO"/>
        </w:rPr>
        <w:t xml:space="preserve"> gradualmente durante el año 2008, la compañía </w:t>
      </w:r>
      <w:r w:rsidR="007D6F8D" w:rsidRPr="007D6F8D">
        <w:rPr>
          <w:rFonts w:ascii="Bookman Old Style" w:hAnsi="Bookman Old Style"/>
          <w:i/>
          <w:lang w:val="es-CO"/>
        </w:rPr>
        <w:t>solicitó autorización a la S</w:t>
      </w:r>
      <w:r w:rsidRPr="007D6F8D">
        <w:rPr>
          <w:rFonts w:ascii="Bookman Old Style" w:hAnsi="Bookman Old Style"/>
          <w:i/>
          <w:lang w:val="es-CO"/>
        </w:rPr>
        <w:t xml:space="preserve">uperintendencia para la actualización de los formatos </w:t>
      </w:r>
      <w:r w:rsidR="007D6F8D" w:rsidRPr="007D6F8D">
        <w:rPr>
          <w:rFonts w:ascii="Bookman Old Style" w:hAnsi="Bookman Old Style"/>
          <w:i/>
          <w:lang w:val="es-CO"/>
        </w:rPr>
        <w:t xml:space="preserve">SUI </w:t>
      </w:r>
      <w:r w:rsidRPr="007D6F8D">
        <w:rPr>
          <w:rFonts w:ascii="Bookman Old Style" w:hAnsi="Bookman Old Style"/>
          <w:i/>
          <w:lang w:val="es-CO"/>
        </w:rPr>
        <w:t xml:space="preserve">a partir de enero de 2007 hasta mayo de 2008 mediante comunicación 720-3802 de junio de 2008, la cual fue aprobada mediante radicado </w:t>
      </w:r>
      <w:r w:rsidR="007D6F8D" w:rsidRPr="007D6F8D">
        <w:rPr>
          <w:rFonts w:ascii="Bookman Old Style" w:hAnsi="Bookman Old Style"/>
          <w:i/>
          <w:lang w:val="es-CO"/>
        </w:rPr>
        <w:t xml:space="preserve">SSPD </w:t>
      </w:r>
      <w:r w:rsidRPr="007D6F8D">
        <w:rPr>
          <w:rFonts w:ascii="Bookman Old Style" w:hAnsi="Bookman Old Style"/>
          <w:i/>
          <w:lang w:val="es-CO"/>
        </w:rPr>
        <w:t>20082200568961 de agosto de 2008 y realizada posteriormente.</w:t>
      </w:r>
    </w:p>
    <w:p w:rsidR="00034E89" w:rsidRDefault="00034E89" w:rsidP="007D6F8D">
      <w:pPr>
        <w:pStyle w:val="Textoindependiente2"/>
        <w:tabs>
          <w:tab w:val="left" w:pos="8789"/>
        </w:tabs>
        <w:spacing w:line="240" w:lineRule="auto"/>
        <w:ind w:left="1134" w:right="567"/>
        <w:jc w:val="both"/>
        <w:rPr>
          <w:rFonts w:ascii="Bookman Old Style" w:hAnsi="Bookman Old Style"/>
          <w:lang w:val="es-CO"/>
        </w:rPr>
      </w:pPr>
      <w:r w:rsidRPr="007D6F8D">
        <w:rPr>
          <w:rFonts w:ascii="Bookman Old Style" w:hAnsi="Bookman Old Style"/>
          <w:i/>
          <w:lang w:val="es-CO"/>
        </w:rPr>
        <w:t xml:space="preserve">En conclusión, la información reportada al </w:t>
      </w:r>
      <w:r w:rsidR="007D6F8D" w:rsidRPr="007D6F8D">
        <w:rPr>
          <w:rFonts w:ascii="Bookman Old Style" w:hAnsi="Bookman Old Style"/>
          <w:i/>
          <w:lang w:val="es-CO"/>
        </w:rPr>
        <w:t xml:space="preserve">SUI </w:t>
      </w:r>
      <w:r w:rsidRPr="007D6F8D">
        <w:rPr>
          <w:rFonts w:ascii="Bookman Old Style" w:hAnsi="Bookman Old Style"/>
          <w:i/>
          <w:lang w:val="es-CO"/>
        </w:rPr>
        <w:t>durante el año 2006 se diferencia de la reportada el 2007, porque esta última fue actualizada con la información del sistema de información técnico de la compañía</w:t>
      </w:r>
      <w:r w:rsidR="007D6F8D" w:rsidRPr="007D6F8D">
        <w:rPr>
          <w:rFonts w:ascii="Bookman Old Style" w:hAnsi="Bookman Old Style"/>
          <w:i/>
          <w:lang w:val="es-CO"/>
        </w:rPr>
        <w:t xml:space="preserve"> </w:t>
      </w:r>
      <w:r w:rsidRPr="007D6F8D">
        <w:rPr>
          <w:rFonts w:ascii="Bookman Old Style" w:hAnsi="Bookman Old Style"/>
          <w:i/>
          <w:lang w:val="es-CO"/>
        </w:rPr>
        <w:t xml:space="preserve">mediante </w:t>
      </w:r>
      <w:r w:rsidR="007D6F8D" w:rsidRPr="007D6F8D">
        <w:rPr>
          <w:rFonts w:ascii="Bookman Old Style" w:hAnsi="Bookman Old Style"/>
          <w:i/>
          <w:lang w:val="es-CO"/>
        </w:rPr>
        <w:t>autorización de la S</w:t>
      </w:r>
      <w:r w:rsidRPr="007D6F8D">
        <w:rPr>
          <w:rFonts w:ascii="Bookman Old Style" w:hAnsi="Bookman Old Style"/>
          <w:i/>
          <w:lang w:val="es-CO"/>
        </w:rPr>
        <w:t>uperintendencia</w:t>
      </w:r>
      <w:r w:rsidR="007D6F8D">
        <w:rPr>
          <w:rFonts w:ascii="Bookman Old Style" w:hAnsi="Bookman Old Style"/>
          <w:lang w:val="es-CO"/>
        </w:rPr>
        <w:t>”</w:t>
      </w:r>
    </w:p>
    <w:p w:rsidR="00C1686E" w:rsidRPr="00D107F5" w:rsidRDefault="00C1686E" w:rsidP="000E346A">
      <w:pPr>
        <w:pStyle w:val="Textoindependiente2"/>
        <w:spacing w:line="240" w:lineRule="auto"/>
        <w:jc w:val="both"/>
        <w:rPr>
          <w:rFonts w:ascii="Bookman Old Style" w:hAnsi="Bookman Old Style"/>
          <w:sz w:val="12"/>
          <w:lang w:val="es-CO"/>
        </w:rPr>
      </w:pPr>
    </w:p>
    <w:p w:rsidR="00FD0F8E" w:rsidRDefault="00FD0F8E"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Así mismo, mediante las circulares </w:t>
      </w:r>
      <w:r w:rsidRPr="00FD0F8E">
        <w:rPr>
          <w:rFonts w:ascii="Bookman Old Style" w:hAnsi="Bookman Old Style"/>
          <w:lang w:val="es-CO"/>
        </w:rPr>
        <w:t>047 y 050 de 2009, la CREG solicitó a los Operadores de Red información complementaria necesaria para el cálculo del IRAD</w:t>
      </w:r>
      <w:r>
        <w:rPr>
          <w:rFonts w:ascii="Bookman Old Style" w:hAnsi="Bookman Old Style"/>
          <w:lang w:val="es-CO"/>
        </w:rPr>
        <w:t xml:space="preserve"> y en el caso de la Compañía Energética del Tolima,  las empresas </w:t>
      </w:r>
      <w:r w:rsidRPr="00FD0F8E">
        <w:rPr>
          <w:rFonts w:ascii="Bookman Old Style" w:hAnsi="Bookman Old Style"/>
          <w:lang w:val="es-CO"/>
        </w:rPr>
        <w:t xml:space="preserve">Comercializar S.A. E.S.P., Dicel S.A. E.S.P., Empresa de Energía de Cundinamarca S.A. E.S.P., Electrificadora del Huila S.A. E.S.P., Empresas Públicas de Medellín E.S.P., Empresas Municipales de Cali E.I.C.E. E.S.P., Emgesa S.A. E.S.P., Empresa de Energía del Pacífico S.A. E.S.P, Enertotal S.A. E.S.P., Genercauca S.A. E.S.P., Isagen S.A. E.S.P y Termotasajero S.A.E.S.P. dieron respuesta a la Circular CREG 050 de 2009 sobre el mercado de </w:t>
      </w:r>
      <w:r>
        <w:rPr>
          <w:rFonts w:ascii="Bookman Old Style" w:hAnsi="Bookman Old Style"/>
          <w:lang w:val="es-CO"/>
        </w:rPr>
        <w:t xml:space="preserve">dicha empresa. </w:t>
      </w:r>
    </w:p>
    <w:p w:rsidR="00FD0F8E" w:rsidRPr="00D107F5" w:rsidRDefault="00FD0F8E" w:rsidP="000E346A">
      <w:pPr>
        <w:pStyle w:val="Textoindependiente2"/>
        <w:spacing w:line="240" w:lineRule="auto"/>
        <w:jc w:val="both"/>
        <w:rPr>
          <w:rFonts w:ascii="Bookman Old Style" w:hAnsi="Bookman Old Style"/>
          <w:sz w:val="18"/>
          <w:lang w:val="es-CO"/>
        </w:rPr>
      </w:pPr>
    </w:p>
    <w:p w:rsidR="000E346A" w:rsidRDefault="00297F2B"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De </w:t>
      </w:r>
      <w:r w:rsidR="000E346A">
        <w:rPr>
          <w:rFonts w:ascii="Bookman Old Style" w:hAnsi="Bookman Old Style"/>
          <w:lang w:val="es-CO"/>
        </w:rPr>
        <w:t xml:space="preserve">lo anterior, </w:t>
      </w:r>
      <w:r w:rsidR="005F51A7">
        <w:rPr>
          <w:rFonts w:ascii="Bookman Old Style" w:hAnsi="Bookman Old Style"/>
          <w:lang w:val="es-CO"/>
        </w:rPr>
        <w:t xml:space="preserve">es </w:t>
      </w:r>
      <w:r w:rsidR="00BB687D">
        <w:rPr>
          <w:rFonts w:ascii="Bookman Old Style" w:hAnsi="Bookman Old Style"/>
          <w:lang w:val="es-CO"/>
        </w:rPr>
        <w:t xml:space="preserve">claro que </w:t>
      </w:r>
      <w:r w:rsidR="00FD0F8E">
        <w:rPr>
          <w:rFonts w:ascii="Bookman Old Style" w:hAnsi="Bookman Old Style"/>
          <w:lang w:val="es-CO"/>
        </w:rPr>
        <w:t xml:space="preserve">no solamente </w:t>
      </w:r>
      <w:r w:rsidR="000E346A">
        <w:rPr>
          <w:rFonts w:ascii="Bookman Old Style" w:hAnsi="Bookman Old Style"/>
          <w:lang w:val="es-CO"/>
        </w:rPr>
        <w:t xml:space="preserve">durante la actuación administrativa </w:t>
      </w:r>
      <w:r w:rsidR="00BB687D">
        <w:rPr>
          <w:rFonts w:ascii="Bookman Old Style" w:hAnsi="Bookman Old Style"/>
          <w:lang w:val="es-CO"/>
        </w:rPr>
        <w:t>que se adelantó</w:t>
      </w:r>
      <w:r w:rsidR="00FD0F8E">
        <w:rPr>
          <w:rFonts w:ascii="Bookman Old Style" w:hAnsi="Bookman Old Style"/>
          <w:lang w:val="es-CO"/>
        </w:rPr>
        <w:t xml:space="preserve"> por parte de la CREG</w:t>
      </w:r>
      <w:r w:rsidR="00BB687D">
        <w:rPr>
          <w:rFonts w:ascii="Bookman Old Style" w:hAnsi="Bookman Old Style"/>
          <w:lang w:val="es-CO"/>
        </w:rPr>
        <w:t>,</w:t>
      </w:r>
      <w:r w:rsidR="00FD0F8E">
        <w:rPr>
          <w:rFonts w:ascii="Bookman Old Style" w:hAnsi="Bookman Old Style"/>
          <w:lang w:val="es-CO"/>
        </w:rPr>
        <w:t xml:space="preserve"> </w:t>
      </w:r>
      <w:r w:rsidR="00BB687D">
        <w:rPr>
          <w:rFonts w:ascii="Bookman Old Style" w:hAnsi="Bookman Old Style"/>
          <w:lang w:val="es-CO"/>
        </w:rPr>
        <w:t>se le otorgó</w:t>
      </w:r>
      <w:r w:rsidR="000E346A">
        <w:rPr>
          <w:rFonts w:ascii="Bookman Old Style" w:hAnsi="Bookman Old Style"/>
          <w:lang w:val="es-CO"/>
        </w:rPr>
        <w:t xml:space="preserve"> </w:t>
      </w:r>
      <w:r w:rsidR="00BB687D">
        <w:rPr>
          <w:rFonts w:ascii="Bookman Old Style" w:hAnsi="Bookman Old Style"/>
          <w:lang w:val="es-CO"/>
        </w:rPr>
        <w:t>a</w:t>
      </w:r>
      <w:r w:rsidR="005F51A7">
        <w:rPr>
          <w:rFonts w:ascii="Bookman Old Style" w:hAnsi="Bookman Old Style"/>
          <w:lang w:val="es-CO"/>
        </w:rPr>
        <w:t xml:space="preserve"> </w:t>
      </w:r>
      <w:r w:rsidR="00BB687D">
        <w:rPr>
          <w:rFonts w:ascii="Bookman Old Style" w:hAnsi="Bookman Old Style"/>
          <w:lang w:val="es-CO"/>
        </w:rPr>
        <w:t>l</w:t>
      </w:r>
      <w:r w:rsidR="005F51A7">
        <w:rPr>
          <w:rFonts w:ascii="Bookman Old Style" w:hAnsi="Bookman Old Style"/>
          <w:lang w:val="es-CO"/>
        </w:rPr>
        <w:t xml:space="preserve">a </w:t>
      </w:r>
      <w:r w:rsidR="00BB687D">
        <w:rPr>
          <w:rFonts w:ascii="Bookman Old Style" w:hAnsi="Bookman Old Style"/>
          <w:lang w:val="es-CO"/>
        </w:rPr>
        <w:t xml:space="preserve"> </w:t>
      </w:r>
      <w:r w:rsidR="005F51A7" w:rsidRPr="000E346A">
        <w:rPr>
          <w:rFonts w:ascii="Bookman Old Style" w:hAnsi="Bookman Old Style"/>
          <w:lang w:val="es-CO"/>
        </w:rPr>
        <w:t>Compañía Energética del Tolima S.A. E.S.P</w:t>
      </w:r>
      <w:r w:rsidR="005F51A7">
        <w:rPr>
          <w:rFonts w:ascii="Bookman Old Style" w:hAnsi="Bookman Old Style"/>
          <w:lang w:val="es-CO"/>
        </w:rPr>
        <w:t>,</w:t>
      </w:r>
      <w:r w:rsidR="00BB687D">
        <w:rPr>
          <w:rFonts w:ascii="Bookman Old Style" w:hAnsi="Bookman Old Style"/>
          <w:lang w:val="es-CO"/>
        </w:rPr>
        <w:t xml:space="preserve"> </w:t>
      </w:r>
      <w:r w:rsidR="000E346A">
        <w:rPr>
          <w:rFonts w:ascii="Bookman Old Style" w:hAnsi="Bookman Old Style"/>
          <w:lang w:val="es-CO"/>
        </w:rPr>
        <w:t xml:space="preserve">la posibilidad de realizar las aclaraciones necesarias o aportar la información </w:t>
      </w:r>
      <w:r>
        <w:rPr>
          <w:rFonts w:ascii="Bookman Old Style" w:hAnsi="Bookman Old Style"/>
          <w:lang w:val="es-CO"/>
        </w:rPr>
        <w:t xml:space="preserve">que </w:t>
      </w:r>
      <w:r w:rsidR="000E346A">
        <w:rPr>
          <w:rFonts w:ascii="Bookman Old Style" w:hAnsi="Bookman Old Style"/>
          <w:lang w:val="es-CO"/>
        </w:rPr>
        <w:t xml:space="preserve">complementara </w:t>
      </w:r>
      <w:r w:rsidR="009272D0">
        <w:rPr>
          <w:rFonts w:ascii="Bookman Old Style" w:hAnsi="Bookman Old Style"/>
          <w:lang w:val="es-CO"/>
        </w:rPr>
        <w:t xml:space="preserve">o ampliara </w:t>
      </w:r>
      <w:r w:rsidR="000E346A">
        <w:rPr>
          <w:rFonts w:ascii="Bookman Old Style" w:hAnsi="Bookman Old Style"/>
          <w:lang w:val="es-CO"/>
        </w:rPr>
        <w:t xml:space="preserve"> </w:t>
      </w:r>
      <w:r w:rsidR="00BB687D">
        <w:rPr>
          <w:rFonts w:ascii="Bookman Old Style" w:hAnsi="Bookman Old Style"/>
          <w:lang w:val="es-CO"/>
        </w:rPr>
        <w:t xml:space="preserve">aquella </w:t>
      </w:r>
      <w:r w:rsidR="000E346A">
        <w:rPr>
          <w:rFonts w:ascii="Bookman Old Style" w:hAnsi="Bookman Old Style"/>
          <w:lang w:val="es-CO"/>
        </w:rPr>
        <w:t>información de calidad y comercial reportada al SUI</w:t>
      </w:r>
      <w:r w:rsidR="00FD0F8E">
        <w:rPr>
          <w:rFonts w:ascii="Bookman Old Style" w:hAnsi="Bookman Old Style"/>
          <w:lang w:val="es-CO"/>
        </w:rPr>
        <w:t>, sino que inclusive con anterioridad a que se diera apertura de la respectiva actuación administrativa</w:t>
      </w:r>
      <w:r w:rsidR="00C4159E">
        <w:rPr>
          <w:rFonts w:ascii="Bookman Old Style" w:hAnsi="Bookman Old Style"/>
          <w:lang w:val="es-CO"/>
        </w:rPr>
        <w:t>,</w:t>
      </w:r>
      <w:r w:rsidR="00FD0F8E">
        <w:rPr>
          <w:rFonts w:ascii="Bookman Old Style" w:hAnsi="Bookman Old Style"/>
          <w:lang w:val="es-CO"/>
        </w:rPr>
        <w:t xml:space="preserve"> se le permitió al OR hacerlo.</w:t>
      </w:r>
      <w:r w:rsidR="000E346A">
        <w:rPr>
          <w:rFonts w:ascii="Bookman Old Style" w:hAnsi="Bookman Old Style"/>
          <w:lang w:val="es-CO"/>
        </w:rPr>
        <w:t xml:space="preserve"> </w:t>
      </w:r>
    </w:p>
    <w:p w:rsidR="00C4159E" w:rsidRPr="00D107F5" w:rsidRDefault="00C4159E" w:rsidP="00E950FF">
      <w:pPr>
        <w:pStyle w:val="Textoindependiente2"/>
        <w:spacing w:line="240" w:lineRule="auto"/>
        <w:ind w:left="0"/>
        <w:jc w:val="both"/>
        <w:rPr>
          <w:rFonts w:ascii="Bookman Old Style" w:hAnsi="Bookman Old Style"/>
          <w:sz w:val="18"/>
          <w:lang w:val="es-CO"/>
        </w:rPr>
      </w:pPr>
    </w:p>
    <w:p w:rsidR="000E346A" w:rsidRDefault="000E346A"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Para el caso particular de la </w:t>
      </w:r>
      <w:r w:rsidRPr="000E346A">
        <w:rPr>
          <w:rFonts w:ascii="Bookman Old Style" w:hAnsi="Bookman Old Style"/>
          <w:lang w:val="es-CO"/>
        </w:rPr>
        <w:t>Compañía Energética del Tolima S.A. E.S.P.</w:t>
      </w:r>
      <w:r w:rsidR="005F51A7">
        <w:rPr>
          <w:rFonts w:ascii="Bookman Old Style" w:hAnsi="Bookman Old Style"/>
          <w:lang w:val="es-CO"/>
        </w:rPr>
        <w:t>,</w:t>
      </w:r>
      <w:r>
        <w:rPr>
          <w:rFonts w:ascii="Bookman Old Style" w:hAnsi="Bookman Old Style"/>
          <w:lang w:val="es-CO"/>
        </w:rPr>
        <w:t xml:space="preserve"> la CREG encuentra que mediante la comunicación CREG E-2009-001401, la empresa </w:t>
      </w:r>
      <w:r w:rsidR="005F51A7">
        <w:rPr>
          <w:rFonts w:ascii="Bookman Old Style" w:hAnsi="Bookman Old Style"/>
          <w:lang w:val="es-CO"/>
        </w:rPr>
        <w:t>aclaró y complement</w:t>
      </w:r>
      <w:r w:rsidR="00F62AF2">
        <w:rPr>
          <w:rFonts w:ascii="Bookman Old Style" w:hAnsi="Bookman Old Style"/>
          <w:lang w:val="es-CO"/>
        </w:rPr>
        <w:t>ó</w:t>
      </w:r>
      <w:r w:rsidR="005F51A7">
        <w:rPr>
          <w:rFonts w:ascii="Bookman Old Style" w:hAnsi="Bookman Old Style"/>
          <w:lang w:val="es-CO"/>
        </w:rPr>
        <w:t xml:space="preserve"> </w:t>
      </w:r>
      <w:r>
        <w:rPr>
          <w:rFonts w:ascii="Bookman Old Style" w:hAnsi="Bookman Old Style"/>
          <w:lang w:val="es-CO"/>
        </w:rPr>
        <w:t xml:space="preserve">la información que </w:t>
      </w:r>
      <w:r w:rsidR="005F51A7">
        <w:rPr>
          <w:rFonts w:ascii="Bookman Old Style" w:hAnsi="Bookman Old Style"/>
          <w:lang w:val="es-CO"/>
        </w:rPr>
        <w:t xml:space="preserve">se tenía reportada en el SUI </w:t>
      </w:r>
      <w:r>
        <w:rPr>
          <w:rFonts w:ascii="Bookman Old Style" w:hAnsi="Bookman Old Style"/>
          <w:lang w:val="es-CO"/>
        </w:rPr>
        <w:t xml:space="preserve">sobre </w:t>
      </w:r>
      <w:r w:rsidR="005F51A7">
        <w:rPr>
          <w:rFonts w:ascii="Bookman Old Style" w:hAnsi="Bookman Old Style"/>
          <w:lang w:val="es-CO"/>
        </w:rPr>
        <w:t xml:space="preserve">la </w:t>
      </w:r>
      <w:r>
        <w:rPr>
          <w:rFonts w:ascii="Bookman Old Style" w:hAnsi="Bookman Old Style"/>
          <w:lang w:val="es-CO"/>
        </w:rPr>
        <w:t xml:space="preserve">vinculación de usuarios a la red y </w:t>
      </w:r>
      <w:r w:rsidR="005F51A7">
        <w:rPr>
          <w:rFonts w:ascii="Bookman Old Style" w:hAnsi="Bookman Old Style"/>
          <w:lang w:val="es-CO"/>
        </w:rPr>
        <w:t>fue es</w:t>
      </w:r>
      <w:r>
        <w:rPr>
          <w:rFonts w:ascii="Bookman Old Style" w:hAnsi="Bookman Old Style"/>
          <w:lang w:val="es-CO"/>
        </w:rPr>
        <w:t xml:space="preserve">ta </w:t>
      </w:r>
      <w:r w:rsidR="005F51A7">
        <w:rPr>
          <w:rFonts w:ascii="Bookman Old Style" w:hAnsi="Bookman Old Style"/>
          <w:lang w:val="es-CO"/>
        </w:rPr>
        <w:t xml:space="preserve">la </w:t>
      </w:r>
      <w:r>
        <w:rPr>
          <w:rFonts w:ascii="Bookman Old Style" w:hAnsi="Bookman Old Style"/>
          <w:lang w:val="es-CO"/>
        </w:rPr>
        <w:t>información utilizada para el cálculo de los índices de referencia de la discontinuidad establecidos mediante la Resolución CREG 167 de 2010.</w:t>
      </w:r>
    </w:p>
    <w:p w:rsidR="00F76A84" w:rsidRDefault="00F76A84" w:rsidP="00E950FF">
      <w:pPr>
        <w:pStyle w:val="Textoindependiente2"/>
        <w:spacing w:line="240" w:lineRule="auto"/>
        <w:ind w:left="0"/>
        <w:jc w:val="both"/>
        <w:rPr>
          <w:rFonts w:ascii="Bookman Old Style" w:hAnsi="Bookman Old Style"/>
          <w:sz w:val="16"/>
          <w:lang w:val="es-CO"/>
        </w:rPr>
      </w:pPr>
    </w:p>
    <w:p w:rsidR="005F51A7" w:rsidRDefault="005F51A7" w:rsidP="00E950FF">
      <w:pPr>
        <w:pStyle w:val="Textoindependiente2"/>
        <w:spacing w:line="240" w:lineRule="auto"/>
        <w:ind w:left="0"/>
        <w:jc w:val="both"/>
        <w:rPr>
          <w:rFonts w:ascii="Bookman Old Style" w:hAnsi="Bookman Old Style"/>
          <w:sz w:val="16"/>
          <w:lang w:val="es-CO"/>
        </w:rPr>
      </w:pPr>
      <w:r w:rsidRPr="0090286E">
        <w:rPr>
          <w:rFonts w:ascii="Bookman Old Style" w:hAnsi="Bookman Old Style"/>
          <w:lang w:val="es-CO"/>
        </w:rPr>
        <w:t>Por lo anterior</w:t>
      </w:r>
      <w:r w:rsidR="0090286E" w:rsidRPr="0090286E">
        <w:rPr>
          <w:rFonts w:ascii="Bookman Old Style" w:hAnsi="Bookman Old Style"/>
          <w:lang w:val="es-CO"/>
        </w:rPr>
        <w:t>,</w:t>
      </w:r>
      <w:r w:rsidRPr="0090286E">
        <w:rPr>
          <w:rFonts w:ascii="Bookman Old Style" w:hAnsi="Bookman Old Style"/>
          <w:lang w:val="es-CO"/>
        </w:rPr>
        <w:t xml:space="preserve"> debe concluirse que la </w:t>
      </w:r>
      <w:r w:rsidRPr="000E346A">
        <w:rPr>
          <w:rFonts w:ascii="Bookman Old Style" w:hAnsi="Bookman Old Style"/>
          <w:lang w:val="es-CO"/>
        </w:rPr>
        <w:t>Compañía Energética del Tolima S.A. E.S.P</w:t>
      </w:r>
      <w:r>
        <w:rPr>
          <w:rFonts w:ascii="Bookman Old Style" w:hAnsi="Bookman Old Style"/>
          <w:lang w:val="es-CO"/>
        </w:rPr>
        <w:t xml:space="preserve">, tuvo la oportunidad de ampliar, </w:t>
      </w:r>
      <w:r w:rsidR="0090286E">
        <w:rPr>
          <w:rFonts w:ascii="Bookman Old Style" w:hAnsi="Bookman Old Style"/>
          <w:lang w:val="es-CO"/>
        </w:rPr>
        <w:t>complementar</w:t>
      </w:r>
      <w:r>
        <w:rPr>
          <w:rFonts w:ascii="Bookman Old Style" w:hAnsi="Bookman Old Style"/>
          <w:lang w:val="es-CO"/>
        </w:rPr>
        <w:t xml:space="preserve"> y aclarar la </w:t>
      </w:r>
      <w:r w:rsidR="0090286E">
        <w:rPr>
          <w:rFonts w:ascii="Bookman Old Style" w:hAnsi="Bookman Old Style"/>
          <w:lang w:val="es-CO"/>
        </w:rPr>
        <w:t>información</w:t>
      </w:r>
      <w:r>
        <w:rPr>
          <w:rFonts w:ascii="Bookman Old Style" w:hAnsi="Bookman Old Style"/>
          <w:lang w:val="es-CO"/>
        </w:rPr>
        <w:t xml:space="preserve"> reportada en el SUI</w:t>
      </w:r>
      <w:r w:rsidR="0090286E">
        <w:rPr>
          <w:rFonts w:ascii="Bookman Old Style" w:hAnsi="Bookman Old Style"/>
          <w:lang w:val="es-CO"/>
        </w:rPr>
        <w:t>,</w:t>
      </w:r>
      <w:r>
        <w:rPr>
          <w:rFonts w:ascii="Bookman Old Style" w:hAnsi="Bookman Old Style"/>
          <w:lang w:val="es-CO"/>
        </w:rPr>
        <w:t xml:space="preserve"> no solamente durante la respectiva actuación </w:t>
      </w:r>
      <w:r w:rsidR="0090286E">
        <w:rPr>
          <w:rFonts w:ascii="Bookman Old Style" w:hAnsi="Bookman Old Style"/>
          <w:lang w:val="es-CO"/>
        </w:rPr>
        <w:t>administrativa</w:t>
      </w:r>
      <w:r>
        <w:rPr>
          <w:rFonts w:ascii="Bookman Old Style" w:hAnsi="Bookman Old Style"/>
          <w:lang w:val="es-CO"/>
        </w:rPr>
        <w:t xml:space="preserve"> que adela</w:t>
      </w:r>
      <w:r w:rsidR="0090286E">
        <w:rPr>
          <w:rFonts w:ascii="Bookman Old Style" w:hAnsi="Bookman Old Style"/>
          <w:lang w:val="es-CO"/>
        </w:rPr>
        <w:t>n</w:t>
      </w:r>
      <w:r>
        <w:rPr>
          <w:rFonts w:ascii="Bookman Old Style" w:hAnsi="Bookman Old Style"/>
          <w:lang w:val="es-CO"/>
        </w:rPr>
        <w:t xml:space="preserve">to esta </w:t>
      </w:r>
      <w:r w:rsidR="0090286E">
        <w:rPr>
          <w:rFonts w:ascii="Bookman Old Style" w:hAnsi="Bookman Old Style"/>
          <w:lang w:val="es-CO"/>
        </w:rPr>
        <w:t>C</w:t>
      </w:r>
      <w:r>
        <w:rPr>
          <w:rFonts w:ascii="Bookman Old Style" w:hAnsi="Bookman Old Style"/>
          <w:lang w:val="es-CO"/>
        </w:rPr>
        <w:t xml:space="preserve">omisión y que culmino con la aprobación de </w:t>
      </w:r>
      <w:r w:rsidR="0090286E">
        <w:rPr>
          <w:rFonts w:ascii="Bookman Old Style" w:hAnsi="Bookman Old Style"/>
          <w:lang w:val="es-CO"/>
        </w:rPr>
        <w:t>los</w:t>
      </w:r>
      <w:r>
        <w:rPr>
          <w:rFonts w:ascii="Bookman Old Style" w:hAnsi="Bookman Old Style"/>
          <w:lang w:val="es-CO"/>
        </w:rPr>
        <w:t xml:space="preserve"> </w:t>
      </w:r>
      <w:r w:rsidR="0090286E">
        <w:rPr>
          <w:rFonts w:ascii="Bookman Old Style" w:hAnsi="Bookman Old Style"/>
          <w:lang w:val="es-CO"/>
        </w:rPr>
        <w:t>índices</w:t>
      </w:r>
      <w:r>
        <w:rPr>
          <w:rFonts w:ascii="Bookman Old Style" w:hAnsi="Bookman Old Style"/>
          <w:lang w:val="es-CO"/>
        </w:rPr>
        <w:t xml:space="preserve"> </w:t>
      </w:r>
      <w:r w:rsidR="0090286E" w:rsidRPr="0090286E">
        <w:rPr>
          <w:rFonts w:ascii="Bookman Old Style" w:hAnsi="Bookman Old Style"/>
          <w:lang w:val="es-CO"/>
        </w:rPr>
        <w:t>de Referencia de la Discontinuidad</w:t>
      </w:r>
      <w:r w:rsidR="0090286E">
        <w:rPr>
          <w:rFonts w:ascii="Bookman Old Style" w:hAnsi="Bookman Old Style"/>
          <w:lang w:val="es-CO"/>
        </w:rPr>
        <w:t>,</w:t>
      </w:r>
      <w:r w:rsidR="0090286E" w:rsidRPr="0090286E">
        <w:rPr>
          <w:rFonts w:ascii="Bookman Old Style" w:hAnsi="Bookman Old Style"/>
          <w:lang w:val="es-CO"/>
        </w:rPr>
        <w:t xml:space="preserve"> sino </w:t>
      </w:r>
      <w:r w:rsidR="0090286E">
        <w:rPr>
          <w:rFonts w:ascii="Bookman Old Style" w:hAnsi="Bookman Old Style"/>
          <w:lang w:val="es-CO"/>
        </w:rPr>
        <w:t xml:space="preserve">inclusive </w:t>
      </w:r>
      <w:r w:rsidR="0090286E" w:rsidRPr="0090286E">
        <w:rPr>
          <w:rFonts w:ascii="Bookman Old Style" w:hAnsi="Bookman Old Style"/>
          <w:lang w:val="es-CO"/>
        </w:rPr>
        <w:t>con anterioridad a la misma, por lo cual no puede ser llamado a prosperar el argumento dado por el recurrente</w:t>
      </w:r>
      <w:r w:rsidR="0090286E">
        <w:rPr>
          <w:rFonts w:ascii="Bookman Old Style" w:hAnsi="Bookman Old Style"/>
          <w:lang w:val="es-CO"/>
        </w:rPr>
        <w:t xml:space="preserve">, en sentido en que la CREG </w:t>
      </w:r>
      <w:r w:rsidR="0090286E">
        <w:rPr>
          <w:rFonts w:ascii="Bookman Old Style" w:hAnsi="Bookman Old Style"/>
        </w:rPr>
        <w:t xml:space="preserve">no hizo uso de las facultades que </w:t>
      </w:r>
      <w:r w:rsidR="0090286E">
        <w:rPr>
          <w:rFonts w:ascii="Bookman Old Style" w:hAnsi="Bookman Old Style"/>
        </w:rPr>
        <w:lastRenderedPageBreak/>
        <w:t xml:space="preserve">le confiere la ley para ampliar o complementar la información reportada en el SUI. </w:t>
      </w:r>
    </w:p>
    <w:p w:rsidR="004D0CC4" w:rsidRDefault="004D0CC4"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En relación </w:t>
      </w:r>
      <w:r w:rsidR="002049EA">
        <w:rPr>
          <w:rFonts w:ascii="Bookman Old Style" w:hAnsi="Bookman Old Style"/>
          <w:lang w:val="es-CO"/>
        </w:rPr>
        <w:t>a la</w:t>
      </w:r>
      <w:r w:rsidR="00FD0F8E">
        <w:rPr>
          <w:rFonts w:ascii="Bookman Old Style" w:hAnsi="Bookman Old Style"/>
          <w:lang w:val="es-CO"/>
        </w:rPr>
        <w:t xml:space="preserve"> supuesta </w:t>
      </w:r>
      <w:r w:rsidR="002049EA">
        <w:rPr>
          <w:rFonts w:ascii="Bookman Old Style" w:hAnsi="Bookman Old Style"/>
          <w:lang w:val="es-CO"/>
        </w:rPr>
        <w:t xml:space="preserve">incongruencia </w:t>
      </w:r>
      <w:r w:rsidR="00FD0F8E">
        <w:rPr>
          <w:rFonts w:ascii="Bookman Old Style" w:hAnsi="Bookman Old Style"/>
          <w:lang w:val="es-CO"/>
        </w:rPr>
        <w:t xml:space="preserve">entre </w:t>
      </w:r>
      <w:r w:rsidR="002049EA">
        <w:rPr>
          <w:rFonts w:ascii="Bookman Old Style" w:hAnsi="Bookman Old Style"/>
          <w:lang w:val="es-CO"/>
        </w:rPr>
        <w:t xml:space="preserve">la información de la empresa y </w:t>
      </w:r>
      <w:r w:rsidR="00FD0F8E">
        <w:rPr>
          <w:rFonts w:ascii="Bookman Old Style" w:hAnsi="Bookman Old Style"/>
          <w:lang w:val="es-CO"/>
        </w:rPr>
        <w:t xml:space="preserve">aquella que aparece </w:t>
      </w:r>
      <w:r w:rsidR="002049EA">
        <w:rPr>
          <w:rFonts w:ascii="Bookman Old Style" w:hAnsi="Bookman Old Style"/>
          <w:lang w:val="es-CO"/>
        </w:rPr>
        <w:t>reportada en el SUI</w:t>
      </w:r>
      <w:r w:rsidR="00C4159E">
        <w:rPr>
          <w:rFonts w:ascii="Bookman Old Style" w:hAnsi="Bookman Old Style"/>
          <w:lang w:val="es-CO"/>
        </w:rPr>
        <w:t xml:space="preserve">, </w:t>
      </w:r>
      <w:r w:rsidR="009272D0">
        <w:rPr>
          <w:rFonts w:ascii="Bookman Old Style" w:hAnsi="Bookman Old Style"/>
          <w:lang w:val="es-CO"/>
        </w:rPr>
        <w:t xml:space="preserve">que </w:t>
      </w:r>
      <w:r w:rsidR="00984C26">
        <w:rPr>
          <w:rFonts w:ascii="Bookman Old Style" w:hAnsi="Bookman Old Style"/>
          <w:lang w:val="es-CO"/>
        </w:rPr>
        <w:t>alega la</w:t>
      </w:r>
      <w:r w:rsidR="00FD0F8E">
        <w:rPr>
          <w:rFonts w:ascii="Bookman Old Style" w:hAnsi="Bookman Old Style"/>
          <w:lang w:val="es-CO"/>
        </w:rPr>
        <w:t xml:space="preserve"> recurrente en su escrito, </w:t>
      </w:r>
      <w:r>
        <w:rPr>
          <w:rFonts w:ascii="Bookman Old Style" w:hAnsi="Bookman Old Style"/>
          <w:lang w:val="es-CO"/>
        </w:rPr>
        <w:t xml:space="preserve">le </w:t>
      </w:r>
      <w:r w:rsidR="0090286E">
        <w:rPr>
          <w:rFonts w:ascii="Bookman Old Style" w:hAnsi="Bookman Old Style"/>
          <w:lang w:val="es-CO"/>
        </w:rPr>
        <w:t xml:space="preserve">resulta extraño a </w:t>
      </w:r>
      <w:r>
        <w:rPr>
          <w:rFonts w:ascii="Bookman Old Style" w:hAnsi="Bookman Old Style"/>
          <w:lang w:val="es-CO"/>
        </w:rPr>
        <w:t xml:space="preserve">esta Comisión como </w:t>
      </w:r>
      <w:r w:rsidR="0090286E">
        <w:rPr>
          <w:rFonts w:ascii="Bookman Old Style" w:hAnsi="Bookman Old Style"/>
          <w:lang w:val="es-CO"/>
        </w:rPr>
        <w:t>se puede argumentar tal situación</w:t>
      </w:r>
      <w:r w:rsidR="00101A98">
        <w:rPr>
          <w:rFonts w:ascii="Bookman Old Style" w:hAnsi="Bookman Old Style"/>
          <w:lang w:val="es-CO"/>
        </w:rPr>
        <w:t>, pues de lo informado por l</w:t>
      </w:r>
      <w:r w:rsidR="009272D0">
        <w:rPr>
          <w:rFonts w:ascii="Bookman Old Style" w:hAnsi="Bookman Old Style"/>
          <w:lang w:val="es-CO"/>
        </w:rPr>
        <w:t>a</w:t>
      </w:r>
      <w:r w:rsidR="00101A98">
        <w:rPr>
          <w:rFonts w:ascii="Bookman Old Style" w:hAnsi="Bookman Old Style"/>
          <w:lang w:val="es-CO"/>
        </w:rPr>
        <w:t xml:space="preserve"> </w:t>
      </w:r>
      <w:r w:rsidR="009272D0">
        <w:rPr>
          <w:rFonts w:ascii="Bookman Old Style" w:hAnsi="Bookman Old Style"/>
          <w:lang w:val="es-CO"/>
        </w:rPr>
        <w:t>compañía en varias oportunidades</w:t>
      </w:r>
      <w:r w:rsidR="0090286E">
        <w:rPr>
          <w:rFonts w:ascii="Bookman Old Style" w:hAnsi="Bookman Old Style"/>
          <w:lang w:val="es-CO"/>
        </w:rPr>
        <w:t>,</w:t>
      </w:r>
      <w:r w:rsidR="009272D0">
        <w:rPr>
          <w:rFonts w:ascii="Bookman Old Style" w:hAnsi="Bookman Old Style"/>
          <w:lang w:val="es-CO"/>
        </w:rPr>
        <w:t xml:space="preserve"> </w:t>
      </w:r>
      <w:r w:rsidR="00101A98">
        <w:rPr>
          <w:rFonts w:ascii="Bookman Old Style" w:hAnsi="Bookman Old Style"/>
          <w:lang w:val="es-CO"/>
        </w:rPr>
        <w:t>se entendía que se contaba con excelentes esquemas de manejo y de reporte de información</w:t>
      </w:r>
      <w:r w:rsidR="00C4159E">
        <w:rPr>
          <w:rFonts w:ascii="Bookman Old Style" w:hAnsi="Bookman Old Style"/>
          <w:lang w:val="es-CO"/>
        </w:rPr>
        <w:t xml:space="preserve"> para los temas comerciales y de calidad</w:t>
      </w:r>
      <w:r w:rsidR="0090286E">
        <w:rPr>
          <w:rFonts w:ascii="Bookman Old Style" w:hAnsi="Bookman Old Style"/>
          <w:lang w:val="es-CO"/>
        </w:rPr>
        <w:t xml:space="preserve"> de la empresa</w:t>
      </w:r>
      <w:r>
        <w:rPr>
          <w:rFonts w:ascii="Bookman Old Style" w:hAnsi="Bookman Old Style"/>
          <w:lang w:val="es-CO"/>
        </w:rPr>
        <w:t xml:space="preserve">. </w:t>
      </w:r>
    </w:p>
    <w:p w:rsidR="00F76A84" w:rsidRPr="00D107F5" w:rsidRDefault="00F76A84" w:rsidP="00E950FF">
      <w:pPr>
        <w:pStyle w:val="Textoindependiente2"/>
        <w:spacing w:line="240" w:lineRule="auto"/>
        <w:ind w:left="0"/>
        <w:jc w:val="both"/>
        <w:rPr>
          <w:rFonts w:ascii="Bookman Old Style" w:hAnsi="Bookman Old Style"/>
          <w:sz w:val="10"/>
          <w:lang w:val="es-CO"/>
        </w:rPr>
      </w:pPr>
    </w:p>
    <w:p w:rsidR="004D0CC4" w:rsidRDefault="004D0CC4"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Al respecto, vale la pena </w:t>
      </w:r>
      <w:r w:rsidR="00C1686E">
        <w:rPr>
          <w:rFonts w:ascii="Bookman Old Style" w:hAnsi="Bookman Old Style"/>
          <w:lang w:val="es-CO"/>
        </w:rPr>
        <w:t xml:space="preserve">resaltar </w:t>
      </w:r>
      <w:r w:rsidR="0090286E">
        <w:rPr>
          <w:rFonts w:ascii="Bookman Old Style" w:hAnsi="Bookman Old Style"/>
          <w:lang w:val="es-CO"/>
        </w:rPr>
        <w:t xml:space="preserve">lo manifestado </w:t>
      </w:r>
      <w:r w:rsidR="00C1686E">
        <w:rPr>
          <w:rFonts w:ascii="Bookman Old Style" w:hAnsi="Bookman Old Style"/>
          <w:lang w:val="es-CO"/>
        </w:rPr>
        <w:t xml:space="preserve">por la </w:t>
      </w:r>
      <w:r w:rsidR="00C1686E" w:rsidRPr="00C1686E">
        <w:rPr>
          <w:rFonts w:ascii="Bookman Old Style" w:hAnsi="Bookman Old Style"/>
          <w:lang w:val="es-CO"/>
        </w:rPr>
        <w:t>Compañía Energética del Tolima S.A. E.S.P.</w:t>
      </w:r>
      <w:r w:rsidR="00C1686E">
        <w:rPr>
          <w:rFonts w:ascii="Bookman Old Style" w:hAnsi="Bookman Old Style"/>
          <w:lang w:val="es-CO"/>
        </w:rPr>
        <w:t xml:space="preserve">, </w:t>
      </w:r>
      <w:r w:rsidR="0090286E">
        <w:rPr>
          <w:rFonts w:ascii="Bookman Old Style" w:hAnsi="Bookman Old Style"/>
          <w:lang w:val="es-CO"/>
        </w:rPr>
        <w:t xml:space="preserve">en </w:t>
      </w:r>
      <w:r w:rsidR="00C1686E">
        <w:rPr>
          <w:rFonts w:ascii="Bookman Old Style" w:hAnsi="Bookman Old Style"/>
          <w:lang w:val="es-CO"/>
        </w:rPr>
        <w:t xml:space="preserve">la comunicación con radicado CREG E-2010-001896 de marzo 01 de 2010, en el </w:t>
      </w:r>
      <w:r w:rsidR="0090286E">
        <w:rPr>
          <w:rFonts w:ascii="Bookman Old Style" w:hAnsi="Bookman Old Style"/>
          <w:lang w:val="es-CO"/>
        </w:rPr>
        <w:t xml:space="preserve">cual </w:t>
      </w:r>
      <w:r w:rsidR="00C1686E">
        <w:rPr>
          <w:rFonts w:ascii="Bookman Old Style" w:hAnsi="Bookman Old Style"/>
          <w:lang w:val="es-CO"/>
        </w:rPr>
        <w:t xml:space="preserve"> </w:t>
      </w:r>
      <w:r w:rsidR="00C4159E">
        <w:rPr>
          <w:rFonts w:ascii="Bookman Old Style" w:hAnsi="Bookman Old Style"/>
          <w:lang w:val="es-CO"/>
        </w:rPr>
        <w:t>se</w:t>
      </w:r>
      <w:r w:rsidR="00C1686E">
        <w:rPr>
          <w:rFonts w:ascii="Bookman Old Style" w:hAnsi="Bookman Old Style"/>
          <w:lang w:val="es-CO"/>
        </w:rPr>
        <w:t xml:space="preserve"> </w:t>
      </w:r>
      <w:r w:rsidR="002049EA">
        <w:rPr>
          <w:rFonts w:ascii="Bookman Old Style" w:hAnsi="Bookman Old Style"/>
          <w:lang w:val="es-CO"/>
        </w:rPr>
        <w:t xml:space="preserve">le </w:t>
      </w:r>
      <w:r w:rsidR="00C1686E">
        <w:rPr>
          <w:rFonts w:ascii="Bookman Old Style" w:hAnsi="Bookman Old Style"/>
          <w:lang w:val="es-CO"/>
        </w:rPr>
        <w:t>informó a la CREG sobre el desarrollo que venía llevando a cabo para la implementación de los esquemas de calidad del servicio</w:t>
      </w:r>
      <w:r>
        <w:rPr>
          <w:rFonts w:ascii="Bookman Old Style" w:hAnsi="Bookman Old Style"/>
          <w:lang w:val="es-CO"/>
        </w:rPr>
        <w:t>.</w:t>
      </w:r>
    </w:p>
    <w:p w:rsidR="00F76A84" w:rsidRPr="00D107F5" w:rsidRDefault="00F76A84" w:rsidP="00E950FF">
      <w:pPr>
        <w:pStyle w:val="Textoindependiente2"/>
        <w:spacing w:line="240" w:lineRule="auto"/>
        <w:ind w:left="0"/>
        <w:jc w:val="both"/>
        <w:rPr>
          <w:rFonts w:ascii="Bookman Old Style" w:hAnsi="Bookman Old Style"/>
          <w:sz w:val="16"/>
          <w:lang w:val="es-CO"/>
        </w:rPr>
      </w:pPr>
    </w:p>
    <w:p w:rsidR="000E346A" w:rsidRDefault="004D0CC4"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En dicha comunicación la compañía energética del Tolima manifestó lo siguiente: </w:t>
      </w:r>
    </w:p>
    <w:p w:rsidR="004D0CC4" w:rsidRDefault="004D0CC4" w:rsidP="004D0CC4">
      <w:pPr>
        <w:pStyle w:val="Textoindependiente2"/>
        <w:tabs>
          <w:tab w:val="left" w:pos="8789"/>
        </w:tabs>
        <w:spacing w:line="240" w:lineRule="auto"/>
        <w:ind w:left="1134" w:right="567"/>
        <w:jc w:val="both"/>
        <w:rPr>
          <w:rFonts w:ascii="Bookman Old Style" w:hAnsi="Bookman Old Style"/>
          <w:i/>
          <w:lang w:val="es-CO"/>
        </w:rPr>
      </w:pPr>
    </w:p>
    <w:p w:rsidR="004D0CC4" w:rsidRPr="00F02F98" w:rsidRDefault="004D0CC4" w:rsidP="004D0CC4">
      <w:pPr>
        <w:pStyle w:val="Textoindependiente2"/>
        <w:tabs>
          <w:tab w:val="left" w:pos="8789"/>
        </w:tabs>
        <w:spacing w:line="240" w:lineRule="auto"/>
        <w:ind w:left="1134" w:right="567"/>
        <w:jc w:val="both"/>
        <w:rPr>
          <w:rFonts w:ascii="Bookman Old Style" w:hAnsi="Bookman Old Style"/>
          <w:i/>
          <w:lang w:val="es-CO"/>
        </w:rPr>
      </w:pPr>
      <w:r w:rsidRPr="00F02F98">
        <w:rPr>
          <w:rFonts w:ascii="Bookman Old Style" w:hAnsi="Bookman Old Style"/>
          <w:i/>
          <w:lang w:val="es-CO"/>
        </w:rPr>
        <w:t>“3.6 Sistema de medición y procedimientos de registro y reporte del OR certificados.</w:t>
      </w:r>
    </w:p>
    <w:p w:rsidR="004D0CC4" w:rsidRPr="00F02F98" w:rsidRDefault="004D0CC4" w:rsidP="004D0CC4">
      <w:pPr>
        <w:pStyle w:val="Textoindependiente2"/>
        <w:tabs>
          <w:tab w:val="left" w:pos="8789"/>
        </w:tabs>
        <w:spacing w:line="240" w:lineRule="auto"/>
        <w:ind w:left="1134" w:right="567"/>
        <w:jc w:val="both"/>
        <w:rPr>
          <w:rFonts w:ascii="Bookman Old Style" w:hAnsi="Bookman Old Style"/>
          <w:i/>
          <w:lang w:val="es-CO"/>
        </w:rPr>
      </w:pPr>
      <w:r w:rsidRPr="00F02F98">
        <w:rPr>
          <w:rFonts w:ascii="Bookman Old Style" w:hAnsi="Bookman Old Style"/>
          <w:i/>
          <w:lang w:val="es-CO"/>
        </w:rPr>
        <w:t xml:space="preserve">La Compañía Energética del Tolima, </w:t>
      </w:r>
      <w:r w:rsidRPr="000E346A">
        <w:rPr>
          <w:rFonts w:ascii="Bookman Old Style" w:hAnsi="Bookman Old Style"/>
          <w:i/>
          <w:u w:val="single"/>
          <w:lang w:val="es-CO"/>
        </w:rPr>
        <w:t>fue certificada por el ente certificador BVQI Colombia, bajo la norma ISO 9001:2000 desde el año 2005</w:t>
      </w:r>
      <w:r w:rsidRPr="00A94B02">
        <w:rPr>
          <w:rFonts w:ascii="Bookman Old Style" w:hAnsi="Bookman Old Style"/>
          <w:i/>
          <w:u w:val="single"/>
          <w:lang w:val="es-CO"/>
        </w:rPr>
        <w:t>, y recertificado en el mes de agosto de 2008</w:t>
      </w:r>
      <w:r w:rsidRPr="00F02F98">
        <w:rPr>
          <w:rFonts w:ascii="Bookman Old Style" w:hAnsi="Bookman Old Style"/>
          <w:i/>
          <w:lang w:val="es-CO"/>
        </w:rPr>
        <w:t xml:space="preserve">, bajo los requisitos de la norma ISO 9001:2008; </w:t>
      </w:r>
      <w:r w:rsidRPr="000E346A">
        <w:rPr>
          <w:rFonts w:ascii="Bookman Old Style" w:hAnsi="Bookman Old Style"/>
          <w:i/>
          <w:u w:val="single"/>
          <w:lang w:val="es-CO"/>
        </w:rPr>
        <w:t>el alcance de esta certificación es la distribución y comercialización de energía eléctrica para clientes regulados y no regulados</w:t>
      </w:r>
      <w:r w:rsidRPr="00F02F98">
        <w:rPr>
          <w:rFonts w:ascii="Bookman Old Style" w:hAnsi="Bookman Old Style"/>
          <w:i/>
          <w:lang w:val="es-CO"/>
        </w:rPr>
        <w:t>.</w:t>
      </w:r>
    </w:p>
    <w:p w:rsidR="004D0CC4" w:rsidRPr="00F02F98" w:rsidRDefault="004D0CC4" w:rsidP="004D0CC4">
      <w:pPr>
        <w:pStyle w:val="Textoindependiente2"/>
        <w:tabs>
          <w:tab w:val="left" w:pos="8789"/>
        </w:tabs>
        <w:spacing w:line="240" w:lineRule="auto"/>
        <w:ind w:left="1134" w:right="567"/>
        <w:jc w:val="both"/>
        <w:rPr>
          <w:rFonts w:ascii="Bookman Old Style" w:hAnsi="Bookman Old Style"/>
          <w:i/>
          <w:lang w:val="es-CO"/>
        </w:rPr>
      </w:pPr>
      <w:r w:rsidRPr="00F02F98">
        <w:rPr>
          <w:rFonts w:ascii="Bookman Old Style" w:hAnsi="Bookman Old Style"/>
          <w:i/>
          <w:lang w:val="es-CO"/>
        </w:rPr>
        <w:t>Adicionalmente, obtuvo la Certificación en la norma OSHAS 18001:2007 en octubre de 2007, teniendo como alcance la comercialización y distribución de energía eléctrica y servicios de valor agregado para nuestros clientes.</w:t>
      </w:r>
    </w:p>
    <w:p w:rsidR="004D0CC4" w:rsidRDefault="004D0CC4" w:rsidP="00D107F5">
      <w:pPr>
        <w:pStyle w:val="Textoindependiente2"/>
        <w:tabs>
          <w:tab w:val="left" w:pos="8789"/>
        </w:tabs>
        <w:spacing w:after="0" w:line="240" w:lineRule="auto"/>
        <w:ind w:left="1134" w:right="567"/>
        <w:jc w:val="both"/>
        <w:rPr>
          <w:rFonts w:ascii="Bookman Old Style" w:hAnsi="Bookman Old Style"/>
          <w:sz w:val="22"/>
          <w:lang w:val="es-CO"/>
        </w:rPr>
      </w:pPr>
      <w:r w:rsidRPr="000E346A">
        <w:rPr>
          <w:rFonts w:ascii="Bookman Old Style" w:hAnsi="Bookman Old Style"/>
          <w:i/>
          <w:u w:val="single"/>
          <w:lang w:val="es-CO"/>
        </w:rPr>
        <w:t>En forma anual se realiza seguimiento por parte del ente certificador</w:t>
      </w:r>
      <w:r w:rsidRPr="00F02F98">
        <w:rPr>
          <w:rFonts w:ascii="Bookman Old Style" w:hAnsi="Bookman Old Style"/>
          <w:i/>
          <w:lang w:val="es-CO"/>
        </w:rPr>
        <w:t xml:space="preserve">, evidenciando el compromiso por la mejora continua, y el mantenimiento del sistema integral. Se destaca </w:t>
      </w:r>
      <w:r w:rsidRPr="000E346A">
        <w:rPr>
          <w:rFonts w:ascii="Bookman Old Style" w:hAnsi="Bookman Old Style"/>
          <w:i/>
          <w:u w:val="single"/>
          <w:lang w:val="es-CO"/>
        </w:rPr>
        <w:t>que para el proceso de distribución de energía están incluidos los procedimientos actuales de medición y registro del actual esquema de calidad del servicio, incluyendo el cálculo de los indicadores DES y FES, los cuales están definidos como indicadores de primer nivel y a los que se le realiza seguimiento en forma periódica</w:t>
      </w:r>
      <w:r w:rsidRPr="00F02F98">
        <w:rPr>
          <w:rFonts w:ascii="Bookman Old Style" w:hAnsi="Bookman Old Style"/>
          <w:i/>
          <w:lang w:val="es-CO"/>
        </w:rPr>
        <w:t>.”</w:t>
      </w:r>
      <w:r w:rsidR="00101A98">
        <w:rPr>
          <w:rFonts w:ascii="Bookman Old Style" w:hAnsi="Bookman Old Style"/>
          <w:i/>
          <w:lang w:val="es-CO"/>
        </w:rPr>
        <w:t xml:space="preserve"> </w:t>
      </w:r>
      <w:r>
        <w:rPr>
          <w:rFonts w:ascii="Bookman Old Style" w:hAnsi="Bookman Old Style"/>
          <w:sz w:val="22"/>
          <w:lang w:val="es-CO"/>
        </w:rPr>
        <w:t>(</w:t>
      </w:r>
      <w:r w:rsidRPr="000E346A">
        <w:rPr>
          <w:rFonts w:ascii="Bookman Old Style" w:hAnsi="Bookman Old Style"/>
          <w:sz w:val="22"/>
          <w:lang w:val="es-CO"/>
        </w:rPr>
        <w:t>Subrayado nuestro</w:t>
      </w:r>
      <w:r>
        <w:rPr>
          <w:rFonts w:ascii="Bookman Old Style" w:hAnsi="Bookman Old Style"/>
          <w:sz w:val="22"/>
          <w:lang w:val="es-CO"/>
        </w:rPr>
        <w:t>)</w:t>
      </w:r>
    </w:p>
    <w:p w:rsidR="00C4159E" w:rsidRPr="00C4159E" w:rsidRDefault="00C4159E" w:rsidP="00C4159E">
      <w:pPr>
        <w:pStyle w:val="Textoindependiente2"/>
        <w:tabs>
          <w:tab w:val="left" w:pos="8789"/>
        </w:tabs>
        <w:spacing w:line="240" w:lineRule="auto"/>
        <w:ind w:left="1134" w:right="567"/>
        <w:jc w:val="both"/>
        <w:rPr>
          <w:rFonts w:ascii="Bookman Old Style" w:hAnsi="Bookman Old Style"/>
          <w:i/>
          <w:lang w:val="es-CO"/>
        </w:rPr>
      </w:pPr>
    </w:p>
    <w:p w:rsidR="004D0CC4" w:rsidRPr="004D0CC4" w:rsidRDefault="009272D0" w:rsidP="00E950FF">
      <w:pPr>
        <w:pStyle w:val="Textoindependiente2"/>
        <w:tabs>
          <w:tab w:val="left" w:pos="8789"/>
        </w:tabs>
        <w:spacing w:line="240" w:lineRule="auto"/>
        <w:ind w:left="0" w:right="567"/>
        <w:jc w:val="both"/>
        <w:rPr>
          <w:rFonts w:ascii="Bookman Old Style" w:hAnsi="Bookman Old Style"/>
          <w:lang w:val="es-CO"/>
        </w:rPr>
      </w:pPr>
      <w:r>
        <w:rPr>
          <w:rFonts w:ascii="Bookman Old Style" w:hAnsi="Bookman Old Style"/>
          <w:lang w:val="es-CO"/>
        </w:rPr>
        <w:t>Y e</w:t>
      </w:r>
      <w:r w:rsidR="004D0CC4" w:rsidRPr="004D0CC4">
        <w:rPr>
          <w:rFonts w:ascii="Bookman Old Style" w:hAnsi="Bookman Old Style"/>
          <w:lang w:val="es-CO"/>
        </w:rPr>
        <w:t xml:space="preserve">n </w:t>
      </w:r>
      <w:r w:rsidR="00921EE8">
        <w:rPr>
          <w:rFonts w:ascii="Bookman Old Style" w:hAnsi="Bookman Old Style"/>
          <w:lang w:val="es-CO"/>
        </w:rPr>
        <w:t>relación a l</w:t>
      </w:r>
      <w:r>
        <w:rPr>
          <w:rFonts w:ascii="Bookman Old Style" w:hAnsi="Bookman Old Style"/>
          <w:lang w:val="es-CO"/>
        </w:rPr>
        <w:t>a información necesaria para l</w:t>
      </w:r>
      <w:r w:rsidR="00921EE8">
        <w:rPr>
          <w:rFonts w:ascii="Bookman Old Style" w:hAnsi="Bookman Old Style"/>
          <w:lang w:val="es-CO"/>
        </w:rPr>
        <w:t>o</w:t>
      </w:r>
      <w:r w:rsidR="00101A98">
        <w:rPr>
          <w:rFonts w:ascii="Bookman Old Style" w:hAnsi="Bookman Old Style"/>
          <w:lang w:val="es-CO"/>
        </w:rPr>
        <w:t>s índices de referencia, en</w:t>
      </w:r>
      <w:r w:rsidR="00921EE8">
        <w:rPr>
          <w:rFonts w:ascii="Bookman Old Style" w:hAnsi="Bookman Old Style"/>
          <w:lang w:val="es-CO"/>
        </w:rPr>
        <w:t xml:space="preserve"> </w:t>
      </w:r>
      <w:r w:rsidR="004D0CC4" w:rsidRPr="004D0CC4">
        <w:rPr>
          <w:rFonts w:ascii="Bookman Old Style" w:hAnsi="Bookman Old Style"/>
          <w:lang w:val="es-CO"/>
        </w:rPr>
        <w:t xml:space="preserve">el mismo documento </w:t>
      </w:r>
      <w:r w:rsidR="00921EE8">
        <w:rPr>
          <w:rFonts w:ascii="Bookman Old Style" w:hAnsi="Bookman Old Style"/>
          <w:lang w:val="es-CO"/>
        </w:rPr>
        <w:t>la empresa</w:t>
      </w:r>
      <w:r w:rsidRPr="009272D0">
        <w:rPr>
          <w:rFonts w:ascii="Bookman Old Style" w:hAnsi="Bookman Old Style"/>
          <w:lang w:val="es-CO"/>
        </w:rPr>
        <w:t xml:space="preserve"> </w:t>
      </w:r>
      <w:r>
        <w:rPr>
          <w:rFonts w:ascii="Bookman Old Style" w:hAnsi="Bookman Old Style"/>
          <w:lang w:val="es-CO"/>
        </w:rPr>
        <w:t>sostuvo</w:t>
      </w:r>
      <w:r w:rsidR="004D0CC4">
        <w:rPr>
          <w:rFonts w:ascii="Bookman Old Style" w:hAnsi="Bookman Old Style"/>
          <w:lang w:val="es-CO"/>
        </w:rPr>
        <w:t>:</w:t>
      </w:r>
      <w:r w:rsidR="004D0CC4" w:rsidRPr="004D0CC4">
        <w:rPr>
          <w:rFonts w:ascii="Bookman Old Style" w:hAnsi="Bookman Old Style"/>
          <w:lang w:val="es-CO"/>
        </w:rPr>
        <w:t xml:space="preserve">  </w:t>
      </w:r>
    </w:p>
    <w:p w:rsidR="00921EE8" w:rsidRPr="00D107F5" w:rsidRDefault="00921EE8" w:rsidP="00C1686E">
      <w:pPr>
        <w:pStyle w:val="Textoindependiente2"/>
        <w:tabs>
          <w:tab w:val="left" w:pos="8789"/>
        </w:tabs>
        <w:spacing w:line="240" w:lineRule="auto"/>
        <w:ind w:left="1134" w:right="567"/>
        <w:jc w:val="both"/>
        <w:rPr>
          <w:rFonts w:ascii="Bookman Old Style" w:hAnsi="Bookman Old Style"/>
          <w:i/>
          <w:sz w:val="12"/>
          <w:lang w:val="es-CO"/>
        </w:rPr>
      </w:pPr>
    </w:p>
    <w:p w:rsidR="00C1686E" w:rsidRPr="00F02F98" w:rsidRDefault="00C1686E" w:rsidP="00C1686E">
      <w:pPr>
        <w:pStyle w:val="Textoindependiente2"/>
        <w:tabs>
          <w:tab w:val="left" w:pos="8789"/>
        </w:tabs>
        <w:spacing w:line="240" w:lineRule="auto"/>
        <w:ind w:left="1134" w:right="567"/>
        <w:jc w:val="both"/>
        <w:rPr>
          <w:rFonts w:ascii="Bookman Old Style" w:hAnsi="Bookman Old Style"/>
          <w:i/>
          <w:lang w:val="es-CO"/>
        </w:rPr>
      </w:pPr>
      <w:r w:rsidRPr="00F02F98">
        <w:rPr>
          <w:rFonts w:ascii="Bookman Old Style" w:hAnsi="Bookman Old Style"/>
          <w:i/>
          <w:lang w:val="es-CO"/>
        </w:rPr>
        <w:t>“3.4 Resolución particular para cada OR sobre los índices de referencia.</w:t>
      </w:r>
    </w:p>
    <w:p w:rsidR="008B4013" w:rsidRDefault="00C1686E">
      <w:pPr>
        <w:pStyle w:val="Textoindependiente2"/>
        <w:tabs>
          <w:tab w:val="left" w:pos="8789"/>
        </w:tabs>
        <w:spacing w:line="240" w:lineRule="auto"/>
        <w:ind w:left="1134" w:right="567"/>
        <w:jc w:val="both"/>
        <w:rPr>
          <w:rFonts w:ascii="Bookman Old Style" w:hAnsi="Bookman Old Style"/>
          <w:sz w:val="22"/>
          <w:lang w:val="es-CO"/>
        </w:rPr>
      </w:pPr>
      <w:r w:rsidRPr="00F02F98">
        <w:rPr>
          <w:rFonts w:ascii="Bookman Old Style" w:hAnsi="Bookman Old Style"/>
          <w:i/>
          <w:lang w:val="es-CO"/>
        </w:rPr>
        <w:t xml:space="preserve">De acuerdo a lo señalado en el numeral 3.2 del presente documento, Enertolima ha reportado toda la información requerida sobre los indicadores de discontinuidad dando cumplimiento a la </w:t>
      </w:r>
      <w:r w:rsidRPr="00F02F98">
        <w:rPr>
          <w:rFonts w:ascii="Bookman Old Style" w:hAnsi="Bookman Old Style"/>
          <w:i/>
          <w:lang w:val="es-CO"/>
        </w:rPr>
        <w:lastRenderedPageBreak/>
        <w:t xml:space="preserve">regulación y </w:t>
      </w:r>
      <w:r w:rsidRPr="009F71E4">
        <w:rPr>
          <w:rFonts w:ascii="Bookman Old Style" w:hAnsi="Bookman Old Style"/>
          <w:i/>
          <w:u w:val="single"/>
          <w:lang w:val="es-CO"/>
        </w:rPr>
        <w:t>está a la espera de la Resolución particular de la Comisión para el establecimiento de los indicadores de referencia</w:t>
      </w:r>
      <w:r w:rsidRPr="00F02F98">
        <w:rPr>
          <w:rFonts w:ascii="Bookman Old Style" w:hAnsi="Bookman Old Style"/>
          <w:i/>
          <w:lang w:val="es-CO"/>
        </w:rPr>
        <w:t>.</w:t>
      </w:r>
      <w:r w:rsidR="00C4159E">
        <w:rPr>
          <w:rFonts w:ascii="Bookman Old Style" w:hAnsi="Bookman Old Style"/>
          <w:i/>
          <w:lang w:val="es-CO"/>
        </w:rPr>
        <w:t xml:space="preserve"> </w:t>
      </w:r>
      <w:r w:rsidR="009F71E4">
        <w:rPr>
          <w:rFonts w:ascii="Bookman Old Style" w:hAnsi="Bookman Old Style"/>
          <w:sz w:val="22"/>
          <w:lang w:val="es-CO"/>
        </w:rPr>
        <w:t>(</w:t>
      </w:r>
      <w:r w:rsidR="009F71E4" w:rsidRPr="000E346A">
        <w:rPr>
          <w:rFonts w:ascii="Bookman Old Style" w:hAnsi="Bookman Old Style"/>
          <w:sz w:val="22"/>
          <w:lang w:val="es-CO"/>
        </w:rPr>
        <w:t>Subrayado nuestro</w:t>
      </w:r>
      <w:r w:rsidR="009F71E4">
        <w:rPr>
          <w:rFonts w:ascii="Bookman Old Style" w:hAnsi="Bookman Old Style"/>
          <w:sz w:val="22"/>
          <w:lang w:val="es-CO"/>
        </w:rPr>
        <w:t>)</w:t>
      </w:r>
    </w:p>
    <w:p w:rsidR="00C1686E" w:rsidRPr="00D107F5" w:rsidRDefault="00C1686E" w:rsidP="00C1686E">
      <w:pPr>
        <w:pStyle w:val="Textoindependiente2"/>
        <w:spacing w:line="240" w:lineRule="auto"/>
        <w:rPr>
          <w:rFonts w:ascii="Bookman Old Style" w:hAnsi="Bookman Old Style"/>
          <w:sz w:val="12"/>
          <w:lang w:val="es-CO"/>
        </w:rPr>
      </w:pPr>
    </w:p>
    <w:p w:rsidR="00C1686E" w:rsidRDefault="00921EE8"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Sin embargo, en el recurso de reposición, </w:t>
      </w:r>
      <w:r w:rsidR="00101A98">
        <w:rPr>
          <w:rFonts w:ascii="Bookman Old Style" w:hAnsi="Bookman Old Style"/>
          <w:lang w:val="es-CO"/>
        </w:rPr>
        <w:t>de</w:t>
      </w:r>
      <w:r>
        <w:rPr>
          <w:rFonts w:ascii="Bookman Old Style" w:hAnsi="Bookman Old Style"/>
          <w:lang w:val="es-CO"/>
        </w:rPr>
        <w:t xml:space="preserve"> la Resolución CREG 167 de 2010, </w:t>
      </w:r>
      <w:r w:rsidR="009272D0">
        <w:rPr>
          <w:rFonts w:ascii="Bookman Old Style" w:hAnsi="Bookman Old Style"/>
          <w:lang w:val="es-CO"/>
        </w:rPr>
        <w:t xml:space="preserve">que se encuentra bajo estudio, </w:t>
      </w:r>
      <w:r w:rsidR="009F71E4">
        <w:rPr>
          <w:rFonts w:ascii="Bookman Old Style" w:hAnsi="Bookman Old Style"/>
          <w:lang w:val="es-CO"/>
        </w:rPr>
        <w:t>L</w:t>
      </w:r>
      <w:r w:rsidR="00C1686E">
        <w:rPr>
          <w:rFonts w:ascii="Bookman Old Style" w:hAnsi="Bookman Old Style"/>
          <w:lang w:val="es-CO"/>
        </w:rPr>
        <w:t xml:space="preserve">a </w:t>
      </w:r>
      <w:r w:rsidR="00C1686E" w:rsidRPr="00C1686E">
        <w:rPr>
          <w:rFonts w:ascii="Bookman Old Style" w:hAnsi="Bookman Old Style"/>
          <w:lang w:val="es-CO"/>
        </w:rPr>
        <w:t>Compañía Energética del Tolima S.A. E.S.P.</w:t>
      </w:r>
      <w:r w:rsidR="005426F1">
        <w:rPr>
          <w:rFonts w:ascii="Bookman Old Style" w:hAnsi="Bookman Old Style"/>
          <w:lang w:val="es-CO"/>
        </w:rPr>
        <w:t>, menciona que</w:t>
      </w:r>
      <w:r w:rsidR="00984C26">
        <w:rPr>
          <w:rFonts w:ascii="Bookman Old Style" w:hAnsi="Bookman Old Style"/>
          <w:lang w:val="es-CO"/>
        </w:rPr>
        <w:t xml:space="preserve"> la información reportada al SUI</w:t>
      </w:r>
      <w:r w:rsidR="009272D0">
        <w:rPr>
          <w:rFonts w:ascii="Bookman Old Style" w:hAnsi="Bookman Old Style"/>
          <w:lang w:val="es-CO"/>
        </w:rPr>
        <w:t xml:space="preserve"> no corresponde a la realidad de la empresa en los años 2006 y 2007</w:t>
      </w:r>
      <w:r w:rsidR="005426F1">
        <w:rPr>
          <w:rFonts w:ascii="Bookman Old Style" w:hAnsi="Bookman Old Style"/>
          <w:lang w:val="es-CO"/>
        </w:rPr>
        <w:t>:</w:t>
      </w:r>
    </w:p>
    <w:p w:rsidR="00F76A84" w:rsidRPr="00D107F5" w:rsidRDefault="00F76A84" w:rsidP="005426F1">
      <w:pPr>
        <w:pStyle w:val="Textoindependiente2"/>
        <w:tabs>
          <w:tab w:val="left" w:pos="8789"/>
        </w:tabs>
        <w:spacing w:line="240" w:lineRule="auto"/>
        <w:ind w:left="1134" w:right="567"/>
        <w:jc w:val="both"/>
        <w:rPr>
          <w:rFonts w:ascii="Bookman Old Style" w:hAnsi="Bookman Old Style"/>
          <w:i/>
          <w:sz w:val="20"/>
          <w:lang w:val="es-CO"/>
        </w:rPr>
      </w:pPr>
    </w:p>
    <w:p w:rsidR="005426F1" w:rsidRPr="005426F1" w:rsidRDefault="005426F1" w:rsidP="00D107F5">
      <w:pPr>
        <w:pStyle w:val="Textoindependiente2"/>
        <w:tabs>
          <w:tab w:val="left" w:pos="8789"/>
        </w:tabs>
        <w:spacing w:after="0" w:line="240" w:lineRule="auto"/>
        <w:ind w:left="1134" w:right="567"/>
        <w:jc w:val="both"/>
        <w:rPr>
          <w:rFonts w:ascii="Bookman Old Style" w:hAnsi="Bookman Old Style"/>
          <w:i/>
          <w:lang w:val="es-CO"/>
        </w:rPr>
      </w:pPr>
      <w:r w:rsidRPr="005426F1">
        <w:rPr>
          <w:rFonts w:ascii="Bookman Old Style" w:hAnsi="Bookman Old Style"/>
          <w:i/>
          <w:lang w:val="es-CO"/>
        </w:rPr>
        <w:t>“En ejecución de este plan de inversión y de las demás actividades desarrolladas para mejorar la calidad del servicio, se encontró que la información del amarre cliente transformador para el año 2006, presenta incongruencias con la información suministrada por ELECTROLIMA en su época, que no hace posible determinar los indicadores mencionados de tal manera que se asegure su consistencia frente a la situación real de la calidad del servicio prestado por Enertolima, situación que ocasiona ineludiblemente que los parámetros utilizados para el cálculo de los índices de referencia agrupado de la discontinuidad sean inexactos y alejados de la realidad de la compañía</w:t>
      </w:r>
      <w:r>
        <w:rPr>
          <w:rFonts w:ascii="Bookman Old Style" w:hAnsi="Bookman Old Style"/>
          <w:i/>
          <w:lang w:val="es-CO"/>
        </w:rPr>
        <w:t>.”</w:t>
      </w:r>
    </w:p>
    <w:p w:rsidR="00F76A84" w:rsidRDefault="00F76A84" w:rsidP="00E950FF">
      <w:pPr>
        <w:pStyle w:val="Textoindependiente2"/>
        <w:spacing w:line="240" w:lineRule="auto"/>
        <w:ind w:left="0"/>
        <w:jc w:val="both"/>
        <w:rPr>
          <w:rFonts w:ascii="Bookman Old Style" w:hAnsi="Bookman Old Style"/>
          <w:lang w:val="es-CO"/>
        </w:rPr>
      </w:pPr>
    </w:p>
    <w:p w:rsidR="00E950FF" w:rsidRDefault="0090286E"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Aunque le resulta extraño </w:t>
      </w:r>
      <w:r w:rsidR="002874C7">
        <w:rPr>
          <w:rFonts w:ascii="Bookman Old Style" w:hAnsi="Bookman Old Style"/>
          <w:lang w:val="es-CO"/>
        </w:rPr>
        <w:t xml:space="preserve">a esta Comisión </w:t>
      </w:r>
      <w:r>
        <w:rPr>
          <w:rFonts w:ascii="Bookman Old Style" w:hAnsi="Bookman Old Style"/>
          <w:lang w:val="es-CO"/>
        </w:rPr>
        <w:t>que la información de vinculación de los clientes a la red que fue reportada en el SUI durante los años 2006 y 2007</w:t>
      </w:r>
      <w:r w:rsidR="002874C7">
        <w:rPr>
          <w:rFonts w:ascii="Bookman Old Style" w:hAnsi="Bookman Old Style"/>
          <w:lang w:val="es-CO"/>
        </w:rPr>
        <w:t xml:space="preserve"> sea incongruente con la de la empresa, pues tal como se evidenció arriba la compañía Energética del Tolima le había reportado a la CREG excelentes mejoras en sus sistemas de de medición y en los procedimientos de registro y reporte de información, los cuales se encontraban avalados desde el año 2005, por diferentes entes certificadores, </w:t>
      </w:r>
      <w:r w:rsidR="00E950FF">
        <w:rPr>
          <w:rFonts w:ascii="Bookman Old Style" w:hAnsi="Bookman Old Style"/>
          <w:lang w:val="es-CO"/>
        </w:rPr>
        <w:t xml:space="preserve">debe </w:t>
      </w:r>
      <w:r w:rsidR="004A3CFE">
        <w:rPr>
          <w:rFonts w:ascii="Bookman Old Style" w:hAnsi="Bookman Old Style"/>
          <w:lang w:val="es-CO"/>
        </w:rPr>
        <w:t>aclararse</w:t>
      </w:r>
      <w:r w:rsidR="00E950FF">
        <w:rPr>
          <w:rFonts w:ascii="Bookman Old Style" w:hAnsi="Bookman Old Style"/>
          <w:lang w:val="es-CO"/>
        </w:rPr>
        <w:t xml:space="preserve"> que la CREG no es la Entidad competente para determinar la certeza o veracidad de la información reportada en el SUI,  por lo tanto no le corresponde entrar a validar si la información </w:t>
      </w:r>
      <w:r w:rsidR="003E220E">
        <w:rPr>
          <w:rFonts w:ascii="Bookman Old Style" w:hAnsi="Bookman Old Style"/>
          <w:lang w:val="es-CO"/>
        </w:rPr>
        <w:t xml:space="preserve">reportada en el SUI </w:t>
      </w:r>
      <w:r w:rsidR="00E950FF">
        <w:rPr>
          <w:rFonts w:ascii="Bookman Old Style" w:hAnsi="Bookman Old Style"/>
          <w:lang w:val="es-CO"/>
        </w:rPr>
        <w:t xml:space="preserve">es </w:t>
      </w:r>
      <w:r w:rsidR="00984C26">
        <w:rPr>
          <w:rFonts w:ascii="Bookman Old Style" w:hAnsi="Bookman Old Style"/>
          <w:lang w:val="es-CO"/>
        </w:rPr>
        <w:t>consistente</w:t>
      </w:r>
      <w:r w:rsidR="00E950FF">
        <w:rPr>
          <w:rFonts w:ascii="Bookman Old Style" w:hAnsi="Bookman Old Style"/>
          <w:lang w:val="es-CO"/>
        </w:rPr>
        <w:t xml:space="preserve"> o no</w:t>
      </w:r>
      <w:r w:rsidR="004A3CFE">
        <w:rPr>
          <w:rFonts w:ascii="Bookman Old Style" w:hAnsi="Bookman Old Style"/>
          <w:lang w:val="es-CO"/>
        </w:rPr>
        <w:t xml:space="preserve"> con la de la empresa</w:t>
      </w:r>
      <w:r w:rsidR="00E950FF">
        <w:rPr>
          <w:rFonts w:ascii="Bookman Old Style" w:hAnsi="Bookman Old Style"/>
          <w:lang w:val="es-CO"/>
        </w:rPr>
        <w:t>.</w:t>
      </w:r>
    </w:p>
    <w:p w:rsidR="004A3CFE" w:rsidRPr="00D107F5" w:rsidRDefault="004A3CFE" w:rsidP="00E950FF">
      <w:pPr>
        <w:pStyle w:val="Textoindependiente2"/>
        <w:spacing w:line="240" w:lineRule="auto"/>
        <w:ind w:left="0"/>
        <w:jc w:val="both"/>
        <w:rPr>
          <w:rFonts w:ascii="Bookman Old Style" w:hAnsi="Bookman Old Style"/>
          <w:sz w:val="18"/>
          <w:lang w:val="es-CO"/>
        </w:rPr>
      </w:pPr>
    </w:p>
    <w:p w:rsidR="00E950FF" w:rsidRDefault="00E950FF"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Mientras </w:t>
      </w:r>
      <w:r w:rsidR="004A3CFE">
        <w:rPr>
          <w:rFonts w:ascii="Bookman Old Style" w:hAnsi="Bookman Old Style"/>
          <w:lang w:val="es-CO"/>
        </w:rPr>
        <w:t xml:space="preserve">que dicha información </w:t>
      </w:r>
      <w:r>
        <w:rPr>
          <w:rFonts w:ascii="Bookman Old Style" w:hAnsi="Bookman Old Style"/>
          <w:lang w:val="es-CO"/>
        </w:rPr>
        <w:t>este contenida en un</w:t>
      </w:r>
      <w:r w:rsidR="004A3CFE">
        <w:rPr>
          <w:rFonts w:ascii="Bookman Old Style" w:hAnsi="Bookman Old Style"/>
          <w:lang w:val="es-CO"/>
        </w:rPr>
        <w:t>a</w:t>
      </w:r>
      <w:r>
        <w:rPr>
          <w:rFonts w:ascii="Bookman Old Style" w:hAnsi="Bookman Old Style"/>
          <w:lang w:val="es-CO"/>
        </w:rPr>
        <w:t xml:space="preserve"> base de </w:t>
      </w:r>
      <w:r w:rsidR="004A3CFE">
        <w:rPr>
          <w:rFonts w:ascii="Bookman Old Style" w:hAnsi="Bookman Old Style"/>
          <w:lang w:val="es-CO"/>
        </w:rPr>
        <w:t xml:space="preserve">datos </w:t>
      </w:r>
      <w:r>
        <w:rPr>
          <w:rFonts w:ascii="Bookman Old Style" w:hAnsi="Bookman Old Style"/>
          <w:lang w:val="es-CO"/>
        </w:rPr>
        <w:t>oficial, esta Comisión debe tenerla en cuenta para el cumplimiento de sus funciones</w:t>
      </w:r>
      <w:r w:rsidR="004A3CFE">
        <w:rPr>
          <w:rFonts w:ascii="Bookman Old Style" w:hAnsi="Bookman Old Style"/>
          <w:lang w:val="es-CO"/>
        </w:rPr>
        <w:t xml:space="preserve"> tal como lo ordena la Ley</w:t>
      </w:r>
      <w:r w:rsidR="00FC0E01">
        <w:rPr>
          <w:rFonts w:ascii="Bookman Old Style" w:hAnsi="Bookman Old Style"/>
          <w:lang w:val="es-CO"/>
        </w:rPr>
        <w:t>.</w:t>
      </w:r>
      <w:r>
        <w:rPr>
          <w:rFonts w:ascii="Bookman Old Style" w:hAnsi="Bookman Old Style"/>
          <w:lang w:val="es-CO"/>
        </w:rPr>
        <w:t xml:space="preserve">  </w:t>
      </w:r>
    </w:p>
    <w:p w:rsidR="004A3CFE" w:rsidRPr="00D107F5" w:rsidRDefault="004A3CFE" w:rsidP="00E950FF">
      <w:pPr>
        <w:pStyle w:val="Textoindependiente2"/>
        <w:spacing w:line="240" w:lineRule="auto"/>
        <w:ind w:left="0"/>
        <w:jc w:val="both"/>
        <w:rPr>
          <w:rFonts w:ascii="Bookman Old Style" w:hAnsi="Bookman Old Style"/>
          <w:sz w:val="14"/>
          <w:lang w:val="es-CO"/>
        </w:rPr>
      </w:pPr>
    </w:p>
    <w:p w:rsidR="00034E89" w:rsidRDefault="00851B92"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De otra parte, la recurrente afirma que el Sistema Único de Información, SUI, es una fuente secundaria y que la fuente primaria es la empresa pues es la que tiene los datos reales. </w:t>
      </w:r>
    </w:p>
    <w:p w:rsidR="003E220E" w:rsidRPr="00D107F5" w:rsidRDefault="003E220E" w:rsidP="00E950FF">
      <w:pPr>
        <w:pStyle w:val="Textoindependiente2"/>
        <w:spacing w:line="240" w:lineRule="auto"/>
        <w:ind w:left="0"/>
        <w:jc w:val="both"/>
        <w:rPr>
          <w:rFonts w:ascii="Bookman Old Style" w:hAnsi="Bookman Old Style"/>
          <w:sz w:val="18"/>
          <w:lang w:val="es-CO"/>
        </w:rPr>
      </w:pPr>
    </w:p>
    <w:p w:rsidR="00FC0E01" w:rsidRDefault="00851B92" w:rsidP="00D107F5">
      <w:pPr>
        <w:pStyle w:val="Textoindependiente2"/>
        <w:spacing w:after="0" w:line="240" w:lineRule="auto"/>
        <w:ind w:left="0"/>
        <w:jc w:val="both"/>
        <w:rPr>
          <w:rFonts w:ascii="Bookman Old Style" w:hAnsi="Bookman Old Style"/>
        </w:rPr>
      </w:pPr>
      <w:r>
        <w:rPr>
          <w:rFonts w:ascii="Bookman Old Style" w:hAnsi="Bookman Old Style"/>
          <w:lang w:val="es-CO"/>
        </w:rPr>
        <w:t>Respecto a este argumento</w:t>
      </w:r>
      <w:r w:rsidR="003E220E">
        <w:rPr>
          <w:rFonts w:ascii="Bookman Old Style" w:hAnsi="Bookman Old Style"/>
          <w:lang w:val="es-CO"/>
        </w:rPr>
        <w:t>,</w:t>
      </w:r>
      <w:r>
        <w:rPr>
          <w:rFonts w:ascii="Bookman Old Style" w:hAnsi="Bookman Old Style"/>
          <w:lang w:val="es-CO"/>
        </w:rPr>
        <w:t xml:space="preserve"> la CREG considera que no </w:t>
      </w:r>
      <w:r>
        <w:rPr>
          <w:rFonts w:ascii="Bookman Old Style" w:hAnsi="Bookman Old Style"/>
        </w:rPr>
        <w:t xml:space="preserve">puede ser de recibo por esta Comisión, pues tal como se expuso arriba, </w:t>
      </w:r>
      <w:r w:rsidR="00FC0E01">
        <w:rPr>
          <w:rFonts w:ascii="Bookman Old Style" w:hAnsi="Bookman Old Style"/>
        </w:rPr>
        <w:t xml:space="preserve">a los OR y en especial a la Compañía Energética del </w:t>
      </w:r>
      <w:r w:rsidR="00FC0E01" w:rsidRPr="00C1686E">
        <w:rPr>
          <w:rFonts w:ascii="Bookman Old Style" w:hAnsi="Bookman Old Style"/>
          <w:lang w:val="es-CO"/>
        </w:rPr>
        <w:t>Tolima S.A. E.S.P</w:t>
      </w:r>
      <w:r w:rsidR="00FC0E01">
        <w:rPr>
          <w:rFonts w:ascii="Bookman Old Style" w:hAnsi="Bookman Old Style"/>
          <w:lang w:val="es-CO"/>
        </w:rPr>
        <w:t xml:space="preserve">.,  se le dio la oportunidad para que, aclarara y complementara la información contenida en el SUI, lo cual se hizo a través de las comunicaciones ya referidas y mediante la Resoluciones CREG 047 y 050 de 2009. </w:t>
      </w:r>
      <w:r w:rsidR="00FC0E01">
        <w:rPr>
          <w:rFonts w:ascii="Bookman Old Style" w:hAnsi="Bookman Old Style"/>
        </w:rPr>
        <w:t xml:space="preserve">  </w:t>
      </w:r>
    </w:p>
    <w:p w:rsidR="00FC0E01" w:rsidRDefault="00FC0E01" w:rsidP="00D107F5">
      <w:pPr>
        <w:pStyle w:val="Textoindependiente2"/>
        <w:spacing w:after="0" w:line="240" w:lineRule="auto"/>
        <w:ind w:left="0"/>
        <w:jc w:val="both"/>
        <w:rPr>
          <w:rFonts w:ascii="Bookman Old Style" w:hAnsi="Bookman Old Style"/>
        </w:rPr>
      </w:pPr>
    </w:p>
    <w:p w:rsidR="00851B92" w:rsidRDefault="00FC0E01" w:rsidP="00D107F5">
      <w:pPr>
        <w:pStyle w:val="Textoindependiente2"/>
        <w:spacing w:after="0" w:line="240" w:lineRule="auto"/>
        <w:ind w:left="0"/>
        <w:jc w:val="both"/>
        <w:rPr>
          <w:rFonts w:ascii="Bookman Old Style" w:hAnsi="Bookman Old Style"/>
        </w:rPr>
      </w:pPr>
      <w:r>
        <w:rPr>
          <w:rFonts w:ascii="Bookman Old Style" w:hAnsi="Bookman Old Style"/>
        </w:rPr>
        <w:t>E</w:t>
      </w:r>
      <w:r w:rsidR="00851B92">
        <w:rPr>
          <w:rFonts w:ascii="Bookman Old Style" w:hAnsi="Bookman Old Style"/>
        </w:rPr>
        <w:t xml:space="preserve">l Sistema Único de Información (SUI), es el único medio oficial que la Ley 689 de 2001 creó para transmitirle al público y a las comisiones de regulación, la </w:t>
      </w:r>
      <w:r w:rsidR="00851B92">
        <w:rPr>
          <w:rFonts w:ascii="Bookman Old Style" w:hAnsi="Bookman Old Style"/>
        </w:rPr>
        <w:lastRenderedPageBreak/>
        <w:t>información proveniente de los prestadores de servicios públicos de manera confiable y veraz</w:t>
      </w:r>
      <w:r>
        <w:rPr>
          <w:rFonts w:ascii="Bookman Old Style" w:hAnsi="Bookman Old Style"/>
        </w:rPr>
        <w:t>, por lo cual la información allí contenida tiene carácter oficial</w:t>
      </w:r>
      <w:r w:rsidR="00851B92">
        <w:rPr>
          <w:rFonts w:ascii="Bookman Old Style" w:hAnsi="Bookman Old Style"/>
        </w:rPr>
        <w:t>.</w:t>
      </w:r>
    </w:p>
    <w:p w:rsidR="003E220E" w:rsidRPr="00D107F5" w:rsidRDefault="003E220E" w:rsidP="00E950FF">
      <w:pPr>
        <w:pStyle w:val="Textoindependiente2"/>
        <w:spacing w:line="240" w:lineRule="auto"/>
        <w:ind w:left="0"/>
        <w:jc w:val="both"/>
        <w:rPr>
          <w:rFonts w:ascii="Bookman Old Style" w:hAnsi="Bookman Old Style"/>
          <w:sz w:val="18"/>
          <w:lang w:val="es-CO"/>
        </w:rPr>
      </w:pPr>
    </w:p>
    <w:p w:rsidR="00851B92" w:rsidRDefault="00851B92"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La CREG entiende que la información reportada por los diferentes agentes es certificada por los mismos y las acciones y gestiones necesarias para la aclaración o corrección de la información allí consignada es responsabilidad del Operador de Red y es un procedimiento que debe ser adelantado ante la Superintendencia de Se</w:t>
      </w:r>
      <w:r w:rsidR="00984C26">
        <w:rPr>
          <w:rFonts w:ascii="Bookman Old Style" w:hAnsi="Bookman Old Style"/>
          <w:lang w:val="es-CO"/>
        </w:rPr>
        <w:t>rvicios Públicos Domiciliarios.</w:t>
      </w:r>
    </w:p>
    <w:p w:rsidR="00851B92" w:rsidRPr="00851B92" w:rsidRDefault="00851B92" w:rsidP="00851B92">
      <w:pPr>
        <w:pStyle w:val="Textoindependiente2"/>
        <w:spacing w:line="240" w:lineRule="auto"/>
        <w:jc w:val="both"/>
        <w:rPr>
          <w:rFonts w:ascii="Bookman Old Style" w:hAnsi="Bookman Old Style"/>
          <w:lang w:val="es-CO"/>
        </w:rPr>
      </w:pPr>
    </w:p>
    <w:p w:rsidR="00B536F6" w:rsidRPr="003E220E" w:rsidRDefault="003E220E" w:rsidP="003E220E">
      <w:pPr>
        <w:numPr>
          <w:ilvl w:val="0"/>
          <w:numId w:val="18"/>
        </w:numPr>
        <w:overflowPunct w:val="0"/>
        <w:autoSpaceDE w:val="0"/>
        <w:autoSpaceDN w:val="0"/>
        <w:adjustRightInd w:val="0"/>
        <w:jc w:val="both"/>
        <w:textAlignment w:val="baseline"/>
        <w:rPr>
          <w:rFonts w:ascii="Bookman Old Style" w:hAnsi="Bookman Old Style"/>
          <w:b/>
          <w:bCs/>
        </w:rPr>
      </w:pPr>
      <w:r w:rsidRPr="003E220E">
        <w:rPr>
          <w:rFonts w:ascii="Bookman Old Style" w:hAnsi="Bookman Old Style"/>
          <w:b/>
          <w:bCs/>
        </w:rPr>
        <w:t xml:space="preserve">CONCLUSIÓN </w:t>
      </w:r>
    </w:p>
    <w:p w:rsidR="00B536F6" w:rsidRPr="008A0C8F" w:rsidRDefault="00B536F6" w:rsidP="00B536F6">
      <w:pPr>
        <w:pStyle w:val="Textoindependiente2"/>
        <w:spacing w:line="240" w:lineRule="auto"/>
        <w:rPr>
          <w:rFonts w:ascii="Bookman Old Style" w:hAnsi="Bookman Old Style"/>
          <w:b/>
          <w:sz w:val="16"/>
          <w:lang w:val="es-CO"/>
        </w:rPr>
      </w:pPr>
    </w:p>
    <w:p w:rsidR="002D4C15" w:rsidRDefault="005D262B" w:rsidP="00DF2F4B">
      <w:pPr>
        <w:pStyle w:val="Textoindependiente2"/>
        <w:spacing w:after="0" w:line="240" w:lineRule="auto"/>
        <w:ind w:left="0"/>
        <w:jc w:val="both"/>
        <w:rPr>
          <w:rFonts w:ascii="Bookman Old Style" w:hAnsi="Bookman Old Style"/>
          <w:lang w:val="es-CO"/>
        </w:rPr>
      </w:pPr>
      <w:r>
        <w:rPr>
          <w:rFonts w:ascii="Bookman Old Style" w:hAnsi="Bookman Old Style"/>
          <w:lang w:val="es-CO"/>
        </w:rPr>
        <w:t>L</w:t>
      </w:r>
      <w:r w:rsidR="00FC0E01">
        <w:rPr>
          <w:rFonts w:ascii="Bookman Old Style" w:hAnsi="Bookman Old Style"/>
          <w:lang w:val="es-CO"/>
        </w:rPr>
        <w:t>o</w:t>
      </w:r>
      <w:r>
        <w:rPr>
          <w:rFonts w:ascii="Bookman Old Style" w:hAnsi="Bookman Old Style"/>
          <w:lang w:val="es-CO"/>
        </w:rPr>
        <w:t xml:space="preserve">s </w:t>
      </w:r>
      <w:r w:rsidR="00FC0E01">
        <w:rPr>
          <w:rFonts w:ascii="Bookman Old Style" w:hAnsi="Bookman Old Style"/>
          <w:lang w:val="es-CO"/>
        </w:rPr>
        <w:t xml:space="preserve">argumentos </w:t>
      </w:r>
      <w:r>
        <w:rPr>
          <w:rFonts w:ascii="Bookman Old Style" w:hAnsi="Bookman Old Style"/>
          <w:lang w:val="es-CO"/>
        </w:rPr>
        <w:t>presentad</w:t>
      </w:r>
      <w:r w:rsidR="00FC0E01">
        <w:rPr>
          <w:rFonts w:ascii="Bookman Old Style" w:hAnsi="Bookman Old Style"/>
          <w:lang w:val="es-CO"/>
        </w:rPr>
        <w:t>o</w:t>
      </w:r>
      <w:r>
        <w:rPr>
          <w:rFonts w:ascii="Bookman Old Style" w:hAnsi="Bookman Old Style"/>
          <w:lang w:val="es-CO"/>
        </w:rPr>
        <w:t>s por l</w:t>
      </w:r>
      <w:r w:rsidR="00FC0E01">
        <w:rPr>
          <w:rFonts w:ascii="Bookman Old Style" w:hAnsi="Bookman Old Style"/>
          <w:lang w:val="es-CO"/>
        </w:rPr>
        <w:t>a</w:t>
      </w:r>
      <w:r>
        <w:rPr>
          <w:rFonts w:ascii="Bookman Old Style" w:hAnsi="Bookman Old Style"/>
          <w:lang w:val="es-CO"/>
        </w:rPr>
        <w:t xml:space="preserve"> </w:t>
      </w:r>
      <w:r w:rsidR="00FC0E01">
        <w:rPr>
          <w:rFonts w:ascii="Bookman Old Style" w:hAnsi="Bookman Old Style"/>
        </w:rPr>
        <w:t xml:space="preserve">Compañía Energética del </w:t>
      </w:r>
      <w:r w:rsidR="00FC0E01" w:rsidRPr="00C1686E">
        <w:rPr>
          <w:rFonts w:ascii="Bookman Old Style" w:hAnsi="Bookman Old Style"/>
          <w:lang w:val="es-CO"/>
        </w:rPr>
        <w:t>Tolima S.A. E.S.P</w:t>
      </w:r>
      <w:r w:rsidR="00FC0E01">
        <w:rPr>
          <w:rFonts w:ascii="Bookman Old Style" w:hAnsi="Bookman Old Style"/>
          <w:lang w:val="es-CO"/>
        </w:rPr>
        <w:t xml:space="preserve">., </w:t>
      </w:r>
      <w:r>
        <w:rPr>
          <w:rFonts w:ascii="Bookman Old Style" w:hAnsi="Bookman Old Style"/>
          <w:lang w:val="es-CO"/>
        </w:rPr>
        <w:t xml:space="preserve">en el </w:t>
      </w:r>
      <w:r w:rsidR="00FC0E01">
        <w:rPr>
          <w:rFonts w:ascii="Bookman Old Style" w:hAnsi="Bookman Old Style"/>
          <w:lang w:val="es-CO"/>
        </w:rPr>
        <w:t xml:space="preserve">respectivo </w:t>
      </w:r>
      <w:r>
        <w:rPr>
          <w:rFonts w:ascii="Bookman Old Style" w:hAnsi="Bookman Old Style"/>
          <w:lang w:val="es-CO"/>
        </w:rPr>
        <w:t>recurso de reposició</w:t>
      </w:r>
      <w:r w:rsidR="00A605A8">
        <w:rPr>
          <w:rFonts w:ascii="Bookman Old Style" w:hAnsi="Bookman Old Style"/>
          <w:lang w:val="es-CO"/>
        </w:rPr>
        <w:t>n</w:t>
      </w:r>
      <w:r w:rsidR="00F76A84">
        <w:rPr>
          <w:rFonts w:ascii="Bookman Old Style" w:hAnsi="Bookman Old Style"/>
          <w:lang w:val="es-CO"/>
        </w:rPr>
        <w:t>,</w:t>
      </w:r>
      <w:r w:rsidR="00A605A8">
        <w:rPr>
          <w:rFonts w:ascii="Bookman Old Style" w:hAnsi="Bookman Old Style"/>
          <w:lang w:val="es-CO"/>
        </w:rPr>
        <w:t xml:space="preserve"> no demuestran que la </w:t>
      </w:r>
      <w:r w:rsidR="002D4C15">
        <w:rPr>
          <w:rFonts w:ascii="Bookman Old Style" w:hAnsi="Bookman Old Style"/>
          <w:lang w:val="es-CO"/>
        </w:rPr>
        <w:t>C</w:t>
      </w:r>
      <w:r w:rsidR="00E950FF">
        <w:rPr>
          <w:rFonts w:ascii="Bookman Old Style" w:hAnsi="Bookman Old Style"/>
          <w:lang w:val="es-CO"/>
        </w:rPr>
        <w:t>REG utilizara</w:t>
      </w:r>
      <w:r w:rsidR="002D4C15">
        <w:rPr>
          <w:rFonts w:ascii="Bookman Old Style" w:hAnsi="Bookman Old Style"/>
          <w:lang w:val="es-CO"/>
        </w:rPr>
        <w:t xml:space="preserve"> para el cálculo de los índices de calidad, </w:t>
      </w:r>
      <w:r w:rsidR="00E950FF">
        <w:rPr>
          <w:rFonts w:ascii="Bookman Old Style" w:hAnsi="Bookman Old Style"/>
          <w:lang w:val="es-CO"/>
        </w:rPr>
        <w:t>información que no fuera oficial y</w:t>
      </w:r>
      <w:r w:rsidR="002D4C15">
        <w:rPr>
          <w:rFonts w:ascii="Bookman Old Style" w:hAnsi="Bookman Old Style"/>
          <w:lang w:val="es-CO"/>
        </w:rPr>
        <w:t>/</w:t>
      </w:r>
      <w:r w:rsidR="00E950FF">
        <w:rPr>
          <w:rFonts w:ascii="Bookman Old Style" w:hAnsi="Bookman Old Style"/>
          <w:lang w:val="es-CO"/>
        </w:rPr>
        <w:t xml:space="preserve">o que su proceder </w:t>
      </w:r>
      <w:r w:rsidR="00FC0E01">
        <w:rPr>
          <w:rFonts w:ascii="Bookman Old Style" w:hAnsi="Bookman Old Style"/>
          <w:lang w:val="es-CO"/>
        </w:rPr>
        <w:t xml:space="preserve">para </w:t>
      </w:r>
      <w:r w:rsidR="00E950FF">
        <w:rPr>
          <w:rFonts w:ascii="Bookman Old Style" w:hAnsi="Bookman Old Style"/>
          <w:lang w:val="es-CO"/>
        </w:rPr>
        <w:t xml:space="preserve">el cálculo </w:t>
      </w:r>
      <w:r w:rsidR="002D4C15">
        <w:rPr>
          <w:rFonts w:ascii="Bookman Old Style" w:hAnsi="Bookman Old Style"/>
          <w:lang w:val="es-CO"/>
        </w:rPr>
        <w:t xml:space="preserve">de los mismos no hubiera estado acorde a lo establecido en la metodología de calidad de la Resolución CREG 097 de 2008, razón por la cual no se considera necesario calcular nuevamente los </w:t>
      </w:r>
      <w:r w:rsidR="003E220E">
        <w:rPr>
          <w:rFonts w:ascii="Bookman Old Style" w:hAnsi="Bookman Old Style"/>
          <w:lang w:val="es-CO"/>
        </w:rPr>
        <w:t>índices</w:t>
      </w:r>
      <w:r w:rsidR="002D4C15">
        <w:rPr>
          <w:rFonts w:ascii="Bookman Old Style" w:hAnsi="Bookman Old Style"/>
          <w:lang w:val="es-CO"/>
        </w:rPr>
        <w:t xml:space="preserve"> aprobados a la empresa</w:t>
      </w:r>
      <w:r w:rsidR="00FC0E01">
        <w:rPr>
          <w:rFonts w:ascii="Bookman Old Style" w:hAnsi="Bookman Old Style"/>
          <w:lang w:val="es-CO"/>
        </w:rPr>
        <w:t>,</w:t>
      </w:r>
      <w:r w:rsidR="002D4C15">
        <w:rPr>
          <w:rFonts w:ascii="Bookman Old Style" w:hAnsi="Bookman Old Style"/>
          <w:lang w:val="es-CO"/>
        </w:rPr>
        <w:t xml:space="preserve"> mediante la Resolución CREG 167 de 2010. </w:t>
      </w:r>
    </w:p>
    <w:p w:rsidR="00DF2F4B" w:rsidRDefault="00DF2F4B" w:rsidP="00DF2F4B">
      <w:pPr>
        <w:pStyle w:val="Textoindependiente2"/>
        <w:spacing w:after="0" w:line="240" w:lineRule="auto"/>
        <w:ind w:left="0"/>
        <w:jc w:val="both"/>
        <w:rPr>
          <w:rFonts w:ascii="Bookman Old Style" w:hAnsi="Bookman Old Style"/>
          <w:lang w:val="es-CO"/>
        </w:rPr>
      </w:pPr>
    </w:p>
    <w:p w:rsidR="00C21A5C" w:rsidRDefault="002D4C15" w:rsidP="00D107F5">
      <w:pPr>
        <w:pStyle w:val="Textoindependiente2"/>
        <w:spacing w:after="0" w:line="240" w:lineRule="auto"/>
        <w:ind w:left="0"/>
        <w:jc w:val="both"/>
        <w:rPr>
          <w:rFonts w:ascii="Bookman Old Style" w:hAnsi="Bookman Old Style"/>
          <w:lang w:val="es-CO"/>
        </w:rPr>
      </w:pPr>
      <w:r>
        <w:rPr>
          <w:rFonts w:ascii="Bookman Old Style" w:hAnsi="Bookman Old Style"/>
          <w:lang w:val="es-CO"/>
        </w:rPr>
        <w:t>En consecuencia</w:t>
      </w:r>
      <w:r w:rsidR="00984C26">
        <w:rPr>
          <w:rFonts w:ascii="Bookman Old Style" w:hAnsi="Bookman Old Style"/>
          <w:lang w:val="es-CO"/>
        </w:rPr>
        <w:t>,</w:t>
      </w:r>
      <w:r>
        <w:rPr>
          <w:rFonts w:ascii="Bookman Old Style" w:hAnsi="Bookman Old Style"/>
          <w:lang w:val="es-CO"/>
        </w:rPr>
        <w:t xml:space="preserve"> </w:t>
      </w:r>
      <w:r w:rsidR="00A605A8">
        <w:rPr>
          <w:rFonts w:ascii="Bookman Old Style" w:hAnsi="Bookman Old Style"/>
          <w:lang w:val="es-CO"/>
        </w:rPr>
        <w:t>no se</w:t>
      </w:r>
      <w:r w:rsidR="00FC0E01">
        <w:rPr>
          <w:rFonts w:ascii="Bookman Old Style" w:hAnsi="Bookman Old Style"/>
          <w:lang w:val="es-CO"/>
        </w:rPr>
        <w:t xml:space="preserve"> </w:t>
      </w:r>
      <w:r w:rsidR="00A605A8">
        <w:rPr>
          <w:rFonts w:ascii="Bookman Old Style" w:hAnsi="Bookman Old Style"/>
          <w:lang w:val="es-CO"/>
        </w:rPr>
        <w:t>acepta</w:t>
      </w:r>
      <w:r w:rsidR="00FC0E01">
        <w:rPr>
          <w:rFonts w:ascii="Bookman Old Style" w:hAnsi="Bookman Old Style"/>
          <w:lang w:val="es-CO"/>
        </w:rPr>
        <w:t>r</w:t>
      </w:r>
      <w:r w:rsidR="00FB4F57">
        <w:rPr>
          <w:rFonts w:ascii="Bookman Old Style" w:hAnsi="Bookman Old Style"/>
          <w:lang w:val="es-CO"/>
        </w:rPr>
        <w:t>á</w:t>
      </w:r>
      <w:r w:rsidR="00A605A8">
        <w:rPr>
          <w:rFonts w:ascii="Bookman Old Style" w:hAnsi="Bookman Old Style"/>
          <w:lang w:val="es-CO"/>
        </w:rPr>
        <w:t xml:space="preserve"> la solicitud de </w:t>
      </w:r>
      <w:r>
        <w:rPr>
          <w:rFonts w:ascii="Bookman Old Style" w:hAnsi="Bookman Old Style"/>
          <w:lang w:val="es-CO"/>
        </w:rPr>
        <w:t xml:space="preserve">calcular nuevamente </w:t>
      </w:r>
      <w:r w:rsidR="00984C26">
        <w:rPr>
          <w:rFonts w:ascii="Bookman Old Style" w:hAnsi="Bookman Old Style"/>
          <w:lang w:val="es-CO"/>
        </w:rPr>
        <w:t>el Í</w:t>
      </w:r>
      <w:r w:rsidRPr="002D4C15">
        <w:rPr>
          <w:rFonts w:ascii="Bookman Old Style" w:hAnsi="Bookman Old Style"/>
          <w:lang w:val="es-CO"/>
        </w:rPr>
        <w:t xml:space="preserve">ndice </w:t>
      </w:r>
      <w:r w:rsidR="00984C26">
        <w:rPr>
          <w:rFonts w:ascii="Bookman Old Style" w:hAnsi="Bookman Old Style"/>
          <w:lang w:val="es-CO"/>
        </w:rPr>
        <w:t>de Referencia Agrupado de la D</w:t>
      </w:r>
      <w:r w:rsidRPr="002D4C15">
        <w:rPr>
          <w:rFonts w:ascii="Bookman Old Style" w:hAnsi="Bookman Old Style"/>
          <w:lang w:val="es-CO"/>
        </w:rPr>
        <w:t>iscontinuidad (IRAD</w:t>
      </w:r>
      <w:r w:rsidRPr="00984C26">
        <w:rPr>
          <w:rFonts w:ascii="Bookman Old Style" w:hAnsi="Bookman Old Style"/>
          <w:vertAlign w:val="subscript"/>
          <w:lang w:val="es-CO"/>
        </w:rPr>
        <w:t>n</w:t>
      </w:r>
      <w:r w:rsidR="00984C26" w:rsidRPr="00984C26">
        <w:rPr>
          <w:rFonts w:ascii="Bookman Old Style" w:hAnsi="Bookman Old Style"/>
          <w:vertAlign w:val="subscript"/>
          <w:lang w:val="es-CO"/>
        </w:rPr>
        <w:t>,</w:t>
      </w:r>
      <w:r w:rsidRPr="00984C26">
        <w:rPr>
          <w:rFonts w:ascii="Bookman Old Style" w:hAnsi="Bookman Old Style"/>
          <w:vertAlign w:val="subscript"/>
          <w:lang w:val="es-CO"/>
        </w:rPr>
        <w:t>p</w:t>
      </w:r>
      <w:r w:rsidR="00984C26">
        <w:rPr>
          <w:rFonts w:ascii="Bookman Old Style" w:hAnsi="Bookman Old Style"/>
          <w:lang w:val="es-CO"/>
        </w:rPr>
        <w:t>), el Índice de R</w:t>
      </w:r>
      <w:r w:rsidRPr="002D4C15">
        <w:rPr>
          <w:rFonts w:ascii="Bookman Old Style" w:hAnsi="Bookman Old Style"/>
          <w:lang w:val="es-CO"/>
        </w:rPr>
        <w:t xml:space="preserve">eferencia </w:t>
      </w:r>
      <w:r w:rsidR="00984C26">
        <w:rPr>
          <w:rFonts w:ascii="Bookman Old Style" w:hAnsi="Bookman Old Style"/>
          <w:lang w:val="es-CO"/>
        </w:rPr>
        <w:t>Agrupado de l</w:t>
      </w:r>
      <w:r w:rsidRPr="002D4C15">
        <w:rPr>
          <w:rFonts w:ascii="Bookman Old Style" w:hAnsi="Bookman Old Style"/>
          <w:lang w:val="es-CO"/>
        </w:rPr>
        <w:t xml:space="preserve">a </w:t>
      </w:r>
      <w:r w:rsidR="00984C26">
        <w:rPr>
          <w:rFonts w:ascii="Bookman Old Style" w:hAnsi="Bookman Old Style"/>
          <w:lang w:val="es-CO"/>
        </w:rPr>
        <w:t>D</w:t>
      </w:r>
      <w:r w:rsidR="00DD06FF">
        <w:rPr>
          <w:rFonts w:ascii="Bookman Old Style" w:hAnsi="Bookman Old Style"/>
          <w:lang w:val="es-CO"/>
        </w:rPr>
        <w:t>iscontinuidad para el A</w:t>
      </w:r>
      <w:r w:rsidRPr="002D4C15">
        <w:rPr>
          <w:rFonts w:ascii="Bookman Old Style" w:hAnsi="Bookman Old Style"/>
          <w:lang w:val="es-CO"/>
        </w:rPr>
        <w:t xml:space="preserve">ño </w:t>
      </w:r>
      <w:r w:rsidR="00DD06FF">
        <w:rPr>
          <w:rFonts w:ascii="Bookman Old Style" w:hAnsi="Bookman Old Style"/>
          <w:lang w:val="es-CO"/>
        </w:rPr>
        <w:t>K (IRADK) y el promedio de los Í</w:t>
      </w:r>
      <w:r w:rsidRPr="002D4C15">
        <w:rPr>
          <w:rFonts w:ascii="Bookman Old Style" w:hAnsi="Bookman Old Style"/>
          <w:lang w:val="es-CO"/>
        </w:rPr>
        <w:t xml:space="preserve">ndices de </w:t>
      </w:r>
      <w:r w:rsidR="00DD06FF">
        <w:rPr>
          <w:rFonts w:ascii="Bookman Old Style" w:hAnsi="Bookman Old Style"/>
          <w:lang w:val="es-CO"/>
        </w:rPr>
        <w:t>Referencia de la D</w:t>
      </w:r>
      <w:r w:rsidRPr="002D4C15">
        <w:rPr>
          <w:rFonts w:ascii="Bookman Old Style" w:hAnsi="Bookman Old Style"/>
          <w:lang w:val="es-CO"/>
        </w:rPr>
        <w:t xml:space="preserve">iscontinuidad por </w:t>
      </w:r>
      <w:r w:rsidR="00DD06FF">
        <w:rPr>
          <w:rFonts w:ascii="Bookman Old Style" w:hAnsi="Bookman Old Style"/>
          <w:lang w:val="es-CO"/>
        </w:rPr>
        <w:t>Grupo de C</w:t>
      </w:r>
      <w:r w:rsidRPr="002D4C15">
        <w:rPr>
          <w:rFonts w:ascii="Bookman Old Style" w:hAnsi="Bookman Old Style"/>
          <w:lang w:val="es-CO"/>
        </w:rPr>
        <w:t>alidad (IRGP</w:t>
      </w:r>
      <w:r w:rsidRPr="00DD06FF">
        <w:rPr>
          <w:rFonts w:ascii="Bookman Old Style" w:hAnsi="Bookman Old Style"/>
          <w:vertAlign w:val="subscript"/>
          <w:lang w:val="es-CO"/>
        </w:rPr>
        <w:t>n,q,p</w:t>
      </w:r>
      <w:r w:rsidRPr="002D4C15">
        <w:rPr>
          <w:rFonts w:ascii="Bookman Old Style" w:hAnsi="Bookman Old Style"/>
          <w:lang w:val="es-CO"/>
        </w:rPr>
        <w:t xml:space="preserve">) para el </w:t>
      </w:r>
      <w:r w:rsidR="00DD06FF">
        <w:rPr>
          <w:rFonts w:ascii="Bookman Old Style" w:hAnsi="Bookman Old Style"/>
          <w:lang w:val="es-CO"/>
        </w:rPr>
        <w:t>Sistema de D</w:t>
      </w:r>
      <w:r w:rsidRPr="002D4C15">
        <w:rPr>
          <w:rFonts w:ascii="Bookman Old Style" w:hAnsi="Bookman Old Style"/>
          <w:lang w:val="es-CO"/>
        </w:rPr>
        <w:t xml:space="preserve">istribución </w:t>
      </w:r>
      <w:r w:rsidR="00DD06FF">
        <w:rPr>
          <w:rFonts w:ascii="Bookman Old Style" w:hAnsi="Bookman Old Style"/>
          <w:lang w:val="es-CO"/>
        </w:rPr>
        <w:t>L</w:t>
      </w:r>
      <w:r w:rsidRPr="002D4C15">
        <w:rPr>
          <w:rFonts w:ascii="Bookman Old Style" w:hAnsi="Bookman Old Style"/>
          <w:lang w:val="es-CO"/>
        </w:rPr>
        <w:t>ocal (SDL) operado por Enertolima S.A. E</w:t>
      </w:r>
      <w:r w:rsidR="00DD06FF">
        <w:rPr>
          <w:rFonts w:ascii="Bookman Old Style" w:hAnsi="Bookman Old Style"/>
          <w:lang w:val="es-CO"/>
        </w:rPr>
        <w:t>.</w:t>
      </w:r>
      <w:r w:rsidRPr="002D4C15">
        <w:rPr>
          <w:rFonts w:ascii="Bookman Old Style" w:hAnsi="Bookman Old Style"/>
          <w:lang w:val="es-CO"/>
        </w:rPr>
        <w:t>S</w:t>
      </w:r>
      <w:r w:rsidR="00DD06FF">
        <w:rPr>
          <w:rFonts w:ascii="Bookman Old Style" w:hAnsi="Bookman Old Style"/>
          <w:lang w:val="es-CO"/>
        </w:rPr>
        <w:t>.</w:t>
      </w:r>
      <w:r w:rsidRPr="002D4C15">
        <w:rPr>
          <w:rFonts w:ascii="Bookman Old Style" w:hAnsi="Bookman Old Style"/>
          <w:lang w:val="es-CO"/>
        </w:rPr>
        <w:t>P</w:t>
      </w:r>
      <w:r w:rsidR="00A605A8">
        <w:rPr>
          <w:rFonts w:ascii="Bookman Old Style" w:hAnsi="Bookman Old Style"/>
          <w:lang w:val="es-CO"/>
        </w:rPr>
        <w:t>.</w:t>
      </w:r>
      <w:r w:rsidR="00511E61">
        <w:rPr>
          <w:rFonts w:ascii="Bookman Old Style" w:hAnsi="Bookman Old Style"/>
          <w:lang w:val="es-CO"/>
        </w:rPr>
        <w:t xml:space="preserve">, y se procederá a confirmar lo que se aprobó en la Resolución CREG 167 de 2010. </w:t>
      </w:r>
    </w:p>
    <w:p w:rsidR="008A0C8F" w:rsidRPr="00D107F5" w:rsidRDefault="008A0C8F" w:rsidP="002A6A2F">
      <w:pPr>
        <w:ind w:left="0"/>
        <w:jc w:val="both"/>
        <w:rPr>
          <w:rFonts w:ascii="Bookman Old Style" w:hAnsi="Bookman Old Style"/>
          <w:sz w:val="18"/>
        </w:rPr>
      </w:pPr>
    </w:p>
    <w:p w:rsidR="002A6A2F" w:rsidRPr="00D34DBB" w:rsidRDefault="002A6A2F" w:rsidP="002A6A2F">
      <w:pPr>
        <w:ind w:left="0"/>
        <w:jc w:val="both"/>
        <w:rPr>
          <w:rFonts w:ascii="Bookman Old Style" w:hAnsi="Bookman Old Style"/>
        </w:rPr>
      </w:pPr>
      <w:r>
        <w:rPr>
          <w:rFonts w:ascii="Bookman Old Style" w:hAnsi="Bookman Old Style"/>
        </w:rPr>
        <w:t xml:space="preserve">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w:t>
      </w:r>
      <w:r w:rsidR="005B1C8B">
        <w:rPr>
          <w:rFonts w:ascii="Bookman Old Style" w:hAnsi="Bookman Old Style"/>
        </w:rPr>
        <w:t>competencia en los mercados y</w:t>
      </w:r>
      <w:r>
        <w:rPr>
          <w:rFonts w:ascii="Bookman Old Style" w:hAnsi="Bookman Old Style"/>
        </w:rPr>
        <w:t xml:space="preserve"> no</w:t>
      </w:r>
      <w:r w:rsidR="005B1C8B">
        <w:rPr>
          <w:rFonts w:ascii="Bookman Old Style" w:hAnsi="Bookman Old Style"/>
        </w:rPr>
        <w:t xml:space="preserve"> se</w:t>
      </w:r>
      <w:r>
        <w:rPr>
          <w:rFonts w:ascii="Bookman Old Style" w:hAnsi="Bookman Old Style"/>
        </w:rPr>
        <w:t xml:space="preserve"> requiere informar a la Superintendencia de Industria y Comercio;</w:t>
      </w:r>
    </w:p>
    <w:p w:rsidR="00B536F6" w:rsidRPr="00190ADA" w:rsidRDefault="00B536F6" w:rsidP="00ED0343">
      <w:pPr>
        <w:spacing w:before="240"/>
        <w:ind w:left="0"/>
        <w:jc w:val="both"/>
        <w:rPr>
          <w:rFonts w:ascii="Bookman Old Style" w:hAnsi="Bookman Old Style"/>
        </w:rPr>
      </w:pPr>
      <w:r w:rsidRPr="00190ADA">
        <w:rPr>
          <w:rFonts w:ascii="Bookman Old Style" w:hAnsi="Bookman Old Style"/>
        </w:rPr>
        <w:t xml:space="preserve">La Comisión de Regulación de Energía y Gas, en su sesión No. </w:t>
      </w:r>
      <w:r w:rsidR="00D107F5">
        <w:rPr>
          <w:rFonts w:ascii="Bookman Old Style" w:hAnsi="Bookman Old Style"/>
        </w:rPr>
        <w:t>484</w:t>
      </w:r>
      <w:r w:rsidRPr="00190ADA">
        <w:rPr>
          <w:rFonts w:ascii="Bookman Old Style" w:hAnsi="Bookman Old Style"/>
        </w:rPr>
        <w:t xml:space="preserve"> del </w:t>
      </w:r>
      <w:r w:rsidR="00D107F5">
        <w:rPr>
          <w:rFonts w:ascii="Bookman Old Style" w:hAnsi="Bookman Old Style"/>
        </w:rPr>
        <w:t>20</w:t>
      </w:r>
      <w:r w:rsidRPr="00190ADA">
        <w:rPr>
          <w:rFonts w:ascii="Bookman Old Style" w:hAnsi="Bookman Old Style"/>
        </w:rPr>
        <w:t xml:space="preserve"> de </w:t>
      </w:r>
      <w:r w:rsidR="00D107F5">
        <w:rPr>
          <w:rFonts w:ascii="Bookman Old Style" w:hAnsi="Bookman Old Style"/>
        </w:rPr>
        <w:t>abril</w:t>
      </w:r>
      <w:r w:rsidRPr="00190ADA">
        <w:rPr>
          <w:rFonts w:ascii="Bookman Old Style" w:hAnsi="Bookman Old Style"/>
        </w:rPr>
        <w:t xml:space="preserve"> de </w:t>
      </w:r>
      <w:r w:rsidR="005525A1">
        <w:rPr>
          <w:rFonts w:ascii="Bookman Old Style" w:hAnsi="Bookman Old Style"/>
        </w:rPr>
        <w:t>2011</w:t>
      </w:r>
      <w:r w:rsidRPr="00190ADA">
        <w:rPr>
          <w:rFonts w:ascii="Bookman Old Style" w:hAnsi="Bookman Old Style"/>
        </w:rPr>
        <w:t>, acordó expedir la presente Resolución;</w:t>
      </w:r>
    </w:p>
    <w:p w:rsidR="00B536F6" w:rsidRDefault="00B536F6" w:rsidP="00B536F6">
      <w:pPr>
        <w:jc w:val="center"/>
        <w:rPr>
          <w:rFonts w:ascii="Bookman Old Style" w:hAnsi="Bookman Old Style"/>
          <w:b/>
        </w:rPr>
      </w:pPr>
    </w:p>
    <w:p w:rsidR="00DF2F4B" w:rsidRDefault="00DF2F4B" w:rsidP="00B536F6">
      <w:pPr>
        <w:jc w:val="center"/>
        <w:rPr>
          <w:rFonts w:ascii="Bookman Old Style" w:hAnsi="Bookman Old Style"/>
          <w:b/>
        </w:rPr>
      </w:pPr>
    </w:p>
    <w:p w:rsidR="00DF2F4B" w:rsidRPr="00190ADA" w:rsidRDefault="00DF2F4B" w:rsidP="00B536F6">
      <w:pPr>
        <w:jc w:val="center"/>
        <w:rPr>
          <w:rFonts w:ascii="Bookman Old Style" w:hAnsi="Bookman Old Style"/>
          <w:b/>
        </w:rPr>
      </w:pPr>
    </w:p>
    <w:p w:rsidR="00B536F6" w:rsidRDefault="00B536F6" w:rsidP="00BC58F7">
      <w:pPr>
        <w:jc w:val="center"/>
        <w:rPr>
          <w:rFonts w:ascii="Bookman Old Style" w:hAnsi="Bookman Old Style"/>
          <w:b/>
        </w:rPr>
      </w:pPr>
      <w:r w:rsidRPr="00190ADA">
        <w:rPr>
          <w:rFonts w:ascii="Bookman Old Style" w:hAnsi="Bookman Old Style"/>
          <w:b/>
        </w:rPr>
        <w:t>R E</w:t>
      </w:r>
      <w:r w:rsidRPr="00190ADA">
        <w:rPr>
          <w:rFonts w:ascii="Bookman Old Style" w:hAnsi="Bookman Old Style"/>
        </w:rPr>
        <w:t xml:space="preserve"> </w:t>
      </w:r>
      <w:r w:rsidRPr="00190ADA">
        <w:rPr>
          <w:rFonts w:ascii="Bookman Old Style" w:hAnsi="Bookman Old Style"/>
          <w:b/>
        </w:rPr>
        <w:t>S U E L V E:</w:t>
      </w:r>
    </w:p>
    <w:p w:rsidR="00BC58F7" w:rsidRDefault="00BC58F7" w:rsidP="00BC58F7">
      <w:pPr>
        <w:jc w:val="center"/>
        <w:rPr>
          <w:rFonts w:ascii="Bookman Old Style" w:hAnsi="Bookman Old Style"/>
          <w:b/>
          <w:sz w:val="16"/>
        </w:rPr>
      </w:pPr>
    </w:p>
    <w:p w:rsidR="00DF2F4B" w:rsidRPr="00D107F5" w:rsidRDefault="00DF2F4B" w:rsidP="00BC58F7">
      <w:pPr>
        <w:jc w:val="center"/>
        <w:rPr>
          <w:rFonts w:ascii="Bookman Old Style" w:hAnsi="Bookman Old Style"/>
          <w:b/>
          <w:sz w:val="16"/>
        </w:rPr>
      </w:pPr>
    </w:p>
    <w:p w:rsidR="00BC58F7" w:rsidRDefault="00BC58F7" w:rsidP="00BC58F7">
      <w:pPr>
        <w:spacing w:before="240"/>
        <w:ind w:left="0"/>
        <w:jc w:val="both"/>
        <w:rPr>
          <w:rFonts w:ascii="Bookman Old Style" w:hAnsi="Bookman Old Style"/>
        </w:rPr>
      </w:pPr>
      <w:r w:rsidRPr="00BC58F7">
        <w:rPr>
          <w:rFonts w:ascii="Bookman Old Style" w:hAnsi="Bookman Old Style"/>
          <w:b/>
        </w:rPr>
        <w:t>Artículo 1.</w:t>
      </w:r>
      <w:r w:rsidRPr="00BC58F7">
        <w:rPr>
          <w:rFonts w:ascii="Bookman Old Style" w:hAnsi="Bookman Old Style"/>
          <w:b/>
        </w:rPr>
        <w:tab/>
      </w:r>
      <w:r w:rsidRPr="00BC58F7">
        <w:rPr>
          <w:rFonts w:ascii="Bookman Old Style" w:hAnsi="Bookman Old Style"/>
        </w:rPr>
        <w:t>No reponer la Resolución CREG 1</w:t>
      </w:r>
      <w:r w:rsidR="005525A1">
        <w:rPr>
          <w:rFonts w:ascii="Bookman Old Style" w:hAnsi="Bookman Old Style"/>
        </w:rPr>
        <w:t>67</w:t>
      </w:r>
      <w:r w:rsidRPr="00BC58F7">
        <w:rPr>
          <w:rFonts w:ascii="Bookman Old Style" w:hAnsi="Bookman Old Style"/>
        </w:rPr>
        <w:t xml:space="preserve"> de 20</w:t>
      </w:r>
      <w:r>
        <w:rPr>
          <w:rFonts w:ascii="Bookman Old Style" w:hAnsi="Bookman Old Style"/>
        </w:rPr>
        <w:t>1</w:t>
      </w:r>
      <w:r w:rsidRPr="00BC58F7">
        <w:rPr>
          <w:rFonts w:ascii="Bookman Old Style" w:hAnsi="Bookman Old Style"/>
        </w:rPr>
        <w:t xml:space="preserve">0, </w:t>
      </w:r>
      <w:r w:rsidR="00FC0E01">
        <w:rPr>
          <w:rFonts w:ascii="Bookman Old Style" w:hAnsi="Bookman Old Style"/>
        </w:rPr>
        <w:t xml:space="preserve">y confirmar </w:t>
      </w:r>
      <w:r w:rsidRPr="00BC58F7">
        <w:rPr>
          <w:rFonts w:ascii="Bookman Old Style" w:hAnsi="Bookman Old Style"/>
        </w:rPr>
        <w:t xml:space="preserve">los Índices de Referencia de la Discontinuidad </w:t>
      </w:r>
      <w:r w:rsidR="00511E61">
        <w:rPr>
          <w:rFonts w:ascii="Bookman Old Style" w:hAnsi="Bookman Old Style"/>
        </w:rPr>
        <w:t xml:space="preserve">aprobados a </w:t>
      </w:r>
      <w:r w:rsidRPr="00BC58F7">
        <w:rPr>
          <w:rFonts w:ascii="Bookman Old Style" w:hAnsi="Bookman Old Style"/>
        </w:rPr>
        <w:t>la</w:t>
      </w:r>
      <w:r w:rsidR="005525A1">
        <w:rPr>
          <w:rFonts w:ascii="Bookman Old Style" w:hAnsi="Bookman Old Style"/>
        </w:rPr>
        <w:t xml:space="preserve"> </w:t>
      </w:r>
      <w:r w:rsidR="005525A1" w:rsidRPr="005525A1">
        <w:rPr>
          <w:rFonts w:ascii="Bookman Old Style" w:hAnsi="Bookman Old Style"/>
        </w:rPr>
        <w:t>Compañía Energética del Tolima S.A. E.S.P.</w:t>
      </w:r>
      <w:r w:rsidRPr="00BC58F7">
        <w:rPr>
          <w:rFonts w:ascii="Bookman Old Style" w:hAnsi="Bookman Old Style"/>
        </w:rPr>
        <w:t>, por l</w:t>
      </w:r>
      <w:r w:rsidR="00511E61">
        <w:rPr>
          <w:rFonts w:ascii="Bookman Old Style" w:hAnsi="Bookman Old Style"/>
        </w:rPr>
        <w:t xml:space="preserve">as razones </w:t>
      </w:r>
      <w:r w:rsidRPr="00BC58F7">
        <w:rPr>
          <w:rFonts w:ascii="Bookman Old Style" w:hAnsi="Bookman Old Style"/>
        </w:rPr>
        <w:t>expuest</w:t>
      </w:r>
      <w:r w:rsidR="00511E61">
        <w:rPr>
          <w:rFonts w:ascii="Bookman Old Style" w:hAnsi="Bookman Old Style"/>
        </w:rPr>
        <w:t>as</w:t>
      </w:r>
      <w:r w:rsidRPr="00BC58F7">
        <w:rPr>
          <w:rFonts w:ascii="Bookman Old Style" w:hAnsi="Bookman Old Style"/>
        </w:rPr>
        <w:t xml:space="preserve"> en la parte motiva de esta resolución.</w:t>
      </w:r>
    </w:p>
    <w:p w:rsidR="00DF2F4B" w:rsidRDefault="00DF2F4B" w:rsidP="00BC58F7">
      <w:pPr>
        <w:spacing w:before="240"/>
        <w:ind w:left="0"/>
        <w:jc w:val="both"/>
        <w:rPr>
          <w:rFonts w:ascii="Bookman Old Style" w:hAnsi="Bookman Old Style"/>
          <w:b/>
        </w:rPr>
      </w:pPr>
    </w:p>
    <w:p w:rsidR="00BC58F7" w:rsidRPr="00623441" w:rsidRDefault="00BC58F7" w:rsidP="00BC58F7">
      <w:pPr>
        <w:spacing w:before="240"/>
        <w:ind w:left="0"/>
        <w:jc w:val="both"/>
        <w:rPr>
          <w:rFonts w:ascii="Bookman Old Style" w:hAnsi="Bookman Old Style"/>
        </w:rPr>
      </w:pPr>
      <w:r w:rsidRPr="00BC58F7">
        <w:rPr>
          <w:rFonts w:ascii="Bookman Old Style" w:hAnsi="Bookman Old Style"/>
          <w:b/>
        </w:rPr>
        <w:lastRenderedPageBreak/>
        <w:t>Artículo 2.</w:t>
      </w:r>
      <w:r w:rsidRPr="00BC58F7">
        <w:rPr>
          <w:rFonts w:ascii="Bookman Old Style" w:hAnsi="Bookman Old Style"/>
        </w:rPr>
        <w:tab/>
      </w:r>
      <w:r w:rsidRPr="00DD06FF">
        <w:rPr>
          <w:rFonts w:ascii="Bookman Old Style" w:hAnsi="Bookman Old Style"/>
          <w:b/>
        </w:rPr>
        <w:t>Recursos.</w:t>
      </w:r>
      <w:r w:rsidRPr="00BC58F7">
        <w:rPr>
          <w:rFonts w:ascii="Bookman Old Style" w:hAnsi="Bookman Old Style"/>
        </w:rPr>
        <w:t xml:space="preserve"> Notificar personal</w:t>
      </w:r>
      <w:r w:rsidR="005525A1">
        <w:rPr>
          <w:rFonts w:ascii="Bookman Old Style" w:hAnsi="Bookman Old Style"/>
        </w:rPr>
        <w:t xml:space="preserve">mente al representante legal de la </w:t>
      </w:r>
      <w:r w:rsidR="005525A1" w:rsidRPr="005525A1">
        <w:rPr>
          <w:rFonts w:ascii="Bookman Old Style" w:hAnsi="Bookman Old Style"/>
        </w:rPr>
        <w:t>Compañía Energética del Tolima S.A. E.S.P.</w:t>
      </w:r>
      <w:r w:rsidR="005525A1">
        <w:rPr>
          <w:rFonts w:ascii="Bookman Old Style" w:hAnsi="Bookman Old Style"/>
        </w:rPr>
        <w:t xml:space="preserve"> </w:t>
      </w:r>
      <w:r w:rsidRPr="00BC58F7">
        <w:rPr>
          <w:rFonts w:ascii="Bookman Old Style" w:hAnsi="Bookman Old Style"/>
        </w:rPr>
        <w:t xml:space="preserve">el contenido de esta resolución, y hacerle saber que contra lo dispuesto en este acto no procede recurso alguno por la vía gubernativa. </w:t>
      </w:r>
      <w:r w:rsidR="00270DFB">
        <w:rPr>
          <w:rFonts w:ascii="Bookman Old Style" w:hAnsi="Bookman Old Style"/>
        </w:rPr>
        <w:t xml:space="preserve">Publíquese en el </w:t>
      </w:r>
      <w:r w:rsidR="00923A76" w:rsidRPr="00923A76">
        <w:rPr>
          <w:rFonts w:ascii="Bookman Old Style" w:hAnsi="Bookman Old Style"/>
          <w:i/>
        </w:rPr>
        <w:t>D</w:t>
      </w:r>
      <w:r w:rsidR="00270DFB" w:rsidRPr="00923A76">
        <w:rPr>
          <w:rFonts w:ascii="Bookman Old Style" w:hAnsi="Bookman Old Style"/>
          <w:i/>
        </w:rPr>
        <w:t xml:space="preserve">iario </w:t>
      </w:r>
      <w:r w:rsidR="00923A76" w:rsidRPr="00923A76">
        <w:rPr>
          <w:rFonts w:ascii="Bookman Old Style" w:hAnsi="Bookman Old Style"/>
          <w:i/>
        </w:rPr>
        <w:t>O</w:t>
      </w:r>
      <w:r w:rsidR="00270DFB" w:rsidRPr="00923A76">
        <w:rPr>
          <w:rFonts w:ascii="Bookman Old Style" w:hAnsi="Bookman Old Style"/>
          <w:i/>
        </w:rPr>
        <w:t>ficial</w:t>
      </w:r>
      <w:r w:rsidR="00270DFB">
        <w:rPr>
          <w:rFonts w:ascii="Bookman Old Style" w:hAnsi="Bookman Old Style"/>
        </w:rPr>
        <w:t>.</w:t>
      </w:r>
    </w:p>
    <w:p w:rsidR="00B536F6" w:rsidRDefault="00B536F6" w:rsidP="00B536F6">
      <w:pPr>
        <w:rPr>
          <w:rFonts w:ascii="Bookman Old Style" w:hAnsi="Bookman Old Style"/>
        </w:rPr>
      </w:pPr>
    </w:p>
    <w:p w:rsidR="00DF2F4B" w:rsidRPr="00190ADA" w:rsidRDefault="00DF2F4B" w:rsidP="00B536F6">
      <w:pPr>
        <w:rPr>
          <w:rFonts w:ascii="Bookman Old Style" w:hAnsi="Bookman Old Style"/>
        </w:rPr>
      </w:pPr>
    </w:p>
    <w:p w:rsidR="00B536F6" w:rsidRPr="00D107F5" w:rsidRDefault="00B536F6" w:rsidP="00B536F6">
      <w:pPr>
        <w:rPr>
          <w:rFonts w:ascii="Bookman Old Style" w:hAnsi="Bookman Old Style"/>
          <w:b/>
          <w:bCs/>
          <w:sz w:val="16"/>
        </w:rPr>
      </w:pPr>
    </w:p>
    <w:p w:rsidR="00B536F6" w:rsidRPr="00190ADA" w:rsidRDefault="00BC58F7" w:rsidP="00855E18">
      <w:pPr>
        <w:ind w:left="0"/>
        <w:jc w:val="center"/>
        <w:rPr>
          <w:rFonts w:ascii="Bookman Old Style" w:hAnsi="Bookman Old Style" w:cs="Courier New"/>
          <w:b/>
          <w:bCs/>
          <w:spacing w:val="-3"/>
        </w:rPr>
      </w:pPr>
      <w:r>
        <w:rPr>
          <w:rFonts w:ascii="Bookman Old Style" w:hAnsi="Bookman Old Style"/>
          <w:b/>
          <w:bCs/>
        </w:rPr>
        <w:t xml:space="preserve">NOTIFÍQUESE </w:t>
      </w:r>
      <w:r w:rsidR="00270DFB">
        <w:rPr>
          <w:rFonts w:ascii="Bookman Old Style" w:hAnsi="Bookman Old Style"/>
          <w:b/>
          <w:bCs/>
        </w:rPr>
        <w:t xml:space="preserve">PUBLÍQUESE </w:t>
      </w:r>
      <w:r w:rsidR="00B536F6" w:rsidRPr="00190ADA">
        <w:rPr>
          <w:rFonts w:ascii="Bookman Old Style" w:hAnsi="Bookman Old Style"/>
          <w:b/>
          <w:bCs/>
        </w:rPr>
        <w:t>Y CÚMPLASE</w:t>
      </w:r>
    </w:p>
    <w:p w:rsidR="00B536F6" w:rsidRDefault="00B536F6" w:rsidP="00B536F6">
      <w:pPr>
        <w:rPr>
          <w:rFonts w:ascii="Bookman Old Style" w:hAnsi="Bookman Old Style" w:cs="Arial"/>
          <w:spacing w:val="-3"/>
        </w:rPr>
      </w:pPr>
    </w:p>
    <w:p w:rsidR="00DF2F4B" w:rsidRPr="00190ADA" w:rsidRDefault="00DF2F4B" w:rsidP="00B536F6">
      <w:pPr>
        <w:rPr>
          <w:rFonts w:ascii="Bookman Old Style" w:hAnsi="Bookman Old Style" w:cs="Arial"/>
          <w:spacing w:val="-3"/>
        </w:rPr>
      </w:pPr>
    </w:p>
    <w:p w:rsidR="00B536F6" w:rsidRPr="00190ADA" w:rsidRDefault="00B536F6" w:rsidP="00D107F5">
      <w:pPr>
        <w:ind w:left="0"/>
        <w:jc w:val="both"/>
        <w:rPr>
          <w:rFonts w:ascii="Bookman Old Style" w:hAnsi="Bookman Old Style" w:cs="Arial"/>
          <w:spacing w:val="-3"/>
        </w:rPr>
      </w:pPr>
      <w:r w:rsidRPr="00190ADA">
        <w:rPr>
          <w:rFonts w:ascii="Bookman Old Style" w:hAnsi="Bookman Old Style" w:cs="Arial"/>
          <w:spacing w:val="-3"/>
        </w:rPr>
        <w:t xml:space="preserve">Dada en </w:t>
      </w:r>
      <w:r w:rsidRPr="00BC58F7">
        <w:rPr>
          <w:rFonts w:ascii="Bookman Old Style" w:hAnsi="Bookman Old Style"/>
        </w:rPr>
        <w:t>Bogotá</w:t>
      </w:r>
      <w:r w:rsidRPr="00190ADA">
        <w:rPr>
          <w:rFonts w:ascii="Bookman Old Style" w:hAnsi="Bookman Old Style" w:cs="Arial"/>
          <w:spacing w:val="-3"/>
        </w:rPr>
        <w:t>, D.C. a los</w:t>
      </w:r>
    </w:p>
    <w:p w:rsidR="00B536F6" w:rsidRDefault="00B536F6" w:rsidP="00B536F6">
      <w:pPr>
        <w:rPr>
          <w:rFonts w:ascii="Bookman Old Style" w:hAnsi="Bookman Old Style" w:cs="Arial"/>
        </w:rPr>
      </w:pPr>
      <w:r w:rsidRPr="00190ADA">
        <w:rPr>
          <w:rFonts w:ascii="Bookman Old Style" w:hAnsi="Bookman Old Style" w:cs="Arial"/>
        </w:rPr>
        <w:br/>
      </w:r>
    </w:p>
    <w:p w:rsidR="00DF2F4B" w:rsidRPr="00190ADA" w:rsidRDefault="00DF2F4B" w:rsidP="00B536F6">
      <w:pPr>
        <w:rPr>
          <w:rFonts w:ascii="Bookman Old Style" w:hAnsi="Bookman Old Style" w:cs="Arial"/>
        </w:rPr>
      </w:pPr>
    </w:p>
    <w:p w:rsidR="00E433F6" w:rsidRPr="003C1662" w:rsidRDefault="00E433F6" w:rsidP="00E433F6">
      <w:pPr>
        <w:ind w:left="0"/>
        <w:rPr>
          <w:rFonts w:ascii="Bookman Old Style" w:hAnsi="Bookman Old Style"/>
          <w:sz w:val="28"/>
        </w:rPr>
      </w:pPr>
    </w:p>
    <w:tbl>
      <w:tblPr>
        <w:tblW w:w="0" w:type="auto"/>
        <w:jc w:val="center"/>
        <w:tblInd w:w="-508" w:type="dxa"/>
        <w:tblLayout w:type="fixed"/>
        <w:tblCellMar>
          <w:left w:w="70" w:type="dxa"/>
          <w:right w:w="70" w:type="dxa"/>
        </w:tblCellMar>
        <w:tblLook w:val="0000" w:firstRow="0" w:lastRow="0" w:firstColumn="0" w:lastColumn="0" w:noHBand="0" w:noVBand="0"/>
      </w:tblPr>
      <w:tblGrid>
        <w:gridCol w:w="4372"/>
        <w:gridCol w:w="4659"/>
      </w:tblGrid>
      <w:tr w:rsidR="00E433F6" w:rsidRPr="00D34DBB" w:rsidTr="000E6937">
        <w:trPr>
          <w:trHeight w:val="329"/>
          <w:jc w:val="center"/>
        </w:trPr>
        <w:tc>
          <w:tcPr>
            <w:tcW w:w="4372" w:type="dxa"/>
          </w:tcPr>
          <w:p w:rsidR="00E433F6" w:rsidRPr="00D34DBB" w:rsidRDefault="00B536F6" w:rsidP="00B510C7">
            <w:pPr>
              <w:keepNext/>
              <w:tabs>
                <w:tab w:val="left" w:pos="-720"/>
              </w:tabs>
              <w:suppressAutoHyphens/>
              <w:ind w:left="0"/>
              <w:jc w:val="center"/>
              <w:rPr>
                <w:rFonts w:ascii="Bookman Old Style" w:hAnsi="Bookman Old Style"/>
                <w:b/>
              </w:rPr>
            </w:pPr>
            <w:r>
              <w:rPr>
                <w:rFonts w:ascii="Bookman Old Style" w:hAnsi="Bookman Old Style"/>
                <w:b/>
                <w:bCs/>
              </w:rPr>
              <w:t>TOMÁS GONZÁLEZ ESTRADA</w:t>
            </w:r>
          </w:p>
        </w:tc>
        <w:tc>
          <w:tcPr>
            <w:tcW w:w="4659" w:type="dxa"/>
            <w:vAlign w:val="center"/>
          </w:tcPr>
          <w:p w:rsidR="00E433F6" w:rsidRPr="00D34DBB" w:rsidRDefault="00E433F6" w:rsidP="000E6937">
            <w:pPr>
              <w:keepNext/>
              <w:suppressAutoHyphens/>
              <w:ind w:left="0"/>
              <w:jc w:val="center"/>
              <w:rPr>
                <w:rFonts w:ascii="Bookman Old Style" w:hAnsi="Bookman Old Style"/>
                <w:b/>
              </w:rPr>
            </w:pPr>
            <w:r w:rsidRPr="00D34DBB">
              <w:rPr>
                <w:rFonts w:ascii="Bookman Old Style" w:hAnsi="Bookman Old Style"/>
                <w:b/>
              </w:rPr>
              <w:t>JAVIER AUGUSTO DÍAZ VELASCO</w:t>
            </w:r>
          </w:p>
        </w:tc>
      </w:tr>
      <w:tr w:rsidR="00E433F6" w:rsidRPr="00D34DBB" w:rsidTr="00B536F6">
        <w:trPr>
          <w:trHeight w:val="254"/>
          <w:jc w:val="center"/>
        </w:trPr>
        <w:tc>
          <w:tcPr>
            <w:tcW w:w="4372" w:type="dxa"/>
          </w:tcPr>
          <w:p w:rsidR="00E433F6" w:rsidRPr="00EE28F1" w:rsidRDefault="00B536F6" w:rsidP="00E433F6">
            <w:pPr>
              <w:ind w:left="0"/>
              <w:jc w:val="center"/>
              <w:rPr>
                <w:rFonts w:ascii="Bookman Old Style" w:hAnsi="Bookman Old Style" w:cs="Arial"/>
                <w:spacing w:val="-3"/>
              </w:rPr>
            </w:pPr>
            <w:r>
              <w:rPr>
                <w:rFonts w:ascii="Bookman Old Style" w:hAnsi="Bookman Old Style" w:cs="Arial"/>
                <w:spacing w:val="-3"/>
              </w:rPr>
              <w:t>Viceministro</w:t>
            </w:r>
            <w:r w:rsidR="00E433F6" w:rsidRPr="00EE28F1">
              <w:rPr>
                <w:rFonts w:ascii="Bookman Old Style" w:hAnsi="Bookman Old Style" w:cs="Arial"/>
                <w:spacing w:val="-3"/>
              </w:rPr>
              <w:t xml:space="preserve"> de Minas y Energía</w:t>
            </w:r>
          </w:p>
          <w:p w:rsidR="00E433F6" w:rsidRPr="00D34DBB" w:rsidRDefault="00B536F6" w:rsidP="000E6937">
            <w:pPr>
              <w:keepNext/>
              <w:suppressAutoHyphens/>
              <w:ind w:left="0"/>
              <w:jc w:val="center"/>
              <w:rPr>
                <w:rFonts w:ascii="Bookman Old Style" w:hAnsi="Bookman Old Style"/>
              </w:rPr>
            </w:pPr>
            <w:r>
              <w:rPr>
                <w:rFonts w:ascii="Bookman Old Style" w:hAnsi="Bookman Old Style" w:cs="Arial"/>
                <w:spacing w:val="-3"/>
              </w:rPr>
              <w:t>Delegado</w:t>
            </w:r>
            <w:r w:rsidR="00E433F6" w:rsidRPr="00EE28F1">
              <w:rPr>
                <w:rFonts w:ascii="Bookman Old Style" w:hAnsi="Bookman Old Style" w:cs="Arial"/>
                <w:spacing w:val="-3"/>
              </w:rPr>
              <w:t xml:space="preserve"> del Ministro de Minas y Energía</w:t>
            </w:r>
          </w:p>
        </w:tc>
        <w:tc>
          <w:tcPr>
            <w:tcW w:w="4659" w:type="dxa"/>
          </w:tcPr>
          <w:p w:rsidR="00E433F6" w:rsidRPr="00D34DBB" w:rsidRDefault="00E433F6" w:rsidP="00B536F6">
            <w:pPr>
              <w:keepNext/>
              <w:tabs>
                <w:tab w:val="left" w:pos="-720"/>
              </w:tabs>
              <w:suppressAutoHyphens/>
              <w:ind w:left="0"/>
              <w:jc w:val="center"/>
              <w:rPr>
                <w:rFonts w:ascii="Bookman Old Style" w:hAnsi="Bookman Old Style"/>
              </w:rPr>
            </w:pPr>
            <w:r w:rsidRPr="00D34DBB">
              <w:rPr>
                <w:rFonts w:ascii="Bookman Old Style" w:hAnsi="Bookman Old Style"/>
              </w:rPr>
              <w:t>Director Ejecutivo</w:t>
            </w:r>
          </w:p>
        </w:tc>
      </w:tr>
      <w:tr w:rsidR="00E433F6" w:rsidRPr="000A588D" w:rsidTr="000E6937">
        <w:trPr>
          <w:trHeight w:val="73"/>
          <w:jc w:val="center"/>
        </w:trPr>
        <w:tc>
          <w:tcPr>
            <w:tcW w:w="4372" w:type="dxa"/>
          </w:tcPr>
          <w:p w:rsidR="00E433F6" w:rsidRPr="000A588D" w:rsidRDefault="00E433F6" w:rsidP="00B510C7">
            <w:pPr>
              <w:tabs>
                <w:tab w:val="left" w:pos="-720"/>
              </w:tabs>
              <w:suppressAutoHyphens/>
              <w:ind w:left="0"/>
              <w:jc w:val="center"/>
              <w:rPr>
                <w:rFonts w:ascii="Bookman Old Style" w:hAnsi="Bookman Old Style"/>
              </w:rPr>
            </w:pPr>
            <w:r w:rsidRPr="00EE28F1">
              <w:rPr>
                <w:rFonts w:ascii="Bookman Old Style" w:hAnsi="Bookman Old Style" w:cs="Arial"/>
                <w:spacing w:val="-3"/>
              </w:rPr>
              <w:t>Presidente</w:t>
            </w:r>
          </w:p>
        </w:tc>
        <w:tc>
          <w:tcPr>
            <w:tcW w:w="4659" w:type="dxa"/>
            <w:vAlign w:val="center"/>
          </w:tcPr>
          <w:p w:rsidR="00E433F6" w:rsidRPr="000A588D" w:rsidRDefault="00E433F6" w:rsidP="00B510C7">
            <w:pPr>
              <w:ind w:left="708" w:hanging="708"/>
              <w:rPr>
                <w:rFonts w:ascii="Bookman Old Style" w:hAnsi="Bookman Old Style"/>
                <w:b/>
                <w:bCs/>
              </w:rPr>
            </w:pPr>
          </w:p>
        </w:tc>
      </w:tr>
    </w:tbl>
    <w:p w:rsidR="00C04F7A" w:rsidRPr="00E433F6" w:rsidRDefault="00C04F7A" w:rsidP="00D107F5">
      <w:pPr>
        <w:ind w:left="0"/>
      </w:pPr>
    </w:p>
    <w:sectPr w:rsidR="00C04F7A" w:rsidRPr="00E433F6" w:rsidSect="008A0C8F">
      <w:headerReference w:type="default" r:id="rId11"/>
      <w:headerReference w:type="first" r:id="rId12"/>
      <w:type w:val="continuous"/>
      <w:pgSz w:w="12242" w:h="18722" w:code="123"/>
      <w:pgMar w:top="242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01" w:rsidRDefault="00FC0E01">
      <w:r>
        <w:separator/>
      </w:r>
    </w:p>
  </w:endnote>
  <w:endnote w:type="continuationSeparator" w:id="0">
    <w:p w:rsidR="00FC0E01" w:rsidRDefault="00FC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01" w:rsidRDefault="00FC0E01">
      <w:r>
        <w:separator/>
      </w:r>
    </w:p>
  </w:footnote>
  <w:footnote w:type="continuationSeparator" w:id="0">
    <w:p w:rsidR="00FC0E01" w:rsidRDefault="00FC0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01" w:rsidRDefault="00FC0E01" w:rsidP="00951F79">
    <w:pPr>
      <w:pStyle w:val="Ttulo1"/>
      <w:ind w:right="6"/>
      <w:jc w:val="left"/>
      <w:rPr>
        <w:rFonts w:ascii="Bookman Old Style" w:hAnsi="Bookman Old Style" w:cs="Arial"/>
        <w:b w:val="0"/>
        <w:sz w:val="22"/>
        <w:szCs w:val="22"/>
      </w:rPr>
    </w:pPr>
  </w:p>
  <w:p w:rsidR="00FC0E01" w:rsidRPr="00951F79" w:rsidRDefault="00FC0E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65EEE">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65EEE" w:rsidRPr="00265EEE">
        <w:rPr>
          <w:rFonts w:ascii="Bookman Old Style" w:hAnsi="Bookman Old Style" w:cs="Arial"/>
          <w:b w:val="0"/>
          <w:noProof/>
          <w:sz w:val="22"/>
          <w:szCs w:val="22"/>
        </w:rPr>
        <w:t>11</w:t>
      </w:r>
    </w:fldSimple>
  </w:p>
  <w:p w:rsidR="00FC0E01" w:rsidRDefault="00265EE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C0E01" w:rsidRPr="00CB5DD0" w:rsidRDefault="00FC0E01" w:rsidP="00F419C9">
    <w:pPr>
      <w:pBdr>
        <w:bottom w:val="single" w:sz="4" w:space="1" w:color="auto"/>
      </w:pBdr>
      <w:ind w:left="142" w:right="148"/>
      <w:jc w:val="both"/>
      <w:rPr>
        <w:b/>
      </w:rPr>
    </w:pPr>
    <w:r w:rsidRPr="00F419C9">
      <w:rPr>
        <w:rFonts w:ascii="Bookman Old Style" w:hAnsi="Bookman Old Style"/>
        <w:sz w:val="22"/>
        <w:szCs w:val="22"/>
      </w:rPr>
      <w:t xml:space="preserve">Por la cual se resuelve el recurso de reposición interpuesto por </w:t>
    </w:r>
    <w:r>
      <w:rPr>
        <w:rFonts w:ascii="Bookman Old Style" w:hAnsi="Bookman Old Style"/>
        <w:sz w:val="22"/>
        <w:szCs w:val="22"/>
      </w:rPr>
      <w:t xml:space="preserve">la </w:t>
    </w:r>
    <w:r w:rsidRPr="00464E88">
      <w:rPr>
        <w:rFonts w:ascii="Bookman Old Style" w:hAnsi="Bookman Old Style"/>
        <w:sz w:val="22"/>
      </w:rPr>
      <w:t>Compañía Energética del Tolima S.A. E.S.P.</w:t>
    </w:r>
    <w:r w:rsidRPr="00F419C9">
      <w:rPr>
        <w:rFonts w:ascii="Bookman Old Style" w:hAnsi="Bookman Old Style"/>
        <w:sz w:val="22"/>
        <w:szCs w:val="22"/>
      </w:rPr>
      <w:t xml:space="preserve"> contra la Resolución CREG </w:t>
    </w:r>
    <w:r>
      <w:rPr>
        <w:rFonts w:ascii="Bookman Old Style" w:hAnsi="Bookman Old Style"/>
        <w:sz w:val="22"/>
        <w:szCs w:val="22"/>
      </w:rPr>
      <w:t>167</w:t>
    </w:r>
    <w:r w:rsidRPr="00F419C9">
      <w:rPr>
        <w:rFonts w:ascii="Bookman Old Style" w:hAnsi="Bookman Old Style"/>
        <w:sz w:val="22"/>
        <w:szCs w:val="22"/>
      </w:rPr>
      <w:t xml:space="preserve"> de 20</w:t>
    </w:r>
    <w:r>
      <w:rPr>
        <w:rFonts w:ascii="Bookman Old Style" w:hAnsi="Bookman Old Style"/>
        <w:sz w:val="22"/>
        <w:szCs w:val="22"/>
      </w:rPr>
      <w:t>1</w:t>
    </w:r>
    <w:r w:rsidRPr="00F419C9">
      <w:rPr>
        <w:rFonts w:ascii="Bookman Old Style" w:hAnsi="Bookman Old Style"/>
        <w:sz w:val="22"/>
        <w:szCs w:val="22"/>
      </w:rPr>
      <w:t>0</w:t>
    </w:r>
    <w:r>
      <w:rPr>
        <w:rFonts w:ascii="Bookman Old Style" w:hAnsi="Bookman Old Style"/>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01" w:rsidRDefault="00FC0E0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C0E01" w:rsidRDefault="00FC0E01">
    <w:pPr>
      <w:pStyle w:val="Encabezado"/>
      <w:jc w:val="center"/>
      <w:rPr>
        <w:rFonts w:ascii="Arial" w:hAnsi="Arial" w:cs="Arial"/>
        <w:spacing w:val="20"/>
        <w:sz w:val="20"/>
      </w:rPr>
    </w:pPr>
  </w:p>
  <w:p w:rsidR="00FC0E01" w:rsidRDefault="00265EE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9AB0E73"/>
    <w:multiLevelType w:val="hybridMultilevel"/>
    <w:tmpl w:val="FAD0A876"/>
    <w:lvl w:ilvl="0" w:tplc="3B36187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983361"/>
    <w:multiLevelType w:val="hybridMultilevel"/>
    <w:tmpl w:val="735ACF9E"/>
    <w:lvl w:ilvl="0" w:tplc="ABAA242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12591B89"/>
    <w:multiLevelType w:val="hybridMultilevel"/>
    <w:tmpl w:val="30BAA2EE"/>
    <w:lvl w:ilvl="0" w:tplc="FFA4ED56">
      <w:start w:val="1"/>
      <w:numFmt w:val="decimal"/>
      <w:pStyle w:val="articulo"/>
      <w:lvlText w:val="Artículo %1."/>
      <w:lvlJc w:val="left"/>
      <w:pPr>
        <w:tabs>
          <w:tab w:val="num" w:pos="1440"/>
        </w:tabs>
        <w:ind w:left="0" w:firstLine="0"/>
      </w:pPr>
      <w:rPr>
        <w:rFonts w:hint="default"/>
        <w:b/>
        <w:i w:val="0"/>
        <w:sz w:val="24"/>
      </w:rPr>
    </w:lvl>
    <w:lvl w:ilvl="1" w:tplc="82AC8D2C">
      <w:numFmt w:val="bullet"/>
      <w:lvlText w:val="-"/>
      <w:lvlJc w:val="left"/>
      <w:pPr>
        <w:tabs>
          <w:tab w:val="num" w:pos="1440"/>
        </w:tabs>
        <w:ind w:left="1440" w:hanging="360"/>
      </w:pPr>
      <w:rPr>
        <w:rFonts w:ascii="Times New Roman" w:eastAsia="Times New Roman" w:hAnsi="Times New Roman"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7E314E6"/>
    <w:multiLevelType w:val="hybridMultilevel"/>
    <w:tmpl w:val="EEEEC0F8"/>
    <w:lvl w:ilvl="0" w:tplc="2F52B9AA">
      <w:start w:val="10"/>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DB1878"/>
    <w:multiLevelType w:val="hybridMultilevel"/>
    <w:tmpl w:val="43F46766"/>
    <w:lvl w:ilvl="0" w:tplc="192E586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A3DE5"/>
    <w:multiLevelType w:val="hybridMultilevel"/>
    <w:tmpl w:val="70BC73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3">
    <w:nsid w:val="3EFB76E6"/>
    <w:multiLevelType w:val="hybridMultilevel"/>
    <w:tmpl w:val="E3667250"/>
    <w:lvl w:ilvl="0" w:tplc="2C02CACE">
      <w:start w:val="3"/>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nsid w:val="4CFA5DE0"/>
    <w:multiLevelType w:val="hybridMultilevel"/>
    <w:tmpl w:val="C330A7E2"/>
    <w:lvl w:ilvl="0" w:tplc="3922506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nsid w:val="50157AB0"/>
    <w:multiLevelType w:val="hybridMultilevel"/>
    <w:tmpl w:val="4FB676E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nsid w:val="567F0E84"/>
    <w:multiLevelType w:val="hybridMultilevel"/>
    <w:tmpl w:val="00A8A7B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DD341AC"/>
    <w:multiLevelType w:val="hybridMultilevel"/>
    <w:tmpl w:val="5240E934"/>
    <w:lvl w:ilvl="0" w:tplc="0C0A000F">
      <w:start w:val="1"/>
      <w:numFmt w:val="decimal"/>
      <w:lvlText w:val="%1."/>
      <w:lvlJc w:val="left"/>
      <w:pPr>
        <w:ind w:left="6948" w:hanging="360"/>
      </w:pPr>
      <w:rPr>
        <w:rFonts w:hint="default"/>
      </w:rPr>
    </w:lvl>
    <w:lvl w:ilvl="1" w:tplc="0C0A0019">
      <w:start w:val="1"/>
      <w:numFmt w:val="lowerLetter"/>
      <w:lvlText w:val="%2."/>
      <w:lvlJc w:val="left"/>
      <w:pPr>
        <w:ind w:left="7668" w:hanging="360"/>
      </w:pPr>
    </w:lvl>
    <w:lvl w:ilvl="2" w:tplc="0C0A001B" w:tentative="1">
      <w:start w:val="1"/>
      <w:numFmt w:val="lowerRoman"/>
      <w:lvlText w:val="%3."/>
      <w:lvlJc w:val="right"/>
      <w:pPr>
        <w:ind w:left="8388" w:hanging="180"/>
      </w:pPr>
    </w:lvl>
    <w:lvl w:ilvl="3" w:tplc="0C0A000F" w:tentative="1">
      <w:start w:val="1"/>
      <w:numFmt w:val="decimal"/>
      <w:lvlText w:val="%4."/>
      <w:lvlJc w:val="left"/>
      <w:pPr>
        <w:ind w:left="9108" w:hanging="360"/>
      </w:pPr>
    </w:lvl>
    <w:lvl w:ilvl="4" w:tplc="0C0A0019" w:tentative="1">
      <w:start w:val="1"/>
      <w:numFmt w:val="lowerLetter"/>
      <w:lvlText w:val="%5."/>
      <w:lvlJc w:val="left"/>
      <w:pPr>
        <w:ind w:left="9828" w:hanging="360"/>
      </w:pPr>
    </w:lvl>
    <w:lvl w:ilvl="5" w:tplc="0C0A001B" w:tentative="1">
      <w:start w:val="1"/>
      <w:numFmt w:val="lowerRoman"/>
      <w:lvlText w:val="%6."/>
      <w:lvlJc w:val="right"/>
      <w:pPr>
        <w:ind w:left="10548" w:hanging="180"/>
      </w:pPr>
    </w:lvl>
    <w:lvl w:ilvl="6" w:tplc="0C0A000F" w:tentative="1">
      <w:start w:val="1"/>
      <w:numFmt w:val="decimal"/>
      <w:lvlText w:val="%7."/>
      <w:lvlJc w:val="left"/>
      <w:pPr>
        <w:ind w:left="11268" w:hanging="360"/>
      </w:pPr>
    </w:lvl>
    <w:lvl w:ilvl="7" w:tplc="0C0A0019" w:tentative="1">
      <w:start w:val="1"/>
      <w:numFmt w:val="lowerLetter"/>
      <w:lvlText w:val="%8."/>
      <w:lvlJc w:val="left"/>
      <w:pPr>
        <w:ind w:left="11988" w:hanging="360"/>
      </w:pPr>
    </w:lvl>
    <w:lvl w:ilvl="8" w:tplc="0C0A001B" w:tentative="1">
      <w:start w:val="1"/>
      <w:numFmt w:val="lowerRoman"/>
      <w:lvlText w:val="%9."/>
      <w:lvlJc w:val="right"/>
      <w:pPr>
        <w:ind w:left="12708" w:hanging="180"/>
      </w:pPr>
    </w:lvl>
  </w:abstractNum>
  <w:abstractNum w:abstractNumId="22">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94E1C6E"/>
    <w:multiLevelType w:val="hybridMultilevel"/>
    <w:tmpl w:val="DE82D5EA"/>
    <w:lvl w:ilvl="0" w:tplc="EE3C1AF6">
      <w:start w:val="13"/>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6A2EBE"/>
    <w:multiLevelType w:val="hybridMultilevel"/>
    <w:tmpl w:val="FC0AC5C2"/>
    <w:lvl w:ilvl="0" w:tplc="4828B2A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21843B0"/>
    <w:multiLevelType w:val="hybridMultilevel"/>
    <w:tmpl w:val="436CD5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2DA5AEB"/>
    <w:multiLevelType w:val="hybridMultilevel"/>
    <w:tmpl w:val="71A415B2"/>
    <w:lvl w:ilvl="0" w:tplc="1208248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BD62479"/>
    <w:multiLevelType w:val="hybridMultilevel"/>
    <w:tmpl w:val="58787B14"/>
    <w:lvl w:ilvl="0" w:tplc="DC567C4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4"/>
  </w:num>
  <w:num w:numId="2">
    <w:abstractNumId w:val="4"/>
  </w:num>
  <w:num w:numId="3">
    <w:abstractNumId w:val="29"/>
  </w:num>
  <w:num w:numId="4">
    <w:abstractNumId w:val="8"/>
  </w:num>
  <w:num w:numId="5">
    <w:abstractNumId w:val="20"/>
  </w:num>
  <w:num w:numId="6">
    <w:abstractNumId w:val="2"/>
  </w:num>
  <w:num w:numId="7">
    <w:abstractNumId w:val="1"/>
  </w:num>
  <w:num w:numId="8">
    <w:abstractNumId w:val="23"/>
  </w:num>
  <w:num w:numId="9">
    <w:abstractNumId w:val="22"/>
  </w:num>
  <w:num w:numId="10">
    <w:abstractNumId w:val="15"/>
  </w:num>
  <w:num w:numId="11">
    <w:abstractNumId w:val="30"/>
  </w:num>
  <w:num w:numId="12">
    <w:abstractNumId w:val="26"/>
  </w:num>
  <w:num w:numId="13">
    <w:abstractNumId w:val="10"/>
  </w:num>
  <w:num w:numId="14">
    <w:abstractNumId w:val="0"/>
  </w:num>
  <w:num w:numId="15">
    <w:abstractNumId w:val="12"/>
  </w:num>
  <w:num w:numId="16">
    <w:abstractNumId w:val="16"/>
  </w:num>
  <w:num w:numId="17">
    <w:abstractNumId w:val="6"/>
  </w:num>
  <w:num w:numId="18">
    <w:abstractNumId w:val="25"/>
  </w:num>
  <w:num w:numId="19">
    <w:abstractNumId w:val="27"/>
  </w:num>
  <w:num w:numId="20">
    <w:abstractNumId w:val="7"/>
  </w:num>
  <w:num w:numId="21">
    <w:abstractNumId w:val="24"/>
  </w:num>
  <w:num w:numId="22">
    <w:abstractNumId w:val="21"/>
  </w:num>
  <w:num w:numId="23">
    <w:abstractNumId w:val="31"/>
  </w:num>
  <w:num w:numId="24">
    <w:abstractNumId w:val="9"/>
  </w:num>
  <w:num w:numId="25">
    <w:abstractNumId w:val="28"/>
  </w:num>
  <w:num w:numId="26">
    <w:abstractNumId w:val="3"/>
  </w:num>
  <w:num w:numId="27">
    <w:abstractNumId w:val="11"/>
  </w:num>
  <w:num w:numId="28">
    <w:abstractNumId w:val="18"/>
  </w:num>
  <w:num w:numId="29">
    <w:abstractNumId w:val="19"/>
  </w:num>
  <w:num w:numId="30">
    <w:abstractNumId w:val="13"/>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07F91"/>
    <w:rsid w:val="00012259"/>
    <w:rsid w:val="00014EBB"/>
    <w:rsid w:val="00022BA2"/>
    <w:rsid w:val="00025383"/>
    <w:rsid w:val="000260C8"/>
    <w:rsid w:val="000275A8"/>
    <w:rsid w:val="000339B5"/>
    <w:rsid w:val="00034E89"/>
    <w:rsid w:val="00040C91"/>
    <w:rsid w:val="00061C2D"/>
    <w:rsid w:val="00063657"/>
    <w:rsid w:val="00076680"/>
    <w:rsid w:val="0008073E"/>
    <w:rsid w:val="00091994"/>
    <w:rsid w:val="00091CDB"/>
    <w:rsid w:val="000A19AC"/>
    <w:rsid w:val="000A24BE"/>
    <w:rsid w:val="000A3C9A"/>
    <w:rsid w:val="000C2E7E"/>
    <w:rsid w:val="000D26F8"/>
    <w:rsid w:val="000D3B0C"/>
    <w:rsid w:val="000D7E36"/>
    <w:rsid w:val="000E346A"/>
    <w:rsid w:val="000E6937"/>
    <w:rsid w:val="000E7B52"/>
    <w:rsid w:val="000E7EFC"/>
    <w:rsid w:val="000F0218"/>
    <w:rsid w:val="000F1EE3"/>
    <w:rsid w:val="0010128A"/>
    <w:rsid w:val="00101A98"/>
    <w:rsid w:val="00102BA4"/>
    <w:rsid w:val="00107352"/>
    <w:rsid w:val="00130893"/>
    <w:rsid w:val="00131AFF"/>
    <w:rsid w:val="001349A9"/>
    <w:rsid w:val="00136D7B"/>
    <w:rsid w:val="00140112"/>
    <w:rsid w:val="001405C6"/>
    <w:rsid w:val="00141013"/>
    <w:rsid w:val="001469A8"/>
    <w:rsid w:val="001710FF"/>
    <w:rsid w:val="001715E0"/>
    <w:rsid w:val="0018589A"/>
    <w:rsid w:val="00192CBF"/>
    <w:rsid w:val="00192FF1"/>
    <w:rsid w:val="001A5F1B"/>
    <w:rsid w:val="001B1C22"/>
    <w:rsid w:val="001B28F9"/>
    <w:rsid w:val="001B34C6"/>
    <w:rsid w:val="001D07EF"/>
    <w:rsid w:val="001D5F50"/>
    <w:rsid w:val="001D714A"/>
    <w:rsid w:val="001D7832"/>
    <w:rsid w:val="001E406C"/>
    <w:rsid w:val="001E7FF2"/>
    <w:rsid w:val="002049EA"/>
    <w:rsid w:val="00211D34"/>
    <w:rsid w:val="00214F04"/>
    <w:rsid w:val="00215B9E"/>
    <w:rsid w:val="00220E5E"/>
    <w:rsid w:val="0022522C"/>
    <w:rsid w:val="0023347E"/>
    <w:rsid w:val="00237EA6"/>
    <w:rsid w:val="00241C61"/>
    <w:rsid w:val="002520A5"/>
    <w:rsid w:val="002614F3"/>
    <w:rsid w:val="00262490"/>
    <w:rsid w:val="00265EEE"/>
    <w:rsid w:val="00266CD6"/>
    <w:rsid w:val="00266DD0"/>
    <w:rsid w:val="00270DFB"/>
    <w:rsid w:val="0027728F"/>
    <w:rsid w:val="002815F9"/>
    <w:rsid w:val="00284CEC"/>
    <w:rsid w:val="002874C7"/>
    <w:rsid w:val="00294776"/>
    <w:rsid w:val="00297F2B"/>
    <w:rsid w:val="002A6A2F"/>
    <w:rsid w:val="002B11E2"/>
    <w:rsid w:val="002B24B8"/>
    <w:rsid w:val="002B3702"/>
    <w:rsid w:val="002C16AD"/>
    <w:rsid w:val="002C78A3"/>
    <w:rsid w:val="002D3AE9"/>
    <w:rsid w:val="002D4C15"/>
    <w:rsid w:val="002F0734"/>
    <w:rsid w:val="002F38FF"/>
    <w:rsid w:val="002F46E7"/>
    <w:rsid w:val="002F7AFD"/>
    <w:rsid w:val="003043AA"/>
    <w:rsid w:val="00304B6E"/>
    <w:rsid w:val="003101DA"/>
    <w:rsid w:val="003132AA"/>
    <w:rsid w:val="00314757"/>
    <w:rsid w:val="003207F8"/>
    <w:rsid w:val="003211CE"/>
    <w:rsid w:val="00326007"/>
    <w:rsid w:val="00331D2B"/>
    <w:rsid w:val="003400CD"/>
    <w:rsid w:val="003424CC"/>
    <w:rsid w:val="003428D1"/>
    <w:rsid w:val="00345C33"/>
    <w:rsid w:val="0035403A"/>
    <w:rsid w:val="0035515B"/>
    <w:rsid w:val="0035549C"/>
    <w:rsid w:val="0036394B"/>
    <w:rsid w:val="003709B5"/>
    <w:rsid w:val="00370BD1"/>
    <w:rsid w:val="003732AD"/>
    <w:rsid w:val="0037465B"/>
    <w:rsid w:val="003759C2"/>
    <w:rsid w:val="0038090A"/>
    <w:rsid w:val="00383480"/>
    <w:rsid w:val="003918DE"/>
    <w:rsid w:val="003951EE"/>
    <w:rsid w:val="00397365"/>
    <w:rsid w:val="003A31F6"/>
    <w:rsid w:val="003A7E47"/>
    <w:rsid w:val="003B11C0"/>
    <w:rsid w:val="003B1201"/>
    <w:rsid w:val="003B6B6E"/>
    <w:rsid w:val="003B79BF"/>
    <w:rsid w:val="003C1662"/>
    <w:rsid w:val="003C3447"/>
    <w:rsid w:val="003C3538"/>
    <w:rsid w:val="003D076C"/>
    <w:rsid w:val="003D4786"/>
    <w:rsid w:val="003E0A6E"/>
    <w:rsid w:val="003E220E"/>
    <w:rsid w:val="003E5019"/>
    <w:rsid w:val="003E63C6"/>
    <w:rsid w:val="003E6FCC"/>
    <w:rsid w:val="003F79BC"/>
    <w:rsid w:val="00403F64"/>
    <w:rsid w:val="00415BAB"/>
    <w:rsid w:val="00415ED2"/>
    <w:rsid w:val="0042068C"/>
    <w:rsid w:val="004311FB"/>
    <w:rsid w:val="0043189C"/>
    <w:rsid w:val="0043196D"/>
    <w:rsid w:val="004408E5"/>
    <w:rsid w:val="00441582"/>
    <w:rsid w:val="00444EB6"/>
    <w:rsid w:val="00445B18"/>
    <w:rsid w:val="0045506B"/>
    <w:rsid w:val="00455BEE"/>
    <w:rsid w:val="00464E88"/>
    <w:rsid w:val="0047122B"/>
    <w:rsid w:val="00473B7A"/>
    <w:rsid w:val="00480DC2"/>
    <w:rsid w:val="0048139F"/>
    <w:rsid w:val="00483942"/>
    <w:rsid w:val="00485A63"/>
    <w:rsid w:val="00485F87"/>
    <w:rsid w:val="00492E34"/>
    <w:rsid w:val="004960E9"/>
    <w:rsid w:val="004A2E88"/>
    <w:rsid w:val="004A3CFE"/>
    <w:rsid w:val="004A5305"/>
    <w:rsid w:val="004B0BFC"/>
    <w:rsid w:val="004C4437"/>
    <w:rsid w:val="004C474E"/>
    <w:rsid w:val="004D0CC4"/>
    <w:rsid w:val="004D39AF"/>
    <w:rsid w:val="004D7634"/>
    <w:rsid w:val="004E2565"/>
    <w:rsid w:val="004E7881"/>
    <w:rsid w:val="00501DD2"/>
    <w:rsid w:val="00510A20"/>
    <w:rsid w:val="00511E61"/>
    <w:rsid w:val="00513FA2"/>
    <w:rsid w:val="005142B8"/>
    <w:rsid w:val="005300D3"/>
    <w:rsid w:val="005363F2"/>
    <w:rsid w:val="005426F1"/>
    <w:rsid w:val="0054288D"/>
    <w:rsid w:val="00544F82"/>
    <w:rsid w:val="005525A1"/>
    <w:rsid w:val="0055301C"/>
    <w:rsid w:val="005547DE"/>
    <w:rsid w:val="00554AC3"/>
    <w:rsid w:val="00554CCB"/>
    <w:rsid w:val="00571605"/>
    <w:rsid w:val="00574558"/>
    <w:rsid w:val="005830B5"/>
    <w:rsid w:val="00585D3A"/>
    <w:rsid w:val="00587B93"/>
    <w:rsid w:val="00593C4F"/>
    <w:rsid w:val="005946A8"/>
    <w:rsid w:val="005A0C67"/>
    <w:rsid w:val="005A4407"/>
    <w:rsid w:val="005A59EF"/>
    <w:rsid w:val="005A7CB5"/>
    <w:rsid w:val="005B1C8B"/>
    <w:rsid w:val="005C10AC"/>
    <w:rsid w:val="005C34DB"/>
    <w:rsid w:val="005D0640"/>
    <w:rsid w:val="005D0ABA"/>
    <w:rsid w:val="005D19C2"/>
    <w:rsid w:val="005D262B"/>
    <w:rsid w:val="005D5727"/>
    <w:rsid w:val="005D5ED6"/>
    <w:rsid w:val="005E04BC"/>
    <w:rsid w:val="005E2289"/>
    <w:rsid w:val="005E4343"/>
    <w:rsid w:val="005F1859"/>
    <w:rsid w:val="005F2A82"/>
    <w:rsid w:val="005F51A7"/>
    <w:rsid w:val="005F65F0"/>
    <w:rsid w:val="00601E4A"/>
    <w:rsid w:val="0061647C"/>
    <w:rsid w:val="0062050A"/>
    <w:rsid w:val="006257E8"/>
    <w:rsid w:val="00625DC6"/>
    <w:rsid w:val="006261ED"/>
    <w:rsid w:val="00632810"/>
    <w:rsid w:val="00634693"/>
    <w:rsid w:val="0064398F"/>
    <w:rsid w:val="00643EF5"/>
    <w:rsid w:val="00646F87"/>
    <w:rsid w:val="00651821"/>
    <w:rsid w:val="00652550"/>
    <w:rsid w:val="006540AF"/>
    <w:rsid w:val="00654384"/>
    <w:rsid w:val="00654DC2"/>
    <w:rsid w:val="00657E46"/>
    <w:rsid w:val="00666CE7"/>
    <w:rsid w:val="00667527"/>
    <w:rsid w:val="006675CD"/>
    <w:rsid w:val="00670BC4"/>
    <w:rsid w:val="0067218E"/>
    <w:rsid w:val="0068028C"/>
    <w:rsid w:val="00684D9B"/>
    <w:rsid w:val="00690182"/>
    <w:rsid w:val="0069382C"/>
    <w:rsid w:val="00697556"/>
    <w:rsid w:val="006A540F"/>
    <w:rsid w:val="006A7269"/>
    <w:rsid w:val="006B4C2B"/>
    <w:rsid w:val="006B610C"/>
    <w:rsid w:val="006B6D47"/>
    <w:rsid w:val="006C098F"/>
    <w:rsid w:val="006D0146"/>
    <w:rsid w:val="006E3DDD"/>
    <w:rsid w:val="006F5C1E"/>
    <w:rsid w:val="006F6D95"/>
    <w:rsid w:val="00703880"/>
    <w:rsid w:val="00706F13"/>
    <w:rsid w:val="007072E8"/>
    <w:rsid w:val="007104E9"/>
    <w:rsid w:val="00712592"/>
    <w:rsid w:val="007135A2"/>
    <w:rsid w:val="00713E83"/>
    <w:rsid w:val="0071618D"/>
    <w:rsid w:val="00725FA4"/>
    <w:rsid w:val="00726D7A"/>
    <w:rsid w:val="00731480"/>
    <w:rsid w:val="007327D9"/>
    <w:rsid w:val="00740446"/>
    <w:rsid w:val="007438A9"/>
    <w:rsid w:val="0074491E"/>
    <w:rsid w:val="00755584"/>
    <w:rsid w:val="007559B1"/>
    <w:rsid w:val="00760693"/>
    <w:rsid w:val="00772C3F"/>
    <w:rsid w:val="00775964"/>
    <w:rsid w:val="007776CD"/>
    <w:rsid w:val="00795BFB"/>
    <w:rsid w:val="0079645D"/>
    <w:rsid w:val="00797BE0"/>
    <w:rsid w:val="007A5A24"/>
    <w:rsid w:val="007B2760"/>
    <w:rsid w:val="007C4108"/>
    <w:rsid w:val="007C5B9C"/>
    <w:rsid w:val="007D2240"/>
    <w:rsid w:val="007D6F8D"/>
    <w:rsid w:val="007E65B5"/>
    <w:rsid w:val="007F3036"/>
    <w:rsid w:val="008012A9"/>
    <w:rsid w:val="00806599"/>
    <w:rsid w:val="00806C01"/>
    <w:rsid w:val="008115CC"/>
    <w:rsid w:val="00811BEF"/>
    <w:rsid w:val="008148CC"/>
    <w:rsid w:val="00815E78"/>
    <w:rsid w:val="008211A4"/>
    <w:rsid w:val="00821375"/>
    <w:rsid w:val="00822826"/>
    <w:rsid w:val="00830543"/>
    <w:rsid w:val="00845514"/>
    <w:rsid w:val="00851B92"/>
    <w:rsid w:val="00855E18"/>
    <w:rsid w:val="0085733C"/>
    <w:rsid w:val="00867F72"/>
    <w:rsid w:val="00872EA7"/>
    <w:rsid w:val="00873150"/>
    <w:rsid w:val="0087657D"/>
    <w:rsid w:val="008775D5"/>
    <w:rsid w:val="008807D5"/>
    <w:rsid w:val="00880832"/>
    <w:rsid w:val="00883C08"/>
    <w:rsid w:val="00886EE1"/>
    <w:rsid w:val="0088727D"/>
    <w:rsid w:val="0089419C"/>
    <w:rsid w:val="00894DDF"/>
    <w:rsid w:val="00897C75"/>
    <w:rsid w:val="008A0C8F"/>
    <w:rsid w:val="008A15A0"/>
    <w:rsid w:val="008B4013"/>
    <w:rsid w:val="008C1130"/>
    <w:rsid w:val="008C4993"/>
    <w:rsid w:val="008D18E6"/>
    <w:rsid w:val="008D2DEA"/>
    <w:rsid w:val="008D7A9B"/>
    <w:rsid w:val="008E32EA"/>
    <w:rsid w:val="008E76AC"/>
    <w:rsid w:val="008F11A3"/>
    <w:rsid w:val="008F206B"/>
    <w:rsid w:val="008F21F6"/>
    <w:rsid w:val="0090286E"/>
    <w:rsid w:val="00912F58"/>
    <w:rsid w:val="00921D88"/>
    <w:rsid w:val="00921EE8"/>
    <w:rsid w:val="00923A76"/>
    <w:rsid w:val="009240AC"/>
    <w:rsid w:val="00924EFC"/>
    <w:rsid w:val="00925030"/>
    <w:rsid w:val="009272D0"/>
    <w:rsid w:val="009511D7"/>
    <w:rsid w:val="00951F79"/>
    <w:rsid w:val="009623A1"/>
    <w:rsid w:val="00966E79"/>
    <w:rsid w:val="00973CBA"/>
    <w:rsid w:val="00974AB5"/>
    <w:rsid w:val="00984C26"/>
    <w:rsid w:val="009856F3"/>
    <w:rsid w:val="0098706D"/>
    <w:rsid w:val="009935FB"/>
    <w:rsid w:val="009B125B"/>
    <w:rsid w:val="009C14F9"/>
    <w:rsid w:val="009C4EFE"/>
    <w:rsid w:val="009D49CA"/>
    <w:rsid w:val="009E3754"/>
    <w:rsid w:val="009F43AB"/>
    <w:rsid w:val="009F4A54"/>
    <w:rsid w:val="009F4BEC"/>
    <w:rsid w:val="009F5F5A"/>
    <w:rsid w:val="009F71E4"/>
    <w:rsid w:val="00A10359"/>
    <w:rsid w:val="00A106FD"/>
    <w:rsid w:val="00A17C23"/>
    <w:rsid w:val="00A17E0C"/>
    <w:rsid w:val="00A23FA4"/>
    <w:rsid w:val="00A25FD7"/>
    <w:rsid w:val="00A2790C"/>
    <w:rsid w:val="00A33C22"/>
    <w:rsid w:val="00A35E86"/>
    <w:rsid w:val="00A43AFF"/>
    <w:rsid w:val="00A5169B"/>
    <w:rsid w:val="00A605A8"/>
    <w:rsid w:val="00A61870"/>
    <w:rsid w:val="00A64866"/>
    <w:rsid w:val="00A70001"/>
    <w:rsid w:val="00A703A8"/>
    <w:rsid w:val="00A7793A"/>
    <w:rsid w:val="00A77D85"/>
    <w:rsid w:val="00A94B02"/>
    <w:rsid w:val="00A95565"/>
    <w:rsid w:val="00AA0080"/>
    <w:rsid w:val="00AA0962"/>
    <w:rsid w:val="00AA1163"/>
    <w:rsid w:val="00AA5577"/>
    <w:rsid w:val="00AA566A"/>
    <w:rsid w:val="00AA74E9"/>
    <w:rsid w:val="00AB666A"/>
    <w:rsid w:val="00AB6CA7"/>
    <w:rsid w:val="00AD01E4"/>
    <w:rsid w:val="00AD0858"/>
    <w:rsid w:val="00AD1FA6"/>
    <w:rsid w:val="00AD2A29"/>
    <w:rsid w:val="00AD3E8D"/>
    <w:rsid w:val="00AD7D42"/>
    <w:rsid w:val="00AE0B57"/>
    <w:rsid w:val="00AE1363"/>
    <w:rsid w:val="00AE7340"/>
    <w:rsid w:val="00AF1BBD"/>
    <w:rsid w:val="00AF35C7"/>
    <w:rsid w:val="00AF55A6"/>
    <w:rsid w:val="00B10207"/>
    <w:rsid w:val="00B11959"/>
    <w:rsid w:val="00B141E7"/>
    <w:rsid w:val="00B23CFB"/>
    <w:rsid w:val="00B24834"/>
    <w:rsid w:val="00B260FD"/>
    <w:rsid w:val="00B351B4"/>
    <w:rsid w:val="00B355BF"/>
    <w:rsid w:val="00B35835"/>
    <w:rsid w:val="00B40B8F"/>
    <w:rsid w:val="00B466E6"/>
    <w:rsid w:val="00B46BCA"/>
    <w:rsid w:val="00B510C7"/>
    <w:rsid w:val="00B536F6"/>
    <w:rsid w:val="00B612B3"/>
    <w:rsid w:val="00B66DCE"/>
    <w:rsid w:val="00B72229"/>
    <w:rsid w:val="00B72766"/>
    <w:rsid w:val="00B874BF"/>
    <w:rsid w:val="00B87806"/>
    <w:rsid w:val="00B87EC9"/>
    <w:rsid w:val="00B87FE6"/>
    <w:rsid w:val="00B94019"/>
    <w:rsid w:val="00BB4089"/>
    <w:rsid w:val="00BB6409"/>
    <w:rsid w:val="00BB687D"/>
    <w:rsid w:val="00BC2F99"/>
    <w:rsid w:val="00BC38FD"/>
    <w:rsid w:val="00BC58F7"/>
    <w:rsid w:val="00BD560E"/>
    <w:rsid w:val="00BD7B34"/>
    <w:rsid w:val="00C034CB"/>
    <w:rsid w:val="00C04F7A"/>
    <w:rsid w:val="00C051A8"/>
    <w:rsid w:val="00C054BC"/>
    <w:rsid w:val="00C1014F"/>
    <w:rsid w:val="00C1417B"/>
    <w:rsid w:val="00C1686E"/>
    <w:rsid w:val="00C17897"/>
    <w:rsid w:val="00C21A5C"/>
    <w:rsid w:val="00C32521"/>
    <w:rsid w:val="00C328DB"/>
    <w:rsid w:val="00C34EAF"/>
    <w:rsid w:val="00C409D5"/>
    <w:rsid w:val="00C4159E"/>
    <w:rsid w:val="00C44264"/>
    <w:rsid w:val="00C466B5"/>
    <w:rsid w:val="00C5333A"/>
    <w:rsid w:val="00C6234B"/>
    <w:rsid w:val="00C63EAE"/>
    <w:rsid w:val="00C70260"/>
    <w:rsid w:val="00C70E71"/>
    <w:rsid w:val="00C746E7"/>
    <w:rsid w:val="00C7629F"/>
    <w:rsid w:val="00C8661B"/>
    <w:rsid w:val="00C92465"/>
    <w:rsid w:val="00C9322C"/>
    <w:rsid w:val="00C978C2"/>
    <w:rsid w:val="00CA139A"/>
    <w:rsid w:val="00CA2899"/>
    <w:rsid w:val="00CA74F7"/>
    <w:rsid w:val="00CA77FB"/>
    <w:rsid w:val="00CB379B"/>
    <w:rsid w:val="00CB5786"/>
    <w:rsid w:val="00CB5DD0"/>
    <w:rsid w:val="00CC4104"/>
    <w:rsid w:val="00CC51D4"/>
    <w:rsid w:val="00CC64CD"/>
    <w:rsid w:val="00CC65DA"/>
    <w:rsid w:val="00CD157B"/>
    <w:rsid w:val="00CD6553"/>
    <w:rsid w:val="00CF039A"/>
    <w:rsid w:val="00CF21B9"/>
    <w:rsid w:val="00CF3801"/>
    <w:rsid w:val="00CF6BF9"/>
    <w:rsid w:val="00D03800"/>
    <w:rsid w:val="00D065D3"/>
    <w:rsid w:val="00D07078"/>
    <w:rsid w:val="00D07737"/>
    <w:rsid w:val="00D107F5"/>
    <w:rsid w:val="00D14C94"/>
    <w:rsid w:val="00D16349"/>
    <w:rsid w:val="00D254E6"/>
    <w:rsid w:val="00D342A6"/>
    <w:rsid w:val="00D34DBB"/>
    <w:rsid w:val="00D42622"/>
    <w:rsid w:val="00D42FEA"/>
    <w:rsid w:val="00D464BF"/>
    <w:rsid w:val="00D53E26"/>
    <w:rsid w:val="00D5698E"/>
    <w:rsid w:val="00D65A27"/>
    <w:rsid w:val="00D670AA"/>
    <w:rsid w:val="00D7616D"/>
    <w:rsid w:val="00D84DFF"/>
    <w:rsid w:val="00D87B20"/>
    <w:rsid w:val="00D9167C"/>
    <w:rsid w:val="00D922E9"/>
    <w:rsid w:val="00DB0F97"/>
    <w:rsid w:val="00DB51C7"/>
    <w:rsid w:val="00DB69FA"/>
    <w:rsid w:val="00DB7612"/>
    <w:rsid w:val="00DD06FF"/>
    <w:rsid w:val="00DD1BF4"/>
    <w:rsid w:val="00DD3C00"/>
    <w:rsid w:val="00DD4A92"/>
    <w:rsid w:val="00DD4F0E"/>
    <w:rsid w:val="00DD5F03"/>
    <w:rsid w:val="00DD6D35"/>
    <w:rsid w:val="00DF0ACF"/>
    <w:rsid w:val="00DF2F4B"/>
    <w:rsid w:val="00DF375A"/>
    <w:rsid w:val="00DF52BD"/>
    <w:rsid w:val="00DF5593"/>
    <w:rsid w:val="00E0054B"/>
    <w:rsid w:val="00E00AAF"/>
    <w:rsid w:val="00E05E0A"/>
    <w:rsid w:val="00E0764F"/>
    <w:rsid w:val="00E10E03"/>
    <w:rsid w:val="00E16122"/>
    <w:rsid w:val="00E16A5A"/>
    <w:rsid w:val="00E20436"/>
    <w:rsid w:val="00E23375"/>
    <w:rsid w:val="00E27B4D"/>
    <w:rsid w:val="00E36F86"/>
    <w:rsid w:val="00E379C1"/>
    <w:rsid w:val="00E433F6"/>
    <w:rsid w:val="00E43CBE"/>
    <w:rsid w:val="00E534CF"/>
    <w:rsid w:val="00E819A4"/>
    <w:rsid w:val="00E81CB4"/>
    <w:rsid w:val="00E8585B"/>
    <w:rsid w:val="00E85F2A"/>
    <w:rsid w:val="00E8645D"/>
    <w:rsid w:val="00E923EC"/>
    <w:rsid w:val="00E93051"/>
    <w:rsid w:val="00E9449B"/>
    <w:rsid w:val="00E94997"/>
    <w:rsid w:val="00E950FF"/>
    <w:rsid w:val="00EA3F15"/>
    <w:rsid w:val="00EA40C9"/>
    <w:rsid w:val="00EA7847"/>
    <w:rsid w:val="00EB20C2"/>
    <w:rsid w:val="00EB4A4B"/>
    <w:rsid w:val="00EB5E86"/>
    <w:rsid w:val="00EC02BF"/>
    <w:rsid w:val="00EC17FC"/>
    <w:rsid w:val="00EC1C8E"/>
    <w:rsid w:val="00ED0343"/>
    <w:rsid w:val="00ED16FC"/>
    <w:rsid w:val="00EE2E6E"/>
    <w:rsid w:val="00EE3C86"/>
    <w:rsid w:val="00EF0538"/>
    <w:rsid w:val="00EF5C39"/>
    <w:rsid w:val="00EF5FAF"/>
    <w:rsid w:val="00F02F98"/>
    <w:rsid w:val="00F03D2D"/>
    <w:rsid w:val="00F05C63"/>
    <w:rsid w:val="00F0759E"/>
    <w:rsid w:val="00F115FA"/>
    <w:rsid w:val="00F12BA5"/>
    <w:rsid w:val="00F134DF"/>
    <w:rsid w:val="00F20171"/>
    <w:rsid w:val="00F26879"/>
    <w:rsid w:val="00F419C9"/>
    <w:rsid w:val="00F43023"/>
    <w:rsid w:val="00F62AF2"/>
    <w:rsid w:val="00F74C6A"/>
    <w:rsid w:val="00F76A84"/>
    <w:rsid w:val="00F821A3"/>
    <w:rsid w:val="00F87EEB"/>
    <w:rsid w:val="00F9093F"/>
    <w:rsid w:val="00F9314A"/>
    <w:rsid w:val="00F970A3"/>
    <w:rsid w:val="00FA0872"/>
    <w:rsid w:val="00FB0D10"/>
    <w:rsid w:val="00FB29AB"/>
    <w:rsid w:val="00FB4F57"/>
    <w:rsid w:val="00FC0E01"/>
    <w:rsid w:val="00FC58EF"/>
    <w:rsid w:val="00FC7951"/>
    <w:rsid w:val="00FD0F8E"/>
    <w:rsid w:val="00FD33DF"/>
    <w:rsid w:val="00FD573A"/>
    <w:rsid w:val="00FD711C"/>
    <w:rsid w:val="00FE39D7"/>
    <w:rsid w:val="00FE466F"/>
    <w:rsid w:val="00FF2592"/>
    <w:rsid w:val="00FF280D"/>
    <w:rsid w:val="00FF6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36F6"/>
    <w:rPr>
      <w:sz w:val="24"/>
      <w:szCs w:val="24"/>
    </w:rPr>
  </w:style>
  <w:style w:type="paragraph" w:styleId="Sangradetextonormal">
    <w:name w:val="Body Text Indent"/>
    <w:basedOn w:val="Normal"/>
    <w:link w:val="SangradetextonormalCar"/>
    <w:uiPriority w:val="99"/>
    <w:unhideWhenUsed/>
    <w:rsid w:val="00B536F6"/>
    <w:pPr>
      <w:spacing w:after="120"/>
      <w:ind w:left="283"/>
    </w:pPr>
  </w:style>
  <w:style w:type="character" w:customStyle="1" w:styleId="SangradetextonormalCar">
    <w:name w:val="Sangría de texto normal Car"/>
    <w:basedOn w:val="Fuentedeprrafopredeter"/>
    <w:link w:val="Sangradetextonormal"/>
    <w:uiPriority w:val="99"/>
    <w:rsid w:val="00B536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36F6"/>
    <w:rPr>
      <w:sz w:val="24"/>
      <w:szCs w:val="24"/>
    </w:rPr>
  </w:style>
  <w:style w:type="paragraph" w:styleId="Sangradetextonormal">
    <w:name w:val="Body Text Indent"/>
    <w:basedOn w:val="Normal"/>
    <w:link w:val="SangradetextonormalCar"/>
    <w:uiPriority w:val="99"/>
    <w:unhideWhenUsed/>
    <w:rsid w:val="00B536F6"/>
    <w:pPr>
      <w:spacing w:after="120"/>
      <w:ind w:left="283"/>
    </w:pPr>
  </w:style>
  <w:style w:type="character" w:customStyle="1" w:styleId="SangradetextonormalCar">
    <w:name w:val="Sangría de texto normal Car"/>
    <w:basedOn w:val="Fuentedeprrafopredeter"/>
    <w:link w:val="Sangradetextonormal"/>
    <w:uiPriority w:val="99"/>
    <w:rsid w:val="00B53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24D6-BE96-46CD-B3B8-4D785162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11</Pages>
  <Words>3992</Words>
  <Characters>21957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2011-04-27T19:36:00Z</cp:lastPrinted>
  <dcterms:created xsi:type="dcterms:W3CDTF">2011-05-05T16:16:00Z</dcterms:created>
  <dcterms:modified xsi:type="dcterms:W3CDTF">2011-05-05T16:16:00Z</dcterms:modified>
</cp:coreProperties>
</file>