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9F4509"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464423251"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9A3DA9">
        <w:rPr>
          <w:rFonts w:ascii="Bookman Old Style" w:hAnsi="Bookman Old Style"/>
          <w:sz w:val="24"/>
          <w:szCs w:val="24"/>
        </w:rPr>
        <w:t>4</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sidR="005F237E">
        <w:rPr>
          <w:rFonts w:ascii="Bookman Old Style" w:hAnsi="Bookman Old Style"/>
          <w:szCs w:val="24"/>
        </w:rPr>
        <w:t xml:space="preserve">actualiza el Costo Anual por el uso de los activos de nivel de tensión 4 </w:t>
      </w:r>
      <w:r w:rsidR="009D321A">
        <w:rPr>
          <w:rFonts w:ascii="Bookman Old Style" w:hAnsi="Bookman Old Style"/>
          <w:szCs w:val="24"/>
        </w:rPr>
        <w:t xml:space="preserve">y los cargos por uso </w:t>
      </w:r>
      <w:r w:rsidR="005F237E" w:rsidRPr="005F237E">
        <w:rPr>
          <w:rFonts w:ascii="Bookman Old Style" w:hAnsi="Bookman Old Style"/>
          <w:szCs w:val="24"/>
        </w:rPr>
        <w:t xml:space="preserve">de la </w:t>
      </w:r>
      <w:r w:rsidR="00EF4000">
        <w:rPr>
          <w:rFonts w:ascii="Bookman Old Style" w:hAnsi="Bookman Old Style"/>
          <w:szCs w:val="24"/>
        </w:rPr>
        <w:t>Compañía Energética de Occidente</w:t>
      </w:r>
      <w:r w:rsidR="00A27343">
        <w:rPr>
          <w:rFonts w:ascii="Bookman Old Style" w:hAnsi="Bookman Old Style"/>
          <w:szCs w:val="24"/>
        </w:rPr>
        <w:t xml:space="preserve"> </w:t>
      </w:r>
      <w:r w:rsidR="005F237E" w:rsidRPr="005F237E">
        <w:rPr>
          <w:rFonts w:ascii="Bookman Old Style" w:hAnsi="Bookman Old Style"/>
          <w:szCs w:val="24"/>
        </w:rPr>
        <w:t>S.A.</w:t>
      </w:r>
      <w:r w:rsidR="00EF4000">
        <w:rPr>
          <w:rFonts w:ascii="Bookman Old Style" w:hAnsi="Bookman Old Style"/>
          <w:szCs w:val="24"/>
        </w:rPr>
        <w:t>S.</w:t>
      </w:r>
      <w:r w:rsidR="005F237E" w:rsidRPr="005F237E">
        <w:rPr>
          <w:rFonts w:ascii="Bookman Old Style" w:hAnsi="Bookman Old Style"/>
          <w:szCs w:val="24"/>
        </w:rPr>
        <w:t xml:space="preserve"> E.S.P.</w:t>
      </w:r>
      <w:r w:rsidR="007D3050">
        <w:rPr>
          <w:rFonts w:ascii="Bookman Old Style" w:hAnsi="Bookman Old Style"/>
          <w:szCs w:val="24"/>
        </w:rPr>
        <w:t>, CEO.</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w:t>
      </w:r>
      <w:r w:rsidR="005F237E">
        <w:rPr>
          <w:rFonts w:ascii="Bookman Old Style" w:hAnsi="Bookman Old Style"/>
          <w:b w:val="0"/>
        </w:rPr>
        <w:t>os Decretos 1524 y 2253 de 1994</w:t>
      </w:r>
      <w:r w:rsidR="00C032EB">
        <w:rPr>
          <w:rFonts w:ascii="Bookman Old Style" w:hAnsi="Bookman Old Style"/>
          <w:b w:val="0"/>
        </w:rPr>
        <w:t>,</w:t>
      </w:r>
      <w:r w:rsidR="005F237E">
        <w:rPr>
          <w:rFonts w:ascii="Bookman Old Style" w:hAnsi="Bookman Old Style"/>
          <w:b w:val="0"/>
        </w:rPr>
        <w:t xml:space="preserve"> y</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r w:rsidR="009D321A">
        <w:rPr>
          <w:rFonts w:ascii="Bookman Old Style" w:hAnsi="Bookman Old Style"/>
          <w:b/>
        </w:rPr>
        <w:t xml:space="preserve">   Q U E</w:t>
      </w:r>
      <w:r w:rsidRPr="000058F4">
        <w:rPr>
          <w:rFonts w:ascii="Bookman Old Style" w:hAnsi="Bookman Old Style"/>
          <w:b/>
        </w:rPr>
        <w:t>:</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9D321A" w:rsidP="00E433F6">
      <w:pPr>
        <w:ind w:left="0"/>
        <w:jc w:val="both"/>
        <w:rPr>
          <w:rFonts w:ascii="Bookman Old Style" w:hAnsi="Bookman Old Style"/>
        </w:rPr>
      </w:pPr>
      <w:r>
        <w:rPr>
          <w:rFonts w:ascii="Bookman Old Style" w:hAnsi="Bookman Old Style"/>
        </w:rPr>
        <w:t>D</w:t>
      </w:r>
      <w:r w:rsidR="00E433F6" w:rsidRPr="000058F4">
        <w:rPr>
          <w:rFonts w:ascii="Bookman Old Style" w:hAnsi="Bookman Old Style"/>
        </w:rPr>
        <w:t xml:space="preserve">e acuerdo con lo previsto en </w:t>
      </w:r>
      <w:r w:rsidR="00B135EA">
        <w:rPr>
          <w:rFonts w:ascii="Bookman Old Style" w:hAnsi="Bookman Old Style"/>
        </w:rPr>
        <w:t>los a</w:t>
      </w:r>
      <w:r w:rsidR="00E433F6" w:rsidRPr="000058F4">
        <w:rPr>
          <w:rFonts w:ascii="Bookman Old Style" w:hAnsi="Bookman Old Style"/>
        </w:rPr>
        <w:t>rtículo</w:t>
      </w:r>
      <w:r w:rsidR="00B135EA">
        <w:rPr>
          <w:rFonts w:ascii="Bookman Old Style" w:hAnsi="Bookman Old Style"/>
        </w:rPr>
        <w:t>s</w:t>
      </w:r>
      <w:r w:rsidR="00E433F6" w:rsidRPr="000058F4">
        <w:rPr>
          <w:rFonts w:ascii="Bookman Old Style" w:hAnsi="Bookman Old Style"/>
        </w:rPr>
        <w:t xml:space="preserve"> 23, literal d), y 41 de la Ley 143 de 1994, es función de la Comisión de Regulación de Energía y Gas fijar las tarifas por el acces</w:t>
      </w:r>
      <w:r>
        <w:rPr>
          <w:rFonts w:ascii="Bookman Old Style" w:hAnsi="Bookman Old Style"/>
        </w:rPr>
        <w:t>o y uso de las redes eléctricas.</w:t>
      </w:r>
    </w:p>
    <w:p w:rsidR="00E433F6" w:rsidRPr="000058F4" w:rsidRDefault="00E433F6" w:rsidP="00E433F6">
      <w:pPr>
        <w:ind w:left="0"/>
        <w:jc w:val="both"/>
        <w:rPr>
          <w:rFonts w:ascii="Bookman Old Style" w:hAnsi="Bookman Old Style"/>
        </w:rPr>
      </w:pPr>
    </w:p>
    <w:p w:rsidR="005F237E" w:rsidRPr="00F254A8" w:rsidRDefault="009D321A" w:rsidP="005F237E">
      <w:pPr>
        <w:ind w:left="0"/>
        <w:jc w:val="both"/>
        <w:rPr>
          <w:rFonts w:ascii="Bookman Old Style" w:hAnsi="Bookman Old Style"/>
        </w:rPr>
      </w:pPr>
      <w:r>
        <w:rPr>
          <w:rFonts w:ascii="Bookman Old Style" w:hAnsi="Bookman Old Style"/>
        </w:rPr>
        <w:t>M</w:t>
      </w:r>
      <w:r w:rsidR="005F237E" w:rsidRPr="00F254A8">
        <w:rPr>
          <w:rFonts w:ascii="Bookman Old Style" w:hAnsi="Bookman Old Style"/>
        </w:rPr>
        <w:t>ediante la Resolución CREG 097 de 2008</w:t>
      </w:r>
      <w:r w:rsidR="00B135EA">
        <w:rPr>
          <w:rFonts w:ascii="Bookman Old Style" w:hAnsi="Bookman Old Style"/>
        </w:rPr>
        <w:t>,</w:t>
      </w:r>
      <w:r w:rsidR="005F237E" w:rsidRPr="00F254A8">
        <w:rPr>
          <w:rFonts w:ascii="Bookman Old Style" w:hAnsi="Bookman Old Style"/>
        </w:rPr>
        <w:t xml:space="preserve"> modificada por las Resoluciones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5F237E" w:rsidRPr="00F254A8" w:rsidRDefault="005F237E" w:rsidP="005F237E">
      <w:pPr>
        <w:ind w:left="0"/>
        <w:jc w:val="both"/>
        <w:rPr>
          <w:rFonts w:ascii="Bookman Old Style" w:hAnsi="Bookman Old Style"/>
        </w:rPr>
      </w:pPr>
    </w:p>
    <w:p w:rsidR="005F237E" w:rsidRPr="00F254A8" w:rsidRDefault="009D321A" w:rsidP="005F237E">
      <w:pPr>
        <w:ind w:left="0"/>
        <w:jc w:val="both"/>
        <w:rPr>
          <w:rFonts w:ascii="Bookman Old Style" w:hAnsi="Bookman Old Style"/>
        </w:rPr>
      </w:pPr>
      <w:r>
        <w:rPr>
          <w:rFonts w:ascii="Bookman Old Style" w:hAnsi="Bookman Old Style"/>
        </w:rPr>
        <w:t xml:space="preserve">Con </w:t>
      </w:r>
      <w:r w:rsidR="005F237E" w:rsidRPr="00F254A8">
        <w:rPr>
          <w:rFonts w:ascii="Bookman Old Style" w:hAnsi="Bookman Old Style"/>
        </w:rPr>
        <w:t>la</w:t>
      </w:r>
      <w:r w:rsidR="00A27343">
        <w:rPr>
          <w:rFonts w:ascii="Bookman Old Style" w:hAnsi="Bookman Old Style"/>
        </w:rPr>
        <w:t>s r</w:t>
      </w:r>
      <w:r w:rsidR="005F237E" w:rsidRPr="00F254A8">
        <w:rPr>
          <w:rFonts w:ascii="Bookman Old Style" w:hAnsi="Bookman Old Style"/>
        </w:rPr>
        <w:t>esoluci</w:t>
      </w:r>
      <w:r w:rsidR="00A27343">
        <w:rPr>
          <w:rFonts w:ascii="Bookman Old Style" w:hAnsi="Bookman Old Style"/>
        </w:rPr>
        <w:t>ones</w:t>
      </w:r>
      <w:r w:rsidR="005F237E" w:rsidRPr="00F254A8">
        <w:rPr>
          <w:rFonts w:ascii="Bookman Old Style" w:hAnsi="Bookman Old Style"/>
        </w:rPr>
        <w:t xml:space="preserve"> CREG 1</w:t>
      </w:r>
      <w:r w:rsidR="00A27343">
        <w:rPr>
          <w:rFonts w:ascii="Bookman Old Style" w:hAnsi="Bookman Old Style"/>
        </w:rPr>
        <w:t>1</w:t>
      </w:r>
      <w:r w:rsidR="00EF4000">
        <w:rPr>
          <w:rFonts w:ascii="Bookman Old Style" w:hAnsi="Bookman Old Style"/>
        </w:rPr>
        <w:t>8</w:t>
      </w:r>
      <w:r w:rsidR="005F237E" w:rsidRPr="00F254A8">
        <w:rPr>
          <w:rFonts w:ascii="Bookman Old Style" w:hAnsi="Bookman Old Style"/>
        </w:rPr>
        <w:t xml:space="preserve"> de 2009</w:t>
      </w:r>
      <w:r w:rsidR="00A27343">
        <w:rPr>
          <w:rFonts w:ascii="Bookman Old Style" w:hAnsi="Bookman Old Style"/>
        </w:rPr>
        <w:t xml:space="preserve"> y 02</w:t>
      </w:r>
      <w:r w:rsidR="009454D9">
        <w:rPr>
          <w:rFonts w:ascii="Bookman Old Style" w:hAnsi="Bookman Old Style"/>
        </w:rPr>
        <w:t>3</w:t>
      </w:r>
      <w:r w:rsidR="00A27343">
        <w:rPr>
          <w:rFonts w:ascii="Bookman Old Style" w:hAnsi="Bookman Old Style"/>
        </w:rPr>
        <w:t xml:space="preserve"> de 2010</w:t>
      </w:r>
      <w:r w:rsidR="005F237E" w:rsidRPr="00F254A8">
        <w:rPr>
          <w:rFonts w:ascii="Bookman Old Style" w:hAnsi="Bookman Old Style"/>
        </w:rPr>
        <w:t>, la CREG aprobó el Costo Anual por el uso de los Activos del Nivel de Tensión 4 y los Cargos Máximos de los Niveles de Tensión 3, 2 y 1 de los activos operad</w:t>
      </w:r>
      <w:r w:rsidR="00A27343">
        <w:rPr>
          <w:rFonts w:ascii="Bookman Old Style" w:hAnsi="Bookman Old Style"/>
        </w:rPr>
        <w:t xml:space="preserve">os por la </w:t>
      </w:r>
      <w:r w:rsidR="00795466">
        <w:rPr>
          <w:rFonts w:ascii="Bookman Old Style" w:hAnsi="Bookman Old Style"/>
        </w:rPr>
        <w:t>Compañía Energética de Occidente</w:t>
      </w:r>
      <w:r w:rsidR="00A27343">
        <w:rPr>
          <w:rFonts w:ascii="Bookman Old Style" w:hAnsi="Bookman Old Style"/>
        </w:rPr>
        <w:t xml:space="preserve"> </w:t>
      </w:r>
      <w:r w:rsidR="005F237E" w:rsidRPr="00F254A8">
        <w:rPr>
          <w:rFonts w:ascii="Bookman Old Style" w:hAnsi="Bookman Old Style"/>
        </w:rPr>
        <w:t>S.A.</w:t>
      </w:r>
      <w:r w:rsidR="00795466">
        <w:rPr>
          <w:rFonts w:ascii="Bookman Old Style" w:hAnsi="Bookman Old Style"/>
        </w:rPr>
        <w:t>S.</w:t>
      </w:r>
      <w:r w:rsidR="005F237E" w:rsidRPr="00F254A8">
        <w:rPr>
          <w:rFonts w:ascii="Bookman Old Style" w:hAnsi="Bookman Old Style"/>
        </w:rPr>
        <w:t xml:space="preserve"> E.S.P. en el Sistema de Transmisión Regional (STR) y en el Sistema de Distribución Local (SDL)</w:t>
      </w:r>
      <w:r>
        <w:rPr>
          <w:rFonts w:ascii="Bookman Old Style" w:hAnsi="Bookman Old Style"/>
        </w:rPr>
        <w:t>.</w:t>
      </w:r>
    </w:p>
    <w:p w:rsidR="00E433F6" w:rsidRPr="000058F4" w:rsidRDefault="00E433F6" w:rsidP="00E433F6">
      <w:pPr>
        <w:ind w:left="0"/>
        <w:jc w:val="both"/>
        <w:rPr>
          <w:rFonts w:ascii="Bookman Old Style" w:hAnsi="Bookman Old Style"/>
        </w:rPr>
      </w:pPr>
    </w:p>
    <w:p w:rsidR="00D0272B" w:rsidRDefault="009D321A" w:rsidP="000F5BD2">
      <w:pPr>
        <w:ind w:left="0"/>
        <w:jc w:val="both"/>
        <w:rPr>
          <w:rFonts w:ascii="Bookman Old Style" w:hAnsi="Bookman Old Style"/>
        </w:rPr>
      </w:pPr>
      <w:r>
        <w:rPr>
          <w:rFonts w:ascii="Bookman Old Style" w:hAnsi="Bookman Old Style"/>
        </w:rPr>
        <w:t>H</w:t>
      </w:r>
      <w:r w:rsidR="00D0272B">
        <w:rPr>
          <w:rFonts w:ascii="Bookman Old Style" w:hAnsi="Bookman Old Style"/>
        </w:rPr>
        <w:t xml:space="preserve">aciendo uso del artículo 126 de la Ley 142 de 1994, </w:t>
      </w:r>
      <w:r>
        <w:rPr>
          <w:rFonts w:ascii="Bookman Old Style" w:hAnsi="Bookman Old Style"/>
        </w:rPr>
        <w:t xml:space="preserve">la empresa </w:t>
      </w:r>
      <w:r w:rsidR="00D0272B">
        <w:rPr>
          <w:rFonts w:ascii="Bookman Old Style" w:hAnsi="Bookman Old Style"/>
        </w:rPr>
        <w:t xml:space="preserve">solicitó una revisión tarifaria para el reconocimiento de algunos activos que no quedaron incluidos en la </w:t>
      </w:r>
      <w:r w:rsidR="00795466">
        <w:rPr>
          <w:rFonts w:ascii="Bookman Old Style" w:hAnsi="Bookman Old Style"/>
        </w:rPr>
        <w:t>base de datos</w:t>
      </w:r>
      <w:r w:rsidR="00D0272B">
        <w:rPr>
          <w:rFonts w:ascii="Bookman Old Style" w:hAnsi="Bookman Old Style"/>
        </w:rPr>
        <w:t xml:space="preserve"> inicial, lo que dio origen a la aprobación de la </w:t>
      </w:r>
      <w:r w:rsidR="00FE6953">
        <w:rPr>
          <w:rFonts w:ascii="Bookman Old Style" w:hAnsi="Bookman Old Style"/>
        </w:rPr>
        <w:t>Resol</w:t>
      </w:r>
      <w:r w:rsidR="00460EE0">
        <w:rPr>
          <w:rFonts w:ascii="Bookman Old Style" w:hAnsi="Bookman Old Style"/>
        </w:rPr>
        <w:t xml:space="preserve">ución </w:t>
      </w:r>
      <w:r w:rsidR="004E5B75">
        <w:rPr>
          <w:rFonts w:ascii="Bookman Old Style" w:hAnsi="Bookman Old Style"/>
        </w:rPr>
        <w:t xml:space="preserve">CREG </w:t>
      </w:r>
      <w:r>
        <w:rPr>
          <w:rFonts w:ascii="Bookman Old Style" w:hAnsi="Bookman Old Style"/>
        </w:rPr>
        <w:t>070 de 2012.</w:t>
      </w:r>
    </w:p>
    <w:p w:rsidR="00FE6953" w:rsidRDefault="00FE6953" w:rsidP="000F5BD2">
      <w:pPr>
        <w:ind w:left="0"/>
        <w:jc w:val="both"/>
        <w:rPr>
          <w:rFonts w:ascii="Bookman Old Style" w:hAnsi="Bookman Old Style"/>
        </w:rPr>
      </w:pPr>
    </w:p>
    <w:p w:rsidR="000F5BD2" w:rsidRDefault="000F5BD2" w:rsidP="000F5BD2">
      <w:pPr>
        <w:ind w:left="0"/>
        <w:jc w:val="both"/>
        <w:rPr>
          <w:rFonts w:ascii="Bookman Old Style" w:hAnsi="Bookman Old Style"/>
        </w:rPr>
      </w:pPr>
    </w:p>
    <w:p w:rsidR="00D9787D" w:rsidRDefault="00D9787D" w:rsidP="000F5BD2">
      <w:pPr>
        <w:ind w:left="0"/>
        <w:jc w:val="both"/>
        <w:rPr>
          <w:rFonts w:ascii="Bookman Old Style" w:hAnsi="Bookman Old Style"/>
        </w:rPr>
      </w:pPr>
    </w:p>
    <w:p w:rsidR="000F5BD2" w:rsidRDefault="009D321A" w:rsidP="000F5BD2">
      <w:pPr>
        <w:ind w:left="0"/>
        <w:jc w:val="both"/>
        <w:rPr>
          <w:rFonts w:ascii="Bookman Old Style" w:hAnsi="Bookman Old Style"/>
        </w:rPr>
      </w:pPr>
      <w:r>
        <w:rPr>
          <w:rFonts w:ascii="Bookman Old Style" w:hAnsi="Bookman Old Style"/>
        </w:rPr>
        <w:t>L</w:t>
      </w:r>
      <w:r w:rsidR="000F5BD2">
        <w:rPr>
          <w:rFonts w:ascii="Bookman Old Style" w:hAnsi="Bookman Old Style"/>
        </w:rPr>
        <w:t xml:space="preserve">a </w:t>
      </w:r>
      <w:r w:rsidR="00795466">
        <w:rPr>
          <w:rFonts w:ascii="Bookman Old Style" w:hAnsi="Bookman Old Style"/>
        </w:rPr>
        <w:t>Compañía Energética de Occidente</w:t>
      </w:r>
      <w:r w:rsidR="000F5BD2">
        <w:rPr>
          <w:rFonts w:ascii="Bookman Old Style" w:hAnsi="Bookman Old Style"/>
        </w:rPr>
        <w:t xml:space="preserve"> S.A.</w:t>
      </w:r>
      <w:r w:rsidR="000B7141">
        <w:rPr>
          <w:rFonts w:ascii="Bookman Old Style" w:hAnsi="Bookman Old Style"/>
        </w:rPr>
        <w:t>S.</w:t>
      </w:r>
      <w:r>
        <w:rPr>
          <w:rFonts w:ascii="Bookman Old Style" w:hAnsi="Bookman Old Style"/>
        </w:rPr>
        <w:t xml:space="preserve"> E.S.P.</w:t>
      </w:r>
      <w:r w:rsidR="000F5BD2">
        <w:rPr>
          <w:rFonts w:ascii="Bookman Old Style" w:hAnsi="Bookman Old Style"/>
        </w:rPr>
        <w:t xml:space="preserve"> solicitó a la CREG la actualizaci</w:t>
      </w:r>
      <w:r w:rsidR="009C3BBD">
        <w:rPr>
          <w:rFonts w:ascii="Bookman Old Style" w:hAnsi="Bookman Old Style"/>
        </w:rPr>
        <w:t>ón del Costo Anual por el U</w:t>
      </w:r>
      <w:r w:rsidR="000F5BD2">
        <w:rPr>
          <w:rFonts w:ascii="Bookman Old Style" w:hAnsi="Bookman Old Style"/>
        </w:rPr>
        <w:t xml:space="preserve">so de los </w:t>
      </w:r>
      <w:r w:rsidR="009C3BBD">
        <w:rPr>
          <w:rFonts w:ascii="Bookman Old Style" w:hAnsi="Bookman Old Style"/>
        </w:rPr>
        <w:t>Activos de N</w:t>
      </w:r>
      <w:r w:rsidR="000F5BD2">
        <w:rPr>
          <w:rFonts w:ascii="Bookman Old Style" w:hAnsi="Bookman Old Style"/>
        </w:rPr>
        <w:t xml:space="preserve">ivel de </w:t>
      </w:r>
      <w:r w:rsidR="009C3BBD">
        <w:rPr>
          <w:rFonts w:ascii="Bookman Old Style" w:hAnsi="Bookman Old Style"/>
        </w:rPr>
        <w:t>T</w:t>
      </w:r>
      <w:r w:rsidR="000F5BD2">
        <w:rPr>
          <w:rFonts w:ascii="Bookman Old Style" w:hAnsi="Bookman Old Style"/>
        </w:rPr>
        <w:t xml:space="preserve">ensión 4 </w:t>
      </w:r>
      <w:r w:rsidR="00937C80">
        <w:rPr>
          <w:rFonts w:ascii="Bookman Old Style" w:hAnsi="Bookman Old Style"/>
        </w:rPr>
        <w:t>por la entrada en</w:t>
      </w:r>
      <w:r w:rsidR="00966712">
        <w:rPr>
          <w:rFonts w:ascii="Bookman Old Style" w:hAnsi="Bookman Old Style"/>
        </w:rPr>
        <w:t xml:space="preserve"> operación de la </w:t>
      </w:r>
      <w:r w:rsidR="00460EE0">
        <w:rPr>
          <w:rFonts w:ascii="Bookman Old Style" w:hAnsi="Bookman Old Style"/>
        </w:rPr>
        <w:t xml:space="preserve">bahía </w:t>
      </w:r>
      <w:r w:rsidR="004E5B75">
        <w:rPr>
          <w:rFonts w:ascii="Bookman Old Style" w:hAnsi="Bookman Old Style"/>
        </w:rPr>
        <w:t>de línea</w:t>
      </w:r>
      <w:r w:rsidR="00B844CB">
        <w:rPr>
          <w:rFonts w:ascii="Bookman Old Style" w:hAnsi="Bookman Old Style"/>
        </w:rPr>
        <w:t xml:space="preserve"> en la subestación Santander para conectar el segundo </w:t>
      </w:r>
      <w:r w:rsidR="00006C1A">
        <w:rPr>
          <w:rFonts w:ascii="Bookman Old Style" w:hAnsi="Bookman Old Style"/>
        </w:rPr>
        <w:t>circuito</w:t>
      </w:r>
      <w:r w:rsidR="00460EE0">
        <w:rPr>
          <w:rFonts w:ascii="Bookman Old Style" w:hAnsi="Bookman Old Style"/>
        </w:rPr>
        <w:t xml:space="preserve"> de la línea </w:t>
      </w:r>
      <w:proofErr w:type="spellStart"/>
      <w:r w:rsidR="00460EE0">
        <w:rPr>
          <w:rFonts w:ascii="Bookman Old Style" w:hAnsi="Bookman Old Style"/>
        </w:rPr>
        <w:t>Pance</w:t>
      </w:r>
      <w:proofErr w:type="spellEnd"/>
      <w:r w:rsidR="00B47906">
        <w:rPr>
          <w:rFonts w:ascii="Bookman Old Style" w:hAnsi="Bookman Old Style"/>
        </w:rPr>
        <w:noBreakHyphen/>
      </w:r>
      <w:r w:rsidR="00460EE0">
        <w:rPr>
          <w:rFonts w:ascii="Bookman Old Style" w:hAnsi="Bookman Old Style"/>
        </w:rPr>
        <w:t xml:space="preserve">Santander 115 </w:t>
      </w:r>
      <w:proofErr w:type="spellStart"/>
      <w:r w:rsidR="00460EE0">
        <w:rPr>
          <w:rFonts w:ascii="Bookman Old Style" w:hAnsi="Bookman Old Style"/>
        </w:rPr>
        <w:t>kV</w:t>
      </w:r>
      <w:proofErr w:type="spellEnd"/>
      <w:r>
        <w:rPr>
          <w:rFonts w:ascii="Bookman Old Style" w:hAnsi="Bookman Old Style"/>
        </w:rPr>
        <w:t>, lo que dio origen a la Resolución CREG 126 de 2012.</w:t>
      </w:r>
    </w:p>
    <w:p w:rsidR="009D321A" w:rsidRDefault="009D321A" w:rsidP="000F5BD2">
      <w:pPr>
        <w:ind w:left="0"/>
        <w:jc w:val="both"/>
        <w:rPr>
          <w:rFonts w:ascii="Bookman Old Style" w:hAnsi="Bookman Old Style"/>
        </w:rPr>
      </w:pPr>
    </w:p>
    <w:p w:rsidR="009D321A" w:rsidRDefault="009D321A" w:rsidP="009D321A">
      <w:pPr>
        <w:ind w:left="0"/>
        <w:jc w:val="both"/>
        <w:rPr>
          <w:rFonts w:ascii="Bookman Old Style" w:hAnsi="Bookman Old Style"/>
        </w:rPr>
      </w:pPr>
      <w:r>
        <w:rPr>
          <w:rFonts w:ascii="Bookman Old Style" w:hAnsi="Bookman Old Style"/>
        </w:rPr>
        <w:t xml:space="preserve">De conformidad con el </w:t>
      </w:r>
      <w:r w:rsidR="00B135EA">
        <w:rPr>
          <w:rFonts w:ascii="Bookman Old Style" w:hAnsi="Bookman Old Style"/>
        </w:rPr>
        <w:t>a</w:t>
      </w:r>
      <w:r>
        <w:rPr>
          <w:rFonts w:ascii="Bookman Old Style" w:hAnsi="Bookman Old Style"/>
        </w:rPr>
        <w:t>rtículo 9 de la Resolución CREG 097 de 2008, cuando entren en operación nuevos activos se actualizarán los cargos por uso de los OR, siempre que se cumplan las condiciones establecidas en el capítulo 4 del anexo general de esa resolución.</w:t>
      </w:r>
    </w:p>
    <w:p w:rsidR="00937C80" w:rsidRDefault="00937C80" w:rsidP="000F5BD2">
      <w:pPr>
        <w:ind w:left="0"/>
        <w:jc w:val="both"/>
        <w:rPr>
          <w:rFonts w:ascii="Bookman Old Style" w:hAnsi="Bookman Old Style"/>
        </w:rPr>
      </w:pPr>
    </w:p>
    <w:p w:rsidR="00CD61F6" w:rsidRDefault="00CD61F6" w:rsidP="000F5BD2">
      <w:pPr>
        <w:ind w:left="0"/>
        <w:jc w:val="both"/>
        <w:rPr>
          <w:rFonts w:ascii="Bookman Old Style" w:hAnsi="Bookman Old Style"/>
        </w:rPr>
      </w:pPr>
      <w:r>
        <w:rPr>
          <w:rFonts w:ascii="Bookman Old Style" w:hAnsi="Bookman Old Style"/>
        </w:rPr>
        <w:t>Con la comunicación radicada en la CREG bajo el número E-2013-00</w:t>
      </w:r>
      <w:r w:rsidR="006A5429">
        <w:rPr>
          <w:rFonts w:ascii="Bookman Old Style" w:hAnsi="Bookman Old Style"/>
        </w:rPr>
        <w:t xml:space="preserve">7612 la Compañía Energética de Occidente S.A.S. E.S.P. solicitó a la CREG la actualización del Costo Anual por el Uso de los Activos de Nivel de Tensión 4 por la entrada en operación del segundo circuito de la línea </w:t>
      </w:r>
      <w:proofErr w:type="spellStart"/>
      <w:r w:rsidR="006A5429">
        <w:rPr>
          <w:rFonts w:ascii="Bookman Old Style" w:hAnsi="Bookman Old Style"/>
        </w:rPr>
        <w:t>Pance</w:t>
      </w:r>
      <w:proofErr w:type="spellEnd"/>
      <w:r w:rsidR="006A5429">
        <w:rPr>
          <w:rFonts w:ascii="Bookman Old Style" w:hAnsi="Bookman Old Style"/>
        </w:rPr>
        <w:noBreakHyphen/>
        <w:t xml:space="preserve">Santander 115 </w:t>
      </w:r>
      <w:proofErr w:type="spellStart"/>
      <w:r w:rsidR="006A5429">
        <w:rPr>
          <w:rFonts w:ascii="Bookman Old Style" w:hAnsi="Bookman Old Style"/>
        </w:rPr>
        <w:t>kV</w:t>
      </w:r>
      <w:proofErr w:type="spellEnd"/>
      <w:r w:rsidR="006A5429">
        <w:rPr>
          <w:rFonts w:ascii="Bookman Old Style" w:hAnsi="Bookman Old Style"/>
        </w:rPr>
        <w:t>.</w:t>
      </w:r>
    </w:p>
    <w:p w:rsidR="006A5429" w:rsidRDefault="006A5429" w:rsidP="000F5BD2">
      <w:pPr>
        <w:ind w:left="0"/>
        <w:jc w:val="both"/>
        <w:rPr>
          <w:rFonts w:ascii="Bookman Old Style" w:hAnsi="Bookman Old Style"/>
        </w:rPr>
      </w:pPr>
    </w:p>
    <w:p w:rsidR="00937C80" w:rsidRDefault="00076B43" w:rsidP="000F5BD2">
      <w:pPr>
        <w:ind w:left="0"/>
        <w:jc w:val="both"/>
        <w:rPr>
          <w:rFonts w:ascii="Bookman Old Style" w:hAnsi="Bookman Old Style"/>
        </w:rPr>
      </w:pPr>
      <w:r>
        <w:rPr>
          <w:rFonts w:ascii="Bookman Old Style" w:hAnsi="Bookman Old Style"/>
        </w:rPr>
        <w:t>C</w:t>
      </w:r>
      <w:r w:rsidR="00937C80">
        <w:rPr>
          <w:rFonts w:ascii="Bookman Old Style" w:hAnsi="Bookman Old Style"/>
        </w:rPr>
        <w:t xml:space="preserve">on la solicitud la </w:t>
      </w:r>
      <w:r w:rsidR="004E5B75">
        <w:rPr>
          <w:rFonts w:ascii="Bookman Old Style" w:hAnsi="Bookman Old Style"/>
        </w:rPr>
        <w:t>Compañía Energética de Occidente</w:t>
      </w:r>
      <w:r w:rsidR="00937C80">
        <w:rPr>
          <w:rFonts w:ascii="Bookman Old Style" w:hAnsi="Bookman Old Style"/>
        </w:rPr>
        <w:t xml:space="preserve"> S.A.</w:t>
      </w:r>
      <w:r w:rsidR="004E5B75">
        <w:rPr>
          <w:rFonts w:ascii="Bookman Old Style" w:hAnsi="Bookman Old Style"/>
        </w:rPr>
        <w:t>S.</w:t>
      </w:r>
      <w:r w:rsidR="00937C80">
        <w:rPr>
          <w:rFonts w:ascii="Bookman Old Style" w:hAnsi="Bookman Old Style"/>
        </w:rPr>
        <w:t xml:space="preserve"> E.S.P.</w:t>
      </w:r>
      <w:r w:rsidR="00D87988">
        <w:rPr>
          <w:rFonts w:ascii="Bookman Old Style" w:hAnsi="Bookman Old Style"/>
        </w:rPr>
        <w:t xml:space="preserve">, </w:t>
      </w:r>
      <w:r w:rsidR="004E5B75">
        <w:rPr>
          <w:rFonts w:ascii="Bookman Old Style" w:hAnsi="Bookman Old Style"/>
        </w:rPr>
        <w:t>CEO</w:t>
      </w:r>
      <w:r w:rsidR="00937C80">
        <w:rPr>
          <w:rFonts w:ascii="Bookman Old Style" w:hAnsi="Bookman Old Style"/>
        </w:rPr>
        <w:t xml:space="preserve"> entregó la siguiente información:</w:t>
      </w:r>
    </w:p>
    <w:p w:rsidR="009C3BBD" w:rsidRDefault="009C3BBD" w:rsidP="000F5BD2">
      <w:pPr>
        <w:ind w:left="0"/>
        <w:jc w:val="both"/>
        <w:rPr>
          <w:rFonts w:ascii="Bookman Old Style" w:hAnsi="Bookman Old Style"/>
        </w:rPr>
      </w:pPr>
    </w:p>
    <w:p w:rsidR="00937C80" w:rsidRDefault="00937C80" w:rsidP="00937C8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del concepto </w:t>
      </w:r>
      <w:r w:rsidR="00644A3C">
        <w:rPr>
          <w:rFonts w:ascii="Bookman Old Style" w:hAnsi="Bookman Old Style"/>
          <w:sz w:val="24"/>
          <w:szCs w:val="24"/>
        </w:rPr>
        <w:t>que sobre el proyecto emitió</w:t>
      </w:r>
      <w:r>
        <w:rPr>
          <w:rFonts w:ascii="Bookman Old Style" w:hAnsi="Bookman Old Style"/>
          <w:sz w:val="24"/>
          <w:szCs w:val="24"/>
        </w:rPr>
        <w:t xml:space="preserve"> la Unidad de Planeación Minero Energética con radicado UPME </w:t>
      </w:r>
      <w:r w:rsidR="00966712">
        <w:rPr>
          <w:rFonts w:ascii="Bookman Old Style" w:hAnsi="Bookman Old Style"/>
          <w:sz w:val="24"/>
          <w:szCs w:val="24"/>
        </w:rPr>
        <w:t>20</w:t>
      </w:r>
      <w:r w:rsidR="00874040">
        <w:rPr>
          <w:rFonts w:ascii="Bookman Old Style" w:hAnsi="Bookman Old Style"/>
          <w:sz w:val="24"/>
          <w:szCs w:val="24"/>
        </w:rPr>
        <w:t>1</w:t>
      </w:r>
      <w:r w:rsidR="00C7747B">
        <w:rPr>
          <w:rFonts w:ascii="Bookman Old Style" w:hAnsi="Bookman Old Style"/>
          <w:sz w:val="24"/>
          <w:szCs w:val="24"/>
        </w:rPr>
        <w:t>3</w:t>
      </w:r>
      <w:r w:rsidR="00966712">
        <w:rPr>
          <w:rFonts w:ascii="Bookman Old Style" w:hAnsi="Bookman Old Style"/>
          <w:sz w:val="24"/>
          <w:szCs w:val="24"/>
        </w:rPr>
        <w:t>1500</w:t>
      </w:r>
      <w:r w:rsidR="00874040">
        <w:rPr>
          <w:rFonts w:ascii="Bookman Old Style" w:hAnsi="Bookman Old Style"/>
          <w:sz w:val="24"/>
          <w:szCs w:val="24"/>
        </w:rPr>
        <w:t>0</w:t>
      </w:r>
      <w:r w:rsidR="00C7747B">
        <w:rPr>
          <w:rFonts w:ascii="Bookman Old Style" w:hAnsi="Bookman Old Style"/>
          <w:sz w:val="24"/>
          <w:szCs w:val="24"/>
        </w:rPr>
        <w:t>2527</w:t>
      </w:r>
      <w:r w:rsidR="00966712">
        <w:rPr>
          <w:rFonts w:ascii="Bookman Old Style" w:hAnsi="Bookman Old Style"/>
          <w:sz w:val="24"/>
          <w:szCs w:val="24"/>
        </w:rPr>
        <w:t xml:space="preserve">1 del </w:t>
      </w:r>
      <w:r w:rsidR="004E5B75">
        <w:rPr>
          <w:rFonts w:ascii="Bookman Old Style" w:hAnsi="Bookman Old Style"/>
          <w:sz w:val="24"/>
          <w:szCs w:val="24"/>
        </w:rPr>
        <w:t>2</w:t>
      </w:r>
      <w:r w:rsidR="00C7747B">
        <w:rPr>
          <w:rFonts w:ascii="Bookman Old Style" w:hAnsi="Bookman Old Style"/>
          <w:sz w:val="24"/>
          <w:szCs w:val="24"/>
        </w:rPr>
        <w:t>5</w:t>
      </w:r>
      <w:r w:rsidR="00966712">
        <w:rPr>
          <w:rFonts w:ascii="Bookman Old Style" w:hAnsi="Bookman Old Style"/>
          <w:sz w:val="24"/>
          <w:szCs w:val="24"/>
        </w:rPr>
        <w:t xml:space="preserve"> de </w:t>
      </w:r>
      <w:r w:rsidR="00C7747B">
        <w:rPr>
          <w:rFonts w:ascii="Bookman Old Style" w:hAnsi="Bookman Old Style"/>
          <w:sz w:val="24"/>
          <w:szCs w:val="24"/>
        </w:rPr>
        <w:t>julio de 2013</w:t>
      </w:r>
      <w:r w:rsidR="00874040">
        <w:rPr>
          <w:rFonts w:ascii="Bookman Old Style" w:hAnsi="Bookman Old Style"/>
          <w:sz w:val="24"/>
          <w:szCs w:val="24"/>
        </w:rPr>
        <w:t>.</w:t>
      </w:r>
    </w:p>
    <w:p w:rsidR="00874040" w:rsidRPr="00874040" w:rsidRDefault="00874040" w:rsidP="00874040">
      <w:pPr>
        <w:ind w:left="360"/>
        <w:jc w:val="both"/>
        <w:rPr>
          <w:rFonts w:ascii="Bookman Old Style" w:hAnsi="Bookman Old Style"/>
        </w:rPr>
      </w:pPr>
    </w:p>
    <w:p w:rsidR="00937C80" w:rsidRDefault="00644A3C" w:rsidP="00874040">
      <w:pPr>
        <w:pStyle w:val="Prrafodelista"/>
        <w:numPr>
          <w:ilvl w:val="0"/>
          <w:numId w:val="17"/>
        </w:numPr>
        <w:jc w:val="both"/>
        <w:rPr>
          <w:rFonts w:ascii="Bookman Old Style" w:hAnsi="Bookman Old Style"/>
          <w:sz w:val="24"/>
          <w:szCs w:val="24"/>
        </w:rPr>
      </w:pPr>
      <w:r>
        <w:rPr>
          <w:rFonts w:ascii="Bookman Old Style" w:hAnsi="Bookman Old Style"/>
          <w:sz w:val="24"/>
          <w:szCs w:val="24"/>
        </w:rPr>
        <w:t xml:space="preserve">Copia </w:t>
      </w:r>
      <w:r w:rsidR="00966712">
        <w:rPr>
          <w:rFonts w:ascii="Bookman Old Style" w:hAnsi="Bookman Old Style"/>
          <w:sz w:val="24"/>
          <w:szCs w:val="24"/>
        </w:rPr>
        <w:t xml:space="preserve">de la </w:t>
      </w:r>
      <w:r w:rsidR="00874040">
        <w:rPr>
          <w:rFonts w:ascii="Bookman Old Style" w:hAnsi="Bookman Old Style"/>
          <w:sz w:val="24"/>
          <w:szCs w:val="24"/>
        </w:rPr>
        <w:t xml:space="preserve">comunicación </w:t>
      </w:r>
      <w:r w:rsidR="00B135EA">
        <w:rPr>
          <w:rFonts w:ascii="Bookman Old Style" w:hAnsi="Bookman Old Style"/>
          <w:sz w:val="24"/>
          <w:szCs w:val="24"/>
        </w:rPr>
        <w:t xml:space="preserve">con </w:t>
      </w:r>
      <w:r w:rsidR="00874040" w:rsidRPr="00874040">
        <w:rPr>
          <w:rFonts w:ascii="Bookman Old Style" w:hAnsi="Bookman Old Style"/>
          <w:sz w:val="24"/>
          <w:szCs w:val="24"/>
        </w:rPr>
        <w:t xml:space="preserve">radicado </w:t>
      </w:r>
      <w:r w:rsidR="00B844CB">
        <w:rPr>
          <w:rFonts w:ascii="Bookman Old Style" w:hAnsi="Bookman Old Style"/>
          <w:sz w:val="24"/>
          <w:szCs w:val="24"/>
        </w:rPr>
        <w:t>CEO 20115000785451</w:t>
      </w:r>
      <w:r w:rsidR="00874040" w:rsidRPr="00874040">
        <w:rPr>
          <w:rFonts w:ascii="Bookman Old Style" w:hAnsi="Bookman Old Style"/>
          <w:sz w:val="24"/>
          <w:szCs w:val="24"/>
        </w:rPr>
        <w:t>,</w:t>
      </w:r>
      <w:r w:rsidR="00B844CB">
        <w:rPr>
          <w:rFonts w:ascii="Bookman Old Style" w:hAnsi="Bookman Old Style"/>
          <w:sz w:val="24"/>
          <w:szCs w:val="24"/>
        </w:rPr>
        <w:t xml:space="preserve"> dirigida a la UPME en la cual CEO manifiesta</w:t>
      </w:r>
      <w:r w:rsidR="00874040" w:rsidRPr="00874040">
        <w:rPr>
          <w:rFonts w:ascii="Bookman Old Style" w:hAnsi="Bookman Old Style"/>
          <w:sz w:val="24"/>
          <w:szCs w:val="24"/>
        </w:rPr>
        <w:t xml:space="preserve"> </w:t>
      </w:r>
      <w:r w:rsidR="00B844CB">
        <w:rPr>
          <w:rFonts w:ascii="Bookman Old Style" w:hAnsi="Bookman Old Style"/>
          <w:sz w:val="24"/>
          <w:szCs w:val="24"/>
        </w:rPr>
        <w:t>que la entrada en operación del proyecto está prevista para el mes de mayo de 2012</w:t>
      </w:r>
      <w:r w:rsidR="00B135EA">
        <w:rPr>
          <w:rFonts w:ascii="Bookman Old Style" w:hAnsi="Bookman Old Style"/>
          <w:sz w:val="24"/>
          <w:szCs w:val="24"/>
        </w:rPr>
        <w:t>.</w:t>
      </w:r>
    </w:p>
    <w:p w:rsidR="00C7747B" w:rsidRDefault="00C7747B" w:rsidP="00FA5BBD">
      <w:pPr>
        <w:ind w:left="0"/>
        <w:jc w:val="both"/>
        <w:rPr>
          <w:rFonts w:ascii="Bookman Old Style" w:hAnsi="Bookman Old Style"/>
        </w:rPr>
      </w:pPr>
    </w:p>
    <w:p w:rsidR="00874040" w:rsidRDefault="00C7747B" w:rsidP="00FA5BBD">
      <w:pPr>
        <w:ind w:left="0"/>
        <w:jc w:val="both"/>
        <w:rPr>
          <w:rFonts w:ascii="Bookman Old Style" w:hAnsi="Bookman Old Style"/>
        </w:rPr>
      </w:pPr>
      <w:r>
        <w:rPr>
          <w:rFonts w:ascii="Bookman Old Style" w:hAnsi="Bookman Old Style"/>
        </w:rPr>
        <w:t>Dado que la Compañía Energética de Occidente S.A.S. E.S.P., CEO no hizo la entrega del certificado de entrada en operación por parte de XM, a solicitud de la Comisión, mediante radicado CREG E-2013-008424 cumplió el requisito para dar inicio a la actuación administrativa correspondiente.</w:t>
      </w:r>
    </w:p>
    <w:p w:rsidR="00C7747B" w:rsidRDefault="00C7747B" w:rsidP="00FA5BBD">
      <w:pPr>
        <w:ind w:left="0"/>
        <w:jc w:val="both"/>
        <w:rPr>
          <w:rFonts w:ascii="Bookman Old Style" w:hAnsi="Bookman Old Style"/>
        </w:rPr>
      </w:pPr>
    </w:p>
    <w:p w:rsidR="00FA5BBD" w:rsidRDefault="00242E21" w:rsidP="00FA5BBD">
      <w:pPr>
        <w:ind w:left="0"/>
        <w:jc w:val="both"/>
        <w:rPr>
          <w:rFonts w:ascii="Bookman Old Style" w:hAnsi="Bookman Old Style"/>
        </w:rPr>
      </w:pPr>
      <w:r>
        <w:rPr>
          <w:rFonts w:ascii="Bookman Old Style" w:hAnsi="Bookman Old Style"/>
        </w:rPr>
        <w:t>M</w:t>
      </w:r>
      <w:r w:rsidR="00FA5BBD">
        <w:rPr>
          <w:rFonts w:ascii="Bookman Old Style" w:hAnsi="Bookman Old Style"/>
        </w:rPr>
        <w:t xml:space="preserve">ediante auto del </w:t>
      </w:r>
      <w:r w:rsidR="00B844CB">
        <w:rPr>
          <w:rFonts w:ascii="Bookman Old Style" w:hAnsi="Bookman Old Style"/>
        </w:rPr>
        <w:t xml:space="preserve">4 de </w:t>
      </w:r>
      <w:r>
        <w:rPr>
          <w:rFonts w:ascii="Bookman Old Style" w:hAnsi="Bookman Old Style"/>
        </w:rPr>
        <w:t>octubre de 2013</w:t>
      </w:r>
      <w:r w:rsidR="00FA5BBD">
        <w:rPr>
          <w:rFonts w:ascii="Bookman Old Style" w:hAnsi="Bookman Old Style"/>
        </w:rPr>
        <w:t xml:space="preserve"> la Comisión inició la actuación administrativa la cual identificó con el expediente 201</w:t>
      </w:r>
      <w:r w:rsidR="00076B43">
        <w:rPr>
          <w:rFonts w:ascii="Bookman Old Style" w:hAnsi="Bookman Old Style"/>
        </w:rPr>
        <w:t>3</w:t>
      </w:r>
      <w:r w:rsidR="00D7412F">
        <w:rPr>
          <w:rFonts w:ascii="Bookman Old Style" w:hAnsi="Bookman Old Style"/>
        </w:rPr>
        <w:t>-00</w:t>
      </w:r>
      <w:r w:rsidR="00076B43">
        <w:rPr>
          <w:rFonts w:ascii="Bookman Old Style" w:hAnsi="Bookman Old Style"/>
        </w:rPr>
        <w:t>83</w:t>
      </w:r>
      <w:r>
        <w:rPr>
          <w:rFonts w:ascii="Bookman Old Style" w:hAnsi="Bookman Old Style"/>
        </w:rPr>
        <w:t xml:space="preserve">. Así mismo la CREG publicó en el </w:t>
      </w:r>
      <w:r w:rsidR="009A3DA9" w:rsidRPr="009A3DA9">
        <w:rPr>
          <w:rFonts w:ascii="Bookman Old Style" w:hAnsi="Bookman Old Style"/>
          <w:i/>
        </w:rPr>
        <w:t>D</w:t>
      </w:r>
      <w:r w:rsidRPr="009A3DA9">
        <w:rPr>
          <w:rFonts w:ascii="Bookman Old Style" w:hAnsi="Bookman Old Style"/>
          <w:i/>
        </w:rPr>
        <w:t xml:space="preserve">iario </w:t>
      </w:r>
      <w:r w:rsidR="009A3DA9" w:rsidRPr="009A3DA9">
        <w:rPr>
          <w:rFonts w:ascii="Bookman Old Style" w:hAnsi="Bookman Old Style"/>
          <w:i/>
        </w:rPr>
        <w:t>O</w:t>
      </w:r>
      <w:r w:rsidRPr="009A3DA9">
        <w:rPr>
          <w:rFonts w:ascii="Bookman Old Style" w:hAnsi="Bookman Old Style"/>
          <w:i/>
        </w:rPr>
        <w:t>ficial</w:t>
      </w:r>
      <w:r>
        <w:rPr>
          <w:rFonts w:ascii="Bookman Old Style" w:hAnsi="Bookman Old Style"/>
        </w:rPr>
        <w:t xml:space="preserve"> 48937 del día ocho</w:t>
      </w:r>
      <w:r w:rsidR="004007F3">
        <w:rPr>
          <w:rFonts w:ascii="Bookman Old Style" w:hAnsi="Bookman Old Style"/>
        </w:rPr>
        <w:t xml:space="preserve"> (8) </w:t>
      </w:r>
      <w:r>
        <w:rPr>
          <w:rFonts w:ascii="Bookman Old Style" w:hAnsi="Bookman Old Style"/>
        </w:rPr>
        <w:t xml:space="preserve">de octubre de 2013 un extracto de la solicitud, conforme </w:t>
      </w:r>
      <w:r w:rsidR="001340DB">
        <w:rPr>
          <w:rFonts w:ascii="Bookman Old Style" w:hAnsi="Bookman Old Style"/>
        </w:rPr>
        <w:t>con</w:t>
      </w:r>
      <w:r>
        <w:rPr>
          <w:rFonts w:ascii="Bookman Old Style" w:hAnsi="Bookman Old Style"/>
        </w:rPr>
        <w:t xml:space="preserve"> lo previsto en el artículo 37 del Código de Procedimiento Administrativo y de lo Contencioso Administrativo.</w:t>
      </w:r>
    </w:p>
    <w:p w:rsidR="00D7412F" w:rsidRPr="00644A3C" w:rsidRDefault="00D7412F" w:rsidP="00FA5BBD">
      <w:pPr>
        <w:ind w:left="0"/>
        <w:jc w:val="both"/>
        <w:rPr>
          <w:rFonts w:ascii="Bookman Old Style" w:hAnsi="Bookman Old Style"/>
        </w:rPr>
      </w:pPr>
    </w:p>
    <w:p w:rsidR="000004F1" w:rsidRPr="00042FEE" w:rsidRDefault="000004F1" w:rsidP="00E433F6">
      <w:pPr>
        <w:ind w:left="0"/>
        <w:jc w:val="both"/>
        <w:rPr>
          <w:rFonts w:ascii="Bookman Old Style" w:hAnsi="Bookman Old Style"/>
          <w:i/>
          <w:sz w:val="22"/>
        </w:rPr>
      </w:pPr>
      <w:r>
        <w:rPr>
          <w:rFonts w:ascii="Bookman Old Style" w:hAnsi="Bookman Old Style"/>
        </w:rPr>
        <w:t xml:space="preserve">El artículo 6 de la Resolución CREG 043 de 2010 dispone que: </w:t>
      </w:r>
      <w:r w:rsidRPr="00042FEE">
        <w:rPr>
          <w:rFonts w:ascii="Bookman Old Style" w:hAnsi="Bookman Old Style"/>
          <w:i/>
          <w:sz w:val="22"/>
        </w:rPr>
        <w:t xml:space="preserve">Dos años después de que el OR haya iniciado la aplicación del Esquema de Incentivos y Compensaciones, deberá tener instalados, en cada circuito de su red, mínimo dos elementos </w:t>
      </w:r>
      <w:proofErr w:type="spellStart"/>
      <w:r w:rsidRPr="00042FEE">
        <w:rPr>
          <w:rFonts w:ascii="Bookman Old Style" w:hAnsi="Bookman Old Style"/>
          <w:i/>
          <w:sz w:val="22"/>
        </w:rPr>
        <w:t>telemedidos</w:t>
      </w:r>
      <w:proofErr w:type="spellEnd"/>
      <w:r w:rsidRPr="00042FEE">
        <w:rPr>
          <w:rFonts w:ascii="Bookman Old Style" w:hAnsi="Bookman Old Style"/>
          <w:i/>
          <w:sz w:val="22"/>
        </w:rPr>
        <w:t xml:space="preserve"> de detección de ausencia/presencia de tensión. Estos equipos deberán ser ubicados en cada circuito a partir de la aplicación de criterios de carga y/o longitud que determine el OR</w:t>
      </w:r>
    </w:p>
    <w:p w:rsidR="000004F1" w:rsidRDefault="000004F1" w:rsidP="00E433F6">
      <w:pPr>
        <w:ind w:left="0"/>
        <w:jc w:val="both"/>
        <w:rPr>
          <w:rFonts w:ascii="Bookman Old Style" w:hAnsi="Bookman Old Style"/>
        </w:rPr>
      </w:pPr>
    </w:p>
    <w:p w:rsidR="004C6425" w:rsidRDefault="000004F1" w:rsidP="00E433F6">
      <w:pPr>
        <w:ind w:left="0"/>
        <w:jc w:val="both"/>
        <w:rPr>
          <w:rFonts w:ascii="Bookman Old Style" w:hAnsi="Bookman Old Style"/>
        </w:rPr>
      </w:pPr>
      <w:r>
        <w:rPr>
          <w:rFonts w:ascii="Bookman Old Style" w:hAnsi="Bookman Old Style"/>
        </w:rPr>
        <w:t xml:space="preserve">Con la comunicación </w:t>
      </w:r>
      <w:r w:rsidR="001E41E9">
        <w:rPr>
          <w:rFonts w:ascii="Bookman Old Style" w:hAnsi="Bookman Old Style"/>
        </w:rPr>
        <w:t>radicad</w:t>
      </w:r>
      <w:r>
        <w:rPr>
          <w:rFonts w:ascii="Bookman Old Style" w:hAnsi="Bookman Old Style"/>
        </w:rPr>
        <w:t>a</w:t>
      </w:r>
      <w:r w:rsidR="001E41E9">
        <w:rPr>
          <w:rFonts w:ascii="Bookman Old Style" w:hAnsi="Bookman Old Style"/>
        </w:rPr>
        <w:t xml:space="preserve"> </w:t>
      </w:r>
      <w:r>
        <w:rPr>
          <w:rFonts w:ascii="Bookman Old Style" w:hAnsi="Bookman Old Style"/>
        </w:rPr>
        <w:t xml:space="preserve">en la </w:t>
      </w:r>
      <w:r w:rsidR="001340DB">
        <w:rPr>
          <w:rFonts w:ascii="Bookman Old Style" w:hAnsi="Bookman Old Style"/>
        </w:rPr>
        <w:t xml:space="preserve">Comisión </w:t>
      </w:r>
      <w:r>
        <w:rPr>
          <w:rFonts w:ascii="Bookman Old Style" w:hAnsi="Bookman Old Style"/>
        </w:rPr>
        <w:t xml:space="preserve">bajo el número </w:t>
      </w:r>
      <w:r w:rsidR="001E41E9">
        <w:rPr>
          <w:rFonts w:ascii="Bookman Old Style" w:hAnsi="Bookman Old Style"/>
        </w:rPr>
        <w:t>CREG E</w:t>
      </w:r>
      <w:r w:rsidR="001340DB">
        <w:rPr>
          <w:rFonts w:ascii="Bookman Old Style" w:hAnsi="Bookman Old Style"/>
        </w:rPr>
        <w:noBreakHyphen/>
      </w:r>
      <w:r w:rsidR="001E41E9">
        <w:rPr>
          <w:rFonts w:ascii="Bookman Old Style" w:hAnsi="Bookman Old Style"/>
        </w:rPr>
        <w:t>2013</w:t>
      </w:r>
      <w:r w:rsidR="001340DB">
        <w:rPr>
          <w:rFonts w:ascii="Bookman Old Style" w:hAnsi="Bookman Old Style"/>
        </w:rPr>
        <w:noBreakHyphen/>
      </w:r>
      <w:r w:rsidR="001E41E9">
        <w:rPr>
          <w:rFonts w:ascii="Bookman Old Style" w:hAnsi="Bookman Old Style"/>
        </w:rPr>
        <w:t xml:space="preserve">009938 del 30 de octubre de 2013 </w:t>
      </w:r>
      <w:r w:rsidR="004C6425">
        <w:rPr>
          <w:rFonts w:ascii="Bookman Old Style" w:hAnsi="Bookman Old Style"/>
        </w:rPr>
        <w:t>la Compañía Energética de Occidente</w:t>
      </w:r>
      <w:r w:rsidR="001E41E9" w:rsidRPr="001E41E9">
        <w:rPr>
          <w:rFonts w:ascii="Bookman Old Style" w:hAnsi="Bookman Old Style"/>
        </w:rPr>
        <w:t xml:space="preserve"> </w:t>
      </w:r>
      <w:r w:rsidR="00E569CC">
        <w:rPr>
          <w:rFonts w:ascii="Bookman Old Style" w:hAnsi="Bookman Old Style"/>
        </w:rPr>
        <w:t>S.A.S. E.S.P., CEO,</w:t>
      </w:r>
      <w:r w:rsidR="001E41E9">
        <w:rPr>
          <w:rFonts w:ascii="Bookman Old Style" w:hAnsi="Bookman Old Style"/>
        </w:rPr>
        <w:t xml:space="preserve"> presentó solicitud de actualización</w:t>
      </w:r>
      <w:r>
        <w:rPr>
          <w:rFonts w:ascii="Bookman Old Style" w:hAnsi="Bookman Old Style"/>
        </w:rPr>
        <w:t xml:space="preserve"> de sus cargos </w:t>
      </w:r>
      <w:r w:rsidR="00AF3198">
        <w:rPr>
          <w:rFonts w:ascii="Bookman Old Style" w:hAnsi="Bookman Old Style"/>
        </w:rPr>
        <w:t xml:space="preserve">por uso </w:t>
      </w:r>
      <w:r>
        <w:rPr>
          <w:rFonts w:ascii="Bookman Old Style" w:hAnsi="Bookman Old Style"/>
        </w:rPr>
        <w:t xml:space="preserve">por la entrada en operación de activos de distribución pertenecientes al </w:t>
      </w:r>
      <w:r w:rsidRPr="00DD2FA6">
        <w:rPr>
          <w:rFonts w:ascii="Bookman Old Style" w:hAnsi="Bookman Old Style"/>
        </w:rPr>
        <w:t xml:space="preserve">Sistema de </w:t>
      </w:r>
      <w:r w:rsidR="000851CA" w:rsidRPr="00DD2FA6">
        <w:rPr>
          <w:rFonts w:ascii="Bookman Old Style" w:hAnsi="Bookman Old Style"/>
        </w:rPr>
        <w:t>Gestión de Distribución</w:t>
      </w:r>
      <w:r w:rsidR="00AF3198" w:rsidRPr="00DD2FA6">
        <w:rPr>
          <w:rFonts w:ascii="Bookman Old Style" w:hAnsi="Bookman Old Style"/>
        </w:rPr>
        <w:t>.</w:t>
      </w:r>
    </w:p>
    <w:p w:rsidR="00D9787D" w:rsidRDefault="00D9787D" w:rsidP="00E433F6">
      <w:pPr>
        <w:ind w:left="0"/>
        <w:jc w:val="both"/>
        <w:rPr>
          <w:rFonts w:ascii="Bookman Old Style" w:hAnsi="Bookman Old Style"/>
        </w:rPr>
      </w:pPr>
    </w:p>
    <w:p w:rsidR="00AF3198" w:rsidRDefault="00AF3198" w:rsidP="00E433F6">
      <w:pPr>
        <w:ind w:left="0"/>
        <w:jc w:val="both"/>
        <w:rPr>
          <w:rFonts w:ascii="Bookman Old Style" w:hAnsi="Bookman Old Style"/>
        </w:rPr>
      </w:pPr>
      <w:r>
        <w:rPr>
          <w:rFonts w:ascii="Bookman Old Style" w:hAnsi="Bookman Old Style"/>
        </w:rPr>
        <w:t xml:space="preserve">Dado que </w:t>
      </w:r>
      <w:r w:rsidR="00C021C8" w:rsidRPr="00C021C8">
        <w:rPr>
          <w:rFonts w:ascii="Bookman Old Style" w:hAnsi="Bookman Old Style"/>
        </w:rPr>
        <w:t xml:space="preserve">las dos solicitudes </w:t>
      </w:r>
      <w:r w:rsidR="00843B70">
        <w:rPr>
          <w:rFonts w:ascii="Bookman Old Style" w:hAnsi="Bookman Old Style"/>
        </w:rPr>
        <w:t xml:space="preserve">de la empresa </w:t>
      </w:r>
      <w:r w:rsidR="00C021C8" w:rsidRPr="00C021C8">
        <w:rPr>
          <w:rFonts w:ascii="Bookman Old Style" w:hAnsi="Bookman Old Style"/>
        </w:rPr>
        <w:t>t</w:t>
      </w:r>
      <w:r w:rsidR="00843B70">
        <w:rPr>
          <w:rFonts w:ascii="Bookman Old Style" w:hAnsi="Bookman Old Style"/>
        </w:rPr>
        <w:t xml:space="preserve">enían propósitos </w:t>
      </w:r>
      <w:r w:rsidR="00843B70" w:rsidRPr="00C021C8">
        <w:rPr>
          <w:rFonts w:ascii="Bookman Old Style" w:hAnsi="Bookman Old Style"/>
        </w:rPr>
        <w:t>similares por cuanto ambas tienden a modificar el reconocimiento de cargos de distribución para la Compañía Energé</w:t>
      </w:r>
      <w:r w:rsidR="00843B70">
        <w:rPr>
          <w:rFonts w:ascii="Bookman Old Style" w:hAnsi="Bookman Old Style"/>
        </w:rPr>
        <w:t xml:space="preserve">tica de Occidente S.A.S. E.S.P., esta Comisión procedió </w:t>
      </w:r>
      <w:r w:rsidR="00D07405">
        <w:rPr>
          <w:rFonts w:ascii="Bookman Old Style" w:hAnsi="Bookman Old Style"/>
        </w:rPr>
        <w:t>a acumular</w:t>
      </w:r>
      <w:r w:rsidR="00C021C8">
        <w:rPr>
          <w:rFonts w:ascii="Bookman Old Style" w:hAnsi="Bookman Old Style"/>
        </w:rPr>
        <w:t xml:space="preserve"> </w:t>
      </w:r>
      <w:r w:rsidR="00843B70" w:rsidRPr="00C021C8">
        <w:rPr>
          <w:rFonts w:ascii="Bookman Old Style" w:hAnsi="Bookman Old Style"/>
        </w:rPr>
        <w:t xml:space="preserve">la nueva solicitud a la actuación ya iniciada, </w:t>
      </w:r>
      <w:r w:rsidR="004007F3">
        <w:rPr>
          <w:rFonts w:ascii="Bookman Old Style" w:hAnsi="Bookman Old Style"/>
        </w:rPr>
        <w:t xml:space="preserve">en virtud del principio de </w:t>
      </w:r>
      <w:r w:rsidR="00843B70" w:rsidRPr="00C021C8">
        <w:rPr>
          <w:rFonts w:ascii="Bookman Old Style" w:hAnsi="Bookman Old Style"/>
        </w:rPr>
        <w:t>economía procesal</w:t>
      </w:r>
      <w:r w:rsidR="004007F3">
        <w:rPr>
          <w:rFonts w:ascii="Bookman Old Style" w:hAnsi="Bookman Old Style"/>
        </w:rPr>
        <w:t>.</w:t>
      </w:r>
    </w:p>
    <w:p w:rsidR="00AE7469" w:rsidRDefault="00AE7469" w:rsidP="00E433F6">
      <w:pPr>
        <w:ind w:left="0"/>
        <w:jc w:val="both"/>
        <w:rPr>
          <w:rFonts w:ascii="Bookman Old Style" w:hAnsi="Bookman Old Style"/>
        </w:rPr>
      </w:pPr>
    </w:p>
    <w:p w:rsidR="00AE7469" w:rsidRDefault="00AE7469" w:rsidP="00E433F6">
      <w:pPr>
        <w:ind w:left="0"/>
        <w:jc w:val="both"/>
        <w:rPr>
          <w:rFonts w:ascii="Bookman Old Style" w:hAnsi="Bookman Old Style"/>
        </w:rPr>
      </w:pPr>
      <w:r>
        <w:rPr>
          <w:rFonts w:ascii="Bookman Old Style" w:hAnsi="Bookman Old Style"/>
        </w:rPr>
        <w:t xml:space="preserve">La publicación del auto de acumulación fue </w:t>
      </w:r>
      <w:r w:rsidR="00D07405">
        <w:rPr>
          <w:rFonts w:ascii="Bookman Old Style" w:hAnsi="Bookman Old Style"/>
        </w:rPr>
        <w:t>realizada en el diario oficial No.</w:t>
      </w:r>
      <w:r w:rsidR="00384D65">
        <w:rPr>
          <w:rFonts w:ascii="Bookman Old Style" w:hAnsi="Bookman Old Style"/>
        </w:rPr>
        <w:t> </w:t>
      </w:r>
      <w:r w:rsidR="00D07405">
        <w:rPr>
          <w:rFonts w:ascii="Bookman Old Style" w:hAnsi="Bookman Old Style"/>
        </w:rPr>
        <w:t>48993 del tres de diciembre de 2013</w:t>
      </w:r>
      <w:r w:rsidR="004C2BB6">
        <w:rPr>
          <w:rFonts w:ascii="Bookman Old Style" w:hAnsi="Bookman Old Style"/>
        </w:rPr>
        <w:t xml:space="preserve"> y esta decisión fue comunicada a CEO</w:t>
      </w:r>
      <w:r w:rsidR="00BB27B2">
        <w:rPr>
          <w:rFonts w:ascii="Bookman Old Style" w:hAnsi="Bookman Old Style"/>
        </w:rPr>
        <w:t xml:space="preserve"> con S-2013-005159</w:t>
      </w:r>
    </w:p>
    <w:p w:rsidR="004C6425" w:rsidRDefault="004C6425" w:rsidP="00E433F6">
      <w:pPr>
        <w:ind w:left="0"/>
        <w:jc w:val="both"/>
        <w:rPr>
          <w:rFonts w:ascii="Bookman Old Style" w:hAnsi="Bookman Old Style"/>
        </w:rPr>
      </w:pPr>
    </w:p>
    <w:p w:rsidR="00300E63" w:rsidRDefault="00843B70" w:rsidP="00E433F6">
      <w:pPr>
        <w:ind w:left="0"/>
        <w:jc w:val="both"/>
        <w:rPr>
          <w:rFonts w:ascii="Bookman Old Style" w:hAnsi="Bookman Old Style"/>
        </w:rPr>
      </w:pPr>
      <w:r>
        <w:rPr>
          <w:rFonts w:ascii="Bookman Old Style" w:hAnsi="Bookman Old Style"/>
        </w:rPr>
        <w:t>El artículo 17 de la Resolución CREG 097 de 2008 establece:</w:t>
      </w:r>
      <w:r w:rsidR="00300E63">
        <w:rPr>
          <w:rFonts w:ascii="Bookman Old Style" w:hAnsi="Bookman Old Style"/>
        </w:rPr>
        <w:t xml:space="preserve"> </w:t>
      </w:r>
    </w:p>
    <w:p w:rsidR="00843B70" w:rsidRDefault="00843B70" w:rsidP="00E433F6">
      <w:pPr>
        <w:ind w:left="0"/>
        <w:jc w:val="both"/>
        <w:rPr>
          <w:rFonts w:ascii="Bookman Old Style" w:hAnsi="Bookman Old Style"/>
        </w:rPr>
      </w:pPr>
    </w:p>
    <w:p w:rsidR="00843B70" w:rsidRPr="00D24C9A" w:rsidRDefault="00843B70" w:rsidP="00843B70">
      <w:pPr>
        <w:pStyle w:val="Cita"/>
        <w:ind w:right="567"/>
        <w:jc w:val="both"/>
        <w:rPr>
          <w:rFonts w:ascii="Bookman Old Style" w:hAnsi="Bookman Old Style"/>
          <w:sz w:val="22"/>
        </w:rPr>
      </w:pPr>
      <w:r w:rsidRPr="00D24C9A">
        <w:rPr>
          <w:rFonts w:ascii="Bookman Old Style" w:hAnsi="Bookman Old Style"/>
          <w:b/>
          <w:sz w:val="22"/>
        </w:rPr>
        <w:t>Artículo 17. Criterio de seguridad y confiabilidad en los STR.</w:t>
      </w:r>
      <w:r w:rsidRPr="00D24C9A">
        <w:rPr>
          <w:rFonts w:ascii="Bookman Old Style" w:hAnsi="Bookman Old Style"/>
          <w:sz w:val="22"/>
        </w:rPr>
        <w:t xml:space="preserve"> Las conexiones de los OR al STN, que cumplan con los supuestos del artículo 1 de la Resolución MME 18 2148 de diciembre de 2007 o de la norma que la modifique, sustituya o complemente, deberán contar con una unidad de reserva en los términos de esta misma disposición.</w:t>
      </w:r>
    </w:p>
    <w:p w:rsidR="00843B70" w:rsidRPr="00D24C9A" w:rsidRDefault="00843B70" w:rsidP="00843B70">
      <w:pPr>
        <w:pStyle w:val="Cita"/>
        <w:ind w:right="567"/>
        <w:jc w:val="both"/>
        <w:rPr>
          <w:rFonts w:ascii="Bookman Old Style" w:hAnsi="Bookman Old Style"/>
          <w:sz w:val="22"/>
        </w:rPr>
      </w:pPr>
    </w:p>
    <w:p w:rsidR="00300E63" w:rsidRPr="00D24C9A" w:rsidRDefault="00843B70" w:rsidP="00843B70">
      <w:pPr>
        <w:pStyle w:val="Cita"/>
        <w:ind w:right="567"/>
        <w:jc w:val="both"/>
        <w:rPr>
          <w:rFonts w:ascii="Bookman Old Style" w:hAnsi="Bookman Old Style"/>
          <w:sz w:val="22"/>
        </w:rPr>
      </w:pPr>
      <w:r w:rsidRPr="00D24C9A">
        <w:rPr>
          <w:rFonts w:ascii="Bookman Old Style" w:hAnsi="Bookman Old Style"/>
          <w:sz w:val="22"/>
        </w:rPr>
        <w:t>Por unidad de reserva se entiende un (1) transformador trifásico o un (1) transformador monofásico para el caso de los bancos de transformadores. (…)</w:t>
      </w:r>
    </w:p>
    <w:p w:rsidR="00843B70" w:rsidRDefault="00843B70" w:rsidP="00E433F6">
      <w:pPr>
        <w:ind w:left="0"/>
        <w:jc w:val="both"/>
        <w:rPr>
          <w:rFonts w:ascii="Bookman Old Style" w:hAnsi="Bookman Old Style"/>
        </w:rPr>
      </w:pPr>
    </w:p>
    <w:p w:rsidR="00300E63" w:rsidRDefault="00843B70" w:rsidP="00E433F6">
      <w:pPr>
        <w:ind w:left="0"/>
        <w:jc w:val="both"/>
        <w:rPr>
          <w:rFonts w:ascii="Bookman Old Style" w:hAnsi="Bookman Old Style"/>
        </w:rPr>
      </w:pPr>
      <w:r>
        <w:rPr>
          <w:rFonts w:ascii="Bookman Old Style" w:hAnsi="Bookman Old Style"/>
        </w:rPr>
        <w:t xml:space="preserve">Con la comunicación CREG E-2013-011768 del 12 de diciembre de 2013, la empresa solicitó </w:t>
      </w:r>
      <w:r w:rsidR="00AE7469">
        <w:rPr>
          <w:rFonts w:ascii="Bookman Old Style" w:hAnsi="Bookman Old Style"/>
        </w:rPr>
        <w:t xml:space="preserve">la actualización del costo anual de los activos de nivel de tensión 4 por la entrada del transformador de reserva de la subestación Cabaña, en cumplimiento de lo establecido en el citado artículo de la Resolución CREG 097 de 2008. </w:t>
      </w:r>
    </w:p>
    <w:p w:rsidR="00AE7469" w:rsidRDefault="00AE7469" w:rsidP="00E433F6">
      <w:pPr>
        <w:ind w:left="0"/>
        <w:jc w:val="both"/>
        <w:rPr>
          <w:rFonts w:ascii="Bookman Old Style" w:hAnsi="Bookman Old Style"/>
        </w:rPr>
      </w:pPr>
    </w:p>
    <w:p w:rsidR="00AE7469" w:rsidRDefault="00AE7469" w:rsidP="00E433F6">
      <w:pPr>
        <w:ind w:left="0"/>
        <w:jc w:val="both"/>
        <w:rPr>
          <w:rFonts w:ascii="Bookman Old Style" w:hAnsi="Bookman Old Style"/>
        </w:rPr>
      </w:pPr>
      <w:r>
        <w:rPr>
          <w:rFonts w:ascii="Bookman Old Style" w:hAnsi="Bookman Old Style"/>
        </w:rPr>
        <w:t xml:space="preserve">Por </w:t>
      </w:r>
      <w:r w:rsidR="00D07405">
        <w:rPr>
          <w:rFonts w:ascii="Bookman Old Style" w:hAnsi="Bookman Old Style"/>
        </w:rPr>
        <w:t>tratarse de la actualización de costos de nivel de tensión 4 y que este nuevo reconocimiento conduce a la modificación de los costos anuales de los activos de nivel de tensión 4 de la Compañía Energética de Occidente S.A.S. E.S.P., CEO, nuevamente se procedió a la acumulación de este proceso con el ya iniciado.</w:t>
      </w:r>
    </w:p>
    <w:p w:rsidR="00D07405" w:rsidRDefault="00D07405" w:rsidP="00E433F6">
      <w:pPr>
        <w:ind w:left="0"/>
        <w:jc w:val="both"/>
        <w:rPr>
          <w:rFonts w:ascii="Bookman Old Style" w:hAnsi="Bookman Old Style"/>
        </w:rPr>
      </w:pPr>
    </w:p>
    <w:p w:rsidR="00D07405" w:rsidRDefault="00D07405" w:rsidP="00E433F6">
      <w:pPr>
        <w:ind w:left="0"/>
        <w:jc w:val="both"/>
        <w:rPr>
          <w:rFonts w:ascii="Bookman Old Style" w:hAnsi="Bookman Old Style"/>
        </w:rPr>
      </w:pPr>
      <w:r>
        <w:rPr>
          <w:rFonts w:ascii="Bookman Old Style" w:hAnsi="Bookman Old Style"/>
        </w:rPr>
        <w:t xml:space="preserve">La publicación </w:t>
      </w:r>
      <w:r w:rsidR="002B5444">
        <w:rPr>
          <w:rFonts w:ascii="Bookman Old Style" w:hAnsi="Bookman Old Style"/>
        </w:rPr>
        <w:t>del auto de acumulación se realizó en el Diario Oficial No.</w:t>
      </w:r>
      <w:r w:rsidR="00384D65">
        <w:rPr>
          <w:rFonts w:ascii="Bookman Old Style" w:hAnsi="Bookman Old Style"/>
        </w:rPr>
        <w:t> </w:t>
      </w:r>
      <w:r w:rsidR="001340DB">
        <w:rPr>
          <w:rFonts w:ascii="Bookman Old Style" w:hAnsi="Bookman Old Style"/>
        </w:rPr>
        <w:t>49</w:t>
      </w:r>
      <w:r w:rsidR="002B5444">
        <w:rPr>
          <w:rFonts w:ascii="Bookman Old Style" w:hAnsi="Bookman Old Style"/>
        </w:rPr>
        <w:t>013</w:t>
      </w:r>
      <w:r w:rsidR="00534783">
        <w:rPr>
          <w:rFonts w:ascii="Bookman Old Style" w:hAnsi="Bookman Old Style"/>
        </w:rPr>
        <w:t xml:space="preserve"> del </w:t>
      </w:r>
      <w:r w:rsidR="002B5444">
        <w:rPr>
          <w:rFonts w:ascii="Bookman Old Style" w:hAnsi="Bookman Old Style"/>
        </w:rPr>
        <w:t>23</w:t>
      </w:r>
      <w:r w:rsidR="00534783">
        <w:rPr>
          <w:rFonts w:ascii="Bookman Old Style" w:hAnsi="Bookman Old Style"/>
        </w:rPr>
        <w:t xml:space="preserve"> de diciembre de 2013</w:t>
      </w:r>
      <w:r w:rsidR="002B5444">
        <w:rPr>
          <w:rFonts w:ascii="Bookman Old Style" w:hAnsi="Bookman Old Style"/>
        </w:rPr>
        <w:t xml:space="preserve"> y la decisión fue comunicada a CEO con </w:t>
      </w:r>
      <w:r w:rsidR="00E569CC">
        <w:rPr>
          <w:rFonts w:ascii="Bookman Old Style" w:hAnsi="Bookman Old Style"/>
        </w:rPr>
        <w:t xml:space="preserve">el </w:t>
      </w:r>
      <w:r w:rsidR="002B5444">
        <w:rPr>
          <w:rFonts w:ascii="Bookman Old Style" w:hAnsi="Bookman Old Style"/>
        </w:rPr>
        <w:t>radicado CREG S-2013-00</w:t>
      </w:r>
      <w:r w:rsidR="00BB27B2">
        <w:rPr>
          <w:rFonts w:ascii="Bookman Old Style" w:hAnsi="Bookman Old Style"/>
        </w:rPr>
        <w:t>5834</w:t>
      </w:r>
      <w:r w:rsidR="00602242">
        <w:rPr>
          <w:rFonts w:ascii="Bookman Old Style" w:hAnsi="Bookman Old Style"/>
        </w:rPr>
        <w:t>.</w:t>
      </w:r>
    </w:p>
    <w:p w:rsidR="00D07405" w:rsidRDefault="00D07405" w:rsidP="00E433F6">
      <w:pPr>
        <w:ind w:left="0"/>
        <w:jc w:val="both"/>
        <w:rPr>
          <w:rFonts w:ascii="Bookman Old Style" w:hAnsi="Bookman Old Style"/>
        </w:rPr>
      </w:pPr>
    </w:p>
    <w:p w:rsidR="00B53E70" w:rsidRDefault="00B53E70" w:rsidP="00BB27B2">
      <w:pPr>
        <w:ind w:left="0"/>
        <w:jc w:val="both"/>
        <w:rPr>
          <w:rFonts w:ascii="Bookman Old Style" w:hAnsi="Bookman Old Style"/>
        </w:rPr>
      </w:pPr>
      <w:r>
        <w:rPr>
          <w:rFonts w:ascii="Bookman Old Style" w:hAnsi="Bookman Old Style"/>
        </w:rPr>
        <w:t xml:space="preserve">Los días 18 y 19 de marzo </w:t>
      </w:r>
      <w:r w:rsidR="001340DB">
        <w:rPr>
          <w:rFonts w:ascii="Bookman Old Style" w:hAnsi="Bookman Old Style"/>
        </w:rPr>
        <w:t xml:space="preserve">de 2014 </w:t>
      </w:r>
      <w:r>
        <w:rPr>
          <w:rFonts w:ascii="Bookman Old Style" w:hAnsi="Bookman Old Style"/>
        </w:rPr>
        <w:t xml:space="preserve">funcionarios de la </w:t>
      </w:r>
      <w:r w:rsidRPr="00B53E70">
        <w:rPr>
          <w:rFonts w:ascii="Bookman Old Style" w:hAnsi="Bookman Old Style"/>
        </w:rPr>
        <w:t>Comisión realiz</w:t>
      </w:r>
      <w:r>
        <w:rPr>
          <w:rFonts w:ascii="Bookman Old Style" w:hAnsi="Bookman Old Style"/>
        </w:rPr>
        <w:t>aron</w:t>
      </w:r>
      <w:r w:rsidRPr="00B53E70">
        <w:rPr>
          <w:rFonts w:ascii="Bookman Old Style" w:hAnsi="Bookman Old Style"/>
        </w:rPr>
        <w:t xml:space="preserve"> una visita </w:t>
      </w:r>
      <w:r>
        <w:rPr>
          <w:rFonts w:ascii="Bookman Old Style" w:hAnsi="Bookman Old Style"/>
        </w:rPr>
        <w:t>a los activos solicitados, para constatar el grado de asimilación de los mismos con las unidades constructivas de la Resolución CREG 097 de 2008.</w:t>
      </w:r>
    </w:p>
    <w:p w:rsidR="00B53E70" w:rsidRDefault="00B53E70" w:rsidP="00BB27B2">
      <w:pPr>
        <w:ind w:left="0"/>
        <w:jc w:val="both"/>
        <w:rPr>
          <w:rFonts w:ascii="Bookman Old Style" w:hAnsi="Bookman Old Style"/>
        </w:rPr>
      </w:pPr>
    </w:p>
    <w:p w:rsidR="00B53E70" w:rsidRDefault="00B53E70" w:rsidP="00BB27B2">
      <w:pPr>
        <w:ind w:left="0"/>
        <w:jc w:val="both"/>
        <w:rPr>
          <w:rFonts w:ascii="Bookman Old Style" w:hAnsi="Bookman Old Style"/>
        </w:rPr>
      </w:pPr>
      <w:r>
        <w:rPr>
          <w:rFonts w:ascii="Bookman Old Style" w:hAnsi="Bookman Old Style"/>
        </w:rPr>
        <w:t xml:space="preserve">Con la comunicación radicada en la CREG bajo el número E-2014-003080 la empresa reformuló su solicitud de reconocimiento </w:t>
      </w:r>
      <w:r w:rsidR="004D1C5F" w:rsidRPr="004D1C5F">
        <w:rPr>
          <w:rFonts w:ascii="Bookman Old Style" w:hAnsi="Bookman Old Style"/>
        </w:rPr>
        <w:t xml:space="preserve">del centro de gestión de distribución y </w:t>
      </w:r>
      <w:r w:rsidR="004D1C5F">
        <w:rPr>
          <w:rFonts w:ascii="Bookman Old Style" w:hAnsi="Bookman Old Style"/>
        </w:rPr>
        <w:t xml:space="preserve">demás activos </w:t>
      </w:r>
      <w:r>
        <w:rPr>
          <w:rFonts w:ascii="Bookman Old Style" w:hAnsi="Bookman Old Style"/>
        </w:rPr>
        <w:t xml:space="preserve">correspondientes </w:t>
      </w:r>
      <w:r w:rsidR="004D1C5F">
        <w:rPr>
          <w:rFonts w:ascii="Bookman Old Style" w:hAnsi="Bookman Old Style"/>
        </w:rPr>
        <w:t>a</w:t>
      </w:r>
      <w:r>
        <w:rPr>
          <w:rFonts w:ascii="Bookman Old Style" w:hAnsi="Bookman Old Style"/>
        </w:rPr>
        <w:t xml:space="preserve">l sistema de gestión de la distribución. </w:t>
      </w:r>
    </w:p>
    <w:p w:rsidR="00B53E70" w:rsidRDefault="00B53E70" w:rsidP="00BB27B2">
      <w:pPr>
        <w:ind w:left="0"/>
        <w:jc w:val="both"/>
        <w:rPr>
          <w:rFonts w:ascii="Bookman Old Style" w:hAnsi="Bookman Old Style"/>
        </w:rPr>
      </w:pPr>
    </w:p>
    <w:p w:rsidR="00A90A01" w:rsidRPr="00602242" w:rsidRDefault="00602242" w:rsidP="00BB27B2">
      <w:pPr>
        <w:ind w:left="0"/>
        <w:jc w:val="both"/>
        <w:rPr>
          <w:rFonts w:ascii="Bookman Old Style" w:hAnsi="Bookman Old Style"/>
        </w:rPr>
      </w:pPr>
      <w:r w:rsidRPr="00602242">
        <w:rPr>
          <w:rFonts w:ascii="Bookman Old Style" w:hAnsi="Bookman Old Style"/>
        </w:rPr>
        <w:t>C</w:t>
      </w:r>
      <w:r w:rsidR="00A90A01" w:rsidRPr="00602242">
        <w:rPr>
          <w:rFonts w:ascii="Bookman Old Style" w:hAnsi="Bookman Old Style"/>
        </w:rPr>
        <w:t xml:space="preserve">omo resultado del análisis de la información entregada </w:t>
      </w:r>
      <w:r w:rsidR="00D41220" w:rsidRPr="00602242">
        <w:rPr>
          <w:rFonts w:ascii="Bookman Old Style" w:hAnsi="Bookman Old Style"/>
        </w:rPr>
        <w:t xml:space="preserve">durante la actuación administrativa </w:t>
      </w:r>
      <w:r w:rsidR="00C656C3" w:rsidRPr="00602242">
        <w:rPr>
          <w:rFonts w:ascii="Bookman Old Style" w:hAnsi="Bookman Old Style"/>
        </w:rPr>
        <w:t xml:space="preserve">por la </w:t>
      </w:r>
      <w:r w:rsidR="0039788C" w:rsidRPr="00602242">
        <w:rPr>
          <w:rFonts w:ascii="Bookman Old Style" w:hAnsi="Bookman Old Style"/>
        </w:rPr>
        <w:t>Compañía Energética de Occidente S.A.S. E.S.P., CEO,</w:t>
      </w:r>
      <w:r w:rsidR="00D41220" w:rsidRPr="00602242">
        <w:rPr>
          <w:rFonts w:ascii="Bookman Old Style" w:hAnsi="Bookman Old Style"/>
        </w:rPr>
        <w:t xml:space="preserve"> y a partir de la</w:t>
      </w:r>
      <w:r w:rsidR="00504863" w:rsidRPr="00602242">
        <w:rPr>
          <w:rFonts w:ascii="Bookman Old Style" w:hAnsi="Bookman Old Style"/>
        </w:rPr>
        <w:t>s</w:t>
      </w:r>
      <w:r w:rsidR="00D41220" w:rsidRPr="00602242">
        <w:rPr>
          <w:rFonts w:ascii="Bookman Old Style" w:hAnsi="Bookman Old Style"/>
        </w:rPr>
        <w:t xml:space="preserve"> co</w:t>
      </w:r>
      <w:r w:rsidR="00504863" w:rsidRPr="00602242">
        <w:rPr>
          <w:rFonts w:ascii="Bookman Old Style" w:hAnsi="Bookman Old Style"/>
        </w:rPr>
        <w:t>n</w:t>
      </w:r>
      <w:r w:rsidR="00D41220" w:rsidRPr="00602242">
        <w:rPr>
          <w:rFonts w:ascii="Bookman Old Style" w:hAnsi="Bookman Old Style"/>
        </w:rPr>
        <w:t>sideraciones que se detallan en el documento soporte de esta resolución</w:t>
      </w:r>
      <w:r w:rsidR="00504863" w:rsidRPr="00602242">
        <w:rPr>
          <w:rFonts w:ascii="Bookman Old Style" w:hAnsi="Bookman Old Style"/>
        </w:rPr>
        <w:t>,</w:t>
      </w:r>
      <w:r w:rsidR="00D41220" w:rsidRPr="00602242">
        <w:rPr>
          <w:rFonts w:ascii="Bookman Old Style" w:hAnsi="Bookman Old Style"/>
        </w:rPr>
        <w:t xml:space="preserve"> </w:t>
      </w:r>
      <w:r w:rsidR="00A90A01" w:rsidRPr="00602242">
        <w:rPr>
          <w:rFonts w:ascii="Bookman Old Style" w:hAnsi="Bookman Old Style"/>
        </w:rPr>
        <w:t>se ajustó el inve</w:t>
      </w:r>
      <w:r>
        <w:rPr>
          <w:rFonts w:ascii="Bookman Old Style" w:hAnsi="Bookman Old Style"/>
        </w:rPr>
        <w:t>ntario de activos de la empresa.</w:t>
      </w:r>
    </w:p>
    <w:p w:rsidR="0093506B" w:rsidRPr="00E569CC" w:rsidRDefault="0093506B" w:rsidP="00E433F6">
      <w:pPr>
        <w:ind w:left="0"/>
        <w:jc w:val="both"/>
        <w:rPr>
          <w:rFonts w:ascii="Bookman Old Style" w:hAnsi="Bookman Old Style"/>
          <w:highlight w:val="yellow"/>
        </w:rPr>
      </w:pPr>
    </w:p>
    <w:p w:rsidR="00E433F6" w:rsidRPr="00602242" w:rsidRDefault="001340DB" w:rsidP="00E433F6">
      <w:pPr>
        <w:ind w:left="0"/>
        <w:jc w:val="both"/>
        <w:rPr>
          <w:rFonts w:ascii="Bookman Old Style" w:hAnsi="Bookman Old Style"/>
        </w:rPr>
      </w:pPr>
      <w:r>
        <w:rPr>
          <w:rFonts w:ascii="Bookman Old Style" w:hAnsi="Bookman Old Style"/>
        </w:rPr>
        <w:t>L</w:t>
      </w:r>
      <w:r w:rsidR="00E433F6" w:rsidRPr="00602242">
        <w:rPr>
          <w:rFonts w:ascii="Bookman Old Style" w:hAnsi="Bookman Old Style"/>
        </w:rPr>
        <w:t xml:space="preserve">a Comisión, en sesión No. </w:t>
      </w:r>
      <w:r w:rsidR="009A3DA9" w:rsidRPr="009A3DA9">
        <w:rPr>
          <w:rFonts w:ascii="Bookman Old Style" w:hAnsi="Bookman Old Style"/>
        </w:rPr>
        <w:t>606</w:t>
      </w:r>
      <w:r w:rsidR="00FC4E3D" w:rsidRPr="009A3DA9">
        <w:rPr>
          <w:rFonts w:ascii="Bookman Old Style" w:hAnsi="Bookman Old Style"/>
        </w:rPr>
        <w:t xml:space="preserve"> </w:t>
      </w:r>
      <w:r w:rsidR="00E433F6" w:rsidRPr="009A3DA9">
        <w:rPr>
          <w:rFonts w:ascii="Bookman Old Style" w:hAnsi="Bookman Old Style"/>
        </w:rPr>
        <w:t xml:space="preserve">del </w:t>
      </w:r>
      <w:r w:rsidR="009A3DA9" w:rsidRPr="009A3DA9">
        <w:rPr>
          <w:rFonts w:ascii="Bookman Old Style" w:hAnsi="Bookman Old Style"/>
        </w:rPr>
        <w:t>20</w:t>
      </w:r>
      <w:r w:rsidR="00E433F6" w:rsidRPr="009A3DA9">
        <w:rPr>
          <w:rFonts w:ascii="Bookman Old Style" w:hAnsi="Bookman Old Style"/>
        </w:rPr>
        <w:t xml:space="preserve"> de </w:t>
      </w:r>
      <w:r w:rsidR="009A3DA9" w:rsidRPr="009A3DA9">
        <w:rPr>
          <w:rFonts w:ascii="Bookman Old Style" w:hAnsi="Bookman Old Style"/>
        </w:rPr>
        <w:t>mayo</w:t>
      </w:r>
      <w:r w:rsidR="00FC4E3D" w:rsidRPr="009A3DA9">
        <w:rPr>
          <w:rFonts w:ascii="Bookman Old Style" w:hAnsi="Bookman Old Style"/>
        </w:rPr>
        <w:t xml:space="preserve"> </w:t>
      </w:r>
      <w:r w:rsidR="00E433F6" w:rsidRPr="009A3DA9">
        <w:rPr>
          <w:rFonts w:ascii="Bookman Old Style" w:hAnsi="Bookman Old Style"/>
        </w:rPr>
        <w:t>de 201</w:t>
      </w:r>
      <w:r w:rsidR="00042FEE" w:rsidRPr="009A3DA9">
        <w:rPr>
          <w:rFonts w:ascii="Bookman Old Style" w:hAnsi="Bookman Old Style"/>
        </w:rPr>
        <w:t>4</w:t>
      </w:r>
      <w:r w:rsidR="00E433F6" w:rsidRPr="009A3DA9">
        <w:rPr>
          <w:rFonts w:ascii="Bookman Old Style" w:hAnsi="Bookman Old Style"/>
        </w:rPr>
        <w:t>,</w:t>
      </w:r>
      <w:r w:rsidR="00E433F6" w:rsidRPr="00602242">
        <w:rPr>
          <w:rFonts w:ascii="Bookman Old Style" w:hAnsi="Bookman Old Style"/>
        </w:rPr>
        <w:t xml:space="preserve"> aprobó </w:t>
      </w:r>
      <w:r w:rsidR="009C3BBD" w:rsidRPr="00602242">
        <w:rPr>
          <w:rFonts w:ascii="Bookman Old Style" w:hAnsi="Bookman Old Style"/>
        </w:rPr>
        <w:t>modificar el Costo Anual por el Uso de los Activos de Nivel de Tensión 4</w:t>
      </w:r>
      <w:r w:rsidR="009C3BBD" w:rsidRPr="00602242">
        <w:rPr>
          <w:rFonts w:ascii="Bookman Old Style" w:hAnsi="Bookman Old Style" w:cs="Arial"/>
        </w:rPr>
        <w:t xml:space="preserve"> </w:t>
      </w:r>
      <w:r w:rsidR="00602242" w:rsidRPr="00602242">
        <w:rPr>
          <w:rFonts w:ascii="Bookman Old Style" w:hAnsi="Bookman Old Style" w:cs="Arial"/>
        </w:rPr>
        <w:t xml:space="preserve">y los cargos por uso </w:t>
      </w:r>
      <w:r w:rsidR="009C3BBD" w:rsidRPr="00602242">
        <w:rPr>
          <w:rFonts w:ascii="Bookman Old Style" w:hAnsi="Bookman Old Style" w:cs="Arial"/>
        </w:rPr>
        <w:t xml:space="preserve">de la </w:t>
      </w:r>
      <w:r w:rsidR="0039788C" w:rsidRPr="00602242">
        <w:rPr>
          <w:rFonts w:ascii="Bookman Old Style" w:hAnsi="Bookman Old Style"/>
        </w:rPr>
        <w:t>Compañía Energética de Occidente S.A.S. E.S.P., CEO,</w:t>
      </w:r>
      <w:r w:rsidR="009C3BBD" w:rsidRPr="00602242">
        <w:rPr>
          <w:rFonts w:ascii="Bookman Old Style" w:hAnsi="Bookman Old Style" w:cs="Arial"/>
        </w:rPr>
        <w:t xml:space="preserve"> por la entrada en operación comercial de</w:t>
      </w:r>
      <w:r w:rsidR="00602242" w:rsidRPr="00602242">
        <w:rPr>
          <w:rFonts w:ascii="Bookman Old Style" w:hAnsi="Bookman Old Style" w:cs="Arial"/>
        </w:rPr>
        <w:t xml:space="preserve">l segundo circuito de la línea </w:t>
      </w:r>
      <w:proofErr w:type="spellStart"/>
      <w:r w:rsidR="00602242" w:rsidRPr="00602242">
        <w:rPr>
          <w:rFonts w:ascii="Bookman Old Style" w:hAnsi="Bookman Old Style" w:cs="Arial"/>
        </w:rPr>
        <w:t>Pance</w:t>
      </w:r>
      <w:proofErr w:type="spellEnd"/>
      <w:r w:rsidR="00602242" w:rsidRPr="00602242">
        <w:rPr>
          <w:rFonts w:ascii="Bookman Old Style" w:hAnsi="Bookman Old Style" w:cs="Arial"/>
        </w:rPr>
        <w:t>-Santander, los activos correspondientes al sistema de gestión de distribución de la empresa</w:t>
      </w:r>
      <w:r w:rsidR="00483A52">
        <w:rPr>
          <w:rFonts w:ascii="Bookman Old Style" w:hAnsi="Bookman Old Style" w:cs="Arial"/>
        </w:rPr>
        <w:t xml:space="preserve">, los equipos de corte y maniobra </w:t>
      </w:r>
      <w:proofErr w:type="spellStart"/>
      <w:r w:rsidR="00483A52">
        <w:rPr>
          <w:rFonts w:ascii="Bookman Old Style" w:hAnsi="Bookman Old Style" w:cs="Arial"/>
        </w:rPr>
        <w:t>telemedidos</w:t>
      </w:r>
      <w:proofErr w:type="spellEnd"/>
      <w:r w:rsidR="00602242" w:rsidRPr="00602242">
        <w:rPr>
          <w:rFonts w:ascii="Bookman Old Style" w:hAnsi="Bookman Old Style" w:cs="Arial"/>
        </w:rPr>
        <w:t xml:space="preserve"> y el transformador de reserva en la subestación Cabaña de la misma empresa</w:t>
      </w:r>
      <w:r w:rsidR="0033002B" w:rsidRPr="00602242">
        <w:rPr>
          <w:rFonts w:ascii="Bookman Old Style" w:hAnsi="Bookman Old Style" w:cs="Arial"/>
        </w:rPr>
        <w:t>.</w:t>
      </w:r>
    </w:p>
    <w:p w:rsidR="00E433F6" w:rsidRPr="00602242" w:rsidRDefault="00E433F6" w:rsidP="00E433F6">
      <w:pPr>
        <w:ind w:left="0"/>
        <w:jc w:val="both"/>
        <w:rPr>
          <w:rFonts w:ascii="Bookman Old Style" w:hAnsi="Bookman Old Style"/>
        </w:rPr>
      </w:pPr>
    </w:p>
    <w:p w:rsidR="00FB4485" w:rsidRPr="00B53E70" w:rsidRDefault="00FB4485" w:rsidP="00E433F6">
      <w:pPr>
        <w:suppressAutoHyphens/>
        <w:jc w:val="center"/>
        <w:rPr>
          <w:rFonts w:ascii="Bookman Old Style" w:hAnsi="Bookman Old Style" w:cs="Arial"/>
          <w:spacing w:val="-3"/>
        </w:rPr>
      </w:pPr>
    </w:p>
    <w:p w:rsidR="00E433F6" w:rsidRPr="00602242" w:rsidRDefault="00E433F6" w:rsidP="00384D65">
      <w:pPr>
        <w:keepNext/>
        <w:suppressAutoHyphens/>
        <w:jc w:val="center"/>
        <w:rPr>
          <w:rFonts w:ascii="Bookman Old Style" w:hAnsi="Bookman Old Style" w:cs="Arial"/>
          <w:spacing w:val="-3"/>
          <w:sz w:val="26"/>
        </w:rPr>
      </w:pPr>
      <w:r w:rsidRPr="00602242">
        <w:rPr>
          <w:rFonts w:ascii="Bookman Old Style" w:hAnsi="Bookman Old Style" w:cs="Arial"/>
          <w:b/>
          <w:spacing w:val="-3"/>
          <w:sz w:val="26"/>
        </w:rPr>
        <w:t>R E S U E L V E:</w:t>
      </w:r>
    </w:p>
    <w:p w:rsidR="00E433F6" w:rsidRPr="00602242" w:rsidRDefault="00E433F6" w:rsidP="00E433F6">
      <w:pPr>
        <w:jc w:val="center"/>
        <w:rPr>
          <w:rFonts w:ascii="Bookman Old Style" w:hAnsi="Bookman Old Style"/>
        </w:rPr>
      </w:pPr>
    </w:p>
    <w:p w:rsidR="000E6937" w:rsidRPr="00602242" w:rsidRDefault="000E6937" w:rsidP="00E433F6">
      <w:pPr>
        <w:jc w:val="center"/>
        <w:rPr>
          <w:rFonts w:ascii="Bookman Old Style" w:hAnsi="Bookman Old Style"/>
        </w:rPr>
      </w:pPr>
    </w:p>
    <w:p w:rsidR="006B71CD" w:rsidRPr="00384D65" w:rsidRDefault="009C3BBD" w:rsidP="006B71CD">
      <w:pPr>
        <w:widowControl w:val="0"/>
        <w:numPr>
          <w:ilvl w:val="0"/>
          <w:numId w:val="16"/>
        </w:numPr>
        <w:adjustRightInd w:val="0"/>
        <w:jc w:val="both"/>
        <w:textAlignment w:val="baseline"/>
        <w:rPr>
          <w:rFonts w:ascii="Bookman Old Style" w:hAnsi="Bookman Old Style"/>
        </w:rPr>
      </w:pPr>
      <w:r w:rsidRPr="00384D65">
        <w:rPr>
          <w:rFonts w:ascii="Bookman Old Style" w:hAnsi="Bookman Old Style"/>
        </w:rPr>
        <w:t xml:space="preserve">El </w:t>
      </w:r>
      <w:r w:rsidR="006B71CD" w:rsidRPr="00384D65">
        <w:rPr>
          <w:rFonts w:ascii="Bookman Old Style" w:hAnsi="Bookman Old Style"/>
        </w:rPr>
        <w:t>A</w:t>
      </w:r>
      <w:r w:rsidRPr="00384D65">
        <w:rPr>
          <w:rFonts w:ascii="Bookman Old Style" w:hAnsi="Bookman Old Style"/>
        </w:rPr>
        <w:t>rtículo</w:t>
      </w:r>
      <w:r w:rsidR="006B71CD" w:rsidRPr="00384D65">
        <w:rPr>
          <w:rFonts w:ascii="Bookman Old Style" w:hAnsi="Bookman Old Style"/>
        </w:rPr>
        <w:t xml:space="preserve"> </w:t>
      </w:r>
      <w:r w:rsidRPr="00384D65">
        <w:rPr>
          <w:rFonts w:ascii="Bookman Old Style" w:hAnsi="Bookman Old Style"/>
        </w:rPr>
        <w:t xml:space="preserve">1 </w:t>
      </w:r>
      <w:r w:rsidR="002316E8" w:rsidRPr="00384D65">
        <w:rPr>
          <w:rFonts w:ascii="Bookman Old Style" w:hAnsi="Bookman Old Style"/>
        </w:rPr>
        <w:t>de la R</w:t>
      </w:r>
      <w:r w:rsidRPr="00384D65">
        <w:rPr>
          <w:rFonts w:ascii="Bookman Old Style" w:hAnsi="Bookman Old Style"/>
        </w:rPr>
        <w:t>esolución CREG 1</w:t>
      </w:r>
      <w:r w:rsidR="003B2100" w:rsidRPr="00384D65">
        <w:rPr>
          <w:rFonts w:ascii="Bookman Old Style" w:hAnsi="Bookman Old Style"/>
        </w:rPr>
        <w:t>1</w:t>
      </w:r>
      <w:r w:rsidR="007D3050" w:rsidRPr="00384D65">
        <w:rPr>
          <w:rFonts w:ascii="Bookman Old Style" w:hAnsi="Bookman Old Style"/>
        </w:rPr>
        <w:t>8</w:t>
      </w:r>
      <w:r w:rsidRPr="00384D65">
        <w:rPr>
          <w:rFonts w:ascii="Bookman Old Style" w:hAnsi="Bookman Old Style"/>
        </w:rPr>
        <w:t xml:space="preserve"> de 2009, modificado por la</w:t>
      </w:r>
      <w:r w:rsidR="00367249" w:rsidRPr="00384D65">
        <w:rPr>
          <w:rFonts w:ascii="Bookman Old Style" w:hAnsi="Bookman Old Style"/>
        </w:rPr>
        <w:t>s Resolucio</w:t>
      </w:r>
      <w:r w:rsidRPr="00384D65">
        <w:rPr>
          <w:rFonts w:ascii="Bookman Old Style" w:hAnsi="Bookman Old Style"/>
        </w:rPr>
        <w:t>n</w:t>
      </w:r>
      <w:r w:rsidR="00367249" w:rsidRPr="00384D65">
        <w:rPr>
          <w:rFonts w:ascii="Bookman Old Style" w:hAnsi="Bookman Old Style"/>
        </w:rPr>
        <w:t>es</w:t>
      </w:r>
      <w:r w:rsidRPr="00384D65">
        <w:rPr>
          <w:rFonts w:ascii="Bookman Old Style" w:hAnsi="Bookman Old Style"/>
        </w:rPr>
        <w:t xml:space="preserve"> CREG 0</w:t>
      </w:r>
      <w:r w:rsidR="003B2100" w:rsidRPr="00384D65">
        <w:rPr>
          <w:rFonts w:ascii="Bookman Old Style" w:hAnsi="Bookman Old Style"/>
        </w:rPr>
        <w:t>2</w:t>
      </w:r>
      <w:r w:rsidR="007D3050" w:rsidRPr="00384D65">
        <w:rPr>
          <w:rFonts w:ascii="Bookman Old Style" w:hAnsi="Bookman Old Style"/>
        </w:rPr>
        <w:t>3</w:t>
      </w:r>
      <w:r w:rsidRPr="00384D65">
        <w:rPr>
          <w:rFonts w:ascii="Bookman Old Style" w:hAnsi="Bookman Old Style"/>
        </w:rPr>
        <w:t xml:space="preserve"> de 2010</w:t>
      </w:r>
      <w:r w:rsidR="00367249" w:rsidRPr="00384D65">
        <w:rPr>
          <w:rFonts w:ascii="Bookman Old Style" w:hAnsi="Bookman Old Style"/>
        </w:rPr>
        <w:t xml:space="preserve"> y </w:t>
      </w:r>
      <w:r w:rsidR="00602242" w:rsidRPr="00384D65">
        <w:rPr>
          <w:rFonts w:ascii="Bookman Old Style" w:hAnsi="Bookman Old Style"/>
        </w:rPr>
        <w:t xml:space="preserve">CREG </w:t>
      </w:r>
      <w:r w:rsidR="007D3050" w:rsidRPr="00384D65">
        <w:rPr>
          <w:rFonts w:ascii="Bookman Old Style" w:hAnsi="Bookman Old Style"/>
        </w:rPr>
        <w:t>070</w:t>
      </w:r>
      <w:r w:rsidR="00367249" w:rsidRPr="00384D65">
        <w:rPr>
          <w:rFonts w:ascii="Bookman Old Style" w:hAnsi="Bookman Old Style"/>
        </w:rPr>
        <w:t xml:space="preserve"> </w:t>
      </w:r>
      <w:r w:rsidR="00602242" w:rsidRPr="00384D65">
        <w:rPr>
          <w:rFonts w:ascii="Bookman Old Style" w:hAnsi="Bookman Old Style"/>
        </w:rPr>
        <w:t xml:space="preserve">y 126 </w:t>
      </w:r>
      <w:r w:rsidR="00367249" w:rsidRPr="00384D65">
        <w:rPr>
          <w:rFonts w:ascii="Bookman Old Style" w:hAnsi="Bookman Old Style"/>
        </w:rPr>
        <w:t>de 201</w:t>
      </w:r>
      <w:r w:rsidR="007D3050" w:rsidRPr="00384D65">
        <w:rPr>
          <w:rFonts w:ascii="Bookman Old Style" w:hAnsi="Bookman Old Style"/>
        </w:rPr>
        <w:t>2</w:t>
      </w:r>
      <w:r w:rsidRPr="00384D65">
        <w:rPr>
          <w:rFonts w:ascii="Bookman Old Style" w:hAnsi="Bookman Old Style"/>
        </w:rPr>
        <w:t>, queda así:</w:t>
      </w:r>
    </w:p>
    <w:p w:rsidR="00A90A01" w:rsidRPr="00384D65" w:rsidRDefault="00A90A01" w:rsidP="00A90A01">
      <w:pPr>
        <w:widowControl w:val="0"/>
        <w:adjustRightInd w:val="0"/>
        <w:ind w:left="1361"/>
        <w:jc w:val="both"/>
        <w:textAlignment w:val="baseline"/>
        <w:rPr>
          <w:rFonts w:ascii="Bookman Old Style" w:hAnsi="Bookman Old Style"/>
        </w:rPr>
      </w:pPr>
    </w:p>
    <w:p w:rsidR="006B71CD" w:rsidRPr="00384D65" w:rsidRDefault="006B71CD" w:rsidP="00504863">
      <w:pPr>
        <w:jc w:val="both"/>
        <w:rPr>
          <w:rFonts w:ascii="Bookman Old Style" w:hAnsi="Bookman Old Style"/>
          <w:lang w:val="es-CO"/>
        </w:rPr>
      </w:pPr>
      <w:r w:rsidRPr="00384D65">
        <w:rPr>
          <w:rFonts w:ascii="Bookman Old Style" w:hAnsi="Bookman Old Style"/>
          <w:b/>
          <w:lang w:val="es-CO"/>
        </w:rPr>
        <w:t>Artículo 1. Costo Anual por el uso de los activos del Nivel de Tensión 4.</w:t>
      </w:r>
      <w:r w:rsidRPr="00384D65">
        <w:rPr>
          <w:rFonts w:ascii="Bookman Old Style" w:hAnsi="Bookman Old Style"/>
          <w:lang w:val="es-CO"/>
        </w:rPr>
        <w:t xml:space="preserve"> El Costo Anual por el Uso de los Activos del Nivel de Tensión 4 operados por la </w:t>
      </w:r>
      <w:r w:rsidR="007D3050" w:rsidRPr="00384D65">
        <w:rPr>
          <w:rFonts w:ascii="Bookman Old Style" w:hAnsi="Bookman Old Style"/>
        </w:rPr>
        <w:t>Compañía Energética de Occidente S.A.S. E.S.P., CEO,</w:t>
      </w:r>
      <w:r w:rsidRPr="00384D65">
        <w:rPr>
          <w:rFonts w:ascii="Bookman Old Style" w:hAnsi="Bookman Old Style"/>
          <w:lang w:val="es-CO"/>
        </w:rPr>
        <w:t xml:space="preserve"> calculado en la forma establecida en la Resolución CREG 097 de 2008, es el siguiente:</w:t>
      </w:r>
    </w:p>
    <w:p w:rsidR="006B71CD" w:rsidRPr="00384D65" w:rsidRDefault="006B71CD" w:rsidP="006B71CD">
      <w:pPr>
        <w:rPr>
          <w:rFonts w:ascii="Bookman Old Style" w:hAnsi="Bookman Old Style"/>
          <w:lang w:val="es-CO"/>
        </w:rPr>
      </w:pPr>
    </w:p>
    <w:p w:rsidR="00817F7A" w:rsidRPr="00384D65" w:rsidRDefault="00384D65" w:rsidP="00817F7A">
      <w:pPr>
        <w:jc w:val="center"/>
        <w:rPr>
          <w:rFonts w:ascii="Bookman Old Style" w:hAnsi="Bookman Old Style"/>
          <w:lang w:val="es-CO"/>
        </w:rPr>
      </w:pPr>
      <w:r w:rsidRPr="00384D65">
        <w:rPr>
          <w:noProof/>
          <w:lang w:val="es-CO" w:eastAsia="es-CO"/>
        </w:rPr>
        <w:drawing>
          <wp:inline distT="0" distB="0" distL="0" distR="0">
            <wp:extent cx="5219700" cy="847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847725"/>
                    </a:xfrm>
                    <a:prstGeom prst="rect">
                      <a:avLst/>
                    </a:prstGeom>
                    <a:noFill/>
                    <a:ln>
                      <a:noFill/>
                    </a:ln>
                  </pic:spPr>
                </pic:pic>
              </a:graphicData>
            </a:graphic>
          </wp:inline>
        </w:drawing>
      </w:r>
    </w:p>
    <w:p w:rsidR="006B71CD" w:rsidRPr="00384D65" w:rsidRDefault="006B71CD" w:rsidP="006B71CD">
      <w:pPr>
        <w:widowControl w:val="0"/>
        <w:adjustRightInd w:val="0"/>
        <w:ind w:left="1361"/>
        <w:jc w:val="both"/>
        <w:textAlignment w:val="baseline"/>
        <w:rPr>
          <w:rFonts w:ascii="Bookman Old Style" w:hAnsi="Bookman Old Style"/>
          <w:lang w:val="es-CO"/>
        </w:rPr>
      </w:pPr>
    </w:p>
    <w:p w:rsidR="00384D65" w:rsidRDefault="00384D65" w:rsidP="006B71CD">
      <w:pPr>
        <w:widowControl w:val="0"/>
        <w:numPr>
          <w:ilvl w:val="0"/>
          <w:numId w:val="16"/>
        </w:numPr>
        <w:adjustRightInd w:val="0"/>
        <w:jc w:val="both"/>
        <w:textAlignment w:val="baseline"/>
        <w:rPr>
          <w:rFonts w:ascii="Bookman Old Style" w:hAnsi="Bookman Old Style"/>
        </w:rPr>
      </w:pPr>
      <w:r w:rsidRPr="00384D65">
        <w:rPr>
          <w:rFonts w:ascii="Bookman Old Style" w:hAnsi="Bookman Old Style"/>
        </w:rPr>
        <w:t xml:space="preserve">El </w:t>
      </w:r>
      <w:r>
        <w:rPr>
          <w:rFonts w:ascii="Bookman Old Style" w:hAnsi="Bookman Old Style"/>
        </w:rPr>
        <w:t>artículo 2 de la Resolución CREG 118 de 2009 queda así:</w:t>
      </w:r>
    </w:p>
    <w:p w:rsidR="00384D65" w:rsidRDefault="00384D65" w:rsidP="00384D65">
      <w:pPr>
        <w:widowControl w:val="0"/>
        <w:adjustRightInd w:val="0"/>
        <w:jc w:val="both"/>
        <w:textAlignment w:val="baseline"/>
        <w:rPr>
          <w:rFonts w:ascii="Bookman Old Style" w:hAnsi="Bookman Old Style"/>
        </w:rPr>
      </w:pPr>
    </w:p>
    <w:p w:rsidR="00384D65" w:rsidRPr="000D33E7" w:rsidRDefault="00384D65" w:rsidP="00384D65">
      <w:pPr>
        <w:jc w:val="both"/>
        <w:rPr>
          <w:rFonts w:ascii="Bookman Old Style" w:hAnsi="Bookman Old Style"/>
        </w:rPr>
      </w:pPr>
      <w:r w:rsidRPr="000D33E7">
        <w:rPr>
          <w:rFonts w:ascii="Bookman Old Style" w:hAnsi="Bookman Old Style"/>
          <w:b/>
          <w:spacing w:val="-3"/>
        </w:rPr>
        <w:t>Artículo 2.</w:t>
      </w:r>
      <w:r w:rsidRPr="000D33E7">
        <w:rPr>
          <w:rFonts w:ascii="Bookman Old Style" w:hAnsi="Bookman Old Style"/>
          <w:b/>
          <w:spacing w:val="-3"/>
        </w:rPr>
        <w:tab/>
      </w:r>
      <w:r w:rsidRPr="000D33E7">
        <w:rPr>
          <w:rFonts w:ascii="Bookman Old Style" w:hAnsi="Bookman Old Style"/>
          <w:b/>
        </w:rPr>
        <w:t>Cargos Máximos de los niveles de tensión 3, 2 y 1.</w:t>
      </w:r>
      <w:r w:rsidRPr="000D33E7">
        <w:rPr>
          <w:rFonts w:ascii="Bookman Old Style" w:hAnsi="Bookman Old Style"/>
        </w:rPr>
        <w:t xml:space="preserve"> Los Cargos Máximos de los niveles de tensión 3, 2 y 1 del sistema operado por </w:t>
      </w:r>
      <w:r>
        <w:rPr>
          <w:rFonts w:ascii="Bookman Old Style" w:hAnsi="Bookman Old Style"/>
        </w:rPr>
        <w:t xml:space="preserve">la </w:t>
      </w:r>
      <w:r w:rsidR="007B792F" w:rsidRPr="00384D65">
        <w:rPr>
          <w:rFonts w:ascii="Bookman Old Style" w:hAnsi="Bookman Old Style"/>
        </w:rPr>
        <w:t>Compañía Energética de Occidente S.A.S. E.S.P., CEO,</w:t>
      </w:r>
      <w:r w:rsidRPr="000D33E7">
        <w:rPr>
          <w:rFonts w:ascii="Bookman Old Style" w:hAnsi="Bookman Old Style"/>
        </w:rPr>
        <w:t xml:space="preserve"> calculados en la forma establecida en la Resolución </w:t>
      </w:r>
      <w:r>
        <w:rPr>
          <w:rFonts w:ascii="Bookman Old Style" w:hAnsi="Bookman Old Style"/>
        </w:rPr>
        <w:t>CREG 097 de 2008</w:t>
      </w:r>
      <w:r w:rsidRPr="000D33E7">
        <w:rPr>
          <w:rFonts w:ascii="Bookman Old Style" w:hAnsi="Bookman Old Style"/>
        </w:rPr>
        <w:t>, son los siguientes:</w:t>
      </w:r>
    </w:p>
    <w:p w:rsidR="00384D65" w:rsidRDefault="00384D65" w:rsidP="007B792F">
      <w:pPr>
        <w:widowControl w:val="0"/>
        <w:adjustRightInd w:val="0"/>
        <w:jc w:val="center"/>
        <w:textAlignment w:val="baseline"/>
        <w:rPr>
          <w:rFonts w:ascii="Bookman Old Style" w:hAnsi="Bookman Old Style"/>
        </w:rPr>
      </w:pPr>
      <w:r w:rsidRPr="00384D65">
        <w:rPr>
          <w:noProof/>
          <w:lang w:val="es-CO" w:eastAsia="es-CO"/>
        </w:rPr>
        <w:drawing>
          <wp:inline distT="0" distB="0" distL="0" distR="0">
            <wp:extent cx="5219700" cy="1600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1600200"/>
                    </a:xfrm>
                    <a:prstGeom prst="rect">
                      <a:avLst/>
                    </a:prstGeom>
                    <a:noFill/>
                    <a:ln>
                      <a:noFill/>
                    </a:ln>
                  </pic:spPr>
                </pic:pic>
              </a:graphicData>
            </a:graphic>
          </wp:inline>
        </w:drawing>
      </w:r>
    </w:p>
    <w:p w:rsidR="00384D65" w:rsidRDefault="00384D65" w:rsidP="00384D65">
      <w:pPr>
        <w:widowControl w:val="0"/>
        <w:adjustRightInd w:val="0"/>
        <w:jc w:val="both"/>
        <w:textAlignment w:val="baseline"/>
        <w:rPr>
          <w:rFonts w:ascii="Bookman Old Style" w:hAnsi="Bookman Old Style"/>
        </w:rPr>
      </w:pPr>
    </w:p>
    <w:p w:rsidR="00384D65" w:rsidRPr="000D33E7" w:rsidRDefault="00384D65" w:rsidP="00384D65">
      <w:pPr>
        <w:jc w:val="both"/>
        <w:rPr>
          <w:rFonts w:ascii="Bookman Old Style" w:hAnsi="Bookman Old Style"/>
          <w:spacing w:val="4"/>
        </w:rPr>
      </w:pPr>
      <w:r w:rsidRPr="000D33E7">
        <w:rPr>
          <w:rFonts w:ascii="Bookman Old Style" w:hAnsi="Bookman Old Style"/>
          <w:b/>
          <w:bCs/>
        </w:rPr>
        <w:t>Parágrafo 1</w:t>
      </w:r>
      <w:r>
        <w:rPr>
          <w:rFonts w:ascii="Bookman Old Style" w:hAnsi="Bookman Old Style"/>
          <w:b/>
          <w:bCs/>
        </w:rPr>
        <w:t xml:space="preserve">. </w:t>
      </w:r>
      <w:r w:rsidRPr="000D33E7">
        <w:rPr>
          <w:rFonts w:ascii="Bookman Old Style" w:hAnsi="Bookman Old Style"/>
        </w:rPr>
        <w:t>L</w:t>
      </w:r>
      <w:r w:rsidRPr="000D33E7">
        <w:rPr>
          <w:rFonts w:ascii="Bookman Old Style" w:hAnsi="Bookman Old Style"/>
          <w:spacing w:val="4"/>
        </w:rPr>
        <w:t xml:space="preserve">os cargos por uso resultantes de la aplicación de los Cargos Máximos de que trata el presente artículo serán liquidados y facturados por </w:t>
      </w:r>
      <w:r>
        <w:rPr>
          <w:rFonts w:ascii="Bookman Old Style" w:hAnsi="Bookman Old Style"/>
          <w:spacing w:val="4"/>
        </w:rPr>
        <w:t xml:space="preserve">la </w:t>
      </w:r>
      <w:r w:rsidR="00B135EA" w:rsidRPr="00384D65">
        <w:rPr>
          <w:rFonts w:ascii="Bookman Old Style" w:hAnsi="Bookman Old Style"/>
        </w:rPr>
        <w:t>Compañía Energética de Occidente S.A.S. E.S.P., CEO,</w:t>
      </w:r>
      <w:r w:rsidR="00B135EA" w:rsidRPr="000D33E7">
        <w:rPr>
          <w:rFonts w:ascii="Bookman Old Style" w:hAnsi="Bookman Old Style"/>
        </w:rPr>
        <w:t xml:space="preserve"> </w:t>
      </w:r>
      <w:r w:rsidRPr="000D33E7">
        <w:rPr>
          <w:rFonts w:ascii="Bookman Old Style" w:hAnsi="Bookman Old Style"/>
          <w:spacing w:val="4"/>
        </w:rPr>
        <w:t xml:space="preserve">a cada uno de los comercializadores que atienden usuarios finales conectados a su sistema en los niveles de tensión 3, 2 y 1. </w:t>
      </w:r>
    </w:p>
    <w:p w:rsidR="00384D65" w:rsidRPr="000D33E7" w:rsidRDefault="00384D65" w:rsidP="00384D65">
      <w:pPr>
        <w:jc w:val="both"/>
        <w:rPr>
          <w:rFonts w:ascii="Bookman Old Style" w:hAnsi="Bookman Old Style"/>
          <w:spacing w:val="4"/>
        </w:rPr>
      </w:pPr>
    </w:p>
    <w:p w:rsidR="00D9787D" w:rsidRDefault="00D9787D" w:rsidP="00384D65">
      <w:pPr>
        <w:jc w:val="both"/>
        <w:rPr>
          <w:rFonts w:ascii="Bookman Old Style" w:hAnsi="Bookman Old Style"/>
          <w:b/>
          <w:spacing w:val="4"/>
        </w:rPr>
      </w:pPr>
    </w:p>
    <w:p w:rsidR="00D9787D" w:rsidRDefault="00D9787D" w:rsidP="00384D65">
      <w:pPr>
        <w:jc w:val="both"/>
        <w:rPr>
          <w:rFonts w:ascii="Bookman Old Style" w:hAnsi="Bookman Old Style"/>
          <w:b/>
          <w:spacing w:val="4"/>
        </w:rPr>
      </w:pPr>
    </w:p>
    <w:p w:rsidR="00384D65" w:rsidRPr="000D33E7" w:rsidRDefault="00384D65" w:rsidP="00384D65">
      <w:pPr>
        <w:jc w:val="both"/>
        <w:rPr>
          <w:rFonts w:ascii="Bookman Old Style" w:hAnsi="Bookman Old Style"/>
          <w:spacing w:val="4"/>
        </w:rPr>
      </w:pPr>
      <w:r w:rsidRPr="000D33E7">
        <w:rPr>
          <w:rFonts w:ascii="Bookman Old Style" w:hAnsi="Bookman Old Style"/>
          <w:b/>
          <w:spacing w:val="4"/>
        </w:rPr>
        <w:lastRenderedPageBreak/>
        <w:t xml:space="preserve">Parágrafo 2. </w:t>
      </w:r>
      <w:r w:rsidRPr="000D33E7">
        <w:rPr>
          <w:rFonts w:ascii="Bookman Old Style" w:hAnsi="Bookman Old Style"/>
          <w:spacing w:val="4"/>
        </w:rPr>
        <w:t xml:space="preserve">Los Cargos Máximos de que trata este artículo serán liquidados y facturados por </w:t>
      </w:r>
      <w:r>
        <w:rPr>
          <w:rFonts w:ascii="Bookman Old Style" w:hAnsi="Bookman Old Style"/>
          <w:spacing w:val="4"/>
        </w:rPr>
        <w:t xml:space="preserve">la </w:t>
      </w:r>
      <w:r w:rsidR="00B135EA" w:rsidRPr="00384D65">
        <w:rPr>
          <w:rFonts w:ascii="Bookman Old Style" w:hAnsi="Bookman Old Style"/>
        </w:rPr>
        <w:t xml:space="preserve">Compañía Energética </w:t>
      </w:r>
      <w:r w:rsidR="00B135EA">
        <w:rPr>
          <w:rFonts w:ascii="Bookman Old Style" w:hAnsi="Bookman Old Style"/>
        </w:rPr>
        <w:t>de Occidente S.A.S. E.S.P., CEO</w:t>
      </w:r>
      <w:r w:rsidRPr="000D33E7">
        <w:rPr>
          <w:rFonts w:ascii="Bookman Old Style" w:hAnsi="Bookman Old Style"/>
        </w:rPr>
        <w:t xml:space="preserve"> </w:t>
      </w:r>
      <w:r w:rsidRPr="000D33E7">
        <w:rPr>
          <w:rFonts w:ascii="Bookman Old Style" w:hAnsi="Bookman Old Style"/>
          <w:spacing w:val="4"/>
        </w:rPr>
        <w:t>a los OR que tomen energía de su sistema en estos niveles de tensión.</w:t>
      </w:r>
    </w:p>
    <w:p w:rsidR="00384D65" w:rsidRPr="00384D65" w:rsidRDefault="00384D65" w:rsidP="00384D65">
      <w:pPr>
        <w:widowControl w:val="0"/>
        <w:adjustRightInd w:val="0"/>
        <w:jc w:val="both"/>
        <w:textAlignment w:val="baseline"/>
        <w:rPr>
          <w:rFonts w:ascii="Bookman Old Style" w:hAnsi="Bookman Old Style"/>
        </w:rPr>
      </w:pPr>
    </w:p>
    <w:p w:rsidR="006B71CD" w:rsidRPr="007B792F" w:rsidRDefault="002316E8" w:rsidP="006B71CD">
      <w:pPr>
        <w:widowControl w:val="0"/>
        <w:numPr>
          <w:ilvl w:val="0"/>
          <w:numId w:val="16"/>
        </w:numPr>
        <w:adjustRightInd w:val="0"/>
        <w:jc w:val="both"/>
        <w:textAlignment w:val="baseline"/>
        <w:rPr>
          <w:rFonts w:ascii="Bookman Old Style" w:hAnsi="Bookman Old Style"/>
        </w:rPr>
      </w:pPr>
      <w:r w:rsidRPr="007B792F">
        <w:rPr>
          <w:rFonts w:ascii="Bookman Old Style" w:hAnsi="Bookman Old Style"/>
        </w:rPr>
        <w:t>El Artículo 5 de la Resolución CREG 1</w:t>
      </w:r>
      <w:r w:rsidR="000F4269" w:rsidRPr="007B792F">
        <w:rPr>
          <w:rFonts w:ascii="Bookman Old Style" w:hAnsi="Bookman Old Style"/>
        </w:rPr>
        <w:t>1</w:t>
      </w:r>
      <w:r w:rsidR="001340DB">
        <w:rPr>
          <w:rFonts w:ascii="Bookman Old Style" w:hAnsi="Bookman Old Style"/>
        </w:rPr>
        <w:t>8</w:t>
      </w:r>
      <w:r w:rsidRPr="007B792F">
        <w:rPr>
          <w:rFonts w:ascii="Bookman Old Style" w:hAnsi="Bookman Old Style"/>
        </w:rPr>
        <w:t xml:space="preserve"> de 2009, queda así:</w:t>
      </w:r>
    </w:p>
    <w:p w:rsidR="006B71CD" w:rsidRPr="007B792F" w:rsidRDefault="006B71CD" w:rsidP="006B71CD">
      <w:pPr>
        <w:widowControl w:val="0"/>
        <w:adjustRightInd w:val="0"/>
        <w:ind w:left="1361"/>
        <w:jc w:val="both"/>
        <w:textAlignment w:val="baseline"/>
        <w:rPr>
          <w:rFonts w:ascii="Bookman Old Style" w:hAnsi="Bookman Old Style"/>
        </w:rPr>
      </w:pPr>
    </w:p>
    <w:p w:rsidR="00817F7A" w:rsidRPr="007B792F" w:rsidRDefault="00817F7A" w:rsidP="00817F7A">
      <w:pPr>
        <w:widowControl w:val="0"/>
        <w:adjustRightInd w:val="0"/>
        <w:jc w:val="both"/>
        <w:textAlignment w:val="baseline"/>
        <w:rPr>
          <w:rFonts w:ascii="Bookman Old Style" w:hAnsi="Bookman Old Style"/>
        </w:rPr>
      </w:pPr>
      <w:r w:rsidRPr="007B792F">
        <w:rPr>
          <w:rFonts w:ascii="Bookman Old Style" w:hAnsi="Bookman Old Style"/>
          <w:b/>
        </w:rPr>
        <w:t xml:space="preserve">Artículo 5. Costos de reposición de la inversión. </w:t>
      </w:r>
      <w:r w:rsidRPr="007B792F">
        <w:rPr>
          <w:rFonts w:ascii="Bookman Old Style" w:hAnsi="Bookman Old Style"/>
        </w:rPr>
        <w:t xml:space="preserve">Los costos de reposición de la inversión del OR </w:t>
      </w:r>
      <w:r w:rsidR="007D3050" w:rsidRPr="007B792F">
        <w:rPr>
          <w:rFonts w:ascii="Bookman Old Style" w:hAnsi="Bookman Old Style"/>
        </w:rPr>
        <w:t>Compañía Energética de Occidente S.A.S. E.S.P., CEO</w:t>
      </w:r>
      <w:r w:rsidRPr="007B792F">
        <w:rPr>
          <w:rFonts w:ascii="Bookman Old Style" w:hAnsi="Bookman Old Style"/>
        </w:rPr>
        <w:t xml:space="preserve"> para cada nivel de tensión, calculados en la forma establecida en la Resolución CREG 097 de 2008, son los siguientes:</w:t>
      </w:r>
    </w:p>
    <w:p w:rsidR="006B71CD" w:rsidRPr="00E569CC" w:rsidRDefault="006B71CD" w:rsidP="006B71CD">
      <w:pPr>
        <w:widowControl w:val="0"/>
        <w:adjustRightInd w:val="0"/>
        <w:jc w:val="both"/>
        <w:textAlignment w:val="baseline"/>
        <w:rPr>
          <w:rFonts w:ascii="Bookman Old Style" w:hAnsi="Bookman Old Style"/>
          <w:highlight w:val="yellow"/>
        </w:rPr>
      </w:pPr>
    </w:p>
    <w:p w:rsidR="00817F7A" w:rsidRPr="00817F7A" w:rsidRDefault="006C1D3A" w:rsidP="00817F7A">
      <w:pPr>
        <w:widowControl w:val="0"/>
        <w:adjustRightInd w:val="0"/>
        <w:jc w:val="center"/>
        <w:textAlignment w:val="baseline"/>
        <w:rPr>
          <w:rFonts w:ascii="Bookman Old Style" w:hAnsi="Bookman Old Style"/>
        </w:rPr>
      </w:pPr>
      <w:r w:rsidRPr="006C1D3A">
        <w:rPr>
          <w:noProof/>
          <w:lang w:val="es-CO" w:eastAsia="es-CO"/>
        </w:rPr>
        <w:drawing>
          <wp:inline distT="0" distB="0" distL="0" distR="0">
            <wp:extent cx="5219700" cy="1590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1590675"/>
                    </a:xfrm>
                    <a:prstGeom prst="rect">
                      <a:avLst/>
                    </a:prstGeom>
                    <a:noFill/>
                    <a:ln>
                      <a:noFill/>
                    </a:ln>
                  </pic:spPr>
                </pic:pic>
              </a:graphicData>
            </a:graphic>
          </wp:inline>
        </w:drawing>
      </w:r>
    </w:p>
    <w:p w:rsidR="006B71CD" w:rsidRDefault="006B71CD" w:rsidP="006B71CD">
      <w:pPr>
        <w:widowControl w:val="0"/>
        <w:adjustRightInd w:val="0"/>
        <w:ind w:left="1361"/>
        <w:jc w:val="both"/>
        <w:textAlignment w:val="baseline"/>
        <w:rPr>
          <w:rFonts w:ascii="Bookman Old Style" w:hAnsi="Bookman Old Style"/>
        </w:rPr>
      </w:pPr>
    </w:p>
    <w:p w:rsidR="00BB1387" w:rsidRPr="007F735F" w:rsidRDefault="00BB1387" w:rsidP="00BB1387">
      <w:pPr>
        <w:widowControl w:val="0"/>
        <w:numPr>
          <w:ilvl w:val="0"/>
          <w:numId w:val="16"/>
        </w:numPr>
        <w:adjustRightInd w:val="0"/>
        <w:jc w:val="both"/>
        <w:textAlignment w:val="baseline"/>
        <w:rPr>
          <w:rFonts w:ascii="Bookman Old Style" w:hAnsi="Bookman Old Style"/>
        </w:rPr>
      </w:pPr>
      <w:r w:rsidRPr="00BB1387">
        <w:rPr>
          <w:rFonts w:ascii="Bookman Old Style" w:hAnsi="Bookman Old Style"/>
          <w:b/>
        </w:rPr>
        <w:t>Vigencia.</w:t>
      </w:r>
      <w:r w:rsidRPr="007F735F">
        <w:rPr>
          <w:rFonts w:ascii="Bookman Old Style" w:hAnsi="Bookman Old Style"/>
        </w:rPr>
        <w:t xml:space="preserve"> </w:t>
      </w:r>
      <w:r w:rsidR="0042080B" w:rsidRPr="00417564">
        <w:rPr>
          <w:rFonts w:ascii="Bookman Old Style" w:hAnsi="Bookman Old Style"/>
        </w:rPr>
        <w:t xml:space="preserve">De conformidad con lo previsto por el artículo 19 de la Resolución CREG 097 de 2008, los cargos y valores </w:t>
      </w:r>
      <w:r w:rsidR="0042080B">
        <w:rPr>
          <w:rFonts w:ascii="Bookman Old Style" w:hAnsi="Bookman Old Style"/>
        </w:rPr>
        <w:t xml:space="preserve">aquí </w:t>
      </w:r>
      <w:r w:rsidR="0042080B" w:rsidRPr="00417564">
        <w:rPr>
          <w:rFonts w:ascii="Bookman Old Style" w:hAnsi="Bookman Old Style"/>
        </w:rPr>
        <w:t xml:space="preserve">aprobados estarán vigentes desde la fecha en que quede en firme </w:t>
      </w:r>
      <w:r w:rsidR="0042080B">
        <w:rPr>
          <w:rFonts w:ascii="Bookman Old Style" w:hAnsi="Bookman Old Style"/>
        </w:rPr>
        <w:t xml:space="preserve">la presente resolución </w:t>
      </w:r>
      <w:r w:rsidR="0042080B" w:rsidRPr="00417564">
        <w:rPr>
          <w:rFonts w:ascii="Bookman Old Style" w:hAnsi="Bookman Old Style"/>
        </w:rPr>
        <w:t xml:space="preserve">y </w:t>
      </w:r>
      <w:r w:rsidR="0042080B">
        <w:rPr>
          <w:rFonts w:ascii="Bookman Old Style" w:hAnsi="Bookman Old Style"/>
        </w:rPr>
        <w:t xml:space="preserve">por el periodo que establezca la regulación, sin perjuicio de las actualizaciones a que haya lugar. </w:t>
      </w:r>
      <w:r w:rsidR="0042080B" w:rsidRPr="00417564">
        <w:rPr>
          <w:rFonts w:ascii="Bookman Old Style" w:hAnsi="Bookman Old Style"/>
        </w:rPr>
        <w:t>Vencido su período de vigencia, continuarán rigiendo hasta que la Comisión apruebe los nuevos.</w:t>
      </w:r>
    </w:p>
    <w:p w:rsidR="00BB1387" w:rsidRDefault="00BB1387" w:rsidP="00BB1387">
      <w:pPr>
        <w:rPr>
          <w:rFonts w:ascii="Bookman Old Style" w:hAnsi="Bookman Old Style"/>
          <w:b/>
          <w:bCs/>
        </w:rPr>
      </w:pPr>
    </w:p>
    <w:p w:rsidR="00BB1387" w:rsidRPr="00BB1387" w:rsidRDefault="00BB1387" w:rsidP="00BB1387">
      <w:pPr>
        <w:widowControl w:val="0"/>
        <w:numPr>
          <w:ilvl w:val="0"/>
          <w:numId w:val="16"/>
        </w:numPr>
        <w:adjustRightInd w:val="0"/>
        <w:jc w:val="both"/>
        <w:textAlignment w:val="baseline"/>
        <w:rPr>
          <w:rFonts w:ascii="Bookman Old Style" w:hAnsi="Bookman Old Style"/>
          <w:b/>
        </w:rPr>
      </w:pPr>
      <w:r w:rsidRPr="00BB1387">
        <w:rPr>
          <w:rFonts w:ascii="Bookman Old Style" w:hAnsi="Bookman Old Style"/>
          <w:b/>
        </w:rPr>
        <w:t xml:space="preserve">Recursos. </w:t>
      </w:r>
      <w:r w:rsidRPr="00BB1387">
        <w:rPr>
          <w:rFonts w:ascii="Bookman Old Style" w:hAnsi="Bookman Old Style"/>
        </w:rPr>
        <w:t xml:space="preserve">La presente Resolución deberá notificarse a la </w:t>
      </w:r>
      <w:r w:rsidR="00B135EA" w:rsidRPr="00384D65">
        <w:rPr>
          <w:rFonts w:ascii="Bookman Old Style" w:hAnsi="Bookman Old Style"/>
        </w:rPr>
        <w:t>Compañía Energética de Occidente S.A.S. E.S.P., CEO,</w:t>
      </w:r>
      <w:r w:rsidR="00B135EA" w:rsidRPr="000D33E7">
        <w:rPr>
          <w:rFonts w:ascii="Bookman Old Style" w:hAnsi="Bookman Old Style"/>
        </w:rPr>
        <w:t xml:space="preserve"> </w:t>
      </w:r>
      <w:r w:rsidR="007D3050">
        <w:rPr>
          <w:rFonts w:ascii="Bookman Old Style" w:hAnsi="Bookman Old Style"/>
        </w:rPr>
        <w:t>c</w:t>
      </w:r>
      <w:r w:rsidRPr="00BB1387">
        <w:rPr>
          <w:rFonts w:ascii="Bookman Old Style" w:hAnsi="Bookman Old Style"/>
        </w:rPr>
        <w:t>ontra lo dispuesto en este acto procede el recurso de reposición, el cual se podrá interponer ante la Dirección Ejecutiva de la CREG dentro de los cinco (5) días hábiles siguientes a la fecha de su notificación.</w:t>
      </w:r>
    </w:p>
    <w:p w:rsidR="006B71CD" w:rsidRPr="006B71CD" w:rsidRDefault="006B71CD" w:rsidP="006B71CD">
      <w:pPr>
        <w:widowControl w:val="0"/>
        <w:adjustRightInd w:val="0"/>
        <w:ind w:left="1361"/>
        <w:jc w:val="both"/>
        <w:textAlignment w:val="baseline"/>
        <w:rPr>
          <w:rFonts w:ascii="Bookman Old Style" w:hAnsi="Bookman Old Style"/>
        </w:rPr>
      </w:pPr>
    </w:p>
    <w:p w:rsidR="006B71CD" w:rsidRPr="006B71CD" w:rsidRDefault="006B71CD" w:rsidP="006B71CD">
      <w:pPr>
        <w:widowControl w:val="0"/>
        <w:adjustRightInd w:val="0"/>
        <w:ind w:left="1361"/>
        <w:jc w:val="both"/>
        <w:textAlignment w:val="baseline"/>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9640" w:type="dxa"/>
        <w:tblInd w:w="-142" w:type="dxa"/>
        <w:tblLayout w:type="fixed"/>
        <w:tblCellMar>
          <w:left w:w="0" w:type="dxa"/>
          <w:right w:w="0" w:type="dxa"/>
        </w:tblCellMar>
        <w:tblLook w:val="0000" w:firstRow="0" w:lastRow="0" w:firstColumn="0" w:lastColumn="0" w:noHBand="0" w:noVBand="0"/>
      </w:tblPr>
      <w:tblGrid>
        <w:gridCol w:w="4962"/>
        <w:gridCol w:w="4678"/>
      </w:tblGrid>
      <w:tr w:rsidR="002D7BCF" w:rsidRPr="000377B0" w:rsidTr="007B792F">
        <w:tc>
          <w:tcPr>
            <w:tcW w:w="4962" w:type="dxa"/>
          </w:tcPr>
          <w:p w:rsidR="002D7BCF" w:rsidRPr="000377B0" w:rsidRDefault="007B792F" w:rsidP="00475E3A">
            <w:pPr>
              <w:snapToGrid w:val="0"/>
              <w:ind w:left="0"/>
              <w:jc w:val="center"/>
              <w:rPr>
                <w:rFonts w:ascii="Bookman Old Style" w:hAnsi="Bookman Old Style" w:cs="Arial"/>
                <w:b/>
                <w:bCs/>
                <w:szCs w:val="22"/>
              </w:rPr>
            </w:pPr>
            <w:r>
              <w:rPr>
                <w:rFonts w:ascii="Bookman Old Style" w:hAnsi="Bookman Old Style" w:cs="Arial"/>
                <w:b/>
                <w:bCs/>
                <w:szCs w:val="22"/>
              </w:rPr>
              <w:t>ORLANDO CABRALES SEGOVIA</w:t>
            </w:r>
          </w:p>
        </w:tc>
        <w:tc>
          <w:tcPr>
            <w:tcW w:w="4678" w:type="dxa"/>
          </w:tcPr>
          <w:p w:rsidR="002D7BCF" w:rsidRPr="000377B0" w:rsidRDefault="007B792F" w:rsidP="00475E3A">
            <w:pPr>
              <w:snapToGrid w:val="0"/>
              <w:ind w:left="0"/>
              <w:jc w:val="center"/>
              <w:rPr>
                <w:rFonts w:ascii="Bookman Old Style" w:hAnsi="Bookman Old Style" w:cs="Arial"/>
                <w:b/>
                <w:bCs/>
                <w:szCs w:val="22"/>
              </w:rPr>
            </w:pPr>
            <w:r>
              <w:rPr>
                <w:rFonts w:ascii="Bookman Old Style" w:hAnsi="Bookman Old Style" w:cs="Arial"/>
                <w:b/>
                <w:bCs/>
                <w:szCs w:val="22"/>
              </w:rPr>
              <w:t>CARLOS FERNANDO ERASO CALERO</w:t>
            </w:r>
          </w:p>
        </w:tc>
      </w:tr>
      <w:tr w:rsidR="002D7BCF" w:rsidRPr="000377B0" w:rsidTr="007B792F">
        <w:tc>
          <w:tcPr>
            <w:tcW w:w="4962" w:type="dxa"/>
          </w:tcPr>
          <w:p w:rsidR="007B792F" w:rsidRDefault="002D7BCF" w:rsidP="007B792F">
            <w:pPr>
              <w:snapToGrid w:val="0"/>
              <w:ind w:left="0"/>
              <w:jc w:val="center"/>
              <w:rPr>
                <w:rFonts w:ascii="Bookman Old Style" w:hAnsi="Bookman Old Style" w:cs="Arial"/>
                <w:szCs w:val="22"/>
              </w:rPr>
            </w:pPr>
            <w:r w:rsidRPr="000377B0">
              <w:rPr>
                <w:rFonts w:ascii="Bookman Old Style" w:hAnsi="Bookman Old Style" w:cs="Arial"/>
                <w:szCs w:val="22"/>
              </w:rPr>
              <w:t>Viceministro de Energía</w:t>
            </w:r>
          </w:p>
          <w:p w:rsidR="002D7BCF" w:rsidRPr="000377B0" w:rsidRDefault="002D7BCF" w:rsidP="007B792F">
            <w:pPr>
              <w:snapToGrid w:val="0"/>
              <w:ind w:left="0"/>
              <w:jc w:val="center"/>
              <w:rPr>
                <w:rFonts w:ascii="Bookman Old Style" w:hAnsi="Bookman Old Style" w:cs="Arial"/>
                <w:szCs w:val="22"/>
              </w:rPr>
            </w:pPr>
            <w:r w:rsidRPr="000377B0">
              <w:rPr>
                <w:rFonts w:ascii="Bookman Old Style" w:hAnsi="Bookman Old Style" w:cs="Arial"/>
                <w:szCs w:val="22"/>
              </w:rPr>
              <w:t>Delegado del Ministro de Minas y Energía</w:t>
            </w:r>
          </w:p>
        </w:tc>
        <w:tc>
          <w:tcPr>
            <w:tcW w:w="4678" w:type="dxa"/>
          </w:tcPr>
          <w:p w:rsidR="002D7BCF" w:rsidRPr="000377B0" w:rsidRDefault="002D7BCF" w:rsidP="00475E3A">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B792F">
        <w:tc>
          <w:tcPr>
            <w:tcW w:w="4962" w:type="dxa"/>
          </w:tcPr>
          <w:p w:rsidR="002D7BCF" w:rsidRPr="000377B0" w:rsidRDefault="002D7BCF" w:rsidP="00475E3A">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678" w:type="dxa"/>
          </w:tcPr>
          <w:p w:rsidR="002D7BCF" w:rsidRPr="000377B0" w:rsidRDefault="002D7BCF" w:rsidP="00475E3A">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sectPr w:rsidR="00E433F6" w:rsidRPr="000058F4"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5D2" w:rsidRDefault="003515D2">
      <w:r>
        <w:separator/>
      </w:r>
    </w:p>
  </w:endnote>
  <w:endnote w:type="continuationSeparator" w:id="0">
    <w:p w:rsidR="003515D2" w:rsidRDefault="0035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5D2" w:rsidRDefault="003515D2">
      <w:r>
        <w:separator/>
      </w:r>
    </w:p>
  </w:footnote>
  <w:footnote w:type="continuationSeparator" w:id="0">
    <w:p w:rsidR="003515D2" w:rsidRDefault="00351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3A" w:rsidRDefault="00E4263A" w:rsidP="00951F79">
    <w:pPr>
      <w:pStyle w:val="Ttulo1"/>
      <w:ind w:right="6"/>
      <w:jc w:val="left"/>
      <w:rPr>
        <w:rFonts w:ascii="Bookman Old Style" w:hAnsi="Bookman Old Style" w:cs="Arial"/>
        <w:b w:val="0"/>
        <w:sz w:val="22"/>
        <w:szCs w:val="22"/>
      </w:rPr>
    </w:pPr>
  </w:p>
  <w:p w:rsidR="00E4263A" w:rsidRPr="00951F79" w:rsidRDefault="00E4263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F4509">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F4509">
      <w:fldChar w:fldCharType="begin"/>
    </w:r>
    <w:r w:rsidR="009F4509">
      <w:instrText xml:space="preserve"> NUMPAGES  \* MERGEFORMAT </w:instrText>
    </w:r>
    <w:r w:rsidR="009F4509">
      <w:fldChar w:fldCharType="separate"/>
    </w:r>
    <w:r w:rsidR="009F4509" w:rsidRPr="009F4509">
      <w:rPr>
        <w:rFonts w:ascii="Bookman Old Style" w:hAnsi="Bookman Old Style" w:cs="Arial"/>
        <w:b w:val="0"/>
        <w:noProof/>
        <w:sz w:val="22"/>
        <w:szCs w:val="22"/>
      </w:rPr>
      <w:t>5</w:t>
    </w:r>
    <w:r w:rsidR="009F4509">
      <w:rPr>
        <w:rFonts w:ascii="Bookman Old Style" w:hAnsi="Bookman Old Style" w:cs="Arial"/>
        <w:b w:val="0"/>
        <w:noProof/>
        <w:sz w:val="22"/>
        <w:szCs w:val="22"/>
      </w:rPr>
      <w:fldChar w:fldCharType="end"/>
    </w:r>
  </w:p>
  <w:p w:rsidR="00E4263A" w:rsidRDefault="00E4263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81BF4AE" wp14:editId="738683B6">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E4263A" w:rsidRPr="00B135EA" w:rsidRDefault="001340DB" w:rsidP="001340DB">
    <w:pPr>
      <w:pBdr>
        <w:bottom w:val="single" w:sz="4" w:space="1" w:color="auto"/>
      </w:pBdr>
      <w:ind w:left="142" w:right="148"/>
      <w:jc w:val="both"/>
      <w:rPr>
        <w:b/>
        <w:sz w:val="22"/>
      </w:rPr>
    </w:pPr>
    <w:r w:rsidRPr="00B135EA">
      <w:rPr>
        <w:rFonts w:ascii="Bookman Old Style" w:hAnsi="Bookman Old Style"/>
        <w:sz w:val="22"/>
      </w:rPr>
      <w:t>Por la cual se actualiza el Costo Anual por el uso de los activos de nivel de tensión 4 y los cargos por uso de la Compañía Energética de Occidente S.A.S. E.S.P., CEO.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3A" w:rsidRDefault="00E4263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4263A" w:rsidRDefault="00E4263A">
    <w:pPr>
      <w:pStyle w:val="Encabezado"/>
      <w:jc w:val="center"/>
      <w:rPr>
        <w:rFonts w:ascii="Arial" w:hAnsi="Arial" w:cs="Arial"/>
        <w:spacing w:val="20"/>
        <w:sz w:val="20"/>
      </w:rPr>
    </w:pPr>
  </w:p>
  <w:p w:rsidR="00E4263A" w:rsidRDefault="00E4263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2F129D" wp14:editId="69E9DC90">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116C6"/>
    <w:multiLevelType w:val="hybridMultilevel"/>
    <w:tmpl w:val="BA3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6"/>
  </w:num>
  <w:num w:numId="5">
    <w:abstractNumId w:val="12"/>
  </w:num>
  <w:num w:numId="6">
    <w:abstractNumId w:val="2"/>
  </w:num>
  <w:num w:numId="7">
    <w:abstractNumId w:val="1"/>
  </w:num>
  <w:num w:numId="8">
    <w:abstractNumId w:val="14"/>
  </w:num>
  <w:num w:numId="9">
    <w:abstractNumId w:val="13"/>
  </w:num>
  <w:num w:numId="10">
    <w:abstractNumId w:val="10"/>
  </w:num>
  <w:num w:numId="11">
    <w:abstractNumId w:val="17"/>
  </w:num>
  <w:num w:numId="12">
    <w:abstractNumId w:val="15"/>
  </w:num>
  <w:num w:numId="13">
    <w:abstractNumId w:val="7"/>
  </w:num>
  <w:num w:numId="14">
    <w:abstractNumId w:val="0"/>
  </w:num>
  <w:num w:numId="15">
    <w:abstractNumId w:val="8"/>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4F1"/>
    <w:rsid w:val="000058F4"/>
    <w:rsid w:val="00006AE2"/>
    <w:rsid w:val="00006C1A"/>
    <w:rsid w:val="000076A1"/>
    <w:rsid w:val="00012259"/>
    <w:rsid w:val="00025383"/>
    <w:rsid w:val="00042FEE"/>
    <w:rsid w:val="00063657"/>
    <w:rsid w:val="000658B0"/>
    <w:rsid w:val="00074836"/>
    <w:rsid w:val="00076680"/>
    <w:rsid w:val="0007691B"/>
    <w:rsid w:val="00076B43"/>
    <w:rsid w:val="0008073E"/>
    <w:rsid w:val="00081F53"/>
    <w:rsid w:val="000851CA"/>
    <w:rsid w:val="00091CDB"/>
    <w:rsid w:val="000A19AC"/>
    <w:rsid w:val="000A5B9E"/>
    <w:rsid w:val="000B5996"/>
    <w:rsid w:val="000B7141"/>
    <w:rsid w:val="000D26F8"/>
    <w:rsid w:val="000D5E87"/>
    <w:rsid w:val="000E6937"/>
    <w:rsid w:val="000F1EE3"/>
    <w:rsid w:val="000F4269"/>
    <w:rsid w:val="000F5BD2"/>
    <w:rsid w:val="00100F33"/>
    <w:rsid w:val="0010128A"/>
    <w:rsid w:val="00133081"/>
    <w:rsid w:val="001340DB"/>
    <w:rsid w:val="001405C6"/>
    <w:rsid w:val="00141013"/>
    <w:rsid w:val="001710FF"/>
    <w:rsid w:val="001715E0"/>
    <w:rsid w:val="00192CBF"/>
    <w:rsid w:val="00192FF1"/>
    <w:rsid w:val="001A5F1B"/>
    <w:rsid w:val="001A7196"/>
    <w:rsid w:val="001B1C22"/>
    <w:rsid w:val="001B34C6"/>
    <w:rsid w:val="001C098B"/>
    <w:rsid w:val="001C5E02"/>
    <w:rsid w:val="001C7022"/>
    <w:rsid w:val="001D7832"/>
    <w:rsid w:val="001E2001"/>
    <w:rsid w:val="001E41E9"/>
    <w:rsid w:val="001E5CC9"/>
    <w:rsid w:val="00204735"/>
    <w:rsid w:val="00211D34"/>
    <w:rsid w:val="00214F04"/>
    <w:rsid w:val="002316E8"/>
    <w:rsid w:val="00242E21"/>
    <w:rsid w:val="002520A5"/>
    <w:rsid w:val="00253A4C"/>
    <w:rsid w:val="00266CD6"/>
    <w:rsid w:val="00270D1A"/>
    <w:rsid w:val="0028277C"/>
    <w:rsid w:val="002953CD"/>
    <w:rsid w:val="002B11E2"/>
    <w:rsid w:val="002B24B8"/>
    <w:rsid w:val="002B5444"/>
    <w:rsid w:val="002C3BF0"/>
    <w:rsid w:val="002C713A"/>
    <w:rsid w:val="002C78A3"/>
    <w:rsid w:val="002D1FE5"/>
    <w:rsid w:val="002D3AE9"/>
    <w:rsid w:val="002D7BCF"/>
    <w:rsid w:val="002D7D33"/>
    <w:rsid w:val="002E27FA"/>
    <w:rsid w:val="002F0734"/>
    <w:rsid w:val="002F46E7"/>
    <w:rsid w:val="00300E63"/>
    <w:rsid w:val="00304B6E"/>
    <w:rsid w:val="003101DA"/>
    <w:rsid w:val="00314757"/>
    <w:rsid w:val="00317BC1"/>
    <w:rsid w:val="003211CE"/>
    <w:rsid w:val="0033002B"/>
    <w:rsid w:val="003428D1"/>
    <w:rsid w:val="003515D2"/>
    <w:rsid w:val="00351BF7"/>
    <w:rsid w:val="0035403A"/>
    <w:rsid w:val="0035549C"/>
    <w:rsid w:val="0036394B"/>
    <w:rsid w:val="00367249"/>
    <w:rsid w:val="003709B5"/>
    <w:rsid w:val="00370BD1"/>
    <w:rsid w:val="003759C2"/>
    <w:rsid w:val="00384D65"/>
    <w:rsid w:val="00397365"/>
    <w:rsid w:val="0039788C"/>
    <w:rsid w:val="003A31F6"/>
    <w:rsid w:val="003B2100"/>
    <w:rsid w:val="003B6B6E"/>
    <w:rsid w:val="003C3447"/>
    <w:rsid w:val="003D076C"/>
    <w:rsid w:val="003E5019"/>
    <w:rsid w:val="003E63C6"/>
    <w:rsid w:val="004007F3"/>
    <w:rsid w:val="00415BAB"/>
    <w:rsid w:val="00415ED2"/>
    <w:rsid w:val="0042068C"/>
    <w:rsid w:val="0042080B"/>
    <w:rsid w:val="00426E0F"/>
    <w:rsid w:val="004303C4"/>
    <w:rsid w:val="004308BD"/>
    <w:rsid w:val="0043189C"/>
    <w:rsid w:val="00434C75"/>
    <w:rsid w:val="00436CEB"/>
    <w:rsid w:val="004408E5"/>
    <w:rsid w:val="00452143"/>
    <w:rsid w:val="00460EE0"/>
    <w:rsid w:val="0047122B"/>
    <w:rsid w:val="00473B7A"/>
    <w:rsid w:val="00475E3A"/>
    <w:rsid w:val="0048139F"/>
    <w:rsid w:val="00483942"/>
    <w:rsid w:val="00483A52"/>
    <w:rsid w:val="00485F87"/>
    <w:rsid w:val="00487ABF"/>
    <w:rsid w:val="004932B1"/>
    <w:rsid w:val="004960E9"/>
    <w:rsid w:val="00496275"/>
    <w:rsid w:val="004A1EC8"/>
    <w:rsid w:val="004A2E88"/>
    <w:rsid w:val="004A5305"/>
    <w:rsid w:val="004B6CE9"/>
    <w:rsid w:val="004C2BB6"/>
    <w:rsid w:val="004C6425"/>
    <w:rsid w:val="004D1C5F"/>
    <w:rsid w:val="004D1D3A"/>
    <w:rsid w:val="004D3EF2"/>
    <w:rsid w:val="004D53CD"/>
    <w:rsid w:val="004D7634"/>
    <w:rsid w:val="004E5B75"/>
    <w:rsid w:val="00503E41"/>
    <w:rsid w:val="00504863"/>
    <w:rsid w:val="005300D3"/>
    <w:rsid w:val="00534783"/>
    <w:rsid w:val="00535285"/>
    <w:rsid w:val="00544F82"/>
    <w:rsid w:val="005555DC"/>
    <w:rsid w:val="00571353"/>
    <w:rsid w:val="00585D3A"/>
    <w:rsid w:val="00593C4F"/>
    <w:rsid w:val="005946A8"/>
    <w:rsid w:val="005A4407"/>
    <w:rsid w:val="005A59EF"/>
    <w:rsid w:val="005A6994"/>
    <w:rsid w:val="005A7FFB"/>
    <w:rsid w:val="005B4C9B"/>
    <w:rsid w:val="005D69ED"/>
    <w:rsid w:val="005E04BC"/>
    <w:rsid w:val="005F237E"/>
    <w:rsid w:val="00601E4A"/>
    <w:rsid w:val="00602242"/>
    <w:rsid w:val="00602C5C"/>
    <w:rsid w:val="0061647C"/>
    <w:rsid w:val="00625DC6"/>
    <w:rsid w:val="00626F8C"/>
    <w:rsid w:val="00627105"/>
    <w:rsid w:val="00634693"/>
    <w:rsid w:val="00635C1B"/>
    <w:rsid w:val="0064398F"/>
    <w:rsid w:val="00644A3C"/>
    <w:rsid w:val="00645CB6"/>
    <w:rsid w:val="00646F87"/>
    <w:rsid w:val="00651821"/>
    <w:rsid w:val="00654384"/>
    <w:rsid w:val="00666CE7"/>
    <w:rsid w:val="006675CD"/>
    <w:rsid w:val="00670BC4"/>
    <w:rsid w:val="00684D9B"/>
    <w:rsid w:val="0069382C"/>
    <w:rsid w:val="00697556"/>
    <w:rsid w:val="006A16D4"/>
    <w:rsid w:val="006A5429"/>
    <w:rsid w:val="006B4C2B"/>
    <w:rsid w:val="006B6D47"/>
    <w:rsid w:val="006B71CD"/>
    <w:rsid w:val="006B79E2"/>
    <w:rsid w:val="006C0DD6"/>
    <w:rsid w:val="006C1D3A"/>
    <w:rsid w:val="006F6D95"/>
    <w:rsid w:val="00706F13"/>
    <w:rsid w:val="007072E8"/>
    <w:rsid w:val="007104E9"/>
    <w:rsid w:val="0071618D"/>
    <w:rsid w:val="00723E40"/>
    <w:rsid w:val="00725FA4"/>
    <w:rsid w:val="0073666F"/>
    <w:rsid w:val="00740446"/>
    <w:rsid w:val="007438A9"/>
    <w:rsid w:val="0074491E"/>
    <w:rsid w:val="0074794B"/>
    <w:rsid w:val="00750340"/>
    <w:rsid w:val="00755584"/>
    <w:rsid w:val="00761656"/>
    <w:rsid w:val="007651C0"/>
    <w:rsid w:val="00775964"/>
    <w:rsid w:val="007779AE"/>
    <w:rsid w:val="007845E1"/>
    <w:rsid w:val="00795466"/>
    <w:rsid w:val="00795BFB"/>
    <w:rsid w:val="00797BD0"/>
    <w:rsid w:val="007A1915"/>
    <w:rsid w:val="007B2760"/>
    <w:rsid w:val="007B792F"/>
    <w:rsid w:val="007C5B9C"/>
    <w:rsid w:val="007D3050"/>
    <w:rsid w:val="007D428F"/>
    <w:rsid w:val="007E453B"/>
    <w:rsid w:val="007E65B5"/>
    <w:rsid w:val="007F3BA3"/>
    <w:rsid w:val="008012A9"/>
    <w:rsid w:val="00804930"/>
    <w:rsid w:val="00806C01"/>
    <w:rsid w:val="00811BEF"/>
    <w:rsid w:val="00813B0E"/>
    <w:rsid w:val="008148CC"/>
    <w:rsid w:val="00816EAA"/>
    <w:rsid w:val="00817F7A"/>
    <w:rsid w:val="008211A4"/>
    <w:rsid w:val="00821345"/>
    <w:rsid w:val="00843B70"/>
    <w:rsid w:val="00845514"/>
    <w:rsid w:val="00850070"/>
    <w:rsid w:val="008531E3"/>
    <w:rsid w:val="00853BEE"/>
    <w:rsid w:val="008660A2"/>
    <w:rsid w:val="00873150"/>
    <w:rsid w:val="00874040"/>
    <w:rsid w:val="0087657D"/>
    <w:rsid w:val="008775D5"/>
    <w:rsid w:val="008807D5"/>
    <w:rsid w:val="00880832"/>
    <w:rsid w:val="00885B5F"/>
    <w:rsid w:val="00886EE1"/>
    <w:rsid w:val="0088727D"/>
    <w:rsid w:val="00897C75"/>
    <w:rsid w:val="008C1130"/>
    <w:rsid w:val="008D18E6"/>
    <w:rsid w:val="008D7A9B"/>
    <w:rsid w:val="008E76AC"/>
    <w:rsid w:val="008F21F6"/>
    <w:rsid w:val="008F4F9A"/>
    <w:rsid w:val="0093246C"/>
    <w:rsid w:val="0093506B"/>
    <w:rsid w:val="00937C80"/>
    <w:rsid w:val="009408FC"/>
    <w:rsid w:val="009454D9"/>
    <w:rsid w:val="00951F79"/>
    <w:rsid w:val="00966712"/>
    <w:rsid w:val="00972BAD"/>
    <w:rsid w:val="00974AB5"/>
    <w:rsid w:val="00974C38"/>
    <w:rsid w:val="0098706D"/>
    <w:rsid w:val="00991DE5"/>
    <w:rsid w:val="009935FB"/>
    <w:rsid w:val="009A3DA9"/>
    <w:rsid w:val="009A7DD6"/>
    <w:rsid w:val="009C14F9"/>
    <w:rsid w:val="009C3BBD"/>
    <w:rsid w:val="009C3EF0"/>
    <w:rsid w:val="009D321A"/>
    <w:rsid w:val="009D7387"/>
    <w:rsid w:val="009E698D"/>
    <w:rsid w:val="009F4509"/>
    <w:rsid w:val="009F4A54"/>
    <w:rsid w:val="009F4BEC"/>
    <w:rsid w:val="00A17C23"/>
    <w:rsid w:val="00A17E0C"/>
    <w:rsid w:val="00A21FC7"/>
    <w:rsid w:val="00A25FD7"/>
    <w:rsid w:val="00A27343"/>
    <w:rsid w:val="00A33C22"/>
    <w:rsid w:val="00A43AFF"/>
    <w:rsid w:val="00A459F8"/>
    <w:rsid w:val="00A621D6"/>
    <w:rsid w:val="00A64866"/>
    <w:rsid w:val="00A703A8"/>
    <w:rsid w:val="00A7793A"/>
    <w:rsid w:val="00A77D85"/>
    <w:rsid w:val="00A843BB"/>
    <w:rsid w:val="00A85B4B"/>
    <w:rsid w:val="00A90A01"/>
    <w:rsid w:val="00A95565"/>
    <w:rsid w:val="00AA0080"/>
    <w:rsid w:val="00AA363D"/>
    <w:rsid w:val="00AA7405"/>
    <w:rsid w:val="00AB666A"/>
    <w:rsid w:val="00AB6CA7"/>
    <w:rsid w:val="00AD01E4"/>
    <w:rsid w:val="00AD0858"/>
    <w:rsid w:val="00AE0B57"/>
    <w:rsid w:val="00AE2268"/>
    <w:rsid w:val="00AE7340"/>
    <w:rsid w:val="00AE7469"/>
    <w:rsid w:val="00AF145B"/>
    <w:rsid w:val="00AF1BBD"/>
    <w:rsid w:val="00AF3198"/>
    <w:rsid w:val="00AF37E2"/>
    <w:rsid w:val="00B04DAE"/>
    <w:rsid w:val="00B07506"/>
    <w:rsid w:val="00B10207"/>
    <w:rsid w:val="00B11959"/>
    <w:rsid w:val="00B12755"/>
    <w:rsid w:val="00B135EA"/>
    <w:rsid w:val="00B141E7"/>
    <w:rsid w:val="00B162A5"/>
    <w:rsid w:val="00B23461"/>
    <w:rsid w:val="00B23D09"/>
    <w:rsid w:val="00B23E43"/>
    <w:rsid w:val="00B351B4"/>
    <w:rsid w:val="00B40B8F"/>
    <w:rsid w:val="00B46BCA"/>
    <w:rsid w:val="00B47906"/>
    <w:rsid w:val="00B53E70"/>
    <w:rsid w:val="00B64127"/>
    <w:rsid w:val="00B66DCE"/>
    <w:rsid w:val="00B72766"/>
    <w:rsid w:val="00B844CB"/>
    <w:rsid w:val="00B86F7B"/>
    <w:rsid w:val="00B87806"/>
    <w:rsid w:val="00B87EC9"/>
    <w:rsid w:val="00BB0715"/>
    <w:rsid w:val="00BB1387"/>
    <w:rsid w:val="00BB27B2"/>
    <w:rsid w:val="00BC38FD"/>
    <w:rsid w:val="00BD7B34"/>
    <w:rsid w:val="00C021C8"/>
    <w:rsid w:val="00C032EB"/>
    <w:rsid w:val="00C034CB"/>
    <w:rsid w:val="00C04F7A"/>
    <w:rsid w:val="00C051A8"/>
    <w:rsid w:val="00C054BC"/>
    <w:rsid w:val="00C0577A"/>
    <w:rsid w:val="00C1014F"/>
    <w:rsid w:val="00C17897"/>
    <w:rsid w:val="00C22A01"/>
    <w:rsid w:val="00C34904"/>
    <w:rsid w:val="00C34EAF"/>
    <w:rsid w:val="00C409D5"/>
    <w:rsid w:val="00C466B5"/>
    <w:rsid w:val="00C6234B"/>
    <w:rsid w:val="00C63EAE"/>
    <w:rsid w:val="00C656C3"/>
    <w:rsid w:val="00C746E7"/>
    <w:rsid w:val="00C7629F"/>
    <w:rsid w:val="00C7747B"/>
    <w:rsid w:val="00C8065C"/>
    <w:rsid w:val="00C8661B"/>
    <w:rsid w:val="00CA139A"/>
    <w:rsid w:val="00CA2899"/>
    <w:rsid w:val="00CA77FB"/>
    <w:rsid w:val="00CB379B"/>
    <w:rsid w:val="00CB382F"/>
    <w:rsid w:val="00CB5DD0"/>
    <w:rsid w:val="00CC51D4"/>
    <w:rsid w:val="00CC65DA"/>
    <w:rsid w:val="00CD61F6"/>
    <w:rsid w:val="00CE584D"/>
    <w:rsid w:val="00CF0042"/>
    <w:rsid w:val="00CF21B9"/>
    <w:rsid w:val="00CF6BF9"/>
    <w:rsid w:val="00D0272B"/>
    <w:rsid w:val="00D03800"/>
    <w:rsid w:val="00D048ED"/>
    <w:rsid w:val="00D065D3"/>
    <w:rsid w:val="00D07405"/>
    <w:rsid w:val="00D1264F"/>
    <w:rsid w:val="00D14C94"/>
    <w:rsid w:val="00D159D8"/>
    <w:rsid w:val="00D2131B"/>
    <w:rsid w:val="00D2405D"/>
    <w:rsid w:val="00D24C9A"/>
    <w:rsid w:val="00D2525B"/>
    <w:rsid w:val="00D32F3D"/>
    <w:rsid w:val="00D342A6"/>
    <w:rsid w:val="00D34DBB"/>
    <w:rsid w:val="00D41220"/>
    <w:rsid w:val="00D42846"/>
    <w:rsid w:val="00D464BF"/>
    <w:rsid w:val="00D53E26"/>
    <w:rsid w:val="00D5698E"/>
    <w:rsid w:val="00D670AA"/>
    <w:rsid w:val="00D67940"/>
    <w:rsid w:val="00D72400"/>
    <w:rsid w:val="00D7412F"/>
    <w:rsid w:val="00D7616D"/>
    <w:rsid w:val="00D84DFF"/>
    <w:rsid w:val="00D87988"/>
    <w:rsid w:val="00D922E9"/>
    <w:rsid w:val="00D95C0D"/>
    <w:rsid w:val="00D97682"/>
    <w:rsid w:val="00D9787D"/>
    <w:rsid w:val="00DA0092"/>
    <w:rsid w:val="00DB451C"/>
    <w:rsid w:val="00DB51C7"/>
    <w:rsid w:val="00DC5A43"/>
    <w:rsid w:val="00DD28C6"/>
    <w:rsid w:val="00DD2FA6"/>
    <w:rsid w:val="00DD4F0E"/>
    <w:rsid w:val="00DD7C59"/>
    <w:rsid w:val="00DF0ACF"/>
    <w:rsid w:val="00DF375A"/>
    <w:rsid w:val="00E00AAF"/>
    <w:rsid w:val="00E05E0A"/>
    <w:rsid w:val="00E27B4D"/>
    <w:rsid w:val="00E37FB9"/>
    <w:rsid w:val="00E4263A"/>
    <w:rsid w:val="00E433F6"/>
    <w:rsid w:val="00E534CF"/>
    <w:rsid w:val="00E566FE"/>
    <w:rsid w:val="00E569CC"/>
    <w:rsid w:val="00E81CB4"/>
    <w:rsid w:val="00E8585B"/>
    <w:rsid w:val="00E86AFA"/>
    <w:rsid w:val="00E93051"/>
    <w:rsid w:val="00E94997"/>
    <w:rsid w:val="00EA3F15"/>
    <w:rsid w:val="00EA40C9"/>
    <w:rsid w:val="00EA7847"/>
    <w:rsid w:val="00EB4FBC"/>
    <w:rsid w:val="00EC16C2"/>
    <w:rsid w:val="00EC6D45"/>
    <w:rsid w:val="00ED427E"/>
    <w:rsid w:val="00EE2E6E"/>
    <w:rsid w:val="00EF0538"/>
    <w:rsid w:val="00EF061E"/>
    <w:rsid w:val="00EF4000"/>
    <w:rsid w:val="00EF5C39"/>
    <w:rsid w:val="00EF6C23"/>
    <w:rsid w:val="00F0759E"/>
    <w:rsid w:val="00F12BA5"/>
    <w:rsid w:val="00F43023"/>
    <w:rsid w:val="00F45935"/>
    <w:rsid w:val="00F821A3"/>
    <w:rsid w:val="00F86847"/>
    <w:rsid w:val="00F9314A"/>
    <w:rsid w:val="00F96D1B"/>
    <w:rsid w:val="00FA062F"/>
    <w:rsid w:val="00FA5BBD"/>
    <w:rsid w:val="00FB0A17"/>
    <w:rsid w:val="00FB29AB"/>
    <w:rsid w:val="00FB4485"/>
    <w:rsid w:val="00FC4E3D"/>
    <w:rsid w:val="00FC58EF"/>
    <w:rsid w:val="00FD33DF"/>
    <w:rsid w:val="00FD552B"/>
    <w:rsid w:val="00FE39D7"/>
    <w:rsid w:val="00FE466F"/>
    <w:rsid w:val="00FE6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843B70"/>
    <w:rPr>
      <w:i/>
      <w:iCs/>
      <w:color w:val="000000" w:themeColor="text1"/>
    </w:rPr>
  </w:style>
  <w:style w:type="character" w:customStyle="1" w:styleId="CitaCar">
    <w:name w:val="Cita Car"/>
    <w:basedOn w:val="Fuentedeprrafopredeter"/>
    <w:link w:val="Cita"/>
    <w:uiPriority w:val="29"/>
    <w:rsid w:val="00843B70"/>
    <w:rPr>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843B70"/>
    <w:rPr>
      <w:i/>
      <w:iCs/>
      <w:color w:val="000000" w:themeColor="text1"/>
    </w:rPr>
  </w:style>
  <w:style w:type="character" w:customStyle="1" w:styleId="CitaCar">
    <w:name w:val="Cita Car"/>
    <w:basedOn w:val="Fuentedeprrafopredeter"/>
    <w:link w:val="Cita"/>
    <w:uiPriority w:val="29"/>
    <w:rsid w:val="00843B70"/>
    <w:rPr>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5158">
      <w:bodyDiv w:val="1"/>
      <w:marLeft w:val="0"/>
      <w:marRight w:val="0"/>
      <w:marTop w:val="0"/>
      <w:marBottom w:val="0"/>
      <w:divBdr>
        <w:top w:val="none" w:sz="0" w:space="0" w:color="auto"/>
        <w:left w:val="none" w:sz="0" w:space="0" w:color="auto"/>
        <w:bottom w:val="none" w:sz="0" w:space="0" w:color="auto"/>
        <w:right w:val="none" w:sz="0" w:space="0" w:color="auto"/>
      </w:divBdr>
    </w:div>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E0A9-EA3B-400B-BB9A-E25A461A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1755</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2014-05-26T14:49:00Z</cp:lastPrinted>
  <dcterms:created xsi:type="dcterms:W3CDTF">2014-06-16T16:28:00Z</dcterms:created>
  <dcterms:modified xsi:type="dcterms:W3CDTF">2014-06-16T16:28:00Z</dcterms:modified>
</cp:coreProperties>
</file>