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8F25" w14:textId="50F29DBE" w:rsidR="005C1BCA" w:rsidRPr="005C1BCA" w:rsidRDefault="00F71DF0"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721121597" r:id="rId12"/>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14:paraId="52529B2A" w14:textId="77777777" w:rsidR="005C1BCA" w:rsidRPr="001E04A9" w:rsidRDefault="005C1BCA" w:rsidP="001E04A9">
      <w:pPr>
        <w:pStyle w:val="Ttulo5"/>
      </w:pPr>
    </w:p>
    <w:p w14:paraId="46177A9E"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14:paraId="0DC7C982"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14:paraId="448A25FE"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02E049BC"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71795735" w14:textId="782D2CD1" w:rsidR="005C1BCA" w:rsidRPr="00727891"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727891">
        <w:rPr>
          <w:rFonts w:ascii="Bookman Old Style" w:eastAsia="Times New Roman" w:hAnsi="Bookman Old Style" w:cs="Arial"/>
          <w:b/>
          <w:snapToGrid w:val="0"/>
          <w:color w:val="000000"/>
          <w:spacing w:val="20"/>
          <w:sz w:val="24"/>
          <w:szCs w:val="24"/>
          <w:lang w:val="es-ES_tradnl" w:eastAsia="es-ES"/>
        </w:rPr>
        <w:t>RESOLUCIÓN No.</w:t>
      </w:r>
      <w:r w:rsidR="00592522">
        <w:rPr>
          <w:rFonts w:ascii="Bookman Old Style" w:eastAsia="Times New Roman" w:hAnsi="Bookman Old Style" w:cs="Arial"/>
          <w:b/>
          <w:snapToGrid w:val="0"/>
          <w:color w:val="000000"/>
          <w:spacing w:val="20"/>
          <w:sz w:val="24"/>
          <w:szCs w:val="24"/>
          <w:lang w:val="es-ES_tradnl" w:eastAsia="es-ES"/>
        </w:rPr>
        <w:t xml:space="preserve"> </w:t>
      </w:r>
      <w:r w:rsidR="00592522" w:rsidRPr="00E44D38">
        <w:rPr>
          <w:rFonts w:ascii="Bookman Old Style" w:eastAsia="Times New Roman" w:hAnsi="Bookman Old Style" w:cs="Arial"/>
          <w:b/>
          <w:snapToGrid w:val="0"/>
          <w:color w:val="000000"/>
          <w:spacing w:val="20"/>
          <w:sz w:val="32"/>
          <w:szCs w:val="32"/>
          <w:lang w:val="es-ES_tradnl" w:eastAsia="es-ES"/>
        </w:rPr>
        <w:t xml:space="preserve">501 </w:t>
      </w:r>
      <w:r w:rsidR="00E44D38" w:rsidRPr="00E44D38">
        <w:rPr>
          <w:rFonts w:ascii="Bookman Old Style" w:eastAsia="Times New Roman" w:hAnsi="Bookman Old Style" w:cs="Arial"/>
          <w:b/>
          <w:snapToGrid w:val="0"/>
          <w:color w:val="000000"/>
          <w:spacing w:val="20"/>
          <w:sz w:val="32"/>
          <w:szCs w:val="32"/>
          <w:lang w:val="es-ES_tradnl" w:eastAsia="es-ES"/>
        </w:rPr>
        <w:t>058</w:t>
      </w:r>
      <w:r w:rsidRPr="00727891">
        <w:rPr>
          <w:rFonts w:ascii="Bookman Old Style" w:eastAsia="Times New Roman" w:hAnsi="Bookman Old Style" w:cs="Arial"/>
          <w:b/>
          <w:snapToGrid w:val="0"/>
          <w:color w:val="000000"/>
          <w:spacing w:val="20"/>
          <w:sz w:val="24"/>
          <w:szCs w:val="24"/>
          <w:lang w:val="es-ES_tradnl" w:eastAsia="es-ES"/>
        </w:rPr>
        <w:t xml:space="preserve"> DE 2</w:t>
      </w:r>
      <w:r w:rsidRPr="00D41117">
        <w:rPr>
          <w:rFonts w:ascii="Bookman Old Style" w:eastAsia="Times New Roman" w:hAnsi="Bookman Old Style" w:cs="Arial"/>
          <w:b/>
          <w:snapToGrid w:val="0"/>
          <w:color w:val="000000"/>
          <w:spacing w:val="20"/>
          <w:sz w:val="24"/>
          <w:szCs w:val="24"/>
          <w:lang w:val="es-ES_tradnl" w:eastAsia="es-ES"/>
        </w:rPr>
        <w:t>0</w:t>
      </w:r>
      <w:r w:rsidR="00AE2F2A" w:rsidRPr="00D41117">
        <w:rPr>
          <w:rFonts w:ascii="Bookman Old Style" w:eastAsia="Times New Roman" w:hAnsi="Bookman Old Style" w:cs="Arial"/>
          <w:b/>
          <w:snapToGrid w:val="0"/>
          <w:color w:val="000000"/>
          <w:spacing w:val="20"/>
          <w:sz w:val="24"/>
          <w:szCs w:val="24"/>
          <w:lang w:val="es-ES_tradnl" w:eastAsia="es-ES"/>
        </w:rPr>
        <w:t>2</w:t>
      </w:r>
      <w:r w:rsidR="00E20B55">
        <w:rPr>
          <w:rFonts w:ascii="Bookman Old Style" w:eastAsia="Times New Roman" w:hAnsi="Bookman Old Style" w:cs="Arial"/>
          <w:b/>
          <w:snapToGrid w:val="0"/>
          <w:color w:val="000000"/>
          <w:spacing w:val="20"/>
          <w:sz w:val="24"/>
          <w:szCs w:val="24"/>
          <w:lang w:val="es-ES_tradnl" w:eastAsia="es-ES"/>
        </w:rPr>
        <w:t>2</w:t>
      </w:r>
    </w:p>
    <w:p w14:paraId="57138903" w14:textId="77777777" w:rsidR="005C1BCA" w:rsidRPr="00727891"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14:paraId="237C1321" w14:textId="7D95B0AF"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727891">
        <w:rPr>
          <w:rFonts w:ascii="Bookman Old Style" w:eastAsia="Times New Roman" w:hAnsi="Bookman Old Style" w:cs="Times New Roman"/>
          <w:snapToGrid w:val="0"/>
          <w:color w:val="000000"/>
          <w:sz w:val="24"/>
          <w:szCs w:val="24"/>
          <w:lang w:val="es-ES_tradnl" w:eastAsia="es-ES"/>
        </w:rPr>
        <w:t xml:space="preserve">(   </w:t>
      </w:r>
      <w:r w:rsidR="00E44D38" w:rsidRPr="00E44D38">
        <w:rPr>
          <w:rFonts w:ascii="Bookman Old Style" w:eastAsia="Times New Roman" w:hAnsi="Bookman Old Style" w:cs="Times New Roman"/>
          <w:b/>
          <w:bCs/>
          <w:snapToGrid w:val="0"/>
          <w:color w:val="000000"/>
          <w:sz w:val="32"/>
          <w:szCs w:val="32"/>
          <w:lang w:val="es-ES_tradnl" w:eastAsia="es-ES"/>
        </w:rPr>
        <w:t>15 JUL. 2022</w:t>
      </w:r>
      <w:r w:rsidRPr="00727891">
        <w:rPr>
          <w:rFonts w:ascii="Bookman Old Style" w:eastAsia="Times New Roman" w:hAnsi="Bookman Old Style" w:cs="Times New Roman"/>
          <w:snapToGrid w:val="0"/>
          <w:color w:val="000000"/>
          <w:sz w:val="24"/>
          <w:szCs w:val="24"/>
          <w:lang w:val="es-ES_tradnl" w:eastAsia="es-ES"/>
        </w:rPr>
        <w:t xml:space="preserve">   )</w:t>
      </w:r>
    </w:p>
    <w:p w14:paraId="69F6A710" w14:textId="77777777"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14:paraId="3673F4FE" w14:textId="77777777"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14:paraId="72A329E7" w14:textId="33F04B4B" w:rsidR="00CD74B5" w:rsidRDefault="00A33677" w:rsidP="005C1BCA">
      <w:pPr>
        <w:spacing w:after="0" w:line="240" w:lineRule="auto"/>
        <w:contextualSpacing/>
        <w:jc w:val="center"/>
        <w:rPr>
          <w:rFonts w:ascii="Bookman Old Style" w:eastAsia="Times New Roman" w:hAnsi="Bookman Old Style" w:cs="Times New Roman"/>
          <w:sz w:val="24"/>
          <w:szCs w:val="24"/>
          <w:lang w:val="es-ES" w:eastAsia="es-ES"/>
        </w:rPr>
      </w:pPr>
      <w:bookmarkStart w:id="0" w:name="_Hlk108716463"/>
      <w:r w:rsidRPr="00A33677">
        <w:rPr>
          <w:rFonts w:ascii="Bookman Old Style" w:eastAsia="Times New Roman" w:hAnsi="Bookman Old Style" w:cs="Times New Roman"/>
          <w:sz w:val="24"/>
          <w:szCs w:val="24"/>
          <w:lang w:val="es-ES" w:eastAsia="es-ES"/>
        </w:rPr>
        <w:t xml:space="preserve">Por la cual se resuelve </w:t>
      </w:r>
      <w:r w:rsidR="00AE1410">
        <w:rPr>
          <w:rFonts w:ascii="Bookman Old Style" w:eastAsia="Times New Roman" w:hAnsi="Bookman Old Style" w:cs="Times New Roman"/>
          <w:sz w:val="24"/>
          <w:szCs w:val="24"/>
          <w:lang w:val="es-ES" w:eastAsia="es-ES"/>
        </w:rPr>
        <w:t>los</w:t>
      </w:r>
      <w:r w:rsidR="00AE1410" w:rsidRPr="00A33677">
        <w:rPr>
          <w:rFonts w:ascii="Bookman Old Style" w:eastAsia="Times New Roman" w:hAnsi="Bookman Old Style" w:cs="Times New Roman"/>
          <w:sz w:val="24"/>
          <w:szCs w:val="24"/>
          <w:lang w:val="es-ES" w:eastAsia="es-ES"/>
        </w:rPr>
        <w:t xml:space="preserve"> </w:t>
      </w:r>
      <w:r w:rsidRPr="00A33677">
        <w:rPr>
          <w:rFonts w:ascii="Bookman Old Style" w:eastAsia="Times New Roman" w:hAnsi="Bookman Old Style" w:cs="Times New Roman"/>
          <w:sz w:val="24"/>
          <w:szCs w:val="24"/>
          <w:lang w:val="es-ES" w:eastAsia="es-ES"/>
        </w:rPr>
        <w:t>recurso</w:t>
      </w:r>
      <w:r w:rsidR="00AE1410">
        <w:rPr>
          <w:rFonts w:ascii="Bookman Old Style" w:eastAsia="Times New Roman" w:hAnsi="Bookman Old Style" w:cs="Times New Roman"/>
          <w:sz w:val="24"/>
          <w:szCs w:val="24"/>
          <w:lang w:val="es-ES" w:eastAsia="es-ES"/>
        </w:rPr>
        <w:t>s</w:t>
      </w:r>
      <w:r w:rsidRPr="00A33677">
        <w:rPr>
          <w:rFonts w:ascii="Bookman Old Style" w:eastAsia="Times New Roman" w:hAnsi="Bookman Old Style" w:cs="Times New Roman"/>
          <w:sz w:val="24"/>
          <w:szCs w:val="24"/>
          <w:lang w:val="es-ES" w:eastAsia="es-ES"/>
        </w:rPr>
        <w:t xml:space="preserve"> d</w:t>
      </w:r>
      <w:r>
        <w:rPr>
          <w:rFonts w:ascii="Bookman Old Style" w:eastAsia="Times New Roman" w:hAnsi="Bookman Old Style" w:cs="Times New Roman"/>
          <w:sz w:val="24"/>
          <w:szCs w:val="24"/>
          <w:lang w:val="es-ES" w:eastAsia="es-ES"/>
        </w:rPr>
        <w:t>e reposición interpuesto</w:t>
      </w:r>
      <w:r w:rsidR="00AE1410">
        <w:rPr>
          <w:rFonts w:ascii="Bookman Old Style" w:eastAsia="Times New Roman" w:hAnsi="Bookman Old Style" w:cs="Times New Roman"/>
          <w:sz w:val="24"/>
          <w:szCs w:val="24"/>
          <w:lang w:val="es-ES" w:eastAsia="es-ES"/>
        </w:rPr>
        <w:t>s</w:t>
      </w:r>
      <w:r>
        <w:rPr>
          <w:rFonts w:ascii="Bookman Old Style" w:eastAsia="Times New Roman" w:hAnsi="Bookman Old Style" w:cs="Times New Roman"/>
          <w:sz w:val="24"/>
          <w:szCs w:val="24"/>
          <w:lang w:val="es-ES" w:eastAsia="es-ES"/>
        </w:rPr>
        <w:t xml:space="preserve"> </w:t>
      </w:r>
      <w:r w:rsidRPr="008B5E04">
        <w:rPr>
          <w:rFonts w:ascii="Bookman Old Style" w:eastAsia="Times New Roman" w:hAnsi="Bookman Old Style" w:cs="Times New Roman"/>
          <w:sz w:val="24"/>
          <w:szCs w:val="24"/>
          <w:lang w:val="es-ES" w:eastAsia="es-ES"/>
        </w:rPr>
        <w:t xml:space="preserve">por </w:t>
      </w:r>
      <w:r w:rsidR="00F326B3">
        <w:rPr>
          <w:rFonts w:ascii="Bookman Old Style" w:eastAsia="Times New Roman" w:hAnsi="Bookman Old Style" w:cs="Times New Roman"/>
          <w:sz w:val="24"/>
          <w:szCs w:val="24"/>
          <w:lang w:val="es-ES" w:eastAsia="es-ES"/>
        </w:rPr>
        <w:t xml:space="preserve">GENSA </w:t>
      </w:r>
      <w:r w:rsidR="002D17E6">
        <w:rPr>
          <w:rFonts w:ascii="Bookman Old Style" w:eastAsia="Times New Roman" w:hAnsi="Bookman Old Style" w:cs="Times New Roman"/>
          <w:sz w:val="24"/>
          <w:szCs w:val="24"/>
          <w:lang w:val="es-ES" w:eastAsia="es-ES"/>
        </w:rPr>
        <w:t>S.A.</w:t>
      </w:r>
      <w:r w:rsidR="0050664A">
        <w:rPr>
          <w:rFonts w:ascii="Bookman Old Style" w:eastAsia="Times New Roman" w:hAnsi="Bookman Old Style" w:cs="Times New Roman"/>
          <w:sz w:val="24"/>
          <w:szCs w:val="24"/>
          <w:lang w:val="es-ES" w:eastAsia="es-ES"/>
        </w:rPr>
        <w:t xml:space="preserve"> </w:t>
      </w:r>
      <w:r w:rsidR="006723DF">
        <w:rPr>
          <w:rFonts w:ascii="Bookman Old Style" w:eastAsia="Times New Roman" w:hAnsi="Bookman Old Style" w:cs="Times New Roman"/>
          <w:sz w:val="24"/>
          <w:szCs w:val="24"/>
          <w:lang w:val="es-ES" w:eastAsia="es-ES"/>
        </w:rPr>
        <w:t>E</w:t>
      </w:r>
      <w:r w:rsidR="0050664A">
        <w:rPr>
          <w:rFonts w:ascii="Bookman Old Style" w:eastAsia="Times New Roman" w:hAnsi="Bookman Old Style" w:cs="Times New Roman"/>
          <w:sz w:val="24"/>
          <w:szCs w:val="24"/>
          <w:lang w:val="es-ES" w:eastAsia="es-ES"/>
        </w:rPr>
        <w:t>.</w:t>
      </w:r>
      <w:r w:rsidR="006723DF">
        <w:rPr>
          <w:rFonts w:ascii="Bookman Old Style" w:eastAsia="Times New Roman" w:hAnsi="Bookman Old Style" w:cs="Times New Roman"/>
          <w:sz w:val="24"/>
          <w:szCs w:val="24"/>
          <w:lang w:val="es-ES" w:eastAsia="es-ES"/>
        </w:rPr>
        <w:t>S</w:t>
      </w:r>
      <w:r w:rsidR="0050664A">
        <w:rPr>
          <w:rFonts w:ascii="Bookman Old Style" w:eastAsia="Times New Roman" w:hAnsi="Bookman Old Style" w:cs="Times New Roman"/>
          <w:sz w:val="24"/>
          <w:szCs w:val="24"/>
          <w:lang w:val="es-ES" w:eastAsia="es-ES"/>
        </w:rPr>
        <w:t>.</w:t>
      </w:r>
      <w:r w:rsidR="006723DF">
        <w:rPr>
          <w:rFonts w:ascii="Bookman Old Style" w:eastAsia="Times New Roman" w:hAnsi="Bookman Old Style" w:cs="Times New Roman"/>
          <w:sz w:val="24"/>
          <w:szCs w:val="24"/>
          <w:lang w:val="es-ES" w:eastAsia="es-ES"/>
        </w:rPr>
        <w:t>P</w:t>
      </w:r>
      <w:r w:rsidR="0050664A">
        <w:rPr>
          <w:rFonts w:ascii="Bookman Old Style" w:eastAsia="Times New Roman" w:hAnsi="Bookman Old Style" w:cs="Times New Roman"/>
          <w:sz w:val="24"/>
          <w:szCs w:val="24"/>
          <w:lang w:val="es-ES" w:eastAsia="es-ES"/>
        </w:rPr>
        <w:t>.</w:t>
      </w:r>
      <w:r w:rsidR="00F5339F" w:rsidRPr="008B5E04">
        <w:rPr>
          <w:rFonts w:ascii="Bookman Old Style" w:eastAsia="Times New Roman" w:hAnsi="Bookman Old Style" w:cs="Times New Roman"/>
          <w:sz w:val="24"/>
          <w:szCs w:val="24"/>
          <w:lang w:val="es-ES" w:eastAsia="es-ES"/>
        </w:rPr>
        <w:t xml:space="preserve"> </w:t>
      </w:r>
      <w:r w:rsidR="002D17E6">
        <w:rPr>
          <w:rFonts w:ascii="Bookman Old Style" w:eastAsia="Times New Roman" w:hAnsi="Bookman Old Style" w:cs="Times New Roman"/>
          <w:sz w:val="24"/>
          <w:szCs w:val="24"/>
          <w:lang w:val="es-ES" w:eastAsia="es-ES"/>
        </w:rPr>
        <w:t xml:space="preserve">y DUE CAPITAL </w:t>
      </w:r>
      <w:r w:rsidR="006723DF">
        <w:rPr>
          <w:rFonts w:ascii="Bookman Old Style" w:eastAsia="Times New Roman" w:hAnsi="Bookman Old Style" w:cs="Times New Roman"/>
          <w:sz w:val="24"/>
          <w:szCs w:val="24"/>
          <w:lang w:val="es-ES" w:eastAsia="es-ES"/>
        </w:rPr>
        <w:t xml:space="preserve">&amp; SERVICES </w:t>
      </w:r>
      <w:r w:rsidRPr="008B5E04">
        <w:rPr>
          <w:rFonts w:ascii="Bookman Old Style" w:eastAsia="Times New Roman" w:hAnsi="Bookman Old Style" w:cs="Times New Roman"/>
          <w:sz w:val="24"/>
          <w:szCs w:val="24"/>
          <w:lang w:val="es-ES" w:eastAsia="es-ES"/>
        </w:rPr>
        <w:t>S</w:t>
      </w:r>
      <w:r w:rsidR="00F5339F" w:rsidRPr="008B5E04">
        <w:rPr>
          <w:rFonts w:ascii="Bookman Old Style" w:eastAsia="Times New Roman" w:hAnsi="Bookman Old Style" w:cs="Times New Roman"/>
          <w:sz w:val="24"/>
          <w:szCs w:val="24"/>
          <w:lang w:val="es-ES" w:eastAsia="es-ES"/>
        </w:rPr>
        <w:t>.A.</w:t>
      </w:r>
      <w:r w:rsidR="002D17E6">
        <w:rPr>
          <w:rFonts w:ascii="Bookman Old Style" w:eastAsia="Times New Roman" w:hAnsi="Bookman Old Style" w:cs="Times New Roman"/>
          <w:sz w:val="24"/>
          <w:szCs w:val="24"/>
          <w:lang w:val="es-ES" w:eastAsia="es-ES"/>
        </w:rPr>
        <w:t>S</w:t>
      </w:r>
      <w:r w:rsidR="0050664A">
        <w:rPr>
          <w:rFonts w:ascii="Bookman Old Style" w:eastAsia="Times New Roman" w:hAnsi="Bookman Old Style" w:cs="Times New Roman"/>
          <w:sz w:val="24"/>
          <w:szCs w:val="24"/>
          <w:lang w:val="es-ES" w:eastAsia="es-ES"/>
        </w:rPr>
        <w:t>.</w:t>
      </w:r>
      <w:r w:rsidRPr="008B5E04">
        <w:rPr>
          <w:rFonts w:ascii="Bookman Old Style" w:eastAsia="Times New Roman" w:hAnsi="Bookman Old Style" w:cs="Times New Roman"/>
          <w:sz w:val="24"/>
          <w:szCs w:val="24"/>
          <w:lang w:val="es-ES" w:eastAsia="es-ES"/>
        </w:rPr>
        <w:t xml:space="preserve"> contra la Resolución CREG </w:t>
      </w:r>
      <w:r w:rsidR="00E20B55" w:rsidRPr="008B5E04">
        <w:rPr>
          <w:rFonts w:ascii="Bookman Old Style" w:eastAsia="Times New Roman" w:hAnsi="Bookman Old Style" w:cs="Times New Roman"/>
          <w:sz w:val="24"/>
          <w:szCs w:val="24"/>
          <w:lang w:val="es-ES" w:eastAsia="es-ES"/>
        </w:rPr>
        <w:t>50</w:t>
      </w:r>
      <w:r w:rsidR="002D17E6">
        <w:rPr>
          <w:rFonts w:ascii="Bookman Old Style" w:eastAsia="Times New Roman" w:hAnsi="Bookman Old Style" w:cs="Times New Roman"/>
          <w:sz w:val="24"/>
          <w:szCs w:val="24"/>
          <w:lang w:val="es-ES" w:eastAsia="es-ES"/>
        </w:rPr>
        <w:t>1</w:t>
      </w:r>
      <w:r w:rsidR="00E20B55" w:rsidRPr="008B5E04">
        <w:rPr>
          <w:rFonts w:ascii="Bookman Old Style" w:eastAsia="Times New Roman" w:hAnsi="Bookman Old Style" w:cs="Times New Roman"/>
          <w:sz w:val="24"/>
          <w:szCs w:val="24"/>
          <w:lang w:val="es-ES" w:eastAsia="es-ES"/>
        </w:rPr>
        <w:t xml:space="preserve"> </w:t>
      </w:r>
      <w:r w:rsidR="002D17E6">
        <w:rPr>
          <w:rFonts w:ascii="Bookman Old Style" w:eastAsia="Times New Roman" w:hAnsi="Bookman Old Style" w:cs="Times New Roman"/>
          <w:sz w:val="24"/>
          <w:szCs w:val="24"/>
          <w:lang w:val="es-ES" w:eastAsia="es-ES"/>
        </w:rPr>
        <w:t>26A</w:t>
      </w:r>
      <w:r w:rsidR="00AE2F2A" w:rsidRPr="008B5E04">
        <w:rPr>
          <w:rFonts w:ascii="Bookman Old Style" w:eastAsia="Times New Roman" w:hAnsi="Bookman Old Style" w:cs="Times New Roman"/>
          <w:sz w:val="24"/>
          <w:szCs w:val="24"/>
          <w:lang w:val="es-ES" w:eastAsia="es-ES"/>
        </w:rPr>
        <w:t xml:space="preserve"> </w:t>
      </w:r>
      <w:r w:rsidR="00FE26C8" w:rsidRPr="008B5E04">
        <w:rPr>
          <w:rFonts w:ascii="Bookman Old Style" w:eastAsia="Times New Roman" w:hAnsi="Bookman Old Style" w:cs="Times New Roman"/>
          <w:sz w:val="24"/>
          <w:szCs w:val="24"/>
          <w:lang w:val="es-ES" w:eastAsia="es-ES"/>
        </w:rPr>
        <w:t xml:space="preserve">de </w:t>
      </w:r>
      <w:r w:rsidR="00AE2F2A" w:rsidRPr="008B5E04">
        <w:rPr>
          <w:rFonts w:ascii="Bookman Old Style" w:eastAsia="Times New Roman" w:hAnsi="Bookman Old Style" w:cs="Times New Roman"/>
          <w:sz w:val="24"/>
          <w:szCs w:val="24"/>
          <w:lang w:val="es-ES" w:eastAsia="es-ES"/>
        </w:rPr>
        <w:t>202</w:t>
      </w:r>
      <w:r w:rsidR="00E20B55" w:rsidRPr="008B5E04">
        <w:rPr>
          <w:rFonts w:ascii="Bookman Old Style" w:eastAsia="Times New Roman" w:hAnsi="Bookman Old Style" w:cs="Times New Roman"/>
          <w:sz w:val="24"/>
          <w:szCs w:val="24"/>
          <w:lang w:val="es-ES" w:eastAsia="es-ES"/>
        </w:rPr>
        <w:t>2</w:t>
      </w:r>
    </w:p>
    <w:bookmarkEnd w:id="0"/>
    <w:p w14:paraId="788B84D7" w14:textId="77777777"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14:paraId="1B742B1D" w14:textId="77777777"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14:paraId="52A6A684" w14:textId="77777777"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14:paraId="5E4EEB85" w14:textId="77777777"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14:paraId="14AE37CB" w14:textId="1F4917BE"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w:t>
      </w:r>
      <w:r w:rsidR="000D1CF3">
        <w:rPr>
          <w:rFonts w:ascii="Bookman Old Style" w:eastAsia="Times New Roman" w:hAnsi="Bookman Old Style" w:cs="Arial"/>
          <w:color w:val="000000"/>
          <w:sz w:val="24"/>
          <w:szCs w:val="24"/>
          <w:lang w:val="es-ES" w:eastAsia="es-ES"/>
        </w:rPr>
        <w:t xml:space="preserve"> y 143</w:t>
      </w:r>
      <w:r w:rsidR="00DE5054">
        <w:rPr>
          <w:rFonts w:ascii="Bookman Old Style" w:eastAsia="Times New Roman" w:hAnsi="Bookman Old Style" w:cs="Arial"/>
          <w:color w:val="000000"/>
          <w:sz w:val="24"/>
          <w:szCs w:val="24"/>
          <w:lang w:val="es-ES" w:eastAsia="es-ES"/>
        </w:rPr>
        <w:t xml:space="preserve"> de 1994,</w:t>
      </w:r>
      <w:r w:rsidRPr="005C1BCA">
        <w:rPr>
          <w:rFonts w:ascii="Bookman Old Style" w:eastAsia="Times New Roman" w:hAnsi="Bookman Old Style" w:cs="Arial"/>
          <w:color w:val="000000"/>
          <w:sz w:val="24"/>
          <w:szCs w:val="24"/>
          <w:lang w:val="es-ES" w:eastAsia="es-ES"/>
        </w:rPr>
        <w:t xml:space="preserve"> </w:t>
      </w:r>
      <w:r w:rsidR="00DE5054">
        <w:rPr>
          <w:rFonts w:ascii="Bookman Old Style" w:eastAsia="Times New Roman" w:hAnsi="Bookman Old Style" w:cs="Arial"/>
          <w:color w:val="000000"/>
          <w:sz w:val="24"/>
          <w:szCs w:val="24"/>
          <w:lang w:val="es-ES" w:eastAsia="es-ES"/>
        </w:rPr>
        <w:t>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14:paraId="7A9F1E7D" w14:textId="77777777"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14:paraId="4561A702" w14:textId="77777777"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14:paraId="4E50CC78" w14:textId="7A45E804"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 xml:space="preserve">C O N S I D E R A N D O </w:t>
      </w:r>
      <w:r w:rsidR="00272E86">
        <w:rPr>
          <w:rFonts w:ascii="Bookman Old Style" w:eastAsia="Times New Roman" w:hAnsi="Bookman Old Style" w:cs="Arial"/>
          <w:b/>
          <w:color w:val="000000"/>
          <w:sz w:val="24"/>
          <w:szCs w:val="24"/>
          <w:lang w:val="es-ES" w:eastAsia="es-ES"/>
        </w:rPr>
        <w:t xml:space="preserve"> </w:t>
      </w:r>
      <w:r w:rsidRPr="005C1BCA">
        <w:rPr>
          <w:rFonts w:ascii="Bookman Old Style" w:eastAsia="Times New Roman" w:hAnsi="Bookman Old Style" w:cs="Arial"/>
          <w:b/>
          <w:color w:val="000000"/>
          <w:sz w:val="24"/>
          <w:szCs w:val="24"/>
          <w:lang w:val="es-ES" w:eastAsia="es-ES"/>
        </w:rPr>
        <w:t xml:space="preserve"> Q U E:</w:t>
      </w:r>
    </w:p>
    <w:p w14:paraId="0CC10225" w14:textId="77777777" w:rsidR="00A33677" w:rsidRDefault="00A33677" w:rsidP="00A33677">
      <w:pPr>
        <w:pStyle w:val="Textoindependiente2"/>
        <w:spacing w:after="0" w:line="240" w:lineRule="auto"/>
        <w:ind w:left="578" w:right="-142" w:hanging="720"/>
        <w:jc w:val="both"/>
        <w:rPr>
          <w:rFonts w:ascii="Bookman Old Style" w:hAnsi="Bookman Old Style"/>
          <w:b/>
        </w:rPr>
      </w:pPr>
    </w:p>
    <w:p w14:paraId="637C0428" w14:textId="77777777" w:rsidR="00A33677" w:rsidRDefault="00A33677" w:rsidP="00A33677">
      <w:pPr>
        <w:pStyle w:val="Textoindependiente2"/>
        <w:spacing w:after="0" w:line="240" w:lineRule="auto"/>
        <w:ind w:left="578" w:right="-142" w:hanging="720"/>
        <w:jc w:val="both"/>
        <w:rPr>
          <w:rFonts w:ascii="Bookman Old Style" w:hAnsi="Bookman Old Style"/>
          <w:b/>
        </w:rPr>
      </w:pPr>
    </w:p>
    <w:p w14:paraId="27B84DA5" w14:textId="77777777"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14:paraId="648787FC" w14:textId="77777777" w:rsidR="00A33677" w:rsidRDefault="00A33677" w:rsidP="00DE5054">
      <w:pPr>
        <w:spacing w:after="0" w:line="240" w:lineRule="auto"/>
        <w:jc w:val="both"/>
        <w:rPr>
          <w:rFonts w:ascii="Bookman Old Style" w:eastAsia="Times New Roman" w:hAnsi="Bookman Old Style" w:cs="Arial"/>
          <w:spacing w:val="-5"/>
          <w:sz w:val="24"/>
          <w:szCs w:val="24"/>
        </w:rPr>
      </w:pPr>
    </w:p>
    <w:p w14:paraId="67355370" w14:textId="52209A9B" w:rsidR="00D83E59" w:rsidRDefault="003C3DE8" w:rsidP="00B703A8">
      <w:pPr>
        <w:spacing w:after="0" w:line="240" w:lineRule="auto"/>
        <w:ind w:left="-142"/>
        <w:jc w:val="both"/>
        <w:rPr>
          <w:rFonts w:ascii="Bookman Old Style" w:hAnsi="Bookman Old Style" w:cs="Arial"/>
          <w:sz w:val="24"/>
          <w:szCs w:val="24"/>
        </w:rPr>
      </w:pPr>
      <w:r>
        <w:rPr>
          <w:rFonts w:ascii="Bookman Old Style" w:hAnsi="Bookman Old Style" w:cs="Arial"/>
          <w:sz w:val="24"/>
          <w:szCs w:val="24"/>
        </w:rPr>
        <w:t xml:space="preserve">Mediante </w:t>
      </w:r>
      <w:r w:rsidR="003C1845">
        <w:rPr>
          <w:rFonts w:ascii="Bookman Old Style" w:hAnsi="Bookman Old Style" w:cs="Arial"/>
          <w:sz w:val="24"/>
          <w:szCs w:val="24"/>
        </w:rPr>
        <w:t xml:space="preserve">la </w:t>
      </w:r>
      <w:r w:rsidR="004508EC" w:rsidRPr="004508EC">
        <w:rPr>
          <w:rFonts w:ascii="Bookman Old Style" w:hAnsi="Bookman Old Style" w:cs="Arial"/>
          <w:sz w:val="24"/>
          <w:szCs w:val="24"/>
        </w:rPr>
        <w:t xml:space="preserve">Resolución </w:t>
      </w:r>
      <w:r w:rsidR="001F74BE">
        <w:rPr>
          <w:rFonts w:ascii="Bookman Old Style" w:hAnsi="Bookman Old Style" w:cs="Arial"/>
          <w:sz w:val="24"/>
          <w:szCs w:val="24"/>
        </w:rPr>
        <w:t>CREG</w:t>
      </w:r>
      <w:r w:rsidR="004508EC" w:rsidRPr="004508EC">
        <w:rPr>
          <w:rFonts w:ascii="Bookman Old Style" w:hAnsi="Bookman Old Style" w:cs="Arial"/>
          <w:sz w:val="24"/>
          <w:szCs w:val="24"/>
        </w:rPr>
        <w:t xml:space="preserve"> 501 26A de 2022</w:t>
      </w:r>
      <w:r w:rsidR="003C1845">
        <w:rPr>
          <w:rFonts w:ascii="Bookman Old Style" w:hAnsi="Bookman Old Style" w:cs="Arial"/>
          <w:sz w:val="24"/>
          <w:szCs w:val="24"/>
        </w:rPr>
        <w:t xml:space="preserve">, esta Comisión resolvió una solicitud de imposición de servidumbre </w:t>
      </w:r>
      <w:r w:rsidR="00D02FF6">
        <w:rPr>
          <w:rFonts w:ascii="Bookman Old Style" w:hAnsi="Bookman Old Style" w:cs="Arial"/>
          <w:sz w:val="24"/>
          <w:szCs w:val="24"/>
        </w:rPr>
        <w:t>de conexión presentada por la empresa DUE CAPITAL &amp; SERVICES S</w:t>
      </w:r>
      <w:r w:rsidR="0050664A">
        <w:rPr>
          <w:rFonts w:ascii="Bookman Old Style" w:hAnsi="Bookman Old Style" w:cs="Arial"/>
          <w:sz w:val="24"/>
          <w:szCs w:val="24"/>
        </w:rPr>
        <w:t>.</w:t>
      </w:r>
      <w:r w:rsidR="00D02FF6">
        <w:rPr>
          <w:rFonts w:ascii="Bookman Old Style" w:hAnsi="Bookman Old Style" w:cs="Arial"/>
          <w:sz w:val="24"/>
          <w:szCs w:val="24"/>
        </w:rPr>
        <w:t>A</w:t>
      </w:r>
      <w:r w:rsidR="0050664A">
        <w:rPr>
          <w:rFonts w:ascii="Bookman Old Style" w:hAnsi="Bookman Old Style" w:cs="Arial"/>
          <w:sz w:val="24"/>
          <w:szCs w:val="24"/>
        </w:rPr>
        <w:t>.</w:t>
      </w:r>
      <w:r w:rsidR="00D02FF6">
        <w:rPr>
          <w:rFonts w:ascii="Bookman Old Style" w:hAnsi="Bookman Old Style" w:cs="Arial"/>
          <w:sz w:val="24"/>
          <w:szCs w:val="24"/>
        </w:rPr>
        <w:t>S</w:t>
      </w:r>
      <w:r w:rsidR="0050664A">
        <w:rPr>
          <w:rFonts w:ascii="Bookman Old Style" w:hAnsi="Bookman Old Style" w:cs="Arial"/>
          <w:sz w:val="24"/>
          <w:szCs w:val="24"/>
        </w:rPr>
        <w:t>.</w:t>
      </w:r>
      <w:r w:rsidR="00D02FF6">
        <w:rPr>
          <w:rFonts w:ascii="Bookman Old Style" w:hAnsi="Bookman Old Style" w:cs="Arial"/>
          <w:sz w:val="24"/>
          <w:szCs w:val="24"/>
        </w:rPr>
        <w:t>, en virtud de lo señalado en los artículos 39.4 y 118 de la Ley 142 de 1994.</w:t>
      </w:r>
      <w:r w:rsidR="0050664A">
        <w:rPr>
          <w:rFonts w:ascii="Bookman Old Style" w:hAnsi="Bookman Old Style" w:cs="Arial"/>
          <w:sz w:val="24"/>
          <w:szCs w:val="24"/>
        </w:rPr>
        <w:t xml:space="preserve"> </w:t>
      </w:r>
      <w:r w:rsidR="00D83E59">
        <w:rPr>
          <w:rFonts w:ascii="Bookman Old Style" w:hAnsi="Bookman Old Style" w:cs="Arial"/>
          <w:sz w:val="24"/>
          <w:szCs w:val="24"/>
        </w:rPr>
        <w:t xml:space="preserve">Expediente administrativo 2019-0212. </w:t>
      </w:r>
    </w:p>
    <w:p w14:paraId="7D9209C8" w14:textId="77777777" w:rsidR="00D83E59" w:rsidRDefault="00D83E59" w:rsidP="00B703A8">
      <w:pPr>
        <w:spacing w:after="0" w:line="240" w:lineRule="auto"/>
        <w:ind w:left="-142"/>
        <w:jc w:val="both"/>
        <w:rPr>
          <w:rFonts w:ascii="Bookman Old Style" w:hAnsi="Bookman Old Style" w:cs="Arial"/>
          <w:sz w:val="24"/>
          <w:szCs w:val="24"/>
        </w:rPr>
      </w:pPr>
    </w:p>
    <w:p w14:paraId="6DD6DE2E" w14:textId="2F150E35" w:rsidR="009855AF" w:rsidRDefault="00D83E59" w:rsidP="00B703A8">
      <w:pPr>
        <w:spacing w:after="0" w:line="240" w:lineRule="auto"/>
        <w:ind w:left="-142"/>
        <w:jc w:val="both"/>
        <w:rPr>
          <w:rFonts w:ascii="Bookman Old Style" w:hAnsi="Bookman Old Style" w:cs="Arial"/>
          <w:sz w:val="24"/>
          <w:szCs w:val="24"/>
        </w:rPr>
      </w:pPr>
      <w:r>
        <w:rPr>
          <w:rFonts w:ascii="Bookman Old Style" w:hAnsi="Bookman Old Style" w:cs="Arial"/>
          <w:sz w:val="24"/>
          <w:szCs w:val="24"/>
        </w:rPr>
        <w:t xml:space="preserve">Garantizando el debido proceso y el derecho de defensa, el acto administrativo fue remitido para notificación electrónica </w:t>
      </w:r>
      <w:r w:rsidR="00C062CD">
        <w:rPr>
          <w:rFonts w:ascii="Bookman Old Style" w:hAnsi="Bookman Old Style" w:cs="Arial"/>
          <w:sz w:val="24"/>
          <w:szCs w:val="24"/>
        </w:rPr>
        <w:t>a las empresas DUE CAPITAL &amp; SERVICES S</w:t>
      </w:r>
      <w:r w:rsidR="009855AF">
        <w:rPr>
          <w:rFonts w:ascii="Bookman Old Style" w:hAnsi="Bookman Old Style" w:cs="Arial"/>
          <w:sz w:val="24"/>
          <w:szCs w:val="24"/>
        </w:rPr>
        <w:t>.</w:t>
      </w:r>
      <w:r w:rsidR="00C062CD">
        <w:rPr>
          <w:rFonts w:ascii="Bookman Old Style" w:hAnsi="Bookman Old Style" w:cs="Arial"/>
          <w:sz w:val="24"/>
          <w:szCs w:val="24"/>
        </w:rPr>
        <w:t>A</w:t>
      </w:r>
      <w:r w:rsidR="009855AF">
        <w:rPr>
          <w:rFonts w:ascii="Bookman Old Style" w:hAnsi="Bookman Old Style" w:cs="Arial"/>
          <w:sz w:val="24"/>
          <w:szCs w:val="24"/>
        </w:rPr>
        <w:t>.</w:t>
      </w:r>
      <w:r w:rsidR="00C062CD">
        <w:rPr>
          <w:rFonts w:ascii="Bookman Old Style" w:hAnsi="Bookman Old Style" w:cs="Arial"/>
          <w:sz w:val="24"/>
          <w:szCs w:val="24"/>
        </w:rPr>
        <w:t>S</w:t>
      </w:r>
      <w:r w:rsidR="0050664A">
        <w:rPr>
          <w:rFonts w:ascii="Bookman Old Style" w:hAnsi="Bookman Old Style" w:cs="Arial"/>
          <w:sz w:val="24"/>
          <w:szCs w:val="24"/>
        </w:rPr>
        <w:t>.</w:t>
      </w:r>
      <w:r w:rsidR="00C062CD">
        <w:rPr>
          <w:rFonts w:ascii="Bookman Old Style" w:hAnsi="Bookman Old Style" w:cs="Arial"/>
          <w:sz w:val="24"/>
          <w:szCs w:val="24"/>
        </w:rPr>
        <w:t xml:space="preserve"> y GENSA S.A</w:t>
      </w:r>
      <w:r w:rsidR="0050664A">
        <w:rPr>
          <w:rFonts w:ascii="Bookman Old Style" w:hAnsi="Bookman Old Style" w:cs="Arial"/>
          <w:sz w:val="24"/>
          <w:szCs w:val="24"/>
        </w:rPr>
        <w:t>.</w:t>
      </w:r>
      <w:r w:rsidR="00C062CD">
        <w:rPr>
          <w:rFonts w:ascii="Bookman Old Style" w:hAnsi="Bookman Old Style" w:cs="Arial"/>
          <w:sz w:val="24"/>
          <w:szCs w:val="24"/>
        </w:rPr>
        <w:t xml:space="preserve"> E.S.P</w:t>
      </w:r>
      <w:r w:rsidR="009855AF">
        <w:rPr>
          <w:rFonts w:ascii="Bookman Old Style" w:hAnsi="Bookman Old Style" w:cs="Arial"/>
          <w:sz w:val="24"/>
          <w:szCs w:val="24"/>
        </w:rPr>
        <w:t>.</w:t>
      </w:r>
      <w:r w:rsidR="00C062CD">
        <w:rPr>
          <w:rFonts w:ascii="Bookman Old Style" w:hAnsi="Bookman Old Style" w:cs="Arial"/>
          <w:sz w:val="24"/>
          <w:szCs w:val="24"/>
        </w:rPr>
        <w:t xml:space="preserve"> el 19 y 23 de mayo del 2022 respectivamente. </w:t>
      </w:r>
    </w:p>
    <w:p w14:paraId="619B7B99" w14:textId="77777777" w:rsidR="009855AF" w:rsidRDefault="009855AF" w:rsidP="00B703A8">
      <w:pPr>
        <w:spacing w:after="0" w:line="240" w:lineRule="auto"/>
        <w:ind w:left="-142"/>
        <w:jc w:val="both"/>
        <w:rPr>
          <w:rFonts w:ascii="Bookman Old Style" w:hAnsi="Bookman Old Style" w:cs="Arial"/>
          <w:sz w:val="24"/>
          <w:szCs w:val="24"/>
        </w:rPr>
      </w:pPr>
    </w:p>
    <w:p w14:paraId="7762D939" w14:textId="40F1887B" w:rsidR="00DE5054" w:rsidRDefault="00C062CD" w:rsidP="009855AF">
      <w:pPr>
        <w:spacing w:after="0" w:line="240" w:lineRule="auto"/>
        <w:ind w:left="-142"/>
        <w:jc w:val="both"/>
        <w:rPr>
          <w:rFonts w:ascii="Bookman Old Style" w:eastAsia="Bookman Old Style" w:hAnsi="Bookman Old Style" w:cs="Bookman Old Style"/>
          <w:sz w:val="24"/>
          <w:szCs w:val="24"/>
          <w:lang w:val="es"/>
        </w:rPr>
      </w:pPr>
      <w:r>
        <w:rPr>
          <w:rFonts w:ascii="Bookman Old Style" w:hAnsi="Bookman Old Style" w:cs="Arial"/>
          <w:sz w:val="24"/>
          <w:szCs w:val="24"/>
        </w:rPr>
        <w:t xml:space="preserve">En virtud de lo señalado en el artículo 56 del Código de Procedimiento Administrativo y de lo Contencioso Administrativo, la notificación electrónica se surtió </w:t>
      </w:r>
      <w:r w:rsidR="009855AF">
        <w:rPr>
          <w:rFonts w:ascii="Bookman Old Style" w:hAnsi="Bookman Old Style" w:cs="Arial"/>
          <w:sz w:val="24"/>
          <w:szCs w:val="24"/>
        </w:rPr>
        <w:t xml:space="preserve">para las dos empresas </w:t>
      </w:r>
      <w:r>
        <w:rPr>
          <w:rFonts w:ascii="Bookman Old Style" w:hAnsi="Bookman Old Style" w:cs="Arial"/>
          <w:sz w:val="24"/>
          <w:szCs w:val="24"/>
        </w:rPr>
        <w:t>el 23 de mayo de 2022</w:t>
      </w:r>
      <w:r w:rsidR="009855AF">
        <w:rPr>
          <w:rFonts w:ascii="Bookman Old Style" w:hAnsi="Bookman Old Style" w:cs="Arial"/>
          <w:sz w:val="24"/>
          <w:szCs w:val="24"/>
        </w:rPr>
        <w:t xml:space="preserve">, fecha </w:t>
      </w:r>
      <w:r w:rsidR="00F06EF8" w:rsidRPr="00F06EF8">
        <w:rPr>
          <w:rFonts w:ascii="Bookman Old Style" w:hAnsi="Bookman Old Style" w:cs="Arial"/>
          <w:sz w:val="24"/>
          <w:szCs w:val="24"/>
        </w:rPr>
        <w:t xml:space="preserve">en que </w:t>
      </w:r>
      <w:r w:rsidR="00F06EF8">
        <w:rPr>
          <w:rFonts w:ascii="Bookman Old Style" w:hAnsi="Bookman Old Style" w:cs="Arial"/>
          <w:sz w:val="24"/>
          <w:szCs w:val="24"/>
        </w:rPr>
        <w:t>los</w:t>
      </w:r>
      <w:r w:rsidR="00F06EF8" w:rsidRPr="00F06EF8">
        <w:rPr>
          <w:rFonts w:ascii="Bookman Old Style" w:hAnsi="Bookman Old Style" w:cs="Arial"/>
          <w:sz w:val="24"/>
          <w:szCs w:val="24"/>
        </w:rPr>
        <w:t xml:space="preserve"> administrado</w:t>
      </w:r>
      <w:r w:rsidR="00F06EF8">
        <w:rPr>
          <w:rFonts w:ascii="Bookman Old Style" w:hAnsi="Bookman Old Style" w:cs="Arial"/>
          <w:sz w:val="24"/>
          <w:szCs w:val="24"/>
        </w:rPr>
        <w:t>s</w:t>
      </w:r>
      <w:r w:rsidR="00F06EF8" w:rsidRPr="00F06EF8">
        <w:rPr>
          <w:rFonts w:ascii="Bookman Old Style" w:hAnsi="Bookman Old Style" w:cs="Arial"/>
          <w:sz w:val="24"/>
          <w:szCs w:val="24"/>
        </w:rPr>
        <w:t xml:space="preserve"> acced</w:t>
      </w:r>
      <w:r w:rsidR="00F06EF8">
        <w:rPr>
          <w:rFonts w:ascii="Bookman Old Style" w:hAnsi="Bookman Old Style" w:cs="Arial"/>
          <w:sz w:val="24"/>
          <w:szCs w:val="24"/>
        </w:rPr>
        <w:t>ieron al contenido del acto administrativo</w:t>
      </w:r>
      <w:r w:rsidR="009855AF">
        <w:rPr>
          <w:rFonts w:ascii="Bookman Old Style" w:hAnsi="Bookman Old Style" w:cs="Arial"/>
          <w:sz w:val="24"/>
          <w:szCs w:val="24"/>
        </w:rPr>
        <w:t xml:space="preserve">. </w:t>
      </w:r>
      <w:r w:rsidR="00F06EF8">
        <w:rPr>
          <w:rFonts w:ascii="Bookman Old Style" w:hAnsi="Bookman Old Style" w:cs="Arial"/>
          <w:sz w:val="24"/>
          <w:szCs w:val="24"/>
        </w:rPr>
        <w:t xml:space="preserve"> </w:t>
      </w:r>
    </w:p>
    <w:p w14:paraId="06ACDB01" w14:textId="2A18A1F4" w:rsidR="008055CB" w:rsidRDefault="008055CB" w:rsidP="00B703A8">
      <w:pPr>
        <w:spacing w:after="0" w:line="240" w:lineRule="auto"/>
        <w:ind w:left="-142"/>
        <w:jc w:val="both"/>
        <w:rPr>
          <w:rFonts w:ascii="Bookman Old Style" w:eastAsia="Bookman Old Style" w:hAnsi="Bookman Old Style" w:cs="Bookman Old Style"/>
          <w:sz w:val="24"/>
          <w:szCs w:val="24"/>
          <w:lang w:val="es"/>
        </w:rPr>
      </w:pPr>
    </w:p>
    <w:p w14:paraId="13A2A315" w14:textId="67CCDA5C" w:rsidR="00794F2E" w:rsidRDefault="004B4BF2" w:rsidP="00B703A8">
      <w:pPr>
        <w:spacing w:after="0" w:line="240" w:lineRule="auto"/>
        <w:ind w:left="-142"/>
        <w:jc w:val="both"/>
        <w:rPr>
          <w:rFonts w:ascii="Bookman Old Style" w:eastAsia="Bookman Old Style" w:hAnsi="Bookman Old Style" w:cs="Bookman Old Style"/>
          <w:sz w:val="24"/>
          <w:szCs w:val="24"/>
          <w:lang w:val="es"/>
        </w:rPr>
      </w:pPr>
      <w:r>
        <w:rPr>
          <w:rFonts w:ascii="Bookman Old Style" w:eastAsia="Bookman Old Style" w:hAnsi="Bookman Old Style" w:cs="Bookman Old Style"/>
          <w:sz w:val="24"/>
          <w:szCs w:val="24"/>
          <w:lang w:val="es"/>
        </w:rPr>
        <w:t>Igualmente</w:t>
      </w:r>
      <w:r w:rsidR="005425AE">
        <w:rPr>
          <w:rFonts w:ascii="Bookman Old Style" w:eastAsia="Bookman Old Style" w:hAnsi="Bookman Old Style" w:cs="Bookman Old Style"/>
          <w:sz w:val="24"/>
          <w:szCs w:val="24"/>
          <w:lang w:val="es"/>
        </w:rPr>
        <w:t>,</w:t>
      </w:r>
      <w:r>
        <w:rPr>
          <w:rFonts w:ascii="Bookman Old Style" w:eastAsia="Bookman Old Style" w:hAnsi="Bookman Old Style" w:cs="Bookman Old Style"/>
          <w:sz w:val="24"/>
          <w:szCs w:val="24"/>
          <w:lang w:val="es"/>
        </w:rPr>
        <w:t xml:space="preserve"> se </w:t>
      </w:r>
      <w:r w:rsidR="0079481B">
        <w:rPr>
          <w:rFonts w:ascii="Bookman Old Style" w:eastAsia="Bookman Old Style" w:hAnsi="Bookman Old Style" w:cs="Bookman Old Style"/>
          <w:sz w:val="24"/>
          <w:szCs w:val="24"/>
          <w:lang w:val="es"/>
        </w:rPr>
        <w:t xml:space="preserve">notificó </w:t>
      </w:r>
      <w:r>
        <w:rPr>
          <w:rFonts w:ascii="Bookman Old Style" w:eastAsia="Bookman Old Style" w:hAnsi="Bookman Old Style" w:cs="Bookman Old Style"/>
          <w:sz w:val="24"/>
          <w:szCs w:val="24"/>
          <w:lang w:val="es"/>
        </w:rPr>
        <w:t xml:space="preserve">de la resolución al </w:t>
      </w:r>
      <w:r w:rsidR="0079481B">
        <w:rPr>
          <w:rFonts w:ascii="Bookman Old Style" w:eastAsia="Bookman Old Style" w:hAnsi="Bookman Old Style" w:cs="Bookman Old Style"/>
          <w:sz w:val="24"/>
          <w:szCs w:val="24"/>
          <w:lang w:val="es"/>
        </w:rPr>
        <w:t>Ministerio de Minas y Energía el</w:t>
      </w:r>
      <w:r w:rsidR="005425AE">
        <w:rPr>
          <w:rFonts w:ascii="Bookman Old Style" w:eastAsia="Bookman Old Style" w:hAnsi="Bookman Old Style" w:cs="Bookman Old Style"/>
          <w:sz w:val="24"/>
          <w:szCs w:val="24"/>
          <w:lang w:val="es"/>
        </w:rPr>
        <w:t xml:space="preserve"> </w:t>
      </w:r>
      <w:r w:rsidR="0079481B">
        <w:rPr>
          <w:rFonts w:ascii="Bookman Old Style" w:eastAsia="Bookman Old Style" w:hAnsi="Bookman Old Style" w:cs="Bookman Old Style"/>
          <w:sz w:val="24"/>
          <w:szCs w:val="24"/>
          <w:lang w:val="es"/>
        </w:rPr>
        <w:t>25 de mayo de 2022</w:t>
      </w:r>
      <w:r w:rsidR="00A974B9">
        <w:rPr>
          <w:rFonts w:ascii="Bookman Old Style" w:eastAsia="Bookman Old Style" w:hAnsi="Bookman Old Style" w:cs="Bookman Old Style"/>
          <w:sz w:val="24"/>
          <w:szCs w:val="24"/>
          <w:lang w:val="es"/>
        </w:rPr>
        <w:t>,</w:t>
      </w:r>
      <w:r w:rsidR="00794F2E">
        <w:rPr>
          <w:rFonts w:ascii="Bookman Old Style" w:eastAsia="Bookman Old Style" w:hAnsi="Bookman Old Style" w:cs="Bookman Old Style"/>
          <w:sz w:val="24"/>
          <w:szCs w:val="24"/>
          <w:lang w:val="es"/>
        </w:rPr>
        <w:t xml:space="preserve"> y se les comunic</w:t>
      </w:r>
      <w:r w:rsidR="005425AE">
        <w:rPr>
          <w:rFonts w:ascii="Bookman Old Style" w:eastAsia="Bookman Old Style" w:hAnsi="Bookman Old Style" w:cs="Bookman Old Style"/>
          <w:sz w:val="24"/>
          <w:szCs w:val="24"/>
          <w:lang w:val="es"/>
        </w:rPr>
        <w:t>ó</w:t>
      </w:r>
      <w:r w:rsidR="00794F2E">
        <w:rPr>
          <w:rFonts w:ascii="Bookman Old Style" w:eastAsia="Bookman Old Style" w:hAnsi="Bookman Old Style" w:cs="Bookman Old Style"/>
          <w:sz w:val="24"/>
          <w:szCs w:val="24"/>
          <w:lang w:val="es"/>
        </w:rPr>
        <w:t xml:space="preserve"> del acto</w:t>
      </w:r>
      <w:r w:rsidR="005425AE">
        <w:rPr>
          <w:rFonts w:ascii="Bookman Old Style" w:eastAsia="Bookman Old Style" w:hAnsi="Bookman Old Style" w:cs="Bookman Old Style"/>
          <w:sz w:val="24"/>
          <w:szCs w:val="24"/>
          <w:lang w:val="es"/>
        </w:rPr>
        <w:t xml:space="preserve"> administrativo</w:t>
      </w:r>
      <w:r w:rsidR="00794F2E">
        <w:rPr>
          <w:rFonts w:ascii="Bookman Old Style" w:eastAsia="Bookman Old Style" w:hAnsi="Bookman Old Style" w:cs="Bookman Old Style"/>
          <w:sz w:val="24"/>
          <w:szCs w:val="24"/>
          <w:lang w:val="es"/>
        </w:rPr>
        <w:t xml:space="preserve"> a la Gobernación del </w:t>
      </w:r>
      <w:r w:rsidR="005425AE">
        <w:rPr>
          <w:rFonts w:ascii="Bookman Old Style" w:eastAsia="Bookman Old Style" w:hAnsi="Bookman Old Style" w:cs="Bookman Old Style"/>
          <w:sz w:val="24"/>
          <w:szCs w:val="24"/>
          <w:lang w:val="es"/>
        </w:rPr>
        <w:t xml:space="preserve">Vaupés </w:t>
      </w:r>
      <w:r w:rsidR="00827867">
        <w:rPr>
          <w:rFonts w:ascii="Bookman Old Style" w:eastAsia="Bookman Old Style" w:hAnsi="Bookman Old Style" w:cs="Bookman Old Style"/>
          <w:sz w:val="24"/>
          <w:szCs w:val="24"/>
          <w:lang w:val="es"/>
        </w:rPr>
        <w:t>y</w:t>
      </w:r>
      <w:r w:rsidR="005425AE">
        <w:rPr>
          <w:rFonts w:ascii="Bookman Old Style" w:eastAsia="Bookman Old Style" w:hAnsi="Bookman Old Style" w:cs="Bookman Old Style"/>
          <w:sz w:val="24"/>
          <w:szCs w:val="24"/>
          <w:lang w:val="es"/>
        </w:rPr>
        <w:t xml:space="preserve"> a</w:t>
      </w:r>
      <w:r w:rsidR="00827867">
        <w:rPr>
          <w:rFonts w:ascii="Bookman Old Style" w:eastAsia="Bookman Old Style" w:hAnsi="Bookman Old Style" w:cs="Bookman Old Style"/>
          <w:sz w:val="24"/>
          <w:szCs w:val="24"/>
          <w:lang w:val="es"/>
        </w:rPr>
        <w:t xml:space="preserve"> la</w:t>
      </w:r>
      <w:r w:rsidR="00794F2E">
        <w:rPr>
          <w:rFonts w:ascii="Bookman Old Style" w:eastAsia="Bookman Old Style" w:hAnsi="Bookman Old Style" w:cs="Bookman Old Style"/>
          <w:sz w:val="24"/>
          <w:szCs w:val="24"/>
          <w:lang w:val="es"/>
        </w:rPr>
        <w:t xml:space="preserve"> </w:t>
      </w:r>
      <w:r w:rsidR="005425AE">
        <w:rPr>
          <w:rFonts w:ascii="Bookman Old Style" w:eastAsia="Bookman Old Style" w:hAnsi="Bookman Old Style" w:cs="Bookman Old Style"/>
          <w:sz w:val="24"/>
          <w:szCs w:val="24"/>
          <w:lang w:val="es"/>
        </w:rPr>
        <w:t>Superintendencia</w:t>
      </w:r>
      <w:r w:rsidR="00794F2E">
        <w:rPr>
          <w:rFonts w:ascii="Bookman Old Style" w:eastAsia="Bookman Old Style" w:hAnsi="Bookman Old Style" w:cs="Bookman Old Style"/>
          <w:sz w:val="24"/>
          <w:szCs w:val="24"/>
          <w:lang w:val="es"/>
        </w:rPr>
        <w:t xml:space="preserve"> de Servicios Públicos</w:t>
      </w:r>
      <w:r w:rsidR="00AF1F76">
        <w:rPr>
          <w:rFonts w:ascii="Bookman Old Style" w:eastAsia="Bookman Old Style" w:hAnsi="Bookman Old Style" w:cs="Bookman Old Style"/>
          <w:sz w:val="24"/>
          <w:szCs w:val="24"/>
          <w:lang w:val="es"/>
        </w:rPr>
        <w:t xml:space="preserve"> </w:t>
      </w:r>
      <w:r w:rsidR="005425AE">
        <w:rPr>
          <w:rFonts w:ascii="Bookman Old Style" w:eastAsia="Bookman Old Style" w:hAnsi="Bookman Old Style" w:cs="Bookman Old Style"/>
          <w:sz w:val="24"/>
          <w:szCs w:val="24"/>
          <w:lang w:val="es"/>
        </w:rPr>
        <w:t xml:space="preserve">Domiciliarios </w:t>
      </w:r>
      <w:r w:rsidR="00AF1F76">
        <w:rPr>
          <w:rFonts w:ascii="Bookman Old Style" w:eastAsia="Bookman Old Style" w:hAnsi="Bookman Old Style" w:cs="Bookman Old Style"/>
          <w:sz w:val="24"/>
          <w:szCs w:val="24"/>
          <w:lang w:val="es"/>
        </w:rPr>
        <w:t>en la misma fecha.</w:t>
      </w:r>
      <w:r w:rsidR="00794F2E">
        <w:rPr>
          <w:rFonts w:ascii="Bookman Old Style" w:eastAsia="Bookman Old Style" w:hAnsi="Bookman Old Style" w:cs="Bookman Old Style"/>
          <w:sz w:val="24"/>
          <w:szCs w:val="24"/>
          <w:lang w:val="es"/>
        </w:rPr>
        <w:t xml:space="preserve"> </w:t>
      </w:r>
    </w:p>
    <w:p w14:paraId="5B75228D" w14:textId="77777777" w:rsidR="00794F2E" w:rsidRDefault="00794F2E" w:rsidP="00B703A8">
      <w:pPr>
        <w:spacing w:after="0" w:line="240" w:lineRule="auto"/>
        <w:ind w:left="-142"/>
        <w:jc w:val="both"/>
        <w:rPr>
          <w:rFonts w:ascii="Bookman Old Style" w:eastAsia="Bookman Old Style" w:hAnsi="Bookman Old Style" w:cs="Bookman Old Style"/>
          <w:sz w:val="24"/>
          <w:szCs w:val="24"/>
          <w:lang w:val="es"/>
        </w:rPr>
      </w:pPr>
    </w:p>
    <w:p w14:paraId="7AE69FDB" w14:textId="69DE6844" w:rsidR="00A33677" w:rsidRPr="00A33677" w:rsidRDefault="00A33677" w:rsidP="00827867">
      <w:pPr>
        <w:spacing w:after="0" w:line="240" w:lineRule="auto"/>
        <w:ind w:lef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14:paraId="7C8F98A8" w14:textId="77777777"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14:paraId="2BE05ECB" w14:textId="047E6D7A"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w:t>
      </w:r>
      <w:r w:rsidR="005425AE">
        <w:rPr>
          <w:rFonts w:ascii="Bookman Old Style" w:eastAsia="Times New Roman" w:hAnsi="Bookman Old Style" w:cs="Arial"/>
          <w:b/>
          <w:spacing w:val="-5"/>
          <w:sz w:val="24"/>
          <w:szCs w:val="24"/>
        </w:rPr>
        <w:t xml:space="preserve">Procedencia y </w:t>
      </w:r>
      <w:r w:rsidRPr="00A33677">
        <w:rPr>
          <w:rFonts w:ascii="Bookman Old Style" w:eastAsia="Times New Roman" w:hAnsi="Bookman Old Style" w:cs="Arial"/>
          <w:b/>
          <w:spacing w:val="-5"/>
          <w:sz w:val="24"/>
          <w:szCs w:val="24"/>
        </w:rPr>
        <w:t>admisibilidad de</w:t>
      </w:r>
      <w:r w:rsidR="005425AE">
        <w:rPr>
          <w:rFonts w:ascii="Bookman Old Style" w:eastAsia="Times New Roman" w:hAnsi="Bookman Old Style" w:cs="Arial"/>
          <w:b/>
          <w:spacing w:val="-5"/>
          <w:sz w:val="24"/>
          <w:szCs w:val="24"/>
        </w:rPr>
        <w:t xml:space="preserve"> </w:t>
      </w:r>
      <w:r w:rsidRPr="00A33677">
        <w:rPr>
          <w:rFonts w:ascii="Bookman Old Style" w:eastAsia="Times New Roman" w:hAnsi="Bookman Old Style" w:cs="Arial"/>
          <w:b/>
          <w:spacing w:val="-5"/>
          <w:sz w:val="24"/>
          <w:szCs w:val="24"/>
        </w:rPr>
        <w:t>l</w:t>
      </w:r>
      <w:r w:rsidR="005425AE">
        <w:rPr>
          <w:rFonts w:ascii="Bookman Old Style" w:eastAsia="Times New Roman" w:hAnsi="Bookman Old Style" w:cs="Arial"/>
          <w:b/>
          <w:spacing w:val="-5"/>
          <w:sz w:val="24"/>
          <w:szCs w:val="24"/>
        </w:rPr>
        <w:t>os</w:t>
      </w:r>
      <w:r w:rsidRPr="00A33677">
        <w:rPr>
          <w:rFonts w:ascii="Bookman Old Style" w:eastAsia="Times New Roman" w:hAnsi="Bookman Old Style" w:cs="Arial"/>
          <w:b/>
          <w:spacing w:val="-5"/>
          <w:sz w:val="24"/>
          <w:szCs w:val="24"/>
        </w:rPr>
        <w:t xml:space="preserve"> recurso</w:t>
      </w:r>
      <w:r w:rsidR="005425AE">
        <w:rPr>
          <w:rFonts w:ascii="Bookman Old Style" w:eastAsia="Times New Roman" w:hAnsi="Bookman Old Style" w:cs="Arial"/>
          <w:b/>
          <w:spacing w:val="-5"/>
          <w:sz w:val="24"/>
          <w:szCs w:val="24"/>
        </w:rPr>
        <w:t>s</w:t>
      </w:r>
      <w:r w:rsidRPr="00A33677">
        <w:rPr>
          <w:rFonts w:ascii="Bookman Old Style" w:eastAsia="Times New Roman" w:hAnsi="Bookman Old Style" w:cs="Arial"/>
          <w:b/>
          <w:spacing w:val="-5"/>
          <w:sz w:val="24"/>
          <w:szCs w:val="24"/>
        </w:rPr>
        <w:t xml:space="preserve"> </w:t>
      </w:r>
    </w:p>
    <w:p w14:paraId="59A14BAA" w14:textId="201D6BC1"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14:paraId="766C022F" w14:textId="27980214" w:rsidR="009F5377" w:rsidRDefault="009F5377" w:rsidP="00A33677">
      <w:pPr>
        <w:spacing w:after="0" w:line="240" w:lineRule="auto"/>
        <w:ind w:left="-142" w:right="-142"/>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lastRenderedPageBreak/>
        <w:t>De acuerdo con el artículo 113 de la Ley 142 de 1994, contra los actos de las comisiones de regulación que pongan fin a las actuaciones administrativas sólo cabe recurso de reposición</w:t>
      </w:r>
      <w:r w:rsidR="00BF5E1F">
        <w:rPr>
          <w:rFonts w:ascii="Bookman Old Style" w:eastAsia="Times New Roman" w:hAnsi="Bookman Old Style" w:cs="Arial"/>
          <w:spacing w:val="-5"/>
          <w:sz w:val="24"/>
          <w:szCs w:val="24"/>
        </w:rPr>
        <w:t xml:space="preserve">, el cual podrá interponerse dentro de los cinco días siguientes a la notificación del acto administrativo. </w:t>
      </w:r>
    </w:p>
    <w:p w14:paraId="4671CF1B" w14:textId="01EA4109" w:rsidR="009F5377" w:rsidRDefault="009F5377" w:rsidP="00A33677">
      <w:pPr>
        <w:spacing w:after="0" w:line="240" w:lineRule="auto"/>
        <w:ind w:left="-142" w:right="-142"/>
        <w:jc w:val="both"/>
        <w:rPr>
          <w:rFonts w:ascii="Bookman Old Style" w:eastAsia="Times New Roman" w:hAnsi="Bookman Old Style" w:cs="Arial"/>
          <w:spacing w:val="-5"/>
          <w:sz w:val="24"/>
          <w:szCs w:val="24"/>
        </w:rPr>
      </w:pPr>
    </w:p>
    <w:p w14:paraId="38F123BE" w14:textId="67931B0A" w:rsidR="00E545D2" w:rsidRDefault="001F74BE" w:rsidP="00A33677">
      <w:pPr>
        <w:spacing w:after="0" w:line="240" w:lineRule="auto"/>
        <w:ind w:left="-142" w:right="-142"/>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La Resolución CREG</w:t>
      </w:r>
      <w:r w:rsidRPr="001F74BE">
        <w:rPr>
          <w:rFonts w:ascii="Bookman Old Style" w:eastAsia="Times New Roman" w:hAnsi="Bookman Old Style" w:cs="Arial"/>
          <w:spacing w:val="-5"/>
          <w:sz w:val="24"/>
          <w:szCs w:val="24"/>
        </w:rPr>
        <w:t xml:space="preserve"> 501 26A de 2022</w:t>
      </w:r>
      <w:r w:rsidR="00AF1F76" w:rsidRPr="00AF1F76">
        <w:t xml:space="preserve"> </w:t>
      </w:r>
      <w:r w:rsidR="001C1303">
        <w:rPr>
          <w:rFonts w:ascii="Bookman Old Style" w:eastAsia="Times New Roman" w:hAnsi="Bookman Old Style" w:cs="Arial"/>
          <w:spacing w:val="-5"/>
          <w:sz w:val="24"/>
          <w:szCs w:val="24"/>
        </w:rPr>
        <w:t>fue notificada a las dos empresas electrónicamente el día 23 de mayo de 2022.</w:t>
      </w:r>
      <w:r w:rsidR="008216E4">
        <w:rPr>
          <w:rFonts w:ascii="Bookman Old Style" w:eastAsia="Times New Roman" w:hAnsi="Bookman Old Style" w:cs="Arial"/>
          <w:spacing w:val="-5"/>
          <w:sz w:val="24"/>
          <w:szCs w:val="24"/>
        </w:rPr>
        <w:t xml:space="preserve"> El término para interponer recurso </w:t>
      </w:r>
      <w:r w:rsidR="00541A3D">
        <w:rPr>
          <w:rFonts w:ascii="Bookman Old Style" w:eastAsia="Times New Roman" w:hAnsi="Bookman Old Style" w:cs="Arial"/>
          <w:spacing w:val="-5"/>
          <w:sz w:val="24"/>
          <w:szCs w:val="24"/>
        </w:rPr>
        <w:t>venci</w:t>
      </w:r>
      <w:r w:rsidR="008216E4">
        <w:rPr>
          <w:rFonts w:ascii="Bookman Old Style" w:eastAsia="Times New Roman" w:hAnsi="Bookman Old Style" w:cs="Arial"/>
          <w:spacing w:val="-5"/>
          <w:sz w:val="24"/>
          <w:szCs w:val="24"/>
        </w:rPr>
        <w:t xml:space="preserve">ó el 31 de mayo del año en curso. </w:t>
      </w:r>
    </w:p>
    <w:p w14:paraId="18C2F655" w14:textId="77777777" w:rsidR="00E545D2" w:rsidRDefault="00E545D2" w:rsidP="00A33677">
      <w:pPr>
        <w:spacing w:after="0" w:line="240" w:lineRule="auto"/>
        <w:ind w:left="-142" w:right="-142"/>
        <w:jc w:val="both"/>
        <w:rPr>
          <w:rFonts w:ascii="Bookman Old Style" w:eastAsia="Times New Roman" w:hAnsi="Bookman Old Style" w:cs="Arial"/>
          <w:spacing w:val="-5"/>
          <w:sz w:val="24"/>
          <w:szCs w:val="24"/>
        </w:rPr>
      </w:pPr>
    </w:p>
    <w:p w14:paraId="6C7CA750" w14:textId="0EA6ABFC" w:rsidR="00504C97" w:rsidRDefault="00A33677" w:rsidP="00FA4DC4">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Mediante escrito</w:t>
      </w:r>
      <w:r w:rsidR="00717862">
        <w:rPr>
          <w:rFonts w:ascii="Bookman Old Style" w:eastAsia="Times New Roman" w:hAnsi="Bookman Old Style" w:cs="Arial"/>
          <w:spacing w:val="-5"/>
          <w:sz w:val="24"/>
          <w:szCs w:val="24"/>
        </w:rPr>
        <w:t xml:space="preserve"> con</w:t>
      </w:r>
      <w:r w:rsidRPr="00A33677">
        <w:rPr>
          <w:rFonts w:ascii="Bookman Old Style" w:eastAsia="Times New Roman" w:hAnsi="Bookman Old Style" w:cs="Arial"/>
          <w:spacing w:val="-5"/>
          <w:sz w:val="24"/>
          <w:szCs w:val="24"/>
        </w:rPr>
        <w:t xml:space="preserve"> radicado</w:t>
      </w:r>
      <w:r w:rsidR="00465A74">
        <w:rPr>
          <w:rFonts w:ascii="Bookman Old Style" w:eastAsia="Times New Roman" w:hAnsi="Bookman Old Style" w:cs="Arial"/>
          <w:spacing w:val="-5"/>
          <w:sz w:val="24"/>
          <w:szCs w:val="24"/>
        </w:rPr>
        <w:t xml:space="preserve"> CREG</w:t>
      </w:r>
      <w:r w:rsidRPr="00A33677">
        <w:rPr>
          <w:rFonts w:ascii="Bookman Old Style" w:eastAsia="Times New Roman" w:hAnsi="Bookman Old Style" w:cs="Arial"/>
          <w:spacing w:val="-5"/>
          <w:sz w:val="24"/>
          <w:szCs w:val="24"/>
        </w:rPr>
        <w:t xml:space="preserve"> </w:t>
      </w:r>
      <w:r w:rsidR="005D54D1" w:rsidRPr="005D54D1">
        <w:rPr>
          <w:rFonts w:ascii="Bookman Old Style" w:eastAsia="Times New Roman" w:hAnsi="Bookman Old Style" w:cs="Arial"/>
          <w:spacing w:val="-5"/>
          <w:sz w:val="24"/>
          <w:szCs w:val="24"/>
        </w:rPr>
        <w:t>E-202</w:t>
      </w:r>
      <w:r w:rsidR="005C78BC">
        <w:rPr>
          <w:rFonts w:ascii="Bookman Old Style" w:eastAsia="Times New Roman" w:hAnsi="Bookman Old Style" w:cs="Arial"/>
          <w:spacing w:val="-5"/>
          <w:sz w:val="24"/>
          <w:szCs w:val="24"/>
        </w:rPr>
        <w:t>2</w:t>
      </w:r>
      <w:r w:rsidR="005D54D1" w:rsidRPr="005D54D1">
        <w:rPr>
          <w:rFonts w:ascii="Bookman Old Style" w:eastAsia="Times New Roman" w:hAnsi="Bookman Old Style" w:cs="Arial"/>
          <w:spacing w:val="-5"/>
          <w:sz w:val="24"/>
          <w:szCs w:val="24"/>
        </w:rPr>
        <w:t>-0</w:t>
      </w:r>
      <w:r w:rsidR="005C78BC">
        <w:rPr>
          <w:rFonts w:ascii="Bookman Old Style" w:eastAsia="Times New Roman" w:hAnsi="Bookman Old Style" w:cs="Arial"/>
          <w:spacing w:val="-5"/>
          <w:sz w:val="24"/>
          <w:szCs w:val="24"/>
        </w:rPr>
        <w:t>05</w:t>
      </w:r>
      <w:r w:rsidR="00D008A8">
        <w:rPr>
          <w:rFonts w:ascii="Bookman Old Style" w:eastAsia="Times New Roman" w:hAnsi="Bookman Old Style" w:cs="Arial"/>
          <w:spacing w:val="-5"/>
          <w:sz w:val="24"/>
          <w:szCs w:val="24"/>
        </w:rPr>
        <w:t>956</w:t>
      </w:r>
      <w:r w:rsidR="00043B68">
        <w:rPr>
          <w:rFonts w:ascii="Bookman Old Style" w:eastAsia="Times New Roman" w:hAnsi="Bookman Old Style" w:cs="Arial"/>
          <w:spacing w:val="-5"/>
          <w:sz w:val="24"/>
          <w:szCs w:val="24"/>
        </w:rPr>
        <w:t xml:space="preserve"> del 27 de mayo de 2022,</w:t>
      </w:r>
      <w:r w:rsidR="00D008A8">
        <w:rPr>
          <w:rFonts w:ascii="Bookman Old Style" w:eastAsia="Times New Roman" w:hAnsi="Bookman Old Style" w:cs="Arial"/>
          <w:spacing w:val="-5"/>
          <w:sz w:val="24"/>
          <w:szCs w:val="24"/>
        </w:rPr>
        <w:t xml:space="preserve"> </w:t>
      </w:r>
      <w:r w:rsidR="00043B68">
        <w:rPr>
          <w:rFonts w:ascii="Bookman Old Style" w:eastAsia="Times New Roman" w:hAnsi="Bookman Old Style" w:cs="Arial"/>
          <w:spacing w:val="-5"/>
          <w:sz w:val="24"/>
          <w:szCs w:val="24"/>
        </w:rPr>
        <w:t>el representante legal de</w:t>
      </w:r>
      <w:r w:rsidR="00657F04">
        <w:rPr>
          <w:rFonts w:ascii="Bookman Old Style" w:eastAsia="Times New Roman" w:hAnsi="Bookman Old Style" w:cs="Arial"/>
          <w:spacing w:val="-5"/>
          <w:sz w:val="24"/>
          <w:szCs w:val="24"/>
        </w:rPr>
        <w:t xml:space="preserve"> </w:t>
      </w:r>
      <w:r w:rsidR="00893581">
        <w:rPr>
          <w:rFonts w:ascii="Bookman Old Style" w:eastAsia="Times New Roman" w:hAnsi="Bookman Old Style" w:cs="Arial"/>
          <w:spacing w:val="-5"/>
          <w:sz w:val="24"/>
          <w:szCs w:val="24"/>
        </w:rPr>
        <w:t xml:space="preserve">DUE CAPITAL AND SERVICES </w:t>
      </w:r>
      <w:r w:rsidR="00717862">
        <w:rPr>
          <w:rFonts w:ascii="Bookman Old Style" w:eastAsia="Times New Roman" w:hAnsi="Bookman Old Style" w:cs="Arial"/>
          <w:spacing w:val="-5"/>
          <w:sz w:val="24"/>
          <w:szCs w:val="24"/>
        </w:rPr>
        <w:t>S</w:t>
      </w:r>
      <w:r w:rsidR="00A974B9">
        <w:rPr>
          <w:rFonts w:ascii="Bookman Old Style" w:eastAsia="Times New Roman" w:hAnsi="Bookman Old Style" w:cs="Arial"/>
          <w:spacing w:val="-5"/>
          <w:sz w:val="24"/>
          <w:szCs w:val="24"/>
        </w:rPr>
        <w:t>.</w:t>
      </w:r>
      <w:r w:rsidR="00717862">
        <w:rPr>
          <w:rFonts w:ascii="Bookman Old Style" w:eastAsia="Times New Roman" w:hAnsi="Bookman Old Style" w:cs="Arial"/>
          <w:spacing w:val="-5"/>
          <w:sz w:val="24"/>
          <w:szCs w:val="24"/>
        </w:rPr>
        <w:t>A</w:t>
      </w:r>
      <w:r w:rsidR="00A974B9">
        <w:rPr>
          <w:rFonts w:ascii="Bookman Old Style" w:eastAsia="Times New Roman" w:hAnsi="Bookman Old Style" w:cs="Arial"/>
          <w:spacing w:val="-5"/>
          <w:sz w:val="24"/>
          <w:szCs w:val="24"/>
        </w:rPr>
        <w:t>.</w:t>
      </w:r>
      <w:r w:rsidR="00717862">
        <w:rPr>
          <w:rFonts w:ascii="Bookman Old Style" w:eastAsia="Times New Roman" w:hAnsi="Bookman Old Style" w:cs="Arial"/>
          <w:spacing w:val="-5"/>
          <w:sz w:val="24"/>
          <w:szCs w:val="24"/>
        </w:rPr>
        <w:t>S</w:t>
      </w:r>
      <w:r w:rsidR="00A974B9">
        <w:rPr>
          <w:rFonts w:ascii="Bookman Old Style" w:eastAsia="Times New Roman" w:hAnsi="Bookman Old Style" w:cs="Arial"/>
          <w:spacing w:val="-5"/>
          <w:sz w:val="24"/>
          <w:szCs w:val="24"/>
        </w:rPr>
        <w:t>.</w:t>
      </w:r>
      <w:r w:rsidR="00893581">
        <w:rPr>
          <w:rFonts w:ascii="Bookman Old Style" w:eastAsia="Times New Roman" w:hAnsi="Bookman Old Style" w:cs="Arial"/>
          <w:spacing w:val="-5"/>
          <w:sz w:val="24"/>
          <w:szCs w:val="24"/>
        </w:rPr>
        <w:t>, en adel</w:t>
      </w:r>
      <w:r w:rsidR="00466EA2">
        <w:rPr>
          <w:rFonts w:ascii="Bookman Old Style" w:eastAsia="Times New Roman" w:hAnsi="Bookman Old Style" w:cs="Arial"/>
          <w:spacing w:val="-5"/>
          <w:sz w:val="24"/>
          <w:szCs w:val="24"/>
        </w:rPr>
        <w:t>ante DUE,</w:t>
      </w:r>
      <w:r w:rsidR="00043B68">
        <w:rPr>
          <w:rFonts w:ascii="Bookman Old Style" w:eastAsia="Times New Roman" w:hAnsi="Bookman Old Style" w:cs="Arial"/>
          <w:spacing w:val="-5"/>
          <w:sz w:val="24"/>
          <w:szCs w:val="24"/>
        </w:rPr>
        <w:t xml:space="preserve"> interpuso recurso de reposición </w:t>
      </w:r>
      <w:r w:rsidR="00504C97">
        <w:rPr>
          <w:rFonts w:ascii="Bookman Old Style" w:eastAsia="Times New Roman" w:hAnsi="Bookman Old Style" w:cs="Arial"/>
          <w:spacing w:val="-5"/>
          <w:sz w:val="24"/>
          <w:szCs w:val="24"/>
        </w:rPr>
        <w:t xml:space="preserve">contra la </w:t>
      </w:r>
      <w:r w:rsidR="00777A10">
        <w:rPr>
          <w:rFonts w:ascii="Bookman Old Style" w:eastAsia="Times New Roman" w:hAnsi="Bookman Old Style" w:cs="Arial"/>
          <w:spacing w:val="-5"/>
          <w:sz w:val="24"/>
          <w:szCs w:val="24"/>
        </w:rPr>
        <w:t>R</w:t>
      </w:r>
      <w:r w:rsidR="00504C97">
        <w:rPr>
          <w:rFonts w:ascii="Bookman Old Style" w:eastAsia="Times New Roman" w:hAnsi="Bookman Old Style" w:cs="Arial"/>
          <w:spacing w:val="-5"/>
          <w:sz w:val="24"/>
          <w:szCs w:val="24"/>
        </w:rPr>
        <w:t>esolución CREG 501 26A de 2022</w:t>
      </w:r>
      <w:r w:rsidR="006A1DDE">
        <w:rPr>
          <w:rFonts w:ascii="Bookman Old Style" w:eastAsia="Times New Roman" w:hAnsi="Bookman Old Style" w:cs="Arial"/>
          <w:spacing w:val="-5"/>
          <w:sz w:val="24"/>
          <w:szCs w:val="24"/>
        </w:rPr>
        <w:t>, e</w:t>
      </w:r>
      <w:r w:rsidR="00717862">
        <w:rPr>
          <w:rFonts w:ascii="Bookman Old Style" w:eastAsia="Times New Roman" w:hAnsi="Bookman Old Style" w:cs="Arial"/>
          <w:spacing w:val="-5"/>
          <w:sz w:val="24"/>
          <w:szCs w:val="24"/>
        </w:rPr>
        <w:t>ncontrándose</w:t>
      </w:r>
      <w:r w:rsidR="00717862" w:rsidRPr="001F74BE">
        <w:rPr>
          <w:rFonts w:ascii="Bookman Old Style" w:eastAsia="Times New Roman" w:hAnsi="Bookman Old Style" w:cs="Arial"/>
          <w:spacing w:val="-5"/>
          <w:sz w:val="24"/>
          <w:szCs w:val="24"/>
        </w:rPr>
        <w:t xml:space="preserve"> dentro de los términos para presentar</w:t>
      </w:r>
      <w:r w:rsidR="00717862">
        <w:rPr>
          <w:rFonts w:ascii="Bookman Old Style" w:eastAsia="Times New Roman" w:hAnsi="Bookman Old Style" w:cs="Arial"/>
          <w:spacing w:val="-5"/>
          <w:sz w:val="24"/>
          <w:szCs w:val="24"/>
        </w:rPr>
        <w:t xml:space="preserve"> el recurso. </w:t>
      </w:r>
    </w:p>
    <w:p w14:paraId="2F98474E" w14:textId="6B157173" w:rsidR="00717862" w:rsidRDefault="00717862" w:rsidP="00FA4DC4">
      <w:pPr>
        <w:spacing w:after="0" w:line="240" w:lineRule="auto"/>
        <w:ind w:left="-142" w:right="-142"/>
        <w:jc w:val="both"/>
        <w:rPr>
          <w:rFonts w:ascii="Bookman Old Style" w:eastAsia="Times New Roman" w:hAnsi="Bookman Old Style" w:cs="Arial"/>
          <w:spacing w:val="-5"/>
          <w:sz w:val="24"/>
          <w:szCs w:val="24"/>
        </w:rPr>
      </w:pPr>
    </w:p>
    <w:p w14:paraId="06EBCE7A" w14:textId="49A0332F" w:rsidR="006A1DDE" w:rsidRDefault="00504C97" w:rsidP="006A1DDE">
      <w:pPr>
        <w:spacing w:after="0" w:line="240" w:lineRule="auto"/>
        <w:ind w:left="-142" w:right="-142"/>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 xml:space="preserve">Por otra parte, </w:t>
      </w:r>
      <w:r w:rsidR="00777A10">
        <w:rPr>
          <w:rFonts w:ascii="Bookman Old Style" w:eastAsia="Times New Roman" w:hAnsi="Bookman Old Style" w:cs="Arial"/>
          <w:spacing w:val="-5"/>
          <w:sz w:val="24"/>
          <w:szCs w:val="24"/>
        </w:rPr>
        <w:t>mediante escrito</w:t>
      </w:r>
      <w:r w:rsidR="00717862">
        <w:rPr>
          <w:rFonts w:ascii="Bookman Old Style" w:eastAsia="Times New Roman" w:hAnsi="Bookman Old Style" w:cs="Arial"/>
          <w:spacing w:val="-5"/>
          <w:sz w:val="24"/>
          <w:szCs w:val="24"/>
        </w:rPr>
        <w:t xml:space="preserve"> con</w:t>
      </w:r>
      <w:r w:rsidR="00777A10">
        <w:rPr>
          <w:rFonts w:ascii="Bookman Old Style" w:eastAsia="Times New Roman" w:hAnsi="Bookman Old Style" w:cs="Arial"/>
          <w:spacing w:val="-5"/>
          <w:sz w:val="24"/>
          <w:szCs w:val="24"/>
        </w:rPr>
        <w:t xml:space="preserve"> radicado CREG E-2022-006072 del 31 de mayo</w:t>
      </w:r>
      <w:r w:rsidR="00717862">
        <w:rPr>
          <w:rFonts w:ascii="Bookman Old Style" w:eastAsia="Times New Roman" w:hAnsi="Bookman Old Style" w:cs="Arial"/>
          <w:spacing w:val="-5"/>
          <w:sz w:val="24"/>
          <w:szCs w:val="24"/>
        </w:rPr>
        <w:t xml:space="preserve"> de 2022</w:t>
      </w:r>
      <w:r w:rsidR="00777A10">
        <w:rPr>
          <w:rFonts w:ascii="Bookman Old Style" w:eastAsia="Times New Roman" w:hAnsi="Bookman Old Style" w:cs="Arial"/>
          <w:spacing w:val="-5"/>
          <w:sz w:val="24"/>
          <w:szCs w:val="24"/>
        </w:rPr>
        <w:t xml:space="preserve">, </w:t>
      </w:r>
      <w:r w:rsidR="00657F04">
        <w:rPr>
          <w:rFonts w:ascii="Bookman Old Style" w:eastAsia="Times New Roman" w:hAnsi="Bookman Old Style" w:cs="Arial"/>
          <w:spacing w:val="-5"/>
          <w:sz w:val="24"/>
          <w:szCs w:val="24"/>
        </w:rPr>
        <w:t xml:space="preserve">el representante legal de </w:t>
      </w:r>
      <w:r w:rsidR="00717862">
        <w:rPr>
          <w:rFonts w:ascii="Bookman Old Style" w:eastAsia="Times New Roman" w:hAnsi="Bookman Old Style" w:cs="Arial"/>
          <w:spacing w:val="-5"/>
          <w:sz w:val="24"/>
          <w:szCs w:val="24"/>
        </w:rPr>
        <w:t>G</w:t>
      </w:r>
      <w:r w:rsidR="00466EA2">
        <w:rPr>
          <w:rFonts w:ascii="Bookman Old Style" w:eastAsia="Times New Roman" w:hAnsi="Bookman Old Style" w:cs="Arial"/>
          <w:spacing w:val="-5"/>
          <w:sz w:val="24"/>
          <w:szCs w:val="24"/>
        </w:rPr>
        <w:t>ENSA</w:t>
      </w:r>
      <w:r w:rsidR="00717862">
        <w:rPr>
          <w:rFonts w:ascii="Bookman Old Style" w:eastAsia="Times New Roman" w:hAnsi="Bookman Old Style" w:cs="Arial"/>
          <w:spacing w:val="-5"/>
          <w:sz w:val="24"/>
          <w:szCs w:val="24"/>
        </w:rPr>
        <w:t xml:space="preserve"> S.A</w:t>
      </w:r>
      <w:r w:rsidR="00A974B9">
        <w:rPr>
          <w:rFonts w:ascii="Bookman Old Style" w:eastAsia="Times New Roman" w:hAnsi="Bookman Old Style" w:cs="Arial"/>
          <w:spacing w:val="-5"/>
          <w:sz w:val="24"/>
          <w:szCs w:val="24"/>
        </w:rPr>
        <w:t>.</w:t>
      </w:r>
      <w:r w:rsidR="00717862">
        <w:rPr>
          <w:rFonts w:ascii="Bookman Old Style" w:eastAsia="Times New Roman" w:hAnsi="Bookman Old Style" w:cs="Arial"/>
          <w:spacing w:val="-5"/>
          <w:sz w:val="24"/>
          <w:szCs w:val="24"/>
        </w:rPr>
        <w:t xml:space="preserve"> E.S.P</w:t>
      </w:r>
      <w:r w:rsidR="006A1DDE">
        <w:rPr>
          <w:rFonts w:ascii="Bookman Old Style" w:eastAsia="Times New Roman" w:hAnsi="Bookman Old Style" w:cs="Arial"/>
          <w:spacing w:val="-5"/>
          <w:sz w:val="24"/>
          <w:szCs w:val="24"/>
        </w:rPr>
        <w:t>.</w:t>
      </w:r>
      <w:r w:rsidR="00466EA2">
        <w:rPr>
          <w:rFonts w:ascii="Bookman Old Style" w:eastAsia="Times New Roman" w:hAnsi="Bookman Old Style" w:cs="Arial"/>
          <w:spacing w:val="-5"/>
          <w:sz w:val="24"/>
          <w:szCs w:val="24"/>
        </w:rPr>
        <w:t>, en adelante</w:t>
      </w:r>
      <w:r w:rsidR="002A623E">
        <w:rPr>
          <w:rFonts w:ascii="Bookman Old Style" w:eastAsia="Times New Roman" w:hAnsi="Bookman Old Style" w:cs="Arial"/>
          <w:spacing w:val="-5"/>
          <w:sz w:val="24"/>
          <w:szCs w:val="24"/>
        </w:rPr>
        <w:t xml:space="preserve"> GENSA,</w:t>
      </w:r>
      <w:r w:rsidR="00717862">
        <w:rPr>
          <w:rFonts w:ascii="Bookman Old Style" w:eastAsia="Times New Roman" w:hAnsi="Bookman Old Style" w:cs="Arial"/>
          <w:spacing w:val="-5"/>
          <w:sz w:val="24"/>
          <w:szCs w:val="24"/>
        </w:rPr>
        <w:t xml:space="preserve"> </w:t>
      </w:r>
      <w:r w:rsidR="00777A10">
        <w:rPr>
          <w:rFonts w:ascii="Bookman Old Style" w:eastAsia="Times New Roman" w:hAnsi="Bookman Old Style" w:cs="Arial"/>
          <w:spacing w:val="-5"/>
          <w:sz w:val="24"/>
          <w:szCs w:val="24"/>
        </w:rPr>
        <w:t>interpuso recurso de reposición contra la Resolución CREG 501 26A de 2022</w:t>
      </w:r>
      <w:r w:rsidR="006A1DDE">
        <w:rPr>
          <w:rFonts w:ascii="Bookman Old Style" w:eastAsia="Times New Roman" w:hAnsi="Bookman Old Style" w:cs="Arial"/>
          <w:spacing w:val="-5"/>
          <w:sz w:val="24"/>
          <w:szCs w:val="24"/>
        </w:rPr>
        <w:t>, encontrándose</w:t>
      </w:r>
      <w:r w:rsidR="006A1DDE" w:rsidRPr="001F74BE">
        <w:rPr>
          <w:rFonts w:ascii="Bookman Old Style" w:eastAsia="Times New Roman" w:hAnsi="Bookman Old Style" w:cs="Arial"/>
          <w:spacing w:val="-5"/>
          <w:sz w:val="24"/>
          <w:szCs w:val="24"/>
        </w:rPr>
        <w:t xml:space="preserve"> dentro de los términos para presentar</w:t>
      </w:r>
      <w:r w:rsidR="006A1DDE">
        <w:rPr>
          <w:rFonts w:ascii="Bookman Old Style" w:eastAsia="Times New Roman" w:hAnsi="Bookman Old Style" w:cs="Arial"/>
          <w:spacing w:val="-5"/>
          <w:sz w:val="24"/>
          <w:szCs w:val="24"/>
        </w:rPr>
        <w:t xml:space="preserve"> el recurso. </w:t>
      </w:r>
    </w:p>
    <w:p w14:paraId="651C2BBD" w14:textId="1F5CDD43" w:rsidR="00777A10" w:rsidRDefault="00777A10" w:rsidP="00FA4DC4">
      <w:pPr>
        <w:spacing w:after="0" w:line="240" w:lineRule="auto"/>
        <w:ind w:left="-142" w:right="-142"/>
        <w:jc w:val="both"/>
        <w:rPr>
          <w:rFonts w:ascii="Bookman Old Style" w:eastAsia="Times New Roman" w:hAnsi="Bookman Old Style" w:cs="Arial"/>
          <w:spacing w:val="-5"/>
          <w:sz w:val="24"/>
          <w:szCs w:val="24"/>
        </w:rPr>
      </w:pPr>
    </w:p>
    <w:p w14:paraId="1FBE1340" w14:textId="251F63BD" w:rsidR="00FA4DC4" w:rsidRPr="00FA4DC4" w:rsidRDefault="00FA4DC4" w:rsidP="00FA4DC4">
      <w:pPr>
        <w:spacing w:after="0" w:line="240" w:lineRule="auto"/>
        <w:ind w:left="-142" w:right="-142"/>
        <w:jc w:val="both"/>
        <w:rPr>
          <w:rFonts w:ascii="Bookman Old Style" w:eastAsia="Times New Roman" w:hAnsi="Bookman Old Style" w:cs="Arial"/>
          <w:spacing w:val="-5"/>
          <w:sz w:val="24"/>
          <w:szCs w:val="24"/>
        </w:rPr>
      </w:pPr>
      <w:r w:rsidRPr="00FA4DC4">
        <w:rPr>
          <w:rFonts w:ascii="Bookman Old Style" w:eastAsia="Times New Roman" w:hAnsi="Bookman Old Style" w:cs="Arial"/>
          <w:spacing w:val="-5"/>
          <w:sz w:val="24"/>
          <w:szCs w:val="24"/>
        </w:rPr>
        <w:t>En virtud de lo anterior</w:t>
      </w:r>
      <w:r w:rsidR="00A974B9">
        <w:rPr>
          <w:rFonts w:ascii="Bookman Old Style" w:eastAsia="Times New Roman" w:hAnsi="Bookman Old Style" w:cs="Arial"/>
          <w:spacing w:val="-5"/>
          <w:sz w:val="24"/>
          <w:szCs w:val="24"/>
        </w:rPr>
        <w:t>,</w:t>
      </w:r>
      <w:r w:rsidRPr="00FA4DC4">
        <w:rPr>
          <w:rFonts w:ascii="Bookman Old Style" w:eastAsia="Times New Roman" w:hAnsi="Bookman Old Style" w:cs="Arial"/>
          <w:spacing w:val="-5"/>
          <w:sz w:val="24"/>
          <w:szCs w:val="24"/>
        </w:rPr>
        <w:t xml:space="preserve"> y una vez verificado el cumplimiento de los requisitos a los que hace referencia el artículo 77 del Código de Procedimiento Administrativo y de lo Contencioso Administrativo</w:t>
      </w:r>
      <w:r w:rsidR="00A974B9">
        <w:rPr>
          <w:rFonts w:ascii="Bookman Old Style" w:eastAsia="Times New Roman" w:hAnsi="Bookman Old Style" w:cs="Arial"/>
          <w:spacing w:val="-5"/>
          <w:sz w:val="24"/>
          <w:szCs w:val="24"/>
        </w:rPr>
        <w:t>,</w:t>
      </w:r>
      <w:r w:rsidR="00D107AD">
        <w:rPr>
          <w:rFonts w:ascii="Bookman Old Style" w:eastAsia="Times New Roman" w:hAnsi="Bookman Old Style" w:cs="Arial"/>
          <w:spacing w:val="-5"/>
          <w:sz w:val="24"/>
          <w:szCs w:val="24"/>
        </w:rPr>
        <w:t xml:space="preserve"> </w:t>
      </w:r>
      <w:r w:rsidR="00657F04">
        <w:rPr>
          <w:rFonts w:ascii="Bookman Old Style" w:eastAsia="Times New Roman" w:hAnsi="Bookman Old Style" w:cs="Arial"/>
          <w:spacing w:val="-5"/>
          <w:sz w:val="24"/>
          <w:szCs w:val="24"/>
        </w:rPr>
        <w:t xml:space="preserve">y </w:t>
      </w:r>
      <w:r w:rsidR="00D107AD">
        <w:rPr>
          <w:rFonts w:ascii="Bookman Old Style" w:eastAsia="Times New Roman" w:hAnsi="Bookman Old Style" w:cs="Arial"/>
          <w:spacing w:val="-5"/>
          <w:sz w:val="24"/>
          <w:szCs w:val="24"/>
        </w:rPr>
        <w:t xml:space="preserve">en concordancia con el artículo 113 de la Ley 142 de 1994, </w:t>
      </w:r>
      <w:r w:rsidR="00D107AD" w:rsidRPr="00FA4DC4">
        <w:rPr>
          <w:rFonts w:ascii="Bookman Old Style" w:eastAsia="Times New Roman" w:hAnsi="Bookman Old Style" w:cs="Arial"/>
          <w:spacing w:val="-5"/>
          <w:sz w:val="24"/>
          <w:szCs w:val="24"/>
        </w:rPr>
        <w:t>procede</w:t>
      </w:r>
      <w:r w:rsidRPr="00FA4DC4">
        <w:rPr>
          <w:rFonts w:ascii="Bookman Old Style" w:eastAsia="Times New Roman" w:hAnsi="Bookman Old Style" w:cs="Arial"/>
          <w:spacing w:val="-5"/>
          <w:sz w:val="24"/>
          <w:szCs w:val="24"/>
        </w:rPr>
        <w:t xml:space="preserve"> la CREG a realizar un análisis y pronunciarse en relación con los argumentos en que se sustenta la impugnación.</w:t>
      </w:r>
    </w:p>
    <w:p w14:paraId="3B24F02B" w14:textId="627A9DED" w:rsidR="00FA4DC4" w:rsidRDefault="00FA4DC4" w:rsidP="00FA4DC4">
      <w:pPr>
        <w:spacing w:after="0" w:line="240" w:lineRule="auto"/>
        <w:ind w:left="-142" w:right="-142"/>
        <w:jc w:val="both"/>
        <w:rPr>
          <w:rFonts w:ascii="Bookman Old Style" w:eastAsia="Times New Roman" w:hAnsi="Bookman Old Style" w:cs="Arial"/>
          <w:spacing w:val="-5"/>
          <w:sz w:val="24"/>
          <w:szCs w:val="24"/>
        </w:rPr>
      </w:pPr>
    </w:p>
    <w:p w14:paraId="453FF82D" w14:textId="77777777"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xml:space="preserve">. </w:t>
      </w:r>
      <w:r w:rsidR="00A33677" w:rsidRPr="006A6D01">
        <w:rPr>
          <w:rFonts w:ascii="Bookman Old Style" w:eastAsia="Times New Roman" w:hAnsi="Bookman Old Style" w:cs="Times New Roman"/>
          <w:b/>
          <w:sz w:val="24"/>
          <w:szCs w:val="24"/>
          <w:lang w:val="es-ES" w:eastAsia="es-ES"/>
        </w:rPr>
        <w:t>Fundamentos del recurso</w:t>
      </w:r>
    </w:p>
    <w:p w14:paraId="42209E81" w14:textId="77777777"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14:paraId="786D91A1" w14:textId="783BF694" w:rsidR="00A33677" w:rsidRDefault="00657F04" w:rsidP="00A33677">
      <w:pPr>
        <w:spacing w:after="0" w:line="240" w:lineRule="auto"/>
        <w:ind w:left="-142"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A continuación, se presentan l</w:t>
      </w:r>
      <w:r w:rsidR="00A33677" w:rsidRPr="00A33677">
        <w:rPr>
          <w:rFonts w:ascii="Bookman Old Style" w:eastAsia="Times New Roman" w:hAnsi="Bookman Old Style" w:cs="Times New Roman"/>
          <w:sz w:val="24"/>
          <w:szCs w:val="24"/>
          <w:lang w:val="es-ES" w:eastAsia="es-ES"/>
        </w:rPr>
        <w:t xml:space="preserve">os argumentos del recurso de reposición interpuesto por la empresa </w:t>
      </w:r>
      <w:r w:rsidR="00C23AC6">
        <w:rPr>
          <w:rFonts w:ascii="Bookman Old Style" w:eastAsia="Times New Roman" w:hAnsi="Bookman Old Style" w:cs="Times New Roman"/>
          <w:sz w:val="24"/>
          <w:szCs w:val="24"/>
          <w:lang w:val="es-ES" w:eastAsia="es-ES"/>
        </w:rPr>
        <w:t>D</w:t>
      </w:r>
      <w:r w:rsidR="00376534">
        <w:rPr>
          <w:rFonts w:ascii="Bookman Old Style" w:eastAsia="Times New Roman" w:hAnsi="Bookman Old Style" w:cs="Times New Roman"/>
          <w:sz w:val="24"/>
          <w:szCs w:val="24"/>
          <w:lang w:val="es-ES" w:eastAsia="es-ES"/>
        </w:rPr>
        <w:t>UE</w:t>
      </w:r>
      <w:r w:rsidR="00A33677" w:rsidRPr="00A33677">
        <w:rPr>
          <w:rFonts w:ascii="Bookman Old Style" w:eastAsia="Times New Roman" w:hAnsi="Bookman Old Style" w:cs="Times New Roman"/>
          <w:sz w:val="24"/>
          <w:szCs w:val="24"/>
          <w:lang w:val="es-ES" w:eastAsia="es-ES"/>
        </w:rPr>
        <w:t>:</w:t>
      </w:r>
    </w:p>
    <w:p w14:paraId="1E78B45E" w14:textId="77777777" w:rsidR="0073140A" w:rsidRDefault="0073140A" w:rsidP="0073140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sz w:val="24"/>
          <w:szCs w:val="24"/>
          <w:lang w:val="es-ES" w:eastAsia="es-ES"/>
        </w:rPr>
      </w:pPr>
    </w:p>
    <w:p w14:paraId="7AAB5222" w14:textId="77777777" w:rsidR="00126694" w:rsidRPr="00F81CB6" w:rsidRDefault="00B04E0D" w:rsidP="00126694">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w:t>
      </w:r>
      <w:r w:rsidR="00126694" w:rsidRPr="00F81CB6">
        <w:rPr>
          <w:rFonts w:ascii="Bookman Old Style" w:hAnsi="Bookman Old Style" w:cs="Arial"/>
          <w:i/>
          <w:spacing w:val="-5"/>
        </w:rPr>
        <w:t>REPAROS A LA RESOLUCIÓN</w:t>
      </w:r>
    </w:p>
    <w:p w14:paraId="56B3E344" w14:textId="77777777" w:rsidR="00733FDD" w:rsidRPr="00F81CB6" w:rsidRDefault="00733FDD" w:rsidP="00126694">
      <w:pPr>
        <w:spacing w:after="0" w:line="240" w:lineRule="auto"/>
        <w:ind w:right="-142"/>
        <w:jc w:val="both"/>
        <w:rPr>
          <w:rFonts w:ascii="Bookman Old Style" w:hAnsi="Bookman Old Style" w:cs="Arial"/>
          <w:i/>
          <w:spacing w:val="-5"/>
        </w:rPr>
      </w:pPr>
    </w:p>
    <w:p w14:paraId="197AE421" w14:textId="152F67F5" w:rsidR="00126694" w:rsidRPr="00F81CB6" w:rsidRDefault="00126694" w:rsidP="00126694">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II.1. Reparos al Artículo 1 de la Resolución</w:t>
      </w:r>
    </w:p>
    <w:p w14:paraId="4B47E9DE" w14:textId="7BFEA386" w:rsidR="00126694" w:rsidRPr="00F81CB6" w:rsidRDefault="00126694" w:rsidP="00126694">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El Artículo 1 de la Resolución resolvió:</w:t>
      </w:r>
      <w:r w:rsidR="00725B7D" w:rsidRPr="00F81CB6">
        <w:rPr>
          <w:rFonts w:ascii="Bookman Old Style" w:hAnsi="Bookman Old Style" w:cs="Arial"/>
          <w:i/>
          <w:spacing w:val="-5"/>
        </w:rPr>
        <w:t xml:space="preserve"> </w:t>
      </w:r>
      <w:r w:rsidRPr="00F81CB6">
        <w:rPr>
          <w:rFonts w:ascii="Bookman Old Style" w:hAnsi="Bookman Old Style" w:cs="Arial"/>
          <w:i/>
          <w:spacing w:val="-5"/>
        </w:rPr>
        <w:t>ARTÍCULO 1. Imposición de servidumbre. Imponer servidumbre de conexión eléctrica en la línea de 34.5 kV, activo identificado como “Línea de Transmisión de la MCH Mitú a la Subestación Eléctrica de Mitú” en el contrato especial No. GGC 209-2013 suscrito entre GENSA S.A. E.S.P. y el Ministerio de Minas y Energía, en la torre 117, para conectar generación solar fotovoltaica con capacidad pico de hasta 7,6 MWp y hasta 8,8 MWh de acumulación; a cargo de GENSA S.A. E.S.P. o del operador que a futuro cuente con la administración,operación, uso y goce de la línea de 34.5 kV; a favor de DUE CAPITAL AND SERVICES S.A.S. o de quien actúe como generador.</w:t>
      </w:r>
    </w:p>
    <w:p w14:paraId="631699B3" w14:textId="77777777" w:rsidR="00126694" w:rsidRPr="00F81CB6" w:rsidRDefault="00126694" w:rsidP="00126694">
      <w:pPr>
        <w:spacing w:after="0" w:line="240" w:lineRule="auto"/>
        <w:ind w:right="-142"/>
        <w:jc w:val="both"/>
        <w:rPr>
          <w:rFonts w:ascii="Bookman Old Style" w:hAnsi="Bookman Old Style" w:cs="Arial"/>
          <w:i/>
          <w:spacing w:val="-5"/>
        </w:rPr>
      </w:pPr>
    </w:p>
    <w:p w14:paraId="20E3B81A" w14:textId="6C85C655" w:rsidR="00126694" w:rsidRPr="00F81CB6" w:rsidRDefault="00126694" w:rsidP="00126694">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Como se puede observar, la CREG impuso la servidumbre para la conexión de la Proyecto, teniendo en cuenta la capacidad pico de generación del parque solar de hasta MWp y la capacidad de almacenamiento en energía del sistema de acumulación de 8,8 MWh, pero no estableció la potencia máxima que el Proyecto podrá entregar al sistema de distribución de Mitú. Al no estar establecida la potencia máxima para que el Proyecto entregue energía al sistema de distribución de Mitú, no hay claridad de cuál es la potencia máxima que el Proyecto podrá entregar al sistema, sea proveniente del parque solar o del sistema de almacenamiento.</w:t>
      </w:r>
    </w:p>
    <w:p w14:paraId="788C2C87" w14:textId="77777777" w:rsidR="00126694" w:rsidRPr="00F81CB6" w:rsidRDefault="00126694" w:rsidP="00126694">
      <w:pPr>
        <w:spacing w:after="0" w:line="240" w:lineRule="auto"/>
        <w:ind w:right="-142"/>
        <w:rPr>
          <w:rFonts w:ascii="Bookman Old Style" w:hAnsi="Bookman Old Style" w:cs="Arial"/>
          <w:i/>
          <w:spacing w:val="-5"/>
        </w:rPr>
      </w:pPr>
    </w:p>
    <w:p w14:paraId="5B1A77BD" w14:textId="5DC20D7C" w:rsidR="00126694" w:rsidRPr="00F81CB6" w:rsidRDefault="00126694" w:rsidP="00126694">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 xml:space="preserve">Teniendo en cuenta la capacidad del sistema de distribución de Mitú, DUE realizó el estudio de conexión, el cual obra en el expediente, estableciendo una potencia máxima a entregar de 4.4 </w:t>
      </w:r>
      <w:r w:rsidRPr="00F81CB6">
        <w:rPr>
          <w:rFonts w:ascii="Bookman Old Style" w:hAnsi="Bookman Old Style" w:cs="Arial"/>
          <w:i/>
          <w:spacing w:val="-5"/>
        </w:rPr>
        <w:lastRenderedPageBreak/>
        <w:t>MW. En este sentido, se solicita a la CREG que reponga el Artículo 1 de la Resolución, y en lugar de «generación solar fotovoltaica con capacidad pico de hasta 7,6 MWp y hasta 8,8 MWh de acumulación» se diga « generación solar fotovoltaica con capacidad asignada de conexión de 4,4 MW».</w:t>
      </w:r>
    </w:p>
    <w:p w14:paraId="55A49B6F" w14:textId="77777777" w:rsidR="003626C7" w:rsidRPr="00F81CB6" w:rsidRDefault="003626C7" w:rsidP="00126694">
      <w:pPr>
        <w:spacing w:after="0" w:line="240" w:lineRule="auto"/>
        <w:ind w:right="-142"/>
        <w:jc w:val="both"/>
        <w:rPr>
          <w:rFonts w:ascii="Bookman Old Style" w:hAnsi="Bookman Old Style" w:cs="Arial"/>
          <w:i/>
          <w:spacing w:val="-5"/>
        </w:rPr>
      </w:pPr>
    </w:p>
    <w:p w14:paraId="217073A4" w14:textId="4CB84E67" w:rsidR="00126694" w:rsidRPr="00F81CB6" w:rsidRDefault="00126694"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II.2. Reparos al inciso 2 del Artículo 2 de la Resolución</w:t>
      </w:r>
    </w:p>
    <w:p w14:paraId="10EAA3CB" w14:textId="77777777" w:rsidR="003626C7" w:rsidRPr="00F81CB6" w:rsidRDefault="003626C7" w:rsidP="00023E4C">
      <w:pPr>
        <w:spacing w:after="0" w:line="240" w:lineRule="auto"/>
        <w:ind w:right="-142"/>
        <w:jc w:val="both"/>
        <w:rPr>
          <w:rFonts w:ascii="Bookman Old Style" w:hAnsi="Bookman Old Style" w:cs="Arial"/>
          <w:i/>
          <w:spacing w:val="-5"/>
        </w:rPr>
      </w:pPr>
    </w:p>
    <w:p w14:paraId="41D0A84C" w14:textId="36D49F14" w:rsidR="00126694" w:rsidRPr="00F81CB6" w:rsidRDefault="00DE7E98" w:rsidP="00023E4C">
      <w:pPr>
        <w:spacing w:after="0" w:line="240" w:lineRule="auto"/>
        <w:ind w:right="-142"/>
        <w:jc w:val="both"/>
        <w:rPr>
          <w:rFonts w:ascii="Bookman Old Style" w:hAnsi="Bookman Old Style" w:cs="Arial"/>
          <w:i/>
          <w:spacing w:val="-5"/>
        </w:rPr>
      </w:pPr>
      <w:r>
        <w:rPr>
          <w:rFonts w:ascii="Bookman Old Style" w:hAnsi="Bookman Old Style" w:cs="Arial"/>
          <w:i/>
          <w:spacing w:val="-5"/>
        </w:rPr>
        <w:t xml:space="preserve">(…) </w:t>
      </w:r>
      <w:r w:rsidR="00126694" w:rsidRPr="00F81CB6">
        <w:rPr>
          <w:rFonts w:ascii="Bookman Old Style" w:hAnsi="Bookman Old Style" w:cs="Arial"/>
          <w:i/>
          <w:spacing w:val="-5"/>
        </w:rPr>
        <w:t>El inciso 2 del artículo 2 estableció que Gensa S.A. E.S.P. y DUE deberán celebrar un contrato de conexión, dentro de los 15 días hábiles siguientes a la entrada en vigencia de la Resolución, teniendo en cuenta el contenido mínimo establecido en el artículo 5 de la Resolución CREG 038 de 2018. Esta obligación impuesta por la CREG va en contravía de lo establecido por el artículo 39.4 de la Ley 142 de 1994, el cual predica:</w:t>
      </w:r>
    </w:p>
    <w:p w14:paraId="0FDE8310" w14:textId="77777777" w:rsidR="00DE7E98" w:rsidRDefault="00126694" w:rsidP="00E44D38">
      <w:pPr>
        <w:spacing w:after="0" w:line="240" w:lineRule="auto"/>
        <w:ind w:left="142"/>
        <w:jc w:val="both"/>
        <w:rPr>
          <w:rFonts w:ascii="Bookman Old Style" w:hAnsi="Bookman Old Style" w:cs="Arial"/>
          <w:i/>
          <w:spacing w:val="-5"/>
        </w:rPr>
      </w:pPr>
      <w:r w:rsidRPr="00F81CB6">
        <w:rPr>
          <w:rFonts w:ascii="Bookman Old Style" w:hAnsi="Bookman Old Style" w:cs="Arial"/>
          <w:i/>
          <w:spacing w:val="-5"/>
        </w:rPr>
        <w:t>39.4. Contratos en virtud de los cuales dos o más entidades prestadoras de servicios públicos o éstas con grandes proveedores o usuarios,</w:t>
      </w:r>
      <w:r w:rsidR="009646A0" w:rsidRPr="00F81CB6">
        <w:rPr>
          <w:i/>
        </w:rPr>
        <w:t xml:space="preserve"> </w:t>
      </w:r>
      <w:r w:rsidR="009646A0" w:rsidRPr="00F81CB6">
        <w:rPr>
          <w:rFonts w:ascii="Bookman Old Style" w:hAnsi="Bookman Old Style" w:cs="Arial"/>
          <w:i/>
          <w:spacing w:val="-5"/>
        </w:rPr>
        <w:t xml:space="preserve">regulan el acceso compartido o de interconexión de bienes indispensables para la prestación de servicios públicos, mediante el pago de remuneración o peaje razonable. Este contrato puede celebrarse también entre una empresa de servicios públicos y cualquiera de sus grandes proveedores o usuarios. Si las partes no se convienen, en virtud de esta Ley la comisión de regulación podrá imponer una servidumbre de acceso o de interconexión a quien tenga el uso del bien. (negrilla fuera de texto) </w:t>
      </w:r>
    </w:p>
    <w:p w14:paraId="52B9E5EA" w14:textId="634958BF" w:rsidR="00FD1E90" w:rsidRPr="00F81CB6" w:rsidRDefault="00FD1E90"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 xml:space="preserve">Como se puede observar de este artículo, en caso de que las partes no lleguen a un acuerdo o logren celebrar un contrato para el acceso o la interconexión a bienes indispensables para la prestación de un servicio público, la comisión de regulación podrá imponer una servidumbre de acceso o interconexión. El caso descrito en el último inciso del artículo 39.4 se presenta en el caso concreto, y justamente es uno de los fundamentos de la Resolución. Con lo cual la solución al hecho de que las partes no nos pudimos poner de acuerdo para firmar un contrato de conexión no puede ser una imposición de servidumbre en la que la entidad competente, CREG, ordene a las partes firmar el contrato de conexión en el que no se pusieron de acuerdo. Justamente lo que dice la norma es </w:t>
      </w:r>
      <w:r w:rsidR="00DD1502" w:rsidRPr="00F81CB6">
        <w:rPr>
          <w:rFonts w:ascii="Bookman Old Style" w:hAnsi="Bookman Old Style" w:cs="Arial"/>
          <w:i/>
          <w:spacing w:val="-5"/>
        </w:rPr>
        <w:t>que,</w:t>
      </w:r>
      <w:r w:rsidRPr="00F81CB6">
        <w:rPr>
          <w:rFonts w:ascii="Bookman Old Style" w:hAnsi="Bookman Old Style" w:cs="Arial"/>
          <w:i/>
          <w:spacing w:val="-5"/>
        </w:rPr>
        <w:t xml:space="preserve"> a falta de acuerdo para suscribir el contrato, la CREG define la servidumbre y en ella define los elementos del contrato de conexión que no se pudo celebrar.</w:t>
      </w:r>
      <w:r w:rsidR="00D84906" w:rsidRPr="00F81CB6">
        <w:rPr>
          <w:rFonts w:ascii="Bookman Old Style" w:hAnsi="Bookman Old Style" w:cs="Arial"/>
          <w:i/>
          <w:spacing w:val="-5"/>
        </w:rPr>
        <w:t xml:space="preserve"> </w:t>
      </w:r>
      <w:r w:rsidRPr="00F81CB6">
        <w:rPr>
          <w:rFonts w:ascii="Bookman Old Style" w:hAnsi="Bookman Old Style" w:cs="Arial"/>
          <w:i/>
          <w:spacing w:val="-5"/>
        </w:rPr>
        <w:t xml:space="preserve">Como se puede observar de este artículo, en caso de que las partes no lleguen a un acuerdo o logren celebrar un contrato para el acceso o la interconexión a bienes indispensables para la prestación de un servicio público, la comisión de regulación podrá imponer una servidumbre de acceso o interconexión. El caso descrito en el último inciso del artículo 39.4 se presenta en el caso concreto, y justamente es uno de los fundamentos de la Resolución. Con lo cual la solución al hecho de que las partes no nos pudimos poner de acuerdo para firmar un contrato de conexión no puede ser una imposición de servidumbre en la que la entidad competente, CREG, ordene a las partes firmar el contrato de conexión en el que no se pusieron de acuerdo. Justamente lo que dice la norma es </w:t>
      </w:r>
      <w:r w:rsidR="00011091" w:rsidRPr="00F81CB6">
        <w:rPr>
          <w:rFonts w:ascii="Bookman Old Style" w:hAnsi="Bookman Old Style" w:cs="Arial"/>
          <w:i/>
          <w:spacing w:val="-5"/>
        </w:rPr>
        <w:t>que,</w:t>
      </w:r>
      <w:r w:rsidRPr="00F81CB6">
        <w:rPr>
          <w:rFonts w:ascii="Bookman Old Style" w:hAnsi="Bookman Old Style" w:cs="Arial"/>
          <w:i/>
          <w:spacing w:val="-5"/>
        </w:rPr>
        <w:t xml:space="preserve"> a falta de acuerdo para suscribir el contrato, la CREG define la servidumbre y en ella define los elementos del contrato de conexión que no se pudo celebrar.</w:t>
      </w:r>
    </w:p>
    <w:p w14:paraId="651890D8" w14:textId="77777777" w:rsidR="00011091" w:rsidRPr="00F81CB6" w:rsidRDefault="00011091" w:rsidP="00023E4C">
      <w:pPr>
        <w:spacing w:after="0" w:line="240" w:lineRule="auto"/>
        <w:ind w:right="-142"/>
        <w:jc w:val="both"/>
        <w:rPr>
          <w:rFonts w:ascii="Bookman Old Style" w:hAnsi="Bookman Old Style" w:cs="Arial"/>
          <w:i/>
          <w:spacing w:val="-5"/>
        </w:rPr>
      </w:pPr>
    </w:p>
    <w:p w14:paraId="2E8F11F3" w14:textId="05FA0EDB" w:rsidR="00DD1502" w:rsidRPr="00F81CB6" w:rsidRDefault="00FD1E90"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En el numeral 2 de las Consideradores de la Resolución, titulado «ACTUACION DE DUE CAPITAL AND SERVICES S.A.S. DE MANERA PREVIA A LA RADICACION DE LA SOLICITUD DE IMPOSICION DE SERVIDUMBTE DE CONEXION ANTE LA COMISION», la CREG tuvo en cuenta todas las actuaciones ejecutadas por DUE previo a la solicitud de imposición de servidumbre, las cuales derivaron en la necesidad de</w:t>
      </w:r>
      <w:r w:rsidR="00DD1502" w:rsidRPr="00F81CB6">
        <w:rPr>
          <w:rFonts w:ascii="Bookman Old Style" w:hAnsi="Bookman Old Style" w:cs="Arial"/>
          <w:i/>
          <w:spacing w:val="-5"/>
        </w:rPr>
        <w:t xml:space="preserve"> acudir a la CREG para que diera aplicación al último inciso del artículo 39.4, dentro de las cuales se destacan:</w:t>
      </w:r>
    </w:p>
    <w:p w14:paraId="41B055B1" w14:textId="77777777" w:rsidR="00DD1502" w:rsidRPr="00F81CB6" w:rsidRDefault="00DD1502"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1. El 16 de noviembre de 2018 DUE presentó a Gensa S.A. E.S.P. una solicitud de conexión del Proyecto a la red eléctrica de Mitú, la cual fue negada por Gensa el 6 de marzo de 2019, argumentando que no era competente para aprobar la conexión, ni era procedente a la luz de la ley y la regulación, pues los bienes a los cuales se pretende la conexión fueron transferidos por el Ministerio de Minas y Energía con la finalidad de ser parte del uso y goce de los bienes de constitutivos del sistema de generación eléctrica de Mitú.</w:t>
      </w:r>
    </w:p>
    <w:p w14:paraId="24D44CE8" w14:textId="77777777" w:rsidR="00DD1502" w:rsidRPr="00F81CB6" w:rsidRDefault="00DD1502"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lastRenderedPageBreak/>
        <w:t>2. Por lo anterior, el 19 de marzo de 2019, DUE acudió al Ministerio de Minas y Energía para solicitar la conexión del Proyecto a la red eléctrica de Mitú, solicitud que no fue respondida por el Ministerio.</w:t>
      </w:r>
    </w:p>
    <w:p w14:paraId="7F971F71" w14:textId="77777777" w:rsidR="00DD1502" w:rsidRPr="00F81CB6" w:rsidRDefault="00DD1502"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3. El 24 de junio de 2019, DUE solicitó a la Gobernación del Vaupés, operador del sistema de distribución y prestador del servicio de energía en la ZNI del Vaupés, la conexión del Proyecto.</w:t>
      </w:r>
    </w:p>
    <w:p w14:paraId="520EE07A" w14:textId="09F56427" w:rsidR="00DD1502" w:rsidRPr="00F81CB6" w:rsidRDefault="00DD1502"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4. Nuevamente, el 23 de julio de 2019, DUE presentó a Gensa la solicitud de conexión del Proyecto, la cual fue respondida el 3 de septiembre. En esta respuesta Gensa alegó que la torre 117 de la línea Mitú 35.5 kV era un activo del sistema de generación, por lo que sobre este no aplicaba el derecho al libre acceso, que sí aplica a las redes.</w:t>
      </w:r>
    </w:p>
    <w:p w14:paraId="582ACB1E" w14:textId="77777777" w:rsidR="00D84906" w:rsidRPr="00F81CB6" w:rsidRDefault="00DD1502"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 xml:space="preserve">Entonces, teniendo en cuenta que ni con Gensa, ni con el Ministerio de Minar y Energía, ni con la Gobernación del Vaupés fue posible llegar a un acuerdo, DUE acudió a la CREG para la imposición de una servidumbre de conexión a la red eléctrica de Mitú para la conexión del Proyecto. Así, resulta entonces contradictorio con la Ley 142 de 1994 que la CREG imponga la obligación a DUE </w:t>
      </w:r>
      <w:r w:rsidR="00D84906" w:rsidRPr="00F81CB6">
        <w:rPr>
          <w:rFonts w:ascii="Bookman Old Style" w:hAnsi="Bookman Old Style" w:cs="Arial"/>
          <w:i/>
          <w:spacing w:val="-5"/>
        </w:rPr>
        <w:t>y a GENSA de celebrar un contrato de conexión entre ellos, entre quienes no fue posible llegar a un acuerdo antes de acudir a la comisión para la imposición de la servidumbre. Incluso, según el contenido de la Resolución, la servidumbre se impone como un derecho real, es decir a favor del proyecto y a cargo de la red, con independencia de quienes sean el generador y el operador de la red.</w:t>
      </w:r>
    </w:p>
    <w:p w14:paraId="287096BF" w14:textId="77777777" w:rsidR="00011091" w:rsidRPr="00F81CB6" w:rsidRDefault="00011091" w:rsidP="00023E4C">
      <w:pPr>
        <w:spacing w:after="0" w:line="240" w:lineRule="auto"/>
        <w:ind w:right="-142"/>
        <w:jc w:val="both"/>
        <w:rPr>
          <w:rFonts w:ascii="Bookman Old Style" w:hAnsi="Bookman Old Style" w:cs="Arial"/>
          <w:i/>
          <w:spacing w:val="-5"/>
        </w:rPr>
      </w:pPr>
    </w:p>
    <w:p w14:paraId="7CBF212D" w14:textId="0A423179" w:rsidR="00D84906" w:rsidRPr="00F81CB6" w:rsidRDefault="00D84906"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Por lo anterior, solicitamos que se reponga el segundo párrafo del Artículo 2 de la Resolución, y sea la CREG en la resolución que resuelve la solicitud de servidumbre la que defina los aspectos técnicos establecidos en el artículo 5 de la Resolución CREG 038 de 2018. Para esto, deberá tener en cuenta:</w:t>
      </w:r>
    </w:p>
    <w:p w14:paraId="4B68AF09" w14:textId="77777777" w:rsidR="00D84906" w:rsidRPr="00F81CB6" w:rsidRDefault="00D84906"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1. Nombre de las partes:</w:t>
      </w:r>
    </w:p>
    <w:p w14:paraId="0A0FD77F" w14:textId="77777777" w:rsidR="00D84906" w:rsidRPr="00F81CB6" w:rsidRDefault="00D84906"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a. Operador: GENSA S.A. E.S.P.</w:t>
      </w:r>
    </w:p>
    <w:p w14:paraId="1CCAD3D8" w14:textId="77777777" w:rsidR="00D84906" w:rsidRPr="00F81CB6" w:rsidRDefault="00D84906"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b. Generador: DUE CAPITAL AND SERVICES S.A.S.</w:t>
      </w:r>
    </w:p>
    <w:p w14:paraId="02FB3FA3" w14:textId="77777777" w:rsidR="00011091" w:rsidRPr="00F81CB6" w:rsidRDefault="00011091" w:rsidP="00023E4C">
      <w:pPr>
        <w:spacing w:after="0" w:line="240" w:lineRule="auto"/>
        <w:ind w:right="-142"/>
        <w:jc w:val="both"/>
        <w:rPr>
          <w:rFonts w:ascii="Bookman Old Style" w:hAnsi="Bookman Old Style" w:cs="Arial"/>
          <w:i/>
          <w:spacing w:val="-5"/>
        </w:rPr>
      </w:pPr>
    </w:p>
    <w:p w14:paraId="2C2DBB7E" w14:textId="26AAD6B2" w:rsidR="00D84906" w:rsidRPr="00F81CB6" w:rsidRDefault="00D84906"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2. Objeto. Servidumbre de conexión eléctrica en la línea de 34.5 kV, activo identificado como “Línea de Transmisión de la MCH Mitú a la Subestación Eléctrica de Mitú” en el contrato especial No. GGC 209-2013 suscrito entre GENSA S.A. E.S.P. y el Ministerio de Minas y Energía, en la torre 117, para conectar generación solar fotovoltaica con capacidad asignada de conexión de 4,4 MW;</w:t>
      </w:r>
    </w:p>
    <w:p w14:paraId="3329F921" w14:textId="77777777" w:rsidR="00011091" w:rsidRPr="00F81CB6" w:rsidRDefault="00011091" w:rsidP="00023E4C">
      <w:pPr>
        <w:spacing w:after="0" w:line="240" w:lineRule="auto"/>
        <w:ind w:right="-142"/>
        <w:jc w:val="both"/>
        <w:rPr>
          <w:rFonts w:ascii="Bookman Old Style" w:hAnsi="Bookman Old Style" w:cs="Arial"/>
          <w:i/>
          <w:spacing w:val="-5"/>
        </w:rPr>
      </w:pPr>
    </w:p>
    <w:p w14:paraId="717EA930" w14:textId="54D60FD3" w:rsidR="00D84906" w:rsidRPr="00F81CB6" w:rsidRDefault="00D84906"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3. Plazo de ejecución del contrato: Hasta que se extinga la servidumbre por las causas previstas en la Ley 142 de 1994 y el artículo 942 de Código Civil.</w:t>
      </w:r>
    </w:p>
    <w:p w14:paraId="5F7A7F08" w14:textId="77777777" w:rsidR="00011091" w:rsidRPr="00F81CB6" w:rsidRDefault="00011091" w:rsidP="00023E4C">
      <w:pPr>
        <w:spacing w:after="0" w:line="240" w:lineRule="auto"/>
        <w:ind w:right="-142"/>
        <w:jc w:val="both"/>
        <w:rPr>
          <w:rFonts w:ascii="Bookman Old Style" w:hAnsi="Bookman Old Style" w:cs="Arial"/>
          <w:i/>
          <w:spacing w:val="-5"/>
        </w:rPr>
      </w:pPr>
    </w:p>
    <w:p w14:paraId="232D7D2B" w14:textId="6A2318C7" w:rsidR="00D84906" w:rsidRPr="00F81CB6" w:rsidRDefault="00D84906"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4. Obligaciones de las partes:</w:t>
      </w:r>
    </w:p>
    <w:p w14:paraId="384CFF47" w14:textId="7DDD38A0" w:rsidR="00FD1E90" w:rsidRPr="00F81CB6" w:rsidRDefault="00D84906"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a. Operar y mantener los activos y bienes de su propiedad dando cumplimiento a</w:t>
      </w:r>
      <w:r w:rsidRPr="00F81CB6">
        <w:t xml:space="preserve"> </w:t>
      </w:r>
      <w:r w:rsidRPr="00F81CB6">
        <w:rPr>
          <w:rFonts w:ascii="Bookman Old Style" w:hAnsi="Bookman Old Style" w:cs="Arial"/>
          <w:i/>
          <w:spacing w:val="-5"/>
        </w:rPr>
        <w:t>lo establecido en la regulación aplicable.</w:t>
      </w:r>
    </w:p>
    <w:p w14:paraId="6E69C1E7" w14:textId="77777777"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GENSA S.A. E.S.P. deberá dar acceso a DUE CAPITAL AND</w:t>
      </w:r>
    </w:p>
    <w:p w14:paraId="6A40BE0A" w14:textId="77777777"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SERVICES S.A.S. a la Subestación Mitú para construir,</w:t>
      </w:r>
    </w:p>
    <w:p w14:paraId="50C7810A" w14:textId="77777777"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operar, mantener y reponer los activos y bienes que requiera para la conexión.</w:t>
      </w:r>
    </w:p>
    <w:p w14:paraId="6F1E6D5F" w14:textId="77777777" w:rsidR="00011091" w:rsidRPr="00F81CB6" w:rsidRDefault="00011091" w:rsidP="00023E4C">
      <w:pPr>
        <w:spacing w:after="0" w:line="240" w:lineRule="auto"/>
        <w:ind w:right="-142"/>
        <w:jc w:val="both"/>
        <w:rPr>
          <w:rFonts w:ascii="Bookman Old Style" w:hAnsi="Bookman Old Style" w:cs="Arial"/>
          <w:i/>
          <w:spacing w:val="-5"/>
        </w:rPr>
      </w:pPr>
    </w:p>
    <w:p w14:paraId="10AE3CB2" w14:textId="1A2095C5"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5. Ubicación georreferenciada o cartográfica del circuito o transformador al que pertenezca el generador distribuido o autogenerador que se conecta:</w:t>
      </w:r>
    </w:p>
    <w:p w14:paraId="522CD770" w14:textId="77777777" w:rsidR="00011091" w:rsidRPr="00F81CB6" w:rsidRDefault="00011091" w:rsidP="00023E4C">
      <w:pPr>
        <w:spacing w:after="0" w:line="240" w:lineRule="auto"/>
        <w:ind w:right="-142"/>
        <w:jc w:val="both"/>
        <w:rPr>
          <w:rFonts w:ascii="Bookman Old Style" w:hAnsi="Bookman Old Style" w:cs="Arial"/>
          <w:i/>
          <w:spacing w:val="-5"/>
        </w:rPr>
      </w:pPr>
    </w:p>
    <w:p w14:paraId="075B26E6" w14:textId="39216BAE"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6. Requerimientos técnicos tales como:</w:t>
      </w:r>
    </w:p>
    <w:p w14:paraId="4EEFFBCD" w14:textId="77777777"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a. Construcción de las obras que puedan requerirse para conectarse al sistema de distribución: Las definidas en el estudio de conexión, las cuales estarán a cargo del generador.</w:t>
      </w:r>
    </w:p>
    <w:p w14:paraId="679BD4CA" w14:textId="77777777"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b. Construcción de las obras para la extensión de los refuerzos del sistema de distribución del OR que se hagan necesarios o apropiados al hacer conexiones, o modificaciones a una conexión existente. Las definidas en el estudio de conexión, las cuales estarán a cargo del generador.</w:t>
      </w:r>
    </w:p>
    <w:p w14:paraId="603F4A1C" w14:textId="77777777"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c. Instalación de los medidores apropiados, de los equipos de corte y protección y de otros aparatos que puedan necesitarse para permitir OR medir e interrumpir el suministro a través de la conexión.</w:t>
      </w:r>
    </w:p>
    <w:p w14:paraId="43B55E78" w14:textId="77777777" w:rsidR="00011091" w:rsidRPr="00F81CB6" w:rsidRDefault="00011091" w:rsidP="00023E4C">
      <w:pPr>
        <w:spacing w:after="0" w:line="240" w:lineRule="auto"/>
        <w:ind w:right="-142"/>
        <w:jc w:val="both"/>
        <w:rPr>
          <w:rFonts w:ascii="Bookman Old Style" w:hAnsi="Bookman Old Style" w:cs="Arial"/>
          <w:i/>
          <w:spacing w:val="-5"/>
        </w:rPr>
      </w:pPr>
    </w:p>
    <w:p w14:paraId="770AF041" w14:textId="7DC9D9CC"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7. Límites de la propiedad:</w:t>
      </w:r>
    </w:p>
    <w:p w14:paraId="51045088" w14:textId="0B87237A" w:rsidR="00FD1E90"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a. DUE CAPITAL AND SERVICES S.A.S. será propietario de los activos y bienes que construya para la conexión de la generación solar fotovoltaica y de las obras que construya de acuerdo con lo previsto en el numeral 6 anterior. Una vez entre en operación, se levantarán un plano “as - built” definiendo los límites de propiedad.</w:t>
      </w:r>
    </w:p>
    <w:p w14:paraId="4DDDC939" w14:textId="77777777" w:rsidR="00C5506E" w:rsidRPr="00F81CB6" w:rsidRDefault="00C5506E" w:rsidP="005D0415">
      <w:pPr>
        <w:spacing w:after="0" w:line="240" w:lineRule="auto"/>
        <w:ind w:right="-142"/>
        <w:jc w:val="both"/>
        <w:rPr>
          <w:rFonts w:ascii="Bookman Old Style" w:hAnsi="Bookman Old Style" w:cs="Arial"/>
          <w:i/>
          <w:spacing w:val="-5"/>
        </w:rPr>
      </w:pPr>
    </w:p>
    <w:p w14:paraId="6BDAE889" w14:textId="39AA1B15" w:rsidR="005D0415" w:rsidRPr="00F81CB6" w:rsidRDefault="005D0415" w:rsidP="005D0415">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8.Aspectos operacionales del sistema en condiciones normales y de emergencia. Se dará aplicación al Reglamento de Operación y demás normas aplicables. Aspectos</w:t>
      </w:r>
      <w:r w:rsidR="00311D4A" w:rsidRPr="00F81CB6">
        <w:rPr>
          <w:rFonts w:ascii="Bookman Old Style" w:hAnsi="Bookman Old Style" w:cs="Arial"/>
          <w:i/>
          <w:spacing w:val="-5"/>
        </w:rPr>
        <w:t xml:space="preserve"> operacionales del sistema en condiciones normales</w:t>
      </w:r>
    </w:p>
    <w:p w14:paraId="541C7A95" w14:textId="387DF432" w:rsidR="00311D4A" w:rsidRPr="00F81CB6" w:rsidRDefault="00311D4A" w:rsidP="00023E4C">
      <w:pPr>
        <w:spacing w:after="0" w:line="240" w:lineRule="auto"/>
        <w:ind w:right="-142"/>
        <w:jc w:val="both"/>
        <w:rPr>
          <w:rFonts w:ascii="Bookman Old Style" w:hAnsi="Bookman Old Style" w:cs="Arial"/>
          <w:i/>
          <w:spacing w:val="-5"/>
        </w:rPr>
      </w:pPr>
    </w:p>
    <w:p w14:paraId="6397769A" w14:textId="77777777"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9. Responsabilidad y condiciones técnicas de la operación y mantenimiento: Cada parte se encargará del mantenimiento de los activos de su propiedad. Se procurará coordinar los mantenimientos de los activos para que si es posible coincidan y se minimice la indisponibilidad de la red de uso y las interrupciones en la prestación del servicio. Se dará aplicación al Código de Operación.</w:t>
      </w:r>
    </w:p>
    <w:p w14:paraId="5A2D8B8B" w14:textId="77777777" w:rsidR="00733FDD" w:rsidRPr="00F81CB6" w:rsidRDefault="00733FDD" w:rsidP="00023E4C">
      <w:pPr>
        <w:spacing w:after="0" w:line="240" w:lineRule="auto"/>
        <w:ind w:right="-142"/>
        <w:jc w:val="both"/>
        <w:rPr>
          <w:rFonts w:ascii="Bookman Old Style" w:hAnsi="Bookman Old Style" w:cs="Arial"/>
          <w:i/>
          <w:spacing w:val="-5"/>
        </w:rPr>
      </w:pPr>
    </w:p>
    <w:p w14:paraId="44ADCEEE" w14:textId="4AEBFBF4"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10. Derechos y condiciones de acceso de personal a las instalaciones.</w:t>
      </w:r>
    </w:p>
    <w:p w14:paraId="5AE86A42" w14:textId="77777777"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a. GENSA S.A. E.S.P. deberá dar acceso a DUE CAPITAL AND SERVICES S.A.S. a la Subestación Mitú para construir, operar y mantener los activos y bienes que requiera para la conexión de la generación solar fotovoltaica. El acceso será a los sitios requeridos para adelantar dichas actividades, en días y horas hábiles. En situaciones de emergencia el acceso deberá ser inmediato para atender la situación.</w:t>
      </w:r>
    </w:p>
    <w:p w14:paraId="03A3A5C8" w14:textId="77777777" w:rsidR="00733FDD" w:rsidRPr="00F81CB6" w:rsidRDefault="00733FDD" w:rsidP="00023E4C">
      <w:pPr>
        <w:spacing w:after="0" w:line="240" w:lineRule="auto"/>
        <w:ind w:right="-142"/>
        <w:jc w:val="both"/>
        <w:rPr>
          <w:rFonts w:ascii="Bookman Old Style" w:hAnsi="Bookman Old Style" w:cs="Arial"/>
          <w:i/>
          <w:spacing w:val="-5"/>
        </w:rPr>
      </w:pPr>
    </w:p>
    <w:p w14:paraId="2141521A" w14:textId="14C278DE"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11. Valor de las visitas de las pruebas para la puesta en operación: Si los hubiere, la CREG deberá aprobar los valores de las visitas de las pruebas para la puesta en operación de la generación solar fotovoltaica.</w:t>
      </w:r>
    </w:p>
    <w:p w14:paraId="455293BD" w14:textId="77777777" w:rsidR="00733FDD" w:rsidRPr="00F81CB6" w:rsidRDefault="00733FDD" w:rsidP="00023E4C">
      <w:pPr>
        <w:spacing w:after="0" w:line="240" w:lineRule="auto"/>
        <w:ind w:right="-142"/>
        <w:jc w:val="both"/>
        <w:rPr>
          <w:rFonts w:ascii="Bookman Old Style" w:hAnsi="Bookman Old Style" w:cs="Arial"/>
          <w:i/>
          <w:spacing w:val="-5"/>
        </w:rPr>
      </w:pPr>
    </w:p>
    <w:p w14:paraId="61F7670A" w14:textId="3350FEFA"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12. Procedimiento de resolución de conflictos. Salvo pacto en contrario entre GENSA S.A. E.S.P. y DUE CAPITAL AND SERVICES S.A.S., se acudirá a los jueces competentes de la República de Colombia.</w:t>
      </w:r>
    </w:p>
    <w:p w14:paraId="262E1EF3" w14:textId="77777777" w:rsidR="00733FDD" w:rsidRPr="00F81CB6" w:rsidRDefault="00733FDD" w:rsidP="00023E4C">
      <w:pPr>
        <w:spacing w:after="0" w:line="240" w:lineRule="auto"/>
        <w:ind w:right="-142"/>
        <w:jc w:val="both"/>
        <w:rPr>
          <w:rFonts w:ascii="Bookman Old Style" w:hAnsi="Bookman Old Style" w:cs="Arial"/>
          <w:i/>
          <w:spacing w:val="-5"/>
        </w:rPr>
      </w:pPr>
    </w:p>
    <w:p w14:paraId="5A68B92A" w14:textId="453BABF8" w:rsidR="00311D4A" w:rsidRPr="00F81CB6" w:rsidRDefault="00311D4A"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13. Condiciones adicionales tales como revisiones del contrato por cambios del sistema, garantías financieras y otros aspectos que se estimen para garantizar el cumplimiento del contrato.: ninguna.</w:t>
      </w:r>
      <w:r w:rsidRPr="00F81CB6">
        <w:t xml:space="preserve"> </w:t>
      </w:r>
      <w:r w:rsidRPr="00F81CB6">
        <w:rPr>
          <w:rFonts w:ascii="Bookman Old Style" w:hAnsi="Bookman Old Style" w:cs="Arial"/>
          <w:i/>
          <w:spacing w:val="-5"/>
        </w:rPr>
        <w:t>Costos y gastos para los requerimientos técnicos de construcción, extensión, modificación de obras necesarias para conectarse al sistema de distribución del distribuidor: El generador</w:t>
      </w:r>
      <w:r w:rsidR="00DE7E98">
        <w:rPr>
          <w:rFonts w:ascii="Bookman Old Style" w:hAnsi="Bookman Old Style" w:cs="Arial"/>
          <w:i/>
          <w:spacing w:val="-5"/>
        </w:rPr>
        <w:t xml:space="preserve"> </w:t>
      </w:r>
      <w:r w:rsidRPr="00F81CB6">
        <w:rPr>
          <w:rFonts w:ascii="Bookman Old Style" w:hAnsi="Bookman Old Style" w:cs="Arial"/>
          <w:i/>
          <w:spacing w:val="-5"/>
        </w:rPr>
        <w:t>no deberá pagar ningún cargo por la conexión de la generación solar fotovoltaica.</w:t>
      </w:r>
    </w:p>
    <w:p w14:paraId="6726E1B4" w14:textId="77777777" w:rsidR="00C5506E" w:rsidRPr="00F81CB6" w:rsidRDefault="00C5506E" w:rsidP="00023E4C">
      <w:pPr>
        <w:spacing w:after="0" w:line="240" w:lineRule="auto"/>
        <w:ind w:right="-142"/>
        <w:jc w:val="both"/>
        <w:rPr>
          <w:rFonts w:ascii="Bookman Old Style" w:hAnsi="Bookman Old Style" w:cs="Arial"/>
          <w:i/>
          <w:spacing w:val="-5"/>
        </w:rPr>
      </w:pPr>
    </w:p>
    <w:p w14:paraId="33A2EA1D" w14:textId="0BDAE243" w:rsidR="00023E4C" w:rsidRPr="00F81CB6" w:rsidRDefault="00023E4C"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III. SOLICITUD</w:t>
      </w:r>
    </w:p>
    <w:p w14:paraId="723DCD05" w14:textId="35AE7071" w:rsidR="00023E4C" w:rsidRPr="00F81CB6" w:rsidRDefault="00023E4C" w:rsidP="00023E4C">
      <w:pPr>
        <w:spacing w:after="0" w:line="240" w:lineRule="auto"/>
        <w:ind w:right="-142"/>
        <w:jc w:val="both"/>
        <w:rPr>
          <w:rFonts w:ascii="Bookman Old Style" w:hAnsi="Bookman Old Style" w:cs="Arial"/>
          <w:i/>
          <w:spacing w:val="-5"/>
        </w:rPr>
      </w:pPr>
      <w:r w:rsidRPr="00F81CB6">
        <w:rPr>
          <w:rFonts w:ascii="Bookman Old Style" w:hAnsi="Bookman Old Style" w:cs="Arial"/>
          <w:i/>
          <w:spacing w:val="-5"/>
        </w:rPr>
        <w:t>Por las anteriores consideraciones, de manera respetuosa solicito se reponga el artículo 1 y el inciso 2 del artículo 2 de la Resolución 501 26A de 2022, en los términos indicados en el presente recurso</w:t>
      </w:r>
      <w:r w:rsidR="00C5506E" w:rsidRPr="00F81CB6">
        <w:rPr>
          <w:rFonts w:ascii="Bookman Old Style" w:hAnsi="Bookman Old Style" w:cs="Arial"/>
          <w:i/>
          <w:spacing w:val="-5"/>
        </w:rPr>
        <w:t>”</w:t>
      </w:r>
      <w:r w:rsidRPr="00F81CB6">
        <w:rPr>
          <w:rFonts w:ascii="Bookman Old Style" w:hAnsi="Bookman Old Style" w:cs="Arial"/>
          <w:i/>
          <w:spacing w:val="-5"/>
        </w:rPr>
        <w:t>.</w:t>
      </w:r>
    </w:p>
    <w:p w14:paraId="08DE5534" w14:textId="77777777" w:rsidR="00F100F7" w:rsidRDefault="00F100F7" w:rsidP="00023E4C">
      <w:pPr>
        <w:spacing w:after="0" w:line="240" w:lineRule="auto"/>
        <w:ind w:right="-142"/>
        <w:jc w:val="both"/>
        <w:rPr>
          <w:rFonts w:ascii="Bookman Old Style" w:hAnsi="Bookman Old Style" w:cs="Arial"/>
          <w:spacing w:val="-5"/>
          <w:sz w:val="24"/>
          <w:szCs w:val="24"/>
        </w:rPr>
      </w:pPr>
    </w:p>
    <w:p w14:paraId="1758B336" w14:textId="1D4134EB" w:rsidR="00C5506E" w:rsidRDefault="00C5506E" w:rsidP="00023E4C">
      <w:pPr>
        <w:spacing w:after="0" w:line="240" w:lineRule="auto"/>
        <w:ind w:right="-142"/>
        <w:jc w:val="both"/>
        <w:rPr>
          <w:rFonts w:ascii="Bookman Old Style" w:hAnsi="Bookman Old Style" w:cs="Arial"/>
          <w:i/>
          <w:spacing w:val="-5"/>
          <w:sz w:val="24"/>
          <w:szCs w:val="24"/>
        </w:rPr>
      </w:pPr>
      <w:r w:rsidRPr="00C5506E">
        <w:rPr>
          <w:rFonts w:ascii="Bookman Old Style" w:hAnsi="Bookman Old Style" w:cs="Arial"/>
          <w:spacing w:val="-5"/>
          <w:sz w:val="24"/>
          <w:szCs w:val="24"/>
        </w:rPr>
        <w:t>Por otra parte</w:t>
      </w:r>
      <w:r>
        <w:rPr>
          <w:rFonts w:ascii="Bookman Old Style" w:hAnsi="Bookman Old Style" w:cs="Arial"/>
          <w:spacing w:val="-5"/>
          <w:sz w:val="24"/>
          <w:szCs w:val="24"/>
        </w:rPr>
        <w:t>,</w:t>
      </w:r>
      <w:r w:rsidRPr="00C5506E">
        <w:rPr>
          <w:rFonts w:ascii="Bookman Old Style" w:hAnsi="Bookman Old Style" w:cs="Arial"/>
          <w:spacing w:val="-5"/>
          <w:sz w:val="24"/>
          <w:szCs w:val="24"/>
        </w:rPr>
        <w:t xml:space="preserve"> </w:t>
      </w:r>
      <w:r w:rsidR="007F314D">
        <w:rPr>
          <w:rFonts w:ascii="Bookman Old Style" w:hAnsi="Bookman Old Style" w:cs="Arial"/>
          <w:spacing w:val="-5"/>
          <w:sz w:val="24"/>
          <w:szCs w:val="24"/>
        </w:rPr>
        <w:t>l</w:t>
      </w:r>
      <w:r w:rsidRPr="00C5506E">
        <w:rPr>
          <w:rFonts w:ascii="Bookman Old Style" w:hAnsi="Bookman Old Style" w:cs="Arial"/>
          <w:spacing w:val="-5"/>
          <w:sz w:val="24"/>
          <w:szCs w:val="24"/>
        </w:rPr>
        <w:t xml:space="preserve">os argumentos del recurso de reposición interpuesto por la empresa </w:t>
      </w:r>
      <w:r>
        <w:rPr>
          <w:rFonts w:ascii="Bookman Old Style" w:hAnsi="Bookman Old Style" w:cs="Arial"/>
          <w:spacing w:val="-5"/>
          <w:sz w:val="24"/>
          <w:szCs w:val="24"/>
        </w:rPr>
        <w:t>G</w:t>
      </w:r>
      <w:r w:rsidR="00F100F7">
        <w:rPr>
          <w:rFonts w:ascii="Bookman Old Style" w:hAnsi="Bookman Old Style" w:cs="Arial"/>
          <w:spacing w:val="-5"/>
          <w:sz w:val="24"/>
          <w:szCs w:val="24"/>
        </w:rPr>
        <w:t>ENSA</w:t>
      </w:r>
      <w:r>
        <w:rPr>
          <w:rFonts w:ascii="Bookman Old Style" w:hAnsi="Bookman Old Style" w:cs="Arial"/>
          <w:spacing w:val="-5"/>
          <w:sz w:val="24"/>
          <w:szCs w:val="24"/>
        </w:rPr>
        <w:t>,</w:t>
      </w:r>
      <w:r w:rsidRPr="00C5506E">
        <w:rPr>
          <w:rFonts w:ascii="Bookman Old Style" w:hAnsi="Bookman Old Style" w:cs="Arial"/>
          <w:spacing w:val="-5"/>
          <w:sz w:val="24"/>
          <w:szCs w:val="24"/>
        </w:rPr>
        <w:t xml:space="preserve"> hacen referencia a lo siguiente</w:t>
      </w:r>
      <w:r w:rsidRPr="00C5506E">
        <w:rPr>
          <w:rFonts w:ascii="Bookman Old Style" w:hAnsi="Bookman Old Style" w:cs="Arial"/>
          <w:i/>
          <w:spacing w:val="-5"/>
          <w:sz w:val="24"/>
          <w:szCs w:val="24"/>
        </w:rPr>
        <w:t>:</w:t>
      </w:r>
    </w:p>
    <w:p w14:paraId="514F08CD" w14:textId="77777777" w:rsidR="00C5506E" w:rsidRDefault="00C5506E" w:rsidP="00023E4C">
      <w:pPr>
        <w:spacing w:after="0" w:line="240" w:lineRule="auto"/>
        <w:ind w:right="-142"/>
        <w:jc w:val="both"/>
        <w:rPr>
          <w:rFonts w:ascii="Bookman Old Style" w:hAnsi="Bookman Old Style" w:cs="Arial"/>
          <w:i/>
          <w:spacing w:val="-5"/>
          <w:sz w:val="24"/>
          <w:szCs w:val="24"/>
        </w:rPr>
      </w:pPr>
    </w:p>
    <w:p w14:paraId="7B2525B1" w14:textId="7CC1E095"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IV.ARGUMENTOS DEL RECURSO DE REPOSICIÓN.</w:t>
      </w:r>
    </w:p>
    <w:p w14:paraId="5B23E4D8"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0B0F21E4" w14:textId="482880A0"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1.LA PARTE RESOLUTIVA DE LA RESOLUCIÓN CREG 501-26A-2022 NO ES CLARA EN ESTABLECER LA SUJECIÕN DE LA IMPOSICIÓN DE LA SERVIDUMBRE Y DEL CONTRATO DE CONEXIÓN A LAS CONSIDERACIONES DE LA RESOLUCIÓN Y AL ANEXO DOCUMENTO CREG 001-504</w:t>
      </w:r>
    </w:p>
    <w:p w14:paraId="5E93DF20"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272F2AE8" w14:textId="1F2423A1"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lastRenderedPageBreak/>
        <w:t xml:space="preserve">Un primer asunto por advertir respecto de la Resolución CREG 501-26A-2022 </w:t>
      </w:r>
      <w:r w:rsidR="00B34B16" w:rsidRPr="00F100F7">
        <w:rPr>
          <w:rFonts w:ascii="Bookman Old Style" w:eastAsia="Times New Roman" w:hAnsi="Bookman Old Style" w:cs="Times New Roman"/>
          <w:i/>
          <w:lang w:val="es-ES" w:eastAsia="es-ES"/>
        </w:rPr>
        <w:t>consiste</w:t>
      </w:r>
      <w:r w:rsidRPr="00F100F7">
        <w:rPr>
          <w:rFonts w:ascii="Bookman Old Style" w:eastAsia="Times New Roman" w:hAnsi="Bookman Old Style" w:cs="Times New Roman"/>
          <w:i/>
          <w:lang w:val="es-ES" w:eastAsia="es-ES"/>
        </w:rPr>
        <w:t xml:space="preserve"> en que la redacción de su parte resolutiva genera una duda razonable, frente a las condiciones</w:t>
      </w:r>
      <w:r w:rsidR="00FE57D3"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en las que debe imponerse la servidumbre. En particular, el ordinal primero de este act</w:t>
      </w:r>
      <w:r w:rsidR="00FE57D3" w:rsidRPr="00F100F7">
        <w:rPr>
          <w:rFonts w:ascii="Bookman Old Style" w:eastAsia="Times New Roman" w:hAnsi="Bookman Old Style" w:cs="Times New Roman"/>
          <w:i/>
          <w:lang w:val="es-ES" w:eastAsia="es-ES"/>
        </w:rPr>
        <w:t xml:space="preserve">o </w:t>
      </w:r>
      <w:r w:rsidRPr="00F100F7">
        <w:rPr>
          <w:rFonts w:ascii="Bookman Old Style" w:eastAsia="Times New Roman" w:hAnsi="Bookman Old Style" w:cs="Times New Roman"/>
          <w:i/>
          <w:lang w:val="es-ES" w:eastAsia="es-ES"/>
        </w:rPr>
        <w:t xml:space="preserve">administrativo en el que se impone la servidumbre, aunque establece sobre cual </w:t>
      </w:r>
      <w:r w:rsidR="00FE57D3" w:rsidRPr="00F100F7">
        <w:rPr>
          <w:rFonts w:ascii="Bookman Old Style" w:eastAsia="Times New Roman" w:hAnsi="Bookman Old Style" w:cs="Times New Roman"/>
          <w:i/>
          <w:lang w:val="es-ES" w:eastAsia="es-ES"/>
        </w:rPr>
        <w:t xml:space="preserve">Línea </w:t>
      </w:r>
      <w:r w:rsidRPr="00F100F7">
        <w:rPr>
          <w:rFonts w:ascii="Bookman Old Style" w:eastAsia="Times New Roman" w:hAnsi="Bookman Old Style" w:cs="Times New Roman"/>
          <w:i/>
          <w:lang w:val="es-ES" w:eastAsia="es-ES"/>
        </w:rPr>
        <w:t>recae, en favor de quién y en contra de quién recae la misma, no indica con claridad bajo qué condiciones se impone la servidumbre, ni define que tal imposición debe someterse a las especiales condiciones dispuestas en los considerandos de la Resolución y el Documento CREG-501 004 que acompañaba la Resolución propuesta.</w:t>
      </w:r>
      <w:r w:rsidR="00FE57D3"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 xml:space="preserve">En efecto, al verificar el contenido del ordinal primero </w:t>
      </w:r>
      <w:r w:rsidR="007F314D">
        <w:rPr>
          <w:rFonts w:ascii="Bookman Old Style" w:eastAsia="Times New Roman" w:hAnsi="Bookman Old Style" w:cs="Times New Roman"/>
          <w:i/>
          <w:lang w:val="es-ES" w:eastAsia="es-ES"/>
        </w:rPr>
        <w:t>(…)</w:t>
      </w:r>
      <w:r w:rsidRPr="00F100F7">
        <w:rPr>
          <w:rFonts w:ascii="Bookman Old Style" w:eastAsia="Times New Roman" w:hAnsi="Bookman Old Style" w:cs="Times New Roman"/>
          <w:i/>
          <w:lang w:val="es-ES" w:eastAsia="es-ES"/>
        </w:rPr>
        <w:t>, como se evidencia de la redacción de este ordinal, no se establece con claridad en qué términos se realiza la imposición de la servidumbre. Particularmente, no se enuncia que la imposición de la servidumbre debe someterse a lo dispuesto en los considerandos de la Resolución, así como lo incorporado en el Documento CREG-501 004 que acompaña la misma. Sobre este mismo punto, la omisión del acto administrativo respecto del papel de las consideraciones y de los documentos que lo acompañan genera una duda razonable en punto del alcance de la imposición de la servidumbre porque al no determinar en qué términos debe imponerse la servidumbre o a qué debe ceñirse, genera inquietud si la misma se condiciona a la parte motiva de la Resolución o al documento anexo, o los mismos no condicionan la orden allí impartida.</w:t>
      </w:r>
    </w:p>
    <w:p w14:paraId="578DDDCC"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7882BAF1"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De igual manera, tal indeterminación también trasciende no solamente al primer ordinal, sino igualmente al segundo, en el que se establece el plazo y la extinción de la servidumbre, al igual que se impone la obligación para GENSA S.A. ESP y DUE CAPITAL AND SERVICES S.A.S. de suscribir el Contrato de Conexión en un perentorio término, dado que no se define las condiciones en las que se debe suscribir el mencionado contrato, ni cuáles son las condiciones que se deben respetar dentro del contrato. En este sentido, este ordinal omite indicar la relación que debería tener el Contrato con el documento CREG-501 004 y con las consideraciones de la propia Resolución CREG 501-26A-2022.</w:t>
      </w:r>
    </w:p>
    <w:p w14:paraId="4A4A959A"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1D0C3DF4" w14:textId="6DDF8E96"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Justamente, el ordinal segundo de la Resolución CREG 501-26A-2022, establece que</w:t>
      </w:r>
      <w:r w:rsidR="007F314D">
        <w:rPr>
          <w:rFonts w:ascii="Bookman Old Style" w:eastAsia="Times New Roman" w:hAnsi="Bookman Old Style" w:cs="Times New Roman"/>
          <w:i/>
          <w:lang w:val="es-ES" w:eastAsia="es-ES"/>
        </w:rPr>
        <w:t xml:space="preserve"> (…)</w:t>
      </w:r>
      <w:r w:rsidR="00B470E0">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 xml:space="preserve">Como resulta evidente, de la norma transcrita no hay claridad sobre el alcance de la obligación que se le impone tanto a GENSA S.A. ESP como a DUE CAPITAL AND SERVICES S.A.S. respecto de la suscripción del contrato. En este sentido, a pesar de que se indica que se deberá suscribir el contrato dentro del fijado término de quince (15) días hábiles, no se señala de ninguna manera las condiciones en las que se deberá suscribir tal contrato, salvo la consideración de que en el mismo debe incluir como fecha máxima de entrada en operación de la conexión la que sea igual a dos (2) años contados a partir de la entrada en vigencia de la presente resolución, siendo </w:t>
      </w:r>
      <w:r w:rsidR="004F086C" w:rsidRPr="00F100F7">
        <w:rPr>
          <w:rFonts w:ascii="Bookman Old Style" w:eastAsia="Times New Roman" w:hAnsi="Bookman Old Style" w:cs="Times New Roman"/>
          <w:i/>
          <w:lang w:val="es-ES" w:eastAsia="es-ES"/>
        </w:rPr>
        <w:t>está</w:t>
      </w:r>
      <w:r w:rsidRPr="00F100F7">
        <w:rPr>
          <w:rFonts w:ascii="Bookman Old Style" w:eastAsia="Times New Roman" w:hAnsi="Bookman Old Style" w:cs="Times New Roman"/>
          <w:i/>
          <w:lang w:val="es-ES" w:eastAsia="es-ES"/>
        </w:rPr>
        <w:t xml:space="preserve"> definida por DUE CAPITAL AND</w:t>
      </w:r>
      <w:r w:rsidR="004F086C" w:rsidRPr="00F100F7">
        <w:rPr>
          <w:rFonts w:ascii="Bookman Old Style" w:eastAsia="Times New Roman" w:hAnsi="Bookman Old Style" w:cs="Times New Roman"/>
          <w:i/>
          <w:lang w:val="es-ES" w:eastAsia="es-ES"/>
        </w:rPr>
        <w:t xml:space="preserve"> SER</w:t>
      </w:r>
      <w:r w:rsidRPr="00F100F7">
        <w:rPr>
          <w:rFonts w:ascii="Bookman Old Style" w:eastAsia="Times New Roman" w:hAnsi="Bookman Old Style" w:cs="Times New Roman"/>
          <w:i/>
          <w:lang w:val="es-ES" w:eastAsia="es-ES"/>
        </w:rPr>
        <w:t>VICES S.A.S.</w:t>
      </w:r>
      <w:r w:rsidR="004F086C"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la finalidad de evitar posteriores desacuerdos entre las partes se</w:t>
      </w:r>
      <w:r w:rsidR="004F086C" w:rsidRPr="00F100F7">
        <w:rPr>
          <w:rFonts w:ascii="Bookman Old Style" w:eastAsia="Times New Roman" w:hAnsi="Bookman Old Style" w:cs="Times New Roman"/>
          <w:i/>
          <w:lang w:val="es-ES" w:eastAsia="es-ES"/>
        </w:rPr>
        <w:t xml:space="preserve"> </w:t>
      </w:r>
      <w:r w:rsidR="0058516D" w:rsidRPr="00F100F7">
        <w:rPr>
          <w:rFonts w:ascii="Bookman Old Style" w:eastAsia="Times New Roman" w:hAnsi="Bookman Old Style" w:cs="Times New Roman"/>
          <w:i/>
          <w:lang w:val="es-ES" w:eastAsia="es-ES"/>
        </w:rPr>
        <w:t>solicita</w:t>
      </w:r>
      <w:r w:rsidRPr="00F100F7">
        <w:rPr>
          <w:rFonts w:ascii="Bookman Old Style" w:eastAsia="Times New Roman" w:hAnsi="Bookman Old Style" w:cs="Times New Roman"/>
          <w:i/>
          <w:lang w:val="es-ES" w:eastAsia="es-ES"/>
        </w:rPr>
        <w:t xml:space="preserve"> s</w:t>
      </w:r>
      <w:r w:rsidR="0058516D" w:rsidRPr="00F100F7">
        <w:rPr>
          <w:rFonts w:ascii="Bookman Old Style" w:eastAsia="Times New Roman" w:hAnsi="Bookman Old Style" w:cs="Times New Roman"/>
          <w:i/>
          <w:lang w:val="es-ES" w:eastAsia="es-ES"/>
        </w:rPr>
        <w:t>e aclare</w:t>
      </w:r>
      <w:r w:rsidRPr="00F100F7">
        <w:rPr>
          <w:rFonts w:ascii="Bookman Old Style" w:eastAsia="Times New Roman" w:hAnsi="Bookman Old Style" w:cs="Times New Roman"/>
          <w:i/>
          <w:lang w:val="es-ES" w:eastAsia="es-ES"/>
        </w:rPr>
        <w:t xml:space="preserve"> la imposición de la servidumbre, señalada en el ordinal primero de la pa</w:t>
      </w:r>
      <w:r w:rsidR="0058516D" w:rsidRPr="00F100F7">
        <w:rPr>
          <w:rFonts w:ascii="Bookman Old Style" w:eastAsia="Times New Roman" w:hAnsi="Bookman Old Style" w:cs="Times New Roman"/>
          <w:i/>
          <w:lang w:val="es-ES" w:eastAsia="es-ES"/>
        </w:rPr>
        <w:t>rte</w:t>
      </w:r>
      <w:r w:rsidRPr="00F100F7">
        <w:rPr>
          <w:rFonts w:ascii="Bookman Old Style" w:eastAsia="Times New Roman" w:hAnsi="Bookman Old Style" w:cs="Times New Roman"/>
          <w:i/>
          <w:lang w:val="es-ES" w:eastAsia="es-ES"/>
        </w:rPr>
        <w:t xml:space="preserve"> e resolutiva del acto administrativo, se deberá realizar teniendo como lineamientos lo dispuesto en los considerandos de la Resolución y del documento de análisis anexo DOCUMENTO CREG-501 004.</w:t>
      </w:r>
    </w:p>
    <w:p w14:paraId="79B17D26"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291B0DE5"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Tal aclaración resulta fundamental a efectos de poder cumplir con certeza las órdenes que definió el regulador en su Resolución. En efecto, es necesario dar claridad acerca de la responsabilidad y obligación del generador del proyecto Matakavi de realizar todas las obras de conexión, obras complementarias y ajustes que se requieran al sistema de potencia, control y protecciones del sistema de generación de Mitú, con el fin de garantizar la confiabilidad, continuidad y eficiencia del sistema. El alcance de la anterior responsabilidad podría resultar ambiguo o incierto en los términos en que está descrito en la Resolución CREG 501-26A-2022.</w:t>
      </w:r>
    </w:p>
    <w:p w14:paraId="0DF0E409"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6A497F27" w14:textId="346DF605"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lastRenderedPageBreak/>
        <w:t>AI respecto, se debe tener en cuenta que el promotor del proyecto, esto es, la firma DUE CAPITAL AND SERVICES S.A.S. ha manifestado que se hará cargo de las obras de conexión, a lo largo de todo el proceso de imposición de servidumbre que se ha seguido ante la CREG, por lo tanto, aunque la aclaración resulta necesaria, no contraria lo señalado</w:t>
      </w:r>
      <w:r w:rsidR="00BF53CF"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 xml:space="preserve">por el solicitante a lo largo del procedimiento </w:t>
      </w:r>
      <w:r w:rsidR="00BF53CF" w:rsidRPr="00F100F7">
        <w:rPr>
          <w:rFonts w:ascii="Bookman Old Style" w:eastAsia="Times New Roman" w:hAnsi="Bookman Old Style" w:cs="Times New Roman"/>
          <w:i/>
          <w:lang w:val="es-ES" w:eastAsia="es-ES"/>
        </w:rPr>
        <w:t xml:space="preserve">administrativo. </w:t>
      </w:r>
    </w:p>
    <w:p w14:paraId="209FEFD5"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32C0911A" w14:textId="33321818"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Adicionalmente, debe anotarse que la omisión de la indicación en el acto administrativo de que la Imposición de la Servidumbre y el Contrato de Conexión se encuentra sometido a los considerandos de la Resolución CREG 501-26A-2022 y a lo señalado en el DOCUMENTO CREG-501 004 podría implicar una desatención del adecuado cumplimiento del deber de motivación de los actos administrativos.</w:t>
      </w:r>
      <w:r w:rsidR="00B470E0">
        <w:rPr>
          <w:rFonts w:ascii="Bookman Old Style" w:eastAsia="Times New Roman" w:hAnsi="Bookman Old Style" w:cs="Times New Roman"/>
          <w:i/>
          <w:lang w:val="es-ES" w:eastAsia="es-ES"/>
        </w:rPr>
        <w:t xml:space="preserve"> (…)</w:t>
      </w:r>
    </w:p>
    <w:p w14:paraId="208B5A4E"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05D3FBD5" w14:textId="120E1358"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De esta manera, si el acto administrativo tuvo como sustento fáctico y jurídico, las motivaciones relacionadas en los considerandos de la decisión, así como el análisis técnico del DOCUMENTO CREG-501 004, resultaba necesario que al momento de impartir las órdenes de la parte resolutiva, se vinculara el cumplimiento de tales órdenes a los mismos términos descritos en la parte motiva, por lo tanto, dejando total claridad sobre el alcance de la obligación de GENSA S.A. ESP y DUE CAPITAL AND SERVICES S.A.S.</w:t>
      </w:r>
    </w:p>
    <w:p w14:paraId="3070CCE2"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7270BDE9"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En este sentido, GENSA S.A. ESP considera imprescindible que tanto en el artículo primero como en el segundo de la Resolución CREG 501-26A-2022, se establezca con claridad la sujeción a los términos de los considerandos y al DOCUMENTO CREG-501 004, o se establezca con certeza la obligación del promotor del proyecto de realizar todas las obras de conexión</w:t>
      </w:r>
    </w:p>
    <w:p w14:paraId="6A327C3E"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2DD5463E" w14:textId="560F0CB9"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2.NO RESULTA CLARO EL PAPEL DE GENSA S.A. ESP DENTRO DEL PROCEDIMIENTO DE IMPOSICIÓN DE SERVIDUMBRE QUE LE REALIZÓ DUE CAPITAL S.A.S. Y EL SUPUESTO RECHAZO REALIZADO POR GENSA S.A. ESP.</w:t>
      </w:r>
    </w:p>
    <w:p w14:paraId="69F48BB1"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536BDD5F" w14:textId="0346EFB9"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En segundo Iugar, GENSA S.A. ESP solicita aclaración y modificación de las afirmaciones que se realizan a lo largo del documento encaminadas a indicar que GENSA S.A. ESP negó</w:t>
      </w:r>
      <w:r w:rsidR="00C35A06"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la conexión del proyecto, dado que tal afirmación no se corresponde con los hechos</w:t>
      </w:r>
      <w:r w:rsidR="00C35A06"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efectivamente acaecidos. Lo anterior toda vez, que afirmaciones de ese tipo pueden</w:t>
      </w:r>
      <w:r w:rsidR="00C35A06"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generar equívocos respecto del cumplimiento de GENSA S.A. ESP de sus obligaciones regulatorias, a pesar de que como se advirtió a lo largo de todo el procedimiento administrativo, la respuesta que se otorgó al solicitando consistió en indica que le resultaba imposible aprobar o desaprobar la servidumbre, en cuanto, carecía de facultad para ejercer tal atribución.</w:t>
      </w:r>
    </w:p>
    <w:p w14:paraId="6C1857C8"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7F3AA3D2" w14:textId="00FF2170" w:rsidR="002F1EAA" w:rsidRPr="00687A8E"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bCs/>
          <w:i/>
          <w:lang w:val="es-ES" w:eastAsia="es-ES"/>
        </w:rPr>
      </w:pPr>
      <w:r w:rsidRPr="00F100F7">
        <w:rPr>
          <w:rFonts w:ascii="Bookman Old Style" w:eastAsia="Times New Roman" w:hAnsi="Bookman Old Style" w:cs="Times New Roman"/>
          <w:i/>
          <w:lang w:val="es-ES" w:eastAsia="es-ES"/>
        </w:rPr>
        <w:t>En efecto, en la Resolución CREG 501-26A-2022 se indica en el tercer apartado en que se resume la solicitud de OUE CAPITAL AND SERVICES S.A.S. a GENSA S.A. ESP., en el</w:t>
      </w:r>
      <w:r w:rsidR="00C35A06"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 xml:space="preserve">que se afirma que: “La anterior solicitud se </w:t>
      </w:r>
      <w:r w:rsidR="00156E95" w:rsidRPr="00F100F7">
        <w:rPr>
          <w:rFonts w:ascii="Bookman Old Style" w:eastAsia="Times New Roman" w:hAnsi="Bookman Old Style" w:cs="Times New Roman"/>
          <w:i/>
          <w:lang w:val="es-ES" w:eastAsia="es-ES"/>
        </w:rPr>
        <w:t>efectuó</w:t>
      </w:r>
      <w:r w:rsidRPr="00F100F7">
        <w:rPr>
          <w:rFonts w:ascii="Bookman Old Style" w:eastAsia="Times New Roman" w:hAnsi="Bookman Old Style" w:cs="Times New Roman"/>
          <w:i/>
          <w:lang w:val="es-ES" w:eastAsia="es-ES"/>
        </w:rPr>
        <w:t xml:space="preserve"> teniendo en cuenta que, de manera previa a la misma, mediante comunicaciones con consecutivo GENSA 0006362019 del 06</w:t>
      </w:r>
      <w:r w:rsidR="00C35A06"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 xml:space="preserve">de marzo de 2019 y 0017282019 del 12 de julio de 2019, </w:t>
      </w:r>
      <w:r w:rsidRPr="00E44D38">
        <w:rPr>
          <w:rFonts w:ascii="Bookman Old Style" w:eastAsia="Times New Roman" w:hAnsi="Bookman Old Style" w:cs="Times New Roman"/>
          <w:bCs/>
          <w:i/>
          <w:u w:val="single"/>
          <w:lang w:val="es-ES" w:eastAsia="es-ES"/>
        </w:rPr>
        <w:t xml:space="preserve">GENSA S.A. E.S.P., en adelante GENSA, negó la solicitud </w:t>
      </w:r>
      <w:r w:rsidR="00156E95" w:rsidRPr="00E44D38">
        <w:rPr>
          <w:rFonts w:ascii="Bookman Old Style" w:eastAsia="Times New Roman" w:hAnsi="Bookman Old Style" w:cs="Times New Roman"/>
          <w:bCs/>
          <w:i/>
          <w:u w:val="single"/>
          <w:lang w:val="es-ES" w:eastAsia="es-ES"/>
        </w:rPr>
        <w:t>de</w:t>
      </w:r>
      <w:r w:rsidRPr="00E44D38">
        <w:rPr>
          <w:rFonts w:ascii="Bookman Old Style" w:eastAsia="Times New Roman" w:hAnsi="Bookman Old Style" w:cs="Times New Roman"/>
          <w:bCs/>
          <w:i/>
          <w:u w:val="single"/>
          <w:lang w:val="es-ES" w:eastAsia="es-ES"/>
        </w:rPr>
        <w:t xml:space="preserve"> conexión presen</w:t>
      </w:r>
      <w:r w:rsidR="00156E95" w:rsidRPr="00E44D38">
        <w:rPr>
          <w:rFonts w:ascii="Bookman Old Style" w:eastAsia="Times New Roman" w:hAnsi="Bookman Old Style" w:cs="Times New Roman"/>
          <w:bCs/>
          <w:i/>
          <w:u w:val="single"/>
          <w:lang w:val="es-ES" w:eastAsia="es-ES"/>
        </w:rPr>
        <w:t>tada</w:t>
      </w:r>
      <w:r w:rsidRPr="00E44D38">
        <w:rPr>
          <w:rFonts w:ascii="Bookman Old Style" w:eastAsia="Times New Roman" w:hAnsi="Bookman Old Style" w:cs="Times New Roman"/>
          <w:bCs/>
          <w:i/>
          <w:u w:val="single"/>
          <w:lang w:val="es-ES" w:eastAsia="es-ES"/>
        </w:rPr>
        <w:t xml:space="preserve"> por DUE." </w:t>
      </w:r>
      <w:r w:rsidRPr="00687A8E">
        <w:rPr>
          <w:rFonts w:ascii="Bookman Old Style" w:eastAsia="Times New Roman" w:hAnsi="Bookman Old Style" w:cs="Times New Roman"/>
          <w:bCs/>
          <w:i/>
          <w:lang w:val="es-ES" w:eastAsia="es-ES"/>
        </w:rPr>
        <w:t>(</w:t>
      </w:r>
      <w:r w:rsidR="00687A8E" w:rsidRPr="00E44D38">
        <w:rPr>
          <w:rFonts w:ascii="Bookman Old Style" w:eastAsia="Times New Roman" w:hAnsi="Bookman Old Style" w:cs="Times New Roman"/>
          <w:bCs/>
          <w:i/>
          <w:lang w:val="es-ES" w:eastAsia="es-ES"/>
        </w:rPr>
        <w:t>Subrayado fuera de texto</w:t>
      </w:r>
      <w:r w:rsidRPr="00687A8E">
        <w:rPr>
          <w:rFonts w:ascii="Bookman Old Style" w:eastAsia="Times New Roman" w:hAnsi="Bookman Old Style" w:cs="Times New Roman"/>
          <w:bCs/>
          <w:i/>
          <w:lang w:val="es-ES" w:eastAsia="es-ES"/>
        </w:rPr>
        <w:t>)</w:t>
      </w:r>
    </w:p>
    <w:p w14:paraId="07ABAEAC"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442CD002" w14:textId="7B9AF8AC"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Tales afirmaciones no se adecúan a lo acreditado en el procedimiento administrativo, dado,</w:t>
      </w:r>
      <w:r w:rsidRPr="00F100F7">
        <w:rPr>
          <w:rFonts w:ascii="Bookman Old Style" w:eastAsia="Times New Roman" w:hAnsi="Bookman Old Style" w:cs="Times New Roman"/>
          <w:i/>
          <w:lang w:val="es-ES" w:eastAsia="es-ES"/>
        </w:rPr>
        <w:tab/>
        <w:t>“' que, por el contrario, se logró acreditar que GENSA S.A. ESP. no negó la conexión, sino</w:t>
      </w:r>
      <w:r w:rsidR="001745DF"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que manifestó la imposibilidad de aprobar o desaprobar la conexión, dado que no está facultado para tal finalidad.</w:t>
      </w:r>
    </w:p>
    <w:p w14:paraId="0634A6D6"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2CF10582"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 xml:space="preserve">En este sentido, una decisión que incluya como motivación un hecho que pueda resultar contrario a la realidad podría implicar la configuración de un eventual vicio de falsa </w:t>
      </w:r>
      <w:r w:rsidRPr="00F100F7">
        <w:rPr>
          <w:rFonts w:ascii="Bookman Old Style" w:eastAsia="Times New Roman" w:hAnsi="Bookman Old Style" w:cs="Times New Roman"/>
          <w:i/>
          <w:lang w:val="es-ES" w:eastAsia="es-ES"/>
        </w:rPr>
        <w:lastRenderedPageBreak/>
        <w:t>motivación, al sustentarse en hechos que no se corresponden con los efectivamente acreditados en el expediente, al tenor de lo indicado por el Honorable Consejo de Estado.</w:t>
      </w:r>
    </w:p>
    <w:p w14:paraId="356D14AF"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34BF49DA" w14:textId="552BC8BA"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 xml:space="preserve">AI respecto se debe recordar que un acto administrativo puede incurrir en la causal de nulidad de falsa motivación por haber omitido considerar hechos relevantes para el asunto. La Jurisprudencia del honorable Consejo de Estado ha establecido que a efectos de acreditar la falsa motivación, como causal de anulación de los actos administrativos, "es necesario que se demuestre una de dos circunstancias: a) 0 bien que los hechos que la </w:t>
      </w:r>
      <w:r w:rsidR="007940F7" w:rsidRPr="00F100F7">
        <w:rPr>
          <w:rFonts w:ascii="Bookman Old Style" w:eastAsia="Times New Roman" w:hAnsi="Bookman Old Style" w:cs="Times New Roman"/>
          <w:i/>
          <w:lang w:val="es-ES" w:eastAsia="es-ES"/>
        </w:rPr>
        <w:t>ad</w:t>
      </w:r>
      <w:r w:rsidRPr="00F100F7">
        <w:rPr>
          <w:rFonts w:ascii="Bookman Old Style" w:eastAsia="Times New Roman" w:hAnsi="Bookman Old Style" w:cs="Times New Roman"/>
          <w:i/>
          <w:lang w:val="es-ES" w:eastAsia="es-ES"/>
        </w:rPr>
        <w:t>ministraci</w:t>
      </w:r>
      <w:r w:rsidR="007940F7" w:rsidRPr="00F100F7">
        <w:rPr>
          <w:rFonts w:ascii="Bookman Old Style" w:eastAsia="Times New Roman" w:hAnsi="Bookman Old Style" w:cs="Times New Roman"/>
          <w:i/>
          <w:lang w:val="es-ES" w:eastAsia="es-ES"/>
        </w:rPr>
        <w:t>ón</w:t>
      </w:r>
      <w:r w:rsidRPr="00F100F7">
        <w:rPr>
          <w:rFonts w:ascii="Bookman Old Style" w:eastAsia="Times New Roman" w:hAnsi="Bookman Old Style" w:cs="Times New Roman"/>
          <w:i/>
          <w:lang w:val="es-ES" w:eastAsia="es-ES"/>
        </w:rPr>
        <w:t xml:space="preserve"> tuvo en cuenta como motivos determinantes de la decisión no estuvieron </w:t>
      </w:r>
      <w:r w:rsidR="007940F7" w:rsidRPr="00F100F7">
        <w:rPr>
          <w:rFonts w:ascii="Bookman Old Style" w:eastAsia="Times New Roman" w:hAnsi="Bookman Old Style" w:cs="Times New Roman"/>
          <w:i/>
          <w:lang w:val="es-ES" w:eastAsia="es-ES"/>
        </w:rPr>
        <w:t>deb</w:t>
      </w:r>
      <w:r w:rsidRPr="00F100F7">
        <w:rPr>
          <w:rFonts w:ascii="Bookman Old Style" w:eastAsia="Times New Roman" w:hAnsi="Bookman Old Style" w:cs="Times New Roman"/>
          <w:i/>
          <w:lang w:val="es-ES" w:eastAsia="es-ES"/>
        </w:rPr>
        <w:t>idamente probados dentro de la actuación administrativa; o b) Que la Administración</w:t>
      </w:r>
      <w:r w:rsidR="007940F7" w:rsidRPr="00F100F7">
        <w:rPr>
          <w:rFonts w:ascii="Bookman Old Style" w:eastAsia="Times New Roman" w:hAnsi="Bookman Old Style" w:cs="Times New Roman"/>
          <w:i/>
          <w:lang w:val="es-ES" w:eastAsia="es-ES"/>
        </w:rPr>
        <w:t xml:space="preserve"> </w:t>
      </w:r>
      <w:r w:rsidR="005D233F" w:rsidRPr="00F100F7">
        <w:rPr>
          <w:rFonts w:ascii="Bookman Old Style" w:eastAsia="Times New Roman" w:hAnsi="Bookman Old Style" w:cs="Times New Roman"/>
          <w:i/>
          <w:lang w:val="es-ES" w:eastAsia="es-ES"/>
        </w:rPr>
        <w:t>omitió tener</w:t>
      </w:r>
      <w:r w:rsidR="007940F7" w:rsidRPr="00F100F7">
        <w:rPr>
          <w:rFonts w:ascii="Bookman Old Style" w:eastAsia="Times New Roman" w:hAnsi="Bookman Old Style" w:cs="Times New Roman"/>
          <w:i/>
          <w:lang w:val="es-ES" w:eastAsia="es-ES"/>
        </w:rPr>
        <w:t xml:space="preserve"> en </w:t>
      </w:r>
      <w:r w:rsidR="005D233F" w:rsidRPr="00F100F7">
        <w:rPr>
          <w:rFonts w:ascii="Bookman Old Style" w:eastAsia="Times New Roman" w:hAnsi="Bookman Old Style" w:cs="Times New Roman"/>
          <w:i/>
          <w:lang w:val="es-ES" w:eastAsia="es-ES"/>
        </w:rPr>
        <w:t>cuenta</w:t>
      </w:r>
      <w:r w:rsidR="007940F7" w:rsidRPr="00F100F7">
        <w:rPr>
          <w:rFonts w:ascii="Bookman Old Style" w:eastAsia="Times New Roman" w:hAnsi="Bookman Old Style" w:cs="Times New Roman"/>
          <w:i/>
          <w:lang w:val="es-ES" w:eastAsia="es-ES"/>
        </w:rPr>
        <w:t xml:space="preserve"> hechos que si estaban demostrados y que si </w:t>
      </w:r>
      <w:r w:rsidR="005D233F" w:rsidRPr="00F100F7">
        <w:rPr>
          <w:rFonts w:ascii="Bookman Old Style" w:eastAsia="Times New Roman" w:hAnsi="Bookman Old Style" w:cs="Times New Roman"/>
          <w:i/>
          <w:lang w:val="es-ES" w:eastAsia="es-ES"/>
        </w:rPr>
        <w:t>hubiesen sido considerados habría conducido a una decisión sustancialmente diferente”</w:t>
      </w:r>
      <w:r w:rsidR="007940F7" w:rsidRPr="00F100F7">
        <w:rPr>
          <w:rFonts w:ascii="Bookman Old Style" w:eastAsia="Times New Roman" w:hAnsi="Bookman Old Style" w:cs="Times New Roman"/>
          <w:i/>
          <w:lang w:val="es-ES" w:eastAsia="es-ES"/>
        </w:rPr>
        <w:t xml:space="preserve"> </w:t>
      </w:r>
    </w:p>
    <w:p w14:paraId="0F3E0C74" w14:textId="3DB11D80"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033C83A6" w14:textId="769CF525"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 xml:space="preserve">Así las cosas, la consideración de hechos que no se encuentran debidamente acreditados puede conllevar a proferir un acto administrativo viciado por una falsa motivación, al tener como sustento, hechos que no se encuentran debidamente acreditados en el expediente y, por el contrario, omitir aquellos que sí </w:t>
      </w:r>
      <w:r w:rsidR="004878FA" w:rsidRPr="00F100F7">
        <w:rPr>
          <w:rFonts w:ascii="Bookman Old Style" w:eastAsia="Times New Roman" w:hAnsi="Bookman Old Style" w:cs="Times New Roman"/>
          <w:i/>
          <w:lang w:val="es-ES" w:eastAsia="es-ES"/>
        </w:rPr>
        <w:t>lo</w:t>
      </w:r>
      <w:r w:rsidRPr="00F100F7">
        <w:rPr>
          <w:rFonts w:ascii="Bookman Old Style" w:eastAsia="Times New Roman" w:hAnsi="Bookman Old Style" w:cs="Times New Roman"/>
          <w:i/>
          <w:lang w:val="es-ES" w:eastAsia="es-ES"/>
        </w:rPr>
        <w:t xml:space="preserve"> están, de forma que se logra una decisión que no se corresponde exactamente con los supuestos f</w:t>
      </w:r>
      <w:r w:rsidR="004878FA" w:rsidRPr="00F100F7">
        <w:rPr>
          <w:rFonts w:ascii="Bookman Old Style" w:eastAsia="Times New Roman" w:hAnsi="Bookman Old Style" w:cs="Times New Roman"/>
          <w:i/>
          <w:lang w:val="es-ES" w:eastAsia="es-ES"/>
        </w:rPr>
        <w:t>acticos</w:t>
      </w:r>
      <w:r w:rsidRPr="00F100F7">
        <w:rPr>
          <w:rFonts w:ascii="Bookman Old Style" w:eastAsia="Times New Roman" w:hAnsi="Bookman Old Style" w:cs="Times New Roman"/>
          <w:i/>
          <w:lang w:val="es-ES" w:eastAsia="es-ES"/>
        </w:rPr>
        <w:t xml:space="preserve"> debidamente acreditados con el material probatoria obrante.</w:t>
      </w:r>
    </w:p>
    <w:p w14:paraId="43932430"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7EE017B5" w14:textId="56B27544"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 xml:space="preserve">En este sentido, se </w:t>
      </w:r>
      <w:r w:rsidR="004878FA" w:rsidRPr="00F100F7">
        <w:rPr>
          <w:rFonts w:ascii="Bookman Old Style" w:eastAsia="Times New Roman" w:hAnsi="Bookman Old Style" w:cs="Times New Roman"/>
          <w:i/>
          <w:lang w:val="es-ES" w:eastAsia="es-ES"/>
        </w:rPr>
        <w:t>solicita</w:t>
      </w:r>
      <w:r w:rsidRPr="00F100F7">
        <w:rPr>
          <w:rFonts w:ascii="Bookman Old Style" w:eastAsia="Times New Roman" w:hAnsi="Bookman Old Style" w:cs="Times New Roman"/>
          <w:i/>
          <w:lang w:val="es-ES" w:eastAsia="es-ES"/>
        </w:rPr>
        <w:t xml:space="preserve"> revocar parcialmente los considerandos de la Resolución y del Documento de análisis, esto con el objetivo de corregir la afirmación que “GENSA negó la conexión del proyecto”, esto dado que se aleja de la realidad. GENSA S.A. ESP en ninguna oportunidad durante el proceso de imposición de servidumbre, negó la conexión, </w:t>
      </w:r>
      <w:r w:rsidR="00687A8E">
        <w:rPr>
          <w:rFonts w:ascii="Bookman Old Style" w:eastAsia="Times New Roman" w:hAnsi="Bookman Old Style" w:cs="Times New Roman"/>
          <w:i/>
          <w:lang w:val="es-ES" w:eastAsia="es-ES"/>
        </w:rPr>
        <w:t>l</w:t>
      </w:r>
      <w:r w:rsidR="00687A8E" w:rsidRPr="00F100F7">
        <w:rPr>
          <w:rFonts w:ascii="Bookman Old Style" w:eastAsia="Times New Roman" w:hAnsi="Bookman Old Style" w:cs="Times New Roman"/>
          <w:i/>
          <w:lang w:val="es-ES" w:eastAsia="es-ES"/>
        </w:rPr>
        <w:t xml:space="preserve">o </w:t>
      </w:r>
      <w:r w:rsidRPr="00F100F7">
        <w:rPr>
          <w:rFonts w:ascii="Bookman Old Style" w:eastAsia="Times New Roman" w:hAnsi="Bookman Old Style" w:cs="Times New Roman"/>
          <w:i/>
          <w:lang w:val="es-ES" w:eastAsia="es-ES"/>
        </w:rPr>
        <w:t>que manifestó en diferentes oportunidades, era la imposibilidad de aprobar o desaprobar la misma, dado que no está facultado para tal fin, esto dado que 1) No es propietario de los activos Línea de transmisión MCH y 2) No ostenta la calidad de distribuidor de red en el municipio de Mitú.</w:t>
      </w:r>
    </w:p>
    <w:p w14:paraId="75FA7C87"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258837F6" w14:textId="12C15AF4"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3.EL TÉRMINO OTORGADO EN LA RESOLUCIÓN CREG 501-26A RESULTA INSUFICIENTE.</w:t>
      </w:r>
    </w:p>
    <w:p w14:paraId="75D7A803"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6D557E83" w14:textId="0BB9EBCF"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 xml:space="preserve">Otro de los asuntos que se advierte de la Resolución CREG 501-26A-2022 corresponde al término otorgado para la suscripción del Contrato de conexión, el cual resulta claramente </w:t>
      </w:r>
      <w:r w:rsidR="004878FA" w:rsidRPr="00F100F7">
        <w:rPr>
          <w:rFonts w:ascii="Bookman Old Style" w:eastAsia="Times New Roman" w:hAnsi="Bookman Old Style" w:cs="Times New Roman"/>
          <w:i/>
          <w:lang w:val="es-ES" w:eastAsia="es-ES"/>
        </w:rPr>
        <w:t>insuficiente</w:t>
      </w:r>
      <w:r w:rsidRPr="00F100F7">
        <w:rPr>
          <w:rFonts w:ascii="Bookman Old Style" w:eastAsia="Times New Roman" w:hAnsi="Bookman Old Style" w:cs="Times New Roman"/>
          <w:i/>
          <w:lang w:val="es-ES" w:eastAsia="es-ES"/>
        </w:rPr>
        <w:t xml:space="preserve"> para definir los términos en que se deberá suscribir tal contrato.</w:t>
      </w:r>
    </w:p>
    <w:p w14:paraId="03E35883"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6DBF695A" w14:textId="0ED1CC8D"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AI respecto, el artículo 2 de Plazo y extinción de la servidumbre, indica que: “para efectos de lo anterior, entre GENSA S.A.E.S.P. y DUE CAPITAL AND SERVICES S.A.S., se</w:t>
      </w:r>
      <w:r w:rsidR="00B634B8"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 xml:space="preserve">deberá suscribir el respectivo contrato de </w:t>
      </w:r>
      <w:r w:rsidR="00B634B8" w:rsidRPr="00F100F7">
        <w:rPr>
          <w:rFonts w:ascii="Bookman Old Style" w:eastAsia="Times New Roman" w:hAnsi="Bookman Old Style" w:cs="Times New Roman"/>
          <w:i/>
          <w:lang w:val="es-ES" w:eastAsia="es-ES"/>
        </w:rPr>
        <w:t>conexión</w:t>
      </w:r>
      <w:r w:rsidRPr="00F100F7">
        <w:rPr>
          <w:rFonts w:ascii="Bookman Old Style" w:eastAsia="Times New Roman" w:hAnsi="Bookman Old Style" w:cs="Times New Roman"/>
          <w:i/>
          <w:lang w:val="es-ES" w:eastAsia="es-ES"/>
        </w:rPr>
        <w:t>, en los términos previstos en el artículo 5 de la Resolución CREG 038 de 2018, en un plazo máximo de quince (15) días hábiles,</w:t>
      </w:r>
      <w:r w:rsidR="00B634B8"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 xml:space="preserve">contados a partir del </w:t>
      </w:r>
      <w:r w:rsidR="00B634B8" w:rsidRPr="00F100F7">
        <w:rPr>
          <w:rFonts w:ascii="Bookman Old Style" w:eastAsia="Times New Roman" w:hAnsi="Bookman Old Style" w:cs="Times New Roman"/>
          <w:i/>
          <w:lang w:val="es-ES" w:eastAsia="es-ES"/>
        </w:rPr>
        <w:t>día</w:t>
      </w:r>
      <w:r w:rsidRPr="00F100F7">
        <w:rPr>
          <w:rFonts w:ascii="Bookman Old Style" w:eastAsia="Times New Roman" w:hAnsi="Bookman Old Style" w:cs="Times New Roman"/>
          <w:i/>
          <w:lang w:val="es-ES" w:eastAsia="es-ES"/>
        </w:rPr>
        <w:t xml:space="preserve"> hábil siguiente a la entrada en vigencia de la presente resolución.”</w:t>
      </w:r>
    </w:p>
    <w:p w14:paraId="21A0F4E6" w14:textId="77777777" w:rsidR="00D51CC0" w:rsidRPr="00F100F7" w:rsidRDefault="00D51CC0"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35B13E8B" w14:textId="174998A9"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Sin embargo, GENSA S.A. ESP encuentra que este término resulta claramente insuficiente</w:t>
      </w:r>
      <w:r w:rsidRPr="00F100F7">
        <w:rPr>
          <w:rFonts w:ascii="Bookman Old Style" w:eastAsia="Times New Roman" w:hAnsi="Bookman Old Style" w:cs="Times New Roman"/>
          <w:i/>
          <w:lang w:val="es-ES" w:eastAsia="es-ES"/>
        </w:rPr>
        <w:tab/>
        <w:t xml:space="preserve"> para cumplir adecuadamente con la obligación que se le impone, dado que GENSA S.A.</w:t>
      </w:r>
      <w:r w:rsidR="00D51CC0"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 xml:space="preserve">ESP. no cuenta en su trayectoria con la celebración de contratos de este tipo desde el punto de vista de objeto pasivo, por </w:t>
      </w:r>
      <w:r w:rsidR="000208A2">
        <w:rPr>
          <w:rFonts w:ascii="Bookman Old Style" w:eastAsia="Times New Roman" w:hAnsi="Bookman Old Style" w:cs="Times New Roman"/>
          <w:i/>
          <w:lang w:val="es-ES" w:eastAsia="es-ES"/>
        </w:rPr>
        <w:t>l</w:t>
      </w:r>
      <w:r w:rsidRPr="00F100F7">
        <w:rPr>
          <w:rFonts w:ascii="Bookman Old Style" w:eastAsia="Times New Roman" w:hAnsi="Bookman Old Style" w:cs="Times New Roman"/>
          <w:i/>
          <w:lang w:val="es-ES" w:eastAsia="es-ES"/>
        </w:rPr>
        <w:t>o que requiere la contratación de asesoría externa para la elaboración del mismo.</w:t>
      </w:r>
    </w:p>
    <w:p w14:paraId="6BB929C5"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39844B26" w14:textId="1B79B546"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 xml:space="preserve">En este sentido, se debe anotar que la regulación no contempla un término legal para la </w:t>
      </w:r>
      <w:r w:rsidR="00D51CC0" w:rsidRPr="00F100F7">
        <w:rPr>
          <w:rFonts w:ascii="Bookman Old Style" w:eastAsia="Times New Roman" w:hAnsi="Bookman Old Style" w:cs="Times New Roman"/>
          <w:i/>
          <w:lang w:val="es-ES" w:eastAsia="es-ES"/>
        </w:rPr>
        <w:t>suscripción</w:t>
      </w:r>
      <w:r w:rsidRPr="00F100F7">
        <w:rPr>
          <w:rFonts w:ascii="Bookman Old Style" w:eastAsia="Times New Roman" w:hAnsi="Bookman Old Style" w:cs="Times New Roman"/>
          <w:i/>
          <w:lang w:val="es-ES" w:eastAsia="es-ES"/>
        </w:rPr>
        <w:t xml:space="preserve"> de este contrato, dado que no está regulada específicamente la imposición de la servidumbre y los términos que se deben cumplir tras el acto administrativo que la impone. Por tal motivo, el regulador cuenta con cierta </w:t>
      </w:r>
      <w:r w:rsidRPr="00F100F7">
        <w:rPr>
          <w:rFonts w:ascii="Bookman Old Style" w:eastAsia="Times New Roman" w:hAnsi="Bookman Old Style" w:cs="Times New Roman"/>
          <w:i/>
          <w:lang w:val="es-ES" w:eastAsia="es-ES"/>
        </w:rPr>
        <w:lastRenderedPageBreak/>
        <w:t>discrecionalidad al momento de definir los términos en los que se debe cumplir tal obligación, los cuales deberán atender a un plazo razonable, que permita a las partes cumplir adecuadamente la obligación allí prevista.</w:t>
      </w:r>
    </w:p>
    <w:p w14:paraId="2343CFE4"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61E081FC" w14:textId="7981D759"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En este sentido, encuentra GENSA S.A. ESP que toda vez, que esta empresa carece de trayectoria en la celebración de estos contratos, se requiere un término adicional para el cumplimiento de tal orden de manera adecuada. De esta manera, GENSA S.A. ESP solicita</w:t>
      </w:r>
      <w:r w:rsidR="00F54CB0"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que se extienda el término allí otorgado a un plazo razonable, que tenga en cuenta la falta de contacto de este agente con contratos de conexión del tipo que se le solicita suscribir.</w:t>
      </w:r>
    </w:p>
    <w:p w14:paraId="7CE78D1D"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5A1D994E"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En este orden de ideas GENSA S.A. ESP encuentra que un término razonable para la celebración de un contrato de estas condiciones corresponde a cuarenta (40) días hábiles, que le permita a GENSA S.A. ESP lograr la asesoría externa que requiere para el acompañamiento técnico-jurídico en la celebración de tal contrato.</w:t>
      </w:r>
    </w:p>
    <w:p w14:paraId="3C8F2445"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5A6F4A39"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4.</w:t>
      </w:r>
      <w:r w:rsidRPr="00F100F7">
        <w:rPr>
          <w:rFonts w:ascii="Bookman Old Style" w:eastAsia="Times New Roman" w:hAnsi="Bookman Old Style" w:cs="Times New Roman"/>
          <w:i/>
          <w:lang w:val="es-ES" w:eastAsia="es-ES"/>
        </w:rPr>
        <w:tab/>
        <w:t>SE REQUIERE ACLARAR QUE GENSA S.A. ESP NO ACTÚA COMO DISTRIBUIDOR DE RED, NI ATIENDE LOS USUARIOS FINALES, DE MANERA TAL QUE LA AFIRMACIÓN DE QUE LA LÍNEA DE TRANSMISIÓN MCH CORRESPONDE A UN ACTIVO DE DISTRIBUCIÓN NO LE OTORGA A GENSA LA CALIDAD DE DISTRIBUIDOR.</w:t>
      </w:r>
    </w:p>
    <w:p w14:paraId="7A7F60C5"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03B04D45"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Finalmente, se requiere aclarar si se considera que GENSA S.A. ESP actúa como distribuidor de red. La anterior inquietud surge a partir de las consideraciones de la Resolución CREG 501-26A-2022, en la que no resulta claro el papel que se le pretende endilgar a GENSA S.A. ESP., por las responsabilidades que debe asumir al realizar la Administración, Operación y Mantenimiento de la Línea de transmisi6n MCH, toda vez, que se afirma que tal activo es de distribución.</w:t>
      </w:r>
    </w:p>
    <w:p w14:paraId="1D911288"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37F68DDE" w14:textId="2227EB18"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En efecto, la Resolución CREG 501-26A-2022 indica que la Línea de transmisión MCH</w:t>
      </w:r>
      <w:r w:rsidR="00F54CB0"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corresponde a un activo destinado a la distribución de energía eléctrica en ZNI. No obstante, en esta misma resolución se omite advertir si tal caracterización del activo como de</w:t>
      </w:r>
      <w:r w:rsidR="00F54CB0"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distribución, implica alguna modificación de la consideración de que GENSA S.A. ESP' actúa en calidad meramente de generador y no de distribuidor.</w:t>
      </w:r>
    </w:p>
    <w:p w14:paraId="08AD61FB"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7E9495F9" w14:textId="7B22FB29"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Así, por ejemplo, en el folio 56 de la Resolución CREG 501-26A-2022 se establece que: “En el caso particular de lo aquí analizado, se encuentra que el activo al que se solicita la conexión es destinado a la distribución de energía eléctrica en ZNI”</w:t>
      </w:r>
      <w:r w:rsidR="000208A2">
        <w:rPr>
          <w:rFonts w:ascii="Bookman Old Style" w:eastAsia="Times New Roman" w:hAnsi="Bookman Old Style" w:cs="Times New Roman"/>
          <w:i/>
          <w:lang w:val="es-ES" w:eastAsia="es-ES"/>
        </w:rPr>
        <w:t>.</w:t>
      </w:r>
    </w:p>
    <w:p w14:paraId="254A6FB7"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33AC7581" w14:textId="7072AA25"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 xml:space="preserve">De otro </w:t>
      </w:r>
      <w:r w:rsidR="000208A2">
        <w:rPr>
          <w:rFonts w:ascii="Bookman Old Style" w:eastAsia="Times New Roman" w:hAnsi="Bookman Old Style" w:cs="Times New Roman"/>
          <w:i/>
          <w:lang w:val="es-ES" w:eastAsia="es-ES"/>
        </w:rPr>
        <w:t>l</w:t>
      </w:r>
      <w:r w:rsidRPr="00F100F7">
        <w:rPr>
          <w:rFonts w:ascii="Bookman Old Style" w:eastAsia="Times New Roman" w:hAnsi="Bookman Old Style" w:cs="Times New Roman"/>
          <w:i/>
          <w:lang w:val="es-ES" w:eastAsia="es-ES"/>
        </w:rPr>
        <w:t>ado, en el folio 38 de la Resolución CREG 501-26A-2022 se indica sobre los bienes sujetos a la obligación de permitir la conexión, lo siguiente:</w:t>
      </w:r>
    </w:p>
    <w:p w14:paraId="7A24AE47"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3E6C895B" w14:textId="14023A84"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“Así mismo, la infraestructura a la que se refiere, cuando se habla de facilitar el acceso, no es solamente la de redes de interconexión,</w:t>
      </w:r>
      <w:r w:rsidR="009545EB"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transmisión y distribución. En el citado a</w:t>
      </w:r>
      <w:r w:rsidR="009545EB" w:rsidRPr="00F100F7">
        <w:rPr>
          <w:rFonts w:ascii="Bookman Old Style" w:eastAsia="Times New Roman" w:hAnsi="Bookman Old Style" w:cs="Times New Roman"/>
          <w:i/>
          <w:lang w:val="es-ES" w:eastAsia="es-ES"/>
        </w:rPr>
        <w:t>rt</w:t>
      </w:r>
      <w:r w:rsidRPr="00F100F7">
        <w:rPr>
          <w:rFonts w:ascii="Bookman Old Style" w:eastAsia="Times New Roman" w:hAnsi="Bookman Old Style" w:cs="Times New Roman"/>
          <w:i/>
          <w:lang w:val="es-ES" w:eastAsia="es-ES"/>
        </w:rPr>
        <w:t>ículo 11 se habla de bienes empleados para la organización y prestación de los servicios, haciendo referencia a todos los bienes vinculados a la prestación del servicio público, independientemente de que, en el caso particular de esta actuación, pudieran ser activos de generación.”</w:t>
      </w:r>
    </w:p>
    <w:p w14:paraId="64DE3635"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3BD27A67"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Igualmente, en el Folio 41 de la Resolución CREG 501-26A-2022 se manifiesta respecto de los sujetos a quienes se puede imponer una servidumbre que:</w:t>
      </w:r>
    </w:p>
    <w:p w14:paraId="14AE9185"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0B161899" w14:textId="247AA265" w:rsidR="002F1EAA" w:rsidRPr="00F100F7" w:rsidRDefault="002F1EAA" w:rsidP="004733C6">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Adicionalmente, y de acuerdo con el numeral 39.4 transcrito, en caso de que las partes no lleguen a un acuerdo, la respectiva comisión de regulación podrá imponer una servidumbre a quien tenga el uso del bien. En ese sentido, la imposición de servidumbre no se predica solamente sobre agentes que tengan la calidad de distribuidores de</w:t>
      </w:r>
      <w:r w:rsidR="004733C6" w:rsidRPr="00F100F7">
        <w:rPr>
          <w:rFonts w:ascii="Bookman Old Style" w:eastAsia="Times New Roman" w:hAnsi="Bookman Old Style" w:cs="Times New Roman"/>
          <w:i/>
          <w:lang w:val="es-ES" w:eastAsia="es-ES"/>
        </w:rPr>
        <w:t xml:space="preserve"> </w:t>
      </w:r>
      <w:r w:rsidR="008816CD" w:rsidRPr="00F100F7">
        <w:rPr>
          <w:rFonts w:ascii="Bookman Old Style" w:eastAsia="Times New Roman" w:hAnsi="Bookman Old Style" w:cs="Times New Roman"/>
          <w:i/>
          <w:lang w:val="es-ES" w:eastAsia="es-ES"/>
        </w:rPr>
        <w:lastRenderedPageBreak/>
        <w:t>energía eléctrica se refiere a las empresas de servicios públicos que tengan el uso del bien.</w:t>
      </w:r>
    </w:p>
    <w:p w14:paraId="69BA614C"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2E3397E6" w14:textId="79F630A5"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Bajo esta consideración de que la Línea de Transmisión MCH corresponde a un activo de distribución, pero a la par teniendo en cuenta las consideraciones sobre la obligación a cargo de GENSA S.A. ESP independiente de si actúa como generador o distribuidor de permitir la conexión, se solicita a la CREG aclarar la responsabilidad de GENSA S.A. ESP en el marco del contrate especial GGC 209-2013, por medio del cual se asume la Administración, Operación y Mantenimiento de la Línea de Transmisión. Lo anterior, dado que en consideración d</w:t>
      </w:r>
      <w:r w:rsidR="000208A2">
        <w:rPr>
          <w:rFonts w:ascii="Bookman Old Style" w:eastAsia="Times New Roman" w:hAnsi="Bookman Old Style" w:cs="Times New Roman"/>
          <w:i/>
          <w:lang w:val="es-ES" w:eastAsia="es-ES"/>
        </w:rPr>
        <w:t>e</w:t>
      </w:r>
      <w:r w:rsidRPr="00F100F7">
        <w:rPr>
          <w:rFonts w:ascii="Bookman Old Style" w:eastAsia="Times New Roman" w:hAnsi="Bookman Old Style" w:cs="Times New Roman"/>
          <w:i/>
          <w:lang w:val="es-ES" w:eastAsia="es-ES"/>
        </w:rPr>
        <w:t xml:space="preserve"> GENSA S.A. ESP no se puede considerar que esta tenga la calidad de distribuidor de red, puesto que no tiene responsabilidades como tal, ni atiende los usuarios finales relacionados en las dos derivaciones de dicho activo.</w:t>
      </w:r>
    </w:p>
    <w:p w14:paraId="0C570CA1"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028C2734" w14:textId="69668AD8"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V.SOLICITUDES</w:t>
      </w:r>
    </w:p>
    <w:p w14:paraId="55C89788"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5751C3CF" w14:textId="77777777" w:rsidR="00A4603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En atención a las anteriores consideraciones, se solicita que:</w:t>
      </w:r>
      <w:r w:rsidR="00A4603A" w:rsidRPr="00F100F7">
        <w:rPr>
          <w:rFonts w:ascii="Bookman Old Style" w:eastAsia="Times New Roman" w:hAnsi="Bookman Old Style" w:cs="Times New Roman"/>
          <w:i/>
          <w:lang w:val="es-ES" w:eastAsia="es-ES"/>
        </w:rPr>
        <w:t xml:space="preserve"> </w:t>
      </w:r>
    </w:p>
    <w:p w14:paraId="79D28ECD" w14:textId="77777777" w:rsidR="00A4603A" w:rsidRPr="00F100F7" w:rsidRDefault="00A4603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3A63E27A" w14:textId="7598967F"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Se ACLARE si la imposición de la servidumbre y del contrato de conexión se debe sujetarse a las consideraciones de la Resolución CREG 501-26A y al anexo documento CREG 001- 504.</w:t>
      </w:r>
    </w:p>
    <w:p w14:paraId="24F4290F"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45D7DA8C"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Se ACLARE si se considera que GENSA S.A. ESP negó la solicitud de servidumbre de DUE CAPITAL AND SERVICES S.A.S., y de ser el caso, se MODIFIQUE tal afirmación dentro de las consideraciones de la Resolución CREG 501-26A</w:t>
      </w:r>
    </w:p>
    <w:p w14:paraId="04E80C3F"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5BDB9253" w14:textId="59DFFF61"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Se MODIFIQUE el término otorgado por la Resolución CREG 501-26A para la suscripción</w:t>
      </w:r>
      <w:r w:rsidR="00A4603A" w:rsidRPr="00F100F7">
        <w:rPr>
          <w:rFonts w:ascii="Bookman Old Style" w:eastAsia="Times New Roman" w:hAnsi="Bookman Old Style" w:cs="Times New Roman"/>
          <w:i/>
          <w:lang w:val="es-ES" w:eastAsia="es-ES"/>
        </w:rPr>
        <w:t xml:space="preserve"> </w:t>
      </w:r>
      <w:r w:rsidRPr="00F100F7">
        <w:rPr>
          <w:rFonts w:ascii="Bookman Old Style" w:eastAsia="Times New Roman" w:hAnsi="Bookman Old Style" w:cs="Times New Roman"/>
          <w:i/>
          <w:lang w:val="es-ES" w:eastAsia="es-ES"/>
        </w:rPr>
        <w:t>del Contrato de Conexión entre DUE CAPITAL S.A.S. otorgando un término de al menos</w:t>
      </w:r>
      <w:r w:rsidRPr="00F100F7">
        <w:rPr>
          <w:rFonts w:ascii="Bookman Old Style" w:eastAsia="Times New Roman" w:hAnsi="Bookman Old Style" w:cs="Times New Roman"/>
          <w:i/>
          <w:lang w:val="es-ES" w:eastAsia="es-ES"/>
        </w:rPr>
        <w:tab/>
        <w:t>- cuarenta (40) días hábiles.</w:t>
      </w:r>
    </w:p>
    <w:p w14:paraId="1189641B" w14:textId="7777777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p>
    <w:p w14:paraId="0A0B00CB" w14:textId="3A271047" w:rsidR="002F1EAA" w:rsidRPr="00F100F7" w:rsidRDefault="002F1EAA" w:rsidP="002F1EA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lang w:val="es-ES" w:eastAsia="es-ES"/>
        </w:rPr>
      </w:pPr>
      <w:r w:rsidRPr="00F100F7">
        <w:rPr>
          <w:rFonts w:ascii="Bookman Old Style" w:eastAsia="Times New Roman" w:hAnsi="Bookman Old Style" w:cs="Times New Roman"/>
          <w:i/>
          <w:lang w:val="es-ES" w:eastAsia="es-ES"/>
        </w:rPr>
        <w:t>Se ACLARE que GENSA S.A. ESP no actúa como Distribuidor de Red, a pesar de que la Línea de transmisión MCH se pueda considerar un activo de distribución y este sea Administrado, Operado y Mantenido por GENSA S.A. ESP en el marco del contrato especial GENSA - Ministerio de Minas y Energía GGC-209-2013</w:t>
      </w:r>
      <w:r w:rsidR="000208A2">
        <w:rPr>
          <w:rFonts w:ascii="Bookman Old Style" w:eastAsia="Times New Roman" w:hAnsi="Bookman Old Style" w:cs="Times New Roman"/>
          <w:i/>
          <w:lang w:val="es-ES" w:eastAsia="es-ES"/>
        </w:rPr>
        <w:t>”.</w:t>
      </w:r>
    </w:p>
    <w:p w14:paraId="3B2A7CAD" w14:textId="77777777" w:rsidR="002F1EAA" w:rsidRPr="00FA05C6" w:rsidRDefault="002F1EAA" w:rsidP="00300139">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sz w:val="24"/>
          <w:szCs w:val="24"/>
          <w:lang w:val="es-ES" w:eastAsia="es-ES"/>
        </w:rPr>
      </w:pPr>
    </w:p>
    <w:p w14:paraId="46C68865" w14:textId="77777777" w:rsidR="00F100F7" w:rsidRDefault="00F100F7" w:rsidP="00A4603A">
      <w:pPr>
        <w:spacing w:after="0" w:line="240" w:lineRule="auto"/>
        <w:ind w:right="-142"/>
        <w:jc w:val="both"/>
        <w:rPr>
          <w:rFonts w:ascii="Bookman Old Style" w:eastAsia="Times New Roman" w:hAnsi="Bookman Old Style" w:cs="Times New Roman"/>
          <w:b/>
          <w:sz w:val="24"/>
          <w:szCs w:val="24"/>
          <w:lang w:val="es-ES" w:eastAsia="es-ES"/>
        </w:rPr>
      </w:pPr>
    </w:p>
    <w:p w14:paraId="551FA765" w14:textId="67A8836B" w:rsidR="007F3FC2" w:rsidRPr="007F3FC2" w:rsidRDefault="007F3FC2" w:rsidP="00A4603A">
      <w:pPr>
        <w:spacing w:after="0" w:line="240" w:lineRule="auto"/>
        <w:ind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III.</w:t>
      </w:r>
      <w:r w:rsidR="00252FBF" w:rsidRPr="00252FBF">
        <w:rPr>
          <w:rFonts w:ascii="Bookman Old Style" w:eastAsia="Times New Roman" w:hAnsi="Bookman Old Style" w:cs="Times New Roman"/>
          <w:b/>
          <w:sz w:val="24"/>
          <w:szCs w:val="24"/>
          <w:lang w:val="es-ES" w:eastAsia="es-ES"/>
        </w:rPr>
        <w:t xml:space="preserve"> CONSIDERACIONES DE LA CREG</w:t>
      </w:r>
    </w:p>
    <w:p w14:paraId="3A65BBE9" w14:textId="77777777"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14:paraId="58040379" w14:textId="35C81727" w:rsidR="00755EED" w:rsidRDefault="007F3FC2" w:rsidP="00CB18D9">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w:t>
      </w:r>
      <w:r w:rsidR="00B969FC">
        <w:rPr>
          <w:rFonts w:ascii="Bookman Old Style" w:eastAsia="Times New Roman" w:hAnsi="Bookman Old Style" w:cs="Times New Roman"/>
          <w:sz w:val="24"/>
          <w:szCs w:val="24"/>
          <w:lang w:val="es-ES" w:eastAsia="es-ES"/>
        </w:rPr>
        <w:t>los</w:t>
      </w:r>
      <w:r w:rsidRPr="007F3FC2">
        <w:rPr>
          <w:rFonts w:ascii="Bookman Old Style" w:eastAsia="Times New Roman" w:hAnsi="Bookman Old Style" w:cs="Times New Roman"/>
          <w:sz w:val="24"/>
          <w:szCs w:val="24"/>
          <w:lang w:val="es-ES" w:eastAsia="es-ES"/>
        </w:rPr>
        <w:t xml:space="preserve"> recurrente</w:t>
      </w:r>
      <w:r w:rsidR="00B969FC">
        <w:rPr>
          <w:rFonts w:ascii="Bookman Old Style" w:eastAsia="Times New Roman" w:hAnsi="Bookman Old Style" w:cs="Times New Roman"/>
          <w:sz w:val="24"/>
          <w:szCs w:val="24"/>
          <w:lang w:val="es-ES" w:eastAsia="es-ES"/>
        </w:rPr>
        <w:t>s</w:t>
      </w:r>
      <w:r w:rsidRPr="007F3FC2">
        <w:rPr>
          <w:rFonts w:ascii="Bookman Old Style" w:eastAsia="Times New Roman" w:hAnsi="Bookman Old Style" w:cs="Times New Roman"/>
          <w:sz w:val="24"/>
          <w:szCs w:val="24"/>
          <w:lang w:val="es-ES" w:eastAsia="es-ES"/>
        </w:rPr>
        <w:t xml:space="preserve"> en el recurso de reposición, se advierte por parte </w:t>
      </w:r>
      <w:r w:rsidR="00E64064">
        <w:rPr>
          <w:rFonts w:ascii="Bookman Old Style" w:eastAsia="Times New Roman" w:hAnsi="Bookman Old Style" w:cs="Times New Roman"/>
          <w:sz w:val="24"/>
          <w:szCs w:val="24"/>
          <w:lang w:val="es-ES" w:eastAsia="es-ES"/>
        </w:rPr>
        <w:t xml:space="preserve">de </w:t>
      </w:r>
      <w:r w:rsidRPr="007F3FC2">
        <w:rPr>
          <w:rFonts w:ascii="Bookman Old Style" w:eastAsia="Times New Roman" w:hAnsi="Bookman Old Style" w:cs="Times New Roman"/>
          <w:sz w:val="24"/>
          <w:szCs w:val="24"/>
          <w:lang w:val="es-ES" w:eastAsia="es-ES"/>
        </w:rPr>
        <w:t xml:space="preserve">esta Comisión que los mismos tienen como objeto </w:t>
      </w:r>
      <w:r w:rsidR="00B94045">
        <w:rPr>
          <w:rFonts w:ascii="Bookman Old Style" w:eastAsia="Times New Roman" w:hAnsi="Bookman Old Style" w:cs="Times New Roman"/>
          <w:sz w:val="24"/>
          <w:szCs w:val="24"/>
          <w:lang w:val="es-ES" w:eastAsia="es-ES"/>
        </w:rPr>
        <w:t>solicitar se</w:t>
      </w:r>
      <w:r w:rsidR="00185BF1" w:rsidRPr="00185BF1">
        <w:rPr>
          <w:rFonts w:ascii="Bookman Old Style" w:eastAsia="Times New Roman" w:hAnsi="Bookman Old Style" w:cs="Times New Roman"/>
          <w:sz w:val="24"/>
          <w:szCs w:val="24"/>
          <w:lang w:val="es-ES" w:eastAsia="es-ES"/>
        </w:rPr>
        <w:t xml:space="preserve"> </w:t>
      </w:r>
      <w:r w:rsidR="00A4603A">
        <w:rPr>
          <w:rFonts w:ascii="Bookman Old Style" w:eastAsia="Times New Roman" w:hAnsi="Bookman Old Style" w:cs="Times New Roman"/>
          <w:sz w:val="24"/>
          <w:szCs w:val="24"/>
          <w:lang w:val="es-ES" w:eastAsia="es-ES"/>
        </w:rPr>
        <w:t>modifique</w:t>
      </w:r>
      <w:r w:rsidR="00883C1A">
        <w:rPr>
          <w:rFonts w:ascii="Bookman Old Style" w:eastAsia="Times New Roman" w:hAnsi="Bookman Old Style" w:cs="Times New Roman"/>
          <w:sz w:val="24"/>
          <w:szCs w:val="24"/>
          <w:lang w:val="es-ES" w:eastAsia="es-ES"/>
        </w:rPr>
        <w:t xml:space="preserve"> y aclare</w:t>
      </w:r>
      <w:r w:rsidR="00A4603A">
        <w:rPr>
          <w:rFonts w:ascii="Bookman Old Style" w:eastAsia="Times New Roman" w:hAnsi="Bookman Old Style" w:cs="Times New Roman"/>
          <w:sz w:val="24"/>
          <w:szCs w:val="24"/>
          <w:lang w:val="es-ES" w:eastAsia="es-ES"/>
        </w:rPr>
        <w:t xml:space="preserve"> </w:t>
      </w:r>
      <w:r w:rsidR="00185BF1" w:rsidRPr="00185BF1">
        <w:rPr>
          <w:rFonts w:ascii="Bookman Old Style" w:eastAsia="Times New Roman" w:hAnsi="Bookman Old Style" w:cs="Times New Roman"/>
          <w:sz w:val="24"/>
          <w:szCs w:val="24"/>
          <w:lang w:val="es-ES" w:eastAsia="es-ES"/>
        </w:rPr>
        <w:t>la</w:t>
      </w:r>
      <w:r w:rsidR="00185BF1">
        <w:rPr>
          <w:rFonts w:ascii="Bookman Old Style" w:eastAsia="Times New Roman" w:hAnsi="Bookman Old Style" w:cs="Times New Roman"/>
          <w:sz w:val="24"/>
          <w:szCs w:val="24"/>
          <w:lang w:val="es-ES" w:eastAsia="es-ES"/>
        </w:rPr>
        <w:t xml:space="preserve"> </w:t>
      </w:r>
      <w:r w:rsidR="00185BF1" w:rsidRPr="00185BF1">
        <w:rPr>
          <w:rFonts w:ascii="Bookman Old Style" w:eastAsia="Times New Roman" w:hAnsi="Bookman Old Style" w:cs="Times New Roman"/>
          <w:sz w:val="24"/>
          <w:szCs w:val="24"/>
          <w:lang w:val="es-ES" w:eastAsia="es-ES"/>
        </w:rPr>
        <w:t>R</w:t>
      </w:r>
      <w:r w:rsidR="00185BF1">
        <w:rPr>
          <w:rFonts w:ascii="Bookman Old Style" w:eastAsia="Times New Roman" w:hAnsi="Bookman Old Style" w:cs="Times New Roman"/>
          <w:sz w:val="24"/>
          <w:szCs w:val="24"/>
          <w:lang w:val="es-ES" w:eastAsia="es-ES"/>
        </w:rPr>
        <w:t>esolución</w:t>
      </w:r>
      <w:r w:rsidR="00A863A9">
        <w:rPr>
          <w:rFonts w:ascii="Bookman Old Style" w:eastAsia="Times New Roman" w:hAnsi="Bookman Old Style" w:cs="Times New Roman"/>
          <w:sz w:val="24"/>
          <w:szCs w:val="24"/>
          <w:lang w:val="es-ES" w:eastAsia="es-ES"/>
        </w:rPr>
        <w:t xml:space="preserve"> CREG 501 26A</w:t>
      </w:r>
      <w:r w:rsidR="00185BF1" w:rsidRPr="00185BF1">
        <w:rPr>
          <w:rFonts w:ascii="Bookman Old Style" w:eastAsia="Times New Roman" w:hAnsi="Bookman Old Style" w:cs="Times New Roman"/>
          <w:sz w:val="24"/>
          <w:szCs w:val="24"/>
          <w:lang w:val="es-ES" w:eastAsia="es-ES"/>
        </w:rPr>
        <w:t xml:space="preserve"> expedida por la CRE</w:t>
      </w:r>
      <w:r w:rsidR="00A863A9">
        <w:rPr>
          <w:rFonts w:ascii="Bookman Old Style" w:eastAsia="Times New Roman" w:hAnsi="Bookman Old Style" w:cs="Times New Roman"/>
          <w:sz w:val="24"/>
          <w:szCs w:val="24"/>
          <w:lang w:val="es-ES" w:eastAsia="es-ES"/>
        </w:rPr>
        <w:t>G, en relación con lo anterior,</w:t>
      </w:r>
      <w:r w:rsidR="00CB18D9">
        <w:rPr>
          <w:rFonts w:ascii="Bookman Old Style" w:eastAsia="Times New Roman" w:hAnsi="Bookman Old Style" w:cs="Times New Roman"/>
          <w:sz w:val="24"/>
          <w:szCs w:val="24"/>
          <w:lang w:val="es-ES" w:eastAsia="es-ES"/>
        </w:rPr>
        <w:t xml:space="preserve"> se debe tener en cuenta en cada caso lo siguiente:</w:t>
      </w:r>
    </w:p>
    <w:p w14:paraId="31B8C622" w14:textId="484FD671" w:rsidR="00CB18D9" w:rsidRDefault="00CB18D9" w:rsidP="00CB18D9">
      <w:pPr>
        <w:spacing w:after="0" w:line="240" w:lineRule="auto"/>
        <w:ind w:left="-142" w:right="-142"/>
        <w:jc w:val="both"/>
        <w:rPr>
          <w:rFonts w:ascii="Bookman Old Style" w:eastAsia="Times New Roman" w:hAnsi="Bookman Old Style" w:cs="Times New Roman"/>
          <w:sz w:val="24"/>
          <w:szCs w:val="24"/>
          <w:lang w:val="es-ES" w:eastAsia="es-ES"/>
        </w:rPr>
      </w:pPr>
    </w:p>
    <w:p w14:paraId="39E27CED" w14:textId="623340D0" w:rsidR="005F4A97" w:rsidRPr="00FB39B5" w:rsidRDefault="005F4A97" w:rsidP="00CB18D9">
      <w:pPr>
        <w:spacing w:after="0" w:line="240" w:lineRule="auto"/>
        <w:ind w:left="-142" w:right="-142"/>
        <w:jc w:val="both"/>
        <w:rPr>
          <w:rFonts w:ascii="Bookman Old Style" w:eastAsia="Times New Roman" w:hAnsi="Bookman Old Style" w:cs="Times New Roman"/>
          <w:b/>
          <w:sz w:val="24"/>
          <w:szCs w:val="24"/>
          <w:lang w:val="es-ES" w:eastAsia="es-ES"/>
        </w:rPr>
      </w:pPr>
      <w:r w:rsidRPr="00FB39B5">
        <w:rPr>
          <w:rFonts w:ascii="Bookman Old Style" w:eastAsia="Times New Roman" w:hAnsi="Bookman Old Style" w:cs="Times New Roman"/>
          <w:b/>
          <w:sz w:val="24"/>
          <w:szCs w:val="24"/>
          <w:lang w:val="es-ES" w:eastAsia="es-ES"/>
        </w:rPr>
        <w:t>Frente a lo argumentado por D</w:t>
      </w:r>
      <w:r w:rsidR="007769A4">
        <w:rPr>
          <w:rFonts w:ascii="Bookman Old Style" w:eastAsia="Times New Roman" w:hAnsi="Bookman Old Style" w:cs="Times New Roman"/>
          <w:b/>
          <w:sz w:val="24"/>
          <w:szCs w:val="24"/>
          <w:lang w:val="es-ES" w:eastAsia="es-ES"/>
        </w:rPr>
        <w:t>UE</w:t>
      </w:r>
      <w:r w:rsidRPr="00FB39B5">
        <w:rPr>
          <w:rFonts w:ascii="Bookman Old Style" w:eastAsia="Times New Roman" w:hAnsi="Bookman Old Style" w:cs="Times New Roman"/>
          <w:b/>
          <w:sz w:val="24"/>
          <w:szCs w:val="24"/>
          <w:lang w:val="es-ES" w:eastAsia="es-ES"/>
        </w:rPr>
        <w:t>:</w:t>
      </w:r>
    </w:p>
    <w:p w14:paraId="117CDAF9" w14:textId="77777777" w:rsidR="005F4A97" w:rsidRPr="00FB39B5" w:rsidRDefault="005F4A97" w:rsidP="00CB18D9">
      <w:pPr>
        <w:spacing w:after="0" w:line="240" w:lineRule="auto"/>
        <w:ind w:left="-142" w:right="-142"/>
        <w:jc w:val="both"/>
        <w:rPr>
          <w:rFonts w:ascii="Bookman Old Style" w:eastAsia="Times New Roman" w:hAnsi="Bookman Old Style" w:cs="Times New Roman"/>
          <w:b/>
          <w:sz w:val="24"/>
          <w:szCs w:val="24"/>
          <w:lang w:val="es-ES" w:eastAsia="es-ES"/>
        </w:rPr>
      </w:pPr>
    </w:p>
    <w:p w14:paraId="2F0487A5" w14:textId="33EACB5E" w:rsidR="00CB18D9" w:rsidRDefault="005F4A97" w:rsidP="00E44D38">
      <w:pPr>
        <w:pStyle w:val="Prrafodelista"/>
        <w:numPr>
          <w:ilvl w:val="0"/>
          <w:numId w:val="26"/>
        </w:numPr>
        <w:tabs>
          <w:tab w:val="left" w:pos="142"/>
        </w:tabs>
        <w:spacing w:after="0" w:line="240" w:lineRule="auto"/>
        <w:ind w:left="-142" w:right="-142" w:firstLine="0"/>
        <w:jc w:val="both"/>
        <w:rPr>
          <w:rFonts w:ascii="Bookman Old Style" w:eastAsia="Times New Roman" w:hAnsi="Bookman Old Style" w:cs="Times New Roman"/>
          <w:sz w:val="24"/>
          <w:szCs w:val="24"/>
          <w:lang w:val="es-ES" w:eastAsia="es-ES"/>
        </w:rPr>
      </w:pPr>
      <w:r w:rsidRPr="00035BF6">
        <w:rPr>
          <w:rFonts w:ascii="Bookman Old Style" w:eastAsia="Times New Roman" w:hAnsi="Bookman Old Style" w:cs="Times New Roman"/>
          <w:sz w:val="24"/>
          <w:szCs w:val="24"/>
          <w:lang w:val="es-ES" w:eastAsia="es-ES"/>
        </w:rPr>
        <w:t>Solicita</w:t>
      </w:r>
      <w:r w:rsidR="00CB18D9" w:rsidRPr="00035BF6">
        <w:rPr>
          <w:rFonts w:ascii="Bookman Old Style" w:eastAsia="Times New Roman" w:hAnsi="Bookman Old Style" w:cs="Times New Roman"/>
          <w:sz w:val="24"/>
          <w:szCs w:val="24"/>
          <w:lang w:val="es-ES" w:eastAsia="es-ES"/>
        </w:rPr>
        <w:t xml:space="preserve"> </w:t>
      </w:r>
      <w:r w:rsidR="00883C1A">
        <w:rPr>
          <w:rFonts w:ascii="Bookman Old Style" w:eastAsia="Times New Roman" w:hAnsi="Bookman Old Style" w:cs="Times New Roman"/>
          <w:sz w:val="24"/>
          <w:szCs w:val="24"/>
          <w:lang w:val="es-ES" w:eastAsia="es-ES"/>
        </w:rPr>
        <w:t>r</w:t>
      </w:r>
      <w:r w:rsidR="00CB18D9" w:rsidRPr="00035BF6">
        <w:rPr>
          <w:rFonts w:ascii="Bookman Old Style" w:eastAsia="Times New Roman" w:hAnsi="Bookman Old Style" w:cs="Times New Roman"/>
          <w:sz w:val="24"/>
          <w:szCs w:val="24"/>
          <w:lang w:val="es-ES" w:eastAsia="es-ES"/>
        </w:rPr>
        <w:t xml:space="preserve">eponer el </w:t>
      </w:r>
      <w:r w:rsidR="00883C1A">
        <w:rPr>
          <w:rFonts w:ascii="Bookman Old Style" w:eastAsia="Times New Roman" w:hAnsi="Bookman Old Style" w:cs="Times New Roman"/>
          <w:sz w:val="24"/>
          <w:szCs w:val="24"/>
          <w:lang w:val="es-ES" w:eastAsia="es-ES"/>
        </w:rPr>
        <w:t>a</w:t>
      </w:r>
      <w:r w:rsidR="00CB18D9" w:rsidRPr="00035BF6">
        <w:rPr>
          <w:rFonts w:ascii="Bookman Old Style" w:eastAsia="Times New Roman" w:hAnsi="Bookman Old Style" w:cs="Times New Roman"/>
          <w:sz w:val="24"/>
          <w:szCs w:val="24"/>
          <w:lang w:val="es-ES" w:eastAsia="es-ES"/>
        </w:rPr>
        <w:t>rtículo 1</w:t>
      </w:r>
      <w:r w:rsidR="00345DCA">
        <w:rPr>
          <w:rFonts w:ascii="Bookman Old Style" w:eastAsia="Times New Roman" w:hAnsi="Bookman Old Style" w:cs="Times New Roman"/>
          <w:sz w:val="24"/>
          <w:szCs w:val="24"/>
          <w:lang w:val="es-ES" w:eastAsia="es-ES"/>
        </w:rPr>
        <w:t>,</w:t>
      </w:r>
      <w:r w:rsidR="00CB18D9" w:rsidRPr="00035BF6">
        <w:rPr>
          <w:rFonts w:ascii="Bookman Old Style" w:eastAsia="Times New Roman" w:hAnsi="Bookman Old Style" w:cs="Times New Roman"/>
          <w:sz w:val="24"/>
          <w:szCs w:val="24"/>
          <w:lang w:val="es-ES" w:eastAsia="es-ES"/>
        </w:rPr>
        <w:t xml:space="preserve"> y en lugar de mencionar “generación solar fotovoltaica con capacidad pico de hasta 7,6 MWp y hasta 8,8 MWh de acumulación” se diga “generación solar fotovoltaica con capacidad asignada de conexión de 4,4 MW”.</w:t>
      </w:r>
    </w:p>
    <w:p w14:paraId="1CC7C180" w14:textId="449C8F3E" w:rsidR="00883C1A" w:rsidRDefault="00883C1A" w:rsidP="00E44D38">
      <w:pPr>
        <w:pStyle w:val="Prrafodelista"/>
        <w:spacing w:after="0" w:line="240" w:lineRule="auto"/>
        <w:ind w:left="-142" w:right="-142"/>
        <w:jc w:val="both"/>
        <w:rPr>
          <w:rFonts w:ascii="Bookman Old Style" w:eastAsia="Times New Roman" w:hAnsi="Bookman Old Style" w:cs="Times New Roman"/>
          <w:sz w:val="24"/>
          <w:szCs w:val="24"/>
          <w:lang w:val="es-ES" w:eastAsia="es-ES"/>
        </w:rPr>
      </w:pPr>
    </w:p>
    <w:p w14:paraId="72CDA9B1" w14:textId="5BDD707F" w:rsidR="00CB18D9" w:rsidRDefault="00FA43DE" w:rsidP="00E44D38">
      <w:pPr>
        <w:pStyle w:val="Prrafodelista"/>
        <w:spacing w:after="0" w:line="240" w:lineRule="auto"/>
        <w:ind w:left="-142"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En relación con </w:t>
      </w:r>
      <w:r w:rsidR="00883C1A">
        <w:rPr>
          <w:rFonts w:ascii="Bookman Old Style" w:eastAsia="Times New Roman" w:hAnsi="Bookman Old Style" w:cs="Times New Roman"/>
          <w:sz w:val="24"/>
          <w:szCs w:val="24"/>
          <w:lang w:val="es-ES" w:eastAsia="es-ES"/>
        </w:rPr>
        <w:t xml:space="preserve">esta solicitud, </w:t>
      </w:r>
      <w:r w:rsidR="00DC3A35">
        <w:rPr>
          <w:rFonts w:ascii="Bookman Old Style" w:eastAsia="Times New Roman" w:hAnsi="Bookman Old Style" w:cs="Times New Roman"/>
          <w:sz w:val="24"/>
          <w:szCs w:val="24"/>
          <w:lang w:val="es-ES" w:eastAsia="es-ES"/>
        </w:rPr>
        <w:t xml:space="preserve">sea lo primero </w:t>
      </w:r>
      <w:r w:rsidR="00883C1A">
        <w:rPr>
          <w:rFonts w:ascii="Bookman Old Style" w:eastAsia="Times New Roman" w:hAnsi="Bookman Old Style" w:cs="Times New Roman"/>
          <w:sz w:val="24"/>
          <w:szCs w:val="24"/>
          <w:lang w:val="es-ES" w:eastAsia="es-ES"/>
        </w:rPr>
        <w:t xml:space="preserve">indicar que la actuación administrativa se resolvió </w:t>
      </w:r>
      <w:r w:rsidR="00CB18D9" w:rsidRPr="00CB18D9">
        <w:rPr>
          <w:rFonts w:ascii="Bookman Old Style" w:eastAsia="Times New Roman" w:hAnsi="Bookman Old Style" w:cs="Times New Roman"/>
          <w:sz w:val="24"/>
          <w:szCs w:val="24"/>
          <w:lang w:val="es-ES" w:eastAsia="es-ES"/>
        </w:rPr>
        <w:t xml:space="preserve">en los </w:t>
      </w:r>
      <w:r w:rsidR="00EA16B8" w:rsidRPr="00CB18D9">
        <w:rPr>
          <w:rFonts w:ascii="Bookman Old Style" w:eastAsia="Times New Roman" w:hAnsi="Bookman Old Style" w:cs="Times New Roman"/>
          <w:sz w:val="24"/>
          <w:szCs w:val="24"/>
          <w:lang w:val="es-ES" w:eastAsia="es-ES"/>
        </w:rPr>
        <w:t>mismos términos</w:t>
      </w:r>
      <w:r w:rsidR="00CB18D9" w:rsidRPr="00CB18D9">
        <w:rPr>
          <w:rFonts w:ascii="Bookman Old Style" w:eastAsia="Times New Roman" w:hAnsi="Bookman Old Style" w:cs="Times New Roman"/>
          <w:sz w:val="24"/>
          <w:szCs w:val="24"/>
          <w:lang w:val="es-ES" w:eastAsia="es-ES"/>
        </w:rPr>
        <w:t xml:space="preserve"> de la solicitud y del estudio de conexión: “con una máxima capacidad de potencia a inyectar al sistema eléctrico de Mitú (ZNI) de 7.6 MWp y 8.8 MWh Baterías”</w:t>
      </w:r>
      <w:r w:rsidR="00883C1A">
        <w:rPr>
          <w:rFonts w:ascii="Bookman Old Style" w:eastAsia="Times New Roman" w:hAnsi="Bookman Old Style" w:cs="Times New Roman"/>
          <w:sz w:val="24"/>
          <w:szCs w:val="24"/>
          <w:lang w:val="es-ES" w:eastAsia="es-ES"/>
        </w:rPr>
        <w:t>.</w:t>
      </w:r>
    </w:p>
    <w:p w14:paraId="01C2D919" w14:textId="3C30FE61" w:rsidR="00620EED" w:rsidRDefault="00620EED" w:rsidP="00CB18D9">
      <w:pPr>
        <w:spacing w:after="0" w:line="240" w:lineRule="auto"/>
        <w:ind w:left="-142" w:right="-142"/>
        <w:jc w:val="both"/>
        <w:rPr>
          <w:rFonts w:ascii="Bookman Old Style" w:eastAsia="Times New Roman" w:hAnsi="Bookman Old Style" w:cs="Times New Roman"/>
          <w:sz w:val="24"/>
          <w:szCs w:val="24"/>
          <w:lang w:val="es-ES" w:eastAsia="es-ES"/>
        </w:rPr>
      </w:pPr>
    </w:p>
    <w:p w14:paraId="7C0336C4" w14:textId="4BCC6AB2" w:rsidR="00620EED" w:rsidRPr="00620EED" w:rsidRDefault="00773185" w:rsidP="006E53D4">
      <w:pPr>
        <w:spacing w:after="0" w:line="240" w:lineRule="auto"/>
        <w:ind w:left="-142"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Al respecto</w:t>
      </w:r>
      <w:r w:rsidR="00345DCA">
        <w:rPr>
          <w:rFonts w:ascii="Bookman Old Style" w:eastAsia="Times New Roman" w:hAnsi="Bookman Old Style" w:cs="Times New Roman"/>
          <w:sz w:val="24"/>
          <w:szCs w:val="24"/>
          <w:lang w:val="es-ES" w:eastAsia="es-ES"/>
        </w:rPr>
        <w:t>,</w:t>
      </w:r>
      <w:r>
        <w:rPr>
          <w:rFonts w:ascii="Bookman Old Style" w:eastAsia="Times New Roman" w:hAnsi="Bookman Old Style" w:cs="Times New Roman"/>
          <w:sz w:val="24"/>
          <w:szCs w:val="24"/>
          <w:lang w:val="es-ES" w:eastAsia="es-ES"/>
        </w:rPr>
        <w:t xml:space="preserve"> e</w:t>
      </w:r>
      <w:r w:rsidR="000A2F6A">
        <w:rPr>
          <w:rFonts w:ascii="Bookman Old Style" w:eastAsia="Times New Roman" w:hAnsi="Bookman Old Style" w:cs="Times New Roman"/>
          <w:sz w:val="24"/>
          <w:szCs w:val="24"/>
          <w:lang w:val="es-ES" w:eastAsia="es-ES"/>
        </w:rPr>
        <w:t xml:space="preserve">sta </w:t>
      </w:r>
      <w:r w:rsidR="005561DF">
        <w:rPr>
          <w:rFonts w:ascii="Bookman Old Style" w:eastAsia="Times New Roman" w:hAnsi="Bookman Old Style" w:cs="Times New Roman"/>
          <w:sz w:val="24"/>
          <w:szCs w:val="24"/>
          <w:lang w:val="es-ES" w:eastAsia="es-ES"/>
        </w:rPr>
        <w:t xml:space="preserve">Comisión </w:t>
      </w:r>
      <w:r w:rsidR="000A2F6A">
        <w:rPr>
          <w:rFonts w:ascii="Bookman Old Style" w:eastAsia="Times New Roman" w:hAnsi="Bookman Old Style" w:cs="Times New Roman"/>
          <w:sz w:val="24"/>
          <w:szCs w:val="24"/>
          <w:lang w:val="es-ES" w:eastAsia="es-ES"/>
        </w:rPr>
        <w:t>resalta que e</w:t>
      </w:r>
      <w:r w:rsidR="00620EED">
        <w:rPr>
          <w:rFonts w:ascii="Bookman Old Style" w:eastAsia="Times New Roman" w:hAnsi="Bookman Old Style" w:cs="Times New Roman"/>
          <w:sz w:val="24"/>
          <w:szCs w:val="24"/>
          <w:lang w:val="es-ES" w:eastAsia="es-ES"/>
        </w:rPr>
        <w:t>n e</w:t>
      </w:r>
      <w:r w:rsidR="00620EED" w:rsidRPr="00620EED">
        <w:rPr>
          <w:rFonts w:ascii="Bookman Old Style" w:eastAsia="Times New Roman" w:hAnsi="Bookman Old Style" w:cs="Times New Roman"/>
          <w:sz w:val="24"/>
          <w:szCs w:val="24"/>
          <w:lang w:val="es-ES" w:eastAsia="es-ES"/>
        </w:rPr>
        <w:t>l Estudio de Conexión que reposa en el expediente de la correspondiente a</w:t>
      </w:r>
      <w:r w:rsidR="00620EED">
        <w:rPr>
          <w:rFonts w:ascii="Bookman Old Style" w:eastAsia="Times New Roman" w:hAnsi="Bookman Old Style" w:cs="Times New Roman"/>
          <w:sz w:val="24"/>
          <w:szCs w:val="24"/>
          <w:lang w:val="es-ES" w:eastAsia="es-ES"/>
        </w:rPr>
        <w:t>c</w:t>
      </w:r>
      <w:r w:rsidR="00620EED" w:rsidRPr="00620EED">
        <w:rPr>
          <w:rFonts w:ascii="Bookman Old Style" w:eastAsia="Times New Roman" w:hAnsi="Bookman Old Style" w:cs="Times New Roman"/>
          <w:sz w:val="24"/>
          <w:szCs w:val="24"/>
          <w:lang w:val="es-ES" w:eastAsia="es-ES"/>
        </w:rPr>
        <w:t>tuación administrativa</w:t>
      </w:r>
      <w:r w:rsidR="00DC3A35">
        <w:rPr>
          <w:rFonts w:ascii="Bookman Old Style" w:eastAsia="Times New Roman" w:hAnsi="Bookman Old Style" w:cs="Times New Roman"/>
          <w:sz w:val="24"/>
          <w:szCs w:val="24"/>
          <w:lang w:val="es-ES" w:eastAsia="es-ES"/>
        </w:rPr>
        <w:t>,</w:t>
      </w:r>
      <w:r w:rsidR="00620EED" w:rsidRPr="00620EED">
        <w:rPr>
          <w:rFonts w:ascii="Bookman Old Style" w:eastAsia="Times New Roman" w:hAnsi="Bookman Old Style" w:cs="Times New Roman"/>
          <w:sz w:val="24"/>
          <w:szCs w:val="24"/>
          <w:lang w:val="es-ES" w:eastAsia="es-ES"/>
        </w:rPr>
        <w:t xml:space="preserve"> </w:t>
      </w:r>
      <w:r w:rsidR="00DC3A35">
        <w:rPr>
          <w:rFonts w:ascii="Bookman Old Style" w:eastAsia="Times New Roman" w:hAnsi="Bookman Old Style" w:cs="Times New Roman"/>
          <w:sz w:val="24"/>
          <w:szCs w:val="24"/>
          <w:lang w:val="es-ES" w:eastAsia="es-ES"/>
        </w:rPr>
        <w:t xml:space="preserve">se </w:t>
      </w:r>
      <w:r w:rsidR="00620EED" w:rsidRPr="00620EED">
        <w:rPr>
          <w:rFonts w:ascii="Bookman Old Style" w:eastAsia="Times New Roman" w:hAnsi="Bookman Old Style" w:cs="Times New Roman"/>
          <w:sz w:val="24"/>
          <w:szCs w:val="24"/>
          <w:lang w:val="es-ES" w:eastAsia="es-ES"/>
        </w:rPr>
        <w:t xml:space="preserve">hace referencia a la capacidad de potencia a inyectar al sistema eléctrico de Mitú, por parte del generador solar fotovoltaico denominado “Parque Matakavi”. </w:t>
      </w:r>
    </w:p>
    <w:p w14:paraId="260B515C" w14:textId="30B29E08" w:rsidR="00EA16B8" w:rsidRDefault="00EA16B8" w:rsidP="00E44D38">
      <w:pPr>
        <w:spacing w:after="0" w:line="240" w:lineRule="auto"/>
        <w:ind w:left="142" w:right="-142"/>
        <w:jc w:val="both"/>
        <w:rPr>
          <w:rFonts w:ascii="Bookman Old Style" w:eastAsia="Times New Roman" w:hAnsi="Bookman Old Style" w:cs="Times New Roman"/>
          <w:sz w:val="24"/>
          <w:szCs w:val="24"/>
          <w:lang w:val="es-ES" w:eastAsia="es-ES"/>
        </w:rPr>
      </w:pPr>
    </w:p>
    <w:p w14:paraId="4F655586" w14:textId="5B32223F" w:rsidR="00B36AE4" w:rsidRDefault="00B36AE4" w:rsidP="00455D82">
      <w:pPr>
        <w:spacing w:after="0" w:line="240" w:lineRule="auto"/>
        <w:ind w:left="-142" w:right="-142"/>
        <w:jc w:val="both"/>
        <w:rPr>
          <w:rFonts w:ascii="Bookman Old Style" w:eastAsia="Times New Roman" w:hAnsi="Bookman Old Style" w:cs="Times New Roman"/>
          <w:sz w:val="24"/>
          <w:szCs w:val="24"/>
          <w:lang w:val="es-ES" w:eastAsia="es-ES"/>
        </w:rPr>
      </w:pPr>
      <w:r w:rsidRPr="00BA3C7E">
        <w:rPr>
          <w:rFonts w:ascii="Bookman Old Style" w:eastAsia="Times New Roman" w:hAnsi="Bookman Old Style" w:cs="Times New Roman"/>
          <w:sz w:val="24"/>
          <w:szCs w:val="24"/>
          <w:lang w:val="es-ES" w:eastAsia="es-ES"/>
        </w:rPr>
        <w:t>A continuación, presentaremos algunos apartes tomados del citado estudio de conexión, para evaluar a qué potencia hace referencia DUE CAPITAL.</w:t>
      </w:r>
    </w:p>
    <w:p w14:paraId="541F4007" w14:textId="121121E4" w:rsidR="00B36AE4" w:rsidRDefault="00B36AE4" w:rsidP="00CB18D9">
      <w:pPr>
        <w:spacing w:after="0" w:line="240" w:lineRule="auto"/>
        <w:ind w:left="-142" w:right="-142"/>
        <w:jc w:val="both"/>
        <w:rPr>
          <w:rFonts w:ascii="Bookman Old Style" w:eastAsia="Times New Roman" w:hAnsi="Bookman Old Style" w:cs="Times New Roman"/>
          <w:sz w:val="24"/>
          <w:szCs w:val="24"/>
          <w:lang w:val="es-ES" w:eastAsia="es-ES"/>
        </w:rPr>
      </w:pPr>
    </w:p>
    <w:p w14:paraId="7D5D2C1F" w14:textId="5B9197A1" w:rsidR="00BA3C7E" w:rsidRPr="00501B11" w:rsidRDefault="00BA3C7E" w:rsidP="00E44D38">
      <w:pPr>
        <w:spacing w:after="0" w:line="240" w:lineRule="auto"/>
        <w:ind w:left="142"/>
        <w:jc w:val="both"/>
        <w:rPr>
          <w:rFonts w:ascii="Bookman Old Style" w:eastAsia="Times New Roman" w:hAnsi="Bookman Old Style" w:cs="Times New Roman"/>
          <w:i/>
          <w:lang w:val="es-ES" w:eastAsia="es-ES"/>
        </w:rPr>
      </w:pPr>
      <w:r w:rsidRPr="00501B11">
        <w:rPr>
          <w:rFonts w:ascii="Bookman Old Style" w:eastAsia="Times New Roman" w:hAnsi="Bookman Old Style" w:cs="Times New Roman"/>
          <w:i/>
          <w:lang w:val="es-ES" w:eastAsia="es-ES"/>
        </w:rPr>
        <w:t xml:space="preserve">“ESTUDIO DE CONEXIÓN Parque solar fotovoltaico Mitú 7.6 MWp y 8.8 MWh Baterías Contrato GERS: D21-02 </w:t>
      </w:r>
      <w:r w:rsidR="00613939" w:rsidRPr="00501B11">
        <w:rPr>
          <w:rFonts w:ascii="Bookman Old Style" w:eastAsia="Times New Roman" w:hAnsi="Bookman Old Style" w:cs="Times New Roman"/>
          <w:i/>
          <w:lang w:val="es-ES" w:eastAsia="es-ES"/>
        </w:rPr>
        <w:t>junio</w:t>
      </w:r>
      <w:r w:rsidRPr="00501B11">
        <w:rPr>
          <w:rFonts w:ascii="Bookman Old Style" w:eastAsia="Times New Roman" w:hAnsi="Bookman Old Style" w:cs="Times New Roman"/>
          <w:i/>
          <w:lang w:val="es-ES" w:eastAsia="es-ES"/>
        </w:rPr>
        <w:t xml:space="preserve"> 20211.</w:t>
      </w:r>
      <w:r w:rsidRPr="00501B11">
        <w:rPr>
          <w:rFonts w:ascii="Bookman Old Style" w:eastAsia="Times New Roman" w:hAnsi="Bookman Old Style" w:cs="Times New Roman"/>
          <w:i/>
          <w:lang w:val="es-ES" w:eastAsia="es-ES"/>
        </w:rPr>
        <w:tab/>
        <w:t>INTRODUCCIÓN</w:t>
      </w:r>
      <w:r w:rsidR="00613939" w:rsidRPr="00501B11">
        <w:rPr>
          <w:rFonts w:ascii="Bookman Old Style" w:eastAsia="Times New Roman" w:hAnsi="Bookman Old Style" w:cs="Times New Roman"/>
          <w:i/>
          <w:lang w:val="es-ES" w:eastAsia="es-ES"/>
        </w:rPr>
        <w:t>.</w:t>
      </w:r>
    </w:p>
    <w:p w14:paraId="52FD9DBB" w14:textId="77777777" w:rsidR="00613939" w:rsidRPr="00501B11" w:rsidRDefault="00613939" w:rsidP="00E44D38">
      <w:pPr>
        <w:spacing w:after="0" w:line="240" w:lineRule="auto"/>
        <w:ind w:left="142"/>
        <w:jc w:val="both"/>
        <w:rPr>
          <w:rFonts w:ascii="Bookman Old Style" w:eastAsia="Times New Roman" w:hAnsi="Bookman Old Style" w:cs="Times New Roman"/>
          <w:i/>
          <w:lang w:val="es-ES" w:eastAsia="es-ES"/>
        </w:rPr>
      </w:pPr>
    </w:p>
    <w:p w14:paraId="7A72AB20" w14:textId="77777777" w:rsidR="00BA3C7E" w:rsidRPr="00501B11" w:rsidRDefault="00BA3C7E" w:rsidP="00E44D38">
      <w:pPr>
        <w:spacing w:after="0" w:line="240" w:lineRule="auto"/>
        <w:ind w:left="142"/>
        <w:jc w:val="both"/>
        <w:rPr>
          <w:rFonts w:ascii="Bookman Old Style" w:eastAsia="Times New Roman" w:hAnsi="Bookman Old Style" w:cs="Times New Roman"/>
          <w:i/>
          <w:lang w:val="es-ES" w:eastAsia="es-ES"/>
        </w:rPr>
      </w:pPr>
      <w:r w:rsidRPr="00501B11">
        <w:rPr>
          <w:rFonts w:ascii="Bookman Old Style" w:eastAsia="Times New Roman" w:hAnsi="Bookman Old Style" w:cs="Times New Roman"/>
          <w:i/>
          <w:lang w:val="es-ES" w:eastAsia="es-ES"/>
        </w:rPr>
        <w:t>(…)  Como parte de esta iniciativa DUE CAPITAL S.A.S. planea la instalación del Parque solar fotovoltaico Mitú, en el departamento de Vaupés, con una máxima capacidad de potencia a inyectar al sistema eléctrico de Mitú (ZNI) de 7.6 MWp y 8.8 MWh Baterías, a partir del año 2021.</w:t>
      </w:r>
    </w:p>
    <w:p w14:paraId="1C1BF339" w14:textId="77777777" w:rsidR="00BA3C7E" w:rsidRPr="00501B11" w:rsidRDefault="00BA3C7E" w:rsidP="00E44D38">
      <w:pPr>
        <w:spacing w:after="0" w:line="240" w:lineRule="auto"/>
        <w:ind w:left="142"/>
        <w:jc w:val="both"/>
        <w:rPr>
          <w:rFonts w:ascii="Bookman Old Style" w:eastAsia="Times New Roman" w:hAnsi="Bookman Old Style" w:cs="Times New Roman"/>
          <w:i/>
          <w:lang w:val="es-ES" w:eastAsia="es-ES"/>
        </w:rPr>
      </w:pPr>
    </w:p>
    <w:p w14:paraId="774E8A46" w14:textId="77777777" w:rsidR="00BA3C7E" w:rsidRPr="00501B11" w:rsidRDefault="00BA3C7E" w:rsidP="00E44D38">
      <w:pPr>
        <w:spacing w:after="0" w:line="240" w:lineRule="auto"/>
        <w:ind w:left="142"/>
        <w:jc w:val="both"/>
        <w:rPr>
          <w:rFonts w:ascii="Bookman Old Style" w:eastAsia="Times New Roman" w:hAnsi="Bookman Old Style" w:cs="Times New Roman"/>
          <w:i/>
          <w:lang w:val="es-ES" w:eastAsia="es-ES"/>
        </w:rPr>
      </w:pPr>
      <w:r w:rsidRPr="00501B11">
        <w:rPr>
          <w:rFonts w:ascii="Bookman Old Style" w:eastAsia="Times New Roman" w:hAnsi="Bookman Old Style" w:cs="Times New Roman"/>
          <w:i/>
          <w:lang w:val="es-ES" w:eastAsia="es-ES"/>
        </w:rPr>
        <w:t xml:space="preserve">(…) 2 RESUMEN EJECUTIVO </w:t>
      </w:r>
    </w:p>
    <w:p w14:paraId="1B1BA4F4" w14:textId="77777777" w:rsidR="00BA3C7E" w:rsidRPr="00E44D38" w:rsidRDefault="00BA3C7E" w:rsidP="00E44D38">
      <w:pPr>
        <w:spacing w:after="0" w:line="240" w:lineRule="auto"/>
        <w:ind w:left="142"/>
        <w:jc w:val="both"/>
        <w:rPr>
          <w:rFonts w:ascii="Bookman Old Style" w:eastAsia="Times New Roman" w:hAnsi="Bookman Old Style" w:cs="Times New Roman"/>
          <w:i/>
          <w:u w:val="single"/>
          <w:lang w:val="es-ES" w:eastAsia="es-ES"/>
        </w:rPr>
      </w:pPr>
      <w:r w:rsidRPr="00501B11">
        <w:rPr>
          <w:rFonts w:ascii="Bookman Old Style" w:eastAsia="Times New Roman" w:hAnsi="Bookman Old Style" w:cs="Times New Roman"/>
          <w:i/>
          <w:lang w:val="es-ES" w:eastAsia="es-ES"/>
        </w:rPr>
        <w:t xml:space="preserve">DUE CAPITAL tiene planeada la instalación del Parque solar fotovoltaico Mitú en el departamento de Vaupés, a partir del año 2021, </w:t>
      </w:r>
      <w:r w:rsidRPr="00E44D38">
        <w:rPr>
          <w:rFonts w:ascii="Bookman Old Style" w:eastAsia="Times New Roman" w:hAnsi="Bookman Old Style" w:cs="Times New Roman"/>
          <w:i/>
          <w:u w:val="single"/>
          <w:lang w:val="es-ES" w:eastAsia="es-ES"/>
        </w:rPr>
        <w:t>con una máxima capacidad de inyección de potencia al sistema eléctrico de Mitú (ZNI) de 7.6 MWp y 8.8 MWh Baterías.</w:t>
      </w:r>
    </w:p>
    <w:p w14:paraId="0E93F27F" w14:textId="77777777" w:rsidR="00BA3C7E" w:rsidRPr="00E44D38" w:rsidRDefault="00BA3C7E" w:rsidP="00501B11">
      <w:pPr>
        <w:spacing w:after="0" w:line="240" w:lineRule="auto"/>
        <w:ind w:left="142" w:right="-142"/>
        <w:jc w:val="both"/>
        <w:rPr>
          <w:rFonts w:ascii="Bookman Old Style" w:eastAsia="Times New Roman" w:hAnsi="Bookman Old Style" w:cs="Times New Roman"/>
          <w:i/>
          <w:u w:val="single"/>
          <w:lang w:val="es-ES" w:eastAsia="es-ES"/>
        </w:rPr>
      </w:pPr>
    </w:p>
    <w:p w14:paraId="5CCA9B0C" w14:textId="77777777" w:rsidR="00BA3C7E" w:rsidRPr="00E44D38" w:rsidRDefault="00BA3C7E" w:rsidP="00E44D38">
      <w:pPr>
        <w:spacing w:after="0" w:line="240" w:lineRule="auto"/>
        <w:ind w:left="142"/>
        <w:jc w:val="both"/>
        <w:rPr>
          <w:rFonts w:ascii="Bookman Old Style" w:eastAsia="Times New Roman" w:hAnsi="Bookman Old Style" w:cs="Times New Roman"/>
          <w:i/>
          <w:u w:val="single"/>
          <w:lang w:val="es-ES" w:eastAsia="es-ES"/>
        </w:rPr>
      </w:pPr>
      <w:r w:rsidRPr="00501B11">
        <w:rPr>
          <w:rFonts w:ascii="Bookman Old Style" w:eastAsia="Times New Roman" w:hAnsi="Bookman Old Style" w:cs="Times New Roman"/>
          <w:i/>
          <w:lang w:val="es-ES" w:eastAsia="es-ES"/>
        </w:rPr>
        <w:t xml:space="preserve">(…) Los resultados de todos los análisis hasta aquí mencionados permiten recomendar que la conexión del Parque solar fotovoltaico Mitú se realice a través de la apertura de la línea PCH Mitú - Mitú 34.5 kV (52 km) a aproximadamente 2 km de la barra Mitú 34.5 km, a partir del año 2021 </w:t>
      </w:r>
      <w:r w:rsidRPr="00E44D38">
        <w:rPr>
          <w:rFonts w:ascii="Bookman Old Style" w:eastAsia="Times New Roman" w:hAnsi="Bookman Old Style" w:cs="Times New Roman"/>
          <w:i/>
          <w:u w:val="single"/>
          <w:lang w:val="es-ES" w:eastAsia="es-ES"/>
        </w:rPr>
        <w:t>y con una máxima capacidad de inyección de potencia al sistema eléctrico de Mitú de 7.6 MWp y 8.8 MWh Baterías</w:t>
      </w:r>
    </w:p>
    <w:p w14:paraId="63AAFBF1" w14:textId="77777777" w:rsidR="00BA3C7E" w:rsidRPr="00501B11" w:rsidRDefault="00BA3C7E" w:rsidP="00501B11">
      <w:pPr>
        <w:spacing w:after="0" w:line="240" w:lineRule="auto"/>
        <w:ind w:left="142" w:right="-142"/>
        <w:jc w:val="both"/>
        <w:rPr>
          <w:rFonts w:ascii="Bookman Old Style" w:eastAsia="Times New Roman" w:hAnsi="Bookman Old Style" w:cs="Times New Roman"/>
          <w:i/>
          <w:lang w:val="es-ES" w:eastAsia="es-ES"/>
        </w:rPr>
      </w:pPr>
    </w:p>
    <w:p w14:paraId="31902B90" w14:textId="77777777" w:rsidR="00BA3C7E" w:rsidRPr="00501B11" w:rsidRDefault="00BA3C7E" w:rsidP="00501B11">
      <w:pPr>
        <w:spacing w:after="0" w:line="240" w:lineRule="auto"/>
        <w:ind w:left="142" w:right="-142"/>
        <w:jc w:val="both"/>
        <w:rPr>
          <w:rFonts w:ascii="Bookman Old Style" w:eastAsia="Times New Roman" w:hAnsi="Bookman Old Style" w:cs="Times New Roman"/>
          <w:i/>
          <w:lang w:val="es-ES" w:eastAsia="es-ES"/>
        </w:rPr>
      </w:pPr>
      <w:r w:rsidRPr="00501B11">
        <w:rPr>
          <w:rFonts w:ascii="Bookman Old Style" w:eastAsia="Times New Roman" w:hAnsi="Bookman Old Style" w:cs="Times New Roman"/>
          <w:i/>
          <w:lang w:val="es-ES" w:eastAsia="es-ES"/>
        </w:rPr>
        <w:t xml:space="preserve">(…) 7 RECOMENDACIONES </w:t>
      </w:r>
    </w:p>
    <w:p w14:paraId="02E3F315" w14:textId="2E4359C5" w:rsidR="00BA3C7E" w:rsidRPr="00501B11" w:rsidRDefault="00BA3C7E" w:rsidP="00E44D38">
      <w:pPr>
        <w:spacing w:after="0" w:line="240" w:lineRule="auto"/>
        <w:ind w:left="142"/>
        <w:jc w:val="both"/>
        <w:rPr>
          <w:rFonts w:ascii="Bookman Old Style" w:eastAsia="Times New Roman" w:hAnsi="Bookman Old Style" w:cs="Times New Roman"/>
          <w:i/>
          <w:lang w:val="es-ES" w:eastAsia="es-ES"/>
        </w:rPr>
      </w:pPr>
      <w:r w:rsidRPr="00501B11">
        <w:rPr>
          <w:rFonts w:ascii="Bookman Old Style" w:eastAsia="Times New Roman" w:hAnsi="Bookman Old Style" w:cs="Times New Roman"/>
          <w:i/>
          <w:lang w:val="es-ES" w:eastAsia="es-ES"/>
        </w:rPr>
        <w:t xml:space="preserve">De acuerdo con los análisis efectuados dentro del presente estudio, se recomienda que la conexión del Parque solar fotovoltaico Mitú se realice a través de la alternativa de conexión evaluada, a partir del año 2021 y con </w:t>
      </w:r>
      <w:r w:rsidRPr="00E44D38">
        <w:rPr>
          <w:rFonts w:ascii="Bookman Old Style" w:eastAsia="Times New Roman" w:hAnsi="Bookman Old Style" w:cs="Times New Roman"/>
          <w:i/>
          <w:u w:val="single"/>
          <w:lang w:val="es-ES" w:eastAsia="es-ES"/>
        </w:rPr>
        <w:t>una máxima capacidad de inyección de potencia al sistema eléctrico de Mitú de 7.6 MWp y 8.8 MWh Baterías</w:t>
      </w:r>
      <w:r w:rsidR="00544E8F">
        <w:rPr>
          <w:rFonts w:ascii="Bookman Old Style" w:eastAsia="Times New Roman" w:hAnsi="Bookman Old Style" w:cs="Times New Roman"/>
          <w:i/>
          <w:u w:val="single"/>
          <w:lang w:val="es-ES" w:eastAsia="es-ES"/>
        </w:rPr>
        <w:t xml:space="preserve"> </w:t>
      </w:r>
      <w:r w:rsidR="00544E8F" w:rsidRPr="00E44D38">
        <w:rPr>
          <w:rFonts w:ascii="Bookman Old Style" w:eastAsia="Times New Roman" w:hAnsi="Bookman Old Style" w:cs="Times New Roman"/>
          <w:iCs/>
          <w:lang w:val="es-ES" w:eastAsia="es-ES"/>
        </w:rPr>
        <w:t>(subrayado fuera de texto)</w:t>
      </w:r>
    </w:p>
    <w:p w14:paraId="364DF2AF" w14:textId="165EAEA4" w:rsidR="00B36AE4" w:rsidRDefault="00B36AE4" w:rsidP="00CB18D9">
      <w:pPr>
        <w:spacing w:after="0" w:line="240" w:lineRule="auto"/>
        <w:ind w:left="-142" w:right="-142"/>
        <w:jc w:val="both"/>
        <w:rPr>
          <w:rFonts w:ascii="Bookman Old Style" w:eastAsia="Times New Roman" w:hAnsi="Bookman Old Style" w:cs="Times New Roman"/>
          <w:sz w:val="24"/>
          <w:szCs w:val="24"/>
          <w:lang w:val="es-ES" w:eastAsia="es-ES"/>
        </w:rPr>
      </w:pPr>
    </w:p>
    <w:p w14:paraId="71F6161E" w14:textId="41028B50" w:rsidR="009E79BC" w:rsidRDefault="005561DF" w:rsidP="00E44D38">
      <w:pPr>
        <w:spacing w:after="0" w:line="240" w:lineRule="auto"/>
        <w:ind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En concordancia con lo anterior,</w:t>
      </w:r>
      <w:r w:rsidR="001B45D3">
        <w:rPr>
          <w:rFonts w:ascii="Bookman Old Style" w:eastAsia="Times New Roman" w:hAnsi="Bookman Old Style" w:cs="Times New Roman"/>
          <w:sz w:val="24"/>
          <w:szCs w:val="24"/>
          <w:lang w:val="es-ES" w:eastAsia="es-ES"/>
        </w:rPr>
        <w:t xml:space="preserve"> la capacidad de potencia señalada en el acto administrativo debe entenderse como </w:t>
      </w:r>
      <w:r w:rsidR="00131586">
        <w:rPr>
          <w:rFonts w:ascii="Bookman Old Style" w:eastAsia="Times New Roman" w:hAnsi="Bookman Old Style" w:cs="Times New Roman"/>
          <w:sz w:val="24"/>
          <w:szCs w:val="24"/>
          <w:lang w:val="es-ES" w:eastAsia="es-ES"/>
        </w:rPr>
        <w:t>el</w:t>
      </w:r>
      <w:r w:rsidR="001B45D3">
        <w:rPr>
          <w:rFonts w:ascii="Bookman Old Style" w:eastAsia="Times New Roman" w:hAnsi="Bookman Old Style" w:cs="Times New Roman"/>
          <w:sz w:val="24"/>
          <w:szCs w:val="24"/>
          <w:lang w:val="es-ES" w:eastAsia="es-ES"/>
        </w:rPr>
        <w:t xml:space="preserve"> máximo de capacidad de potencia que puede recibir el sistema eléctrico y</w:t>
      </w:r>
      <w:r w:rsidR="00345DCA">
        <w:rPr>
          <w:rFonts w:ascii="Bookman Old Style" w:eastAsia="Times New Roman" w:hAnsi="Bookman Old Style" w:cs="Times New Roman"/>
          <w:sz w:val="24"/>
          <w:szCs w:val="24"/>
          <w:lang w:val="es-ES" w:eastAsia="es-ES"/>
        </w:rPr>
        <w:t>,</w:t>
      </w:r>
      <w:r w:rsidR="001B45D3">
        <w:rPr>
          <w:rFonts w:ascii="Bookman Old Style" w:eastAsia="Times New Roman" w:hAnsi="Bookman Old Style" w:cs="Times New Roman"/>
          <w:sz w:val="24"/>
          <w:szCs w:val="24"/>
          <w:lang w:val="es-ES" w:eastAsia="es-ES"/>
        </w:rPr>
        <w:t xml:space="preserve"> en ese sentido</w:t>
      </w:r>
      <w:r w:rsidR="00345DCA">
        <w:rPr>
          <w:rFonts w:ascii="Bookman Old Style" w:eastAsia="Times New Roman" w:hAnsi="Bookman Old Style" w:cs="Times New Roman"/>
          <w:sz w:val="24"/>
          <w:szCs w:val="24"/>
          <w:lang w:val="es-ES" w:eastAsia="es-ES"/>
        </w:rPr>
        <w:t>,</w:t>
      </w:r>
      <w:r w:rsidR="001B45D3">
        <w:rPr>
          <w:rFonts w:ascii="Bookman Old Style" w:eastAsia="Times New Roman" w:hAnsi="Bookman Old Style" w:cs="Times New Roman"/>
          <w:sz w:val="24"/>
          <w:szCs w:val="24"/>
          <w:lang w:val="es-ES" w:eastAsia="es-ES"/>
        </w:rPr>
        <w:t xml:space="preserve"> nada </w:t>
      </w:r>
      <w:r w:rsidR="00F502C1">
        <w:rPr>
          <w:rFonts w:ascii="Bookman Old Style" w:eastAsia="Times New Roman" w:hAnsi="Bookman Old Style" w:cs="Times New Roman"/>
          <w:sz w:val="24"/>
          <w:szCs w:val="24"/>
          <w:lang w:val="es-ES" w:eastAsia="es-ES"/>
        </w:rPr>
        <w:t>les</w:t>
      </w:r>
      <w:r w:rsidR="001B45D3">
        <w:rPr>
          <w:rFonts w:ascii="Bookman Old Style" w:eastAsia="Times New Roman" w:hAnsi="Bookman Old Style" w:cs="Times New Roman"/>
          <w:sz w:val="24"/>
          <w:szCs w:val="24"/>
          <w:lang w:val="es-ES" w:eastAsia="es-ES"/>
        </w:rPr>
        <w:t xml:space="preserve"> impide a las partes, G</w:t>
      </w:r>
      <w:r w:rsidR="00476AF8">
        <w:rPr>
          <w:rFonts w:ascii="Bookman Old Style" w:eastAsia="Times New Roman" w:hAnsi="Bookman Old Style" w:cs="Times New Roman"/>
          <w:sz w:val="24"/>
          <w:szCs w:val="24"/>
          <w:lang w:val="es-ES" w:eastAsia="es-ES"/>
        </w:rPr>
        <w:t>ENSA</w:t>
      </w:r>
      <w:r w:rsidR="001B45D3">
        <w:rPr>
          <w:rFonts w:ascii="Bookman Old Style" w:eastAsia="Times New Roman" w:hAnsi="Bookman Old Style" w:cs="Times New Roman"/>
          <w:sz w:val="24"/>
          <w:szCs w:val="24"/>
          <w:lang w:val="es-ES" w:eastAsia="es-ES"/>
        </w:rPr>
        <w:t xml:space="preserve"> y D</w:t>
      </w:r>
      <w:r w:rsidR="00476AF8">
        <w:rPr>
          <w:rFonts w:ascii="Bookman Old Style" w:eastAsia="Times New Roman" w:hAnsi="Bookman Old Style" w:cs="Times New Roman"/>
          <w:sz w:val="24"/>
          <w:szCs w:val="24"/>
          <w:lang w:val="es-ES" w:eastAsia="es-ES"/>
        </w:rPr>
        <w:t>UE</w:t>
      </w:r>
      <w:r w:rsidR="001B45D3">
        <w:rPr>
          <w:rFonts w:ascii="Bookman Old Style" w:eastAsia="Times New Roman" w:hAnsi="Bookman Old Style" w:cs="Times New Roman"/>
          <w:sz w:val="24"/>
          <w:szCs w:val="24"/>
          <w:lang w:val="es-ES" w:eastAsia="es-ES"/>
        </w:rPr>
        <w:t xml:space="preserve">, definir en el contrato de conexión un valor inferior al máximo </w:t>
      </w:r>
      <w:r w:rsidR="00402703">
        <w:rPr>
          <w:rFonts w:ascii="Bookman Old Style" w:eastAsia="Times New Roman" w:hAnsi="Bookman Old Style" w:cs="Times New Roman"/>
          <w:sz w:val="24"/>
          <w:szCs w:val="24"/>
          <w:lang w:val="es-ES" w:eastAsia="es-ES"/>
        </w:rPr>
        <w:t xml:space="preserve">aquí </w:t>
      </w:r>
      <w:r w:rsidR="001B45D3">
        <w:rPr>
          <w:rFonts w:ascii="Bookman Old Style" w:eastAsia="Times New Roman" w:hAnsi="Bookman Old Style" w:cs="Times New Roman"/>
          <w:sz w:val="24"/>
          <w:szCs w:val="24"/>
          <w:lang w:val="es-ES" w:eastAsia="es-ES"/>
        </w:rPr>
        <w:t>establecido</w:t>
      </w:r>
      <w:r w:rsidR="00D53D51">
        <w:rPr>
          <w:rFonts w:ascii="Bookman Old Style" w:eastAsia="Times New Roman" w:hAnsi="Bookman Old Style" w:cs="Times New Roman"/>
          <w:sz w:val="24"/>
          <w:szCs w:val="24"/>
          <w:lang w:val="es-ES" w:eastAsia="es-ES"/>
        </w:rPr>
        <w:t xml:space="preserve">. </w:t>
      </w:r>
    </w:p>
    <w:p w14:paraId="439C4038" w14:textId="77777777" w:rsidR="001B45D3" w:rsidRDefault="001B45D3" w:rsidP="00E44D38">
      <w:pPr>
        <w:spacing w:after="0" w:line="240" w:lineRule="auto"/>
        <w:ind w:right="-142"/>
        <w:jc w:val="both"/>
        <w:rPr>
          <w:rFonts w:ascii="Bookman Old Style" w:eastAsia="Times New Roman" w:hAnsi="Bookman Old Style" w:cs="Times New Roman"/>
          <w:sz w:val="24"/>
          <w:szCs w:val="24"/>
          <w:lang w:val="es-ES" w:eastAsia="es-ES"/>
        </w:rPr>
      </w:pPr>
    </w:p>
    <w:p w14:paraId="1D7652AB" w14:textId="4A522821" w:rsidR="00752996" w:rsidRDefault="00BC01B1" w:rsidP="00E44D38">
      <w:pPr>
        <w:spacing w:after="0" w:line="240" w:lineRule="auto"/>
        <w:ind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Igualmente, debe resaltarse </w:t>
      </w:r>
      <w:r w:rsidR="004935F6">
        <w:rPr>
          <w:rFonts w:ascii="Bookman Old Style" w:eastAsia="Times New Roman" w:hAnsi="Bookman Old Style" w:cs="Times New Roman"/>
          <w:sz w:val="24"/>
          <w:szCs w:val="24"/>
          <w:lang w:val="es-ES" w:eastAsia="es-ES"/>
        </w:rPr>
        <w:t xml:space="preserve">que </w:t>
      </w:r>
      <w:r w:rsidR="00E85D47">
        <w:rPr>
          <w:rFonts w:ascii="Bookman Old Style" w:eastAsia="Times New Roman" w:hAnsi="Bookman Old Style" w:cs="Times New Roman"/>
          <w:sz w:val="24"/>
          <w:szCs w:val="24"/>
          <w:lang w:val="es-ES" w:eastAsia="es-ES"/>
        </w:rPr>
        <w:t xml:space="preserve">el </w:t>
      </w:r>
      <w:r w:rsidR="00037125">
        <w:rPr>
          <w:rFonts w:ascii="Bookman Old Style" w:eastAsia="Times New Roman" w:hAnsi="Bookman Old Style" w:cs="Times New Roman"/>
          <w:sz w:val="24"/>
          <w:szCs w:val="24"/>
          <w:lang w:val="es-ES" w:eastAsia="es-ES"/>
        </w:rPr>
        <w:t>E</w:t>
      </w:r>
      <w:r w:rsidR="00E85D47">
        <w:rPr>
          <w:rFonts w:ascii="Bookman Old Style" w:eastAsia="Times New Roman" w:hAnsi="Bookman Old Style" w:cs="Times New Roman"/>
          <w:sz w:val="24"/>
          <w:szCs w:val="24"/>
          <w:lang w:val="es-ES" w:eastAsia="es-ES"/>
        </w:rPr>
        <w:t xml:space="preserve">studio de </w:t>
      </w:r>
      <w:r w:rsidR="00037125">
        <w:rPr>
          <w:rFonts w:ascii="Bookman Old Style" w:eastAsia="Times New Roman" w:hAnsi="Bookman Old Style" w:cs="Times New Roman"/>
          <w:sz w:val="24"/>
          <w:szCs w:val="24"/>
          <w:lang w:val="es-ES" w:eastAsia="es-ES"/>
        </w:rPr>
        <w:t>C</w:t>
      </w:r>
      <w:r w:rsidR="00E85D47">
        <w:rPr>
          <w:rFonts w:ascii="Bookman Old Style" w:eastAsia="Times New Roman" w:hAnsi="Bookman Old Style" w:cs="Times New Roman"/>
          <w:sz w:val="24"/>
          <w:szCs w:val="24"/>
          <w:lang w:val="es-ES" w:eastAsia="es-ES"/>
        </w:rPr>
        <w:t>onexión</w:t>
      </w:r>
      <w:r w:rsidR="0024082F">
        <w:rPr>
          <w:rFonts w:ascii="Bookman Old Style" w:eastAsia="Times New Roman" w:hAnsi="Bookman Old Style" w:cs="Times New Roman"/>
          <w:sz w:val="24"/>
          <w:szCs w:val="24"/>
          <w:lang w:val="es-ES" w:eastAsia="es-ES"/>
        </w:rPr>
        <w:t xml:space="preserve"> que presentó </w:t>
      </w:r>
      <w:r w:rsidR="00037125">
        <w:rPr>
          <w:rFonts w:ascii="Bookman Old Style" w:eastAsia="Times New Roman" w:hAnsi="Bookman Old Style" w:cs="Times New Roman"/>
          <w:sz w:val="24"/>
          <w:szCs w:val="24"/>
          <w:lang w:val="es-ES" w:eastAsia="es-ES"/>
        </w:rPr>
        <w:t>DUE</w:t>
      </w:r>
      <w:r w:rsidR="0024082F">
        <w:rPr>
          <w:rFonts w:ascii="Bookman Old Style" w:eastAsia="Times New Roman" w:hAnsi="Bookman Old Style" w:cs="Times New Roman"/>
          <w:sz w:val="24"/>
          <w:szCs w:val="24"/>
          <w:lang w:val="es-ES" w:eastAsia="es-ES"/>
        </w:rPr>
        <w:t xml:space="preserve"> indicando la capacidad máxima de inyección al sistema</w:t>
      </w:r>
      <w:r w:rsidR="00501B11">
        <w:rPr>
          <w:rFonts w:ascii="Bookman Old Style" w:eastAsia="Times New Roman" w:hAnsi="Bookman Old Style" w:cs="Times New Roman"/>
          <w:sz w:val="24"/>
          <w:szCs w:val="24"/>
          <w:lang w:val="es-ES" w:eastAsia="es-ES"/>
        </w:rPr>
        <w:t>,</w:t>
      </w:r>
      <w:r w:rsidR="004935F6">
        <w:rPr>
          <w:rFonts w:ascii="Bookman Old Style" w:eastAsia="Times New Roman" w:hAnsi="Bookman Old Style" w:cs="Times New Roman"/>
          <w:sz w:val="24"/>
          <w:szCs w:val="24"/>
          <w:lang w:val="es-ES" w:eastAsia="es-ES"/>
        </w:rPr>
        <w:t xml:space="preserve"> </w:t>
      </w:r>
      <w:r w:rsidR="00F502C1">
        <w:rPr>
          <w:rFonts w:ascii="Bookman Old Style" w:eastAsia="Times New Roman" w:hAnsi="Bookman Old Style" w:cs="Times New Roman"/>
          <w:sz w:val="24"/>
          <w:szCs w:val="24"/>
          <w:lang w:val="es-ES" w:eastAsia="es-ES"/>
        </w:rPr>
        <w:t>fue conocido por G</w:t>
      </w:r>
      <w:r w:rsidR="00037125">
        <w:rPr>
          <w:rFonts w:ascii="Bookman Old Style" w:eastAsia="Times New Roman" w:hAnsi="Bookman Old Style" w:cs="Times New Roman"/>
          <w:sz w:val="24"/>
          <w:szCs w:val="24"/>
          <w:lang w:val="es-ES" w:eastAsia="es-ES"/>
        </w:rPr>
        <w:t>ENSA</w:t>
      </w:r>
      <w:r w:rsidR="00F502C1">
        <w:rPr>
          <w:rFonts w:ascii="Bookman Old Style" w:eastAsia="Times New Roman" w:hAnsi="Bookman Old Style" w:cs="Times New Roman"/>
          <w:sz w:val="24"/>
          <w:szCs w:val="24"/>
          <w:lang w:val="es-ES" w:eastAsia="es-ES"/>
        </w:rPr>
        <w:t xml:space="preserve"> y por esta Comisión</w:t>
      </w:r>
      <w:r w:rsidR="00EF70BF" w:rsidRPr="00BC01B1">
        <w:rPr>
          <w:rFonts w:ascii="Bookman Old Style" w:eastAsia="Times New Roman" w:hAnsi="Bookman Old Style" w:cs="Times New Roman"/>
          <w:sz w:val="24"/>
          <w:szCs w:val="24"/>
          <w:lang w:val="es-ES" w:eastAsia="es-ES"/>
        </w:rPr>
        <w:t>,</w:t>
      </w:r>
      <w:r w:rsidR="00F502C1" w:rsidRPr="00BC01B1">
        <w:rPr>
          <w:rFonts w:ascii="Bookman Old Style" w:eastAsia="Times New Roman" w:hAnsi="Bookman Old Style" w:cs="Times New Roman"/>
          <w:sz w:val="24"/>
          <w:szCs w:val="24"/>
          <w:lang w:val="es-ES" w:eastAsia="es-ES"/>
        </w:rPr>
        <w:t xml:space="preserve"> en el marco del trámite de la actuación administrativa</w:t>
      </w:r>
      <w:r w:rsidR="004002F3">
        <w:rPr>
          <w:rFonts w:ascii="Bookman Old Style" w:eastAsia="Times New Roman" w:hAnsi="Bookman Old Style" w:cs="Times New Roman"/>
          <w:sz w:val="24"/>
          <w:szCs w:val="24"/>
          <w:lang w:val="es-ES" w:eastAsia="es-ES"/>
        </w:rPr>
        <w:t>.</w:t>
      </w:r>
      <w:r w:rsidR="00EF70BF" w:rsidRPr="00BC01B1">
        <w:rPr>
          <w:rFonts w:ascii="Bookman Old Style" w:eastAsia="Times New Roman" w:hAnsi="Bookman Old Style" w:cs="Times New Roman"/>
          <w:sz w:val="24"/>
          <w:szCs w:val="24"/>
          <w:lang w:val="es-ES" w:eastAsia="es-ES"/>
        </w:rPr>
        <w:t xml:space="preserve"> </w:t>
      </w:r>
    </w:p>
    <w:p w14:paraId="34466F16" w14:textId="129A5BCE" w:rsidR="00752996" w:rsidRDefault="00752996" w:rsidP="00E44D38">
      <w:pPr>
        <w:spacing w:after="0" w:line="240" w:lineRule="auto"/>
        <w:ind w:right="-142"/>
        <w:jc w:val="both"/>
        <w:rPr>
          <w:rFonts w:ascii="Bookman Old Style" w:eastAsia="Times New Roman" w:hAnsi="Bookman Old Style" w:cs="Times New Roman"/>
          <w:sz w:val="24"/>
          <w:szCs w:val="24"/>
          <w:lang w:val="es-ES" w:eastAsia="es-ES"/>
        </w:rPr>
      </w:pPr>
    </w:p>
    <w:p w14:paraId="7BBCEDEF" w14:textId="699EDF44" w:rsidR="00A77C03" w:rsidRDefault="004002F3">
      <w:pPr>
        <w:spacing w:after="0" w:line="240" w:lineRule="auto"/>
        <w:ind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Sobre el particular, </w:t>
      </w:r>
      <w:r w:rsidR="00BC01B1" w:rsidRPr="00BC01B1">
        <w:rPr>
          <w:rFonts w:ascii="Bookman Old Style" w:eastAsia="Times New Roman" w:hAnsi="Bookman Old Style" w:cs="Times New Roman"/>
          <w:sz w:val="24"/>
          <w:szCs w:val="24"/>
          <w:lang w:val="es-ES" w:eastAsia="es-ES"/>
        </w:rPr>
        <w:t>mediante</w:t>
      </w:r>
      <w:r w:rsidR="00BC01B1">
        <w:rPr>
          <w:rFonts w:ascii="Bookman Old Style" w:eastAsia="Times New Roman" w:hAnsi="Bookman Old Style" w:cs="Times New Roman"/>
          <w:sz w:val="24"/>
          <w:szCs w:val="24"/>
          <w:lang w:val="es-ES" w:eastAsia="es-ES"/>
        </w:rPr>
        <w:t xml:space="preserve"> radicado </w:t>
      </w:r>
      <w:r w:rsidR="00BC01B1" w:rsidRPr="000B140F">
        <w:rPr>
          <w:rFonts w:ascii="Bookman Old Style" w:eastAsia="Times New Roman" w:hAnsi="Bookman Old Style" w:cs="Times New Roman"/>
          <w:sz w:val="24"/>
          <w:szCs w:val="24"/>
          <w:lang w:val="es-ES" w:eastAsia="es-ES"/>
        </w:rPr>
        <w:t>CREG E-</w:t>
      </w:r>
      <w:r w:rsidR="000B140F" w:rsidRPr="000B140F">
        <w:rPr>
          <w:rFonts w:ascii="Bookman Old Style" w:eastAsia="Times New Roman" w:hAnsi="Bookman Old Style" w:cs="Times New Roman"/>
          <w:sz w:val="24"/>
          <w:szCs w:val="24"/>
          <w:lang w:val="es-ES" w:eastAsia="es-ES"/>
        </w:rPr>
        <w:t>2021</w:t>
      </w:r>
      <w:r w:rsidR="000B140F">
        <w:rPr>
          <w:rFonts w:ascii="Bookman Old Style" w:eastAsia="Times New Roman" w:hAnsi="Bookman Old Style" w:cs="Times New Roman"/>
          <w:sz w:val="24"/>
          <w:szCs w:val="24"/>
          <w:lang w:val="es-ES" w:eastAsia="es-ES"/>
        </w:rPr>
        <w:t>-012146</w:t>
      </w:r>
      <w:r w:rsidR="00345DCA">
        <w:rPr>
          <w:rFonts w:ascii="Bookman Old Style" w:eastAsia="Times New Roman" w:hAnsi="Bookman Old Style" w:cs="Times New Roman"/>
          <w:sz w:val="24"/>
          <w:szCs w:val="24"/>
          <w:lang w:val="es-ES" w:eastAsia="es-ES"/>
        </w:rPr>
        <w:t>,</w:t>
      </w:r>
      <w:r w:rsidR="000B140F">
        <w:rPr>
          <w:rFonts w:ascii="Bookman Old Style" w:eastAsia="Times New Roman" w:hAnsi="Bookman Old Style" w:cs="Times New Roman"/>
          <w:sz w:val="24"/>
          <w:szCs w:val="24"/>
          <w:lang w:val="es-ES" w:eastAsia="es-ES"/>
        </w:rPr>
        <w:t xml:space="preserve"> </w:t>
      </w:r>
      <w:r w:rsidR="00037125">
        <w:rPr>
          <w:rFonts w:ascii="Bookman Old Style" w:eastAsia="Times New Roman" w:hAnsi="Bookman Old Style" w:cs="Times New Roman"/>
          <w:sz w:val="24"/>
          <w:szCs w:val="24"/>
          <w:lang w:val="es-ES" w:eastAsia="es-ES"/>
        </w:rPr>
        <w:t xml:space="preserve">GENSA </w:t>
      </w:r>
      <w:r w:rsidR="00EF70BF">
        <w:rPr>
          <w:rFonts w:ascii="Bookman Old Style" w:eastAsia="Times New Roman" w:hAnsi="Bookman Old Style" w:cs="Times New Roman"/>
          <w:sz w:val="24"/>
          <w:szCs w:val="24"/>
          <w:lang w:val="es-ES" w:eastAsia="es-ES"/>
        </w:rPr>
        <w:t>presentó concepto técnico de viabilidad de la conexión in</w:t>
      </w:r>
      <w:r w:rsidR="00E85D47">
        <w:rPr>
          <w:rFonts w:ascii="Bookman Old Style" w:eastAsia="Times New Roman" w:hAnsi="Bookman Old Style" w:cs="Times New Roman"/>
          <w:sz w:val="24"/>
          <w:szCs w:val="24"/>
          <w:lang w:val="es-ES" w:eastAsia="es-ES"/>
        </w:rPr>
        <w:t xml:space="preserve">dicando que </w:t>
      </w:r>
      <w:r>
        <w:rPr>
          <w:rFonts w:ascii="Bookman Old Style" w:eastAsia="Times New Roman" w:hAnsi="Bookman Old Style" w:cs="Times New Roman"/>
          <w:sz w:val="24"/>
          <w:szCs w:val="24"/>
          <w:lang w:val="es-ES" w:eastAsia="es-ES"/>
        </w:rPr>
        <w:t>“</w:t>
      </w:r>
      <w:r w:rsidR="00E85D47" w:rsidRPr="00E44D38">
        <w:rPr>
          <w:rFonts w:ascii="Bookman Old Style" w:eastAsia="Times New Roman" w:hAnsi="Bookman Old Style" w:cs="Times New Roman"/>
          <w:i/>
          <w:iCs/>
          <w:sz w:val="24"/>
          <w:szCs w:val="24"/>
          <w:lang w:val="es-ES" w:eastAsia="es-ES"/>
        </w:rPr>
        <w:t>la conexión del proyecto resulta técnicamente viable</w:t>
      </w:r>
      <w:r>
        <w:rPr>
          <w:rFonts w:ascii="Bookman Old Style" w:eastAsia="Times New Roman" w:hAnsi="Bookman Old Style" w:cs="Times New Roman"/>
          <w:sz w:val="24"/>
          <w:szCs w:val="24"/>
          <w:lang w:val="es-ES" w:eastAsia="es-ES"/>
        </w:rPr>
        <w:t>”</w:t>
      </w:r>
      <w:r w:rsidR="00A77C03">
        <w:rPr>
          <w:rFonts w:ascii="Bookman Old Style" w:eastAsia="Times New Roman" w:hAnsi="Bookman Old Style" w:cs="Times New Roman"/>
          <w:sz w:val="24"/>
          <w:szCs w:val="24"/>
          <w:lang w:val="es-ES" w:eastAsia="es-ES"/>
        </w:rPr>
        <w:t xml:space="preserve"> y señalando que </w:t>
      </w:r>
      <w:r w:rsidR="000062EA">
        <w:rPr>
          <w:rFonts w:ascii="Bookman Old Style" w:eastAsia="Times New Roman" w:hAnsi="Bookman Old Style" w:cs="Times New Roman"/>
          <w:sz w:val="24"/>
          <w:szCs w:val="24"/>
          <w:lang w:val="es-ES" w:eastAsia="es-ES"/>
        </w:rPr>
        <w:t>“</w:t>
      </w:r>
      <w:r w:rsidR="00A77C03" w:rsidRPr="00E44D38">
        <w:rPr>
          <w:rFonts w:ascii="Bookman Old Style" w:eastAsia="Times New Roman" w:hAnsi="Bookman Old Style" w:cs="Times New Roman"/>
          <w:i/>
          <w:iCs/>
          <w:sz w:val="24"/>
          <w:szCs w:val="24"/>
          <w:lang w:val="es-ES" w:eastAsia="es-ES"/>
        </w:rPr>
        <w:t>algunos asuntos relacionados con el proyecto Matakavi deberían ser validados en etapas subsecuentes del proyecto</w:t>
      </w:r>
      <w:r w:rsidR="000062EA">
        <w:rPr>
          <w:rFonts w:ascii="Bookman Old Style" w:eastAsia="Times New Roman" w:hAnsi="Bookman Old Style" w:cs="Times New Roman"/>
          <w:sz w:val="24"/>
          <w:szCs w:val="24"/>
          <w:lang w:val="es-ES" w:eastAsia="es-ES"/>
        </w:rPr>
        <w:t>”</w:t>
      </w:r>
      <w:r w:rsidR="00345DCA">
        <w:rPr>
          <w:rFonts w:ascii="Bookman Old Style" w:eastAsia="Times New Roman" w:hAnsi="Bookman Old Style" w:cs="Times New Roman"/>
          <w:sz w:val="24"/>
          <w:szCs w:val="24"/>
          <w:lang w:val="es-ES" w:eastAsia="es-ES"/>
        </w:rPr>
        <w:t>,</w:t>
      </w:r>
      <w:r>
        <w:rPr>
          <w:rFonts w:ascii="Bookman Old Style" w:eastAsia="Times New Roman" w:hAnsi="Bookman Old Style" w:cs="Times New Roman"/>
          <w:sz w:val="24"/>
          <w:szCs w:val="24"/>
          <w:lang w:val="es-ES" w:eastAsia="es-ES"/>
        </w:rPr>
        <w:t xml:space="preserve"> sin realizar</w:t>
      </w:r>
      <w:r w:rsidR="00A77C03">
        <w:rPr>
          <w:rFonts w:ascii="Bookman Old Style" w:eastAsia="Times New Roman" w:hAnsi="Bookman Old Style" w:cs="Times New Roman"/>
          <w:sz w:val="24"/>
          <w:szCs w:val="24"/>
          <w:lang w:val="es-ES" w:eastAsia="es-ES"/>
        </w:rPr>
        <w:t>se</w:t>
      </w:r>
      <w:r>
        <w:rPr>
          <w:rFonts w:ascii="Bookman Old Style" w:eastAsia="Times New Roman" w:hAnsi="Bookman Old Style" w:cs="Times New Roman"/>
          <w:sz w:val="24"/>
          <w:szCs w:val="24"/>
          <w:lang w:val="es-ES" w:eastAsia="es-ES"/>
        </w:rPr>
        <w:t xml:space="preserve"> </w:t>
      </w:r>
      <w:r w:rsidR="00C21C8A">
        <w:rPr>
          <w:rFonts w:ascii="Bookman Old Style" w:eastAsia="Times New Roman" w:hAnsi="Bookman Old Style" w:cs="Times New Roman"/>
          <w:sz w:val="24"/>
          <w:szCs w:val="24"/>
          <w:lang w:val="es-ES" w:eastAsia="es-ES"/>
        </w:rPr>
        <w:t>alguna</w:t>
      </w:r>
      <w:r>
        <w:rPr>
          <w:rFonts w:ascii="Bookman Old Style" w:eastAsia="Times New Roman" w:hAnsi="Bookman Old Style" w:cs="Times New Roman"/>
          <w:sz w:val="24"/>
          <w:szCs w:val="24"/>
          <w:lang w:val="es-ES" w:eastAsia="es-ES"/>
        </w:rPr>
        <w:t xml:space="preserve"> distinción </w:t>
      </w:r>
      <w:r w:rsidR="00A77C03">
        <w:rPr>
          <w:rFonts w:ascii="Bookman Old Style" w:eastAsia="Times New Roman" w:hAnsi="Bookman Old Style" w:cs="Times New Roman"/>
          <w:sz w:val="24"/>
          <w:szCs w:val="24"/>
          <w:lang w:val="es-ES" w:eastAsia="es-ES"/>
        </w:rPr>
        <w:t>específica</w:t>
      </w:r>
      <w:r>
        <w:rPr>
          <w:rFonts w:ascii="Bookman Old Style" w:eastAsia="Times New Roman" w:hAnsi="Bookman Old Style" w:cs="Times New Roman"/>
          <w:sz w:val="24"/>
          <w:szCs w:val="24"/>
          <w:lang w:val="es-ES" w:eastAsia="es-ES"/>
        </w:rPr>
        <w:t xml:space="preserve"> sobre la capacidad de inyección al sistema</w:t>
      </w:r>
      <w:r w:rsidR="00BC01B1">
        <w:rPr>
          <w:rFonts w:ascii="Bookman Old Style" w:eastAsia="Times New Roman" w:hAnsi="Bookman Old Style" w:cs="Times New Roman"/>
          <w:sz w:val="24"/>
          <w:szCs w:val="24"/>
          <w:lang w:val="es-ES" w:eastAsia="es-ES"/>
        </w:rPr>
        <w:t xml:space="preserve">. </w:t>
      </w:r>
    </w:p>
    <w:p w14:paraId="0EE81A5C" w14:textId="77777777" w:rsidR="00345DCA" w:rsidRDefault="00345DCA" w:rsidP="00E44D38">
      <w:pPr>
        <w:spacing w:after="0" w:line="240" w:lineRule="auto"/>
        <w:ind w:right="-142"/>
        <w:jc w:val="both"/>
        <w:rPr>
          <w:rFonts w:ascii="Bookman Old Style" w:eastAsia="Times New Roman" w:hAnsi="Bookman Old Style" w:cs="Times New Roman"/>
          <w:sz w:val="24"/>
          <w:szCs w:val="24"/>
          <w:lang w:val="es-ES" w:eastAsia="es-ES"/>
        </w:rPr>
      </w:pPr>
    </w:p>
    <w:p w14:paraId="10AA9DF9" w14:textId="4CDA4AB0" w:rsidR="00194533" w:rsidRDefault="0094291C" w:rsidP="00E44D38">
      <w:pPr>
        <w:spacing w:after="0" w:line="240" w:lineRule="auto"/>
        <w:ind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lastRenderedPageBreak/>
        <w:t>Tanto el estudio de conexión</w:t>
      </w:r>
      <w:r w:rsidR="00345DCA">
        <w:rPr>
          <w:rFonts w:ascii="Bookman Old Style" w:eastAsia="Times New Roman" w:hAnsi="Bookman Old Style" w:cs="Times New Roman"/>
          <w:sz w:val="24"/>
          <w:szCs w:val="24"/>
          <w:lang w:val="es-ES" w:eastAsia="es-ES"/>
        </w:rPr>
        <w:t>,</w:t>
      </w:r>
      <w:r>
        <w:rPr>
          <w:rFonts w:ascii="Bookman Old Style" w:eastAsia="Times New Roman" w:hAnsi="Bookman Old Style" w:cs="Times New Roman"/>
          <w:sz w:val="24"/>
          <w:szCs w:val="24"/>
          <w:lang w:val="es-ES" w:eastAsia="es-ES"/>
        </w:rPr>
        <w:t xml:space="preserve"> como el concepto técnico de </w:t>
      </w:r>
      <w:r w:rsidR="00C509B6">
        <w:rPr>
          <w:rFonts w:ascii="Bookman Old Style" w:eastAsia="Times New Roman" w:hAnsi="Bookman Old Style" w:cs="Times New Roman"/>
          <w:sz w:val="24"/>
          <w:szCs w:val="24"/>
          <w:lang w:val="es-ES" w:eastAsia="es-ES"/>
        </w:rPr>
        <w:t>viabilidad</w:t>
      </w:r>
      <w:r w:rsidR="00F71603">
        <w:rPr>
          <w:rFonts w:ascii="Bookman Old Style" w:eastAsia="Times New Roman" w:hAnsi="Bookman Old Style" w:cs="Times New Roman"/>
          <w:sz w:val="24"/>
          <w:szCs w:val="24"/>
          <w:lang w:val="es-ES" w:eastAsia="es-ES"/>
        </w:rPr>
        <w:t xml:space="preserve"> de la conexión</w:t>
      </w:r>
      <w:r w:rsidR="00345DCA">
        <w:rPr>
          <w:rFonts w:ascii="Bookman Old Style" w:eastAsia="Times New Roman" w:hAnsi="Bookman Old Style" w:cs="Times New Roman"/>
          <w:sz w:val="24"/>
          <w:szCs w:val="24"/>
          <w:lang w:val="es-ES" w:eastAsia="es-ES"/>
        </w:rPr>
        <w:t>,</w:t>
      </w:r>
      <w:r w:rsidR="00F71603">
        <w:rPr>
          <w:rFonts w:ascii="Bookman Old Style" w:eastAsia="Times New Roman" w:hAnsi="Bookman Old Style" w:cs="Times New Roman"/>
          <w:sz w:val="24"/>
          <w:szCs w:val="24"/>
          <w:lang w:val="es-ES" w:eastAsia="es-ES"/>
        </w:rPr>
        <w:t xml:space="preserve"> forman parte </w:t>
      </w:r>
      <w:r w:rsidR="004935F6">
        <w:rPr>
          <w:rFonts w:ascii="Bookman Old Style" w:eastAsia="Times New Roman" w:hAnsi="Bookman Old Style" w:cs="Times New Roman"/>
          <w:sz w:val="24"/>
          <w:szCs w:val="24"/>
          <w:lang w:val="es-ES" w:eastAsia="es-ES"/>
        </w:rPr>
        <w:t>integral del</w:t>
      </w:r>
      <w:r w:rsidR="00BC01B1">
        <w:rPr>
          <w:rFonts w:ascii="Bookman Old Style" w:eastAsia="Times New Roman" w:hAnsi="Bookman Old Style" w:cs="Times New Roman"/>
          <w:sz w:val="24"/>
          <w:szCs w:val="24"/>
          <w:lang w:val="es-ES" w:eastAsia="es-ES"/>
        </w:rPr>
        <w:t xml:space="preserve"> expediente </w:t>
      </w:r>
      <w:r w:rsidR="00BC01B1" w:rsidRPr="000819CB">
        <w:rPr>
          <w:rFonts w:ascii="Bookman Old Style" w:eastAsia="Times New Roman" w:hAnsi="Bookman Old Style" w:cs="Times New Roman"/>
          <w:sz w:val="24"/>
          <w:szCs w:val="24"/>
          <w:lang w:val="es-ES" w:eastAsia="es-ES"/>
        </w:rPr>
        <w:t>administrativo</w:t>
      </w:r>
      <w:r w:rsidR="004935F6" w:rsidRPr="000819CB">
        <w:rPr>
          <w:rFonts w:ascii="Bookman Old Style" w:eastAsia="Times New Roman" w:hAnsi="Bookman Old Style" w:cs="Times New Roman"/>
          <w:sz w:val="24"/>
          <w:szCs w:val="24"/>
          <w:lang w:val="es-ES" w:eastAsia="es-ES"/>
        </w:rPr>
        <w:t xml:space="preserve"> </w:t>
      </w:r>
      <w:r w:rsidR="00BC01B1" w:rsidRPr="000819CB">
        <w:rPr>
          <w:rFonts w:ascii="Bookman Old Style" w:eastAsia="Times New Roman" w:hAnsi="Bookman Old Style" w:cs="Times New Roman"/>
          <w:sz w:val="24"/>
          <w:szCs w:val="24"/>
          <w:lang w:val="es-ES" w:eastAsia="es-ES"/>
        </w:rPr>
        <w:t>y</w:t>
      </w:r>
      <w:r w:rsidR="00BC01B1">
        <w:rPr>
          <w:rFonts w:ascii="Bookman Old Style" w:eastAsia="Times New Roman" w:hAnsi="Bookman Old Style" w:cs="Times New Roman"/>
          <w:sz w:val="24"/>
          <w:szCs w:val="24"/>
          <w:lang w:val="es-ES" w:eastAsia="es-ES"/>
        </w:rPr>
        <w:t xml:space="preserve"> </w:t>
      </w:r>
      <w:r w:rsidR="000A32B2">
        <w:rPr>
          <w:rFonts w:ascii="Bookman Old Style" w:eastAsia="Times New Roman" w:hAnsi="Bookman Old Style" w:cs="Times New Roman"/>
          <w:sz w:val="24"/>
          <w:szCs w:val="24"/>
          <w:lang w:val="es-ES" w:eastAsia="es-ES"/>
        </w:rPr>
        <w:t xml:space="preserve">de las motivaciones para </w:t>
      </w:r>
      <w:r w:rsidR="001C75A9">
        <w:rPr>
          <w:rFonts w:ascii="Bookman Old Style" w:eastAsia="Times New Roman" w:hAnsi="Bookman Old Style" w:cs="Times New Roman"/>
          <w:sz w:val="24"/>
          <w:szCs w:val="24"/>
          <w:lang w:val="es-ES" w:eastAsia="es-ES"/>
        </w:rPr>
        <w:t>la expedición d</w:t>
      </w:r>
      <w:r w:rsidR="000A32B2">
        <w:rPr>
          <w:rFonts w:ascii="Bookman Old Style" w:eastAsia="Times New Roman" w:hAnsi="Bookman Old Style" w:cs="Times New Roman"/>
          <w:sz w:val="24"/>
          <w:szCs w:val="24"/>
          <w:lang w:val="es-ES" w:eastAsia="es-ES"/>
        </w:rPr>
        <w:t xml:space="preserve">el acto administrativo. </w:t>
      </w:r>
    </w:p>
    <w:p w14:paraId="081CE60D" w14:textId="77777777" w:rsidR="00194533" w:rsidRDefault="00194533" w:rsidP="00BC01B1">
      <w:pPr>
        <w:spacing w:after="0" w:line="240" w:lineRule="auto"/>
        <w:ind w:left="142" w:right="-142"/>
        <w:jc w:val="both"/>
        <w:rPr>
          <w:rFonts w:ascii="Bookman Old Style" w:eastAsia="Times New Roman" w:hAnsi="Bookman Old Style" w:cs="Times New Roman"/>
          <w:sz w:val="24"/>
          <w:szCs w:val="24"/>
          <w:lang w:val="es-ES" w:eastAsia="es-ES"/>
        </w:rPr>
      </w:pPr>
    </w:p>
    <w:p w14:paraId="5B6D71CF" w14:textId="14B0A773" w:rsidR="00F64306" w:rsidRPr="00E44D38" w:rsidRDefault="00E7238C" w:rsidP="00E44D38">
      <w:pPr>
        <w:spacing w:after="0" w:line="240" w:lineRule="auto"/>
        <w:ind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Por lo expuesto,</w:t>
      </w:r>
      <w:r w:rsidR="00BC01B1">
        <w:rPr>
          <w:rFonts w:ascii="Bookman Old Style" w:eastAsia="Times New Roman" w:hAnsi="Bookman Old Style" w:cs="Times New Roman"/>
          <w:sz w:val="24"/>
          <w:szCs w:val="24"/>
          <w:lang w:val="es-ES" w:eastAsia="es-ES"/>
        </w:rPr>
        <w:t xml:space="preserve"> </w:t>
      </w:r>
      <w:r w:rsidR="004935F6">
        <w:rPr>
          <w:rFonts w:ascii="Bookman Old Style" w:eastAsia="Times New Roman" w:hAnsi="Bookman Old Style" w:cs="Times New Roman"/>
          <w:sz w:val="24"/>
          <w:szCs w:val="24"/>
          <w:lang w:val="es-ES" w:eastAsia="es-ES"/>
        </w:rPr>
        <w:t xml:space="preserve">no procede la </w:t>
      </w:r>
      <w:r w:rsidR="00544E8F">
        <w:rPr>
          <w:rFonts w:ascii="Bookman Old Style" w:eastAsia="Times New Roman" w:hAnsi="Bookman Old Style" w:cs="Times New Roman"/>
          <w:sz w:val="24"/>
          <w:szCs w:val="24"/>
          <w:lang w:val="es-ES" w:eastAsia="es-ES"/>
        </w:rPr>
        <w:t xml:space="preserve">solicitud </w:t>
      </w:r>
      <w:r w:rsidR="00234E03">
        <w:rPr>
          <w:rFonts w:ascii="Bookman Old Style" w:eastAsia="Times New Roman" w:hAnsi="Bookman Old Style" w:cs="Times New Roman"/>
          <w:sz w:val="24"/>
          <w:szCs w:val="24"/>
          <w:lang w:val="es-ES" w:eastAsia="es-ES"/>
        </w:rPr>
        <w:t xml:space="preserve">de </w:t>
      </w:r>
      <w:r w:rsidR="001B45D3">
        <w:rPr>
          <w:rFonts w:ascii="Bookman Old Style" w:eastAsia="Times New Roman" w:hAnsi="Bookman Old Style" w:cs="Times New Roman"/>
          <w:sz w:val="24"/>
          <w:szCs w:val="24"/>
          <w:lang w:val="es-ES" w:eastAsia="es-ES"/>
        </w:rPr>
        <w:t>modificación de la</w:t>
      </w:r>
      <w:r w:rsidR="00613939">
        <w:rPr>
          <w:rFonts w:ascii="Bookman Old Style" w:eastAsia="Times New Roman" w:hAnsi="Bookman Old Style" w:cs="Times New Roman"/>
          <w:sz w:val="24"/>
          <w:szCs w:val="24"/>
          <w:lang w:val="es-ES" w:eastAsia="es-ES"/>
        </w:rPr>
        <w:t xml:space="preserve"> </w:t>
      </w:r>
      <w:r w:rsidR="004935F6">
        <w:rPr>
          <w:rFonts w:ascii="Bookman Old Style" w:eastAsia="Times New Roman" w:hAnsi="Bookman Old Style" w:cs="Times New Roman"/>
          <w:sz w:val="24"/>
          <w:szCs w:val="24"/>
          <w:lang w:val="es-ES" w:eastAsia="es-ES"/>
        </w:rPr>
        <w:t xml:space="preserve">redacción del </w:t>
      </w:r>
      <w:r w:rsidR="006F64FF">
        <w:rPr>
          <w:rFonts w:ascii="Bookman Old Style" w:eastAsia="Times New Roman" w:hAnsi="Bookman Old Style" w:cs="Times New Roman"/>
          <w:sz w:val="24"/>
          <w:szCs w:val="24"/>
          <w:lang w:val="es-ES" w:eastAsia="es-ES"/>
        </w:rPr>
        <w:t>artículo</w:t>
      </w:r>
      <w:r w:rsidR="004935F6">
        <w:rPr>
          <w:rFonts w:ascii="Bookman Old Style" w:eastAsia="Times New Roman" w:hAnsi="Bookman Old Style" w:cs="Times New Roman"/>
          <w:sz w:val="24"/>
          <w:szCs w:val="24"/>
          <w:lang w:val="es-ES" w:eastAsia="es-ES"/>
        </w:rPr>
        <w:t xml:space="preserve"> 1 de la </w:t>
      </w:r>
      <w:r w:rsidR="00C90E6F">
        <w:rPr>
          <w:rFonts w:ascii="Bookman Old Style" w:eastAsia="Times New Roman" w:hAnsi="Bookman Old Style" w:cs="Times New Roman"/>
          <w:sz w:val="24"/>
          <w:szCs w:val="24"/>
          <w:lang w:val="es-ES" w:eastAsia="es-ES"/>
        </w:rPr>
        <w:t>R</w:t>
      </w:r>
      <w:r w:rsidR="004935F6">
        <w:rPr>
          <w:rFonts w:ascii="Bookman Old Style" w:eastAsia="Times New Roman" w:hAnsi="Bookman Old Style" w:cs="Times New Roman"/>
          <w:sz w:val="24"/>
          <w:szCs w:val="24"/>
          <w:lang w:val="es-ES" w:eastAsia="es-ES"/>
        </w:rPr>
        <w:t xml:space="preserve">esolución </w:t>
      </w:r>
      <w:r w:rsidR="00C90E6F">
        <w:rPr>
          <w:rFonts w:ascii="Bookman Old Style" w:eastAsia="Times New Roman" w:hAnsi="Bookman Old Style" w:cs="Times New Roman"/>
          <w:sz w:val="24"/>
          <w:szCs w:val="24"/>
          <w:lang w:val="es-ES" w:eastAsia="es-ES"/>
        </w:rPr>
        <w:t xml:space="preserve">CREG </w:t>
      </w:r>
      <w:r w:rsidR="004935F6">
        <w:rPr>
          <w:rFonts w:ascii="Bookman Old Style" w:eastAsia="Times New Roman" w:hAnsi="Bookman Old Style" w:cs="Times New Roman"/>
          <w:sz w:val="24"/>
          <w:szCs w:val="24"/>
          <w:lang w:val="es-ES" w:eastAsia="es-ES"/>
        </w:rPr>
        <w:t>501 26</w:t>
      </w:r>
      <w:r w:rsidR="006F64FF">
        <w:rPr>
          <w:rFonts w:ascii="Bookman Old Style" w:eastAsia="Times New Roman" w:hAnsi="Bookman Old Style" w:cs="Times New Roman"/>
          <w:sz w:val="24"/>
          <w:szCs w:val="24"/>
          <w:lang w:val="es-ES" w:eastAsia="es-ES"/>
        </w:rPr>
        <w:t>A</w:t>
      </w:r>
      <w:r w:rsidR="00E83F99">
        <w:rPr>
          <w:rFonts w:ascii="Bookman Old Style" w:eastAsia="Times New Roman" w:hAnsi="Bookman Old Style" w:cs="Times New Roman"/>
          <w:sz w:val="24"/>
          <w:szCs w:val="24"/>
          <w:lang w:val="es-ES" w:eastAsia="es-ES"/>
        </w:rPr>
        <w:t xml:space="preserve"> de 2022</w:t>
      </w:r>
      <w:r w:rsidR="00234E03">
        <w:rPr>
          <w:rFonts w:ascii="Bookman Old Style" w:eastAsia="Times New Roman" w:hAnsi="Bookman Old Style" w:cs="Times New Roman"/>
          <w:sz w:val="24"/>
          <w:szCs w:val="24"/>
          <w:lang w:val="es-ES" w:eastAsia="es-ES"/>
        </w:rPr>
        <w:t>.</w:t>
      </w:r>
      <w:r w:rsidR="00F7184F" w:rsidRPr="00F7184F">
        <w:t xml:space="preserve"> </w:t>
      </w:r>
    </w:p>
    <w:p w14:paraId="3A68727B" w14:textId="10DFC59A" w:rsidR="00CB18D9" w:rsidRDefault="00CB18D9" w:rsidP="00CB18D9">
      <w:pPr>
        <w:spacing w:after="0" w:line="240" w:lineRule="auto"/>
        <w:ind w:left="-142" w:right="-142"/>
        <w:jc w:val="both"/>
        <w:rPr>
          <w:rFonts w:ascii="Bookman Old Style" w:hAnsi="Bookman Old Style" w:cs="ArialMT"/>
          <w:i/>
          <w:color w:val="000000"/>
        </w:rPr>
      </w:pPr>
    </w:p>
    <w:p w14:paraId="73AC4C5B" w14:textId="756DAA66" w:rsidR="00EA16B8" w:rsidRPr="00035BF6" w:rsidRDefault="00486324" w:rsidP="00E44D38">
      <w:pPr>
        <w:pStyle w:val="Prrafodelista"/>
        <w:numPr>
          <w:ilvl w:val="0"/>
          <w:numId w:val="26"/>
        </w:numPr>
        <w:tabs>
          <w:tab w:val="left" w:pos="142"/>
        </w:tabs>
        <w:spacing w:after="0" w:line="240" w:lineRule="auto"/>
        <w:ind w:left="-142" w:right="-142" w:firstLine="0"/>
        <w:jc w:val="both"/>
        <w:rPr>
          <w:rFonts w:ascii="Bookman Old Style" w:hAnsi="Bookman Old Style" w:cs="ArialMT"/>
          <w:color w:val="000000"/>
          <w:sz w:val="24"/>
          <w:szCs w:val="24"/>
        </w:rPr>
      </w:pPr>
      <w:r w:rsidRPr="00035BF6">
        <w:rPr>
          <w:rFonts w:ascii="Bookman Old Style" w:hAnsi="Bookman Old Style" w:cs="ArialMT"/>
          <w:color w:val="000000"/>
          <w:sz w:val="24"/>
          <w:szCs w:val="24"/>
        </w:rPr>
        <w:t>D</w:t>
      </w:r>
      <w:r w:rsidR="00C90E6F">
        <w:rPr>
          <w:rFonts w:ascii="Bookman Old Style" w:hAnsi="Bookman Old Style" w:cs="ArialMT"/>
          <w:color w:val="000000"/>
          <w:sz w:val="24"/>
          <w:szCs w:val="24"/>
        </w:rPr>
        <w:t xml:space="preserve">UE </w:t>
      </w:r>
      <w:r w:rsidRPr="00035BF6">
        <w:rPr>
          <w:rFonts w:ascii="Bookman Old Style" w:hAnsi="Bookman Old Style" w:cs="ArialMT"/>
          <w:color w:val="000000"/>
          <w:sz w:val="24"/>
          <w:szCs w:val="24"/>
        </w:rPr>
        <w:t>solicita r</w:t>
      </w:r>
      <w:r w:rsidR="00EA16B8" w:rsidRPr="00035BF6">
        <w:rPr>
          <w:rFonts w:ascii="Bookman Old Style" w:hAnsi="Bookman Old Style" w:cs="ArialMT"/>
          <w:color w:val="000000"/>
          <w:sz w:val="24"/>
          <w:szCs w:val="24"/>
        </w:rPr>
        <w:t xml:space="preserve">eponer el segundo párrafo del </w:t>
      </w:r>
      <w:r w:rsidR="00E83F99">
        <w:rPr>
          <w:rFonts w:ascii="Bookman Old Style" w:hAnsi="Bookman Old Style" w:cs="ArialMT"/>
          <w:color w:val="000000"/>
          <w:sz w:val="24"/>
          <w:szCs w:val="24"/>
        </w:rPr>
        <w:t>a</w:t>
      </w:r>
      <w:r w:rsidR="00EA16B8" w:rsidRPr="00035BF6">
        <w:rPr>
          <w:rFonts w:ascii="Bookman Old Style" w:hAnsi="Bookman Old Style" w:cs="ArialMT"/>
          <w:color w:val="000000"/>
          <w:sz w:val="24"/>
          <w:szCs w:val="24"/>
        </w:rPr>
        <w:t xml:space="preserve">rtículo 2 de la </w:t>
      </w:r>
      <w:r w:rsidR="00E83F99">
        <w:rPr>
          <w:rFonts w:ascii="Bookman Old Style" w:hAnsi="Bookman Old Style" w:cs="ArialMT"/>
          <w:color w:val="000000"/>
          <w:sz w:val="24"/>
          <w:szCs w:val="24"/>
        </w:rPr>
        <w:t>r</w:t>
      </w:r>
      <w:r w:rsidR="00EA16B8" w:rsidRPr="00035BF6">
        <w:rPr>
          <w:rFonts w:ascii="Bookman Old Style" w:hAnsi="Bookman Old Style" w:cs="ArialMT"/>
          <w:color w:val="000000"/>
          <w:sz w:val="24"/>
          <w:szCs w:val="24"/>
        </w:rPr>
        <w:t>esolución y que sea la CREG la que en la resolución defina los aspectos técnicos del contrato de conexión</w:t>
      </w:r>
      <w:r w:rsidR="004F1AAB">
        <w:rPr>
          <w:rFonts w:ascii="Bookman Old Style" w:hAnsi="Bookman Old Style" w:cs="ArialMT"/>
          <w:color w:val="000000"/>
          <w:sz w:val="24"/>
          <w:szCs w:val="24"/>
        </w:rPr>
        <w:t xml:space="preserve"> señalando que </w:t>
      </w:r>
      <w:r w:rsidR="00EA16B8" w:rsidRPr="00E44D38">
        <w:rPr>
          <w:rFonts w:ascii="Bookman Old Style" w:hAnsi="Bookman Old Style" w:cs="ArialMT"/>
          <w:color w:val="000000"/>
        </w:rPr>
        <w:t>“</w:t>
      </w:r>
      <w:r w:rsidR="00EA16B8" w:rsidRPr="00E44D38">
        <w:rPr>
          <w:rFonts w:ascii="Bookman Old Style" w:hAnsi="Bookman Old Style" w:cs="ArialMT"/>
          <w:i/>
          <w:iCs/>
          <w:color w:val="000000"/>
        </w:rPr>
        <w:t>resulta entonces contradictorio con la Ley 142 de 1994 que la CREG imponga la obligación a DUE y a GENSA de celebrar un contrato de conexión entre ellos, entre quienes no fue posible llegar a un acuerdo antes de acudir a la comisión para la imposición de la servidumbre</w:t>
      </w:r>
      <w:r w:rsidR="00EA16B8" w:rsidRPr="00E44D38">
        <w:rPr>
          <w:rFonts w:ascii="Bookman Old Style" w:hAnsi="Bookman Old Style" w:cs="ArialMT"/>
          <w:color w:val="000000"/>
        </w:rPr>
        <w:t>”</w:t>
      </w:r>
      <w:r w:rsidR="009A579D">
        <w:rPr>
          <w:rFonts w:ascii="Bookman Old Style" w:hAnsi="Bookman Old Style" w:cs="ArialMT"/>
          <w:color w:val="000000"/>
          <w:sz w:val="24"/>
          <w:szCs w:val="24"/>
        </w:rPr>
        <w:t>.</w:t>
      </w:r>
    </w:p>
    <w:p w14:paraId="594FA79B" w14:textId="697840E7" w:rsidR="00EA16B8" w:rsidRDefault="00EA16B8" w:rsidP="00EA16B8">
      <w:pPr>
        <w:spacing w:after="0" w:line="240" w:lineRule="auto"/>
        <w:ind w:left="-142" w:right="-142"/>
        <w:jc w:val="both"/>
        <w:rPr>
          <w:rFonts w:ascii="Bookman Old Style" w:hAnsi="Bookman Old Style" w:cs="ArialMT"/>
          <w:color w:val="000000"/>
          <w:sz w:val="24"/>
          <w:szCs w:val="24"/>
        </w:rPr>
      </w:pPr>
    </w:p>
    <w:p w14:paraId="181A5995" w14:textId="0FCBC9FC" w:rsidR="002C4AAE" w:rsidRDefault="009019D5" w:rsidP="00E44D38">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 xml:space="preserve">En cuanto a lo planteado por </w:t>
      </w:r>
      <w:r w:rsidR="00802CC2">
        <w:rPr>
          <w:rFonts w:ascii="Bookman Old Style" w:hAnsi="Bookman Old Style" w:cs="ArialMT"/>
          <w:color w:val="000000"/>
          <w:sz w:val="24"/>
          <w:szCs w:val="24"/>
        </w:rPr>
        <w:t>la empresa a</w:t>
      </w:r>
      <w:r>
        <w:rPr>
          <w:rFonts w:ascii="Bookman Old Style" w:hAnsi="Bookman Old Style" w:cs="ArialMT"/>
          <w:color w:val="000000"/>
          <w:sz w:val="24"/>
          <w:szCs w:val="24"/>
        </w:rPr>
        <w:t xml:space="preserve"> esta Comisión</w:t>
      </w:r>
      <w:r w:rsidR="00526EB8">
        <w:rPr>
          <w:rFonts w:ascii="Bookman Old Style" w:hAnsi="Bookman Old Style" w:cs="ArialMT"/>
          <w:color w:val="000000"/>
          <w:sz w:val="24"/>
          <w:szCs w:val="24"/>
        </w:rPr>
        <w:t>,</w:t>
      </w:r>
      <w:r>
        <w:rPr>
          <w:rFonts w:ascii="Bookman Old Style" w:hAnsi="Bookman Old Style" w:cs="ArialMT"/>
          <w:color w:val="000000"/>
          <w:sz w:val="24"/>
          <w:szCs w:val="24"/>
        </w:rPr>
        <w:t xml:space="preserve"> </w:t>
      </w:r>
      <w:r w:rsidR="00802CC2">
        <w:rPr>
          <w:rFonts w:ascii="Bookman Old Style" w:hAnsi="Bookman Old Style" w:cs="ArialMT"/>
          <w:color w:val="000000"/>
          <w:sz w:val="24"/>
          <w:szCs w:val="24"/>
        </w:rPr>
        <w:t xml:space="preserve">se </w:t>
      </w:r>
      <w:r>
        <w:rPr>
          <w:rFonts w:ascii="Bookman Old Style" w:hAnsi="Bookman Old Style" w:cs="ArialMT"/>
          <w:color w:val="000000"/>
          <w:sz w:val="24"/>
          <w:szCs w:val="24"/>
        </w:rPr>
        <w:t>considera que l</w:t>
      </w:r>
      <w:r w:rsidR="00EA16B8" w:rsidRPr="00EA16B8">
        <w:rPr>
          <w:rFonts w:ascii="Bookman Old Style" w:hAnsi="Bookman Old Style" w:cs="ArialMT"/>
          <w:color w:val="000000"/>
          <w:sz w:val="24"/>
          <w:szCs w:val="24"/>
        </w:rPr>
        <w:t>a decisión no contraría el artículo 39.4 de la Ley 142 de 1994</w:t>
      </w:r>
      <w:r w:rsidR="009B50A2">
        <w:rPr>
          <w:rStyle w:val="Refdenotaalpie"/>
          <w:rFonts w:ascii="Bookman Old Style" w:hAnsi="Bookman Old Style" w:cs="ArialMT"/>
          <w:color w:val="000000"/>
          <w:sz w:val="24"/>
          <w:szCs w:val="24"/>
        </w:rPr>
        <w:footnoteReference w:id="2"/>
      </w:r>
      <w:r w:rsidR="002C4AAE">
        <w:rPr>
          <w:rFonts w:ascii="Bookman Old Style" w:hAnsi="Bookman Old Style" w:cs="ArialMT"/>
          <w:color w:val="000000"/>
          <w:sz w:val="24"/>
          <w:szCs w:val="24"/>
        </w:rPr>
        <w:t>, t</w:t>
      </w:r>
      <w:r w:rsidR="00526EB8">
        <w:rPr>
          <w:rFonts w:ascii="Bookman Old Style" w:hAnsi="Bookman Old Style" w:cs="ArialMT"/>
          <w:color w:val="000000"/>
          <w:sz w:val="24"/>
          <w:szCs w:val="24"/>
        </w:rPr>
        <w:t>eniendo en cuenta que en</w:t>
      </w:r>
      <w:r w:rsidR="003D3F50">
        <w:rPr>
          <w:rFonts w:ascii="Bookman Old Style" w:hAnsi="Bookman Old Style" w:cs="ArialMT"/>
          <w:color w:val="000000"/>
          <w:sz w:val="24"/>
          <w:szCs w:val="24"/>
        </w:rPr>
        <w:t xml:space="preserve"> el acto administrativo objeto de impugnación se definieron los elementos esenciales para </w:t>
      </w:r>
      <w:r w:rsidR="00266AC6">
        <w:rPr>
          <w:rFonts w:ascii="Bookman Old Style" w:hAnsi="Bookman Old Style" w:cs="ArialMT"/>
          <w:color w:val="000000"/>
          <w:sz w:val="24"/>
          <w:szCs w:val="24"/>
        </w:rPr>
        <w:t>la imposición de la servidumbre</w:t>
      </w:r>
      <w:r w:rsidR="00B05E4B">
        <w:rPr>
          <w:rFonts w:ascii="Bookman Old Style" w:hAnsi="Bookman Old Style" w:cs="ArialMT"/>
          <w:color w:val="000000"/>
          <w:sz w:val="24"/>
          <w:szCs w:val="24"/>
        </w:rPr>
        <w:t xml:space="preserve"> a sabe</w:t>
      </w:r>
      <w:r w:rsidR="00845470">
        <w:rPr>
          <w:rFonts w:ascii="Bookman Old Style" w:hAnsi="Bookman Old Style" w:cs="ArialMT"/>
          <w:color w:val="000000"/>
          <w:sz w:val="24"/>
          <w:szCs w:val="24"/>
        </w:rPr>
        <w:t>r</w:t>
      </w:r>
      <w:r w:rsidR="0091004E">
        <w:rPr>
          <w:rFonts w:ascii="Bookman Old Style" w:hAnsi="Bookman Old Style" w:cs="ArialMT"/>
          <w:color w:val="000000"/>
          <w:sz w:val="24"/>
          <w:szCs w:val="24"/>
        </w:rPr>
        <w:t>:</w:t>
      </w:r>
      <w:r w:rsidR="00162BA5">
        <w:rPr>
          <w:rFonts w:ascii="Bookman Old Style" w:hAnsi="Bookman Old Style" w:cs="ArialMT"/>
          <w:color w:val="000000"/>
          <w:sz w:val="24"/>
          <w:szCs w:val="24"/>
        </w:rPr>
        <w:t xml:space="preserve"> </w:t>
      </w:r>
    </w:p>
    <w:p w14:paraId="3D47304F" w14:textId="77777777" w:rsidR="002D5D70" w:rsidRDefault="002D5D70" w:rsidP="005D6D39">
      <w:pPr>
        <w:spacing w:after="0" w:line="240" w:lineRule="auto"/>
        <w:ind w:left="284" w:right="-142"/>
        <w:jc w:val="both"/>
        <w:rPr>
          <w:rFonts w:ascii="Bookman Old Style" w:hAnsi="Bookman Old Style" w:cs="ArialMT"/>
          <w:color w:val="000000"/>
          <w:sz w:val="24"/>
          <w:szCs w:val="24"/>
        </w:rPr>
      </w:pPr>
    </w:p>
    <w:p w14:paraId="7AFE9B89" w14:textId="2D2D489B" w:rsidR="002C4AAE" w:rsidRDefault="00162BA5" w:rsidP="00E44D38">
      <w:pPr>
        <w:spacing w:after="0" w:line="240" w:lineRule="auto"/>
        <w:ind w:left="142"/>
        <w:jc w:val="both"/>
        <w:rPr>
          <w:rFonts w:ascii="Bookman Old Style" w:hAnsi="Bookman Old Style" w:cs="ArialMT"/>
          <w:color w:val="000000"/>
          <w:sz w:val="24"/>
          <w:szCs w:val="24"/>
          <w:lang w:val="es-ES"/>
        </w:rPr>
      </w:pPr>
      <w:r>
        <w:rPr>
          <w:rFonts w:ascii="Bookman Old Style" w:hAnsi="Bookman Old Style" w:cs="ArialMT"/>
          <w:color w:val="000000"/>
          <w:sz w:val="24"/>
          <w:szCs w:val="24"/>
        </w:rPr>
        <w:t>1)</w:t>
      </w:r>
      <w:r w:rsidR="00B05E4B">
        <w:rPr>
          <w:rFonts w:ascii="Bookman Old Style" w:hAnsi="Bookman Old Style" w:cs="ArialMT"/>
          <w:color w:val="000000"/>
          <w:sz w:val="24"/>
          <w:szCs w:val="24"/>
        </w:rPr>
        <w:t xml:space="preserve"> </w:t>
      </w:r>
      <w:r w:rsidR="002C4AAE">
        <w:rPr>
          <w:rFonts w:ascii="Bookman Old Style" w:hAnsi="Bookman Old Style" w:cs="ArialMT"/>
          <w:color w:val="000000"/>
          <w:sz w:val="24"/>
          <w:szCs w:val="24"/>
        </w:rPr>
        <w:t>O</w:t>
      </w:r>
      <w:r w:rsidR="00B05E4B">
        <w:rPr>
          <w:rFonts w:ascii="Bookman Old Style" w:hAnsi="Bookman Old Style" w:cs="ArialMT"/>
          <w:color w:val="000000"/>
          <w:sz w:val="24"/>
          <w:szCs w:val="24"/>
        </w:rPr>
        <w:t>bjeto</w:t>
      </w:r>
      <w:r w:rsidR="00CC6A32">
        <w:rPr>
          <w:rFonts w:ascii="Bookman Old Style" w:hAnsi="Bookman Old Style" w:cs="ArialMT"/>
          <w:color w:val="000000"/>
          <w:sz w:val="24"/>
          <w:szCs w:val="24"/>
        </w:rPr>
        <w:t>:</w:t>
      </w:r>
      <w:r w:rsidR="00B05E4B">
        <w:rPr>
          <w:rFonts w:ascii="Bookman Old Style" w:hAnsi="Bookman Old Style" w:cs="ArialMT"/>
          <w:color w:val="000000"/>
          <w:sz w:val="24"/>
          <w:szCs w:val="24"/>
        </w:rPr>
        <w:t xml:space="preserve"> interposición de una servidumbre de conexión </w:t>
      </w:r>
      <w:r w:rsidR="00CC6A32">
        <w:rPr>
          <w:rFonts w:ascii="Bookman Old Style" w:hAnsi="Bookman Old Style" w:cs="ArialMT"/>
          <w:color w:val="000000"/>
          <w:sz w:val="24"/>
          <w:szCs w:val="24"/>
        </w:rPr>
        <w:t xml:space="preserve">eléctrica en la línea de </w:t>
      </w:r>
      <w:r w:rsidR="00452F68" w:rsidRPr="00452F68">
        <w:rPr>
          <w:rFonts w:ascii="Bookman Old Style" w:hAnsi="Bookman Old Style" w:cs="ArialMT"/>
          <w:color w:val="000000"/>
          <w:sz w:val="24"/>
          <w:szCs w:val="24"/>
          <w:lang w:val="es-ES"/>
        </w:rPr>
        <w:t>34.5 kV</w:t>
      </w:r>
      <w:r w:rsidR="00A11710">
        <w:rPr>
          <w:rFonts w:ascii="Bookman Old Style" w:hAnsi="Bookman Old Style" w:cs="ArialMT"/>
          <w:color w:val="000000"/>
          <w:sz w:val="24"/>
          <w:szCs w:val="24"/>
          <w:lang w:val="es-ES"/>
        </w:rPr>
        <w:t>;</w:t>
      </w:r>
      <w:r>
        <w:rPr>
          <w:rFonts w:ascii="Bookman Old Style" w:hAnsi="Bookman Old Style" w:cs="ArialMT"/>
          <w:color w:val="000000"/>
          <w:sz w:val="24"/>
          <w:szCs w:val="24"/>
          <w:lang w:val="es-ES"/>
        </w:rPr>
        <w:t xml:space="preserve"> </w:t>
      </w:r>
    </w:p>
    <w:p w14:paraId="0321C80C" w14:textId="75C374C2" w:rsidR="002C4AAE" w:rsidRDefault="00162BA5" w:rsidP="00E44D38">
      <w:pPr>
        <w:spacing w:after="0" w:line="240" w:lineRule="auto"/>
        <w:ind w:left="142"/>
        <w:jc w:val="both"/>
        <w:rPr>
          <w:rFonts w:ascii="Bookman Old Style" w:hAnsi="Bookman Old Style" w:cs="ArialMT"/>
          <w:color w:val="000000"/>
          <w:sz w:val="24"/>
          <w:szCs w:val="24"/>
          <w:lang w:val="es-ES"/>
        </w:rPr>
      </w:pPr>
      <w:r>
        <w:rPr>
          <w:rFonts w:ascii="Bookman Old Style" w:hAnsi="Bookman Old Style" w:cs="ArialMT"/>
          <w:color w:val="000000"/>
          <w:sz w:val="24"/>
          <w:szCs w:val="24"/>
          <w:lang w:val="es-ES"/>
        </w:rPr>
        <w:t>2)</w:t>
      </w:r>
      <w:r w:rsidR="004640AE">
        <w:rPr>
          <w:rFonts w:ascii="Bookman Old Style" w:hAnsi="Bookman Old Style" w:cs="ArialMT"/>
          <w:color w:val="000000"/>
          <w:sz w:val="24"/>
          <w:szCs w:val="24"/>
          <w:lang w:val="es-ES"/>
        </w:rPr>
        <w:t xml:space="preserve"> </w:t>
      </w:r>
      <w:r w:rsidR="002C4AAE">
        <w:rPr>
          <w:rFonts w:ascii="Bookman Old Style" w:hAnsi="Bookman Old Style" w:cs="ArialMT"/>
          <w:color w:val="000000"/>
          <w:sz w:val="24"/>
          <w:szCs w:val="24"/>
          <w:lang w:val="es-ES"/>
        </w:rPr>
        <w:t>A</w:t>
      </w:r>
      <w:r w:rsidR="004640AE">
        <w:rPr>
          <w:rFonts w:ascii="Bookman Old Style" w:hAnsi="Bookman Old Style" w:cs="ArialMT"/>
          <w:color w:val="000000"/>
          <w:sz w:val="24"/>
          <w:szCs w:val="24"/>
          <w:lang w:val="es-ES"/>
        </w:rPr>
        <w:t xml:space="preserve">ctivo sobre el </w:t>
      </w:r>
      <w:r w:rsidR="002F6A99">
        <w:rPr>
          <w:rFonts w:ascii="Bookman Old Style" w:hAnsi="Bookman Old Style" w:cs="ArialMT"/>
          <w:color w:val="000000"/>
          <w:sz w:val="24"/>
          <w:szCs w:val="24"/>
          <w:lang w:val="es-ES"/>
        </w:rPr>
        <w:t>cual</w:t>
      </w:r>
      <w:r w:rsidR="004640AE">
        <w:rPr>
          <w:rFonts w:ascii="Bookman Old Style" w:hAnsi="Bookman Old Style" w:cs="ArialMT"/>
          <w:color w:val="000000"/>
          <w:sz w:val="24"/>
          <w:szCs w:val="24"/>
          <w:lang w:val="es-ES"/>
        </w:rPr>
        <w:t xml:space="preserve"> recae </w:t>
      </w:r>
      <w:r w:rsidR="00E07D92">
        <w:rPr>
          <w:rFonts w:ascii="Bookman Old Style" w:hAnsi="Bookman Old Style" w:cs="ArialMT"/>
          <w:color w:val="000000"/>
          <w:sz w:val="24"/>
          <w:szCs w:val="24"/>
          <w:lang w:val="es-ES"/>
        </w:rPr>
        <w:t>la imposición de la servidumbre</w:t>
      </w:r>
      <w:r w:rsidR="004640AE">
        <w:rPr>
          <w:rFonts w:ascii="Bookman Old Style" w:hAnsi="Bookman Old Style" w:cs="ArialMT"/>
          <w:color w:val="000000"/>
          <w:sz w:val="24"/>
          <w:szCs w:val="24"/>
          <w:lang w:val="es-ES"/>
        </w:rPr>
        <w:t xml:space="preserve">: </w:t>
      </w:r>
      <w:r w:rsidR="00452F68" w:rsidRPr="00452F68">
        <w:rPr>
          <w:rFonts w:ascii="Bookman Old Style" w:hAnsi="Bookman Old Style" w:cs="ArialMT"/>
          <w:i/>
          <w:iCs/>
          <w:color w:val="000000"/>
          <w:sz w:val="24"/>
          <w:szCs w:val="24"/>
          <w:lang w:val="es-ES"/>
        </w:rPr>
        <w:t>“Línea de Transmisión de la MCH Mitú a la Subestación Eléctrica de Mitú”</w:t>
      </w:r>
      <w:r w:rsidR="00452F68" w:rsidRPr="00452F68">
        <w:rPr>
          <w:rFonts w:ascii="Bookman Old Style" w:hAnsi="Bookman Old Style" w:cs="ArialMT"/>
          <w:color w:val="000000"/>
          <w:sz w:val="24"/>
          <w:szCs w:val="24"/>
          <w:lang w:val="es-ES"/>
        </w:rPr>
        <w:t xml:space="preserve"> en el contrato especial No. GGC 209-2013 suscrito entre GENSA S.A. E.S.P. y el Ministerio de Minas y Energía</w:t>
      </w:r>
      <w:r w:rsidR="00452F68" w:rsidRPr="00452F68">
        <w:rPr>
          <w:rFonts w:ascii="Bookman Old Style" w:hAnsi="Bookman Old Style" w:cs="ArialMT"/>
          <w:color w:val="000000"/>
          <w:sz w:val="24"/>
          <w:szCs w:val="24"/>
        </w:rPr>
        <w:t>,</w:t>
      </w:r>
      <w:r w:rsidR="00452F68" w:rsidRPr="00452F68">
        <w:rPr>
          <w:rFonts w:ascii="Bookman Old Style" w:hAnsi="Bookman Old Style" w:cs="ArialMT"/>
          <w:color w:val="000000"/>
          <w:sz w:val="24"/>
          <w:szCs w:val="24"/>
          <w:lang w:val="es-ES"/>
        </w:rPr>
        <w:t xml:space="preserve"> en la torre 117</w:t>
      </w:r>
      <w:r w:rsidR="00A11710">
        <w:rPr>
          <w:rFonts w:ascii="Bookman Old Style" w:hAnsi="Bookman Old Style" w:cs="ArialMT"/>
          <w:color w:val="000000"/>
          <w:sz w:val="24"/>
          <w:szCs w:val="24"/>
          <w:lang w:val="es-ES"/>
        </w:rPr>
        <w:t>;</w:t>
      </w:r>
      <w:r w:rsidR="00E235B5">
        <w:rPr>
          <w:rFonts w:ascii="Bookman Old Style" w:hAnsi="Bookman Old Style" w:cs="ArialMT"/>
          <w:color w:val="000000"/>
          <w:sz w:val="24"/>
          <w:szCs w:val="24"/>
          <w:lang w:val="es-ES"/>
        </w:rPr>
        <w:t xml:space="preserve"> </w:t>
      </w:r>
    </w:p>
    <w:p w14:paraId="5517BA37" w14:textId="63982908" w:rsidR="002C4AAE" w:rsidRDefault="00162BA5" w:rsidP="00E44D38">
      <w:pPr>
        <w:spacing w:after="0" w:line="240" w:lineRule="auto"/>
        <w:ind w:left="142"/>
        <w:jc w:val="both"/>
        <w:rPr>
          <w:rFonts w:ascii="Bookman Old Style" w:hAnsi="Bookman Old Style" w:cs="ArialMT"/>
          <w:color w:val="000000"/>
          <w:sz w:val="24"/>
          <w:szCs w:val="24"/>
          <w:lang w:val="es-ES"/>
        </w:rPr>
      </w:pPr>
      <w:r>
        <w:rPr>
          <w:rFonts w:ascii="Bookman Old Style" w:hAnsi="Bookman Old Style" w:cs="ArialMT"/>
          <w:color w:val="000000"/>
          <w:sz w:val="24"/>
          <w:szCs w:val="24"/>
          <w:lang w:val="es-ES"/>
        </w:rPr>
        <w:t>3)</w:t>
      </w:r>
      <w:r w:rsidR="002C4AAE">
        <w:rPr>
          <w:rFonts w:ascii="Bookman Old Style" w:hAnsi="Bookman Old Style" w:cs="ArialMT"/>
          <w:color w:val="000000"/>
          <w:sz w:val="24"/>
          <w:szCs w:val="24"/>
          <w:lang w:val="es-ES"/>
        </w:rPr>
        <w:t xml:space="preserve"> C</w:t>
      </w:r>
      <w:r w:rsidR="009C0F68">
        <w:rPr>
          <w:rFonts w:ascii="Bookman Old Style" w:hAnsi="Bookman Old Style" w:cs="ArialMT"/>
          <w:color w:val="000000"/>
          <w:sz w:val="24"/>
          <w:szCs w:val="24"/>
          <w:lang w:val="es-ES"/>
        </w:rPr>
        <w:t xml:space="preserve">apacidad de potencia </w:t>
      </w:r>
      <w:r w:rsidR="004702AD">
        <w:rPr>
          <w:rFonts w:ascii="Bookman Old Style" w:hAnsi="Bookman Old Style" w:cs="ArialMT"/>
          <w:color w:val="000000"/>
          <w:sz w:val="24"/>
          <w:szCs w:val="24"/>
          <w:lang w:val="es-ES"/>
        </w:rPr>
        <w:t>del sistema:</w:t>
      </w:r>
      <w:r w:rsidR="00E235B5">
        <w:rPr>
          <w:rFonts w:ascii="Bookman Old Style" w:hAnsi="Bookman Old Style" w:cs="ArialMT"/>
          <w:color w:val="000000"/>
          <w:sz w:val="24"/>
          <w:szCs w:val="24"/>
          <w:lang w:val="es-ES"/>
        </w:rPr>
        <w:t xml:space="preserve"> </w:t>
      </w:r>
      <w:r w:rsidR="0091004E">
        <w:rPr>
          <w:rFonts w:ascii="Bookman Old Style" w:hAnsi="Bookman Old Style" w:cs="ArialMT"/>
          <w:color w:val="000000"/>
          <w:sz w:val="24"/>
          <w:szCs w:val="24"/>
          <w:lang w:val="es-ES"/>
        </w:rPr>
        <w:t xml:space="preserve">conexión de generación </w:t>
      </w:r>
      <w:r w:rsidR="00452F68" w:rsidRPr="00452F68">
        <w:rPr>
          <w:rFonts w:ascii="Bookman Old Style" w:hAnsi="Bookman Old Style" w:cs="ArialMT"/>
          <w:color w:val="000000"/>
          <w:sz w:val="24"/>
          <w:szCs w:val="24"/>
          <w:lang w:val="es-ES"/>
        </w:rPr>
        <w:t>solar fotovoltaica con de hasta 7,6 MWp y hasta 8,8 MWh de acumulación</w:t>
      </w:r>
      <w:r w:rsidR="001D1024">
        <w:rPr>
          <w:rFonts w:ascii="Bookman Old Style" w:hAnsi="Bookman Old Style" w:cs="ArialMT"/>
          <w:color w:val="000000"/>
          <w:sz w:val="24"/>
          <w:szCs w:val="24"/>
          <w:lang w:val="es-ES"/>
        </w:rPr>
        <w:t>;</w:t>
      </w:r>
      <w:r w:rsidR="003B006A">
        <w:rPr>
          <w:rFonts w:ascii="Bookman Old Style" w:hAnsi="Bookman Old Style" w:cs="ArialMT"/>
          <w:color w:val="000000"/>
          <w:sz w:val="24"/>
          <w:szCs w:val="24"/>
          <w:lang w:val="es-ES"/>
        </w:rPr>
        <w:t xml:space="preserve"> </w:t>
      </w:r>
    </w:p>
    <w:p w14:paraId="32C3AFC0" w14:textId="0548CB6F" w:rsidR="002C4AAE" w:rsidRDefault="000147AE" w:rsidP="00E44D38">
      <w:pPr>
        <w:spacing w:after="0" w:line="240" w:lineRule="auto"/>
        <w:ind w:left="142"/>
        <w:jc w:val="both"/>
        <w:rPr>
          <w:rFonts w:ascii="Bookman Old Style" w:hAnsi="Bookman Old Style" w:cs="ArialMT"/>
          <w:color w:val="000000"/>
          <w:sz w:val="24"/>
          <w:szCs w:val="24"/>
          <w:lang w:val="es-ES"/>
        </w:rPr>
      </w:pPr>
      <w:r>
        <w:rPr>
          <w:rFonts w:ascii="Bookman Old Style" w:hAnsi="Bookman Old Style" w:cs="ArialMT"/>
          <w:color w:val="000000"/>
          <w:sz w:val="24"/>
          <w:szCs w:val="24"/>
          <w:lang w:val="es-ES"/>
        </w:rPr>
        <w:t xml:space="preserve">4) </w:t>
      </w:r>
      <w:r w:rsidR="002C4AAE">
        <w:rPr>
          <w:rFonts w:ascii="Bookman Old Style" w:hAnsi="Bookman Old Style" w:cs="ArialMT"/>
          <w:color w:val="000000"/>
          <w:sz w:val="24"/>
          <w:szCs w:val="24"/>
          <w:lang w:val="es-ES"/>
        </w:rPr>
        <w:t>S</w:t>
      </w:r>
      <w:r>
        <w:rPr>
          <w:rFonts w:ascii="Bookman Old Style" w:hAnsi="Bookman Old Style" w:cs="ArialMT"/>
          <w:color w:val="000000"/>
          <w:sz w:val="24"/>
          <w:szCs w:val="24"/>
          <w:lang w:val="es-ES"/>
        </w:rPr>
        <w:t xml:space="preserve">ujeto </w:t>
      </w:r>
      <w:r w:rsidR="004C5EA3">
        <w:rPr>
          <w:rFonts w:ascii="Bookman Old Style" w:hAnsi="Bookman Old Style" w:cs="ArialMT"/>
          <w:color w:val="000000"/>
          <w:sz w:val="24"/>
          <w:szCs w:val="24"/>
          <w:lang w:val="es-ES"/>
        </w:rPr>
        <w:t>pasivo de la obligación</w:t>
      </w:r>
      <w:r w:rsidR="005901D9">
        <w:rPr>
          <w:rFonts w:ascii="Bookman Old Style" w:hAnsi="Bookman Old Style" w:cs="ArialMT"/>
          <w:color w:val="000000"/>
          <w:sz w:val="24"/>
          <w:szCs w:val="24"/>
          <w:lang w:val="es-ES"/>
        </w:rPr>
        <w:t xml:space="preserve"> de conexión</w:t>
      </w:r>
      <w:r>
        <w:rPr>
          <w:rFonts w:ascii="Bookman Old Style" w:hAnsi="Bookman Old Style" w:cs="ArialMT"/>
          <w:color w:val="000000"/>
          <w:sz w:val="24"/>
          <w:szCs w:val="24"/>
          <w:lang w:val="es-ES"/>
        </w:rPr>
        <w:t xml:space="preserve">: </w:t>
      </w:r>
      <w:r w:rsidR="00452F68" w:rsidRPr="00452F68">
        <w:rPr>
          <w:rFonts w:ascii="Bookman Old Style" w:hAnsi="Bookman Old Style" w:cs="ArialMT"/>
          <w:color w:val="000000"/>
          <w:sz w:val="24"/>
          <w:szCs w:val="24"/>
        </w:rPr>
        <w:t xml:space="preserve">GENSA S.A. E.S.P. </w:t>
      </w:r>
      <w:r w:rsidR="00452F68" w:rsidRPr="00452F68">
        <w:rPr>
          <w:rFonts w:ascii="Bookman Old Style" w:hAnsi="Bookman Old Style" w:cs="ArialMT"/>
          <w:color w:val="000000"/>
          <w:sz w:val="24"/>
          <w:szCs w:val="24"/>
          <w:lang w:val="es-ES"/>
        </w:rPr>
        <w:t>o del operador que a futuro cuente con la administración, operación, uso y goce de la línea de 34.5 kV</w:t>
      </w:r>
      <w:r w:rsidR="001D1024">
        <w:rPr>
          <w:rFonts w:ascii="Bookman Old Style" w:hAnsi="Bookman Old Style" w:cs="ArialMT"/>
          <w:color w:val="000000"/>
          <w:sz w:val="24"/>
          <w:szCs w:val="24"/>
          <w:lang w:val="es-ES"/>
        </w:rPr>
        <w:t>;</w:t>
      </w:r>
      <w:r w:rsidR="00F672C2">
        <w:rPr>
          <w:rFonts w:ascii="Bookman Old Style" w:hAnsi="Bookman Old Style" w:cs="ArialMT"/>
          <w:color w:val="000000"/>
          <w:sz w:val="24"/>
          <w:szCs w:val="24"/>
          <w:lang w:val="es-ES"/>
        </w:rPr>
        <w:t xml:space="preserve"> </w:t>
      </w:r>
    </w:p>
    <w:p w14:paraId="17E9EE6A" w14:textId="2B155887" w:rsidR="002C4AAE" w:rsidRDefault="00F758A0" w:rsidP="00E44D38">
      <w:pPr>
        <w:spacing w:after="0" w:line="240" w:lineRule="auto"/>
        <w:ind w:left="142"/>
        <w:jc w:val="both"/>
        <w:rPr>
          <w:rFonts w:ascii="Bookman Old Style" w:hAnsi="Bookman Old Style" w:cs="ArialMT"/>
          <w:color w:val="000000"/>
          <w:sz w:val="24"/>
          <w:szCs w:val="24"/>
          <w:lang w:val="es-ES"/>
        </w:rPr>
      </w:pPr>
      <w:r>
        <w:rPr>
          <w:rFonts w:ascii="Bookman Old Style" w:hAnsi="Bookman Old Style" w:cs="ArialMT"/>
          <w:color w:val="000000"/>
          <w:sz w:val="24"/>
          <w:szCs w:val="24"/>
          <w:lang w:val="es-ES"/>
        </w:rPr>
        <w:t>5)</w:t>
      </w:r>
      <w:r w:rsidR="002C4AAE">
        <w:rPr>
          <w:rFonts w:ascii="Bookman Old Style" w:hAnsi="Bookman Old Style" w:cs="ArialMT"/>
          <w:color w:val="000000"/>
          <w:sz w:val="24"/>
          <w:szCs w:val="24"/>
          <w:lang w:val="es-ES"/>
        </w:rPr>
        <w:t xml:space="preserve"> S</w:t>
      </w:r>
      <w:r w:rsidR="00F672C2">
        <w:rPr>
          <w:rFonts w:ascii="Bookman Old Style" w:hAnsi="Bookman Old Style" w:cs="ArialMT"/>
          <w:color w:val="000000"/>
          <w:sz w:val="24"/>
          <w:szCs w:val="24"/>
          <w:lang w:val="es-ES"/>
        </w:rPr>
        <w:t xml:space="preserve">ujeto activo de la obligación: </w:t>
      </w:r>
      <w:r w:rsidR="00452F68" w:rsidRPr="00452F68">
        <w:rPr>
          <w:rFonts w:ascii="Bookman Old Style" w:hAnsi="Bookman Old Style" w:cs="ArialMT"/>
          <w:color w:val="000000"/>
          <w:sz w:val="24"/>
          <w:szCs w:val="24"/>
          <w:lang w:val="es-ES"/>
        </w:rPr>
        <w:t>DUE CAPITAL AND SERVICES S.A.S. o de quien actúe como generador de conformidad con lo expuesto en la parte motiva de la presente resolución</w:t>
      </w:r>
      <w:r w:rsidR="001D1024">
        <w:rPr>
          <w:rFonts w:ascii="Bookman Old Style" w:hAnsi="Bookman Old Style" w:cs="ArialMT"/>
          <w:color w:val="000000"/>
          <w:sz w:val="24"/>
          <w:szCs w:val="24"/>
          <w:lang w:val="es-ES"/>
        </w:rPr>
        <w:t>;</w:t>
      </w:r>
      <w:r w:rsidR="00E235B5">
        <w:rPr>
          <w:rFonts w:ascii="Bookman Old Style" w:hAnsi="Bookman Old Style" w:cs="ArialMT"/>
          <w:color w:val="000000"/>
          <w:sz w:val="24"/>
          <w:szCs w:val="24"/>
          <w:lang w:val="es-ES"/>
        </w:rPr>
        <w:t xml:space="preserve"> </w:t>
      </w:r>
    </w:p>
    <w:p w14:paraId="489406B9" w14:textId="5406CB89" w:rsidR="002C4AAE" w:rsidRDefault="00E235B5" w:rsidP="00E44D38">
      <w:pPr>
        <w:spacing w:after="0" w:line="240" w:lineRule="auto"/>
        <w:ind w:left="142"/>
        <w:jc w:val="both"/>
        <w:rPr>
          <w:rFonts w:ascii="Bookman Old Style" w:hAnsi="Bookman Old Style" w:cs="ArialMT"/>
          <w:color w:val="000000"/>
          <w:sz w:val="24"/>
          <w:szCs w:val="24"/>
          <w:lang w:val="es-ES"/>
        </w:rPr>
      </w:pPr>
      <w:r>
        <w:rPr>
          <w:rFonts w:ascii="Bookman Old Style" w:hAnsi="Bookman Old Style" w:cs="ArialMT"/>
          <w:color w:val="000000"/>
          <w:sz w:val="24"/>
          <w:szCs w:val="24"/>
          <w:lang w:val="es-ES"/>
        </w:rPr>
        <w:t>6)</w:t>
      </w:r>
      <w:r w:rsidR="005D6D39">
        <w:rPr>
          <w:rFonts w:ascii="Bookman Old Style" w:hAnsi="Bookman Old Style" w:cs="ArialMT"/>
          <w:color w:val="000000"/>
          <w:sz w:val="24"/>
          <w:szCs w:val="24"/>
          <w:lang w:val="es-ES"/>
        </w:rPr>
        <w:t xml:space="preserve"> </w:t>
      </w:r>
      <w:r w:rsidR="009F1273">
        <w:rPr>
          <w:rFonts w:ascii="Bookman Old Style" w:hAnsi="Bookman Old Style" w:cs="ArialMT"/>
          <w:color w:val="000000"/>
          <w:sz w:val="24"/>
          <w:szCs w:val="24"/>
          <w:lang w:val="es-ES"/>
        </w:rPr>
        <w:t>P</w:t>
      </w:r>
      <w:r w:rsidR="005D6D39">
        <w:rPr>
          <w:rFonts w:ascii="Bookman Old Style" w:hAnsi="Bookman Old Style" w:cs="ArialMT"/>
          <w:color w:val="000000"/>
          <w:sz w:val="24"/>
          <w:szCs w:val="24"/>
          <w:lang w:val="es-ES"/>
        </w:rPr>
        <w:t>lazo y extinción de la servidumbre</w:t>
      </w:r>
      <w:r w:rsidR="0090217E">
        <w:rPr>
          <w:rFonts w:ascii="Bookman Old Style" w:hAnsi="Bookman Old Style" w:cs="ArialMT"/>
          <w:color w:val="000000"/>
          <w:sz w:val="24"/>
          <w:szCs w:val="24"/>
          <w:lang w:val="es-ES"/>
        </w:rPr>
        <w:t xml:space="preserve"> en los términos de la Ley 142 de 1994 y el artículo 942 del Código Civil</w:t>
      </w:r>
      <w:r w:rsidR="001D1024">
        <w:rPr>
          <w:rFonts w:ascii="Bookman Old Style" w:hAnsi="Bookman Old Style" w:cs="ArialMT"/>
          <w:color w:val="000000"/>
          <w:sz w:val="24"/>
          <w:szCs w:val="24"/>
          <w:lang w:val="es-ES"/>
        </w:rPr>
        <w:t>;</w:t>
      </w:r>
      <w:r w:rsidR="005D6D39">
        <w:rPr>
          <w:rFonts w:ascii="Bookman Old Style" w:hAnsi="Bookman Old Style" w:cs="ArialMT"/>
          <w:color w:val="000000"/>
          <w:sz w:val="24"/>
          <w:szCs w:val="24"/>
          <w:lang w:val="es-ES"/>
        </w:rPr>
        <w:t xml:space="preserve"> </w:t>
      </w:r>
    </w:p>
    <w:p w14:paraId="49FC23D4" w14:textId="53B2E74F" w:rsidR="002C4AAE" w:rsidRDefault="005D6D39" w:rsidP="00E44D38">
      <w:pPr>
        <w:spacing w:after="0" w:line="240" w:lineRule="auto"/>
        <w:ind w:left="142"/>
        <w:jc w:val="both"/>
        <w:rPr>
          <w:rFonts w:ascii="Bookman Old Style" w:hAnsi="Bookman Old Style" w:cs="ArialMT"/>
          <w:color w:val="000000"/>
          <w:sz w:val="24"/>
          <w:szCs w:val="24"/>
          <w:lang w:val="es-ES"/>
        </w:rPr>
      </w:pPr>
      <w:r>
        <w:rPr>
          <w:rFonts w:ascii="Bookman Old Style" w:hAnsi="Bookman Old Style" w:cs="ArialMT"/>
          <w:color w:val="000000"/>
          <w:sz w:val="24"/>
          <w:szCs w:val="24"/>
          <w:lang w:val="es-ES"/>
        </w:rPr>
        <w:t>7)</w:t>
      </w:r>
      <w:r w:rsidR="002C4AAE">
        <w:rPr>
          <w:rFonts w:ascii="Bookman Old Style" w:hAnsi="Bookman Old Style" w:cs="ArialMT"/>
          <w:color w:val="000000"/>
          <w:sz w:val="24"/>
          <w:szCs w:val="24"/>
          <w:lang w:val="es-ES"/>
        </w:rPr>
        <w:t xml:space="preserve"> O</w:t>
      </w:r>
      <w:r w:rsidR="0090217E">
        <w:rPr>
          <w:rFonts w:ascii="Bookman Old Style" w:hAnsi="Bookman Old Style" w:cs="ArialMT"/>
          <w:color w:val="000000"/>
          <w:sz w:val="24"/>
          <w:szCs w:val="24"/>
          <w:lang w:val="es-ES"/>
        </w:rPr>
        <w:t xml:space="preserve">bligación de suscripción de un contrato de conexión </w:t>
      </w:r>
      <w:r w:rsidR="007A159F" w:rsidRPr="005D6D39">
        <w:rPr>
          <w:rFonts w:ascii="Bookman Old Style" w:hAnsi="Bookman Old Style" w:cs="ArialMT"/>
          <w:color w:val="000000"/>
          <w:sz w:val="24"/>
          <w:szCs w:val="24"/>
          <w:lang w:val="es-ES"/>
        </w:rPr>
        <w:t>en los términos previstos en el artículo 5 de la Resolución CREG 038 de 2018</w:t>
      </w:r>
      <w:r w:rsidR="007308FD">
        <w:rPr>
          <w:rFonts w:ascii="Bookman Old Style" w:hAnsi="Bookman Old Style" w:cs="ArialMT"/>
          <w:color w:val="000000"/>
          <w:sz w:val="24"/>
          <w:szCs w:val="24"/>
          <w:lang w:val="es-ES"/>
        </w:rPr>
        <w:t>,</w:t>
      </w:r>
      <w:r w:rsidR="005611A9">
        <w:rPr>
          <w:rFonts w:ascii="Bookman Old Style" w:hAnsi="Bookman Old Style" w:cs="ArialMT"/>
          <w:color w:val="000000"/>
          <w:sz w:val="24"/>
          <w:szCs w:val="24"/>
          <w:lang w:val="es-ES"/>
        </w:rPr>
        <w:t xml:space="preserve"> el cual contiene el contenido mínimo del contrato y las condiciones técnicas a las que debe ceñirse la conexión</w:t>
      </w:r>
      <w:r w:rsidR="007308FD">
        <w:rPr>
          <w:rFonts w:ascii="Bookman Old Style" w:hAnsi="Bookman Old Style" w:cs="ArialMT"/>
          <w:color w:val="000000"/>
          <w:sz w:val="24"/>
          <w:szCs w:val="24"/>
          <w:lang w:val="es-ES"/>
        </w:rPr>
        <w:t xml:space="preserve"> y </w:t>
      </w:r>
    </w:p>
    <w:p w14:paraId="756C1105" w14:textId="70BFB4D8" w:rsidR="005D6D39" w:rsidRDefault="007308FD" w:rsidP="00E44D38">
      <w:pPr>
        <w:spacing w:after="0" w:line="240" w:lineRule="auto"/>
        <w:ind w:left="142"/>
        <w:jc w:val="both"/>
        <w:rPr>
          <w:rFonts w:ascii="Bookman Old Style" w:hAnsi="Bookman Old Style" w:cs="ArialMT"/>
          <w:color w:val="000000"/>
          <w:sz w:val="24"/>
          <w:szCs w:val="24"/>
          <w:lang w:val="es-ES"/>
        </w:rPr>
      </w:pPr>
      <w:r>
        <w:rPr>
          <w:rFonts w:ascii="Bookman Old Style" w:hAnsi="Bookman Old Style" w:cs="ArialMT"/>
          <w:color w:val="000000"/>
          <w:sz w:val="24"/>
          <w:szCs w:val="24"/>
          <w:lang w:val="es-ES"/>
        </w:rPr>
        <w:t>8)</w:t>
      </w:r>
      <w:r w:rsidR="002C4AAE">
        <w:rPr>
          <w:rFonts w:ascii="Bookman Old Style" w:hAnsi="Bookman Old Style" w:cs="ArialMT"/>
          <w:color w:val="000000"/>
          <w:sz w:val="24"/>
          <w:szCs w:val="24"/>
          <w:lang w:val="es-ES"/>
        </w:rPr>
        <w:t xml:space="preserve"> </w:t>
      </w:r>
      <w:r w:rsidR="009F1273">
        <w:rPr>
          <w:rFonts w:ascii="Bookman Old Style" w:hAnsi="Bookman Old Style" w:cs="ArialMT"/>
          <w:color w:val="000000"/>
          <w:sz w:val="24"/>
          <w:szCs w:val="24"/>
          <w:lang w:val="es-ES"/>
        </w:rPr>
        <w:t>Pl</w:t>
      </w:r>
      <w:r>
        <w:rPr>
          <w:rFonts w:ascii="Bookman Old Style" w:hAnsi="Bookman Old Style" w:cs="ArialMT"/>
          <w:color w:val="000000"/>
          <w:sz w:val="24"/>
          <w:szCs w:val="24"/>
          <w:lang w:val="es-ES"/>
        </w:rPr>
        <w:t>azo para la suscripción del contrato</w:t>
      </w:r>
      <w:r w:rsidR="001E325B">
        <w:rPr>
          <w:rFonts w:ascii="Bookman Old Style" w:hAnsi="Bookman Old Style" w:cs="ArialMT"/>
          <w:color w:val="000000"/>
          <w:sz w:val="24"/>
          <w:szCs w:val="24"/>
          <w:lang w:val="es-ES"/>
        </w:rPr>
        <w:t xml:space="preserve"> y fecha máxima de entrada en operación de la conexión</w:t>
      </w:r>
      <w:r w:rsidR="005611A9">
        <w:rPr>
          <w:rFonts w:ascii="Bookman Old Style" w:hAnsi="Bookman Old Style" w:cs="ArialMT"/>
          <w:color w:val="000000"/>
          <w:sz w:val="24"/>
          <w:szCs w:val="24"/>
          <w:lang w:val="es-ES"/>
        </w:rPr>
        <w:t xml:space="preserve">. </w:t>
      </w:r>
      <w:r w:rsidR="005D6D39">
        <w:rPr>
          <w:rFonts w:ascii="Bookman Old Style" w:hAnsi="Bookman Old Style" w:cs="ArialMT"/>
          <w:color w:val="000000"/>
          <w:sz w:val="24"/>
          <w:szCs w:val="24"/>
          <w:lang w:val="es-ES"/>
        </w:rPr>
        <w:t xml:space="preserve"> </w:t>
      </w:r>
    </w:p>
    <w:p w14:paraId="091353D1" w14:textId="16D6B019" w:rsidR="005D6D39" w:rsidRDefault="005D6D39" w:rsidP="0091004E">
      <w:pPr>
        <w:spacing w:after="0" w:line="240" w:lineRule="auto"/>
        <w:ind w:left="284" w:right="-142"/>
        <w:jc w:val="both"/>
        <w:rPr>
          <w:rFonts w:ascii="Bookman Old Style" w:hAnsi="Bookman Old Style" w:cs="ArialMT"/>
          <w:color w:val="000000"/>
          <w:sz w:val="24"/>
          <w:szCs w:val="24"/>
          <w:lang w:val="es-ES"/>
        </w:rPr>
      </w:pPr>
    </w:p>
    <w:p w14:paraId="3E1CFF29" w14:textId="1C6B9A5C" w:rsidR="00251D5A" w:rsidRDefault="00F63F86" w:rsidP="00EA16B8">
      <w:pPr>
        <w:spacing w:after="0" w:line="240" w:lineRule="auto"/>
        <w:ind w:left="-142" w:right="-142"/>
        <w:jc w:val="both"/>
        <w:rPr>
          <w:rFonts w:ascii="Bookman Old Style" w:hAnsi="Bookman Old Style" w:cs="ArialMT"/>
          <w:color w:val="000000"/>
          <w:sz w:val="24"/>
          <w:szCs w:val="24"/>
        </w:rPr>
      </w:pPr>
      <w:r w:rsidRPr="00D66CF0">
        <w:rPr>
          <w:rFonts w:ascii="Bookman Old Style" w:hAnsi="Bookman Old Style" w:cs="ArialMT"/>
          <w:color w:val="000000"/>
          <w:sz w:val="24"/>
          <w:szCs w:val="24"/>
        </w:rPr>
        <w:t>Lo anterio</w:t>
      </w:r>
      <w:r w:rsidR="001C1E65" w:rsidRPr="00E44D38">
        <w:rPr>
          <w:rFonts w:ascii="Bookman Old Style" w:hAnsi="Bookman Old Style" w:cs="ArialMT"/>
          <w:color w:val="000000"/>
          <w:sz w:val="24"/>
          <w:szCs w:val="24"/>
        </w:rPr>
        <w:t>r, se encuentra</w:t>
      </w:r>
      <w:r w:rsidRPr="00D66CF0">
        <w:rPr>
          <w:rFonts w:ascii="Bookman Old Style" w:hAnsi="Bookman Old Style" w:cs="ArialMT"/>
          <w:color w:val="000000"/>
          <w:sz w:val="24"/>
          <w:szCs w:val="24"/>
        </w:rPr>
        <w:t xml:space="preserve"> en </w:t>
      </w:r>
      <w:r w:rsidR="005D0856" w:rsidRPr="00D66CF0">
        <w:rPr>
          <w:rFonts w:ascii="Bookman Old Style" w:hAnsi="Bookman Old Style" w:cs="ArialMT"/>
          <w:color w:val="000000"/>
          <w:sz w:val="24"/>
          <w:szCs w:val="24"/>
        </w:rPr>
        <w:t xml:space="preserve">concordancia </w:t>
      </w:r>
      <w:r w:rsidR="001C1E65" w:rsidRPr="00E44D38">
        <w:rPr>
          <w:rFonts w:ascii="Bookman Old Style" w:hAnsi="Bookman Old Style" w:cs="ArialMT"/>
          <w:color w:val="000000"/>
          <w:sz w:val="24"/>
          <w:szCs w:val="24"/>
        </w:rPr>
        <w:t>con</w:t>
      </w:r>
      <w:r w:rsidRPr="00D66CF0">
        <w:rPr>
          <w:rFonts w:ascii="Bookman Old Style" w:hAnsi="Bookman Old Style" w:cs="ArialMT"/>
          <w:color w:val="000000"/>
          <w:sz w:val="24"/>
          <w:szCs w:val="24"/>
        </w:rPr>
        <w:t xml:space="preserve"> l</w:t>
      </w:r>
      <w:r w:rsidR="001C1E65" w:rsidRPr="00E44D38">
        <w:rPr>
          <w:rFonts w:ascii="Bookman Old Style" w:hAnsi="Bookman Old Style" w:cs="ArialMT"/>
          <w:color w:val="000000"/>
          <w:sz w:val="24"/>
          <w:szCs w:val="24"/>
        </w:rPr>
        <w:t xml:space="preserve">a </w:t>
      </w:r>
      <w:r w:rsidR="000609AE" w:rsidRPr="00E44D38">
        <w:rPr>
          <w:rFonts w:ascii="Bookman Old Style" w:hAnsi="Bookman Old Style" w:cs="ArialMT"/>
          <w:color w:val="000000"/>
          <w:sz w:val="24"/>
          <w:szCs w:val="24"/>
        </w:rPr>
        <w:t>facultad general</w:t>
      </w:r>
      <w:r w:rsidR="000048AB" w:rsidRPr="00E44D38">
        <w:rPr>
          <w:rFonts w:ascii="Bookman Old Style" w:hAnsi="Bookman Old Style" w:cs="ArialMT"/>
          <w:color w:val="000000"/>
          <w:sz w:val="24"/>
          <w:szCs w:val="24"/>
        </w:rPr>
        <w:t xml:space="preserve"> prevista</w:t>
      </w:r>
      <w:r w:rsidRPr="00D66CF0">
        <w:rPr>
          <w:rFonts w:ascii="Bookman Old Style" w:hAnsi="Bookman Old Style" w:cs="ArialMT"/>
          <w:color w:val="000000"/>
          <w:sz w:val="24"/>
          <w:szCs w:val="24"/>
        </w:rPr>
        <w:t xml:space="preserve"> en</w:t>
      </w:r>
      <w:r w:rsidR="000609AE" w:rsidRPr="00E44D38">
        <w:rPr>
          <w:rFonts w:ascii="Bookman Old Style" w:hAnsi="Bookman Old Style" w:cs="ArialMT"/>
          <w:color w:val="000000"/>
          <w:sz w:val="24"/>
          <w:szCs w:val="24"/>
        </w:rPr>
        <w:t xml:space="preserve"> el artículo 118 de</w:t>
      </w:r>
      <w:r w:rsidRPr="00D66CF0">
        <w:rPr>
          <w:rFonts w:ascii="Bookman Old Style" w:hAnsi="Bookman Old Style" w:cs="ArialMT"/>
          <w:color w:val="000000"/>
          <w:sz w:val="24"/>
          <w:szCs w:val="24"/>
        </w:rPr>
        <w:t xml:space="preserve"> la Ley 142 de 1994</w:t>
      </w:r>
      <w:r w:rsidR="000048AB" w:rsidRPr="00E44D38">
        <w:rPr>
          <w:rFonts w:ascii="Bookman Old Style" w:hAnsi="Bookman Old Style" w:cs="ArialMT"/>
          <w:color w:val="000000"/>
          <w:sz w:val="24"/>
          <w:szCs w:val="24"/>
        </w:rPr>
        <w:t xml:space="preserve">: </w:t>
      </w:r>
      <w:r w:rsidR="00251D5A" w:rsidRPr="00D66CF0">
        <w:rPr>
          <w:rFonts w:ascii="Bookman Old Style" w:hAnsi="Bookman Old Style" w:cs="ArialMT"/>
          <w:color w:val="000000"/>
          <w:sz w:val="24"/>
          <w:szCs w:val="24"/>
        </w:rPr>
        <w:t xml:space="preserve"> </w:t>
      </w:r>
    </w:p>
    <w:p w14:paraId="4DBC3888" w14:textId="77777777" w:rsidR="00376081" w:rsidRDefault="00376081" w:rsidP="00EA16B8">
      <w:pPr>
        <w:spacing w:after="0" w:line="240" w:lineRule="auto"/>
        <w:ind w:left="-142" w:right="-142"/>
        <w:jc w:val="both"/>
        <w:rPr>
          <w:rFonts w:ascii="Bookman Old Style" w:hAnsi="Bookman Old Style" w:cs="ArialMT"/>
          <w:color w:val="000000"/>
          <w:sz w:val="24"/>
          <w:szCs w:val="24"/>
        </w:rPr>
      </w:pPr>
    </w:p>
    <w:p w14:paraId="7533C0D0" w14:textId="68428D32" w:rsidR="00CA15E6" w:rsidRPr="00501B11" w:rsidRDefault="0040234E" w:rsidP="00DF00EC">
      <w:pPr>
        <w:spacing w:after="0" w:line="240" w:lineRule="auto"/>
        <w:ind w:left="142" w:right="-142"/>
        <w:jc w:val="both"/>
        <w:rPr>
          <w:rFonts w:ascii="Bookman Old Style" w:hAnsi="Bookman Old Style" w:cs="ArialMT"/>
          <w:b/>
          <w:i/>
          <w:color w:val="000000"/>
        </w:rPr>
      </w:pPr>
      <w:r w:rsidRPr="00501B11">
        <w:rPr>
          <w:rFonts w:ascii="Bookman Old Style" w:hAnsi="Bookman Old Style" w:cs="ArialMT"/>
          <w:i/>
          <w:color w:val="000000"/>
        </w:rPr>
        <w:lastRenderedPageBreak/>
        <w:t xml:space="preserve">ARTÍCULO  118. Entidad con facultades para imponer la servidumbre. Tienen facultades para imponer la servidumbre por acto administrativo las entidades territoriales y la Nación, cuando tengan competencia para prestar el servicio público respectivo, y </w:t>
      </w:r>
      <w:r w:rsidRPr="00501B11">
        <w:rPr>
          <w:rFonts w:ascii="Bookman Old Style" w:hAnsi="Bookman Old Style" w:cs="ArialMT"/>
          <w:b/>
          <w:i/>
          <w:color w:val="000000"/>
        </w:rPr>
        <w:t>las comisiones de regulación</w:t>
      </w:r>
      <w:r w:rsidR="00DF00EC">
        <w:rPr>
          <w:rFonts w:ascii="Bookman Old Style" w:hAnsi="Bookman Old Style" w:cs="ArialMT"/>
          <w:b/>
          <w:i/>
          <w:color w:val="000000"/>
        </w:rPr>
        <w:t xml:space="preserve"> …”</w:t>
      </w:r>
      <w:r w:rsidRPr="00E44D38">
        <w:rPr>
          <w:rFonts w:ascii="Bookman Old Style" w:hAnsi="Bookman Old Style" w:cs="ArialMT"/>
          <w:bCs/>
          <w:i/>
          <w:color w:val="000000"/>
        </w:rPr>
        <w:t>.</w:t>
      </w:r>
      <w:r w:rsidR="00443930" w:rsidRPr="00501B11">
        <w:rPr>
          <w:rFonts w:ascii="Bookman Old Style" w:hAnsi="Bookman Old Style" w:cs="ArialMT"/>
          <w:b/>
          <w:i/>
          <w:color w:val="000000"/>
        </w:rPr>
        <w:t xml:space="preserve"> </w:t>
      </w:r>
      <w:r w:rsidR="001708EE" w:rsidRPr="00E44D38">
        <w:rPr>
          <w:rFonts w:ascii="Bookman Old Style" w:hAnsi="Bookman Old Style" w:cs="ArialMT"/>
          <w:bCs/>
          <w:iCs/>
          <w:color w:val="000000"/>
        </w:rPr>
        <w:t>(</w:t>
      </w:r>
      <w:r w:rsidR="00443930" w:rsidRPr="00E44D38">
        <w:rPr>
          <w:rFonts w:ascii="Bookman Old Style" w:hAnsi="Bookman Old Style" w:cs="ArialMT"/>
          <w:bCs/>
          <w:iCs/>
          <w:color w:val="000000"/>
        </w:rPr>
        <w:t>Negrilla fuera de texto</w:t>
      </w:r>
      <w:r w:rsidR="001708EE" w:rsidRPr="00E44D38">
        <w:rPr>
          <w:rFonts w:ascii="Bookman Old Style" w:hAnsi="Bookman Old Style" w:cs="ArialMT"/>
          <w:bCs/>
          <w:iCs/>
          <w:color w:val="000000"/>
        </w:rPr>
        <w:t>)</w:t>
      </w:r>
    </w:p>
    <w:p w14:paraId="618AF50A" w14:textId="77777777" w:rsidR="00CA15E6" w:rsidRDefault="00CA15E6" w:rsidP="00CA15E6">
      <w:pPr>
        <w:spacing w:after="0" w:line="240" w:lineRule="auto"/>
        <w:ind w:left="-142" w:right="-142"/>
        <w:jc w:val="both"/>
        <w:rPr>
          <w:rFonts w:ascii="Bookman Old Style" w:hAnsi="Bookman Old Style" w:cs="ArialMT"/>
          <w:color w:val="000000"/>
          <w:sz w:val="24"/>
          <w:szCs w:val="24"/>
        </w:rPr>
      </w:pPr>
    </w:p>
    <w:p w14:paraId="4599842F" w14:textId="3DAEEC89" w:rsidR="0030203C" w:rsidRDefault="00306E86" w:rsidP="00EA16B8">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En ese orden de ideas</w:t>
      </w:r>
      <w:r w:rsidR="00376081">
        <w:rPr>
          <w:rFonts w:ascii="Bookman Old Style" w:hAnsi="Bookman Old Style" w:cs="ArialMT"/>
          <w:color w:val="000000"/>
          <w:sz w:val="24"/>
          <w:szCs w:val="24"/>
        </w:rPr>
        <w:t>,</w:t>
      </w:r>
      <w:r>
        <w:rPr>
          <w:rFonts w:ascii="Bookman Old Style" w:hAnsi="Bookman Old Style" w:cs="ArialMT"/>
          <w:color w:val="000000"/>
          <w:sz w:val="24"/>
          <w:szCs w:val="24"/>
        </w:rPr>
        <w:t xml:space="preserve"> la competencia de la CREG frente a la imposición</w:t>
      </w:r>
      <w:r w:rsidR="003664BB">
        <w:rPr>
          <w:rFonts w:ascii="Bookman Old Style" w:hAnsi="Bookman Old Style" w:cs="ArialMT"/>
          <w:color w:val="000000"/>
          <w:sz w:val="24"/>
          <w:szCs w:val="24"/>
        </w:rPr>
        <w:t xml:space="preserve"> de la servidumbre</w:t>
      </w:r>
      <w:r>
        <w:rPr>
          <w:rFonts w:ascii="Bookman Old Style" w:hAnsi="Bookman Old Style" w:cs="ArialMT"/>
          <w:color w:val="000000"/>
          <w:sz w:val="24"/>
          <w:szCs w:val="24"/>
        </w:rPr>
        <w:t xml:space="preserve"> llega hasta donde la ley lo permite</w:t>
      </w:r>
      <w:r w:rsidR="00376081">
        <w:rPr>
          <w:rFonts w:ascii="Bookman Old Style" w:hAnsi="Bookman Old Style" w:cs="ArialMT"/>
          <w:color w:val="000000"/>
          <w:sz w:val="24"/>
          <w:szCs w:val="24"/>
        </w:rPr>
        <w:t>,</w:t>
      </w:r>
      <w:r>
        <w:rPr>
          <w:rFonts w:ascii="Bookman Old Style" w:hAnsi="Bookman Old Style" w:cs="ArialMT"/>
          <w:color w:val="000000"/>
          <w:sz w:val="24"/>
          <w:szCs w:val="24"/>
        </w:rPr>
        <w:t xml:space="preserve"> y no puede entrar a </w:t>
      </w:r>
      <w:r w:rsidR="003A3B1A">
        <w:rPr>
          <w:rFonts w:ascii="Bookman Old Style" w:hAnsi="Bookman Old Style" w:cs="ArialMT"/>
          <w:color w:val="000000"/>
          <w:sz w:val="24"/>
          <w:szCs w:val="24"/>
        </w:rPr>
        <w:t xml:space="preserve">extralimitarse al </w:t>
      </w:r>
      <w:r>
        <w:rPr>
          <w:rFonts w:ascii="Bookman Old Style" w:hAnsi="Bookman Old Style" w:cs="ArialMT"/>
          <w:color w:val="000000"/>
          <w:sz w:val="24"/>
          <w:szCs w:val="24"/>
        </w:rPr>
        <w:t>definir aspectos contractuales inherentes al contrato de conexión</w:t>
      </w:r>
      <w:r w:rsidR="001C0DAB">
        <w:rPr>
          <w:rFonts w:ascii="Bookman Old Style" w:hAnsi="Bookman Old Style" w:cs="ArialMT"/>
          <w:color w:val="000000"/>
          <w:sz w:val="24"/>
          <w:szCs w:val="24"/>
        </w:rPr>
        <w:t xml:space="preserve"> </w:t>
      </w:r>
      <w:r w:rsidR="00934948">
        <w:rPr>
          <w:rFonts w:ascii="Bookman Old Style" w:hAnsi="Bookman Old Style" w:cs="ArialMT"/>
          <w:color w:val="000000"/>
          <w:sz w:val="24"/>
          <w:szCs w:val="24"/>
        </w:rPr>
        <w:t>que le</w:t>
      </w:r>
      <w:r w:rsidR="00AD1CB7">
        <w:rPr>
          <w:rFonts w:ascii="Bookman Old Style" w:hAnsi="Bookman Old Style" w:cs="ArialMT"/>
          <w:color w:val="000000"/>
          <w:sz w:val="24"/>
          <w:szCs w:val="24"/>
        </w:rPr>
        <w:t>s</w:t>
      </w:r>
      <w:r w:rsidR="00934948">
        <w:rPr>
          <w:rFonts w:ascii="Bookman Old Style" w:hAnsi="Bookman Old Style" w:cs="ArialMT"/>
          <w:color w:val="000000"/>
          <w:sz w:val="24"/>
          <w:szCs w:val="24"/>
        </w:rPr>
        <w:t xml:space="preserve"> corresponde definir a las partes</w:t>
      </w:r>
      <w:r w:rsidR="00ED79D6">
        <w:rPr>
          <w:rFonts w:ascii="Bookman Old Style" w:hAnsi="Bookman Old Style" w:cs="ArialMT"/>
          <w:color w:val="000000"/>
          <w:sz w:val="24"/>
          <w:szCs w:val="24"/>
        </w:rPr>
        <w:t>,</w:t>
      </w:r>
      <w:r w:rsidR="00934948">
        <w:rPr>
          <w:rFonts w:ascii="Bookman Old Style" w:hAnsi="Bookman Old Style" w:cs="ArialMT"/>
          <w:color w:val="000000"/>
          <w:sz w:val="24"/>
          <w:szCs w:val="24"/>
        </w:rPr>
        <w:t xml:space="preserve"> </w:t>
      </w:r>
      <w:r w:rsidR="005755A8">
        <w:rPr>
          <w:rFonts w:ascii="Bookman Old Style" w:hAnsi="Bookman Old Style" w:cs="ArialMT"/>
          <w:color w:val="000000"/>
          <w:sz w:val="24"/>
          <w:szCs w:val="24"/>
        </w:rPr>
        <w:t xml:space="preserve">teniendo en cuenta que </w:t>
      </w:r>
      <w:r w:rsidR="0035604D">
        <w:rPr>
          <w:rFonts w:ascii="Bookman Old Style" w:hAnsi="Bookman Old Style" w:cs="ArialMT"/>
          <w:color w:val="000000"/>
          <w:sz w:val="24"/>
          <w:szCs w:val="24"/>
        </w:rPr>
        <w:t xml:space="preserve">son estas quienes conocen en detalle la operación </w:t>
      </w:r>
      <w:r w:rsidR="0080317F">
        <w:rPr>
          <w:rFonts w:ascii="Bookman Old Style" w:hAnsi="Bookman Old Style" w:cs="ArialMT"/>
          <w:color w:val="000000"/>
          <w:sz w:val="24"/>
          <w:szCs w:val="24"/>
        </w:rPr>
        <w:t>y responsabilidades que se encuentran a su cargo</w:t>
      </w:r>
      <w:r w:rsidR="00376081">
        <w:rPr>
          <w:rFonts w:ascii="Bookman Old Style" w:hAnsi="Bookman Old Style" w:cs="ArialMT"/>
          <w:color w:val="000000"/>
          <w:sz w:val="24"/>
          <w:szCs w:val="24"/>
        </w:rPr>
        <w:t>,</w:t>
      </w:r>
      <w:r w:rsidR="00231C74">
        <w:rPr>
          <w:rFonts w:ascii="Bookman Old Style" w:hAnsi="Bookman Old Style" w:cs="ArialMT"/>
          <w:color w:val="000000"/>
          <w:sz w:val="24"/>
          <w:szCs w:val="24"/>
        </w:rPr>
        <w:t xml:space="preserve"> y que dichos aspectos no fueron objeto de definición dentro de la actuación administrativa</w:t>
      </w:r>
      <w:r w:rsidR="00376081">
        <w:rPr>
          <w:rFonts w:ascii="Bookman Old Style" w:hAnsi="Bookman Old Style" w:cs="ArialMT"/>
          <w:color w:val="000000"/>
          <w:sz w:val="24"/>
          <w:szCs w:val="24"/>
        </w:rPr>
        <w:t>,</w:t>
      </w:r>
      <w:r w:rsidR="00231C74">
        <w:rPr>
          <w:rFonts w:ascii="Bookman Old Style" w:hAnsi="Bookman Old Style" w:cs="ArialMT"/>
          <w:color w:val="000000"/>
          <w:sz w:val="24"/>
          <w:szCs w:val="24"/>
        </w:rPr>
        <w:t xml:space="preserve"> como por ejemplo la determinación de garantías u obligaciones de acceso del personal, entre otros. </w:t>
      </w:r>
    </w:p>
    <w:p w14:paraId="02BE5551" w14:textId="77777777" w:rsidR="004B256A" w:rsidRDefault="004B256A" w:rsidP="00EA16B8">
      <w:pPr>
        <w:spacing w:after="0" w:line="240" w:lineRule="auto"/>
        <w:ind w:left="-142" w:right="-142"/>
        <w:jc w:val="both"/>
        <w:rPr>
          <w:rFonts w:ascii="Bookman Old Style" w:hAnsi="Bookman Old Style" w:cs="ArialMT"/>
          <w:color w:val="000000"/>
          <w:sz w:val="24"/>
          <w:szCs w:val="24"/>
        </w:rPr>
      </w:pPr>
    </w:p>
    <w:p w14:paraId="13AD8A5C" w14:textId="3500F3D3" w:rsidR="004B256A" w:rsidRDefault="004B256A" w:rsidP="00EA16B8">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De otra parte, es importante resaltar que e</w:t>
      </w:r>
      <w:r w:rsidRPr="004B256A">
        <w:rPr>
          <w:rFonts w:ascii="Bookman Old Style" w:hAnsi="Bookman Old Style" w:cs="ArialMT"/>
          <w:color w:val="000000"/>
          <w:sz w:val="24"/>
          <w:szCs w:val="24"/>
        </w:rPr>
        <w:t>n el artículo 5 de la Resolución CREG 038 de 2018 se señalan las condiciones técnicas de la conexión que deben observarse y el contenido mínimo del contrato de conexión, el cual es de obligatorio cumplimiento para las partes.</w:t>
      </w:r>
    </w:p>
    <w:p w14:paraId="0096BADA" w14:textId="67202979" w:rsidR="00DC2249" w:rsidRDefault="00DC2249" w:rsidP="00EA16B8">
      <w:pPr>
        <w:spacing w:after="0" w:line="240" w:lineRule="auto"/>
        <w:ind w:left="-142" w:right="-142"/>
        <w:jc w:val="both"/>
        <w:rPr>
          <w:rFonts w:ascii="Bookman Old Style" w:hAnsi="Bookman Old Style" w:cs="ArialMT"/>
          <w:color w:val="000000"/>
          <w:sz w:val="24"/>
          <w:szCs w:val="24"/>
        </w:rPr>
      </w:pPr>
    </w:p>
    <w:p w14:paraId="22B8C996" w14:textId="5BBAC4DE" w:rsidR="008E08CD" w:rsidRDefault="00DC2249" w:rsidP="00455D82">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Por último,</w:t>
      </w:r>
      <w:r w:rsidR="009467AC">
        <w:rPr>
          <w:rFonts w:ascii="Bookman Old Style" w:hAnsi="Bookman Old Style" w:cs="ArialMT"/>
          <w:color w:val="000000"/>
          <w:sz w:val="24"/>
          <w:szCs w:val="24"/>
        </w:rPr>
        <w:t xml:space="preserve"> con</w:t>
      </w:r>
      <w:r>
        <w:rPr>
          <w:rFonts w:ascii="Bookman Old Style" w:hAnsi="Bookman Old Style" w:cs="ArialMT"/>
          <w:color w:val="000000"/>
          <w:sz w:val="24"/>
          <w:szCs w:val="24"/>
        </w:rPr>
        <w:t xml:space="preserve"> </w:t>
      </w:r>
      <w:r w:rsidR="00ED5390">
        <w:rPr>
          <w:rFonts w:ascii="Bookman Old Style" w:hAnsi="Bookman Old Style" w:cs="ArialMT"/>
          <w:color w:val="000000"/>
          <w:sz w:val="24"/>
          <w:szCs w:val="24"/>
        </w:rPr>
        <w:t>la imposición</w:t>
      </w:r>
      <w:r w:rsidR="00FE3EA2">
        <w:rPr>
          <w:rFonts w:ascii="Bookman Old Style" w:hAnsi="Bookman Old Style" w:cs="ArialMT"/>
          <w:color w:val="000000"/>
          <w:sz w:val="24"/>
          <w:szCs w:val="24"/>
        </w:rPr>
        <w:t xml:space="preserve"> de servidumbre no</w:t>
      </w:r>
      <w:r w:rsidR="009467AC">
        <w:rPr>
          <w:rFonts w:ascii="Bookman Old Style" w:hAnsi="Bookman Old Style" w:cs="ArialMT"/>
          <w:color w:val="000000"/>
          <w:sz w:val="24"/>
          <w:szCs w:val="24"/>
        </w:rPr>
        <w:t xml:space="preserve"> se</w:t>
      </w:r>
      <w:r w:rsidR="00FE3EA2">
        <w:rPr>
          <w:rFonts w:ascii="Bookman Old Style" w:hAnsi="Bookman Old Style" w:cs="ArialMT"/>
          <w:color w:val="000000"/>
          <w:sz w:val="24"/>
          <w:szCs w:val="24"/>
        </w:rPr>
        <w:t xml:space="preserve"> contravía </w:t>
      </w:r>
      <w:r w:rsidR="00F07848">
        <w:rPr>
          <w:rFonts w:ascii="Bookman Old Style" w:hAnsi="Bookman Old Style" w:cs="ArialMT"/>
          <w:color w:val="000000"/>
          <w:sz w:val="24"/>
          <w:szCs w:val="24"/>
        </w:rPr>
        <w:t xml:space="preserve">el artículo 39.4 de </w:t>
      </w:r>
      <w:r w:rsidR="00FE3EA2">
        <w:rPr>
          <w:rFonts w:ascii="Bookman Old Style" w:hAnsi="Bookman Old Style" w:cs="ArialMT"/>
          <w:color w:val="000000"/>
          <w:sz w:val="24"/>
          <w:szCs w:val="24"/>
        </w:rPr>
        <w:t>la Ley 142</w:t>
      </w:r>
      <w:r w:rsidR="00F07848">
        <w:rPr>
          <w:rFonts w:ascii="Bookman Old Style" w:hAnsi="Bookman Old Style" w:cs="ArialMT"/>
          <w:color w:val="000000"/>
          <w:sz w:val="24"/>
          <w:szCs w:val="24"/>
        </w:rPr>
        <w:t xml:space="preserve"> de 1994</w:t>
      </w:r>
      <w:r w:rsidR="00FE3EA2">
        <w:rPr>
          <w:rFonts w:ascii="Bookman Old Style" w:hAnsi="Bookman Old Style" w:cs="ArialMT"/>
          <w:color w:val="000000"/>
          <w:sz w:val="24"/>
          <w:szCs w:val="24"/>
        </w:rPr>
        <w:t xml:space="preserve"> como lo afirma el recurrente</w:t>
      </w:r>
      <w:r w:rsidR="00376081">
        <w:rPr>
          <w:rFonts w:ascii="Bookman Old Style" w:hAnsi="Bookman Old Style" w:cs="ArialMT"/>
          <w:color w:val="000000"/>
          <w:sz w:val="24"/>
          <w:szCs w:val="24"/>
        </w:rPr>
        <w:t>,</w:t>
      </w:r>
      <w:r w:rsidR="00FE3EA2">
        <w:rPr>
          <w:rFonts w:ascii="Bookman Old Style" w:hAnsi="Bookman Old Style" w:cs="ArialMT"/>
          <w:color w:val="000000"/>
          <w:sz w:val="24"/>
          <w:szCs w:val="24"/>
        </w:rPr>
        <w:t xml:space="preserve"> </w:t>
      </w:r>
      <w:r w:rsidR="00F07848">
        <w:rPr>
          <w:rFonts w:ascii="Bookman Old Style" w:hAnsi="Bookman Old Style" w:cs="ArialMT"/>
          <w:color w:val="000000"/>
          <w:sz w:val="24"/>
          <w:szCs w:val="24"/>
        </w:rPr>
        <w:t>si</w:t>
      </w:r>
      <w:r w:rsidR="00376081">
        <w:rPr>
          <w:rFonts w:ascii="Bookman Old Style" w:hAnsi="Bookman Old Style" w:cs="ArialMT"/>
          <w:color w:val="000000"/>
          <w:sz w:val="24"/>
          <w:szCs w:val="24"/>
        </w:rPr>
        <w:t xml:space="preserve"> </w:t>
      </w:r>
      <w:r w:rsidR="00F07848">
        <w:rPr>
          <w:rFonts w:ascii="Bookman Old Style" w:hAnsi="Bookman Old Style" w:cs="ArialMT"/>
          <w:color w:val="000000"/>
          <w:sz w:val="24"/>
          <w:szCs w:val="24"/>
        </w:rPr>
        <w:t xml:space="preserve">no que </w:t>
      </w:r>
      <w:r w:rsidR="00ED5390">
        <w:rPr>
          <w:rFonts w:ascii="Bookman Old Style" w:hAnsi="Bookman Old Style" w:cs="ArialMT"/>
          <w:color w:val="000000"/>
          <w:sz w:val="24"/>
          <w:szCs w:val="24"/>
        </w:rPr>
        <w:t>por</w:t>
      </w:r>
      <w:r w:rsidR="00FE3EA2">
        <w:rPr>
          <w:rFonts w:ascii="Bookman Old Style" w:hAnsi="Bookman Old Style" w:cs="ArialMT"/>
          <w:color w:val="000000"/>
          <w:sz w:val="24"/>
          <w:szCs w:val="24"/>
        </w:rPr>
        <w:t xml:space="preserve"> el contrario</w:t>
      </w:r>
      <w:r w:rsidR="00F07848">
        <w:rPr>
          <w:rFonts w:ascii="Bookman Old Style" w:hAnsi="Bookman Old Style" w:cs="ArialMT"/>
          <w:color w:val="000000"/>
          <w:sz w:val="24"/>
          <w:szCs w:val="24"/>
        </w:rPr>
        <w:t xml:space="preserve"> se</w:t>
      </w:r>
      <w:r w:rsidR="00FE3EA2">
        <w:rPr>
          <w:rFonts w:ascii="Bookman Old Style" w:hAnsi="Bookman Old Style" w:cs="ArialMT"/>
          <w:color w:val="000000"/>
          <w:sz w:val="24"/>
          <w:szCs w:val="24"/>
        </w:rPr>
        <w:t xml:space="preserve"> </w:t>
      </w:r>
      <w:r w:rsidR="00147689">
        <w:rPr>
          <w:rFonts w:ascii="Bookman Old Style" w:hAnsi="Bookman Old Style" w:cs="ArialMT"/>
          <w:color w:val="000000"/>
          <w:sz w:val="24"/>
          <w:szCs w:val="24"/>
        </w:rPr>
        <w:t xml:space="preserve">da </w:t>
      </w:r>
      <w:r w:rsidR="00FE3EA2">
        <w:rPr>
          <w:rFonts w:ascii="Bookman Old Style" w:hAnsi="Bookman Old Style" w:cs="ArialMT"/>
          <w:color w:val="000000"/>
          <w:sz w:val="24"/>
          <w:szCs w:val="24"/>
        </w:rPr>
        <w:t>a</w:t>
      </w:r>
      <w:r w:rsidR="001E035D">
        <w:rPr>
          <w:rFonts w:ascii="Bookman Old Style" w:hAnsi="Bookman Old Style" w:cs="ArialMT"/>
          <w:color w:val="000000"/>
          <w:sz w:val="24"/>
          <w:szCs w:val="24"/>
        </w:rPr>
        <w:t>p</w:t>
      </w:r>
      <w:r w:rsidR="00FE3EA2">
        <w:rPr>
          <w:rFonts w:ascii="Bookman Old Style" w:hAnsi="Bookman Old Style" w:cs="ArialMT"/>
          <w:color w:val="000000"/>
          <w:sz w:val="24"/>
          <w:szCs w:val="24"/>
        </w:rPr>
        <w:t>lica</w:t>
      </w:r>
      <w:r w:rsidR="00147689">
        <w:rPr>
          <w:rFonts w:ascii="Bookman Old Style" w:hAnsi="Bookman Old Style" w:cs="ArialMT"/>
          <w:color w:val="000000"/>
          <w:sz w:val="24"/>
          <w:szCs w:val="24"/>
        </w:rPr>
        <w:t>ción a</w:t>
      </w:r>
      <w:r w:rsidR="00FE3EA2">
        <w:rPr>
          <w:rFonts w:ascii="Bookman Old Style" w:hAnsi="Bookman Old Style" w:cs="ArialMT"/>
          <w:color w:val="000000"/>
          <w:sz w:val="24"/>
          <w:szCs w:val="24"/>
        </w:rPr>
        <w:t xml:space="preserve"> la facultad</w:t>
      </w:r>
      <w:r w:rsidR="00E818C5">
        <w:rPr>
          <w:rFonts w:ascii="Bookman Old Style" w:hAnsi="Bookman Old Style" w:cs="ArialMT"/>
          <w:color w:val="000000"/>
          <w:sz w:val="24"/>
          <w:szCs w:val="24"/>
        </w:rPr>
        <w:t xml:space="preserve"> dada</w:t>
      </w:r>
      <w:r w:rsidR="00C37D67">
        <w:rPr>
          <w:rFonts w:ascii="Bookman Old Style" w:hAnsi="Bookman Old Style" w:cs="ArialMT"/>
          <w:color w:val="000000"/>
          <w:sz w:val="24"/>
          <w:szCs w:val="24"/>
        </w:rPr>
        <w:t>, limitándose la</w:t>
      </w:r>
      <w:r w:rsidR="00FE3EA2">
        <w:rPr>
          <w:rFonts w:ascii="Bookman Old Style" w:hAnsi="Bookman Old Style" w:cs="ArialMT"/>
          <w:color w:val="000000"/>
          <w:sz w:val="24"/>
          <w:szCs w:val="24"/>
        </w:rPr>
        <w:t xml:space="preserve"> com</w:t>
      </w:r>
      <w:r w:rsidR="00ED5390">
        <w:rPr>
          <w:rFonts w:ascii="Bookman Old Style" w:hAnsi="Bookman Old Style" w:cs="ArialMT"/>
          <w:color w:val="000000"/>
          <w:sz w:val="24"/>
          <w:szCs w:val="24"/>
        </w:rPr>
        <w:t>pe</w:t>
      </w:r>
      <w:r w:rsidR="00FE3EA2">
        <w:rPr>
          <w:rFonts w:ascii="Bookman Old Style" w:hAnsi="Bookman Old Style" w:cs="ArialMT"/>
          <w:color w:val="000000"/>
          <w:sz w:val="24"/>
          <w:szCs w:val="24"/>
        </w:rPr>
        <w:t xml:space="preserve">tencia </w:t>
      </w:r>
      <w:r w:rsidR="00C37D67">
        <w:rPr>
          <w:rFonts w:ascii="Bookman Old Style" w:hAnsi="Bookman Old Style" w:cs="ArialMT"/>
          <w:color w:val="000000"/>
          <w:sz w:val="24"/>
          <w:szCs w:val="24"/>
        </w:rPr>
        <w:t>de esta Comisión</w:t>
      </w:r>
      <w:r w:rsidR="00BE5037">
        <w:rPr>
          <w:rFonts w:ascii="Bookman Old Style" w:hAnsi="Bookman Old Style" w:cs="ArialMT"/>
          <w:color w:val="000000"/>
          <w:sz w:val="24"/>
          <w:szCs w:val="24"/>
        </w:rPr>
        <w:t xml:space="preserve"> </w:t>
      </w:r>
      <w:r w:rsidR="00903153">
        <w:rPr>
          <w:rFonts w:ascii="Bookman Old Style" w:hAnsi="Bookman Old Style" w:cs="ArialMT"/>
          <w:color w:val="000000"/>
          <w:sz w:val="24"/>
          <w:szCs w:val="24"/>
        </w:rPr>
        <w:t xml:space="preserve">a </w:t>
      </w:r>
      <w:r w:rsidR="00ED5390">
        <w:rPr>
          <w:rFonts w:ascii="Bookman Old Style" w:hAnsi="Bookman Old Style" w:cs="ArialMT"/>
          <w:color w:val="000000"/>
          <w:sz w:val="24"/>
          <w:szCs w:val="24"/>
        </w:rPr>
        <w:t xml:space="preserve">la </w:t>
      </w:r>
      <w:r w:rsidR="00ED5390" w:rsidRPr="004226FB">
        <w:rPr>
          <w:rFonts w:ascii="Bookman Old Style" w:hAnsi="Bookman Old Style" w:cs="ArialMT"/>
          <w:color w:val="000000"/>
          <w:sz w:val="24"/>
          <w:szCs w:val="24"/>
        </w:rPr>
        <w:t>imposición del deber jurídico de hacer o permitir</w:t>
      </w:r>
      <w:r w:rsidR="00FD3933" w:rsidRPr="004226FB">
        <w:rPr>
          <w:rFonts w:ascii="Bookman Old Style" w:hAnsi="Bookman Old Style" w:cs="ArialMT"/>
          <w:color w:val="000000"/>
          <w:sz w:val="24"/>
          <w:szCs w:val="24"/>
        </w:rPr>
        <w:t xml:space="preserve"> la </w:t>
      </w:r>
      <w:r w:rsidR="00BE5037" w:rsidRPr="004226FB">
        <w:rPr>
          <w:rFonts w:ascii="Bookman Old Style" w:hAnsi="Bookman Old Style" w:cs="ArialMT"/>
          <w:color w:val="000000"/>
          <w:sz w:val="24"/>
          <w:szCs w:val="24"/>
        </w:rPr>
        <w:t>conexión</w:t>
      </w:r>
      <w:r w:rsidR="00ED5390" w:rsidRPr="004226FB">
        <w:rPr>
          <w:rFonts w:ascii="Bookman Old Style" w:hAnsi="Bookman Old Style" w:cs="ArialMT"/>
          <w:color w:val="000000"/>
          <w:sz w:val="24"/>
          <w:szCs w:val="24"/>
        </w:rPr>
        <w:t xml:space="preserve"> por la parte obligada</w:t>
      </w:r>
      <w:r w:rsidR="00376081">
        <w:rPr>
          <w:rFonts w:ascii="Bookman Old Style" w:hAnsi="Bookman Old Style" w:cs="ArialMT"/>
          <w:color w:val="000000"/>
          <w:sz w:val="24"/>
          <w:szCs w:val="24"/>
        </w:rPr>
        <w:t>,</w:t>
      </w:r>
      <w:r w:rsidR="00ED5390" w:rsidRPr="004226FB">
        <w:rPr>
          <w:rFonts w:ascii="Bookman Old Style" w:hAnsi="Bookman Old Style" w:cs="ArialMT"/>
          <w:color w:val="000000"/>
          <w:sz w:val="24"/>
          <w:szCs w:val="24"/>
        </w:rPr>
        <w:t xml:space="preserve"> </w:t>
      </w:r>
      <w:r w:rsidR="00BE5037" w:rsidRPr="00E44D38">
        <w:rPr>
          <w:rFonts w:ascii="Bookman Old Style" w:hAnsi="Bookman Old Style" w:cs="ArialMT"/>
          <w:color w:val="000000"/>
          <w:sz w:val="24"/>
          <w:szCs w:val="24"/>
        </w:rPr>
        <w:t xml:space="preserve"> de conformidad con lo señalado en </w:t>
      </w:r>
      <w:r w:rsidR="00BE5037" w:rsidRPr="004226FB">
        <w:rPr>
          <w:rFonts w:ascii="Bookman Old Style" w:hAnsi="Bookman Old Style" w:cs="ArialMT"/>
          <w:color w:val="000000"/>
          <w:sz w:val="24"/>
          <w:szCs w:val="24"/>
        </w:rPr>
        <w:t>Código Civil Colombiano y la Ley 142 de 1994</w:t>
      </w:r>
      <w:r w:rsidR="000070DA" w:rsidRPr="004226FB">
        <w:rPr>
          <w:rFonts w:ascii="Bookman Old Style" w:hAnsi="Bookman Old Style" w:cs="ArialMT"/>
          <w:color w:val="000000"/>
          <w:sz w:val="24"/>
          <w:szCs w:val="24"/>
        </w:rPr>
        <w:t>.</w:t>
      </w:r>
      <w:r w:rsidR="00AD7D6F">
        <w:rPr>
          <w:rFonts w:ascii="Bookman Old Style" w:hAnsi="Bookman Old Style" w:cs="ArialMT"/>
          <w:color w:val="000000"/>
          <w:sz w:val="24"/>
          <w:szCs w:val="24"/>
        </w:rPr>
        <w:t xml:space="preserve"> </w:t>
      </w:r>
      <w:r w:rsidR="009655DF">
        <w:rPr>
          <w:rFonts w:ascii="Bookman Old Style" w:hAnsi="Bookman Old Style" w:cs="ArialMT"/>
          <w:color w:val="000000"/>
          <w:sz w:val="24"/>
          <w:szCs w:val="24"/>
        </w:rPr>
        <w:t>Definiéndose los elementos esenciales y contenido mínimo del contrato de conexión</w:t>
      </w:r>
      <w:r w:rsidR="00010E7E">
        <w:rPr>
          <w:rFonts w:ascii="Bookman Old Style" w:hAnsi="Bookman Old Style" w:cs="ArialMT"/>
          <w:color w:val="000000"/>
          <w:sz w:val="24"/>
          <w:szCs w:val="24"/>
        </w:rPr>
        <w:t xml:space="preserve"> que deben suscribir las partes</w:t>
      </w:r>
      <w:r w:rsidR="00091BF9">
        <w:rPr>
          <w:rFonts w:ascii="Bookman Old Style" w:hAnsi="Bookman Old Style" w:cs="ArialMT"/>
          <w:color w:val="000000"/>
          <w:sz w:val="24"/>
          <w:szCs w:val="24"/>
        </w:rPr>
        <w:t>,</w:t>
      </w:r>
      <w:r w:rsidR="008A2883">
        <w:rPr>
          <w:rFonts w:ascii="Bookman Old Style" w:hAnsi="Bookman Old Style" w:cs="ArialMT"/>
          <w:color w:val="000000"/>
          <w:sz w:val="24"/>
          <w:szCs w:val="24"/>
        </w:rPr>
        <w:t xml:space="preserve"> s</w:t>
      </w:r>
      <w:r w:rsidR="00AD7D6F">
        <w:rPr>
          <w:rFonts w:ascii="Bookman Old Style" w:hAnsi="Bookman Old Style" w:cs="ArialMT"/>
          <w:color w:val="000000"/>
          <w:sz w:val="24"/>
          <w:szCs w:val="24"/>
        </w:rPr>
        <w:t>in restringir</w:t>
      </w:r>
      <w:r w:rsidR="00E2504C">
        <w:rPr>
          <w:rFonts w:ascii="Bookman Old Style" w:hAnsi="Bookman Old Style" w:cs="ArialMT"/>
          <w:color w:val="000000"/>
          <w:sz w:val="24"/>
          <w:szCs w:val="24"/>
        </w:rPr>
        <w:t>las</w:t>
      </w:r>
      <w:r w:rsidR="00AD7D6F">
        <w:rPr>
          <w:rFonts w:ascii="Bookman Old Style" w:hAnsi="Bookman Old Style" w:cs="ArialMT"/>
          <w:color w:val="000000"/>
          <w:sz w:val="24"/>
          <w:szCs w:val="24"/>
        </w:rPr>
        <w:t xml:space="preserve"> </w:t>
      </w:r>
      <w:r w:rsidR="000070DA">
        <w:rPr>
          <w:rFonts w:ascii="Bookman Old Style" w:hAnsi="Bookman Old Style" w:cs="ArialMT"/>
          <w:color w:val="000000"/>
          <w:sz w:val="24"/>
          <w:szCs w:val="24"/>
        </w:rPr>
        <w:t xml:space="preserve"> </w:t>
      </w:r>
      <w:r w:rsidR="00AD7D6F">
        <w:rPr>
          <w:rFonts w:ascii="Bookman Old Style" w:hAnsi="Bookman Old Style" w:cs="ArialMT"/>
          <w:color w:val="000000"/>
          <w:sz w:val="24"/>
          <w:szCs w:val="24"/>
        </w:rPr>
        <w:t xml:space="preserve">a </w:t>
      </w:r>
      <w:r w:rsidR="008A2883">
        <w:rPr>
          <w:rFonts w:ascii="Bookman Old Style" w:hAnsi="Bookman Old Style" w:cs="ArialMT"/>
          <w:color w:val="000000"/>
          <w:sz w:val="24"/>
          <w:szCs w:val="24"/>
        </w:rPr>
        <w:t xml:space="preserve">que en </w:t>
      </w:r>
      <w:r w:rsidR="00AD7D6F">
        <w:rPr>
          <w:rFonts w:ascii="Bookman Old Style" w:hAnsi="Bookman Old Style" w:cs="ArialMT"/>
          <w:color w:val="000000"/>
          <w:sz w:val="24"/>
          <w:szCs w:val="24"/>
        </w:rPr>
        <w:t>la celebración del</w:t>
      </w:r>
      <w:r w:rsidR="007A3614">
        <w:rPr>
          <w:rFonts w:ascii="Bookman Old Style" w:hAnsi="Bookman Old Style" w:cs="ArialMT"/>
          <w:color w:val="000000"/>
          <w:sz w:val="24"/>
          <w:szCs w:val="24"/>
        </w:rPr>
        <w:t xml:space="preserve"> contrato que se deriv</w:t>
      </w:r>
      <w:r w:rsidR="008A2883">
        <w:rPr>
          <w:rFonts w:ascii="Bookman Old Style" w:hAnsi="Bookman Old Style" w:cs="ArialMT"/>
          <w:color w:val="000000"/>
          <w:sz w:val="24"/>
          <w:szCs w:val="24"/>
        </w:rPr>
        <w:t>a</w:t>
      </w:r>
      <w:r w:rsidR="007A3614">
        <w:rPr>
          <w:rFonts w:ascii="Bookman Old Style" w:hAnsi="Bookman Old Style" w:cs="ArialMT"/>
          <w:color w:val="000000"/>
          <w:sz w:val="24"/>
          <w:szCs w:val="24"/>
        </w:rPr>
        <w:t xml:space="preserve"> de la</w:t>
      </w:r>
      <w:r w:rsidR="0036766A">
        <w:rPr>
          <w:rFonts w:ascii="Bookman Old Style" w:hAnsi="Bookman Old Style" w:cs="ArialMT"/>
          <w:color w:val="000000"/>
          <w:sz w:val="24"/>
          <w:szCs w:val="24"/>
        </w:rPr>
        <w:t xml:space="preserve"> </w:t>
      </w:r>
      <w:r w:rsidR="003823EA">
        <w:rPr>
          <w:rFonts w:ascii="Bookman Old Style" w:hAnsi="Bookman Old Style" w:cs="ArialMT"/>
          <w:color w:val="000000"/>
          <w:sz w:val="24"/>
          <w:szCs w:val="24"/>
        </w:rPr>
        <w:t xml:space="preserve">imposición de la </w:t>
      </w:r>
      <w:r w:rsidR="007A3614">
        <w:rPr>
          <w:rFonts w:ascii="Bookman Old Style" w:hAnsi="Bookman Old Style" w:cs="ArialMT"/>
          <w:color w:val="000000"/>
          <w:sz w:val="24"/>
          <w:szCs w:val="24"/>
        </w:rPr>
        <w:t xml:space="preserve">servidumbre </w:t>
      </w:r>
      <w:r w:rsidR="008A2883">
        <w:rPr>
          <w:rFonts w:ascii="Bookman Old Style" w:hAnsi="Bookman Old Style" w:cs="ArialMT"/>
          <w:color w:val="000000"/>
          <w:sz w:val="24"/>
          <w:szCs w:val="24"/>
        </w:rPr>
        <w:t>puedan pa</w:t>
      </w:r>
      <w:r w:rsidR="008A2883" w:rsidRPr="0087347F">
        <w:rPr>
          <w:rFonts w:ascii="Bookman Old Style" w:hAnsi="Bookman Old Style" w:cs="ArialMT"/>
          <w:color w:val="000000"/>
          <w:sz w:val="24"/>
          <w:szCs w:val="24"/>
        </w:rPr>
        <w:t xml:space="preserve">ctar </w:t>
      </w:r>
      <w:r w:rsidR="00677683" w:rsidRPr="00E44D38">
        <w:rPr>
          <w:rFonts w:ascii="Bookman Old Style" w:hAnsi="Bookman Old Style" w:cs="ArialMT"/>
          <w:color w:val="000000"/>
          <w:sz w:val="24"/>
          <w:szCs w:val="24"/>
        </w:rPr>
        <w:t xml:space="preserve">obligaciones y  </w:t>
      </w:r>
      <w:r w:rsidR="007A3614" w:rsidRPr="0087347F">
        <w:rPr>
          <w:rFonts w:ascii="Bookman Old Style" w:hAnsi="Bookman Old Style" w:cs="ArialMT"/>
          <w:color w:val="000000"/>
          <w:sz w:val="24"/>
          <w:szCs w:val="24"/>
        </w:rPr>
        <w:t xml:space="preserve">deberes </w:t>
      </w:r>
      <w:r w:rsidR="00E2504C" w:rsidRPr="00E44D38">
        <w:rPr>
          <w:rFonts w:ascii="Bookman Old Style" w:hAnsi="Bookman Old Style" w:cs="ArialMT"/>
          <w:color w:val="000000"/>
          <w:sz w:val="24"/>
          <w:szCs w:val="24"/>
        </w:rPr>
        <w:t>adicionales</w:t>
      </w:r>
      <w:r w:rsidR="007A3614" w:rsidRPr="0087347F">
        <w:rPr>
          <w:rFonts w:ascii="Bookman Old Style" w:hAnsi="Bookman Old Style" w:cs="ArialMT"/>
          <w:color w:val="000000"/>
          <w:sz w:val="24"/>
          <w:szCs w:val="24"/>
        </w:rPr>
        <w:t xml:space="preserve"> de</w:t>
      </w:r>
      <w:r w:rsidR="008E08CD" w:rsidRPr="0087347F">
        <w:rPr>
          <w:rFonts w:ascii="Bookman Old Style" w:hAnsi="Bookman Old Style" w:cs="ArialMT"/>
          <w:color w:val="000000"/>
          <w:sz w:val="24"/>
          <w:szCs w:val="24"/>
        </w:rPr>
        <w:t xml:space="preserve"> acuerdo a la necesidad de las mismas.</w:t>
      </w:r>
    </w:p>
    <w:p w14:paraId="04D6E114" w14:textId="19D199F2" w:rsidR="008E08CD" w:rsidRDefault="008E08CD" w:rsidP="00EA16B8">
      <w:pPr>
        <w:spacing w:after="0" w:line="240" w:lineRule="auto"/>
        <w:ind w:left="-142" w:right="-142"/>
        <w:jc w:val="both"/>
        <w:rPr>
          <w:rFonts w:ascii="Bookman Old Style" w:hAnsi="Bookman Old Style" w:cs="ArialMT"/>
          <w:color w:val="000000"/>
          <w:sz w:val="24"/>
          <w:szCs w:val="24"/>
        </w:rPr>
      </w:pPr>
    </w:p>
    <w:p w14:paraId="3A939F5D" w14:textId="19BC6CCE" w:rsidR="006D1AF3" w:rsidRDefault="008E08CD" w:rsidP="00001A19">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 xml:space="preserve">En </w:t>
      </w:r>
      <w:r w:rsidR="004337A7">
        <w:rPr>
          <w:rFonts w:ascii="Bookman Old Style" w:hAnsi="Bookman Old Style" w:cs="ArialMT"/>
          <w:color w:val="000000"/>
          <w:sz w:val="24"/>
          <w:szCs w:val="24"/>
        </w:rPr>
        <w:t>consecuencia,</w:t>
      </w:r>
      <w:r>
        <w:rPr>
          <w:rFonts w:ascii="Bookman Old Style" w:hAnsi="Bookman Old Style" w:cs="ArialMT"/>
          <w:color w:val="000000"/>
          <w:sz w:val="24"/>
          <w:szCs w:val="24"/>
        </w:rPr>
        <w:t xml:space="preserve"> </w:t>
      </w:r>
      <w:r w:rsidR="00FB39B5">
        <w:rPr>
          <w:rFonts w:ascii="Bookman Old Style" w:hAnsi="Bookman Old Style" w:cs="ArialMT"/>
          <w:color w:val="000000"/>
          <w:sz w:val="24"/>
          <w:szCs w:val="24"/>
        </w:rPr>
        <w:t>n</w:t>
      </w:r>
      <w:r w:rsidR="00FB39B5" w:rsidRPr="00FB39B5">
        <w:rPr>
          <w:rFonts w:ascii="Bookman Old Style" w:hAnsi="Bookman Old Style" w:cs="ArialMT"/>
          <w:color w:val="000000"/>
          <w:sz w:val="24"/>
          <w:szCs w:val="24"/>
        </w:rPr>
        <w:t>o</w:t>
      </w:r>
      <w:r w:rsidR="00FB39B5">
        <w:rPr>
          <w:rFonts w:ascii="Bookman Old Style" w:hAnsi="Bookman Old Style" w:cs="ArialMT"/>
          <w:color w:val="000000"/>
          <w:sz w:val="24"/>
          <w:szCs w:val="24"/>
        </w:rPr>
        <w:t xml:space="preserve"> se</w:t>
      </w:r>
      <w:r w:rsidR="00FB39B5" w:rsidRPr="00FB39B5">
        <w:rPr>
          <w:rFonts w:ascii="Bookman Old Style" w:hAnsi="Bookman Old Style" w:cs="ArialMT"/>
          <w:color w:val="000000"/>
          <w:sz w:val="24"/>
          <w:szCs w:val="24"/>
        </w:rPr>
        <w:t xml:space="preserve"> repone el segundo párrafo del </w:t>
      </w:r>
      <w:r w:rsidR="00883806">
        <w:rPr>
          <w:rFonts w:ascii="Bookman Old Style" w:hAnsi="Bookman Old Style" w:cs="ArialMT"/>
          <w:color w:val="000000"/>
          <w:sz w:val="24"/>
          <w:szCs w:val="24"/>
        </w:rPr>
        <w:t>a</w:t>
      </w:r>
      <w:r w:rsidR="00FB39B5" w:rsidRPr="00FB39B5">
        <w:rPr>
          <w:rFonts w:ascii="Bookman Old Style" w:hAnsi="Bookman Old Style" w:cs="ArialMT"/>
          <w:color w:val="000000"/>
          <w:sz w:val="24"/>
          <w:szCs w:val="24"/>
        </w:rPr>
        <w:t>rtículo 2</w:t>
      </w:r>
      <w:r w:rsidR="00883806">
        <w:rPr>
          <w:rFonts w:ascii="Bookman Old Style" w:hAnsi="Bookman Old Style" w:cs="ArialMT"/>
          <w:color w:val="000000"/>
          <w:sz w:val="24"/>
          <w:szCs w:val="24"/>
        </w:rPr>
        <w:t xml:space="preserve"> de la </w:t>
      </w:r>
      <w:r w:rsidR="006D1AF3">
        <w:rPr>
          <w:rFonts w:ascii="Bookman Old Style" w:hAnsi="Bookman Old Style" w:cs="ArialMT"/>
          <w:color w:val="000000"/>
          <w:sz w:val="24"/>
          <w:szCs w:val="24"/>
        </w:rPr>
        <w:t xml:space="preserve">Resolución CREG 501 26A de 2022. </w:t>
      </w:r>
    </w:p>
    <w:p w14:paraId="69EFFD4F" w14:textId="309E4594" w:rsidR="004337A7" w:rsidRDefault="004337A7" w:rsidP="00EA16B8">
      <w:pPr>
        <w:spacing w:after="0" w:line="240" w:lineRule="auto"/>
        <w:ind w:left="-142" w:right="-142"/>
        <w:jc w:val="both"/>
        <w:rPr>
          <w:rFonts w:ascii="Bookman Old Style" w:hAnsi="Bookman Old Style" w:cs="ArialMT"/>
          <w:color w:val="000000"/>
          <w:sz w:val="24"/>
          <w:szCs w:val="24"/>
        </w:rPr>
      </w:pPr>
    </w:p>
    <w:p w14:paraId="42DFF95C" w14:textId="457E8463" w:rsidR="004337A7" w:rsidRPr="00FB39B5" w:rsidRDefault="004337A7" w:rsidP="00EA16B8">
      <w:pPr>
        <w:spacing w:after="0" w:line="240" w:lineRule="auto"/>
        <w:ind w:left="-142" w:right="-142"/>
        <w:jc w:val="both"/>
        <w:rPr>
          <w:rFonts w:ascii="Bookman Old Style" w:hAnsi="Bookman Old Style" w:cs="ArialMT"/>
          <w:b/>
          <w:color w:val="000000"/>
          <w:sz w:val="24"/>
          <w:szCs w:val="24"/>
        </w:rPr>
      </w:pPr>
      <w:r w:rsidRPr="00FB39B5">
        <w:rPr>
          <w:rFonts w:ascii="Bookman Old Style" w:hAnsi="Bookman Old Style" w:cs="ArialMT"/>
          <w:b/>
          <w:color w:val="000000"/>
          <w:sz w:val="24"/>
          <w:szCs w:val="24"/>
        </w:rPr>
        <w:t>Frente a lo argumentado por GENSA:</w:t>
      </w:r>
    </w:p>
    <w:p w14:paraId="21A9A11C" w14:textId="172DC417" w:rsidR="004337A7" w:rsidRPr="00FB39B5" w:rsidRDefault="004337A7" w:rsidP="00EA16B8">
      <w:pPr>
        <w:spacing w:after="0" w:line="240" w:lineRule="auto"/>
        <w:ind w:left="-142" w:right="-142"/>
        <w:jc w:val="both"/>
        <w:rPr>
          <w:rFonts w:ascii="Bookman Old Style" w:hAnsi="Bookman Old Style" w:cs="ArialMT"/>
          <w:b/>
          <w:color w:val="000000"/>
          <w:sz w:val="24"/>
          <w:szCs w:val="24"/>
        </w:rPr>
      </w:pPr>
    </w:p>
    <w:p w14:paraId="0009AC8D" w14:textId="2319A683" w:rsidR="00014AF8" w:rsidRPr="000A2F6A" w:rsidRDefault="00A21E69" w:rsidP="00E44D38">
      <w:pPr>
        <w:pStyle w:val="Prrafodelista"/>
        <w:numPr>
          <w:ilvl w:val="0"/>
          <w:numId w:val="27"/>
        </w:numPr>
        <w:tabs>
          <w:tab w:val="left" w:pos="142"/>
        </w:tabs>
        <w:spacing w:after="0" w:line="240" w:lineRule="auto"/>
        <w:ind w:left="-142" w:right="-142" w:firstLine="0"/>
        <w:jc w:val="both"/>
        <w:rPr>
          <w:rFonts w:ascii="Bookman Old Style" w:hAnsi="Bookman Old Style" w:cs="ArialMT"/>
          <w:color w:val="000000"/>
          <w:sz w:val="24"/>
          <w:szCs w:val="24"/>
        </w:rPr>
      </w:pPr>
      <w:r>
        <w:rPr>
          <w:rFonts w:ascii="Bookman Old Style" w:hAnsi="Bookman Old Style" w:cs="ArialMT"/>
          <w:color w:val="000000"/>
          <w:sz w:val="24"/>
          <w:szCs w:val="24"/>
        </w:rPr>
        <w:t>S</w:t>
      </w:r>
      <w:r w:rsidR="00784303" w:rsidRPr="000A2F6A">
        <w:rPr>
          <w:rFonts w:ascii="Bookman Old Style" w:hAnsi="Bookman Old Style" w:cs="ArialMT"/>
          <w:color w:val="000000"/>
          <w:sz w:val="24"/>
          <w:szCs w:val="24"/>
        </w:rPr>
        <w:t xml:space="preserve">olicita se aclare la imposición de la servidumbre, señalada en el ordinal primero de la parte  resolutiva del acto administrativo, se deberá realizar teniendo como lineamientos lo dispuesto en los considerandos de la </w:t>
      </w:r>
      <w:r w:rsidR="002053B0">
        <w:rPr>
          <w:rFonts w:ascii="Bookman Old Style" w:hAnsi="Bookman Old Style" w:cs="ArialMT"/>
          <w:color w:val="000000"/>
          <w:sz w:val="24"/>
          <w:szCs w:val="24"/>
        </w:rPr>
        <w:t>r</w:t>
      </w:r>
      <w:r w:rsidR="00784303" w:rsidRPr="000A2F6A">
        <w:rPr>
          <w:rFonts w:ascii="Bookman Old Style" w:hAnsi="Bookman Old Style" w:cs="ArialMT"/>
          <w:color w:val="000000"/>
          <w:sz w:val="24"/>
          <w:szCs w:val="24"/>
        </w:rPr>
        <w:t>esolución y del documento CREG-501 004.</w:t>
      </w:r>
      <w:r w:rsidR="00FB21EF" w:rsidRPr="000A2F6A">
        <w:rPr>
          <w:rFonts w:ascii="Bookman Old Style" w:hAnsi="Bookman Old Style" w:cs="ArialMT"/>
          <w:color w:val="000000"/>
          <w:sz w:val="24"/>
          <w:szCs w:val="24"/>
        </w:rPr>
        <w:t xml:space="preserve"> </w:t>
      </w:r>
    </w:p>
    <w:p w14:paraId="06AC11A3" w14:textId="25C5D9C4" w:rsidR="00FB21EF" w:rsidRDefault="00FB21EF" w:rsidP="00DB42EE">
      <w:pPr>
        <w:spacing w:after="0" w:line="240" w:lineRule="auto"/>
        <w:ind w:left="-142" w:right="-142"/>
        <w:jc w:val="both"/>
        <w:rPr>
          <w:rFonts w:ascii="Bookman Old Style" w:hAnsi="Bookman Old Style" w:cs="ArialMT"/>
          <w:color w:val="000000"/>
          <w:sz w:val="24"/>
          <w:szCs w:val="24"/>
        </w:rPr>
      </w:pPr>
    </w:p>
    <w:p w14:paraId="34FB7A9B" w14:textId="0B5034BE" w:rsidR="00887EC6" w:rsidRDefault="00DB42EE" w:rsidP="00E44D38">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 xml:space="preserve">Esta </w:t>
      </w:r>
      <w:r w:rsidR="00B61B2B">
        <w:rPr>
          <w:rFonts w:ascii="Bookman Old Style" w:hAnsi="Bookman Old Style" w:cs="ArialMT"/>
          <w:color w:val="000000"/>
          <w:sz w:val="24"/>
          <w:szCs w:val="24"/>
        </w:rPr>
        <w:t>C</w:t>
      </w:r>
      <w:r>
        <w:rPr>
          <w:rFonts w:ascii="Bookman Old Style" w:hAnsi="Bookman Old Style" w:cs="ArialMT"/>
          <w:color w:val="000000"/>
          <w:sz w:val="24"/>
          <w:szCs w:val="24"/>
        </w:rPr>
        <w:t>omisión considera necesario a</w:t>
      </w:r>
      <w:r w:rsidRPr="00DB42EE">
        <w:rPr>
          <w:rFonts w:ascii="Bookman Old Style" w:hAnsi="Bookman Old Style" w:cs="ArialMT"/>
          <w:color w:val="000000"/>
          <w:sz w:val="24"/>
          <w:szCs w:val="24"/>
        </w:rPr>
        <w:t xml:space="preserve">clarar </w:t>
      </w:r>
      <w:r w:rsidR="00014AF8">
        <w:rPr>
          <w:rFonts w:ascii="Bookman Old Style" w:hAnsi="Bookman Old Style" w:cs="ArialMT"/>
          <w:color w:val="000000"/>
          <w:sz w:val="24"/>
          <w:szCs w:val="24"/>
        </w:rPr>
        <w:t>que</w:t>
      </w:r>
      <w:r w:rsidR="00FB21EF">
        <w:rPr>
          <w:rFonts w:ascii="Bookman Old Style" w:hAnsi="Bookman Old Style" w:cs="ArialMT"/>
          <w:color w:val="000000"/>
          <w:sz w:val="24"/>
          <w:szCs w:val="24"/>
        </w:rPr>
        <w:t xml:space="preserve"> en el ordenamiento jurídico</w:t>
      </w:r>
      <w:r w:rsidR="001D6AC6">
        <w:rPr>
          <w:rFonts w:ascii="Bookman Old Style" w:hAnsi="Bookman Old Style" w:cs="ArialMT"/>
          <w:color w:val="000000"/>
          <w:sz w:val="24"/>
          <w:szCs w:val="24"/>
        </w:rPr>
        <w:t xml:space="preserve"> C</w:t>
      </w:r>
      <w:r w:rsidR="00FB21EF">
        <w:rPr>
          <w:rFonts w:ascii="Bookman Old Style" w:hAnsi="Bookman Old Style" w:cs="ArialMT"/>
          <w:color w:val="000000"/>
          <w:sz w:val="24"/>
          <w:szCs w:val="24"/>
        </w:rPr>
        <w:t xml:space="preserve">olombiano se establece que la parte considerativa </w:t>
      </w:r>
      <w:r w:rsidR="005D506D">
        <w:rPr>
          <w:rFonts w:ascii="Bookman Old Style" w:hAnsi="Bookman Old Style" w:cs="ArialMT"/>
          <w:color w:val="000000"/>
          <w:sz w:val="24"/>
          <w:szCs w:val="24"/>
        </w:rPr>
        <w:t xml:space="preserve">o </w:t>
      </w:r>
      <w:r w:rsidR="00FB21EF">
        <w:rPr>
          <w:rFonts w:ascii="Bookman Old Style" w:hAnsi="Bookman Old Style" w:cs="ArialMT"/>
          <w:color w:val="000000"/>
          <w:sz w:val="24"/>
          <w:szCs w:val="24"/>
        </w:rPr>
        <w:t>motiva de los actos administrativos hace parte de la estructura e integral</w:t>
      </w:r>
      <w:r w:rsidR="000A5C79">
        <w:rPr>
          <w:rFonts w:ascii="Bookman Old Style" w:hAnsi="Bookman Old Style" w:cs="ArialMT"/>
          <w:color w:val="000000"/>
          <w:sz w:val="24"/>
          <w:szCs w:val="24"/>
        </w:rPr>
        <w:t>idad</w:t>
      </w:r>
      <w:r w:rsidR="00FB21EF">
        <w:rPr>
          <w:rFonts w:ascii="Bookman Old Style" w:hAnsi="Bookman Old Style" w:cs="ArialMT"/>
          <w:color w:val="000000"/>
          <w:sz w:val="24"/>
          <w:szCs w:val="24"/>
        </w:rPr>
        <w:t xml:space="preserve"> de</w:t>
      </w:r>
      <w:r w:rsidR="002C5A69">
        <w:rPr>
          <w:rFonts w:ascii="Bookman Old Style" w:hAnsi="Bookman Old Style" w:cs="ArialMT"/>
          <w:color w:val="000000"/>
          <w:sz w:val="24"/>
          <w:szCs w:val="24"/>
        </w:rPr>
        <w:t>l</w:t>
      </w:r>
      <w:r w:rsidR="00887EC6">
        <w:rPr>
          <w:rFonts w:ascii="Bookman Old Style" w:hAnsi="Bookman Old Style" w:cs="ArialMT"/>
          <w:color w:val="000000"/>
          <w:sz w:val="24"/>
          <w:szCs w:val="24"/>
        </w:rPr>
        <w:t xml:space="preserve"> acto administrativo.</w:t>
      </w:r>
    </w:p>
    <w:p w14:paraId="114CE538" w14:textId="77777777" w:rsidR="00887EC6" w:rsidRDefault="00887EC6" w:rsidP="00DB42EE">
      <w:pPr>
        <w:spacing w:after="0" w:line="240" w:lineRule="auto"/>
        <w:ind w:left="-142" w:right="-142"/>
        <w:jc w:val="both"/>
        <w:rPr>
          <w:rFonts w:ascii="Bookman Old Style" w:hAnsi="Bookman Old Style" w:cs="ArialMT"/>
          <w:color w:val="000000"/>
          <w:sz w:val="24"/>
          <w:szCs w:val="24"/>
        </w:rPr>
      </w:pPr>
    </w:p>
    <w:p w14:paraId="613248A5" w14:textId="36078C8E" w:rsidR="00DF00EC" w:rsidRDefault="00B776D6" w:rsidP="00887EC6">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 xml:space="preserve">Así lo ha </w:t>
      </w:r>
      <w:r w:rsidR="00353BF9">
        <w:rPr>
          <w:rFonts w:ascii="Bookman Old Style" w:hAnsi="Bookman Old Style" w:cs="ArialMT"/>
          <w:color w:val="000000"/>
          <w:sz w:val="24"/>
          <w:szCs w:val="24"/>
        </w:rPr>
        <w:t>señalado e</w:t>
      </w:r>
      <w:r w:rsidR="00887EC6">
        <w:rPr>
          <w:rFonts w:ascii="Bookman Old Style" w:hAnsi="Bookman Old Style" w:cs="ArialMT"/>
          <w:color w:val="000000"/>
          <w:sz w:val="24"/>
          <w:szCs w:val="24"/>
        </w:rPr>
        <w:t xml:space="preserve">l </w:t>
      </w:r>
      <w:r w:rsidR="00887EC6" w:rsidRPr="00887EC6">
        <w:rPr>
          <w:rFonts w:ascii="Bookman Old Style" w:hAnsi="Bookman Old Style" w:cs="ArialMT"/>
          <w:color w:val="000000"/>
          <w:sz w:val="24"/>
          <w:szCs w:val="24"/>
        </w:rPr>
        <w:t>Consejo de Estado, Sala de lo Contencioso Administrativo, Sección Segunda</w:t>
      </w:r>
      <w:r w:rsidR="00D547F5">
        <w:rPr>
          <w:rFonts w:ascii="Bookman Old Style" w:hAnsi="Bookman Old Style" w:cs="ArialMT"/>
          <w:color w:val="000000"/>
          <w:sz w:val="24"/>
          <w:szCs w:val="24"/>
        </w:rPr>
        <w:t>,</w:t>
      </w:r>
      <w:r w:rsidR="00887EC6" w:rsidRPr="00887EC6">
        <w:rPr>
          <w:rFonts w:ascii="Bookman Old Style" w:hAnsi="Bookman Old Style" w:cs="ArialMT"/>
          <w:color w:val="000000"/>
          <w:sz w:val="24"/>
          <w:szCs w:val="24"/>
        </w:rPr>
        <w:t xml:space="preserve"> Radicado 73001-23-31-000-2011-00610-01(0988-14) 13 de noviembre de 2020</w:t>
      </w:r>
      <w:r w:rsidR="00376081">
        <w:rPr>
          <w:rFonts w:ascii="Bookman Old Style" w:hAnsi="Bookman Old Style" w:cs="ArialMT"/>
          <w:color w:val="000000"/>
          <w:sz w:val="24"/>
          <w:szCs w:val="24"/>
        </w:rPr>
        <w:t>,</w:t>
      </w:r>
      <w:r w:rsidR="00887EC6" w:rsidRPr="00887EC6">
        <w:rPr>
          <w:rFonts w:ascii="Bookman Old Style" w:hAnsi="Bookman Old Style" w:cs="ArialMT"/>
          <w:color w:val="000000"/>
          <w:sz w:val="24"/>
          <w:szCs w:val="24"/>
        </w:rPr>
        <w:t xml:space="preserve"> C</w:t>
      </w:r>
      <w:r w:rsidR="00353BF9">
        <w:rPr>
          <w:rFonts w:ascii="Bookman Old Style" w:hAnsi="Bookman Old Style" w:cs="ArialMT"/>
          <w:color w:val="000000"/>
          <w:sz w:val="24"/>
          <w:szCs w:val="24"/>
        </w:rPr>
        <w:t xml:space="preserve">onsejero </w:t>
      </w:r>
      <w:r w:rsidR="00887EC6" w:rsidRPr="00887EC6">
        <w:rPr>
          <w:rFonts w:ascii="Bookman Old Style" w:hAnsi="Bookman Old Style" w:cs="ArialMT"/>
          <w:color w:val="000000"/>
          <w:sz w:val="24"/>
          <w:szCs w:val="24"/>
        </w:rPr>
        <w:t>P</w:t>
      </w:r>
      <w:r w:rsidR="00353BF9">
        <w:rPr>
          <w:rFonts w:ascii="Bookman Old Style" w:hAnsi="Bookman Old Style" w:cs="ArialMT"/>
          <w:color w:val="000000"/>
          <w:sz w:val="24"/>
          <w:szCs w:val="24"/>
        </w:rPr>
        <w:t>onente</w:t>
      </w:r>
      <w:r w:rsidR="00887EC6" w:rsidRPr="00887EC6">
        <w:rPr>
          <w:rFonts w:ascii="Bookman Old Style" w:hAnsi="Bookman Old Style" w:cs="ArialMT"/>
          <w:color w:val="000000"/>
          <w:sz w:val="24"/>
          <w:szCs w:val="24"/>
        </w:rPr>
        <w:t xml:space="preserve"> César Palomino Cortés</w:t>
      </w:r>
      <w:r w:rsidR="000A5C79">
        <w:rPr>
          <w:rFonts w:ascii="Bookman Old Style" w:hAnsi="Bookman Old Style" w:cs="ArialMT"/>
          <w:color w:val="000000"/>
          <w:sz w:val="24"/>
          <w:szCs w:val="24"/>
        </w:rPr>
        <w:t xml:space="preserve">: </w:t>
      </w:r>
    </w:p>
    <w:p w14:paraId="43F6E0F9" w14:textId="77777777" w:rsidR="00D97996" w:rsidRDefault="00D97996" w:rsidP="00887EC6">
      <w:pPr>
        <w:spacing w:after="0" w:line="240" w:lineRule="auto"/>
        <w:ind w:left="-142" w:right="-142"/>
        <w:jc w:val="both"/>
        <w:rPr>
          <w:rFonts w:ascii="Bookman Old Style" w:hAnsi="Bookman Old Style" w:cs="ArialMT"/>
          <w:color w:val="000000"/>
          <w:sz w:val="24"/>
          <w:szCs w:val="24"/>
        </w:rPr>
      </w:pPr>
    </w:p>
    <w:p w14:paraId="3A293115" w14:textId="3938030E" w:rsidR="004337A7" w:rsidRPr="00D97996" w:rsidRDefault="00D97996" w:rsidP="00D97996">
      <w:pPr>
        <w:spacing w:after="0" w:line="240" w:lineRule="auto"/>
        <w:ind w:right="-142"/>
        <w:jc w:val="both"/>
        <w:rPr>
          <w:rFonts w:ascii="Bookman Old Style" w:hAnsi="Bookman Old Style" w:cs="ArialMT"/>
          <w:i/>
          <w:color w:val="000000"/>
          <w:sz w:val="24"/>
          <w:szCs w:val="24"/>
        </w:rPr>
      </w:pPr>
      <w:r>
        <w:rPr>
          <w:rFonts w:ascii="Bookman Old Style" w:hAnsi="Bookman Old Style" w:cs="ArialMT"/>
          <w:i/>
          <w:color w:val="000000"/>
          <w:sz w:val="24"/>
          <w:szCs w:val="24"/>
        </w:rPr>
        <w:t>“</w:t>
      </w:r>
      <w:r w:rsidR="00DF00EC" w:rsidRPr="00D97996">
        <w:rPr>
          <w:rFonts w:ascii="Bookman Old Style" w:hAnsi="Bookman Old Style" w:cs="ArialMT"/>
          <w:i/>
          <w:color w:val="000000"/>
          <w:sz w:val="24"/>
          <w:szCs w:val="24"/>
        </w:rPr>
        <w:t>…</w:t>
      </w:r>
      <w:r>
        <w:rPr>
          <w:rFonts w:ascii="Bookman Old Style" w:hAnsi="Bookman Old Style" w:cs="ArialMT"/>
          <w:i/>
          <w:color w:val="000000"/>
          <w:sz w:val="24"/>
          <w:szCs w:val="24"/>
        </w:rPr>
        <w:t xml:space="preserve"> </w:t>
      </w:r>
      <w:r w:rsidR="00887EC6" w:rsidRPr="00D97996">
        <w:rPr>
          <w:rFonts w:ascii="Bookman Old Style" w:hAnsi="Bookman Old Style" w:cs="ArialMT"/>
          <w:i/>
          <w:color w:val="000000"/>
          <w:sz w:val="24"/>
          <w:szCs w:val="24"/>
        </w:rPr>
        <w:t xml:space="preserve">La estructura de todo acto administrativo se caracteriza por contener los siguientes elementos: i) elemento subjetivo que está dado por la competencia del órgano o autoridad de quien emana el acto de voluntad de la Administración; ii) </w:t>
      </w:r>
      <w:r w:rsidR="00887EC6" w:rsidRPr="00D97996">
        <w:rPr>
          <w:rFonts w:ascii="Bookman Old Style" w:hAnsi="Bookman Old Style" w:cs="ArialMT"/>
          <w:i/>
          <w:color w:val="000000"/>
          <w:sz w:val="24"/>
          <w:szCs w:val="24"/>
        </w:rPr>
        <w:lastRenderedPageBreak/>
        <w:t>elemento objetivo entendido como la materialización de la función administrativa, por tanto es la relación jurídica de lo que se ocupa, la base sobre la cual dispone, juzga y ordena; iii) elemento formal que alude a los elementos del acto como el sujeto y el objeto; iv) elemento finalista que enmarca y somete la actuación de la Administración, al principio de legalidad en la medida en que debe existir coincidencia entre la finalidad propuesta y la norma que la autoriza; v) elemento causal entendido como el motivo práctico de la voluntad, el fin que propone la Administración dando vida al expedir el acto administrativo</w:t>
      </w:r>
      <w:r>
        <w:rPr>
          <w:rFonts w:ascii="Bookman Old Style" w:hAnsi="Bookman Old Style" w:cs="ArialMT"/>
          <w:i/>
          <w:color w:val="000000"/>
          <w:sz w:val="24"/>
          <w:szCs w:val="24"/>
        </w:rPr>
        <w:t>”</w:t>
      </w:r>
      <w:r w:rsidR="00887EC6" w:rsidRPr="00D97996">
        <w:rPr>
          <w:rFonts w:ascii="Bookman Old Style" w:hAnsi="Bookman Old Style" w:cs="ArialMT"/>
          <w:i/>
          <w:color w:val="000000"/>
          <w:sz w:val="24"/>
          <w:szCs w:val="24"/>
        </w:rPr>
        <w:t xml:space="preserve">. </w:t>
      </w:r>
    </w:p>
    <w:p w14:paraId="7137F37B" w14:textId="450E6FBE" w:rsidR="00887EC6" w:rsidRDefault="00887EC6" w:rsidP="00887EC6">
      <w:pPr>
        <w:spacing w:after="0" w:line="240" w:lineRule="auto"/>
        <w:ind w:left="-142" w:right="-142"/>
        <w:jc w:val="both"/>
        <w:rPr>
          <w:rFonts w:ascii="Bookman Old Style" w:hAnsi="Bookman Old Style" w:cs="ArialMT"/>
          <w:color w:val="000000"/>
          <w:sz w:val="24"/>
          <w:szCs w:val="24"/>
        </w:rPr>
      </w:pPr>
    </w:p>
    <w:p w14:paraId="4B66FD6A" w14:textId="737B5AD2" w:rsidR="00D4666A" w:rsidRDefault="005A14AD" w:rsidP="005A14AD">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 xml:space="preserve">Es de advertir que </w:t>
      </w:r>
      <w:r w:rsidR="00B209C4">
        <w:rPr>
          <w:rFonts w:ascii="Bookman Old Style" w:hAnsi="Bookman Old Style" w:cs="ArialMT"/>
          <w:color w:val="000000"/>
          <w:sz w:val="24"/>
          <w:szCs w:val="24"/>
        </w:rPr>
        <w:t xml:space="preserve">la Resolución CREG 501 26A de 2022 contiene </w:t>
      </w:r>
      <w:r w:rsidR="007251BF">
        <w:rPr>
          <w:rFonts w:ascii="Bookman Old Style" w:hAnsi="Bookman Old Style" w:cs="ArialMT"/>
          <w:color w:val="000000"/>
          <w:sz w:val="24"/>
          <w:szCs w:val="24"/>
        </w:rPr>
        <w:t>las motivaciones y razones por las cuales se adoptó la decisión</w:t>
      </w:r>
      <w:r w:rsidR="007E31FA">
        <w:rPr>
          <w:rFonts w:ascii="Bookman Old Style" w:hAnsi="Bookman Old Style" w:cs="ArialMT"/>
          <w:color w:val="000000"/>
          <w:sz w:val="24"/>
          <w:szCs w:val="24"/>
        </w:rPr>
        <w:t xml:space="preserve">, dentro de las que se enuncian </w:t>
      </w:r>
      <w:r w:rsidR="004E3D89">
        <w:rPr>
          <w:rFonts w:ascii="Bookman Old Style" w:hAnsi="Bookman Old Style" w:cs="ArialMT"/>
          <w:color w:val="000000"/>
          <w:sz w:val="24"/>
          <w:szCs w:val="24"/>
        </w:rPr>
        <w:t>el trámite de la actuación administrativa, el estudio de conexión</w:t>
      </w:r>
      <w:r w:rsidR="00D538B3">
        <w:rPr>
          <w:rFonts w:ascii="Bookman Old Style" w:hAnsi="Bookman Old Style" w:cs="ArialMT"/>
          <w:color w:val="000000"/>
          <w:sz w:val="24"/>
          <w:szCs w:val="24"/>
        </w:rPr>
        <w:t xml:space="preserve">, el </w:t>
      </w:r>
      <w:r w:rsidR="004E3D89">
        <w:rPr>
          <w:rFonts w:ascii="Bookman Old Style" w:hAnsi="Bookman Old Style" w:cs="ArialMT"/>
          <w:color w:val="000000"/>
          <w:sz w:val="24"/>
          <w:szCs w:val="24"/>
        </w:rPr>
        <w:t>concepto técnico</w:t>
      </w:r>
      <w:r w:rsidR="000C02FF">
        <w:rPr>
          <w:rFonts w:ascii="Bookman Old Style" w:hAnsi="Bookman Old Style" w:cs="ArialMT"/>
          <w:color w:val="000000"/>
          <w:sz w:val="24"/>
          <w:szCs w:val="24"/>
        </w:rPr>
        <w:t xml:space="preserve"> </w:t>
      </w:r>
      <w:r w:rsidR="008D5189">
        <w:rPr>
          <w:rFonts w:ascii="Bookman Old Style" w:eastAsia="Times New Roman" w:hAnsi="Bookman Old Style" w:cs="Times New Roman"/>
          <w:sz w:val="24"/>
          <w:szCs w:val="24"/>
          <w:lang w:val="es-ES" w:eastAsia="es-ES"/>
        </w:rPr>
        <w:t>de viabilidad de la conexión</w:t>
      </w:r>
      <w:r w:rsidR="000C02FF">
        <w:rPr>
          <w:rFonts w:ascii="Bookman Old Style" w:hAnsi="Bookman Old Style" w:cs="ArialMT"/>
          <w:color w:val="000000"/>
          <w:sz w:val="24"/>
          <w:szCs w:val="24"/>
        </w:rPr>
        <w:t xml:space="preserve"> y lo indicado en el Documento CREG 501 004</w:t>
      </w:r>
      <w:r w:rsidR="00D538B3">
        <w:rPr>
          <w:rFonts w:ascii="Bookman Old Style" w:hAnsi="Bookman Old Style" w:cs="ArialMT"/>
          <w:color w:val="000000"/>
          <w:sz w:val="24"/>
          <w:szCs w:val="24"/>
        </w:rPr>
        <w:t>. En ese sentido, dentro del acto administrativo</w:t>
      </w:r>
      <w:r w:rsidR="00DB5596">
        <w:rPr>
          <w:rFonts w:ascii="Bookman Old Style" w:hAnsi="Bookman Old Style" w:cs="ArialMT"/>
          <w:color w:val="000000"/>
          <w:sz w:val="24"/>
          <w:szCs w:val="24"/>
        </w:rPr>
        <w:t xml:space="preserve"> se expone suficientemente </w:t>
      </w:r>
      <w:r w:rsidRPr="005A14AD">
        <w:rPr>
          <w:rFonts w:ascii="Bookman Old Style" w:hAnsi="Bookman Old Style" w:cs="ArialMT"/>
          <w:color w:val="000000"/>
          <w:sz w:val="24"/>
          <w:szCs w:val="24"/>
        </w:rPr>
        <w:t>el problema</w:t>
      </w:r>
      <w:r w:rsidR="004A5577">
        <w:rPr>
          <w:rFonts w:ascii="Bookman Old Style" w:hAnsi="Bookman Old Style" w:cs="ArialMT"/>
          <w:color w:val="000000"/>
          <w:sz w:val="24"/>
          <w:szCs w:val="24"/>
        </w:rPr>
        <w:t xml:space="preserve"> jurídico a resolver</w:t>
      </w:r>
      <w:r w:rsidRPr="005A14AD">
        <w:rPr>
          <w:rFonts w:ascii="Bookman Old Style" w:hAnsi="Bookman Old Style" w:cs="ArialMT"/>
          <w:color w:val="000000"/>
          <w:sz w:val="24"/>
          <w:szCs w:val="24"/>
        </w:rPr>
        <w:t>; la</w:t>
      </w:r>
      <w:r w:rsidR="004A5577">
        <w:rPr>
          <w:rFonts w:ascii="Bookman Old Style" w:hAnsi="Bookman Old Style" w:cs="ArialMT"/>
          <w:color w:val="000000"/>
          <w:sz w:val="24"/>
          <w:szCs w:val="24"/>
        </w:rPr>
        <w:t>s</w:t>
      </w:r>
      <w:r w:rsidRPr="005A14AD">
        <w:rPr>
          <w:rFonts w:ascii="Bookman Old Style" w:hAnsi="Bookman Old Style" w:cs="ArialMT"/>
          <w:color w:val="000000"/>
          <w:sz w:val="24"/>
          <w:szCs w:val="24"/>
        </w:rPr>
        <w:t xml:space="preserve"> considera</w:t>
      </w:r>
      <w:r w:rsidR="004A5577">
        <w:rPr>
          <w:rFonts w:ascii="Bookman Old Style" w:hAnsi="Bookman Old Style" w:cs="ArialMT"/>
          <w:color w:val="000000"/>
          <w:sz w:val="24"/>
          <w:szCs w:val="24"/>
        </w:rPr>
        <w:t xml:space="preserve">ciones y análisis </w:t>
      </w:r>
      <w:r w:rsidRPr="005A14AD">
        <w:rPr>
          <w:rFonts w:ascii="Bookman Old Style" w:hAnsi="Bookman Old Style" w:cs="ArialMT"/>
          <w:color w:val="000000"/>
          <w:sz w:val="24"/>
          <w:szCs w:val="24"/>
        </w:rPr>
        <w:t xml:space="preserve">en cuestión; y finalmente la </w:t>
      </w:r>
      <w:r w:rsidR="00962D7D">
        <w:rPr>
          <w:rFonts w:ascii="Bookman Old Style" w:hAnsi="Bookman Old Style" w:cs="ArialMT"/>
          <w:color w:val="000000"/>
          <w:sz w:val="24"/>
          <w:szCs w:val="24"/>
        </w:rPr>
        <w:t xml:space="preserve"> decisión adoptada en la parte </w:t>
      </w:r>
      <w:r w:rsidRPr="005A14AD">
        <w:rPr>
          <w:rFonts w:ascii="Bookman Old Style" w:hAnsi="Bookman Old Style" w:cs="ArialMT"/>
          <w:color w:val="000000"/>
          <w:sz w:val="24"/>
          <w:szCs w:val="24"/>
        </w:rPr>
        <w:t>resolutiva</w:t>
      </w:r>
      <w:r w:rsidR="00962D7D">
        <w:rPr>
          <w:rFonts w:ascii="Bookman Old Style" w:hAnsi="Bookman Old Style" w:cs="ArialMT"/>
          <w:color w:val="000000"/>
          <w:sz w:val="24"/>
          <w:szCs w:val="24"/>
        </w:rPr>
        <w:t xml:space="preserve"> del act</w:t>
      </w:r>
      <w:r w:rsidR="00E1445E">
        <w:rPr>
          <w:rFonts w:ascii="Bookman Old Style" w:hAnsi="Bookman Old Style" w:cs="ArialMT"/>
          <w:color w:val="000000"/>
          <w:sz w:val="24"/>
          <w:szCs w:val="24"/>
        </w:rPr>
        <w:t>o</w:t>
      </w:r>
      <w:r w:rsidRPr="005A14AD">
        <w:rPr>
          <w:rFonts w:ascii="Bookman Old Style" w:hAnsi="Bookman Old Style" w:cs="ArialMT"/>
          <w:color w:val="000000"/>
          <w:sz w:val="24"/>
          <w:szCs w:val="24"/>
        </w:rPr>
        <w:t>.</w:t>
      </w:r>
      <w:r w:rsidR="0017620B">
        <w:rPr>
          <w:rFonts w:ascii="Bookman Old Style" w:hAnsi="Bookman Old Style" w:cs="ArialMT"/>
          <w:color w:val="000000"/>
          <w:sz w:val="24"/>
          <w:szCs w:val="24"/>
        </w:rPr>
        <w:t xml:space="preserve"> Por </w:t>
      </w:r>
      <w:r w:rsidR="002C5391">
        <w:rPr>
          <w:rFonts w:ascii="Bookman Old Style" w:hAnsi="Bookman Old Style" w:cs="ArialMT"/>
          <w:color w:val="000000"/>
          <w:sz w:val="24"/>
          <w:szCs w:val="24"/>
        </w:rPr>
        <w:t>tanto,</w:t>
      </w:r>
      <w:r w:rsidR="0017620B">
        <w:rPr>
          <w:rFonts w:ascii="Bookman Old Style" w:hAnsi="Bookman Old Style" w:cs="ArialMT"/>
          <w:color w:val="000000"/>
          <w:sz w:val="24"/>
          <w:szCs w:val="24"/>
        </w:rPr>
        <w:t xml:space="preserve"> </w:t>
      </w:r>
      <w:r w:rsidR="00570BB6">
        <w:rPr>
          <w:rFonts w:ascii="Bookman Old Style" w:hAnsi="Bookman Old Style" w:cs="ArialMT"/>
          <w:color w:val="000000"/>
          <w:sz w:val="24"/>
          <w:szCs w:val="24"/>
        </w:rPr>
        <w:t xml:space="preserve">debe considerarse que </w:t>
      </w:r>
      <w:r w:rsidR="00E144B4">
        <w:rPr>
          <w:rFonts w:ascii="Bookman Old Style" w:hAnsi="Bookman Old Style" w:cs="ArialMT"/>
          <w:color w:val="000000"/>
          <w:sz w:val="24"/>
          <w:szCs w:val="24"/>
        </w:rPr>
        <w:t xml:space="preserve">todos los elementos enunciados previamente </w:t>
      </w:r>
      <w:r w:rsidR="0017620B">
        <w:rPr>
          <w:rFonts w:ascii="Bookman Old Style" w:hAnsi="Bookman Old Style" w:cs="ArialMT"/>
          <w:color w:val="000000"/>
          <w:sz w:val="24"/>
          <w:szCs w:val="24"/>
        </w:rPr>
        <w:t>hacen parte</w:t>
      </w:r>
      <w:r w:rsidR="00A740BD">
        <w:rPr>
          <w:rFonts w:ascii="Bookman Old Style" w:hAnsi="Bookman Old Style" w:cs="ArialMT"/>
          <w:color w:val="000000"/>
          <w:sz w:val="24"/>
          <w:szCs w:val="24"/>
        </w:rPr>
        <w:t xml:space="preserve"> integral</w:t>
      </w:r>
      <w:r w:rsidR="0017620B">
        <w:rPr>
          <w:rFonts w:ascii="Bookman Old Style" w:hAnsi="Bookman Old Style" w:cs="ArialMT"/>
          <w:color w:val="000000"/>
          <w:sz w:val="24"/>
          <w:szCs w:val="24"/>
        </w:rPr>
        <w:t xml:space="preserve"> de la Resolución CREG 501 26</w:t>
      </w:r>
      <w:r w:rsidR="000B2C17">
        <w:rPr>
          <w:rFonts w:ascii="Bookman Old Style" w:hAnsi="Bookman Old Style" w:cs="ArialMT"/>
          <w:color w:val="000000"/>
          <w:sz w:val="24"/>
          <w:szCs w:val="24"/>
        </w:rPr>
        <w:t>A de 2022</w:t>
      </w:r>
      <w:r w:rsidR="00A740BD">
        <w:rPr>
          <w:rFonts w:ascii="Bookman Old Style" w:hAnsi="Bookman Old Style" w:cs="ArialMT"/>
          <w:color w:val="000000"/>
          <w:sz w:val="24"/>
          <w:szCs w:val="24"/>
        </w:rPr>
        <w:t xml:space="preserve">. </w:t>
      </w:r>
      <w:r w:rsidR="0017620B">
        <w:rPr>
          <w:rFonts w:ascii="Bookman Old Style" w:hAnsi="Bookman Old Style" w:cs="ArialMT"/>
          <w:color w:val="000000"/>
          <w:sz w:val="24"/>
          <w:szCs w:val="24"/>
        </w:rPr>
        <w:t xml:space="preserve"> </w:t>
      </w:r>
    </w:p>
    <w:p w14:paraId="72A457C1" w14:textId="77777777" w:rsidR="00D4666A" w:rsidRDefault="00D4666A" w:rsidP="005A14AD">
      <w:pPr>
        <w:spacing w:after="0" w:line="240" w:lineRule="auto"/>
        <w:ind w:left="-142" w:right="-142"/>
        <w:jc w:val="both"/>
        <w:rPr>
          <w:rFonts w:ascii="Bookman Old Style" w:hAnsi="Bookman Old Style" w:cs="ArialMT"/>
          <w:color w:val="000000"/>
          <w:sz w:val="24"/>
          <w:szCs w:val="24"/>
        </w:rPr>
      </w:pPr>
    </w:p>
    <w:p w14:paraId="6CD14921" w14:textId="623BE5B2" w:rsidR="002C5391" w:rsidRDefault="0017620B" w:rsidP="005A14AD">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 xml:space="preserve">No </w:t>
      </w:r>
      <w:r w:rsidR="002C5391">
        <w:rPr>
          <w:rFonts w:ascii="Bookman Old Style" w:hAnsi="Bookman Old Style" w:cs="ArialMT"/>
          <w:color w:val="000000"/>
          <w:sz w:val="24"/>
          <w:szCs w:val="24"/>
        </w:rPr>
        <w:t>obstante</w:t>
      </w:r>
      <w:r w:rsidR="00376081">
        <w:rPr>
          <w:rFonts w:ascii="Bookman Old Style" w:hAnsi="Bookman Old Style" w:cs="ArialMT"/>
          <w:color w:val="000000"/>
          <w:sz w:val="24"/>
          <w:szCs w:val="24"/>
        </w:rPr>
        <w:t>,</w:t>
      </w:r>
      <w:r>
        <w:rPr>
          <w:rFonts w:ascii="Bookman Old Style" w:hAnsi="Bookman Old Style" w:cs="ArialMT"/>
          <w:color w:val="000000"/>
          <w:sz w:val="24"/>
          <w:szCs w:val="24"/>
        </w:rPr>
        <w:t xml:space="preserve"> y</w:t>
      </w:r>
      <w:r w:rsidR="00284C22">
        <w:rPr>
          <w:rFonts w:ascii="Bookman Old Style" w:hAnsi="Bookman Old Style" w:cs="ArialMT"/>
          <w:color w:val="000000"/>
          <w:sz w:val="24"/>
          <w:szCs w:val="24"/>
        </w:rPr>
        <w:t xml:space="preserve"> teniendo en cuenta que</w:t>
      </w:r>
      <w:r w:rsidR="00376081">
        <w:rPr>
          <w:rFonts w:ascii="Bookman Old Style" w:hAnsi="Bookman Old Style" w:cs="ArialMT"/>
          <w:color w:val="000000"/>
          <w:sz w:val="24"/>
          <w:szCs w:val="24"/>
        </w:rPr>
        <w:t>,</w:t>
      </w:r>
      <w:r w:rsidR="00284C22">
        <w:rPr>
          <w:rFonts w:ascii="Bookman Old Style" w:hAnsi="Bookman Old Style" w:cs="ArialMT"/>
          <w:color w:val="000000"/>
          <w:sz w:val="24"/>
          <w:szCs w:val="24"/>
        </w:rPr>
        <w:t xml:space="preserve"> </w:t>
      </w:r>
      <w:r>
        <w:rPr>
          <w:rFonts w:ascii="Bookman Old Style" w:hAnsi="Bookman Old Style" w:cs="ArialMT"/>
          <w:color w:val="000000"/>
          <w:sz w:val="24"/>
          <w:szCs w:val="24"/>
        </w:rPr>
        <w:t xml:space="preserve">de acuerdo a la </w:t>
      </w:r>
      <w:r w:rsidR="002C5391">
        <w:rPr>
          <w:rFonts w:ascii="Bookman Old Style" w:hAnsi="Bookman Old Style" w:cs="ArialMT"/>
          <w:color w:val="000000"/>
          <w:sz w:val="24"/>
          <w:szCs w:val="24"/>
        </w:rPr>
        <w:t>estructura</w:t>
      </w:r>
      <w:r>
        <w:rPr>
          <w:rFonts w:ascii="Bookman Old Style" w:hAnsi="Bookman Old Style" w:cs="ArialMT"/>
          <w:color w:val="000000"/>
          <w:sz w:val="24"/>
          <w:szCs w:val="24"/>
        </w:rPr>
        <w:t xml:space="preserve"> del acto administrativo </w:t>
      </w:r>
      <w:r w:rsidR="00284C22">
        <w:rPr>
          <w:rFonts w:ascii="Bookman Old Style" w:hAnsi="Bookman Old Style" w:cs="ArialMT"/>
          <w:color w:val="000000"/>
          <w:sz w:val="24"/>
          <w:szCs w:val="24"/>
        </w:rPr>
        <w:t xml:space="preserve">en </w:t>
      </w:r>
      <w:r>
        <w:rPr>
          <w:rFonts w:ascii="Bookman Old Style" w:hAnsi="Bookman Old Style" w:cs="ArialMT"/>
          <w:color w:val="000000"/>
          <w:sz w:val="24"/>
          <w:szCs w:val="24"/>
        </w:rPr>
        <w:t xml:space="preserve">la parte resolutiva es </w:t>
      </w:r>
      <w:r w:rsidR="00CB7365">
        <w:rPr>
          <w:rFonts w:ascii="Bookman Old Style" w:hAnsi="Bookman Old Style" w:cs="ArialMT"/>
          <w:color w:val="000000"/>
          <w:sz w:val="24"/>
          <w:szCs w:val="24"/>
        </w:rPr>
        <w:t xml:space="preserve">en </w:t>
      </w:r>
      <w:r>
        <w:rPr>
          <w:rFonts w:ascii="Bookman Old Style" w:hAnsi="Bookman Old Style" w:cs="ArialMT"/>
          <w:color w:val="000000"/>
          <w:sz w:val="24"/>
          <w:szCs w:val="24"/>
        </w:rPr>
        <w:t>la que</w:t>
      </w:r>
      <w:r w:rsidR="00284C22">
        <w:rPr>
          <w:rFonts w:ascii="Bookman Old Style" w:hAnsi="Bookman Old Style" w:cs="ArialMT"/>
          <w:color w:val="000000"/>
          <w:sz w:val="24"/>
          <w:szCs w:val="24"/>
        </w:rPr>
        <w:t xml:space="preserve"> se</w:t>
      </w:r>
      <w:r>
        <w:rPr>
          <w:rFonts w:ascii="Bookman Old Style" w:hAnsi="Bookman Old Style" w:cs="ArialMT"/>
          <w:color w:val="000000"/>
          <w:sz w:val="24"/>
          <w:szCs w:val="24"/>
        </w:rPr>
        <w:t xml:space="preserve"> </w:t>
      </w:r>
      <w:r w:rsidR="00284C22">
        <w:rPr>
          <w:rFonts w:ascii="Bookman Old Style" w:hAnsi="Bookman Old Style" w:cs="ArialMT"/>
          <w:color w:val="000000"/>
          <w:sz w:val="24"/>
          <w:szCs w:val="24"/>
        </w:rPr>
        <w:t xml:space="preserve">adopta la decisión </w:t>
      </w:r>
      <w:r w:rsidR="002C5391">
        <w:rPr>
          <w:rFonts w:ascii="Bookman Old Style" w:hAnsi="Bookman Old Style" w:cs="ArialMT"/>
          <w:color w:val="000000"/>
          <w:sz w:val="24"/>
          <w:szCs w:val="24"/>
        </w:rPr>
        <w:t>y</w:t>
      </w:r>
      <w:r w:rsidR="00284C22">
        <w:rPr>
          <w:rFonts w:ascii="Bookman Old Style" w:hAnsi="Bookman Old Style" w:cs="ArialMT"/>
          <w:color w:val="000000"/>
          <w:sz w:val="24"/>
          <w:szCs w:val="24"/>
        </w:rPr>
        <w:t xml:space="preserve"> se</w:t>
      </w:r>
      <w:r w:rsidR="002C5391">
        <w:rPr>
          <w:rFonts w:ascii="Bookman Old Style" w:hAnsi="Bookman Old Style" w:cs="ArialMT"/>
          <w:color w:val="000000"/>
          <w:sz w:val="24"/>
          <w:szCs w:val="24"/>
        </w:rPr>
        <w:t xml:space="preserve"> ordena su cumplimiento</w:t>
      </w:r>
      <w:r w:rsidR="005C2C65">
        <w:rPr>
          <w:rFonts w:ascii="Bookman Old Style" w:hAnsi="Bookman Old Style" w:cs="ArialMT"/>
          <w:color w:val="000000"/>
          <w:sz w:val="24"/>
          <w:szCs w:val="24"/>
        </w:rPr>
        <w:t>,</w:t>
      </w:r>
      <w:r w:rsidR="00284C22">
        <w:rPr>
          <w:rFonts w:ascii="Bookman Old Style" w:hAnsi="Bookman Old Style" w:cs="ArialMT"/>
          <w:color w:val="000000"/>
          <w:sz w:val="24"/>
          <w:szCs w:val="24"/>
        </w:rPr>
        <w:t xml:space="preserve"> con el fin de darle fuerza vinculante a lo indicado en la parte motiva de la resolución se </w:t>
      </w:r>
      <w:r w:rsidR="005F6597">
        <w:rPr>
          <w:sz w:val="24"/>
          <w:szCs w:val="24"/>
        </w:rPr>
        <w:t>r</w:t>
      </w:r>
      <w:r w:rsidR="005F6597" w:rsidRPr="004A786C">
        <w:rPr>
          <w:rFonts w:ascii="Bookman Old Style" w:hAnsi="Bookman Old Style" w:cs="ArialMT"/>
          <w:color w:val="000000"/>
          <w:sz w:val="24"/>
          <w:szCs w:val="24"/>
        </w:rPr>
        <w:t xml:space="preserve">epone parcialmente el </w:t>
      </w:r>
      <w:r w:rsidR="005F6597">
        <w:rPr>
          <w:rFonts w:ascii="Bookman Old Style" w:hAnsi="Bookman Old Style" w:cs="ArialMT"/>
          <w:color w:val="000000"/>
          <w:sz w:val="24"/>
          <w:szCs w:val="24"/>
        </w:rPr>
        <w:t>a</w:t>
      </w:r>
      <w:r w:rsidR="005F6597" w:rsidRPr="004A786C">
        <w:rPr>
          <w:rFonts w:ascii="Bookman Old Style" w:hAnsi="Bookman Old Style" w:cs="ArialMT"/>
          <w:color w:val="000000"/>
          <w:sz w:val="24"/>
          <w:szCs w:val="24"/>
        </w:rPr>
        <w:t>rtículo 1 adicionándole</w:t>
      </w:r>
      <w:r w:rsidR="005F6597">
        <w:rPr>
          <w:rFonts w:ascii="Bookman Old Style" w:hAnsi="Bookman Old Style" w:cs="ArialMT"/>
          <w:color w:val="000000"/>
          <w:sz w:val="24"/>
          <w:szCs w:val="24"/>
        </w:rPr>
        <w:t xml:space="preserve"> a su redacción</w:t>
      </w:r>
      <w:r w:rsidR="005F6597" w:rsidRPr="004A786C">
        <w:rPr>
          <w:rFonts w:ascii="Bookman Old Style" w:hAnsi="Bookman Old Style" w:cs="ArialMT"/>
          <w:color w:val="000000"/>
          <w:sz w:val="24"/>
          <w:szCs w:val="24"/>
        </w:rPr>
        <w:t xml:space="preserve"> “de conformidad con lo expuesto en la parte motiva de la presente resolución”.</w:t>
      </w:r>
    </w:p>
    <w:p w14:paraId="36CBC052" w14:textId="77777777" w:rsidR="002C5391" w:rsidRDefault="002C5391" w:rsidP="005A14AD">
      <w:pPr>
        <w:spacing w:after="0" w:line="240" w:lineRule="auto"/>
        <w:ind w:left="-142" w:right="-142"/>
        <w:jc w:val="both"/>
        <w:rPr>
          <w:rFonts w:ascii="Bookman Old Style" w:hAnsi="Bookman Old Style" w:cs="ArialMT"/>
          <w:color w:val="000000"/>
          <w:sz w:val="24"/>
          <w:szCs w:val="24"/>
        </w:rPr>
      </w:pPr>
    </w:p>
    <w:p w14:paraId="2F4A6E47" w14:textId="5A2BBA8F" w:rsidR="003335E6" w:rsidRPr="00E44D38" w:rsidRDefault="00EC2214" w:rsidP="00E44D38">
      <w:pPr>
        <w:pStyle w:val="Prrafodelista"/>
        <w:numPr>
          <w:ilvl w:val="0"/>
          <w:numId w:val="27"/>
        </w:numPr>
        <w:tabs>
          <w:tab w:val="left" w:pos="142"/>
        </w:tabs>
        <w:spacing w:after="0" w:line="240" w:lineRule="auto"/>
        <w:ind w:left="-142" w:right="-142" w:firstLine="0"/>
        <w:jc w:val="both"/>
        <w:rPr>
          <w:rFonts w:ascii="Bookman Old Style" w:hAnsi="Bookman Old Style"/>
          <w:sz w:val="24"/>
          <w:szCs w:val="24"/>
        </w:rPr>
      </w:pPr>
      <w:r>
        <w:rPr>
          <w:rFonts w:ascii="Bookman Old Style" w:hAnsi="Bookman Old Style" w:cs="ArialMT"/>
          <w:color w:val="000000"/>
          <w:sz w:val="24"/>
          <w:szCs w:val="24"/>
        </w:rPr>
        <w:t>G</w:t>
      </w:r>
      <w:r w:rsidR="00DA1B7B">
        <w:rPr>
          <w:rFonts w:ascii="Bookman Old Style" w:hAnsi="Bookman Old Style" w:cs="ArialMT"/>
          <w:color w:val="000000"/>
          <w:sz w:val="24"/>
          <w:szCs w:val="24"/>
        </w:rPr>
        <w:t xml:space="preserve">ENSA solicita </w:t>
      </w:r>
      <w:r>
        <w:rPr>
          <w:rFonts w:ascii="Bookman Old Style" w:hAnsi="Bookman Old Style" w:cs="ArialMT"/>
          <w:color w:val="000000"/>
          <w:sz w:val="24"/>
          <w:szCs w:val="24"/>
        </w:rPr>
        <w:t xml:space="preserve">que se debe </w:t>
      </w:r>
      <w:r w:rsidRPr="00626002">
        <w:rPr>
          <w:rFonts w:ascii="Bookman Old Style" w:hAnsi="Bookman Old Style" w:cs="ArialMT"/>
          <w:color w:val="000000"/>
          <w:sz w:val="24"/>
          <w:szCs w:val="24"/>
        </w:rPr>
        <w:t>a</w:t>
      </w:r>
      <w:r w:rsidR="003335E6" w:rsidRPr="00626002">
        <w:rPr>
          <w:rFonts w:ascii="Bookman Old Style" w:hAnsi="Bookman Old Style" w:cs="ArialMT"/>
          <w:color w:val="000000"/>
          <w:sz w:val="24"/>
          <w:szCs w:val="24"/>
        </w:rPr>
        <w:t>clarar</w:t>
      </w:r>
      <w:r w:rsidR="003335E6" w:rsidRPr="003335E6">
        <w:rPr>
          <w:rFonts w:ascii="Bookman Old Style" w:hAnsi="Bookman Old Style" w:cs="ArialMT"/>
          <w:color w:val="000000"/>
          <w:sz w:val="24"/>
          <w:szCs w:val="24"/>
        </w:rPr>
        <w:t xml:space="preserve"> si se considera que GENSA negó la solicitud de servidumbre de DUE, y de ser el caso, modificar tal afirmación dentro de las consideraciones de la Resolución CREG 501-26A.</w:t>
      </w:r>
      <w:r w:rsidR="009C2A37">
        <w:rPr>
          <w:rFonts w:ascii="Bookman Old Style" w:hAnsi="Bookman Old Style" w:cs="ArialMT"/>
          <w:color w:val="000000"/>
          <w:sz w:val="24"/>
          <w:szCs w:val="24"/>
        </w:rPr>
        <w:t xml:space="preserve"> </w:t>
      </w:r>
      <w:r w:rsidR="003335E6" w:rsidRPr="00E44D38">
        <w:rPr>
          <w:rFonts w:ascii="Bookman Old Style" w:hAnsi="Bookman Old Style"/>
          <w:sz w:val="24"/>
          <w:szCs w:val="24"/>
        </w:rPr>
        <w:t>Tal afirmación no corresponde con los hechos. La respuesta consistió en indicar que le resultaba imposible aprobar o desaprobar la servidumbre a GENSA en cuanto carecía de facultad para ejercer tal atribución.</w:t>
      </w:r>
    </w:p>
    <w:p w14:paraId="1B557EB0" w14:textId="1A1510EA" w:rsidR="00EC2214" w:rsidRDefault="00EC2214" w:rsidP="003335E6">
      <w:pPr>
        <w:spacing w:after="0" w:line="240" w:lineRule="auto"/>
        <w:ind w:left="-142" w:right="-142"/>
        <w:jc w:val="both"/>
        <w:rPr>
          <w:rFonts w:ascii="Bookman Old Style" w:hAnsi="Bookman Old Style" w:cs="ArialMT"/>
          <w:color w:val="000000"/>
          <w:sz w:val="24"/>
          <w:szCs w:val="24"/>
        </w:rPr>
      </w:pPr>
    </w:p>
    <w:p w14:paraId="3E647795" w14:textId="5BD42866" w:rsidR="00D86373" w:rsidRDefault="00EC2214" w:rsidP="003335E6">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En cua</w:t>
      </w:r>
      <w:r w:rsidR="00D86373">
        <w:rPr>
          <w:rFonts w:ascii="Bookman Old Style" w:hAnsi="Bookman Old Style" w:cs="ArialMT"/>
          <w:color w:val="000000"/>
          <w:sz w:val="24"/>
          <w:szCs w:val="24"/>
        </w:rPr>
        <w:t>n</w:t>
      </w:r>
      <w:r>
        <w:rPr>
          <w:rFonts w:ascii="Bookman Old Style" w:hAnsi="Bookman Old Style" w:cs="ArialMT"/>
          <w:color w:val="000000"/>
          <w:sz w:val="24"/>
          <w:szCs w:val="24"/>
        </w:rPr>
        <w:t>to a</w:t>
      </w:r>
      <w:r w:rsidR="00D86373">
        <w:rPr>
          <w:rFonts w:ascii="Bookman Old Style" w:hAnsi="Bookman Old Style" w:cs="ArialMT"/>
          <w:color w:val="000000"/>
          <w:sz w:val="24"/>
          <w:szCs w:val="24"/>
        </w:rPr>
        <w:t xml:space="preserve"> </w:t>
      </w:r>
      <w:r>
        <w:rPr>
          <w:rFonts w:ascii="Bookman Old Style" w:hAnsi="Bookman Old Style" w:cs="ArialMT"/>
          <w:color w:val="000000"/>
          <w:sz w:val="24"/>
          <w:szCs w:val="24"/>
        </w:rPr>
        <w:t>esta</w:t>
      </w:r>
      <w:r w:rsidR="00631F92">
        <w:rPr>
          <w:rFonts w:ascii="Bookman Old Style" w:hAnsi="Bookman Old Style" w:cs="ArialMT"/>
          <w:color w:val="000000"/>
          <w:sz w:val="24"/>
          <w:szCs w:val="24"/>
        </w:rPr>
        <w:t xml:space="preserve"> solicitud de aclaración</w:t>
      </w:r>
      <w:r w:rsidR="006731F8">
        <w:rPr>
          <w:rFonts w:ascii="Bookman Old Style" w:hAnsi="Bookman Old Style" w:cs="ArialMT"/>
          <w:color w:val="000000"/>
          <w:sz w:val="24"/>
          <w:szCs w:val="24"/>
        </w:rPr>
        <w:t>,</w:t>
      </w:r>
      <w:r>
        <w:rPr>
          <w:rFonts w:ascii="Bookman Old Style" w:hAnsi="Bookman Old Style" w:cs="ArialMT"/>
          <w:color w:val="000000"/>
          <w:sz w:val="24"/>
          <w:szCs w:val="24"/>
        </w:rPr>
        <w:t xml:space="preserve"> </w:t>
      </w:r>
      <w:r w:rsidR="00D86373">
        <w:rPr>
          <w:rFonts w:ascii="Bookman Old Style" w:hAnsi="Bookman Old Style" w:cs="ArialMT"/>
          <w:color w:val="000000"/>
          <w:sz w:val="24"/>
          <w:szCs w:val="24"/>
        </w:rPr>
        <w:t xml:space="preserve">cabe resaltar que </w:t>
      </w:r>
      <w:r w:rsidR="00D60E10">
        <w:rPr>
          <w:rFonts w:ascii="Bookman Old Style" w:hAnsi="Bookman Old Style" w:cs="ArialMT"/>
          <w:color w:val="000000"/>
          <w:sz w:val="24"/>
          <w:szCs w:val="24"/>
        </w:rPr>
        <w:t xml:space="preserve">lo señalado </w:t>
      </w:r>
      <w:r w:rsidR="00D86373">
        <w:rPr>
          <w:rFonts w:ascii="Bookman Old Style" w:hAnsi="Bookman Old Style" w:cs="ArialMT"/>
          <w:color w:val="000000"/>
          <w:sz w:val="24"/>
          <w:szCs w:val="24"/>
        </w:rPr>
        <w:t xml:space="preserve">en </w:t>
      </w:r>
      <w:r w:rsidR="00102BA6">
        <w:rPr>
          <w:rFonts w:ascii="Bookman Old Style" w:hAnsi="Bookman Old Style" w:cs="ArialMT"/>
          <w:color w:val="000000"/>
          <w:sz w:val="24"/>
          <w:szCs w:val="24"/>
        </w:rPr>
        <w:t xml:space="preserve">el numeral 3 de </w:t>
      </w:r>
      <w:r w:rsidR="00D86373">
        <w:rPr>
          <w:rFonts w:ascii="Bookman Old Style" w:hAnsi="Bookman Old Style" w:cs="ArialMT"/>
          <w:color w:val="000000"/>
          <w:sz w:val="24"/>
          <w:szCs w:val="24"/>
        </w:rPr>
        <w:t>la</w:t>
      </w:r>
      <w:r w:rsidR="00102BA6">
        <w:rPr>
          <w:rFonts w:ascii="Bookman Old Style" w:hAnsi="Bookman Old Style" w:cs="ArialMT"/>
          <w:color w:val="000000"/>
          <w:sz w:val="24"/>
          <w:szCs w:val="24"/>
        </w:rPr>
        <w:t>s consideraciones de la</w:t>
      </w:r>
      <w:r w:rsidR="00D86373">
        <w:rPr>
          <w:rFonts w:ascii="Bookman Old Style" w:hAnsi="Bookman Old Style" w:cs="ArialMT"/>
          <w:color w:val="000000"/>
          <w:sz w:val="24"/>
          <w:szCs w:val="24"/>
        </w:rPr>
        <w:t xml:space="preserve"> </w:t>
      </w:r>
      <w:r w:rsidR="0003486A">
        <w:rPr>
          <w:rFonts w:ascii="Bookman Old Style" w:hAnsi="Bookman Old Style" w:cs="ArialMT"/>
          <w:color w:val="000000"/>
          <w:sz w:val="24"/>
          <w:szCs w:val="24"/>
        </w:rPr>
        <w:t>R</w:t>
      </w:r>
      <w:r w:rsidR="00D86373">
        <w:rPr>
          <w:rFonts w:ascii="Bookman Old Style" w:hAnsi="Bookman Old Style" w:cs="ArialMT"/>
          <w:color w:val="000000"/>
          <w:sz w:val="24"/>
          <w:szCs w:val="24"/>
        </w:rPr>
        <w:t>esolución</w:t>
      </w:r>
      <w:r w:rsidR="0003486A">
        <w:rPr>
          <w:rFonts w:ascii="Bookman Old Style" w:hAnsi="Bookman Old Style" w:cs="ArialMT"/>
          <w:color w:val="000000"/>
          <w:sz w:val="24"/>
          <w:szCs w:val="24"/>
        </w:rPr>
        <w:t xml:space="preserve"> CREG</w:t>
      </w:r>
      <w:r w:rsidR="00D86373">
        <w:rPr>
          <w:rFonts w:ascii="Bookman Old Style" w:hAnsi="Bookman Old Style" w:cs="ArialMT"/>
          <w:color w:val="000000"/>
          <w:sz w:val="24"/>
          <w:szCs w:val="24"/>
        </w:rPr>
        <w:t xml:space="preserve"> 501 26</w:t>
      </w:r>
      <w:r w:rsidR="00CD2F8D">
        <w:rPr>
          <w:rFonts w:ascii="Bookman Old Style" w:hAnsi="Bookman Old Style" w:cs="ArialMT"/>
          <w:color w:val="000000"/>
          <w:sz w:val="24"/>
          <w:szCs w:val="24"/>
        </w:rPr>
        <w:t>A</w:t>
      </w:r>
      <w:r w:rsidR="0003486A">
        <w:rPr>
          <w:rFonts w:ascii="Bookman Old Style" w:hAnsi="Bookman Old Style" w:cs="ArialMT"/>
          <w:color w:val="000000"/>
          <w:sz w:val="24"/>
          <w:szCs w:val="24"/>
        </w:rPr>
        <w:t xml:space="preserve"> de 2022</w:t>
      </w:r>
      <w:r w:rsidR="00D86373">
        <w:rPr>
          <w:rFonts w:ascii="Bookman Old Style" w:hAnsi="Bookman Old Style" w:cs="ArialMT"/>
          <w:color w:val="000000"/>
          <w:sz w:val="24"/>
          <w:szCs w:val="24"/>
        </w:rPr>
        <w:t xml:space="preserve">, </w:t>
      </w:r>
      <w:r w:rsidR="000E34F6">
        <w:rPr>
          <w:rFonts w:ascii="Bookman Old Style" w:hAnsi="Bookman Old Style" w:cs="ArialMT"/>
          <w:color w:val="000000"/>
          <w:sz w:val="24"/>
          <w:szCs w:val="24"/>
        </w:rPr>
        <w:t xml:space="preserve">corresponde a </w:t>
      </w:r>
      <w:r w:rsidR="00D86373">
        <w:rPr>
          <w:rFonts w:ascii="Bookman Old Style" w:hAnsi="Bookman Old Style" w:cs="ArialMT"/>
          <w:color w:val="000000"/>
          <w:sz w:val="24"/>
          <w:szCs w:val="24"/>
        </w:rPr>
        <w:t xml:space="preserve">lo presentado por </w:t>
      </w:r>
      <w:r w:rsidR="006146E2">
        <w:rPr>
          <w:rFonts w:ascii="Bookman Old Style" w:hAnsi="Bookman Old Style" w:cs="ArialMT"/>
          <w:color w:val="000000"/>
          <w:sz w:val="24"/>
          <w:szCs w:val="24"/>
        </w:rPr>
        <w:t>la empresa DUE dentro del trámite</w:t>
      </w:r>
      <w:r w:rsidR="00CD2F8D">
        <w:rPr>
          <w:rFonts w:ascii="Bookman Old Style" w:hAnsi="Bookman Old Style" w:cs="ArialMT"/>
          <w:color w:val="000000"/>
          <w:sz w:val="24"/>
          <w:szCs w:val="24"/>
        </w:rPr>
        <w:t xml:space="preserve"> de la actuación administrativa</w:t>
      </w:r>
      <w:r w:rsidR="00376081">
        <w:rPr>
          <w:rFonts w:ascii="Bookman Old Style" w:hAnsi="Bookman Old Style" w:cs="ArialMT"/>
          <w:color w:val="000000"/>
          <w:sz w:val="24"/>
          <w:szCs w:val="24"/>
        </w:rPr>
        <w:t>,</w:t>
      </w:r>
      <w:r w:rsidR="00CD2F8D">
        <w:rPr>
          <w:rFonts w:ascii="Bookman Old Style" w:hAnsi="Bookman Old Style" w:cs="ArialMT"/>
          <w:color w:val="000000"/>
          <w:sz w:val="24"/>
          <w:szCs w:val="24"/>
        </w:rPr>
        <w:t xml:space="preserve"> en donde </w:t>
      </w:r>
      <w:r w:rsidR="00C2161A">
        <w:rPr>
          <w:rFonts w:ascii="Bookman Old Style" w:hAnsi="Bookman Old Style" w:cs="ArialMT"/>
          <w:color w:val="000000"/>
          <w:sz w:val="24"/>
          <w:szCs w:val="24"/>
        </w:rPr>
        <w:t>se transcribe un aparte de una respuesta dada por</w:t>
      </w:r>
      <w:r w:rsidR="006146E2">
        <w:rPr>
          <w:rFonts w:ascii="Bookman Old Style" w:hAnsi="Bookman Old Style" w:cs="ArialMT"/>
          <w:color w:val="000000"/>
          <w:sz w:val="24"/>
          <w:szCs w:val="24"/>
        </w:rPr>
        <w:t xml:space="preserve"> </w:t>
      </w:r>
      <w:r w:rsidR="00D86373">
        <w:rPr>
          <w:rFonts w:ascii="Bookman Old Style" w:hAnsi="Bookman Old Style" w:cs="ArialMT"/>
          <w:color w:val="000000"/>
          <w:sz w:val="24"/>
          <w:szCs w:val="24"/>
        </w:rPr>
        <w:t xml:space="preserve">el mismo recurrente </w:t>
      </w:r>
      <w:r w:rsidR="00674EC4">
        <w:rPr>
          <w:rFonts w:ascii="Bookman Old Style" w:hAnsi="Bookman Old Style" w:cs="ArialMT"/>
          <w:color w:val="000000"/>
          <w:sz w:val="24"/>
          <w:szCs w:val="24"/>
        </w:rPr>
        <w:t>a la empresa indicando</w:t>
      </w:r>
      <w:r w:rsidR="00D86373">
        <w:rPr>
          <w:rFonts w:ascii="Bookman Old Style" w:hAnsi="Bookman Old Style" w:cs="ArialMT"/>
          <w:color w:val="000000"/>
          <w:sz w:val="24"/>
          <w:szCs w:val="24"/>
        </w:rPr>
        <w:t xml:space="preserve"> lo siguiente</w:t>
      </w:r>
      <w:r w:rsidR="003831E3">
        <w:rPr>
          <w:rFonts w:ascii="Bookman Old Style" w:hAnsi="Bookman Old Style" w:cs="ArialMT"/>
          <w:color w:val="000000"/>
          <w:sz w:val="24"/>
          <w:szCs w:val="24"/>
        </w:rPr>
        <w:t xml:space="preserve">: </w:t>
      </w:r>
      <w:r w:rsidR="00D86373">
        <w:rPr>
          <w:rFonts w:ascii="Bookman Old Style" w:hAnsi="Bookman Old Style" w:cs="ArialMT"/>
          <w:color w:val="000000"/>
          <w:sz w:val="24"/>
          <w:szCs w:val="24"/>
        </w:rPr>
        <w:t xml:space="preserve">  </w:t>
      </w:r>
    </w:p>
    <w:p w14:paraId="47965BE3" w14:textId="79A318EE" w:rsidR="00D86373" w:rsidRPr="00D86373" w:rsidRDefault="00D86373" w:rsidP="00D86373">
      <w:pPr>
        <w:spacing w:after="0" w:line="240" w:lineRule="auto"/>
        <w:ind w:left="-142" w:right="-142"/>
        <w:jc w:val="both"/>
        <w:rPr>
          <w:rFonts w:ascii="Bookman Old Style" w:hAnsi="Bookman Old Style" w:cs="ArialMT"/>
          <w:color w:val="000000"/>
          <w:sz w:val="24"/>
          <w:szCs w:val="24"/>
        </w:rPr>
      </w:pPr>
      <w:r w:rsidRPr="00D86373">
        <w:rPr>
          <w:rFonts w:ascii="Bookman Old Style" w:hAnsi="Bookman Old Style" w:cs="ArialMT"/>
          <w:color w:val="000000"/>
          <w:sz w:val="24"/>
          <w:szCs w:val="24"/>
        </w:rPr>
        <w:t xml:space="preserve"> </w:t>
      </w:r>
    </w:p>
    <w:p w14:paraId="6E4FF8C5" w14:textId="5B108870" w:rsidR="00D86373" w:rsidRPr="00D97996" w:rsidRDefault="00D86373" w:rsidP="00D97996">
      <w:pPr>
        <w:spacing w:after="0" w:line="240" w:lineRule="auto"/>
        <w:ind w:right="-142"/>
        <w:jc w:val="both"/>
        <w:rPr>
          <w:rFonts w:ascii="Bookman Old Style" w:hAnsi="Bookman Old Style" w:cs="ArialMT"/>
          <w:i/>
          <w:color w:val="000000"/>
          <w:sz w:val="24"/>
          <w:szCs w:val="24"/>
        </w:rPr>
      </w:pPr>
      <w:r w:rsidRPr="00D97996">
        <w:rPr>
          <w:rFonts w:ascii="Bookman Old Style" w:hAnsi="Bookman Old Style" w:cs="ArialMT"/>
          <w:i/>
          <w:color w:val="000000"/>
          <w:sz w:val="24"/>
          <w:szCs w:val="24"/>
        </w:rPr>
        <w:t xml:space="preserve">“… las solicitudes de conexión previstas tanto a nivel legal como a nivel regulatorio se promueven frente a activos destinados a la distribución y/o Transmisión (…) en consecuencia </w:t>
      </w:r>
      <w:r w:rsidRPr="00E44D38">
        <w:rPr>
          <w:rFonts w:ascii="Bookman Old Style" w:hAnsi="Bookman Old Style" w:cs="ArialMT"/>
          <w:i/>
          <w:color w:val="000000"/>
          <w:sz w:val="24"/>
          <w:szCs w:val="24"/>
          <w:u w:val="single"/>
        </w:rPr>
        <w:t>GENSA, no es competente para aprobar la analizada solicitud, en la medida en que esta no es procedente ni a la luz de la ley, ni a la luz de la regulación</w:t>
      </w:r>
      <w:r w:rsidRPr="00D97996">
        <w:rPr>
          <w:rFonts w:ascii="Bookman Old Style" w:hAnsi="Bookman Old Style" w:cs="ArialMT"/>
          <w:i/>
          <w:color w:val="000000"/>
          <w:sz w:val="24"/>
          <w:szCs w:val="24"/>
        </w:rPr>
        <w:t>.”</w:t>
      </w:r>
      <w:r w:rsidR="00AE61C8">
        <w:rPr>
          <w:rFonts w:ascii="Bookman Old Style" w:hAnsi="Bookman Old Style" w:cs="ArialMT"/>
          <w:i/>
          <w:color w:val="000000"/>
          <w:sz w:val="24"/>
          <w:szCs w:val="24"/>
        </w:rPr>
        <w:t xml:space="preserve"> </w:t>
      </w:r>
      <w:r w:rsidR="00AE61C8" w:rsidRPr="00E44D38">
        <w:rPr>
          <w:rFonts w:ascii="Bookman Old Style" w:hAnsi="Bookman Old Style" w:cs="ArialMT"/>
          <w:iCs/>
          <w:color w:val="000000"/>
          <w:sz w:val="24"/>
          <w:szCs w:val="24"/>
        </w:rPr>
        <w:t>(</w:t>
      </w:r>
      <w:r w:rsidR="00AE61C8">
        <w:rPr>
          <w:rFonts w:ascii="Bookman Old Style" w:hAnsi="Bookman Old Style" w:cs="ArialMT"/>
          <w:iCs/>
          <w:color w:val="000000"/>
          <w:sz w:val="24"/>
          <w:szCs w:val="24"/>
        </w:rPr>
        <w:t>S</w:t>
      </w:r>
      <w:r w:rsidR="00AE61C8" w:rsidRPr="00E44D38">
        <w:rPr>
          <w:rFonts w:ascii="Bookman Old Style" w:hAnsi="Bookman Old Style" w:cs="ArialMT"/>
          <w:iCs/>
          <w:color w:val="000000"/>
          <w:sz w:val="24"/>
          <w:szCs w:val="24"/>
        </w:rPr>
        <w:t>ubrayado fuera de texto)</w:t>
      </w:r>
    </w:p>
    <w:p w14:paraId="29258B1D" w14:textId="77777777" w:rsidR="00325778" w:rsidRDefault="00325778" w:rsidP="00D86373">
      <w:pPr>
        <w:spacing w:after="0" w:line="240" w:lineRule="auto"/>
        <w:ind w:left="-142" w:right="-142"/>
        <w:jc w:val="both"/>
        <w:rPr>
          <w:rFonts w:ascii="Bookman Old Style" w:hAnsi="Bookman Old Style" w:cs="ArialMT"/>
          <w:color w:val="000000"/>
          <w:sz w:val="24"/>
          <w:szCs w:val="24"/>
        </w:rPr>
      </w:pPr>
    </w:p>
    <w:p w14:paraId="40E71361" w14:textId="3A1D5473" w:rsidR="004A786C" w:rsidRPr="004A786C" w:rsidRDefault="00D86373" w:rsidP="00E44D38">
      <w:pPr>
        <w:spacing w:after="0" w:line="240" w:lineRule="auto"/>
        <w:ind w:right="-142"/>
        <w:jc w:val="both"/>
        <w:rPr>
          <w:rFonts w:ascii="Bookman Old Style" w:hAnsi="Bookman Old Style" w:cs="ArialMT"/>
          <w:color w:val="000000"/>
          <w:sz w:val="24"/>
          <w:szCs w:val="24"/>
        </w:rPr>
      </w:pPr>
      <w:r w:rsidRPr="00D86373">
        <w:rPr>
          <w:rFonts w:ascii="Bookman Old Style" w:hAnsi="Bookman Old Style" w:cs="ArialMT"/>
          <w:color w:val="000000"/>
          <w:sz w:val="24"/>
          <w:szCs w:val="24"/>
        </w:rPr>
        <w:t>El efecto del aparte subrayad</w:t>
      </w:r>
      <w:r w:rsidR="00482EF2">
        <w:rPr>
          <w:rFonts w:ascii="Bookman Old Style" w:hAnsi="Bookman Old Style" w:cs="ArialMT"/>
          <w:color w:val="000000"/>
          <w:sz w:val="24"/>
          <w:szCs w:val="24"/>
        </w:rPr>
        <w:t xml:space="preserve">o de la comunicación de GENSA a DUE </w:t>
      </w:r>
      <w:r w:rsidRPr="00D86373">
        <w:rPr>
          <w:rFonts w:ascii="Bookman Old Style" w:hAnsi="Bookman Old Style" w:cs="ArialMT"/>
          <w:color w:val="000000"/>
          <w:sz w:val="24"/>
          <w:szCs w:val="24"/>
        </w:rPr>
        <w:t>es un rechazo de plano de la solicitud</w:t>
      </w:r>
      <w:r w:rsidR="00376081">
        <w:rPr>
          <w:rFonts w:ascii="Bookman Old Style" w:hAnsi="Bookman Old Style" w:cs="ArialMT"/>
          <w:color w:val="000000"/>
          <w:sz w:val="24"/>
          <w:szCs w:val="24"/>
        </w:rPr>
        <w:t>,</w:t>
      </w:r>
      <w:r w:rsidRPr="00D86373">
        <w:rPr>
          <w:rFonts w:ascii="Bookman Old Style" w:hAnsi="Bookman Old Style" w:cs="ArialMT"/>
          <w:color w:val="000000"/>
          <w:sz w:val="24"/>
          <w:szCs w:val="24"/>
        </w:rPr>
        <w:t xml:space="preserve"> lo cual corresponde con lo señalado en los considerando</w:t>
      </w:r>
      <w:r w:rsidR="00B267C5">
        <w:rPr>
          <w:rFonts w:ascii="Bookman Old Style" w:hAnsi="Bookman Old Style" w:cs="ArialMT"/>
          <w:color w:val="000000"/>
          <w:sz w:val="24"/>
          <w:szCs w:val="24"/>
        </w:rPr>
        <w:t>s,</w:t>
      </w:r>
      <w:r w:rsidRPr="00D86373">
        <w:rPr>
          <w:rFonts w:ascii="Bookman Old Style" w:hAnsi="Bookman Old Style" w:cs="ArialMT"/>
          <w:color w:val="000000"/>
          <w:sz w:val="24"/>
          <w:szCs w:val="24"/>
        </w:rPr>
        <w:t xml:space="preserve"> en el numeral 3 de la parte considerativa de la resolución</w:t>
      </w:r>
      <w:r w:rsidR="00B267C5">
        <w:rPr>
          <w:rFonts w:ascii="Bookman Old Style" w:hAnsi="Bookman Old Style" w:cs="ArialMT"/>
          <w:color w:val="000000"/>
          <w:sz w:val="24"/>
          <w:szCs w:val="24"/>
        </w:rPr>
        <w:t>,</w:t>
      </w:r>
      <w:r w:rsidR="002844FC">
        <w:rPr>
          <w:rFonts w:ascii="Bookman Old Style" w:hAnsi="Bookman Old Style" w:cs="ArialMT"/>
          <w:color w:val="000000"/>
          <w:sz w:val="24"/>
          <w:szCs w:val="24"/>
        </w:rPr>
        <w:t xml:space="preserve"> y por ende</w:t>
      </w:r>
      <w:r w:rsidR="00376081">
        <w:rPr>
          <w:rFonts w:ascii="Bookman Old Style" w:hAnsi="Bookman Old Style" w:cs="ArialMT"/>
          <w:color w:val="000000"/>
          <w:sz w:val="24"/>
          <w:szCs w:val="24"/>
        </w:rPr>
        <w:t>,</w:t>
      </w:r>
      <w:r w:rsidR="002844FC">
        <w:rPr>
          <w:rFonts w:ascii="Bookman Old Style" w:hAnsi="Bookman Old Style" w:cs="ArialMT"/>
          <w:color w:val="000000"/>
          <w:sz w:val="24"/>
          <w:szCs w:val="24"/>
        </w:rPr>
        <w:t xml:space="preserve"> e</w:t>
      </w:r>
      <w:r w:rsidR="004A786C">
        <w:rPr>
          <w:rFonts w:ascii="Bookman Old Style" w:hAnsi="Bookman Old Style" w:cs="ArialMT"/>
          <w:color w:val="000000"/>
          <w:sz w:val="24"/>
          <w:szCs w:val="24"/>
        </w:rPr>
        <w:t>n atención a lo expuesto</w:t>
      </w:r>
      <w:r w:rsidR="00376081">
        <w:rPr>
          <w:rFonts w:ascii="Bookman Old Style" w:hAnsi="Bookman Old Style" w:cs="ArialMT"/>
          <w:color w:val="000000"/>
          <w:sz w:val="24"/>
          <w:szCs w:val="24"/>
        </w:rPr>
        <w:t>,</w:t>
      </w:r>
      <w:r w:rsidR="004A786C">
        <w:rPr>
          <w:rFonts w:ascii="Bookman Old Style" w:hAnsi="Bookman Old Style" w:cs="ArialMT"/>
          <w:color w:val="000000"/>
          <w:sz w:val="24"/>
          <w:szCs w:val="24"/>
        </w:rPr>
        <w:t xml:space="preserve"> n</w:t>
      </w:r>
      <w:r w:rsidR="004A786C" w:rsidRPr="004A786C">
        <w:rPr>
          <w:rFonts w:ascii="Bookman Old Style" w:hAnsi="Bookman Old Style" w:cs="ArialMT"/>
          <w:color w:val="000000"/>
          <w:sz w:val="24"/>
          <w:szCs w:val="24"/>
        </w:rPr>
        <w:t xml:space="preserve">o procede la solicitud de </w:t>
      </w:r>
      <w:r w:rsidR="0019436E">
        <w:rPr>
          <w:rFonts w:ascii="Bookman Old Style" w:hAnsi="Bookman Old Style" w:cs="ArialMT"/>
          <w:color w:val="000000"/>
          <w:sz w:val="24"/>
          <w:szCs w:val="24"/>
        </w:rPr>
        <w:t>modificación</w:t>
      </w:r>
      <w:r w:rsidR="004A786C" w:rsidRPr="004A786C">
        <w:rPr>
          <w:rFonts w:ascii="Bookman Old Style" w:hAnsi="Bookman Old Style" w:cs="ArialMT"/>
          <w:color w:val="000000"/>
          <w:sz w:val="24"/>
          <w:szCs w:val="24"/>
        </w:rPr>
        <w:t>.</w:t>
      </w:r>
    </w:p>
    <w:p w14:paraId="2322C2F9" w14:textId="77777777" w:rsidR="00325778" w:rsidRDefault="00325778" w:rsidP="00D86373">
      <w:pPr>
        <w:spacing w:after="0" w:line="240" w:lineRule="auto"/>
        <w:ind w:left="-142" w:right="-142"/>
        <w:jc w:val="both"/>
        <w:rPr>
          <w:rFonts w:ascii="Bookman Old Style" w:hAnsi="Bookman Old Style" w:cs="ArialMT"/>
          <w:color w:val="000000"/>
          <w:sz w:val="24"/>
          <w:szCs w:val="24"/>
        </w:rPr>
      </w:pPr>
    </w:p>
    <w:p w14:paraId="63027A20" w14:textId="606ED1BE" w:rsidR="00325778" w:rsidRDefault="00325778" w:rsidP="00E44D38">
      <w:pPr>
        <w:pStyle w:val="Prrafodelista"/>
        <w:numPr>
          <w:ilvl w:val="0"/>
          <w:numId w:val="27"/>
        </w:numPr>
        <w:tabs>
          <w:tab w:val="left" w:pos="142"/>
        </w:tabs>
        <w:spacing w:after="0" w:line="240" w:lineRule="auto"/>
        <w:ind w:left="0" w:right="-142" w:hanging="142"/>
        <w:jc w:val="both"/>
        <w:rPr>
          <w:rFonts w:ascii="Bookman Old Style" w:hAnsi="Bookman Old Style" w:cs="ArialMT"/>
          <w:color w:val="000000"/>
          <w:sz w:val="24"/>
          <w:szCs w:val="24"/>
        </w:rPr>
      </w:pPr>
      <w:r w:rsidRPr="002425B9">
        <w:rPr>
          <w:rFonts w:ascii="Bookman Old Style" w:hAnsi="Bookman Old Style" w:cs="ArialMT"/>
          <w:color w:val="000000"/>
          <w:sz w:val="24"/>
          <w:szCs w:val="24"/>
        </w:rPr>
        <w:lastRenderedPageBreak/>
        <w:t>G</w:t>
      </w:r>
      <w:r w:rsidR="00EC2680">
        <w:rPr>
          <w:rFonts w:ascii="Bookman Old Style" w:hAnsi="Bookman Old Style" w:cs="ArialMT"/>
          <w:color w:val="000000"/>
          <w:sz w:val="24"/>
          <w:szCs w:val="24"/>
        </w:rPr>
        <w:t>ENSA</w:t>
      </w:r>
      <w:r w:rsidRPr="002425B9">
        <w:rPr>
          <w:rFonts w:ascii="Bookman Old Style" w:hAnsi="Bookman Old Style" w:cs="ArialMT"/>
          <w:color w:val="000000"/>
          <w:sz w:val="24"/>
          <w:szCs w:val="24"/>
        </w:rPr>
        <w:t xml:space="preserve"> solicita modificar el término otorgado para la suscripción del Contrato de Conexión entre GEN</w:t>
      </w:r>
      <w:r w:rsidR="00EC2680">
        <w:rPr>
          <w:rFonts w:ascii="Bookman Old Style" w:hAnsi="Bookman Old Style" w:cs="ArialMT"/>
          <w:color w:val="000000"/>
          <w:sz w:val="24"/>
          <w:szCs w:val="24"/>
        </w:rPr>
        <w:t>S</w:t>
      </w:r>
      <w:r w:rsidRPr="002425B9">
        <w:rPr>
          <w:rFonts w:ascii="Bookman Old Style" w:hAnsi="Bookman Old Style" w:cs="ArialMT"/>
          <w:color w:val="000000"/>
          <w:sz w:val="24"/>
          <w:szCs w:val="24"/>
        </w:rPr>
        <w:t>A y DUE, otorgando un término de al menos cuarenta (40) días hábiles</w:t>
      </w:r>
      <w:r w:rsidR="00FF7883" w:rsidRPr="002425B9">
        <w:rPr>
          <w:rFonts w:ascii="Bookman Old Style" w:hAnsi="Bookman Old Style" w:cs="ArialMT"/>
          <w:color w:val="000000"/>
          <w:sz w:val="24"/>
          <w:szCs w:val="24"/>
        </w:rPr>
        <w:t>,</w:t>
      </w:r>
      <w:r w:rsidRPr="002425B9">
        <w:rPr>
          <w:rFonts w:ascii="Bookman Old Style" w:hAnsi="Bookman Old Style" w:cs="ArialMT"/>
          <w:color w:val="000000"/>
          <w:sz w:val="24"/>
          <w:szCs w:val="24"/>
        </w:rPr>
        <w:t xml:space="preserve"> </w:t>
      </w:r>
      <w:r w:rsidR="00FF7883" w:rsidRPr="002425B9">
        <w:rPr>
          <w:rFonts w:ascii="Bookman Old Style" w:hAnsi="Bookman Old Style" w:cs="ArialMT"/>
          <w:color w:val="000000"/>
          <w:sz w:val="24"/>
          <w:szCs w:val="24"/>
        </w:rPr>
        <w:t>manifestando que no</w:t>
      </w:r>
      <w:r w:rsidRPr="002425B9">
        <w:rPr>
          <w:rFonts w:ascii="Bookman Old Style" w:hAnsi="Bookman Old Style" w:cs="ArialMT"/>
          <w:color w:val="000000"/>
          <w:sz w:val="24"/>
          <w:szCs w:val="24"/>
        </w:rPr>
        <w:t xml:space="preserve"> se señalan las condiciones en las que se deberá suscribir tal contrato</w:t>
      </w:r>
      <w:r w:rsidR="00376081">
        <w:rPr>
          <w:rFonts w:ascii="Bookman Old Style" w:hAnsi="Bookman Old Style" w:cs="ArialMT"/>
          <w:color w:val="000000"/>
          <w:sz w:val="24"/>
          <w:szCs w:val="24"/>
        </w:rPr>
        <w:t>,</w:t>
      </w:r>
      <w:r w:rsidR="00FF7883" w:rsidRPr="002425B9">
        <w:rPr>
          <w:rFonts w:ascii="Bookman Old Style" w:hAnsi="Bookman Old Style" w:cs="ArialMT"/>
          <w:color w:val="000000"/>
          <w:sz w:val="24"/>
          <w:szCs w:val="24"/>
        </w:rPr>
        <w:t xml:space="preserve"> y que no</w:t>
      </w:r>
      <w:r w:rsidR="002425B9" w:rsidRPr="002425B9">
        <w:rPr>
          <w:rFonts w:ascii="Bookman Old Style" w:hAnsi="Bookman Old Style" w:cs="ArialMT"/>
          <w:color w:val="000000"/>
          <w:sz w:val="24"/>
          <w:szCs w:val="24"/>
        </w:rPr>
        <w:t xml:space="preserve"> </w:t>
      </w:r>
      <w:r w:rsidRPr="002425B9">
        <w:rPr>
          <w:rFonts w:ascii="Bookman Old Style" w:hAnsi="Bookman Old Style" w:cs="ArialMT"/>
          <w:color w:val="000000"/>
          <w:sz w:val="24"/>
          <w:szCs w:val="24"/>
        </w:rPr>
        <w:t>cuenta con experiencia en la celebración de contratos de este tipo desde el punto de vista del objeto pasivo, es decir</w:t>
      </w:r>
      <w:r w:rsidR="00376081">
        <w:rPr>
          <w:rFonts w:ascii="Bookman Old Style" w:hAnsi="Bookman Old Style" w:cs="ArialMT"/>
          <w:color w:val="000000"/>
          <w:sz w:val="24"/>
          <w:szCs w:val="24"/>
        </w:rPr>
        <w:t>,</w:t>
      </w:r>
      <w:r w:rsidRPr="002425B9">
        <w:rPr>
          <w:rFonts w:ascii="Bookman Old Style" w:hAnsi="Bookman Old Style" w:cs="ArialMT"/>
          <w:color w:val="000000"/>
          <w:sz w:val="24"/>
          <w:szCs w:val="24"/>
        </w:rPr>
        <w:t xml:space="preserve"> de operador de la red.</w:t>
      </w:r>
    </w:p>
    <w:p w14:paraId="4D54C3BA" w14:textId="77777777" w:rsidR="002425B9" w:rsidRPr="002425B9" w:rsidRDefault="002425B9" w:rsidP="002425B9">
      <w:pPr>
        <w:spacing w:after="0" w:line="240" w:lineRule="auto"/>
        <w:ind w:left="-142" w:right="-142"/>
        <w:jc w:val="both"/>
        <w:rPr>
          <w:rFonts w:ascii="Bookman Old Style" w:hAnsi="Bookman Old Style" w:cs="ArialMT"/>
          <w:color w:val="000000"/>
          <w:sz w:val="24"/>
          <w:szCs w:val="24"/>
        </w:rPr>
      </w:pPr>
    </w:p>
    <w:p w14:paraId="6DAFD2F3" w14:textId="167141F7" w:rsidR="002425B9" w:rsidRPr="002425B9" w:rsidRDefault="002425B9" w:rsidP="002425B9">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Al respecto</w:t>
      </w:r>
      <w:r w:rsidRPr="002425B9">
        <w:t xml:space="preserve"> </w:t>
      </w:r>
      <w:r w:rsidRPr="00E44D38">
        <w:rPr>
          <w:rFonts w:ascii="Bookman Old Style" w:hAnsi="Bookman Old Style"/>
          <w:sz w:val="24"/>
          <w:szCs w:val="24"/>
        </w:rPr>
        <w:t>se señala que las</w:t>
      </w:r>
      <w:r w:rsidRPr="00204B46">
        <w:rPr>
          <w:rFonts w:ascii="Bookman Old Style" w:hAnsi="Bookman Old Style" w:cs="ArialMT"/>
          <w:color w:val="000000"/>
          <w:sz w:val="24"/>
          <w:szCs w:val="24"/>
        </w:rPr>
        <w:t xml:space="preserve"> condiciones en las que se deberá suscribir el contrato son las del </w:t>
      </w:r>
      <w:r w:rsidR="0066351E">
        <w:rPr>
          <w:rFonts w:ascii="Bookman Old Style" w:hAnsi="Bookman Old Style" w:cs="ArialMT"/>
          <w:color w:val="000000"/>
          <w:sz w:val="24"/>
          <w:szCs w:val="24"/>
        </w:rPr>
        <w:t>a</w:t>
      </w:r>
      <w:r w:rsidRPr="00204B46">
        <w:rPr>
          <w:rFonts w:ascii="Bookman Old Style" w:hAnsi="Bookman Old Style" w:cs="ArialMT"/>
          <w:color w:val="000000"/>
          <w:sz w:val="24"/>
          <w:szCs w:val="24"/>
        </w:rPr>
        <w:t>rtí</w:t>
      </w:r>
      <w:r w:rsidRPr="002425B9">
        <w:rPr>
          <w:rFonts w:ascii="Bookman Old Style" w:hAnsi="Bookman Old Style" w:cs="ArialMT"/>
          <w:color w:val="000000"/>
          <w:sz w:val="24"/>
          <w:szCs w:val="24"/>
        </w:rPr>
        <w:t>culo 5 de la Resolución CREG 038 de 2018.</w:t>
      </w:r>
      <w:r>
        <w:rPr>
          <w:rFonts w:ascii="Bookman Old Style" w:hAnsi="Bookman Old Style" w:cs="ArialMT"/>
          <w:color w:val="000000"/>
          <w:sz w:val="24"/>
          <w:szCs w:val="24"/>
        </w:rPr>
        <w:t xml:space="preserve"> </w:t>
      </w:r>
      <w:r w:rsidRPr="002425B9">
        <w:rPr>
          <w:rFonts w:ascii="Bookman Old Style" w:hAnsi="Bookman Old Style" w:cs="ArialMT"/>
          <w:color w:val="000000"/>
          <w:sz w:val="24"/>
          <w:szCs w:val="24"/>
        </w:rPr>
        <w:t>Para el caso de ZNI, la obligación de suscribir contratos de conexión entre generador y distribuidor se encuentra vigente desde el 2018.</w:t>
      </w:r>
    </w:p>
    <w:p w14:paraId="5E2006D9" w14:textId="77777777" w:rsidR="00D97996" w:rsidRDefault="00D97996" w:rsidP="002425B9">
      <w:pPr>
        <w:spacing w:after="0" w:line="240" w:lineRule="auto"/>
        <w:ind w:left="-142" w:right="-142"/>
        <w:jc w:val="both"/>
        <w:rPr>
          <w:rFonts w:ascii="Bookman Old Style" w:hAnsi="Bookman Old Style" w:cs="ArialMT"/>
          <w:color w:val="000000"/>
          <w:sz w:val="24"/>
          <w:szCs w:val="24"/>
        </w:rPr>
      </w:pPr>
    </w:p>
    <w:p w14:paraId="544754CE" w14:textId="5F32EB74" w:rsidR="00C827B9" w:rsidRDefault="0066351E" w:rsidP="002425B9">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Así mismo, se resalta que e</w:t>
      </w:r>
      <w:r w:rsidR="002425B9" w:rsidRPr="002425B9">
        <w:rPr>
          <w:rFonts w:ascii="Bookman Old Style" w:hAnsi="Bookman Old Style" w:cs="ArialMT"/>
          <w:color w:val="000000"/>
          <w:sz w:val="24"/>
          <w:szCs w:val="24"/>
        </w:rPr>
        <w:t>l plazo de suscripción del contrato fue definido en los mismos términos que aplican para los procedimientos de solicitud de conexión de la Resolución CREG 038 de 2018</w:t>
      </w:r>
      <w:r w:rsidR="00C827B9">
        <w:rPr>
          <w:rFonts w:ascii="Bookman Old Style" w:hAnsi="Bookman Old Style" w:cs="ArialMT"/>
          <w:color w:val="000000"/>
          <w:sz w:val="24"/>
          <w:szCs w:val="24"/>
        </w:rPr>
        <w:t>, lo cual</w:t>
      </w:r>
      <w:r w:rsidR="00A556C8">
        <w:rPr>
          <w:rFonts w:ascii="Bookman Old Style" w:hAnsi="Bookman Old Style" w:cs="ArialMT"/>
          <w:color w:val="000000"/>
          <w:sz w:val="24"/>
          <w:szCs w:val="24"/>
        </w:rPr>
        <w:t>,</w:t>
      </w:r>
      <w:r w:rsidR="00C827B9">
        <w:rPr>
          <w:rFonts w:ascii="Bookman Old Style" w:hAnsi="Bookman Old Style" w:cs="ArialMT"/>
          <w:color w:val="000000"/>
          <w:sz w:val="24"/>
          <w:szCs w:val="24"/>
        </w:rPr>
        <w:t xml:space="preserve"> como se mencionó</w:t>
      </w:r>
      <w:r w:rsidR="00A556C8">
        <w:rPr>
          <w:rFonts w:ascii="Bookman Old Style" w:hAnsi="Bookman Old Style" w:cs="ArialMT"/>
          <w:color w:val="000000"/>
          <w:sz w:val="24"/>
          <w:szCs w:val="24"/>
        </w:rPr>
        <w:t>,</w:t>
      </w:r>
      <w:r w:rsidR="00C827B9">
        <w:rPr>
          <w:rFonts w:ascii="Bookman Old Style" w:hAnsi="Bookman Old Style" w:cs="ArialMT"/>
          <w:color w:val="000000"/>
          <w:sz w:val="24"/>
          <w:szCs w:val="24"/>
        </w:rPr>
        <w:t xml:space="preserve"> </w:t>
      </w:r>
      <w:r w:rsidR="00561882">
        <w:rPr>
          <w:rFonts w:ascii="Bookman Old Style" w:hAnsi="Bookman Old Style" w:cs="ArialMT"/>
          <w:color w:val="000000"/>
          <w:sz w:val="24"/>
          <w:szCs w:val="24"/>
        </w:rPr>
        <w:t>es aplicable a</w:t>
      </w:r>
      <w:r w:rsidR="00C827B9">
        <w:rPr>
          <w:rFonts w:ascii="Bookman Old Style" w:hAnsi="Bookman Old Style" w:cs="ArialMT"/>
          <w:color w:val="000000"/>
          <w:sz w:val="24"/>
          <w:szCs w:val="24"/>
        </w:rPr>
        <w:t xml:space="preserve"> los prestadores del servicio de energía eléctrica desde el año 2018.</w:t>
      </w:r>
      <w:r w:rsidR="00561882">
        <w:rPr>
          <w:rFonts w:ascii="Bookman Old Style" w:hAnsi="Bookman Old Style" w:cs="ArialMT"/>
          <w:color w:val="000000"/>
          <w:sz w:val="24"/>
          <w:szCs w:val="24"/>
        </w:rPr>
        <w:t xml:space="preserve"> </w:t>
      </w:r>
    </w:p>
    <w:p w14:paraId="68931550" w14:textId="708AA6B7" w:rsidR="004A786C" w:rsidRDefault="004A786C" w:rsidP="002425B9">
      <w:pPr>
        <w:spacing w:after="0" w:line="240" w:lineRule="auto"/>
        <w:ind w:left="-142" w:right="-142"/>
        <w:jc w:val="both"/>
        <w:rPr>
          <w:rFonts w:ascii="Bookman Old Style" w:hAnsi="Bookman Old Style" w:cs="ArialMT"/>
          <w:color w:val="000000"/>
          <w:sz w:val="24"/>
          <w:szCs w:val="24"/>
        </w:rPr>
      </w:pPr>
    </w:p>
    <w:p w14:paraId="122AAD80" w14:textId="4C4F7988" w:rsidR="004A786C" w:rsidRDefault="004A786C" w:rsidP="002425B9">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Por lo anterior</w:t>
      </w:r>
      <w:r w:rsidR="00A556C8">
        <w:rPr>
          <w:rFonts w:ascii="Bookman Old Style" w:hAnsi="Bookman Old Style" w:cs="ArialMT"/>
          <w:color w:val="000000"/>
          <w:sz w:val="24"/>
          <w:szCs w:val="24"/>
        </w:rPr>
        <w:t>,</w:t>
      </w:r>
      <w:r>
        <w:rPr>
          <w:rFonts w:ascii="Bookman Old Style" w:hAnsi="Bookman Old Style" w:cs="ArialMT"/>
          <w:color w:val="000000"/>
          <w:sz w:val="24"/>
          <w:szCs w:val="24"/>
        </w:rPr>
        <w:t xml:space="preserve"> no procede la solicitud de modificación</w:t>
      </w:r>
      <w:r w:rsidR="00561882">
        <w:rPr>
          <w:rFonts w:ascii="Bookman Old Style" w:hAnsi="Bookman Old Style" w:cs="ArialMT"/>
          <w:color w:val="000000"/>
          <w:sz w:val="24"/>
          <w:szCs w:val="24"/>
        </w:rPr>
        <w:t xml:space="preserve"> del plazo previsto para la suscripción del contrato de conexión</w:t>
      </w:r>
      <w:r>
        <w:rPr>
          <w:rFonts w:ascii="Bookman Old Style" w:hAnsi="Bookman Old Style" w:cs="ArialMT"/>
          <w:color w:val="000000"/>
          <w:sz w:val="24"/>
          <w:szCs w:val="24"/>
        </w:rPr>
        <w:t>.</w:t>
      </w:r>
    </w:p>
    <w:p w14:paraId="18B86F22" w14:textId="77777777" w:rsidR="00C827B9" w:rsidRDefault="002425B9" w:rsidP="002425B9">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 xml:space="preserve"> </w:t>
      </w:r>
    </w:p>
    <w:p w14:paraId="69685551" w14:textId="20DBD928" w:rsidR="002425B9" w:rsidRPr="00C827B9" w:rsidRDefault="00A556C8" w:rsidP="00E44D38">
      <w:pPr>
        <w:pStyle w:val="Prrafodelista"/>
        <w:numPr>
          <w:ilvl w:val="0"/>
          <w:numId w:val="27"/>
        </w:numPr>
        <w:tabs>
          <w:tab w:val="left" w:pos="142"/>
        </w:tabs>
        <w:spacing w:after="0" w:line="240" w:lineRule="auto"/>
        <w:ind w:left="-142" w:right="-142" w:firstLine="0"/>
        <w:jc w:val="both"/>
        <w:rPr>
          <w:rFonts w:ascii="Bookman Old Style" w:hAnsi="Bookman Old Style" w:cs="ArialMT"/>
          <w:color w:val="000000"/>
          <w:sz w:val="24"/>
          <w:szCs w:val="24"/>
        </w:rPr>
      </w:pPr>
      <w:r>
        <w:rPr>
          <w:rFonts w:ascii="Bookman Old Style" w:hAnsi="Bookman Old Style" w:cs="ArialMT"/>
          <w:color w:val="000000"/>
          <w:sz w:val="24"/>
          <w:szCs w:val="24"/>
        </w:rPr>
        <w:t>GENSA</w:t>
      </w:r>
      <w:r w:rsidR="00C827B9">
        <w:rPr>
          <w:rFonts w:ascii="Bookman Old Style" w:hAnsi="Bookman Old Style" w:cs="ArialMT"/>
          <w:color w:val="000000"/>
          <w:sz w:val="24"/>
          <w:szCs w:val="24"/>
        </w:rPr>
        <w:t xml:space="preserve"> solicita a</w:t>
      </w:r>
      <w:r w:rsidR="00C827B9" w:rsidRPr="00C827B9">
        <w:rPr>
          <w:rFonts w:ascii="Bookman Old Style" w:hAnsi="Bookman Old Style" w:cs="ArialMT"/>
          <w:color w:val="000000"/>
          <w:sz w:val="24"/>
          <w:szCs w:val="24"/>
        </w:rPr>
        <w:t xml:space="preserve">clarar </w:t>
      </w:r>
      <w:r w:rsidR="00B5310F">
        <w:rPr>
          <w:rFonts w:ascii="Bookman Old Style" w:hAnsi="Bookman Old Style" w:cs="ArialMT"/>
          <w:color w:val="000000"/>
          <w:sz w:val="24"/>
          <w:szCs w:val="24"/>
        </w:rPr>
        <w:t>que</w:t>
      </w:r>
      <w:r w:rsidR="00C827B9" w:rsidRPr="00C827B9">
        <w:rPr>
          <w:rFonts w:ascii="Bookman Old Style" w:hAnsi="Bookman Old Style" w:cs="ArialMT"/>
          <w:color w:val="000000"/>
          <w:sz w:val="24"/>
          <w:szCs w:val="24"/>
        </w:rPr>
        <w:t xml:space="preserve"> no actúa como Distribuidor de Red, a pesar de que la Línea de transmisión MCH se pueda considerar un activo de distribución y este sea administrado, operado y mantenido por GENSA en el marco del contrato especial GGC-209-2013 suscrito con el Ministerio de Minas y Energía.</w:t>
      </w:r>
    </w:p>
    <w:p w14:paraId="2CF5DB41" w14:textId="77777777" w:rsidR="00B5310F" w:rsidRDefault="00B5310F" w:rsidP="000E12AA">
      <w:pPr>
        <w:spacing w:after="0" w:line="240" w:lineRule="auto"/>
        <w:ind w:left="-142" w:right="-142"/>
        <w:jc w:val="both"/>
        <w:rPr>
          <w:rFonts w:ascii="Bookman Old Style" w:hAnsi="Bookman Old Style" w:cs="ArialMT"/>
          <w:color w:val="000000"/>
          <w:sz w:val="24"/>
          <w:szCs w:val="24"/>
        </w:rPr>
      </w:pPr>
    </w:p>
    <w:p w14:paraId="24FCDF60" w14:textId="05B99838" w:rsidR="00B5310F" w:rsidRPr="00B5310F" w:rsidRDefault="001C26EC" w:rsidP="00B5310F">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Al respecto, e</w:t>
      </w:r>
      <w:r w:rsidR="00B5310F">
        <w:rPr>
          <w:rFonts w:ascii="Bookman Old Style" w:hAnsi="Bookman Old Style" w:cs="ArialMT"/>
          <w:color w:val="000000"/>
          <w:sz w:val="24"/>
          <w:szCs w:val="24"/>
        </w:rPr>
        <w:t xml:space="preserve">sta </w:t>
      </w:r>
      <w:r w:rsidR="00B829D8">
        <w:rPr>
          <w:rFonts w:ascii="Bookman Old Style" w:hAnsi="Bookman Old Style" w:cs="ArialMT"/>
          <w:color w:val="000000"/>
          <w:sz w:val="24"/>
          <w:szCs w:val="24"/>
        </w:rPr>
        <w:t>C</w:t>
      </w:r>
      <w:r w:rsidR="00B5310F">
        <w:rPr>
          <w:rFonts w:ascii="Bookman Old Style" w:hAnsi="Bookman Old Style" w:cs="ArialMT"/>
          <w:color w:val="000000"/>
          <w:sz w:val="24"/>
          <w:szCs w:val="24"/>
        </w:rPr>
        <w:t xml:space="preserve">omisión </w:t>
      </w:r>
      <w:r>
        <w:rPr>
          <w:rFonts w:ascii="Bookman Old Style" w:hAnsi="Bookman Old Style" w:cs="ArialMT"/>
          <w:color w:val="000000"/>
          <w:sz w:val="24"/>
          <w:szCs w:val="24"/>
        </w:rPr>
        <w:t xml:space="preserve">manifiesta </w:t>
      </w:r>
      <w:r w:rsidR="00B5310F">
        <w:rPr>
          <w:rFonts w:ascii="Bookman Old Style" w:hAnsi="Bookman Old Style" w:cs="ArialMT"/>
          <w:color w:val="000000"/>
          <w:sz w:val="24"/>
          <w:szCs w:val="24"/>
        </w:rPr>
        <w:t>que e</w:t>
      </w:r>
      <w:r w:rsidR="00B5310F" w:rsidRPr="00B5310F">
        <w:rPr>
          <w:rFonts w:ascii="Bookman Old Style" w:hAnsi="Bookman Old Style" w:cs="ArialMT"/>
          <w:color w:val="000000"/>
          <w:sz w:val="24"/>
          <w:szCs w:val="24"/>
        </w:rPr>
        <w:t>n el acto administrativo no se le atribuye a GENSA la calidad de distribuidor</w:t>
      </w:r>
      <w:r>
        <w:rPr>
          <w:rFonts w:ascii="Bookman Old Style" w:hAnsi="Bookman Old Style" w:cs="ArialMT"/>
          <w:color w:val="000000"/>
          <w:sz w:val="24"/>
          <w:szCs w:val="24"/>
        </w:rPr>
        <w:t>, ya que l</w:t>
      </w:r>
      <w:r w:rsidR="00B5310F" w:rsidRPr="00B5310F">
        <w:rPr>
          <w:rFonts w:ascii="Bookman Old Style" w:hAnsi="Bookman Old Style" w:cs="ArialMT"/>
          <w:color w:val="000000"/>
          <w:sz w:val="24"/>
          <w:szCs w:val="24"/>
        </w:rPr>
        <w:t xml:space="preserve">o anterior </w:t>
      </w:r>
      <w:r w:rsidR="00B829D8">
        <w:rPr>
          <w:rFonts w:ascii="Bookman Old Style" w:hAnsi="Bookman Old Style" w:cs="ArialMT"/>
          <w:color w:val="000000"/>
          <w:sz w:val="24"/>
          <w:szCs w:val="24"/>
        </w:rPr>
        <w:t>no</w:t>
      </w:r>
      <w:r w:rsidR="00B5310F" w:rsidRPr="00B5310F">
        <w:rPr>
          <w:rFonts w:ascii="Bookman Old Style" w:hAnsi="Bookman Old Style" w:cs="ArialMT"/>
          <w:color w:val="000000"/>
          <w:sz w:val="24"/>
          <w:szCs w:val="24"/>
        </w:rPr>
        <w:t xml:space="preserve"> es objeto de la actuación administrativa. </w:t>
      </w:r>
    </w:p>
    <w:p w14:paraId="537938E6" w14:textId="415C8BA4" w:rsidR="00B5310F" w:rsidRDefault="00B5310F" w:rsidP="00B5310F">
      <w:pPr>
        <w:spacing w:after="0" w:line="240" w:lineRule="auto"/>
        <w:ind w:left="-142" w:right="-142"/>
        <w:jc w:val="both"/>
        <w:rPr>
          <w:rFonts w:ascii="Bookman Old Style" w:hAnsi="Bookman Old Style" w:cs="ArialMT"/>
          <w:color w:val="000000"/>
          <w:sz w:val="24"/>
          <w:szCs w:val="24"/>
        </w:rPr>
      </w:pPr>
    </w:p>
    <w:p w14:paraId="52FD4D9D" w14:textId="298A663A" w:rsidR="000A2F6A" w:rsidRDefault="006E28E6" w:rsidP="00E04698">
      <w:pPr>
        <w:spacing w:after="0" w:line="240" w:lineRule="auto"/>
        <w:ind w:left="-142" w:right="-142"/>
        <w:jc w:val="both"/>
        <w:rPr>
          <w:rFonts w:ascii="Bookman Old Style" w:hAnsi="Bookman Old Style" w:cs="ArialMT"/>
          <w:color w:val="000000"/>
          <w:sz w:val="24"/>
          <w:szCs w:val="24"/>
        </w:rPr>
      </w:pPr>
      <w:r>
        <w:rPr>
          <w:rFonts w:ascii="Bookman Old Style" w:hAnsi="Bookman Old Style" w:cs="ArialMT"/>
          <w:color w:val="000000"/>
          <w:sz w:val="24"/>
          <w:szCs w:val="24"/>
        </w:rPr>
        <w:t>Igualmente, debe resaltarse que</w:t>
      </w:r>
      <w:r w:rsidR="00A556C8">
        <w:rPr>
          <w:rFonts w:ascii="Bookman Old Style" w:hAnsi="Bookman Old Style" w:cs="ArialMT"/>
          <w:color w:val="000000"/>
          <w:sz w:val="24"/>
          <w:szCs w:val="24"/>
        </w:rPr>
        <w:t>,</w:t>
      </w:r>
      <w:r w:rsidR="00F95E40">
        <w:rPr>
          <w:rFonts w:ascii="Bookman Old Style" w:hAnsi="Bookman Old Style" w:cs="ArialMT"/>
          <w:color w:val="000000"/>
          <w:sz w:val="24"/>
          <w:szCs w:val="24"/>
        </w:rPr>
        <w:t xml:space="preserve"> a</w:t>
      </w:r>
      <w:r w:rsidR="00A556C8">
        <w:rPr>
          <w:rFonts w:ascii="Bookman Old Style" w:hAnsi="Bookman Old Style" w:cs="ArialMT"/>
          <w:color w:val="000000"/>
          <w:sz w:val="24"/>
          <w:szCs w:val="24"/>
        </w:rPr>
        <w:t>u</w:t>
      </w:r>
      <w:r w:rsidR="00F95E40">
        <w:rPr>
          <w:rFonts w:ascii="Bookman Old Style" w:hAnsi="Bookman Old Style" w:cs="ArialMT"/>
          <w:color w:val="000000"/>
          <w:sz w:val="24"/>
          <w:szCs w:val="24"/>
        </w:rPr>
        <w:t>n cuando d</w:t>
      </w:r>
      <w:r w:rsidR="00F95E40" w:rsidRPr="00B5310F">
        <w:rPr>
          <w:rFonts w:ascii="Bookman Old Style" w:hAnsi="Bookman Old Style" w:cs="ArialMT"/>
          <w:color w:val="000000"/>
          <w:sz w:val="24"/>
          <w:szCs w:val="24"/>
        </w:rPr>
        <w:t>entro de la actuación administrativa quedó evidenciado que la línea de 34.5</w:t>
      </w:r>
      <w:r w:rsidR="00A556C8">
        <w:rPr>
          <w:rFonts w:ascii="Bookman Old Style" w:hAnsi="Bookman Old Style" w:cs="ArialMT"/>
          <w:color w:val="000000"/>
          <w:sz w:val="24"/>
          <w:szCs w:val="24"/>
        </w:rPr>
        <w:t xml:space="preserve"> </w:t>
      </w:r>
      <w:r w:rsidR="00F95E40" w:rsidRPr="00B5310F">
        <w:rPr>
          <w:rFonts w:ascii="Bookman Old Style" w:hAnsi="Bookman Old Style" w:cs="ArialMT"/>
          <w:color w:val="000000"/>
          <w:sz w:val="24"/>
          <w:szCs w:val="24"/>
        </w:rPr>
        <w:t>kV está siendo utilizada como un activo de distribución de energía eléctrica</w:t>
      </w:r>
      <w:r w:rsidR="00A556C8">
        <w:rPr>
          <w:rFonts w:ascii="Bookman Old Style" w:hAnsi="Bookman Old Style" w:cs="ArialMT"/>
          <w:color w:val="000000"/>
          <w:sz w:val="24"/>
          <w:szCs w:val="24"/>
        </w:rPr>
        <w:t>,</w:t>
      </w:r>
      <w:r w:rsidR="00F95E40">
        <w:rPr>
          <w:rFonts w:ascii="Bookman Old Style" w:hAnsi="Bookman Old Style" w:cs="ArialMT"/>
          <w:color w:val="000000"/>
          <w:sz w:val="24"/>
          <w:szCs w:val="24"/>
        </w:rPr>
        <w:t xml:space="preserve"> </w:t>
      </w:r>
      <w:r>
        <w:rPr>
          <w:rFonts w:ascii="Bookman Old Style" w:hAnsi="Bookman Old Style" w:cs="ArialMT"/>
          <w:color w:val="000000"/>
          <w:sz w:val="24"/>
          <w:szCs w:val="24"/>
        </w:rPr>
        <w:t>esta</w:t>
      </w:r>
      <w:r w:rsidR="00B5310F" w:rsidRPr="00B5310F">
        <w:rPr>
          <w:rFonts w:ascii="Bookman Old Style" w:hAnsi="Bookman Old Style" w:cs="ArialMT"/>
          <w:color w:val="000000"/>
          <w:sz w:val="24"/>
          <w:szCs w:val="24"/>
        </w:rPr>
        <w:t xml:space="preserve"> Comisión no es competente para pronunciarse sobre las responsabilidades</w:t>
      </w:r>
      <w:r w:rsidR="006807B7">
        <w:rPr>
          <w:rFonts w:ascii="Bookman Old Style" w:hAnsi="Bookman Old Style" w:cs="ArialMT"/>
          <w:color w:val="000000"/>
          <w:sz w:val="24"/>
          <w:szCs w:val="24"/>
        </w:rPr>
        <w:t xml:space="preserve"> y obligaciones derivadas</w:t>
      </w:r>
      <w:r w:rsidR="00B5310F" w:rsidRPr="00B5310F">
        <w:rPr>
          <w:rFonts w:ascii="Bookman Old Style" w:hAnsi="Bookman Old Style" w:cs="ArialMT"/>
          <w:color w:val="000000"/>
          <w:sz w:val="24"/>
          <w:szCs w:val="24"/>
        </w:rPr>
        <w:t xml:space="preserve"> del contrato especial GGC 209-2013</w:t>
      </w:r>
      <w:r w:rsidR="00B5310F">
        <w:rPr>
          <w:rFonts w:ascii="Bookman Old Style" w:hAnsi="Bookman Old Style" w:cs="ArialMT"/>
          <w:color w:val="000000"/>
          <w:sz w:val="24"/>
          <w:szCs w:val="24"/>
        </w:rPr>
        <w:t xml:space="preserve"> </w:t>
      </w:r>
      <w:r w:rsidR="006807B7">
        <w:rPr>
          <w:rFonts w:ascii="Bookman Old Style" w:hAnsi="Bookman Old Style" w:cs="ArialMT"/>
          <w:color w:val="000000"/>
          <w:sz w:val="24"/>
          <w:szCs w:val="24"/>
        </w:rPr>
        <w:t>suscrito entre GENSA y el Ministerio de Minas y Energ</w:t>
      </w:r>
      <w:r w:rsidR="00A556C8">
        <w:rPr>
          <w:rFonts w:ascii="Bookman Old Style" w:hAnsi="Bookman Old Style" w:cs="ArialMT"/>
          <w:color w:val="000000"/>
          <w:sz w:val="24"/>
          <w:szCs w:val="24"/>
        </w:rPr>
        <w:t>í</w:t>
      </w:r>
      <w:r w:rsidR="006807B7">
        <w:rPr>
          <w:rFonts w:ascii="Bookman Old Style" w:hAnsi="Bookman Old Style" w:cs="ArialMT"/>
          <w:color w:val="000000"/>
          <w:sz w:val="24"/>
          <w:szCs w:val="24"/>
        </w:rPr>
        <w:t xml:space="preserve">a </w:t>
      </w:r>
      <w:r w:rsidR="00B5310F">
        <w:rPr>
          <w:rFonts w:ascii="Bookman Old Style" w:hAnsi="Bookman Old Style" w:cs="ArialMT"/>
          <w:color w:val="000000"/>
          <w:sz w:val="24"/>
          <w:szCs w:val="24"/>
        </w:rPr>
        <w:t>y</w:t>
      </w:r>
      <w:r w:rsidR="00A556C8">
        <w:rPr>
          <w:rFonts w:ascii="Bookman Old Style" w:hAnsi="Bookman Old Style" w:cs="ArialMT"/>
          <w:color w:val="000000"/>
          <w:sz w:val="24"/>
          <w:szCs w:val="24"/>
        </w:rPr>
        <w:t>,</w:t>
      </w:r>
      <w:r w:rsidR="00B5310F">
        <w:rPr>
          <w:rFonts w:ascii="Bookman Old Style" w:hAnsi="Bookman Old Style" w:cs="ArialMT"/>
          <w:color w:val="000000"/>
          <w:sz w:val="24"/>
          <w:szCs w:val="24"/>
        </w:rPr>
        <w:t xml:space="preserve"> </w:t>
      </w:r>
      <w:r w:rsidR="00D9331A">
        <w:rPr>
          <w:rFonts w:ascii="Bookman Old Style" w:hAnsi="Bookman Old Style" w:cs="ArialMT"/>
          <w:color w:val="000000"/>
          <w:sz w:val="24"/>
          <w:szCs w:val="24"/>
        </w:rPr>
        <w:t>por ende</w:t>
      </w:r>
      <w:r w:rsidR="00A556C8">
        <w:rPr>
          <w:rFonts w:ascii="Bookman Old Style" w:hAnsi="Bookman Old Style" w:cs="ArialMT"/>
          <w:color w:val="000000"/>
          <w:sz w:val="24"/>
          <w:szCs w:val="24"/>
        </w:rPr>
        <w:t>,</w:t>
      </w:r>
      <w:r w:rsidR="00D9331A">
        <w:rPr>
          <w:rFonts w:ascii="Bookman Old Style" w:hAnsi="Bookman Old Style" w:cs="ArialMT"/>
          <w:color w:val="000000"/>
          <w:sz w:val="24"/>
          <w:szCs w:val="24"/>
        </w:rPr>
        <w:t xml:space="preserve"> esto </w:t>
      </w:r>
      <w:r w:rsidR="00B5310F">
        <w:rPr>
          <w:rFonts w:ascii="Bookman Old Style" w:hAnsi="Bookman Old Style" w:cs="ArialMT"/>
          <w:color w:val="000000"/>
          <w:sz w:val="24"/>
          <w:szCs w:val="24"/>
        </w:rPr>
        <w:t xml:space="preserve">no hace parte de la materia </w:t>
      </w:r>
      <w:r w:rsidR="00FA49DD">
        <w:rPr>
          <w:rFonts w:ascii="Bookman Old Style" w:hAnsi="Bookman Old Style" w:cs="ArialMT"/>
          <w:color w:val="000000"/>
          <w:sz w:val="24"/>
          <w:szCs w:val="24"/>
        </w:rPr>
        <w:t xml:space="preserve">de estudio </w:t>
      </w:r>
      <w:r w:rsidR="000865ED">
        <w:rPr>
          <w:rFonts w:ascii="Bookman Old Style" w:hAnsi="Bookman Old Style" w:cs="ArialMT"/>
          <w:color w:val="000000"/>
          <w:sz w:val="24"/>
          <w:szCs w:val="24"/>
        </w:rPr>
        <w:t xml:space="preserve">del </w:t>
      </w:r>
      <w:r w:rsidR="00FA49DD">
        <w:rPr>
          <w:rFonts w:ascii="Bookman Old Style" w:hAnsi="Bookman Old Style" w:cs="ArialMT"/>
          <w:color w:val="000000"/>
          <w:sz w:val="24"/>
          <w:szCs w:val="24"/>
        </w:rPr>
        <w:t>acto administrativo.</w:t>
      </w:r>
      <w:r w:rsidR="00E04698">
        <w:rPr>
          <w:rFonts w:ascii="Bookman Old Style" w:hAnsi="Bookman Old Style" w:cs="ArialMT"/>
          <w:color w:val="000000"/>
          <w:sz w:val="24"/>
          <w:szCs w:val="24"/>
        </w:rPr>
        <w:t xml:space="preserve"> En ese sentido, </w:t>
      </w:r>
      <w:r w:rsidR="000A2F6A">
        <w:rPr>
          <w:rFonts w:ascii="Bookman Old Style" w:hAnsi="Bookman Old Style" w:cs="ArialMT"/>
          <w:color w:val="000000"/>
          <w:sz w:val="24"/>
          <w:szCs w:val="24"/>
        </w:rPr>
        <w:t xml:space="preserve">no procede </w:t>
      </w:r>
      <w:r w:rsidR="00BF14E1">
        <w:rPr>
          <w:rFonts w:ascii="Bookman Old Style" w:hAnsi="Bookman Old Style" w:cs="ArialMT"/>
          <w:color w:val="000000"/>
          <w:sz w:val="24"/>
          <w:szCs w:val="24"/>
        </w:rPr>
        <w:t>la solicitud de aclaración.</w:t>
      </w:r>
    </w:p>
    <w:p w14:paraId="2D674812" w14:textId="59F34EFC" w:rsidR="00C827B9" w:rsidRDefault="00C827B9" w:rsidP="002425B9">
      <w:pPr>
        <w:spacing w:after="0" w:line="240" w:lineRule="auto"/>
        <w:ind w:left="-142" w:right="-142"/>
        <w:jc w:val="both"/>
        <w:rPr>
          <w:rFonts w:ascii="Bookman Old Style" w:hAnsi="Bookman Old Style" w:cs="ArialMT"/>
          <w:color w:val="000000"/>
          <w:sz w:val="24"/>
          <w:szCs w:val="24"/>
        </w:rPr>
      </w:pPr>
    </w:p>
    <w:p w14:paraId="2D8DC59E" w14:textId="4AA79ED7" w:rsidR="00082D8D" w:rsidRPr="00082D81" w:rsidRDefault="00F577B9" w:rsidP="00727891">
      <w:pPr>
        <w:spacing w:after="0" w:line="240" w:lineRule="auto"/>
        <w:ind w:left="-142" w:right="-142"/>
        <w:jc w:val="both"/>
        <w:rPr>
          <w:rFonts w:ascii="Bookman Old Style" w:eastAsia="Times New Roman" w:hAnsi="Bookman Old Style" w:cs="Times New Roman"/>
          <w:sz w:val="24"/>
          <w:szCs w:val="24"/>
          <w:lang w:val="es-ES" w:eastAsia="es-ES"/>
        </w:rPr>
      </w:pPr>
      <w:r w:rsidRPr="00E44D38">
        <w:rPr>
          <w:rFonts w:ascii="Bookman Old Style" w:eastAsia="Times New Roman" w:hAnsi="Bookman Old Style" w:cs="Times New Roman"/>
          <w:sz w:val="24"/>
          <w:szCs w:val="24"/>
          <w:lang w:val="es-ES" w:eastAsia="es-ES"/>
        </w:rPr>
        <w:t>Con base en</w:t>
      </w:r>
      <w:r w:rsidR="00AA6789" w:rsidRPr="00E44D38">
        <w:rPr>
          <w:rFonts w:ascii="Bookman Old Style" w:eastAsia="Times New Roman" w:hAnsi="Bookman Old Style" w:cs="Times New Roman"/>
          <w:sz w:val="24"/>
          <w:szCs w:val="24"/>
          <w:lang w:val="es-ES" w:eastAsia="es-ES"/>
        </w:rPr>
        <w:t xml:space="preserve"> </w:t>
      </w:r>
      <w:r w:rsidRPr="00E44D38">
        <w:rPr>
          <w:rFonts w:ascii="Bookman Old Style" w:eastAsia="Times New Roman" w:hAnsi="Bookman Old Style" w:cs="Times New Roman"/>
          <w:sz w:val="24"/>
          <w:szCs w:val="24"/>
          <w:lang w:val="es-ES" w:eastAsia="es-ES"/>
        </w:rPr>
        <w:t xml:space="preserve">lo anterior, </w:t>
      </w:r>
      <w:r w:rsidR="00AA6789" w:rsidRPr="00E44D38">
        <w:rPr>
          <w:rFonts w:ascii="Bookman Old Style" w:eastAsia="Times New Roman" w:hAnsi="Bookman Old Style" w:cs="Times New Roman"/>
          <w:sz w:val="24"/>
          <w:szCs w:val="24"/>
          <w:lang w:val="es-ES" w:eastAsia="es-ES"/>
        </w:rPr>
        <w:t>l</w:t>
      </w:r>
      <w:r w:rsidR="0081625F" w:rsidRPr="00E44D38">
        <w:rPr>
          <w:rFonts w:ascii="Bookman Old Style" w:eastAsia="Times New Roman" w:hAnsi="Bookman Old Style" w:cs="Times New Roman"/>
          <w:sz w:val="24"/>
          <w:szCs w:val="24"/>
          <w:lang w:val="es-ES" w:eastAsia="es-ES"/>
        </w:rPr>
        <w:t>a Comisión de Regulación de Energía y Gas, en su sesión No.</w:t>
      </w:r>
      <w:r w:rsidR="00B75DEA" w:rsidRPr="00E44D38">
        <w:rPr>
          <w:rFonts w:ascii="Bookman Old Style" w:eastAsia="Times New Roman" w:hAnsi="Bookman Old Style" w:cs="Times New Roman"/>
          <w:sz w:val="24"/>
          <w:szCs w:val="24"/>
          <w:lang w:val="es-ES" w:eastAsia="es-ES"/>
        </w:rPr>
        <w:t xml:space="preserve">1182 </w:t>
      </w:r>
      <w:r w:rsidR="0081625F" w:rsidRPr="00E44D38">
        <w:rPr>
          <w:rFonts w:ascii="Bookman Old Style" w:eastAsia="Times New Roman" w:hAnsi="Bookman Old Style" w:cs="Times New Roman"/>
          <w:sz w:val="24"/>
          <w:szCs w:val="24"/>
          <w:lang w:val="es-ES" w:eastAsia="es-ES"/>
        </w:rPr>
        <w:t xml:space="preserve">del </w:t>
      </w:r>
      <w:r w:rsidR="00B75DEA" w:rsidRPr="00E44D38">
        <w:rPr>
          <w:rFonts w:ascii="Bookman Old Style" w:eastAsia="Times New Roman" w:hAnsi="Bookman Old Style" w:cs="Times New Roman"/>
          <w:sz w:val="24"/>
          <w:szCs w:val="24"/>
          <w:lang w:val="es-ES" w:eastAsia="es-ES"/>
        </w:rPr>
        <w:t xml:space="preserve">15 </w:t>
      </w:r>
      <w:r w:rsidR="0081625F" w:rsidRPr="00E44D38">
        <w:rPr>
          <w:rFonts w:ascii="Bookman Old Style" w:eastAsia="Times New Roman" w:hAnsi="Bookman Old Style" w:cs="Times New Roman"/>
          <w:sz w:val="24"/>
          <w:szCs w:val="24"/>
          <w:lang w:val="es-ES" w:eastAsia="es-ES"/>
        </w:rPr>
        <w:t xml:space="preserve">de </w:t>
      </w:r>
      <w:r w:rsidR="00CE7903" w:rsidRPr="00E44D38">
        <w:rPr>
          <w:rFonts w:ascii="Bookman Old Style" w:eastAsia="Times New Roman" w:hAnsi="Bookman Old Style" w:cs="Times New Roman"/>
          <w:sz w:val="24"/>
          <w:szCs w:val="24"/>
          <w:lang w:val="es-ES" w:eastAsia="es-ES"/>
        </w:rPr>
        <w:t>ju</w:t>
      </w:r>
      <w:r w:rsidR="00BF14E1" w:rsidRPr="00E44D38">
        <w:rPr>
          <w:rFonts w:ascii="Bookman Old Style" w:eastAsia="Times New Roman" w:hAnsi="Bookman Old Style" w:cs="Times New Roman"/>
          <w:sz w:val="24"/>
          <w:szCs w:val="24"/>
          <w:lang w:val="es-ES" w:eastAsia="es-ES"/>
        </w:rPr>
        <w:t>lio</w:t>
      </w:r>
      <w:r w:rsidR="00CE7903" w:rsidRPr="00E44D38">
        <w:rPr>
          <w:rFonts w:ascii="Bookman Old Style" w:eastAsia="Times New Roman" w:hAnsi="Bookman Old Style" w:cs="Times New Roman"/>
          <w:sz w:val="24"/>
          <w:szCs w:val="24"/>
          <w:lang w:val="es-ES" w:eastAsia="es-ES"/>
        </w:rPr>
        <w:t xml:space="preserve"> </w:t>
      </w:r>
      <w:r w:rsidR="00502FF5" w:rsidRPr="00E44D38">
        <w:rPr>
          <w:rFonts w:ascii="Bookman Old Style" w:eastAsia="Times New Roman" w:hAnsi="Bookman Old Style" w:cs="Times New Roman"/>
          <w:sz w:val="24"/>
          <w:szCs w:val="24"/>
          <w:lang w:val="es-ES" w:eastAsia="es-ES"/>
        </w:rPr>
        <w:t>de 20</w:t>
      </w:r>
      <w:r w:rsidR="003E4836" w:rsidRPr="00E44D38">
        <w:rPr>
          <w:rFonts w:ascii="Bookman Old Style" w:eastAsia="Times New Roman" w:hAnsi="Bookman Old Style" w:cs="Times New Roman"/>
          <w:sz w:val="24"/>
          <w:szCs w:val="24"/>
          <w:lang w:val="es-ES" w:eastAsia="es-ES"/>
        </w:rPr>
        <w:t>2</w:t>
      </w:r>
      <w:r w:rsidR="00CE7903" w:rsidRPr="00E44D38">
        <w:rPr>
          <w:rFonts w:ascii="Bookman Old Style" w:eastAsia="Times New Roman" w:hAnsi="Bookman Old Style" w:cs="Times New Roman"/>
          <w:sz w:val="24"/>
          <w:szCs w:val="24"/>
          <w:lang w:val="es-ES" w:eastAsia="es-ES"/>
        </w:rPr>
        <w:t>2</w:t>
      </w:r>
      <w:r w:rsidR="0081625F" w:rsidRPr="00E44D38">
        <w:rPr>
          <w:rFonts w:ascii="Bookman Old Style" w:eastAsia="Times New Roman" w:hAnsi="Bookman Old Style" w:cs="Times New Roman"/>
          <w:sz w:val="24"/>
          <w:szCs w:val="24"/>
          <w:lang w:val="es-ES" w:eastAsia="es-ES"/>
        </w:rPr>
        <w:t>, acordó expedir la presente resolución.</w:t>
      </w:r>
    </w:p>
    <w:p w14:paraId="32E2F76C" w14:textId="77777777" w:rsidR="0081625F" w:rsidRDefault="0081625F" w:rsidP="0081625F">
      <w:pPr>
        <w:tabs>
          <w:tab w:val="right" w:pos="9498"/>
        </w:tabs>
        <w:spacing w:after="0" w:line="240" w:lineRule="auto"/>
        <w:ind w:right="-142"/>
        <w:jc w:val="both"/>
        <w:rPr>
          <w:rFonts w:ascii="Bookman Old Style" w:eastAsia="Times New Roman" w:hAnsi="Bookman Old Style" w:cs="Times New Roman"/>
          <w:bCs/>
          <w:sz w:val="24"/>
          <w:szCs w:val="24"/>
          <w:lang w:val="es-ES" w:eastAsia="es-ES"/>
        </w:rPr>
      </w:pPr>
    </w:p>
    <w:p w14:paraId="1458AF98" w14:textId="77777777" w:rsidR="007065A3" w:rsidRPr="00082D81" w:rsidRDefault="007065A3" w:rsidP="0081625F">
      <w:pPr>
        <w:tabs>
          <w:tab w:val="right" w:pos="9498"/>
        </w:tabs>
        <w:spacing w:after="0" w:line="240" w:lineRule="auto"/>
        <w:ind w:right="-142"/>
        <w:jc w:val="both"/>
        <w:rPr>
          <w:rFonts w:ascii="Bookman Old Style" w:eastAsia="Times New Roman" w:hAnsi="Bookman Old Style" w:cs="Times New Roman"/>
          <w:bCs/>
          <w:sz w:val="24"/>
          <w:szCs w:val="24"/>
          <w:lang w:val="es-ES" w:eastAsia="es-ES"/>
        </w:rPr>
      </w:pPr>
    </w:p>
    <w:p w14:paraId="483AA67A" w14:textId="77777777" w:rsidR="0081625F" w:rsidRPr="00082D81" w:rsidRDefault="0081625F" w:rsidP="0081625F">
      <w:pPr>
        <w:tabs>
          <w:tab w:val="right" w:pos="9498"/>
        </w:tabs>
        <w:spacing w:after="0" w:line="240" w:lineRule="auto"/>
        <w:ind w:right="-142"/>
        <w:jc w:val="center"/>
        <w:rPr>
          <w:rFonts w:ascii="Bookman Old Style" w:eastAsia="Times New Roman" w:hAnsi="Bookman Old Style" w:cs="Arial"/>
          <w:sz w:val="24"/>
          <w:szCs w:val="24"/>
          <w:lang w:val="es-ES" w:eastAsia="es-ES"/>
        </w:rPr>
      </w:pPr>
      <w:r w:rsidRPr="00082D81">
        <w:rPr>
          <w:rFonts w:ascii="Bookman Old Style" w:eastAsia="Times New Roman" w:hAnsi="Bookman Old Style" w:cs="Arial"/>
          <w:b/>
          <w:spacing w:val="80"/>
          <w:sz w:val="24"/>
          <w:szCs w:val="24"/>
          <w:lang w:val="es-ES" w:eastAsia="es-ES"/>
        </w:rPr>
        <w:t>RESUELVE</w:t>
      </w:r>
      <w:r w:rsidRPr="00082D81">
        <w:rPr>
          <w:rFonts w:ascii="Bookman Old Style" w:eastAsia="Times New Roman" w:hAnsi="Bookman Old Style" w:cs="Arial"/>
          <w:sz w:val="24"/>
          <w:szCs w:val="24"/>
          <w:lang w:val="es-ES" w:eastAsia="es-ES"/>
        </w:rPr>
        <w:t>:</w:t>
      </w:r>
    </w:p>
    <w:p w14:paraId="0D1171A9" w14:textId="77777777" w:rsidR="0081625F" w:rsidRPr="00082D81" w:rsidRDefault="0081625F" w:rsidP="0081625F">
      <w:pPr>
        <w:spacing w:after="0" w:line="240" w:lineRule="auto"/>
        <w:ind w:right="-142"/>
        <w:jc w:val="both"/>
        <w:rPr>
          <w:rFonts w:ascii="Bookman Old Style" w:eastAsia="Times New Roman" w:hAnsi="Bookman Old Style" w:cs="Times New Roman"/>
          <w:sz w:val="24"/>
          <w:szCs w:val="24"/>
          <w:lang w:val="es-ES" w:eastAsia="es-ES"/>
        </w:rPr>
      </w:pPr>
    </w:p>
    <w:p w14:paraId="47729959" w14:textId="677D8C18" w:rsidR="00D04F2F" w:rsidRPr="00D04F2F" w:rsidRDefault="0081625F" w:rsidP="00D04F2F">
      <w:pPr>
        <w:spacing w:after="0" w:line="240" w:lineRule="auto"/>
        <w:ind w:left="-142" w:right="-142"/>
        <w:jc w:val="both"/>
        <w:rPr>
          <w:rFonts w:ascii="Bookman Old Style" w:eastAsia="Times New Roman" w:hAnsi="Bookman Old Style" w:cs="Times New Roman"/>
          <w:sz w:val="24"/>
          <w:szCs w:val="24"/>
          <w:lang w:val="es-ES" w:eastAsia="es-ES"/>
        </w:rPr>
      </w:pPr>
      <w:r w:rsidRPr="00EC1D37">
        <w:rPr>
          <w:rFonts w:ascii="Bookman Old Style" w:eastAsia="Times New Roman" w:hAnsi="Bookman Old Style" w:cs="Times New Roman"/>
          <w:b/>
          <w:sz w:val="24"/>
          <w:szCs w:val="24"/>
          <w:lang w:val="es-ES" w:eastAsia="es-ES"/>
        </w:rPr>
        <w:t>Artículo 1.</w:t>
      </w:r>
      <w:r w:rsidRPr="00EC1D37">
        <w:rPr>
          <w:rFonts w:ascii="Bookman Old Style" w:eastAsia="Times New Roman" w:hAnsi="Bookman Old Style" w:cs="Times New Roman"/>
          <w:sz w:val="24"/>
          <w:szCs w:val="24"/>
          <w:lang w:val="es-ES" w:eastAsia="es-ES"/>
        </w:rPr>
        <w:t xml:space="preserve"> </w:t>
      </w:r>
      <w:r w:rsidR="00411EA9" w:rsidRPr="00E44D38">
        <w:rPr>
          <w:rFonts w:ascii="Bookman Old Style" w:eastAsia="Times New Roman" w:hAnsi="Bookman Old Style" w:cs="Times New Roman"/>
          <w:b/>
          <w:bCs/>
          <w:sz w:val="24"/>
          <w:szCs w:val="24"/>
          <w:lang w:val="es-ES" w:eastAsia="es-ES"/>
        </w:rPr>
        <w:t xml:space="preserve">Modificar el artículo </w:t>
      </w:r>
      <w:r w:rsidR="00411EA9">
        <w:rPr>
          <w:rFonts w:ascii="Bookman Old Style" w:eastAsia="Times New Roman" w:hAnsi="Bookman Old Style" w:cs="Times New Roman"/>
          <w:b/>
          <w:bCs/>
          <w:sz w:val="24"/>
          <w:szCs w:val="24"/>
          <w:lang w:val="es-ES" w:eastAsia="es-ES"/>
        </w:rPr>
        <w:t>1</w:t>
      </w:r>
      <w:r w:rsidR="00411EA9" w:rsidRPr="00E44D38">
        <w:rPr>
          <w:rFonts w:ascii="Bookman Old Style" w:eastAsia="Times New Roman" w:hAnsi="Bookman Old Style" w:cs="Times New Roman"/>
          <w:b/>
          <w:bCs/>
          <w:sz w:val="24"/>
          <w:szCs w:val="24"/>
          <w:lang w:val="es-ES" w:eastAsia="es-ES"/>
        </w:rPr>
        <w:t xml:space="preserve"> de la Resolución CREG </w:t>
      </w:r>
      <w:r w:rsidR="00035ED2">
        <w:rPr>
          <w:rFonts w:ascii="Bookman Old Style" w:eastAsia="Times New Roman" w:hAnsi="Bookman Old Style" w:cs="Times New Roman"/>
          <w:b/>
          <w:bCs/>
          <w:sz w:val="24"/>
          <w:szCs w:val="24"/>
          <w:lang w:val="es-ES" w:eastAsia="es-ES"/>
        </w:rPr>
        <w:t>501 26A</w:t>
      </w:r>
      <w:r w:rsidR="00411EA9" w:rsidRPr="00E44D38">
        <w:rPr>
          <w:rFonts w:ascii="Bookman Old Style" w:eastAsia="Times New Roman" w:hAnsi="Bookman Old Style" w:cs="Times New Roman"/>
          <w:b/>
          <w:bCs/>
          <w:sz w:val="24"/>
          <w:szCs w:val="24"/>
          <w:lang w:val="es-ES" w:eastAsia="es-ES"/>
        </w:rPr>
        <w:t xml:space="preserve"> de 20</w:t>
      </w:r>
      <w:r w:rsidR="00411EA9">
        <w:rPr>
          <w:rFonts w:ascii="Bookman Old Style" w:eastAsia="Times New Roman" w:hAnsi="Bookman Old Style" w:cs="Times New Roman"/>
          <w:b/>
          <w:bCs/>
          <w:sz w:val="24"/>
          <w:szCs w:val="24"/>
          <w:lang w:val="es-ES" w:eastAsia="es-ES"/>
        </w:rPr>
        <w:t>22</w:t>
      </w:r>
      <w:r w:rsidR="00411EA9" w:rsidRPr="00E44D38">
        <w:rPr>
          <w:rFonts w:ascii="Bookman Old Style" w:eastAsia="Times New Roman" w:hAnsi="Bookman Old Style" w:cs="Times New Roman"/>
          <w:b/>
          <w:bCs/>
          <w:sz w:val="24"/>
          <w:szCs w:val="24"/>
          <w:lang w:val="es-ES" w:eastAsia="es-ES"/>
        </w:rPr>
        <w:t>.</w:t>
      </w:r>
      <w:r w:rsidR="00411EA9" w:rsidRPr="00411EA9">
        <w:rPr>
          <w:rFonts w:ascii="Bookman Old Style" w:eastAsia="Times New Roman" w:hAnsi="Bookman Old Style" w:cs="Times New Roman"/>
          <w:sz w:val="24"/>
          <w:szCs w:val="24"/>
          <w:lang w:val="es-ES" w:eastAsia="es-ES"/>
        </w:rPr>
        <w:t xml:space="preserve"> </w:t>
      </w:r>
      <w:r w:rsidR="001E0944">
        <w:rPr>
          <w:rFonts w:ascii="Bookman Old Style" w:eastAsia="Times New Roman" w:hAnsi="Bookman Old Style" w:cs="Times New Roman"/>
          <w:sz w:val="24"/>
          <w:szCs w:val="24"/>
          <w:lang w:val="es-ES" w:eastAsia="es-ES"/>
        </w:rPr>
        <w:t xml:space="preserve">Reponer </w:t>
      </w:r>
      <w:r w:rsidR="00BF14E1">
        <w:rPr>
          <w:rFonts w:ascii="Bookman Old Style" w:eastAsia="Times New Roman" w:hAnsi="Bookman Old Style" w:cs="Times New Roman"/>
          <w:sz w:val="24"/>
          <w:szCs w:val="24"/>
          <w:lang w:val="es-ES" w:eastAsia="es-ES"/>
        </w:rPr>
        <w:t>parcialmente</w:t>
      </w:r>
      <w:r w:rsidR="001E0944">
        <w:rPr>
          <w:rFonts w:ascii="Bookman Old Style" w:eastAsia="Times New Roman" w:hAnsi="Bookman Old Style" w:cs="Times New Roman"/>
          <w:sz w:val="24"/>
          <w:szCs w:val="24"/>
          <w:lang w:val="es-ES" w:eastAsia="es-ES"/>
        </w:rPr>
        <w:t xml:space="preserve"> </w:t>
      </w:r>
      <w:r w:rsidR="00D04F2F" w:rsidRPr="00D04F2F">
        <w:rPr>
          <w:rFonts w:ascii="Bookman Old Style" w:eastAsia="Times New Roman" w:hAnsi="Bookman Old Style" w:cs="Times New Roman"/>
          <w:sz w:val="24"/>
          <w:szCs w:val="24"/>
          <w:lang w:val="es-ES" w:eastAsia="es-ES"/>
        </w:rPr>
        <w:t xml:space="preserve">el artículo 1 de la Resolución CREG </w:t>
      </w:r>
      <w:r w:rsidR="00CE7903">
        <w:rPr>
          <w:rFonts w:ascii="Bookman Old Style" w:eastAsia="Times New Roman" w:hAnsi="Bookman Old Style" w:cs="Times New Roman"/>
          <w:sz w:val="24"/>
          <w:szCs w:val="24"/>
          <w:lang w:val="es-ES" w:eastAsia="es-ES"/>
        </w:rPr>
        <w:t>50</w:t>
      </w:r>
      <w:r w:rsidR="00BF14E1">
        <w:rPr>
          <w:rFonts w:ascii="Bookman Old Style" w:eastAsia="Times New Roman" w:hAnsi="Bookman Old Style" w:cs="Times New Roman"/>
          <w:sz w:val="24"/>
          <w:szCs w:val="24"/>
          <w:lang w:val="es-ES" w:eastAsia="es-ES"/>
        </w:rPr>
        <w:t>1</w:t>
      </w:r>
      <w:r w:rsidR="00CE7903">
        <w:rPr>
          <w:rFonts w:ascii="Bookman Old Style" w:eastAsia="Times New Roman" w:hAnsi="Bookman Old Style" w:cs="Times New Roman"/>
          <w:sz w:val="24"/>
          <w:szCs w:val="24"/>
          <w:lang w:val="es-ES" w:eastAsia="es-ES"/>
        </w:rPr>
        <w:t xml:space="preserve"> </w:t>
      </w:r>
      <w:r w:rsidR="00BF14E1">
        <w:rPr>
          <w:rFonts w:ascii="Bookman Old Style" w:eastAsia="Times New Roman" w:hAnsi="Bookman Old Style" w:cs="Times New Roman"/>
          <w:sz w:val="24"/>
          <w:szCs w:val="24"/>
          <w:lang w:val="es-ES" w:eastAsia="es-ES"/>
        </w:rPr>
        <w:t>26A</w:t>
      </w:r>
      <w:r w:rsidR="00CE7903">
        <w:rPr>
          <w:rFonts w:ascii="Bookman Old Style" w:eastAsia="Times New Roman" w:hAnsi="Bookman Old Style" w:cs="Times New Roman"/>
          <w:sz w:val="24"/>
          <w:szCs w:val="24"/>
          <w:lang w:val="es-ES" w:eastAsia="es-ES"/>
        </w:rPr>
        <w:t xml:space="preserve"> </w:t>
      </w:r>
      <w:r w:rsidR="00D04F2F" w:rsidRPr="00D04F2F">
        <w:rPr>
          <w:rFonts w:ascii="Bookman Old Style" w:eastAsia="Times New Roman" w:hAnsi="Bookman Old Style" w:cs="Times New Roman"/>
          <w:sz w:val="24"/>
          <w:szCs w:val="24"/>
          <w:lang w:val="es-ES" w:eastAsia="es-ES"/>
        </w:rPr>
        <w:t>de</w:t>
      </w:r>
      <w:r w:rsidR="00CE7903">
        <w:rPr>
          <w:rFonts w:ascii="Bookman Old Style" w:eastAsia="Times New Roman" w:hAnsi="Bookman Old Style" w:cs="Times New Roman"/>
          <w:sz w:val="24"/>
          <w:szCs w:val="24"/>
          <w:lang w:val="es-ES" w:eastAsia="es-ES"/>
        </w:rPr>
        <w:t>l de</w:t>
      </w:r>
      <w:r w:rsidR="00E20EDC">
        <w:rPr>
          <w:rFonts w:ascii="Bookman Old Style" w:eastAsia="Times New Roman" w:hAnsi="Bookman Old Style" w:cs="Times New Roman"/>
          <w:sz w:val="24"/>
          <w:szCs w:val="24"/>
          <w:lang w:val="es-ES" w:eastAsia="es-ES"/>
        </w:rPr>
        <w:t>l</w:t>
      </w:r>
      <w:r w:rsidR="00CE7903">
        <w:rPr>
          <w:rFonts w:ascii="Bookman Old Style" w:eastAsia="Times New Roman" w:hAnsi="Bookman Old Style" w:cs="Times New Roman"/>
          <w:sz w:val="24"/>
          <w:szCs w:val="24"/>
          <w:lang w:val="es-ES" w:eastAsia="es-ES"/>
        </w:rPr>
        <w:t xml:space="preserve"> </w:t>
      </w:r>
      <w:r w:rsidR="00D04F2F" w:rsidRPr="00D04F2F">
        <w:rPr>
          <w:rFonts w:ascii="Bookman Old Style" w:eastAsia="Times New Roman" w:hAnsi="Bookman Old Style" w:cs="Times New Roman"/>
          <w:sz w:val="24"/>
          <w:szCs w:val="24"/>
          <w:lang w:val="es-ES" w:eastAsia="es-ES"/>
        </w:rPr>
        <w:t>20</w:t>
      </w:r>
      <w:r w:rsidR="00D04F2F">
        <w:rPr>
          <w:rFonts w:ascii="Bookman Old Style" w:eastAsia="Times New Roman" w:hAnsi="Bookman Old Style" w:cs="Times New Roman"/>
          <w:sz w:val="24"/>
          <w:szCs w:val="24"/>
          <w:lang w:val="es-ES" w:eastAsia="es-ES"/>
        </w:rPr>
        <w:t>2</w:t>
      </w:r>
      <w:r w:rsidR="00CE7903">
        <w:rPr>
          <w:rFonts w:ascii="Bookman Old Style" w:eastAsia="Times New Roman" w:hAnsi="Bookman Old Style" w:cs="Times New Roman"/>
          <w:sz w:val="24"/>
          <w:szCs w:val="24"/>
          <w:lang w:val="es-ES" w:eastAsia="es-ES"/>
        </w:rPr>
        <w:t>2</w:t>
      </w:r>
      <w:r w:rsidR="00A556C8">
        <w:rPr>
          <w:rFonts w:ascii="Bookman Old Style" w:eastAsia="Times New Roman" w:hAnsi="Bookman Old Style" w:cs="Times New Roman"/>
          <w:sz w:val="24"/>
          <w:szCs w:val="24"/>
          <w:lang w:val="es-ES" w:eastAsia="es-ES"/>
        </w:rPr>
        <w:t>,</w:t>
      </w:r>
      <w:r w:rsidR="00D04F2F" w:rsidRPr="00D04F2F">
        <w:rPr>
          <w:rFonts w:ascii="Bookman Old Style" w:eastAsia="Times New Roman" w:hAnsi="Bookman Old Style" w:cs="Times New Roman"/>
          <w:sz w:val="24"/>
          <w:szCs w:val="24"/>
          <w:lang w:val="es-ES" w:eastAsia="es-ES"/>
        </w:rPr>
        <w:t xml:space="preserve"> </w:t>
      </w:r>
      <w:r w:rsidR="00FD43B9">
        <w:rPr>
          <w:rFonts w:ascii="Bookman Old Style" w:eastAsia="Times New Roman" w:hAnsi="Bookman Old Style" w:cs="Times New Roman"/>
          <w:sz w:val="24"/>
          <w:szCs w:val="24"/>
          <w:lang w:val="es-ES" w:eastAsia="es-ES"/>
        </w:rPr>
        <w:t>el cual quedará así</w:t>
      </w:r>
      <w:r w:rsidR="00D04F2F" w:rsidRPr="00D04F2F">
        <w:rPr>
          <w:rFonts w:ascii="Bookman Old Style" w:eastAsia="Times New Roman" w:hAnsi="Bookman Old Style" w:cs="Times New Roman"/>
          <w:sz w:val="24"/>
          <w:szCs w:val="24"/>
          <w:lang w:val="es-ES" w:eastAsia="es-ES"/>
        </w:rPr>
        <w:t>:</w:t>
      </w:r>
    </w:p>
    <w:p w14:paraId="59CE6533" w14:textId="77777777" w:rsidR="00915FA8" w:rsidRDefault="00915FA8" w:rsidP="00CF6D98">
      <w:pPr>
        <w:spacing w:after="0" w:line="240" w:lineRule="auto"/>
        <w:jc w:val="both"/>
        <w:rPr>
          <w:rFonts w:ascii="Bookman Old Style" w:eastAsia="Times New Roman" w:hAnsi="Bookman Old Style" w:cs="Times New Roman"/>
          <w:b/>
          <w:bCs/>
          <w:sz w:val="24"/>
          <w:szCs w:val="24"/>
          <w:lang w:val="es-ES" w:eastAsia="es-ES"/>
        </w:rPr>
      </w:pPr>
    </w:p>
    <w:p w14:paraId="1271CE9D" w14:textId="6D00A225" w:rsidR="00D04F2F" w:rsidRPr="00E44D38" w:rsidRDefault="00CF6D98" w:rsidP="00E44D38">
      <w:pPr>
        <w:spacing w:after="0" w:line="240" w:lineRule="auto"/>
        <w:ind w:left="142" w:right="-142"/>
        <w:jc w:val="both"/>
        <w:rPr>
          <w:rFonts w:ascii="Bookman Old Style" w:eastAsia="Times New Roman" w:hAnsi="Bookman Old Style" w:cs="Times New Roman"/>
          <w:sz w:val="24"/>
          <w:szCs w:val="24"/>
          <w:lang w:val="es-ES" w:eastAsia="es-ES"/>
        </w:rPr>
      </w:pPr>
      <w:r w:rsidRPr="00E44D38">
        <w:rPr>
          <w:rFonts w:ascii="Bookman Old Style" w:eastAsia="Times New Roman" w:hAnsi="Bookman Old Style" w:cs="Times New Roman"/>
          <w:b/>
          <w:bCs/>
          <w:i/>
          <w:iCs/>
          <w:sz w:val="24"/>
          <w:szCs w:val="24"/>
          <w:lang w:val="es-ES" w:eastAsia="es-ES"/>
        </w:rPr>
        <w:t>ARTÍCULO 1. Imposición de servidumbre.</w:t>
      </w:r>
      <w:r w:rsidRPr="00E44D38">
        <w:rPr>
          <w:rFonts w:ascii="Bookman Old Style" w:eastAsia="Times New Roman" w:hAnsi="Bookman Old Style" w:cs="Times New Roman"/>
          <w:i/>
          <w:iCs/>
          <w:sz w:val="24"/>
          <w:szCs w:val="24"/>
          <w:lang w:val="es-ES" w:eastAsia="es-ES"/>
        </w:rPr>
        <w:t xml:space="preserve"> Imponer servidumbre de conexión eléctrica en la línea de 34.5 kV, activo identificado como “Línea de Transmisión de la MCH Mitú a la Subestación Eléctrica de Mitú” en el contrato especial No. GGC </w:t>
      </w:r>
      <w:r w:rsidRPr="00E44D38">
        <w:rPr>
          <w:rFonts w:ascii="Bookman Old Style" w:eastAsia="Times New Roman" w:hAnsi="Bookman Old Style" w:cs="Times New Roman"/>
          <w:i/>
          <w:iCs/>
          <w:sz w:val="24"/>
          <w:szCs w:val="24"/>
          <w:lang w:val="es-ES" w:eastAsia="es-ES"/>
        </w:rPr>
        <w:lastRenderedPageBreak/>
        <w:t>209-2013 suscrito entre GENSA S.A. E.S.P. y el Ministerio de Minas y Energía, en la torre 117, para conectar generación solar fotovoltaica con capacidad pico de hasta 7,6 MWp y hasta 8,8 MWh de acumulación; a cargo de GENSA S.A. E.S.P. o del operador que a futuro cuente con la administración, operación, uso y goce de la línea de 34.5 kV; a favor de DUE CAPITAL AND SERVICES S.A.S. o de quien actúe como generador</w:t>
      </w:r>
      <w:r w:rsidR="00065858">
        <w:rPr>
          <w:rFonts w:ascii="Bookman Old Style" w:eastAsia="Times New Roman" w:hAnsi="Bookman Old Style" w:cs="Times New Roman"/>
          <w:i/>
          <w:iCs/>
          <w:sz w:val="24"/>
          <w:szCs w:val="24"/>
          <w:lang w:val="es-ES" w:eastAsia="es-ES"/>
        </w:rPr>
        <w:t xml:space="preserve"> </w:t>
      </w:r>
      <w:r w:rsidR="00065858" w:rsidRPr="00E44D38">
        <w:rPr>
          <w:rFonts w:ascii="Bookman Old Style" w:eastAsia="Times New Roman" w:hAnsi="Bookman Old Style" w:cs="Times New Roman"/>
          <w:i/>
          <w:iCs/>
          <w:sz w:val="24"/>
          <w:szCs w:val="24"/>
          <w:lang w:val="es-ES" w:eastAsia="es-ES"/>
        </w:rPr>
        <w:t>de conformidad con lo expuesto en la parte motiva de la presente resolución</w:t>
      </w:r>
      <w:r w:rsidRPr="00D07DC7">
        <w:rPr>
          <w:rFonts w:ascii="Bookman Old Style" w:eastAsia="Times New Roman" w:hAnsi="Bookman Old Style" w:cs="Times New Roman"/>
          <w:sz w:val="24"/>
          <w:szCs w:val="24"/>
          <w:lang w:val="es-ES" w:eastAsia="es-ES"/>
        </w:rPr>
        <w:t>.</w:t>
      </w:r>
    </w:p>
    <w:p w14:paraId="6622513B" w14:textId="77777777" w:rsidR="00065858" w:rsidRPr="00E44D38" w:rsidRDefault="00065858" w:rsidP="00E44D38">
      <w:pPr>
        <w:spacing w:after="0" w:line="240" w:lineRule="auto"/>
        <w:jc w:val="both"/>
        <w:rPr>
          <w:rFonts w:ascii="Bookman Old Style" w:eastAsia="Times New Roman" w:hAnsi="Bookman Old Style" w:cs="Times New Roman"/>
          <w:i/>
          <w:iCs/>
          <w:sz w:val="24"/>
          <w:szCs w:val="24"/>
          <w:lang w:val="es-ES" w:eastAsia="es-ES"/>
        </w:rPr>
      </w:pPr>
    </w:p>
    <w:p w14:paraId="7A5931C2" w14:textId="0649EBD3" w:rsidR="00890F14" w:rsidRPr="00890F14" w:rsidRDefault="0081625F" w:rsidP="00890F14">
      <w:pPr>
        <w:spacing w:after="0" w:line="240" w:lineRule="auto"/>
        <w:ind w:left="-142" w:right="-142"/>
        <w:jc w:val="both"/>
        <w:rPr>
          <w:rFonts w:ascii="Bookman Old Style" w:eastAsia="Times New Roman" w:hAnsi="Bookman Old Style" w:cs="Times New Roman"/>
          <w:sz w:val="24"/>
          <w:szCs w:val="24"/>
          <w:lang w:val="es-ES" w:eastAsia="es-ES"/>
        </w:rPr>
      </w:pPr>
      <w:r w:rsidRPr="00C35B4C">
        <w:rPr>
          <w:rFonts w:ascii="Bookman Old Style" w:eastAsia="Times New Roman" w:hAnsi="Bookman Old Style" w:cs="Times New Roman"/>
          <w:b/>
          <w:sz w:val="24"/>
          <w:szCs w:val="24"/>
          <w:lang w:val="es-ES" w:eastAsia="es-ES"/>
        </w:rPr>
        <w:t xml:space="preserve">Artículo </w:t>
      </w:r>
      <w:r w:rsidR="00E20EDC">
        <w:rPr>
          <w:rFonts w:ascii="Bookman Old Style" w:eastAsia="Times New Roman" w:hAnsi="Bookman Old Style" w:cs="Times New Roman"/>
          <w:b/>
          <w:sz w:val="24"/>
          <w:szCs w:val="24"/>
          <w:lang w:val="es-ES" w:eastAsia="es-ES"/>
        </w:rPr>
        <w:t>2</w:t>
      </w:r>
      <w:r w:rsidRPr="00C35B4C">
        <w:rPr>
          <w:rFonts w:ascii="Bookman Old Style" w:eastAsia="Times New Roman" w:hAnsi="Bookman Old Style" w:cs="Times New Roman"/>
          <w:b/>
          <w:sz w:val="24"/>
          <w:szCs w:val="24"/>
          <w:lang w:val="es-ES" w:eastAsia="es-ES"/>
        </w:rPr>
        <w:t>.</w:t>
      </w:r>
      <w:r w:rsidRPr="00C35B4C">
        <w:rPr>
          <w:rFonts w:ascii="Bookman Old Style" w:eastAsia="Times New Roman" w:hAnsi="Bookman Old Style" w:cs="Times New Roman"/>
          <w:sz w:val="24"/>
          <w:szCs w:val="24"/>
          <w:lang w:val="es-ES" w:eastAsia="es-ES"/>
        </w:rPr>
        <w:t xml:space="preserve"> </w:t>
      </w:r>
      <w:r w:rsidR="00FD0162">
        <w:rPr>
          <w:rFonts w:ascii="Bookman Old Style" w:hAnsi="Bookman Old Style" w:cs="Arial"/>
          <w:b/>
        </w:rPr>
        <w:t>Notificaci</w:t>
      </w:r>
      <w:r w:rsidR="00CE6152">
        <w:rPr>
          <w:rFonts w:ascii="Bookman Old Style" w:hAnsi="Bookman Old Style" w:cs="Arial"/>
          <w:b/>
        </w:rPr>
        <w:t>ón</w:t>
      </w:r>
      <w:r w:rsidR="00FD0162">
        <w:rPr>
          <w:rFonts w:ascii="Bookman Old Style" w:hAnsi="Bookman Old Style" w:cs="Arial"/>
          <w:b/>
        </w:rPr>
        <w:t>.</w:t>
      </w:r>
      <w:r w:rsidR="00FD0162" w:rsidRPr="00900BD3">
        <w:rPr>
          <w:rFonts w:ascii="Bookman Old Style" w:hAnsi="Bookman Old Style" w:cs="Arial"/>
          <w:bCs/>
        </w:rPr>
        <w:t xml:space="preserve"> </w:t>
      </w:r>
      <w:r w:rsidR="00A966FB" w:rsidRPr="00A966FB">
        <w:rPr>
          <w:rFonts w:ascii="Bookman Old Style" w:eastAsia="Times New Roman" w:hAnsi="Bookman Old Style" w:cs="Times New Roman"/>
          <w:sz w:val="24"/>
          <w:szCs w:val="24"/>
          <w:lang w:val="es-ES" w:eastAsia="es-ES"/>
        </w:rPr>
        <w:t>Notificar a los representantes legales de las empresas DUE CAPITAL AND SERVICES S.A.S., identificada con NIT 900410830-0, GENSA S.A. E.S.P. identificada con NIT 800194208-9</w:t>
      </w:r>
      <w:r w:rsidR="00A556C8">
        <w:rPr>
          <w:rFonts w:ascii="Bookman Old Style" w:eastAsia="Times New Roman" w:hAnsi="Bookman Old Style" w:cs="Times New Roman"/>
          <w:sz w:val="24"/>
          <w:szCs w:val="24"/>
          <w:lang w:val="es-ES" w:eastAsia="es-ES"/>
        </w:rPr>
        <w:t>,</w:t>
      </w:r>
      <w:r w:rsidR="00A966FB" w:rsidRPr="00A966FB">
        <w:rPr>
          <w:rFonts w:ascii="Bookman Old Style" w:eastAsia="Times New Roman" w:hAnsi="Bookman Old Style" w:cs="Times New Roman"/>
          <w:sz w:val="24"/>
          <w:szCs w:val="24"/>
          <w:lang w:val="es-ES" w:eastAsia="es-ES"/>
        </w:rPr>
        <w:t xml:space="preserve"> y del Ministerio de Minas y Energía</w:t>
      </w:r>
      <w:r w:rsidR="00A556C8">
        <w:rPr>
          <w:rFonts w:ascii="Bookman Old Style" w:eastAsia="Times New Roman" w:hAnsi="Bookman Old Style" w:cs="Times New Roman"/>
          <w:sz w:val="24"/>
          <w:szCs w:val="24"/>
          <w:lang w:val="es-ES" w:eastAsia="es-ES"/>
        </w:rPr>
        <w:t>,</w:t>
      </w:r>
      <w:r w:rsidR="00A966FB" w:rsidRPr="00A966FB">
        <w:rPr>
          <w:rFonts w:ascii="Bookman Old Style" w:eastAsia="Times New Roman" w:hAnsi="Bookman Old Style" w:cs="Times New Roman"/>
          <w:sz w:val="24"/>
          <w:szCs w:val="24"/>
          <w:lang w:val="es-ES" w:eastAsia="es-ES"/>
        </w:rPr>
        <w:t xml:space="preserve"> el contenido de esta resolución.</w:t>
      </w:r>
    </w:p>
    <w:p w14:paraId="1D3DCC4E" w14:textId="77777777" w:rsidR="00890F14" w:rsidRDefault="00890F14" w:rsidP="00890F14">
      <w:pPr>
        <w:spacing w:after="0" w:line="240" w:lineRule="auto"/>
        <w:ind w:left="-142" w:right="-142"/>
        <w:jc w:val="both"/>
        <w:rPr>
          <w:rFonts w:ascii="Bookman Old Style" w:eastAsia="Times New Roman" w:hAnsi="Bookman Old Style" w:cs="Times New Roman"/>
          <w:sz w:val="24"/>
          <w:szCs w:val="24"/>
          <w:lang w:val="es-ES" w:eastAsia="es-ES"/>
        </w:rPr>
      </w:pPr>
      <w:r w:rsidRPr="00890F14">
        <w:rPr>
          <w:rFonts w:ascii="Bookman Old Style" w:eastAsia="Times New Roman" w:hAnsi="Bookman Old Style" w:cs="Times New Roman"/>
          <w:sz w:val="24"/>
          <w:szCs w:val="24"/>
          <w:lang w:val="es-ES" w:eastAsia="es-ES"/>
        </w:rPr>
        <w:t xml:space="preserve"> </w:t>
      </w:r>
    </w:p>
    <w:p w14:paraId="3C5A6ADC" w14:textId="37EB8CB6" w:rsidR="000E1BCF" w:rsidRDefault="008D2B9D" w:rsidP="00890F14">
      <w:pPr>
        <w:spacing w:after="0" w:line="240" w:lineRule="auto"/>
        <w:ind w:left="-142" w:right="-142"/>
        <w:jc w:val="both"/>
        <w:rPr>
          <w:rFonts w:ascii="Bookman Old Style" w:eastAsia="MS Mincho" w:hAnsi="Bookman Old Style" w:cs="Arial"/>
          <w:b/>
          <w:sz w:val="24"/>
          <w:szCs w:val="24"/>
          <w:lang w:val="es-ES" w:eastAsia="es-ES"/>
        </w:rPr>
      </w:pPr>
      <w:r w:rsidRPr="008D2B9D">
        <w:rPr>
          <w:rFonts w:ascii="Bookman Old Style" w:eastAsia="Times New Roman" w:hAnsi="Bookman Old Style" w:cs="Times New Roman"/>
          <w:bCs/>
          <w:sz w:val="24"/>
          <w:szCs w:val="24"/>
          <w:lang w:val="es-ES" w:eastAsia="es-ES"/>
        </w:rPr>
        <w:t>Contra lo aquí dispuesto no procede recurso alguno</w:t>
      </w:r>
      <w:r w:rsidR="00A556C8">
        <w:rPr>
          <w:rFonts w:ascii="Bookman Old Style" w:eastAsia="Times New Roman" w:hAnsi="Bookman Old Style" w:cs="Times New Roman"/>
          <w:bCs/>
          <w:sz w:val="24"/>
          <w:szCs w:val="24"/>
          <w:lang w:val="es-ES" w:eastAsia="es-ES"/>
        </w:rPr>
        <w:t>,</w:t>
      </w:r>
      <w:r w:rsidRPr="008D2B9D">
        <w:rPr>
          <w:rFonts w:ascii="Bookman Old Style" w:eastAsia="Times New Roman" w:hAnsi="Bookman Old Style" w:cs="Times New Roman"/>
          <w:bCs/>
          <w:sz w:val="24"/>
          <w:szCs w:val="24"/>
          <w:lang w:val="es-ES" w:eastAsia="es-ES"/>
        </w:rPr>
        <w:t xml:space="preserve"> toda vez que </w:t>
      </w:r>
      <w:r w:rsidR="000B29A3">
        <w:rPr>
          <w:rFonts w:ascii="Bookman Old Style" w:eastAsia="Times New Roman" w:hAnsi="Bookman Old Style" w:cs="Times New Roman"/>
          <w:bCs/>
          <w:sz w:val="24"/>
          <w:szCs w:val="24"/>
          <w:lang w:val="es-ES" w:eastAsia="es-ES"/>
        </w:rPr>
        <w:t xml:space="preserve">se </w:t>
      </w:r>
      <w:r w:rsidRPr="008D2B9D">
        <w:rPr>
          <w:rFonts w:ascii="Bookman Old Style" w:eastAsia="Times New Roman" w:hAnsi="Bookman Old Style" w:cs="Times New Roman"/>
          <w:bCs/>
          <w:sz w:val="24"/>
          <w:szCs w:val="24"/>
          <w:lang w:val="es-ES" w:eastAsia="es-ES"/>
        </w:rPr>
        <w:t>entienden agotados todos los recursos que por ley son obligatorios.</w:t>
      </w:r>
    </w:p>
    <w:p w14:paraId="38E0C41A" w14:textId="1B61C275" w:rsidR="000E1BCF" w:rsidRDefault="000E1BCF" w:rsidP="00890F14">
      <w:pPr>
        <w:spacing w:after="0" w:line="240" w:lineRule="auto"/>
        <w:ind w:left="-142" w:right="-142"/>
        <w:jc w:val="both"/>
        <w:rPr>
          <w:rFonts w:ascii="Bookman Old Style" w:eastAsia="MS Mincho" w:hAnsi="Bookman Old Style" w:cs="Arial"/>
          <w:b/>
          <w:sz w:val="24"/>
          <w:szCs w:val="24"/>
          <w:lang w:val="es-ES" w:eastAsia="es-ES"/>
        </w:rPr>
      </w:pPr>
    </w:p>
    <w:p w14:paraId="106DC438" w14:textId="0F8025CD" w:rsidR="000E1BCF" w:rsidRPr="00082D81" w:rsidRDefault="000E1BCF" w:rsidP="00890F14">
      <w:pPr>
        <w:spacing w:after="0" w:line="240" w:lineRule="auto"/>
        <w:ind w:left="-142"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b/>
          <w:bCs/>
          <w:sz w:val="24"/>
          <w:szCs w:val="24"/>
          <w:lang w:val="es-ES" w:eastAsia="es-ES"/>
        </w:rPr>
        <w:t xml:space="preserve">Artículo 3. </w:t>
      </w:r>
      <w:r w:rsidRPr="00E44D38">
        <w:rPr>
          <w:rFonts w:ascii="Bookman Old Style" w:eastAsia="Times New Roman" w:hAnsi="Bookman Old Style" w:cs="Times New Roman"/>
          <w:b/>
          <w:bCs/>
          <w:sz w:val="24"/>
          <w:szCs w:val="24"/>
          <w:lang w:val="es-ES" w:eastAsia="es-ES"/>
        </w:rPr>
        <w:t>Comunicaci</w:t>
      </w:r>
      <w:r w:rsidR="000B29A3">
        <w:rPr>
          <w:rFonts w:ascii="Bookman Old Style" w:eastAsia="Times New Roman" w:hAnsi="Bookman Old Style" w:cs="Times New Roman"/>
          <w:b/>
          <w:bCs/>
          <w:sz w:val="24"/>
          <w:szCs w:val="24"/>
          <w:lang w:val="es-ES" w:eastAsia="es-ES"/>
        </w:rPr>
        <w:t>ón y publicación</w:t>
      </w:r>
      <w:r w:rsidRPr="00E44D38">
        <w:rPr>
          <w:rFonts w:ascii="Bookman Old Style" w:eastAsia="Times New Roman" w:hAnsi="Bookman Old Style" w:cs="Times New Roman"/>
          <w:b/>
          <w:bCs/>
          <w:sz w:val="24"/>
          <w:szCs w:val="24"/>
          <w:lang w:val="es-ES" w:eastAsia="es-ES"/>
        </w:rPr>
        <w:t>.</w:t>
      </w:r>
      <w:r w:rsidRPr="000E1BCF">
        <w:rPr>
          <w:rFonts w:ascii="Bookman Old Style" w:eastAsia="Times New Roman" w:hAnsi="Bookman Old Style" w:cs="Times New Roman"/>
          <w:sz w:val="24"/>
          <w:szCs w:val="24"/>
          <w:lang w:val="es-ES" w:eastAsia="es-ES"/>
        </w:rPr>
        <w:t xml:space="preserve"> </w:t>
      </w:r>
      <w:r w:rsidR="00002B79">
        <w:rPr>
          <w:rFonts w:ascii="Bookman Old Style" w:eastAsia="Times New Roman" w:hAnsi="Bookman Old Style" w:cs="Times New Roman"/>
          <w:sz w:val="24"/>
          <w:szCs w:val="24"/>
          <w:lang w:val="es-ES" w:eastAsia="es-ES"/>
        </w:rPr>
        <w:t>Publicar la presente resolución en Diario Oficial y c</w:t>
      </w:r>
      <w:r w:rsidRPr="000E1BCF">
        <w:rPr>
          <w:rFonts w:ascii="Bookman Old Style" w:eastAsia="Times New Roman" w:hAnsi="Bookman Old Style" w:cs="Times New Roman"/>
          <w:sz w:val="24"/>
          <w:szCs w:val="24"/>
          <w:lang w:val="es-ES" w:eastAsia="es-ES"/>
        </w:rPr>
        <w:t xml:space="preserve">omunicar a la Superintendencia de Servicios Públicos Domiciliarios y a la Gobernación de Vaupés </w:t>
      </w:r>
      <w:r w:rsidR="00257033">
        <w:rPr>
          <w:rFonts w:ascii="Bookman Old Style" w:eastAsia="Times New Roman" w:hAnsi="Bookman Old Style" w:cs="Times New Roman"/>
          <w:sz w:val="24"/>
          <w:szCs w:val="24"/>
          <w:lang w:val="es-ES" w:eastAsia="es-ES"/>
        </w:rPr>
        <w:t>su</w:t>
      </w:r>
      <w:r w:rsidRPr="000E1BCF">
        <w:rPr>
          <w:rFonts w:ascii="Bookman Old Style" w:eastAsia="Times New Roman" w:hAnsi="Bookman Old Style" w:cs="Times New Roman"/>
          <w:sz w:val="24"/>
          <w:szCs w:val="24"/>
          <w:lang w:val="es-ES" w:eastAsia="es-ES"/>
        </w:rPr>
        <w:t xml:space="preserve"> contenido para lo de su competencia</w:t>
      </w:r>
      <w:r w:rsidR="00FE6404">
        <w:rPr>
          <w:rFonts w:ascii="Bookman Old Style" w:eastAsia="Times New Roman" w:hAnsi="Bookman Old Style" w:cs="Times New Roman"/>
          <w:sz w:val="24"/>
          <w:szCs w:val="24"/>
          <w:lang w:val="es-ES" w:eastAsia="es-ES"/>
        </w:rPr>
        <w:t xml:space="preserve">. </w:t>
      </w:r>
    </w:p>
    <w:p w14:paraId="00008AFC" w14:textId="77777777" w:rsidR="0081625F" w:rsidRPr="00082D81" w:rsidRDefault="0081625F" w:rsidP="00E44D38">
      <w:pPr>
        <w:spacing w:after="0" w:line="240" w:lineRule="auto"/>
        <w:ind w:left="-142" w:right="-142"/>
        <w:jc w:val="both"/>
        <w:rPr>
          <w:rFonts w:ascii="Bookman Old Style" w:eastAsia="MS Mincho" w:hAnsi="Bookman Old Style" w:cs="Arial"/>
          <w:b/>
          <w:sz w:val="24"/>
          <w:szCs w:val="24"/>
          <w:lang w:val="es-ES" w:eastAsia="es-ES"/>
        </w:rPr>
      </w:pPr>
    </w:p>
    <w:p w14:paraId="2FE09F8B" w14:textId="01F9F69C" w:rsidR="0081625F" w:rsidRPr="00082D81" w:rsidRDefault="0081625F" w:rsidP="0081625F">
      <w:pPr>
        <w:spacing w:after="0" w:line="240" w:lineRule="auto"/>
        <w:contextualSpacing/>
        <w:jc w:val="center"/>
        <w:rPr>
          <w:rFonts w:ascii="Bookman Old Style" w:eastAsia="Times New Roman" w:hAnsi="Bookman Old Style" w:cs="Times New Roman"/>
          <w:b/>
          <w:sz w:val="24"/>
          <w:szCs w:val="24"/>
          <w:lang w:val="es-ES" w:eastAsia="es-ES"/>
        </w:rPr>
      </w:pPr>
      <w:r w:rsidRPr="00082D81">
        <w:rPr>
          <w:rFonts w:ascii="Bookman Old Style" w:eastAsia="Times New Roman" w:hAnsi="Bookman Old Style" w:cs="Times New Roman"/>
          <w:b/>
          <w:sz w:val="24"/>
          <w:szCs w:val="24"/>
          <w:lang w:val="es-ES" w:eastAsia="es-ES"/>
        </w:rPr>
        <w:t>NOTIFÍQUESE</w:t>
      </w:r>
      <w:r w:rsidR="00746C6A">
        <w:rPr>
          <w:rFonts w:ascii="Bookman Old Style" w:eastAsia="Times New Roman" w:hAnsi="Bookman Old Style" w:cs="Times New Roman"/>
          <w:b/>
          <w:sz w:val="24"/>
          <w:szCs w:val="24"/>
          <w:lang w:val="es-ES" w:eastAsia="es-ES"/>
        </w:rPr>
        <w:t>, COMUNIQUESE</w:t>
      </w:r>
      <w:r w:rsidR="00A2626B">
        <w:rPr>
          <w:rFonts w:ascii="Bookman Old Style" w:eastAsia="Times New Roman" w:hAnsi="Bookman Old Style" w:cs="Times New Roman"/>
          <w:b/>
          <w:sz w:val="24"/>
          <w:szCs w:val="24"/>
          <w:lang w:val="es-ES" w:eastAsia="es-ES"/>
        </w:rPr>
        <w:t>,</w:t>
      </w:r>
      <w:r w:rsidR="006C2EAF">
        <w:rPr>
          <w:rFonts w:ascii="Bookman Old Style" w:eastAsia="Times New Roman" w:hAnsi="Bookman Old Style" w:cs="Times New Roman"/>
          <w:b/>
          <w:sz w:val="24"/>
          <w:szCs w:val="24"/>
          <w:lang w:val="es-ES" w:eastAsia="es-ES"/>
        </w:rPr>
        <w:t xml:space="preserve"> </w:t>
      </w:r>
      <w:r w:rsidR="00A2626B">
        <w:rPr>
          <w:rFonts w:ascii="Bookman Old Style" w:eastAsia="Times New Roman" w:hAnsi="Bookman Old Style" w:cs="Times New Roman"/>
          <w:b/>
          <w:sz w:val="24"/>
          <w:szCs w:val="24"/>
          <w:lang w:val="es-ES" w:eastAsia="es-ES"/>
        </w:rPr>
        <w:t>PUBLIQUESE</w:t>
      </w:r>
      <w:r w:rsidRPr="00082D81">
        <w:rPr>
          <w:rFonts w:ascii="Bookman Old Style" w:eastAsia="Times New Roman" w:hAnsi="Bookman Old Style" w:cs="Times New Roman"/>
          <w:b/>
          <w:sz w:val="24"/>
          <w:szCs w:val="24"/>
          <w:lang w:val="es-ES" w:eastAsia="es-ES"/>
        </w:rPr>
        <w:t xml:space="preserve"> Y CÚMPLASE</w:t>
      </w:r>
    </w:p>
    <w:p w14:paraId="5755619A" w14:textId="77777777" w:rsidR="0081625F" w:rsidRPr="00082D81" w:rsidRDefault="0081625F" w:rsidP="0081625F">
      <w:pPr>
        <w:spacing w:after="0" w:line="240" w:lineRule="auto"/>
        <w:contextualSpacing/>
        <w:rPr>
          <w:rFonts w:ascii="Bookman Old Style" w:eastAsia="Times New Roman" w:hAnsi="Bookman Old Style" w:cs="Times New Roman"/>
          <w:sz w:val="24"/>
          <w:szCs w:val="24"/>
          <w:lang w:val="es-ES" w:eastAsia="es-ES"/>
        </w:rPr>
      </w:pPr>
    </w:p>
    <w:p w14:paraId="018E2ADD" w14:textId="00897A25" w:rsidR="0081625F" w:rsidRPr="00E44D38" w:rsidRDefault="0081625F" w:rsidP="0081625F">
      <w:pPr>
        <w:spacing w:after="0" w:line="240" w:lineRule="auto"/>
        <w:contextualSpacing/>
        <w:rPr>
          <w:rFonts w:ascii="Bookman Old Style" w:eastAsia="Times New Roman" w:hAnsi="Bookman Old Style" w:cs="Times New Roman"/>
          <w:b/>
          <w:bCs/>
          <w:sz w:val="24"/>
          <w:szCs w:val="24"/>
          <w:lang w:val="es-ES" w:eastAsia="es-ES"/>
        </w:rPr>
      </w:pPr>
      <w:r w:rsidRPr="00082D81">
        <w:rPr>
          <w:rFonts w:ascii="Bookman Old Style" w:eastAsia="Times New Roman" w:hAnsi="Bookman Old Style" w:cs="Times New Roman"/>
          <w:sz w:val="24"/>
          <w:szCs w:val="24"/>
          <w:lang w:val="es-ES" w:eastAsia="es-ES"/>
        </w:rPr>
        <w:t>Dada en Bogotá, D.C.,</w:t>
      </w:r>
      <w:r w:rsidR="00E44D38">
        <w:rPr>
          <w:rFonts w:ascii="Bookman Old Style" w:eastAsia="Times New Roman" w:hAnsi="Bookman Old Style" w:cs="Times New Roman"/>
          <w:sz w:val="24"/>
          <w:szCs w:val="24"/>
          <w:lang w:val="es-ES" w:eastAsia="es-ES"/>
        </w:rPr>
        <w:t xml:space="preserve"> </w:t>
      </w:r>
      <w:r w:rsidR="00E44D38" w:rsidRPr="00E44D38">
        <w:rPr>
          <w:rFonts w:ascii="Bookman Old Style" w:eastAsia="Times New Roman" w:hAnsi="Bookman Old Style" w:cs="Times New Roman"/>
          <w:b/>
          <w:bCs/>
          <w:sz w:val="24"/>
          <w:szCs w:val="24"/>
          <w:lang w:val="es-ES" w:eastAsia="es-ES"/>
        </w:rPr>
        <w:t>15 JUL. 2022</w:t>
      </w:r>
    </w:p>
    <w:p w14:paraId="460F1290" w14:textId="5F036CB9" w:rsidR="0081625F" w:rsidRDefault="0081625F" w:rsidP="0081625F">
      <w:pPr>
        <w:spacing w:after="0" w:line="240" w:lineRule="auto"/>
        <w:contextualSpacing/>
        <w:rPr>
          <w:rFonts w:ascii="Bookman Old Style" w:eastAsia="Times New Roman" w:hAnsi="Bookman Old Style" w:cs="Times New Roman"/>
          <w:sz w:val="20"/>
          <w:szCs w:val="24"/>
          <w:lang w:val="es-ES" w:eastAsia="es-ES"/>
        </w:rPr>
      </w:pPr>
    </w:p>
    <w:p w14:paraId="216EE899" w14:textId="5BE3E24A" w:rsidR="006C2EAF" w:rsidRDefault="006C2EAF" w:rsidP="0081625F">
      <w:pPr>
        <w:spacing w:after="0" w:line="240" w:lineRule="auto"/>
        <w:contextualSpacing/>
        <w:rPr>
          <w:rFonts w:ascii="Bookman Old Style" w:eastAsia="Times New Roman" w:hAnsi="Bookman Old Style" w:cs="Times New Roman"/>
          <w:sz w:val="20"/>
          <w:szCs w:val="24"/>
          <w:lang w:val="es-ES" w:eastAsia="es-ES"/>
        </w:rPr>
      </w:pPr>
    </w:p>
    <w:p w14:paraId="506D19DB" w14:textId="1433AF5E" w:rsidR="006C2EAF" w:rsidRDefault="006C2EAF" w:rsidP="0081625F">
      <w:pPr>
        <w:spacing w:after="0" w:line="240" w:lineRule="auto"/>
        <w:contextualSpacing/>
        <w:rPr>
          <w:rFonts w:ascii="Bookman Old Style" w:eastAsia="Times New Roman" w:hAnsi="Bookman Old Style" w:cs="Times New Roman"/>
          <w:sz w:val="20"/>
          <w:szCs w:val="24"/>
          <w:lang w:val="es-ES" w:eastAsia="es-ES"/>
        </w:rPr>
      </w:pPr>
    </w:p>
    <w:p w14:paraId="1DDB6146" w14:textId="77777777" w:rsidR="00A556C8" w:rsidRDefault="00A556C8" w:rsidP="0081625F">
      <w:pPr>
        <w:spacing w:after="0" w:line="240" w:lineRule="auto"/>
        <w:contextualSpacing/>
        <w:rPr>
          <w:rFonts w:ascii="Bookman Old Style" w:eastAsia="Times New Roman" w:hAnsi="Bookman Old Style" w:cs="Times New Roman"/>
          <w:sz w:val="20"/>
          <w:szCs w:val="24"/>
          <w:lang w:val="es-ES" w:eastAsia="es-ES"/>
        </w:rPr>
      </w:pPr>
    </w:p>
    <w:tbl>
      <w:tblPr>
        <w:tblW w:w="9067" w:type="dxa"/>
        <w:jc w:val="center"/>
        <w:tblCellSpacing w:w="0" w:type="dxa"/>
        <w:tblCellMar>
          <w:left w:w="0" w:type="dxa"/>
          <w:right w:w="0" w:type="dxa"/>
        </w:tblCellMar>
        <w:tblLook w:val="04A0" w:firstRow="1" w:lastRow="0" w:firstColumn="1" w:lastColumn="0" w:noHBand="0" w:noVBand="1"/>
      </w:tblPr>
      <w:tblGrid>
        <w:gridCol w:w="4140"/>
        <w:gridCol w:w="4927"/>
      </w:tblGrid>
      <w:tr w:rsidR="001E24C7" w:rsidRPr="00966673" w14:paraId="40776A0E" w14:textId="77777777" w:rsidTr="00E44D38">
        <w:trPr>
          <w:tblCellSpacing w:w="0" w:type="dxa"/>
          <w:jc w:val="center"/>
        </w:trPr>
        <w:tc>
          <w:tcPr>
            <w:tcW w:w="4140" w:type="dxa"/>
          </w:tcPr>
          <w:p w14:paraId="2D7DDB11" w14:textId="77777777" w:rsidR="002A3342" w:rsidRPr="00E44D38" w:rsidRDefault="002A3342" w:rsidP="00616054">
            <w:pPr>
              <w:spacing w:after="0"/>
              <w:ind w:left="66"/>
              <w:jc w:val="center"/>
              <w:rPr>
                <w:rFonts w:ascii="Bookman Old Style" w:hAnsi="Bookman Old Style" w:cs="Arial"/>
                <w:b/>
                <w:sz w:val="24"/>
                <w:szCs w:val="24"/>
              </w:rPr>
            </w:pPr>
            <w:r w:rsidRPr="00E44D38">
              <w:rPr>
                <w:rFonts w:ascii="Bookman Old Style" w:hAnsi="Bookman Old Style" w:cs="Arial"/>
                <w:b/>
                <w:sz w:val="24"/>
                <w:szCs w:val="24"/>
              </w:rPr>
              <w:t xml:space="preserve">MIGUEL LOTERO ROBLEDO </w:t>
            </w:r>
          </w:p>
        </w:tc>
        <w:tc>
          <w:tcPr>
            <w:tcW w:w="4927" w:type="dxa"/>
          </w:tcPr>
          <w:p w14:paraId="5049F637" w14:textId="1AA023B1" w:rsidR="002A3342" w:rsidRPr="00E44D38" w:rsidRDefault="009B5B1D" w:rsidP="00616054">
            <w:pPr>
              <w:spacing w:after="0"/>
              <w:ind w:left="69"/>
              <w:jc w:val="center"/>
              <w:rPr>
                <w:rFonts w:ascii="Bookman Old Style" w:hAnsi="Bookman Old Style" w:cs="Arial"/>
                <w:b/>
                <w:sz w:val="24"/>
                <w:szCs w:val="24"/>
              </w:rPr>
            </w:pPr>
            <w:r>
              <w:rPr>
                <w:rFonts w:ascii="Bookman Old Style" w:hAnsi="Bookman Old Style" w:cs="Arial"/>
                <w:b/>
                <w:sz w:val="24"/>
                <w:szCs w:val="24"/>
              </w:rPr>
              <w:t>JORGE ALBERTO VALENCIA MARIN</w:t>
            </w:r>
          </w:p>
        </w:tc>
      </w:tr>
      <w:tr w:rsidR="001E24C7" w:rsidRPr="00966673" w14:paraId="5AD768DE" w14:textId="77777777" w:rsidTr="00E44D38">
        <w:trPr>
          <w:tblCellSpacing w:w="0" w:type="dxa"/>
          <w:jc w:val="center"/>
        </w:trPr>
        <w:tc>
          <w:tcPr>
            <w:tcW w:w="4140" w:type="dxa"/>
            <w:hideMark/>
          </w:tcPr>
          <w:p w14:paraId="402C7F44" w14:textId="77777777" w:rsidR="002A3342" w:rsidRPr="00E44D38" w:rsidRDefault="002A3342" w:rsidP="00616054">
            <w:pPr>
              <w:spacing w:after="0"/>
              <w:ind w:left="66"/>
              <w:jc w:val="center"/>
              <w:rPr>
                <w:rFonts w:ascii="Bookman Old Style" w:eastAsia="Arial Unicode MS" w:hAnsi="Bookman Old Style" w:cs="Arial"/>
                <w:color w:val="000000"/>
                <w:sz w:val="24"/>
                <w:szCs w:val="24"/>
              </w:rPr>
            </w:pPr>
            <w:r w:rsidRPr="00E44D38">
              <w:rPr>
                <w:rFonts w:ascii="Bookman Old Style" w:hAnsi="Bookman Old Style" w:cs="Arial"/>
                <w:sz w:val="24"/>
                <w:szCs w:val="24"/>
              </w:rPr>
              <w:t>Viceministro de Energía, delegado del Ministro de Minas y Energía</w:t>
            </w:r>
          </w:p>
        </w:tc>
        <w:tc>
          <w:tcPr>
            <w:tcW w:w="4927" w:type="dxa"/>
            <w:hideMark/>
          </w:tcPr>
          <w:p w14:paraId="061B27ED" w14:textId="79D7ACAD" w:rsidR="002A3342" w:rsidRPr="00E44D38" w:rsidRDefault="002A3342" w:rsidP="00616054">
            <w:pPr>
              <w:spacing w:after="0"/>
              <w:jc w:val="center"/>
              <w:rPr>
                <w:rFonts w:ascii="Bookman Old Style" w:eastAsia="Arial Unicode MS" w:hAnsi="Bookman Old Style" w:cs="Arial"/>
                <w:color w:val="000000"/>
                <w:sz w:val="24"/>
                <w:szCs w:val="24"/>
              </w:rPr>
            </w:pPr>
            <w:r w:rsidRPr="00E44D38">
              <w:rPr>
                <w:rFonts w:ascii="Bookman Old Style" w:hAnsi="Bookman Old Style" w:cs="Arial"/>
                <w:sz w:val="24"/>
                <w:szCs w:val="24"/>
              </w:rPr>
              <w:t>Director Ejecutiv</w:t>
            </w:r>
            <w:r w:rsidR="006C2EAF">
              <w:rPr>
                <w:rFonts w:ascii="Bookman Old Style" w:hAnsi="Bookman Old Style" w:cs="Arial"/>
                <w:sz w:val="24"/>
                <w:szCs w:val="24"/>
              </w:rPr>
              <w:t>o</w:t>
            </w:r>
            <w:r w:rsidRPr="00E44D38">
              <w:rPr>
                <w:rFonts w:ascii="Bookman Old Style" w:hAnsi="Bookman Old Style" w:cs="Arial"/>
                <w:sz w:val="24"/>
                <w:szCs w:val="24"/>
              </w:rPr>
              <w:t xml:space="preserve">  </w:t>
            </w:r>
          </w:p>
        </w:tc>
      </w:tr>
      <w:tr w:rsidR="001E24C7" w:rsidRPr="00CF2A2D" w14:paraId="19985182" w14:textId="77777777" w:rsidTr="00E44D38">
        <w:trPr>
          <w:tblCellSpacing w:w="0" w:type="dxa"/>
          <w:jc w:val="center"/>
        </w:trPr>
        <w:tc>
          <w:tcPr>
            <w:tcW w:w="4140" w:type="dxa"/>
            <w:hideMark/>
          </w:tcPr>
          <w:p w14:paraId="14DEE837" w14:textId="77777777" w:rsidR="002A3342" w:rsidRPr="00E44D38" w:rsidRDefault="002A3342" w:rsidP="00616054">
            <w:pPr>
              <w:spacing w:after="0"/>
              <w:ind w:left="66"/>
              <w:jc w:val="center"/>
              <w:rPr>
                <w:rFonts w:ascii="Bookman Old Style" w:eastAsia="Arial Unicode MS" w:hAnsi="Bookman Old Style" w:cs="Arial"/>
                <w:color w:val="000000"/>
                <w:sz w:val="24"/>
                <w:szCs w:val="24"/>
              </w:rPr>
            </w:pPr>
            <w:r w:rsidRPr="00E44D38">
              <w:rPr>
                <w:rFonts w:ascii="Bookman Old Style" w:hAnsi="Bookman Old Style" w:cs="Arial"/>
                <w:sz w:val="24"/>
                <w:szCs w:val="24"/>
              </w:rPr>
              <w:t>Presidente</w:t>
            </w:r>
          </w:p>
        </w:tc>
        <w:tc>
          <w:tcPr>
            <w:tcW w:w="4927" w:type="dxa"/>
          </w:tcPr>
          <w:p w14:paraId="467F381C" w14:textId="77777777" w:rsidR="002A3342" w:rsidRPr="00E44D38" w:rsidRDefault="002A3342" w:rsidP="00616054">
            <w:pPr>
              <w:spacing w:after="0"/>
              <w:jc w:val="center"/>
              <w:rPr>
                <w:rFonts w:ascii="Bookman Old Style" w:eastAsia="Arial Unicode MS" w:hAnsi="Bookman Old Style" w:cs="Arial"/>
                <w:color w:val="000000"/>
                <w:sz w:val="24"/>
                <w:szCs w:val="24"/>
              </w:rPr>
            </w:pPr>
          </w:p>
        </w:tc>
      </w:tr>
    </w:tbl>
    <w:p w14:paraId="6A6B2B05" w14:textId="77777777" w:rsidR="0081625F" w:rsidRPr="00B546D9" w:rsidRDefault="0081625F" w:rsidP="000C4D78">
      <w:pPr>
        <w:spacing w:after="0" w:line="240" w:lineRule="auto"/>
        <w:ind w:right="-142"/>
        <w:jc w:val="both"/>
        <w:rPr>
          <w:rFonts w:ascii="Bookman Old Style" w:eastAsia="Times New Roman" w:hAnsi="Bookman Old Style" w:cs="Times New Roman"/>
          <w:b/>
          <w:sz w:val="24"/>
          <w:szCs w:val="24"/>
          <w:lang w:val="es-ES" w:eastAsia="es-ES"/>
        </w:rPr>
      </w:pPr>
    </w:p>
    <w:sectPr w:rsidR="0081625F" w:rsidRPr="00B546D9" w:rsidSect="005C1BCA">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23BE" w14:textId="77777777" w:rsidR="00A8171C" w:rsidRDefault="00A8171C" w:rsidP="005C1BCA">
      <w:pPr>
        <w:spacing w:after="0" w:line="240" w:lineRule="auto"/>
      </w:pPr>
      <w:r>
        <w:separator/>
      </w:r>
    </w:p>
  </w:endnote>
  <w:endnote w:type="continuationSeparator" w:id="0">
    <w:p w14:paraId="377FB9AC" w14:textId="77777777" w:rsidR="00A8171C" w:rsidRDefault="00A8171C" w:rsidP="005C1BCA">
      <w:pPr>
        <w:spacing w:after="0" w:line="240" w:lineRule="auto"/>
      </w:pPr>
      <w:r>
        <w:continuationSeparator/>
      </w:r>
    </w:p>
  </w:endnote>
  <w:endnote w:type="continuationNotice" w:id="1">
    <w:p w14:paraId="15DC0F93" w14:textId="77777777" w:rsidR="00A8171C" w:rsidRDefault="00A81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3C89" w14:textId="77777777" w:rsidR="00A8171C" w:rsidRDefault="00A8171C" w:rsidP="005C1BCA">
      <w:pPr>
        <w:spacing w:after="0" w:line="240" w:lineRule="auto"/>
      </w:pPr>
      <w:r>
        <w:separator/>
      </w:r>
    </w:p>
  </w:footnote>
  <w:footnote w:type="continuationSeparator" w:id="0">
    <w:p w14:paraId="3AD7D2E7" w14:textId="77777777" w:rsidR="00A8171C" w:rsidRDefault="00A8171C" w:rsidP="005C1BCA">
      <w:pPr>
        <w:spacing w:after="0" w:line="240" w:lineRule="auto"/>
      </w:pPr>
      <w:r>
        <w:continuationSeparator/>
      </w:r>
    </w:p>
  </w:footnote>
  <w:footnote w:type="continuationNotice" w:id="1">
    <w:p w14:paraId="3CC135F8" w14:textId="77777777" w:rsidR="00A8171C" w:rsidRDefault="00A8171C">
      <w:pPr>
        <w:spacing w:after="0" w:line="240" w:lineRule="auto"/>
      </w:pPr>
    </w:p>
  </w:footnote>
  <w:footnote w:id="2">
    <w:p w14:paraId="3D3FABD4" w14:textId="405CBB78" w:rsidR="009B50A2" w:rsidRPr="009B50A2" w:rsidRDefault="009B50A2" w:rsidP="00E44D38">
      <w:pPr>
        <w:pStyle w:val="Textonotapie"/>
        <w:ind w:left="0"/>
        <w:jc w:val="both"/>
        <w:rPr>
          <w:lang w:val="es-CO"/>
        </w:rPr>
      </w:pPr>
      <w:r>
        <w:rPr>
          <w:rStyle w:val="Refdenotaalpie"/>
        </w:rPr>
        <w:footnoteRef/>
      </w:r>
      <w:r>
        <w:t xml:space="preserve"> </w:t>
      </w:r>
      <w:r w:rsidRPr="00E44D38">
        <w:rPr>
          <w:rFonts w:ascii="Bookman Old Style" w:hAnsi="Bookman Old Style"/>
          <w:lang w:val="es-CO"/>
        </w:rPr>
        <w:t>El cual establece en su último párrafo:</w:t>
      </w:r>
      <w:r w:rsidR="007F31E3">
        <w:rPr>
          <w:rFonts w:ascii="Bookman Old Style" w:hAnsi="Bookman Old Style"/>
          <w:lang w:val="es-CO"/>
        </w:rPr>
        <w:t xml:space="preserve"> </w:t>
      </w:r>
      <w:r w:rsidRPr="00E44D38">
        <w:rPr>
          <w:rFonts w:ascii="Bookman Old Style" w:hAnsi="Bookman Old Style"/>
          <w:lang w:val="es-CO"/>
        </w:rPr>
        <w:t xml:space="preserve">“(…) </w:t>
      </w:r>
      <w:r w:rsidRPr="00E44D38">
        <w:rPr>
          <w:rFonts w:ascii="Bookman Old Style" w:hAnsi="Bookman Old Style"/>
          <w:i/>
          <w:lang w:val="es-CO"/>
        </w:rPr>
        <w:t xml:space="preserve">Si las partes no se convienen, en virtud de esta Ley la comisión de regulación </w:t>
      </w:r>
      <w:r w:rsidRPr="00E44D38">
        <w:rPr>
          <w:rFonts w:ascii="Bookman Old Style" w:hAnsi="Bookman Old Style"/>
          <w:b/>
          <w:i/>
          <w:lang w:val="es-CO"/>
        </w:rPr>
        <w:t xml:space="preserve">podrá imponer una servidumbre de acceso o de interconexión </w:t>
      </w:r>
      <w:r w:rsidRPr="00E44D38">
        <w:rPr>
          <w:rFonts w:ascii="Bookman Old Style" w:hAnsi="Bookman Old Style"/>
          <w:i/>
          <w:lang w:val="es-CO"/>
        </w:rPr>
        <w:t>a quien tenga el uso del bien (…)”</w:t>
      </w:r>
      <w:r w:rsidRPr="00E44D38">
        <w:rPr>
          <w:rFonts w:ascii="Bookman Old Style" w:hAnsi="Bookman Old Style"/>
          <w:lang w:val="es-CO"/>
        </w:rPr>
        <w:t xml:space="preserve"> Negrilla fuera de texto.</w:t>
      </w:r>
    </w:p>
    <w:p w14:paraId="7A2D0199" w14:textId="4EAFB35D" w:rsidR="009B50A2" w:rsidRDefault="009B50A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1CC4" w14:textId="77777777" w:rsidR="0058516D" w:rsidRDefault="0058516D" w:rsidP="001F2B83">
    <w:pPr>
      <w:pStyle w:val="Ttulo1"/>
      <w:ind w:right="6"/>
      <w:jc w:val="left"/>
      <w:rPr>
        <w:rFonts w:ascii="Bookman Old Style" w:hAnsi="Bookman Old Style" w:cs="Arial"/>
        <w:b w:val="0"/>
        <w:sz w:val="22"/>
        <w:szCs w:val="22"/>
      </w:rPr>
    </w:pPr>
  </w:p>
  <w:p w14:paraId="44345FCC" w14:textId="4949B104" w:rsidR="0058516D" w:rsidRPr="00951F79" w:rsidRDefault="0058516D"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E44D38" w:rsidRPr="00E44D38">
      <w:rPr>
        <w:rFonts w:ascii="Bookman Old Style" w:hAnsi="Bookman Old Style" w:cs="Arial"/>
        <w:bCs/>
        <w:szCs w:val="24"/>
        <w:u w:val="single"/>
      </w:rPr>
      <w:t>501 058</w:t>
    </w:r>
    <w:r w:rsidRPr="00654384">
      <w:rPr>
        <w:rFonts w:ascii="Bookman Old Style" w:hAnsi="Bookman Old Style" w:cs="Arial"/>
        <w:b w:val="0"/>
        <w:sz w:val="22"/>
        <w:szCs w:val="22"/>
      </w:rPr>
      <w:tab/>
    </w:r>
    <w:r>
      <w:rPr>
        <w:rFonts w:ascii="Bookman Old Style" w:hAnsi="Bookman Old Style" w:cs="Arial"/>
        <w:b w:val="0"/>
        <w:sz w:val="22"/>
        <w:szCs w:val="22"/>
      </w:rPr>
      <w:t>DE _</w:t>
    </w:r>
    <w:r w:rsidR="00E44D38" w:rsidRPr="00E44D38">
      <w:rPr>
        <w:rFonts w:ascii="Bookman Old Style" w:hAnsi="Bookman Old Style" w:cs="Arial"/>
        <w:bCs/>
        <w:szCs w:val="24"/>
        <w:u w:val="single"/>
      </w:rPr>
      <w:t>15 JUL. 2022</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86C47">
      <w:rPr>
        <w:rFonts w:ascii="Bookman Old Style" w:hAnsi="Bookman Old Style" w:cs="Arial"/>
        <w:b w:val="0"/>
        <w:noProof/>
        <w:sz w:val="22"/>
        <w:szCs w:val="22"/>
      </w:rPr>
      <w:t>17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00D86C47" w:rsidRPr="00D86C47">
        <w:rPr>
          <w:rFonts w:ascii="Bookman Old Style" w:hAnsi="Bookman Old Style" w:cs="Arial"/>
          <w:b w:val="0"/>
          <w:noProof/>
          <w:sz w:val="22"/>
          <w:szCs w:val="22"/>
        </w:rPr>
        <w:t>17</w:t>
      </w:r>
    </w:fldSimple>
  </w:p>
  <w:p w14:paraId="284BF1B9" w14:textId="77777777" w:rsidR="0058516D" w:rsidRDefault="0058516D"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8240"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C53A7"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5C4878A8" w14:textId="77777777" w:rsidR="00E44D38" w:rsidRDefault="00E44D38" w:rsidP="00E44D38">
    <w:pPr>
      <w:spacing w:after="0" w:line="240" w:lineRule="auto"/>
      <w:contextualSpacing/>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Por la cual se resuelve </w:t>
    </w:r>
    <w:r>
      <w:rPr>
        <w:rFonts w:ascii="Bookman Old Style" w:eastAsia="Times New Roman" w:hAnsi="Bookman Old Style" w:cs="Times New Roman"/>
        <w:sz w:val="24"/>
        <w:szCs w:val="24"/>
        <w:lang w:val="es-ES" w:eastAsia="es-ES"/>
      </w:rPr>
      <w:t>los</w:t>
    </w:r>
    <w:r w:rsidRPr="00A33677">
      <w:rPr>
        <w:rFonts w:ascii="Bookman Old Style" w:eastAsia="Times New Roman" w:hAnsi="Bookman Old Style" w:cs="Times New Roman"/>
        <w:sz w:val="24"/>
        <w:szCs w:val="24"/>
        <w:lang w:val="es-ES" w:eastAsia="es-ES"/>
      </w:rPr>
      <w:t xml:space="preserve"> recurso</w:t>
    </w:r>
    <w:r>
      <w:rPr>
        <w:rFonts w:ascii="Bookman Old Style" w:eastAsia="Times New Roman" w:hAnsi="Bookman Old Style" w:cs="Times New Roman"/>
        <w:sz w:val="24"/>
        <w:szCs w:val="24"/>
        <w:lang w:val="es-ES" w:eastAsia="es-ES"/>
      </w:rPr>
      <w:t>s</w:t>
    </w:r>
    <w:r w:rsidRPr="00A33677">
      <w:rPr>
        <w:rFonts w:ascii="Bookman Old Style" w:eastAsia="Times New Roman" w:hAnsi="Bookman Old Style" w:cs="Times New Roman"/>
        <w:sz w:val="24"/>
        <w:szCs w:val="24"/>
        <w:lang w:val="es-ES" w:eastAsia="es-ES"/>
      </w:rPr>
      <w:t xml:space="preserve"> d</w:t>
    </w:r>
    <w:r>
      <w:rPr>
        <w:rFonts w:ascii="Bookman Old Style" w:eastAsia="Times New Roman" w:hAnsi="Bookman Old Style" w:cs="Times New Roman"/>
        <w:sz w:val="24"/>
        <w:szCs w:val="24"/>
        <w:lang w:val="es-ES" w:eastAsia="es-ES"/>
      </w:rPr>
      <w:t xml:space="preserve">e reposición interpuestos </w:t>
    </w:r>
    <w:r w:rsidRPr="008B5E04">
      <w:rPr>
        <w:rFonts w:ascii="Bookman Old Style" w:eastAsia="Times New Roman" w:hAnsi="Bookman Old Style" w:cs="Times New Roman"/>
        <w:sz w:val="24"/>
        <w:szCs w:val="24"/>
        <w:lang w:val="es-ES" w:eastAsia="es-ES"/>
      </w:rPr>
      <w:t xml:space="preserve">por </w:t>
    </w:r>
    <w:r>
      <w:rPr>
        <w:rFonts w:ascii="Bookman Old Style" w:eastAsia="Times New Roman" w:hAnsi="Bookman Old Style" w:cs="Times New Roman"/>
        <w:sz w:val="24"/>
        <w:szCs w:val="24"/>
        <w:lang w:val="es-ES" w:eastAsia="es-ES"/>
      </w:rPr>
      <w:t>GENSA S.A. E.S.P.</w:t>
    </w:r>
    <w:r w:rsidRPr="008B5E04">
      <w:rPr>
        <w:rFonts w:ascii="Bookman Old Style" w:eastAsia="Times New Roman" w:hAnsi="Bookman Old Style" w:cs="Times New Roman"/>
        <w:sz w:val="24"/>
        <w:szCs w:val="24"/>
        <w:lang w:val="es-ES" w:eastAsia="es-ES"/>
      </w:rPr>
      <w:t xml:space="preserve"> </w:t>
    </w:r>
    <w:r>
      <w:rPr>
        <w:rFonts w:ascii="Bookman Old Style" w:eastAsia="Times New Roman" w:hAnsi="Bookman Old Style" w:cs="Times New Roman"/>
        <w:sz w:val="24"/>
        <w:szCs w:val="24"/>
        <w:lang w:val="es-ES" w:eastAsia="es-ES"/>
      </w:rPr>
      <w:t xml:space="preserve">y DUE CAPITAL &amp; SERVICES </w:t>
    </w:r>
    <w:r w:rsidRPr="008B5E04">
      <w:rPr>
        <w:rFonts w:ascii="Bookman Old Style" w:eastAsia="Times New Roman" w:hAnsi="Bookman Old Style" w:cs="Times New Roman"/>
        <w:sz w:val="24"/>
        <w:szCs w:val="24"/>
        <w:lang w:val="es-ES" w:eastAsia="es-ES"/>
      </w:rPr>
      <w:t>S.A.</w:t>
    </w:r>
    <w:r>
      <w:rPr>
        <w:rFonts w:ascii="Bookman Old Style" w:eastAsia="Times New Roman" w:hAnsi="Bookman Old Style" w:cs="Times New Roman"/>
        <w:sz w:val="24"/>
        <w:szCs w:val="24"/>
        <w:lang w:val="es-ES" w:eastAsia="es-ES"/>
      </w:rPr>
      <w:t>S.</w:t>
    </w:r>
    <w:r w:rsidRPr="008B5E04">
      <w:rPr>
        <w:rFonts w:ascii="Bookman Old Style" w:eastAsia="Times New Roman" w:hAnsi="Bookman Old Style" w:cs="Times New Roman"/>
        <w:sz w:val="24"/>
        <w:szCs w:val="24"/>
        <w:lang w:val="es-ES" w:eastAsia="es-ES"/>
      </w:rPr>
      <w:t xml:space="preserve"> contra la Resolución CREG 50</w:t>
    </w:r>
    <w:r>
      <w:rPr>
        <w:rFonts w:ascii="Bookman Old Style" w:eastAsia="Times New Roman" w:hAnsi="Bookman Old Style" w:cs="Times New Roman"/>
        <w:sz w:val="24"/>
        <w:szCs w:val="24"/>
        <w:lang w:val="es-ES" w:eastAsia="es-ES"/>
      </w:rPr>
      <w:t>1</w:t>
    </w:r>
    <w:r w:rsidRPr="008B5E04">
      <w:rPr>
        <w:rFonts w:ascii="Bookman Old Style" w:eastAsia="Times New Roman" w:hAnsi="Bookman Old Style" w:cs="Times New Roman"/>
        <w:sz w:val="24"/>
        <w:szCs w:val="24"/>
        <w:lang w:val="es-ES" w:eastAsia="es-ES"/>
      </w:rPr>
      <w:t xml:space="preserve"> </w:t>
    </w:r>
    <w:r>
      <w:rPr>
        <w:rFonts w:ascii="Bookman Old Style" w:eastAsia="Times New Roman" w:hAnsi="Bookman Old Style" w:cs="Times New Roman"/>
        <w:sz w:val="24"/>
        <w:szCs w:val="24"/>
        <w:lang w:val="es-ES" w:eastAsia="es-ES"/>
      </w:rPr>
      <w:t>26A</w:t>
    </w:r>
    <w:r w:rsidRPr="008B5E04">
      <w:rPr>
        <w:rFonts w:ascii="Bookman Old Style" w:eastAsia="Times New Roman" w:hAnsi="Bookman Old Style" w:cs="Times New Roman"/>
        <w:sz w:val="24"/>
        <w:szCs w:val="24"/>
        <w:lang w:val="es-ES" w:eastAsia="es-ES"/>
      </w:rPr>
      <w:t xml:space="preserve"> de 2022</w:t>
    </w:r>
  </w:p>
  <w:p w14:paraId="7F56DE9E" w14:textId="77777777" w:rsidR="0058516D" w:rsidRPr="00FE26C8" w:rsidRDefault="0058516D" w:rsidP="007F66B9">
    <w:pPr>
      <w:pBdr>
        <w:bottom w:val="single" w:sz="4" w:space="1" w:color="auto"/>
      </w:pBdr>
      <w:spacing w:after="0" w:line="240" w:lineRule="auto"/>
      <w:ind w:right="147"/>
      <w:jc w:val="both"/>
      <w:rPr>
        <w:b/>
        <w:sz w:val="10"/>
        <w:szCs w:val="10"/>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48D0" w14:textId="77777777" w:rsidR="0058516D" w:rsidRDefault="0058516D"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02172B62" w14:textId="77777777" w:rsidR="0058516D" w:rsidRDefault="0058516D">
    <w:pPr>
      <w:pStyle w:val="Encabezado"/>
      <w:jc w:val="center"/>
      <w:rPr>
        <w:rFonts w:ascii="Arial" w:hAnsi="Arial" w:cs="Arial"/>
        <w:spacing w:val="20"/>
        <w:sz w:val="20"/>
      </w:rPr>
    </w:pPr>
  </w:p>
  <w:p w14:paraId="4DE7FD95" w14:textId="77777777" w:rsidR="0058516D" w:rsidRDefault="0058516D"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097D5"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0F777709"/>
    <w:multiLevelType w:val="hybridMultilevel"/>
    <w:tmpl w:val="69ECFAE0"/>
    <w:lvl w:ilvl="0" w:tplc="20B66C38">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7"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9"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3A42A76"/>
    <w:multiLevelType w:val="hybridMultilevel"/>
    <w:tmpl w:val="3A8C89B4"/>
    <w:lvl w:ilvl="0" w:tplc="578062C2">
      <w:start w:val="1"/>
      <w:numFmt w:val="decimal"/>
      <w:lvlText w:val="%1."/>
      <w:lvlJc w:val="left"/>
      <w:pPr>
        <w:ind w:left="785"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3"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46502AF5"/>
    <w:multiLevelType w:val="hybridMultilevel"/>
    <w:tmpl w:val="43B00C14"/>
    <w:lvl w:ilvl="0" w:tplc="240A0017">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7" w15:restartNumberingAfterBreak="0">
    <w:nsid w:val="4B025714"/>
    <w:multiLevelType w:val="hybridMultilevel"/>
    <w:tmpl w:val="5EC05C32"/>
    <w:lvl w:ilvl="0" w:tplc="D51AC58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1" w15:restartNumberingAfterBreak="0">
    <w:nsid w:val="5B825F1B"/>
    <w:multiLevelType w:val="hybridMultilevel"/>
    <w:tmpl w:val="A5DEC314"/>
    <w:lvl w:ilvl="0" w:tplc="A874DB0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5"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F2F2592"/>
    <w:multiLevelType w:val="hybridMultilevel"/>
    <w:tmpl w:val="A600EE5C"/>
    <w:lvl w:ilvl="0" w:tplc="20B66C38">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7" w15:restartNumberingAfterBreak="0">
    <w:nsid w:val="7292222A"/>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16cid:durableId="430321112">
    <w:abstractNumId w:val="3"/>
  </w:num>
  <w:num w:numId="2" w16cid:durableId="213854975">
    <w:abstractNumId w:val="28"/>
  </w:num>
  <w:num w:numId="3" w16cid:durableId="830558353">
    <w:abstractNumId w:val="14"/>
  </w:num>
  <w:num w:numId="4" w16cid:durableId="257520654">
    <w:abstractNumId w:val="25"/>
  </w:num>
  <w:num w:numId="5" w16cid:durableId="1349864521">
    <w:abstractNumId w:val="15"/>
  </w:num>
  <w:num w:numId="6" w16cid:durableId="2044549610">
    <w:abstractNumId w:val="9"/>
  </w:num>
  <w:num w:numId="7" w16cid:durableId="1371032612">
    <w:abstractNumId w:val="19"/>
  </w:num>
  <w:num w:numId="8" w16cid:durableId="1880588244">
    <w:abstractNumId w:val="4"/>
  </w:num>
  <w:num w:numId="9" w16cid:durableId="379863219">
    <w:abstractNumId w:val="10"/>
  </w:num>
  <w:num w:numId="10" w16cid:durableId="129252407">
    <w:abstractNumId w:val="8"/>
  </w:num>
  <w:num w:numId="11" w16cid:durableId="1334841790">
    <w:abstractNumId w:val="22"/>
  </w:num>
  <w:num w:numId="12" w16cid:durableId="948588181">
    <w:abstractNumId w:val="18"/>
  </w:num>
  <w:num w:numId="13" w16cid:durableId="643051463">
    <w:abstractNumId w:val="23"/>
  </w:num>
  <w:num w:numId="14" w16cid:durableId="1493907187">
    <w:abstractNumId w:val="7"/>
  </w:num>
  <w:num w:numId="15" w16cid:durableId="1758675614">
    <w:abstractNumId w:val="24"/>
  </w:num>
  <w:num w:numId="16" w16cid:durableId="1548294387">
    <w:abstractNumId w:val="11"/>
  </w:num>
  <w:num w:numId="17" w16cid:durableId="1493252868">
    <w:abstractNumId w:val="5"/>
  </w:num>
  <w:num w:numId="18" w16cid:durableId="804271508">
    <w:abstractNumId w:val="13"/>
  </w:num>
  <w:num w:numId="19" w16cid:durableId="834301015">
    <w:abstractNumId w:val="20"/>
  </w:num>
  <w:num w:numId="20" w16cid:durableId="971397433">
    <w:abstractNumId w:val="1"/>
  </w:num>
  <w:num w:numId="21" w16cid:durableId="548877997">
    <w:abstractNumId w:val="17"/>
  </w:num>
  <w:num w:numId="22" w16cid:durableId="501551516">
    <w:abstractNumId w:val="21"/>
  </w:num>
  <w:num w:numId="23" w16cid:durableId="1486778913">
    <w:abstractNumId w:val="12"/>
  </w:num>
  <w:num w:numId="24" w16cid:durableId="874317118">
    <w:abstractNumId w:val="27"/>
  </w:num>
  <w:num w:numId="25" w16cid:durableId="1397822338">
    <w:abstractNumId w:val="16"/>
  </w:num>
  <w:num w:numId="26" w16cid:durableId="1981380877">
    <w:abstractNumId w:val="6"/>
  </w:num>
  <w:num w:numId="27" w16cid:durableId="33950501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0992"/>
    <w:rsid w:val="00001A19"/>
    <w:rsid w:val="00002B79"/>
    <w:rsid w:val="00002C5A"/>
    <w:rsid w:val="000048AB"/>
    <w:rsid w:val="000062EA"/>
    <w:rsid w:val="000068F0"/>
    <w:rsid w:val="000070DA"/>
    <w:rsid w:val="00010E7E"/>
    <w:rsid w:val="00011091"/>
    <w:rsid w:val="000147AE"/>
    <w:rsid w:val="0001493D"/>
    <w:rsid w:val="00014AF8"/>
    <w:rsid w:val="000208A2"/>
    <w:rsid w:val="00023E4C"/>
    <w:rsid w:val="00024442"/>
    <w:rsid w:val="0003079D"/>
    <w:rsid w:val="0003486A"/>
    <w:rsid w:val="00035BF6"/>
    <w:rsid w:val="00035E97"/>
    <w:rsid w:val="00035ED2"/>
    <w:rsid w:val="00037125"/>
    <w:rsid w:val="000372E9"/>
    <w:rsid w:val="00037534"/>
    <w:rsid w:val="00040AD6"/>
    <w:rsid w:val="00043B68"/>
    <w:rsid w:val="00046E75"/>
    <w:rsid w:val="00051E42"/>
    <w:rsid w:val="000524A4"/>
    <w:rsid w:val="000550B1"/>
    <w:rsid w:val="000609AE"/>
    <w:rsid w:val="000651C3"/>
    <w:rsid w:val="00065858"/>
    <w:rsid w:val="000661AA"/>
    <w:rsid w:val="00074103"/>
    <w:rsid w:val="00074962"/>
    <w:rsid w:val="000768E2"/>
    <w:rsid w:val="00077A2E"/>
    <w:rsid w:val="000819CB"/>
    <w:rsid w:val="00082D8D"/>
    <w:rsid w:val="00083CEF"/>
    <w:rsid w:val="000865ED"/>
    <w:rsid w:val="00086996"/>
    <w:rsid w:val="00086C8D"/>
    <w:rsid w:val="00090AD5"/>
    <w:rsid w:val="000917CB"/>
    <w:rsid w:val="00091BF9"/>
    <w:rsid w:val="00096487"/>
    <w:rsid w:val="000A2F6A"/>
    <w:rsid w:val="000A32B2"/>
    <w:rsid w:val="000A5C79"/>
    <w:rsid w:val="000A6BA8"/>
    <w:rsid w:val="000A7270"/>
    <w:rsid w:val="000B0133"/>
    <w:rsid w:val="000B140F"/>
    <w:rsid w:val="000B23A5"/>
    <w:rsid w:val="000B2657"/>
    <w:rsid w:val="000B29A3"/>
    <w:rsid w:val="000B2C17"/>
    <w:rsid w:val="000B2CF1"/>
    <w:rsid w:val="000B2F4F"/>
    <w:rsid w:val="000B39CF"/>
    <w:rsid w:val="000B4631"/>
    <w:rsid w:val="000B4B8F"/>
    <w:rsid w:val="000C02FF"/>
    <w:rsid w:val="000C06B2"/>
    <w:rsid w:val="000C0A7D"/>
    <w:rsid w:val="000C421B"/>
    <w:rsid w:val="000C426C"/>
    <w:rsid w:val="000C4D78"/>
    <w:rsid w:val="000D1CF3"/>
    <w:rsid w:val="000D4D20"/>
    <w:rsid w:val="000D6D44"/>
    <w:rsid w:val="000D77B1"/>
    <w:rsid w:val="000D7927"/>
    <w:rsid w:val="000D7A91"/>
    <w:rsid w:val="000E12AA"/>
    <w:rsid w:val="000E1BCF"/>
    <w:rsid w:val="000E32BB"/>
    <w:rsid w:val="000E34F6"/>
    <w:rsid w:val="000E43B1"/>
    <w:rsid w:val="000E6B50"/>
    <w:rsid w:val="000E7DD0"/>
    <w:rsid w:val="000E7FC0"/>
    <w:rsid w:val="000F1BB0"/>
    <w:rsid w:val="000F619F"/>
    <w:rsid w:val="000F6FED"/>
    <w:rsid w:val="000F74A4"/>
    <w:rsid w:val="001021E8"/>
    <w:rsid w:val="00102BA6"/>
    <w:rsid w:val="001030F9"/>
    <w:rsid w:val="00104AC1"/>
    <w:rsid w:val="00104D2B"/>
    <w:rsid w:val="001079AA"/>
    <w:rsid w:val="00110447"/>
    <w:rsid w:val="00110DAA"/>
    <w:rsid w:val="001164AC"/>
    <w:rsid w:val="001178EC"/>
    <w:rsid w:val="00126694"/>
    <w:rsid w:val="00131586"/>
    <w:rsid w:val="00131DB0"/>
    <w:rsid w:val="001321B3"/>
    <w:rsid w:val="001327D8"/>
    <w:rsid w:val="00135FD2"/>
    <w:rsid w:val="00147689"/>
    <w:rsid w:val="0015206C"/>
    <w:rsid w:val="001544B0"/>
    <w:rsid w:val="00156E95"/>
    <w:rsid w:val="00157FC2"/>
    <w:rsid w:val="00161159"/>
    <w:rsid w:val="00162BA5"/>
    <w:rsid w:val="001634D7"/>
    <w:rsid w:val="0016683A"/>
    <w:rsid w:val="00167E49"/>
    <w:rsid w:val="00170604"/>
    <w:rsid w:val="001708EE"/>
    <w:rsid w:val="001745DF"/>
    <w:rsid w:val="0017620B"/>
    <w:rsid w:val="001806EA"/>
    <w:rsid w:val="00181AF7"/>
    <w:rsid w:val="00183C32"/>
    <w:rsid w:val="001851C6"/>
    <w:rsid w:val="00185BF1"/>
    <w:rsid w:val="00185CE7"/>
    <w:rsid w:val="00193AF1"/>
    <w:rsid w:val="0019436E"/>
    <w:rsid w:val="00194533"/>
    <w:rsid w:val="0019480F"/>
    <w:rsid w:val="001976B3"/>
    <w:rsid w:val="001A0596"/>
    <w:rsid w:val="001A1203"/>
    <w:rsid w:val="001A40CC"/>
    <w:rsid w:val="001A4421"/>
    <w:rsid w:val="001A544F"/>
    <w:rsid w:val="001A57DA"/>
    <w:rsid w:val="001B0BF6"/>
    <w:rsid w:val="001B2A0C"/>
    <w:rsid w:val="001B45D3"/>
    <w:rsid w:val="001B4CCB"/>
    <w:rsid w:val="001B5089"/>
    <w:rsid w:val="001B534B"/>
    <w:rsid w:val="001B6721"/>
    <w:rsid w:val="001C0DAB"/>
    <w:rsid w:val="001C1303"/>
    <w:rsid w:val="001C1C24"/>
    <w:rsid w:val="001C1E65"/>
    <w:rsid w:val="001C26EC"/>
    <w:rsid w:val="001C513B"/>
    <w:rsid w:val="001C606A"/>
    <w:rsid w:val="001C75A9"/>
    <w:rsid w:val="001D0C19"/>
    <w:rsid w:val="001D1024"/>
    <w:rsid w:val="001D2917"/>
    <w:rsid w:val="001D3751"/>
    <w:rsid w:val="001D6AC6"/>
    <w:rsid w:val="001E035D"/>
    <w:rsid w:val="001E04A9"/>
    <w:rsid w:val="001E0944"/>
    <w:rsid w:val="001E1370"/>
    <w:rsid w:val="001E24C7"/>
    <w:rsid w:val="001E325B"/>
    <w:rsid w:val="001E3268"/>
    <w:rsid w:val="001E531D"/>
    <w:rsid w:val="001E5EF3"/>
    <w:rsid w:val="001E78F6"/>
    <w:rsid w:val="001F1817"/>
    <w:rsid w:val="001F2B83"/>
    <w:rsid w:val="001F617D"/>
    <w:rsid w:val="001F74BE"/>
    <w:rsid w:val="00200872"/>
    <w:rsid w:val="00201D11"/>
    <w:rsid w:val="00204B46"/>
    <w:rsid w:val="002053B0"/>
    <w:rsid w:val="002057AA"/>
    <w:rsid w:val="0020666C"/>
    <w:rsid w:val="0020701F"/>
    <w:rsid w:val="002071F1"/>
    <w:rsid w:val="0021001D"/>
    <w:rsid w:val="00211499"/>
    <w:rsid w:val="002127DB"/>
    <w:rsid w:val="00215835"/>
    <w:rsid w:val="002168B9"/>
    <w:rsid w:val="00220FD1"/>
    <w:rsid w:val="00221221"/>
    <w:rsid w:val="00221BA0"/>
    <w:rsid w:val="0022389E"/>
    <w:rsid w:val="00231C74"/>
    <w:rsid w:val="00233AB9"/>
    <w:rsid w:val="00234E03"/>
    <w:rsid w:val="0023528E"/>
    <w:rsid w:val="002354D4"/>
    <w:rsid w:val="002360EA"/>
    <w:rsid w:val="0024082F"/>
    <w:rsid w:val="00241706"/>
    <w:rsid w:val="002425B9"/>
    <w:rsid w:val="002462A4"/>
    <w:rsid w:val="00246BDD"/>
    <w:rsid w:val="00250C34"/>
    <w:rsid w:val="00251D5A"/>
    <w:rsid w:val="00252FBF"/>
    <w:rsid w:val="0025381F"/>
    <w:rsid w:val="00253CDE"/>
    <w:rsid w:val="00257033"/>
    <w:rsid w:val="00257034"/>
    <w:rsid w:val="00257891"/>
    <w:rsid w:val="00260077"/>
    <w:rsid w:val="00262270"/>
    <w:rsid w:val="00266AC6"/>
    <w:rsid w:val="0027266B"/>
    <w:rsid w:val="00272E86"/>
    <w:rsid w:val="002844FC"/>
    <w:rsid w:val="00284C22"/>
    <w:rsid w:val="00287413"/>
    <w:rsid w:val="00295B5F"/>
    <w:rsid w:val="002A164B"/>
    <w:rsid w:val="002A1FB3"/>
    <w:rsid w:val="002A3000"/>
    <w:rsid w:val="002A3342"/>
    <w:rsid w:val="002A3B53"/>
    <w:rsid w:val="002A5F8F"/>
    <w:rsid w:val="002A623E"/>
    <w:rsid w:val="002A6970"/>
    <w:rsid w:val="002A6D19"/>
    <w:rsid w:val="002B612D"/>
    <w:rsid w:val="002C2E32"/>
    <w:rsid w:val="002C2F59"/>
    <w:rsid w:val="002C38BA"/>
    <w:rsid w:val="002C4AAE"/>
    <w:rsid w:val="002C5391"/>
    <w:rsid w:val="002C5A69"/>
    <w:rsid w:val="002C7D6A"/>
    <w:rsid w:val="002D0502"/>
    <w:rsid w:val="002D17E6"/>
    <w:rsid w:val="002D5D70"/>
    <w:rsid w:val="002D6034"/>
    <w:rsid w:val="002E19BF"/>
    <w:rsid w:val="002E1EFD"/>
    <w:rsid w:val="002E37BA"/>
    <w:rsid w:val="002E3F00"/>
    <w:rsid w:val="002E47EE"/>
    <w:rsid w:val="002E48FC"/>
    <w:rsid w:val="002E789E"/>
    <w:rsid w:val="002F13CF"/>
    <w:rsid w:val="002F1ADD"/>
    <w:rsid w:val="002F1EAA"/>
    <w:rsid w:val="002F2397"/>
    <w:rsid w:val="002F68A3"/>
    <w:rsid w:val="002F6A99"/>
    <w:rsid w:val="002F6C3C"/>
    <w:rsid w:val="00300139"/>
    <w:rsid w:val="00300647"/>
    <w:rsid w:val="0030203C"/>
    <w:rsid w:val="00306E86"/>
    <w:rsid w:val="003076EE"/>
    <w:rsid w:val="00311D4A"/>
    <w:rsid w:val="003145E0"/>
    <w:rsid w:val="003164D9"/>
    <w:rsid w:val="0032228A"/>
    <w:rsid w:val="00322645"/>
    <w:rsid w:val="003253A2"/>
    <w:rsid w:val="00325778"/>
    <w:rsid w:val="003308D1"/>
    <w:rsid w:val="00330B53"/>
    <w:rsid w:val="00331103"/>
    <w:rsid w:val="00331F35"/>
    <w:rsid w:val="0033303E"/>
    <w:rsid w:val="003335E6"/>
    <w:rsid w:val="003347B1"/>
    <w:rsid w:val="003360A2"/>
    <w:rsid w:val="00336B7A"/>
    <w:rsid w:val="0033749B"/>
    <w:rsid w:val="003401B5"/>
    <w:rsid w:val="003410A3"/>
    <w:rsid w:val="00342E5A"/>
    <w:rsid w:val="00345DCA"/>
    <w:rsid w:val="003460A5"/>
    <w:rsid w:val="00351047"/>
    <w:rsid w:val="00351A5E"/>
    <w:rsid w:val="003522EC"/>
    <w:rsid w:val="003526B9"/>
    <w:rsid w:val="00352ADF"/>
    <w:rsid w:val="00353BF9"/>
    <w:rsid w:val="0035604D"/>
    <w:rsid w:val="003613EA"/>
    <w:rsid w:val="003626C7"/>
    <w:rsid w:val="003655CF"/>
    <w:rsid w:val="003664BB"/>
    <w:rsid w:val="0036766A"/>
    <w:rsid w:val="00370A60"/>
    <w:rsid w:val="003712BD"/>
    <w:rsid w:val="00372DF7"/>
    <w:rsid w:val="003750BE"/>
    <w:rsid w:val="00375683"/>
    <w:rsid w:val="00376081"/>
    <w:rsid w:val="00376534"/>
    <w:rsid w:val="003777F2"/>
    <w:rsid w:val="003823EA"/>
    <w:rsid w:val="003831E3"/>
    <w:rsid w:val="00385928"/>
    <w:rsid w:val="003871E9"/>
    <w:rsid w:val="003931F4"/>
    <w:rsid w:val="00393342"/>
    <w:rsid w:val="0039378C"/>
    <w:rsid w:val="003A2AB7"/>
    <w:rsid w:val="003A3B1A"/>
    <w:rsid w:val="003A7645"/>
    <w:rsid w:val="003B006A"/>
    <w:rsid w:val="003B0B7A"/>
    <w:rsid w:val="003B141B"/>
    <w:rsid w:val="003B22C7"/>
    <w:rsid w:val="003B488E"/>
    <w:rsid w:val="003B50DF"/>
    <w:rsid w:val="003B621D"/>
    <w:rsid w:val="003B6539"/>
    <w:rsid w:val="003C1360"/>
    <w:rsid w:val="003C1845"/>
    <w:rsid w:val="003C2304"/>
    <w:rsid w:val="003C3DE8"/>
    <w:rsid w:val="003C4254"/>
    <w:rsid w:val="003C5895"/>
    <w:rsid w:val="003C66E0"/>
    <w:rsid w:val="003D147F"/>
    <w:rsid w:val="003D171F"/>
    <w:rsid w:val="003D2132"/>
    <w:rsid w:val="003D21A3"/>
    <w:rsid w:val="003D270F"/>
    <w:rsid w:val="003D3F50"/>
    <w:rsid w:val="003D43B0"/>
    <w:rsid w:val="003D682B"/>
    <w:rsid w:val="003D709A"/>
    <w:rsid w:val="003D78FC"/>
    <w:rsid w:val="003E1414"/>
    <w:rsid w:val="003E2145"/>
    <w:rsid w:val="003E4836"/>
    <w:rsid w:val="003E6F29"/>
    <w:rsid w:val="003F1C0B"/>
    <w:rsid w:val="003F4F58"/>
    <w:rsid w:val="003F59E4"/>
    <w:rsid w:val="003F70C8"/>
    <w:rsid w:val="003F7D42"/>
    <w:rsid w:val="004002F3"/>
    <w:rsid w:val="00400D52"/>
    <w:rsid w:val="0040234E"/>
    <w:rsid w:val="00402703"/>
    <w:rsid w:val="00403E9A"/>
    <w:rsid w:val="00411EA9"/>
    <w:rsid w:val="0041424B"/>
    <w:rsid w:val="00415117"/>
    <w:rsid w:val="00416200"/>
    <w:rsid w:val="00416292"/>
    <w:rsid w:val="00416C43"/>
    <w:rsid w:val="00421349"/>
    <w:rsid w:val="00421D68"/>
    <w:rsid w:val="004226FB"/>
    <w:rsid w:val="004276D1"/>
    <w:rsid w:val="00433069"/>
    <w:rsid w:val="004337A7"/>
    <w:rsid w:val="004356C4"/>
    <w:rsid w:val="00435B86"/>
    <w:rsid w:val="004373BB"/>
    <w:rsid w:val="00443930"/>
    <w:rsid w:val="00444733"/>
    <w:rsid w:val="004455CB"/>
    <w:rsid w:val="00445C8E"/>
    <w:rsid w:val="00445CF1"/>
    <w:rsid w:val="00446FD2"/>
    <w:rsid w:val="004472CC"/>
    <w:rsid w:val="00447FE8"/>
    <w:rsid w:val="004508EC"/>
    <w:rsid w:val="00451FF9"/>
    <w:rsid w:val="00452F68"/>
    <w:rsid w:val="00455BBD"/>
    <w:rsid w:val="00455D82"/>
    <w:rsid w:val="004570FE"/>
    <w:rsid w:val="0045752F"/>
    <w:rsid w:val="00457DD7"/>
    <w:rsid w:val="00463D7C"/>
    <w:rsid w:val="00463DE7"/>
    <w:rsid w:val="004640AE"/>
    <w:rsid w:val="004644E6"/>
    <w:rsid w:val="00465864"/>
    <w:rsid w:val="00465A74"/>
    <w:rsid w:val="00465C10"/>
    <w:rsid w:val="00465F07"/>
    <w:rsid w:val="00466EA2"/>
    <w:rsid w:val="00467145"/>
    <w:rsid w:val="0046738F"/>
    <w:rsid w:val="004702AD"/>
    <w:rsid w:val="00471A67"/>
    <w:rsid w:val="00472A8F"/>
    <w:rsid w:val="004733C6"/>
    <w:rsid w:val="00474264"/>
    <w:rsid w:val="004748BC"/>
    <w:rsid w:val="00476AF8"/>
    <w:rsid w:val="00482EF2"/>
    <w:rsid w:val="00483542"/>
    <w:rsid w:val="004835E4"/>
    <w:rsid w:val="00486324"/>
    <w:rsid w:val="004878FA"/>
    <w:rsid w:val="00493464"/>
    <w:rsid w:val="004935F6"/>
    <w:rsid w:val="00493D5D"/>
    <w:rsid w:val="00494BE4"/>
    <w:rsid w:val="004966B0"/>
    <w:rsid w:val="004A1394"/>
    <w:rsid w:val="004A2C55"/>
    <w:rsid w:val="004A4B8D"/>
    <w:rsid w:val="004A5577"/>
    <w:rsid w:val="004A677A"/>
    <w:rsid w:val="004A6EE0"/>
    <w:rsid w:val="004A7835"/>
    <w:rsid w:val="004A786C"/>
    <w:rsid w:val="004B2371"/>
    <w:rsid w:val="004B256A"/>
    <w:rsid w:val="004B4BF2"/>
    <w:rsid w:val="004B5708"/>
    <w:rsid w:val="004B65F7"/>
    <w:rsid w:val="004C27CB"/>
    <w:rsid w:val="004C299E"/>
    <w:rsid w:val="004C5347"/>
    <w:rsid w:val="004C5EA3"/>
    <w:rsid w:val="004D19A2"/>
    <w:rsid w:val="004D4650"/>
    <w:rsid w:val="004E3D89"/>
    <w:rsid w:val="004E6EDE"/>
    <w:rsid w:val="004E7B9C"/>
    <w:rsid w:val="004F030E"/>
    <w:rsid w:val="004F086C"/>
    <w:rsid w:val="004F1AAB"/>
    <w:rsid w:val="004F21D4"/>
    <w:rsid w:val="004F245B"/>
    <w:rsid w:val="00501B11"/>
    <w:rsid w:val="005021EF"/>
    <w:rsid w:val="00502FF5"/>
    <w:rsid w:val="005031D7"/>
    <w:rsid w:val="00504C97"/>
    <w:rsid w:val="00505CEA"/>
    <w:rsid w:val="00506375"/>
    <w:rsid w:val="0050664A"/>
    <w:rsid w:val="00510F43"/>
    <w:rsid w:val="00511CFA"/>
    <w:rsid w:val="00512278"/>
    <w:rsid w:val="0051369A"/>
    <w:rsid w:val="00513B41"/>
    <w:rsid w:val="00514D08"/>
    <w:rsid w:val="005156D7"/>
    <w:rsid w:val="00515916"/>
    <w:rsid w:val="00516A8F"/>
    <w:rsid w:val="005237A7"/>
    <w:rsid w:val="00524CF1"/>
    <w:rsid w:val="00525093"/>
    <w:rsid w:val="00526EB8"/>
    <w:rsid w:val="005348A5"/>
    <w:rsid w:val="005407A8"/>
    <w:rsid w:val="00541A3D"/>
    <w:rsid w:val="005425AE"/>
    <w:rsid w:val="00544E8F"/>
    <w:rsid w:val="00547070"/>
    <w:rsid w:val="00553340"/>
    <w:rsid w:val="005536DF"/>
    <w:rsid w:val="005542FE"/>
    <w:rsid w:val="0055512C"/>
    <w:rsid w:val="005561DF"/>
    <w:rsid w:val="0055674D"/>
    <w:rsid w:val="00560437"/>
    <w:rsid w:val="00560FC4"/>
    <w:rsid w:val="005611A9"/>
    <w:rsid w:val="00561882"/>
    <w:rsid w:val="005647BD"/>
    <w:rsid w:val="0056639C"/>
    <w:rsid w:val="00566B04"/>
    <w:rsid w:val="0056755A"/>
    <w:rsid w:val="005676B0"/>
    <w:rsid w:val="00570BB6"/>
    <w:rsid w:val="00572628"/>
    <w:rsid w:val="00572757"/>
    <w:rsid w:val="005755A8"/>
    <w:rsid w:val="00575874"/>
    <w:rsid w:val="0058516D"/>
    <w:rsid w:val="005901D9"/>
    <w:rsid w:val="00590C88"/>
    <w:rsid w:val="0059208B"/>
    <w:rsid w:val="00592522"/>
    <w:rsid w:val="00595A19"/>
    <w:rsid w:val="005961AB"/>
    <w:rsid w:val="0059796F"/>
    <w:rsid w:val="005A0389"/>
    <w:rsid w:val="005A14AD"/>
    <w:rsid w:val="005B32F2"/>
    <w:rsid w:val="005B39A5"/>
    <w:rsid w:val="005B6A04"/>
    <w:rsid w:val="005B775B"/>
    <w:rsid w:val="005B7803"/>
    <w:rsid w:val="005B7AE6"/>
    <w:rsid w:val="005C1BCA"/>
    <w:rsid w:val="005C2C65"/>
    <w:rsid w:val="005C78BC"/>
    <w:rsid w:val="005D0415"/>
    <w:rsid w:val="005D0856"/>
    <w:rsid w:val="005D18C2"/>
    <w:rsid w:val="005D233F"/>
    <w:rsid w:val="005D4B3E"/>
    <w:rsid w:val="005D506D"/>
    <w:rsid w:val="005D54D1"/>
    <w:rsid w:val="005D596F"/>
    <w:rsid w:val="005D6D39"/>
    <w:rsid w:val="005E07C3"/>
    <w:rsid w:val="005E6508"/>
    <w:rsid w:val="005F0CB8"/>
    <w:rsid w:val="005F1C68"/>
    <w:rsid w:val="005F3F22"/>
    <w:rsid w:val="005F4A97"/>
    <w:rsid w:val="005F6597"/>
    <w:rsid w:val="0060008A"/>
    <w:rsid w:val="006029DB"/>
    <w:rsid w:val="00604BAF"/>
    <w:rsid w:val="0061216F"/>
    <w:rsid w:val="00612755"/>
    <w:rsid w:val="00613939"/>
    <w:rsid w:val="006146E2"/>
    <w:rsid w:val="006153DF"/>
    <w:rsid w:val="00616A09"/>
    <w:rsid w:val="00620EED"/>
    <w:rsid w:val="00626002"/>
    <w:rsid w:val="00631F92"/>
    <w:rsid w:val="006365DC"/>
    <w:rsid w:val="006441EA"/>
    <w:rsid w:val="0065138A"/>
    <w:rsid w:val="00651540"/>
    <w:rsid w:val="0065201F"/>
    <w:rsid w:val="00653D00"/>
    <w:rsid w:val="00656706"/>
    <w:rsid w:val="00657F04"/>
    <w:rsid w:val="0066351E"/>
    <w:rsid w:val="006673C7"/>
    <w:rsid w:val="00670019"/>
    <w:rsid w:val="00671E24"/>
    <w:rsid w:val="006723DF"/>
    <w:rsid w:val="0067294D"/>
    <w:rsid w:val="006731F8"/>
    <w:rsid w:val="00674EC4"/>
    <w:rsid w:val="006751B9"/>
    <w:rsid w:val="00677683"/>
    <w:rsid w:val="00677ABF"/>
    <w:rsid w:val="00677FFB"/>
    <w:rsid w:val="006800DA"/>
    <w:rsid w:val="006807B7"/>
    <w:rsid w:val="00687A8E"/>
    <w:rsid w:val="006948D9"/>
    <w:rsid w:val="00696941"/>
    <w:rsid w:val="006A1180"/>
    <w:rsid w:val="006A1DDE"/>
    <w:rsid w:val="006A25BE"/>
    <w:rsid w:val="006A5495"/>
    <w:rsid w:val="006A6D01"/>
    <w:rsid w:val="006B0DF7"/>
    <w:rsid w:val="006B2543"/>
    <w:rsid w:val="006B68C9"/>
    <w:rsid w:val="006C1E16"/>
    <w:rsid w:val="006C2EAF"/>
    <w:rsid w:val="006C6546"/>
    <w:rsid w:val="006C7461"/>
    <w:rsid w:val="006C7FD7"/>
    <w:rsid w:val="006D1AF3"/>
    <w:rsid w:val="006D3F8F"/>
    <w:rsid w:val="006D5D77"/>
    <w:rsid w:val="006D6420"/>
    <w:rsid w:val="006E0888"/>
    <w:rsid w:val="006E0D0C"/>
    <w:rsid w:val="006E28E6"/>
    <w:rsid w:val="006E3CAF"/>
    <w:rsid w:val="006E4CFF"/>
    <w:rsid w:val="006E53D4"/>
    <w:rsid w:val="006E73D3"/>
    <w:rsid w:val="006F0190"/>
    <w:rsid w:val="006F4984"/>
    <w:rsid w:val="006F64FF"/>
    <w:rsid w:val="006F6F8A"/>
    <w:rsid w:val="006F7582"/>
    <w:rsid w:val="00701265"/>
    <w:rsid w:val="00702515"/>
    <w:rsid w:val="007065A3"/>
    <w:rsid w:val="00706F81"/>
    <w:rsid w:val="0071473B"/>
    <w:rsid w:val="00717862"/>
    <w:rsid w:val="00720524"/>
    <w:rsid w:val="00720CBB"/>
    <w:rsid w:val="00721E27"/>
    <w:rsid w:val="007239FB"/>
    <w:rsid w:val="00723A63"/>
    <w:rsid w:val="00724C10"/>
    <w:rsid w:val="007251BF"/>
    <w:rsid w:val="007254EE"/>
    <w:rsid w:val="00725B7D"/>
    <w:rsid w:val="00727891"/>
    <w:rsid w:val="007308FD"/>
    <w:rsid w:val="007310C6"/>
    <w:rsid w:val="0073140A"/>
    <w:rsid w:val="00733FDD"/>
    <w:rsid w:val="00735D6F"/>
    <w:rsid w:val="0073600E"/>
    <w:rsid w:val="00744B35"/>
    <w:rsid w:val="00746C6A"/>
    <w:rsid w:val="00752996"/>
    <w:rsid w:val="00755EED"/>
    <w:rsid w:val="00755FA1"/>
    <w:rsid w:val="00760851"/>
    <w:rsid w:val="0076437A"/>
    <w:rsid w:val="0076675D"/>
    <w:rsid w:val="007710A6"/>
    <w:rsid w:val="00773185"/>
    <w:rsid w:val="007769A4"/>
    <w:rsid w:val="00777A10"/>
    <w:rsid w:val="0078006D"/>
    <w:rsid w:val="007807ED"/>
    <w:rsid w:val="007811AC"/>
    <w:rsid w:val="00784303"/>
    <w:rsid w:val="00784E27"/>
    <w:rsid w:val="00785E5C"/>
    <w:rsid w:val="007860F7"/>
    <w:rsid w:val="007917F3"/>
    <w:rsid w:val="00791E2F"/>
    <w:rsid w:val="007940F7"/>
    <w:rsid w:val="0079481B"/>
    <w:rsid w:val="00794E5D"/>
    <w:rsid w:val="00794F2E"/>
    <w:rsid w:val="007955E1"/>
    <w:rsid w:val="007A159F"/>
    <w:rsid w:val="007A3614"/>
    <w:rsid w:val="007B305F"/>
    <w:rsid w:val="007B7159"/>
    <w:rsid w:val="007B77DB"/>
    <w:rsid w:val="007B79E1"/>
    <w:rsid w:val="007C5EE6"/>
    <w:rsid w:val="007D4603"/>
    <w:rsid w:val="007D4A88"/>
    <w:rsid w:val="007E31FA"/>
    <w:rsid w:val="007F314D"/>
    <w:rsid w:val="007F31E3"/>
    <w:rsid w:val="007F3B34"/>
    <w:rsid w:val="007F3FC2"/>
    <w:rsid w:val="007F45BD"/>
    <w:rsid w:val="007F66B9"/>
    <w:rsid w:val="007F6CF0"/>
    <w:rsid w:val="0080052E"/>
    <w:rsid w:val="00802CC2"/>
    <w:rsid w:val="0080317F"/>
    <w:rsid w:val="008055CB"/>
    <w:rsid w:val="00810C86"/>
    <w:rsid w:val="00812471"/>
    <w:rsid w:val="00814FB5"/>
    <w:rsid w:val="0081625F"/>
    <w:rsid w:val="0082001A"/>
    <w:rsid w:val="008206C3"/>
    <w:rsid w:val="00820FE1"/>
    <w:rsid w:val="008216E4"/>
    <w:rsid w:val="008220D5"/>
    <w:rsid w:val="00822A6A"/>
    <w:rsid w:val="0082334E"/>
    <w:rsid w:val="0082447A"/>
    <w:rsid w:val="00824703"/>
    <w:rsid w:val="00827867"/>
    <w:rsid w:val="008315F2"/>
    <w:rsid w:val="008347D1"/>
    <w:rsid w:val="00836F9A"/>
    <w:rsid w:val="00844B55"/>
    <w:rsid w:val="00844EAB"/>
    <w:rsid w:val="00845470"/>
    <w:rsid w:val="00846CC8"/>
    <w:rsid w:val="00852307"/>
    <w:rsid w:val="008540DF"/>
    <w:rsid w:val="008621E2"/>
    <w:rsid w:val="00864689"/>
    <w:rsid w:val="0087347F"/>
    <w:rsid w:val="008736ED"/>
    <w:rsid w:val="008745FC"/>
    <w:rsid w:val="0087487D"/>
    <w:rsid w:val="00874A55"/>
    <w:rsid w:val="008762E6"/>
    <w:rsid w:val="0087723A"/>
    <w:rsid w:val="008814AD"/>
    <w:rsid w:val="008816CD"/>
    <w:rsid w:val="00881FDF"/>
    <w:rsid w:val="00883806"/>
    <w:rsid w:val="00883C1A"/>
    <w:rsid w:val="00884F10"/>
    <w:rsid w:val="008864FF"/>
    <w:rsid w:val="00886618"/>
    <w:rsid w:val="00886BED"/>
    <w:rsid w:val="00887EC6"/>
    <w:rsid w:val="00890192"/>
    <w:rsid w:val="00890F14"/>
    <w:rsid w:val="00892686"/>
    <w:rsid w:val="008932C5"/>
    <w:rsid w:val="00893581"/>
    <w:rsid w:val="0089470C"/>
    <w:rsid w:val="0089512B"/>
    <w:rsid w:val="008A12D5"/>
    <w:rsid w:val="008A2883"/>
    <w:rsid w:val="008A5019"/>
    <w:rsid w:val="008A6867"/>
    <w:rsid w:val="008B37F3"/>
    <w:rsid w:val="008B5E04"/>
    <w:rsid w:val="008C0E66"/>
    <w:rsid w:val="008C43ED"/>
    <w:rsid w:val="008C7C6D"/>
    <w:rsid w:val="008D1A97"/>
    <w:rsid w:val="008D2B9D"/>
    <w:rsid w:val="008D2BB9"/>
    <w:rsid w:val="008D3906"/>
    <w:rsid w:val="008D4975"/>
    <w:rsid w:val="008D5189"/>
    <w:rsid w:val="008D5E7E"/>
    <w:rsid w:val="008D72D0"/>
    <w:rsid w:val="008E08CD"/>
    <w:rsid w:val="008E0BB6"/>
    <w:rsid w:val="008E46D8"/>
    <w:rsid w:val="008F0823"/>
    <w:rsid w:val="008F2026"/>
    <w:rsid w:val="008F5C24"/>
    <w:rsid w:val="008F605F"/>
    <w:rsid w:val="008F7D8F"/>
    <w:rsid w:val="00900997"/>
    <w:rsid w:val="0090104C"/>
    <w:rsid w:val="009019D5"/>
    <w:rsid w:val="0090217E"/>
    <w:rsid w:val="00902DFA"/>
    <w:rsid w:val="00903153"/>
    <w:rsid w:val="00903248"/>
    <w:rsid w:val="0090355B"/>
    <w:rsid w:val="009055F7"/>
    <w:rsid w:val="00906244"/>
    <w:rsid w:val="009072FB"/>
    <w:rsid w:val="0091004E"/>
    <w:rsid w:val="009123C5"/>
    <w:rsid w:val="00913A5A"/>
    <w:rsid w:val="00913D0D"/>
    <w:rsid w:val="00915FA8"/>
    <w:rsid w:val="00916840"/>
    <w:rsid w:val="009202F9"/>
    <w:rsid w:val="00921ABA"/>
    <w:rsid w:val="0092233F"/>
    <w:rsid w:val="00922F32"/>
    <w:rsid w:val="009236BC"/>
    <w:rsid w:val="00926EC6"/>
    <w:rsid w:val="00931E49"/>
    <w:rsid w:val="00933C55"/>
    <w:rsid w:val="00934948"/>
    <w:rsid w:val="0093522B"/>
    <w:rsid w:val="009364D0"/>
    <w:rsid w:val="0094291C"/>
    <w:rsid w:val="00943652"/>
    <w:rsid w:val="00943864"/>
    <w:rsid w:val="00944843"/>
    <w:rsid w:val="009467AC"/>
    <w:rsid w:val="0095007D"/>
    <w:rsid w:val="00951C54"/>
    <w:rsid w:val="00952142"/>
    <w:rsid w:val="009545EB"/>
    <w:rsid w:val="009625E3"/>
    <w:rsid w:val="00962A90"/>
    <w:rsid w:val="00962D7D"/>
    <w:rsid w:val="009646A0"/>
    <w:rsid w:val="009655DF"/>
    <w:rsid w:val="00967B58"/>
    <w:rsid w:val="0097130E"/>
    <w:rsid w:val="00973304"/>
    <w:rsid w:val="0097340A"/>
    <w:rsid w:val="009746FD"/>
    <w:rsid w:val="009752D3"/>
    <w:rsid w:val="009802B3"/>
    <w:rsid w:val="00980CA1"/>
    <w:rsid w:val="009813ED"/>
    <w:rsid w:val="00981490"/>
    <w:rsid w:val="009855AF"/>
    <w:rsid w:val="00986363"/>
    <w:rsid w:val="009877A4"/>
    <w:rsid w:val="009A06E3"/>
    <w:rsid w:val="009A151A"/>
    <w:rsid w:val="009A3057"/>
    <w:rsid w:val="009A579D"/>
    <w:rsid w:val="009A682D"/>
    <w:rsid w:val="009A7565"/>
    <w:rsid w:val="009B05E8"/>
    <w:rsid w:val="009B50A2"/>
    <w:rsid w:val="009B5B1D"/>
    <w:rsid w:val="009B7E06"/>
    <w:rsid w:val="009C0053"/>
    <w:rsid w:val="009C0F68"/>
    <w:rsid w:val="009C2779"/>
    <w:rsid w:val="009C2A37"/>
    <w:rsid w:val="009C2B5A"/>
    <w:rsid w:val="009C6638"/>
    <w:rsid w:val="009C7403"/>
    <w:rsid w:val="009D53E5"/>
    <w:rsid w:val="009D7377"/>
    <w:rsid w:val="009D7D18"/>
    <w:rsid w:val="009E166A"/>
    <w:rsid w:val="009E1AE5"/>
    <w:rsid w:val="009E2BA7"/>
    <w:rsid w:val="009E4094"/>
    <w:rsid w:val="009E79BC"/>
    <w:rsid w:val="009F1273"/>
    <w:rsid w:val="009F5377"/>
    <w:rsid w:val="009F7830"/>
    <w:rsid w:val="00A00290"/>
    <w:rsid w:val="00A04880"/>
    <w:rsid w:val="00A10640"/>
    <w:rsid w:val="00A11710"/>
    <w:rsid w:val="00A21E69"/>
    <w:rsid w:val="00A220CA"/>
    <w:rsid w:val="00A23502"/>
    <w:rsid w:val="00A2626B"/>
    <w:rsid w:val="00A272CE"/>
    <w:rsid w:val="00A27315"/>
    <w:rsid w:val="00A3339E"/>
    <w:rsid w:val="00A33677"/>
    <w:rsid w:val="00A33AE7"/>
    <w:rsid w:val="00A35B73"/>
    <w:rsid w:val="00A35D46"/>
    <w:rsid w:val="00A36395"/>
    <w:rsid w:val="00A371B3"/>
    <w:rsid w:val="00A42263"/>
    <w:rsid w:val="00A42417"/>
    <w:rsid w:val="00A44FAD"/>
    <w:rsid w:val="00A4603A"/>
    <w:rsid w:val="00A463CC"/>
    <w:rsid w:val="00A464A9"/>
    <w:rsid w:val="00A55137"/>
    <w:rsid w:val="00A556C8"/>
    <w:rsid w:val="00A57497"/>
    <w:rsid w:val="00A5760D"/>
    <w:rsid w:val="00A5766B"/>
    <w:rsid w:val="00A6039E"/>
    <w:rsid w:val="00A6381B"/>
    <w:rsid w:val="00A648CA"/>
    <w:rsid w:val="00A65F12"/>
    <w:rsid w:val="00A66D59"/>
    <w:rsid w:val="00A66E25"/>
    <w:rsid w:val="00A705BC"/>
    <w:rsid w:val="00A740BD"/>
    <w:rsid w:val="00A77C03"/>
    <w:rsid w:val="00A8171C"/>
    <w:rsid w:val="00A84D12"/>
    <w:rsid w:val="00A856D6"/>
    <w:rsid w:val="00A863A9"/>
    <w:rsid w:val="00A95CD7"/>
    <w:rsid w:val="00A966FB"/>
    <w:rsid w:val="00A974B9"/>
    <w:rsid w:val="00AA6789"/>
    <w:rsid w:val="00AB3505"/>
    <w:rsid w:val="00AB7FBF"/>
    <w:rsid w:val="00AC346E"/>
    <w:rsid w:val="00AC36E0"/>
    <w:rsid w:val="00AC44B0"/>
    <w:rsid w:val="00AC7043"/>
    <w:rsid w:val="00AC7523"/>
    <w:rsid w:val="00AC7D9C"/>
    <w:rsid w:val="00AD168D"/>
    <w:rsid w:val="00AD1CB7"/>
    <w:rsid w:val="00AD4318"/>
    <w:rsid w:val="00AD7CB7"/>
    <w:rsid w:val="00AD7D6F"/>
    <w:rsid w:val="00AE08C2"/>
    <w:rsid w:val="00AE1410"/>
    <w:rsid w:val="00AE2F2A"/>
    <w:rsid w:val="00AE4E4C"/>
    <w:rsid w:val="00AE5D16"/>
    <w:rsid w:val="00AE61C8"/>
    <w:rsid w:val="00AF1F76"/>
    <w:rsid w:val="00AF279C"/>
    <w:rsid w:val="00AF4C82"/>
    <w:rsid w:val="00AF5315"/>
    <w:rsid w:val="00B01524"/>
    <w:rsid w:val="00B01D12"/>
    <w:rsid w:val="00B0342D"/>
    <w:rsid w:val="00B04E0D"/>
    <w:rsid w:val="00B05E4B"/>
    <w:rsid w:val="00B05EC8"/>
    <w:rsid w:val="00B05FD2"/>
    <w:rsid w:val="00B06CB6"/>
    <w:rsid w:val="00B1097E"/>
    <w:rsid w:val="00B10C81"/>
    <w:rsid w:val="00B11736"/>
    <w:rsid w:val="00B17697"/>
    <w:rsid w:val="00B20840"/>
    <w:rsid w:val="00B209C4"/>
    <w:rsid w:val="00B20CA1"/>
    <w:rsid w:val="00B267C5"/>
    <w:rsid w:val="00B34B16"/>
    <w:rsid w:val="00B36AE4"/>
    <w:rsid w:val="00B37A80"/>
    <w:rsid w:val="00B4464F"/>
    <w:rsid w:val="00B467DB"/>
    <w:rsid w:val="00B470E0"/>
    <w:rsid w:val="00B5095E"/>
    <w:rsid w:val="00B5310F"/>
    <w:rsid w:val="00B53FFF"/>
    <w:rsid w:val="00B546D9"/>
    <w:rsid w:val="00B55FC6"/>
    <w:rsid w:val="00B57AF6"/>
    <w:rsid w:val="00B60967"/>
    <w:rsid w:val="00B60A25"/>
    <w:rsid w:val="00B61B2B"/>
    <w:rsid w:val="00B634B8"/>
    <w:rsid w:val="00B667FC"/>
    <w:rsid w:val="00B703A8"/>
    <w:rsid w:val="00B753C1"/>
    <w:rsid w:val="00B75DEA"/>
    <w:rsid w:val="00B776D6"/>
    <w:rsid w:val="00B80630"/>
    <w:rsid w:val="00B829D8"/>
    <w:rsid w:val="00B8540F"/>
    <w:rsid w:val="00B87342"/>
    <w:rsid w:val="00B90B14"/>
    <w:rsid w:val="00B914E6"/>
    <w:rsid w:val="00B91B9E"/>
    <w:rsid w:val="00B925DB"/>
    <w:rsid w:val="00B92B03"/>
    <w:rsid w:val="00B94045"/>
    <w:rsid w:val="00B969FC"/>
    <w:rsid w:val="00B9717C"/>
    <w:rsid w:val="00BA3C7E"/>
    <w:rsid w:val="00BA57DB"/>
    <w:rsid w:val="00BB25B7"/>
    <w:rsid w:val="00BB4EDF"/>
    <w:rsid w:val="00BC01B1"/>
    <w:rsid w:val="00BC254C"/>
    <w:rsid w:val="00BC35AA"/>
    <w:rsid w:val="00BC474A"/>
    <w:rsid w:val="00BC47D5"/>
    <w:rsid w:val="00BC4910"/>
    <w:rsid w:val="00BC74BC"/>
    <w:rsid w:val="00BD4EAE"/>
    <w:rsid w:val="00BD7BE2"/>
    <w:rsid w:val="00BE261C"/>
    <w:rsid w:val="00BE5037"/>
    <w:rsid w:val="00BE5DEF"/>
    <w:rsid w:val="00BF0095"/>
    <w:rsid w:val="00BF01FF"/>
    <w:rsid w:val="00BF14E1"/>
    <w:rsid w:val="00BF53CF"/>
    <w:rsid w:val="00BF5E1F"/>
    <w:rsid w:val="00C00477"/>
    <w:rsid w:val="00C00B25"/>
    <w:rsid w:val="00C01AE0"/>
    <w:rsid w:val="00C02AA2"/>
    <w:rsid w:val="00C05A17"/>
    <w:rsid w:val="00C062CD"/>
    <w:rsid w:val="00C07760"/>
    <w:rsid w:val="00C125D2"/>
    <w:rsid w:val="00C139AB"/>
    <w:rsid w:val="00C149F3"/>
    <w:rsid w:val="00C1516D"/>
    <w:rsid w:val="00C16568"/>
    <w:rsid w:val="00C16BE8"/>
    <w:rsid w:val="00C2161A"/>
    <w:rsid w:val="00C21C8A"/>
    <w:rsid w:val="00C23AC6"/>
    <w:rsid w:val="00C31FCA"/>
    <w:rsid w:val="00C3243A"/>
    <w:rsid w:val="00C324B3"/>
    <w:rsid w:val="00C33045"/>
    <w:rsid w:val="00C345DC"/>
    <w:rsid w:val="00C35A06"/>
    <w:rsid w:val="00C35B4C"/>
    <w:rsid w:val="00C37D67"/>
    <w:rsid w:val="00C44FBD"/>
    <w:rsid w:val="00C45E87"/>
    <w:rsid w:val="00C508C4"/>
    <w:rsid w:val="00C509B6"/>
    <w:rsid w:val="00C50BD8"/>
    <w:rsid w:val="00C53D56"/>
    <w:rsid w:val="00C54EB1"/>
    <w:rsid w:val="00C5506E"/>
    <w:rsid w:val="00C577F5"/>
    <w:rsid w:val="00C57B29"/>
    <w:rsid w:val="00C60EB5"/>
    <w:rsid w:val="00C7096A"/>
    <w:rsid w:val="00C71723"/>
    <w:rsid w:val="00C73504"/>
    <w:rsid w:val="00C7422C"/>
    <w:rsid w:val="00C7688C"/>
    <w:rsid w:val="00C827B9"/>
    <w:rsid w:val="00C8557A"/>
    <w:rsid w:val="00C90E6F"/>
    <w:rsid w:val="00C93366"/>
    <w:rsid w:val="00CA077E"/>
    <w:rsid w:val="00CA0B75"/>
    <w:rsid w:val="00CA15E6"/>
    <w:rsid w:val="00CA4C24"/>
    <w:rsid w:val="00CB18D9"/>
    <w:rsid w:val="00CB3FD9"/>
    <w:rsid w:val="00CB5B28"/>
    <w:rsid w:val="00CB5B83"/>
    <w:rsid w:val="00CB7365"/>
    <w:rsid w:val="00CC2C25"/>
    <w:rsid w:val="00CC3A96"/>
    <w:rsid w:val="00CC4BA7"/>
    <w:rsid w:val="00CC6A32"/>
    <w:rsid w:val="00CC6E45"/>
    <w:rsid w:val="00CD183C"/>
    <w:rsid w:val="00CD2F8D"/>
    <w:rsid w:val="00CD3E96"/>
    <w:rsid w:val="00CD60B6"/>
    <w:rsid w:val="00CD6EF8"/>
    <w:rsid w:val="00CD74B5"/>
    <w:rsid w:val="00CE502A"/>
    <w:rsid w:val="00CE6152"/>
    <w:rsid w:val="00CE63BF"/>
    <w:rsid w:val="00CE7903"/>
    <w:rsid w:val="00CF3108"/>
    <w:rsid w:val="00CF4873"/>
    <w:rsid w:val="00CF5BA8"/>
    <w:rsid w:val="00CF6D98"/>
    <w:rsid w:val="00D008A8"/>
    <w:rsid w:val="00D02FF6"/>
    <w:rsid w:val="00D042AB"/>
    <w:rsid w:val="00D04F2F"/>
    <w:rsid w:val="00D0619F"/>
    <w:rsid w:val="00D07C49"/>
    <w:rsid w:val="00D07DC7"/>
    <w:rsid w:val="00D107A6"/>
    <w:rsid w:val="00D107AD"/>
    <w:rsid w:val="00D11625"/>
    <w:rsid w:val="00D12E25"/>
    <w:rsid w:val="00D15AB3"/>
    <w:rsid w:val="00D21ABE"/>
    <w:rsid w:val="00D255A6"/>
    <w:rsid w:val="00D25E8D"/>
    <w:rsid w:val="00D2767D"/>
    <w:rsid w:val="00D316EC"/>
    <w:rsid w:val="00D31ADF"/>
    <w:rsid w:val="00D32531"/>
    <w:rsid w:val="00D41117"/>
    <w:rsid w:val="00D41337"/>
    <w:rsid w:val="00D428CA"/>
    <w:rsid w:val="00D437FA"/>
    <w:rsid w:val="00D4666A"/>
    <w:rsid w:val="00D51504"/>
    <w:rsid w:val="00D51CC0"/>
    <w:rsid w:val="00D538B3"/>
    <w:rsid w:val="00D53D51"/>
    <w:rsid w:val="00D547F5"/>
    <w:rsid w:val="00D56596"/>
    <w:rsid w:val="00D60E10"/>
    <w:rsid w:val="00D65730"/>
    <w:rsid w:val="00D66474"/>
    <w:rsid w:val="00D66CF0"/>
    <w:rsid w:val="00D67DC7"/>
    <w:rsid w:val="00D7068D"/>
    <w:rsid w:val="00D76C12"/>
    <w:rsid w:val="00D83E59"/>
    <w:rsid w:val="00D84906"/>
    <w:rsid w:val="00D86373"/>
    <w:rsid w:val="00D86C47"/>
    <w:rsid w:val="00D915F7"/>
    <w:rsid w:val="00D9331A"/>
    <w:rsid w:val="00D93FE3"/>
    <w:rsid w:val="00D97996"/>
    <w:rsid w:val="00DA08F9"/>
    <w:rsid w:val="00DA1B7B"/>
    <w:rsid w:val="00DB0978"/>
    <w:rsid w:val="00DB1926"/>
    <w:rsid w:val="00DB400F"/>
    <w:rsid w:val="00DB42EE"/>
    <w:rsid w:val="00DB5596"/>
    <w:rsid w:val="00DC0BF8"/>
    <w:rsid w:val="00DC20A3"/>
    <w:rsid w:val="00DC2249"/>
    <w:rsid w:val="00DC340F"/>
    <w:rsid w:val="00DC3A35"/>
    <w:rsid w:val="00DC442C"/>
    <w:rsid w:val="00DC56A2"/>
    <w:rsid w:val="00DC5C95"/>
    <w:rsid w:val="00DC5E6E"/>
    <w:rsid w:val="00DC7728"/>
    <w:rsid w:val="00DD1502"/>
    <w:rsid w:val="00DD25E1"/>
    <w:rsid w:val="00DD3558"/>
    <w:rsid w:val="00DE34B3"/>
    <w:rsid w:val="00DE5054"/>
    <w:rsid w:val="00DE577A"/>
    <w:rsid w:val="00DE5DBA"/>
    <w:rsid w:val="00DE6199"/>
    <w:rsid w:val="00DE6614"/>
    <w:rsid w:val="00DE7E98"/>
    <w:rsid w:val="00DF00EC"/>
    <w:rsid w:val="00DF37E9"/>
    <w:rsid w:val="00DF5310"/>
    <w:rsid w:val="00DF599B"/>
    <w:rsid w:val="00DF7712"/>
    <w:rsid w:val="00E00206"/>
    <w:rsid w:val="00E037E4"/>
    <w:rsid w:val="00E04698"/>
    <w:rsid w:val="00E07D92"/>
    <w:rsid w:val="00E12213"/>
    <w:rsid w:val="00E132CB"/>
    <w:rsid w:val="00E13F6F"/>
    <w:rsid w:val="00E1445E"/>
    <w:rsid w:val="00E144B4"/>
    <w:rsid w:val="00E16F57"/>
    <w:rsid w:val="00E20B55"/>
    <w:rsid w:val="00E20EDC"/>
    <w:rsid w:val="00E235B5"/>
    <w:rsid w:val="00E2504C"/>
    <w:rsid w:val="00E26D57"/>
    <w:rsid w:val="00E35AA4"/>
    <w:rsid w:val="00E411EE"/>
    <w:rsid w:val="00E4461C"/>
    <w:rsid w:val="00E44D38"/>
    <w:rsid w:val="00E5079C"/>
    <w:rsid w:val="00E51B9C"/>
    <w:rsid w:val="00E545D2"/>
    <w:rsid w:val="00E64064"/>
    <w:rsid w:val="00E67198"/>
    <w:rsid w:val="00E673D4"/>
    <w:rsid w:val="00E7238C"/>
    <w:rsid w:val="00E74E79"/>
    <w:rsid w:val="00E759B6"/>
    <w:rsid w:val="00E773A0"/>
    <w:rsid w:val="00E818C5"/>
    <w:rsid w:val="00E83F99"/>
    <w:rsid w:val="00E85D47"/>
    <w:rsid w:val="00E87273"/>
    <w:rsid w:val="00E91A96"/>
    <w:rsid w:val="00EA16B8"/>
    <w:rsid w:val="00EA23A0"/>
    <w:rsid w:val="00EA47A1"/>
    <w:rsid w:val="00EB023A"/>
    <w:rsid w:val="00EB03B4"/>
    <w:rsid w:val="00EB08D5"/>
    <w:rsid w:val="00EB1577"/>
    <w:rsid w:val="00EB2CCA"/>
    <w:rsid w:val="00EB2D23"/>
    <w:rsid w:val="00EB3EAB"/>
    <w:rsid w:val="00EB559D"/>
    <w:rsid w:val="00EB6349"/>
    <w:rsid w:val="00EC1484"/>
    <w:rsid w:val="00EC1D37"/>
    <w:rsid w:val="00EC2214"/>
    <w:rsid w:val="00EC2680"/>
    <w:rsid w:val="00EC42F1"/>
    <w:rsid w:val="00EC705E"/>
    <w:rsid w:val="00ED296B"/>
    <w:rsid w:val="00ED5390"/>
    <w:rsid w:val="00ED79D6"/>
    <w:rsid w:val="00EE6707"/>
    <w:rsid w:val="00EF02E2"/>
    <w:rsid w:val="00EF4F1B"/>
    <w:rsid w:val="00EF5680"/>
    <w:rsid w:val="00EF70BF"/>
    <w:rsid w:val="00F064F7"/>
    <w:rsid w:val="00F06EF8"/>
    <w:rsid w:val="00F07848"/>
    <w:rsid w:val="00F100F7"/>
    <w:rsid w:val="00F1179A"/>
    <w:rsid w:val="00F11960"/>
    <w:rsid w:val="00F11C71"/>
    <w:rsid w:val="00F120FB"/>
    <w:rsid w:val="00F126CB"/>
    <w:rsid w:val="00F22C2C"/>
    <w:rsid w:val="00F24C97"/>
    <w:rsid w:val="00F25206"/>
    <w:rsid w:val="00F30553"/>
    <w:rsid w:val="00F30E26"/>
    <w:rsid w:val="00F313E0"/>
    <w:rsid w:val="00F326B3"/>
    <w:rsid w:val="00F33A33"/>
    <w:rsid w:val="00F36A19"/>
    <w:rsid w:val="00F405CE"/>
    <w:rsid w:val="00F4478E"/>
    <w:rsid w:val="00F44DE7"/>
    <w:rsid w:val="00F44F38"/>
    <w:rsid w:val="00F46EA4"/>
    <w:rsid w:val="00F47A7D"/>
    <w:rsid w:val="00F502C1"/>
    <w:rsid w:val="00F5339F"/>
    <w:rsid w:val="00F54CB0"/>
    <w:rsid w:val="00F577B9"/>
    <w:rsid w:val="00F60C4E"/>
    <w:rsid w:val="00F62750"/>
    <w:rsid w:val="00F62FAE"/>
    <w:rsid w:val="00F63162"/>
    <w:rsid w:val="00F63F86"/>
    <w:rsid w:val="00F64306"/>
    <w:rsid w:val="00F64D56"/>
    <w:rsid w:val="00F654EA"/>
    <w:rsid w:val="00F672C2"/>
    <w:rsid w:val="00F67E55"/>
    <w:rsid w:val="00F71603"/>
    <w:rsid w:val="00F71724"/>
    <w:rsid w:val="00F7184F"/>
    <w:rsid w:val="00F71DF0"/>
    <w:rsid w:val="00F727C5"/>
    <w:rsid w:val="00F74DD6"/>
    <w:rsid w:val="00F751F2"/>
    <w:rsid w:val="00F758A0"/>
    <w:rsid w:val="00F80DAF"/>
    <w:rsid w:val="00F80EBD"/>
    <w:rsid w:val="00F81CB6"/>
    <w:rsid w:val="00F868F0"/>
    <w:rsid w:val="00F90A5E"/>
    <w:rsid w:val="00F90F7B"/>
    <w:rsid w:val="00F913D4"/>
    <w:rsid w:val="00F914EB"/>
    <w:rsid w:val="00F92C75"/>
    <w:rsid w:val="00F93A45"/>
    <w:rsid w:val="00F94E8D"/>
    <w:rsid w:val="00F95E40"/>
    <w:rsid w:val="00FA05C6"/>
    <w:rsid w:val="00FA17AE"/>
    <w:rsid w:val="00FA32E9"/>
    <w:rsid w:val="00FA43DE"/>
    <w:rsid w:val="00FA49DD"/>
    <w:rsid w:val="00FA4CBF"/>
    <w:rsid w:val="00FA4DC4"/>
    <w:rsid w:val="00FA71BF"/>
    <w:rsid w:val="00FB144D"/>
    <w:rsid w:val="00FB21EF"/>
    <w:rsid w:val="00FB224A"/>
    <w:rsid w:val="00FB286C"/>
    <w:rsid w:val="00FB2E5A"/>
    <w:rsid w:val="00FB39B5"/>
    <w:rsid w:val="00FB4BC2"/>
    <w:rsid w:val="00FB7DD9"/>
    <w:rsid w:val="00FC0FA7"/>
    <w:rsid w:val="00FC202A"/>
    <w:rsid w:val="00FC2DF3"/>
    <w:rsid w:val="00FC652D"/>
    <w:rsid w:val="00FC65B9"/>
    <w:rsid w:val="00FD0162"/>
    <w:rsid w:val="00FD101E"/>
    <w:rsid w:val="00FD1E90"/>
    <w:rsid w:val="00FD292F"/>
    <w:rsid w:val="00FD30C7"/>
    <w:rsid w:val="00FD3933"/>
    <w:rsid w:val="00FD43B9"/>
    <w:rsid w:val="00FD7FC1"/>
    <w:rsid w:val="00FE26C8"/>
    <w:rsid w:val="00FE3EA2"/>
    <w:rsid w:val="00FE43BF"/>
    <w:rsid w:val="00FE517B"/>
    <w:rsid w:val="00FE57D3"/>
    <w:rsid w:val="00FE6404"/>
    <w:rsid w:val="00FF4180"/>
    <w:rsid w:val="00FF6563"/>
    <w:rsid w:val="00FF6A33"/>
    <w:rsid w:val="00FF7883"/>
    <w:rsid w:val="00FF7E63"/>
    <w:rsid w:val="0E9FB5E5"/>
    <w:rsid w:val="20599796"/>
    <w:rsid w:val="2F56AA0D"/>
    <w:rsid w:val="37B9977A"/>
    <w:rsid w:val="3AF1383C"/>
    <w:rsid w:val="4A1B7B06"/>
    <w:rsid w:val="773FB600"/>
    <w:rsid w:val="78DB8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C02C7E"/>
  <w15:docId w15:val="{739BAD0B-2892-4279-84DD-4CB4F935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0">
    <w:name w:val="Table Grid0"/>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1625F"/>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23528E"/>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3D78FC"/>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50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C02AA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96294601">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03443255">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26131286">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39167360">
      <w:bodyDiv w:val="1"/>
      <w:marLeft w:val="0"/>
      <w:marRight w:val="0"/>
      <w:marTop w:val="0"/>
      <w:marBottom w:val="0"/>
      <w:divBdr>
        <w:top w:val="none" w:sz="0" w:space="0" w:color="auto"/>
        <w:left w:val="none" w:sz="0" w:space="0" w:color="auto"/>
        <w:bottom w:val="none" w:sz="0" w:space="0" w:color="auto"/>
        <w:right w:val="none" w:sz="0" w:space="0" w:color="auto"/>
      </w:divBdr>
    </w:div>
    <w:div w:id="563223563">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68486877">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232620149">
      <w:bodyDiv w:val="1"/>
      <w:marLeft w:val="0"/>
      <w:marRight w:val="0"/>
      <w:marTop w:val="0"/>
      <w:marBottom w:val="0"/>
      <w:divBdr>
        <w:top w:val="none" w:sz="0" w:space="0" w:color="auto"/>
        <w:left w:val="none" w:sz="0" w:space="0" w:color="auto"/>
        <w:bottom w:val="none" w:sz="0" w:space="0" w:color="auto"/>
        <w:right w:val="none" w:sz="0" w:space="0" w:color="auto"/>
      </w:divBdr>
    </w:div>
    <w:div w:id="1333872969">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60558977">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8759562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6974312">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9f6219-a73f-4366-a00d-6bacb1e9f8e0" xsi:nil="true"/>
    <lcf76f155ced4ddcb4097134ff3c332f xmlns="0f90cc45-9d06-4234-8034-eeec6c0c7cc1">
      <Terms xmlns="http://schemas.microsoft.com/office/infopath/2007/PartnerControls"/>
    </lcf76f155ced4ddcb4097134ff3c332f>
    <SharedWithUsers xmlns="309f6219-a73f-4366-a00d-6bacb1e9f8e0">
      <UserInfo>
        <DisplayName>Adriana Soraya Rios</DisplayName>
        <AccountId>49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3" ma:contentTypeDescription="Crear nuevo documento." ma:contentTypeScope="" ma:versionID="4c2dc340b6bddbdaeae1fec7121686ec">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f2372206f734646d46ef4a5002363d07"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24b74cc7-9912-495a-b67c-bc0919019809}"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EF89C-0DF6-450D-8513-ABBEA0156301}">
  <ds:schemaRefs>
    <ds:schemaRef ds:uri="http://schemas.microsoft.com/sharepoint/v3/contenttype/forms"/>
  </ds:schemaRefs>
</ds:datastoreItem>
</file>

<file path=customXml/itemProps2.xml><?xml version="1.0" encoding="utf-8"?>
<ds:datastoreItem xmlns:ds="http://schemas.openxmlformats.org/officeDocument/2006/customXml" ds:itemID="{6C0DBFA9-8B34-4B31-9226-34983F80F58C}">
  <ds:schemaRefs>
    <ds:schemaRef ds:uri="http://schemas.microsoft.com/office/2006/metadata/properties"/>
    <ds:schemaRef ds:uri="http://schemas.microsoft.com/office/infopath/2007/PartnerControls"/>
    <ds:schemaRef ds:uri="309f6219-a73f-4366-a00d-6bacb1e9f8e0"/>
    <ds:schemaRef ds:uri="0f90cc45-9d06-4234-8034-eeec6c0c7cc1"/>
  </ds:schemaRefs>
</ds:datastoreItem>
</file>

<file path=customXml/itemProps3.xml><?xml version="1.0" encoding="utf-8"?>
<ds:datastoreItem xmlns:ds="http://schemas.openxmlformats.org/officeDocument/2006/customXml" ds:itemID="{57225881-ED8B-466E-84A8-F5855E0AE74B}">
  <ds:schemaRefs>
    <ds:schemaRef ds:uri="http://schemas.openxmlformats.org/officeDocument/2006/bibliography"/>
  </ds:schemaRefs>
</ds:datastoreItem>
</file>

<file path=customXml/itemProps4.xml><?xml version="1.0" encoding="utf-8"?>
<ds:datastoreItem xmlns:ds="http://schemas.openxmlformats.org/officeDocument/2006/customXml" ds:itemID="{99F1F9A1-89F6-438C-8F4E-5065AAAD7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7501</Words>
  <Characters>41257</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cp:lastModifiedBy>Luz Stella Rojas Macias</cp:lastModifiedBy>
  <cp:revision>3</cp:revision>
  <cp:lastPrinted>2022-08-04T17:32:00Z</cp:lastPrinted>
  <dcterms:created xsi:type="dcterms:W3CDTF">2022-08-04T17:32:00Z</dcterms:created>
  <dcterms:modified xsi:type="dcterms:W3CDTF">2022-08-04T17:34:00Z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ies>
</file>