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EB629F"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5398"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Default="003E628D" w:rsidP="00D126E3">
      <w:pPr>
        <w:tabs>
          <w:tab w:val="right" w:pos="9498"/>
        </w:tabs>
        <w:ind w:left="0" w:right="-142"/>
        <w:rPr>
          <w:rFonts w:ascii="Bookman Old Style" w:hAnsi="Bookman Old Style"/>
          <w:bCs/>
          <w:sz w:val="22"/>
          <w:lang w:val="es-CO"/>
        </w:rPr>
      </w:pPr>
    </w:p>
    <w:p w:rsidR="00A50D97" w:rsidRPr="007507BF" w:rsidRDefault="00A50D97"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6D5092">
        <w:rPr>
          <w:rFonts w:ascii="Bookman Old Style" w:hAnsi="Bookman Old Style"/>
          <w:bCs/>
          <w:lang w:val="es-CO"/>
        </w:rPr>
        <w:t>Montagas S.A.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D4104B" w:rsidRDefault="00D4104B"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D4104B"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EB629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EB629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EB629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D4104B"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D4104B"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D4104B" w:rsidRDefault="00EB629F"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EB629F"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EB629F"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D4104B" w:rsidRDefault="00D4104B"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D4104B"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D4104B"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D4104B" w:rsidRDefault="00D4104B"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D4104B" w:rsidRDefault="00D4104B"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D4104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D4104B" w:rsidRDefault="00D4104B"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D4104B"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D4104B"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EA1547">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503E2E">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88" w:type="dxa"/>
        <w:jc w:val="center"/>
        <w:tblCellMar>
          <w:left w:w="70" w:type="dxa"/>
          <w:right w:w="70" w:type="dxa"/>
        </w:tblCellMar>
        <w:tblLook w:val="04A0" w:firstRow="1" w:lastRow="0" w:firstColumn="1" w:lastColumn="0" w:noHBand="0" w:noVBand="1"/>
      </w:tblPr>
      <w:tblGrid>
        <w:gridCol w:w="2268"/>
        <w:gridCol w:w="3591"/>
        <w:gridCol w:w="2929"/>
      </w:tblGrid>
      <w:tr w:rsidR="00EC3BB2" w:rsidRPr="00BD1622" w:rsidTr="00BA05D2">
        <w:trPr>
          <w:trHeight w:val="405"/>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3591"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29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0B6666" w:rsidRPr="000B6666" w:rsidTr="006E0125">
        <w:trPr>
          <w:trHeight w:val="40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0B6666" w:rsidRPr="000B6666" w:rsidRDefault="000B6666" w:rsidP="006E0125">
            <w:pPr>
              <w:ind w:left="67"/>
              <w:jc w:val="center"/>
              <w:rPr>
                <w:rFonts w:ascii="Bookman Old Style" w:hAnsi="Bookman Old Style"/>
                <w:sz w:val="20"/>
                <w:szCs w:val="20"/>
              </w:rPr>
            </w:pPr>
            <w:r w:rsidRPr="000B6666">
              <w:rPr>
                <w:rFonts w:ascii="Bookman Old Style" w:hAnsi="Bookman Old Style"/>
                <w:sz w:val="20"/>
                <w:szCs w:val="20"/>
              </w:rPr>
              <w:t>6026</w:t>
            </w:r>
          </w:p>
        </w:tc>
        <w:tc>
          <w:tcPr>
            <w:tcW w:w="3591" w:type="dxa"/>
            <w:tcBorders>
              <w:top w:val="nil"/>
              <w:left w:val="nil"/>
              <w:bottom w:val="single" w:sz="4" w:space="0" w:color="auto"/>
              <w:right w:val="single" w:sz="4" w:space="0" w:color="auto"/>
            </w:tcBorders>
            <w:shd w:val="clear" w:color="auto" w:fill="auto"/>
            <w:noWrap/>
            <w:vAlign w:val="center"/>
            <w:hideMark/>
          </w:tcPr>
          <w:p w:rsidR="000B6666" w:rsidRPr="000B6666" w:rsidRDefault="000B6666" w:rsidP="006E0125">
            <w:pPr>
              <w:ind w:left="0"/>
              <w:rPr>
                <w:rFonts w:ascii="Bookman Old Style" w:hAnsi="Bookman Old Style"/>
                <w:sz w:val="20"/>
                <w:szCs w:val="20"/>
                <w:lang w:val="en-US"/>
              </w:rPr>
            </w:pPr>
            <w:r w:rsidRPr="000B6666">
              <w:rPr>
                <w:rFonts w:ascii="Bookman Old Style" w:hAnsi="Bookman Old Style"/>
                <w:sz w:val="20"/>
                <w:szCs w:val="20"/>
                <w:lang w:val="en-US"/>
              </w:rPr>
              <w:t>MONTAGAS S.A. E.S.P.</w:t>
            </w:r>
          </w:p>
        </w:tc>
        <w:tc>
          <w:tcPr>
            <w:tcW w:w="2929" w:type="dxa"/>
            <w:tcBorders>
              <w:top w:val="nil"/>
              <w:left w:val="nil"/>
              <w:bottom w:val="single" w:sz="4" w:space="0" w:color="auto"/>
              <w:right w:val="single" w:sz="4" w:space="0" w:color="auto"/>
            </w:tcBorders>
            <w:shd w:val="clear" w:color="auto" w:fill="auto"/>
            <w:noWrap/>
            <w:vAlign w:val="center"/>
            <w:hideMark/>
          </w:tcPr>
          <w:p w:rsidR="000B6666" w:rsidRPr="000B6666" w:rsidRDefault="000B6666" w:rsidP="006E0125">
            <w:pPr>
              <w:ind w:left="20"/>
              <w:jc w:val="center"/>
              <w:rPr>
                <w:rFonts w:ascii="Bookman Old Style" w:hAnsi="Bookman Old Style"/>
                <w:sz w:val="20"/>
                <w:szCs w:val="20"/>
              </w:rPr>
            </w:pPr>
            <w:r w:rsidRPr="000B6666">
              <w:rPr>
                <w:rFonts w:ascii="Bookman Old Style" w:hAnsi="Bookman Old Style"/>
                <w:sz w:val="20"/>
                <w:szCs w:val="20"/>
              </w:rPr>
              <w:t>20.397.633</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213F4E" w:rsidRDefault="00EC3BB2" w:rsidP="00BD1622">
      <w:pPr>
        <w:tabs>
          <w:tab w:val="right" w:pos="9498"/>
        </w:tabs>
        <w:ind w:left="284" w:right="284"/>
        <w:jc w:val="both"/>
        <w:rPr>
          <w:rFonts w:ascii="Bookman Old Style" w:hAnsi="Bookman Old Style" w:cs="Arial"/>
          <w:sz w:val="32"/>
          <w:szCs w:val="20"/>
          <w:lang w:val="es-CO"/>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0B6666">
        <w:rPr>
          <w:rFonts w:ascii="Bookman Old Style" w:hAnsi="Bookman Old Style" w:cs="Arial"/>
          <w:spacing w:val="-5"/>
          <w:lang w:val="es-CO" w:eastAsia="en-US"/>
        </w:rPr>
        <w:t>007229</w:t>
      </w:r>
      <w:r w:rsidRPr="00EC3BB2">
        <w:rPr>
          <w:rFonts w:ascii="Bookman Old Style" w:hAnsi="Bookman Old Style" w:cs="Arial"/>
          <w:spacing w:val="-5"/>
          <w:lang w:val="es-CO" w:eastAsia="en-US"/>
        </w:rPr>
        <w:t xml:space="preserve"> de </w:t>
      </w:r>
      <w:r w:rsidR="000B6666">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0B6666">
        <w:rPr>
          <w:rFonts w:ascii="Bookman Old Style" w:hAnsi="Bookman Old Style" w:cs="Arial"/>
          <w:spacing w:val="-5"/>
          <w:lang w:val="es-CO" w:eastAsia="en-US"/>
        </w:rPr>
        <w:t>Montagas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5042D" w:rsidRDefault="0045042D"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45042D">
        <w:rPr>
          <w:rFonts w:ascii="Bookman Old Style" w:hAnsi="Bookman Old Style" w:cs="Arial"/>
          <w:i/>
          <w:spacing w:val="-5"/>
          <w:sz w:val="22"/>
          <w:szCs w:val="22"/>
          <w:lang w:val="es-CO" w:eastAsia="en-US"/>
        </w:rPr>
        <w:t>“</w:t>
      </w:r>
      <w:r w:rsidR="000B6666">
        <w:rPr>
          <w:rFonts w:ascii="Bookman Old Style" w:hAnsi="Bookman Old Style" w:cs="Arial"/>
          <w:i/>
          <w:spacing w:val="-5"/>
          <w:sz w:val="22"/>
          <w:szCs w:val="22"/>
          <w:lang w:val="es-CO" w:eastAsia="en-US"/>
        </w:rPr>
        <w:t>PETICIONES PRINCIPALES</w:t>
      </w:r>
    </w:p>
    <w:p w:rsidR="000B6666" w:rsidRDefault="000B6666"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0B6666" w:rsidRDefault="000B6666"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PRIMERA: Revocar la Resolución CRE 075 de 2016, proferida el 25 de mayo del 2016, por el Ministro de Minas y Energía y el Director Ejecutivo de la CREG, mediante la cual en su artículo 1, se define la capacidad de compra de la sociedad MONTAGAS S.A. E.S.P. y Energas S.A. E.S.P. conforme al procedimiento establecido en los artículos 8 y 9 de la Resolución CREG 063 de 2016.</w:t>
      </w:r>
    </w:p>
    <w:p w:rsidR="000B6666" w:rsidRDefault="000B6666"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0B6666" w:rsidRDefault="000B6666"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SEGUNDA: Establecer en su lugar, que la capacidad de compra de MONTAGAS S.A. E.S.P. sean 24.727.013 kilogramos teniendo en cuenta que el cálculo de la fórmula establecida en el artículo 8 se realizó con un factor de equivalencias de 0.3697.</w:t>
      </w:r>
    </w:p>
    <w:p w:rsidR="000B6666" w:rsidRDefault="000B6666"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C3365D" w:rsidRDefault="000B6666"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 xml:space="preserve">TECERA: Adicionalmente </w:t>
      </w:r>
      <w:r w:rsidR="00774DDE">
        <w:rPr>
          <w:rFonts w:ascii="Bookman Old Style" w:hAnsi="Bookman Old Style" w:cs="Arial"/>
          <w:i/>
          <w:spacing w:val="-5"/>
          <w:sz w:val="22"/>
          <w:szCs w:val="22"/>
          <w:lang w:val="es-CO" w:eastAsia="en-US"/>
        </w:rPr>
        <w:t>debe sumársele a la capacidad de compra de MONTAGAS S.A. E.S.P. (capacidad de compra señalada en la petición anterior segunda petición) la capacidad de compra señalada para la empresa Energas S.A. E.S</w:t>
      </w:r>
      <w:r w:rsidR="00C3365D">
        <w:rPr>
          <w:rFonts w:ascii="Bookman Old Style" w:hAnsi="Bookman Old Style" w:cs="Arial"/>
          <w:i/>
          <w:spacing w:val="-5"/>
          <w:sz w:val="22"/>
          <w:szCs w:val="22"/>
          <w:lang w:val="es-CO" w:eastAsia="en-US"/>
        </w:rPr>
        <w:t>.</w:t>
      </w:r>
      <w:r w:rsidR="00774DDE">
        <w:rPr>
          <w:rFonts w:ascii="Bookman Old Style" w:hAnsi="Bookman Old Style" w:cs="Arial"/>
          <w:i/>
          <w:spacing w:val="-5"/>
          <w:sz w:val="22"/>
          <w:szCs w:val="22"/>
          <w:lang w:val="es-CO" w:eastAsia="en-US"/>
        </w:rPr>
        <w:t>P. por habérsele realizado la compra de la marca de cilindros a esta empresa.</w:t>
      </w:r>
    </w:p>
    <w:p w:rsid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C3365D" w:rsidRP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C3365D">
        <w:rPr>
          <w:rFonts w:ascii="Bookman Old Style" w:hAnsi="Bookman Old Style" w:cs="Arial"/>
          <w:i/>
          <w:spacing w:val="-5"/>
          <w:sz w:val="22"/>
          <w:szCs w:val="22"/>
          <w:lang w:val="es-CO" w:eastAsia="en-US"/>
        </w:rPr>
        <w:t>PETICIONES SUBSIDIARIAS</w:t>
      </w:r>
    </w:p>
    <w:p w:rsid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C3365D" w:rsidRP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C3365D">
        <w:rPr>
          <w:rFonts w:ascii="Bookman Old Style" w:hAnsi="Bookman Old Style" w:cs="Arial"/>
          <w:i/>
          <w:spacing w:val="-5"/>
          <w:sz w:val="22"/>
          <w:szCs w:val="22"/>
          <w:lang w:val="es-CO" w:eastAsia="en-US"/>
        </w:rPr>
        <w:t xml:space="preserve">PRIMERA: Tomar en cuenta las </w:t>
      </w:r>
      <w:r>
        <w:rPr>
          <w:rFonts w:ascii="Bookman Old Style" w:hAnsi="Bookman Old Style" w:cs="Arial"/>
          <w:i/>
          <w:spacing w:val="-5"/>
          <w:sz w:val="22"/>
          <w:szCs w:val="22"/>
          <w:lang w:val="es-CO" w:eastAsia="en-US"/>
        </w:rPr>
        <w:t xml:space="preserve">observaciones realizadas al fe: </w:t>
      </w:r>
      <w:r w:rsidRPr="00C3365D">
        <w:rPr>
          <w:rFonts w:ascii="Bookman Old Style" w:hAnsi="Bookman Old Style" w:cs="Arial"/>
          <w:i/>
          <w:spacing w:val="-5"/>
          <w:sz w:val="22"/>
          <w:szCs w:val="22"/>
          <w:lang w:val="es-CO" w:eastAsia="en-US"/>
        </w:rPr>
        <w:t>factor de equivalencia establecido en la Resolución CREG 063/ 2016 y que se explica más a fondo en el presente recurso.</w:t>
      </w:r>
    </w:p>
    <w:p w:rsid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45042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C3365D">
        <w:rPr>
          <w:rFonts w:ascii="Bookman Old Style" w:hAnsi="Bookman Old Style" w:cs="Arial"/>
          <w:i/>
          <w:spacing w:val="-5"/>
          <w:sz w:val="22"/>
          <w:szCs w:val="22"/>
          <w:lang w:val="es-CO" w:eastAsia="en-US"/>
        </w:rPr>
        <w:t>SEGUNDA: Recalcular</w:t>
      </w:r>
      <w:r>
        <w:rPr>
          <w:rFonts w:ascii="Bookman Old Style" w:hAnsi="Bookman Old Style" w:cs="Arial"/>
          <w:i/>
          <w:spacing w:val="-5"/>
          <w:sz w:val="22"/>
          <w:szCs w:val="22"/>
          <w:lang w:val="es-CO" w:eastAsia="en-US"/>
        </w:rPr>
        <w:t xml:space="preserve"> </w:t>
      </w:r>
      <w:r w:rsidRPr="00C3365D">
        <w:rPr>
          <w:rFonts w:ascii="Bookman Old Style" w:hAnsi="Bookman Old Style" w:cs="Arial"/>
          <w:i/>
          <w:spacing w:val="-5"/>
          <w:sz w:val="22"/>
          <w:szCs w:val="22"/>
          <w:lang w:val="es-CO" w:eastAsia="en-US"/>
        </w:rPr>
        <w:t xml:space="preserve">la capacidad de compra de MONTAGAS S.A. E S P con la información del SUI actualizada, incluyéndose los tanques estacionarios adquiridos en el año 2016 conforme a lo señalado en el presente documento y probado en las facturas </w:t>
      </w:r>
      <w:r w:rsidRPr="00C3365D">
        <w:rPr>
          <w:rFonts w:ascii="Bookman Old Style" w:hAnsi="Bookman Old Style" w:cs="Arial"/>
          <w:i/>
          <w:spacing w:val="-5"/>
          <w:sz w:val="22"/>
          <w:szCs w:val="22"/>
          <w:lang w:val="es-CO" w:eastAsia="en-US"/>
        </w:rPr>
        <w:lastRenderedPageBreak/>
        <w:t xml:space="preserve">adjuntas, La CREG en su condición de regulador, </w:t>
      </w:r>
      <w:r w:rsidR="00DF682F" w:rsidRPr="00C3365D">
        <w:rPr>
          <w:rFonts w:ascii="Bookman Old Style" w:hAnsi="Bookman Old Style" w:cs="Arial"/>
          <w:i/>
          <w:spacing w:val="-5"/>
          <w:sz w:val="22"/>
          <w:szCs w:val="22"/>
          <w:lang w:val="es-CO" w:eastAsia="en-US"/>
        </w:rPr>
        <w:t>está</w:t>
      </w:r>
      <w:r w:rsidRPr="00C3365D">
        <w:rPr>
          <w:rFonts w:ascii="Bookman Old Style" w:hAnsi="Bookman Old Style" w:cs="Arial"/>
          <w:i/>
          <w:spacing w:val="-5"/>
          <w:sz w:val="22"/>
          <w:szCs w:val="22"/>
          <w:lang w:val="es-CO" w:eastAsia="en-US"/>
        </w:rPr>
        <w:t xml:space="preserve"> en su deber de coordinar previamente con la Superintendencia de Servicios Públicos Domiciliarios la frecuencia de este tipo de reportes para cumplir con la normatividad establecida, misma que debe ser mensual, con el fin de no perjudicar a las empresas prestadoras del servicio público ni a los usuarios que debe proteger el estado.</w:t>
      </w:r>
    </w:p>
    <w:p w:rsid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C3365D">
        <w:rPr>
          <w:rFonts w:ascii="Bookman Old Style" w:hAnsi="Bookman Old Style" w:cs="Arial"/>
          <w:i/>
          <w:spacing w:val="-5"/>
          <w:sz w:val="22"/>
          <w:szCs w:val="22"/>
          <w:lang w:val="es-CO" w:eastAsia="en-US"/>
        </w:rPr>
        <w:t>TERCERO: Ajustar el Fe: factor de equivalencia de envasado y tanques estacionarios para las</w:t>
      </w:r>
      <w:r>
        <w:rPr>
          <w:rFonts w:ascii="Bookman Old Style" w:hAnsi="Bookman Old Style" w:cs="Arial"/>
          <w:i/>
          <w:spacing w:val="-5"/>
          <w:sz w:val="22"/>
          <w:szCs w:val="22"/>
          <w:lang w:val="es-CO" w:eastAsia="en-US"/>
        </w:rPr>
        <w:t xml:space="preserve"> </w:t>
      </w:r>
      <w:r w:rsidRPr="00C3365D">
        <w:rPr>
          <w:rFonts w:ascii="Bookman Old Style" w:hAnsi="Bookman Old Style" w:cs="Arial"/>
          <w:i/>
          <w:spacing w:val="-5"/>
          <w:sz w:val="22"/>
          <w:szCs w:val="22"/>
          <w:lang w:val="es-CO" w:eastAsia="en-US"/>
        </w:rPr>
        <w:t>zonas</w:t>
      </w:r>
      <w:r>
        <w:rPr>
          <w:rFonts w:ascii="Bookman Old Style" w:hAnsi="Bookman Old Style" w:cs="Arial"/>
          <w:i/>
          <w:spacing w:val="-5"/>
          <w:sz w:val="22"/>
          <w:szCs w:val="22"/>
          <w:lang w:val="es-CO" w:eastAsia="en-US"/>
        </w:rPr>
        <w:t xml:space="preserve"> </w:t>
      </w:r>
      <w:r w:rsidRPr="00C3365D">
        <w:rPr>
          <w:rFonts w:ascii="Bookman Old Style" w:hAnsi="Bookman Old Style" w:cs="Arial"/>
          <w:i/>
          <w:spacing w:val="-5"/>
          <w:sz w:val="22"/>
          <w:szCs w:val="22"/>
          <w:lang w:val="es-CO" w:eastAsia="en-US"/>
        </w:rPr>
        <w:t>de Nariño, Caquetá</w:t>
      </w:r>
      <w:r>
        <w:rPr>
          <w:rFonts w:ascii="Bookman Old Style" w:hAnsi="Bookman Old Style" w:cs="Arial"/>
          <w:i/>
          <w:spacing w:val="-5"/>
          <w:sz w:val="22"/>
          <w:szCs w:val="22"/>
          <w:lang w:val="es-CO" w:eastAsia="en-US"/>
        </w:rPr>
        <w:t xml:space="preserve"> </w:t>
      </w:r>
      <w:r w:rsidRPr="00C3365D">
        <w:rPr>
          <w:rFonts w:ascii="Bookman Old Style" w:hAnsi="Bookman Old Style" w:cs="Arial"/>
          <w:i/>
          <w:spacing w:val="-5"/>
          <w:sz w:val="22"/>
          <w:szCs w:val="22"/>
          <w:lang w:val="es-CO" w:eastAsia="en-US"/>
        </w:rPr>
        <w:t>y Putumayo</w:t>
      </w:r>
      <w:r>
        <w:rPr>
          <w:rFonts w:ascii="Bookman Old Style" w:hAnsi="Bookman Old Style" w:cs="Arial"/>
          <w:i/>
          <w:spacing w:val="-5"/>
          <w:sz w:val="22"/>
          <w:szCs w:val="22"/>
          <w:lang w:val="es-CO" w:eastAsia="en-US"/>
        </w:rPr>
        <w:t xml:space="preserve"> </w:t>
      </w:r>
      <w:r w:rsidRPr="00C3365D">
        <w:rPr>
          <w:rFonts w:ascii="Bookman Old Style" w:hAnsi="Bookman Old Style" w:cs="Arial"/>
          <w:i/>
          <w:spacing w:val="-5"/>
          <w:sz w:val="22"/>
          <w:szCs w:val="22"/>
          <w:lang w:val="es-CO" w:eastAsia="en-US"/>
        </w:rPr>
        <w:t>al 0,3697 de acuerdo a:</w:t>
      </w:r>
    </w:p>
    <w:p w:rsidR="00C3365D" w:rsidRPr="00C3365D" w:rsidRDefault="00C3365D"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9530B4" w:rsidRDefault="006E0125"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 xml:space="preserve">a. </w:t>
      </w:r>
      <w:r w:rsidR="00C3365D" w:rsidRPr="00C3365D">
        <w:rPr>
          <w:rFonts w:ascii="Bookman Old Style" w:hAnsi="Bookman Old Style" w:cs="Arial"/>
          <w:i/>
          <w:spacing w:val="-5"/>
          <w:sz w:val="22"/>
          <w:szCs w:val="22"/>
          <w:lang w:val="es-CO" w:eastAsia="en-US"/>
        </w:rPr>
        <w:t>La realidad del mercado, población</w:t>
      </w:r>
      <w:r w:rsidR="00C3365D">
        <w:rPr>
          <w:rFonts w:ascii="Bookman Old Style" w:hAnsi="Bookman Old Style" w:cs="Arial"/>
          <w:i/>
          <w:spacing w:val="-5"/>
          <w:sz w:val="22"/>
          <w:szCs w:val="22"/>
          <w:lang w:val="es-CO" w:eastAsia="en-US"/>
        </w:rPr>
        <w:t xml:space="preserve">, su comportamiento de consumo, </w:t>
      </w:r>
      <w:r w:rsidR="00C3365D" w:rsidRPr="00C3365D">
        <w:rPr>
          <w:rFonts w:ascii="Bookman Old Style" w:hAnsi="Bookman Old Style" w:cs="Arial"/>
          <w:i/>
          <w:spacing w:val="-5"/>
          <w:sz w:val="22"/>
          <w:szCs w:val="22"/>
          <w:lang w:val="es-CO" w:eastAsia="en-US"/>
        </w:rPr>
        <w:t>idiosincrasia,</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usos, costumbres,</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accesibilidad</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y</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 xml:space="preserve">los programas de subsidios al CLP implementados en los 3 de los 4 departamentos en los cuales tiene cobertura </w:t>
      </w:r>
      <w:r w:rsidR="00C3365D">
        <w:rPr>
          <w:rFonts w:ascii="Bookman Old Style" w:hAnsi="Bookman Old Style" w:cs="Arial"/>
          <w:i/>
          <w:spacing w:val="-5"/>
          <w:sz w:val="22"/>
          <w:szCs w:val="22"/>
          <w:lang w:val="es-CO" w:eastAsia="en-US"/>
        </w:rPr>
        <w:t>MONTAGAS</w:t>
      </w:r>
      <w:r w:rsidR="00C3365D" w:rsidRPr="00C3365D">
        <w:rPr>
          <w:rFonts w:ascii="Bookman Old Style" w:hAnsi="Bookman Old Style" w:cs="Arial"/>
          <w:i/>
          <w:spacing w:val="-5"/>
          <w:sz w:val="22"/>
          <w:szCs w:val="22"/>
          <w:lang w:val="es-CO" w:eastAsia="en-US"/>
        </w:rPr>
        <w:t xml:space="preserve"> distribuidor minorista </w:t>
      </w:r>
      <w:r w:rsidR="00C3365D">
        <w:rPr>
          <w:rFonts w:ascii="Bookman Old Style" w:hAnsi="Bookman Old Style" w:cs="Arial"/>
          <w:i/>
          <w:spacing w:val="-5"/>
          <w:sz w:val="22"/>
          <w:szCs w:val="22"/>
          <w:lang w:val="es-CO" w:eastAsia="en-US"/>
        </w:rPr>
        <w:t xml:space="preserve">ENERGAS. </w:t>
      </w:r>
    </w:p>
    <w:p w:rsidR="00C3365D" w:rsidRPr="00C3365D" w:rsidRDefault="009530B4" w:rsidP="00C3365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 xml:space="preserve">b. </w:t>
      </w:r>
      <w:r w:rsidR="00C3365D" w:rsidRPr="00C3365D">
        <w:rPr>
          <w:rFonts w:ascii="Bookman Old Style" w:hAnsi="Bookman Old Style" w:cs="Arial"/>
          <w:i/>
          <w:spacing w:val="-5"/>
          <w:sz w:val="22"/>
          <w:szCs w:val="22"/>
          <w:lang w:val="es-CO" w:eastAsia="en-US"/>
        </w:rPr>
        <w:t>El</w:t>
      </w:r>
      <w:r w:rsidR="00C3365D">
        <w:rPr>
          <w:rFonts w:ascii="Bookman Old Style" w:hAnsi="Bookman Old Style" w:cs="Arial"/>
          <w:i/>
          <w:spacing w:val="-5"/>
          <w:sz w:val="22"/>
          <w:szCs w:val="22"/>
          <w:lang w:val="es-CO" w:eastAsia="en-US"/>
        </w:rPr>
        <w:t xml:space="preserve"> programa de sustitución de L</w:t>
      </w:r>
      <w:r w:rsidR="00C3365D" w:rsidRPr="00C3365D">
        <w:rPr>
          <w:rFonts w:ascii="Bookman Old Style" w:hAnsi="Bookman Old Style" w:cs="Arial"/>
          <w:i/>
          <w:spacing w:val="-5"/>
          <w:sz w:val="22"/>
          <w:szCs w:val="22"/>
          <w:lang w:val="es-CO" w:eastAsia="en-US"/>
        </w:rPr>
        <w:t>eña</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y</w:t>
      </w:r>
      <w:r w:rsidR="00C3365D">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car</w:t>
      </w:r>
      <w:r w:rsidR="00C3365D">
        <w:rPr>
          <w:rFonts w:ascii="Bookman Old Style" w:hAnsi="Bookman Old Style" w:cs="Arial"/>
          <w:i/>
          <w:spacing w:val="-5"/>
          <w:sz w:val="22"/>
          <w:szCs w:val="22"/>
          <w:lang w:val="es-CO" w:eastAsia="en-US"/>
        </w:rPr>
        <w:t xml:space="preserve">bón por cilindros de CLP que se </w:t>
      </w:r>
      <w:r w:rsidR="00C3365D" w:rsidRPr="00C3365D">
        <w:rPr>
          <w:rFonts w:ascii="Bookman Old Style" w:hAnsi="Bookman Old Style" w:cs="Arial"/>
          <w:i/>
          <w:spacing w:val="-5"/>
          <w:sz w:val="22"/>
          <w:szCs w:val="22"/>
          <w:lang w:val="es-CO" w:eastAsia="en-US"/>
        </w:rPr>
        <w:t>encuentra en desarrollo</w:t>
      </w:r>
    </w:p>
    <w:p w:rsidR="00DF682F" w:rsidRDefault="009530B4" w:rsidP="00DF682F">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 xml:space="preserve">c. </w:t>
      </w:r>
      <w:r w:rsidR="00C3365D" w:rsidRPr="00C3365D">
        <w:rPr>
          <w:rFonts w:ascii="Bookman Old Style" w:hAnsi="Bookman Old Style" w:cs="Arial"/>
          <w:i/>
          <w:spacing w:val="-5"/>
          <w:sz w:val="22"/>
          <w:szCs w:val="22"/>
          <w:lang w:val="es-CO" w:eastAsia="en-US"/>
        </w:rPr>
        <w:t>La baja penetración de redes de gas natural</w:t>
      </w:r>
      <w:r>
        <w:rPr>
          <w:rFonts w:ascii="Bookman Old Style" w:hAnsi="Bookman Old Style" w:cs="Arial"/>
          <w:i/>
          <w:spacing w:val="-5"/>
          <w:sz w:val="22"/>
          <w:szCs w:val="22"/>
          <w:lang w:val="es-CO" w:eastAsia="en-US"/>
        </w:rPr>
        <w:t xml:space="preserve"> </w:t>
      </w:r>
      <w:r w:rsidR="00C3365D" w:rsidRPr="00C3365D">
        <w:rPr>
          <w:rFonts w:ascii="Bookman Old Style" w:hAnsi="Bookman Old Style" w:cs="Arial"/>
          <w:i/>
          <w:spacing w:val="-5"/>
          <w:sz w:val="22"/>
          <w:szCs w:val="22"/>
          <w:lang w:val="es-CO" w:eastAsia="en-US"/>
        </w:rPr>
        <w:t>o</w:t>
      </w:r>
      <w:r>
        <w:rPr>
          <w:rFonts w:ascii="Bookman Old Style" w:hAnsi="Bookman Old Style" w:cs="Arial"/>
          <w:i/>
          <w:spacing w:val="-5"/>
          <w:sz w:val="22"/>
          <w:szCs w:val="22"/>
          <w:lang w:val="es-CO" w:eastAsia="en-US"/>
        </w:rPr>
        <w:t xml:space="preserve"> </w:t>
      </w:r>
      <w:r w:rsidR="00DF682F">
        <w:rPr>
          <w:rFonts w:ascii="Bookman Old Style" w:hAnsi="Bookman Old Style" w:cs="Arial"/>
          <w:i/>
          <w:spacing w:val="-5"/>
          <w:sz w:val="22"/>
          <w:szCs w:val="22"/>
          <w:lang w:val="es-CO" w:eastAsia="en-US"/>
        </w:rPr>
        <w:t xml:space="preserve">propanoductos para los </w:t>
      </w:r>
      <w:r w:rsidR="00C3365D" w:rsidRPr="00C3365D">
        <w:rPr>
          <w:rFonts w:ascii="Bookman Old Style" w:hAnsi="Bookman Old Style" w:cs="Arial"/>
          <w:i/>
          <w:spacing w:val="-5"/>
          <w:sz w:val="22"/>
          <w:szCs w:val="22"/>
          <w:lang w:val="es-CO" w:eastAsia="en-US"/>
        </w:rPr>
        <w:t xml:space="preserve">departamentos de influencia de </w:t>
      </w:r>
      <w:r w:rsidR="00DF682F">
        <w:rPr>
          <w:rFonts w:ascii="Bookman Old Style" w:hAnsi="Bookman Old Style" w:cs="Arial"/>
          <w:i/>
          <w:spacing w:val="-5"/>
          <w:sz w:val="22"/>
          <w:szCs w:val="22"/>
          <w:lang w:val="es-CO" w:eastAsia="en-US"/>
        </w:rPr>
        <w:t>MONTAGAS</w:t>
      </w:r>
    </w:p>
    <w:p w:rsidR="00C3365D" w:rsidRDefault="00C3365D" w:rsidP="00DF682F">
      <w:pPr>
        <w:pStyle w:val="Textoindependiente2"/>
        <w:spacing w:after="0" w:line="240" w:lineRule="auto"/>
        <w:ind w:left="284" w:right="284"/>
        <w:jc w:val="both"/>
        <w:rPr>
          <w:rFonts w:ascii="Bookman Old Style" w:hAnsi="Bookman Old Style" w:cs="Arial"/>
          <w:i/>
          <w:spacing w:val="-5"/>
          <w:sz w:val="22"/>
          <w:szCs w:val="22"/>
          <w:lang w:val="es-CO" w:eastAsia="en-US"/>
        </w:rPr>
      </w:pPr>
      <w:r w:rsidRPr="00C3365D">
        <w:rPr>
          <w:rFonts w:ascii="Bookman Old Style" w:hAnsi="Bookman Old Style" w:cs="Arial"/>
          <w:i/>
          <w:spacing w:val="-5"/>
          <w:sz w:val="22"/>
          <w:szCs w:val="22"/>
          <w:lang w:val="es-CO" w:eastAsia="en-US"/>
        </w:rPr>
        <w:t>d</w:t>
      </w:r>
      <w:r w:rsidR="00DF682F">
        <w:rPr>
          <w:rFonts w:ascii="Bookman Old Style" w:hAnsi="Bookman Old Style" w:cs="Arial"/>
          <w:i/>
          <w:spacing w:val="-5"/>
          <w:sz w:val="22"/>
          <w:szCs w:val="22"/>
          <w:lang w:val="es-CO" w:eastAsia="en-US"/>
        </w:rPr>
        <w:t>.</w:t>
      </w:r>
      <w:r w:rsidRPr="00C3365D">
        <w:rPr>
          <w:rFonts w:ascii="Bookman Old Style" w:hAnsi="Bookman Old Style" w:cs="Arial"/>
          <w:i/>
          <w:spacing w:val="-5"/>
          <w:sz w:val="22"/>
          <w:szCs w:val="22"/>
          <w:lang w:val="es-CO" w:eastAsia="en-US"/>
        </w:rPr>
        <w:tab/>
        <w:t>La mayor frecuencia de llenado de nu</w:t>
      </w:r>
      <w:r w:rsidR="00DF682F">
        <w:rPr>
          <w:rFonts w:ascii="Bookman Old Style" w:hAnsi="Bookman Old Style" w:cs="Arial"/>
          <w:i/>
          <w:spacing w:val="-5"/>
          <w:sz w:val="22"/>
          <w:szCs w:val="22"/>
          <w:lang w:val="es-CO" w:eastAsia="en-US"/>
        </w:rPr>
        <w:t xml:space="preserve">estros tanques estacionarlos y su </w:t>
      </w:r>
      <w:r w:rsidRPr="00C3365D">
        <w:rPr>
          <w:rFonts w:ascii="Bookman Old Style" w:hAnsi="Bookman Old Style" w:cs="Arial"/>
          <w:i/>
          <w:spacing w:val="-5"/>
          <w:sz w:val="22"/>
          <w:szCs w:val="22"/>
          <w:lang w:val="es-CO" w:eastAsia="en-US"/>
        </w:rPr>
        <w:t>esquema de distribución residencial, comercial y agroindustrial en las modalidades de remisión (pago posterior medición de consumo) y bajo demanda</w:t>
      </w:r>
      <w:r w:rsidR="00DF682F">
        <w:rPr>
          <w:rFonts w:ascii="Bookman Old Style" w:hAnsi="Bookman Old Style" w:cs="Arial"/>
          <w:i/>
          <w:spacing w:val="-5"/>
          <w:sz w:val="22"/>
          <w:szCs w:val="22"/>
          <w:lang w:val="es-CO" w:eastAsia="en-US"/>
        </w:rPr>
        <w:t>.”</w:t>
      </w:r>
    </w:p>
    <w:p w:rsidR="00DF682F" w:rsidRPr="00C3365D" w:rsidRDefault="00DF682F" w:rsidP="00DF682F">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0B6666">
        <w:rPr>
          <w:rFonts w:ascii="Bookman Old Style" w:hAnsi="Bookman Old Style" w:cs="Arial"/>
          <w:spacing w:val="-5"/>
          <w:lang w:val="es-CO" w:eastAsia="en-US"/>
        </w:rPr>
        <w:t>Montagas</w:t>
      </w:r>
      <w:r w:rsidRPr="00BA05D2">
        <w:rPr>
          <w:rFonts w:ascii="Bookman Old Style" w:hAnsi="Bookman Old Style" w:cs="Arial"/>
          <w:spacing w:val="-5"/>
          <w:lang w:val="es-CO" w:eastAsia="en-US"/>
        </w:rPr>
        <w:t xml:space="preserve"> mediante notificación personal I-2016-</w:t>
      </w:r>
      <w:r w:rsidR="000B6666">
        <w:rPr>
          <w:rFonts w:ascii="Bookman Old Style" w:hAnsi="Bookman Old Style" w:cs="Arial"/>
          <w:spacing w:val="-5"/>
          <w:lang w:val="es-CO" w:eastAsia="en-US"/>
        </w:rPr>
        <w:t>003129</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DF682F">
        <w:rPr>
          <w:rFonts w:ascii="Bookman Old Style" w:hAnsi="Bookman Old Style"/>
          <w:szCs w:val="27"/>
        </w:rPr>
        <w:t>Montagas</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DF682F" w:rsidRPr="00DF682F" w:rsidRDefault="0045042D" w:rsidP="00DF682F">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DF682F" w:rsidRPr="00DF682F">
        <w:rPr>
          <w:rFonts w:ascii="Bookman Old Style" w:hAnsi="Bookman Old Style" w:cs="Arial"/>
          <w:i/>
          <w:sz w:val="22"/>
          <w:szCs w:val="22"/>
        </w:rPr>
        <w:t>PRIMER HECHO</w:t>
      </w:r>
    </w:p>
    <w:p w:rsidR="00DF682F" w:rsidRDefault="00DF682F" w:rsidP="00DF682F">
      <w:pPr>
        <w:ind w:left="284" w:right="284"/>
        <w:jc w:val="both"/>
        <w:rPr>
          <w:rFonts w:ascii="Bookman Old Style" w:hAnsi="Bookman Old Style" w:cs="Arial"/>
          <w:i/>
          <w:sz w:val="22"/>
          <w:szCs w:val="22"/>
        </w:rPr>
      </w:pPr>
      <w:r w:rsidRPr="00DF682F">
        <w:rPr>
          <w:rFonts w:ascii="Bookman Old Style" w:hAnsi="Bookman Old Style" w:cs="Arial"/>
          <w:i/>
          <w:sz w:val="22"/>
          <w:szCs w:val="22"/>
        </w:rPr>
        <w:lastRenderedPageBreak/>
        <w:t>RESOLUCIÓN CREG 221 de 2015 PARA CONSULTA Y POSTERIOR EXPEDICIÓN RESOLUCIÓN CREG 063 /2016 LA CUAL DEFINE LA CAPACIDAD DE COMPRA EN LA RESOLUCIÓN CREG 075/2016</w:t>
      </w:r>
    </w:p>
    <w:p w:rsidR="00DF682F" w:rsidRPr="00DF682F" w:rsidRDefault="00DF682F" w:rsidP="00DF682F">
      <w:pPr>
        <w:ind w:left="284" w:right="284"/>
        <w:jc w:val="both"/>
        <w:rPr>
          <w:rFonts w:ascii="Bookman Old Style" w:hAnsi="Bookman Old Style" w:cs="Arial"/>
          <w:i/>
          <w:sz w:val="22"/>
          <w:szCs w:val="22"/>
        </w:rPr>
      </w:pPr>
    </w:p>
    <w:p w:rsidR="00DF682F" w:rsidRDefault="00DF682F" w:rsidP="00DF682F">
      <w:pPr>
        <w:ind w:left="284" w:right="284"/>
        <w:jc w:val="both"/>
        <w:rPr>
          <w:rFonts w:ascii="Bookman Old Style" w:hAnsi="Bookman Old Style" w:cs="Arial"/>
          <w:i/>
          <w:sz w:val="22"/>
          <w:szCs w:val="22"/>
        </w:rPr>
      </w:pPr>
      <w:r>
        <w:rPr>
          <w:rFonts w:ascii="Bookman Old Style" w:hAnsi="Bookman Old Style" w:cs="Arial"/>
          <w:i/>
          <w:sz w:val="22"/>
          <w:szCs w:val="22"/>
        </w:rPr>
        <w:t>(…)</w:t>
      </w:r>
    </w:p>
    <w:p w:rsidR="00DF682F" w:rsidRDefault="00DF682F" w:rsidP="00DF682F">
      <w:pPr>
        <w:ind w:left="284" w:right="284"/>
        <w:jc w:val="both"/>
        <w:rPr>
          <w:rFonts w:ascii="Bookman Old Style" w:hAnsi="Bookman Old Style" w:cs="Arial"/>
          <w:i/>
          <w:sz w:val="22"/>
          <w:szCs w:val="22"/>
        </w:rPr>
      </w:pPr>
    </w:p>
    <w:p w:rsidR="00DF682F" w:rsidRPr="00DF682F" w:rsidRDefault="00DF682F" w:rsidP="00DF682F">
      <w:pPr>
        <w:ind w:left="284" w:right="284"/>
        <w:jc w:val="both"/>
        <w:rPr>
          <w:rFonts w:ascii="Bookman Old Style" w:hAnsi="Bookman Old Style" w:cs="Arial"/>
          <w:i/>
          <w:sz w:val="22"/>
          <w:szCs w:val="22"/>
        </w:rPr>
      </w:pPr>
      <w:r w:rsidRPr="00DF682F">
        <w:rPr>
          <w:rFonts w:ascii="Bookman Old Style" w:hAnsi="Bookman Old Style" w:cs="Arial"/>
          <w:i/>
          <w:sz w:val="22"/>
          <w:szCs w:val="22"/>
        </w:rPr>
        <w:t>ARGUMENTO:</w:t>
      </w:r>
      <w:r w:rsidRPr="00DF682F">
        <w:rPr>
          <w:rFonts w:ascii="Bookman Old Style" w:hAnsi="Bookman Old Style" w:cs="Arial"/>
          <w:i/>
          <w:sz w:val="22"/>
          <w:szCs w:val="22"/>
        </w:rPr>
        <w:tab/>
        <w:t>LA</w:t>
      </w:r>
      <w:r w:rsidRPr="00DF682F">
        <w:rPr>
          <w:rFonts w:ascii="Bookman Old Style" w:hAnsi="Bookman Old Style" w:cs="Arial"/>
          <w:i/>
          <w:sz w:val="22"/>
          <w:szCs w:val="22"/>
        </w:rPr>
        <w:tab/>
        <w:t>CREG</w:t>
      </w:r>
      <w:r w:rsidRPr="00DF682F">
        <w:rPr>
          <w:rFonts w:ascii="Bookman Old Style" w:hAnsi="Bookman Old Style" w:cs="Arial"/>
          <w:i/>
          <w:sz w:val="22"/>
          <w:szCs w:val="22"/>
        </w:rPr>
        <w:tab/>
        <w:t>NO</w:t>
      </w:r>
      <w:r w:rsidRPr="00DF682F">
        <w:rPr>
          <w:rFonts w:ascii="Bookman Old Style" w:hAnsi="Bookman Old Style" w:cs="Arial"/>
          <w:i/>
          <w:sz w:val="22"/>
          <w:szCs w:val="22"/>
        </w:rPr>
        <w:tab/>
        <w:t>TOMÓ</w:t>
      </w:r>
      <w:r w:rsidRPr="00DF682F">
        <w:rPr>
          <w:rFonts w:ascii="Bookman Old Style" w:hAnsi="Bookman Old Style" w:cs="Arial"/>
          <w:i/>
          <w:sz w:val="22"/>
          <w:szCs w:val="22"/>
        </w:rPr>
        <w:tab/>
        <w:t>EN CUENTA NUESTRA</w:t>
      </w:r>
      <w:r>
        <w:rPr>
          <w:rFonts w:ascii="Bookman Old Style" w:hAnsi="Bookman Old Style" w:cs="Arial"/>
          <w:i/>
          <w:sz w:val="22"/>
          <w:szCs w:val="22"/>
        </w:rPr>
        <w:t xml:space="preserve">S </w:t>
      </w:r>
      <w:r w:rsidRPr="00DF682F">
        <w:rPr>
          <w:rFonts w:ascii="Bookman Old Style" w:hAnsi="Bookman Old Style" w:cs="Arial"/>
          <w:i/>
          <w:sz w:val="22"/>
          <w:szCs w:val="22"/>
        </w:rPr>
        <w:t>OBSERVACIONES A LA RESOLUCIÓN CREG 221/ 2015 EN CONSULTA</w:t>
      </w:r>
    </w:p>
    <w:p w:rsidR="00DF682F" w:rsidRDefault="00DF682F" w:rsidP="00DF682F">
      <w:pPr>
        <w:ind w:left="284" w:right="284"/>
        <w:jc w:val="both"/>
        <w:rPr>
          <w:rFonts w:ascii="Bookman Old Style" w:hAnsi="Bookman Old Style" w:cs="Arial"/>
          <w:i/>
          <w:sz w:val="22"/>
          <w:szCs w:val="22"/>
        </w:rPr>
      </w:pPr>
    </w:p>
    <w:p w:rsidR="00DF682F" w:rsidRPr="00DF682F" w:rsidRDefault="00DF682F" w:rsidP="00DF682F">
      <w:pPr>
        <w:ind w:left="284" w:right="284"/>
        <w:jc w:val="both"/>
        <w:rPr>
          <w:rFonts w:ascii="Bookman Old Style" w:hAnsi="Bookman Old Style" w:cs="Arial"/>
          <w:i/>
          <w:sz w:val="22"/>
          <w:szCs w:val="22"/>
        </w:rPr>
      </w:pPr>
      <w:r w:rsidRPr="00DF682F">
        <w:rPr>
          <w:rFonts w:ascii="Bookman Old Style" w:hAnsi="Bookman Old Style" w:cs="Arial"/>
          <w:i/>
          <w:sz w:val="22"/>
          <w:szCs w:val="22"/>
        </w:rPr>
        <w:t>La empresa MONTAGAS S A. ESP., dentro de la oportunidad legal otorgada para presentar comentarios a la resolución</w:t>
      </w:r>
      <w:r w:rsidR="00DD3235">
        <w:rPr>
          <w:rFonts w:ascii="Bookman Old Style" w:hAnsi="Bookman Old Style" w:cs="Arial"/>
          <w:i/>
          <w:sz w:val="22"/>
          <w:szCs w:val="22"/>
        </w:rPr>
        <w:t xml:space="preserve"> 221 del 2015, se hizo parte del</w:t>
      </w:r>
      <w:r w:rsidRPr="00DF682F">
        <w:rPr>
          <w:rFonts w:ascii="Bookman Old Style" w:hAnsi="Bookman Old Style" w:cs="Arial"/>
          <w:i/>
          <w:sz w:val="22"/>
          <w:szCs w:val="22"/>
        </w:rPr>
        <w:t xml:space="preserve"> proceso manifestando a través de escrito radicado en la CREG el 04 de febrero del 2016, entre otros aspectos: '...que el artículo 8 de la mencionada</w:t>
      </w:r>
      <w:r w:rsidR="00DD3235">
        <w:rPr>
          <w:rFonts w:ascii="Bookman Old Style" w:hAnsi="Bookman Old Style" w:cs="Arial"/>
          <w:i/>
          <w:sz w:val="22"/>
          <w:szCs w:val="22"/>
        </w:rPr>
        <w:t xml:space="preserve"> resolución capacidad de compra’</w:t>
      </w:r>
      <w:r w:rsidRPr="00DF682F">
        <w:rPr>
          <w:rFonts w:ascii="Bookman Old Style" w:hAnsi="Bookman Old Style" w:cs="Arial"/>
          <w:i/>
          <w:sz w:val="22"/>
          <w:szCs w:val="22"/>
        </w:rPr>
        <w:t xml:space="preserve"> limita a las empresas a comprar el equivalente en kilogramos representados en cilindros y tanques estacionarios cargados al SUI, porque no se considera la rotación de los mismos, únicamente asimilan un único cargue al mes y/o se tiene en cuenta que en tanques estacionarios se realizan tres a cinco cargues al mes, sobre todo porque es importante mantener el 40% del tanque lleno por tema de presiones, adicionalmente es importante manifestar que como empresa tenemos un esquema de remisiones el cual</w:t>
      </w:r>
      <w:r w:rsidR="00DD3235">
        <w:rPr>
          <w:rFonts w:ascii="Bookman Old Style" w:hAnsi="Bookman Old Style" w:cs="Arial"/>
          <w:i/>
          <w:sz w:val="22"/>
          <w:szCs w:val="22"/>
        </w:rPr>
        <w:t xml:space="preserve"> a nivel nacional es atípico, es</w:t>
      </w:r>
      <w:r w:rsidRPr="00DF682F">
        <w:rPr>
          <w:rFonts w:ascii="Bookman Old Style" w:hAnsi="Bookman Old Style" w:cs="Arial"/>
          <w:i/>
          <w:sz w:val="22"/>
          <w:szCs w:val="22"/>
        </w:rPr>
        <w:t xml:space="preserve"> único en nuestra región y con el cual podemos vender más de la capacidad instalada en el tanque estacionario destinado a prestar el servicio, igualmente sucede con la línea cilindros toda vez que en la mayoría de los casos la capacidad del cilindro no es </w:t>
      </w:r>
      <w:r w:rsidR="00DD3235">
        <w:rPr>
          <w:rFonts w:ascii="Bookman Old Style" w:hAnsi="Bookman Old Style" w:cs="Arial"/>
          <w:i/>
          <w:sz w:val="22"/>
          <w:szCs w:val="22"/>
        </w:rPr>
        <w:t>suficiente para una familia por l</w:t>
      </w:r>
      <w:r w:rsidRPr="00DF682F">
        <w:rPr>
          <w:rFonts w:ascii="Bookman Old Style" w:hAnsi="Bookman Old Style" w:cs="Arial"/>
          <w:i/>
          <w:sz w:val="22"/>
          <w:szCs w:val="22"/>
        </w:rPr>
        <w:t>o tanto se realiza una rotación mayor por cada cilindro; es evidente en el sector que se está hablando y refiriéndose por la especificidad en el artículo al denominado factor de equivalencia que es la rotación del activo durante un periodo de tiempo ante lo cual se recomienda tener en cuenta la situación manifestada. Para los efectos nos permitimos adjuntar los comentarios realizados por MONTAGAS S.A.E.S.P.</w:t>
      </w:r>
    </w:p>
    <w:p w:rsidR="00DF682F" w:rsidRDefault="00DF682F" w:rsidP="00DF682F">
      <w:pPr>
        <w:ind w:left="284" w:right="284"/>
        <w:jc w:val="both"/>
        <w:rPr>
          <w:rFonts w:ascii="Bookman Old Style" w:hAnsi="Bookman Old Style" w:cs="Arial"/>
          <w:i/>
          <w:sz w:val="22"/>
          <w:szCs w:val="22"/>
        </w:rPr>
      </w:pPr>
    </w:p>
    <w:p w:rsidR="00DF682F" w:rsidRPr="00DF682F" w:rsidRDefault="00DF682F" w:rsidP="00DF682F">
      <w:pPr>
        <w:ind w:left="284" w:right="284"/>
        <w:jc w:val="both"/>
        <w:rPr>
          <w:rFonts w:ascii="Bookman Old Style" w:hAnsi="Bookman Old Style" w:cs="Arial"/>
          <w:i/>
          <w:sz w:val="22"/>
          <w:szCs w:val="22"/>
        </w:rPr>
      </w:pPr>
      <w:r w:rsidRPr="00DF682F">
        <w:rPr>
          <w:rFonts w:ascii="Bookman Old Style" w:hAnsi="Bookman Old Style" w:cs="Arial"/>
          <w:i/>
          <w:sz w:val="22"/>
          <w:szCs w:val="22"/>
        </w:rPr>
        <w:t>Con el fin de ampliar lo señalado, agradecemos tener en cuenta que:</w:t>
      </w:r>
    </w:p>
    <w:p w:rsidR="00DF682F" w:rsidRDefault="00DF682F" w:rsidP="00DF682F">
      <w:pPr>
        <w:ind w:left="284" w:right="284"/>
        <w:jc w:val="both"/>
        <w:rPr>
          <w:rFonts w:ascii="Bookman Old Style" w:hAnsi="Bookman Old Style" w:cs="Arial"/>
          <w:i/>
          <w:sz w:val="22"/>
          <w:szCs w:val="22"/>
        </w:rPr>
      </w:pPr>
    </w:p>
    <w:p w:rsidR="00DD3235" w:rsidRDefault="00DF682F" w:rsidP="00DD3235">
      <w:pPr>
        <w:ind w:left="284" w:right="284"/>
        <w:jc w:val="both"/>
        <w:rPr>
          <w:rFonts w:ascii="Bookman Old Style" w:hAnsi="Bookman Old Style" w:cs="Arial"/>
          <w:i/>
          <w:sz w:val="22"/>
          <w:szCs w:val="22"/>
        </w:rPr>
      </w:pPr>
      <w:r w:rsidRPr="00DF682F">
        <w:rPr>
          <w:rFonts w:ascii="Bookman Old Style" w:hAnsi="Bookman Old Style" w:cs="Arial"/>
          <w:i/>
          <w:sz w:val="22"/>
          <w:szCs w:val="22"/>
        </w:rPr>
        <w:t>1 Respecto de los tanques estacionarios trabajamos sobre la capacidad del tanque para mejorar la rotación del mismo, ya que no sobredimensionamos la capacidad por cada cliente, si no que en el</w:t>
      </w:r>
      <w:r w:rsidR="00DD3235" w:rsidRPr="00DD3235">
        <w:t xml:space="preserve"> </w:t>
      </w:r>
      <w:r w:rsidR="00DD3235" w:rsidRPr="00DD3235">
        <w:rPr>
          <w:rFonts w:ascii="Bookman Old Style" w:hAnsi="Bookman Old Style" w:cs="Arial"/>
          <w:i/>
          <w:sz w:val="22"/>
          <w:szCs w:val="22"/>
        </w:rPr>
        <w:t>transcurso del mes se realizan en promedio de 3 a 5 cargues del respectivo tanque estacionario. Para lograr esto se invirtieron en autotanques con los cuales se tiene un itinerario de visita a cada cliente.</w:t>
      </w:r>
    </w:p>
    <w:p w:rsidR="00DD3235" w:rsidRP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2.</w:t>
      </w:r>
      <w:r w:rsidRPr="00DD3235">
        <w:rPr>
          <w:rFonts w:ascii="Bookman Old Style" w:hAnsi="Bookman Old Style" w:cs="Arial"/>
          <w:i/>
          <w:sz w:val="22"/>
          <w:szCs w:val="22"/>
        </w:rPr>
        <w:tab/>
        <w:t xml:space="preserve"> Respecto a la rotación de cilindros vemos que no se tuvo en cuenta que en Nariño las familias utilizan el cilindro de gas no solo para la preparación de alimentos, sino también para el calentamiento del agua que utilizan en su aseo personal por razón de las bajas temperaturas en la mayor parte de esta región, ya que el subsidio hace que les resulte mucho más económico el uso del </w:t>
      </w:r>
      <w:r w:rsidR="00503E2E" w:rsidRPr="00DD3235">
        <w:rPr>
          <w:rFonts w:ascii="Bookman Old Style" w:hAnsi="Bookman Old Style" w:cs="Arial"/>
          <w:i/>
          <w:sz w:val="22"/>
          <w:szCs w:val="22"/>
        </w:rPr>
        <w:t xml:space="preserve">GLP </w:t>
      </w:r>
      <w:r w:rsidRPr="00DD3235">
        <w:rPr>
          <w:rFonts w:ascii="Bookman Old Style" w:hAnsi="Bookman Old Style" w:cs="Arial"/>
          <w:i/>
          <w:sz w:val="22"/>
          <w:szCs w:val="22"/>
        </w:rPr>
        <w:t>que el uso de electricidad (duchas o calentadores eléctricos).</w:t>
      </w:r>
    </w:p>
    <w:p w:rsidR="00DD3235" w:rsidRP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3.</w:t>
      </w:r>
      <w:r w:rsidRPr="00DD3235">
        <w:rPr>
          <w:rFonts w:ascii="Bookman Old Style" w:hAnsi="Bookman Old Style" w:cs="Arial"/>
          <w:i/>
          <w:sz w:val="22"/>
          <w:szCs w:val="22"/>
        </w:rPr>
        <w:tab/>
        <w:t xml:space="preserve"> Así mismo porque a diferencia del resto del país en Nariño los usuarios residenciales de estratos 3,4 y 5, así como los usuarios comerciales e industriales utilizan el </w:t>
      </w:r>
      <w:r w:rsidR="00503E2E" w:rsidRPr="00DD3235">
        <w:rPr>
          <w:rFonts w:ascii="Bookman Old Style" w:hAnsi="Bookman Old Style" w:cs="Arial"/>
          <w:i/>
          <w:sz w:val="22"/>
          <w:szCs w:val="22"/>
        </w:rPr>
        <w:t xml:space="preserve">GLP </w:t>
      </w:r>
      <w:r w:rsidRPr="00DD3235">
        <w:rPr>
          <w:rFonts w:ascii="Bookman Old Style" w:hAnsi="Bookman Old Style" w:cs="Arial"/>
          <w:i/>
          <w:sz w:val="22"/>
          <w:szCs w:val="22"/>
        </w:rPr>
        <w:t>para sus procesos ya que el gas natural además que no está masificado en esta región, tiene un sobrecosto por el ineficiente transporte terrestre ya que Nariño no cuenta con gasoducto</w:t>
      </w:r>
    </w:p>
    <w:p w:rsidR="00DD3235" w:rsidRPr="00DD3235" w:rsidRDefault="00DD3235" w:rsidP="00DD3235">
      <w:pPr>
        <w:ind w:left="284" w:right="284"/>
        <w:jc w:val="both"/>
        <w:rPr>
          <w:rFonts w:ascii="Bookman Old Style" w:hAnsi="Bookman Old Style" w:cs="Arial"/>
          <w:i/>
          <w:sz w:val="22"/>
          <w:szCs w:val="22"/>
        </w:rPr>
      </w:pPr>
    </w:p>
    <w:p w:rsidR="00DD3235" w:rsidRP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En atención a lo expuesto, la resolución CREG 075 de 2016 afecta negativamente la capacidad de compra de Montagas SA ESP debido a la incoherencia entre el Fe: factor de equivalencia del 0,3 contenido en el artículo 8o de la Res. CREG 063 de 2016 y Fe: factor de equivalencia real basado en la realidad de ventas reportadas al SUI en cada municipio en donde presta su servicio MONTAGAS SA ESP.</w:t>
      </w: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lastRenderedPageBreak/>
        <w:t>Se adjunta al presente documento enviado a la CREG con los comentarios realizados a la resolución 221, pruebas que re</w:t>
      </w:r>
      <w:r>
        <w:rPr>
          <w:rFonts w:ascii="Bookman Old Style" w:hAnsi="Bookman Old Style" w:cs="Arial"/>
          <w:i/>
          <w:sz w:val="22"/>
          <w:szCs w:val="22"/>
        </w:rPr>
        <w:t xml:space="preserve">posan en el presente expediente </w:t>
      </w:r>
      <w:r w:rsidRPr="00DD3235">
        <w:rPr>
          <w:rFonts w:ascii="Bookman Old Style" w:hAnsi="Bookman Old Style" w:cs="Arial"/>
          <w:i/>
          <w:sz w:val="22"/>
          <w:szCs w:val="22"/>
        </w:rPr>
        <w:t>en folios 371 a 374.</w:t>
      </w:r>
    </w:p>
    <w:p w:rsidR="00DD3235" w:rsidRP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SEGUNDO HECHO</w:t>
      </w:r>
    </w:p>
    <w:p w:rsidR="00DD3235" w:rsidRP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ENERGAS SA ESP es DISTRIBUIDOR MINORISTA DE MONTAGAS ESP Montagas SA ESP en su carácter de comercializador mayorist</w:t>
      </w:r>
      <w:r>
        <w:rPr>
          <w:rFonts w:ascii="Bookman Old Style" w:hAnsi="Bookman Old Style" w:cs="Arial"/>
          <w:i/>
          <w:sz w:val="22"/>
          <w:szCs w:val="22"/>
        </w:rPr>
        <w:t>a, atiende a Energas S.A E S P</w:t>
      </w:r>
      <w:r w:rsidRPr="00DD3235">
        <w:rPr>
          <w:rFonts w:ascii="Bookman Old Style" w:hAnsi="Bookman Old Style" w:cs="Arial"/>
          <w:i/>
          <w:sz w:val="22"/>
          <w:szCs w:val="22"/>
        </w:rPr>
        <w:t xml:space="preserve"> quien distribuye la marca de cilindros de Montagas SA ESP, se anexa certificación de esta empresa al respecto.</w:t>
      </w:r>
    </w:p>
    <w:p w:rsidR="00DD3235" w:rsidRP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ARGUMENTO: La CREG adicionalmente obvió que Montagas SA ESP en su carácter de comercializador mayorista, atiende al distribuidor minoristas, Energas SA ESP quien distribuye la marca de cilindros de Montagas SA ESP,</w:t>
      </w:r>
      <w:r>
        <w:rPr>
          <w:rFonts w:ascii="Bookman Old Style" w:hAnsi="Bookman Old Style" w:cs="Arial"/>
          <w:i/>
          <w:sz w:val="22"/>
          <w:szCs w:val="22"/>
        </w:rPr>
        <w:t xml:space="preserve"> </w:t>
      </w:r>
      <w:r w:rsidRPr="00DD3235">
        <w:rPr>
          <w:rFonts w:ascii="Bookman Old Style" w:hAnsi="Bookman Old Style" w:cs="Arial"/>
          <w:i/>
          <w:sz w:val="22"/>
          <w:szCs w:val="22"/>
        </w:rPr>
        <w:t>conforme se corrobora en el respectivo RUPS de las dos empresas. ENERGAS SA ESP actualmente no ostenta la figura de COMERCIALIZADOR MAYORISTA y ha cedido su marca de cilindros a MONTAGAS S.A. E S P, quien se encuentra en proceso de hacer la respectiva inscripción sobre la propiedad de esta marca de cilindros en el SUI.</w:t>
      </w:r>
    </w:p>
    <w:p w:rsidR="00DD3235" w:rsidRPr="00DD3235" w:rsidRDefault="00DD3235" w:rsidP="00DD3235">
      <w:pPr>
        <w:ind w:left="284" w:right="284"/>
        <w:jc w:val="both"/>
        <w:rPr>
          <w:rFonts w:ascii="Bookman Old Style" w:hAnsi="Bookman Old Style" w:cs="Arial"/>
          <w:i/>
          <w:sz w:val="22"/>
          <w:szCs w:val="22"/>
        </w:rPr>
      </w:pPr>
    </w:p>
    <w:p w:rsidR="00DD3235" w:rsidRP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Para los efectos se anexa al presente recurso certificación expedida por ENERGAS S A.S.E.P. donde consta que MONTAGAS SAE.S.P. es el comercializador mayorista, folios 388 a 390.</w:t>
      </w:r>
    </w:p>
    <w:p w:rsidR="00DD3235" w:rsidRDefault="00DD3235" w:rsidP="00DD3235">
      <w:pPr>
        <w:ind w:left="284" w:right="284"/>
        <w:jc w:val="both"/>
        <w:rPr>
          <w:rFonts w:ascii="Bookman Old Style" w:hAnsi="Bookman Old Style" w:cs="Arial"/>
          <w:i/>
          <w:sz w:val="22"/>
          <w:szCs w:val="22"/>
        </w:rPr>
      </w:pPr>
    </w:p>
    <w:p w:rsidR="00DD3235" w:rsidRP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TERCER HECHO</w:t>
      </w:r>
    </w:p>
    <w:p w:rsidR="00DD3235" w:rsidRDefault="00DD3235" w:rsidP="00DD3235">
      <w:pPr>
        <w:ind w:left="284" w:right="284"/>
        <w:jc w:val="both"/>
        <w:rPr>
          <w:rFonts w:ascii="Bookman Old Style" w:hAnsi="Bookman Old Style" w:cs="Arial"/>
          <w:i/>
          <w:sz w:val="22"/>
          <w:szCs w:val="22"/>
        </w:rPr>
      </w:pPr>
    </w:p>
    <w:p w:rsid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APLICACIÓ</w:t>
      </w:r>
      <w:r>
        <w:rPr>
          <w:rFonts w:ascii="Bookman Old Style" w:hAnsi="Bookman Old Style" w:cs="Arial"/>
          <w:i/>
          <w:sz w:val="22"/>
          <w:szCs w:val="22"/>
        </w:rPr>
        <w:t>N A LO DISPUESTO EN ARTÍCULO 8 ‘Capacidad de Compras’</w:t>
      </w:r>
      <w:r w:rsidRPr="00DD3235">
        <w:rPr>
          <w:rFonts w:ascii="Bookman Old Style" w:hAnsi="Bookman Old Style" w:cs="Arial"/>
          <w:i/>
          <w:sz w:val="22"/>
          <w:szCs w:val="22"/>
        </w:rPr>
        <w:t xml:space="preserve"> de la RESOLUCIÓN CREG 063 de 2016 DEFINIDO EN LA RESOLUCION CREG 075 DE 2016 EN EL ANEXO CAPACIDAD DE COMPRA IDENTIFICADO CON CODIGO SUI 6026</w:t>
      </w:r>
    </w:p>
    <w:p w:rsidR="00DD3235" w:rsidRPr="00DD3235" w:rsidRDefault="00DD3235" w:rsidP="00DD3235">
      <w:pPr>
        <w:ind w:left="284" w:right="284"/>
        <w:jc w:val="both"/>
        <w:rPr>
          <w:rFonts w:ascii="Bookman Old Style" w:hAnsi="Bookman Old Style" w:cs="Arial"/>
          <w:i/>
          <w:sz w:val="22"/>
          <w:szCs w:val="22"/>
        </w:rPr>
      </w:pPr>
    </w:p>
    <w:p w:rsidR="00DD3235" w:rsidRPr="00DD3235"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MONTAGAS SA ESP, elevó a la Superintendencia de Servidos Públicos Domiciliarios petición de reversión de varios formularios, con el fin de corregir información reportada con anterioridad mediante radicado 20165290249162 del 21 de abril de 2016. De esta solicitud se recibió respuesta positiva el 04 de junio de 2016 con radicado 20162000316061.</w:t>
      </w:r>
    </w:p>
    <w:p w:rsidR="006F4848" w:rsidRDefault="006F4848" w:rsidP="00DD3235">
      <w:pPr>
        <w:ind w:left="284" w:right="284"/>
        <w:jc w:val="both"/>
        <w:rPr>
          <w:rFonts w:ascii="Bookman Old Style" w:hAnsi="Bookman Old Style" w:cs="Arial"/>
          <w:i/>
          <w:sz w:val="22"/>
          <w:szCs w:val="22"/>
        </w:rPr>
      </w:pPr>
    </w:p>
    <w:p w:rsidR="00DD3235" w:rsidRPr="00DD3235" w:rsidRDefault="006F4848" w:rsidP="00DD3235">
      <w:pPr>
        <w:ind w:left="284" w:right="284"/>
        <w:jc w:val="both"/>
        <w:rPr>
          <w:rFonts w:ascii="Bookman Old Style" w:hAnsi="Bookman Old Style" w:cs="Arial"/>
          <w:i/>
          <w:sz w:val="22"/>
          <w:szCs w:val="22"/>
        </w:rPr>
      </w:pPr>
      <w:r>
        <w:rPr>
          <w:rFonts w:ascii="Bookman Old Style" w:hAnsi="Bookman Old Style" w:cs="Arial"/>
          <w:i/>
          <w:sz w:val="22"/>
          <w:szCs w:val="22"/>
        </w:rPr>
        <w:t>También fue solici</w:t>
      </w:r>
      <w:r w:rsidR="00DD3235" w:rsidRPr="00DD3235">
        <w:rPr>
          <w:rFonts w:ascii="Bookman Old Style" w:hAnsi="Bookman Old Style" w:cs="Arial"/>
          <w:i/>
          <w:sz w:val="22"/>
          <w:szCs w:val="22"/>
        </w:rPr>
        <w:t>tada la apertura del cargue de información de tanques estacionarios de manera permanent</w:t>
      </w:r>
      <w:r>
        <w:rPr>
          <w:rFonts w:ascii="Bookman Old Style" w:hAnsi="Bookman Old Style" w:cs="Arial"/>
          <w:i/>
          <w:sz w:val="22"/>
          <w:szCs w:val="22"/>
        </w:rPr>
        <w:t>e, ya que solo pueden reportarse</w:t>
      </w:r>
      <w:r w:rsidR="00DD3235" w:rsidRPr="00DD3235">
        <w:rPr>
          <w:rFonts w:ascii="Bookman Old Style" w:hAnsi="Bookman Old Style" w:cs="Arial"/>
          <w:i/>
          <w:sz w:val="22"/>
          <w:szCs w:val="22"/>
        </w:rPr>
        <w:t xml:space="preserve"> tanques estacionarios de manera anual, lo cual perjudica ostensiblemente el cálculo de nuestra capacidad de compra, puesto que no se reflejó de manera real nuestra capacidad de almacenamiento ya que no se tuvo en cuenta la cantidad de tanques estacionarios de propiedad de la empresa a la fecha de realizar el respectivo cálculo. Dicha petición fue radicada ante la Superintendencia de Servicios Públicos Domiciliarios mediante radicado 20160615112353120 al documento 201652903978920001 correo electrónico al documento 20165290397892, a la fecha no</w:t>
      </w:r>
      <w:r>
        <w:rPr>
          <w:rFonts w:ascii="Bookman Old Style" w:hAnsi="Bookman Old Style" w:cs="Arial"/>
          <w:i/>
          <w:sz w:val="22"/>
          <w:szCs w:val="22"/>
        </w:rPr>
        <w:t xml:space="preserve"> se ha tenido respuesta sobre el</w:t>
      </w:r>
      <w:r w:rsidR="00DD3235" w:rsidRPr="00DD3235">
        <w:rPr>
          <w:rFonts w:ascii="Bookman Old Style" w:hAnsi="Bookman Old Style" w:cs="Arial"/>
          <w:i/>
          <w:sz w:val="22"/>
          <w:szCs w:val="22"/>
        </w:rPr>
        <w:t xml:space="preserve"> mismo, perjudicándose gravemente la empresa y sus usuarios.</w:t>
      </w:r>
    </w:p>
    <w:p w:rsidR="006F4848" w:rsidRDefault="006F4848" w:rsidP="00DD3235">
      <w:pPr>
        <w:ind w:left="284" w:right="284"/>
        <w:jc w:val="both"/>
        <w:rPr>
          <w:rFonts w:ascii="Bookman Old Style" w:hAnsi="Bookman Old Style" w:cs="Arial"/>
          <w:i/>
          <w:sz w:val="22"/>
          <w:szCs w:val="22"/>
        </w:rPr>
      </w:pPr>
    </w:p>
    <w:p w:rsidR="00DF682F" w:rsidRPr="006867EF" w:rsidRDefault="00DD3235" w:rsidP="00DD3235">
      <w:pPr>
        <w:ind w:left="284" w:right="284"/>
        <w:jc w:val="both"/>
        <w:rPr>
          <w:rFonts w:ascii="Bookman Old Style" w:hAnsi="Bookman Old Style" w:cs="Arial"/>
          <w:i/>
          <w:sz w:val="22"/>
          <w:szCs w:val="22"/>
        </w:rPr>
      </w:pPr>
      <w:r w:rsidRPr="00DD3235">
        <w:rPr>
          <w:rFonts w:ascii="Bookman Old Style" w:hAnsi="Bookman Old Style" w:cs="Arial"/>
          <w:i/>
          <w:sz w:val="22"/>
          <w:szCs w:val="22"/>
        </w:rPr>
        <w:t>ARGUMENTO'. La CREG no tuvo conocimiento, ni en consideración las señaladas solicitudes, lo cual afecta la información reportada al SUI y por ende el cálculo de la capacidad de compra de la empresa.</w:t>
      </w:r>
    </w:p>
    <w:p w:rsidR="006F4848" w:rsidRDefault="006F4848" w:rsidP="0045042D">
      <w:pPr>
        <w:ind w:left="284" w:right="284"/>
        <w:jc w:val="both"/>
        <w:rPr>
          <w:rFonts w:ascii="Bookman Old Style" w:hAnsi="Bookman Old Style" w:cs="Arial"/>
          <w:i/>
          <w:sz w:val="22"/>
          <w:szCs w:val="22"/>
        </w:rPr>
      </w:pPr>
    </w:p>
    <w:p w:rsidR="006F4848" w:rsidRDefault="006F4848" w:rsidP="006F4848">
      <w:pPr>
        <w:ind w:left="284" w:right="284"/>
        <w:jc w:val="both"/>
        <w:rPr>
          <w:rFonts w:ascii="Bookman Old Style" w:hAnsi="Bookman Old Style" w:cs="Arial"/>
          <w:i/>
          <w:sz w:val="22"/>
          <w:szCs w:val="22"/>
        </w:rPr>
      </w:pPr>
      <w:r>
        <w:rPr>
          <w:rFonts w:ascii="Bookman Old Style" w:hAnsi="Bookman Old Style" w:cs="Arial"/>
          <w:i/>
          <w:sz w:val="22"/>
          <w:szCs w:val="22"/>
        </w:rPr>
        <w:t>CUARTO HECHO</w:t>
      </w:r>
    </w:p>
    <w:p w:rsidR="006F4848" w:rsidRDefault="006F4848" w:rsidP="006F4848">
      <w:pPr>
        <w:ind w:left="284" w:right="284"/>
        <w:jc w:val="both"/>
        <w:rPr>
          <w:rFonts w:ascii="Bookman Old Style" w:hAnsi="Bookman Old Style" w:cs="Arial"/>
          <w:i/>
          <w:sz w:val="22"/>
          <w:szCs w:val="22"/>
        </w:rPr>
      </w:pPr>
    </w:p>
    <w:p w:rsid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APLICACIÓN</w:t>
      </w:r>
      <w:r>
        <w:rPr>
          <w:rFonts w:ascii="Bookman Old Style" w:hAnsi="Bookman Old Style" w:cs="Arial"/>
          <w:i/>
          <w:sz w:val="22"/>
          <w:szCs w:val="22"/>
        </w:rPr>
        <w:t xml:space="preserve"> DE LO DISPUESTO EN ARTÍCULO 8 ‘Capacidad de Compras’ de la RESOLUCIÓN CREG 063 /20</w:t>
      </w:r>
      <w:r w:rsidRPr="006F4848">
        <w:rPr>
          <w:rFonts w:ascii="Bookman Old Style" w:hAnsi="Bookman Old Style" w:cs="Arial"/>
          <w:i/>
          <w:sz w:val="22"/>
          <w:szCs w:val="22"/>
        </w:rPr>
        <w:t xml:space="preserve">16 DEFINIDO EN LA RESOLUCIÓN CREG 075/ 2016 </w:t>
      </w:r>
      <w:r w:rsidRPr="006F4848">
        <w:rPr>
          <w:rFonts w:ascii="Bookman Old Style" w:hAnsi="Bookman Old Style" w:cs="Arial"/>
          <w:i/>
          <w:sz w:val="22"/>
          <w:szCs w:val="22"/>
        </w:rPr>
        <w:lastRenderedPageBreak/>
        <w:t>NUMERAL 4 DEL ANEXO CAPACIDAD DE COMPRA IDENTIFICADO CON CODIGO SUI 6026</w:t>
      </w:r>
    </w:p>
    <w:p w:rsidR="006F4848" w:rsidRPr="006F4848" w:rsidRDefault="006F4848" w:rsidP="006F4848">
      <w:pPr>
        <w:ind w:left="284" w:right="284"/>
        <w:jc w:val="both"/>
        <w:rPr>
          <w:rFonts w:ascii="Bookman Old Style" w:hAnsi="Bookman Old Style" w:cs="Arial"/>
          <w:i/>
          <w:sz w:val="22"/>
          <w:szCs w:val="22"/>
        </w:rPr>
      </w:pPr>
    </w:p>
    <w:p w:rsidR="006F4848" w:rsidRP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 xml:space="preserve">La aplicación del Parágrafo 3. La capacidad total de tanques estacionarios atendidos por el distribuidor i, en el periodo t, se </w:t>
      </w:r>
      <w:r>
        <w:rPr>
          <w:rFonts w:ascii="Bookman Old Style" w:hAnsi="Bookman Old Style" w:cs="Arial"/>
          <w:i/>
          <w:sz w:val="22"/>
          <w:szCs w:val="22"/>
        </w:rPr>
        <w:t>calculará de la siguiente forma (…)</w:t>
      </w:r>
    </w:p>
    <w:p w:rsidR="006F4848" w:rsidRP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 xml:space="preserve"> </w:t>
      </w:r>
    </w:p>
    <w:p w:rsid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ARGUMENTOS</w:t>
      </w:r>
    </w:p>
    <w:p w:rsidR="006F4848" w:rsidRPr="006F4848" w:rsidRDefault="006F4848" w:rsidP="006F4848">
      <w:pPr>
        <w:ind w:left="284" w:right="284"/>
        <w:jc w:val="both"/>
        <w:rPr>
          <w:rFonts w:ascii="Bookman Old Style" w:hAnsi="Bookman Old Style" w:cs="Arial"/>
          <w:i/>
          <w:sz w:val="22"/>
          <w:szCs w:val="22"/>
        </w:rPr>
      </w:pPr>
    </w:p>
    <w:p w:rsid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1.</w:t>
      </w:r>
      <w:r w:rsidRPr="006F4848">
        <w:rPr>
          <w:rFonts w:ascii="Bookman Old Style" w:hAnsi="Bookman Old Style" w:cs="Arial"/>
          <w:i/>
          <w:sz w:val="22"/>
          <w:szCs w:val="22"/>
        </w:rPr>
        <w:tab/>
        <w:t>La CREG calcu</w:t>
      </w:r>
      <w:r>
        <w:rPr>
          <w:rFonts w:ascii="Bookman Old Style" w:hAnsi="Bookman Old Style" w:cs="Arial"/>
          <w:i/>
          <w:sz w:val="22"/>
          <w:szCs w:val="22"/>
        </w:rPr>
        <w:t>ló erradamente el factor Cap.TEit ‘</w:t>
      </w:r>
      <w:r w:rsidRPr="006F4848">
        <w:rPr>
          <w:rFonts w:ascii="Bookman Old Style" w:hAnsi="Bookman Old Style" w:cs="Arial"/>
          <w:i/>
          <w:sz w:val="22"/>
          <w:szCs w:val="22"/>
        </w:rPr>
        <w:t>Capacidad total de tanques estacionarios atendidos por el distribuidor i, en el periodo t. medida en kilogramos, de acuerdo con la información reporta</w:t>
      </w:r>
      <w:r>
        <w:rPr>
          <w:rFonts w:ascii="Bookman Old Style" w:hAnsi="Bookman Old Style" w:cs="Arial"/>
          <w:i/>
          <w:sz w:val="22"/>
          <w:szCs w:val="22"/>
        </w:rPr>
        <w:t>da al SUI’</w:t>
      </w:r>
      <w:r w:rsidRPr="006F4848">
        <w:rPr>
          <w:rFonts w:ascii="Bookman Old Style" w:hAnsi="Bookman Old Style" w:cs="Arial"/>
          <w:i/>
          <w:sz w:val="22"/>
          <w:szCs w:val="22"/>
        </w:rPr>
        <w:t>, dado que tomó para la variable NTECV un menor valor del número de tanques esto es 1.276, encontrándose que al revisarlo el periodo tomado fue únicamente hasta el año 2014, omitiendo los reportes hasta el año</w:t>
      </w:r>
      <w:r>
        <w:rPr>
          <w:rFonts w:ascii="Bookman Old Style" w:hAnsi="Bookman Old Style" w:cs="Arial"/>
          <w:i/>
          <w:sz w:val="22"/>
          <w:szCs w:val="22"/>
        </w:rPr>
        <w:t xml:space="preserve"> </w:t>
      </w:r>
      <w:r w:rsidRPr="006F4848">
        <w:rPr>
          <w:rFonts w:ascii="Bookman Old Style" w:hAnsi="Bookman Old Style" w:cs="Arial"/>
          <w:i/>
          <w:sz w:val="22"/>
          <w:szCs w:val="22"/>
        </w:rPr>
        <w:t>2015 los cuales se certifican con el pantallazo que se anexa a continuac</w:t>
      </w:r>
      <w:r>
        <w:rPr>
          <w:rFonts w:ascii="Bookman Old Style" w:hAnsi="Bookman Old Style" w:cs="Arial"/>
          <w:i/>
          <w:sz w:val="22"/>
          <w:szCs w:val="22"/>
        </w:rPr>
        <w:t>ión, con lo que se desconoció el</w:t>
      </w:r>
      <w:r w:rsidRPr="006F4848">
        <w:rPr>
          <w:rFonts w:ascii="Bookman Old Style" w:hAnsi="Bookman Old Style" w:cs="Arial"/>
          <w:i/>
          <w:sz w:val="22"/>
          <w:szCs w:val="22"/>
        </w:rPr>
        <w:t xml:space="preserve"> valor real de 1.586 tanques reportados al año 2015, afectando así con al menos 310 tanques el cálculo de Cap. TEi¡t.</w:t>
      </w:r>
    </w:p>
    <w:p w:rsidR="006F4848" w:rsidRPr="006F4848" w:rsidRDefault="006F4848" w:rsidP="006F4848">
      <w:pPr>
        <w:ind w:left="284" w:right="284"/>
        <w:jc w:val="both"/>
        <w:rPr>
          <w:rFonts w:ascii="Bookman Old Style" w:hAnsi="Bookman Old Style" w:cs="Arial"/>
          <w:i/>
          <w:sz w:val="22"/>
          <w:szCs w:val="22"/>
        </w:rPr>
      </w:pPr>
    </w:p>
    <w:p w:rsidR="006F4848" w:rsidRDefault="006F4848" w:rsidP="006F4848">
      <w:pPr>
        <w:ind w:left="284" w:right="284"/>
        <w:jc w:val="both"/>
        <w:rPr>
          <w:rFonts w:ascii="Bookman Old Style" w:hAnsi="Bookman Old Style" w:cs="Arial"/>
          <w:i/>
          <w:sz w:val="22"/>
          <w:szCs w:val="22"/>
        </w:rPr>
      </w:pPr>
      <w:r w:rsidRPr="006F4848">
        <w:rPr>
          <w:rFonts w:ascii="Bookman Old Style" w:hAnsi="Bookman Old Style" w:cs="Arial"/>
          <w:i/>
          <w:sz w:val="22"/>
          <w:szCs w:val="22"/>
        </w:rPr>
        <w:t>En la realidad la Cap.TEit debió establecerse en 5.084.995 kilos y no en el valor contenido en el numeral 4 del anexo de la Res.</w:t>
      </w:r>
      <w:r>
        <w:rPr>
          <w:rFonts w:ascii="Bookman Old Style" w:hAnsi="Bookman Old Style" w:cs="Arial"/>
          <w:i/>
          <w:sz w:val="22"/>
          <w:szCs w:val="22"/>
        </w:rPr>
        <w:t xml:space="preserve"> </w:t>
      </w:r>
      <w:r w:rsidRPr="006F4848">
        <w:rPr>
          <w:rFonts w:ascii="Bookman Old Style" w:hAnsi="Bookman Old Style" w:cs="Arial"/>
          <w:i/>
          <w:sz w:val="22"/>
          <w:szCs w:val="22"/>
        </w:rPr>
        <w:t>CREG 075/ 2016 para la variable en mención que fue de 4.491.358 kilos, afectándose con ello Montagas S.A. E S P de manera negativa en 593.636 kilos que la CREG no reconoció a la empresa por error en el cálculo.</w:t>
      </w:r>
      <w:r>
        <w:rPr>
          <w:rFonts w:ascii="Bookman Old Style" w:hAnsi="Bookman Old Style" w:cs="Arial"/>
          <w:i/>
          <w:sz w:val="22"/>
          <w:szCs w:val="22"/>
        </w:rPr>
        <w:t xml:space="preserve"> (…)</w:t>
      </w:r>
    </w:p>
    <w:p w:rsidR="006F4848" w:rsidRDefault="006F4848" w:rsidP="0045042D">
      <w:pPr>
        <w:ind w:left="284" w:right="284"/>
        <w:jc w:val="both"/>
        <w:rPr>
          <w:rFonts w:ascii="Bookman Old Style" w:hAnsi="Bookman Old Style" w:cs="Arial"/>
          <w:i/>
          <w:sz w:val="22"/>
          <w:szCs w:val="22"/>
        </w:rPr>
      </w:pPr>
    </w:p>
    <w:p w:rsidR="006F4848" w:rsidRDefault="006F4848" w:rsidP="0045042D">
      <w:pPr>
        <w:ind w:left="284" w:right="284"/>
        <w:jc w:val="both"/>
        <w:rPr>
          <w:rFonts w:ascii="Bookman Old Style" w:hAnsi="Bookman Old Style" w:cs="Arial"/>
          <w:i/>
          <w:sz w:val="22"/>
          <w:szCs w:val="22"/>
        </w:rPr>
      </w:pPr>
      <w:r w:rsidRPr="006F4848">
        <w:rPr>
          <w:rFonts w:ascii="Bookman Old Style" w:hAnsi="Bookman Old Style" w:cs="Arial"/>
          <w:i/>
          <w:sz w:val="22"/>
          <w:szCs w:val="22"/>
        </w:rPr>
        <w:t xml:space="preserve">2 La CREG </w:t>
      </w:r>
      <w:r>
        <w:rPr>
          <w:rFonts w:ascii="Bookman Old Style" w:hAnsi="Bookman Old Style" w:cs="Arial"/>
          <w:i/>
          <w:sz w:val="22"/>
          <w:szCs w:val="22"/>
        </w:rPr>
        <w:t>desconoció</w:t>
      </w:r>
      <w:r w:rsidRPr="006F4848">
        <w:rPr>
          <w:rFonts w:ascii="Bookman Old Style" w:hAnsi="Bookman Old Style" w:cs="Arial"/>
          <w:i/>
          <w:sz w:val="22"/>
          <w:szCs w:val="22"/>
        </w:rPr>
        <w:t xml:space="preserve"> el crecimiento en usuarios del servicio de tanques estacionarios ya que no reconoció la inversión realizada durante el periodo en mención de la formula según el Parágrafo 3. La capacidad total de tanques estacionarios atendidos por el distribuidor i, </w:t>
      </w:r>
      <w:r w:rsidRPr="00B649E7">
        <w:rPr>
          <w:rFonts w:ascii="Bookman Old Style" w:hAnsi="Bookman Old Style" w:cs="Arial"/>
          <w:i/>
          <w:sz w:val="22"/>
          <w:szCs w:val="22"/>
          <w:u w:val="single"/>
        </w:rPr>
        <w:t>en el periodo t</w:t>
      </w:r>
      <w:r w:rsidRPr="006F4848">
        <w:rPr>
          <w:rFonts w:ascii="Bookman Old Style" w:hAnsi="Bookman Old Style" w:cs="Arial"/>
          <w:i/>
          <w:sz w:val="22"/>
          <w:szCs w:val="22"/>
        </w:rPr>
        <w:t>. se calculará de la siguiente forma.</w:t>
      </w:r>
    </w:p>
    <w:p w:rsidR="006F4848" w:rsidRDefault="006F4848" w:rsidP="0045042D">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Es así como excluyó tajantemente las nuevas inversiones realizadas durante el año 2016 y los nuevos usuarios del servicio durante el primer semestre. Adicionalmente llama la atención que el ente regulador no hubiera actuado de manera coordinada con la Superintendencia de Servicios Públicos Domiciliarios, si iba a atar la fórmula a la información que maneja esa entidad, donde indefectiblemente como experto, sabe que influirían</w:t>
      </w:r>
      <w:r>
        <w:rPr>
          <w:rFonts w:ascii="Bookman Old Style" w:hAnsi="Bookman Old Style" w:cs="Arial"/>
          <w:i/>
          <w:sz w:val="22"/>
          <w:szCs w:val="22"/>
        </w:rPr>
        <w:t xml:space="preserve"> factores como el cronograma y l</w:t>
      </w:r>
      <w:r w:rsidRPr="00B649E7">
        <w:rPr>
          <w:rFonts w:ascii="Bookman Old Style" w:hAnsi="Bookman Old Style" w:cs="Arial"/>
          <w:i/>
          <w:sz w:val="22"/>
          <w:szCs w:val="22"/>
        </w:rPr>
        <w:t>a frecuencia de actualización de la información, de tal manera que las empresas debían poder incluir las novedades referentes a tanques estacionarios, ya que la misma solamente se puede realizar de manera anual en el SUI.</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QUINTO HECHO</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APLICACIÓ</w:t>
      </w:r>
      <w:r>
        <w:rPr>
          <w:rFonts w:ascii="Bookman Old Style" w:hAnsi="Bookman Old Style" w:cs="Arial"/>
          <w:i/>
          <w:sz w:val="22"/>
          <w:szCs w:val="22"/>
        </w:rPr>
        <w:t>N A LO DISPUESTO EN ARTICULO 8 ‘Capacidad de Compras’</w:t>
      </w:r>
      <w:r w:rsidRPr="00B649E7">
        <w:rPr>
          <w:rFonts w:ascii="Bookman Old Style" w:hAnsi="Bookman Old Style" w:cs="Arial"/>
          <w:i/>
          <w:sz w:val="22"/>
          <w:szCs w:val="22"/>
        </w:rPr>
        <w:t xml:space="preserve"> de la RESOLUCIÓN CREG 063/2016 DEFINIDO EN LA RESOLUCIÓN CREG 075/ 2016 EN EL ARTICULO 1</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MONTAGAS SA ESP se ve seriamente afectado con lo resuelto en el artículo 1. Capacidad de Compra según los códigos SUI de las empresas, que para el caso de MONTAGAS SA ESP identificado con código SUI 6026 obtiene una Capacidad de Compra de 20.397.633 misma que difiere con nuestras cálculos en virtud de:</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1.</w:t>
      </w:r>
      <w:r w:rsidRPr="00B649E7">
        <w:rPr>
          <w:rFonts w:ascii="Bookman Old Style" w:hAnsi="Bookman Old Style" w:cs="Arial"/>
          <w:i/>
          <w:sz w:val="22"/>
          <w:szCs w:val="22"/>
        </w:rPr>
        <w:tab/>
        <w:t xml:space="preserve"> Lo resaltado en el cuarto hecho de este documento, sobre el número de tanques esta</w:t>
      </w:r>
      <w:r>
        <w:rPr>
          <w:rFonts w:ascii="Bookman Old Style" w:hAnsi="Bookman Old Style" w:cs="Arial"/>
          <w:i/>
          <w:sz w:val="22"/>
          <w:szCs w:val="22"/>
        </w:rPr>
        <w:t>cionarios tenidos en cuenta en l</w:t>
      </w:r>
      <w:r w:rsidRPr="00B649E7">
        <w:rPr>
          <w:rFonts w:ascii="Bookman Old Style" w:hAnsi="Bookman Old Style" w:cs="Arial"/>
          <w:i/>
          <w:sz w:val="22"/>
          <w:szCs w:val="22"/>
        </w:rPr>
        <w:t>a aplicación de la fórmula.</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2.</w:t>
      </w:r>
      <w:r w:rsidRPr="00B649E7">
        <w:rPr>
          <w:rFonts w:ascii="Bookman Old Style" w:hAnsi="Bookman Old Style" w:cs="Arial"/>
          <w:i/>
          <w:sz w:val="22"/>
          <w:szCs w:val="22"/>
        </w:rPr>
        <w:tab/>
        <w:t xml:space="preserve"> El error en el factor de equivalencia, evidenciado desde la resolución en consulta como se expresa en el primer hecho de este documento.</w:t>
      </w:r>
    </w:p>
    <w:p w:rsid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lastRenderedPageBreak/>
        <w:t>ARGUMENTO: La CREG no consideró las observaciones, comunicados y escritos que oportunamente presentó MONTAGAS, los cuales se anexan en documento radicado al Ministro de Minas y Energía el pasado 20 de junio de 2016 (con copia a la SSPD y a la CREG) y en donde se argumentan las razones de nuestra inconformidad por la variable del artículo 8o de la Res. CREG 063 /2016 referente al Fe: factor de equivalencia de envasado y tanques estacionarios de 0,3 puesto que este factor de equivalencia para nuestro caso, debe ser concordante con la realidad del mercado relevante que atendemos y sus condiciones particulares, situación que la CREG no tuvo en cuenta en la Res CREG 075 /2016 por las siguientes razones de peso que enumeraremos:</w:t>
      </w:r>
    </w:p>
    <w:p w:rsidR="00B649E7" w:rsidRDefault="00B649E7" w:rsidP="00B649E7">
      <w:pPr>
        <w:ind w:left="284" w:right="284"/>
        <w:jc w:val="both"/>
        <w:rPr>
          <w:rFonts w:ascii="Bookman Old Style" w:hAnsi="Bookman Old Style" w:cs="Arial"/>
          <w:i/>
          <w:sz w:val="22"/>
          <w:szCs w:val="22"/>
        </w:rPr>
      </w:pPr>
    </w:p>
    <w:p w:rsid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1.</w:t>
      </w:r>
      <w:r w:rsidRPr="00B649E7">
        <w:rPr>
          <w:rFonts w:ascii="Bookman Old Style" w:hAnsi="Bookman Old Style" w:cs="Arial"/>
          <w:i/>
          <w:sz w:val="22"/>
          <w:szCs w:val="22"/>
        </w:rPr>
        <w:tab/>
        <w:t>El gobierno nacional ha establecido en desarrollo del artículo 368 de la Constitución Política1; el plan de otorgamiento de subsidios al GLP distribuido en cilindros, el cual se implementó con el decreto 2195 del 2013 para los departamentos de Nariño, Putumayo, Cagueta y San Andrés por lo que es apenas natural que la CREG reconozca las particulares condiciones de las regiones donde opera nuestra empresa, con el fin de diferenciarla del resto del país. En consideración al principio constitucional de la igualdad, que señala que solo se pueden aplicar las mismas condiciones entre iguales, les reiteramos que los departamentos donde actualmente se aplica el subsidio claramente no tienen la misma rotación del resto del país, hecho que la CREG desconoció así:</w:t>
      </w:r>
    </w:p>
    <w:p w:rsidR="00B649E7" w:rsidRP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a.</w:t>
      </w:r>
      <w:r w:rsidRPr="00B649E7">
        <w:rPr>
          <w:rFonts w:ascii="Bookman Old Style" w:hAnsi="Bookman Old Style" w:cs="Arial"/>
          <w:i/>
          <w:sz w:val="22"/>
          <w:szCs w:val="22"/>
        </w:rPr>
        <w:tab/>
        <w:t xml:space="preserve"> MONTAGAS SA ESP está presente en 3 de estos 4 departamentos.</w:t>
      </w:r>
    </w:p>
    <w:p w:rsidR="00B649E7" w:rsidRDefault="00B649E7" w:rsidP="00B649E7">
      <w:pPr>
        <w:ind w:left="284" w:right="284"/>
        <w:jc w:val="both"/>
        <w:rPr>
          <w:rFonts w:ascii="Bookman Old Style" w:hAnsi="Bookman Old Style" w:cs="Arial"/>
          <w:i/>
          <w:sz w:val="22"/>
          <w:szCs w:val="22"/>
        </w:rPr>
      </w:pPr>
    </w:p>
    <w:p w:rsidR="00B649E7" w:rsidRP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b.</w:t>
      </w:r>
      <w:r w:rsidRPr="00B649E7">
        <w:rPr>
          <w:rFonts w:ascii="Bookman Old Style" w:hAnsi="Bookman Old Style" w:cs="Arial"/>
          <w:i/>
          <w:sz w:val="22"/>
          <w:szCs w:val="22"/>
        </w:rPr>
        <w:tab/>
        <w:t xml:space="preserve"> MONTAGAS SA ESP tiene una participación de aproximadamente el 70% de los subsidios otorgados por el gobierno nacional</w:t>
      </w:r>
    </w:p>
    <w:p w:rsidR="00B649E7" w:rsidRDefault="00B649E7" w:rsidP="00B649E7">
      <w:pPr>
        <w:ind w:left="284" w:right="284"/>
        <w:jc w:val="both"/>
        <w:rPr>
          <w:rFonts w:ascii="Bookman Old Style" w:hAnsi="Bookman Old Style" w:cs="Arial"/>
          <w:i/>
          <w:sz w:val="22"/>
          <w:szCs w:val="22"/>
        </w:rPr>
      </w:pPr>
    </w:p>
    <w:p w:rsidR="00B649E7" w:rsidRDefault="00B649E7" w:rsidP="00B649E7">
      <w:pPr>
        <w:ind w:left="284" w:right="284"/>
        <w:jc w:val="both"/>
        <w:rPr>
          <w:rFonts w:ascii="Bookman Old Style" w:hAnsi="Bookman Old Style" w:cs="Arial"/>
          <w:i/>
          <w:sz w:val="22"/>
          <w:szCs w:val="22"/>
        </w:rPr>
      </w:pPr>
      <w:r w:rsidRPr="00B649E7">
        <w:rPr>
          <w:rFonts w:ascii="Bookman Old Style" w:hAnsi="Bookman Old Style" w:cs="Arial"/>
          <w:i/>
          <w:sz w:val="22"/>
          <w:szCs w:val="22"/>
        </w:rPr>
        <w:t>c.</w:t>
      </w:r>
      <w:r w:rsidRPr="00B649E7">
        <w:rPr>
          <w:rFonts w:ascii="Bookman Old Style" w:hAnsi="Bookman Old Style" w:cs="Arial"/>
          <w:i/>
          <w:sz w:val="22"/>
          <w:szCs w:val="22"/>
        </w:rPr>
        <w:tab/>
        <w:t xml:space="preserve"> En el año 2014 a través de MONTAGAS SA ESP se beneficiaron 1.040.931 usuarios, en el año 2015 se beneficiaron 1.865 980 usuarios y en el acumulado del presente año, a mayo del año 2016 se han beneficiado 805.124 usuarios. Situación que si se calculará el promedio mensual de cada año, se concluye que para el año 2013 fueron en promedio 130.116 beneficiarios, año 2014 fueron en promedio 155.498 beneficiarios y para el año 2015 fueron en promedio 161.005 beneficiarios, representando incrementos del 20% entre el promedio de beneficiarios del año de inicio y el 2015 y un incremento del 4% entre el promedio de beneficiarios del año 2015 y los beneficiarios en k&gt; corrido del año 2016, </w:t>
      </w:r>
      <w:r w:rsidR="00B0517C">
        <w:rPr>
          <w:rFonts w:ascii="Bookman Old Style" w:hAnsi="Bookman Old Style" w:cs="Arial"/>
          <w:i/>
          <w:sz w:val="22"/>
          <w:szCs w:val="22"/>
        </w:rPr>
        <w:t>(…)</w:t>
      </w:r>
    </w:p>
    <w:p w:rsidR="00B0517C" w:rsidRDefault="00B0517C" w:rsidP="00B649E7">
      <w:pPr>
        <w:ind w:left="284" w:right="284"/>
        <w:jc w:val="both"/>
        <w:rPr>
          <w:rFonts w:ascii="Bookman Old Style" w:hAnsi="Bookman Old Style" w:cs="Arial"/>
          <w:i/>
          <w:sz w:val="22"/>
          <w:szCs w:val="22"/>
        </w:rPr>
      </w:pPr>
    </w:p>
    <w:p w:rsidR="00B0517C" w:rsidRDefault="00B0517C" w:rsidP="00B0517C">
      <w:pPr>
        <w:ind w:left="284" w:right="284"/>
        <w:jc w:val="both"/>
        <w:rPr>
          <w:rFonts w:ascii="Bookman Old Style" w:hAnsi="Bookman Old Style" w:cs="Arial"/>
          <w:i/>
          <w:sz w:val="22"/>
          <w:szCs w:val="22"/>
        </w:rPr>
      </w:pPr>
      <w:r w:rsidRPr="00B0517C">
        <w:rPr>
          <w:rFonts w:ascii="Bookman Old Style" w:hAnsi="Bookman Old Style" w:cs="Arial"/>
          <w:i/>
          <w:sz w:val="22"/>
          <w:szCs w:val="22"/>
        </w:rPr>
        <w:t>d</w:t>
      </w:r>
      <w:r>
        <w:rPr>
          <w:rFonts w:ascii="Bookman Old Style" w:hAnsi="Bookman Old Style" w:cs="Arial"/>
          <w:i/>
          <w:sz w:val="22"/>
          <w:szCs w:val="22"/>
        </w:rPr>
        <w:t xml:space="preserve"> La participación de ventas en l</w:t>
      </w:r>
      <w:r w:rsidRPr="00B0517C">
        <w:rPr>
          <w:rFonts w:ascii="Bookman Old Style" w:hAnsi="Bookman Old Style" w:cs="Arial"/>
          <w:i/>
          <w:sz w:val="22"/>
          <w:szCs w:val="22"/>
        </w:rPr>
        <w:t>os estratos 1 y 2 beneficiarios de los subsidios corresponden a más del 80% de las vent</w:t>
      </w:r>
      <w:r>
        <w:rPr>
          <w:rFonts w:ascii="Bookman Old Style" w:hAnsi="Bookman Old Style" w:cs="Arial"/>
          <w:i/>
          <w:sz w:val="22"/>
          <w:szCs w:val="22"/>
        </w:rPr>
        <w:t>as de la línea de cilindros de l</w:t>
      </w:r>
      <w:r w:rsidRPr="00B0517C">
        <w:rPr>
          <w:rFonts w:ascii="Bookman Old Style" w:hAnsi="Bookman Old Style" w:cs="Arial"/>
          <w:i/>
          <w:sz w:val="22"/>
          <w:szCs w:val="22"/>
        </w:rPr>
        <w:t>a compañía. Lo aquí señalado se soporta con la información de ventas totales de cilindros reportadas en el SUI y la cantidad de beneficiarios del programa piloto de subsidios.</w:t>
      </w:r>
    </w:p>
    <w:p w:rsidR="00B0517C" w:rsidRPr="00B0517C" w:rsidRDefault="00B0517C" w:rsidP="00B0517C">
      <w:pPr>
        <w:ind w:left="284" w:right="284"/>
        <w:jc w:val="both"/>
        <w:rPr>
          <w:rFonts w:ascii="Bookman Old Style" w:hAnsi="Bookman Old Style" w:cs="Arial"/>
          <w:i/>
          <w:sz w:val="22"/>
          <w:szCs w:val="22"/>
        </w:rPr>
      </w:pPr>
    </w:p>
    <w:p w:rsidR="00B0517C" w:rsidRPr="00B0517C" w:rsidRDefault="00B0517C" w:rsidP="00B0517C">
      <w:pPr>
        <w:ind w:left="284" w:right="284"/>
        <w:jc w:val="both"/>
        <w:rPr>
          <w:rFonts w:ascii="Bookman Old Style" w:hAnsi="Bookman Old Style" w:cs="Arial"/>
          <w:i/>
          <w:sz w:val="22"/>
          <w:szCs w:val="22"/>
        </w:rPr>
      </w:pPr>
      <w:r w:rsidRPr="00B0517C">
        <w:rPr>
          <w:rFonts w:ascii="Bookman Old Style" w:hAnsi="Bookman Old Style" w:cs="Arial"/>
          <w:i/>
          <w:sz w:val="22"/>
          <w:szCs w:val="22"/>
        </w:rPr>
        <w:t>e.</w:t>
      </w:r>
      <w:r w:rsidRPr="00B0517C">
        <w:rPr>
          <w:rFonts w:ascii="Bookman Old Style" w:hAnsi="Bookman Old Style" w:cs="Arial"/>
          <w:i/>
          <w:sz w:val="22"/>
          <w:szCs w:val="22"/>
        </w:rPr>
        <w:tab/>
        <w:t xml:space="preserve"> Para la población de los departamentos de Nariño, Putumayo y Caquetá el nivel socio económico predominante es el estrato 1 y 2, que serían la mayor parte de los usuarios en peligro de desabastecimiento por la resolución CREG</w:t>
      </w:r>
      <w:r>
        <w:rPr>
          <w:rFonts w:ascii="Bookman Old Style" w:hAnsi="Bookman Old Style" w:cs="Arial"/>
          <w:i/>
          <w:sz w:val="22"/>
          <w:szCs w:val="22"/>
        </w:rPr>
        <w:t xml:space="preserve"> </w:t>
      </w:r>
      <w:r w:rsidRPr="00B0517C">
        <w:rPr>
          <w:rFonts w:ascii="Bookman Old Style" w:hAnsi="Bookman Old Style" w:cs="Arial"/>
          <w:i/>
          <w:sz w:val="22"/>
          <w:szCs w:val="22"/>
        </w:rPr>
        <w:t>075 de 2016 expedida por la CREG</w:t>
      </w:r>
    </w:p>
    <w:p w:rsidR="00B0517C" w:rsidRDefault="00B0517C" w:rsidP="00B0517C">
      <w:pPr>
        <w:ind w:left="284" w:right="284"/>
        <w:jc w:val="both"/>
        <w:rPr>
          <w:rFonts w:ascii="Bookman Old Style" w:hAnsi="Bookman Old Style" w:cs="Arial"/>
          <w:i/>
          <w:sz w:val="22"/>
          <w:szCs w:val="22"/>
        </w:rPr>
      </w:pPr>
    </w:p>
    <w:p w:rsidR="00B0517C" w:rsidRDefault="00B0517C" w:rsidP="00B0517C">
      <w:pPr>
        <w:ind w:left="284" w:right="284"/>
        <w:jc w:val="both"/>
        <w:rPr>
          <w:rFonts w:ascii="Bookman Old Style" w:hAnsi="Bookman Old Style" w:cs="Arial"/>
          <w:i/>
          <w:sz w:val="22"/>
          <w:szCs w:val="22"/>
        </w:rPr>
      </w:pPr>
      <w:r>
        <w:rPr>
          <w:rFonts w:ascii="Bookman Old Style" w:hAnsi="Bookman Old Style" w:cs="Arial"/>
          <w:i/>
          <w:sz w:val="22"/>
          <w:szCs w:val="22"/>
        </w:rPr>
        <w:t>(…)</w:t>
      </w:r>
    </w:p>
    <w:p w:rsidR="00B0517C" w:rsidRDefault="00B0517C" w:rsidP="00B0517C">
      <w:pPr>
        <w:ind w:left="284" w:right="284"/>
        <w:jc w:val="both"/>
        <w:rPr>
          <w:rFonts w:ascii="Bookman Old Style" w:hAnsi="Bookman Old Style" w:cs="Arial"/>
          <w:i/>
          <w:sz w:val="22"/>
          <w:szCs w:val="22"/>
        </w:rPr>
      </w:pPr>
    </w:p>
    <w:p w:rsidR="00B0517C" w:rsidRPr="00B0517C" w:rsidRDefault="00B0517C" w:rsidP="00B0517C">
      <w:pPr>
        <w:ind w:left="284" w:right="284"/>
        <w:jc w:val="both"/>
        <w:rPr>
          <w:rFonts w:ascii="Bookman Old Style" w:hAnsi="Bookman Old Style" w:cs="Arial"/>
          <w:i/>
          <w:sz w:val="22"/>
          <w:szCs w:val="22"/>
        </w:rPr>
      </w:pPr>
      <w:r w:rsidRPr="00B0517C">
        <w:rPr>
          <w:rFonts w:ascii="Bookman Old Style" w:hAnsi="Bookman Old Style" w:cs="Arial"/>
          <w:i/>
          <w:sz w:val="22"/>
          <w:szCs w:val="22"/>
        </w:rPr>
        <w:t>9 En desarrollo de este programa, la empresa invirtió en mayores activos para poder atender la implementación del subsidio, ya que la demanda se incrementó, debido a la alta acogida y la aceptación del cilindro subsidiado por su precio asequible a los usuarios de menores recursos. Con base en</w:t>
      </w:r>
      <w:r w:rsidRPr="00B0517C">
        <w:t xml:space="preserve"> </w:t>
      </w:r>
      <w:r w:rsidRPr="00B0517C">
        <w:rPr>
          <w:rFonts w:ascii="Bookman Old Style" w:hAnsi="Bookman Old Style" w:cs="Arial"/>
          <w:i/>
          <w:sz w:val="22"/>
          <w:szCs w:val="22"/>
        </w:rPr>
        <w:t>lo expuesto y soportado en los anexos a este documento, se ha invertido en:</w:t>
      </w:r>
    </w:p>
    <w:p w:rsidR="00B0517C" w:rsidRPr="006E0125" w:rsidRDefault="00B0517C" w:rsidP="006E0125">
      <w:pPr>
        <w:pStyle w:val="Prrafodelista"/>
        <w:numPr>
          <w:ilvl w:val="0"/>
          <w:numId w:val="42"/>
        </w:numPr>
        <w:ind w:left="284" w:right="284" w:firstLine="0"/>
        <w:jc w:val="both"/>
        <w:rPr>
          <w:rFonts w:ascii="Bookman Old Style" w:hAnsi="Bookman Old Style" w:cs="Arial"/>
          <w:i/>
          <w:sz w:val="22"/>
          <w:szCs w:val="22"/>
        </w:rPr>
      </w:pPr>
      <w:r w:rsidRPr="006E0125">
        <w:rPr>
          <w:rFonts w:ascii="Bookman Old Style" w:hAnsi="Bookman Old Style" w:cs="Arial"/>
          <w:i/>
          <w:sz w:val="22"/>
          <w:szCs w:val="22"/>
        </w:rPr>
        <w:t xml:space="preserve">166.763 Cilindros: En el año 2013 se adquirieron 31 846; en el año 2014 se adquirieron 91.920 cilindros, precisamente por la entrada del programa de </w:t>
      </w:r>
      <w:r w:rsidRPr="006E0125">
        <w:rPr>
          <w:rFonts w:ascii="Bookman Old Style" w:hAnsi="Bookman Old Style" w:cs="Arial"/>
          <w:i/>
          <w:sz w:val="22"/>
          <w:szCs w:val="22"/>
        </w:rPr>
        <w:lastRenderedPageBreak/>
        <w:t>subsidios: en el año 2015 se compraron 42.997 cilindros de las distintas categorías. Se adjunta respuesta a derecho de petición elevado a la Superservicios referente a la cantidad de cilindros reportados en SICMA y SUI hasta el 31 de diciembre de 2015 y facturas respectivas de compra (…)</w:t>
      </w:r>
    </w:p>
    <w:p w:rsidR="00B0517C" w:rsidRDefault="00B0517C" w:rsidP="00B0517C">
      <w:pPr>
        <w:ind w:left="284" w:right="284"/>
        <w:jc w:val="both"/>
        <w:rPr>
          <w:rFonts w:ascii="Bookman Old Style" w:hAnsi="Bookman Old Style" w:cs="Arial"/>
          <w:i/>
          <w:sz w:val="22"/>
          <w:szCs w:val="22"/>
        </w:rPr>
      </w:pPr>
    </w:p>
    <w:p w:rsidR="00B0517C" w:rsidRDefault="00B0517C" w:rsidP="00B0517C">
      <w:pPr>
        <w:ind w:left="284" w:right="284"/>
        <w:jc w:val="both"/>
        <w:rPr>
          <w:rFonts w:ascii="Bookman Old Style" w:hAnsi="Bookman Old Style" w:cs="Arial"/>
          <w:i/>
          <w:sz w:val="22"/>
          <w:szCs w:val="22"/>
        </w:rPr>
      </w:pPr>
      <w:r w:rsidRPr="00B0517C">
        <w:rPr>
          <w:rFonts w:ascii="Bookman Old Style" w:hAnsi="Bookman Old Style" w:cs="Arial"/>
          <w:i/>
          <w:sz w:val="22"/>
          <w:szCs w:val="22"/>
        </w:rPr>
        <w:t>•</w:t>
      </w:r>
      <w:r w:rsidRPr="00B0517C">
        <w:rPr>
          <w:rFonts w:ascii="Bookman Old Style" w:hAnsi="Bookman Old Style" w:cs="Arial"/>
          <w:i/>
          <w:sz w:val="22"/>
          <w:szCs w:val="22"/>
        </w:rPr>
        <w:tab/>
        <w:t>Se adquirieron 7 Cisternas de aproximadamente 90.000 galones de capacidad, teniendo en cuenta el volumen permitido de cargue dependiendo de la fuente; las cuales son usadas para el transporte de GLP desde las fuentes de producción, se adjuntan facturas de compra.</w:t>
      </w:r>
    </w:p>
    <w:p w:rsidR="00B0517C" w:rsidRPr="00B0517C" w:rsidRDefault="00B0517C" w:rsidP="00B0517C">
      <w:pPr>
        <w:ind w:left="284" w:right="284"/>
        <w:jc w:val="both"/>
        <w:rPr>
          <w:rFonts w:ascii="Bookman Old Style" w:hAnsi="Bookman Old Style" w:cs="Arial"/>
          <w:i/>
          <w:sz w:val="22"/>
          <w:szCs w:val="22"/>
        </w:rPr>
      </w:pPr>
    </w:p>
    <w:p w:rsidR="00B0517C" w:rsidRPr="00B0517C" w:rsidRDefault="00B0517C" w:rsidP="00B0517C">
      <w:pPr>
        <w:ind w:left="284" w:right="284"/>
        <w:jc w:val="both"/>
        <w:rPr>
          <w:rFonts w:ascii="Bookman Old Style" w:hAnsi="Bookman Old Style" w:cs="Arial"/>
          <w:i/>
          <w:sz w:val="22"/>
          <w:szCs w:val="22"/>
        </w:rPr>
      </w:pPr>
      <w:r w:rsidRPr="00B0517C">
        <w:rPr>
          <w:rFonts w:ascii="Bookman Old Style" w:hAnsi="Bookman Old Style" w:cs="Arial"/>
          <w:i/>
          <w:sz w:val="22"/>
          <w:szCs w:val="22"/>
        </w:rPr>
        <w:t>•</w:t>
      </w:r>
      <w:r w:rsidRPr="00B0517C">
        <w:rPr>
          <w:rFonts w:ascii="Bookman Old Style" w:hAnsi="Bookman Old Style" w:cs="Arial"/>
          <w:i/>
          <w:sz w:val="22"/>
          <w:szCs w:val="22"/>
        </w:rPr>
        <w:tab/>
        <w:t>En el año 2015 se amplió la capacidad de almacenamiento de 246.640 galones en 13 tanques a 361.492 galones en 15 tanques distribuidos así:</w:t>
      </w:r>
    </w:p>
    <w:p w:rsidR="00CF2F8C" w:rsidRDefault="00CF2F8C" w:rsidP="00B0517C">
      <w:pPr>
        <w:ind w:left="284" w:right="284"/>
        <w:jc w:val="both"/>
        <w:rPr>
          <w:rFonts w:ascii="Bookman Old Style" w:hAnsi="Bookman Old Style" w:cs="Arial"/>
          <w:i/>
          <w:sz w:val="22"/>
          <w:szCs w:val="22"/>
        </w:rPr>
      </w:pPr>
    </w:p>
    <w:p w:rsidR="00B0517C" w:rsidRPr="00B0517C" w:rsidRDefault="00CF2F8C" w:rsidP="00B0517C">
      <w:pPr>
        <w:ind w:left="284" w:right="284"/>
        <w:jc w:val="both"/>
        <w:rPr>
          <w:rFonts w:ascii="Bookman Old Style" w:hAnsi="Bookman Old Style" w:cs="Arial"/>
          <w:i/>
          <w:sz w:val="22"/>
          <w:szCs w:val="22"/>
        </w:rPr>
      </w:pPr>
      <w:r>
        <w:rPr>
          <w:rFonts w:ascii="Bookman Old Style" w:hAnsi="Bookman Old Style" w:cs="Arial"/>
          <w:i/>
          <w:sz w:val="22"/>
          <w:szCs w:val="22"/>
        </w:rPr>
        <w:t>-</w:t>
      </w:r>
      <w:r w:rsidR="00B0517C" w:rsidRPr="00B0517C">
        <w:rPr>
          <w:rFonts w:ascii="Bookman Old Style" w:hAnsi="Bookman Old Style" w:cs="Arial"/>
          <w:i/>
          <w:sz w:val="22"/>
          <w:szCs w:val="22"/>
        </w:rPr>
        <w:t>En la Planta de Pasto se cambiaron 2 tanques de almacenamiento de 21.200 galones por 3 tanques de almacenamiento de 38.284 galones.</w:t>
      </w:r>
    </w:p>
    <w:p w:rsidR="00CF2F8C" w:rsidRDefault="00CF2F8C" w:rsidP="00B0517C">
      <w:pPr>
        <w:ind w:left="284" w:right="284"/>
        <w:jc w:val="both"/>
        <w:rPr>
          <w:rFonts w:ascii="Bookman Old Style" w:hAnsi="Bookman Old Style" w:cs="Arial"/>
          <w:i/>
          <w:sz w:val="22"/>
          <w:szCs w:val="22"/>
        </w:rPr>
      </w:pPr>
    </w:p>
    <w:p w:rsidR="00B0517C" w:rsidRDefault="00CF2F8C" w:rsidP="00B0517C">
      <w:pPr>
        <w:ind w:left="284" w:right="284"/>
        <w:jc w:val="both"/>
        <w:rPr>
          <w:rFonts w:ascii="Bookman Old Style" w:hAnsi="Bookman Old Style" w:cs="Arial"/>
          <w:i/>
          <w:sz w:val="22"/>
          <w:szCs w:val="22"/>
        </w:rPr>
      </w:pPr>
      <w:r>
        <w:rPr>
          <w:rFonts w:ascii="Bookman Old Style" w:hAnsi="Bookman Old Style" w:cs="Arial"/>
          <w:i/>
          <w:sz w:val="22"/>
          <w:szCs w:val="22"/>
        </w:rPr>
        <w:t xml:space="preserve">- </w:t>
      </w:r>
      <w:r w:rsidR="00B0517C" w:rsidRPr="00B0517C">
        <w:rPr>
          <w:rFonts w:ascii="Bookman Old Style" w:hAnsi="Bookman Old Style" w:cs="Arial"/>
          <w:i/>
          <w:sz w:val="22"/>
          <w:szCs w:val="22"/>
        </w:rPr>
        <w:t>En la Planta de Mocoa se instaló un tanque de almac</w:t>
      </w:r>
      <w:r>
        <w:rPr>
          <w:rFonts w:ascii="Bookman Old Style" w:hAnsi="Bookman Old Style" w:cs="Arial"/>
          <w:i/>
          <w:sz w:val="22"/>
          <w:szCs w:val="22"/>
        </w:rPr>
        <w:t>enamiento 21.200 galones, o En l</w:t>
      </w:r>
      <w:r w:rsidR="00B0517C" w:rsidRPr="00B0517C">
        <w:rPr>
          <w:rFonts w:ascii="Bookman Old Style" w:hAnsi="Bookman Old Style" w:cs="Arial"/>
          <w:i/>
          <w:sz w:val="22"/>
          <w:szCs w:val="22"/>
        </w:rPr>
        <w:t>a Planta de Pitalito se cambió un tanque de almacenamiento de 3.000 galones por uno de 21.200 galones. Esta planta atiende a través de traslados al departamento de Caquetá beneficiario del programa de subsidio al GLP en cilindros.</w:t>
      </w:r>
    </w:p>
    <w:p w:rsidR="00B649E7" w:rsidRDefault="00B649E7" w:rsidP="00B649E7">
      <w:pPr>
        <w:ind w:left="284" w:right="284"/>
        <w:jc w:val="both"/>
        <w:rPr>
          <w:rFonts w:ascii="Bookman Old Style" w:hAnsi="Bookman Old Style" w:cs="Arial"/>
          <w:i/>
          <w:sz w:val="22"/>
          <w:szCs w:val="22"/>
        </w:rPr>
      </w:pPr>
    </w:p>
    <w:p w:rsidR="00837ADE" w:rsidRDefault="00837ADE" w:rsidP="00B649E7">
      <w:pPr>
        <w:ind w:left="284" w:right="284"/>
        <w:jc w:val="both"/>
        <w:rPr>
          <w:rFonts w:ascii="Bookman Old Style" w:hAnsi="Bookman Old Style" w:cs="Arial"/>
          <w:i/>
          <w:sz w:val="22"/>
          <w:szCs w:val="22"/>
        </w:rPr>
      </w:pPr>
      <w:r>
        <w:rPr>
          <w:rFonts w:ascii="Bookman Old Style" w:hAnsi="Bookman Old Style" w:cs="Arial"/>
          <w:i/>
          <w:sz w:val="22"/>
          <w:szCs w:val="22"/>
        </w:rPr>
        <w:t>2. Para la prestación del servicio público domiciliario de GLP a granel, se reiteró desde la misma respuesta a la Res. 221 de 2015 que se encontraba en consulta, que no se consideró la rotación real de los tanques estacionarios, ya que la CREG consideró un único cargue al mes a su capacidad de llenado según la NTC del 85%, así mismo desconoció que al aplicar el Fe: facto de equivalencia de envasado y tanques estacionarios de 0,3 podría comprarse GLP para llenarlo únicamente con 255 galones que equivale a la tercera parte de su capacidad mensual, es decir vuelve ineficiente el activo y la motivación de la inversión de las empresas que puedan crecer en este tipo de servicio o producto en los segmentos residencial, comercial e industrial. Es así como no se tiene en cuenta que para tanques estacionarios se realizan 3 a 5 cargues al mes, sobre todo porque es importante mantener el 40% del tanque lleno por tema de presiones y como empresa tenemos un esquema de remisiones de cobro postpago a través de medidores de consumo.</w:t>
      </w:r>
    </w:p>
    <w:p w:rsidR="00837ADE" w:rsidRDefault="00837ADE" w:rsidP="00B649E7">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 xml:space="preserve">Adicionalmente sea el momento de resaltar que con la disposición recurrida la </w:t>
      </w:r>
      <w:r>
        <w:rPr>
          <w:rFonts w:ascii="Bookman Old Style" w:hAnsi="Bookman Old Style" w:cs="Arial"/>
          <w:i/>
          <w:sz w:val="22"/>
          <w:szCs w:val="22"/>
        </w:rPr>
        <w:t xml:space="preserve">CREG </w:t>
      </w:r>
      <w:r w:rsidRPr="00837ADE">
        <w:rPr>
          <w:rFonts w:ascii="Bookman Old Style" w:hAnsi="Bookman Old Style" w:cs="Arial"/>
          <w:i/>
          <w:sz w:val="22"/>
          <w:szCs w:val="22"/>
        </w:rPr>
        <w:t>nos está limitando la capacidad asignada de com</w:t>
      </w:r>
      <w:r>
        <w:rPr>
          <w:rFonts w:ascii="Bookman Old Style" w:hAnsi="Bookman Old Style" w:cs="Arial"/>
          <w:i/>
          <w:sz w:val="22"/>
          <w:szCs w:val="22"/>
        </w:rPr>
        <w:t xml:space="preserve">pra para cada tanque, limitando </w:t>
      </w:r>
      <w:r w:rsidRPr="00837ADE">
        <w:rPr>
          <w:rFonts w:ascii="Bookman Old Style" w:hAnsi="Bookman Old Style" w:cs="Arial"/>
          <w:i/>
          <w:sz w:val="22"/>
          <w:szCs w:val="22"/>
        </w:rPr>
        <w:t>injustificadamente el crecimiento</w:t>
      </w:r>
      <w:r>
        <w:rPr>
          <w:rFonts w:ascii="Bookman Old Style" w:hAnsi="Bookman Old Style" w:cs="Arial"/>
          <w:i/>
          <w:sz w:val="22"/>
          <w:szCs w:val="22"/>
        </w:rPr>
        <w:t xml:space="preserve"> </w:t>
      </w:r>
      <w:r w:rsidRPr="00837ADE">
        <w:rPr>
          <w:rFonts w:ascii="Bookman Old Style" w:hAnsi="Bookman Old Style" w:cs="Arial"/>
          <w:i/>
          <w:sz w:val="22"/>
          <w:szCs w:val="22"/>
        </w:rPr>
        <w:t>de</w:t>
      </w:r>
      <w:r>
        <w:rPr>
          <w:rFonts w:ascii="Bookman Old Style" w:hAnsi="Bookman Old Style" w:cs="Arial"/>
          <w:i/>
          <w:sz w:val="22"/>
          <w:szCs w:val="22"/>
        </w:rPr>
        <w:t xml:space="preserve"> </w:t>
      </w:r>
      <w:r w:rsidRPr="00837ADE">
        <w:rPr>
          <w:rFonts w:ascii="Bookman Old Style" w:hAnsi="Bookman Old Style" w:cs="Arial"/>
          <w:i/>
          <w:sz w:val="22"/>
          <w:szCs w:val="22"/>
        </w:rPr>
        <w:t>la</w:t>
      </w:r>
      <w:r>
        <w:rPr>
          <w:rFonts w:ascii="Bookman Old Style" w:hAnsi="Bookman Old Style" w:cs="Arial"/>
          <w:i/>
          <w:sz w:val="22"/>
          <w:szCs w:val="22"/>
        </w:rPr>
        <w:t xml:space="preserve"> </w:t>
      </w:r>
      <w:r w:rsidRPr="00837ADE">
        <w:rPr>
          <w:rFonts w:ascii="Bookman Old Style" w:hAnsi="Bookman Old Style" w:cs="Arial"/>
          <w:i/>
          <w:sz w:val="22"/>
          <w:szCs w:val="22"/>
        </w:rPr>
        <w:t>empresa</w:t>
      </w:r>
      <w:r>
        <w:rPr>
          <w:rFonts w:ascii="Bookman Old Style" w:hAnsi="Bookman Old Style" w:cs="Arial"/>
          <w:i/>
          <w:sz w:val="22"/>
          <w:szCs w:val="22"/>
        </w:rPr>
        <w:t xml:space="preserve"> </w:t>
      </w:r>
      <w:r w:rsidRPr="00837ADE">
        <w:rPr>
          <w:rFonts w:ascii="Bookman Old Style" w:hAnsi="Bookman Old Style" w:cs="Arial"/>
          <w:i/>
          <w:sz w:val="22"/>
          <w:szCs w:val="22"/>
        </w:rPr>
        <w:t>y</w:t>
      </w:r>
      <w:r>
        <w:rPr>
          <w:rFonts w:ascii="Bookman Old Style" w:hAnsi="Bookman Old Style" w:cs="Arial"/>
          <w:i/>
          <w:sz w:val="22"/>
          <w:szCs w:val="22"/>
        </w:rPr>
        <w:t xml:space="preserve"> </w:t>
      </w:r>
      <w:r w:rsidRPr="00837ADE">
        <w:rPr>
          <w:rFonts w:ascii="Bookman Old Style" w:hAnsi="Bookman Old Style" w:cs="Arial"/>
          <w:i/>
          <w:sz w:val="22"/>
          <w:szCs w:val="22"/>
        </w:rPr>
        <w:t>generando</w:t>
      </w:r>
      <w:r>
        <w:rPr>
          <w:rFonts w:ascii="Bookman Old Style" w:hAnsi="Bookman Old Style" w:cs="Arial"/>
          <w:i/>
          <w:sz w:val="22"/>
          <w:szCs w:val="22"/>
        </w:rPr>
        <w:t xml:space="preserve"> </w:t>
      </w:r>
      <w:r w:rsidRPr="00837ADE">
        <w:rPr>
          <w:rFonts w:ascii="Bookman Old Style" w:hAnsi="Bookman Old Style" w:cs="Arial"/>
          <w:i/>
          <w:sz w:val="22"/>
          <w:szCs w:val="22"/>
        </w:rPr>
        <w:t>una</w:t>
      </w:r>
      <w:r>
        <w:rPr>
          <w:rFonts w:ascii="Bookman Old Style" w:hAnsi="Bookman Old Style" w:cs="Arial"/>
          <w:i/>
          <w:sz w:val="22"/>
          <w:szCs w:val="22"/>
        </w:rPr>
        <w:t xml:space="preserve"> </w:t>
      </w:r>
      <w:r w:rsidRPr="00837ADE">
        <w:rPr>
          <w:rFonts w:ascii="Bookman Old Style" w:hAnsi="Bookman Old Style" w:cs="Arial"/>
          <w:i/>
          <w:sz w:val="22"/>
          <w:szCs w:val="22"/>
        </w:rPr>
        <w:t>pérdida</w:t>
      </w:r>
      <w:r>
        <w:rPr>
          <w:rFonts w:ascii="Bookman Old Style" w:hAnsi="Bookman Old Style" w:cs="Arial"/>
          <w:i/>
          <w:sz w:val="22"/>
          <w:szCs w:val="22"/>
        </w:rPr>
        <w:t xml:space="preserve"> </w:t>
      </w:r>
      <w:r w:rsidRPr="00837ADE">
        <w:rPr>
          <w:rFonts w:ascii="Bookman Old Style" w:hAnsi="Bookman Old Style" w:cs="Arial"/>
          <w:i/>
          <w:sz w:val="22"/>
          <w:szCs w:val="22"/>
        </w:rPr>
        <w:t>del</w:t>
      </w:r>
      <w:r>
        <w:rPr>
          <w:rFonts w:ascii="Bookman Old Style" w:hAnsi="Bookman Old Style" w:cs="Arial"/>
          <w:i/>
          <w:sz w:val="22"/>
          <w:szCs w:val="22"/>
        </w:rPr>
        <w:t xml:space="preserve"> </w:t>
      </w:r>
      <w:r w:rsidRPr="00837ADE">
        <w:rPr>
          <w:rFonts w:ascii="Bookman Old Style" w:hAnsi="Bookman Old Style" w:cs="Arial"/>
          <w:i/>
          <w:sz w:val="22"/>
          <w:szCs w:val="22"/>
        </w:rPr>
        <w:t>79%</w:t>
      </w:r>
      <w:r>
        <w:rPr>
          <w:rFonts w:ascii="Bookman Old Style" w:hAnsi="Bookman Old Style" w:cs="Arial"/>
          <w:i/>
          <w:sz w:val="22"/>
          <w:szCs w:val="22"/>
        </w:rPr>
        <w:t xml:space="preserve"> </w:t>
      </w:r>
      <w:r w:rsidRPr="00837ADE">
        <w:rPr>
          <w:rFonts w:ascii="Bookman Old Style" w:hAnsi="Bookman Old Style" w:cs="Arial"/>
          <w:i/>
          <w:sz w:val="22"/>
          <w:szCs w:val="22"/>
        </w:rPr>
        <w:t>en</w:t>
      </w:r>
      <w:r>
        <w:rPr>
          <w:rFonts w:ascii="Bookman Old Style" w:hAnsi="Bookman Old Style" w:cs="Arial"/>
          <w:i/>
          <w:sz w:val="22"/>
          <w:szCs w:val="22"/>
        </w:rPr>
        <w:t xml:space="preserve"> </w:t>
      </w:r>
      <w:r w:rsidRPr="00837ADE">
        <w:rPr>
          <w:rFonts w:ascii="Bookman Old Style" w:hAnsi="Bookman Old Style" w:cs="Arial"/>
          <w:i/>
          <w:sz w:val="22"/>
          <w:szCs w:val="22"/>
        </w:rPr>
        <w:t>la inversión del activo, generando así una posible falla en la prestación del servicio ante el desabastecimiento del producto en la región, situación que</w:t>
      </w:r>
      <w:r>
        <w:rPr>
          <w:rFonts w:ascii="Bookman Old Style" w:hAnsi="Bookman Old Style" w:cs="Arial"/>
          <w:i/>
          <w:sz w:val="22"/>
          <w:szCs w:val="22"/>
        </w:rPr>
        <w:t xml:space="preserve"> </w:t>
      </w:r>
      <w:r w:rsidRPr="00837ADE">
        <w:rPr>
          <w:rFonts w:ascii="Bookman Old Style" w:hAnsi="Bookman Old Style" w:cs="Arial"/>
          <w:i/>
          <w:sz w:val="22"/>
          <w:szCs w:val="22"/>
        </w:rPr>
        <w:t>puede ocasionar el cumplimiento de</w:t>
      </w:r>
      <w:r>
        <w:rPr>
          <w:rFonts w:ascii="Bookman Old Style" w:hAnsi="Bookman Old Style" w:cs="Arial"/>
          <w:i/>
          <w:sz w:val="22"/>
          <w:szCs w:val="22"/>
        </w:rPr>
        <w:t xml:space="preserve"> la</w:t>
      </w:r>
      <w:r w:rsidRPr="00837ADE">
        <w:rPr>
          <w:rFonts w:ascii="Bookman Old Style" w:hAnsi="Bookman Old Style" w:cs="Arial"/>
          <w:i/>
          <w:sz w:val="22"/>
          <w:szCs w:val="22"/>
        </w:rPr>
        <w:t xml:space="preserve"> resolución impugnada </w:t>
      </w:r>
      <w:r>
        <w:rPr>
          <w:rFonts w:ascii="Bookman Old Style" w:hAnsi="Bookman Old Style" w:cs="Arial"/>
          <w:i/>
          <w:sz w:val="22"/>
          <w:szCs w:val="22"/>
        </w:rPr>
        <w:t>(…)</w:t>
      </w:r>
    </w:p>
    <w:p w:rsidR="00837ADE" w:rsidRDefault="00837ADE" w:rsidP="00837ADE">
      <w:pPr>
        <w:ind w:left="284" w:right="284"/>
        <w:jc w:val="both"/>
        <w:rPr>
          <w:rFonts w:ascii="Bookman Old Style" w:hAnsi="Bookman Old Style" w:cs="Arial"/>
          <w:i/>
          <w:sz w:val="22"/>
          <w:szCs w:val="22"/>
        </w:rPr>
      </w:pPr>
    </w:p>
    <w:p w:rsidR="00837ADE" w:rsidRP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En consecuencia el factor de equivalencia determinado por la GPEG para tanques estacio</w:t>
      </w:r>
      <w:r>
        <w:rPr>
          <w:rFonts w:ascii="Bookman Old Style" w:hAnsi="Bookman Old Style" w:cs="Arial"/>
          <w:i/>
          <w:sz w:val="22"/>
          <w:szCs w:val="22"/>
        </w:rPr>
        <w:t xml:space="preserve">nario está totalmente alejado de </w:t>
      </w:r>
      <w:r w:rsidRPr="00837ADE">
        <w:rPr>
          <w:rFonts w:ascii="Bookman Old Style" w:hAnsi="Bookman Old Style" w:cs="Arial"/>
          <w:i/>
          <w:sz w:val="22"/>
          <w:szCs w:val="22"/>
        </w:rPr>
        <w:t>la realidad, para soportarlo dicho se realizó una comparación cliente</w:t>
      </w:r>
      <w:r w:rsidRPr="00837ADE">
        <w:t xml:space="preserve"> </w:t>
      </w:r>
      <w:r w:rsidRPr="00837ADE">
        <w:rPr>
          <w:rFonts w:ascii="Bookman Old Style" w:hAnsi="Bookman Old Style" w:cs="Arial"/>
          <w:i/>
          <w:sz w:val="22"/>
          <w:szCs w:val="22"/>
        </w:rPr>
        <w:t>por cliente en cada una de las modalidades, comparando la capacidad instalada en kilos al 85% frente al promedio de ventas reportadas en SUI en el periodo Noviembre 2015 - Abril del 2016</w:t>
      </w:r>
      <w:r>
        <w:rPr>
          <w:rFonts w:ascii="Bookman Old Style" w:hAnsi="Bookman Old Style" w:cs="Arial"/>
          <w:i/>
          <w:sz w:val="22"/>
          <w:szCs w:val="22"/>
        </w:rPr>
        <w:t xml:space="preserve"> (…)</w:t>
      </w: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 xml:space="preserve"> </w:t>
      </w:r>
    </w:p>
    <w:p w:rsidR="00837ADE" w:rsidRP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En el primer caso en la facturación por medio de medidores a clientes residenciales se encue</w:t>
      </w:r>
      <w:r>
        <w:rPr>
          <w:rFonts w:ascii="Bookman Old Style" w:hAnsi="Bookman Old Style" w:cs="Arial"/>
          <w:i/>
          <w:sz w:val="22"/>
          <w:szCs w:val="22"/>
        </w:rPr>
        <w:t xml:space="preserve">ntra una diferencia promedio de 0. </w:t>
      </w:r>
      <w:r w:rsidRPr="00837ADE">
        <w:rPr>
          <w:rFonts w:ascii="Bookman Old Style" w:hAnsi="Bookman Old Style" w:cs="Arial"/>
          <w:i/>
          <w:sz w:val="22"/>
          <w:szCs w:val="22"/>
        </w:rPr>
        <w:t>28 entre el factor de equivalencia establecido en la resolución CREG 075 de 2016 y el real de nuestra empresa, lo que nos representa una disminución de 59.922 kilos mes en el total de producto requerido para la atención de nuestros clientes con tanques estacionarios, Esta disminución representa 3.154 usuarios residenciales que no se podrían atender.</w:t>
      </w:r>
    </w:p>
    <w:p w:rsid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lastRenderedPageBreak/>
        <w:t>En el segundo caso en la facturación por medio de medidores a clientes comerciales e industriales al comparar el factor de equivalencia de la empresa Vs. el de la Resolución 075, se encuentra una diferencia de (0,75) representado en 40.917 kilos mes Esta disminución representa 11 clientes comerciales e Industriales a los cuales no podríamos seguir prestando el servicio, entre los que tenemos la empresa Colacteos y reconocidos Centros Comerciales entre otros, para los efectos se adjuntan compras realizadas en el mes de mayo del 2016 de dos clientes reconocidos donde se demuestra que realizan una recarga a su tanque estacionario de 3 a 4 veces por mes, situación que se demuestra en folios a 458</w:t>
      </w:r>
      <w:r>
        <w:rPr>
          <w:rFonts w:ascii="Bookman Old Style" w:hAnsi="Bookman Old Style" w:cs="Arial"/>
          <w:i/>
          <w:sz w:val="22"/>
          <w:szCs w:val="22"/>
        </w:rPr>
        <w:t>.</w:t>
      </w:r>
    </w:p>
    <w:p w:rsidR="00837ADE" w:rsidRDefault="00837ADE" w:rsidP="00837ADE">
      <w:pPr>
        <w:ind w:left="284" w:right="284"/>
        <w:jc w:val="both"/>
        <w:rPr>
          <w:rFonts w:ascii="Bookman Old Style" w:hAnsi="Bookman Old Style" w:cs="Arial"/>
          <w:i/>
          <w:sz w:val="22"/>
          <w:szCs w:val="22"/>
        </w:rPr>
      </w:pPr>
    </w:p>
    <w:p w:rsidR="00B36712"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En el tercer caso en facturación a clientes comerciales e Industriales se nos presenta una diferencia de (1,05) una de las más representativas y que equivale a 481.979 kilos al mes, con lo cual afectaríamos a 804 clientes en esta modalidad entre los que estarían el Hospital Departamental de Nariño, el Hospital civil de Ipiales, el Hospital San Pedro, la Cárcel de varones, Gaseosas Córdoba, Gaseosas la Cigarra, Asaderos, empresas de productos Cárnicos, Panaderías y Crematorios entre otros clientes que se verían inmediata y directamente afectados con el desabastecimiento ante la aplicación de</w:t>
      </w:r>
      <w:r>
        <w:rPr>
          <w:rFonts w:ascii="Bookman Old Style" w:hAnsi="Bookman Old Style" w:cs="Arial"/>
          <w:i/>
          <w:sz w:val="22"/>
          <w:szCs w:val="22"/>
        </w:rPr>
        <w:t xml:space="preserve"> la Resolución CREG 075 de 2016 (…)</w:t>
      </w:r>
    </w:p>
    <w:p w:rsid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La siguiente tabla demuestra con una regla de tres simple que para el c</w:t>
      </w:r>
      <w:r>
        <w:rPr>
          <w:rFonts w:ascii="Bookman Old Style" w:hAnsi="Bookman Old Style" w:cs="Arial"/>
          <w:i/>
          <w:sz w:val="22"/>
          <w:szCs w:val="22"/>
        </w:rPr>
        <w:t>aso de MONTAGAS S.A. E S P. el ‘Fe; factor de equivalencia’</w:t>
      </w:r>
      <w:r w:rsidRPr="00837ADE">
        <w:rPr>
          <w:rFonts w:ascii="Bookman Old Style" w:hAnsi="Bookman Old Style" w:cs="Arial"/>
          <w:i/>
          <w:sz w:val="22"/>
          <w:szCs w:val="22"/>
        </w:rPr>
        <w:t xml:space="preserve"> es mensualmente variable y por las particularidades mencionadas de nuestra región, está por encima del establecido a nivel nacional. En la siguiente tabla se muestra el promedio del comportamiento de las ventas de los últimos seis meses, el cual expresa las cifr</w:t>
      </w:r>
      <w:r>
        <w:rPr>
          <w:rFonts w:ascii="Bookman Old Style" w:hAnsi="Bookman Old Style" w:cs="Arial"/>
          <w:i/>
          <w:sz w:val="22"/>
          <w:szCs w:val="22"/>
        </w:rPr>
        <w:t>as calculadas de afectación (…)</w:t>
      </w:r>
    </w:p>
    <w:p w:rsid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u w:val="single"/>
        </w:rPr>
      </w:pPr>
      <w:r w:rsidRPr="00837ADE">
        <w:rPr>
          <w:rFonts w:ascii="Bookman Old Style" w:hAnsi="Bookman Old Style" w:cs="Arial"/>
          <w:i/>
          <w:sz w:val="22"/>
          <w:szCs w:val="22"/>
          <w:u w:val="single"/>
        </w:rPr>
        <w:t>De acuerdo al Fe; factor de equivalencia establecido en la resolución, este se encuentra por debajo del factor real de la demanda de este servicio público que corresponde a un Fe: factor de equivalencia de 0,3697</w:t>
      </w:r>
      <w:r>
        <w:rPr>
          <w:rFonts w:ascii="Bookman Old Style" w:hAnsi="Bookman Old Style" w:cs="Arial"/>
          <w:i/>
          <w:sz w:val="22"/>
          <w:szCs w:val="22"/>
          <w:u w:val="single"/>
        </w:rPr>
        <w:t xml:space="preserve"> (…)</w:t>
      </w:r>
    </w:p>
    <w:p w:rsidR="00837ADE" w:rsidRDefault="00837ADE" w:rsidP="00837ADE">
      <w:pPr>
        <w:ind w:left="284" w:right="284"/>
        <w:jc w:val="both"/>
        <w:rPr>
          <w:rFonts w:ascii="Bookman Old Style" w:hAnsi="Bookman Old Style" w:cs="Arial"/>
          <w:i/>
          <w:sz w:val="22"/>
          <w:szCs w:val="22"/>
          <w:u w:val="single"/>
        </w:rPr>
      </w:pPr>
    </w:p>
    <w:p w:rsidR="00837ADE" w:rsidRPr="00837ADE" w:rsidRDefault="00837ADE" w:rsidP="00837ADE">
      <w:pPr>
        <w:ind w:left="284" w:right="284"/>
        <w:jc w:val="both"/>
        <w:rPr>
          <w:rFonts w:ascii="Bookman Old Style" w:hAnsi="Bookman Old Style" w:cs="Arial"/>
          <w:i/>
          <w:sz w:val="22"/>
          <w:szCs w:val="22"/>
          <w:u w:val="single"/>
        </w:rPr>
      </w:pPr>
      <w:r w:rsidRPr="00837ADE">
        <w:rPr>
          <w:rFonts w:ascii="Bookman Old Style" w:hAnsi="Bookman Old Style" w:cs="Arial"/>
          <w:i/>
          <w:sz w:val="22"/>
          <w:szCs w:val="22"/>
          <w:u w:val="single"/>
        </w:rPr>
        <w:t>La Res. CREG 075 de 2016 en su artículo 1 señala una capacidad de compra de 145.227 kilogramos en el periodo cara Montagas SA ESP (Código SUI 6026) v para su comercializador minorista Energas SA ESP</w:t>
      </w:r>
      <w:r>
        <w:rPr>
          <w:rFonts w:ascii="Bookman Old Style" w:hAnsi="Bookman Old Style" w:cs="Arial"/>
          <w:i/>
          <w:sz w:val="22"/>
          <w:szCs w:val="22"/>
          <w:u w:val="single"/>
        </w:rPr>
        <w:t xml:space="preserve"> </w:t>
      </w:r>
      <w:r w:rsidRPr="00837ADE">
        <w:rPr>
          <w:rFonts w:ascii="Bookman Old Style" w:hAnsi="Bookman Old Style" w:cs="Arial"/>
          <w:i/>
          <w:sz w:val="22"/>
          <w:szCs w:val="22"/>
          <w:u w:val="single"/>
        </w:rPr>
        <w:t>(Código SUI 14141. En atención a la cesión de marca realizada v en proceso de registro en el SUI, la capacidad de compra de Montagas SA ESP incluido su comercializador minorista sería de 3.455.544 kilogramos mensuales.</w:t>
      </w:r>
    </w:p>
    <w:p w:rsidR="00837ADE" w:rsidRDefault="00837ADE" w:rsidP="00837ADE">
      <w:pPr>
        <w:ind w:left="284" w:right="284"/>
        <w:jc w:val="both"/>
        <w:rPr>
          <w:rFonts w:ascii="Bookman Old Style" w:hAnsi="Bookman Old Style" w:cs="Arial"/>
          <w:i/>
          <w:sz w:val="22"/>
          <w:szCs w:val="22"/>
          <w:u w:val="single"/>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Gráfica 4. Cálculo CCit según Res CREG 063 de 2016 para Montagas SA ESP modificando el Fe factor ríe equivalencia de 0,3697 por regla de tres simple, calculados por Montagas SA ESP y con el inventario de tanques estacionarios reportados a diciembre de 2015 y Energas SA ESP como comercializador minorista de la empresa.</w:t>
      </w:r>
      <w:r>
        <w:rPr>
          <w:rFonts w:ascii="Bookman Old Style" w:hAnsi="Bookman Old Style" w:cs="Arial"/>
          <w:i/>
          <w:sz w:val="22"/>
          <w:szCs w:val="22"/>
        </w:rPr>
        <w:t xml:space="preserve"> (…)</w:t>
      </w:r>
    </w:p>
    <w:p w:rsid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Existe una diferencia entre la capacidad de compra establecida en la RES. CREG 075 de 2016 en su artículo 1 de 4.138.977 kilogramos en el periodo pare Montagas SA ESP (Código SUI 6026) y su comercializador minorista Energas SA ESP (Código SU11414). Por lo tanto, la capacidad de compra de Montagas SA ESP Incluido su comercializador sería mensual de 4.121.169 kilogramos.</w:t>
      </w:r>
    </w:p>
    <w:p w:rsidR="00837ADE" w:rsidRP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Se concluye entonces que el resultado del periodo de una realidad de 24.727.013 kilogramos, solo se están otorgando en la resolución impugnada 20.397.633 kilogramos para MONTAGAS SA ESP y 190.403 kilogramos para Energas SA ESP, por las consideraciones expuestas anteriormente y conforme a cada uno de los hechos detallados, se asigna una menor cantidad en 4.121.169 kilogramos para el periodo. En atención a ello:</w:t>
      </w:r>
    </w:p>
    <w:p w:rsidR="00837ADE" w:rsidRDefault="00837ADE" w:rsidP="00837ADE">
      <w:pPr>
        <w:ind w:left="284" w:right="284"/>
        <w:jc w:val="both"/>
        <w:rPr>
          <w:rFonts w:ascii="Bookman Old Style" w:hAnsi="Bookman Old Style" w:cs="Arial"/>
          <w:i/>
          <w:sz w:val="22"/>
          <w:szCs w:val="22"/>
        </w:rPr>
      </w:pPr>
    </w:p>
    <w:p w:rsid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lastRenderedPageBreak/>
        <w:t>1.</w:t>
      </w:r>
      <w:r w:rsidRPr="00837ADE">
        <w:rPr>
          <w:rFonts w:ascii="Bookman Old Style" w:hAnsi="Bookman Old Style" w:cs="Arial"/>
          <w:i/>
          <w:sz w:val="22"/>
          <w:szCs w:val="22"/>
        </w:rPr>
        <w:tab/>
        <w:t>Se solicita se revise minuciosamente la información del SUI de las ventas realizadas a cada tanque estacionario reportado, actualizando el Fe; factor de equivalencia de tanques estacionarios a la realidad de la prestación del servicio público, esto es aplicándose un Fe factor de equivalencia de 0,3697</w:t>
      </w:r>
    </w:p>
    <w:p w:rsidR="00837ADE" w:rsidRPr="00837ADE" w:rsidRDefault="00837ADE" w:rsidP="00837ADE">
      <w:pPr>
        <w:ind w:left="284" w:right="284"/>
        <w:jc w:val="both"/>
        <w:rPr>
          <w:rFonts w:ascii="Bookman Old Style" w:hAnsi="Bookman Old Style" w:cs="Arial"/>
          <w:i/>
          <w:sz w:val="22"/>
          <w:szCs w:val="22"/>
        </w:rPr>
      </w:pPr>
    </w:p>
    <w:p w:rsidR="00837ADE" w:rsidRP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Así las cosas, se considera que la afectación es real, puesto que la empresa MONTAGAS S.A.E.S.P no podría comprar en promedio de 665.625- kilos de GLP mensuales, aplicando el Fe; factor de equivalencia de 0,3 establecido por la resolución impugnada, lo que se traduce en una afectación directa a nuestros usuarios quienes no podrían ser atendidos con el servicio público domiciliario de gas combustible GLP, consagrado en la ley 142 de 1994 y quienes hoy en día se regocijan de un servicio continuo, ininterrumpido y eficiente. Prueba de ello son las certificaciones emitidas por tres clientes que hacen constar que las entregas se hacen de manera continua y benefician a varias familias del suroccidente colombiano en folios 385 a 387.</w:t>
      </w:r>
    </w:p>
    <w:p w:rsidR="00786AC9" w:rsidRDefault="00786AC9" w:rsidP="00837ADE">
      <w:pPr>
        <w:ind w:left="284" w:right="284"/>
        <w:jc w:val="both"/>
        <w:rPr>
          <w:rFonts w:ascii="Bookman Old Style" w:hAnsi="Bookman Old Style" w:cs="Arial"/>
          <w:i/>
          <w:sz w:val="22"/>
          <w:szCs w:val="22"/>
        </w:rPr>
      </w:pPr>
    </w:p>
    <w:p w:rsidR="00837ADE" w:rsidRP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Cabe resaltar que es deber del estado, a través de la comisión de regulación proteger el derecho co</w:t>
      </w:r>
      <w:r w:rsidR="00786AC9">
        <w:rPr>
          <w:rFonts w:ascii="Bookman Old Style" w:hAnsi="Bookman Old Style" w:cs="Arial"/>
          <w:i/>
          <w:sz w:val="22"/>
          <w:szCs w:val="22"/>
        </w:rPr>
        <w:t>nstitucional de los usuarios a l</w:t>
      </w:r>
      <w:r w:rsidRPr="00837ADE">
        <w:rPr>
          <w:rFonts w:ascii="Bookman Old Style" w:hAnsi="Bookman Old Style" w:cs="Arial"/>
          <w:i/>
          <w:sz w:val="22"/>
          <w:szCs w:val="22"/>
        </w:rPr>
        <w:t xml:space="preserve">a prestación del servicio público esencial de </w:t>
      </w:r>
      <w:r w:rsidR="00503E2E" w:rsidRPr="00837ADE">
        <w:rPr>
          <w:rFonts w:ascii="Bookman Old Style" w:hAnsi="Bookman Old Style" w:cs="Arial"/>
          <w:i/>
          <w:sz w:val="22"/>
          <w:szCs w:val="22"/>
        </w:rPr>
        <w:t>GLP</w:t>
      </w:r>
      <w:r w:rsidRPr="00837ADE">
        <w:rPr>
          <w:rFonts w:ascii="Bookman Old Style" w:hAnsi="Bookman Old Style" w:cs="Arial"/>
          <w:i/>
          <w:sz w:val="22"/>
          <w:szCs w:val="22"/>
        </w:rPr>
        <w:t>, por lo que la CREG contrario a la situación crea</w:t>
      </w:r>
      <w:r w:rsidR="00786AC9">
        <w:rPr>
          <w:rFonts w:ascii="Bookman Old Style" w:hAnsi="Bookman Old Style" w:cs="Arial"/>
          <w:i/>
          <w:sz w:val="22"/>
          <w:szCs w:val="22"/>
        </w:rPr>
        <w:t>da con la Resolución CREG 075 de</w:t>
      </w:r>
      <w:r w:rsidRPr="00837ADE">
        <w:rPr>
          <w:rFonts w:ascii="Bookman Old Style" w:hAnsi="Bookman Old Style" w:cs="Arial"/>
          <w:i/>
          <w:sz w:val="22"/>
          <w:szCs w:val="22"/>
        </w:rPr>
        <w:t xml:space="preserve"> 2016 debe propender por crear y preservar condiciones que hagan posible una adecuada prestación del servicio con parámetros de seguridad y confiabilidad en el abastecimiento de los usuarios, más aún en el caso de los usuarios subsidiados en estos departamento por estricta prescripción constitucional.</w:t>
      </w:r>
    </w:p>
    <w:p w:rsidR="00786AC9" w:rsidRDefault="00786AC9" w:rsidP="00837ADE">
      <w:pPr>
        <w:ind w:left="284" w:right="284"/>
        <w:jc w:val="both"/>
        <w:rPr>
          <w:rFonts w:ascii="Bookman Old Style" w:hAnsi="Bookman Old Style" w:cs="Arial"/>
          <w:i/>
          <w:sz w:val="22"/>
          <w:szCs w:val="22"/>
        </w:rPr>
      </w:pPr>
    </w:p>
    <w:p w:rsidR="00837ADE" w:rsidRPr="00837ADE" w:rsidRDefault="00837ADE" w:rsidP="00837ADE">
      <w:pPr>
        <w:ind w:left="284" w:right="284"/>
        <w:jc w:val="both"/>
        <w:rPr>
          <w:rFonts w:ascii="Bookman Old Style" w:hAnsi="Bookman Old Style" w:cs="Arial"/>
          <w:i/>
          <w:sz w:val="22"/>
          <w:szCs w:val="22"/>
        </w:rPr>
      </w:pPr>
      <w:r w:rsidRPr="00837ADE">
        <w:rPr>
          <w:rFonts w:ascii="Bookman Old Style" w:hAnsi="Bookman Old Style" w:cs="Arial"/>
          <w:i/>
          <w:sz w:val="22"/>
          <w:szCs w:val="22"/>
        </w:rPr>
        <w:t>Por ello ponemos de presente que si se accediera a aplicar el Fe; factor de equivalencia calculado por Montagas SA ESP siguiendo una regla de tres simple, expuesta en la gráfica No. 1, se dispondría del producto necesario para atenderá la totalidad de los usuarios y eventualmente proyectar un leve crecimiento con el fin de cumplir los fines constitucionales del estado en los usuarios rurales. De lo contrario la CREG estaría restringiendo la libertad de empresa, que comprende el derecho constitucional de la compañía a crecer y mantenerse eficientemente en el mercado.</w:t>
      </w:r>
      <w:r w:rsidR="00786AC9">
        <w:rPr>
          <w:rFonts w:ascii="Bookman Old Style" w:hAnsi="Bookman Old Style" w:cs="Arial"/>
          <w:i/>
          <w:sz w:val="22"/>
          <w:szCs w:val="22"/>
        </w:rPr>
        <w:t>”</w:t>
      </w:r>
    </w:p>
    <w:p w:rsidR="00837ADE" w:rsidRPr="0045042D" w:rsidRDefault="00837ADE" w:rsidP="00786AC9">
      <w:pPr>
        <w:pStyle w:val="Textoindependiente2"/>
        <w:spacing w:after="0" w:line="240" w:lineRule="auto"/>
        <w:ind w:left="0" w:right="-142"/>
        <w:jc w:val="both"/>
        <w:rPr>
          <w:rFonts w:ascii="Bookman Old Style" w:hAnsi="Bookman Old Style"/>
          <w:szCs w:val="27"/>
        </w:rPr>
      </w:pPr>
    </w:p>
    <w:p w:rsidR="0045042D" w:rsidRPr="005A0D57" w:rsidRDefault="0045042D" w:rsidP="00786AC9">
      <w:pPr>
        <w:pStyle w:val="Textoindependiente2"/>
        <w:spacing w:after="0" w:line="240" w:lineRule="auto"/>
        <w:ind w:left="-142" w:right="-142"/>
        <w:jc w:val="both"/>
        <w:rPr>
          <w:rFonts w:ascii="Bookman Old Style" w:hAnsi="Bookman Old Style"/>
          <w:i/>
          <w:sz w:val="22"/>
          <w:szCs w:val="22"/>
        </w:rPr>
      </w:pPr>
      <w:r>
        <w:rPr>
          <w:rFonts w:ascii="Bookman Old Style" w:hAnsi="Bookman Old Style"/>
          <w:szCs w:val="27"/>
        </w:rPr>
        <w:t>Adicionalmente</w:t>
      </w:r>
      <w:r w:rsidR="00786AC9">
        <w:rPr>
          <w:rFonts w:ascii="Bookman Old Style" w:hAnsi="Bookman Old Style"/>
          <w:szCs w:val="27"/>
        </w:rPr>
        <w:t>, Montagas</w:t>
      </w:r>
      <w:r>
        <w:rPr>
          <w:rFonts w:ascii="Bookman Old Style" w:hAnsi="Bookman Old Style"/>
          <w:szCs w:val="27"/>
        </w:rPr>
        <w:t xml:space="preserve"> solicita </w:t>
      </w:r>
      <w:r w:rsidR="00786AC9">
        <w:rPr>
          <w:rFonts w:ascii="Bookman Old Style" w:hAnsi="Bookman Old Style"/>
          <w:szCs w:val="27"/>
        </w:rPr>
        <w:t>se tenga como prueba copia de 140 facturas relativas a la compra de ci</w:t>
      </w:r>
      <w:r w:rsidR="002153A7">
        <w:rPr>
          <w:rFonts w:ascii="Bookman Old Style" w:hAnsi="Bookman Old Style"/>
          <w:szCs w:val="27"/>
        </w:rPr>
        <w:t>lindros y tanques estacionarios realizadas entre los años 2012 a 2015.</w:t>
      </w: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de cilindros</w:t>
      </w:r>
      <w:r w:rsidR="004D7892">
        <w:rPr>
          <w:rFonts w:ascii="Bookman Old Style" w:hAnsi="Bookman Old Style"/>
          <w:szCs w:val="27"/>
        </w:rPr>
        <w:t xml:space="preserve"> y tanques estacionarios</w:t>
      </w:r>
      <w:r w:rsidRPr="00EE6670">
        <w:rPr>
          <w:rFonts w:ascii="Bookman Old Style" w:hAnsi="Bookman Old Style"/>
          <w:szCs w:val="27"/>
        </w:rPr>
        <w:t xml:space="preserve"> efectivamente reportados por </w:t>
      </w:r>
      <w:r w:rsidR="00503E2E">
        <w:rPr>
          <w:rFonts w:ascii="Bookman Old Style" w:hAnsi="Bookman Old Style"/>
          <w:szCs w:val="27"/>
        </w:rPr>
        <w:t>Montagas a m</w:t>
      </w:r>
      <w:r w:rsidR="004C650F">
        <w:rPr>
          <w:rFonts w:ascii="Bookman Old Style" w:hAnsi="Bookman Old Style"/>
          <w:szCs w:val="27"/>
        </w:rPr>
        <w:t xml:space="preserve">ayo de 2016, </w:t>
      </w:r>
      <w:r w:rsidR="004D7892">
        <w:rPr>
          <w:rFonts w:ascii="Bookman Old Style" w:hAnsi="Bookman Old Style"/>
          <w:szCs w:val="27"/>
        </w:rPr>
        <w:t>por lo que esta Comisión de acuerdo con las</w:t>
      </w:r>
      <w:r w:rsidRPr="00EE6670">
        <w:rPr>
          <w:rFonts w:ascii="Bookman Old Style" w:hAnsi="Bookman Old Style"/>
          <w:szCs w:val="27"/>
        </w:rPr>
        <w:t xml:space="preserve"> facultades </w:t>
      </w:r>
      <w:r w:rsidR="004C650F">
        <w:rPr>
          <w:rFonts w:ascii="Bookman Old Style" w:hAnsi="Bookman Old Style"/>
          <w:szCs w:val="27"/>
        </w:rPr>
        <w:t>con las que cuenta en</w:t>
      </w:r>
      <w:r w:rsidRPr="00EE6670">
        <w:rPr>
          <w:rFonts w:ascii="Bookman Old Style" w:hAnsi="Bookman Old Style"/>
          <w:szCs w:val="27"/>
        </w:rPr>
        <w:t xml:space="preserve"> 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w:t>
      </w:r>
      <w:r w:rsidRPr="00EE6670">
        <w:rPr>
          <w:rFonts w:ascii="Bookman Old Style" w:hAnsi="Bookman Old Style" w:cs="Arial"/>
          <w:i/>
          <w:sz w:val="22"/>
          <w:szCs w:val="22"/>
        </w:rPr>
        <w:lastRenderedPageBreak/>
        <w:t xml:space="preserve">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4C650F" w:rsidP="004C650F">
      <w:pPr>
        <w:pStyle w:val="Textoindependiente2"/>
        <w:spacing w:after="0" w:line="240" w:lineRule="auto"/>
        <w:ind w:left="-142" w:right="-142"/>
        <w:jc w:val="both"/>
        <w:rPr>
          <w:rFonts w:ascii="Bookman Old Style" w:hAnsi="Bookman Old Style"/>
          <w:szCs w:val="27"/>
        </w:rPr>
      </w:pPr>
      <w:r w:rsidRPr="004C650F">
        <w:rPr>
          <w:rFonts w:ascii="Bookman Old Style" w:hAnsi="Bookman Old Style"/>
          <w:szCs w:val="27"/>
        </w:rPr>
        <w:t xml:space="preserve">Mediante oficio con radicado CREG E-2016-010390 de 23 de septiembre de 2016 la Superintendencia de Servicios Públicos Domiciliarios  a través de la Delegada de Energía Eléctrica y Gas Combustible remitió la información solicitada por esta </w:t>
      </w:r>
      <w:r w:rsidRPr="004C650F">
        <w:rPr>
          <w:rFonts w:ascii="Bookman Old Style" w:hAnsi="Bookman Old Style"/>
          <w:szCs w:val="27"/>
        </w:rPr>
        <w:lastRenderedPageBreak/>
        <w:t xml:space="preserve">Comisión. </w:t>
      </w:r>
      <w:r w:rsidR="004822BE">
        <w:rPr>
          <w:rFonts w:ascii="Bookman Old Style" w:hAnsi="Bookman Old Style"/>
          <w:szCs w:val="27"/>
        </w:rPr>
        <w:t xml:space="preserve">En atención a lo anterior procederá esta Comisión a exponer el análisis de los resultados de la misma, así como resolver las consideraciones y argumentos expuestos por parte de </w:t>
      </w:r>
      <w:r>
        <w:rPr>
          <w:rFonts w:ascii="Bookman Old Style" w:hAnsi="Bookman Old Style"/>
          <w:szCs w:val="27"/>
        </w:rPr>
        <w:t>Montagas</w:t>
      </w:r>
      <w:r w:rsidR="004822BE">
        <w:rPr>
          <w:rFonts w:ascii="Bookman Old Style" w:hAnsi="Bookman Old Style"/>
          <w:szCs w:val="27"/>
        </w:rPr>
        <w:t xml:space="preserve"> en su recurso frente a la Resolución CREG 075 de 2016.</w:t>
      </w:r>
    </w:p>
    <w:p w:rsidR="00EE6670" w:rsidRDefault="00EE6670"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F5D90" w:rsidRDefault="00380F4F" w:rsidP="005F5D9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0E7872">
        <w:rPr>
          <w:rFonts w:ascii="Bookman Old Style" w:hAnsi="Bookman Old Style"/>
          <w:szCs w:val="27"/>
        </w:rPr>
        <w:t>Montagas</w:t>
      </w:r>
      <w:r>
        <w:rPr>
          <w:rFonts w:ascii="Bookman Old Style" w:hAnsi="Bookman Old Style"/>
          <w:szCs w:val="27"/>
        </w:rPr>
        <w:t xml:space="preserve">, </w:t>
      </w:r>
      <w:r w:rsidR="005F5D90">
        <w:rPr>
          <w:rFonts w:ascii="Bookman Old Style" w:hAnsi="Bookman Old Style"/>
          <w:szCs w:val="27"/>
        </w:rPr>
        <w:t>atendiendo los siguientes argumentos:</w:t>
      </w:r>
    </w:p>
    <w:p w:rsidR="005F5D90" w:rsidRDefault="005F5D90" w:rsidP="005F5D90">
      <w:pPr>
        <w:pStyle w:val="Textoindependiente2"/>
        <w:spacing w:after="0" w:line="240" w:lineRule="auto"/>
        <w:ind w:left="-142" w:right="-142"/>
        <w:jc w:val="both"/>
        <w:rPr>
          <w:rFonts w:ascii="Bookman Old Style" w:hAnsi="Bookman Old Style"/>
          <w:szCs w:val="27"/>
        </w:rPr>
      </w:pPr>
    </w:p>
    <w:p w:rsidR="005F5D90" w:rsidRDefault="00CE7163" w:rsidP="005F5D90">
      <w:pPr>
        <w:pStyle w:val="Textoindependiente2"/>
        <w:numPr>
          <w:ilvl w:val="0"/>
          <w:numId w:val="39"/>
        </w:numPr>
        <w:spacing w:after="0" w:line="240" w:lineRule="auto"/>
        <w:ind w:right="-142"/>
        <w:jc w:val="both"/>
        <w:rPr>
          <w:rFonts w:ascii="Bookman Old Style" w:hAnsi="Bookman Old Style"/>
          <w:szCs w:val="27"/>
        </w:rPr>
      </w:pPr>
      <w:r>
        <w:rPr>
          <w:rFonts w:ascii="Bookman Old Style" w:hAnsi="Bookman Old Style"/>
          <w:szCs w:val="27"/>
        </w:rPr>
        <w:t>No atender las observaciones hechas por Montagas en el proceso de consulta de l</w:t>
      </w:r>
      <w:r w:rsidR="00503E2E">
        <w:rPr>
          <w:rFonts w:ascii="Bookman Old Style" w:hAnsi="Bookman Old Style"/>
          <w:szCs w:val="27"/>
        </w:rPr>
        <w:t>a Resolución CREG 063 de 2016 (p</w:t>
      </w:r>
      <w:r>
        <w:rPr>
          <w:rFonts w:ascii="Bookman Old Style" w:hAnsi="Bookman Old Style"/>
          <w:szCs w:val="27"/>
        </w:rPr>
        <w:t>rimer hecho).</w:t>
      </w:r>
    </w:p>
    <w:p w:rsidR="00CE7163" w:rsidRDefault="00CE7163" w:rsidP="00CE7163">
      <w:pPr>
        <w:pStyle w:val="Textoindependiente2"/>
        <w:spacing w:after="0" w:line="240" w:lineRule="auto"/>
        <w:ind w:left="218" w:right="-142"/>
        <w:jc w:val="both"/>
        <w:rPr>
          <w:rFonts w:ascii="Bookman Old Style" w:hAnsi="Bookman Old Style"/>
          <w:szCs w:val="27"/>
        </w:rPr>
      </w:pPr>
    </w:p>
    <w:p w:rsidR="00CE7163" w:rsidRDefault="00CE7163" w:rsidP="005F5D90">
      <w:pPr>
        <w:pStyle w:val="Textoindependiente2"/>
        <w:numPr>
          <w:ilvl w:val="0"/>
          <w:numId w:val="39"/>
        </w:numPr>
        <w:spacing w:after="0" w:line="240" w:lineRule="auto"/>
        <w:ind w:right="-142"/>
        <w:jc w:val="both"/>
        <w:rPr>
          <w:rFonts w:ascii="Bookman Old Style" w:hAnsi="Bookman Old Style"/>
          <w:szCs w:val="27"/>
        </w:rPr>
      </w:pPr>
      <w:r>
        <w:rPr>
          <w:rFonts w:ascii="Bookman Old Style" w:hAnsi="Bookman Old Style"/>
          <w:szCs w:val="27"/>
        </w:rPr>
        <w:t>Que la capacidad de compra de Montagas debía incorporar la definida para la empresa Energas, toda vez que esta última solo actúa c</w:t>
      </w:r>
      <w:r w:rsidR="00503E2E">
        <w:rPr>
          <w:rFonts w:ascii="Bookman Old Style" w:hAnsi="Bookman Old Style"/>
          <w:szCs w:val="27"/>
        </w:rPr>
        <w:t>omo comercializador minorista (s</w:t>
      </w:r>
      <w:r>
        <w:rPr>
          <w:rFonts w:ascii="Bookman Old Style" w:hAnsi="Bookman Old Style"/>
          <w:szCs w:val="27"/>
        </w:rPr>
        <w:t>egundo hecho).</w:t>
      </w:r>
    </w:p>
    <w:p w:rsidR="00CE7163" w:rsidRDefault="00CE7163" w:rsidP="00CE7163">
      <w:pPr>
        <w:pStyle w:val="Textoindependiente2"/>
        <w:spacing w:after="0" w:line="240" w:lineRule="auto"/>
        <w:ind w:left="0" w:right="-142"/>
        <w:jc w:val="both"/>
        <w:rPr>
          <w:rFonts w:ascii="Bookman Old Style" w:hAnsi="Bookman Old Style"/>
          <w:szCs w:val="27"/>
        </w:rPr>
      </w:pPr>
    </w:p>
    <w:p w:rsidR="00521349" w:rsidRDefault="00CE7163" w:rsidP="00CE7163">
      <w:pPr>
        <w:pStyle w:val="Textoindependiente2"/>
        <w:numPr>
          <w:ilvl w:val="0"/>
          <w:numId w:val="39"/>
        </w:numPr>
        <w:spacing w:after="0" w:line="240" w:lineRule="auto"/>
        <w:ind w:right="-142"/>
        <w:jc w:val="both"/>
        <w:rPr>
          <w:rFonts w:ascii="Bookman Old Style" w:hAnsi="Bookman Old Style"/>
          <w:szCs w:val="27"/>
        </w:rPr>
      </w:pPr>
      <w:r>
        <w:rPr>
          <w:rFonts w:ascii="Bookman Old Style" w:hAnsi="Bookman Old Style"/>
          <w:szCs w:val="27"/>
        </w:rPr>
        <w:t xml:space="preserve">La </w:t>
      </w:r>
      <w:r w:rsidR="00521349" w:rsidRPr="00CE7163">
        <w:rPr>
          <w:rFonts w:ascii="Bookman Old Style" w:hAnsi="Bookman Old Style"/>
          <w:szCs w:val="27"/>
        </w:rPr>
        <w:t>empresa advierte una diferencia en la información reportada en el Sistema Único de Información – SUI, utilizada por esta Comisión para efectos de llevar a cabo la definición de la capacidad de compra</w:t>
      </w:r>
      <w:r w:rsidR="00360026">
        <w:rPr>
          <w:rFonts w:ascii="Bookman Old Style" w:hAnsi="Bookman Old Style"/>
          <w:szCs w:val="27"/>
        </w:rPr>
        <w:t>, principalmente a nivel</w:t>
      </w:r>
      <w:r w:rsidR="00503E2E">
        <w:rPr>
          <w:rFonts w:ascii="Bookman Old Style" w:hAnsi="Bookman Old Style"/>
          <w:szCs w:val="27"/>
        </w:rPr>
        <w:t xml:space="preserve"> de tanques estacionarios (t</w:t>
      </w:r>
      <w:r>
        <w:rPr>
          <w:rFonts w:ascii="Bookman Old Style" w:hAnsi="Bookman Old Style"/>
          <w:szCs w:val="27"/>
        </w:rPr>
        <w:t>ercer y cuarto hecho)</w:t>
      </w:r>
      <w:r w:rsidR="00521349" w:rsidRPr="00CE7163">
        <w:rPr>
          <w:rFonts w:ascii="Bookman Old Style" w:hAnsi="Bookman Old Style"/>
          <w:szCs w:val="27"/>
        </w:rPr>
        <w:t>.</w:t>
      </w:r>
    </w:p>
    <w:p w:rsidR="00CE7163" w:rsidRDefault="00CE7163" w:rsidP="00CE7163">
      <w:pPr>
        <w:pStyle w:val="Prrafodelista"/>
        <w:rPr>
          <w:rFonts w:ascii="Bookman Old Style" w:hAnsi="Bookman Old Style"/>
          <w:szCs w:val="27"/>
        </w:rPr>
      </w:pPr>
    </w:p>
    <w:p w:rsidR="00CE7163" w:rsidRPr="00CE7163" w:rsidRDefault="00CE7163" w:rsidP="00CE7163">
      <w:pPr>
        <w:pStyle w:val="Textoindependiente2"/>
        <w:numPr>
          <w:ilvl w:val="0"/>
          <w:numId w:val="39"/>
        </w:numPr>
        <w:spacing w:after="0" w:line="240" w:lineRule="auto"/>
        <w:ind w:right="-142"/>
        <w:jc w:val="both"/>
        <w:rPr>
          <w:rFonts w:ascii="Bookman Old Style" w:hAnsi="Bookman Old Style"/>
          <w:szCs w:val="27"/>
        </w:rPr>
      </w:pPr>
      <w:r>
        <w:rPr>
          <w:rFonts w:ascii="Bookman Old Style" w:hAnsi="Bookman Old Style"/>
          <w:szCs w:val="27"/>
        </w:rPr>
        <w:t>El factor de equivalencia utilizado por la CREG desconoce la realidad operativa y de mercado, toda vez que el factor aplicable a esta empresa en su situación particular debería ser s</w:t>
      </w:r>
      <w:r w:rsidR="00503E2E">
        <w:rPr>
          <w:rFonts w:ascii="Bookman Old Style" w:hAnsi="Bookman Old Style"/>
          <w:szCs w:val="27"/>
        </w:rPr>
        <w:t>uperior (q</w:t>
      </w:r>
      <w:r>
        <w:rPr>
          <w:rFonts w:ascii="Bookman Old Style" w:hAnsi="Bookman Old Style"/>
          <w:szCs w:val="27"/>
        </w:rPr>
        <w:t>uinto hecho).</w:t>
      </w:r>
    </w:p>
    <w:p w:rsidR="00521349" w:rsidRDefault="00521349" w:rsidP="00090E52">
      <w:pPr>
        <w:pStyle w:val="Textoindependiente2"/>
        <w:spacing w:after="0" w:line="240" w:lineRule="auto"/>
        <w:ind w:left="-142" w:right="-142"/>
        <w:jc w:val="both"/>
        <w:rPr>
          <w:rFonts w:ascii="Bookman Old Style" w:hAnsi="Bookman Old Style"/>
          <w:szCs w:val="27"/>
        </w:rPr>
      </w:pPr>
    </w:p>
    <w:p w:rsidR="00521349" w:rsidRDefault="00CE7163" w:rsidP="00CE716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 fin de resolver estos argumentos procede a resolverlos de manera específica, incluyendo el análisis de </w:t>
      </w:r>
      <w:r w:rsidR="00521349">
        <w:rPr>
          <w:rFonts w:ascii="Bookman Old Style" w:hAnsi="Bookman Old Style"/>
          <w:szCs w:val="27"/>
        </w:rPr>
        <w:t>la información remitida a esta Comisión por parte de la Superintendencia de Servicios Públicos Domiciliarios como resultado del decretó y práctica de prue</w:t>
      </w:r>
      <w:r>
        <w:rPr>
          <w:rFonts w:ascii="Bookman Old Style" w:hAnsi="Bookman Old Style"/>
          <w:szCs w:val="27"/>
        </w:rPr>
        <w:t>bas llevado a cabo por la CREG.</w:t>
      </w:r>
    </w:p>
    <w:p w:rsidR="00CE7163" w:rsidRDefault="00CE7163" w:rsidP="00CE7163">
      <w:pPr>
        <w:pStyle w:val="Textoindependiente2"/>
        <w:spacing w:after="0" w:line="240" w:lineRule="auto"/>
        <w:ind w:left="-142" w:right="-142"/>
        <w:jc w:val="both"/>
        <w:rPr>
          <w:rFonts w:ascii="Bookman Old Style" w:hAnsi="Bookman Old Style"/>
          <w:szCs w:val="27"/>
        </w:rPr>
      </w:pPr>
    </w:p>
    <w:p w:rsidR="00CE7163" w:rsidRPr="00CE7163" w:rsidRDefault="008E423A" w:rsidP="00CE7163">
      <w:pPr>
        <w:pStyle w:val="Textoindependiente2"/>
        <w:numPr>
          <w:ilvl w:val="0"/>
          <w:numId w:val="40"/>
        </w:numPr>
        <w:spacing w:after="0" w:line="240" w:lineRule="auto"/>
        <w:ind w:right="-142"/>
        <w:jc w:val="both"/>
        <w:rPr>
          <w:rFonts w:ascii="Bookman Old Style" w:hAnsi="Bookman Old Style"/>
          <w:b/>
          <w:szCs w:val="27"/>
        </w:rPr>
      </w:pPr>
      <w:r>
        <w:rPr>
          <w:rFonts w:ascii="Bookman Old Style" w:hAnsi="Bookman Old Style"/>
          <w:b/>
          <w:szCs w:val="27"/>
        </w:rPr>
        <w:t xml:space="preserve">Consideraciones frente al primer y quinto </w:t>
      </w:r>
      <w:r w:rsidR="00CE7163" w:rsidRPr="00CE7163">
        <w:rPr>
          <w:rFonts w:ascii="Bookman Old Style" w:hAnsi="Bookman Old Style"/>
          <w:b/>
          <w:szCs w:val="27"/>
        </w:rPr>
        <w:t>hecho.</w:t>
      </w:r>
    </w:p>
    <w:p w:rsidR="00521349" w:rsidRDefault="00521349" w:rsidP="00090E52">
      <w:pPr>
        <w:pStyle w:val="Textoindependiente2"/>
        <w:spacing w:after="0" w:line="240" w:lineRule="auto"/>
        <w:ind w:left="-142" w:right="-142"/>
        <w:jc w:val="both"/>
        <w:rPr>
          <w:rFonts w:ascii="Bookman Old Style" w:hAnsi="Bookman Old Style"/>
          <w:szCs w:val="27"/>
        </w:rPr>
      </w:pPr>
    </w:p>
    <w:p w:rsidR="00521349" w:rsidRDefault="00CE7163"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Se debe advertir que esta Comisión dentro de la expedición de la Resolución CREG 063 de 2016 llevo a cabo y aplicó el procedimiento de consulta previsto, entre otros, atendiendo las normas del numeral 8, artículo 8 de la Ley 1437 de 2011, el Decreto 2696 de 2004, así como la Resolución CREG 097 de 2004, dando la oportunidad a los agentes de exponer las observaciones y comentarios que se tuvieran sobre el contenido de la propuesta regulatoria de la Resolución CREG 221 de 2015.</w:t>
      </w:r>
    </w:p>
    <w:p w:rsidR="00CE7163" w:rsidRDefault="00CE7163" w:rsidP="00090E52">
      <w:pPr>
        <w:pStyle w:val="Textoindependiente2"/>
        <w:spacing w:after="0" w:line="240" w:lineRule="auto"/>
        <w:ind w:left="-142" w:right="-142"/>
        <w:jc w:val="both"/>
        <w:rPr>
          <w:rFonts w:ascii="Bookman Old Style" w:hAnsi="Bookman Old Style"/>
          <w:szCs w:val="27"/>
        </w:rPr>
      </w:pPr>
    </w:p>
    <w:p w:rsidR="0026190F" w:rsidRDefault="00CE7163" w:rsidP="0026190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el proceso de consulta implica dar la oportunidad, así c</w:t>
      </w:r>
      <w:r w:rsidR="004C650F">
        <w:rPr>
          <w:rFonts w:ascii="Bookman Old Style" w:hAnsi="Bookman Old Style"/>
          <w:szCs w:val="27"/>
        </w:rPr>
        <w:t>omo atender y dar respuesta a lo</w:t>
      </w:r>
      <w:r>
        <w:rPr>
          <w:rFonts w:ascii="Bookman Old Style" w:hAnsi="Bookman Old Style"/>
          <w:szCs w:val="27"/>
        </w:rPr>
        <w:t xml:space="preserve">s comentarios, observaciones formuladas por los interesados, sin que esto implique </w:t>
      </w:r>
      <w:r w:rsidR="00EB0754">
        <w:rPr>
          <w:rFonts w:ascii="Bookman Old Style" w:hAnsi="Bookman Old Style"/>
          <w:szCs w:val="27"/>
        </w:rPr>
        <w:t>acoger de forma obligatoria los comentarios que se realicen.</w:t>
      </w:r>
      <w:r w:rsidR="0026190F">
        <w:rPr>
          <w:rFonts w:ascii="Bookman Old Style" w:hAnsi="Bookman Old Style"/>
          <w:szCs w:val="27"/>
        </w:rPr>
        <w:t xml:space="preserve"> </w:t>
      </w:r>
      <w:r w:rsidR="00EB0754">
        <w:rPr>
          <w:rFonts w:ascii="Bookman Old Style" w:hAnsi="Bookman Old Style"/>
          <w:szCs w:val="27"/>
        </w:rPr>
        <w:t xml:space="preserve">Por el contrario, si los mismos no se consideran ajustados y procedentes en atención a los fines y objetos de la propuesta regulatoria, esto hará parte de la repuesta que se emita por parte de la Comisión. </w:t>
      </w:r>
    </w:p>
    <w:p w:rsidR="0026190F" w:rsidRDefault="0026190F" w:rsidP="0026190F">
      <w:pPr>
        <w:pStyle w:val="Textoindependiente2"/>
        <w:spacing w:after="0" w:line="240" w:lineRule="auto"/>
        <w:ind w:left="-142" w:right="-142"/>
        <w:jc w:val="both"/>
        <w:rPr>
          <w:rFonts w:ascii="Bookman Old Style" w:hAnsi="Bookman Old Style"/>
          <w:szCs w:val="27"/>
        </w:rPr>
      </w:pPr>
    </w:p>
    <w:p w:rsidR="0026190F" w:rsidRDefault="00EB0754" w:rsidP="0026190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 frente a lo que manifiesta la recurrente, en respuesta al comentario 20</w:t>
      </w:r>
      <w:r w:rsidR="0026190F">
        <w:rPr>
          <w:rFonts w:ascii="Bookman Old Style" w:hAnsi="Bookman Old Style"/>
          <w:szCs w:val="27"/>
        </w:rPr>
        <w:t xml:space="preserve"> esta Comisión frente a lo manifestado por la empresa expuso que </w:t>
      </w:r>
      <w:r w:rsidR="0026190F" w:rsidRPr="0026190F">
        <w:rPr>
          <w:rFonts w:ascii="Bookman Old Style" w:hAnsi="Bookman Old Style"/>
          <w:szCs w:val="27"/>
        </w:rPr>
        <w:t xml:space="preserve">la medición </w:t>
      </w:r>
      <w:r w:rsidR="0026190F" w:rsidRPr="0026190F">
        <w:rPr>
          <w:rFonts w:ascii="Bookman Old Style" w:hAnsi="Bookman Old Style"/>
          <w:szCs w:val="27"/>
        </w:rPr>
        <w:lastRenderedPageBreak/>
        <w:t>de la capacidad de envasado considera la rotación de tanques estacionarios y de cilindros</w:t>
      </w:r>
      <w:r w:rsidR="0026190F">
        <w:rPr>
          <w:rFonts w:ascii="Bookman Old Style" w:hAnsi="Bookman Old Style"/>
          <w:szCs w:val="27"/>
        </w:rPr>
        <w:t xml:space="preserve"> atendiendo, incluyendo el f</w:t>
      </w:r>
      <w:r w:rsidR="0026190F" w:rsidRPr="00971FF2">
        <w:rPr>
          <w:rFonts w:ascii="Bookman Old Style" w:hAnsi="Bookman Old Style"/>
          <w:szCs w:val="27"/>
        </w:rPr>
        <w:t>actor de equivalencia de envasado en cil</w:t>
      </w:r>
      <w:r w:rsidR="0026190F">
        <w:rPr>
          <w:rFonts w:ascii="Bookman Old Style" w:hAnsi="Bookman Old Style"/>
          <w:szCs w:val="27"/>
        </w:rPr>
        <w:t xml:space="preserve">indros y tanques estacionarios, aspectos que están precedidos de un </w:t>
      </w:r>
      <w:r w:rsidR="0026190F" w:rsidRPr="00967468">
        <w:rPr>
          <w:rFonts w:ascii="Bookman Old Style" w:hAnsi="Bookman Old Style"/>
          <w:szCs w:val="27"/>
        </w:rPr>
        <w:t>análisis técn</w:t>
      </w:r>
      <w:r w:rsidR="0026190F">
        <w:rPr>
          <w:rFonts w:ascii="Bookman Old Style" w:hAnsi="Bookman Old Style"/>
          <w:szCs w:val="27"/>
        </w:rPr>
        <w:t xml:space="preserve">ico y económico incorporado en </w:t>
      </w:r>
      <w:r w:rsidR="0026190F" w:rsidRPr="00967468">
        <w:rPr>
          <w:rFonts w:ascii="Bookman Old Style" w:hAnsi="Bookman Old Style"/>
          <w:szCs w:val="27"/>
        </w:rPr>
        <w:t>l</w:t>
      </w:r>
      <w:r w:rsidR="0026190F">
        <w:rPr>
          <w:rFonts w:ascii="Bookman Old Style" w:hAnsi="Bookman Old Style"/>
          <w:szCs w:val="27"/>
        </w:rPr>
        <w:t>os</w:t>
      </w:r>
      <w:r w:rsidR="0026190F" w:rsidRPr="00967468">
        <w:rPr>
          <w:rFonts w:ascii="Bookman Old Style" w:hAnsi="Bookman Old Style"/>
          <w:szCs w:val="27"/>
        </w:rPr>
        <w:t xml:space="preserve"> documento</w:t>
      </w:r>
      <w:r w:rsidR="0026190F">
        <w:rPr>
          <w:rFonts w:ascii="Bookman Old Style" w:hAnsi="Bookman Old Style"/>
          <w:szCs w:val="27"/>
        </w:rPr>
        <w:t>s</w:t>
      </w:r>
      <w:r w:rsidR="0026190F" w:rsidRPr="00967468">
        <w:rPr>
          <w:rFonts w:ascii="Bookman Old Style" w:hAnsi="Bookman Old Style"/>
          <w:szCs w:val="27"/>
        </w:rPr>
        <w:t xml:space="preserve"> de soporte 143 de 2015</w:t>
      </w:r>
      <w:r w:rsidR="0026190F">
        <w:rPr>
          <w:rFonts w:ascii="Bookman Old Style" w:hAnsi="Bookman Old Style"/>
          <w:szCs w:val="27"/>
        </w:rPr>
        <w:t xml:space="preserve"> y 030 de 2016</w:t>
      </w:r>
      <w:r w:rsidR="0026190F" w:rsidRPr="00967468">
        <w:rPr>
          <w:rFonts w:ascii="Bookman Old Style" w:hAnsi="Bookman Old Style"/>
          <w:szCs w:val="27"/>
        </w:rPr>
        <w:t>, fundamentado en análisis econométricos y estadísticos</w:t>
      </w:r>
      <w:r w:rsidR="0026190F">
        <w:rPr>
          <w:rFonts w:ascii="Bookman Old Style" w:hAnsi="Bookman Old Style"/>
          <w:szCs w:val="27"/>
        </w:rPr>
        <w:t>, entre otras, atendiendo variables tales como las ventas e inversión en envasado, de las cuales hacen parte la i</w:t>
      </w:r>
      <w:r w:rsidR="0026190F" w:rsidRPr="00971FF2">
        <w:rPr>
          <w:rFonts w:ascii="Bookman Old Style" w:hAnsi="Bookman Old Style"/>
          <w:szCs w:val="27"/>
        </w:rPr>
        <w:t>nversión en cilindros y tanques estacionarios</w:t>
      </w:r>
      <w:r w:rsidR="0026190F">
        <w:rPr>
          <w:rFonts w:ascii="Bookman Old Style" w:hAnsi="Bookman Old Style"/>
          <w:szCs w:val="27"/>
        </w:rPr>
        <w:t xml:space="preserve">, la evolución de las ventas, la relación de las ventas y la inversión, así como un análisis estadístico de la información que hace parte de estas variables, incluida la reportada al Sistema Único de Información – SUI, el cual permitió definir un parámetro razonable entre la relación inversiones – ventas y compras en el mercado mayorista, ligado a la forma en que se lleva la prestación del servicio público domiciliario de GLP. </w:t>
      </w:r>
    </w:p>
    <w:p w:rsidR="0026190F" w:rsidRDefault="0026190F" w:rsidP="0026190F">
      <w:pPr>
        <w:pStyle w:val="Textoindependiente2"/>
        <w:spacing w:after="0" w:line="240" w:lineRule="auto"/>
        <w:ind w:left="-142" w:right="-142"/>
        <w:jc w:val="both"/>
        <w:rPr>
          <w:rFonts w:ascii="Bookman Old Style" w:hAnsi="Bookman Old Style"/>
          <w:szCs w:val="27"/>
        </w:rPr>
      </w:pPr>
    </w:p>
    <w:p w:rsidR="0026190F" w:rsidRDefault="0026190F" w:rsidP="0026190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dentro del documento soporte 030 de 2016 se expuso por parte de esta Comisión lo siguiente</w:t>
      </w:r>
      <w:r w:rsidR="008E423A">
        <w:rPr>
          <w:rFonts w:ascii="Bookman Old Style" w:hAnsi="Bookman Old Style"/>
          <w:szCs w:val="27"/>
        </w:rPr>
        <w:t xml:space="preserve"> en relación con la rotación de los cilindros</w:t>
      </w:r>
      <w:r>
        <w:rPr>
          <w:rFonts w:ascii="Bookman Old Style" w:hAnsi="Bookman Old Style"/>
          <w:szCs w:val="27"/>
        </w:rPr>
        <w:t>:</w:t>
      </w:r>
    </w:p>
    <w:p w:rsidR="0026190F" w:rsidRDefault="0026190F" w:rsidP="0026190F">
      <w:pPr>
        <w:pStyle w:val="Textoindependiente2"/>
        <w:spacing w:after="0" w:line="240" w:lineRule="auto"/>
        <w:ind w:left="0" w:right="-142"/>
        <w:jc w:val="both"/>
        <w:rPr>
          <w:rFonts w:ascii="Bookman Old Style" w:hAnsi="Bookman Old Style"/>
          <w:szCs w:val="27"/>
        </w:rPr>
      </w:pPr>
    </w:p>
    <w:p w:rsidR="008E423A" w:rsidRPr="006C06D7" w:rsidRDefault="0026190F" w:rsidP="008E423A">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w:t>
      </w:r>
      <w:r w:rsidR="008E423A" w:rsidRPr="006C06D7">
        <w:rPr>
          <w:rFonts w:ascii="Bookman Old Style" w:hAnsi="Bookman Old Style"/>
          <w:i/>
          <w:sz w:val="22"/>
          <w:szCs w:val="22"/>
        </w:rPr>
        <w:t>La capacidad de compra está relacionada con la capacidad de envase en cilindros y en tanques estacionarios, de acuerdo con lo establecido en el parágrafo 1 del artículo 8 de la propuesta de resolución.</w:t>
      </w:r>
    </w:p>
    <w:p w:rsidR="008E423A" w:rsidRPr="006C06D7" w:rsidRDefault="008E423A" w:rsidP="008E423A">
      <w:pPr>
        <w:pStyle w:val="Textoindependiente2"/>
        <w:spacing w:after="0" w:line="240" w:lineRule="auto"/>
        <w:ind w:left="284" w:right="284"/>
        <w:jc w:val="both"/>
        <w:rPr>
          <w:rFonts w:ascii="Bookman Old Style" w:hAnsi="Bookman Old Style"/>
          <w:i/>
          <w:sz w:val="22"/>
          <w:szCs w:val="22"/>
        </w:rPr>
      </w:pPr>
    </w:p>
    <w:p w:rsidR="008E423A" w:rsidRPr="006C06D7" w:rsidRDefault="008E423A" w:rsidP="008E423A">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Respecto a la rotación de cilindros, la suma de la capacidad de envasado en cilindros se calcula en cilindros equivalentes de 40 libras y un factor de rotación de un cilindro de esta presentación al mes:</w:t>
      </w:r>
    </w:p>
    <w:p w:rsidR="008E423A" w:rsidRPr="006C06D7" w:rsidRDefault="008E423A" w:rsidP="008E423A">
      <w:pPr>
        <w:jc w:val="both"/>
        <w:rPr>
          <w:rFonts w:ascii="Arial" w:hAnsi="Arial" w:cs="Arial"/>
          <w:i/>
          <w:sz w:val="20"/>
        </w:rPr>
      </w:pPr>
    </w:p>
    <w:p w:rsidR="008E423A" w:rsidRPr="006C06D7" w:rsidRDefault="00D4104B" w:rsidP="008E423A">
      <w:pPr>
        <w:pStyle w:val="Textonotapie"/>
        <w:jc w:val="center"/>
        <w:rPr>
          <w:rFonts w:eastAsia="Times New Roman"/>
          <w:i/>
          <w:sz w:val="22"/>
          <w:szCs w:val="22"/>
        </w:rPr>
      </w:pPr>
      <m:oMath>
        <m:r>
          <w:rPr>
            <w:rFonts w:ascii="Cambria Math" w:hAnsi="Cambria Math"/>
            <w:sz w:val="22"/>
            <w:szCs w:val="22"/>
          </w:rPr>
          <m:t>Factor de rotación=</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40</m:t>
                </m:r>
              </m:e>
              <m:sub>
                <m:f>
                  <m:fPr>
                    <m:type m:val="skw"/>
                    <m:ctrlPr>
                      <w:rPr>
                        <w:rFonts w:ascii="Cambria Math" w:hAnsi="Cambria Math"/>
                        <w:i/>
                        <w:sz w:val="22"/>
                        <w:szCs w:val="22"/>
                      </w:rPr>
                    </m:ctrlPr>
                  </m:fPr>
                  <m:num>
                    <m:r>
                      <w:rPr>
                        <w:rFonts w:ascii="Cambria Math" w:hAnsi="Cambria Math"/>
                        <w:sz w:val="22"/>
                        <w:szCs w:val="22"/>
                      </w:rPr>
                      <m:t>lb</m:t>
                    </m:r>
                  </m:num>
                  <m:den>
                    <m:r>
                      <w:rPr>
                        <w:rFonts w:ascii="Cambria Math" w:hAnsi="Cambria Math"/>
                        <w:sz w:val="22"/>
                        <w:szCs w:val="22"/>
                      </w:rPr>
                      <m:t>mes</m:t>
                    </m:r>
                  </m:den>
                </m:f>
              </m:sub>
            </m:sSub>
          </m:num>
          <m:den>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lb</m:t>
                </m:r>
              </m:sub>
            </m:sSub>
          </m:den>
        </m:f>
      </m:oMath>
      <w:r w:rsidR="008E423A" w:rsidRPr="006C06D7">
        <w:rPr>
          <w:rFonts w:eastAsia="Times New Roman"/>
          <w:i/>
          <w:sz w:val="22"/>
          <w:szCs w:val="22"/>
        </w:rPr>
        <w:t xml:space="preserve">   </w:t>
      </w:r>
      <w:r w:rsidR="008E423A" w:rsidRPr="006C06D7">
        <w:rPr>
          <w:rFonts w:eastAsia="Times New Roman"/>
          <w:i/>
          <w:sz w:val="22"/>
          <w:szCs w:val="22"/>
        </w:rPr>
        <w:tab/>
        <w:t>y,</w:t>
      </w:r>
      <w:r w:rsidR="008E423A" w:rsidRPr="006C06D7">
        <w:rPr>
          <w:rFonts w:eastAsia="Times New Roman"/>
          <w:i/>
          <w:sz w:val="22"/>
          <w:szCs w:val="22"/>
        </w:rPr>
        <w:tab/>
        <w:t xml:space="preserve"> </w:t>
      </w:r>
      <m:oMath>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lb</m:t>
            </m:r>
          </m:sub>
        </m:sSub>
        <m:r>
          <w:rPr>
            <w:rFonts w:ascii="Cambria Math" w:eastAsia="Times New Roman"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CP</m:t>
            </m:r>
          </m:sub>
          <m:sup/>
          <m:e>
            <m:r>
              <w:rPr>
                <w:rFonts w:ascii="Cambria Math" w:hAnsi="Cambria Math"/>
                <w:sz w:val="22"/>
                <w:szCs w:val="22"/>
              </w:rPr>
              <m:t>CP*N</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CP</m:t>
                </m:r>
              </m:sub>
            </m:sSub>
          </m:e>
        </m:nary>
      </m:oMath>
    </w:p>
    <w:p w:rsidR="008E423A" w:rsidRPr="006C06D7" w:rsidRDefault="008E423A" w:rsidP="008E423A">
      <w:pPr>
        <w:pStyle w:val="Textoindependiente2"/>
        <w:spacing w:after="0" w:line="240" w:lineRule="auto"/>
        <w:ind w:left="284" w:right="284"/>
        <w:jc w:val="both"/>
        <w:rPr>
          <w:rFonts w:ascii="Bookman Old Style" w:hAnsi="Bookman Old Style"/>
          <w:i/>
          <w:sz w:val="22"/>
          <w:szCs w:val="22"/>
        </w:rPr>
      </w:pPr>
    </w:p>
    <w:p w:rsidR="008E423A" w:rsidRPr="006C06D7" w:rsidRDefault="008E423A" w:rsidP="008E423A">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Calculando la capacidad de envasado al año y reemplazando las anteriores ecuaciones, se tiene: </w:t>
      </w:r>
    </w:p>
    <w:p w:rsidR="008E423A" w:rsidRPr="006C06D7" w:rsidRDefault="00D4104B" w:rsidP="008E423A">
      <w:pPr>
        <w:pStyle w:val="Textonotapie"/>
        <w:jc w:val="center"/>
        <w:rPr>
          <w:rFonts w:eastAsia="Times New Roman"/>
          <w:i/>
        </w:rPr>
      </w:pPr>
      <w:r w:rsidRPr="006C06D7">
        <w:rPr>
          <w:rFonts w:eastAsia="Times New Roman"/>
          <w:i/>
          <w:noProof/>
          <w:lang w:eastAsia="es-CO"/>
        </w:rPr>
        <w:drawing>
          <wp:inline distT="0" distB="0" distL="0" distR="0">
            <wp:extent cx="4325620" cy="1232535"/>
            <wp:effectExtent l="0" t="0" r="0" b="5715"/>
            <wp:docPr id="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5620" cy="1232535"/>
                    </a:xfrm>
                    <a:prstGeom prst="rect">
                      <a:avLst/>
                    </a:prstGeom>
                    <a:noFill/>
                    <a:ln>
                      <a:noFill/>
                    </a:ln>
                  </pic:spPr>
                </pic:pic>
              </a:graphicData>
            </a:graphic>
          </wp:inline>
        </w:drawing>
      </w:r>
    </w:p>
    <w:p w:rsidR="008E423A" w:rsidRPr="006C06D7" w:rsidRDefault="008E423A" w:rsidP="008E423A">
      <w:pPr>
        <w:pStyle w:val="Textonotapie"/>
        <w:jc w:val="both"/>
        <w:rPr>
          <w:rFonts w:eastAsia="Times New Roman"/>
          <w:i/>
        </w:rPr>
      </w:pPr>
    </w:p>
    <w:p w:rsidR="008E423A" w:rsidRPr="006C06D7" w:rsidRDefault="00D4104B" w:rsidP="008E423A">
      <w:pPr>
        <w:pStyle w:val="Textoindependiente2"/>
        <w:spacing w:after="0" w:line="240" w:lineRule="auto"/>
        <w:ind w:left="284" w:right="284"/>
        <w:jc w:val="both"/>
        <w:rPr>
          <w:rFonts w:ascii="Bookman Old Style" w:hAnsi="Bookman Old Style"/>
          <w:i/>
          <w:sz w:val="22"/>
          <w:szCs w:val="22"/>
        </w:rPr>
      </w:pP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8E423A" w:rsidRPr="006C06D7">
        <w:rPr>
          <w:rFonts w:ascii="Bookman Old Style" w:hAnsi="Bookman Old Style"/>
          <w:i/>
          <w:sz w:val="22"/>
          <w:szCs w:val="22"/>
        </w:rPr>
        <w:t xml:space="preserve">, corresponde al código de presentación del cilindro en el cual se quiera calcular la equivalencia de capacidad de envasado, reemplazando </w:t>
      </w: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8E423A" w:rsidRPr="006C06D7">
        <w:rPr>
          <w:rFonts w:ascii="Bookman Old Style" w:hAnsi="Bookman Old Style"/>
          <w:i/>
          <w:sz w:val="22"/>
          <w:szCs w:val="22"/>
        </w:rPr>
        <w:t xml:space="preserve"> por 40lb, se obtiene la capacidad total de envase en cilindros.”</w:t>
      </w:r>
    </w:p>
    <w:p w:rsidR="008E423A" w:rsidRPr="008E423A" w:rsidRDefault="008E423A" w:rsidP="0026190F">
      <w:pPr>
        <w:pStyle w:val="Textoindependiente2"/>
        <w:spacing w:after="0" w:line="240" w:lineRule="auto"/>
        <w:ind w:left="284" w:right="284"/>
        <w:jc w:val="both"/>
        <w:rPr>
          <w:rFonts w:ascii="Bookman Old Style" w:hAnsi="Bookman Old Style"/>
          <w:sz w:val="22"/>
          <w:szCs w:val="22"/>
        </w:rPr>
      </w:pPr>
    </w:p>
    <w:p w:rsidR="008E423A" w:rsidRPr="008E423A" w:rsidRDefault="008E423A" w:rsidP="008E423A">
      <w:pPr>
        <w:pStyle w:val="Textoindependiente2"/>
        <w:spacing w:after="0" w:line="240" w:lineRule="auto"/>
        <w:ind w:left="-142" w:right="-142"/>
        <w:jc w:val="both"/>
        <w:rPr>
          <w:rFonts w:ascii="Bookman Old Style" w:hAnsi="Bookman Old Style"/>
          <w:szCs w:val="27"/>
        </w:rPr>
      </w:pPr>
      <w:r w:rsidRPr="008E423A">
        <w:rPr>
          <w:rFonts w:ascii="Bookman Old Style" w:hAnsi="Bookman Old Style"/>
          <w:szCs w:val="27"/>
        </w:rPr>
        <w:t xml:space="preserve">Así mismo, en el anexo de la Resolución CREG 063 de 2016 en relación </w:t>
      </w:r>
      <w:r>
        <w:rPr>
          <w:rFonts w:ascii="Bookman Old Style" w:hAnsi="Bookman Old Style"/>
          <w:szCs w:val="27"/>
        </w:rPr>
        <w:t xml:space="preserve">con </w:t>
      </w:r>
      <w:r w:rsidRPr="008E423A">
        <w:rPr>
          <w:rFonts w:ascii="Bookman Old Style" w:hAnsi="Bookman Old Style"/>
          <w:szCs w:val="27"/>
        </w:rPr>
        <w:t>este mismo elemento se expuso:</w:t>
      </w:r>
    </w:p>
    <w:p w:rsidR="008E423A" w:rsidRDefault="008E423A" w:rsidP="005B27D9">
      <w:pPr>
        <w:pStyle w:val="Textoindependiente2"/>
        <w:spacing w:after="0" w:line="240" w:lineRule="auto"/>
        <w:ind w:left="0" w:right="284"/>
        <w:jc w:val="both"/>
        <w:rPr>
          <w:rFonts w:ascii="Bookman Old Style" w:hAnsi="Bookman Old Style"/>
          <w:sz w:val="22"/>
          <w:szCs w:val="22"/>
        </w:rPr>
      </w:pPr>
    </w:p>
    <w:p w:rsidR="008E423A" w:rsidRPr="006C06D7" w:rsidRDefault="005B27D9" w:rsidP="005B27D9">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w:t>
      </w:r>
      <w:r w:rsidR="008E423A" w:rsidRPr="006C06D7">
        <w:rPr>
          <w:rFonts w:ascii="Bookman Old Style" w:hAnsi="Bookman Old Style"/>
          <w:i/>
          <w:sz w:val="22"/>
          <w:szCs w:val="22"/>
        </w:rPr>
        <w:t>Cuando la relación se analiza para el envasado en cilindros marcados, el tamaño del cilindro determina la rotación del mismo entre el oferente (i.e., un distribuidor) y un usuario final. Un cilindro de cuarenta libras puede cambiar de manos al menos seis meses al año; uno de mayor tamaño (e.g., cien libras) puede hacerlo un poco más de tres veces si el usuario es residencial</w:t>
      </w:r>
      <w:r w:rsidR="008E423A" w:rsidRPr="006C06D7">
        <w:rPr>
          <w:rFonts w:ascii="Bookman Old Style" w:hAnsi="Bookman Old Style"/>
          <w:i/>
          <w:sz w:val="22"/>
          <w:szCs w:val="22"/>
        </w:rPr>
        <w:footnoteReference w:id="5"/>
      </w:r>
      <w:r w:rsidR="008E423A" w:rsidRPr="006C06D7">
        <w:rPr>
          <w:rFonts w:ascii="Bookman Old Style" w:hAnsi="Bookman Old Style"/>
          <w:i/>
          <w:sz w:val="22"/>
          <w:szCs w:val="22"/>
        </w:rPr>
        <w:t>. Esto implica que un distribuidor no necesariamente vende todos los meses para una presentación</w:t>
      </w:r>
      <w:r w:rsidR="008E423A" w:rsidRPr="006C06D7">
        <w:rPr>
          <w:rFonts w:ascii="Bookman Old Style" w:hAnsi="Bookman Old Style"/>
          <w:i/>
          <w:sz w:val="22"/>
          <w:szCs w:val="22"/>
        </w:rPr>
        <w:footnoteReference w:id="6"/>
      </w:r>
      <w:r w:rsidR="008E423A" w:rsidRPr="006C06D7">
        <w:rPr>
          <w:rFonts w:ascii="Bookman Old Style" w:hAnsi="Bookman Old Style"/>
          <w:i/>
          <w:sz w:val="22"/>
          <w:szCs w:val="22"/>
        </w:rPr>
        <w:t xml:space="preserve"> sino que las transacciones ocurren de acuerdo a la rotación (e.g., semanal, mensual, bimensual, </w:t>
      </w:r>
      <w:r w:rsidR="008E423A" w:rsidRPr="006C06D7">
        <w:rPr>
          <w:rFonts w:ascii="Bookman Old Style" w:hAnsi="Bookman Old Style"/>
          <w:i/>
          <w:sz w:val="22"/>
          <w:szCs w:val="22"/>
        </w:rPr>
        <w:lastRenderedPageBreak/>
        <w:t xml:space="preserve">anual). Esta es una razón adicional (particular al mercado residencial) por la cual la relación es estrictamente menor a uno.  </w:t>
      </w:r>
    </w:p>
    <w:p w:rsidR="008E423A" w:rsidRPr="006C06D7" w:rsidRDefault="008E423A" w:rsidP="005B27D9">
      <w:pPr>
        <w:pStyle w:val="Textoindependiente2"/>
        <w:spacing w:after="0" w:line="240" w:lineRule="auto"/>
        <w:ind w:left="284" w:right="284"/>
        <w:jc w:val="both"/>
        <w:rPr>
          <w:rFonts w:ascii="Bookman Old Style" w:hAnsi="Bookman Old Style"/>
          <w:i/>
          <w:sz w:val="22"/>
          <w:szCs w:val="22"/>
        </w:rPr>
      </w:pPr>
    </w:p>
    <w:p w:rsidR="008E423A" w:rsidRPr="006C06D7" w:rsidRDefault="008E423A" w:rsidP="005B27D9">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Dado que el acervo de cilindros se encuentra particionado por presentaciones de distintas capacidades, y la rotación de cilindros determina los registros de ventas, una forma adecuada para realizar un análisis de esta relación es “estandarizarla” o establecerla en “equivalentes” a un tipo de presentación (e.g., cuarenta libras) y considerar como unidad temporal, años:</w:t>
      </w:r>
    </w:p>
    <w:p w:rsidR="008E423A" w:rsidRPr="006C06D7" w:rsidRDefault="008E423A" w:rsidP="005B27D9">
      <w:pPr>
        <w:pStyle w:val="Textoindependiente2"/>
        <w:spacing w:after="0" w:line="240" w:lineRule="auto"/>
        <w:ind w:left="284" w:right="284"/>
        <w:jc w:val="both"/>
        <w:rPr>
          <w:rFonts w:ascii="Bookman Old Style" w:hAnsi="Bookman Old Style"/>
          <w:i/>
          <w:sz w:val="22"/>
          <w:szCs w:val="22"/>
        </w:rPr>
      </w:pPr>
    </w:p>
    <w:p w:rsidR="008E423A" w:rsidRPr="006C06D7" w:rsidRDefault="008E423A" w:rsidP="008E423A">
      <w:pPr>
        <w:contextualSpacing/>
        <w:jc w:val="both"/>
        <w:rPr>
          <w:rFonts w:ascii="Arial" w:hAnsi="Arial" w:cs="Arial"/>
          <w:i/>
        </w:rPr>
      </w:pPr>
    </w:p>
    <w:p w:rsidR="008E423A" w:rsidRPr="00D4104B" w:rsidRDefault="00D4104B" w:rsidP="008E423A">
      <w:pPr>
        <w:contextualSpacing/>
        <w:jc w:val="center"/>
        <w:rPr>
          <w:rFonts w:ascii="Arial" w:hAnsi="Arial" w:cs="Arial"/>
          <w:i/>
        </w:rPr>
      </w:pPr>
      <m:oMathPara>
        <m:oMath>
          <m:r>
            <w:rPr>
              <w:rFonts w:ascii="Cambria Math" w:hAnsi="Cambria Math" w:cs="Arial"/>
            </w:rPr>
            <m:t>Relación Ajustada Ventas Inversión =</m:t>
          </m:r>
          <m:f>
            <m:fPr>
              <m:ctrlPr>
                <w:rPr>
                  <w:rFonts w:ascii="Cambria Math" w:hAnsi="Cambria Math" w:cs="Arial"/>
                  <w:i/>
                </w:rPr>
              </m:ctrlPr>
            </m:fPr>
            <m:num>
              <m:r>
                <w:rPr>
                  <w:rFonts w:ascii="Cambria Math" w:hAnsi="Cambria Math" w:cs="Arial"/>
                </w:rPr>
                <m:t>Ventas anuales equivalentes</m:t>
              </m:r>
            </m:num>
            <m:den>
              <m:r>
                <w:rPr>
                  <w:rFonts w:ascii="Cambria Math" w:hAnsi="Cambria Math" w:cs="Arial"/>
                </w:rPr>
                <m:t xml:space="preserve">MR×stock equivalente de cilindros  </m:t>
              </m:r>
            </m:den>
          </m:f>
        </m:oMath>
      </m:oMathPara>
    </w:p>
    <w:p w:rsidR="008E423A" w:rsidRPr="006C06D7" w:rsidRDefault="008E423A" w:rsidP="008E423A">
      <w:pPr>
        <w:contextualSpacing/>
        <w:jc w:val="both"/>
        <w:rPr>
          <w:rFonts w:ascii="Arial" w:hAnsi="Arial" w:cs="Arial"/>
          <w:i/>
        </w:rPr>
      </w:pPr>
    </w:p>
    <w:p w:rsidR="008E423A" w:rsidRPr="006C06D7" w:rsidRDefault="008E423A" w:rsidP="008E423A">
      <w:pPr>
        <w:contextualSpacing/>
        <w:jc w:val="both"/>
        <w:rPr>
          <w:rFonts w:ascii="Arial" w:hAnsi="Arial" w:cs="Arial"/>
          <w:i/>
        </w:rPr>
      </w:pPr>
      <w:r w:rsidRPr="006C06D7">
        <w:rPr>
          <w:rFonts w:ascii="Arial" w:hAnsi="Arial" w:cs="Arial"/>
          <w:i/>
        </w:rPr>
        <w:t xml:space="preserve"> </w:t>
      </w:r>
    </w:p>
    <w:p w:rsidR="008E423A" w:rsidRPr="006C06D7" w:rsidRDefault="005B27D9" w:rsidP="005B27D9">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Donde</w:t>
      </w:r>
      <w:r w:rsidR="008E423A" w:rsidRPr="006C06D7">
        <w:rPr>
          <w:rFonts w:ascii="Bookman Old Style" w:hAnsi="Bookman Old Style"/>
          <w:i/>
          <w:sz w:val="22"/>
          <w:szCs w:val="22"/>
        </w:rPr>
        <w:t xml:space="preserve"> </w:t>
      </w:r>
      <m:oMath>
        <m:r>
          <w:rPr>
            <w:rFonts w:ascii="Cambria Math" w:hAnsi="Cambria Math" w:cs="Arial"/>
          </w:rPr>
          <m:t>MR</m:t>
        </m:r>
      </m:oMath>
      <w:r w:rsidR="008E423A" w:rsidRPr="006C06D7">
        <w:rPr>
          <w:rFonts w:ascii="Bookman Old Style" w:hAnsi="Bookman Old Style"/>
          <w:i/>
          <w:sz w:val="22"/>
          <w:szCs w:val="22"/>
        </w:rPr>
        <w:t xml:space="preserve"> es el promedio de meses en que un distribuidor reporta ventas. Obsérvese que este número es menor o igual a doce (12) debido a que depende de los reportes de ventas de cada tipo de cilindro. </w:t>
      </w:r>
    </w:p>
    <w:p w:rsidR="008E423A" w:rsidRPr="006C06D7" w:rsidRDefault="008E423A" w:rsidP="005B27D9">
      <w:pPr>
        <w:pStyle w:val="Textoindependiente2"/>
        <w:spacing w:after="0" w:line="240" w:lineRule="auto"/>
        <w:ind w:left="284" w:right="284"/>
        <w:jc w:val="both"/>
        <w:rPr>
          <w:rFonts w:ascii="Bookman Old Style" w:hAnsi="Bookman Old Style"/>
          <w:i/>
          <w:sz w:val="22"/>
          <w:szCs w:val="22"/>
        </w:rPr>
      </w:pPr>
    </w:p>
    <w:p w:rsidR="008E423A" w:rsidRPr="006C06D7" w:rsidRDefault="008E423A" w:rsidP="005B27D9">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Esta relación se analiza utilizando los reportes hechos por distribuidores y comercializadores minoristas a la Superintendencia de Servicios Públicos Domiciliarios (SSPD), a través del SUI. El </w:t>
      </w:r>
      <w:r w:rsidRPr="006C06D7">
        <w:rPr>
          <w:rFonts w:ascii="Bookman Old Style" w:hAnsi="Bookman Old Style"/>
          <w:i/>
          <w:sz w:val="22"/>
          <w:szCs w:val="22"/>
        </w:rPr>
        <w:fldChar w:fldCharType="begin"/>
      </w:r>
      <w:r w:rsidRPr="006C06D7">
        <w:rPr>
          <w:rFonts w:ascii="Bookman Old Style" w:hAnsi="Bookman Old Style"/>
          <w:i/>
          <w:sz w:val="22"/>
          <w:szCs w:val="22"/>
        </w:rPr>
        <w:instrText xml:space="preserve"> REF _Ref434317826 \h  \* MERGEFORMAT </w:instrText>
      </w:r>
      <w:r w:rsidRPr="006C06D7">
        <w:rPr>
          <w:rFonts w:ascii="Bookman Old Style" w:hAnsi="Bookman Old Style"/>
          <w:i/>
          <w:sz w:val="22"/>
          <w:szCs w:val="22"/>
        </w:rPr>
      </w:r>
      <w:r w:rsidRPr="006C06D7">
        <w:rPr>
          <w:rFonts w:ascii="Bookman Old Style" w:hAnsi="Bookman Old Style"/>
          <w:i/>
          <w:sz w:val="22"/>
          <w:szCs w:val="22"/>
        </w:rPr>
        <w:fldChar w:fldCharType="separate"/>
      </w:r>
      <w:r w:rsidRPr="006C06D7">
        <w:rPr>
          <w:rFonts w:ascii="Bookman Old Style" w:hAnsi="Bookman Old Style"/>
          <w:i/>
          <w:sz w:val="22"/>
          <w:szCs w:val="22"/>
        </w:rPr>
        <w:t>Gráfico 12</w:t>
      </w:r>
      <w:r w:rsidRPr="006C06D7">
        <w:rPr>
          <w:rFonts w:ascii="Bookman Old Style" w:hAnsi="Bookman Old Style"/>
          <w:i/>
          <w:sz w:val="22"/>
          <w:szCs w:val="22"/>
        </w:rPr>
        <w:fldChar w:fldCharType="end"/>
      </w:r>
      <w:r w:rsidRPr="006C06D7">
        <w:rPr>
          <w:rFonts w:ascii="Bookman Old Style" w:hAnsi="Bookman Old Style"/>
          <w:i/>
          <w:sz w:val="22"/>
          <w:szCs w:val="22"/>
        </w:rPr>
        <w:t xml:space="preserve"> exhibe un histograma de la relación anual ajustada ventas-inversión de distribuidores</w:t>
      </w:r>
      <w:r w:rsidRPr="006C06D7">
        <w:rPr>
          <w:rFonts w:ascii="Bookman Old Style" w:hAnsi="Bookman Old Style"/>
          <w:i/>
          <w:sz w:val="22"/>
          <w:szCs w:val="22"/>
        </w:rPr>
        <w:footnoteReference w:id="7"/>
      </w:r>
      <w:r w:rsidRPr="006C06D7">
        <w:rPr>
          <w:rFonts w:ascii="Bookman Old Style" w:hAnsi="Bookman Old Style"/>
          <w:i/>
          <w:sz w:val="22"/>
          <w:szCs w:val="22"/>
        </w:rPr>
        <w:t xml:space="preserve"> utilizando la información disponible para el período 2008-2014</w:t>
      </w:r>
      <w:r w:rsidRPr="006C06D7">
        <w:rPr>
          <w:rFonts w:ascii="Bookman Old Style" w:hAnsi="Bookman Old Style"/>
          <w:i/>
          <w:sz w:val="22"/>
          <w:szCs w:val="22"/>
        </w:rPr>
        <w:footnoteReference w:id="8"/>
      </w:r>
      <w:r w:rsidRPr="006C06D7">
        <w:rPr>
          <w:rFonts w:ascii="Bookman Old Style" w:hAnsi="Bookman Old Style"/>
          <w:i/>
          <w:sz w:val="22"/>
          <w:szCs w:val="22"/>
        </w:rPr>
        <w:t>. Como se observa, la relación tiene un mayor peso probabilístico entre 0,5 y 0,7, lo que indica que para vender un cilindro de GLP, un distribuidor debe tener al menos entre uno y dos cilindros a su disposición.</w:t>
      </w:r>
      <w:r w:rsidR="005B27D9" w:rsidRPr="006C06D7">
        <w:rPr>
          <w:rFonts w:ascii="Bookman Old Style" w:hAnsi="Bookman Old Style"/>
          <w:i/>
          <w:sz w:val="22"/>
          <w:szCs w:val="22"/>
        </w:rPr>
        <w:t>”</w:t>
      </w:r>
    </w:p>
    <w:p w:rsidR="005B27D9" w:rsidRDefault="005B27D9" w:rsidP="005B27D9">
      <w:pPr>
        <w:pStyle w:val="Textoindependiente2"/>
        <w:spacing w:after="0" w:line="240" w:lineRule="auto"/>
        <w:ind w:left="0" w:right="284"/>
        <w:jc w:val="both"/>
        <w:rPr>
          <w:rFonts w:ascii="Bookman Old Style" w:hAnsi="Bookman Old Style"/>
          <w:sz w:val="22"/>
          <w:szCs w:val="22"/>
        </w:rPr>
      </w:pPr>
    </w:p>
    <w:p w:rsidR="005B27D9" w:rsidRPr="005B27D9" w:rsidRDefault="005B27D9" w:rsidP="00503E2E">
      <w:pPr>
        <w:pStyle w:val="Textoindependiente2"/>
        <w:spacing w:after="0" w:line="240" w:lineRule="auto"/>
        <w:ind w:left="-142" w:right="-142"/>
        <w:jc w:val="both"/>
        <w:rPr>
          <w:rFonts w:ascii="Bookman Old Style" w:hAnsi="Bookman Old Style"/>
        </w:rPr>
      </w:pPr>
      <w:r>
        <w:rPr>
          <w:rFonts w:ascii="Bookman Old Style" w:hAnsi="Bookman Old Style"/>
        </w:rPr>
        <w:t xml:space="preserve">En </w:t>
      </w:r>
      <w:r w:rsidRPr="00503E2E">
        <w:rPr>
          <w:rFonts w:ascii="Bookman Old Style" w:hAnsi="Bookman Old Style"/>
          <w:szCs w:val="27"/>
        </w:rPr>
        <w:t>concordancia</w:t>
      </w:r>
      <w:r>
        <w:rPr>
          <w:rFonts w:ascii="Bookman Old Style" w:hAnsi="Bookman Old Style"/>
        </w:rPr>
        <w:t xml:space="preserve"> con lo anterior y frente al factor de equivalencia, dentro de este análisis la Comisión expuso lo siguiente:</w:t>
      </w:r>
    </w:p>
    <w:p w:rsidR="008E423A" w:rsidRDefault="008E423A" w:rsidP="005B27D9">
      <w:pPr>
        <w:pStyle w:val="Textoindependiente2"/>
        <w:spacing w:after="0" w:line="240" w:lineRule="auto"/>
        <w:ind w:left="0" w:right="284"/>
        <w:jc w:val="both"/>
        <w:rPr>
          <w:rFonts w:ascii="Bookman Old Style" w:hAnsi="Bookman Old Style"/>
          <w:sz w:val="22"/>
          <w:szCs w:val="22"/>
        </w:rPr>
      </w:pPr>
    </w:p>
    <w:p w:rsidR="0026190F" w:rsidRPr="008E02E1" w:rsidRDefault="005B27D9" w:rsidP="0026190F">
      <w:pPr>
        <w:pStyle w:val="Textoindependiente2"/>
        <w:spacing w:after="0" w:line="240" w:lineRule="auto"/>
        <w:ind w:left="284" w:right="284"/>
        <w:jc w:val="both"/>
        <w:rPr>
          <w:rFonts w:ascii="Bookman Old Style" w:hAnsi="Bookman Old Style"/>
          <w:sz w:val="22"/>
          <w:szCs w:val="22"/>
        </w:rPr>
      </w:pPr>
      <w:r>
        <w:rPr>
          <w:rFonts w:ascii="Bookman Old Style" w:hAnsi="Bookman Old Style"/>
          <w:sz w:val="22"/>
          <w:szCs w:val="22"/>
        </w:rPr>
        <w:t>“</w:t>
      </w:r>
      <w:r w:rsidR="0026190F" w:rsidRPr="008E02E1">
        <w:rPr>
          <w:rFonts w:ascii="Bookman Old Style" w:hAnsi="Bookman Old Style"/>
          <w:sz w:val="22"/>
          <w:szCs w:val="22"/>
        </w:rPr>
        <w:t>Nuevamente se observa que la relación econométrica y sus coeficientes son estadísticamente significativos. El coeficiente β_1 es 0,306, lo cual indica que para vender un kilogramo adicional de GLP se requiere de 3,26 kilogramos de capacidad de envasado en tanques estacionarios. Alternativamente, por cada kilogramo de capacidad de envasado en tanques estacionarios atendidos, el distribuidor puede vender 0,306 kilogramos anualmente.</w:t>
      </w:r>
    </w:p>
    <w:p w:rsidR="0026190F" w:rsidRPr="008E02E1" w:rsidRDefault="0026190F" w:rsidP="0026190F">
      <w:pPr>
        <w:pStyle w:val="Textoindependiente2"/>
        <w:spacing w:after="0" w:line="240" w:lineRule="auto"/>
        <w:ind w:left="284" w:right="284"/>
        <w:jc w:val="both"/>
        <w:rPr>
          <w:rFonts w:ascii="Bookman Old Style" w:hAnsi="Bookman Old Style"/>
          <w:sz w:val="22"/>
          <w:szCs w:val="22"/>
        </w:rPr>
      </w:pPr>
    </w:p>
    <w:p w:rsidR="0026190F" w:rsidRPr="008E02E1" w:rsidRDefault="0026190F" w:rsidP="0026190F">
      <w:pPr>
        <w:pStyle w:val="Textoindependiente2"/>
        <w:spacing w:after="0" w:line="240" w:lineRule="auto"/>
        <w:ind w:left="284" w:right="284"/>
        <w:jc w:val="both"/>
        <w:rPr>
          <w:rFonts w:ascii="Bookman Old Style" w:hAnsi="Bookman Old Style"/>
          <w:sz w:val="22"/>
          <w:szCs w:val="22"/>
        </w:rPr>
      </w:pPr>
      <w:r w:rsidRPr="008E02E1">
        <w:rPr>
          <w:rFonts w:ascii="Bookman Old Style" w:hAnsi="Bookman Old Style"/>
          <w:sz w:val="22"/>
          <w:szCs w:val="22"/>
        </w:rPr>
        <w:t>(…)</w:t>
      </w:r>
    </w:p>
    <w:p w:rsidR="0026190F" w:rsidRPr="008E02E1" w:rsidRDefault="0026190F" w:rsidP="0026190F">
      <w:pPr>
        <w:pStyle w:val="Textoindependiente2"/>
        <w:spacing w:after="0" w:line="240" w:lineRule="auto"/>
        <w:ind w:left="284" w:right="284"/>
        <w:jc w:val="both"/>
        <w:rPr>
          <w:rFonts w:ascii="Bookman Old Style" w:hAnsi="Bookman Old Style"/>
          <w:sz w:val="22"/>
          <w:szCs w:val="22"/>
        </w:rPr>
      </w:pPr>
    </w:p>
    <w:p w:rsidR="0026190F" w:rsidRPr="008E02E1" w:rsidRDefault="0026190F" w:rsidP="0026190F">
      <w:pPr>
        <w:pStyle w:val="Textoindependiente2"/>
        <w:spacing w:after="0" w:line="240" w:lineRule="auto"/>
        <w:ind w:left="284" w:right="284"/>
        <w:jc w:val="both"/>
        <w:rPr>
          <w:rFonts w:ascii="Bookman Old Style" w:hAnsi="Bookman Old Style"/>
          <w:sz w:val="22"/>
          <w:szCs w:val="22"/>
        </w:rPr>
      </w:pPr>
      <w:r w:rsidRPr="008E02E1">
        <w:rPr>
          <w:rFonts w:ascii="Bookman Old Style" w:hAnsi="Bookman Old Style"/>
          <w:sz w:val="22"/>
          <w:szCs w:val="22"/>
        </w:rPr>
        <w:t>“Ahora, realizando este mismo análisis con las empresas que únicamente se encontraban activas en el 2014, se encuentra que el 71% de ellas tenían esta razón igual o menor a 0,08, es decir, disponían de al menos 12,5 kilogramos de capacidad de envasado para vender un kilogramo de GLP. El 94,1% de las empresas activas exhibían una razón inferior a 0,31. Ello, en conclusión, confirma uno de los hechos estilizados de la actividad de distribución y comercialización minorista de GLP: desde 2008 y a través de los años, las empresas han adquirido una capacidad de envasado que supera los niveles de compra de GLP en el mercado mayorista.”</w:t>
      </w:r>
    </w:p>
    <w:p w:rsidR="00CE7163" w:rsidRDefault="00CE7163" w:rsidP="00090E52">
      <w:pPr>
        <w:pStyle w:val="Textoindependiente2"/>
        <w:spacing w:after="0" w:line="240" w:lineRule="auto"/>
        <w:ind w:left="-142" w:right="-142"/>
        <w:jc w:val="both"/>
        <w:rPr>
          <w:rFonts w:ascii="Bookman Old Style" w:hAnsi="Bookman Old Style"/>
          <w:szCs w:val="27"/>
        </w:rPr>
      </w:pPr>
    </w:p>
    <w:p w:rsidR="00503E2E" w:rsidRDefault="005B27D9"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esta Comisión expuso dentro del trámite de consulta el análisis </w:t>
      </w:r>
      <w:r w:rsidR="00E241A2">
        <w:rPr>
          <w:rFonts w:ascii="Bookman Old Style" w:hAnsi="Bookman Old Style"/>
          <w:szCs w:val="27"/>
        </w:rPr>
        <w:t xml:space="preserve">general </w:t>
      </w:r>
      <w:r>
        <w:rPr>
          <w:rFonts w:ascii="Bookman Old Style" w:hAnsi="Bookman Old Style"/>
          <w:szCs w:val="27"/>
        </w:rPr>
        <w:t xml:space="preserve">aplicable a la rotación de las inversiones, así al factor de </w:t>
      </w:r>
      <w:r>
        <w:rPr>
          <w:rFonts w:ascii="Bookman Old Style" w:hAnsi="Bookman Old Style"/>
          <w:szCs w:val="27"/>
        </w:rPr>
        <w:lastRenderedPageBreak/>
        <w:t>equivalencia</w:t>
      </w:r>
      <w:r w:rsidR="00E241A2">
        <w:rPr>
          <w:rFonts w:ascii="Bookman Old Style" w:hAnsi="Bookman Old Style"/>
          <w:szCs w:val="27"/>
        </w:rPr>
        <w:t xml:space="preserve"> para las empresas distribuidoras</w:t>
      </w:r>
      <w:r>
        <w:rPr>
          <w:rFonts w:ascii="Bookman Old Style" w:hAnsi="Bookman Old Style"/>
          <w:szCs w:val="27"/>
        </w:rPr>
        <w:t>, dando respuesta en debida forma a los comentarios</w:t>
      </w:r>
      <w:r w:rsidR="00E241A2">
        <w:rPr>
          <w:rFonts w:ascii="Bookman Old Style" w:hAnsi="Bookman Old Style"/>
          <w:szCs w:val="27"/>
        </w:rPr>
        <w:t>, incluidos los</w:t>
      </w:r>
      <w:r>
        <w:rPr>
          <w:rFonts w:ascii="Bookman Old Style" w:hAnsi="Bookman Old Style"/>
          <w:szCs w:val="27"/>
        </w:rPr>
        <w:t xml:space="preserve"> de la empresa </w:t>
      </w:r>
      <w:r w:rsidR="00E241A2">
        <w:rPr>
          <w:rFonts w:ascii="Bookman Old Style" w:hAnsi="Bookman Old Style"/>
          <w:szCs w:val="27"/>
        </w:rPr>
        <w:t xml:space="preserve">recurrente </w:t>
      </w:r>
      <w:r>
        <w:rPr>
          <w:rFonts w:ascii="Bookman Old Style" w:hAnsi="Bookman Old Style"/>
          <w:szCs w:val="27"/>
        </w:rPr>
        <w:t>con respecto a el porque la definición de la capacidad de compra se debía realizar de acuerdo con el procedimiento y la forma definida en el artículo 8 y las formulas allí establecidas,</w:t>
      </w:r>
      <w:r w:rsidR="00E241A2">
        <w:rPr>
          <w:rFonts w:ascii="Bookman Old Style" w:hAnsi="Bookman Old Style"/>
          <w:szCs w:val="27"/>
        </w:rPr>
        <w:t xml:space="preserve"> atendiendo los análisis que</w:t>
      </w:r>
      <w:r w:rsidR="00503E2E">
        <w:rPr>
          <w:rFonts w:ascii="Bookman Old Style" w:hAnsi="Bookman Old Style"/>
          <w:szCs w:val="27"/>
        </w:rPr>
        <w:t xml:space="preserve"> la preceden.</w:t>
      </w:r>
    </w:p>
    <w:p w:rsidR="00503E2E" w:rsidRDefault="00503E2E" w:rsidP="005B27D9">
      <w:pPr>
        <w:pStyle w:val="Textoindependiente2"/>
        <w:spacing w:after="0" w:line="240" w:lineRule="auto"/>
        <w:ind w:left="-142" w:right="-142"/>
        <w:jc w:val="both"/>
        <w:rPr>
          <w:rFonts w:ascii="Bookman Old Style" w:hAnsi="Bookman Old Style"/>
          <w:szCs w:val="27"/>
        </w:rPr>
      </w:pPr>
    </w:p>
    <w:p w:rsidR="005B27D9" w:rsidRDefault="00503E2E"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igual forma se advirtió que no existía ninguna justificación a fin de</w:t>
      </w:r>
      <w:r w:rsidR="00E241A2">
        <w:rPr>
          <w:rFonts w:ascii="Bookman Old Style" w:hAnsi="Bookman Old Style"/>
          <w:szCs w:val="27"/>
        </w:rPr>
        <w:t xml:space="preserve"> </w:t>
      </w:r>
      <w:r w:rsidR="005B27D9">
        <w:rPr>
          <w:rFonts w:ascii="Bookman Old Style" w:hAnsi="Bookman Old Style"/>
          <w:szCs w:val="27"/>
        </w:rPr>
        <w:t>crear tratamientos diferenciados o específicos con re</w:t>
      </w:r>
      <w:r w:rsidR="00E241A2">
        <w:rPr>
          <w:rFonts w:ascii="Bookman Old Style" w:hAnsi="Bookman Old Style"/>
          <w:szCs w:val="27"/>
        </w:rPr>
        <w:t>specto a la forma en que se debe</w:t>
      </w:r>
      <w:r w:rsidR="005B27D9">
        <w:rPr>
          <w:rFonts w:ascii="Bookman Old Style" w:hAnsi="Bookman Old Style"/>
          <w:szCs w:val="27"/>
        </w:rPr>
        <w:t xml:space="preserve"> definir la capacidad de compra, incluyendo elementos tales como la rotación de las inversiones, aspectos relacionados con subsidios y </w:t>
      </w:r>
      <w:r w:rsidR="00E241A2">
        <w:rPr>
          <w:rFonts w:ascii="Bookman Old Style" w:hAnsi="Bookman Old Style"/>
          <w:szCs w:val="27"/>
        </w:rPr>
        <w:t>el factor de equivalencia, en la medida que dicho tratamiento se debía realizar de manera general y bajo los mismos lineamientos para todos los distribuidores.</w:t>
      </w:r>
    </w:p>
    <w:p w:rsidR="00E241A2" w:rsidRDefault="00E241A2" w:rsidP="005B27D9">
      <w:pPr>
        <w:pStyle w:val="Textoindependiente2"/>
        <w:spacing w:after="0" w:line="240" w:lineRule="auto"/>
        <w:ind w:left="-142" w:right="-142"/>
        <w:jc w:val="both"/>
        <w:rPr>
          <w:rFonts w:ascii="Bookman Old Style" w:hAnsi="Bookman Old Style"/>
          <w:szCs w:val="27"/>
        </w:rPr>
      </w:pPr>
    </w:p>
    <w:p w:rsidR="00E241A2" w:rsidRDefault="00E241A2"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 no atender un comentario y dando debida respuesta al mismo como parte del proceso de consulta no puede entenderse como un elemento que afecte la validez, eficacia y la legalidad de la Resolución CREG 075 de 2016, no siendo procedentes los argumentos expuestos en el recursos denominados como “primer hecho”.</w:t>
      </w:r>
    </w:p>
    <w:p w:rsidR="005B27D9" w:rsidRDefault="005B27D9" w:rsidP="00E241A2">
      <w:pPr>
        <w:pStyle w:val="Textoindependiente2"/>
        <w:spacing w:after="0" w:line="240" w:lineRule="auto"/>
        <w:ind w:left="0" w:right="-142"/>
        <w:jc w:val="both"/>
        <w:rPr>
          <w:rFonts w:ascii="Bookman Old Style" w:hAnsi="Bookman Old Style"/>
          <w:szCs w:val="27"/>
        </w:rPr>
      </w:pPr>
    </w:p>
    <w:p w:rsidR="005B27D9" w:rsidRDefault="00E241A2" w:rsidP="001D1F1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bien, se debe tener en cuenta igualmente que la empresa dentro del recurso de </w:t>
      </w:r>
      <w:r w:rsidR="006A7148">
        <w:rPr>
          <w:rFonts w:ascii="Bookman Old Style" w:hAnsi="Bookman Old Style"/>
          <w:szCs w:val="27"/>
        </w:rPr>
        <w:t xml:space="preserve">reposición </w:t>
      </w:r>
      <w:r w:rsidR="00DB633B">
        <w:rPr>
          <w:rFonts w:ascii="Bookman Old Style" w:hAnsi="Bookman Old Style"/>
          <w:szCs w:val="27"/>
        </w:rPr>
        <w:t xml:space="preserve">en el aparte denominado “quinto hecho”, </w:t>
      </w:r>
      <w:r w:rsidR="006B0C04">
        <w:rPr>
          <w:rFonts w:ascii="Bookman Old Style" w:hAnsi="Bookman Old Style"/>
          <w:szCs w:val="27"/>
        </w:rPr>
        <w:t xml:space="preserve">cuestiona de manera específica </w:t>
      </w:r>
      <w:r w:rsidR="005B27D9">
        <w:rPr>
          <w:rFonts w:ascii="Bookman Old Style" w:hAnsi="Bookman Old Style"/>
          <w:szCs w:val="27"/>
        </w:rPr>
        <w:t>el f</w:t>
      </w:r>
      <w:r w:rsidR="005B27D9" w:rsidRPr="00971FF2">
        <w:rPr>
          <w:rFonts w:ascii="Bookman Old Style" w:hAnsi="Bookman Old Style"/>
          <w:szCs w:val="27"/>
        </w:rPr>
        <w:t>actor de equivalencia de envasado en cilindros y tanques estacionarios</w:t>
      </w:r>
      <w:r w:rsidR="005B27D9">
        <w:rPr>
          <w:rFonts w:ascii="Bookman Old Style" w:hAnsi="Bookman Old Style"/>
          <w:szCs w:val="27"/>
        </w:rPr>
        <w:t>, toda vez que consideran ellos, se encuentran en una situación particular y específica en relación con la rotación de sus cilindros</w:t>
      </w:r>
      <w:r w:rsidR="006B0C04">
        <w:rPr>
          <w:rFonts w:ascii="Bookman Old Style" w:hAnsi="Bookman Old Style"/>
          <w:szCs w:val="27"/>
        </w:rPr>
        <w:t xml:space="preserve"> y el llenado de sus tanques</w:t>
      </w:r>
      <w:r w:rsidR="001D1F10">
        <w:rPr>
          <w:rFonts w:ascii="Bookman Old Style" w:hAnsi="Bookman Old Style"/>
          <w:szCs w:val="27"/>
        </w:rPr>
        <w:t xml:space="preserve">, las condiciones de mercado y la aplicación de subsidios en su área de prestación del servicio, </w:t>
      </w:r>
      <w:r w:rsidR="005B27D9">
        <w:rPr>
          <w:rFonts w:ascii="Bookman Old Style" w:hAnsi="Bookman Old Style"/>
          <w:szCs w:val="27"/>
        </w:rPr>
        <w:t>lo cual debe generar que la determinación de la capacidad de compra para esta empresa atendiendo un factor de equivalencia sea diferente al 0,3 previsto en la Resolución CREG 063 de 2016</w:t>
      </w:r>
      <w:r w:rsidR="006B0C04">
        <w:rPr>
          <w:rFonts w:ascii="Bookman Old Style" w:hAnsi="Bookman Old Style"/>
          <w:szCs w:val="27"/>
        </w:rPr>
        <w:t xml:space="preserve">, considerando que dicho factor para su caso debería corresponder a </w:t>
      </w:r>
      <w:r w:rsidR="001D1F10">
        <w:rPr>
          <w:rFonts w:ascii="Bookman Old Style" w:hAnsi="Bookman Old Style"/>
          <w:szCs w:val="27"/>
        </w:rPr>
        <w:t>0,3697</w:t>
      </w:r>
      <w:r w:rsidR="005B27D9">
        <w:rPr>
          <w:rFonts w:ascii="Bookman Old Style" w:hAnsi="Bookman Old Style"/>
          <w:szCs w:val="27"/>
        </w:rPr>
        <w:t>.</w:t>
      </w:r>
    </w:p>
    <w:p w:rsidR="005B27D9" w:rsidRDefault="005B27D9" w:rsidP="005B27D9">
      <w:pPr>
        <w:pStyle w:val="Textoindependiente2"/>
        <w:spacing w:after="0" w:line="240" w:lineRule="auto"/>
        <w:ind w:left="0" w:right="-142"/>
        <w:jc w:val="both"/>
        <w:rPr>
          <w:rFonts w:ascii="Bookman Old Style" w:hAnsi="Bookman Old Style"/>
          <w:szCs w:val="27"/>
        </w:rPr>
      </w:pPr>
    </w:p>
    <w:p w:rsidR="005B27D9" w:rsidRDefault="005B27D9"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punto, la Comisión encuentra que los argumentos expuestos por la empresa </w:t>
      </w:r>
      <w:r w:rsidR="001D1F10">
        <w:rPr>
          <w:rFonts w:ascii="Bookman Old Style" w:hAnsi="Bookman Old Style"/>
          <w:szCs w:val="27"/>
        </w:rPr>
        <w:t>Montagas</w:t>
      </w:r>
      <w:r>
        <w:rPr>
          <w:rFonts w:ascii="Bookman Old Style" w:hAnsi="Bookman Old Style"/>
          <w:szCs w:val="27"/>
        </w:rPr>
        <w:t xml:space="preserve"> no llevan a modificar o revocar lo consagrado en el artículo 1 de la Resolución CREG 075 de 2016 en cuanto a la aplicación realizada por la Comisión a efectos de determinar la capacidad de compra de acuerdo con lo previsto en el artículo 8 de este acto administrativo, toda vez que no se advierte una indebida aplicación del mismo o un error en la forma de llevar a cabo dicho procedimiento por parte de esta Comisión. </w:t>
      </w:r>
    </w:p>
    <w:p w:rsidR="005B27D9" w:rsidRDefault="005B27D9" w:rsidP="005B27D9">
      <w:pPr>
        <w:pStyle w:val="Textoindependiente2"/>
        <w:spacing w:after="0" w:line="240" w:lineRule="auto"/>
        <w:ind w:left="-142" w:right="-142"/>
        <w:jc w:val="both"/>
        <w:rPr>
          <w:rFonts w:ascii="Bookman Old Style" w:hAnsi="Bookman Old Style"/>
          <w:szCs w:val="27"/>
        </w:rPr>
      </w:pPr>
    </w:p>
    <w:p w:rsidR="005B27D9" w:rsidRDefault="005B27D9"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dichos argumentos no generan o motivan por parte de esta Comisión que se realice un tratamiento diferenciado a la empresa </w:t>
      </w:r>
      <w:r w:rsidR="001D1F10">
        <w:rPr>
          <w:rFonts w:ascii="Bookman Old Style" w:hAnsi="Bookman Old Style"/>
          <w:szCs w:val="27"/>
        </w:rPr>
        <w:t>Montagas</w:t>
      </w:r>
      <w:r>
        <w:rPr>
          <w:rFonts w:ascii="Bookman Old Style" w:hAnsi="Bookman Old Style"/>
          <w:szCs w:val="27"/>
        </w:rPr>
        <w:t xml:space="preserve"> a efectos de resolver el presente recurso de reposición, ya que no se advierte un motivo </w:t>
      </w:r>
      <w:r w:rsidRPr="00936888">
        <w:rPr>
          <w:rFonts w:ascii="Bookman Old Style" w:hAnsi="Bookman Old Style"/>
          <w:szCs w:val="27"/>
        </w:rPr>
        <w:t>justificado</w:t>
      </w:r>
      <w:r>
        <w:rPr>
          <w:rFonts w:ascii="Bookman Old Style" w:hAnsi="Bookman Old Style"/>
          <w:szCs w:val="27"/>
        </w:rPr>
        <w:t xml:space="preserve">, sustentado económica, técnica y jurídicamente, sino que por el contrario, el análisis expuesto por esta Comisión en los documentos soporte en relación con lo previsto en el artículo 8 de la Resolución CREG 063 de 2016, atendiendo las variables allí consignadas (e. g. </w:t>
      </w:r>
      <w:r w:rsidRPr="004926FE">
        <w:rPr>
          <w:rFonts w:ascii="Bookman Old Style" w:hAnsi="Bookman Old Style"/>
          <w:szCs w:val="27"/>
        </w:rPr>
        <w:t>inversión en envasado</w:t>
      </w:r>
      <w:r>
        <w:rPr>
          <w:rFonts w:ascii="Bookman Old Style" w:hAnsi="Bookman Old Style"/>
          <w:szCs w:val="27"/>
        </w:rPr>
        <w:t xml:space="preserve">), permite establecer que existe un mismo criterio de equiparación y comparación entre todos los agentes, incluyendo esto para la definición del </w:t>
      </w:r>
      <w:r w:rsidRPr="00241733">
        <w:rPr>
          <w:rFonts w:ascii="Bookman Old Style" w:hAnsi="Bookman Old Style"/>
          <w:szCs w:val="27"/>
        </w:rPr>
        <w:t>factor de equivalencia de envasado en cilindros y tanques estacionarios</w:t>
      </w:r>
      <w:r>
        <w:rPr>
          <w:rFonts w:ascii="Bookman Old Style" w:hAnsi="Bookman Old Style"/>
          <w:szCs w:val="27"/>
        </w:rPr>
        <w:t xml:space="preserve">, por lo que allí se advierte y se refleja en la definición del artículo 8, que se debe dar un tratamiento igualitario y simétrico a los distribuidores de GLP en relación con la Resolución CREG 063 de 2016. </w:t>
      </w:r>
    </w:p>
    <w:p w:rsidR="001D1F10" w:rsidRDefault="001D1F10" w:rsidP="005B27D9">
      <w:pPr>
        <w:pStyle w:val="Textoindependiente2"/>
        <w:spacing w:after="0" w:line="240" w:lineRule="auto"/>
        <w:ind w:left="-142" w:right="-142"/>
        <w:jc w:val="both"/>
        <w:rPr>
          <w:rFonts w:ascii="Bookman Old Style" w:hAnsi="Bookman Old Style"/>
          <w:szCs w:val="27"/>
        </w:rPr>
      </w:pPr>
    </w:p>
    <w:p w:rsidR="001D1F10" w:rsidRDefault="001D1F10" w:rsidP="005B27D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Es así que dentro del trámite de consulta, incluyendo la expedición de las resoluciones CREG 221 de 2015 y 063 de 2016, esta Comisión estableció atendiendo los análisis expuestos en los anexos del documento soporte de dichos actos administrativo, así como atendiendo las observaciones e inquietudes formuladas por los agentes, que los parámetros y elementos respecto de los cuales se debía definir la capacidad de compra debían partir de un</w:t>
      </w:r>
      <w:r w:rsidR="008B2512">
        <w:rPr>
          <w:rFonts w:ascii="Bookman Old Style" w:hAnsi="Bookman Old Style"/>
          <w:szCs w:val="27"/>
        </w:rPr>
        <w:t xml:space="preserve"> mismo</w:t>
      </w:r>
      <w:r>
        <w:rPr>
          <w:rFonts w:ascii="Bookman Old Style" w:hAnsi="Bookman Old Style"/>
          <w:szCs w:val="27"/>
        </w:rPr>
        <w:t xml:space="preserve"> supuesto, relativo a que se debía dar el mismo tratamiento a los distribuidores y que dichos parámetros debían ser de orden general. </w:t>
      </w:r>
    </w:p>
    <w:p w:rsidR="001D1F10" w:rsidRDefault="001D1F10" w:rsidP="005B27D9">
      <w:pPr>
        <w:pStyle w:val="Textoindependiente2"/>
        <w:spacing w:after="0" w:line="240" w:lineRule="auto"/>
        <w:ind w:left="-142" w:right="-142"/>
        <w:jc w:val="both"/>
        <w:rPr>
          <w:rFonts w:ascii="Bookman Old Style" w:hAnsi="Bookman Old Style"/>
          <w:szCs w:val="27"/>
        </w:rPr>
      </w:pPr>
    </w:p>
    <w:p w:rsidR="00503E2E" w:rsidRDefault="001D1F10" w:rsidP="003B469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Esto,</w:t>
      </w:r>
      <w:r w:rsidR="003B4690">
        <w:rPr>
          <w:rFonts w:ascii="Bookman Old Style" w:hAnsi="Bookman Old Style"/>
          <w:szCs w:val="27"/>
        </w:rPr>
        <w:t xml:space="preserve"> a </w:t>
      </w:r>
      <w:r w:rsidR="003B4690" w:rsidRPr="003B4690">
        <w:rPr>
          <w:rFonts w:ascii="Bookman Old Style" w:hAnsi="Bookman Old Style"/>
          <w:szCs w:val="27"/>
        </w:rPr>
        <w:t>fin de dar cumplimiento a los presupuestos y mandatos propios del principio de igualdad, materializados en materia de servicios públicos en el criterio de neutralidad del artículo 87 de la Ley 142 de 1994, como lo son el de dar un trato idéntico a destinatarios que se encuentren en circunstancias idénticas, así como el de dar un trato paritario a destinatarios cuyas situaciones presenten similitudes y diferencias, pero las similitudes sean más relevantes a pesar de las diferencias, como es el caso de los agentes distribuidores para efectos de la determinación de la capacidad de compra.</w:t>
      </w:r>
      <w:r w:rsidR="008B2512">
        <w:rPr>
          <w:rFonts w:ascii="Bookman Old Style" w:hAnsi="Bookman Old Style"/>
          <w:szCs w:val="27"/>
        </w:rPr>
        <w:t xml:space="preserve"> </w:t>
      </w:r>
    </w:p>
    <w:p w:rsidR="00503E2E" w:rsidRDefault="00503E2E" w:rsidP="003B4690">
      <w:pPr>
        <w:pStyle w:val="Textoindependiente2"/>
        <w:spacing w:after="0" w:line="240" w:lineRule="auto"/>
        <w:ind w:left="-142" w:right="-142"/>
        <w:jc w:val="both"/>
        <w:rPr>
          <w:rFonts w:ascii="Bookman Old Style" w:hAnsi="Bookman Old Style"/>
          <w:szCs w:val="27"/>
        </w:rPr>
      </w:pPr>
    </w:p>
    <w:p w:rsidR="003B4690" w:rsidRDefault="008B2512" w:rsidP="003B469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w:t>
      </w:r>
      <w:r w:rsidRPr="008B2512">
        <w:rPr>
          <w:rFonts w:ascii="Bookman Old Style" w:hAnsi="Bookman Old Style"/>
          <w:szCs w:val="27"/>
        </w:rPr>
        <w:t xml:space="preserve">, no se identificaron </w:t>
      </w:r>
      <w:r>
        <w:rPr>
          <w:rFonts w:ascii="Bookman Old Style" w:hAnsi="Bookman Old Style"/>
          <w:szCs w:val="27"/>
        </w:rPr>
        <w:t xml:space="preserve">al momento de la expedición de la Resolución CREG 063 de 2016 </w:t>
      </w:r>
      <w:r w:rsidRPr="008B2512">
        <w:rPr>
          <w:rFonts w:ascii="Bookman Old Style" w:hAnsi="Bookman Old Style"/>
          <w:szCs w:val="27"/>
        </w:rPr>
        <w:t>elementos respecto de los cuales se generara o se encontrará llevar a cabo un tratamiento diferenciado para los agentes que prestan el servicio en cilindros y tanques estacionarios a efectos de establecer la forma como se debía definir la capacidad de compra</w:t>
      </w:r>
      <w:r>
        <w:rPr>
          <w:rFonts w:ascii="Bookman Old Style" w:hAnsi="Bookman Old Style"/>
          <w:szCs w:val="27"/>
        </w:rPr>
        <w:t>, incluyendo el caso expuesto por parte de Montagas</w:t>
      </w:r>
      <w:r w:rsidRPr="008B2512">
        <w:rPr>
          <w:rFonts w:ascii="Bookman Old Style" w:hAnsi="Bookman Old Style"/>
          <w:szCs w:val="27"/>
        </w:rPr>
        <w:t>.</w:t>
      </w:r>
    </w:p>
    <w:p w:rsidR="003B4690" w:rsidRDefault="003B4690" w:rsidP="003B4690">
      <w:pPr>
        <w:pStyle w:val="Textoindependiente2"/>
        <w:spacing w:after="0" w:line="240" w:lineRule="auto"/>
        <w:ind w:left="0" w:right="-142"/>
        <w:jc w:val="both"/>
        <w:rPr>
          <w:rFonts w:ascii="Bookman Old Style" w:hAnsi="Bookman Old Style"/>
          <w:szCs w:val="27"/>
        </w:rPr>
      </w:pPr>
    </w:p>
    <w:p w:rsidR="005B27D9" w:rsidRDefault="003B4690" w:rsidP="003B469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Ejemplo</w:t>
      </w:r>
      <w:r w:rsidR="00D46412">
        <w:rPr>
          <w:rFonts w:ascii="Bookman Old Style" w:hAnsi="Bookman Old Style"/>
          <w:szCs w:val="27"/>
        </w:rPr>
        <w:t xml:space="preserve"> de lo anterior es lo expuesto e</w:t>
      </w:r>
      <w:r>
        <w:rPr>
          <w:rFonts w:ascii="Bookman Old Style" w:hAnsi="Bookman Old Style"/>
          <w:szCs w:val="27"/>
        </w:rPr>
        <w:t>n el documento soporte de la Resolución CREG 063 de 2016, donde en respuesta a este tipo de solicitudes esta Comisión precisó lo siguiente:</w:t>
      </w:r>
    </w:p>
    <w:p w:rsidR="003B4690" w:rsidRPr="003B4690" w:rsidRDefault="003B4690" w:rsidP="003B4690">
      <w:pPr>
        <w:pStyle w:val="Textoindependiente2"/>
        <w:spacing w:after="0" w:line="240" w:lineRule="auto"/>
        <w:ind w:left="-142" w:right="-142"/>
        <w:jc w:val="both"/>
        <w:rPr>
          <w:rFonts w:ascii="Bookman Old Style" w:hAnsi="Bookman Old Style"/>
          <w:szCs w:val="27"/>
        </w:rPr>
      </w:pPr>
    </w:p>
    <w:p w:rsidR="00CE7163" w:rsidRDefault="003B4690" w:rsidP="008B2512">
      <w:pPr>
        <w:pStyle w:val="Textoindependiente2"/>
        <w:spacing w:after="0" w:line="240" w:lineRule="auto"/>
        <w:ind w:left="284" w:right="284"/>
        <w:jc w:val="both"/>
        <w:rPr>
          <w:rFonts w:ascii="Bookman Old Style" w:hAnsi="Bookman Old Style"/>
          <w:szCs w:val="27"/>
        </w:rPr>
      </w:pPr>
      <w:r>
        <w:rPr>
          <w:rFonts w:ascii="Bookman Old Style" w:hAnsi="Bookman Old Style"/>
          <w:sz w:val="22"/>
          <w:szCs w:val="22"/>
        </w:rPr>
        <w:t>“</w:t>
      </w:r>
      <w:r w:rsidRPr="003B4690">
        <w:rPr>
          <w:rFonts w:ascii="Bookman Old Style" w:hAnsi="Bookman Old Style"/>
          <w:sz w:val="22"/>
          <w:szCs w:val="22"/>
        </w:rPr>
        <w:t xml:space="preserve">En relación con estos comentarios se debe precisar que la propuesta regulatoria en ningún momento fomenta o incentiva la práctica de conductas o prácticas restrictivas a la competencia en los términos que allí menciona, </w:t>
      </w:r>
      <w:r w:rsidRPr="003B4690">
        <w:rPr>
          <w:rFonts w:ascii="Bookman Old Style" w:hAnsi="Bookman Old Style"/>
          <w:sz w:val="22"/>
          <w:szCs w:val="22"/>
          <w:u w:val="single"/>
        </w:rPr>
        <w:t>toda vez que esta da el mismo tratamiento a todos los agentes que van a realizar compras en el mercado mayorista, sin fomentar en ningún caso un trato preferencial o específico que permita que algún agente pueda adquirir producto a fin de generar un acaparamiento el mercado</w:t>
      </w:r>
      <w:r w:rsidRPr="003B4690">
        <w:rPr>
          <w:rFonts w:ascii="Bookman Old Style" w:hAnsi="Bookman Old Style"/>
          <w:sz w:val="22"/>
          <w:szCs w:val="22"/>
        </w:rPr>
        <w:t>. En este sentido, cualquier agente puede comprar en el mercado mayorista las cantidades de GLP que pueda distribuir y la asignación de las cantidades se hará de acuerdo con el mecanismo existente, donde para el caso del GLP con precio regulado corresponde a las OPC del reglamento de comercialización mayorista</w:t>
      </w:r>
      <w:r>
        <w:rPr>
          <w:rFonts w:ascii="Bookman Old Style" w:hAnsi="Bookman Old Style"/>
          <w:sz w:val="22"/>
          <w:szCs w:val="22"/>
        </w:rPr>
        <w:t>” (Resaltado fuera de texto)</w:t>
      </w:r>
    </w:p>
    <w:p w:rsidR="00C63FC3" w:rsidRDefault="00C63FC3" w:rsidP="00C63FC3">
      <w:pPr>
        <w:pStyle w:val="Textoindependiente2"/>
        <w:spacing w:after="0" w:line="240" w:lineRule="auto"/>
        <w:ind w:left="-142" w:right="-142"/>
        <w:jc w:val="both"/>
        <w:rPr>
          <w:rFonts w:ascii="Bookman Old Style" w:hAnsi="Bookman Old Style"/>
          <w:szCs w:val="27"/>
        </w:rPr>
      </w:pPr>
    </w:p>
    <w:p w:rsidR="00503E2E" w:rsidRDefault="00DB633B" w:rsidP="000561F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w:t>
      </w:r>
      <w:r w:rsidR="0006576D">
        <w:rPr>
          <w:rFonts w:ascii="Bookman Old Style" w:hAnsi="Bookman Old Style"/>
          <w:szCs w:val="27"/>
        </w:rPr>
        <w:t>se debe tener en cuenta que e</w:t>
      </w:r>
      <w:r w:rsidR="0006576D" w:rsidRPr="0006576D">
        <w:rPr>
          <w:rFonts w:ascii="Bookman Old Style" w:hAnsi="Bookman Old Style"/>
          <w:szCs w:val="27"/>
        </w:rPr>
        <w:t xml:space="preserve">stos </w:t>
      </w:r>
      <w:r w:rsidR="0006576D">
        <w:rPr>
          <w:rFonts w:ascii="Bookman Old Style" w:hAnsi="Bookman Old Style"/>
          <w:szCs w:val="27"/>
        </w:rPr>
        <w:t>argumentos están dirigidos a cuestionar</w:t>
      </w:r>
      <w:r w:rsidR="000561FC">
        <w:rPr>
          <w:rFonts w:ascii="Bookman Old Style" w:hAnsi="Bookman Old Style"/>
          <w:szCs w:val="27"/>
        </w:rPr>
        <w:t xml:space="preserve"> de manera general y abstracta</w:t>
      </w:r>
      <w:r w:rsidR="0006576D">
        <w:rPr>
          <w:rFonts w:ascii="Bookman Old Style" w:hAnsi="Bookman Old Style"/>
          <w:szCs w:val="27"/>
        </w:rPr>
        <w:t xml:space="preserve"> la legalidad de la Resolución CREG 063 de 2016, en particular el artículo 8</w:t>
      </w:r>
      <w:r w:rsidR="000561FC">
        <w:rPr>
          <w:rFonts w:ascii="Bookman Old Style" w:hAnsi="Bookman Old Style"/>
          <w:szCs w:val="27"/>
        </w:rPr>
        <w:t xml:space="preserve">, con respecto a </w:t>
      </w:r>
      <w:r w:rsidR="000561FC" w:rsidRPr="0006576D">
        <w:rPr>
          <w:rFonts w:ascii="Bookman Old Style" w:hAnsi="Bookman Old Style"/>
          <w:szCs w:val="27"/>
        </w:rPr>
        <w:t>la forma en que se estableció</w:t>
      </w:r>
      <w:r w:rsidR="000561FC">
        <w:rPr>
          <w:rFonts w:ascii="Bookman Old Style" w:hAnsi="Bookman Old Style"/>
          <w:szCs w:val="27"/>
        </w:rPr>
        <w:t xml:space="preserve"> y se definieron los parámetros para la definición de la capacidad de compra.</w:t>
      </w:r>
      <w:r w:rsidR="000561FC" w:rsidRPr="0006576D">
        <w:rPr>
          <w:rFonts w:ascii="Bookman Old Style" w:hAnsi="Bookman Old Style"/>
          <w:szCs w:val="27"/>
        </w:rPr>
        <w:t xml:space="preserve"> </w:t>
      </w:r>
    </w:p>
    <w:p w:rsidR="00503E2E" w:rsidRDefault="00503E2E" w:rsidP="000561FC">
      <w:pPr>
        <w:pStyle w:val="Textoindependiente2"/>
        <w:spacing w:after="0" w:line="240" w:lineRule="auto"/>
        <w:ind w:left="-142" w:right="-142"/>
        <w:jc w:val="both"/>
        <w:rPr>
          <w:rFonts w:ascii="Bookman Old Style" w:hAnsi="Bookman Old Style"/>
          <w:szCs w:val="27"/>
        </w:rPr>
      </w:pPr>
    </w:p>
    <w:p w:rsidR="003B4690" w:rsidRDefault="000561FC" w:rsidP="000561F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se advierte que el objeto de la Resolución CREG 075 de 2016 corresponde al </w:t>
      </w:r>
      <w:r w:rsidR="0006576D">
        <w:rPr>
          <w:rFonts w:ascii="Bookman Old Style" w:hAnsi="Bookman Old Style"/>
          <w:szCs w:val="27"/>
        </w:rPr>
        <w:t xml:space="preserve">procedimiento y la forma en que fue llevada a cabo la definición de la capacidad de compra en los términos previstos en este acto administrativo para el caso particular de la empresa Montagas, </w:t>
      </w:r>
      <w:r>
        <w:rPr>
          <w:rFonts w:ascii="Bookman Old Style" w:hAnsi="Bookman Old Style"/>
          <w:szCs w:val="27"/>
        </w:rPr>
        <w:t>razón por la cual, se establece que estos cuestionamientos dentro del recurso de reposición en este punto no están dirigidos</w:t>
      </w:r>
      <w:r w:rsidR="00D55EE8">
        <w:rPr>
          <w:rFonts w:ascii="Bookman Old Style" w:hAnsi="Bookman Old Style"/>
          <w:szCs w:val="27"/>
        </w:rPr>
        <w:t>,</w:t>
      </w:r>
      <w:r>
        <w:rPr>
          <w:rFonts w:ascii="Bookman Old Style" w:hAnsi="Bookman Old Style"/>
          <w:szCs w:val="27"/>
        </w:rPr>
        <w:t xml:space="preserve"> ni tienen relación con el objeto del acto impugnado, </w:t>
      </w:r>
      <w:r w:rsidRPr="0006576D">
        <w:rPr>
          <w:rFonts w:ascii="Bookman Old Style" w:hAnsi="Bookman Old Style"/>
          <w:szCs w:val="27"/>
        </w:rPr>
        <w:t xml:space="preserve">no siendo </w:t>
      </w:r>
      <w:r>
        <w:rPr>
          <w:rFonts w:ascii="Bookman Old Style" w:hAnsi="Bookman Old Style"/>
          <w:szCs w:val="27"/>
        </w:rPr>
        <w:t>este el</w:t>
      </w:r>
      <w:r w:rsidRPr="0006576D">
        <w:rPr>
          <w:rFonts w:ascii="Bookman Old Style" w:hAnsi="Bookman Old Style"/>
          <w:szCs w:val="27"/>
        </w:rPr>
        <w:t xml:space="preserve"> espacio para cuestionar la legalidad de la medida de carácter general.</w:t>
      </w:r>
    </w:p>
    <w:p w:rsidR="00DB633B" w:rsidRDefault="00DB633B" w:rsidP="000561FC">
      <w:pPr>
        <w:pStyle w:val="Textoindependiente2"/>
        <w:spacing w:after="0" w:line="240" w:lineRule="auto"/>
        <w:ind w:left="0" w:right="-142"/>
        <w:jc w:val="both"/>
        <w:rPr>
          <w:rFonts w:ascii="Bookman Old Style" w:hAnsi="Bookman Old Style"/>
          <w:szCs w:val="27"/>
        </w:rPr>
      </w:pPr>
    </w:p>
    <w:p w:rsidR="00DB633B" w:rsidRDefault="00DB633B" w:rsidP="00C63FC3">
      <w:pPr>
        <w:pStyle w:val="Textoindependiente2"/>
        <w:spacing w:after="0" w:line="240" w:lineRule="auto"/>
        <w:ind w:left="-142" w:right="-142"/>
        <w:jc w:val="both"/>
        <w:rPr>
          <w:rFonts w:ascii="Bookman Old Style" w:hAnsi="Bookman Old Style"/>
          <w:szCs w:val="27"/>
        </w:rPr>
      </w:pPr>
      <w:r w:rsidRPr="00DB633B">
        <w:rPr>
          <w:rFonts w:ascii="Bookman Old Style" w:hAnsi="Bookman Old Style"/>
          <w:szCs w:val="27"/>
        </w:rPr>
        <w:t xml:space="preserve">Es por esto que una vez analizadas las consideraciones expuestas por </w:t>
      </w:r>
      <w:r w:rsidR="00D55EE8">
        <w:rPr>
          <w:rFonts w:ascii="Bookman Old Style" w:hAnsi="Bookman Old Style"/>
          <w:szCs w:val="27"/>
        </w:rPr>
        <w:t>Montagas</w:t>
      </w:r>
      <w:r w:rsidRPr="00DB633B">
        <w:rPr>
          <w:rFonts w:ascii="Bookman Old Style" w:hAnsi="Bookman Old Style"/>
          <w:szCs w:val="27"/>
        </w:rPr>
        <w:t xml:space="preserve"> en el recurso de reposición</w:t>
      </w:r>
      <w:r w:rsidR="00D55EE8">
        <w:rPr>
          <w:rFonts w:ascii="Bookman Old Style" w:hAnsi="Bookman Old Style"/>
          <w:szCs w:val="27"/>
        </w:rPr>
        <w:t xml:space="preserve"> en lo que se denomina “primer y quinto hecho”</w:t>
      </w:r>
      <w:r w:rsidRPr="00DB633B">
        <w:rPr>
          <w:rFonts w:ascii="Bookman Old Style" w:hAnsi="Bookman Old Style"/>
          <w:szCs w:val="27"/>
        </w:rPr>
        <w:t>, dichos argumentos no son procedentes, razón por la cual no llevan a revocar o modificar la decisión adoptada por la CREG en la Resolución CREG 075 de 2016.</w:t>
      </w:r>
    </w:p>
    <w:p w:rsidR="00DB633B" w:rsidRDefault="00DB633B" w:rsidP="00C63FC3">
      <w:pPr>
        <w:pStyle w:val="Textoindependiente2"/>
        <w:spacing w:after="0" w:line="240" w:lineRule="auto"/>
        <w:ind w:left="-142" w:right="-142"/>
        <w:jc w:val="both"/>
        <w:rPr>
          <w:rFonts w:ascii="Bookman Old Style" w:hAnsi="Bookman Old Style"/>
          <w:szCs w:val="27"/>
        </w:rPr>
      </w:pPr>
    </w:p>
    <w:p w:rsidR="000561FC" w:rsidRPr="00D55EE8" w:rsidRDefault="00D55EE8" w:rsidP="00D55EE8">
      <w:pPr>
        <w:pStyle w:val="Textoindependiente2"/>
        <w:numPr>
          <w:ilvl w:val="0"/>
          <w:numId w:val="40"/>
        </w:numPr>
        <w:spacing w:after="0" w:line="240" w:lineRule="auto"/>
        <w:ind w:right="-142"/>
        <w:jc w:val="both"/>
        <w:rPr>
          <w:rFonts w:ascii="Bookman Old Style" w:hAnsi="Bookman Old Style"/>
          <w:b/>
          <w:szCs w:val="27"/>
        </w:rPr>
      </w:pPr>
      <w:r w:rsidRPr="00D55EE8">
        <w:rPr>
          <w:rFonts w:ascii="Bookman Old Style" w:hAnsi="Bookman Old Style"/>
          <w:b/>
          <w:szCs w:val="27"/>
        </w:rPr>
        <w:t xml:space="preserve">Consideraciones frente al </w:t>
      </w:r>
      <w:r w:rsidR="004C650F">
        <w:rPr>
          <w:rFonts w:ascii="Bookman Old Style" w:hAnsi="Bookman Old Style"/>
          <w:b/>
          <w:szCs w:val="27"/>
        </w:rPr>
        <w:t xml:space="preserve">segundo, </w:t>
      </w:r>
      <w:r w:rsidRPr="00D55EE8">
        <w:rPr>
          <w:rFonts w:ascii="Bookman Old Style" w:hAnsi="Bookman Old Style"/>
          <w:b/>
          <w:szCs w:val="27"/>
        </w:rPr>
        <w:t>tercer y cuarto hecho</w:t>
      </w:r>
    </w:p>
    <w:p w:rsidR="000561FC" w:rsidRDefault="000561FC" w:rsidP="00C63FC3">
      <w:pPr>
        <w:pStyle w:val="Textoindependiente2"/>
        <w:spacing w:after="0" w:line="240" w:lineRule="auto"/>
        <w:ind w:left="-142" w:right="-142"/>
        <w:jc w:val="both"/>
        <w:rPr>
          <w:rFonts w:ascii="Bookman Old Style" w:hAnsi="Bookman Old Style"/>
          <w:szCs w:val="27"/>
        </w:rPr>
      </w:pPr>
    </w:p>
    <w:p w:rsidR="00D55EE8" w:rsidRDefault="00D55EE8" w:rsidP="00D55EE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en estos puntos,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Montagas, en la medida que esta empresa advierte una diferencia en la información reportada en el Sistema Único de Información – SUI, utilizada por esta Comisión para efectos de llevar a cabo la definición de la capacidad de compra.</w:t>
      </w:r>
    </w:p>
    <w:p w:rsidR="004C650F" w:rsidRDefault="004C650F" w:rsidP="00D55EE8">
      <w:pPr>
        <w:pStyle w:val="Textoindependiente2"/>
        <w:spacing w:after="0" w:line="240" w:lineRule="auto"/>
        <w:ind w:left="-142" w:right="-142"/>
        <w:jc w:val="both"/>
        <w:rPr>
          <w:rFonts w:ascii="Bookman Old Style" w:hAnsi="Bookman Old Style"/>
          <w:szCs w:val="27"/>
        </w:rPr>
      </w:pPr>
    </w:p>
    <w:p w:rsidR="00360026" w:rsidRPr="00360026" w:rsidRDefault="00360026" w:rsidP="00360026">
      <w:pPr>
        <w:ind w:left="-142" w:right="-142"/>
        <w:jc w:val="both"/>
        <w:rPr>
          <w:rFonts w:ascii="Bookman Old Style" w:hAnsi="Bookman Old Style"/>
          <w:szCs w:val="27"/>
        </w:rPr>
      </w:pPr>
      <w:r w:rsidRPr="00360026">
        <w:rPr>
          <w:rFonts w:ascii="Bookman Old Style" w:hAnsi="Bookman Old Style"/>
          <w:szCs w:val="27"/>
        </w:rPr>
        <w:t>Frente a la información remitida a esta Comisión en atención a los autos de prueba decretados, la Superintendencia de Servicios Públicos Domiciliarios informa lo siguiente</w:t>
      </w:r>
      <w:r w:rsidRPr="00360026">
        <w:rPr>
          <w:rFonts w:ascii="Bookman Old Style" w:hAnsi="Bookman Old Style"/>
          <w:szCs w:val="27"/>
          <w:vertAlign w:val="superscript"/>
        </w:rPr>
        <w:footnoteReference w:id="9"/>
      </w:r>
      <w:r w:rsidRPr="00360026">
        <w:rPr>
          <w:rFonts w:ascii="Bookman Old Style" w:hAnsi="Bookman Old Style"/>
          <w:szCs w:val="27"/>
        </w:rPr>
        <w:t>:</w:t>
      </w:r>
    </w:p>
    <w:p w:rsidR="004C650F" w:rsidRDefault="004C650F" w:rsidP="00D55EE8">
      <w:pPr>
        <w:pStyle w:val="Textoindependiente2"/>
        <w:spacing w:after="0" w:line="240" w:lineRule="auto"/>
        <w:ind w:left="-142" w:right="-142"/>
        <w:jc w:val="both"/>
        <w:rPr>
          <w:rFonts w:ascii="Bookman Old Style" w:hAnsi="Bookman Old Style"/>
          <w:szCs w:val="27"/>
        </w:rPr>
      </w:pPr>
    </w:p>
    <w:p w:rsidR="004C650F" w:rsidRDefault="00D4104B" w:rsidP="00360026">
      <w:pPr>
        <w:pStyle w:val="Textoindependiente2"/>
        <w:spacing w:after="0" w:line="240" w:lineRule="auto"/>
        <w:ind w:left="-142" w:right="-142"/>
        <w:jc w:val="center"/>
        <w:rPr>
          <w:rFonts w:ascii="Bookman Old Style" w:hAnsi="Bookman Old Style"/>
          <w:szCs w:val="27"/>
        </w:rPr>
      </w:pPr>
      <w:r w:rsidRPr="00360026">
        <w:rPr>
          <w:rFonts w:ascii="Bookman Old Style" w:hAnsi="Bookman Old Style"/>
          <w:noProof/>
          <w:szCs w:val="27"/>
          <w:lang w:val="es-CO" w:eastAsia="es-CO"/>
        </w:rPr>
        <w:drawing>
          <wp:inline distT="0" distB="0" distL="0" distR="0">
            <wp:extent cx="5939790" cy="2781300"/>
            <wp:effectExtent l="0" t="0" r="381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2781300"/>
                    </a:xfrm>
                    <a:prstGeom prst="rect">
                      <a:avLst/>
                    </a:prstGeom>
                    <a:noFill/>
                    <a:ln>
                      <a:noFill/>
                    </a:ln>
                  </pic:spPr>
                </pic:pic>
              </a:graphicData>
            </a:graphic>
          </wp:inline>
        </w:drawing>
      </w:r>
    </w:p>
    <w:p w:rsidR="00360026" w:rsidRDefault="00360026" w:rsidP="00360026">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360026" w:rsidRDefault="00360026" w:rsidP="00360026">
      <w:pPr>
        <w:pStyle w:val="Textoindependiente2"/>
        <w:spacing w:after="0" w:line="240" w:lineRule="auto"/>
        <w:ind w:left="0" w:right="-142"/>
        <w:jc w:val="both"/>
        <w:rPr>
          <w:rFonts w:ascii="Bookman Old Style" w:hAnsi="Bookman Old Style"/>
          <w:szCs w:val="27"/>
        </w:rPr>
      </w:pPr>
    </w:p>
    <w:p w:rsidR="00616FF9" w:rsidRDefault="00360026" w:rsidP="00360026">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Montagas S.A. E.S.P., en particular, con respecto al ajuste en la in</w:t>
      </w:r>
      <w:r w:rsidR="00616FF9">
        <w:rPr>
          <w:rFonts w:ascii="Bookman Old Style" w:hAnsi="Bookman Old Style"/>
          <w:szCs w:val="27"/>
        </w:rPr>
        <w:t>formación de tanques estacionarios.</w:t>
      </w:r>
    </w:p>
    <w:p w:rsidR="00616FF9" w:rsidRDefault="00616FF9" w:rsidP="00360026">
      <w:pPr>
        <w:pStyle w:val="Textoindependiente2"/>
        <w:spacing w:after="0" w:line="240" w:lineRule="auto"/>
        <w:ind w:left="-142" w:right="-142"/>
        <w:jc w:val="both"/>
        <w:rPr>
          <w:rFonts w:ascii="Bookman Old Style" w:hAnsi="Bookman Old Style"/>
          <w:szCs w:val="27"/>
        </w:rPr>
      </w:pPr>
    </w:p>
    <w:p w:rsidR="005912CB" w:rsidRPr="00EE6670" w:rsidRDefault="00E85CED" w:rsidP="005912C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Con respecto a la cesión de la marca Energas a la recurrente y por lo tanto de los cilindros que estaban en cabeza de dicha empresa, se debe tener en cuenta que la Superintendencia de Servicios Públicos Domiciliarios en su comunicación no manifestó nada al respecto. Sin perjuicio de lo anterior, dentro del Auto de pruebas</w:t>
      </w:r>
      <w:r w:rsidR="005912CB">
        <w:rPr>
          <w:rFonts w:ascii="Bookman Old Style" w:hAnsi="Bookman Old Style"/>
          <w:szCs w:val="27"/>
        </w:rPr>
        <w:t xml:space="preserve"> </w:t>
      </w:r>
      <w:r w:rsidR="005912CB" w:rsidRPr="00EE6670">
        <w:rPr>
          <w:rFonts w:ascii="Bookman Old Style" w:hAnsi="Bookman Old Style"/>
          <w:szCs w:val="27"/>
        </w:rPr>
        <w:t xml:space="preserve">Auto I-2016-003755 </w:t>
      </w:r>
      <w:r w:rsidR="005912CB">
        <w:rPr>
          <w:rFonts w:ascii="Bookman Old Style" w:hAnsi="Bookman Old Style"/>
          <w:szCs w:val="27"/>
        </w:rPr>
        <w:t>esta Comisión manifestó</w:t>
      </w:r>
      <w:r w:rsidR="005912CB" w:rsidRPr="00EE6670">
        <w:rPr>
          <w:rFonts w:ascii="Bookman Old Style" w:hAnsi="Bookman Old Style"/>
          <w:szCs w:val="27"/>
        </w:rPr>
        <w:t xml:space="preserve"> lo siguiente: </w:t>
      </w:r>
    </w:p>
    <w:p w:rsidR="005912CB" w:rsidRPr="00EE6670" w:rsidRDefault="005912CB" w:rsidP="005912CB">
      <w:pPr>
        <w:ind w:left="284" w:right="284"/>
        <w:jc w:val="both"/>
        <w:rPr>
          <w:rFonts w:ascii="Bookman Old Style" w:hAnsi="Bookman Old Style" w:cs="Arial"/>
          <w:i/>
          <w:sz w:val="22"/>
          <w:szCs w:val="22"/>
        </w:rPr>
      </w:pPr>
    </w:p>
    <w:p w:rsidR="005912CB" w:rsidRPr="00EE6670" w:rsidRDefault="005912CB" w:rsidP="005912CB">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5912CB" w:rsidRPr="00EE6670" w:rsidRDefault="005912CB" w:rsidP="005912CB">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5912CB" w:rsidRPr="006B1C94" w:rsidTr="00475AFC">
        <w:trPr>
          <w:jc w:val="center"/>
        </w:trPr>
        <w:tc>
          <w:tcPr>
            <w:tcW w:w="2408" w:type="dxa"/>
            <w:shd w:val="clear" w:color="auto" w:fill="auto"/>
            <w:vAlign w:val="center"/>
          </w:tcPr>
          <w:p w:rsidR="005912CB" w:rsidRPr="006B1C94" w:rsidRDefault="005912CB" w:rsidP="00475AFC">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5912CB" w:rsidRPr="006B1C94" w:rsidRDefault="005912CB" w:rsidP="00475AFC">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5912CB" w:rsidRPr="006B1C94" w:rsidRDefault="005912CB" w:rsidP="00475AFC">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5912CB" w:rsidRDefault="005912CB" w:rsidP="005912CB">
      <w:pPr>
        <w:pStyle w:val="Textoindependiente"/>
        <w:rPr>
          <w:sz w:val="22"/>
          <w:szCs w:val="22"/>
        </w:rPr>
      </w:pPr>
    </w:p>
    <w:p w:rsidR="005912CB" w:rsidRPr="00EE6670" w:rsidRDefault="005912CB" w:rsidP="005912CB">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5912CB" w:rsidRDefault="005912CB" w:rsidP="00360026">
      <w:pPr>
        <w:pStyle w:val="Textoindependiente2"/>
        <w:spacing w:after="0" w:line="240" w:lineRule="auto"/>
        <w:ind w:left="-142" w:right="-142"/>
        <w:jc w:val="both"/>
        <w:rPr>
          <w:rFonts w:ascii="Bookman Old Style" w:hAnsi="Bookman Old Style"/>
          <w:szCs w:val="27"/>
        </w:rPr>
      </w:pPr>
    </w:p>
    <w:p w:rsidR="00360026" w:rsidRDefault="005912CB" w:rsidP="005912C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5912CB" w:rsidRDefault="005912CB" w:rsidP="00360026">
      <w:pPr>
        <w:pStyle w:val="Textoindependiente2"/>
        <w:spacing w:after="0" w:line="240" w:lineRule="auto"/>
        <w:ind w:left="0" w:right="-142"/>
        <w:jc w:val="both"/>
        <w:rPr>
          <w:rFonts w:ascii="Bookman Old Style" w:hAnsi="Bookman Old Style"/>
          <w:szCs w:val="27"/>
        </w:rPr>
      </w:pPr>
    </w:p>
    <w:p w:rsidR="005912CB" w:rsidRDefault="00D4104B" w:rsidP="00503E2E">
      <w:pPr>
        <w:pStyle w:val="Textoindependiente2"/>
        <w:spacing w:after="0" w:line="240" w:lineRule="auto"/>
        <w:ind w:left="0"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5912CB" w:rsidRDefault="005912CB" w:rsidP="00360026">
      <w:pPr>
        <w:pStyle w:val="Textoindependiente2"/>
        <w:spacing w:after="0" w:line="240" w:lineRule="auto"/>
        <w:ind w:left="0" w:right="-142"/>
        <w:jc w:val="both"/>
        <w:rPr>
          <w:rFonts w:ascii="Bookman Old Style" w:hAnsi="Bookman Old Style"/>
          <w:szCs w:val="27"/>
        </w:rPr>
      </w:pPr>
    </w:p>
    <w:p w:rsidR="005912CB" w:rsidRDefault="005912CB" w:rsidP="005912C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Una revisión de esta información permite establecer que la empresa Energas figura activa como distribuidor de GLP por lo tanto no se encuentra asociada una cesión de marca de esta empresa a la empresa Montagas como lo manifiesta el recurrente, razón por la cual dicha circunstancia no genera ninguna modificación o ajuste adicional a lo previsto en la Resolución CRE 075 de 2016.</w:t>
      </w:r>
    </w:p>
    <w:p w:rsidR="005912CB" w:rsidRDefault="005912CB" w:rsidP="005912CB">
      <w:pPr>
        <w:pStyle w:val="Textoindependiente2"/>
        <w:spacing w:after="0" w:line="240" w:lineRule="auto"/>
        <w:ind w:left="-142" w:right="-142"/>
        <w:jc w:val="both"/>
        <w:rPr>
          <w:rFonts w:ascii="Bookman Old Style" w:hAnsi="Bookman Old Style"/>
          <w:szCs w:val="27"/>
        </w:rPr>
      </w:pPr>
    </w:p>
    <w:p w:rsidR="00360026" w:rsidRPr="003E59E7" w:rsidRDefault="00360026" w:rsidP="00360026">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6E0125">
        <w:rPr>
          <w:rFonts w:ascii="Bookman Old Style" w:hAnsi="Bookman Old Style"/>
          <w:szCs w:val="27"/>
        </w:rPr>
        <w:t>746</w:t>
      </w:r>
      <w:r w:rsidRPr="003E59E7">
        <w:rPr>
          <w:rFonts w:ascii="Bookman Old Style" w:hAnsi="Bookman Old Style"/>
          <w:szCs w:val="27"/>
        </w:rPr>
        <w:t xml:space="preserve"> del </w:t>
      </w:r>
      <w:r w:rsidR="006E0125">
        <w:rPr>
          <w:rFonts w:ascii="Bookman Old Style" w:hAnsi="Bookman Old Style"/>
          <w:szCs w:val="27"/>
        </w:rPr>
        <w:t>21</w:t>
      </w:r>
      <w:r w:rsidRPr="003E59E7">
        <w:rPr>
          <w:rFonts w:ascii="Bookman Old Style" w:hAnsi="Bookman Old Style"/>
          <w:szCs w:val="27"/>
        </w:rPr>
        <w:t xml:space="preserve"> de </w:t>
      </w:r>
      <w:r w:rsidR="006E0125">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360026" w:rsidRDefault="00360026" w:rsidP="00360026">
      <w:pPr>
        <w:pStyle w:val="Textoindependiente2"/>
        <w:spacing w:after="0" w:line="240" w:lineRule="auto"/>
        <w:ind w:left="-142" w:right="-142"/>
        <w:jc w:val="both"/>
        <w:rPr>
          <w:rFonts w:ascii="Bookman Old Style" w:hAnsi="Bookman Old Style"/>
          <w:szCs w:val="27"/>
        </w:rPr>
      </w:pPr>
    </w:p>
    <w:p w:rsidR="00360026" w:rsidRPr="003234E2" w:rsidRDefault="00360026" w:rsidP="00360026">
      <w:pPr>
        <w:tabs>
          <w:tab w:val="right" w:pos="9498"/>
        </w:tabs>
        <w:ind w:left="0" w:right="-142"/>
        <w:jc w:val="both"/>
        <w:rPr>
          <w:rFonts w:ascii="Bookman Old Style" w:hAnsi="Bookman Old Style"/>
          <w:bCs/>
          <w:sz w:val="20"/>
        </w:rPr>
      </w:pPr>
    </w:p>
    <w:p w:rsidR="00360026" w:rsidRPr="00BB7AEA" w:rsidRDefault="00360026" w:rsidP="00360026">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360026" w:rsidRPr="003234E2" w:rsidRDefault="00360026" w:rsidP="00360026">
      <w:pPr>
        <w:tabs>
          <w:tab w:val="right" w:pos="9498"/>
        </w:tabs>
        <w:ind w:left="0" w:right="-142"/>
        <w:jc w:val="both"/>
        <w:rPr>
          <w:rFonts w:ascii="Bookman Old Style" w:hAnsi="Bookman Old Style" w:cs="Arial"/>
          <w:b/>
          <w:spacing w:val="-3"/>
          <w:sz w:val="20"/>
        </w:rPr>
      </w:pPr>
    </w:p>
    <w:p w:rsidR="005912CB" w:rsidRDefault="00360026" w:rsidP="00360026">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5912CB">
        <w:rPr>
          <w:rFonts w:ascii="Bookman Old Style" w:hAnsi="Bookman Old Style"/>
          <w:szCs w:val="27"/>
        </w:rPr>
        <w:t xml:space="preserve">Negar las peticiones principales y subsidiarias hechas por la empresa Montagas S.A. E.S.P. de acuerdo con las consideraciones expuestas </w:t>
      </w:r>
      <w:r w:rsidR="00C07509">
        <w:rPr>
          <w:rFonts w:ascii="Bookman Old Style" w:hAnsi="Bookman Old Style"/>
          <w:szCs w:val="27"/>
        </w:rPr>
        <w:t>en la presente resolución</w:t>
      </w:r>
      <w:r w:rsidR="005912CB">
        <w:rPr>
          <w:rFonts w:ascii="Bookman Old Style" w:hAnsi="Bookman Old Style"/>
          <w:szCs w:val="27"/>
        </w:rPr>
        <w:t>.</w:t>
      </w:r>
    </w:p>
    <w:p w:rsidR="005912CB" w:rsidRDefault="005912CB" w:rsidP="00360026">
      <w:pPr>
        <w:pStyle w:val="Textoindependiente2"/>
        <w:spacing w:after="0" w:line="240" w:lineRule="auto"/>
        <w:ind w:left="-142" w:right="-142"/>
        <w:jc w:val="both"/>
        <w:rPr>
          <w:rFonts w:ascii="Bookman Old Style" w:hAnsi="Bookman Old Style"/>
          <w:szCs w:val="27"/>
        </w:rPr>
      </w:pPr>
    </w:p>
    <w:p w:rsidR="00360026" w:rsidRDefault="005912CB" w:rsidP="00360026">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 xml:space="preserve">Artículo 2. </w:t>
      </w:r>
      <w:r w:rsidR="00360026">
        <w:rPr>
          <w:rFonts w:ascii="Bookman Old Style" w:hAnsi="Bookman Old Style"/>
          <w:szCs w:val="27"/>
        </w:rPr>
        <w:t>Modificar el artículo 1 de la Resolución CREG 075 de 2016 de la siguiente forma:</w:t>
      </w:r>
    </w:p>
    <w:p w:rsidR="00360026" w:rsidRDefault="00360026" w:rsidP="00360026">
      <w:pPr>
        <w:pStyle w:val="Textoindependiente2"/>
        <w:spacing w:after="0" w:line="240" w:lineRule="auto"/>
        <w:ind w:left="-142" w:right="-142"/>
        <w:jc w:val="both"/>
        <w:rPr>
          <w:rFonts w:ascii="Bookman Old Style" w:hAnsi="Bookman Old Style"/>
          <w:szCs w:val="27"/>
        </w:rPr>
      </w:pPr>
    </w:p>
    <w:p w:rsidR="00360026" w:rsidRDefault="00360026" w:rsidP="00360026">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503E2E" w:rsidRDefault="00503E2E" w:rsidP="00360026">
      <w:pPr>
        <w:pStyle w:val="Textoindependiente2"/>
        <w:spacing w:after="0" w:line="240" w:lineRule="auto"/>
        <w:ind w:left="-142" w:right="-142"/>
        <w:jc w:val="both"/>
        <w:rPr>
          <w:rFonts w:ascii="Bookman Old Style" w:hAnsi="Bookman Old Style"/>
          <w:szCs w:val="27"/>
        </w:rPr>
      </w:pPr>
    </w:p>
    <w:p w:rsidR="00360026" w:rsidRDefault="00360026" w:rsidP="00360026">
      <w:pPr>
        <w:pStyle w:val="Textoindependiente2"/>
        <w:spacing w:after="0" w:line="240" w:lineRule="auto"/>
        <w:ind w:left="-142" w:right="-142"/>
        <w:jc w:val="both"/>
        <w:rPr>
          <w:rFonts w:ascii="Bookman Old Style" w:hAnsi="Bookman Old Style"/>
          <w:szCs w:val="27"/>
        </w:rPr>
      </w:pPr>
    </w:p>
    <w:tbl>
      <w:tblPr>
        <w:tblW w:w="7715" w:type="dxa"/>
        <w:jc w:val="center"/>
        <w:tblCellMar>
          <w:left w:w="70" w:type="dxa"/>
          <w:right w:w="70" w:type="dxa"/>
        </w:tblCellMar>
        <w:tblLook w:val="04A0" w:firstRow="1" w:lastRow="0" w:firstColumn="1" w:lastColumn="0" w:noHBand="0" w:noVBand="1"/>
      </w:tblPr>
      <w:tblGrid>
        <w:gridCol w:w="1348"/>
        <w:gridCol w:w="4651"/>
        <w:gridCol w:w="1716"/>
      </w:tblGrid>
      <w:tr w:rsidR="00360026" w:rsidRPr="00C139AB" w:rsidTr="00D4104B">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026" w:rsidRPr="00C139AB" w:rsidRDefault="00360026" w:rsidP="00D4104B">
            <w:pPr>
              <w:ind w:left="-25"/>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651" w:type="dxa"/>
            <w:tcBorders>
              <w:top w:val="single" w:sz="4" w:space="0" w:color="auto"/>
              <w:left w:val="nil"/>
              <w:bottom w:val="single" w:sz="4" w:space="0" w:color="auto"/>
              <w:right w:val="single" w:sz="4" w:space="0" w:color="auto"/>
            </w:tcBorders>
            <w:shd w:val="clear" w:color="auto" w:fill="auto"/>
            <w:noWrap/>
            <w:vAlign w:val="center"/>
          </w:tcPr>
          <w:p w:rsidR="00360026" w:rsidRPr="00C139AB" w:rsidRDefault="00360026" w:rsidP="00D4104B">
            <w:pPr>
              <w:ind w:left="-25"/>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360026" w:rsidRPr="00C139AB" w:rsidRDefault="00360026" w:rsidP="00D4104B">
            <w:pPr>
              <w:ind w:left="-25"/>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360026" w:rsidRPr="005912CB" w:rsidTr="00D4104B">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026" w:rsidRPr="00E16D13" w:rsidRDefault="005912CB" w:rsidP="00D4104B">
            <w:pPr>
              <w:ind w:left="0"/>
              <w:jc w:val="center"/>
              <w:rPr>
                <w:rFonts w:ascii="Bookman Old Style" w:hAnsi="Bookman Old Style"/>
                <w:sz w:val="18"/>
                <w:szCs w:val="18"/>
              </w:rPr>
            </w:pPr>
            <w:r>
              <w:rPr>
                <w:rFonts w:ascii="Bookman Old Style" w:hAnsi="Bookman Old Style"/>
                <w:sz w:val="18"/>
                <w:szCs w:val="18"/>
              </w:rPr>
              <w:t>6026</w:t>
            </w:r>
          </w:p>
        </w:tc>
        <w:tc>
          <w:tcPr>
            <w:tcW w:w="4651" w:type="dxa"/>
            <w:tcBorders>
              <w:top w:val="single" w:sz="4" w:space="0" w:color="auto"/>
              <w:left w:val="nil"/>
              <w:bottom w:val="single" w:sz="4" w:space="0" w:color="auto"/>
              <w:right w:val="single" w:sz="4" w:space="0" w:color="auto"/>
            </w:tcBorders>
            <w:shd w:val="clear" w:color="auto" w:fill="auto"/>
            <w:noWrap/>
            <w:vAlign w:val="center"/>
            <w:hideMark/>
          </w:tcPr>
          <w:p w:rsidR="00360026" w:rsidRPr="005912CB" w:rsidRDefault="00D4104B" w:rsidP="00D4104B">
            <w:pPr>
              <w:ind w:left="0"/>
              <w:rPr>
                <w:rFonts w:ascii="Bookman Old Style" w:hAnsi="Bookman Old Style"/>
                <w:sz w:val="18"/>
                <w:szCs w:val="18"/>
                <w:lang w:val="en-US"/>
              </w:rPr>
            </w:pPr>
            <w:r w:rsidRPr="005912CB">
              <w:rPr>
                <w:rFonts w:ascii="Bookman Old Style" w:hAnsi="Bookman Old Style"/>
                <w:sz w:val="18"/>
                <w:szCs w:val="18"/>
                <w:lang w:val="en-US"/>
              </w:rPr>
              <w:t>MONTAGAS</w:t>
            </w:r>
            <w:r w:rsidR="005912CB" w:rsidRPr="005912CB">
              <w:rPr>
                <w:rFonts w:ascii="Bookman Old Style" w:hAnsi="Bookman Old Style"/>
                <w:sz w:val="18"/>
                <w:szCs w:val="18"/>
                <w:lang w:val="en-US"/>
              </w:rPr>
              <w:t xml:space="preserve">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360026" w:rsidRPr="005912CB" w:rsidRDefault="00D4104B" w:rsidP="00D4104B">
            <w:pPr>
              <w:ind w:left="0"/>
              <w:jc w:val="center"/>
              <w:rPr>
                <w:rFonts w:ascii="Bookman Old Style" w:hAnsi="Bookman Old Style"/>
                <w:sz w:val="18"/>
                <w:szCs w:val="18"/>
                <w:lang w:val="en-US"/>
              </w:rPr>
            </w:pPr>
            <w:r>
              <w:rPr>
                <w:rFonts w:ascii="Bookman Old Style" w:hAnsi="Bookman Old Style"/>
                <w:sz w:val="18"/>
                <w:szCs w:val="18"/>
                <w:lang w:val="en-US"/>
              </w:rPr>
              <w:t>20.554.657</w:t>
            </w:r>
          </w:p>
        </w:tc>
      </w:tr>
    </w:tbl>
    <w:p w:rsidR="00360026" w:rsidRDefault="00360026" w:rsidP="00360026">
      <w:pPr>
        <w:tabs>
          <w:tab w:val="right" w:pos="9498"/>
        </w:tabs>
        <w:ind w:left="0" w:right="-142"/>
        <w:jc w:val="both"/>
        <w:rPr>
          <w:rFonts w:ascii="Bookman Old Style" w:hAnsi="Bookman Old Style" w:cs="Arial"/>
          <w:b/>
          <w:bCs/>
          <w:color w:val="666666"/>
          <w:sz w:val="27"/>
          <w:szCs w:val="27"/>
          <w:lang w:val="en-US" w:eastAsia="es-CO"/>
        </w:rPr>
      </w:pPr>
    </w:p>
    <w:p w:rsidR="00503E2E" w:rsidRPr="005912CB" w:rsidRDefault="00503E2E" w:rsidP="00360026">
      <w:pPr>
        <w:tabs>
          <w:tab w:val="right" w:pos="9498"/>
        </w:tabs>
        <w:ind w:left="0" w:right="-142"/>
        <w:jc w:val="both"/>
        <w:rPr>
          <w:rFonts w:ascii="Bookman Old Style" w:hAnsi="Bookman Old Style" w:cs="Arial"/>
          <w:b/>
          <w:bCs/>
          <w:color w:val="666666"/>
          <w:sz w:val="27"/>
          <w:szCs w:val="27"/>
          <w:lang w:val="en-US" w:eastAsia="es-CO"/>
        </w:rPr>
      </w:pPr>
    </w:p>
    <w:p w:rsidR="00360026" w:rsidRDefault="005912CB" w:rsidP="00360026">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3</w:t>
      </w:r>
      <w:r w:rsidR="00360026" w:rsidRPr="003E59E7">
        <w:rPr>
          <w:rFonts w:ascii="Bookman Old Style" w:hAnsi="Bookman Old Style"/>
          <w:b/>
          <w:szCs w:val="27"/>
        </w:rPr>
        <w:t>.</w:t>
      </w:r>
      <w:r w:rsidR="00360026">
        <w:rPr>
          <w:rFonts w:ascii="Bookman Old Style" w:hAnsi="Bookman Old Style"/>
          <w:szCs w:val="27"/>
        </w:rPr>
        <w:t xml:space="preserve"> Modificar el Anexo de la </w:t>
      </w:r>
      <w:r w:rsidR="00360026" w:rsidRPr="00E16D13">
        <w:rPr>
          <w:rFonts w:ascii="Bookman Old Style" w:hAnsi="Bookman Old Style"/>
          <w:szCs w:val="27"/>
        </w:rPr>
        <w:t>Resolución CREG 075 de 2016 de la siguiente forma:</w:t>
      </w:r>
    </w:p>
    <w:p w:rsidR="00360026" w:rsidRDefault="00360026" w:rsidP="00360026">
      <w:pPr>
        <w:pStyle w:val="Textoindependiente2"/>
        <w:spacing w:after="0" w:line="240" w:lineRule="auto"/>
        <w:ind w:left="-142" w:right="-142"/>
        <w:jc w:val="both"/>
        <w:rPr>
          <w:rFonts w:ascii="Bookman Old Style" w:hAnsi="Bookman Old Style"/>
          <w:szCs w:val="27"/>
        </w:rPr>
      </w:pPr>
    </w:p>
    <w:p w:rsidR="00D4104B" w:rsidRPr="00CD74B5" w:rsidRDefault="00D4104B" w:rsidP="00D4104B">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D4104B" w:rsidRDefault="00D4104B" w:rsidP="00D4104B">
      <w:pPr>
        <w:jc w:val="both"/>
        <w:rPr>
          <w:rFonts w:ascii="Bookman Old Style" w:hAnsi="Bookman Old Style"/>
        </w:rPr>
      </w:pPr>
    </w:p>
    <w:p w:rsidR="00D4104B" w:rsidRDefault="00D4104B" w:rsidP="00D4104B">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D4104B" w:rsidRDefault="00D4104B" w:rsidP="00D4104B">
      <w:pPr>
        <w:jc w:val="both"/>
        <w:rPr>
          <w:rFonts w:ascii="Bookman Old Style" w:hAnsi="Bookman Old Style"/>
        </w:rPr>
      </w:pPr>
    </w:p>
    <w:p w:rsidR="00D4104B" w:rsidRDefault="00D4104B" w:rsidP="00D4104B">
      <w:pPr>
        <w:pStyle w:val="Prrafodelista"/>
        <w:numPr>
          <w:ilvl w:val="0"/>
          <w:numId w:val="41"/>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D4104B" w:rsidRPr="001C513B" w:rsidRDefault="00D4104B" w:rsidP="00D4104B">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D4104B"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84707F" w:rsidP="00D4104B">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00D4104B"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D4104B" w:rsidRPr="00313D63" w:rsidRDefault="00D4104B" w:rsidP="00D4104B">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D4104B" w:rsidRPr="00D4104B" w:rsidRDefault="00D4104B" w:rsidP="00D4104B">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D4104B"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D4104B" w:rsidRPr="0093479E" w:rsidRDefault="0084707F" w:rsidP="00D4104B">
            <w:pPr>
              <w:ind w:left="0"/>
              <w:jc w:val="center"/>
              <w:rPr>
                <w:rFonts w:ascii="Bookman Old Style" w:hAnsi="Bookman Old Style"/>
                <w:color w:val="000000"/>
                <w:sz w:val="18"/>
                <w:szCs w:val="20"/>
              </w:rPr>
            </w:pPr>
            <w:r>
              <w:rPr>
                <w:rFonts w:ascii="Bookman Old Style" w:hAnsi="Bookman Old Style"/>
                <w:color w:val="000000"/>
                <w:sz w:val="18"/>
                <w:szCs w:val="20"/>
              </w:rPr>
              <w:t>6026</w:t>
            </w:r>
          </w:p>
        </w:tc>
        <w:tc>
          <w:tcPr>
            <w:tcW w:w="868"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504</w:t>
            </w:r>
          </w:p>
        </w:tc>
        <w:tc>
          <w:tcPr>
            <w:tcW w:w="688"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503</w:t>
            </w:r>
          </w:p>
        </w:tc>
        <w:tc>
          <w:tcPr>
            <w:tcW w:w="756"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6</w:t>
            </w:r>
          </w:p>
        </w:tc>
        <w:tc>
          <w:tcPr>
            <w:tcW w:w="756" w:type="dxa"/>
            <w:tcBorders>
              <w:top w:val="nil"/>
              <w:left w:val="nil"/>
              <w:bottom w:val="single" w:sz="4" w:space="0" w:color="auto"/>
              <w:right w:val="single" w:sz="4" w:space="0" w:color="auto"/>
            </w:tcBorders>
            <w:shd w:val="clear" w:color="auto" w:fill="auto"/>
            <w:noWrap/>
          </w:tcPr>
          <w:p w:rsidR="00D4104B" w:rsidRDefault="00D4104B" w:rsidP="00D4104B">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332.449</w:t>
            </w:r>
          </w:p>
        </w:tc>
        <w:tc>
          <w:tcPr>
            <w:tcW w:w="868"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102.902</w:t>
            </w:r>
          </w:p>
        </w:tc>
        <w:tc>
          <w:tcPr>
            <w:tcW w:w="704" w:type="dxa"/>
            <w:tcBorders>
              <w:top w:val="nil"/>
              <w:left w:val="nil"/>
              <w:bottom w:val="single" w:sz="4" w:space="0" w:color="auto"/>
              <w:right w:val="single" w:sz="4" w:space="0" w:color="auto"/>
            </w:tcBorders>
            <w:shd w:val="clear" w:color="auto" w:fill="auto"/>
            <w:noWrap/>
          </w:tcPr>
          <w:p w:rsidR="00D4104B" w:rsidRDefault="00D4104B" w:rsidP="00D4104B">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17.641</w:t>
            </w:r>
          </w:p>
        </w:tc>
        <w:tc>
          <w:tcPr>
            <w:tcW w:w="1037"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454.005</w:t>
            </w:r>
          </w:p>
        </w:tc>
        <w:tc>
          <w:tcPr>
            <w:tcW w:w="1266" w:type="dxa"/>
            <w:tcBorders>
              <w:top w:val="nil"/>
              <w:left w:val="nil"/>
              <w:bottom w:val="single" w:sz="4" w:space="0" w:color="auto"/>
              <w:right w:val="single" w:sz="4" w:space="0" w:color="auto"/>
            </w:tcBorders>
            <w:shd w:val="clear" w:color="auto" w:fill="auto"/>
            <w:noWrap/>
          </w:tcPr>
          <w:p w:rsidR="00D4104B" w:rsidRDefault="0084707F" w:rsidP="00D4104B">
            <w:pPr>
              <w:ind w:left="0"/>
              <w:jc w:val="center"/>
            </w:pPr>
            <w:r>
              <w:rPr>
                <w:rFonts w:ascii="Bookman Old Style" w:hAnsi="Bookman Old Style"/>
                <w:color w:val="000000"/>
                <w:sz w:val="18"/>
                <w:szCs w:val="18"/>
              </w:rPr>
              <w:t>45.936.724</w:t>
            </w:r>
          </w:p>
        </w:tc>
      </w:tr>
    </w:tbl>
    <w:p w:rsidR="00D4104B" w:rsidRDefault="00D4104B" w:rsidP="00D4104B">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84707F" w:rsidRDefault="0084707F" w:rsidP="00D4104B">
      <w:pPr>
        <w:jc w:val="center"/>
        <w:rPr>
          <w:rFonts w:ascii="Bookman Old Style" w:hAnsi="Bookman Old Style"/>
        </w:rPr>
      </w:pPr>
    </w:p>
    <w:p w:rsidR="00D4104B" w:rsidRPr="002E47EE" w:rsidRDefault="00D4104B" w:rsidP="00D4104B">
      <w:pPr>
        <w:pStyle w:val="Prrafodelista"/>
        <w:numPr>
          <w:ilvl w:val="0"/>
          <w:numId w:val="41"/>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13"/>
        <w:gridCol w:w="1417"/>
      </w:tblGrid>
      <w:tr w:rsidR="00D4104B" w:rsidRPr="00060097" w:rsidTr="00213F4E">
        <w:trPr>
          <w:trHeight w:val="443"/>
          <w:tblHeader/>
          <w:jc w:val="center"/>
        </w:trPr>
        <w:tc>
          <w:tcPr>
            <w:tcW w:w="1413" w:type="dxa"/>
            <w:vAlign w:val="center"/>
          </w:tcPr>
          <w:p w:rsidR="00D4104B" w:rsidRPr="00060097" w:rsidRDefault="00D4104B" w:rsidP="0084707F">
            <w:pPr>
              <w:ind w:left="-113"/>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D4104B" w:rsidRPr="0084707F" w:rsidRDefault="0084707F" w:rsidP="0084707F">
            <w:pPr>
              <w:ind w:left="-113"/>
              <w:jc w:val="center"/>
              <w:rPr>
                <w:rFonts w:ascii="Bookman Old Style" w:hAnsi="Bookman Old Style"/>
                <w:b/>
                <w:sz w:val="18"/>
                <w:szCs w:val="18"/>
              </w:rPr>
            </w:pPr>
            <w:r w:rsidRPr="0084707F">
              <w:rPr>
                <w:rFonts w:ascii="Bookman Old Style" w:hAnsi="Bookman Old Style"/>
                <w:b/>
                <w:sz w:val="18"/>
                <w:szCs w:val="18"/>
              </w:rPr>
              <w:t>6026</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vAlign w:val="center"/>
          </w:tcPr>
          <w:p w:rsidR="0084707F" w:rsidRDefault="0084707F" w:rsidP="0084707F">
            <w:pPr>
              <w:ind w:left="34"/>
              <w:jc w:val="center"/>
            </w:pPr>
            <w:r w:rsidRPr="00845FD8">
              <w:rPr>
                <w:rFonts w:ascii="Bookman Old Style" w:hAnsi="Bookman Old Style"/>
                <w:sz w:val="18"/>
              </w:rPr>
              <w:t>NR*</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vAlign w:val="center"/>
          </w:tcPr>
          <w:p w:rsidR="0084707F" w:rsidRDefault="0084707F" w:rsidP="0084707F">
            <w:pPr>
              <w:ind w:left="34"/>
              <w:jc w:val="center"/>
            </w:pPr>
            <w:r w:rsidRPr="00845FD8">
              <w:rPr>
                <w:rFonts w:ascii="Bookman Old Style" w:hAnsi="Bookman Old Style"/>
                <w:sz w:val="18"/>
              </w:rPr>
              <w:t>NR*</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15.538</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vAlign w:val="center"/>
          </w:tcPr>
          <w:p w:rsidR="0084707F" w:rsidRDefault="0084707F" w:rsidP="0084707F">
            <w:pPr>
              <w:ind w:left="34"/>
              <w:jc w:val="center"/>
            </w:pPr>
            <w:r w:rsidRPr="0086727E">
              <w:rPr>
                <w:rFonts w:ascii="Bookman Old Style" w:hAnsi="Bookman Old Style"/>
                <w:sz w:val="18"/>
              </w:rPr>
              <w:t>NR*</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vAlign w:val="center"/>
          </w:tcPr>
          <w:p w:rsidR="0084707F" w:rsidRDefault="0084707F" w:rsidP="0084707F">
            <w:pPr>
              <w:ind w:left="34"/>
              <w:jc w:val="center"/>
            </w:pPr>
            <w:r w:rsidRPr="0086727E">
              <w:rPr>
                <w:rFonts w:ascii="Bookman Old Style" w:hAnsi="Bookman Old Style"/>
                <w:sz w:val="18"/>
              </w:rPr>
              <w:t>NR*</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110.283</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42.852</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vAlign w:val="center"/>
          </w:tcPr>
          <w:p w:rsidR="0084707F" w:rsidRDefault="0084707F" w:rsidP="0084707F">
            <w:pPr>
              <w:ind w:left="34"/>
              <w:jc w:val="center"/>
            </w:pPr>
            <w:r w:rsidRPr="00636BD7">
              <w:rPr>
                <w:rFonts w:ascii="Bookman Old Style" w:hAnsi="Bookman Old Style"/>
                <w:sz w:val="18"/>
              </w:rPr>
              <w:t>NR*</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vAlign w:val="center"/>
          </w:tcPr>
          <w:p w:rsidR="0084707F" w:rsidRDefault="0084707F" w:rsidP="0084707F">
            <w:pPr>
              <w:ind w:left="34"/>
              <w:jc w:val="center"/>
            </w:pPr>
            <w:r w:rsidRPr="00636BD7">
              <w:rPr>
                <w:rFonts w:ascii="Bookman Old Style" w:hAnsi="Bookman Old Style"/>
                <w:sz w:val="18"/>
              </w:rPr>
              <w:t>NR*</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33 Kg</w:t>
            </w:r>
          </w:p>
        </w:tc>
        <w:tc>
          <w:tcPr>
            <w:tcW w:w="1417" w:type="dxa"/>
            <w:vAlign w:val="center"/>
          </w:tcPr>
          <w:p w:rsidR="0084707F" w:rsidRDefault="0084707F" w:rsidP="0084707F">
            <w:pPr>
              <w:ind w:left="34"/>
              <w:jc w:val="center"/>
            </w:pPr>
            <w:r w:rsidRPr="00636BD7">
              <w:rPr>
                <w:rFonts w:ascii="Bookman Old Style" w:hAnsi="Bookman Old Style"/>
                <w:sz w:val="18"/>
              </w:rPr>
              <w:t>NR*</w:t>
            </w:r>
          </w:p>
        </w:tc>
      </w:tr>
      <w:tr w:rsidR="0084707F" w:rsidRPr="00060097" w:rsidTr="0084707F">
        <w:trPr>
          <w:trHeight w:val="443"/>
          <w:jc w:val="center"/>
        </w:trPr>
        <w:tc>
          <w:tcPr>
            <w:tcW w:w="1413" w:type="dxa"/>
            <w:vAlign w:val="center"/>
          </w:tcPr>
          <w:p w:rsidR="0084707F" w:rsidRPr="00060097" w:rsidRDefault="0084707F"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vAlign w:val="center"/>
          </w:tcPr>
          <w:p w:rsidR="0084707F" w:rsidRDefault="0084707F" w:rsidP="0084707F">
            <w:pPr>
              <w:ind w:left="34"/>
              <w:jc w:val="center"/>
            </w:pPr>
            <w:r w:rsidRPr="00636BD7">
              <w:rPr>
                <w:rFonts w:ascii="Bookman Old Style" w:hAnsi="Bookman Old Style"/>
                <w:sz w:val="18"/>
              </w:rPr>
              <w:t>NR*</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3.088</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D4104B" w:rsidRPr="00060097" w:rsidTr="0084707F">
        <w:trPr>
          <w:trHeight w:val="443"/>
          <w:jc w:val="center"/>
        </w:trPr>
        <w:tc>
          <w:tcPr>
            <w:tcW w:w="1413" w:type="dxa"/>
            <w:vAlign w:val="center"/>
          </w:tcPr>
          <w:p w:rsidR="00D4104B" w:rsidRPr="00060097" w:rsidRDefault="00D4104B" w:rsidP="0084707F">
            <w:pPr>
              <w:ind w:left="-113"/>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171.761</w:t>
            </w:r>
          </w:p>
        </w:tc>
      </w:tr>
      <w:tr w:rsidR="00D4104B" w:rsidRPr="00060097" w:rsidTr="0084707F">
        <w:trPr>
          <w:trHeight w:val="443"/>
          <w:jc w:val="center"/>
        </w:trPr>
        <w:tc>
          <w:tcPr>
            <w:tcW w:w="1413" w:type="dxa"/>
            <w:vAlign w:val="center"/>
          </w:tcPr>
          <w:p w:rsidR="00D4104B" w:rsidRPr="00D4104B" w:rsidRDefault="00D4104B" w:rsidP="0084707F">
            <w:pPr>
              <w:ind w:left="-113"/>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vAlign w:val="center"/>
          </w:tcPr>
          <w:p w:rsidR="00D4104B" w:rsidRPr="00060097" w:rsidRDefault="0084707F" w:rsidP="0084707F">
            <w:pPr>
              <w:ind w:left="34"/>
              <w:jc w:val="center"/>
              <w:rPr>
                <w:rFonts w:ascii="Bookman Old Style" w:hAnsi="Bookman Old Style"/>
                <w:sz w:val="18"/>
                <w:szCs w:val="18"/>
              </w:rPr>
            </w:pPr>
            <w:r>
              <w:rPr>
                <w:rFonts w:ascii="Bookman Old Style" w:hAnsi="Bookman Old Style"/>
                <w:sz w:val="18"/>
                <w:szCs w:val="18"/>
              </w:rPr>
              <w:t>16.039.842</w:t>
            </w:r>
          </w:p>
        </w:tc>
      </w:tr>
    </w:tbl>
    <w:p w:rsidR="00D4104B" w:rsidRPr="00074962" w:rsidRDefault="00D4104B" w:rsidP="00D4104B">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D4104B" w:rsidRPr="00213F4E" w:rsidRDefault="00D4104B" w:rsidP="00D4104B">
      <w:pPr>
        <w:jc w:val="center"/>
        <w:rPr>
          <w:rFonts w:ascii="Bookman Old Style" w:hAnsi="Bookman Old Style"/>
          <w:sz w:val="28"/>
        </w:rPr>
      </w:pPr>
    </w:p>
    <w:p w:rsidR="00D4104B" w:rsidRPr="00D4104B" w:rsidRDefault="00D4104B" w:rsidP="00D4104B">
      <w:pPr>
        <w:pStyle w:val="Prrafodelista"/>
        <w:numPr>
          <w:ilvl w:val="0"/>
          <w:numId w:val="41"/>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p w:rsidR="00D4104B" w:rsidRPr="0089470C" w:rsidRDefault="00D4104B" w:rsidP="00D4104B">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D4104B"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04B" w:rsidRPr="00074962" w:rsidRDefault="00D4104B" w:rsidP="00755F52">
            <w:pPr>
              <w:ind w:left="0"/>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D4104B" w:rsidRPr="00D4104B" w:rsidRDefault="00D4104B" w:rsidP="00755F52">
            <w:pPr>
              <w:ind w:left="0"/>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D4104B" w:rsidRPr="00D4104B" w:rsidRDefault="00D4104B" w:rsidP="00755F5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D4104B" w:rsidRPr="00D4104B" w:rsidRDefault="00D4104B" w:rsidP="00755F5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755F52" w:rsidRPr="00074962" w:rsidTr="00755F52">
        <w:trPr>
          <w:trHeight w:val="434"/>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F52" w:rsidRPr="0093479E" w:rsidRDefault="00755F52" w:rsidP="00755F52">
            <w:pPr>
              <w:ind w:left="0"/>
              <w:jc w:val="center"/>
              <w:rPr>
                <w:rFonts w:ascii="Bookman Old Style" w:hAnsi="Bookman Old Style"/>
                <w:color w:val="000000"/>
                <w:sz w:val="18"/>
                <w:szCs w:val="20"/>
              </w:rPr>
            </w:pPr>
            <w:r>
              <w:rPr>
                <w:rFonts w:ascii="Bookman Old Style" w:hAnsi="Bookman Old Style"/>
                <w:color w:val="000000"/>
                <w:sz w:val="18"/>
                <w:szCs w:val="20"/>
              </w:rPr>
              <w:t>6026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55F52" w:rsidRDefault="00755F52" w:rsidP="00755F52">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45.936.724</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755F52" w:rsidRDefault="00755F52" w:rsidP="00755F52">
            <w:pPr>
              <w:ind w:left="0"/>
              <w:jc w:val="center"/>
              <w:rPr>
                <w:rFonts w:ascii="Bookman Old Style" w:hAnsi="Bookman Old Style"/>
                <w:color w:val="000000"/>
                <w:sz w:val="20"/>
                <w:szCs w:val="20"/>
              </w:rPr>
            </w:pPr>
            <w:r>
              <w:rPr>
                <w:rFonts w:ascii="Bookman Old Style" w:hAnsi="Bookman Old Style"/>
                <w:color w:val="000000"/>
                <w:sz w:val="20"/>
                <w:szCs w:val="20"/>
              </w:rPr>
              <w:t>16.039.842</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55F52" w:rsidRDefault="00755F52" w:rsidP="00755F52">
            <w:pPr>
              <w:ind w:left="60"/>
              <w:jc w:val="center"/>
              <w:rPr>
                <w:rFonts w:ascii="Bookman Old Style" w:hAnsi="Bookman Old Style"/>
                <w:color w:val="000000"/>
                <w:sz w:val="20"/>
                <w:szCs w:val="20"/>
              </w:rPr>
            </w:pPr>
            <w:r>
              <w:rPr>
                <w:rFonts w:ascii="Bookman Old Style" w:hAnsi="Bookman Old Style"/>
                <w:color w:val="000000"/>
                <w:sz w:val="20"/>
                <w:szCs w:val="20"/>
              </w:rPr>
              <w:t>61.976.566</w:t>
            </w:r>
          </w:p>
        </w:tc>
      </w:tr>
    </w:tbl>
    <w:p w:rsidR="00D4104B" w:rsidRPr="00074962" w:rsidRDefault="00D4104B" w:rsidP="00D4104B">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D4104B" w:rsidRPr="00213F4E" w:rsidRDefault="00D4104B" w:rsidP="00D4104B">
      <w:pPr>
        <w:rPr>
          <w:rFonts w:ascii="Bookman Old Style" w:hAnsi="Bookman Old Style"/>
          <w:sz w:val="32"/>
        </w:rPr>
      </w:pPr>
    </w:p>
    <w:p w:rsidR="00D4104B" w:rsidRPr="00213F4E" w:rsidRDefault="00D4104B" w:rsidP="00D4104B">
      <w:pPr>
        <w:pStyle w:val="Prrafodelista"/>
        <w:numPr>
          <w:ilvl w:val="0"/>
          <w:numId w:val="41"/>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p w:rsidR="00213F4E" w:rsidRPr="004443F3" w:rsidRDefault="00213F4E" w:rsidP="00213F4E">
      <w:pPr>
        <w:pStyle w:val="Prrafodelista"/>
        <w:ind w:left="720"/>
        <w:contextualSpacing/>
        <w:jc w:val="both"/>
        <w:rPr>
          <w:rFonts w:ascii="Bookman Old Style" w:hAnsi="Bookman Old Style"/>
          <w:sz w:val="24"/>
          <w:szCs w:val="24"/>
        </w:rPr>
      </w:pPr>
    </w:p>
    <w:tbl>
      <w:tblPr>
        <w:tblW w:w="5866" w:type="dxa"/>
        <w:jc w:val="center"/>
        <w:tblCellMar>
          <w:left w:w="70" w:type="dxa"/>
          <w:right w:w="70" w:type="dxa"/>
        </w:tblCellMar>
        <w:tblLook w:val="04A0" w:firstRow="1" w:lastRow="0" w:firstColumn="1" w:lastColumn="0" w:noHBand="0" w:noVBand="1"/>
      </w:tblPr>
      <w:tblGrid>
        <w:gridCol w:w="1044"/>
        <w:gridCol w:w="1640"/>
        <w:gridCol w:w="1882"/>
        <w:gridCol w:w="1300"/>
      </w:tblGrid>
      <w:tr w:rsidR="00D4104B" w:rsidRPr="0056639C" w:rsidTr="00755F52">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04B" w:rsidRPr="0056639C" w:rsidRDefault="00D4104B" w:rsidP="00755F52">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4104B" w:rsidRPr="0056639C" w:rsidRDefault="00D4104B" w:rsidP="00755F52">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D4104B" w:rsidRPr="0056639C" w:rsidRDefault="00D4104B" w:rsidP="00755F52">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4104B" w:rsidRPr="0056639C" w:rsidRDefault="00D4104B" w:rsidP="00755F52">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755F52" w:rsidRPr="0056639C" w:rsidTr="00755F52">
        <w:trPr>
          <w:trHeight w:val="39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755F52" w:rsidRPr="0093479E" w:rsidRDefault="00755F52" w:rsidP="00755F52">
            <w:pPr>
              <w:ind w:left="67"/>
              <w:jc w:val="center"/>
              <w:rPr>
                <w:rFonts w:ascii="Bookman Old Style" w:hAnsi="Bookman Old Style"/>
                <w:color w:val="000000"/>
                <w:sz w:val="18"/>
                <w:szCs w:val="20"/>
              </w:rPr>
            </w:pPr>
            <w:r>
              <w:rPr>
                <w:rFonts w:ascii="Bookman Old Style" w:hAnsi="Bookman Old Style"/>
                <w:color w:val="000000"/>
                <w:sz w:val="18"/>
                <w:szCs w:val="20"/>
              </w:rPr>
              <w:t>6026</w:t>
            </w:r>
          </w:p>
        </w:tc>
        <w:tc>
          <w:tcPr>
            <w:tcW w:w="1640" w:type="dxa"/>
            <w:tcBorders>
              <w:top w:val="nil"/>
              <w:left w:val="nil"/>
              <w:bottom w:val="single" w:sz="4" w:space="0" w:color="auto"/>
              <w:right w:val="single" w:sz="4" w:space="0" w:color="auto"/>
            </w:tcBorders>
            <w:shd w:val="clear" w:color="auto" w:fill="auto"/>
            <w:noWrap/>
            <w:vAlign w:val="center"/>
          </w:tcPr>
          <w:p w:rsidR="00755F52" w:rsidRDefault="00755F52" w:rsidP="00755F52">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404.181</w:t>
            </w:r>
          </w:p>
        </w:tc>
        <w:tc>
          <w:tcPr>
            <w:tcW w:w="1882" w:type="dxa"/>
            <w:tcBorders>
              <w:top w:val="nil"/>
              <w:left w:val="nil"/>
              <w:bottom w:val="single" w:sz="4" w:space="0" w:color="auto"/>
              <w:right w:val="single" w:sz="4" w:space="0" w:color="auto"/>
            </w:tcBorders>
            <w:shd w:val="clear" w:color="auto" w:fill="auto"/>
            <w:noWrap/>
            <w:vAlign w:val="center"/>
          </w:tcPr>
          <w:p w:rsidR="00755F52" w:rsidRDefault="00755F52" w:rsidP="00755F52">
            <w:pPr>
              <w:ind w:left="76"/>
              <w:jc w:val="center"/>
              <w:rPr>
                <w:rFonts w:ascii="Bookman Old Style" w:hAnsi="Bookman Old Style"/>
                <w:color w:val="000000"/>
                <w:sz w:val="20"/>
                <w:szCs w:val="20"/>
              </w:rPr>
            </w:pPr>
            <w:r>
              <w:rPr>
                <w:rFonts w:ascii="Bookman Old Style" w:hAnsi="Bookman Old Style"/>
                <w:color w:val="000000"/>
                <w:sz w:val="20"/>
                <w:szCs w:val="20"/>
              </w:rPr>
              <w:t>1.589</w:t>
            </w:r>
          </w:p>
        </w:tc>
        <w:tc>
          <w:tcPr>
            <w:tcW w:w="1300" w:type="dxa"/>
            <w:tcBorders>
              <w:top w:val="nil"/>
              <w:left w:val="nil"/>
              <w:bottom w:val="single" w:sz="4" w:space="0" w:color="auto"/>
              <w:right w:val="single" w:sz="4" w:space="0" w:color="auto"/>
            </w:tcBorders>
            <w:shd w:val="clear" w:color="auto" w:fill="auto"/>
            <w:noWrap/>
            <w:vAlign w:val="center"/>
          </w:tcPr>
          <w:p w:rsidR="00755F52" w:rsidRDefault="00755F52" w:rsidP="00755F52">
            <w:pPr>
              <w:ind w:left="37"/>
              <w:jc w:val="center"/>
              <w:rPr>
                <w:rFonts w:ascii="Bookman Old Style" w:hAnsi="Bookman Old Style"/>
                <w:color w:val="000000"/>
                <w:sz w:val="20"/>
                <w:szCs w:val="20"/>
              </w:rPr>
            </w:pPr>
            <w:r>
              <w:rPr>
                <w:rFonts w:ascii="Bookman Old Style" w:hAnsi="Bookman Old Style"/>
                <w:color w:val="000000"/>
                <w:sz w:val="20"/>
                <w:szCs w:val="20"/>
              </w:rPr>
              <w:t>5.092.681</w:t>
            </w:r>
          </w:p>
        </w:tc>
      </w:tr>
    </w:tbl>
    <w:p w:rsidR="00D4104B" w:rsidRDefault="00D4104B" w:rsidP="00D4104B">
      <w:pPr>
        <w:pStyle w:val="Prrafodelista"/>
        <w:jc w:val="both"/>
        <w:rPr>
          <w:rFonts w:ascii="Bookman Old Style" w:hAnsi="Bookman Old Style"/>
          <w:sz w:val="24"/>
          <w:szCs w:val="24"/>
        </w:rPr>
      </w:pPr>
    </w:p>
    <w:p w:rsidR="00D4104B" w:rsidRPr="004443F3" w:rsidRDefault="00D4104B" w:rsidP="00D4104B">
      <w:pPr>
        <w:pStyle w:val="Prrafodelista"/>
        <w:numPr>
          <w:ilvl w:val="0"/>
          <w:numId w:val="41"/>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D4104B">
        <w:rPr>
          <w:rFonts w:ascii="Bookman Old Style" w:hAnsi="Bookman Old Style"/>
          <w:iCs/>
          <w:sz w:val="24"/>
          <w:szCs w:val="24"/>
        </w:rPr>
        <w:t xml:space="preserve">, a continuación se muestra el conteo de cilindros por código de presentación para cada uno de los códigos SUI de las empresas. </w:t>
      </w:r>
    </w:p>
    <w:p w:rsidR="00D4104B" w:rsidRDefault="00D4104B" w:rsidP="00D4104B">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D4104B" w:rsidRPr="000768E2" w:rsidTr="00044C84">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04B" w:rsidRPr="000768E2" w:rsidRDefault="00D4104B" w:rsidP="00044C84">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4104B" w:rsidRPr="00D4104B" w:rsidRDefault="00D4104B" w:rsidP="00044C84">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D4104B" w:rsidRPr="00D4104B" w:rsidRDefault="00D4104B" w:rsidP="00044C84">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D4104B" w:rsidRPr="00D4104B" w:rsidRDefault="00D4104B" w:rsidP="00044C84">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044C84" w:rsidRPr="000768E2" w:rsidTr="00044C84">
        <w:trPr>
          <w:trHeight w:val="437"/>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044C84" w:rsidRPr="0093479E" w:rsidRDefault="00044C84" w:rsidP="00044C84">
            <w:pPr>
              <w:ind w:left="0"/>
              <w:jc w:val="center"/>
              <w:rPr>
                <w:rFonts w:ascii="Bookman Old Style" w:hAnsi="Bookman Old Style"/>
                <w:color w:val="000000"/>
                <w:sz w:val="18"/>
                <w:szCs w:val="20"/>
              </w:rPr>
            </w:pPr>
            <w:r>
              <w:rPr>
                <w:rFonts w:ascii="Bookman Old Style" w:hAnsi="Bookman Old Style"/>
                <w:color w:val="000000"/>
                <w:sz w:val="18"/>
                <w:szCs w:val="20"/>
              </w:rPr>
              <w:t>6026</w:t>
            </w:r>
          </w:p>
        </w:tc>
        <w:tc>
          <w:tcPr>
            <w:tcW w:w="1700" w:type="dxa"/>
            <w:tcBorders>
              <w:top w:val="nil"/>
              <w:left w:val="nil"/>
              <w:bottom w:val="single" w:sz="4" w:space="0" w:color="auto"/>
              <w:right w:val="single" w:sz="4" w:space="0" w:color="auto"/>
            </w:tcBorders>
            <w:shd w:val="clear" w:color="auto" w:fill="auto"/>
            <w:noWrap/>
            <w:vAlign w:val="center"/>
          </w:tcPr>
          <w:p w:rsidR="00044C84" w:rsidRDefault="00044C84" w:rsidP="00044C84">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61.976.566</w:t>
            </w:r>
          </w:p>
        </w:tc>
        <w:tc>
          <w:tcPr>
            <w:tcW w:w="1704" w:type="dxa"/>
            <w:tcBorders>
              <w:top w:val="nil"/>
              <w:left w:val="nil"/>
              <w:bottom w:val="single" w:sz="4" w:space="0" w:color="auto"/>
              <w:right w:val="single" w:sz="4" w:space="0" w:color="auto"/>
            </w:tcBorders>
            <w:shd w:val="clear" w:color="auto" w:fill="auto"/>
            <w:noWrap/>
            <w:vAlign w:val="center"/>
          </w:tcPr>
          <w:p w:rsidR="00044C84" w:rsidRDefault="00044C84" w:rsidP="00044C84">
            <w:pPr>
              <w:ind w:left="0"/>
              <w:jc w:val="center"/>
              <w:rPr>
                <w:rFonts w:ascii="Bookman Old Style" w:hAnsi="Bookman Old Style"/>
                <w:color w:val="000000"/>
                <w:sz w:val="20"/>
                <w:szCs w:val="20"/>
              </w:rPr>
            </w:pPr>
            <w:r>
              <w:rPr>
                <w:rFonts w:ascii="Bookman Old Style" w:hAnsi="Bookman Old Style"/>
                <w:color w:val="000000"/>
                <w:sz w:val="20"/>
                <w:szCs w:val="20"/>
              </w:rPr>
              <w:t>5.092.681</w:t>
            </w:r>
          </w:p>
        </w:tc>
        <w:tc>
          <w:tcPr>
            <w:tcW w:w="1516" w:type="dxa"/>
            <w:tcBorders>
              <w:top w:val="nil"/>
              <w:left w:val="nil"/>
              <w:bottom w:val="single" w:sz="4" w:space="0" w:color="auto"/>
              <w:right w:val="single" w:sz="4" w:space="0" w:color="auto"/>
            </w:tcBorders>
            <w:shd w:val="clear" w:color="auto" w:fill="auto"/>
            <w:noWrap/>
            <w:vAlign w:val="center"/>
          </w:tcPr>
          <w:p w:rsidR="00044C84" w:rsidRDefault="00044C84" w:rsidP="00044C84">
            <w:pPr>
              <w:ind w:left="0"/>
              <w:jc w:val="center"/>
              <w:rPr>
                <w:rFonts w:ascii="Bookman Old Style" w:hAnsi="Bookman Old Style"/>
                <w:color w:val="000000"/>
                <w:sz w:val="20"/>
                <w:szCs w:val="20"/>
              </w:rPr>
            </w:pPr>
            <w:r>
              <w:rPr>
                <w:rFonts w:ascii="Bookman Old Style" w:hAnsi="Bookman Old Style"/>
                <w:color w:val="000000"/>
                <w:sz w:val="20"/>
                <w:szCs w:val="20"/>
              </w:rPr>
              <w:t>20.554.657</w:t>
            </w:r>
          </w:p>
        </w:tc>
      </w:tr>
    </w:tbl>
    <w:p w:rsidR="00D4104B" w:rsidRPr="002B4873" w:rsidRDefault="00D4104B" w:rsidP="00D4104B">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360026" w:rsidRDefault="00360026" w:rsidP="00360026">
      <w:pPr>
        <w:pStyle w:val="Textoindependiente2"/>
        <w:spacing w:after="0" w:line="240" w:lineRule="auto"/>
        <w:ind w:left="-142" w:right="-142"/>
        <w:jc w:val="both"/>
        <w:rPr>
          <w:rFonts w:ascii="Bookman Old Style" w:hAnsi="Bookman Old Style"/>
          <w:szCs w:val="27"/>
        </w:rPr>
      </w:pPr>
    </w:p>
    <w:p w:rsidR="00213F4E" w:rsidRDefault="00213F4E" w:rsidP="00360026">
      <w:pPr>
        <w:pStyle w:val="Textoindependiente2"/>
        <w:spacing w:after="0" w:line="240" w:lineRule="auto"/>
        <w:ind w:left="-142" w:right="-142"/>
        <w:jc w:val="both"/>
        <w:rPr>
          <w:rFonts w:ascii="Bookman Old Style" w:hAnsi="Bookman Old Style"/>
          <w:szCs w:val="27"/>
        </w:rPr>
      </w:pPr>
    </w:p>
    <w:p w:rsidR="00213F4E" w:rsidRDefault="00213F4E" w:rsidP="00360026">
      <w:pPr>
        <w:pStyle w:val="Textoindependiente2"/>
        <w:spacing w:after="0" w:line="240" w:lineRule="auto"/>
        <w:ind w:left="-142" w:right="-142"/>
        <w:jc w:val="both"/>
        <w:rPr>
          <w:rFonts w:ascii="Bookman Old Style" w:hAnsi="Bookman Old Style"/>
          <w:szCs w:val="27"/>
        </w:rPr>
      </w:pPr>
    </w:p>
    <w:p w:rsidR="00360026" w:rsidRDefault="00360026" w:rsidP="00360026">
      <w:pPr>
        <w:pStyle w:val="Textoindependiente2"/>
        <w:spacing w:after="0" w:line="240" w:lineRule="auto"/>
        <w:ind w:left="-142" w:right="-142"/>
        <w:jc w:val="both"/>
        <w:rPr>
          <w:rFonts w:ascii="Bookman Old Style" w:hAnsi="Bookman Old Style"/>
          <w:szCs w:val="27"/>
        </w:rPr>
      </w:pPr>
    </w:p>
    <w:p w:rsidR="00360026" w:rsidRDefault="00360026" w:rsidP="00360026">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Art</w:t>
      </w:r>
      <w:r w:rsidR="005912CB">
        <w:rPr>
          <w:rFonts w:ascii="Bookman Old Style" w:hAnsi="Bookman Old Style"/>
          <w:b/>
          <w:szCs w:val="27"/>
        </w:rPr>
        <w:t>ículo 4</w:t>
      </w:r>
      <w:r>
        <w:rPr>
          <w:rFonts w:ascii="Bookman Old Style" w:hAnsi="Bookman Old Style"/>
          <w:b/>
          <w:szCs w:val="27"/>
        </w:rPr>
        <w:t xml:space="preserve">.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sidR="005912CB">
        <w:rPr>
          <w:rFonts w:ascii="Bookman Old Style" w:hAnsi="Bookman Old Style"/>
          <w:szCs w:val="27"/>
        </w:rPr>
        <w:t>Montagas S.A. E.S.P</w:t>
      </w:r>
      <w:r>
        <w:rPr>
          <w:rFonts w:ascii="Bookman Old Style" w:hAnsi="Bookman Old Style"/>
          <w:szCs w:val="27"/>
        </w:rPr>
        <w:t xml:space="preserve">.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360026" w:rsidRDefault="00360026" w:rsidP="00360026">
      <w:pPr>
        <w:tabs>
          <w:tab w:val="right" w:pos="9498"/>
        </w:tabs>
        <w:ind w:left="0" w:right="-142"/>
        <w:rPr>
          <w:rFonts w:ascii="Bookman Old Style" w:hAnsi="Bookman Old Style" w:cs="Arial"/>
          <w:sz w:val="22"/>
        </w:rPr>
      </w:pPr>
    </w:p>
    <w:p w:rsidR="00360026" w:rsidRPr="003234E2" w:rsidRDefault="00360026" w:rsidP="00360026">
      <w:pPr>
        <w:tabs>
          <w:tab w:val="right" w:pos="9498"/>
        </w:tabs>
        <w:ind w:left="0" w:right="-142"/>
        <w:rPr>
          <w:rFonts w:ascii="Bookman Old Style" w:hAnsi="Bookman Old Style" w:cs="Arial"/>
          <w:sz w:val="22"/>
        </w:rPr>
      </w:pPr>
    </w:p>
    <w:p w:rsidR="00360026" w:rsidRPr="005023D3" w:rsidRDefault="00360026" w:rsidP="00360026">
      <w:pPr>
        <w:ind w:left="-181"/>
        <w:jc w:val="center"/>
        <w:rPr>
          <w:rFonts w:ascii="Bookman Old Style" w:hAnsi="Bookman Old Style" w:cs="Arial"/>
          <w:b/>
        </w:rPr>
      </w:pPr>
      <w:r>
        <w:rPr>
          <w:rFonts w:ascii="Bookman Old Style" w:hAnsi="Bookman Old Style" w:cs="Arial"/>
          <w:b/>
        </w:rPr>
        <w:t xml:space="preserve">     NOTIFÍQUESE </w:t>
      </w:r>
      <w:r w:rsidR="00503E2E">
        <w:rPr>
          <w:rFonts w:ascii="Bookman Old Style" w:hAnsi="Bookman Old Style" w:cs="Arial"/>
          <w:b/>
        </w:rPr>
        <w:t>Y CÚMPLASE</w:t>
      </w:r>
    </w:p>
    <w:p w:rsidR="00360026" w:rsidRPr="003234E2" w:rsidRDefault="00360026" w:rsidP="00360026">
      <w:pPr>
        <w:ind w:left="0"/>
        <w:rPr>
          <w:rFonts w:ascii="Bookman Old Style" w:hAnsi="Bookman Old Style" w:cs="Arial"/>
          <w:sz w:val="20"/>
          <w:szCs w:val="20"/>
        </w:rPr>
      </w:pPr>
    </w:p>
    <w:p w:rsidR="00360026" w:rsidRDefault="00360026" w:rsidP="00360026">
      <w:pPr>
        <w:ind w:left="0"/>
        <w:rPr>
          <w:rFonts w:ascii="Bookman Old Style" w:hAnsi="Bookman Old Style" w:cs="Arial"/>
          <w:szCs w:val="20"/>
        </w:rPr>
      </w:pPr>
      <w:r w:rsidRPr="005023D3">
        <w:rPr>
          <w:rFonts w:ascii="Bookman Old Style" w:hAnsi="Bookman Old Style" w:cs="Arial"/>
          <w:szCs w:val="20"/>
        </w:rPr>
        <w:t>Dada en Bogotá, D.C.</w:t>
      </w:r>
    </w:p>
    <w:p w:rsidR="00503E2E" w:rsidRDefault="00503E2E" w:rsidP="00360026">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503E2E" w:rsidRPr="00A14C71" w:rsidTr="005D266B">
        <w:trPr>
          <w:tblCellSpacing w:w="0" w:type="dxa"/>
          <w:jc w:val="center"/>
        </w:trPr>
        <w:tc>
          <w:tcPr>
            <w:tcW w:w="5529" w:type="dxa"/>
            <w:hideMark/>
          </w:tcPr>
          <w:p w:rsidR="00503E2E" w:rsidRPr="00A14C71" w:rsidRDefault="00503E2E" w:rsidP="005D266B">
            <w:pPr>
              <w:ind w:left="0"/>
              <w:rPr>
                <w:rFonts w:ascii="Bookman Old Style" w:hAnsi="Bookman Old Style" w:cs="Arial"/>
                <w:b/>
                <w:spacing w:val="-3"/>
              </w:rPr>
            </w:pPr>
          </w:p>
          <w:p w:rsidR="00503E2E" w:rsidRPr="00A14C71" w:rsidRDefault="00503E2E" w:rsidP="005D266B">
            <w:pPr>
              <w:ind w:left="0"/>
              <w:rPr>
                <w:rFonts w:ascii="Bookman Old Style" w:hAnsi="Bookman Old Style" w:cs="Arial"/>
                <w:b/>
                <w:spacing w:val="-3"/>
              </w:rPr>
            </w:pPr>
          </w:p>
          <w:p w:rsidR="00503E2E" w:rsidRPr="00A14C71" w:rsidRDefault="00503E2E" w:rsidP="005D266B">
            <w:pPr>
              <w:ind w:left="0"/>
              <w:rPr>
                <w:rFonts w:ascii="Bookman Old Style" w:hAnsi="Bookman Old Style" w:cs="Arial"/>
                <w:b/>
                <w:spacing w:val="-3"/>
              </w:rPr>
            </w:pPr>
          </w:p>
          <w:p w:rsidR="00503E2E" w:rsidRPr="00A14C71" w:rsidRDefault="00503E2E" w:rsidP="005D266B">
            <w:pPr>
              <w:ind w:left="66"/>
              <w:jc w:val="center"/>
              <w:rPr>
                <w:rFonts w:ascii="Bookman Old Style" w:hAnsi="Bookman Old Style" w:cs="Arial"/>
                <w:b/>
                <w:spacing w:val="-3"/>
              </w:rPr>
            </w:pPr>
          </w:p>
          <w:p w:rsidR="00503E2E" w:rsidRPr="00A14C71" w:rsidRDefault="00503E2E"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503E2E" w:rsidRPr="00A14C71" w:rsidRDefault="00503E2E" w:rsidP="005D266B">
            <w:pPr>
              <w:ind w:left="89"/>
              <w:jc w:val="center"/>
              <w:rPr>
                <w:rFonts w:ascii="Bookman Old Style" w:hAnsi="Bookman Old Style" w:cs="Arial"/>
                <w:b/>
                <w:spacing w:val="-3"/>
              </w:rPr>
            </w:pPr>
          </w:p>
          <w:p w:rsidR="00503E2E" w:rsidRPr="00A14C71" w:rsidRDefault="00503E2E" w:rsidP="005D266B">
            <w:pPr>
              <w:ind w:left="89"/>
              <w:jc w:val="center"/>
              <w:rPr>
                <w:rFonts w:ascii="Bookman Old Style" w:hAnsi="Bookman Old Style" w:cs="Arial"/>
                <w:b/>
                <w:spacing w:val="-3"/>
              </w:rPr>
            </w:pPr>
          </w:p>
          <w:p w:rsidR="00503E2E" w:rsidRPr="00A14C71" w:rsidRDefault="00503E2E" w:rsidP="005D266B">
            <w:pPr>
              <w:ind w:left="89"/>
              <w:jc w:val="center"/>
              <w:rPr>
                <w:rFonts w:ascii="Bookman Old Style" w:hAnsi="Bookman Old Style" w:cs="Arial"/>
                <w:b/>
                <w:spacing w:val="-3"/>
              </w:rPr>
            </w:pPr>
          </w:p>
          <w:p w:rsidR="00503E2E" w:rsidRPr="00A14C71" w:rsidRDefault="00503E2E" w:rsidP="005D266B">
            <w:pPr>
              <w:ind w:left="89"/>
              <w:jc w:val="center"/>
              <w:rPr>
                <w:rFonts w:ascii="Bookman Old Style" w:hAnsi="Bookman Old Style" w:cs="Arial"/>
                <w:b/>
                <w:spacing w:val="-3"/>
              </w:rPr>
            </w:pPr>
          </w:p>
          <w:p w:rsidR="00503E2E" w:rsidRPr="00A14C71" w:rsidRDefault="00503E2E"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503E2E" w:rsidRPr="00A14C71" w:rsidTr="005D266B">
        <w:trPr>
          <w:tblCellSpacing w:w="0" w:type="dxa"/>
          <w:jc w:val="center"/>
        </w:trPr>
        <w:tc>
          <w:tcPr>
            <w:tcW w:w="5529" w:type="dxa"/>
            <w:hideMark/>
          </w:tcPr>
          <w:p w:rsidR="00503E2E" w:rsidRDefault="00503E2E"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213F4E" w:rsidRPr="00A14C71" w:rsidRDefault="00213F4E"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503E2E" w:rsidRPr="00A14C71" w:rsidRDefault="00503E2E"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503E2E" w:rsidRPr="00A14C71" w:rsidTr="005D266B">
        <w:trPr>
          <w:tblCellSpacing w:w="0" w:type="dxa"/>
          <w:jc w:val="center"/>
        </w:trPr>
        <w:tc>
          <w:tcPr>
            <w:tcW w:w="5529" w:type="dxa"/>
            <w:hideMark/>
          </w:tcPr>
          <w:p w:rsidR="00503E2E" w:rsidRPr="00A14C71" w:rsidRDefault="00503E2E"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503E2E" w:rsidRPr="00A14C71" w:rsidRDefault="00503E2E" w:rsidP="005D266B">
            <w:pPr>
              <w:ind w:left="0"/>
              <w:jc w:val="center"/>
              <w:rPr>
                <w:rFonts w:ascii="Bookman Old Style" w:eastAsia="Arial Unicode MS" w:hAnsi="Bookman Old Style" w:cs="Arial"/>
                <w:color w:val="000000"/>
              </w:rPr>
            </w:pPr>
          </w:p>
        </w:tc>
      </w:tr>
    </w:tbl>
    <w:p w:rsidR="00503E2E" w:rsidRPr="00BA698C" w:rsidRDefault="00503E2E" w:rsidP="00360026">
      <w:pPr>
        <w:ind w:left="0"/>
        <w:rPr>
          <w:rFonts w:ascii="Bookman Old Style" w:hAnsi="Bookman Old Style" w:cs="Arial"/>
          <w:szCs w:val="20"/>
        </w:rPr>
      </w:pPr>
    </w:p>
    <w:p w:rsidR="00360026" w:rsidRDefault="00360026" w:rsidP="00360026">
      <w:pPr>
        <w:ind w:left="0"/>
        <w:rPr>
          <w:rFonts w:ascii="Bookman Old Style" w:hAnsi="Bookman Old Style" w:cs="Arial"/>
          <w:sz w:val="22"/>
          <w:szCs w:val="20"/>
        </w:rPr>
      </w:pPr>
    </w:p>
    <w:p w:rsidR="00360026" w:rsidRPr="00FE2D9D" w:rsidRDefault="00360026" w:rsidP="00360026">
      <w:pPr>
        <w:ind w:left="0"/>
        <w:rPr>
          <w:rFonts w:ascii="Bookman Old Style" w:hAnsi="Bookman Old Style" w:cs="Arial"/>
          <w:sz w:val="22"/>
          <w:szCs w:val="20"/>
        </w:rPr>
      </w:pPr>
    </w:p>
    <w:p w:rsidR="00360026" w:rsidRDefault="00360026" w:rsidP="00360026">
      <w:pPr>
        <w:rPr>
          <w:rFonts w:ascii="Bookman Old Style" w:hAnsi="Bookman Old Style" w:cs="Arial"/>
          <w:szCs w:val="20"/>
        </w:rPr>
      </w:pPr>
    </w:p>
    <w:p w:rsidR="00360026" w:rsidRDefault="00360026" w:rsidP="00360026">
      <w:pPr>
        <w:rPr>
          <w:rFonts w:ascii="Bookman Old Style" w:hAnsi="Bookman Old Style" w:cs="Arial"/>
          <w:szCs w:val="20"/>
        </w:rPr>
      </w:pPr>
    </w:p>
    <w:p w:rsidR="00360026" w:rsidRPr="00FE2D9D" w:rsidRDefault="00360026" w:rsidP="00360026">
      <w:pPr>
        <w:rPr>
          <w:rFonts w:ascii="Bookman Old Style" w:hAnsi="Bookman Old Style" w:cs="Arial"/>
          <w:szCs w:val="20"/>
        </w:rPr>
      </w:pPr>
    </w:p>
    <w:p w:rsidR="00360026" w:rsidRPr="003234E2" w:rsidRDefault="00360026" w:rsidP="00360026">
      <w:pPr>
        <w:ind w:left="0"/>
        <w:rPr>
          <w:sz w:val="20"/>
        </w:rPr>
      </w:pPr>
    </w:p>
    <w:sectPr w:rsidR="00360026" w:rsidRPr="003234E2"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288" w:rsidRDefault="00FB7288">
      <w:r>
        <w:separator/>
      </w:r>
    </w:p>
  </w:endnote>
  <w:endnote w:type="continuationSeparator" w:id="0">
    <w:p w:rsidR="00FB7288" w:rsidRDefault="00FB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288" w:rsidRDefault="00FB7288">
      <w:r>
        <w:separator/>
      </w:r>
    </w:p>
  </w:footnote>
  <w:footnote w:type="continuationSeparator" w:id="0">
    <w:p w:rsidR="00FB7288" w:rsidRDefault="00FB7288">
      <w:r>
        <w:continuationSeparator/>
      </w:r>
    </w:p>
  </w:footnote>
  <w:footnote w:id="1">
    <w:p w:rsidR="00640E4D" w:rsidRPr="00EC3BB2" w:rsidRDefault="00640E4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40E4D" w:rsidRPr="00BD1622" w:rsidRDefault="00640E4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640E4D" w:rsidRPr="00FC2C01" w:rsidRDefault="00640E4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640E4D" w:rsidRPr="00FC2C01" w:rsidRDefault="00640E4D" w:rsidP="00BA05D2">
      <w:pPr>
        <w:pStyle w:val="Textonotapie"/>
        <w:jc w:val="both"/>
        <w:rPr>
          <w:rFonts w:ascii="Bookman Old Style" w:hAnsi="Bookman Old Style" w:cs="Arial"/>
          <w:sz w:val="16"/>
          <w:szCs w:val="16"/>
        </w:rPr>
      </w:pPr>
    </w:p>
    <w:p w:rsidR="00640E4D" w:rsidRPr="00CD67E2" w:rsidRDefault="00640E4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640E4D" w:rsidRPr="00FA7CDB" w:rsidRDefault="00640E4D" w:rsidP="00CD67E2">
      <w:pPr>
        <w:pStyle w:val="Textonotapie"/>
        <w:jc w:val="both"/>
        <w:rPr>
          <w:rFonts w:ascii="Bookman Old Style" w:hAnsi="Bookman Old Style" w:cs="Arial"/>
          <w:sz w:val="16"/>
          <w:szCs w:val="16"/>
        </w:rPr>
      </w:pPr>
    </w:p>
    <w:p w:rsidR="00640E4D" w:rsidRPr="00FA7CDB" w:rsidRDefault="00640E4D"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40E4D" w:rsidRDefault="00640E4D"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8E423A" w:rsidRPr="005B27D9" w:rsidRDefault="008E423A" w:rsidP="008E423A">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Que un cilindro rota cada dos meses indica que el usuario requiere comprar GLP cada dos meses para suplir su consumo.</w:t>
      </w:r>
    </w:p>
  </w:footnote>
  <w:footnote w:id="6">
    <w:p w:rsidR="008E423A" w:rsidRPr="005B27D9" w:rsidRDefault="008E423A" w:rsidP="008E423A">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Un usuario residencial que demanda cilindros de cuarenta libras podría comprar GLP cada dos meses. </w:t>
      </w:r>
    </w:p>
  </w:footnote>
  <w:footnote w:id="7">
    <w:p w:rsidR="008E423A" w:rsidRPr="005B27D9" w:rsidRDefault="008E423A" w:rsidP="008E423A">
      <w:pPr>
        <w:pStyle w:val="Textonotapie"/>
        <w:jc w:val="both"/>
        <w:rPr>
          <w:rFonts w:ascii="Bookman Old Style" w:hAnsi="Bookman Old Style" w:cs="Arial"/>
          <w:sz w:val="16"/>
          <w:szCs w:val="16"/>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Los datos del SUI muestra que muchos de los distribuidores no registran sus inversiones en estos activos. En muchos casos, el nivel de subregistro es tal que la relación estimada es significativamente superior a uno.</w:t>
      </w:r>
    </w:p>
  </w:footnote>
  <w:footnote w:id="8">
    <w:p w:rsidR="008E423A" w:rsidRPr="009D437F" w:rsidRDefault="008E423A" w:rsidP="008E423A">
      <w:pPr>
        <w:pStyle w:val="Textonotapie"/>
        <w:jc w:val="both"/>
        <w:rPr>
          <w:rFonts w:ascii="Arial" w:hAnsi="Arial" w:cs="Arial"/>
          <w:sz w:val="18"/>
          <w:szCs w:val="18"/>
        </w:rPr>
      </w:pPr>
      <w:r w:rsidRPr="005B27D9">
        <w:rPr>
          <w:rStyle w:val="Refdenotaalpie"/>
          <w:rFonts w:ascii="Bookman Old Style" w:hAnsi="Bookman Old Style" w:cs="Arial"/>
          <w:sz w:val="16"/>
          <w:szCs w:val="16"/>
        </w:rPr>
        <w:footnoteRef/>
      </w:r>
      <w:r w:rsidRPr="005B27D9">
        <w:rPr>
          <w:rFonts w:ascii="Bookman Old Style" w:hAnsi="Bookman Old Style" w:cs="Arial"/>
          <w:sz w:val="16"/>
          <w:szCs w:val="16"/>
        </w:rPr>
        <w:t xml:space="preserve"> Para cada año se calcula la relación ventas e inversión de cada distribuidor y se filtra para aquellos que la relación definida en esta sección se cumple. Luego, se obtiene la relación promedio para cada distribuidor con la cual se construye el histograma.</w:t>
      </w:r>
    </w:p>
  </w:footnote>
  <w:footnote w:id="9">
    <w:p w:rsidR="00360026" w:rsidRPr="00BB7AEA" w:rsidRDefault="00360026" w:rsidP="00360026">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951F79">
    <w:pPr>
      <w:pStyle w:val="Ttulo1"/>
      <w:ind w:right="6"/>
      <w:jc w:val="left"/>
      <w:rPr>
        <w:rFonts w:ascii="Bookman Old Style" w:hAnsi="Bookman Old Style" w:cs="Arial"/>
        <w:b w:val="0"/>
        <w:sz w:val="22"/>
        <w:szCs w:val="22"/>
      </w:rPr>
    </w:pPr>
  </w:p>
  <w:p w:rsidR="00640E4D" w:rsidRPr="00951F79" w:rsidRDefault="00640E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B629F">
      <w:rPr>
        <w:rFonts w:ascii="Bookman Old Style" w:hAnsi="Bookman Old Style" w:cs="Arial"/>
        <w:b w:val="0"/>
        <w:noProof/>
        <w:sz w:val="22"/>
        <w:szCs w:val="22"/>
      </w:rPr>
      <w:t>20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B629F">
      <w:fldChar w:fldCharType="begin"/>
    </w:r>
    <w:r w:rsidR="00EB629F">
      <w:instrText xml:space="preserve"> NUMPAGES  \* MERGEFORMAT </w:instrText>
    </w:r>
    <w:r w:rsidR="00EB629F">
      <w:fldChar w:fldCharType="separate"/>
    </w:r>
    <w:r w:rsidR="00EB629F" w:rsidRPr="00EB629F">
      <w:rPr>
        <w:rFonts w:ascii="Bookman Old Style" w:hAnsi="Bookman Old Style" w:cs="Arial"/>
        <w:b w:val="0"/>
        <w:noProof/>
        <w:sz w:val="22"/>
        <w:szCs w:val="22"/>
      </w:rPr>
      <w:t>26</w:t>
    </w:r>
    <w:r w:rsidR="00EB629F">
      <w:rPr>
        <w:rFonts w:ascii="Bookman Old Style" w:hAnsi="Bookman Old Style" w:cs="Arial"/>
        <w:b w:val="0"/>
        <w:noProof/>
        <w:sz w:val="22"/>
        <w:szCs w:val="22"/>
      </w:rPr>
      <w:fldChar w:fldCharType="end"/>
    </w:r>
  </w:p>
  <w:p w:rsidR="00640E4D" w:rsidRDefault="00D4104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6D152"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40E4D" w:rsidRPr="00616D65" w:rsidRDefault="00640E4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6D5092">
      <w:rPr>
        <w:rFonts w:ascii="Bookman Old Style" w:hAnsi="Bookman Old Style" w:cs="Arial"/>
        <w:sz w:val="22"/>
        <w:szCs w:val="22"/>
      </w:rPr>
      <w:t>Montagas S.A. E.S.P.</w:t>
    </w:r>
    <w:r>
      <w:rPr>
        <w:rFonts w:ascii="Bookman Old Style" w:hAnsi="Bookman Old Style" w:cs="Arial"/>
        <w:sz w:val="22"/>
        <w:szCs w:val="22"/>
      </w:rPr>
      <w:t xml:space="preserve">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00A50D97">
      <w:rPr>
        <w:rFonts w:ascii="Bookman Old Style" w:hAnsi="Bookman Old Style" w:cs="Arial"/>
        <w:sz w:val="22"/>
        <w:szCs w:val="22"/>
      </w:rPr>
      <w:t xml:space="preserve"> de 2016</w:t>
    </w:r>
  </w:p>
  <w:p w:rsidR="00640E4D" w:rsidRPr="00730C9E" w:rsidRDefault="00D4104B"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8AB7"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40E4D" w:rsidRDefault="00640E4D">
    <w:pPr>
      <w:pStyle w:val="Encabezado"/>
      <w:jc w:val="center"/>
      <w:rPr>
        <w:rFonts w:ascii="Arial" w:hAnsi="Arial" w:cs="Arial"/>
        <w:spacing w:val="20"/>
        <w:sz w:val="20"/>
      </w:rPr>
    </w:pPr>
  </w:p>
  <w:p w:rsidR="00640E4D" w:rsidRDefault="00D4104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0FB05"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0C598A"/>
    <w:multiLevelType w:val="hybridMultilevel"/>
    <w:tmpl w:val="12CC5C50"/>
    <w:lvl w:ilvl="0" w:tplc="52AC0DD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5"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4"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376590"/>
    <w:multiLevelType w:val="hybridMultilevel"/>
    <w:tmpl w:val="336C24A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9"/>
  </w:num>
  <w:num w:numId="4">
    <w:abstractNumId w:val="14"/>
  </w:num>
  <w:num w:numId="5">
    <w:abstractNumId w:val="27"/>
  </w:num>
  <w:num w:numId="6">
    <w:abstractNumId w:val="4"/>
  </w:num>
  <w:num w:numId="7">
    <w:abstractNumId w:val="3"/>
  </w:num>
  <w:num w:numId="8">
    <w:abstractNumId w:val="30"/>
  </w:num>
  <w:num w:numId="9">
    <w:abstractNumId w:val="28"/>
  </w:num>
  <w:num w:numId="10">
    <w:abstractNumId w:val="21"/>
  </w:num>
  <w:num w:numId="11">
    <w:abstractNumId w:val="40"/>
  </w:num>
  <w:num w:numId="12">
    <w:abstractNumId w:val="36"/>
  </w:num>
  <w:num w:numId="13">
    <w:abstractNumId w:val="17"/>
  </w:num>
  <w:num w:numId="14">
    <w:abstractNumId w:val="2"/>
  </w:num>
  <w:num w:numId="15">
    <w:abstractNumId w:val="22"/>
  </w:num>
  <w:num w:numId="16">
    <w:abstractNumId w:val="1"/>
  </w:num>
  <w:num w:numId="17">
    <w:abstractNumId w:val="37"/>
  </w:num>
  <w:num w:numId="18">
    <w:abstractNumId w:val="10"/>
  </w:num>
  <w:num w:numId="19">
    <w:abstractNumId w:val="23"/>
  </w:num>
  <w:num w:numId="20">
    <w:abstractNumId w:val="25"/>
  </w:num>
  <w:num w:numId="21">
    <w:abstractNumId w:val="35"/>
  </w:num>
  <w:num w:numId="22">
    <w:abstractNumId w:val="29"/>
  </w:num>
  <w:num w:numId="23">
    <w:abstractNumId w:val="34"/>
  </w:num>
  <w:num w:numId="24">
    <w:abstractNumId w:val="13"/>
  </w:num>
  <w:num w:numId="25">
    <w:abstractNumId w:val="11"/>
  </w:num>
  <w:num w:numId="26">
    <w:abstractNumId w:val="26"/>
  </w:num>
  <w:num w:numId="27">
    <w:abstractNumId w:val="8"/>
  </w:num>
  <w:num w:numId="28">
    <w:abstractNumId w:val="9"/>
  </w:num>
  <w:num w:numId="29">
    <w:abstractNumId w:val="15"/>
  </w:num>
  <w:num w:numId="30">
    <w:abstractNumId w:val="32"/>
  </w:num>
  <w:num w:numId="31">
    <w:abstractNumId w:val="12"/>
  </w:num>
  <w:num w:numId="32">
    <w:abstractNumId w:val="18"/>
  </w:num>
  <w:num w:numId="33">
    <w:abstractNumId w:val="31"/>
  </w:num>
  <w:num w:numId="34">
    <w:abstractNumId w:val="41"/>
  </w:num>
  <w:num w:numId="35">
    <w:abstractNumId w:val="5"/>
  </w:num>
  <w:num w:numId="36">
    <w:abstractNumId w:val="6"/>
  </w:num>
  <w:num w:numId="37">
    <w:abstractNumId w:val="0"/>
  </w:num>
  <w:num w:numId="38">
    <w:abstractNumId w:val="16"/>
  </w:num>
  <w:num w:numId="39">
    <w:abstractNumId w:val="33"/>
  </w:num>
  <w:num w:numId="40">
    <w:abstractNumId w:val="24"/>
  </w:num>
  <w:num w:numId="41">
    <w:abstractNumId w:val="1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C6F"/>
    <w:rsid w:val="00034F40"/>
    <w:rsid w:val="00035FBF"/>
    <w:rsid w:val="000432F7"/>
    <w:rsid w:val="00044C84"/>
    <w:rsid w:val="0004674A"/>
    <w:rsid w:val="00050346"/>
    <w:rsid w:val="000537E8"/>
    <w:rsid w:val="000561FC"/>
    <w:rsid w:val="00060D57"/>
    <w:rsid w:val="000623A6"/>
    <w:rsid w:val="00063657"/>
    <w:rsid w:val="00065504"/>
    <w:rsid w:val="0006576D"/>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B03C2"/>
    <w:rsid w:val="000B20EA"/>
    <w:rsid w:val="000B27E6"/>
    <w:rsid w:val="000B48BF"/>
    <w:rsid w:val="000B4B19"/>
    <w:rsid w:val="000B52EA"/>
    <w:rsid w:val="000B6666"/>
    <w:rsid w:val="000B667A"/>
    <w:rsid w:val="000C27EB"/>
    <w:rsid w:val="000C6FE5"/>
    <w:rsid w:val="000D22D4"/>
    <w:rsid w:val="000D26F8"/>
    <w:rsid w:val="000E01B8"/>
    <w:rsid w:val="000E38F7"/>
    <w:rsid w:val="000E7872"/>
    <w:rsid w:val="000F1132"/>
    <w:rsid w:val="000F410B"/>
    <w:rsid w:val="000F5641"/>
    <w:rsid w:val="00100A80"/>
    <w:rsid w:val="00100EBA"/>
    <w:rsid w:val="00103ECB"/>
    <w:rsid w:val="00106957"/>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23BD"/>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C3E0D"/>
    <w:rsid w:val="001D033A"/>
    <w:rsid w:val="001D1F10"/>
    <w:rsid w:val="001D48AE"/>
    <w:rsid w:val="001D7832"/>
    <w:rsid w:val="001E0774"/>
    <w:rsid w:val="001E27EF"/>
    <w:rsid w:val="001E42F6"/>
    <w:rsid w:val="001E70A9"/>
    <w:rsid w:val="001F091E"/>
    <w:rsid w:val="001F4E31"/>
    <w:rsid w:val="001F501A"/>
    <w:rsid w:val="0020108D"/>
    <w:rsid w:val="00202EAD"/>
    <w:rsid w:val="00204A96"/>
    <w:rsid w:val="00206C47"/>
    <w:rsid w:val="00206FDD"/>
    <w:rsid w:val="00207B65"/>
    <w:rsid w:val="00211523"/>
    <w:rsid w:val="00211D34"/>
    <w:rsid w:val="00213F4E"/>
    <w:rsid w:val="00214F04"/>
    <w:rsid w:val="002153A7"/>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606C2"/>
    <w:rsid w:val="002606F0"/>
    <w:rsid w:val="00260CE3"/>
    <w:rsid w:val="0026190F"/>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0026"/>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690"/>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753"/>
    <w:rsid w:val="003E4875"/>
    <w:rsid w:val="003E59E7"/>
    <w:rsid w:val="003E628D"/>
    <w:rsid w:val="003E78B5"/>
    <w:rsid w:val="003F023F"/>
    <w:rsid w:val="003F3E5B"/>
    <w:rsid w:val="003F6ACE"/>
    <w:rsid w:val="00403DF5"/>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75AFC"/>
    <w:rsid w:val="00481A57"/>
    <w:rsid w:val="004822BE"/>
    <w:rsid w:val="00483A01"/>
    <w:rsid w:val="00490647"/>
    <w:rsid w:val="00491E18"/>
    <w:rsid w:val="004926FE"/>
    <w:rsid w:val="00493726"/>
    <w:rsid w:val="00495A52"/>
    <w:rsid w:val="004960E9"/>
    <w:rsid w:val="004A2E88"/>
    <w:rsid w:val="004A5305"/>
    <w:rsid w:val="004A6EE1"/>
    <w:rsid w:val="004B0C00"/>
    <w:rsid w:val="004B3C26"/>
    <w:rsid w:val="004B78C1"/>
    <w:rsid w:val="004C0BFE"/>
    <w:rsid w:val="004C19C2"/>
    <w:rsid w:val="004C650F"/>
    <w:rsid w:val="004C7BD8"/>
    <w:rsid w:val="004D19FA"/>
    <w:rsid w:val="004D1BE8"/>
    <w:rsid w:val="004D3045"/>
    <w:rsid w:val="004D7634"/>
    <w:rsid w:val="004D7892"/>
    <w:rsid w:val="004E1536"/>
    <w:rsid w:val="004E198F"/>
    <w:rsid w:val="004E33F2"/>
    <w:rsid w:val="004F3744"/>
    <w:rsid w:val="004F7D1F"/>
    <w:rsid w:val="0050015E"/>
    <w:rsid w:val="00503267"/>
    <w:rsid w:val="00503E2E"/>
    <w:rsid w:val="0051257C"/>
    <w:rsid w:val="00513865"/>
    <w:rsid w:val="00515932"/>
    <w:rsid w:val="00521349"/>
    <w:rsid w:val="005217A1"/>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12CB"/>
    <w:rsid w:val="00593C4F"/>
    <w:rsid w:val="005946A8"/>
    <w:rsid w:val="00596B5A"/>
    <w:rsid w:val="00596EEA"/>
    <w:rsid w:val="00596EFA"/>
    <w:rsid w:val="005972F1"/>
    <w:rsid w:val="005A0D57"/>
    <w:rsid w:val="005A1309"/>
    <w:rsid w:val="005A4407"/>
    <w:rsid w:val="005A59EF"/>
    <w:rsid w:val="005A6E1A"/>
    <w:rsid w:val="005B1B14"/>
    <w:rsid w:val="005B27D9"/>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D90"/>
    <w:rsid w:val="005F5F07"/>
    <w:rsid w:val="005F6F41"/>
    <w:rsid w:val="005F7184"/>
    <w:rsid w:val="00606FD6"/>
    <w:rsid w:val="00612CEA"/>
    <w:rsid w:val="00616D65"/>
    <w:rsid w:val="00616FF9"/>
    <w:rsid w:val="0062102E"/>
    <w:rsid w:val="00621590"/>
    <w:rsid w:val="006234BC"/>
    <w:rsid w:val="00625DC6"/>
    <w:rsid w:val="00630F5A"/>
    <w:rsid w:val="00631E8F"/>
    <w:rsid w:val="00640301"/>
    <w:rsid w:val="00640E4D"/>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A7148"/>
    <w:rsid w:val="006B0C04"/>
    <w:rsid w:val="006B0FE8"/>
    <w:rsid w:val="006B1C64"/>
    <w:rsid w:val="006B1C94"/>
    <w:rsid w:val="006B4647"/>
    <w:rsid w:val="006B4C2B"/>
    <w:rsid w:val="006B6D47"/>
    <w:rsid w:val="006C06D7"/>
    <w:rsid w:val="006C2624"/>
    <w:rsid w:val="006C5AFE"/>
    <w:rsid w:val="006C709E"/>
    <w:rsid w:val="006D3C10"/>
    <w:rsid w:val="006D3E42"/>
    <w:rsid w:val="006D5092"/>
    <w:rsid w:val="006D5418"/>
    <w:rsid w:val="006D6139"/>
    <w:rsid w:val="006D79D9"/>
    <w:rsid w:val="006E0125"/>
    <w:rsid w:val="006E6198"/>
    <w:rsid w:val="006E73A5"/>
    <w:rsid w:val="006F02B8"/>
    <w:rsid w:val="006F193C"/>
    <w:rsid w:val="006F1D41"/>
    <w:rsid w:val="006F3BDC"/>
    <w:rsid w:val="006F4848"/>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55F52"/>
    <w:rsid w:val="0076247A"/>
    <w:rsid w:val="0076483A"/>
    <w:rsid w:val="00766560"/>
    <w:rsid w:val="00767CCD"/>
    <w:rsid w:val="007715F0"/>
    <w:rsid w:val="00772807"/>
    <w:rsid w:val="00772DA8"/>
    <w:rsid w:val="00773C92"/>
    <w:rsid w:val="00773FFC"/>
    <w:rsid w:val="00774DDE"/>
    <w:rsid w:val="00775891"/>
    <w:rsid w:val="00775964"/>
    <w:rsid w:val="007765FE"/>
    <w:rsid w:val="00780FAA"/>
    <w:rsid w:val="00786AC9"/>
    <w:rsid w:val="0078760A"/>
    <w:rsid w:val="00787FE6"/>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37ADE"/>
    <w:rsid w:val="0084707F"/>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2512"/>
    <w:rsid w:val="008B413B"/>
    <w:rsid w:val="008C1130"/>
    <w:rsid w:val="008D0995"/>
    <w:rsid w:val="008D18E6"/>
    <w:rsid w:val="008D191F"/>
    <w:rsid w:val="008D2C00"/>
    <w:rsid w:val="008D464B"/>
    <w:rsid w:val="008D675E"/>
    <w:rsid w:val="008D7A9B"/>
    <w:rsid w:val="008E02E1"/>
    <w:rsid w:val="008E2BF5"/>
    <w:rsid w:val="008E423A"/>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6888"/>
    <w:rsid w:val="009368FF"/>
    <w:rsid w:val="00937565"/>
    <w:rsid w:val="009410CB"/>
    <w:rsid w:val="009438AD"/>
    <w:rsid w:val="00945A3C"/>
    <w:rsid w:val="00950E0A"/>
    <w:rsid w:val="00951F79"/>
    <w:rsid w:val="00952ADF"/>
    <w:rsid w:val="00952F4A"/>
    <w:rsid w:val="009530B4"/>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2F6"/>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0D97"/>
    <w:rsid w:val="00A5373F"/>
    <w:rsid w:val="00A54052"/>
    <w:rsid w:val="00A631A3"/>
    <w:rsid w:val="00A654DC"/>
    <w:rsid w:val="00A658C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17C"/>
    <w:rsid w:val="00B05626"/>
    <w:rsid w:val="00B05914"/>
    <w:rsid w:val="00B10207"/>
    <w:rsid w:val="00B13E74"/>
    <w:rsid w:val="00B141E7"/>
    <w:rsid w:val="00B23A09"/>
    <w:rsid w:val="00B309B2"/>
    <w:rsid w:val="00B31959"/>
    <w:rsid w:val="00B351B4"/>
    <w:rsid w:val="00B36712"/>
    <w:rsid w:val="00B36FE8"/>
    <w:rsid w:val="00B46BCA"/>
    <w:rsid w:val="00B4775D"/>
    <w:rsid w:val="00B526A3"/>
    <w:rsid w:val="00B54F3C"/>
    <w:rsid w:val="00B55F26"/>
    <w:rsid w:val="00B563ED"/>
    <w:rsid w:val="00B60A3F"/>
    <w:rsid w:val="00B60A77"/>
    <w:rsid w:val="00B63B12"/>
    <w:rsid w:val="00B649E7"/>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07509"/>
    <w:rsid w:val="00C11DE1"/>
    <w:rsid w:val="00C122C4"/>
    <w:rsid w:val="00C15604"/>
    <w:rsid w:val="00C15CDD"/>
    <w:rsid w:val="00C17897"/>
    <w:rsid w:val="00C17DB0"/>
    <w:rsid w:val="00C20BF7"/>
    <w:rsid w:val="00C22517"/>
    <w:rsid w:val="00C225E7"/>
    <w:rsid w:val="00C2670B"/>
    <w:rsid w:val="00C322F9"/>
    <w:rsid w:val="00C3365D"/>
    <w:rsid w:val="00C350E9"/>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EEF"/>
    <w:rsid w:val="00CE21E3"/>
    <w:rsid w:val="00CE7163"/>
    <w:rsid w:val="00CF21B9"/>
    <w:rsid w:val="00CF2F8C"/>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104B"/>
    <w:rsid w:val="00D42A15"/>
    <w:rsid w:val="00D460EB"/>
    <w:rsid w:val="00D46412"/>
    <w:rsid w:val="00D464BF"/>
    <w:rsid w:val="00D47AB0"/>
    <w:rsid w:val="00D53E26"/>
    <w:rsid w:val="00D549B1"/>
    <w:rsid w:val="00D55EE8"/>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633B"/>
    <w:rsid w:val="00DB7AC1"/>
    <w:rsid w:val="00DC2818"/>
    <w:rsid w:val="00DC2D17"/>
    <w:rsid w:val="00DC3340"/>
    <w:rsid w:val="00DD3235"/>
    <w:rsid w:val="00DD3CE8"/>
    <w:rsid w:val="00DD4F0E"/>
    <w:rsid w:val="00DE4017"/>
    <w:rsid w:val="00DF070D"/>
    <w:rsid w:val="00DF0BF0"/>
    <w:rsid w:val="00DF465D"/>
    <w:rsid w:val="00DF4E15"/>
    <w:rsid w:val="00DF4F58"/>
    <w:rsid w:val="00DF682F"/>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241A2"/>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5CED"/>
    <w:rsid w:val="00E877F1"/>
    <w:rsid w:val="00E958BA"/>
    <w:rsid w:val="00EA1547"/>
    <w:rsid w:val="00EA20EE"/>
    <w:rsid w:val="00EA3F15"/>
    <w:rsid w:val="00EA7847"/>
    <w:rsid w:val="00EB0754"/>
    <w:rsid w:val="00EB1916"/>
    <w:rsid w:val="00EB2614"/>
    <w:rsid w:val="00EB3344"/>
    <w:rsid w:val="00EB4BA1"/>
    <w:rsid w:val="00EB54E4"/>
    <w:rsid w:val="00EB629F"/>
    <w:rsid w:val="00EC28B2"/>
    <w:rsid w:val="00EC3BB2"/>
    <w:rsid w:val="00ED028D"/>
    <w:rsid w:val="00ED048C"/>
    <w:rsid w:val="00ED1F55"/>
    <w:rsid w:val="00ED5722"/>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0714"/>
    <w:rsid w:val="00F630ED"/>
    <w:rsid w:val="00F75127"/>
    <w:rsid w:val="00F75280"/>
    <w:rsid w:val="00F821A3"/>
    <w:rsid w:val="00F9314A"/>
    <w:rsid w:val="00F95C9F"/>
    <w:rsid w:val="00FA0494"/>
    <w:rsid w:val="00FA049B"/>
    <w:rsid w:val="00FA717D"/>
    <w:rsid w:val="00FA79AB"/>
    <w:rsid w:val="00FA7CDB"/>
    <w:rsid w:val="00FB5E09"/>
    <w:rsid w:val="00FB6E4D"/>
    <w:rsid w:val="00FB7288"/>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1BD4A81-0787-4EEC-89EF-0083EB4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84DF-5810-4DA3-BD80-CCE4308F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26</Pages>
  <Words>11257</Words>
  <Characters>58915</Characters>
  <Application>Microsoft Office Word</Application>
  <DocSecurity>0</DocSecurity>
  <Lines>490</Lines>
  <Paragraphs>140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2016-12-07T16:30:00Z</dcterms:created>
  <dcterms:modified xsi:type="dcterms:W3CDTF">2016-12-07T16:30:00Z</dcterms:modified>
</cp:coreProperties>
</file>