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B494" w14:textId="77777777" w:rsidR="00625DC6" w:rsidRPr="000D6799" w:rsidRDefault="003F1F42" w:rsidP="00DF5D3C">
      <w:pPr>
        <w:widowControl w:val="0"/>
        <w:jc w:val="center"/>
        <w:rPr>
          <w:color w:val="000000" w:themeColor="text1"/>
          <w:lang w:val="es-CO"/>
        </w:rPr>
      </w:pPr>
      <w:r>
        <w:rPr>
          <w:noProof/>
          <w:color w:val="000000" w:themeColor="text1"/>
          <w:lang w:val="es-CO"/>
        </w:rPr>
        <w:object w:dxaOrig="1440" w:dyaOrig="1440" w14:anchorId="2F48B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75pt;margin-top:-49.1pt;width:52.5pt;height:48.75pt;z-index:251658240" fillcolor="#0c9">
            <v:imagedata r:id="rId11" o:title=""/>
          </v:shape>
          <o:OLEObject Type="Embed" ProgID="PBrush" ShapeID="_x0000_s2050" DrawAspect="Content" ObjectID="_1720353094" r:id="rId12"/>
        </w:object>
      </w:r>
    </w:p>
    <w:p w14:paraId="30745BDE" w14:textId="77777777" w:rsidR="00CA77FB" w:rsidRPr="00F53121" w:rsidRDefault="000E651D" w:rsidP="00DF5D3C">
      <w:pPr>
        <w:widowControl w:val="0"/>
        <w:jc w:val="center"/>
        <w:rPr>
          <w:b/>
          <w:noProof/>
          <w:color w:val="000000" w:themeColor="text1"/>
          <w:spacing w:val="20"/>
          <w:lang w:val="es-CO"/>
        </w:rPr>
      </w:pPr>
      <w:r w:rsidRPr="00F53121">
        <w:rPr>
          <w:bCs/>
          <w:color w:val="000000" w:themeColor="text1"/>
          <w:spacing w:val="20"/>
          <w:lang w:val="es-CO"/>
        </w:rPr>
        <w:t>Ministerio de Minas y Energía</w:t>
      </w:r>
    </w:p>
    <w:p w14:paraId="7AF51DE6" w14:textId="77777777" w:rsidR="00CA77FB" w:rsidRPr="00F53121" w:rsidRDefault="00CA77FB" w:rsidP="00DF5D3C">
      <w:pPr>
        <w:widowControl w:val="0"/>
        <w:jc w:val="center"/>
        <w:rPr>
          <w:color w:val="000000" w:themeColor="text1"/>
          <w:lang w:val="es-CO"/>
        </w:rPr>
      </w:pPr>
    </w:p>
    <w:p w14:paraId="288900FC" w14:textId="77777777" w:rsidR="00CA77FB" w:rsidRPr="00F53121" w:rsidRDefault="00CA77FB" w:rsidP="00DF5D3C">
      <w:pPr>
        <w:widowControl w:val="0"/>
        <w:jc w:val="center"/>
        <w:rPr>
          <w:b/>
          <w:bCs/>
          <w:color w:val="000000" w:themeColor="text1"/>
          <w:spacing w:val="20"/>
          <w:lang w:val="es-CO"/>
        </w:rPr>
      </w:pPr>
      <w:r w:rsidRPr="00F53121">
        <w:rPr>
          <w:b/>
          <w:bCs/>
          <w:color w:val="000000" w:themeColor="text1"/>
          <w:spacing w:val="20"/>
          <w:lang w:val="es-CO"/>
        </w:rPr>
        <w:t>COMISIÓN DE REGULACIÓN DE ENERGÍA Y GAS</w:t>
      </w:r>
    </w:p>
    <w:p w14:paraId="2AF783E9" w14:textId="77777777" w:rsidR="00CA77FB" w:rsidRPr="00F53121" w:rsidRDefault="00CA77FB" w:rsidP="00DF5D3C">
      <w:pPr>
        <w:widowControl w:val="0"/>
        <w:jc w:val="center"/>
        <w:rPr>
          <w:color w:val="000000" w:themeColor="text1"/>
          <w:lang w:val="es-CO"/>
        </w:rPr>
      </w:pPr>
    </w:p>
    <w:p w14:paraId="47C993C7" w14:textId="61199E05" w:rsidR="00CA77FB" w:rsidRPr="00F53121" w:rsidRDefault="00CA77FB" w:rsidP="00DF5D3C">
      <w:pPr>
        <w:widowControl w:val="0"/>
        <w:jc w:val="center"/>
        <w:rPr>
          <w:b/>
          <w:color w:val="000000" w:themeColor="text1"/>
          <w:spacing w:val="20"/>
          <w:lang w:val="es-CO"/>
        </w:rPr>
      </w:pPr>
      <w:r w:rsidRPr="00F53121">
        <w:rPr>
          <w:b/>
          <w:color w:val="000000" w:themeColor="text1"/>
          <w:spacing w:val="20"/>
          <w:lang w:val="es-CO"/>
        </w:rPr>
        <w:t>RESOLUCIÓN No.</w:t>
      </w:r>
      <w:r w:rsidR="009650A6" w:rsidRPr="00A02297">
        <w:rPr>
          <w:b/>
          <w:color w:val="000000" w:themeColor="text1"/>
          <w:spacing w:val="20"/>
          <w:sz w:val="32"/>
          <w:szCs w:val="32"/>
          <w:lang w:val="es-CO"/>
        </w:rPr>
        <w:t>502</w:t>
      </w:r>
      <w:r w:rsidR="00436D82" w:rsidRPr="00A02297">
        <w:rPr>
          <w:b/>
          <w:color w:val="000000" w:themeColor="text1"/>
          <w:spacing w:val="20"/>
          <w:sz w:val="32"/>
          <w:szCs w:val="32"/>
          <w:lang w:val="es-CO"/>
        </w:rPr>
        <w:t xml:space="preserve"> </w:t>
      </w:r>
      <w:r w:rsidR="00A02297" w:rsidRPr="00A02297">
        <w:rPr>
          <w:b/>
          <w:color w:val="000000" w:themeColor="text1"/>
          <w:spacing w:val="20"/>
          <w:sz w:val="32"/>
          <w:szCs w:val="32"/>
          <w:lang w:val="es-CO"/>
        </w:rPr>
        <w:t>023</w:t>
      </w:r>
      <w:r w:rsidR="00A02297" w:rsidRPr="00F53121">
        <w:rPr>
          <w:b/>
          <w:color w:val="000000" w:themeColor="text1"/>
          <w:spacing w:val="20"/>
          <w:lang w:val="es-CO"/>
        </w:rPr>
        <w:t xml:space="preserve"> </w:t>
      </w:r>
      <w:r w:rsidRPr="00F53121">
        <w:rPr>
          <w:b/>
          <w:color w:val="000000" w:themeColor="text1"/>
          <w:spacing w:val="20"/>
          <w:lang w:val="es-CO"/>
        </w:rPr>
        <w:t>DE 20</w:t>
      </w:r>
      <w:r w:rsidR="0084739C">
        <w:rPr>
          <w:b/>
          <w:color w:val="000000" w:themeColor="text1"/>
          <w:spacing w:val="20"/>
          <w:lang w:val="es-CO"/>
        </w:rPr>
        <w:t>22</w:t>
      </w:r>
    </w:p>
    <w:p w14:paraId="2D1377F0" w14:textId="77777777" w:rsidR="00704D95" w:rsidRPr="00F53121" w:rsidRDefault="00704D95" w:rsidP="00DF5D3C">
      <w:pPr>
        <w:widowControl w:val="0"/>
        <w:tabs>
          <w:tab w:val="left" w:pos="0"/>
          <w:tab w:val="right" w:pos="9356"/>
        </w:tabs>
        <w:jc w:val="center"/>
        <w:rPr>
          <w:rFonts w:cs="Arial"/>
          <w:b/>
          <w:snapToGrid w:val="0"/>
          <w:color w:val="000000" w:themeColor="text1"/>
          <w:lang w:val="es-CO"/>
        </w:rPr>
      </w:pPr>
    </w:p>
    <w:p w14:paraId="5EECEB5B" w14:textId="6EACF602" w:rsidR="00CA77FB" w:rsidRPr="00F53121" w:rsidRDefault="00CA77FB" w:rsidP="00DF5D3C">
      <w:pPr>
        <w:widowControl w:val="0"/>
        <w:jc w:val="center"/>
        <w:rPr>
          <w:color w:val="000000" w:themeColor="text1"/>
          <w:lang w:val="es-CO"/>
        </w:rPr>
      </w:pPr>
      <w:r w:rsidRPr="00F53121">
        <w:rPr>
          <w:color w:val="000000" w:themeColor="text1"/>
          <w:lang w:val="es-CO"/>
        </w:rPr>
        <w:t>(</w:t>
      </w:r>
      <w:r w:rsidR="00A02297">
        <w:rPr>
          <w:color w:val="000000" w:themeColor="text1"/>
          <w:lang w:val="es-CO"/>
        </w:rPr>
        <w:t xml:space="preserve"> </w:t>
      </w:r>
      <w:r w:rsidR="00663D24">
        <w:rPr>
          <w:b/>
          <w:bCs/>
          <w:color w:val="000000" w:themeColor="text1"/>
          <w:sz w:val="32"/>
          <w:szCs w:val="32"/>
          <w:lang w:val="es-CO"/>
        </w:rPr>
        <w:t>01</w:t>
      </w:r>
      <w:r w:rsidR="00436D82" w:rsidRPr="00A02297">
        <w:rPr>
          <w:b/>
          <w:bCs/>
          <w:color w:val="000000" w:themeColor="text1"/>
          <w:sz w:val="32"/>
          <w:szCs w:val="32"/>
          <w:lang w:val="es-CO"/>
        </w:rPr>
        <w:t xml:space="preserve"> JU</w:t>
      </w:r>
      <w:r w:rsidR="00663D24">
        <w:rPr>
          <w:b/>
          <w:bCs/>
          <w:color w:val="000000" w:themeColor="text1"/>
          <w:sz w:val="32"/>
          <w:szCs w:val="32"/>
          <w:lang w:val="es-CO"/>
        </w:rPr>
        <w:t>L</w:t>
      </w:r>
      <w:r w:rsidR="00436D82" w:rsidRPr="00A02297">
        <w:rPr>
          <w:b/>
          <w:bCs/>
          <w:color w:val="000000" w:themeColor="text1"/>
          <w:sz w:val="32"/>
          <w:szCs w:val="32"/>
          <w:lang w:val="es-CO"/>
        </w:rPr>
        <w:t>. 2022</w:t>
      </w:r>
      <w:r w:rsidRPr="00F53121">
        <w:rPr>
          <w:color w:val="000000" w:themeColor="text1"/>
          <w:lang w:val="es-CO"/>
        </w:rPr>
        <w:t>)</w:t>
      </w:r>
    </w:p>
    <w:p w14:paraId="420DF29A" w14:textId="77777777" w:rsidR="008D1F7F" w:rsidRPr="00F53121" w:rsidRDefault="008D1F7F" w:rsidP="00DF5D3C">
      <w:pPr>
        <w:pStyle w:val="Textoindependiente2"/>
        <w:widowControl w:val="0"/>
        <w:spacing w:after="0" w:line="240" w:lineRule="auto"/>
        <w:jc w:val="center"/>
        <w:rPr>
          <w:color w:val="000000" w:themeColor="text1"/>
          <w:lang w:val="es-CO"/>
        </w:rPr>
      </w:pPr>
    </w:p>
    <w:p w14:paraId="2C20D10B" w14:textId="77777777" w:rsidR="00CF5B41" w:rsidRDefault="00CF5B41" w:rsidP="00DF5D3C">
      <w:pPr>
        <w:pStyle w:val="Textoindependiente2"/>
        <w:widowControl w:val="0"/>
        <w:spacing w:after="0" w:line="240" w:lineRule="auto"/>
        <w:jc w:val="center"/>
        <w:rPr>
          <w:color w:val="000000" w:themeColor="text1"/>
          <w:lang w:val="es-CO"/>
        </w:rPr>
      </w:pPr>
    </w:p>
    <w:p w14:paraId="62232487" w14:textId="77777777" w:rsidR="0080129A" w:rsidRPr="00D3436F" w:rsidRDefault="00D3436F" w:rsidP="00D3436F">
      <w:pPr>
        <w:pStyle w:val="Textoindependiente2"/>
        <w:widowControl w:val="0"/>
        <w:spacing w:after="0" w:line="240" w:lineRule="auto"/>
        <w:jc w:val="center"/>
        <w:rPr>
          <w:color w:val="000000" w:themeColor="text1"/>
          <w:lang w:val="es-CO"/>
        </w:rPr>
      </w:pPr>
      <w:r w:rsidRPr="00D3436F">
        <w:rPr>
          <w:color w:val="000000" w:themeColor="text1"/>
          <w:lang w:val="es-CO"/>
        </w:rPr>
        <w:t xml:space="preserve">Por la cual se </w:t>
      </w:r>
      <w:r>
        <w:rPr>
          <w:color w:val="000000" w:themeColor="text1"/>
          <w:lang w:val="es-CO"/>
        </w:rPr>
        <w:t>ajustan</w:t>
      </w:r>
      <w:r w:rsidRPr="00D3436F">
        <w:rPr>
          <w:color w:val="000000" w:themeColor="text1"/>
          <w:lang w:val="es-CO"/>
        </w:rPr>
        <w:t xml:space="preserve"> los cargos regulados para el gasoducto Barrancabermeja – Payoa – Bucaramanga del sistema de transporte de </w:t>
      </w:r>
      <w:r>
        <w:rPr>
          <w:color w:val="000000" w:themeColor="text1"/>
          <w:lang w:val="es-CO"/>
        </w:rPr>
        <w:t>Promioriente</w:t>
      </w:r>
      <w:r w:rsidRPr="00D3436F">
        <w:rPr>
          <w:color w:val="000000" w:themeColor="text1"/>
          <w:lang w:val="es-CO"/>
        </w:rPr>
        <w:t xml:space="preserve"> S.A. E.S.P.</w:t>
      </w:r>
    </w:p>
    <w:p w14:paraId="793D4847" w14:textId="77777777" w:rsidR="00910F6E" w:rsidRPr="00F53121" w:rsidRDefault="00910F6E" w:rsidP="00DF5D3C">
      <w:pPr>
        <w:widowControl w:val="0"/>
        <w:jc w:val="center"/>
        <w:rPr>
          <w:rFonts w:cs="Arial"/>
          <w:color w:val="000000" w:themeColor="text1"/>
          <w:lang w:val="es-CO"/>
        </w:rPr>
      </w:pPr>
    </w:p>
    <w:p w14:paraId="3F0AB897" w14:textId="77777777" w:rsidR="0080129A" w:rsidRPr="00F53121" w:rsidRDefault="0080129A" w:rsidP="00DF5D3C">
      <w:pPr>
        <w:widowControl w:val="0"/>
        <w:jc w:val="center"/>
        <w:rPr>
          <w:b/>
          <w:color w:val="000000" w:themeColor="text1"/>
          <w:lang w:val="es-CO"/>
        </w:rPr>
      </w:pPr>
      <w:r w:rsidRPr="00F53121">
        <w:rPr>
          <w:b/>
          <w:color w:val="000000" w:themeColor="text1"/>
          <w:lang w:val="es-CO"/>
        </w:rPr>
        <w:t>LA COMISIÓN DE REGULACIÓN DE ENERGÍA Y GAS</w:t>
      </w:r>
    </w:p>
    <w:p w14:paraId="195848CF" w14:textId="77777777" w:rsidR="0080129A" w:rsidRPr="00F53121" w:rsidRDefault="0080129A" w:rsidP="00DF5D3C">
      <w:pPr>
        <w:widowControl w:val="0"/>
        <w:tabs>
          <w:tab w:val="left" w:pos="8640"/>
        </w:tabs>
        <w:rPr>
          <w:rFonts w:cs="Arial"/>
          <w:bCs/>
          <w:color w:val="000000" w:themeColor="text1"/>
          <w:lang w:val="es-CO"/>
        </w:rPr>
      </w:pPr>
    </w:p>
    <w:p w14:paraId="6AEDD968" w14:textId="77777777" w:rsidR="0080129A" w:rsidRPr="00F53121" w:rsidRDefault="0080129A" w:rsidP="00DF5D3C">
      <w:pPr>
        <w:widowControl w:val="0"/>
        <w:tabs>
          <w:tab w:val="left" w:pos="8640"/>
        </w:tabs>
        <w:rPr>
          <w:rFonts w:cs="Arial"/>
          <w:bCs/>
          <w:color w:val="000000" w:themeColor="text1"/>
          <w:lang w:val="es-CO"/>
        </w:rPr>
      </w:pPr>
    </w:p>
    <w:p w14:paraId="41BA4B10" w14:textId="77777777" w:rsidR="0080129A" w:rsidRPr="00F53121" w:rsidRDefault="0080129A" w:rsidP="00DF5D3C">
      <w:pPr>
        <w:pStyle w:val="Textoindependiente2"/>
        <w:widowControl w:val="0"/>
        <w:spacing w:after="0" w:line="240" w:lineRule="auto"/>
        <w:jc w:val="center"/>
        <w:rPr>
          <w:bCs/>
          <w:color w:val="000000" w:themeColor="text1"/>
          <w:lang w:val="es-CO"/>
        </w:rPr>
      </w:pPr>
      <w:r w:rsidRPr="00F53121">
        <w:rPr>
          <w:bCs/>
          <w:color w:val="000000" w:themeColor="text1"/>
          <w:lang w:val="es-CO"/>
        </w:rPr>
        <w:t>En ejercicio de sus atribuciones legales, en especial de las conferidas por la Ley 142 de 1994, y en desarrollo de</w:t>
      </w:r>
      <w:r w:rsidR="009D0714">
        <w:rPr>
          <w:bCs/>
          <w:color w:val="000000" w:themeColor="text1"/>
          <w:lang w:val="es-CO"/>
        </w:rPr>
        <w:t xml:space="preserve"> </w:t>
      </w:r>
      <w:r w:rsidRPr="00F53121">
        <w:rPr>
          <w:bCs/>
          <w:color w:val="000000" w:themeColor="text1"/>
          <w:lang w:val="es-CO"/>
        </w:rPr>
        <w:t>l</w:t>
      </w:r>
      <w:r w:rsidR="009D0714">
        <w:rPr>
          <w:bCs/>
          <w:color w:val="000000" w:themeColor="text1"/>
          <w:lang w:val="es-CO"/>
        </w:rPr>
        <w:t>os</w:t>
      </w:r>
      <w:r w:rsidRPr="00F53121">
        <w:rPr>
          <w:bCs/>
          <w:color w:val="000000" w:themeColor="text1"/>
          <w:lang w:val="es-CO"/>
        </w:rPr>
        <w:t xml:space="preserve"> Decreto</w:t>
      </w:r>
      <w:r w:rsidR="009D0714">
        <w:rPr>
          <w:bCs/>
          <w:color w:val="000000" w:themeColor="text1"/>
          <w:lang w:val="es-CO"/>
        </w:rPr>
        <w:t>s 2253 de 1994, 1260 de 2013, y</w:t>
      </w:r>
    </w:p>
    <w:p w14:paraId="22DE8E63" w14:textId="77777777" w:rsidR="00C35DB6" w:rsidRPr="00F53121" w:rsidRDefault="00C35DB6" w:rsidP="00DF5D3C">
      <w:pPr>
        <w:pStyle w:val="Ttulo6"/>
        <w:widowControl w:val="0"/>
        <w:numPr>
          <w:ilvl w:val="0"/>
          <w:numId w:val="0"/>
        </w:numPr>
        <w:spacing w:before="0" w:after="0"/>
        <w:jc w:val="center"/>
        <w:rPr>
          <w:rFonts w:ascii="Bookman Old Style" w:hAnsi="Bookman Old Style"/>
          <w:color w:val="000000" w:themeColor="text1"/>
          <w:spacing w:val="60"/>
          <w:sz w:val="24"/>
          <w:szCs w:val="24"/>
          <w:lang w:val="es-CO"/>
        </w:rPr>
      </w:pPr>
    </w:p>
    <w:p w14:paraId="4F09432E" w14:textId="77777777" w:rsidR="00FA16D0" w:rsidRPr="00F53121" w:rsidRDefault="00FA16D0" w:rsidP="00DF5D3C">
      <w:pPr>
        <w:widowControl w:val="0"/>
        <w:rPr>
          <w:color w:val="000000" w:themeColor="text1"/>
          <w:lang w:val="es-CO"/>
        </w:rPr>
      </w:pPr>
    </w:p>
    <w:p w14:paraId="31632609" w14:textId="77777777" w:rsidR="0080129A" w:rsidRPr="00F53121" w:rsidRDefault="0080129A" w:rsidP="00DF5D3C">
      <w:pPr>
        <w:pStyle w:val="Ttulo6"/>
        <w:widowControl w:val="0"/>
        <w:numPr>
          <w:ilvl w:val="0"/>
          <w:numId w:val="0"/>
        </w:numPr>
        <w:spacing w:before="0" w:after="0"/>
        <w:jc w:val="center"/>
        <w:rPr>
          <w:rFonts w:ascii="Bookman Old Style" w:hAnsi="Bookman Old Style"/>
          <w:color w:val="000000" w:themeColor="text1"/>
          <w:spacing w:val="60"/>
          <w:sz w:val="24"/>
          <w:szCs w:val="24"/>
          <w:lang w:val="es-CO"/>
        </w:rPr>
      </w:pPr>
      <w:r w:rsidRPr="00F53121">
        <w:rPr>
          <w:rFonts w:ascii="Bookman Old Style" w:hAnsi="Bookman Old Style"/>
          <w:color w:val="000000" w:themeColor="text1"/>
          <w:spacing w:val="60"/>
          <w:sz w:val="24"/>
          <w:szCs w:val="24"/>
          <w:lang w:val="es-CO"/>
        </w:rPr>
        <w:t>CONSIDERANDO QUE:</w:t>
      </w:r>
    </w:p>
    <w:p w14:paraId="43B6F771" w14:textId="77777777" w:rsidR="00AA32AF" w:rsidRPr="00F53121" w:rsidRDefault="00AA32AF" w:rsidP="009D0714">
      <w:pPr>
        <w:pStyle w:val="Prrafodelista"/>
        <w:widowControl w:val="0"/>
        <w:numPr>
          <w:ilvl w:val="0"/>
          <w:numId w:val="0"/>
        </w:numPr>
        <w:rPr>
          <w:b/>
          <w:color w:val="000000" w:themeColor="text1"/>
          <w:sz w:val="24"/>
          <w:szCs w:val="24"/>
        </w:rPr>
      </w:pPr>
    </w:p>
    <w:p w14:paraId="5D3F9186" w14:textId="77777777" w:rsidR="00F13945" w:rsidRPr="00357A92" w:rsidRDefault="00F13945" w:rsidP="00DF5D3C">
      <w:pPr>
        <w:widowControl w:val="0"/>
      </w:pPr>
    </w:p>
    <w:p w14:paraId="6ABEBBF6" w14:textId="77777777" w:rsidR="00A90CFB" w:rsidRPr="00F53121" w:rsidRDefault="00A90CFB" w:rsidP="00DF5D3C">
      <w:pPr>
        <w:widowControl w:val="0"/>
        <w:rPr>
          <w:iCs/>
          <w:color w:val="000000" w:themeColor="text1"/>
          <w:lang w:val="es-CO"/>
        </w:rPr>
      </w:pPr>
      <w:r w:rsidRPr="00357A92">
        <w:t>De conformidad con lo establecido en el numeral 14.28 del artículo 14 de la Ley 142 de</w:t>
      </w:r>
      <w:r w:rsidRPr="00F53121">
        <w:rPr>
          <w:color w:val="000000" w:themeColor="text1"/>
          <w:lang w:val="es-CO"/>
        </w:rPr>
        <w:t xml:space="preserve"> 1994</w:t>
      </w:r>
      <w:r w:rsidR="00DF5D3C">
        <w:rPr>
          <w:color w:val="000000" w:themeColor="text1"/>
          <w:lang w:val="es-CO"/>
        </w:rPr>
        <w:t>,</w:t>
      </w:r>
      <w:r w:rsidRPr="00F53121">
        <w:rPr>
          <w:color w:val="000000" w:themeColor="text1"/>
          <w:lang w:val="es-CO"/>
        </w:rPr>
        <w:t xml:space="preserve"> el servicio público domiciliario de gas combustible </w:t>
      </w:r>
      <w:r w:rsidRPr="00F53121">
        <w:rPr>
          <w:i/>
          <w:color w:val="000000" w:themeColor="text1"/>
          <w:lang w:val="es-CO"/>
        </w:rPr>
        <w:t>“</w:t>
      </w:r>
      <w:r w:rsidRPr="00F53121">
        <w:rPr>
          <w:i/>
          <w:iCs/>
          <w:color w:val="000000" w:themeColor="text1"/>
          <w:lang w:val="es-CO"/>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00F53121">
        <w:rPr>
          <w:iCs/>
          <w:color w:val="000000" w:themeColor="text1"/>
          <w:lang w:val="es-CO"/>
        </w:rPr>
        <w:t>.</w:t>
      </w:r>
    </w:p>
    <w:p w14:paraId="323DB6FE" w14:textId="77777777" w:rsidR="00A90CFB" w:rsidRPr="00357A92" w:rsidRDefault="00A90CFB" w:rsidP="00DF5D3C">
      <w:pPr>
        <w:widowControl w:val="0"/>
      </w:pPr>
    </w:p>
    <w:p w14:paraId="04A1F3F6" w14:textId="77777777" w:rsidR="004254FE" w:rsidRPr="00357A92" w:rsidRDefault="004254FE" w:rsidP="00DF5D3C">
      <w:r w:rsidRPr="00357A92">
        <w:t>Según lo dispuesto por el artículo 28 de la Ley 142 de 1994, la construcción y operación de redes para el transporte de gas, así como el señalamiento de las tarifas por su uso, se regirán exclusivamente por dicha Ley.</w:t>
      </w:r>
    </w:p>
    <w:p w14:paraId="5418D4FF" w14:textId="77777777" w:rsidR="004254FE" w:rsidRPr="00357A92" w:rsidRDefault="004254FE" w:rsidP="00DF5D3C"/>
    <w:p w14:paraId="57B0100E" w14:textId="77777777" w:rsidR="004254FE" w:rsidRPr="00357A92" w:rsidRDefault="004254FE" w:rsidP="00DF5D3C">
      <w:r w:rsidRPr="00357A92">
        <w:t>El numeral 73.11 del artículo 73 de la Ley 142 de 1994 atribuyó a la Comisión de Regulación de Energía y Gas</w:t>
      </w:r>
      <w:r w:rsidR="003926B8" w:rsidRPr="00357A92">
        <w:t>, CREG,</w:t>
      </w:r>
      <w:r w:rsidRPr="00357A92">
        <w:t xml:space="preserve"> la competencia para establecer las fórmulas para la fijación de las tarifas del servicio público domiciliario de gas combustible.</w:t>
      </w:r>
    </w:p>
    <w:p w14:paraId="1864C5A0" w14:textId="77777777" w:rsidR="003D2F5A" w:rsidRPr="00357A92" w:rsidRDefault="003D2F5A" w:rsidP="00DF5D3C">
      <w:pPr>
        <w:widowControl w:val="0"/>
      </w:pPr>
    </w:p>
    <w:p w14:paraId="0072747A" w14:textId="08B5160D" w:rsidR="00D8581E" w:rsidRDefault="004254FE" w:rsidP="009D0714">
      <w:r w:rsidRPr="00357A92">
        <w:t>Mediante la Resolución</w:t>
      </w:r>
      <w:r w:rsidR="002314CA">
        <w:t xml:space="preserve"> CREG</w:t>
      </w:r>
      <w:r w:rsidRPr="00357A92">
        <w:t xml:space="preserve"> 126 de 2010</w:t>
      </w:r>
      <w:r w:rsidR="0074619C">
        <w:t>,</w:t>
      </w:r>
      <w:r w:rsidRPr="00357A92">
        <w:t xml:space="preserve"> la </w:t>
      </w:r>
      <w:r w:rsidR="001F5A9E" w:rsidRPr="00357A92">
        <w:t>CREG</w:t>
      </w:r>
      <w:r w:rsidRPr="00357A92">
        <w:t xml:space="preserve"> estableció los criterios generales para la remuneración del servicio de transporte de gas natural y el esquema de cargos del </w:t>
      </w:r>
      <w:r w:rsidR="003926B8" w:rsidRPr="00357A92">
        <w:t>s</w:t>
      </w:r>
      <w:r w:rsidRPr="00357A92">
        <w:t xml:space="preserve">istema </w:t>
      </w:r>
      <w:r w:rsidR="003926B8" w:rsidRPr="00357A92">
        <w:t>n</w:t>
      </w:r>
      <w:r w:rsidRPr="00357A92">
        <w:t xml:space="preserve">acional de </w:t>
      </w:r>
      <w:r w:rsidR="003926B8" w:rsidRPr="00357A92">
        <w:t>t</w:t>
      </w:r>
      <w:r w:rsidRPr="00357A92">
        <w:t>ransporte, y dictó otras disposiciones en materia de transporte de gas natural.</w:t>
      </w:r>
    </w:p>
    <w:p w14:paraId="11C63F7B" w14:textId="05B78324" w:rsidR="00D8581E" w:rsidRDefault="00D8581E" w:rsidP="009D0714"/>
    <w:p w14:paraId="0D755905" w14:textId="489EBA6B" w:rsidR="007A5093" w:rsidRDefault="00F30E01" w:rsidP="00F24AE9">
      <w:r>
        <w:t xml:space="preserve">Los cargos vigentes </w:t>
      </w:r>
      <w:r w:rsidR="00AA73AD">
        <w:t xml:space="preserve">del gasoducto Barrancabermeja – Payoa </w:t>
      </w:r>
      <w:r w:rsidR="00F92213">
        <w:t>–</w:t>
      </w:r>
      <w:r w:rsidR="00AA73AD">
        <w:t xml:space="preserve"> </w:t>
      </w:r>
      <w:r w:rsidR="00F92213">
        <w:t xml:space="preserve">Bucaramanga están en la Resolución CREG 111 de 2011, la cual ha sido modificada por </w:t>
      </w:r>
      <w:r w:rsidR="004A27BE">
        <w:t>la Resolución CREG 062 de 201</w:t>
      </w:r>
      <w:r w:rsidR="00737D2E">
        <w:t>5</w:t>
      </w:r>
      <w:r w:rsidR="004A27BE">
        <w:t xml:space="preserve"> y 086 de 2016.</w:t>
      </w:r>
    </w:p>
    <w:p w14:paraId="5BC60AED" w14:textId="69E4D3E7" w:rsidR="00F24AE9" w:rsidRDefault="00F24AE9" w:rsidP="00F24AE9">
      <w:r w:rsidRPr="00A77B7E">
        <w:lastRenderedPageBreak/>
        <w:t xml:space="preserve">Mediante la Resolución CREG </w:t>
      </w:r>
      <w:r>
        <w:t>098</w:t>
      </w:r>
      <w:r w:rsidRPr="00A77B7E">
        <w:t xml:space="preserve"> de 20</w:t>
      </w:r>
      <w:r>
        <w:t>21</w:t>
      </w:r>
      <w:r w:rsidRPr="00A77B7E">
        <w:t xml:space="preserve"> la Comisión resolvió la solicitud hecha por la empresa Promioriente S.A. E.S.P. con el fin de aplica</w:t>
      </w:r>
      <w:r>
        <w:t>r</w:t>
      </w:r>
      <w:r w:rsidRPr="00A77B7E">
        <w:t xml:space="preserve"> el artículo 14 de la Resolución CREG 126 de 2010 para el gasoducto Payoa – Bucaramanga de </w:t>
      </w:r>
      <w:r>
        <w:t>8</w:t>
      </w:r>
      <w:r w:rsidRPr="00A77B7E">
        <w:t xml:space="preserve"> pulgadas</w:t>
      </w:r>
      <w:r>
        <w:t xml:space="preserve"> y 48,8 kms</w:t>
      </w:r>
      <w:r w:rsidRPr="00A77B7E">
        <w:t>.</w:t>
      </w:r>
    </w:p>
    <w:p w14:paraId="666189F9" w14:textId="77777777" w:rsidR="00F24AE9" w:rsidRPr="00357A92" w:rsidRDefault="00F24AE9" w:rsidP="00F24AE9"/>
    <w:p w14:paraId="06BE5601" w14:textId="4497E2C8" w:rsidR="00A53CE3" w:rsidRDefault="00D8581E" w:rsidP="009D0714">
      <w:r>
        <w:t xml:space="preserve">La </w:t>
      </w:r>
      <w:r w:rsidR="00D33D20">
        <w:t>Resolución CREG 126 de 2010 fue derogada por la Resolución CREG 175 de 202</w:t>
      </w:r>
      <w:r w:rsidR="00A53CE3">
        <w:t>1</w:t>
      </w:r>
      <w:r w:rsidR="00842F89">
        <w:t>.</w:t>
      </w:r>
      <w:r w:rsidR="00944BB7">
        <w:t xml:space="preserve"> Sin embargo, e</w:t>
      </w:r>
      <w:r w:rsidR="00A53CE3">
        <w:t>n el artículo 7 de la Resolución CREG 175 de 2021 se estableció la siguiente disposición:</w:t>
      </w:r>
    </w:p>
    <w:p w14:paraId="0908D5BA" w14:textId="32FC0056" w:rsidR="00842F89" w:rsidRDefault="00842F89" w:rsidP="009D0714"/>
    <w:p w14:paraId="1EE7D604" w14:textId="1D86B339" w:rsidR="003272D8" w:rsidRPr="00A53CE3" w:rsidRDefault="00A53CE3" w:rsidP="0074619C">
      <w:pPr>
        <w:pStyle w:val="Estilo5"/>
        <w:keepNext w:val="0"/>
        <w:widowControl w:val="0"/>
        <w:numPr>
          <w:ilvl w:val="0"/>
          <w:numId w:val="0"/>
        </w:numPr>
        <w:tabs>
          <w:tab w:val="left" w:pos="1560"/>
        </w:tabs>
        <w:spacing w:before="0" w:after="0"/>
        <w:ind w:left="284"/>
        <w:rPr>
          <w:rFonts w:ascii="Bookman Old Style" w:hAnsi="Bookman Old Style"/>
          <w:b w:val="0"/>
          <w:bCs/>
          <w:sz w:val="20"/>
          <w:szCs w:val="20"/>
        </w:rPr>
      </w:pPr>
      <w:r>
        <w:rPr>
          <w:rFonts w:ascii="Bookman Old Style" w:hAnsi="Bookman Old Style" w:cs="Arial"/>
          <w:color w:val="000000"/>
          <w:sz w:val="20"/>
          <w:szCs w:val="20"/>
        </w:rPr>
        <w:t>“</w:t>
      </w:r>
      <w:r w:rsidRPr="00A53CE3">
        <w:rPr>
          <w:rFonts w:ascii="Bookman Old Style" w:hAnsi="Bookman Old Style" w:cs="Arial"/>
          <w:color w:val="000000"/>
          <w:sz w:val="20"/>
          <w:szCs w:val="20"/>
        </w:rPr>
        <w:t>Artículo</w:t>
      </w:r>
      <w:r w:rsidR="003272D8" w:rsidRPr="00A53CE3">
        <w:rPr>
          <w:rFonts w:ascii="Bookman Old Style" w:hAnsi="Bookman Old Style" w:cs="Arial"/>
          <w:color w:val="000000"/>
          <w:sz w:val="20"/>
          <w:szCs w:val="20"/>
        </w:rPr>
        <w:t xml:space="preserve"> 7 Transición para activos VUN. </w:t>
      </w:r>
      <w:r w:rsidR="003272D8" w:rsidRPr="00A53CE3">
        <w:rPr>
          <w:rFonts w:ascii="Bookman Old Style" w:hAnsi="Bookman Old Style" w:cs="Arial"/>
          <w:b w:val="0"/>
          <w:bCs/>
          <w:color w:val="000000"/>
          <w:sz w:val="20"/>
          <w:szCs w:val="20"/>
        </w:rPr>
        <w:t xml:space="preserve">Los cargos de transporte de los tramos que cuentan con activos que cumplieron el período de VUN a 31 de diciembre de 2020, y para los cuales la CREG aprobó o aprobará los valores a retirar, VRAN y VAO, se ajustarán de acuerdo con la metodología que originó la solicitud de valoración de los activos que cumplieron el período de VUN. Igual tratamiento se aplicará para </w:t>
      </w:r>
      <w:r w:rsidR="003272D8" w:rsidRPr="00A53CE3">
        <w:rPr>
          <w:rFonts w:ascii="Bookman Old Style" w:hAnsi="Bookman Old Style"/>
          <w:b w:val="0"/>
          <w:bCs/>
          <w:sz w:val="20"/>
          <w:szCs w:val="20"/>
        </w:rPr>
        <w:t>los activos que: (a) ya fueron valorados, (b) la empresa declaró que los repondría, (c) la empresa declaró el remplazo y la puesta en operación comercial y (d) la SSPD verificó la puesta en operación</w:t>
      </w:r>
      <w:r>
        <w:rPr>
          <w:rFonts w:ascii="Bookman Old Style" w:hAnsi="Bookman Old Style"/>
          <w:b w:val="0"/>
          <w:bCs/>
          <w:sz w:val="20"/>
          <w:szCs w:val="20"/>
        </w:rPr>
        <w:t>”</w:t>
      </w:r>
      <w:r w:rsidR="003272D8" w:rsidRPr="00A53CE3">
        <w:rPr>
          <w:rFonts w:ascii="Bookman Old Style" w:hAnsi="Bookman Old Style"/>
          <w:b w:val="0"/>
          <w:bCs/>
          <w:sz w:val="20"/>
          <w:szCs w:val="20"/>
        </w:rPr>
        <w:t xml:space="preserve">. </w:t>
      </w:r>
    </w:p>
    <w:p w14:paraId="08A5ACD3" w14:textId="77777777" w:rsidR="00842F89" w:rsidRPr="003272D8" w:rsidRDefault="00842F89" w:rsidP="009D0714">
      <w:pPr>
        <w:rPr>
          <w:lang w:val="es-ES_tradnl"/>
        </w:rPr>
      </w:pPr>
    </w:p>
    <w:p w14:paraId="6A16BF58" w14:textId="5301F1E7" w:rsidR="00D8581E" w:rsidRDefault="005F1045" w:rsidP="009D0714">
      <w:r>
        <w:t>En atención a la disposición transcrita</w:t>
      </w:r>
      <w:r w:rsidR="001C1CD4">
        <w:t>,</w:t>
      </w:r>
      <w:r>
        <w:t xml:space="preserve"> la actualización de los cargos</w:t>
      </w:r>
      <w:r w:rsidR="00312E46">
        <w:t xml:space="preserve"> de Promioriente S.A. E.S.P. </w:t>
      </w:r>
      <w:r>
        <w:t>debe</w:t>
      </w:r>
      <w:r w:rsidR="007438B2">
        <w:t xml:space="preserve"> hacerse conforme a las disposiciones que regía la Resolución CREG 126 de 2010</w:t>
      </w:r>
      <w:r w:rsidR="004043F2">
        <w:t xml:space="preserve">, considerando la decisión adoptada con ocasión </w:t>
      </w:r>
      <w:r w:rsidR="0074619C">
        <w:t>de</w:t>
      </w:r>
      <w:r w:rsidR="004043F2">
        <w:t xml:space="preserve"> </w:t>
      </w:r>
      <w:r w:rsidR="006802F9">
        <w:t>la Resolución CREG 098 de 2021</w:t>
      </w:r>
      <w:r w:rsidR="004043F2">
        <w:t xml:space="preserve"> por parte de la empresa.</w:t>
      </w:r>
    </w:p>
    <w:p w14:paraId="071F6187" w14:textId="77777777" w:rsidR="00920FE5" w:rsidRPr="00357A92" w:rsidRDefault="00920FE5" w:rsidP="00DF5D3C"/>
    <w:p w14:paraId="141DB9C4" w14:textId="72E4085E" w:rsidR="00FC67EC" w:rsidRDefault="00A745DD" w:rsidP="00DF5D3C">
      <w:r w:rsidRPr="00357A92">
        <w:t xml:space="preserve">Conforme a lo </w:t>
      </w:r>
      <w:r w:rsidR="00DF5D3C">
        <w:t>establecido</w:t>
      </w:r>
      <w:r w:rsidRPr="00357A92">
        <w:t xml:space="preserve"> en el artículo 14 de la Resolución CREG 126 de 2010, Promi</w:t>
      </w:r>
      <w:r w:rsidR="00E41BAF">
        <w:t>oriente</w:t>
      </w:r>
      <w:r w:rsidRPr="00357A92">
        <w:t xml:space="preserve"> S.A. E.S.P., mediante la </w:t>
      </w:r>
      <w:r w:rsidRPr="001C218E">
        <w:t>comunicación E-20</w:t>
      </w:r>
      <w:r w:rsidR="0082345F" w:rsidRPr="001C218E">
        <w:t>21</w:t>
      </w:r>
      <w:r w:rsidR="009D517F" w:rsidRPr="001C218E">
        <w:t>-</w:t>
      </w:r>
      <w:r w:rsidR="00E41BAF" w:rsidRPr="001C218E">
        <w:t>0</w:t>
      </w:r>
      <w:r w:rsidR="003A75B3" w:rsidRPr="001C218E">
        <w:t>12765</w:t>
      </w:r>
      <w:r w:rsidRPr="001C218E">
        <w:t xml:space="preserve"> de fecha </w:t>
      </w:r>
      <w:r w:rsidR="001E6A3C" w:rsidRPr="001C218E">
        <w:t>29</w:t>
      </w:r>
      <w:r w:rsidRPr="001C218E">
        <w:t xml:space="preserve"> de </w:t>
      </w:r>
      <w:r w:rsidR="001E6A3C" w:rsidRPr="001C218E">
        <w:t>octubre</w:t>
      </w:r>
      <w:r w:rsidRPr="001C218E">
        <w:t xml:space="preserve"> de 20</w:t>
      </w:r>
      <w:r w:rsidR="0082345F" w:rsidRPr="001C218E">
        <w:t>21</w:t>
      </w:r>
      <w:r w:rsidRPr="001C218E">
        <w:t xml:space="preserve">, declaró a la CREG su decisión de no reponer </w:t>
      </w:r>
      <w:r w:rsidR="00E41BAF" w:rsidRPr="001C218E">
        <w:t xml:space="preserve">el gasoducto </w:t>
      </w:r>
      <w:r w:rsidR="00C47FF8">
        <w:t xml:space="preserve">Barrancabermeja - </w:t>
      </w:r>
      <w:r w:rsidR="00E41BAF" w:rsidRPr="001C218E">
        <w:t xml:space="preserve">Payoa –Bucaramanga de </w:t>
      </w:r>
      <w:r w:rsidR="0082345F" w:rsidRPr="001C218E">
        <w:t>8</w:t>
      </w:r>
      <w:r w:rsidR="00E41BAF" w:rsidRPr="001C218E">
        <w:t xml:space="preserve"> pulgadas</w:t>
      </w:r>
      <w:r w:rsidR="0074619C">
        <w:t>,</w:t>
      </w:r>
      <w:r w:rsidR="0082345F" w:rsidRPr="001C218E">
        <w:t xml:space="preserve"> </w:t>
      </w:r>
      <w:r w:rsidRPr="001C218E">
        <w:t>y que fue objeto de estimación</w:t>
      </w:r>
      <w:r w:rsidRPr="00357A92">
        <w:t xml:space="preserve"> del costo de reposición a nuevo, VRAN, en </w:t>
      </w:r>
      <w:r w:rsidR="00DF5D3C">
        <w:t xml:space="preserve">la Resolución </w:t>
      </w:r>
      <w:r w:rsidR="00DF5D3C" w:rsidRPr="000701FB">
        <w:t xml:space="preserve">CREG </w:t>
      </w:r>
      <w:r w:rsidR="0027062D">
        <w:t>098</w:t>
      </w:r>
      <w:r w:rsidR="00EC6307" w:rsidRPr="000701FB">
        <w:t xml:space="preserve"> de 20</w:t>
      </w:r>
      <w:r w:rsidR="0027062D">
        <w:t>21</w:t>
      </w:r>
      <w:r w:rsidR="00DF5D3C" w:rsidRPr="000701FB">
        <w:t>.</w:t>
      </w:r>
      <w:r w:rsidR="00F7766D">
        <w:t xml:space="preserve"> Posteriormente, </w:t>
      </w:r>
      <w:r w:rsidR="00CB5408">
        <w:t>Promioriente S.A. E.S.P.</w:t>
      </w:r>
      <w:r w:rsidR="0074619C">
        <w:t>,</w:t>
      </w:r>
      <w:r w:rsidR="00CB5408">
        <w:t xml:space="preserve"> mediante la comunicación E-2021-012766</w:t>
      </w:r>
      <w:r w:rsidR="0074619C">
        <w:t>,</w:t>
      </w:r>
      <w:r w:rsidR="00CB5408">
        <w:t xml:space="preserve"> hizo la siguiente petición a esta Comisión:</w:t>
      </w:r>
    </w:p>
    <w:p w14:paraId="51B25E2D" w14:textId="42D3D770" w:rsidR="00CB5408" w:rsidRDefault="00CB5408" w:rsidP="00DF5D3C"/>
    <w:p w14:paraId="7E4C5AE9" w14:textId="07F74E84" w:rsidR="00CB5408" w:rsidRDefault="00CB5408" w:rsidP="00A02297">
      <w:pPr>
        <w:pStyle w:val="Estilo5"/>
        <w:keepNext w:val="0"/>
        <w:widowControl w:val="0"/>
        <w:numPr>
          <w:ilvl w:val="0"/>
          <w:numId w:val="0"/>
        </w:numPr>
        <w:tabs>
          <w:tab w:val="left" w:pos="1560"/>
        </w:tabs>
        <w:spacing w:before="0" w:after="0"/>
        <w:ind w:left="284"/>
        <w:rPr>
          <w:rFonts w:ascii="Bookman Old Style" w:hAnsi="Bookman Old Style" w:cs="Arial"/>
          <w:b w:val="0"/>
          <w:bCs/>
          <w:color w:val="000000"/>
          <w:sz w:val="20"/>
          <w:szCs w:val="20"/>
        </w:rPr>
      </w:pPr>
      <w:r>
        <w:rPr>
          <w:rFonts w:ascii="Bookman Old Style" w:hAnsi="Bookman Old Style" w:cs="Arial"/>
          <w:b w:val="0"/>
          <w:bCs/>
          <w:color w:val="000000"/>
          <w:sz w:val="20"/>
          <w:szCs w:val="20"/>
        </w:rPr>
        <w:t>“</w:t>
      </w:r>
      <w:r w:rsidRPr="00CB5408">
        <w:rPr>
          <w:rFonts w:ascii="Bookman Old Style" w:hAnsi="Bookman Old Style" w:cs="Arial"/>
          <w:b w:val="0"/>
          <w:bCs/>
          <w:color w:val="000000"/>
          <w:sz w:val="20"/>
          <w:szCs w:val="20"/>
        </w:rPr>
        <w:t xml:space="preserve">(i) Iniciar la actuación administrativa para la actualización de los cargos de transporte de Promioriente aprobados mediante las Resoluciones 111 y 195 de 2011, 062 de 2015 y 086 de 2016. </w:t>
      </w:r>
    </w:p>
    <w:p w14:paraId="358BD926" w14:textId="77777777" w:rsidR="00D11101" w:rsidRPr="00CB5408" w:rsidRDefault="00D11101" w:rsidP="00A02297">
      <w:pPr>
        <w:pStyle w:val="Estilo5"/>
        <w:keepNext w:val="0"/>
        <w:widowControl w:val="0"/>
        <w:numPr>
          <w:ilvl w:val="0"/>
          <w:numId w:val="0"/>
        </w:numPr>
        <w:tabs>
          <w:tab w:val="left" w:pos="1560"/>
        </w:tabs>
        <w:spacing w:before="0" w:after="0"/>
        <w:ind w:left="284"/>
        <w:rPr>
          <w:rFonts w:ascii="Bookman Old Style" w:hAnsi="Bookman Old Style" w:cs="Arial"/>
          <w:b w:val="0"/>
          <w:bCs/>
          <w:color w:val="000000"/>
          <w:sz w:val="20"/>
          <w:szCs w:val="20"/>
        </w:rPr>
      </w:pPr>
    </w:p>
    <w:p w14:paraId="53FCBD87" w14:textId="1D54191E" w:rsidR="00CB5408" w:rsidRPr="00CB5408" w:rsidRDefault="00CB5408" w:rsidP="00A02297">
      <w:pPr>
        <w:pStyle w:val="Estilo5"/>
        <w:keepNext w:val="0"/>
        <w:widowControl w:val="0"/>
        <w:numPr>
          <w:ilvl w:val="0"/>
          <w:numId w:val="0"/>
        </w:numPr>
        <w:tabs>
          <w:tab w:val="left" w:pos="1560"/>
        </w:tabs>
        <w:spacing w:before="0" w:after="0"/>
        <w:ind w:left="284"/>
        <w:rPr>
          <w:rFonts w:ascii="Bookman Old Style" w:hAnsi="Bookman Old Style" w:cs="Arial"/>
          <w:b w:val="0"/>
          <w:bCs/>
          <w:color w:val="000000"/>
          <w:sz w:val="20"/>
          <w:szCs w:val="20"/>
        </w:rPr>
      </w:pPr>
      <w:r w:rsidRPr="00CB5408">
        <w:rPr>
          <w:rFonts w:ascii="Bookman Old Style" w:hAnsi="Bookman Old Style" w:cs="Arial"/>
          <w:b w:val="0"/>
          <w:bCs/>
          <w:color w:val="000000"/>
          <w:sz w:val="20"/>
          <w:szCs w:val="20"/>
        </w:rPr>
        <w:t>(ii) Incluir dentro de la siguiente reunión de la CREG, la actualización de los cargos de transporte de Promioriente, para finalizar de manera oportuna la actuación administrativa</w:t>
      </w:r>
      <w:r>
        <w:rPr>
          <w:rFonts w:ascii="Bookman Old Style" w:hAnsi="Bookman Old Style" w:cs="Arial"/>
          <w:b w:val="0"/>
          <w:bCs/>
          <w:color w:val="000000"/>
          <w:sz w:val="20"/>
          <w:szCs w:val="20"/>
        </w:rPr>
        <w:t>”</w:t>
      </w:r>
      <w:r w:rsidRPr="00CB5408">
        <w:rPr>
          <w:rFonts w:ascii="Bookman Old Style" w:hAnsi="Bookman Old Style" w:cs="Arial"/>
          <w:b w:val="0"/>
          <w:bCs/>
          <w:color w:val="000000"/>
          <w:sz w:val="20"/>
          <w:szCs w:val="20"/>
        </w:rPr>
        <w:t>.</w:t>
      </w:r>
    </w:p>
    <w:p w14:paraId="7A3E23E6" w14:textId="00F7EB2F" w:rsidR="00920FE5" w:rsidRDefault="00920FE5" w:rsidP="00DF5D3C"/>
    <w:p w14:paraId="420622DF" w14:textId="3121F9DB" w:rsidR="00061E32" w:rsidRDefault="00061E32" w:rsidP="00DF5D3C">
      <w:r>
        <w:t>Mediante la comunicación E-2021-015058</w:t>
      </w:r>
      <w:r w:rsidR="00D11101">
        <w:t xml:space="preserve"> de fecha 16 de diciembre</w:t>
      </w:r>
      <w:r>
        <w:t xml:space="preserve"> de 2021</w:t>
      </w:r>
      <w:r w:rsidR="00B76D8C">
        <w:t>,</w:t>
      </w:r>
      <w:r>
        <w:t xml:space="preserve"> Promioriente S.A. E.S.P. reenvió las comunicaciones antes mencionadas</w:t>
      </w:r>
      <w:r w:rsidR="00D11101">
        <w:t>.</w:t>
      </w:r>
    </w:p>
    <w:p w14:paraId="357913C3" w14:textId="77777777" w:rsidR="00061E32" w:rsidRPr="00357A92" w:rsidRDefault="00061E32" w:rsidP="00DF5D3C"/>
    <w:p w14:paraId="3CF43174" w14:textId="0FB1DDED" w:rsidR="00357A92" w:rsidRDefault="004F3F5E" w:rsidP="00DF5D3C">
      <w:pPr>
        <w:rPr>
          <w:rFonts w:cs="Arial"/>
          <w:color w:val="000000" w:themeColor="text1"/>
          <w:spacing w:val="-3"/>
        </w:rPr>
      </w:pPr>
      <w:r>
        <w:rPr>
          <w:rFonts w:cs="Arial"/>
          <w:color w:val="000000" w:themeColor="text1"/>
          <w:spacing w:val="-3"/>
        </w:rPr>
        <w:t xml:space="preserve">El ajuste en los cargos regulados </w:t>
      </w:r>
      <w:r w:rsidR="004A16B4">
        <w:rPr>
          <w:rFonts w:cs="Arial"/>
          <w:color w:val="000000" w:themeColor="text1"/>
          <w:spacing w:val="-3"/>
        </w:rPr>
        <w:t xml:space="preserve">para el gasoducto Barrancabermeja – Payoa – Bucaramanga </w:t>
      </w:r>
      <w:r>
        <w:rPr>
          <w:rFonts w:cs="Arial"/>
          <w:color w:val="000000" w:themeColor="text1"/>
          <w:spacing w:val="-3"/>
        </w:rPr>
        <w:t>del sistema de transporte de Prom</w:t>
      </w:r>
      <w:r w:rsidR="004A16B4">
        <w:rPr>
          <w:rFonts w:cs="Arial"/>
          <w:color w:val="000000" w:themeColor="text1"/>
          <w:spacing w:val="-3"/>
        </w:rPr>
        <w:t xml:space="preserve">ioriente </w:t>
      </w:r>
      <w:r>
        <w:rPr>
          <w:rFonts w:cs="Arial"/>
          <w:color w:val="000000" w:themeColor="text1"/>
          <w:spacing w:val="-3"/>
        </w:rPr>
        <w:t xml:space="preserve">S.A. E.S.P. </w:t>
      </w:r>
      <w:r w:rsidR="008A3020">
        <w:rPr>
          <w:rFonts w:cs="Arial"/>
          <w:color w:val="000000" w:themeColor="text1"/>
          <w:spacing w:val="-3"/>
        </w:rPr>
        <w:t>en aplicación del artículo 14 de la Resolución CREG 126 de 2010</w:t>
      </w:r>
      <w:r w:rsidR="0074619C">
        <w:rPr>
          <w:rFonts w:cs="Arial"/>
          <w:color w:val="000000" w:themeColor="text1"/>
          <w:spacing w:val="-3"/>
        </w:rPr>
        <w:t>,</w:t>
      </w:r>
      <w:r w:rsidR="008A3020">
        <w:rPr>
          <w:rFonts w:cs="Arial"/>
          <w:color w:val="000000" w:themeColor="text1"/>
          <w:spacing w:val="-3"/>
        </w:rPr>
        <w:t xml:space="preserve"> </w:t>
      </w:r>
      <w:r>
        <w:rPr>
          <w:rFonts w:cs="Arial"/>
          <w:color w:val="000000" w:themeColor="text1"/>
          <w:spacing w:val="-3"/>
        </w:rPr>
        <w:t xml:space="preserve">consiste en </w:t>
      </w:r>
      <w:r w:rsidR="00347BF9">
        <w:rPr>
          <w:rFonts w:cs="Arial"/>
          <w:color w:val="000000" w:themeColor="text1"/>
          <w:spacing w:val="-3"/>
        </w:rPr>
        <w:t>ajustar</w:t>
      </w:r>
      <w:r w:rsidR="002D7A2B">
        <w:rPr>
          <w:rFonts w:cs="Arial"/>
          <w:color w:val="000000" w:themeColor="text1"/>
          <w:spacing w:val="-3"/>
        </w:rPr>
        <w:t xml:space="preserve"> </w:t>
      </w:r>
      <w:r>
        <w:rPr>
          <w:rFonts w:cs="Arial"/>
          <w:color w:val="000000" w:themeColor="text1"/>
          <w:spacing w:val="-3"/>
        </w:rPr>
        <w:t>exclusivamente los valore</w:t>
      </w:r>
      <w:r w:rsidR="002D7A2B">
        <w:rPr>
          <w:rFonts w:cs="Arial"/>
          <w:color w:val="000000" w:themeColor="text1"/>
          <w:spacing w:val="-3"/>
        </w:rPr>
        <w:t>s de las inversiones reconocidos en la base tarifaria</w:t>
      </w:r>
      <w:r w:rsidR="00982B23">
        <w:rPr>
          <w:rFonts w:cs="Arial"/>
          <w:color w:val="000000" w:themeColor="text1"/>
          <w:spacing w:val="-3"/>
        </w:rPr>
        <w:t>,</w:t>
      </w:r>
      <w:r w:rsidR="002D7A2B">
        <w:rPr>
          <w:rFonts w:cs="Arial"/>
          <w:color w:val="000000" w:themeColor="text1"/>
          <w:spacing w:val="-3"/>
        </w:rPr>
        <w:t xml:space="preserve"> </w:t>
      </w:r>
      <w:r>
        <w:rPr>
          <w:rFonts w:cs="Arial"/>
          <w:color w:val="000000" w:themeColor="text1"/>
          <w:spacing w:val="-3"/>
        </w:rPr>
        <w:t>así: i</w:t>
      </w:r>
      <w:r w:rsidRPr="000701FB">
        <w:rPr>
          <w:rFonts w:cs="Arial"/>
          <w:color w:val="000000" w:themeColor="text1"/>
          <w:spacing w:val="-3"/>
        </w:rPr>
        <w:t xml:space="preserve">) </w:t>
      </w:r>
      <w:r w:rsidR="008A3020" w:rsidRPr="000701FB">
        <w:rPr>
          <w:rFonts w:cs="Arial"/>
          <w:color w:val="000000" w:themeColor="text1"/>
          <w:spacing w:val="-3"/>
        </w:rPr>
        <w:t xml:space="preserve">retirar </w:t>
      </w:r>
      <w:r w:rsidR="00996753" w:rsidRPr="000701FB">
        <w:rPr>
          <w:rFonts w:cs="Arial"/>
          <w:color w:val="000000" w:themeColor="text1"/>
          <w:spacing w:val="-3"/>
        </w:rPr>
        <w:t xml:space="preserve">los valores </w:t>
      </w:r>
      <w:r w:rsidR="008A3020" w:rsidRPr="000701FB">
        <w:rPr>
          <w:rFonts w:cs="Arial"/>
          <w:color w:val="000000" w:themeColor="text1"/>
          <w:spacing w:val="-3"/>
        </w:rPr>
        <w:t xml:space="preserve">a que hace referencia </w:t>
      </w:r>
      <w:r w:rsidR="00996753" w:rsidRPr="000701FB">
        <w:rPr>
          <w:rFonts w:cs="Arial"/>
          <w:color w:val="000000" w:themeColor="text1"/>
          <w:spacing w:val="-3"/>
        </w:rPr>
        <w:t xml:space="preserve">el </w:t>
      </w:r>
      <w:r w:rsidR="00DD7315">
        <w:rPr>
          <w:rFonts w:cs="Arial"/>
          <w:color w:val="000000" w:themeColor="text1"/>
          <w:spacing w:val="-3"/>
        </w:rPr>
        <w:t xml:space="preserve">Anexo </w:t>
      </w:r>
      <w:r w:rsidR="004A16B4">
        <w:rPr>
          <w:rFonts w:cs="Arial"/>
          <w:color w:val="000000" w:themeColor="text1"/>
          <w:spacing w:val="-3"/>
        </w:rPr>
        <w:t xml:space="preserve">2 </w:t>
      </w:r>
      <w:r w:rsidR="00996753" w:rsidRPr="000701FB">
        <w:rPr>
          <w:rFonts w:cs="Arial"/>
          <w:color w:val="000000" w:themeColor="text1"/>
          <w:spacing w:val="-3"/>
        </w:rPr>
        <w:t xml:space="preserve">de la Resolución CREG </w:t>
      </w:r>
      <w:r w:rsidR="00DD7315">
        <w:rPr>
          <w:rFonts w:cs="Arial"/>
          <w:color w:val="000000" w:themeColor="text1"/>
          <w:spacing w:val="-3"/>
        </w:rPr>
        <w:t>098</w:t>
      </w:r>
      <w:r w:rsidR="00996753" w:rsidRPr="000701FB">
        <w:rPr>
          <w:rFonts w:cs="Arial"/>
          <w:color w:val="000000" w:themeColor="text1"/>
          <w:spacing w:val="-3"/>
        </w:rPr>
        <w:t xml:space="preserve"> de 20</w:t>
      </w:r>
      <w:r w:rsidR="00DD7315">
        <w:rPr>
          <w:rFonts w:cs="Arial"/>
          <w:color w:val="000000" w:themeColor="text1"/>
          <w:spacing w:val="-3"/>
        </w:rPr>
        <w:t>21</w:t>
      </w:r>
      <w:r w:rsidR="00343AE8">
        <w:rPr>
          <w:rFonts w:cs="Arial"/>
          <w:color w:val="000000" w:themeColor="text1"/>
          <w:spacing w:val="-3"/>
        </w:rPr>
        <w:t xml:space="preserve"> </w:t>
      </w:r>
      <w:r w:rsidR="00B76D8C">
        <w:rPr>
          <w:rFonts w:cs="Arial"/>
          <w:color w:val="000000" w:themeColor="text1"/>
          <w:spacing w:val="-3"/>
        </w:rPr>
        <w:t>e</w:t>
      </w:r>
      <w:r w:rsidR="00996753">
        <w:rPr>
          <w:rFonts w:cs="Arial"/>
          <w:color w:val="000000" w:themeColor="text1"/>
          <w:spacing w:val="-3"/>
        </w:rPr>
        <w:t xml:space="preserve"> ii) </w:t>
      </w:r>
      <w:r w:rsidR="008A3020">
        <w:rPr>
          <w:rFonts w:cs="Arial"/>
          <w:color w:val="000000" w:themeColor="text1"/>
          <w:spacing w:val="-3"/>
        </w:rPr>
        <w:t xml:space="preserve">incorporar </w:t>
      </w:r>
      <w:r w:rsidR="004A16B4">
        <w:rPr>
          <w:rFonts w:cs="Arial"/>
          <w:color w:val="000000" w:themeColor="text1"/>
          <w:spacing w:val="-3"/>
        </w:rPr>
        <w:t>el</w:t>
      </w:r>
      <w:r>
        <w:rPr>
          <w:rFonts w:cs="Arial"/>
          <w:color w:val="000000" w:themeColor="text1"/>
          <w:spacing w:val="-3"/>
        </w:rPr>
        <w:t xml:space="preserve"> </w:t>
      </w:r>
      <w:r w:rsidR="004A16B4">
        <w:rPr>
          <w:rFonts w:cs="Arial"/>
          <w:color w:val="000000" w:themeColor="text1"/>
          <w:spacing w:val="-3"/>
        </w:rPr>
        <w:t>valor</w:t>
      </w:r>
      <w:r>
        <w:rPr>
          <w:rFonts w:cs="Arial"/>
          <w:color w:val="000000" w:themeColor="text1"/>
          <w:spacing w:val="-3"/>
        </w:rPr>
        <w:t xml:space="preserve"> de la variable VAO</w:t>
      </w:r>
      <w:r w:rsidRPr="004F3F5E">
        <w:rPr>
          <w:rFonts w:cs="Arial"/>
          <w:color w:val="000000" w:themeColor="text1"/>
          <w:spacing w:val="-3"/>
          <w:vertAlign w:val="subscript"/>
        </w:rPr>
        <w:t>t</w:t>
      </w:r>
      <w:r>
        <w:rPr>
          <w:rFonts w:cs="Arial"/>
          <w:color w:val="000000" w:themeColor="text1"/>
          <w:spacing w:val="-3"/>
        </w:rPr>
        <w:t xml:space="preserve"> </w:t>
      </w:r>
      <w:r w:rsidR="00820C42">
        <w:rPr>
          <w:rFonts w:cs="Arial"/>
          <w:color w:val="000000" w:themeColor="text1"/>
          <w:spacing w:val="-3"/>
        </w:rPr>
        <w:t>que se aprobó</w:t>
      </w:r>
      <w:r w:rsidR="00347BF9">
        <w:rPr>
          <w:rFonts w:cs="Arial"/>
          <w:color w:val="000000" w:themeColor="text1"/>
          <w:spacing w:val="-3"/>
        </w:rPr>
        <w:t xml:space="preserve"> </w:t>
      </w:r>
      <w:r w:rsidR="002D7A2B">
        <w:rPr>
          <w:rFonts w:cs="Arial"/>
          <w:color w:val="000000" w:themeColor="text1"/>
          <w:spacing w:val="-3"/>
        </w:rPr>
        <w:t>mediante</w:t>
      </w:r>
      <w:r>
        <w:rPr>
          <w:rFonts w:cs="Arial"/>
          <w:color w:val="000000" w:themeColor="text1"/>
          <w:spacing w:val="-3"/>
        </w:rPr>
        <w:t xml:space="preserve"> el artículo 1 de la Resolución CREG </w:t>
      </w:r>
      <w:r w:rsidR="00343AE8">
        <w:rPr>
          <w:rFonts w:cs="Arial"/>
          <w:color w:val="000000" w:themeColor="text1"/>
          <w:spacing w:val="-3"/>
        </w:rPr>
        <w:t>098</w:t>
      </w:r>
      <w:r>
        <w:rPr>
          <w:rFonts w:cs="Arial"/>
          <w:color w:val="000000" w:themeColor="text1"/>
          <w:spacing w:val="-3"/>
        </w:rPr>
        <w:t xml:space="preserve"> de 20</w:t>
      </w:r>
      <w:r w:rsidR="00343AE8">
        <w:rPr>
          <w:rFonts w:cs="Arial"/>
          <w:color w:val="000000" w:themeColor="text1"/>
          <w:spacing w:val="-3"/>
        </w:rPr>
        <w:t>21</w:t>
      </w:r>
      <w:r w:rsidR="00E75F90">
        <w:rPr>
          <w:rFonts w:cs="Arial"/>
          <w:color w:val="000000" w:themeColor="text1"/>
          <w:spacing w:val="-3"/>
        </w:rPr>
        <w:t>.</w:t>
      </w:r>
    </w:p>
    <w:p w14:paraId="0AA92B3E" w14:textId="77777777" w:rsidR="00C47FF8" w:rsidRDefault="00C47FF8" w:rsidP="00DF5D3C"/>
    <w:p w14:paraId="365AF22E" w14:textId="212AB197" w:rsidR="007F1EF9" w:rsidRDefault="007F1EF9" w:rsidP="007F1EF9">
      <w:r>
        <w:t>Mediante</w:t>
      </w:r>
      <w:r w:rsidR="0074619C">
        <w:t xml:space="preserve"> Auto</w:t>
      </w:r>
      <w:r>
        <w:t xml:space="preserve"> con radicado CREG I-2022-006259</w:t>
      </w:r>
      <w:r w:rsidR="0074619C">
        <w:t>,</w:t>
      </w:r>
      <w:r>
        <w:t xml:space="preserve"> la Comisión ordenó iniciar una actuación administrativa con el objeto de ajustar los cargos regulados para el gasoducto Barrancabermeja </w:t>
      </w:r>
      <w:r>
        <w:rPr>
          <w:rFonts w:eastAsia="Bookman Old Style" w:cs="Bookman Old Style"/>
        </w:rPr>
        <w:t>-</w:t>
      </w:r>
      <w:r>
        <w:t xml:space="preserve"> Payoa </w:t>
      </w:r>
      <w:r>
        <w:rPr>
          <w:rFonts w:eastAsia="Bookman Old Style" w:cs="Bookman Old Style"/>
        </w:rPr>
        <w:t>-</w:t>
      </w:r>
      <w:r>
        <w:t xml:space="preserve"> Bucaramanga del sistema de transporte de PROMIORIENTE S.A. E.S.P., de acuerdo con lo establecido en el artículo 14 de la Resolución CREG 126 de 2010.</w:t>
      </w:r>
    </w:p>
    <w:p w14:paraId="26BA4121" w14:textId="5F1F213B" w:rsidR="00EA6D5C" w:rsidRPr="00357A92" w:rsidRDefault="006C58BE" w:rsidP="00DF5D3C">
      <w:r w:rsidRPr="000D6799">
        <w:rPr>
          <w:rFonts w:cs="Arial"/>
          <w:color w:val="000000" w:themeColor="text1"/>
          <w:spacing w:val="-3"/>
          <w:lang w:val="es-CO"/>
        </w:rPr>
        <w:lastRenderedPageBreak/>
        <w:t xml:space="preserve">Una vez surtido el procedimiento previsto en la Ley 142 de 1994, </w:t>
      </w:r>
      <w:r w:rsidR="00305DBE" w:rsidRPr="000D6799">
        <w:rPr>
          <w:rFonts w:cs="Arial"/>
          <w:color w:val="000000" w:themeColor="text1"/>
          <w:spacing w:val="-3"/>
          <w:lang w:val="es-CO"/>
        </w:rPr>
        <w:t xml:space="preserve">así como en la metodología de la Resolución CREG 126 de 2010, </w:t>
      </w:r>
      <w:r w:rsidRPr="000D6799">
        <w:rPr>
          <w:rFonts w:cs="Arial"/>
          <w:color w:val="000000" w:themeColor="text1"/>
          <w:spacing w:val="-3"/>
          <w:lang w:val="es-CO"/>
        </w:rPr>
        <w:t xml:space="preserve">la Comisión de Regulación de Energía y Gas, en su sesión </w:t>
      </w:r>
      <w:r w:rsidR="007F1EF9">
        <w:rPr>
          <w:rFonts w:cs="Arial"/>
          <w:color w:val="000000" w:themeColor="text1"/>
          <w:spacing w:val="-3"/>
          <w:lang w:val="es-CO"/>
        </w:rPr>
        <w:t xml:space="preserve">1180 </w:t>
      </w:r>
      <w:r w:rsidRPr="000D6799">
        <w:rPr>
          <w:rFonts w:cs="Arial"/>
          <w:color w:val="000000" w:themeColor="text1"/>
          <w:spacing w:val="-3"/>
          <w:lang w:val="es-CO"/>
        </w:rPr>
        <w:t>de</w:t>
      </w:r>
      <w:r w:rsidR="007F1EF9">
        <w:rPr>
          <w:rFonts w:cs="Arial"/>
          <w:color w:val="000000" w:themeColor="text1"/>
          <w:spacing w:val="-3"/>
          <w:lang w:val="es-CO"/>
        </w:rPr>
        <w:t>l 1</w:t>
      </w:r>
      <w:r w:rsidRPr="000D6799">
        <w:rPr>
          <w:rFonts w:cs="Arial"/>
          <w:color w:val="000000" w:themeColor="text1"/>
          <w:spacing w:val="-3"/>
          <w:lang w:val="es-CO"/>
        </w:rPr>
        <w:t xml:space="preserve"> </w:t>
      </w:r>
      <w:r w:rsidR="008946B6">
        <w:rPr>
          <w:rFonts w:cs="Arial"/>
          <w:color w:val="000000" w:themeColor="text1"/>
          <w:spacing w:val="-3"/>
          <w:lang w:val="es-CO"/>
        </w:rPr>
        <w:t>ju</w:t>
      </w:r>
      <w:r w:rsidR="007F1EF9">
        <w:rPr>
          <w:rFonts w:cs="Arial"/>
          <w:color w:val="000000" w:themeColor="text1"/>
          <w:spacing w:val="-3"/>
          <w:lang w:val="es-CO"/>
        </w:rPr>
        <w:t>l</w:t>
      </w:r>
      <w:r w:rsidR="008946B6">
        <w:rPr>
          <w:rFonts w:cs="Arial"/>
          <w:color w:val="000000" w:themeColor="text1"/>
          <w:spacing w:val="-3"/>
          <w:lang w:val="es-CO"/>
        </w:rPr>
        <w:t>io</w:t>
      </w:r>
      <w:r w:rsidR="008946B6" w:rsidRPr="000D6799">
        <w:rPr>
          <w:rFonts w:cs="Arial"/>
          <w:color w:val="000000" w:themeColor="text1"/>
          <w:spacing w:val="-3"/>
          <w:lang w:val="es-CO"/>
        </w:rPr>
        <w:t xml:space="preserve"> </w:t>
      </w:r>
      <w:r w:rsidR="00060850" w:rsidRPr="000D6799">
        <w:rPr>
          <w:rFonts w:cs="Arial"/>
          <w:color w:val="000000" w:themeColor="text1"/>
          <w:spacing w:val="-3"/>
          <w:lang w:val="es-CO"/>
        </w:rPr>
        <w:t>de 20</w:t>
      </w:r>
      <w:r w:rsidR="00CE2B5D">
        <w:rPr>
          <w:rFonts w:cs="Arial"/>
          <w:color w:val="000000" w:themeColor="text1"/>
          <w:spacing w:val="-3"/>
          <w:lang w:val="es-CO"/>
        </w:rPr>
        <w:t>2</w:t>
      </w:r>
      <w:r w:rsidR="00EA7AD9">
        <w:rPr>
          <w:rFonts w:cs="Arial"/>
          <w:color w:val="000000" w:themeColor="text1"/>
          <w:spacing w:val="-3"/>
          <w:lang w:val="es-CO"/>
        </w:rPr>
        <w:t>2</w:t>
      </w:r>
      <w:r w:rsidRPr="000D6799">
        <w:rPr>
          <w:rFonts w:cs="Arial"/>
          <w:color w:val="000000" w:themeColor="text1"/>
          <w:spacing w:val="-3"/>
          <w:lang w:val="es-CO"/>
        </w:rPr>
        <w:t>, aprobó la siguiente decisión</w:t>
      </w:r>
      <w:r w:rsidR="00C222A0" w:rsidRPr="000D6799">
        <w:rPr>
          <w:rFonts w:cs="Arial"/>
          <w:color w:val="000000" w:themeColor="text1"/>
          <w:spacing w:val="-3"/>
          <w:lang w:val="es-CO"/>
        </w:rPr>
        <w:t xml:space="preserve"> mediante la cual se </w:t>
      </w:r>
      <w:r w:rsidR="007C0427">
        <w:rPr>
          <w:rFonts w:cs="Arial"/>
          <w:color w:val="000000" w:themeColor="text1"/>
          <w:spacing w:val="-3"/>
          <w:lang w:val="es-CO"/>
        </w:rPr>
        <w:t>ajustan</w:t>
      </w:r>
      <w:r w:rsidR="00B627FB">
        <w:rPr>
          <w:rFonts w:cs="Arial"/>
          <w:color w:val="000000" w:themeColor="text1"/>
          <w:spacing w:val="-3"/>
          <w:lang w:val="es-CO"/>
        </w:rPr>
        <w:t xml:space="preserve"> los cargos regulados</w:t>
      </w:r>
      <w:r w:rsidR="007C0427">
        <w:rPr>
          <w:rFonts w:cs="Arial"/>
          <w:color w:val="000000" w:themeColor="text1"/>
          <w:spacing w:val="-3"/>
          <w:lang w:val="es-CO"/>
        </w:rPr>
        <w:t xml:space="preserve"> para el gasoducto Barrancabermeja – Payoa - Bucaramanga</w:t>
      </w:r>
      <w:r w:rsidR="00B627FB">
        <w:rPr>
          <w:rFonts w:cs="Arial"/>
          <w:color w:val="000000" w:themeColor="text1"/>
          <w:spacing w:val="-3"/>
          <w:lang w:val="es-CO"/>
        </w:rPr>
        <w:t xml:space="preserve"> del s</w:t>
      </w:r>
      <w:r w:rsidR="007C0427">
        <w:rPr>
          <w:rFonts w:cs="Arial"/>
          <w:color w:val="000000" w:themeColor="text1"/>
          <w:spacing w:val="-3"/>
          <w:lang w:val="es-CO"/>
        </w:rPr>
        <w:t>istema de transporte de Promioriente</w:t>
      </w:r>
      <w:r w:rsidR="00B627FB">
        <w:rPr>
          <w:rFonts w:cs="Arial"/>
          <w:color w:val="000000" w:themeColor="text1"/>
          <w:spacing w:val="-3"/>
          <w:lang w:val="es-CO"/>
        </w:rPr>
        <w:t xml:space="preserve"> S.A. E.S.P.</w:t>
      </w:r>
      <w:r w:rsidRPr="000D6799">
        <w:rPr>
          <w:rFonts w:cs="Arial"/>
          <w:color w:val="000000" w:themeColor="text1"/>
          <w:spacing w:val="-3"/>
          <w:lang w:val="es-CO"/>
        </w:rPr>
        <w:t xml:space="preserve"> </w:t>
      </w:r>
      <w:r w:rsidR="00DA41EE">
        <w:rPr>
          <w:rFonts w:cs="Arial"/>
          <w:color w:val="000000" w:themeColor="text1"/>
          <w:spacing w:val="-3"/>
          <w:lang w:val="es-CO"/>
        </w:rPr>
        <w:t xml:space="preserve">de acuerdo con los valores </w:t>
      </w:r>
      <w:r w:rsidR="008A3020">
        <w:rPr>
          <w:rFonts w:cs="Arial"/>
          <w:color w:val="000000" w:themeColor="text1"/>
          <w:spacing w:val="-3"/>
          <w:lang w:val="es-CO"/>
        </w:rPr>
        <w:t xml:space="preserve">aprobados </w:t>
      </w:r>
      <w:r w:rsidR="00DA41EE">
        <w:rPr>
          <w:rFonts w:cs="Arial"/>
          <w:color w:val="000000" w:themeColor="text1"/>
          <w:spacing w:val="-3"/>
          <w:lang w:val="es-CO"/>
        </w:rPr>
        <w:t xml:space="preserve">en la Resolución CREG </w:t>
      </w:r>
      <w:r w:rsidR="00CE2B5D">
        <w:rPr>
          <w:rFonts w:cs="Arial"/>
          <w:color w:val="000000" w:themeColor="text1"/>
          <w:spacing w:val="-3"/>
          <w:lang w:val="es-CO"/>
        </w:rPr>
        <w:t>098</w:t>
      </w:r>
      <w:r w:rsidR="00DA41EE">
        <w:rPr>
          <w:rFonts w:cs="Arial"/>
          <w:color w:val="000000" w:themeColor="text1"/>
          <w:spacing w:val="-3"/>
          <w:lang w:val="es-CO"/>
        </w:rPr>
        <w:t xml:space="preserve"> de 20</w:t>
      </w:r>
      <w:r w:rsidR="00CE2B5D">
        <w:rPr>
          <w:rFonts w:cs="Arial"/>
          <w:color w:val="000000" w:themeColor="text1"/>
          <w:spacing w:val="-3"/>
          <w:lang w:val="es-CO"/>
        </w:rPr>
        <w:t>21</w:t>
      </w:r>
      <w:r w:rsidR="00DA41EE">
        <w:rPr>
          <w:rFonts w:cs="Arial"/>
          <w:color w:val="000000" w:themeColor="text1"/>
          <w:spacing w:val="-3"/>
          <w:lang w:val="es-CO"/>
        </w:rPr>
        <w:t>.</w:t>
      </w:r>
    </w:p>
    <w:p w14:paraId="526166BA" w14:textId="77777777" w:rsidR="002966A2" w:rsidRPr="000D6799" w:rsidRDefault="002966A2" w:rsidP="00DF5D3C">
      <w:pPr>
        <w:rPr>
          <w:rFonts w:cs="Arial"/>
          <w:color w:val="000000" w:themeColor="text1"/>
          <w:spacing w:val="-3"/>
          <w:lang w:val="es-CO"/>
        </w:rPr>
      </w:pPr>
    </w:p>
    <w:p w14:paraId="7DAEE24E" w14:textId="77777777" w:rsidR="00EA6D5C" w:rsidRPr="000D6799" w:rsidRDefault="00EA6D5C" w:rsidP="00DF5D3C">
      <w:pPr>
        <w:keepNext/>
        <w:suppressAutoHyphens/>
        <w:jc w:val="center"/>
        <w:rPr>
          <w:rFonts w:cs="Arial"/>
          <w:b/>
          <w:color w:val="000000" w:themeColor="text1"/>
          <w:spacing w:val="-3"/>
        </w:rPr>
      </w:pPr>
      <w:r w:rsidRPr="000D6799">
        <w:rPr>
          <w:rFonts w:cs="Arial"/>
          <w:b/>
          <w:color w:val="000000" w:themeColor="text1"/>
          <w:spacing w:val="-3"/>
        </w:rPr>
        <w:t>R E S U E L V E:</w:t>
      </w:r>
    </w:p>
    <w:p w14:paraId="392CCA64" w14:textId="77777777" w:rsidR="00EA6D5C" w:rsidRDefault="00EA6D5C" w:rsidP="00DF5D3C">
      <w:pPr>
        <w:keepNext/>
        <w:suppressAutoHyphens/>
        <w:rPr>
          <w:rFonts w:cs="Arial"/>
          <w:b/>
          <w:color w:val="000000" w:themeColor="text1"/>
          <w:spacing w:val="-3"/>
        </w:rPr>
      </w:pPr>
    </w:p>
    <w:p w14:paraId="3DF38151" w14:textId="202DB610" w:rsidR="00B9132F" w:rsidRDefault="00D43C54" w:rsidP="00DF5D3C">
      <w:pPr>
        <w:rPr>
          <w:rFonts w:cs="Arial"/>
        </w:rPr>
      </w:pPr>
      <w:r w:rsidRPr="000D6799">
        <w:rPr>
          <w:rFonts w:cs="Arial"/>
          <w:b/>
        </w:rPr>
        <w:t xml:space="preserve">Artículo 1. </w:t>
      </w:r>
      <w:r w:rsidR="0091635B">
        <w:rPr>
          <w:rFonts w:cs="Arial"/>
          <w:b/>
        </w:rPr>
        <w:t xml:space="preserve">Objeto. </w:t>
      </w:r>
      <w:r w:rsidR="0091635B">
        <w:rPr>
          <w:rFonts w:cs="Arial"/>
        </w:rPr>
        <w:t>Ajustar los cargos regulados del sistema de transporte de Promi</w:t>
      </w:r>
      <w:r w:rsidR="00BE3959">
        <w:rPr>
          <w:rFonts w:cs="Arial"/>
        </w:rPr>
        <w:t>oriente</w:t>
      </w:r>
      <w:r w:rsidR="0091635B">
        <w:rPr>
          <w:rFonts w:cs="Arial"/>
        </w:rPr>
        <w:t xml:space="preserve"> S.A. E.S.P. </w:t>
      </w:r>
      <w:r w:rsidR="001E7ECA">
        <w:rPr>
          <w:rFonts w:cs="Arial"/>
        </w:rPr>
        <w:t xml:space="preserve">(i) </w:t>
      </w:r>
      <w:r w:rsidR="00945C78">
        <w:rPr>
          <w:rFonts w:cs="Arial"/>
        </w:rPr>
        <w:t>incorporando</w:t>
      </w:r>
      <w:r w:rsidR="00945C78" w:rsidRPr="00945C78">
        <w:rPr>
          <w:rFonts w:cs="Arial"/>
        </w:rPr>
        <w:t xml:space="preserve"> </w:t>
      </w:r>
      <w:r w:rsidR="00BE3959">
        <w:rPr>
          <w:rFonts w:cs="Arial"/>
        </w:rPr>
        <w:t>el</w:t>
      </w:r>
      <w:r w:rsidR="00945C78" w:rsidRPr="00945C78">
        <w:rPr>
          <w:rFonts w:cs="Arial"/>
        </w:rPr>
        <w:t xml:space="preserve"> valor de la variable VAOt </w:t>
      </w:r>
      <w:r w:rsidR="00BE3959">
        <w:rPr>
          <w:rFonts w:cs="Arial"/>
        </w:rPr>
        <w:t>aprobado</w:t>
      </w:r>
      <w:r w:rsidR="00945C78">
        <w:rPr>
          <w:rFonts w:cs="Arial"/>
        </w:rPr>
        <w:t xml:space="preserve"> en </w:t>
      </w:r>
      <w:r w:rsidR="00945C78" w:rsidRPr="00945C78">
        <w:rPr>
          <w:rFonts w:cs="Arial"/>
        </w:rPr>
        <w:t>el artículo 1 de</w:t>
      </w:r>
      <w:r w:rsidR="00945C78">
        <w:rPr>
          <w:rFonts w:cs="Arial"/>
        </w:rPr>
        <w:t xml:space="preserve"> la Resolución CREG </w:t>
      </w:r>
      <w:r w:rsidR="00CE2B5D">
        <w:rPr>
          <w:rFonts w:cs="Arial"/>
        </w:rPr>
        <w:t>098</w:t>
      </w:r>
      <w:r w:rsidR="00945C78">
        <w:rPr>
          <w:rFonts w:cs="Arial"/>
        </w:rPr>
        <w:t xml:space="preserve"> de 20</w:t>
      </w:r>
      <w:r w:rsidR="00CE2B5D">
        <w:rPr>
          <w:rFonts w:cs="Arial"/>
        </w:rPr>
        <w:t>21</w:t>
      </w:r>
      <w:r w:rsidR="00945C78">
        <w:rPr>
          <w:rFonts w:cs="Arial"/>
        </w:rPr>
        <w:t>, conforme a la declaración de Promi</w:t>
      </w:r>
      <w:r w:rsidR="00BE3959">
        <w:rPr>
          <w:rFonts w:cs="Arial"/>
        </w:rPr>
        <w:t>oriente</w:t>
      </w:r>
      <w:r w:rsidR="00945C78">
        <w:rPr>
          <w:rFonts w:cs="Arial"/>
        </w:rPr>
        <w:t xml:space="preserve"> S.A. E.S.P. de no reponer </w:t>
      </w:r>
      <w:r w:rsidR="00BE3959">
        <w:rPr>
          <w:rFonts w:cs="Arial"/>
        </w:rPr>
        <w:t xml:space="preserve">el gasoducto </w:t>
      </w:r>
      <w:r w:rsidR="00C47FF8">
        <w:rPr>
          <w:rFonts w:cs="Arial"/>
        </w:rPr>
        <w:t xml:space="preserve">Barrancabermeja - </w:t>
      </w:r>
      <w:r w:rsidR="00BE3959">
        <w:rPr>
          <w:rFonts w:cs="Arial"/>
        </w:rPr>
        <w:t xml:space="preserve">Payoa – Bucaramanga de </w:t>
      </w:r>
      <w:r w:rsidR="00CE2B5D">
        <w:rPr>
          <w:rFonts w:cs="Arial"/>
        </w:rPr>
        <w:t>8</w:t>
      </w:r>
      <w:r w:rsidR="00BE3959">
        <w:rPr>
          <w:rFonts w:cs="Arial"/>
        </w:rPr>
        <w:t xml:space="preserve"> pulgadas</w:t>
      </w:r>
      <w:r w:rsidR="00CE2B5D">
        <w:rPr>
          <w:rFonts w:cs="Arial"/>
        </w:rPr>
        <w:t xml:space="preserve"> y 48,8 kms</w:t>
      </w:r>
      <w:r w:rsidR="00BE3959">
        <w:rPr>
          <w:rFonts w:cs="Arial"/>
        </w:rPr>
        <w:t xml:space="preserve"> y</w:t>
      </w:r>
      <w:r w:rsidR="002B6FCA">
        <w:rPr>
          <w:rFonts w:cs="Arial"/>
        </w:rPr>
        <w:t xml:space="preserve"> continuar operá</w:t>
      </w:r>
      <w:r w:rsidR="00BE3959">
        <w:rPr>
          <w:rFonts w:cs="Arial"/>
        </w:rPr>
        <w:t>ndo</w:t>
      </w:r>
      <w:r w:rsidR="002B6FCA">
        <w:rPr>
          <w:rFonts w:cs="Arial"/>
        </w:rPr>
        <w:t>lo</w:t>
      </w:r>
      <w:r w:rsidR="001E7ECA">
        <w:rPr>
          <w:rFonts w:cs="Arial"/>
        </w:rPr>
        <w:t>, y</w:t>
      </w:r>
      <w:r w:rsidR="00A92355">
        <w:rPr>
          <w:rFonts w:cs="Arial"/>
        </w:rPr>
        <w:t xml:space="preserve"> (ii) retirando los valores que están en </w:t>
      </w:r>
      <w:r w:rsidR="00B20451">
        <w:rPr>
          <w:rFonts w:cs="Arial"/>
        </w:rPr>
        <w:t>el Anexo 2 de la Resolución CREG 098 de 2021.</w:t>
      </w:r>
      <w:r w:rsidR="00945C78">
        <w:rPr>
          <w:rFonts w:cs="Arial"/>
        </w:rPr>
        <w:t xml:space="preserve"> Lo anterior, en aplicación de lo dispuesto en el </w:t>
      </w:r>
      <w:r w:rsidR="00585916">
        <w:rPr>
          <w:rFonts w:cs="Arial"/>
        </w:rPr>
        <w:t xml:space="preserve">artículo 14 de </w:t>
      </w:r>
      <w:r w:rsidR="00585916" w:rsidRPr="00585916">
        <w:rPr>
          <w:rFonts w:cs="Arial"/>
        </w:rPr>
        <w:t>la Resolución CREG 126 de 2010</w:t>
      </w:r>
      <w:r w:rsidR="0074619C">
        <w:rPr>
          <w:rFonts w:cs="Arial"/>
        </w:rPr>
        <w:t>,</w:t>
      </w:r>
      <w:r w:rsidR="00703F5E">
        <w:rPr>
          <w:rFonts w:cs="Arial"/>
        </w:rPr>
        <w:t xml:space="preserve"> y el artículo 7 de la Resolución CREG 175 de 2021.</w:t>
      </w:r>
    </w:p>
    <w:p w14:paraId="41B4C9C8" w14:textId="77777777" w:rsidR="000701FB" w:rsidRPr="00B519BA" w:rsidRDefault="000701FB" w:rsidP="00DF5D3C">
      <w:pPr>
        <w:rPr>
          <w:rFonts w:cs="Arial"/>
          <w:sz w:val="32"/>
        </w:rPr>
      </w:pPr>
    </w:p>
    <w:p w14:paraId="4FADD0D3" w14:textId="4A13F284" w:rsidR="004728F5" w:rsidRPr="000D6799" w:rsidRDefault="004728F5" w:rsidP="001A5E46">
      <w:r w:rsidRPr="000D6799">
        <w:rPr>
          <w:rFonts w:cs="Arial"/>
          <w:b/>
        </w:rPr>
        <w:t>Artícul</w:t>
      </w:r>
      <w:r w:rsidR="007A402B" w:rsidRPr="000D6799">
        <w:rPr>
          <w:rFonts w:cs="Arial"/>
          <w:b/>
        </w:rPr>
        <w:t xml:space="preserve">o </w:t>
      </w:r>
      <w:r w:rsidR="008858DB" w:rsidRPr="000D6799">
        <w:rPr>
          <w:rFonts w:cs="Arial"/>
          <w:b/>
        </w:rPr>
        <w:t>2</w:t>
      </w:r>
      <w:r w:rsidRPr="000D6799">
        <w:rPr>
          <w:rFonts w:cs="Arial"/>
          <w:b/>
        </w:rPr>
        <w:t xml:space="preserve">. </w:t>
      </w:r>
      <w:r w:rsidR="0038364D">
        <w:rPr>
          <w:rFonts w:cs="Arial"/>
        </w:rPr>
        <w:t xml:space="preserve">Modificar </w:t>
      </w:r>
      <w:r w:rsidR="00FE2D91">
        <w:rPr>
          <w:rFonts w:cs="Arial"/>
        </w:rPr>
        <w:t>el</w:t>
      </w:r>
      <w:r w:rsidR="0038364D">
        <w:rPr>
          <w:rFonts w:cs="Arial"/>
        </w:rPr>
        <w:t xml:space="preserve"> artículo </w:t>
      </w:r>
      <w:r w:rsidR="002B6FCA">
        <w:rPr>
          <w:rFonts w:cs="Arial"/>
        </w:rPr>
        <w:t>2</w:t>
      </w:r>
      <w:r w:rsidR="0038364D">
        <w:rPr>
          <w:rFonts w:cs="Arial"/>
        </w:rPr>
        <w:t xml:space="preserve"> </w:t>
      </w:r>
      <w:r w:rsidR="00FE2D91">
        <w:rPr>
          <w:rFonts w:cs="Arial"/>
        </w:rPr>
        <w:t xml:space="preserve">de </w:t>
      </w:r>
      <w:r w:rsidR="0038364D">
        <w:rPr>
          <w:rFonts w:cs="Arial"/>
        </w:rPr>
        <w:t>la Resolución CREG 11</w:t>
      </w:r>
      <w:r w:rsidR="002B6FCA">
        <w:rPr>
          <w:rFonts w:cs="Arial"/>
        </w:rPr>
        <w:t>1</w:t>
      </w:r>
      <w:r w:rsidR="0038364D">
        <w:rPr>
          <w:rFonts w:cs="Arial"/>
        </w:rPr>
        <w:t xml:space="preserve"> de 2011</w:t>
      </w:r>
      <w:r w:rsidR="00FE2D91">
        <w:rPr>
          <w:rFonts w:cs="Arial"/>
        </w:rPr>
        <w:t xml:space="preserve"> </w:t>
      </w:r>
      <w:r w:rsidR="0038364D">
        <w:rPr>
          <w:rFonts w:cs="Arial"/>
        </w:rPr>
        <w:t>así</w:t>
      </w:r>
      <w:r w:rsidR="00D62CD2">
        <w:rPr>
          <w:rFonts w:cs="Arial"/>
        </w:rPr>
        <w:t>:</w:t>
      </w:r>
    </w:p>
    <w:p w14:paraId="5A312051" w14:textId="77777777" w:rsidR="00576CDE" w:rsidRPr="001A5E46" w:rsidRDefault="00576CDE" w:rsidP="00DF5D3C">
      <w:pPr>
        <w:rPr>
          <w:sz w:val="22"/>
          <w:szCs w:val="22"/>
        </w:rPr>
      </w:pPr>
    </w:p>
    <w:p w14:paraId="29B1B252" w14:textId="1D88050A" w:rsidR="002B6FCA" w:rsidRPr="00D00E33" w:rsidRDefault="005E548D" w:rsidP="002B6FCA">
      <w:pPr>
        <w:ind w:left="284"/>
        <w:rPr>
          <w:b/>
        </w:rPr>
      </w:pPr>
      <w:r>
        <w:rPr>
          <w:rFonts w:cs="Arial"/>
          <w:b/>
          <w:spacing w:val="-3"/>
        </w:rPr>
        <w:t>“</w:t>
      </w:r>
      <w:r w:rsidR="002B6FCA">
        <w:rPr>
          <w:rFonts w:cs="Arial"/>
          <w:b/>
          <w:spacing w:val="-3"/>
        </w:rPr>
        <w:t>A</w:t>
      </w:r>
      <w:r w:rsidR="002B6FCA" w:rsidRPr="00D00E33">
        <w:rPr>
          <w:rFonts w:cs="Arial"/>
          <w:b/>
          <w:spacing w:val="-3"/>
        </w:rPr>
        <w:t>rtículo 2.</w:t>
      </w:r>
      <w:r w:rsidR="002B6FCA" w:rsidRPr="00D00E33">
        <w:rPr>
          <w:b/>
        </w:rPr>
        <w:t xml:space="preserve"> </w:t>
      </w:r>
      <w:r w:rsidR="002B6FCA">
        <w:rPr>
          <w:b/>
        </w:rPr>
        <w:t>I</w:t>
      </w:r>
      <w:r w:rsidR="002B6FCA" w:rsidRPr="00D00E33">
        <w:rPr>
          <w:b/>
        </w:rPr>
        <w:t xml:space="preserve">nversión </w:t>
      </w:r>
      <w:r w:rsidR="001A5E46">
        <w:rPr>
          <w:b/>
        </w:rPr>
        <w:t>e</w:t>
      </w:r>
      <w:r w:rsidR="002B6FCA" w:rsidRPr="00D00E33">
        <w:rPr>
          <w:b/>
        </w:rPr>
        <w:t>xistente</w:t>
      </w:r>
      <w:r w:rsidR="002B6FCA">
        <w:rPr>
          <w:b/>
        </w:rPr>
        <w:t>.</w:t>
      </w:r>
      <w:r w:rsidR="002B6FCA" w:rsidRPr="00D00E33">
        <w:rPr>
          <w:b/>
        </w:rPr>
        <w:t xml:space="preserve"> </w:t>
      </w:r>
      <w:r w:rsidR="002B6FCA" w:rsidRPr="00D00E33">
        <w:t>Como inversión existente</w:t>
      </w:r>
      <w:r w:rsidR="002B6FCA">
        <w:t>, IE</w:t>
      </w:r>
      <w:r w:rsidR="002B6FCA" w:rsidRPr="00AB3524">
        <w:rPr>
          <w:vertAlign w:val="subscript"/>
        </w:rPr>
        <w:t>t</w:t>
      </w:r>
      <w:r w:rsidR="002B6FCA">
        <w:t>,</w:t>
      </w:r>
      <w:r w:rsidR="002B6FCA" w:rsidRPr="00D00E33">
        <w:t xml:space="preserve"> se reconocen US$ </w:t>
      </w:r>
      <w:r w:rsidR="007B684D">
        <w:t>57</w:t>
      </w:r>
      <w:r w:rsidR="002B6FCA" w:rsidRPr="00D663FE">
        <w:t>.</w:t>
      </w:r>
      <w:r w:rsidR="00E967FB">
        <w:t>188</w:t>
      </w:r>
      <w:r w:rsidR="002B6FCA" w:rsidRPr="00D663FE">
        <w:t>.</w:t>
      </w:r>
      <w:r w:rsidR="00E967FB">
        <w:t xml:space="preserve">321 </w:t>
      </w:r>
      <w:r w:rsidR="002B6FCA" w:rsidRPr="00D00E33">
        <w:t xml:space="preserve">(dólares de </w:t>
      </w:r>
      <w:r w:rsidR="002B6FCA">
        <w:t>diciembre de 2009</w:t>
      </w:r>
      <w:r w:rsidR="002B6FCA" w:rsidRPr="00D00E33">
        <w:t>) de acuerdo con la desagr</w:t>
      </w:r>
      <w:r w:rsidR="002B6FCA">
        <w:t>egación presentada en el Anexo 1</w:t>
      </w:r>
      <w:r w:rsidR="002B6FCA" w:rsidRPr="00D00E33">
        <w:t xml:space="preserve"> de esta Resolución.</w:t>
      </w:r>
      <w:r>
        <w:t>”</w:t>
      </w:r>
    </w:p>
    <w:p w14:paraId="2112C709" w14:textId="77777777" w:rsidR="00547341" w:rsidRDefault="00547341" w:rsidP="009D079D">
      <w:pPr>
        <w:ind w:left="284"/>
        <w:rPr>
          <w:b/>
          <w:sz w:val="22"/>
          <w:szCs w:val="22"/>
        </w:rPr>
      </w:pPr>
    </w:p>
    <w:p w14:paraId="70E9EED2" w14:textId="7F90CBD3" w:rsidR="00FE2D91" w:rsidRPr="000D6799" w:rsidRDefault="00FE2D91" w:rsidP="00FE2D91">
      <w:r w:rsidRPr="000D6799">
        <w:rPr>
          <w:rFonts w:cs="Arial"/>
          <w:b/>
        </w:rPr>
        <w:t xml:space="preserve">Artículo </w:t>
      </w:r>
      <w:r>
        <w:rPr>
          <w:rFonts w:cs="Arial"/>
          <w:b/>
        </w:rPr>
        <w:t>3</w:t>
      </w:r>
      <w:r w:rsidRPr="000D6799">
        <w:rPr>
          <w:rFonts w:cs="Arial"/>
          <w:b/>
        </w:rPr>
        <w:t xml:space="preserve">. </w:t>
      </w:r>
      <w:r>
        <w:rPr>
          <w:rFonts w:cs="Arial"/>
        </w:rPr>
        <w:t>Modificar el artículo 6 de la Resolución CREG 111 de 2011 así:</w:t>
      </w:r>
    </w:p>
    <w:p w14:paraId="686A768A" w14:textId="77777777" w:rsidR="00252BF8" w:rsidRDefault="00252BF8" w:rsidP="00DF5D3C">
      <w:pPr>
        <w:rPr>
          <w:sz w:val="18"/>
          <w:szCs w:val="18"/>
        </w:rPr>
      </w:pPr>
    </w:p>
    <w:p w14:paraId="575276E8" w14:textId="7F5EBA3B" w:rsidR="001A5E46" w:rsidRDefault="005E548D" w:rsidP="001A5E46">
      <w:pPr>
        <w:ind w:left="284"/>
      </w:pPr>
      <w:r>
        <w:rPr>
          <w:rFonts w:cs="Arial"/>
          <w:b/>
          <w:spacing w:val="-3"/>
        </w:rPr>
        <w:t>“</w:t>
      </w:r>
      <w:r w:rsidR="001A5E46" w:rsidRPr="001A5E46">
        <w:rPr>
          <w:rFonts w:cs="Arial"/>
          <w:b/>
          <w:spacing w:val="-3"/>
        </w:rPr>
        <w:t>Artículo 6.</w:t>
      </w:r>
      <w:r w:rsidR="001A5E46" w:rsidRPr="001A5E46">
        <w:rPr>
          <w:b/>
        </w:rPr>
        <w:t xml:space="preserve"> Cargos</w:t>
      </w:r>
      <w:r w:rsidR="001A5E46" w:rsidRPr="00F57931">
        <w:t xml:space="preserve"> </w:t>
      </w:r>
      <w:r w:rsidR="001A5E46">
        <w:rPr>
          <w:b/>
        </w:rPr>
        <w:t>regulados de r</w:t>
      </w:r>
      <w:r w:rsidR="001A5E46" w:rsidRPr="001A5E46">
        <w:rPr>
          <w:b/>
        </w:rPr>
        <w:t>eferen</w:t>
      </w:r>
      <w:r w:rsidR="001A5E46">
        <w:rPr>
          <w:b/>
        </w:rPr>
        <w:t>cia para la r</w:t>
      </w:r>
      <w:r w:rsidR="001A5E46" w:rsidRPr="001A5E46">
        <w:rPr>
          <w:b/>
        </w:rPr>
        <w:t xml:space="preserve">emuneración de los </w:t>
      </w:r>
      <w:r w:rsidR="001A5E46">
        <w:rPr>
          <w:b/>
        </w:rPr>
        <w:t>costos de i</w:t>
      </w:r>
      <w:r w:rsidR="001A5E46" w:rsidRPr="001A5E46">
        <w:rPr>
          <w:b/>
        </w:rPr>
        <w:t xml:space="preserve">nversión. </w:t>
      </w:r>
      <w:r w:rsidR="001A5E46" w:rsidRPr="00F57931">
        <w:t>Para remunerar los costos de inversión para el sistema de transporte definido en el artículo 1 de esta Resolución, de conformidad con lo establecido en la Resolución CREG 126 de 2010</w:t>
      </w:r>
      <w:r w:rsidR="008D6D5C">
        <w:t xml:space="preserve"> y el artículo 7 de la Resolución CREG 175 de 2021</w:t>
      </w:r>
      <w:r w:rsidR="001A5E46" w:rsidRPr="00F57931">
        <w:t>, se aprueban las siguientes parejas de cargos regulados:</w:t>
      </w:r>
    </w:p>
    <w:p w14:paraId="11A875E8" w14:textId="41D0706A" w:rsidR="001609DF" w:rsidRDefault="001609DF" w:rsidP="001A5E46">
      <w:pPr>
        <w:ind w:left="284"/>
      </w:pPr>
    </w:p>
    <w:tbl>
      <w:tblPr>
        <w:tblW w:w="5000" w:type="pct"/>
        <w:tblCellMar>
          <w:left w:w="70" w:type="dxa"/>
          <w:right w:w="70" w:type="dxa"/>
        </w:tblCellMar>
        <w:tblLook w:val="04A0" w:firstRow="1" w:lastRow="0" w:firstColumn="1" w:lastColumn="0" w:noHBand="0" w:noVBand="1"/>
      </w:tblPr>
      <w:tblGrid>
        <w:gridCol w:w="601"/>
        <w:gridCol w:w="1112"/>
        <w:gridCol w:w="1470"/>
        <w:gridCol w:w="1674"/>
        <w:gridCol w:w="1112"/>
        <w:gridCol w:w="1112"/>
        <w:gridCol w:w="1112"/>
        <w:gridCol w:w="1163"/>
      </w:tblGrid>
      <w:tr w:rsidR="00B56E67" w:rsidRPr="00B56E67" w14:paraId="23C658CA" w14:textId="77777777" w:rsidTr="00B56E67">
        <w:trPr>
          <w:trHeight w:val="300"/>
          <w:tblHeader/>
        </w:trPr>
        <w:tc>
          <w:tcPr>
            <w:tcW w:w="5000" w:type="pct"/>
            <w:gridSpan w:val="8"/>
            <w:tcBorders>
              <w:top w:val="single" w:sz="8" w:space="0" w:color="auto"/>
              <w:left w:val="nil"/>
              <w:bottom w:val="single" w:sz="4" w:space="0" w:color="auto"/>
              <w:right w:val="nil"/>
            </w:tcBorders>
            <w:shd w:val="clear" w:color="000000" w:fill="FFFFFF"/>
            <w:noWrap/>
            <w:vAlign w:val="bottom"/>
            <w:hideMark/>
          </w:tcPr>
          <w:p w14:paraId="3C7D08C6" w14:textId="77777777" w:rsidR="00B56E67" w:rsidRPr="00B56E67" w:rsidRDefault="00B56E67" w:rsidP="00B56E67">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 xml:space="preserve">Sistema de Transporte de Promioriente Bucaramanga - Payoa - Barrancabermeja </w:t>
            </w:r>
          </w:p>
        </w:tc>
      </w:tr>
      <w:tr w:rsidR="00B56E67" w:rsidRPr="00B56E67" w14:paraId="2D96E129" w14:textId="77777777" w:rsidTr="00B56E67">
        <w:trPr>
          <w:trHeight w:val="300"/>
          <w:tblHeader/>
        </w:trPr>
        <w:tc>
          <w:tcPr>
            <w:tcW w:w="320" w:type="pct"/>
            <w:tcBorders>
              <w:top w:val="nil"/>
              <w:left w:val="nil"/>
              <w:bottom w:val="nil"/>
              <w:right w:val="nil"/>
            </w:tcBorders>
            <w:shd w:val="clear" w:color="000000" w:fill="FFFFFF"/>
            <w:noWrap/>
            <w:vAlign w:val="bottom"/>
            <w:hideMark/>
          </w:tcPr>
          <w:p w14:paraId="0B491474" w14:textId="77777777" w:rsidR="00B56E67" w:rsidRPr="00B56E67" w:rsidRDefault="00B56E67" w:rsidP="00B56E67">
            <w:pPr>
              <w:jc w:val="left"/>
              <w:rPr>
                <w:rFonts w:ascii="Arial" w:hAnsi="Arial" w:cs="Arial"/>
                <w:color w:val="000000"/>
                <w:sz w:val="22"/>
                <w:szCs w:val="22"/>
                <w:lang w:val="es-CO" w:eastAsia="es-CO"/>
              </w:rPr>
            </w:pPr>
            <w:r w:rsidRPr="00B56E67">
              <w:rPr>
                <w:rFonts w:ascii="Arial" w:hAnsi="Arial" w:cs="Arial"/>
                <w:color w:val="000000"/>
                <w:sz w:val="22"/>
                <w:szCs w:val="22"/>
                <w:lang w:val="es-CO" w:eastAsia="es-CO"/>
              </w:rPr>
              <w:t>% [1]</w:t>
            </w:r>
          </w:p>
        </w:tc>
        <w:tc>
          <w:tcPr>
            <w:tcW w:w="591" w:type="pct"/>
            <w:tcBorders>
              <w:top w:val="nil"/>
              <w:left w:val="nil"/>
              <w:bottom w:val="nil"/>
              <w:right w:val="nil"/>
            </w:tcBorders>
            <w:shd w:val="clear" w:color="000000" w:fill="FFFFFF"/>
            <w:noWrap/>
            <w:vAlign w:val="bottom"/>
            <w:hideMark/>
          </w:tcPr>
          <w:p w14:paraId="0DA25C2B" w14:textId="13F4950E"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w:t>
            </w:r>
          </w:p>
        </w:tc>
        <w:tc>
          <w:tcPr>
            <w:tcW w:w="791" w:type="pct"/>
            <w:tcBorders>
              <w:top w:val="nil"/>
              <w:left w:val="nil"/>
              <w:bottom w:val="nil"/>
              <w:right w:val="nil"/>
            </w:tcBorders>
            <w:shd w:val="clear" w:color="000000" w:fill="FFFFFF"/>
            <w:noWrap/>
            <w:vAlign w:val="bottom"/>
            <w:hideMark/>
          </w:tcPr>
          <w:p w14:paraId="28B68FAD" w14:textId="0A335AB8"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20</w:t>
            </w:r>
          </w:p>
        </w:tc>
        <w:tc>
          <w:tcPr>
            <w:tcW w:w="910" w:type="pct"/>
            <w:tcBorders>
              <w:top w:val="nil"/>
              <w:left w:val="nil"/>
              <w:bottom w:val="nil"/>
              <w:right w:val="nil"/>
            </w:tcBorders>
            <w:shd w:val="clear" w:color="000000" w:fill="FFFFFF"/>
            <w:noWrap/>
            <w:vAlign w:val="bottom"/>
            <w:hideMark/>
          </w:tcPr>
          <w:p w14:paraId="7EB2A035" w14:textId="076EB61C"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40</w:t>
            </w:r>
          </w:p>
        </w:tc>
        <w:tc>
          <w:tcPr>
            <w:tcW w:w="591" w:type="pct"/>
            <w:tcBorders>
              <w:top w:val="nil"/>
              <w:left w:val="nil"/>
              <w:bottom w:val="nil"/>
              <w:right w:val="nil"/>
            </w:tcBorders>
            <w:shd w:val="clear" w:color="000000" w:fill="FFFFFF"/>
            <w:noWrap/>
            <w:vAlign w:val="bottom"/>
            <w:hideMark/>
          </w:tcPr>
          <w:p w14:paraId="25B91295" w14:textId="4C4D231A"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50</w:t>
            </w:r>
          </w:p>
        </w:tc>
        <w:tc>
          <w:tcPr>
            <w:tcW w:w="591" w:type="pct"/>
            <w:tcBorders>
              <w:top w:val="nil"/>
              <w:left w:val="nil"/>
              <w:bottom w:val="nil"/>
              <w:right w:val="nil"/>
            </w:tcBorders>
            <w:shd w:val="clear" w:color="000000" w:fill="FFFFFF"/>
            <w:noWrap/>
            <w:vAlign w:val="bottom"/>
            <w:hideMark/>
          </w:tcPr>
          <w:p w14:paraId="480AA563" w14:textId="6322B4E2"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60</w:t>
            </w:r>
          </w:p>
        </w:tc>
        <w:tc>
          <w:tcPr>
            <w:tcW w:w="591" w:type="pct"/>
            <w:tcBorders>
              <w:top w:val="nil"/>
              <w:left w:val="nil"/>
              <w:bottom w:val="nil"/>
              <w:right w:val="nil"/>
            </w:tcBorders>
            <w:shd w:val="clear" w:color="000000" w:fill="FFFFFF"/>
            <w:noWrap/>
            <w:vAlign w:val="bottom"/>
            <w:hideMark/>
          </w:tcPr>
          <w:p w14:paraId="5B7796D6" w14:textId="2C797296"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70</w:t>
            </w:r>
          </w:p>
        </w:tc>
        <w:tc>
          <w:tcPr>
            <w:tcW w:w="617" w:type="pct"/>
            <w:tcBorders>
              <w:top w:val="nil"/>
              <w:left w:val="nil"/>
              <w:bottom w:val="nil"/>
              <w:right w:val="nil"/>
            </w:tcBorders>
            <w:shd w:val="clear" w:color="000000" w:fill="FFFFFF"/>
            <w:noWrap/>
            <w:vAlign w:val="bottom"/>
            <w:hideMark/>
          </w:tcPr>
          <w:p w14:paraId="15E281B6" w14:textId="5403418E"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80</w:t>
            </w:r>
          </w:p>
        </w:tc>
      </w:tr>
      <w:tr w:rsidR="00B56E67" w:rsidRPr="00B56E67" w14:paraId="42C6FBED" w14:textId="77777777" w:rsidTr="00B56E67">
        <w:trPr>
          <w:trHeight w:val="300"/>
        </w:trPr>
        <w:tc>
          <w:tcPr>
            <w:tcW w:w="320" w:type="pct"/>
            <w:tcBorders>
              <w:top w:val="nil"/>
              <w:left w:val="nil"/>
              <w:bottom w:val="nil"/>
              <w:right w:val="nil"/>
            </w:tcBorders>
            <w:shd w:val="clear" w:color="000000" w:fill="FFFFFF"/>
            <w:noWrap/>
            <w:vAlign w:val="bottom"/>
            <w:hideMark/>
          </w:tcPr>
          <w:p w14:paraId="1048A4A9" w14:textId="77777777" w:rsidR="00B56E67" w:rsidRPr="00B56E67" w:rsidRDefault="00B56E67" w:rsidP="00B56E67">
            <w:pPr>
              <w:jc w:val="left"/>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CF</w:t>
            </w:r>
          </w:p>
        </w:tc>
        <w:tc>
          <w:tcPr>
            <w:tcW w:w="591" w:type="pct"/>
            <w:tcBorders>
              <w:top w:val="nil"/>
              <w:left w:val="nil"/>
              <w:bottom w:val="nil"/>
              <w:right w:val="nil"/>
            </w:tcBorders>
            <w:shd w:val="clear" w:color="000000" w:fill="FFFFFF"/>
            <w:noWrap/>
            <w:vAlign w:val="bottom"/>
            <w:hideMark/>
          </w:tcPr>
          <w:p w14:paraId="4DE194CD"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   </w:t>
            </w:r>
          </w:p>
        </w:tc>
        <w:tc>
          <w:tcPr>
            <w:tcW w:w="791" w:type="pct"/>
            <w:tcBorders>
              <w:top w:val="nil"/>
              <w:left w:val="nil"/>
              <w:bottom w:val="nil"/>
              <w:right w:val="nil"/>
            </w:tcBorders>
            <w:shd w:val="clear" w:color="000000" w:fill="FFFFFF"/>
            <w:noWrap/>
            <w:vAlign w:val="bottom"/>
            <w:hideMark/>
          </w:tcPr>
          <w:p w14:paraId="62165928"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106,315 </w:t>
            </w:r>
          </w:p>
        </w:tc>
        <w:tc>
          <w:tcPr>
            <w:tcW w:w="910" w:type="pct"/>
            <w:tcBorders>
              <w:top w:val="nil"/>
              <w:left w:val="nil"/>
              <w:bottom w:val="nil"/>
              <w:right w:val="nil"/>
            </w:tcBorders>
            <w:shd w:val="clear" w:color="000000" w:fill="FFFFFF"/>
            <w:noWrap/>
            <w:vAlign w:val="bottom"/>
            <w:hideMark/>
          </w:tcPr>
          <w:p w14:paraId="0E6747D3"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212,630 </w:t>
            </w:r>
          </w:p>
        </w:tc>
        <w:tc>
          <w:tcPr>
            <w:tcW w:w="591" w:type="pct"/>
            <w:tcBorders>
              <w:top w:val="nil"/>
              <w:left w:val="nil"/>
              <w:bottom w:val="nil"/>
              <w:right w:val="nil"/>
            </w:tcBorders>
            <w:shd w:val="clear" w:color="000000" w:fill="FFFFFF"/>
            <w:noWrap/>
            <w:vAlign w:val="bottom"/>
            <w:hideMark/>
          </w:tcPr>
          <w:p w14:paraId="2B3B1988"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265,788 </w:t>
            </w:r>
          </w:p>
        </w:tc>
        <w:tc>
          <w:tcPr>
            <w:tcW w:w="591" w:type="pct"/>
            <w:tcBorders>
              <w:top w:val="nil"/>
              <w:left w:val="nil"/>
              <w:bottom w:val="nil"/>
              <w:right w:val="nil"/>
            </w:tcBorders>
            <w:shd w:val="clear" w:color="000000" w:fill="FFFFFF"/>
            <w:noWrap/>
            <w:vAlign w:val="bottom"/>
            <w:hideMark/>
          </w:tcPr>
          <w:p w14:paraId="154F52DF"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318,946 </w:t>
            </w:r>
          </w:p>
        </w:tc>
        <w:tc>
          <w:tcPr>
            <w:tcW w:w="591" w:type="pct"/>
            <w:tcBorders>
              <w:top w:val="nil"/>
              <w:left w:val="nil"/>
              <w:bottom w:val="nil"/>
              <w:right w:val="nil"/>
            </w:tcBorders>
            <w:shd w:val="clear" w:color="000000" w:fill="FFFFFF"/>
            <w:noWrap/>
            <w:vAlign w:val="bottom"/>
            <w:hideMark/>
          </w:tcPr>
          <w:p w14:paraId="1F2AEE09"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372,103 </w:t>
            </w:r>
          </w:p>
        </w:tc>
        <w:tc>
          <w:tcPr>
            <w:tcW w:w="617" w:type="pct"/>
            <w:tcBorders>
              <w:top w:val="nil"/>
              <w:left w:val="nil"/>
              <w:bottom w:val="nil"/>
              <w:right w:val="nil"/>
            </w:tcBorders>
            <w:shd w:val="clear" w:color="000000" w:fill="FFFFFF"/>
            <w:noWrap/>
            <w:vAlign w:val="bottom"/>
            <w:hideMark/>
          </w:tcPr>
          <w:p w14:paraId="4CFA8B83"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425,261 </w:t>
            </w:r>
          </w:p>
        </w:tc>
      </w:tr>
      <w:tr w:rsidR="00B56E67" w:rsidRPr="00B56E67" w14:paraId="4E5DE5F8" w14:textId="77777777" w:rsidTr="00B56E67">
        <w:trPr>
          <w:trHeight w:val="300"/>
        </w:trPr>
        <w:tc>
          <w:tcPr>
            <w:tcW w:w="320" w:type="pct"/>
            <w:tcBorders>
              <w:top w:val="nil"/>
              <w:left w:val="nil"/>
              <w:bottom w:val="nil"/>
              <w:right w:val="nil"/>
            </w:tcBorders>
            <w:shd w:val="clear" w:color="000000" w:fill="FFFFFF"/>
            <w:noWrap/>
            <w:vAlign w:val="bottom"/>
            <w:hideMark/>
          </w:tcPr>
          <w:p w14:paraId="66BB9D0B" w14:textId="77777777" w:rsidR="00B56E67" w:rsidRPr="00B56E67" w:rsidRDefault="00B56E67" w:rsidP="00B56E67">
            <w:pPr>
              <w:jc w:val="left"/>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CV</w:t>
            </w:r>
          </w:p>
        </w:tc>
        <w:tc>
          <w:tcPr>
            <w:tcW w:w="591" w:type="pct"/>
            <w:tcBorders>
              <w:top w:val="nil"/>
              <w:left w:val="nil"/>
              <w:bottom w:val="nil"/>
              <w:right w:val="nil"/>
            </w:tcBorders>
            <w:shd w:val="clear" w:color="000000" w:fill="FFFFFF"/>
            <w:noWrap/>
            <w:vAlign w:val="bottom"/>
            <w:hideMark/>
          </w:tcPr>
          <w:p w14:paraId="4684A90E"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1,875 </w:t>
            </w:r>
          </w:p>
        </w:tc>
        <w:tc>
          <w:tcPr>
            <w:tcW w:w="791" w:type="pct"/>
            <w:tcBorders>
              <w:top w:val="nil"/>
              <w:left w:val="nil"/>
              <w:bottom w:val="nil"/>
              <w:right w:val="nil"/>
            </w:tcBorders>
            <w:shd w:val="clear" w:color="000000" w:fill="FFFFFF"/>
            <w:noWrap/>
            <w:vAlign w:val="bottom"/>
            <w:hideMark/>
          </w:tcPr>
          <w:p w14:paraId="6A5653CD"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1,500 </w:t>
            </w:r>
          </w:p>
        </w:tc>
        <w:tc>
          <w:tcPr>
            <w:tcW w:w="910" w:type="pct"/>
            <w:tcBorders>
              <w:top w:val="nil"/>
              <w:left w:val="nil"/>
              <w:bottom w:val="nil"/>
              <w:right w:val="nil"/>
            </w:tcBorders>
            <w:shd w:val="clear" w:color="000000" w:fill="FFFFFF"/>
            <w:noWrap/>
            <w:vAlign w:val="bottom"/>
            <w:hideMark/>
          </w:tcPr>
          <w:p w14:paraId="0CD9D7E3"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1,125 </w:t>
            </w:r>
          </w:p>
        </w:tc>
        <w:tc>
          <w:tcPr>
            <w:tcW w:w="591" w:type="pct"/>
            <w:tcBorders>
              <w:top w:val="nil"/>
              <w:left w:val="nil"/>
              <w:bottom w:val="nil"/>
              <w:right w:val="nil"/>
            </w:tcBorders>
            <w:shd w:val="clear" w:color="000000" w:fill="FFFFFF"/>
            <w:noWrap/>
            <w:vAlign w:val="bottom"/>
            <w:hideMark/>
          </w:tcPr>
          <w:p w14:paraId="1C3BCEF9"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0,938 </w:t>
            </w:r>
          </w:p>
        </w:tc>
        <w:tc>
          <w:tcPr>
            <w:tcW w:w="591" w:type="pct"/>
            <w:tcBorders>
              <w:top w:val="nil"/>
              <w:left w:val="nil"/>
              <w:bottom w:val="nil"/>
              <w:right w:val="nil"/>
            </w:tcBorders>
            <w:shd w:val="clear" w:color="000000" w:fill="FFFFFF"/>
            <w:noWrap/>
            <w:vAlign w:val="bottom"/>
            <w:hideMark/>
          </w:tcPr>
          <w:p w14:paraId="3D7FE014"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0,750 </w:t>
            </w:r>
          </w:p>
        </w:tc>
        <w:tc>
          <w:tcPr>
            <w:tcW w:w="591" w:type="pct"/>
            <w:tcBorders>
              <w:top w:val="nil"/>
              <w:left w:val="nil"/>
              <w:bottom w:val="nil"/>
              <w:right w:val="nil"/>
            </w:tcBorders>
            <w:shd w:val="clear" w:color="000000" w:fill="FFFFFF"/>
            <w:noWrap/>
            <w:vAlign w:val="bottom"/>
            <w:hideMark/>
          </w:tcPr>
          <w:p w14:paraId="6DC42CE4"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0,563 </w:t>
            </w:r>
          </w:p>
        </w:tc>
        <w:tc>
          <w:tcPr>
            <w:tcW w:w="617" w:type="pct"/>
            <w:tcBorders>
              <w:top w:val="nil"/>
              <w:left w:val="nil"/>
              <w:bottom w:val="nil"/>
              <w:right w:val="nil"/>
            </w:tcBorders>
            <w:shd w:val="clear" w:color="000000" w:fill="FFFFFF"/>
            <w:noWrap/>
            <w:vAlign w:val="bottom"/>
            <w:hideMark/>
          </w:tcPr>
          <w:p w14:paraId="19FB0790"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0,375 </w:t>
            </w:r>
          </w:p>
        </w:tc>
      </w:tr>
      <w:tr w:rsidR="00B56E67" w:rsidRPr="00B56E67" w14:paraId="75B2E770" w14:textId="77777777" w:rsidTr="00B56E67">
        <w:trPr>
          <w:trHeight w:val="300"/>
        </w:trPr>
        <w:tc>
          <w:tcPr>
            <w:tcW w:w="320" w:type="pct"/>
            <w:tcBorders>
              <w:top w:val="nil"/>
              <w:left w:val="nil"/>
              <w:bottom w:val="nil"/>
              <w:right w:val="nil"/>
            </w:tcBorders>
            <w:shd w:val="clear" w:color="000000" w:fill="FFFFFF"/>
            <w:noWrap/>
            <w:vAlign w:val="bottom"/>
            <w:hideMark/>
          </w:tcPr>
          <w:p w14:paraId="034C3FF4" w14:textId="77777777" w:rsidR="00B56E67" w:rsidRPr="00B56E67" w:rsidRDefault="00B56E67" w:rsidP="00B56E67">
            <w:pPr>
              <w:jc w:val="left"/>
              <w:rPr>
                <w:rFonts w:ascii="Arial" w:hAnsi="Arial" w:cs="Arial"/>
                <w:color w:val="000000"/>
                <w:sz w:val="22"/>
                <w:szCs w:val="22"/>
                <w:lang w:val="es-CO" w:eastAsia="es-CO"/>
              </w:rPr>
            </w:pPr>
            <w:r w:rsidRPr="00B56E67">
              <w:rPr>
                <w:rFonts w:ascii="Arial" w:hAnsi="Arial" w:cs="Arial"/>
                <w:color w:val="000000"/>
                <w:sz w:val="22"/>
                <w:szCs w:val="22"/>
                <w:lang w:val="es-CO" w:eastAsia="es-CO"/>
              </w:rPr>
              <w:t> </w:t>
            </w:r>
          </w:p>
        </w:tc>
        <w:tc>
          <w:tcPr>
            <w:tcW w:w="591" w:type="pct"/>
            <w:tcBorders>
              <w:top w:val="nil"/>
              <w:left w:val="nil"/>
              <w:bottom w:val="nil"/>
              <w:right w:val="nil"/>
            </w:tcBorders>
            <w:shd w:val="clear" w:color="000000" w:fill="FFFFFF"/>
            <w:noWrap/>
            <w:vAlign w:val="bottom"/>
            <w:hideMark/>
          </w:tcPr>
          <w:p w14:paraId="1F3E137D" w14:textId="77777777" w:rsidR="00B56E67" w:rsidRPr="00B56E67" w:rsidRDefault="00B56E67" w:rsidP="005655D3">
            <w:pPr>
              <w:jc w:val="right"/>
              <w:rPr>
                <w:rFonts w:ascii="Arial" w:hAnsi="Arial" w:cs="Arial"/>
                <w:color w:val="000000"/>
                <w:sz w:val="22"/>
                <w:szCs w:val="22"/>
                <w:lang w:val="es-CO" w:eastAsia="es-CO"/>
              </w:rPr>
            </w:pPr>
            <w:r w:rsidRPr="00B56E67">
              <w:rPr>
                <w:rFonts w:ascii="Arial" w:hAnsi="Arial" w:cs="Arial"/>
                <w:color w:val="000000"/>
                <w:sz w:val="22"/>
                <w:szCs w:val="22"/>
                <w:lang w:val="es-CO" w:eastAsia="es-CO"/>
              </w:rPr>
              <w:t> </w:t>
            </w:r>
          </w:p>
        </w:tc>
        <w:tc>
          <w:tcPr>
            <w:tcW w:w="791" w:type="pct"/>
            <w:tcBorders>
              <w:top w:val="nil"/>
              <w:left w:val="nil"/>
              <w:bottom w:val="nil"/>
              <w:right w:val="nil"/>
            </w:tcBorders>
            <w:shd w:val="clear" w:color="000000" w:fill="FFFFFF"/>
            <w:noWrap/>
            <w:vAlign w:val="bottom"/>
            <w:hideMark/>
          </w:tcPr>
          <w:p w14:paraId="2B7E5D75" w14:textId="77777777" w:rsidR="00B56E67" w:rsidRPr="00B56E67" w:rsidRDefault="00B56E67" w:rsidP="005655D3">
            <w:pPr>
              <w:jc w:val="right"/>
              <w:rPr>
                <w:rFonts w:ascii="Arial" w:hAnsi="Arial" w:cs="Arial"/>
                <w:color w:val="000000"/>
                <w:sz w:val="22"/>
                <w:szCs w:val="22"/>
                <w:lang w:val="es-CO" w:eastAsia="es-CO"/>
              </w:rPr>
            </w:pPr>
            <w:r w:rsidRPr="00B56E67">
              <w:rPr>
                <w:rFonts w:ascii="Arial" w:hAnsi="Arial" w:cs="Arial"/>
                <w:color w:val="000000"/>
                <w:sz w:val="22"/>
                <w:szCs w:val="22"/>
                <w:lang w:val="es-CO" w:eastAsia="es-CO"/>
              </w:rPr>
              <w:t> </w:t>
            </w:r>
          </w:p>
        </w:tc>
        <w:tc>
          <w:tcPr>
            <w:tcW w:w="910" w:type="pct"/>
            <w:tcBorders>
              <w:top w:val="nil"/>
              <w:left w:val="nil"/>
              <w:bottom w:val="nil"/>
              <w:right w:val="nil"/>
            </w:tcBorders>
            <w:shd w:val="clear" w:color="000000" w:fill="FFFFFF"/>
            <w:noWrap/>
            <w:vAlign w:val="bottom"/>
            <w:hideMark/>
          </w:tcPr>
          <w:p w14:paraId="29D42114" w14:textId="77777777" w:rsidR="00B56E67" w:rsidRPr="00B56E67" w:rsidRDefault="00B56E67" w:rsidP="005655D3">
            <w:pPr>
              <w:jc w:val="right"/>
              <w:rPr>
                <w:rFonts w:ascii="Arial" w:hAnsi="Arial" w:cs="Arial"/>
                <w:color w:val="000000"/>
                <w:sz w:val="22"/>
                <w:szCs w:val="22"/>
                <w:lang w:val="es-CO" w:eastAsia="es-CO"/>
              </w:rPr>
            </w:pPr>
            <w:r w:rsidRPr="00B56E67">
              <w:rPr>
                <w:rFonts w:ascii="Arial" w:hAnsi="Arial" w:cs="Arial"/>
                <w:color w:val="000000"/>
                <w:sz w:val="22"/>
                <w:szCs w:val="22"/>
                <w:lang w:val="es-CO" w:eastAsia="es-CO"/>
              </w:rPr>
              <w:t> </w:t>
            </w:r>
          </w:p>
        </w:tc>
        <w:tc>
          <w:tcPr>
            <w:tcW w:w="591" w:type="pct"/>
            <w:tcBorders>
              <w:top w:val="nil"/>
              <w:left w:val="nil"/>
              <w:bottom w:val="nil"/>
              <w:right w:val="nil"/>
            </w:tcBorders>
            <w:shd w:val="clear" w:color="000000" w:fill="FFFFFF"/>
            <w:noWrap/>
            <w:vAlign w:val="bottom"/>
            <w:hideMark/>
          </w:tcPr>
          <w:p w14:paraId="4A05D25C" w14:textId="77777777" w:rsidR="00B56E67" w:rsidRPr="00B56E67" w:rsidRDefault="00B56E67" w:rsidP="005655D3">
            <w:pPr>
              <w:jc w:val="right"/>
              <w:rPr>
                <w:rFonts w:ascii="Arial" w:hAnsi="Arial" w:cs="Arial"/>
                <w:color w:val="000000"/>
                <w:sz w:val="22"/>
                <w:szCs w:val="22"/>
                <w:lang w:val="es-CO" w:eastAsia="es-CO"/>
              </w:rPr>
            </w:pPr>
            <w:r w:rsidRPr="00B56E67">
              <w:rPr>
                <w:rFonts w:ascii="Arial" w:hAnsi="Arial" w:cs="Arial"/>
                <w:color w:val="000000"/>
                <w:sz w:val="22"/>
                <w:szCs w:val="22"/>
                <w:lang w:val="es-CO" w:eastAsia="es-CO"/>
              </w:rPr>
              <w:t> </w:t>
            </w:r>
          </w:p>
        </w:tc>
        <w:tc>
          <w:tcPr>
            <w:tcW w:w="591" w:type="pct"/>
            <w:tcBorders>
              <w:top w:val="nil"/>
              <w:left w:val="nil"/>
              <w:bottom w:val="nil"/>
              <w:right w:val="nil"/>
            </w:tcBorders>
            <w:shd w:val="clear" w:color="000000" w:fill="FFFFFF"/>
            <w:noWrap/>
            <w:vAlign w:val="bottom"/>
            <w:hideMark/>
          </w:tcPr>
          <w:p w14:paraId="5C63E1F2" w14:textId="77777777" w:rsidR="00B56E67" w:rsidRPr="00B56E67" w:rsidRDefault="00B56E67" w:rsidP="005655D3">
            <w:pPr>
              <w:jc w:val="right"/>
              <w:rPr>
                <w:rFonts w:ascii="Arial" w:hAnsi="Arial" w:cs="Arial"/>
                <w:color w:val="000000"/>
                <w:sz w:val="22"/>
                <w:szCs w:val="22"/>
                <w:lang w:val="es-CO" w:eastAsia="es-CO"/>
              </w:rPr>
            </w:pPr>
            <w:r w:rsidRPr="00B56E67">
              <w:rPr>
                <w:rFonts w:ascii="Arial" w:hAnsi="Arial" w:cs="Arial"/>
                <w:color w:val="000000"/>
                <w:sz w:val="22"/>
                <w:szCs w:val="22"/>
                <w:lang w:val="es-CO" w:eastAsia="es-CO"/>
              </w:rPr>
              <w:t> </w:t>
            </w:r>
          </w:p>
        </w:tc>
        <w:tc>
          <w:tcPr>
            <w:tcW w:w="591" w:type="pct"/>
            <w:tcBorders>
              <w:top w:val="nil"/>
              <w:left w:val="nil"/>
              <w:bottom w:val="nil"/>
              <w:right w:val="nil"/>
            </w:tcBorders>
            <w:shd w:val="clear" w:color="000000" w:fill="FFFFFF"/>
            <w:noWrap/>
            <w:vAlign w:val="bottom"/>
            <w:hideMark/>
          </w:tcPr>
          <w:p w14:paraId="7EDFE889" w14:textId="77777777" w:rsidR="00B56E67" w:rsidRPr="00B56E67" w:rsidRDefault="00B56E67" w:rsidP="005655D3">
            <w:pPr>
              <w:jc w:val="right"/>
              <w:rPr>
                <w:rFonts w:ascii="Arial" w:hAnsi="Arial" w:cs="Arial"/>
                <w:color w:val="000000"/>
                <w:sz w:val="22"/>
                <w:szCs w:val="22"/>
                <w:lang w:val="es-CO" w:eastAsia="es-CO"/>
              </w:rPr>
            </w:pPr>
            <w:r w:rsidRPr="00B56E67">
              <w:rPr>
                <w:rFonts w:ascii="Arial" w:hAnsi="Arial" w:cs="Arial"/>
                <w:color w:val="000000"/>
                <w:sz w:val="22"/>
                <w:szCs w:val="22"/>
                <w:lang w:val="es-CO" w:eastAsia="es-CO"/>
              </w:rPr>
              <w:t> </w:t>
            </w:r>
          </w:p>
        </w:tc>
        <w:tc>
          <w:tcPr>
            <w:tcW w:w="617" w:type="pct"/>
            <w:tcBorders>
              <w:top w:val="nil"/>
              <w:left w:val="nil"/>
              <w:bottom w:val="nil"/>
              <w:right w:val="nil"/>
            </w:tcBorders>
            <w:shd w:val="clear" w:color="000000" w:fill="FFFFFF"/>
            <w:noWrap/>
            <w:vAlign w:val="bottom"/>
            <w:hideMark/>
          </w:tcPr>
          <w:p w14:paraId="6EE8D7FD" w14:textId="77777777" w:rsidR="00B56E67" w:rsidRPr="00B56E67" w:rsidRDefault="00B56E67" w:rsidP="005655D3">
            <w:pPr>
              <w:jc w:val="right"/>
              <w:rPr>
                <w:rFonts w:ascii="Arial" w:hAnsi="Arial" w:cs="Arial"/>
                <w:color w:val="000000"/>
                <w:sz w:val="22"/>
                <w:szCs w:val="22"/>
                <w:lang w:val="es-CO" w:eastAsia="es-CO"/>
              </w:rPr>
            </w:pPr>
            <w:r w:rsidRPr="00B56E67">
              <w:rPr>
                <w:rFonts w:ascii="Arial" w:hAnsi="Arial" w:cs="Arial"/>
                <w:color w:val="000000"/>
                <w:sz w:val="22"/>
                <w:szCs w:val="22"/>
                <w:lang w:val="es-CO" w:eastAsia="es-CO"/>
              </w:rPr>
              <w:t> </w:t>
            </w:r>
          </w:p>
        </w:tc>
      </w:tr>
      <w:tr w:rsidR="00B56E67" w:rsidRPr="00B56E67" w14:paraId="36E40CE3" w14:textId="77777777" w:rsidTr="00B56E67">
        <w:trPr>
          <w:trHeight w:val="300"/>
        </w:trPr>
        <w:tc>
          <w:tcPr>
            <w:tcW w:w="5000" w:type="pct"/>
            <w:gridSpan w:val="8"/>
            <w:tcBorders>
              <w:top w:val="nil"/>
              <w:left w:val="nil"/>
              <w:bottom w:val="nil"/>
              <w:right w:val="nil"/>
            </w:tcBorders>
            <w:shd w:val="clear" w:color="000000" w:fill="FFFFFF"/>
            <w:noWrap/>
            <w:vAlign w:val="bottom"/>
            <w:hideMark/>
          </w:tcPr>
          <w:p w14:paraId="6B65AE7E" w14:textId="77777777" w:rsidR="00B56E67" w:rsidRPr="00B56E67" w:rsidRDefault="00B56E67" w:rsidP="005655D3">
            <w:pPr>
              <w:jc w:val="right"/>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 </w:t>
            </w:r>
          </w:p>
        </w:tc>
      </w:tr>
      <w:tr w:rsidR="00B56E67" w:rsidRPr="00B56E67" w14:paraId="7443292E" w14:textId="77777777" w:rsidTr="00B56E67">
        <w:trPr>
          <w:trHeight w:val="300"/>
        </w:trPr>
        <w:tc>
          <w:tcPr>
            <w:tcW w:w="320" w:type="pct"/>
            <w:tcBorders>
              <w:top w:val="nil"/>
              <w:left w:val="nil"/>
              <w:bottom w:val="nil"/>
              <w:right w:val="nil"/>
            </w:tcBorders>
            <w:shd w:val="clear" w:color="000000" w:fill="FFFFFF"/>
            <w:noWrap/>
            <w:vAlign w:val="bottom"/>
            <w:hideMark/>
          </w:tcPr>
          <w:p w14:paraId="65CF36B5" w14:textId="77777777" w:rsidR="00B56E67" w:rsidRPr="00B56E67" w:rsidRDefault="00B56E67" w:rsidP="00B56E67">
            <w:pPr>
              <w:jc w:val="left"/>
              <w:rPr>
                <w:rFonts w:ascii="Arial" w:hAnsi="Arial" w:cs="Arial"/>
                <w:color w:val="000000"/>
                <w:sz w:val="22"/>
                <w:szCs w:val="22"/>
                <w:lang w:val="es-CO" w:eastAsia="es-CO"/>
              </w:rPr>
            </w:pPr>
            <w:r w:rsidRPr="00B56E67">
              <w:rPr>
                <w:rFonts w:ascii="Arial" w:hAnsi="Arial" w:cs="Arial"/>
                <w:color w:val="000000"/>
                <w:sz w:val="22"/>
                <w:szCs w:val="22"/>
                <w:lang w:val="es-CO" w:eastAsia="es-CO"/>
              </w:rPr>
              <w:t>% [1]</w:t>
            </w:r>
          </w:p>
        </w:tc>
        <w:tc>
          <w:tcPr>
            <w:tcW w:w="591" w:type="pct"/>
            <w:tcBorders>
              <w:top w:val="nil"/>
              <w:left w:val="nil"/>
              <w:bottom w:val="nil"/>
              <w:right w:val="nil"/>
            </w:tcBorders>
            <w:shd w:val="clear" w:color="000000" w:fill="FFFFFF"/>
            <w:noWrap/>
            <w:vAlign w:val="bottom"/>
            <w:hideMark/>
          </w:tcPr>
          <w:p w14:paraId="59729A37" w14:textId="661654B2"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85</w:t>
            </w:r>
          </w:p>
        </w:tc>
        <w:tc>
          <w:tcPr>
            <w:tcW w:w="791" w:type="pct"/>
            <w:tcBorders>
              <w:top w:val="nil"/>
              <w:left w:val="nil"/>
              <w:bottom w:val="nil"/>
              <w:right w:val="nil"/>
            </w:tcBorders>
            <w:shd w:val="clear" w:color="000000" w:fill="FFFFFF"/>
            <w:noWrap/>
            <w:vAlign w:val="bottom"/>
            <w:hideMark/>
          </w:tcPr>
          <w:p w14:paraId="1C930F5E" w14:textId="293EA242"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90</w:t>
            </w:r>
          </w:p>
        </w:tc>
        <w:tc>
          <w:tcPr>
            <w:tcW w:w="910" w:type="pct"/>
            <w:tcBorders>
              <w:top w:val="nil"/>
              <w:left w:val="nil"/>
              <w:bottom w:val="nil"/>
              <w:right w:val="nil"/>
            </w:tcBorders>
            <w:shd w:val="clear" w:color="000000" w:fill="FFFFFF"/>
            <w:noWrap/>
            <w:vAlign w:val="bottom"/>
            <w:hideMark/>
          </w:tcPr>
          <w:p w14:paraId="50C14564" w14:textId="4B9E0B24"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92</w:t>
            </w:r>
          </w:p>
        </w:tc>
        <w:tc>
          <w:tcPr>
            <w:tcW w:w="591" w:type="pct"/>
            <w:tcBorders>
              <w:top w:val="nil"/>
              <w:left w:val="nil"/>
              <w:bottom w:val="nil"/>
              <w:right w:val="nil"/>
            </w:tcBorders>
            <w:shd w:val="clear" w:color="000000" w:fill="FFFFFF"/>
            <w:noWrap/>
            <w:vAlign w:val="bottom"/>
            <w:hideMark/>
          </w:tcPr>
          <w:p w14:paraId="218FE8AB" w14:textId="6984C32B"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94</w:t>
            </w:r>
          </w:p>
        </w:tc>
        <w:tc>
          <w:tcPr>
            <w:tcW w:w="591" w:type="pct"/>
            <w:tcBorders>
              <w:top w:val="nil"/>
              <w:left w:val="nil"/>
              <w:bottom w:val="nil"/>
              <w:right w:val="nil"/>
            </w:tcBorders>
            <w:shd w:val="clear" w:color="000000" w:fill="FFFFFF"/>
            <w:noWrap/>
            <w:vAlign w:val="bottom"/>
            <w:hideMark/>
          </w:tcPr>
          <w:p w14:paraId="28DDABB5" w14:textId="2C1D1082"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96</w:t>
            </w:r>
          </w:p>
        </w:tc>
        <w:tc>
          <w:tcPr>
            <w:tcW w:w="591" w:type="pct"/>
            <w:tcBorders>
              <w:top w:val="nil"/>
              <w:left w:val="nil"/>
              <w:bottom w:val="nil"/>
              <w:right w:val="nil"/>
            </w:tcBorders>
            <w:shd w:val="clear" w:color="000000" w:fill="FFFFFF"/>
            <w:noWrap/>
            <w:vAlign w:val="bottom"/>
            <w:hideMark/>
          </w:tcPr>
          <w:p w14:paraId="5B111273" w14:textId="4A7DE9CE"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98</w:t>
            </w:r>
          </w:p>
        </w:tc>
        <w:tc>
          <w:tcPr>
            <w:tcW w:w="617" w:type="pct"/>
            <w:tcBorders>
              <w:top w:val="nil"/>
              <w:left w:val="nil"/>
              <w:bottom w:val="nil"/>
              <w:right w:val="nil"/>
            </w:tcBorders>
            <w:shd w:val="clear" w:color="000000" w:fill="FFFFFF"/>
            <w:noWrap/>
            <w:vAlign w:val="bottom"/>
            <w:hideMark/>
          </w:tcPr>
          <w:p w14:paraId="38FD9B7F" w14:textId="3F1454B6" w:rsidR="00B56E67" w:rsidRPr="00B56E67" w:rsidRDefault="00B56E67" w:rsidP="005655D3">
            <w:pPr>
              <w:jc w:val="center"/>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100</w:t>
            </w:r>
          </w:p>
        </w:tc>
      </w:tr>
      <w:tr w:rsidR="00B56E67" w:rsidRPr="00B56E67" w14:paraId="5D13F726" w14:textId="77777777" w:rsidTr="00B56E67">
        <w:trPr>
          <w:trHeight w:val="300"/>
        </w:trPr>
        <w:tc>
          <w:tcPr>
            <w:tcW w:w="320" w:type="pct"/>
            <w:tcBorders>
              <w:top w:val="nil"/>
              <w:left w:val="nil"/>
              <w:bottom w:val="nil"/>
              <w:right w:val="nil"/>
            </w:tcBorders>
            <w:shd w:val="clear" w:color="000000" w:fill="FFFFFF"/>
            <w:noWrap/>
            <w:vAlign w:val="bottom"/>
            <w:hideMark/>
          </w:tcPr>
          <w:p w14:paraId="4F8FC5F1" w14:textId="77777777" w:rsidR="00B56E67" w:rsidRPr="00B56E67" w:rsidRDefault="00B56E67" w:rsidP="00B56E67">
            <w:pPr>
              <w:jc w:val="left"/>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CF</w:t>
            </w:r>
          </w:p>
        </w:tc>
        <w:tc>
          <w:tcPr>
            <w:tcW w:w="591" w:type="pct"/>
            <w:tcBorders>
              <w:top w:val="nil"/>
              <w:left w:val="nil"/>
              <w:bottom w:val="nil"/>
              <w:right w:val="nil"/>
            </w:tcBorders>
            <w:shd w:val="clear" w:color="000000" w:fill="FFFFFF"/>
            <w:noWrap/>
            <w:vAlign w:val="bottom"/>
            <w:hideMark/>
          </w:tcPr>
          <w:p w14:paraId="59A98EAF"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451,840 </w:t>
            </w:r>
          </w:p>
        </w:tc>
        <w:tc>
          <w:tcPr>
            <w:tcW w:w="791" w:type="pct"/>
            <w:tcBorders>
              <w:top w:val="nil"/>
              <w:left w:val="nil"/>
              <w:bottom w:val="nil"/>
              <w:right w:val="nil"/>
            </w:tcBorders>
            <w:shd w:val="clear" w:color="000000" w:fill="FFFFFF"/>
            <w:noWrap/>
            <w:vAlign w:val="bottom"/>
            <w:hideMark/>
          </w:tcPr>
          <w:p w14:paraId="58D3AB23"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478,419 </w:t>
            </w:r>
          </w:p>
        </w:tc>
        <w:tc>
          <w:tcPr>
            <w:tcW w:w="910" w:type="pct"/>
            <w:tcBorders>
              <w:top w:val="nil"/>
              <w:left w:val="nil"/>
              <w:bottom w:val="nil"/>
              <w:right w:val="nil"/>
            </w:tcBorders>
            <w:shd w:val="clear" w:color="000000" w:fill="FFFFFF"/>
            <w:noWrap/>
            <w:vAlign w:val="bottom"/>
            <w:hideMark/>
          </w:tcPr>
          <w:p w14:paraId="4B593634"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489,050 </w:t>
            </w:r>
          </w:p>
        </w:tc>
        <w:tc>
          <w:tcPr>
            <w:tcW w:w="591" w:type="pct"/>
            <w:tcBorders>
              <w:top w:val="nil"/>
              <w:left w:val="nil"/>
              <w:bottom w:val="nil"/>
              <w:right w:val="nil"/>
            </w:tcBorders>
            <w:shd w:val="clear" w:color="000000" w:fill="FFFFFF"/>
            <w:noWrap/>
            <w:vAlign w:val="bottom"/>
            <w:hideMark/>
          </w:tcPr>
          <w:p w14:paraId="38815696"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499,682 </w:t>
            </w:r>
          </w:p>
        </w:tc>
        <w:tc>
          <w:tcPr>
            <w:tcW w:w="591" w:type="pct"/>
            <w:tcBorders>
              <w:top w:val="nil"/>
              <w:left w:val="nil"/>
              <w:bottom w:val="nil"/>
              <w:right w:val="nil"/>
            </w:tcBorders>
            <w:shd w:val="clear" w:color="000000" w:fill="FFFFFF"/>
            <w:noWrap/>
            <w:vAlign w:val="bottom"/>
            <w:hideMark/>
          </w:tcPr>
          <w:p w14:paraId="54E38F55"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510,313 </w:t>
            </w:r>
          </w:p>
        </w:tc>
        <w:tc>
          <w:tcPr>
            <w:tcW w:w="591" w:type="pct"/>
            <w:tcBorders>
              <w:top w:val="nil"/>
              <w:left w:val="nil"/>
              <w:bottom w:val="nil"/>
              <w:right w:val="nil"/>
            </w:tcBorders>
            <w:shd w:val="clear" w:color="000000" w:fill="FFFFFF"/>
            <w:noWrap/>
            <w:vAlign w:val="bottom"/>
            <w:hideMark/>
          </w:tcPr>
          <w:p w14:paraId="38FE9DB9"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520,945 </w:t>
            </w:r>
          </w:p>
        </w:tc>
        <w:tc>
          <w:tcPr>
            <w:tcW w:w="617" w:type="pct"/>
            <w:tcBorders>
              <w:top w:val="nil"/>
              <w:left w:val="nil"/>
              <w:bottom w:val="nil"/>
              <w:right w:val="nil"/>
            </w:tcBorders>
            <w:shd w:val="clear" w:color="000000" w:fill="FFFFFF"/>
            <w:noWrap/>
            <w:vAlign w:val="bottom"/>
            <w:hideMark/>
          </w:tcPr>
          <w:p w14:paraId="1AF5A6FD"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531,576 </w:t>
            </w:r>
          </w:p>
        </w:tc>
      </w:tr>
      <w:tr w:rsidR="00B56E67" w:rsidRPr="00B56E67" w14:paraId="24E872A8" w14:textId="77777777" w:rsidTr="00B56E67">
        <w:trPr>
          <w:trHeight w:val="315"/>
        </w:trPr>
        <w:tc>
          <w:tcPr>
            <w:tcW w:w="320" w:type="pct"/>
            <w:tcBorders>
              <w:top w:val="nil"/>
              <w:left w:val="nil"/>
              <w:bottom w:val="single" w:sz="8" w:space="0" w:color="auto"/>
              <w:right w:val="nil"/>
            </w:tcBorders>
            <w:shd w:val="clear" w:color="000000" w:fill="FFFFFF"/>
            <w:noWrap/>
            <w:vAlign w:val="bottom"/>
            <w:hideMark/>
          </w:tcPr>
          <w:p w14:paraId="61FD5255" w14:textId="77777777" w:rsidR="00B56E67" w:rsidRPr="00B56E67" w:rsidRDefault="00B56E67" w:rsidP="00B56E67">
            <w:pPr>
              <w:jc w:val="left"/>
              <w:rPr>
                <w:rFonts w:ascii="Arial" w:hAnsi="Arial" w:cs="Arial"/>
                <w:b/>
                <w:bCs/>
                <w:color w:val="000000"/>
                <w:sz w:val="22"/>
                <w:szCs w:val="22"/>
                <w:lang w:val="es-CO" w:eastAsia="es-CO"/>
              </w:rPr>
            </w:pPr>
            <w:r w:rsidRPr="00B56E67">
              <w:rPr>
                <w:rFonts w:ascii="Arial" w:hAnsi="Arial" w:cs="Arial"/>
                <w:b/>
                <w:bCs/>
                <w:color w:val="000000"/>
                <w:sz w:val="22"/>
                <w:szCs w:val="22"/>
                <w:lang w:val="es-CO" w:eastAsia="es-CO"/>
              </w:rPr>
              <w:t>CV</w:t>
            </w:r>
          </w:p>
        </w:tc>
        <w:tc>
          <w:tcPr>
            <w:tcW w:w="591" w:type="pct"/>
            <w:tcBorders>
              <w:top w:val="nil"/>
              <w:left w:val="nil"/>
              <w:bottom w:val="single" w:sz="8" w:space="0" w:color="auto"/>
              <w:right w:val="nil"/>
            </w:tcBorders>
            <w:shd w:val="clear" w:color="000000" w:fill="FFFFFF"/>
            <w:noWrap/>
            <w:vAlign w:val="bottom"/>
            <w:hideMark/>
          </w:tcPr>
          <w:p w14:paraId="4E4C6570"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0,281 </w:t>
            </w:r>
          </w:p>
        </w:tc>
        <w:tc>
          <w:tcPr>
            <w:tcW w:w="791" w:type="pct"/>
            <w:tcBorders>
              <w:top w:val="nil"/>
              <w:left w:val="nil"/>
              <w:bottom w:val="single" w:sz="8" w:space="0" w:color="auto"/>
              <w:right w:val="nil"/>
            </w:tcBorders>
            <w:shd w:val="clear" w:color="000000" w:fill="FFFFFF"/>
            <w:noWrap/>
            <w:vAlign w:val="bottom"/>
            <w:hideMark/>
          </w:tcPr>
          <w:p w14:paraId="63DC5C5E"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0,188 </w:t>
            </w:r>
          </w:p>
        </w:tc>
        <w:tc>
          <w:tcPr>
            <w:tcW w:w="910" w:type="pct"/>
            <w:tcBorders>
              <w:top w:val="nil"/>
              <w:left w:val="nil"/>
              <w:bottom w:val="single" w:sz="8" w:space="0" w:color="auto"/>
              <w:right w:val="nil"/>
            </w:tcBorders>
            <w:shd w:val="clear" w:color="000000" w:fill="FFFFFF"/>
            <w:noWrap/>
            <w:vAlign w:val="bottom"/>
            <w:hideMark/>
          </w:tcPr>
          <w:p w14:paraId="17D06475"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0,150 </w:t>
            </w:r>
          </w:p>
        </w:tc>
        <w:tc>
          <w:tcPr>
            <w:tcW w:w="591" w:type="pct"/>
            <w:tcBorders>
              <w:top w:val="nil"/>
              <w:left w:val="nil"/>
              <w:bottom w:val="single" w:sz="8" w:space="0" w:color="auto"/>
              <w:right w:val="nil"/>
            </w:tcBorders>
            <w:shd w:val="clear" w:color="000000" w:fill="FFFFFF"/>
            <w:noWrap/>
            <w:vAlign w:val="bottom"/>
            <w:hideMark/>
          </w:tcPr>
          <w:p w14:paraId="30AA9BF8"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0,113 </w:t>
            </w:r>
          </w:p>
        </w:tc>
        <w:tc>
          <w:tcPr>
            <w:tcW w:w="591" w:type="pct"/>
            <w:tcBorders>
              <w:top w:val="nil"/>
              <w:left w:val="nil"/>
              <w:bottom w:val="single" w:sz="8" w:space="0" w:color="auto"/>
              <w:right w:val="nil"/>
            </w:tcBorders>
            <w:shd w:val="clear" w:color="000000" w:fill="FFFFFF"/>
            <w:noWrap/>
            <w:vAlign w:val="bottom"/>
            <w:hideMark/>
          </w:tcPr>
          <w:p w14:paraId="1C2E4D2A"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0,075 </w:t>
            </w:r>
          </w:p>
        </w:tc>
        <w:tc>
          <w:tcPr>
            <w:tcW w:w="591" w:type="pct"/>
            <w:tcBorders>
              <w:top w:val="nil"/>
              <w:left w:val="nil"/>
              <w:bottom w:val="single" w:sz="8" w:space="0" w:color="auto"/>
              <w:right w:val="nil"/>
            </w:tcBorders>
            <w:shd w:val="clear" w:color="000000" w:fill="FFFFFF"/>
            <w:noWrap/>
            <w:vAlign w:val="bottom"/>
            <w:hideMark/>
          </w:tcPr>
          <w:p w14:paraId="37531674"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0,038 </w:t>
            </w:r>
          </w:p>
        </w:tc>
        <w:tc>
          <w:tcPr>
            <w:tcW w:w="617" w:type="pct"/>
            <w:tcBorders>
              <w:top w:val="nil"/>
              <w:left w:val="nil"/>
              <w:bottom w:val="single" w:sz="8" w:space="0" w:color="auto"/>
              <w:right w:val="nil"/>
            </w:tcBorders>
            <w:shd w:val="clear" w:color="000000" w:fill="FFFFFF"/>
            <w:noWrap/>
            <w:vAlign w:val="bottom"/>
            <w:hideMark/>
          </w:tcPr>
          <w:p w14:paraId="099143F3" w14:textId="77777777" w:rsidR="00B56E67" w:rsidRPr="00B56E67" w:rsidRDefault="00B56E67" w:rsidP="005655D3">
            <w:pPr>
              <w:jc w:val="right"/>
              <w:rPr>
                <w:rFonts w:ascii="Arial" w:hAnsi="Arial" w:cs="Arial"/>
                <w:color w:val="000000"/>
                <w:sz w:val="20"/>
                <w:szCs w:val="20"/>
                <w:lang w:val="es-CO" w:eastAsia="es-CO"/>
              </w:rPr>
            </w:pPr>
            <w:r w:rsidRPr="00B56E67">
              <w:rPr>
                <w:rFonts w:ascii="Arial" w:hAnsi="Arial" w:cs="Arial"/>
                <w:color w:val="000000"/>
                <w:sz w:val="20"/>
                <w:szCs w:val="20"/>
                <w:lang w:val="es-CO" w:eastAsia="es-CO"/>
              </w:rPr>
              <w:t xml:space="preserve">               -   </w:t>
            </w:r>
          </w:p>
        </w:tc>
      </w:tr>
      <w:tr w:rsidR="00B56E67" w:rsidRPr="00B56E67" w14:paraId="3FD62079" w14:textId="77777777" w:rsidTr="00B56E67">
        <w:trPr>
          <w:trHeight w:val="300"/>
        </w:trPr>
        <w:tc>
          <w:tcPr>
            <w:tcW w:w="5000" w:type="pct"/>
            <w:gridSpan w:val="8"/>
            <w:tcBorders>
              <w:top w:val="nil"/>
              <w:left w:val="nil"/>
              <w:bottom w:val="nil"/>
              <w:right w:val="nil"/>
            </w:tcBorders>
            <w:shd w:val="clear" w:color="auto" w:fill="auto"/>
            <w:vAlign w:val="center"/>
            <w:hideMark/>
          </w:tcPr>
          <w:p w14:paraId="04836569" w14:textId="77777777" w:rsidR="00B56E67" w:rsidRPr="00B56E67" w:rsidRDefault="00B56E67" w:rsidP="00B56E67">
            <w:pPr>
              <w:jc w:val="left"/>
              <w:rPr>
                <w:rFonts w:ascii="Arial" w:hAnsi="Arial" w:cs="Arial"/>
                <w:color w:val="000000"/>
                <w:sz w:val="16"/>
                <w:szCs w:val="16"/>
                <w:lang w:val="es-CO" w:eastAsia="es-CO"/>
              </w:rPr>
            </w:pPr>
            <w:r w:rsidRPr="00B56E67">
              <w:rPr>
                <w:rFonts w:ascii="Arial" w:hAnsi="Arial" w:cs="Arial"/>
                <w:color w:val="000000"/>
                <w:sz w:val="16"/>
                <w:szCs w:val="16"/>
                <w:lang w:val="es-CO" w:eastAsia="es-CO"/>
              </w:rPr>
              <w:t xml:space="preserve">C.F. = Cargo fijo expresado en US $ de diciembre 31 de 2009 por kpcd-año                             </w:t>
            </w:r>
          </w:p>
        </w:tc>
      </w:tr>
      <w:tr w:rsidR="00B56E67" w:rsidRPr="00B56E67" w14:paraId="201DB8EF" w14:textId="77777777" w:rsidTr="00B56E67">
        <w:trPr>
          <w:trHeight w:val="300"/>
        </w:trPr>
        <w:tc>
          <w:tcPr>
            <w:tcW w:w="5000" w:type="pct"/>
            <w:gridSpan w:val="8"/>
            <w:tcBorders>
              <w:top w:val="nil"/>
              <w:left w:val="nil"/>
              <w:bottom w:val="nil"/>
              <w:right w:val="nil"/>
            </w:tcBorders>
            <w:shd w:val="clear" w:color="auto" w:fill="auto"/>
            <w:vAlign w:val="center"/>
            <w:hideMark/>
          </w:tcPr>
          <w:p w14:paraId="14A885B2" w14:textId="77777777" w:rsidR="00B56E67" w:rsidRPr="00B56E67" w:rsidRDefault="00B56E67" w:rsidP="00B56E67">
            <w:pPr>
              <w:jc w:val="left"/>
              <w:rPr>
                <w:rFonts w:ascii="Arial" w:hAnsi="Arial" w:cs="Arial"/>
                <w:color w:val="000000"/>
                <w:sz w:val="16"/>
                <w:szCs w:val="16"/>
                <w:lang w:val="es-CO" w:eastAsia="es-CO"/>
              </w:rPr>
            </w:pPr>
            <w:r w:rsidRPr="00B56E67">
              <w:rPr>
                <w:rFonts w:ascii="Arial" w:hAnsi="Arial" w:cs="Arial"/>
                <w:color w:val="000000"/>
                <w:sz w:val="16"/>
                <w:szCs w:val="16"/>
                <w:lang w:val="es-CO" w:eastAsia="es-CO"/>
              </w:rPr>
              <w:t xml:space="preserve">C.V. = Cargo variable expresado en US $ de diciembre 31 de 2009 por kpc </w:t>
            </w:r>
          </w:p>
        </w:tc>
      </w:tr>
      <w:tr w:rsidR="00B56E67" w:rsidRPr="00B56E67" w14:paraId="23633AC5" w14:textId="77777777" w:rsidTr="00B56E67">
        <w:trPr>
          <w:trHeight w:val="300"/>
        </w:trPr>
        <w:tc>
          <w:tcPr>
            <w:tcW w:w="5000" w:type="pct"/>
            <w:gridSpan w:val="8"/>
            <w:tcBorders>
              <w:top w:val="nil"/>
              <w:left w:val="nil"/>
              <w:bottom w:val="nil"/>
              <w:right w:val="nil"/>
            </w:tcBorders>
            <w:shd w:val="clear" w:color="auto" w:fill="auto"/>
            <w:vAlign w:val="center"/>
            <w:hideMark/>
          </w:tcPr>
          <w:p w14:paraId="2F4C764D" w14:textId="77777777" w:rsidR="00B56E67" w:rsidRPr="00B56E67" w:rsidRDefault="00B56E67" w:rsidP="00B56E67">
            <w:pPr>
              <w:jc w:val="left"/>
              <w:rPr>
                <w:rFonts w:ascii="Arial" w:hAnsi="Arial" w:cs="Arial"/>
                <w:color w:val="000000"/>
                <w:sz w:val="16"/>
                <w:szCs w:val="16"/>
                <w:lang w:val="es-CO" w:eastAsia="es-CO"/>
              </w:rPr>
            </w:pPr>
            <w:r w:rsidRPr="00B56E67">
              <w:rPr>
                <w:rFonts w:ascii="Arial" w:hAnsi="Arial" w:cs="Arial"/>
                <w:color w:val="000000"/>
                <w:sz w:val="16"/>
                <w:szCs w:val="16"/>
                <w:lang w:val="es-CO" w:eastAsia="es-CO"/>
              </w:rPr>
              <w:t>% [1] Porcentaje de la inversión remunerada con cargo fijo</w:t>
            </w:r>
          </w:p>
        </w:tc>
      </w:tr>
      <w:tr w:rsidR="00B56E67" w:rsidRPr="00B56E67" w14:paraId="12AEE778" w14:textId="77777777" w:rsidTr="00B56E67">
        <w:trPr>
          <w:trHeight w:val="300"/>
        </w:trPr>
        <w:tc>
          <w:tcPr>
            <w:tcW w:w="5000" w:type="pct"/>
            <w:gridSpan w:val="8"/>
            <w:tcBorders>
              <w:top w:val="nil"/>
              <w:left w:val="nil"/>
              <w:bottom w:val="nil"/>
              <w:right w:val="nil"/>
            </w:tcBorders>
            <w:shd w:val="clear" w:color="auto" w:fill="auto"/>
            <w:vAlign w:val="center"/>
            <w:hideMark/>
          </w:tcPr>
          <w:p w14:paraId="30D26664" w14:textId="77777777" w:rsidR="00B56E67" w:rsidRPr="00B56E67" w:rsidRDefault="00B56E67" w:rsidP="00B56E67">
            <w:pPr>
              <w:jc w:val="left"/>
              <w:rPr>
                <w:rFonts w:ascii="Arial" w:hAnsi="Arial" w:cs="Arial"/>
                <w:color w:val="000000"/>
                <w:sz w:val="16"/>
                <w:szCs w:val="16"/>
                <w:lang w:val="es-CO" w:eastAsia="es-CO"/>
              </w:rPr>
            </w:pPr>
            <w:r w:rsidRPr="00B56E67">
              <w:rPr>
                <w:rFonts w:ascii="Arial" w:hAnsi="Arial" w:cs="Arial"/>
                <w:color w:val="000000"/>
                <w:sz w:val="16"/>
                <w:szCs w:val="16"/>
                <w:lang w:val="es-CO" w:eastAsia="es-CO"/>
              </w:rPr>
              <w:lastRenderedPageBreak/>
              <w:t>NOTA:   Para la interpretación de esta Resolución las cifras decimales se separan con coma y las cifras de miles se separan con punto</w:t>
            </w:r>
          </w:p>
        </w:tc>
      </w:tr>
    </w:tbl>
    <w:p w14:paraId="7EB86A52" w14:textId="54A8CB5A" w:rsidR="00F44F1F" w:rsidRDefault="00F44F1F" w:rsidP="001A5E46">
      <w:pPr>
        <w:ind w:left="284"/>
      </w:pPr>
    </w:p>
    <w:p w14:paraId="6A8E2617" w14:textId="77777777" w:rsidR="00F44F1F" w:rsidRPr="00F57931" w:rsidRDefault="00F44F1F" w:rsidP="001A5E46">
      <w:pPr>
        <w:ind w:left="284"/>
      </w:pPr>
    </w:p>
    <w:p w14:paraId="020004E4" w14:textId="4D394017" w:rsidR="001A5E46" w:rsidRPr="00F57931" w:rsidRDefault="001A5E46" w:rsidP="001A5E46">
      <w:pPr>
        <w:tabs>
          <w:tab w:val="left" w:pos="9356"/>
        </w:tabs>
        <w:ind w:left="284"/>
      </w:pPr>
      <w:r w:rsidRPr="00BA302F">
        <w:rPr>
          <w:b/>
          <w:bCs/>
        </w:rPr>
        <w:t>Parágrafo:</w:t>
      </w:r>
      <w:r w:rsidRPr="00F57931">
        <w:t xml:space="preserve"> Estos cargos no incluyen el impuesto de transporte de que trata el artículo 26 de la Ley 141 de 1994, ni la cuota de fomento establecida por el artículo 15 de la Ley 401 de 1997 y sus modificaciones. Dichos gravámenes deberán ser pagados por los sujetos pasivos señalados en las mencionadas normas.</w:t>
      </w:r>
      <w:r w:rsidR="005E548D">
        <w:t>”</w:t>
      </w:r>
    </w:p>
    <w:p w14:paraId="55C848C9" w14:textId="77777777" w:rsidR="00252BF8" w:rsidRPr="000D6799" w:rsidRDefault="00252BF8" w:rsidP="00347BF9"/>
    <w:p w14:paraId="7F9D3C6E" w14:textId="77777777" w:rsidR="000A0372" w:rsidRDefault="00FE37C1" w:rsidP="00347BF9">
      <w:pPr>
        <w:rPr>
          <w:rFonts w:cs="Arial"/>
        </w:rPr>
      </w:pPr>
      <w:r w:rsidRPr="000D6799">
        <w:rPr>
          <w:rFonts w:cs="Arial"/>
          <w:b/>
        </w:rPr>
        <w:t xml:space="preserve">Artículo </w:t>
      </w:r>
      <w:r w:rsidR="006B70A9">
        <w:rPr>
          <w:rFonts w:cs="Arial"/>
          <w:b/>
        </w:rPr>
        <w:t>3</w:t>
      </w:r>
      <w:r w:rsidRPr="000D6799">
        <w:rPr>
          <w:rFonts w:cs="Arial"/>
          <w:b/>
        </w:rPr>
        <w:t xml:space="preserve">. </w:t>
      </w:r>
      <w:r w:rsidR="0038364D">
        <w:rPr>
          <w:rFonts w:cs="Arial"/>
        </w:rPr>
        <w:t xml:space="preserve">Remplazar el Anexo 1 de la Resolución CREG </w:t>
      </w:r>
      <w:r w:rsidR="001A5E46">
        <w:rPr>
          <w:rFonts w:cs="Arial"/>
        </w:rPr>
        <w:t xml:space="preserve">111 de 2011 </w:t>
      </w:r>
      <w:r w:rsidR="0038364D">
        <w:rPr>
          <w:rFonts w:cs="Arial"/>
        </w:rPr>
        <w:t>por el Anexo 1 de la presente Resolución.</w:t>
      </w:r>
    </w:p>
    <w:p w14:paraId="4E245101" w14:textId="77777777" w:rsidR="00372F3D" w:rsidRDefault="00372F3D" w:rsidP="00347BF9">
      <w:pPr>
        <w:rPr>
          <w:rFonts w:cs="Arial"/>
        </w:rPr>
      </w:pPr>
    </w:p>
    <w:p w14:paraId="624475BE" w14:textId="0EF79405" w:rsidR="00C155AF" w:rsidRPr="000D6799" w:rsidRDefault="00003378" w:rsidP="00347BF9">
      <w:pPr>
        <w:tabs>
          <w:tab w:val="left" w:pos="1418"/>
        </w:tabs>
        <w:rPr>
          <w:rFonts w:cs="Arial"/>
          <w:b/>
          <w:bCs/>
          <w:spacing w:val="-4"/>
        </w:rPr>
      </w:pPr>
      <w:r w:rsidRPr="000D6799">
        <w:rPr>
          <w:rFonts w:cs="Arial"/>
          <w:b/>
        </w:rPr>
        <w:t>Art</w:t>
      </w:r>
      <w:r w:rsidR="00CB58AA" w:rsidRPr="000D6799">
        <w:rPr>
          <w:rFonts w:cs="Arial"/>
          <w:b/>
        </w:rPr>
        <w:t xml:space="preserve">ículo </w:t>
      </w:r>
      <w:r w:rsidR="001A5E46">
        <w:rPr>
          <w:rFonts w:cs="Arial"/>
          <w:b/>
        </w:rPr>
        <w:t>4</w:t>
      </w:r>
      <w:r w:rsidRPr="000D6799">
        <w:rPr>
          <w:rFonts w:cs="Arial"/>
          <w:b/>
        </w:rPr>
        <w:t xml:space="preserve">. </w:t>
      </w:r>
      <w:r w:rsidR="00EA6D5C" w:rsidRPr="000D6799">
        <w:rPr>
          <w:rFonts w:cs="Arial"/>
          <w:b/>
        </w:rPr>
        <w:t xml:space="preserve">Recursos. </w:t>
      </w:r>
      <w:r w:rsidR="00252BF8">
        <w:t>Notificar a la</w:t>
      </w:r>
      <w:r w:rsidR="001A5E46">
        <w:t xml:space="preserve"> empresa Promioriente</w:t>
      </w:r>
      <w:r w:rsidR="00C155AF" w:rsidRPr="000D6799">
        <w:t xml:space="preserve"> S.A. E.S.P. el contenido de esta </w:t>
      </w:r>
      <w:r w:rsidR="00311A43">
        <w:t>R</w:t>
      </w:r>
      <w:r w:rsidR="00311A43" w:rsidRPr="000D6799">
        <w:t xml:space="preserve">esolución </w:t>
      </w:r>
      <w:r w:rsidR="00C155AF" w:rsidRPr="000D6799">
        <w:t>y</w:t>
      </w:r>
      <w:r w:rsidR="0074619C">
        <w:t>,</w:t>
      </w:r>
      <w:r w:rsidR="00C155AF" w:rsidRPr="000D6799">
        <w:t xml:space="preserve"> </w:t>
      </w:r>
      <w:r w:rsidR="005E548D">
        <w:t>una vez en firme</w:t>
      </w:r>
      <w:r w:rsidR="0074619C">
        <w:t>,</w:t>
      </w:r>
      <w:r w:rsidR="005E548D">
        <w:t xml:space="preserve"> </w:t>
      </w:r>
      <w:r w:rsidR="00C155AF" w:rsidRPr="000D6799">
        <w:t>publicar</w:t>
      </w:r>
      <w:r w:rsidR="009D4A99">
        <w:t>la</w:t>
      </w:r>
      <w:r w:rsidR="00C155AF" w:rsidRPr="000D6799">
        <w:t xml:space="preserve"> en el </w:t>
      </w:r>
      <w:r w:rsidR="00C155AF" w:rsidRPr="000D6799">
        <w:rPr>
          <w:i/>
        </w:rPr>
        <w:t>Diario Oficial</w:t>
      </w:r>
      <w:r w:rsidR="00C155AF" w:rsidRPr="000D6799">
        <w:t xml:space="preserve">. Contra lo dispuesto en este acto procede el recurso de reposición, el cual se podrá interponer ante la Dirección Ejecutiva de la CREG dentro de los cinco (5) días hábiles siguientes a la fecha de su notificación. </w:t>
      </w:r>
    </w:p>
    <w:p w14:paraId="7765E6D1" w14:textId="77777777" w:rsidR="00C155AF" w:rsidRDefault="00C155AF" w:rsidP="00347BF9">
      <w:pPr>
        <w:jc w:val="left"/>
        <w:rPr>
          <w:rFonts w:cs="Arial"/>
          <w:spacing w:val="-4"/>
        </w:rPr>
      </w:pPr>
    </w:p>
    <w:p w14:paraId="1B54D63D" w14:textId="77777777" w:rsidR="006654A0" w:rsidRPr="000D6799" w:rsidRDefault="006654A0" w:rsidP="00347BF9">
      <w:pPr>
        <w:jc w:val="left"/>
        <w:rPr>
          <w:rFonts w:cs="Arial"/>
          <w:spacing w:val="-4"/>
        </w:rPr>
      </w:pPr>
    </w:p>
    <w:p w14:paraId="20ABB4CF" w14:textId="77777777" w:rsidR="00C5738F" w:rsidRPr="000D6799" w:rsidRDefault="00C155AF" w:rsidP="00347BF9">
      <w:pPr>
        <w:jc w:val="center"/>
        <w:rPr>
          <w:rFonts w:cs="Arial"/>
          <w:b/>
        </w:rPr>
      </w:pPr>
      <w:r w:rsidRPr="000D6799">
        <w:rPr>
          <w:rFonts w:cs="Arial"/>
          <w:b/>
        </w:rPr>
        <w:t>NOTI</w:t>
      </w:r>
      <w:r w:rsidR="00945C78">
        <w:rPr>
          <w:rFonts w:cs="Arial"/>
          <w:b/>
        </w:rPr>
        <w:t>FÍQUESE, PUBLÍQUESE Y CÚMPLASE</w:t>
      </w:r>
    </w:p>
    <w:p w14:paraId="76442A16" w14:textId="77777777" w:rsidR="00D74080" w:rsidRDefault="00D74080" w:rsidP="00347BF9">
      <w:pPr>
        <w:pStyle w:val="ARTICULOS"/>
        <w:numPr>
          <w:ilvl w:val="0"/>
          <w:numId w:val="0"/>
        </w:numPr>
        <w:tabs>
          <w:tab w:val="left" w:pos="567"/>
        </w:tabs>
        <w:rPr>
          <w:b/>
          <w:lang w:val="es-CO"/>
        </w:rPr>
      </w:pPr>
    </w:p>
    <w:p w14:paraId="300F735F" w14:textId="27360A3A" w:rsidR="00945C78" w:rsidRPr="00945C78" w:rsidRDefault="00945C78" w:rsidP="00347BF9">
      <w:pPr>
        <w:jc w:val="left"/>
      </w:pPr>
      <w:r w:rsidRPr="00945C78">
        <w:t xml:space="preserve">Dada en Bogotá D.C., </w:t>
      </w:r>
      <w:r w:rsidR="009C1C9F" w:rsidRPr="009C1C9F">
        <w:rPr>
          <w:b/>
          <w:bCs/>
        </w:rPr>
        <w:t>01 JUL. 2022</w:t>
      </w:r>
    </w:p>
    <w:p w14:paraId="5BC9D435" w14:textId="77777777" w:rsidR="00945C78" w:rsidRDefault="00945C78" w:rsidP="00347BF9">
      <w:pPr>
        <w:jc w:val="left"/>
      </w:pPr>
    </w:p>
    <w:p w14:paraId="68DEE725" w14:textId="77777777" w:rsidR="008C0D2A" w:rsidRDefault="008C0D2A" w:rsidP="00347BF9">
      <w:pPr>
        <w:jc w:val="left"/>
      </w:pPr>
    </w:p>
    <w:p w14:paraId="6CDCA59E" w14:textId="77777777" w:rsidR="008C0D2A" w:rsidRDefault="008C0D2A" w:rsidP="00347BF9">
      <w:pPr>
        <w:jc w:val="left"/>
      </w:pPr>
    </w:p>
    <w:p w14:paraId="67CA9828" w14:textId="77777777" w:rsidR="008C0D2A" w:rsidRPr="00945C78" w:rsidRDefault="008C0D2A" w:rsidP="00347BF9">
      <w:pPr>
        <w:jc w:val="left"/>
      </w:pPr>
    </w:p>
    <w:tbl>
      <w:tblPr>
        <w:tblW w:w="0" w:type="auto"/>
        <w:tblInd w:w="-142" w:type="dxa"/>
        <w:tblLayout w:type="fixed"/>
        <w:tblCellMar>
          <w:left w:w="0" w:type="dxa"/>
          <w:right w:w="0" w:type="dxa"/>
        </w:tblCellMar>
        <w:tblLook w:val="04A0" w:firstRow="1" w:lastRow="0" w:firstColumn="1" w:lastColumn="0" w:noHBand="0" w:noVBand="1"/>
      </w:tblPr>
      <w:tblGrid>
        <w:gridCol w:w="4820"/>
        <w:gridCol w:w="4678"/>
      </w:tblGrid>
      <w:tr w:rsidR="008C0D2A" w14:paraId="6C9C1D0F" w14:textId="77777777" w:rsidTr="00724EDB">
        <w:tc>
          <w:tcPr>
            <w:tcW w:w="4820" w:type="dxa"/>
            <w:hideMark/>
          </w:tcPr>
          <w:p w14:paraId="623C16D0" w14:textId="484AC1FB" w:rsidR="008C0D2A" w:rsidRDefault="0074619C" w:rsidP="003B65F1">
            <w:pPr>
              <w:snapToGrid w:val="0"/>
              <w:jc w:val="center"/>
              <w:rPr>
                <w:rFonts w:cs="Arial"/>
                <w:b/>
                <w:bCs/>
              </w:rPr>
            </w:pPr>
            <w:r>
              <w:rPr>
                <w:rFonts w:cs="Arial"/>
                <w:b/>
                <w:bCs/>
              </w:rPr>
              <w:t>MIGUEL LOTERO ROBLEDO</w:t>
            </w:r>
          </w:p>
        </w:tc>
        <w:tc>
          <w:tcPr>
            <w:tcW w:w="4678" w:type="dxa"/>
            <w:hideMark/>
          </w:tcPr>
          <w:p w14:paraId="36441310" w14:textId="77008316" w:rsidR="008C0D2A" w:rsidRDefault="0074619C" w:rsidP="00FA61E3">
            <w:pPr>
              <w:snapToGrid w:val="0"/>
              <w:jc w:val="center"/>
              <w:rPr>
                <w:rFonts w:cs="Arial"/>
                <w:b/>
                <w:bCs/>
              </w:rPr>
            </w:pPr>
            <w:r>
              <w:rPr>
                <w:rFonts w:cs="Arial"/>
                <w:b/>
                <w:bCs/>
              </w:rPr>
              <w:t>JORGE ALBERTO VALENCIA MARÍN</w:t>
            </w:r>
          </w:p>
        </w:tc>
      </w:tr>
      <w:tr w:rsidR="008C0D2A" w14:paraId="7BDE3296" w14:textId="77777777" w:rsidTr="00724EDB">
        <w:tc>
          <w:tcPr>
            <w:tcW w:w="4820" w:type="dxa"/>
            <w:hideMark/>
          </w:tcPr>
          <w:p w14:paraId="3C13B6E5" w14:textId="1CAD5803" w:rsidR="008C0D2A" w:rsidRDefault="009C1C9F" w:rsidP="003B65F1">
            <w:pPr>
              <w:snapToGrid w:val="0"/>
              <w:jc w:val="center"/>
              <w:rPr>
                <w:rFonts w:cs="Arial"/>
              </w:rPr>
            </w:pPr>
            <w:r>
              <w:rPr>
                <w:rFonts w:cs="Arial"/>
              </w:rPr>
              <w:t>Viceministro de Energía, delegado del Ministro de Minas y Energía</w:t>
            </w:r>
          </w:p>
          <w:p w14:paraId="5B5C3F23" w14:textId="77777777" w:rsidR="008C0D2A" w:rsidRDefault="00213691" w:rsidP="003B65F1">
            <w:pPr>
              <w:snapToGrid w:val="0"/>
              <w:jc w:val="center"/>
              <w:rPr>
                <w:rFonts w:cs="Arial"/>
              </w:rPr>
            </w:pPr>
            <w:r>
              <w:rPr>
                <w:rFonts w:cs="Arial"/>
              </w:rPr>
              <w:t>Presidente</w:t>
            </w:r>
          </w:p>
        </w:tc>
        <w:tc>
          <w:tcPr>
            <w:tcW w:w="4678" w:type="dxa"/>
            <w:hideMark/>
          </w:tcPr>
          <w:p w14:paraId="7CEF1AA5" w14:textId="77777777" w:rsidR="008C0D2A" w:rsidRDefault="008C0D2A" w:rsidP="00FA61E3">
            <w:pPr>
              <w:snapToGrid w:val="0"/>
              <w:jc w:val="center"/>
              <w:rPr>
                <w:rFonts w:cs="Arial"/>
              </w:rPr>
            </w:pPr>
            <w:r>
              <w:rPr>
                <w:rFonts w:cs="Arial"/>
              </w:rPr>
              <w:t>Director Ejecutivo</w:t>
            </w:r>
          </w:p>
        </w:tc>
      </w:tr>
      <w:tr w:rsidR="008C0D2A" w14:paraId="7C6C3B85" w14:textId="77777777" w:rsidTr="00724EDB">
        <w:tc>
          <w:tcPr>
            <w:tcW w:w="4820" w:type="dxa"/>
            <w:hideMark/>
          </w:tcPr>
          <w:p w14:paraId="16478E12" w14:textId="77777777" w:rsidR="008C0D2A" w:rsidRDefault="008C0D2A" w:rsidP="00724EDB">
            <w:pPr>
              <w:snapToGrid w:val="0"/>
              <w:jc w:val="center"/>
              <w:rPr>
                <w:rFonts w:cs="Arial"/>
              </w:rPr>
            </w:pPr>
          </w:p>
        </w:tc>
        <w:tc>
          <w:tcPr>
            <w:tcW w:w="4678" w:type="dxa"/>
          </w:tcPr>
          <w:p w14:paraId="5221F977" w14:textId="77777777" w:rsidR="008C0D2A" w:rsidRDefault="008C0D2A" w:rsidP="00724EDB">
            <w:pPr>
              <w:snapToGrid w:val="0"/>
              <w:rPr>
                <w:rFonts w:cs="Arial"/>
              </w:rPr>
            </w:pPr>
          </w:p>
        </w:tc>
      </w:tr>
    </w:tbl>
    <w:p w14:paraId="5F344FBB" w14:textId="77777777" w:rsidR="00945C78" w:rsidRDefault="00945C78" w:rsidP="00347BF9">
      <w:pPr>
        <w:jc w:val="left"/>
      </w:pPr>
    </w:p>
    <w:p w14:paraId="74E3A0DB" w14:textId="77777777" w:rsidR="003B65F1" w:rsidRDefault="003B65F1">
      <w:pPr>
        <w:jc w:val="left"/>
        <w:rPr>
          <w:b/>
          <w:bCs/>
          <w:lang w:val="es-CO"/>
        </w:rPr>
      </w:pPr>
      <w:r>
        <w:rPr>
          <w:b/>
          <w:bCs/>
          <w:lang w:val="es-CO"/>
        </w:rPr>
        <w:br w:type="page"/>
      </w:r>
    </w:p>
    <w:p w14:paraId="5B9EEF49" w14:textId="77777777" w:rsidR="00F240AD" w:rsidRDefault="00F240AD" w:rsidP="00DF5D3C">
      <w:pPr>
        <w:jc w:val="center"/>
        <w:rPr>
          <w:b/>
          <w:bCs/>
          <w:lang w:val="es-CO"/>
        </w:rPr>
      </w:pPr>
      <w:r w:rsidRPr="000D6799">
        <w:rPr>
          <w:b/>
          <w:bCs/>
          <w:lang w:val="es-CO"/>
        </w:rPr>
        <w:lastRenderedPageBreak/>
        <w:t xml:space="preserve">Anexo </w:t>
      </w:r>
      <w:r w:rsidR="00AE6AA1" w:rsidRPr="000D6799">
        <w:rPr>
          <w:b/>
          <w:bCs/>
          <w:lang w:val="es-CO"/>
        </w:rPr>
        <w:t>1</w:t>
      </w:r>
    </w:p>
    <w:p w14:paraId="7B4EBBED" w14:textId="77777777" w:rsidR="00DD46C0" w:rsidRPr="000D6799" w:rsidRDefault="00DD46C0" w:rsidP="00DF5D3C">
      <w:pPr>
        <w:jc w:val="center"/>
        <w:rPr>
          <w:b/>
          <w:bCs/>
          <w:lang w:val="es-CO"/>
        </w:rPr>
      </w:pPr>
    </w:p>
    <w:p w14:paraId="168C6F55" w14:textId="77777777" w:rsidR="00DD46C0" w:rsidRDefault="002D7EAF" w:rsidP="00DF5D3C">
      <w:pPr>
        <w:jc w:val="center"/>
        <w:rPr>
          <w:b/>
          <w:bCs/>
          <w:lang w:val="es-CO"/>
        </w:rPr>
      </w:pPr>
      <w:r>
        <w:rPr>
          <w:b/>
          <w:bCs/>
          <w:lang w:val="es-CO"/>
        </w:rPr>
        <w:t>“Anexo 1</w:t>
      </w:r>
      <w:r w:rsidR="00451157">
        <w:rPr>
          <w:b/>
          <w:bCs/>
          <w:lang w:val="es-CO"/>
        </w:rPr>
        <w:t>.</w:t>
      </w:r>
      <w:r>
        <w:rPr>
          <w:b/>
          <w:bCs/>
          <w:lang w:val="es-CO"/>
        </w:rPr>
        <w:t xml:space="preserve"> Inversión Existente</w:t>
      </w:r>
    </w:p>
    <w:p w14:paraId="2497C9A7" w14:textId="1B9CC960" w:rsidR="00D663FE" w:rsidRDefault="00AB0A36" w:rsidP="00DF5D3C">
      <w:pPr>
        <w:jc w:val="center"/>
        <w:rPr>
          <w:b/>
          <w:bCs/>
          <w:lang w:val="es-CO"/>
        </w:rPr>
      </w:pPr>
      <w:r w:rsidRPr="00AB0A36">
        <w:rPr>
          <w:noProof/>
        </w:rPr>
        <w:drawing>
          <wp:inline distT="0" distB="0" distL="0" distR="0" wp14:anchorId="3BE6CEA7" wp14:editId="4247E958">
            <wp:extent cx="5941060" cy="1159510"/>
            <wp:effectExtent l="0" t="0" r="254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060" cy="1159510"/>
                    </a:xfrm>
                    <a:prstGeom prst="rect">
                      <a:avLst/>
                    </a:prstGeom>
                    <a:noFill/>
                    <a:ln>
                      <a:noFill/>
                    </a:ln>
                  </pic:spPr>
                </pic:pic>
              </a:graphicData>
            </a:graphic>
          </wp:inline>
        </w:drawing>
      </w:r>
      <w:r w:rsidR="00D663FE">
        <w:rPr>
          <w:b/>
          <w:bCs/>
          <w:lang w:val="es-CO"/>
        </w:rPr>
        <w:t>”</w:t>
      </w:r>
    </w:p>
    <w:p w14:paraId="6E1FC0DD" w14:textId="77777777" w:rsidR="00AC1289" w:rsidRDefault="00AC1289" w:rsidP="00DF5D3C">
      <w:pPr>
        <w:jc w:val="left"/>
        <w:rPr>
          <w:b/>
          <w:bCs/>
          <w:lang w:val="es-CO"/>
        </w:rPr>
      </w:pPr>
    </w:p>
    <w:p w14:paraId="5336DD23" w14:textId="77777777" w:rsidR="00B519BA" w:rsidRDefault="00B519BA" w:rsidP="00DF5D3C">
      <w:pPr>
        <w:jc w:val="left"/>
        <w:rPr>
          <w:b/>
          <w:bCs/>
          <w:lang w:val="es-CO"/>
        </w:rPr>
      </w:pPr>
    </w:p>
    <w:tbl>
      <w:tblPr>
        <w:tblW w:w="0" w:type="auto"/>
        <w:tblInd w:w="-142" w:type="dxa"/>
        <w:tblLayout w:type="fixed"/>
        <w:tblCellMar>
          <w:left w:w="0" w:type="dxa"/>
          <w:right w:w="0" w:type="dxa"/>
        </w:tblCellMar>
        <w:tblLook w:val="04A0" w:firstRow="1" w:lastRow="0" w:firstColumn="1" w:lastColumn="0" w:noHBand="0" w:noVBand="1"/>
      </w:tblPr>
      <w:tblGrid>
        <w:gridCol w:w="4820"/>
        <w:gridCol w:w="4678"/>
      </w:tblGrid>
      <w:tr w:rsidR="009C1C9F" w14:paraId="39079BDB" w14:textId="77777777" w:rsidTr="00D5447C">
        <w:tc>
          <w:tcPr>
            <w:tcW w:w="4820" w:type="dxa"/>
            <w:hideMark/>
          </w:tcPr>
          <w:p w14:paraId="06999829" w14:textId="77777777" w:rsidR="009C1C9F" w:rsidRDefault="009C1C9F" w:rsidP="00D5447C">
            <w:pPr>
              <w:snapToGrid w:val="0"/>
              <w:jc w:val="center"/>
              <w:rPr>
                <w:rFonts w:cs="Arial"/>
                <w:b/>
                <w:bCs/>
              </w:rPr>
            </w:pPr>
            <w:r>
              <w:rPr>
                <w:rFonts w:cs="Arial"/>
                <w:b/>
                <w:bCs/>
              </w:rPr>
              <w:t>MIGUEL LOTERO ROBLEDO</w:t>
            </w:r>
          </w:p>
        </w:tc>
        <w:tc>
          <w:tcPr>
            <w:tcW w:w="4678" w:type="dxa"/>
            <w:hideMark/>
          </w:tcPr>
          <w:p w14:paraId="4D6F11B8" w14:textId="77777777" w:rsidR="009C1C9F" w:rsidRDefault="009C1C9F" w:rsidP="00D5447C">
            <w:pPr>
              <w:snapToGrid w:val="0"/>
              <w:jc w:val="center"/>
              <w:rPr>
                <w:rFonts w:cs="Arial"/>
                <w:b/>
                <w:bCs/>
              </w:rPr>
            </w:pPr>
            <w:r>
              <w:rPr>
                <w:rFonts w:cs="Arial"/>
                <w:b/>
                <w:bCs/>
              </w:rPr>
              <w:t>JORGE ALBERTO VALENCIA MARÍN</w:t>
            </w:r>
          </w:p>
        </w:tc>
      </w:tr>
      <w:tr w:rsidR="009C1C9F" w14:paraId="73FC5502" w14:textId="77777777" w:rsidTr="00D5447C">
        <w:tc>
          <w:tcPr>
            <w:tcW w:w="4820" w:type="dxa"/>
            <w:hideMark/>
          </w:tcPr>
          <w:p w14:paraId="73F2FC7E" w14:textId="77777777" w:rsidR="009C1C9F" w:rsidRDefault="009C1C9F" w:rsidP="00D5447C">
            <w:pPr>
              <w:snapToGrid w:val="0"/>
              <w:jc w:val="center"/>
              <w:rPr>
                <w:rFonts w:cs="Arial"/>
              </w:rPr>
            </w:pPr>
            <w:r>
              <w:rPr>
                <w:rFonts w:cs="Arial"/>
              </w:rPr>
              <w:t>Viceministro de Energía, delegado del Ministro de Minas y Energía</w:t>
            </w:r>
          </w:p>
          <w:p w14:paraId="4BCD691B" w14:textId="77777777" w:rsidR="009C1C9F" w:rsidRDefault="009C1C9F" w:rsidP="00D5447C">
            <w:pPr>
              <w:snapToGrid w:val="0"/>
              <w:jc w:val="center"/>
              <w:rPr>
                <w:rFonts w:cs="Arial"/>
              </w:rPr>
            </w:pPr>
            <w:r>
              <w:rPr>
                <w:rFonts w:cs="Arial"/>
              </w:rPr>
              <w:t>Presidente</w:t>
            </w:r>
          </w:p>
        </w:tc>
        <w:tc>
          <w:tcPr>
            <w:tcW w:w="4678" w:type="dxa"/>
            <w:hideMark/>
          </w:tcPr>
          <w:p w14:paraId="22460A0D" w14:textId="77777777" w:rsidR="009C1C9F" w:rsidRDefault="009C1C9F" w:rsidP="00D5447C">
            <w:pPr>
              <w:snapToGrid w:val="0"/>
              <w:jc w:val="center"/>
              <w:rPr>
                <w:rFonts w:cs="Arial"/>
              </w:rPr>
            </w:pPr>
            <w:r>
              <w:rPr>
                <w:rFonts w:cs="Arial"/>
              </w:rPr>
              <w:t>Director Ejecutivo</w:t>
            </w:r>
          </w:p>
        </w:tc>
      </w:tr>
    </w:tbl>
    <w:p w14:paraId="7ACE757B" w14:textId="77777777" w:rsidR="00B519BA" w:rsidRDefault="00B519BA" w:rsidP="00DF5D3C">
      <w:pPr>
        <w:jc w:val="left"/>
        <w:rPr>
          <w:b/>
          <w:bCs/>
          <w:lang w:val="es-CO"/>
        </w:rPr>
      </w:pPr>
    </w:p>
    <w:p w14:paraId="5D7DF3DB" w14:textId="77777777" w:rsidR="00B519BA" w:rsidRDefault="00B519BA" w:rsidP="00DF5D3C">
      <w:pPr>
        <w:jc w:val="left"/>
        <w:rPr>
          <w:b/>
          <w:bCs/>
          <w:lang w:val="es-CO"/>
        </w:rPr>
      </w:pPr>
    </w:p>
    <w:sectPr w:rsidR="00B519BA"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373A" w14:textId="77777777" w:rsidR="00A132A6" w:rsidRDefault="00A132A6">
      <w:r>
        <w:separator/>
      </w:r>
    </w:p>
  </w:endnote>
  <w:endnote w:type="continuationSeparator" w:id="0">
    <w:p w14:paraId="3ECF55E9" w14:textId="77777777" w:rsidR="00A132A6" w:rsidRDefault="00A132A6">
      <w:r>
        <w:continuationSeparator/>
      </w:r>
    </w:p>
  </w:endnote>
  <w:endnote w:type="continuationNotice" w:id="1">
    <w:p w14:paraId="5D8175B9" w14:textId="77777777" w:rsidR="00A132A6" w:rsidRDefault="00A1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D7AE" w14:textId="77777777" w:rsidR="00A132A6" w:rsidRDefault="00A132A6">
      <w:r>
        <w:separator/>
      </w:r>
    </w:p>
  </w:footnote>
  <w:footnote w:type="continuationSeparator" w:id="0">
    <w:p w14:paraId="6C4EA94A" w14:textId="77777777" w:rsidR="00A132A6" w:rsidRDefault="00A132A6">
      <w:r>
        <w:continuationSeparator/>
      </w:r>
    </w:p>
  </w:footnote>
  <w:footnote w:type="continuationNotice" w:id="1">
    <w:p w14:paraId="365E27B9" w14:textId="77777777" w:rsidR="00A132A6" w:rsidRDefault="00A13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C681" w14:textId="77777777" w:rsidR="009D0714" w:rsidRDefault="009D0714" w:rsidP="007E5BBF">
    <w:pPr>
      <w:jc w:val="center"/>
    </w:pPr>
  </w:p>
  <w:p w14:paraId="04AA2865" w14:textId="0CED6F50" w:rsidR="009D0714" w:rsidRPr="00951F79" w:rsidRDefault="009D0714" w:rsidP="0020511E">
    <w:r w:rsidRPr="00654384">
      <w:t>RESOLUCIÓN No.</w:t>
    </w:r>
    <w:r>
      <w:t xml:space="preserve"> </w:t>
    </w:r>
    <w:r w:rsidR="0011135F" w:rsidRPr="00C97078">
      <w:rPr>
        <w:b/>
        <w:bCs/>
        <w:u w:val="single"/>
      </w:rPr>
      <w:t xml:space="preserve">502 </w:t>
    </w:r>
    <w:r w:rsidR="00C97078" w:rsidRPr="00C97078">
      <w:rPr>
        <w:b/>
        <w:bCs/>
        <w:u w:val="single"/>
      </w:rPr>
      <w:t>023</w:t>
    </w:r>
    <w:r w:rsidRPr="00654384">
      <w:tab/>
    </w:r>
    <w:r>
      <w:t>DE</w:t>
    </w:r>
    <w:r w:rsidR="009650A6">
      <w:t xml:space="preserve"> </w:t>
    </w:r>
    <w:r w:rsidR="00C97078" w:rsidRPr="00C97078">
      <w:rPr>
        <w:b/>
        <w:bCs/>
        <w:u w:val="single"/>
      </w:rPr>
      <w:t>01 JUL.</w:t>
    </w:r>
    <w:r w:rsidR="009650A6" w:rsidRPr="00C97078">
      <w:rPr>
        <w:b/>
        <w:bCs/>
        <w:u w:val="single"/>
      </w:rPr>
      <w:t xml:space="preserve"> 2022</w:t>
    </w:r>
    <w:r>
      <w:t xml:space="preserve"> </w:t>
    </w:r>
    <w:r>
      <w:tab/>
    </w:r>
    <w:r w:rsidRPr="00654384">
      <w:t xml:space="preserve">HOJA No. </w:t>
    </w:r>
    <w:r>
      <w:fldChar w:fldCharType="begin"/>
    </w:r>
    <w:r>
      <w:instrText xml:space="preserve"> PAGE   \* MERGEFORMAT </w:instrText>
    </w:r>
    <w:r>
      <w:fldChar w:fldCharType="separate"/>
    </w:r>
    <w:r w:rsidR="00CE2A90">
      <w:rPr>
        <w:noProof/>
      </w:rPr>
      <w:t>6</w:t>
    </w:r>
    <w:r>
      <w:fldChar w:fldCharType="end"/>
    </w:r>
    <w:r w:rsidRPr="00654384">
      <w:t>/</w:t>
    </w:r>
    <w:fldSimple w:instr=" NUMPAGES  \* MERGEFORMAT ">
      <w:r w:rsidR="00CE2A90">
        <w:rPr>
          <w:noProof/>
        </w:rPr>
        <w:t>6</w:t>
      </w:r>
    </w:fldSimple>
  </w:p>
  <w:p w14:paraId="0EDC62E4" w14:textId="69C7053C" w:rsidR="009D0714" w:rsidRDefault="009D0714" w:rsidP="00801B7D">
    <w:pPr>
      <w:ind w:left="142" w:right="148"/>
      <w:rPr>
        <w:rFonts w:cs="Arial"/>
      </w:rPr>
    </w:pPr>
    <w:r>
      <w:rPr>
        <w:noProof/>
        <w:lang w:val="es-CO" w:eastAsia="es-CO"/>
      </w:rPr>
      <mc:AlternateContent>
        <mc:Choice Requires="wps">
          <w:drawing>
            <wp:anchor distT="0" distB="0" distL="114300" distR="114300" simplePos="0" relativeHeight="251658240" behindDoc="0" locked="0" layoutInCell="1" allowOverlap="1" wp14:anchorId="76EA11C0" wp14:editId="0CB7E64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C9F4E"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37CA8125" w14:textId="77777777" w:rsidR="00B519BA" w:rsidRPr="00C97078" w:rsidRDefault="00B519BA" w:rsidP="00B519BA">
    <w:pPr>
      <w:pStyle w:val="Textoindependiente2"/>
      <w:widowControl w:val="0"/>
      <w:spacing w:after="0" w:line="240" w:lineRule="auto"/>
      <w:rPr>
        <w:color w:val="000000" w:themeColor="text1"/>
        <w:lang w:val="es-CO"/>
      </w:rPr>
    </w:pPr>
    <w:r w:rsidRPr="00C97078">
      <w:rPr>
        <w:color w:val="000000" w:themeColor="text1"/>
        <w:lang w:val="es-CO"/>
      </w:rPr>
      <w:t>Por la cual se ajustan los cargos regulados para el gasoducto Barrancabermeja – Payoa – Bucaramanga del sistema de transporte de Promioriente S.A. E.S.P.</w:t>
    </w:r>
  </w:p>
  <w:p w14:paraId="6EC94ABF" w14:textId="77777777" w:rsidR="009D0714" w:rsidRPr="00A77B7E" w:rsidRDefault="009D0714" w:rsidP="00DF5D3C">
    <w:pPr>
      <w:jc w:val="center"/>
      <w:rPr>
        <w:color w:val="000000" w:themeColor="text1"/>
        <w:sz w:val="22"/>
        <w:szCs w:val="22"/>
        <w:lang w:val="es-CO"/>
      </w:rPr>
    </w:pPr>
    <w:r w:rsidRPr="00A77B7E">
      <w:rPr>
        <w:color w:val="000000" w:themeColor="text1"/>
        <w:sz w:val="22"/>
        <w:szCs w:val="22"/>
        <w:lang w:val="es-CO"/>
      </w:rPr>
      <w:t>_____________________________________________________________________________________</w:t>
    </w:r>
  </w:p>
  <w:p w14:paraId="3B456737" w14:textId="77777777" w:rsidR="009D0714" w:rsidRPr="00A745DD" w:rsidRDefault="009D0714" w:rsidP="00DF5D3C">
    <w:pPr>
      <w:pStyle w:val="Textoindependiente2"/>
      <w:widowControl w:val="0"/>
      <w:spacing w:after="0" w:line="240" w:lineRule="auto"/>
      <w:rPr>
        <w:rFonts w:cs="Arial"/>
        <w:i/>
        <w:color w:val="000000" w:themeColor="text1"/>
        <w:sz w:val="22"/>
        <w:szCs w:val="22"/>
        <w:lang w:val="es-CO" w:eastAsia="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0DCA" w14:textId="77777777" w:rsidR="009D0714" w:rsidRDefault="009D0714"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14:paraId="1493DE38" w14:textId="77777777" w:rsidR="009D0714" w:rsidRDefault="009D0714">
    <w:pPr>
      <w:pStyle w:val="Encabezado"/>
      <w:jc w:val="center"/>
      <w:rPr>
        <w:rFonts w:ascii="Arial" w:hAnsi="Arial" w:cs="Arial"/>
        <w:spacing w:val="20"/>
        <w:sz w:val="20"/>
      </w:rPr>
    </w:pPr>
  </w:p>
  <w:p w14:paraId="07C0CA09" w14:textId="77777777" w:rsidR="009D0714" w:rsidRDefault="009D071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060A8252" wp14:editId="5C364AA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9C7C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572AE4"/>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tentative="1">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2" w15:restartNumberingAfterBreak="0">
    <w:nsid w:val="03586E0D"/>
    <w:multiLevelType w:val="hybridMultilevel"/>
    <w:tmpl w:val="C33A11DC"/>
    <w:lvl w:ilvl="0" w:tplc="B50C15C0">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 w15:restartNumberingAfterBreak="0">
    <w:nsid w:val="070F7A8B"/>
    <w:multiLevelType w:val="hybridMultilevel"/>
    <w:tmpl w:val="9DEE2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C422D8"/>
    <w:multiLevelType w:val="hybridMultilevel"/>
    <w:tmpl w:val="2320CD3A"/>
    <w:lvl w:ilvl="0" w:tplc="69AA0D62">
      <w:start w:val="1"/>
      <w:numFmt w:val="decimal"/>
      <w:lvlText w:val="%1."/>
      <w:lvlJc w:val="left"/>
      <w:pPr>
        <w:ind w:left="1353" w:hanging="360"/>
      </w:pPr>
      <w:rPr>
        <w:rFonts w:hint="default"/>
      </w:rPr>
    </w:lvl>
    <w:lvl w:ilvl="1" w:tplc="C4BCE056">
      <w:numFmt w:val="bullet"/>
      <w:lvlText w:val="•"/>
      <w:lvlJc w:val="left"/>
      <w:pPr>
        <w:ind w:left="2478" w:hanging="765"/>
      </w:pPr>
      <w:rPr>
        <w:rFonts w:ascii="Arial" w:eastAsia="Times New Roman" w:hAnsi="Arial" w:cs="Arial" w:hint="default"/>
      </w:r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5" w15:restartNumberingAfterBreak="0">
    <w:nsid w:val="141B13E9"/>
    <w:multiLevelType w:val="hybridMultilevel"/>
    <w:tmpl w:val="2662F006"/>
    <w:lvl w:ilvl="0" w:tplc="C62621A6">
      <w:start w:val="500"/>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7" w15:restartNumberingAfterBreak="0">
    <w:nsid w:val="19A879C2"/>
    <w:multiLevelType w:val="hybridMultilevel"/>
    <w:tmpl w:val="B53434DC"/>
    <w:lvl w:ilvl="0" w:tplc="6276A808">
      <w:start w:val="2"/>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1D5154E1"/>
    <w:multiLevelType w:val="hybridMultilevel"/>
    <w:tmpl w:val="D96C979A"/>
    <w:lvl w:ilvl="0" w:tplc="69AA0D62">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9" w15:restartNumberingAfterBreak="0">
    <w:nsid w:val="1FEA191C"/>
    <w:multiLevelType w:val="hybridMultilevel"/>
    <w:tmpl w:val="3C82AAAE"/>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20F51A53"/>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11" w15:restartNumberingAfterBreak="0">
    <w:nsid w:val="26E00B30"/>
    <w:multiLevelType w:val="hybridMultilevel"/>
    <w:tmpl w:val="EAB82784"/>
    <w:lvl w:ilvl="0" w:tplc="1332BA2E">
      <w:start w:val="1"/>
      <w:numFmt w:val="upp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2" w15:restartNumberingAfterBreak="0">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15:restartNumberingAfterBreak="0">
    <w:nsid w:val="2CA73AC5"/>
    <w:multiLevelType w:val="singleLevel"/>
    <w:tmpl w:val="86F29BF6"/>
    <w:lvl w:ilvl="0">
      <w:start w:val="1"/>
      <w:numFmt w:val="lowerLetter"/>
      <w:lvlText w:val="%1)"/>
      <w:lvlJc w:val="left"/>
      <w:pPr>
        <w:tabs>
          <w:tab w:val="num" w:pos="360"/>
        </w:tabs>
        <w:ind w:left="360" w:hanging="360"/>
      </w:pPr>
      <w:rPr>
        <w:color w:val="000000"/>
      </w:rPr>
    </w:lvl>
  </w:abstractNum>
  <w:abstractNum w:abstractNumId="14" w15:restartNumberingAfterBreak="0">
    <w:nsid w:val="2E4D693C"/>
    <w:multiLevelType w:val="hybridMultilevel"/>
    <w:tmpl w:val="E4124B2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0C1525"/>
    <w:multiLevelType w:val="hybridMultilevel"/>
    <w:tmpl w:val="DF0EA68A"/>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16" w15:restartNumberingAfterBreak="0">
    <w:nsid w:val="2FDE0838"/>
    <w:multiLevelType w:val="hybridMultilevel"/>
    <w:tmpl w:val="ED821356"/>
    <w:lvl w:ilvl="0" w:tplc="9378EB2E">
      <w:start w:val="1"/>
      <w:numFmt w:val="decimal"/>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48F13D4"/>
    <w:multiLevelType w:val="multilevel"/>
    <w:tmpl w:val="C1AA0D6C"/>
    <w:lvl w:ilvl="0">
      <w:start w:val="2"/>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18" w15:restartNumberingAfterBreak="0">
    <w:nsid w:val="36BC0949"/>
    <w:multiLevelType w:val="hybridMultilevel"/>
    <w:tmpl w:val="41F6E542"/>
    <w:lvl w:ilvl="0" w:tplc="240A0015">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3711501D"/>
    <w:multiLevelType w:val="hybridMultilevel"/>
    <w:tmpl w:val="22A8D554"/>
    <w:lvl w:ilvl="0" w:tplc="B55C1752">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0" w15:restartNumberingAfterBreak="0">
    <w:nsid w:val="3B6D753A"/>
    <w:multiLevelType w:val="hybridMultilevel"/>
    <w:tmpl w:val="4F26B5DC"/>
    <w:lvl w:ilvl="0" w:tplc="6276A808">
      <w:start w:val="2"/>
      <w:numFmt w:val="lowerLetter"/>
      <w:lvlText w:val="%1)"/>
      <w:lvlJc w:val="left"/>
      <w:pPr>
        <w:ind w:left="870" w:hanging="360"/>
      </w:pPr>
      <w:rPr>
        <w:rFonts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21" w15:restartNumberingAfterBreak="0">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345F10"/>
    <w:multiLevelType w:val="hybridMultilevel"/>
    <w:tmpl w:val="B24226EA"/>
    <w:lvl w:ilvl="0" w:tplc="3B4EB0EA">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3" w15:restartNumberingAfterBreak="0">
    <w:nsid w:val="47E979BB"/>
    <w:multiLevelType w:val="hybridMultilevel"/>
    <w:tmpl w:val="E8023CB4"/>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4" w15:restartNumberingAfterBreak="0">
    <w:nsid w:val="49E76A1C"/>
    <w:multiLevelType w:val="hybridMultilevel"/>
    <w:tmpl w:val="14F0BA2E"/>
    <w:lvl w:ilvl="0" w:tplc="6276A808">
      <w:start w:val="2"/>
      <w:numFmt w:val="lowerLetter"/>
      <w:lvlText w:val="%1)"/>
      <w:lvlJc w:val="left"/>
      <w:pPr>
        <w:ind w:left="1077" w:hanging="360"/>
      </w:pPr>
      <w:rPr>
        <w:rFonts w:hint="default"/>
      </w:rPr>
    </w:lvl>
    <w:lvl w:ilvl="1" w:tplc="240A0019" w:tentative="1">
      <w:start w:val="1"/>
      <w:numFmt w:val="lowerLetter"/>
      <w:lvlText w:val="%2."/>
      <w:lvlJc w:val="left"/>
      <w:pPr>
        <w:ind w:left="1590" w:hanging="360"/>
      </w:pPr>
    </w:lvl>
    <w:lvl w:ilvl="2" w:tplc="240A001B" w:tentative="1">
      <w:start w:val="1"/>
      <w:numFmt w:val="lowerRoman"/>
      <w:lvlText w:val="%3."/>
      <w:lvlJc w:val="right"/>
      <w:pPr>
        <w:ind w:left="2310" w:hanging="180"/>
      </w:pPr>
    </w:lvl>
    <w:lvl w:ilvl="3" w:tplc="240A000F" w:tentative="1">
      <w:start w:val="1"/>
      <w:numFmt w:val="decimal"/>
      <w:lvlText w:val="%4."/>
      <w:lvlJc w:val="left"/>
      <w:pPr>
        <w:ind w:left="3030" w:hanging="360"/>
      </w:pPr>
    </w:lvl>
    <w:lvl w:ilvl="4" w:tplc="240A0019" w:tentative="1">
      <w:start w:val="1"/>
      <w:numFmt w:val="lowerLetter"/>
      <w:lvlText w:val="%5."/>
      <w:lvlJc w:val="left"/>
      <w:pPr>
        <w:ind w:left="3750" w:hanging="360"/>
      </w:pPr>
    </w:lvl>
    <w:lvl w:ilvl="5" w:tplc="240A001B" w:tentative="1">
      <w:start w:val="1"/>
      <w:numFmt w:val="lowerRoman"/>
      <w:lvlText w:val="%6."/>
      <w:lvlJc w:val="right"/>
      <w:pPr>
        <w:ind w:left="4470" w:hanging="180"/>
      </w:pPr>
    </w:lvl>
    <w:lvl w:ilvl="6" w:tplc="240A000F" w:tentative="1">
      <w:start w:val="1"/>
      <w:numFmt w:val="decimal"/>
      <w:lvlText w:val="%7."/>
      <w:lvlJc w:val="left"/>
      <w:pPr>
        <w:ind w:left="5190" w:hanging="360"/>
      </w:pPr>
    </w:lvl>
    <w:lvl w:ilvl="7" w:tplc="240A0019" w:tentative="1">
      <w:start w:val="1"/>
      <w:numFmt w:val="lowerLetter"/>
      <w:lvlText w:val="%8."/>
      <w:lvlJc w:val="left"/>
      <w:pPr>
        <w:ind w:left="5910" w:hanging="360"/>
      </w:pPr>
    </w:lvl>
    <w:lvl w:ilvl="8" w:tplc="240A001B" w:tentative="1">
      <w:start w:val="1"/>
      <w:numFmt w:val="lowerRoman"/>
      <w:lvlText w:val="%9."/>
      <w:lvlJc w:val="right"/>
      <w:pPr>
        <w:ind w:left="6630" w:hanging="180"/>
      </w:pPr>
    </w:lvl>
  </w:abstractNum>
  <w:abstractNum w:abstractNumId="25" w15:restartNumberingAfterBreak="0">
    <w:nsid w:val="525831DE"/>
    <w:multiLevelType w:val="hybridMultilevel"/>
    <w:tmpl w:val="196472C4"/>
    <w:lvl w:ilvl="0" w:tplc="29CCFE98">
      <w:start w:val="1"/>
      <w:numFmt w:val="decimal"/>
      <w:lvlText w:val="Artículo %1."/>
      <w:lvlJc w:val="left"/>
      <w:pPr>
        <w:ind w:left="502" w:hanging="360"/>
      </w:pPr>
      <w:rPr>
        <w:rFonts w:ascii="Bookman Old Style" w:hAnsi="Bookman Old Style"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2D74A2E"/>
    <w:multiLevelType w:val="hybridMultilevel"/>
    <w:tmpl w:val="965604E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28" w15:restartNumberingAfterBreak="0">
    <w:nsid w:val="545502F4"/>
    <w:multiLevelType w:val="hybridMultilevel"/>
    <w:tmpl w:val="3CE46162"/>
    <w:lvl w:ilvl="0" w:tplc="240A0019">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8870B89"/>
    <w:multiLevelType w:val="hybridMultilevel"/>
    <w:tmpl w:val="E0DCF5CE"/>
    <w:lvl w:ilvl="0" w:tplc="387C3FE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B517DA8"/>
    <w:multiLevelType w:val="hybridMultilevel"/>
    <w:tmpl w:val="65EA3380"/>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1" w15:restartNumberingAfterBreak="0">
    <w:nsid w:val="5DA0072C"/>
    <w:multiLevelType w:val="hybridMultilevel"/>
    <w:tmpl w:val="7CE245F2"/>
    <w:lvl w:ilvl="0" w:tplc="9EB063EA">
      <w:start w:val="1"/>
      <w:numFmt w:val="lowerRoman"/>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2" w15:restartNumberingAfterBreak="0">
    <w:nsid w:val="5F3F303E"/>
    <w:multiLevelType w:val="hybridMultilevel"/>
    <w:tmpl w:val="7BFAA44E"/>
    <w:lvl w:ilvl="0" w:tplc="240A0001">
      <w:start w:val="1"/>
      <w:numFmt w:val="bullet"/>
      <w:lvlText w:val=""/>
      <w:lvlJc w:val="left"/>
      <w:pPr>
        <w:ind w:left="218" w:hanging="360"/>
      </w:pPr>
      <w:rPr>
        <w:rFonts w:ascii="Symbol" w:hAnsi="Symbol" w:hint="default"/>
      </w:rPr>
    </w:lvl>
    <w:lvl w:ilvl="1" w:tplc="240A0001">
      <w:start w:val="1"/>
      <w:numFmt w:val="bullet"/>
      <w:lvlText w:val=""/>
      <w:lvlJc w:val="left"/>
      <w:pPr>
        <w:ind w:left="938" w:hanging="360"/>
      </w:pPr>
      <w:rPr>
        <w:rFonts w:ascii="Symbol" w:hAnsi="Symbol"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33" w15:restartNumberingAfterBreak="0">
    <w:nsid w:val="631B5131"/>
    <w:multiLevelType w:val="hybridMultilevel"/>
    <w:tmpl w:val="2258D084"/>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4"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35" w15:restartNumberingAfterBreak="0">
    <w:nsid w:val="68C945D1"/>
    <w:multiLevelType w:val="hybridMultilevel"/>
    <w:tmpl w:val="79F06CA0"/>
    <w:lvl w:ilvl="0" w:tplc="FFFFFFFF">
      <w:start w:val="1"/>
      <w:numFmt w:val="decimal"/>
      <w:lvlText w:val="%1."/>
      <w:lvlJc w:val="left"/>
      <w:pPr>
        <w:ind w:left="1146" w:hanging="360"/>
      </w:pPr>
      <w:rPr>
        <w:rFonts w:hint="default"/>
      </w:rPr>
    </w:lvl>
    <w:lvl w:ilvl="1" w:tplc="BC3031A2">
      <w:start w:val="1"/>
      <w:numFmt w:val="lowerRoman"/>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9AA67F4"/>
    <w:multiLevelType w:val="hybridMultilevel"/>
    <w:tmpl w:val="27CC1B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A5A565D"/>
    <w:multiLevelType w:val="hybridMultilevel"/>
    <w:tmpl w:val="CE88CD46"/>
    <w:lvl w:ilvl="0" w:tplc="240A0001">
      <w:start w:val="1"/>
      <w:numFmt w:val="bullet"/>
      <w:lvlText w:val=""/>
      <w:lvlJc w:val="left"/>
      <w:pPr>
        <w:ind w:left="1077" w:hanging="360"/>
      </w:pPr>
      <w:rPr>
        <w:rFonts w:ascii="Symbol" w:hAnsi="Symbol"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38" w15:restartNumberingAfterBreak="0">
    <w:nsid w:val="6B7649E9"/>
    <w:multiLevelType w:val="hybridMultilevel"/>
    <w:tmpl w:val="7CB0F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C7B69ED"/>
    <w:multiLevelType w:val="hybridMultilevel"/>
    <w:tmpl w:val="7C72A59E"/>
    <w:lvl w:ilvl="0" w:tplc="526E9F8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0" w15:restartNumberingAfterBreak="0">
    <w:nsid w:val="6D452E26"/>
    <w:multiLevelType w:val="hybridMultilevel"/>
    <w:tmpl w:val="E30861D4"/>
    <w:lvl w:ilvl="0" w:tplc="100036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1FE7E67"/>
    <w:multiLevelType w:val="hybridMultilevel"/>
    <w:tmpl w:val="B5DE78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3432BD8"/>
    <w:multiLevelType w:val="hybridMultilevel"/>
    <w:tmpl w:val="7E0857EC"/>
    <w:lvl w:ilvl="0" w:tplc="AC409332">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F4E8F414">
      <w:start w:val="1"/>
      <w:numFmt w:val="lowerRoman"/>
      <w:lvlText w:val="%4)"/>
      <w:lvlJc w:val="left"/>
      <w:pPr>
        <w:ind w:left="1462" w:hanging="720"/>
      </w:pPr>
      <w:rPr>
        <w:rFonts w:hint="default"/>
      </w:r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43" w15:restartNumberingAfterBreak="0">
    <w:nsid w:val="75713D23"/>
    <w:multiLevelType w:val="hybridMultilevel"/>
    <w:tmpl w:val="6E8C62EE"/>
    <w:lvl w:ilvl="0" w:tplc="5B809AAE">
      <w:start w:val="1"/>
      <w:numFmt w:val="low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44" w15:restartNumberingAfterBreak="0">
    <w:nsid w:val="7AE571A2"/>
    <w:multiLevelType w:val="hybridMultilevel"/>
    <w:tmpl w:val="721E599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C4E00CC"/>
    <w:multiLevelType w:val="hybridMultilevel"/>
    <w:tmpl w:val="EDD463A6"/>
    <w:lvl w:ilvl="0" w:tplc="202C8D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C713DAA"/>
    <w:multiLevelType w:val="hybridMultilevel"/>
    <w:tmpl w:val="A27E2A16"/>
    <w:lvl w:ilvl="0" w:tplc="0C0A0017">
      <w:start w:val="1"/>
      <w:numFmt w:val="lowerLetter"/>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063675229">
    <w:abstractNumId w:val="6"/>
  </w:num>
  <w:num w:numId="2" w16cid:durableId="2062095312">
    <w:abstractNumId w:val="27"/>
  </w:num>
  <w:num w:numId="3" w16cid:durableId="209541072">
    <w:abstractNumId w:val="12"/>
  </w:num>
  <w:num w:numId="4" w16cid:durableId="350033454">
    <w:abstractNumId w:val="46"/>
  </w:num>
  <w:num w:numId="5" w16cid:durableId="251932068">
    <w:abstractNumId w:val="36"/>
  </w:num>
  <w:num w:numId="6" w16cid:durableId="1280994582">
    <w:abstractNumId w:val="15"/>
  </w:num>
  <w:num w:numId="7" w16cid:durableId="1724524496">
    <w:abstractNumId w:val="20"/>
  </w:num>
  <w:num w:numId="8" w16cid:durableId="782766549">
    <w:abstractNumId w:val="34"/>
  </w:num>
  <w:num w:numId="9" w16cid:durableId="661542666">
    <w:abstractNumId w:val="13"/>
  </w:num>
  <w:num w:numId="10" w16cid:durableId="1449158900">
    <w:abstractNumId w:val="17"/>
  </w:num>
  <w:num w:numId="11" w16cid:durableId="1689016788">
    <w:abstractNumId w:val="7"/>
  </w:num>
  <w:num w:numId="12" w16cid:durableId="366877944">
    <w:abstractNumId w:val="24"/>
  </w:num>
  <w:num w:numId="13" w16cid:durableId="1829049774">
    <w:abstractNumId w:val="37"/>
  </w:num>
  <w:num w:numId="14" w16cid:durableId="1454638654">
    <w:abstractNumId w:val="16"/>
  </w:num>
  <w:num w:numId="15" w16cid:durableId="830482821">
    <w:abstractNumId w:val="40"/>
  </w:num>
  <w:num w:numId="16" w16cid:durableId="1629163734">
    <w:abstractNumId w:val="39"/>
  </w:num>
  <w:num w:numId="17" w16cid:durableId="1471089522">
    <w:abstractNumId w:val="29"/>
  </w:num>
  <w:num w:numId="18" w16cid:durableId="1633099881">
    <w:abstractNumId w:val="41"/>
  </w:num>
  <w:num w:numId="19" w16cid:durableId="487551000">
    <w:abstractNumId w:val="44"/>
  </w:num>
  <w:num w:numId="20" w16cid:durableId="1385713664">
    <w:abstractNumId w:val="30"/>
  </w:num>
  <w:num w:numId="21" w16cid:durableId="2103333576">
    <w:abstractNumId w:val="23"/>
  </w:num>
  <w:num w:numId="22" w16cid:durableId="1480151540">
    <w:abstractNumId w:val="9"/>
  </w:num>
  <w:num w:numId="23" w16cid:durableId="1277639352">
    <w:abstractNumId w:val="26"/>
  </w:num>
  <w:num w:numId="24" w16cid:durableId="882980286">
    <w:abstractNumId w:val="3"/>
  </w:num>
  <w:num w:numId="25" w16cid:durableId="1314676114">
    <w:abstractNumId w:val="6"/>
  </w:num>
  <w:num w:numId="26" w16cid:durableId="711685758">
    <w:abstractNumId w:val="6"/>
  </w:num>
  <w:num w:numId="27" w16cid:durableId="1983848927">
    <w:abstractNumId w:val="6"/>
  </w:num>
  <w:num w:numId="28" w16cid:durableId="294259766">
    <w:abstractNumId w:val="6"/>
  </w:num>
  <w:num w:numId="29" w16cid:durableId="2001348126">
    <w:abstractNumId w:val="35"/>
  </w:num>
  <w:num w:numId="30" w16cid:durableId="1299726712">
    <w:abstractNumId w:val="4"/>
  </w:num>
  <w:num w:numId="31" w16cid:durableId="1974361430">
    <w:abstractNumId w:val="8"/>
  </w:num>
  <w:num w:numId="32" w16cid:durableId="326638988">
    <w:abstractNumId w:val="32"/>
  </w:num>
  <w:num w:numId="33" w16cid:durableId="804540319">
    <w:abstractNumId w:val="2"/>
  </w:num>
  <w:num w:numId="34" w16cid:durableId="2069180615">
    <w:abstractNumId w:val="43"/>
  </w:num>
  <w:num w:numId="35" w16cid:durableId="254217463">
    <w:abstractNumId w:val="14"/>
  </w:num>
  <w:num w:numId="36" w16cid:durableId="2005815795">
    <w:abstractNumId w:val="18"/>
  </w:num>
  <w:num w:numId="37" w16cid:durableId="263151083">
    <w:abstractNumId w:val="11"/>
  </w:num>
  <w:num w:numId="38" w16cid:durableId="1758096355">
    <w:abstractNumId w:val="22"/>
  </w:num>
  <w:num w:numId="39" w16cid:durableId="1063483198">
    <w:abstractNumId w:val="19"/>
  </w:num>
  <w:num w:numId="40" w16cid:durableId="37321721">
    <w:abstractNumId w:val="38"/>
  </w:num>
  <w:num w:numId="41" w16cid:durableId="1596087867">
    <w:abstractNumId w:val="5"/>
  </w:num>
  <w:num w:numId="42" w16cid:durableId="124812200">
    <w:abstractNumId w:val="28"/>
  </w:num>
  <w:num w:numId="43" w16cid:durableId="1344279819">
    <w:abstractNumId w:val="6"/>
  </w:num>
  <w:num w:numId="44" w16cid:durableId="1228760883">
    <w:abstractNumId w:val="6"/>
  </w:num>
  <w:num w:numId="45" w16cid:durableId="355276362">
    <w:abstractNumId w:val="25"/>
  </w:num>
  <w:num w:numId="46" w16cid:durableId="1201938752">
    <w:abstractNumId w:val="0"/>
  </w:num>
  <w:num w:numId="47" w16cid:durableId="1355426845">
    <w:abstractNumId w:val="33"/>
  </w:num>
  <w:num w:numId="48" w16cid:durableId="606080180">
    <w:abstractNumId w:val="10"/>
  </w:num>
  <w:num w:numId="49" w16cid:durableId="1118138808">
    <w:abstractNumId w:val="31"/>
  </w:num>
  <w:num w:numId="50" w16cid:durableId="1347900201">
    <w:abstractNumId w:val="1"/>
  </w:num>
  <w:num w:numId="51" w16cid:durableId="716583260">
    <w:abstractNumId w:val="45"/>
  </w:num>
  <w:num w:numId="52" w16cid:durableId="109708437">
    <w:abstractNumId w:val="42"/>
  </w:num>
  <w:num w:numId="53" w16cid:durableId="1590428206">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02F1"/>
    <w:rsid w:val="0000301E"/>
    <w:rsid w:val="00003378"/>
    <w:rsid w:val="00004A40"/>
    <w:rsid w:val="00005A39"/>
    <w:rsid w:val="000060FC"/>
    <w:rsid w:val="00006AE2"/>
    <w:rsid w:val="000076A1"/>
    <w:rsid w:val="00011C4F"/>
    <w:rsid w:val="00012259"/>
    <w:rsid w:val="00013D35"/>
    <w:rsid w:val="00015866"/>
    <w:rsid w:val="00015F62"/>
    <w:rsid w:val="00017C1C"/>
    <w:rsid w:val="000215A3"/>
    <w:rsid w:val="000237C3"/>
    <w:rsid w:val="00025383"/>
    <w:rsid w:val="000255B8"/>
    <w:rsid w:val="00034654"/>
    <w:rsid w:val="00034BC6"/>
    <w:rsid w:val="00034BE7"/>
    <w:rsid w:val="00034E5D"/>
    <w:rsid w:val="00035C6D"/>
    <w:rsid w:val="00036588"/>
    <w:rsid w:val="0003722E"/>
    <w:rsid w:val="00041F99"/>
    <w:rsid w:val="00043C5E"/>
    <w:rsid w:val="00043E01"/>
    <w:rsid w:val="00044CDF"/>
    <w:rsid w:val="000518A2"/>
    <w:rsid w:val="00052A6F"/>
    <w:rsid w:val="00052ED2"/>
    <w:rsid w:val="000530CB"/>
    <w:rsid w:val="0005390B"/>
    <w:rsid w:val="00054877"/>
    <w:rsid w:val="00055332"/>
    <w:rsid w:val="00057118"/>
    <w:rsid w:val="00060850"/>
    <w:rsid w:val="00061E32"/>
    <w:rsid w:val="00063657"/>
    <w:rsid w:val="0006392E"/>
    <w:rsid w:val="0006438C"/>
    <w:rsid w:val="000701FB"/>
    <w:rsid w:val="00070CA9"/>
    <w:rsid w:val="00074207"/>
    <w:rsid w:val="00075DEB"/>
    <w:rsid w:val="00076680"/>
    <w:rsid w:val="00077C46"/>
    <w:rsid w:val="0008073E"/>
    <w:rsid w:val="000813E1"/>
    <w:rsid w:val="0008637D"/>
    <w:rsid w:val="00091CDB"/>
    <w:rsid w:val="0009527B"/>
    <w:rsid w:val="00096A9C"/>
    <w:rsid w:val="000A0372"/>
    <w:rsid w:val="000A19AC"/>
    <w:rsid w:val="000A3D48"/>
    <w:rsid w:val="000A532F"/>
    <w:rsid w:val="000A75B4"/>
    <w:rsid w:val="000B21D1"/>
    <w:rsid w:val="000B50FA"/>
    <w:rsid w:val="000B74D6"/>
    <w:rsid w:val="000B762B"/>
    <w:rsid w:val="000B79CF"/>
    <w:rsid w:val="000C0CB5"/>
    <w:rsid w:val="000C3FCE"/>
    <w:rsid w:val="000C42BA"/>
    <w:rsid w:val="000C4938"/>
    <w:rsid w:val="000C5469"/>
    <w:rsid w:val="000C74AB"/>
    <w:rsid w:val="000D26F8"/>
    <w:rsid w:val="000D511F"/>
    <w:rsid w:val="000D5E0D"/>
    <w:rsid w:val="000D62C3"/>
    <w:rsid w:val="000D6799"/>
    <w:rsid w:val="000E0B2A"/>
    <w:rsid w:val="000E1218"/>
    <w:rsid w:val="000E1E62"/>
    <w:rsid w:val="000E5356"/>
    <w:rsid w:val="000E5EB3"/>
    <w:rsid w:val="000E5F6D"/>
    <w:rsid w:val="000E651D"/>
    <w:rsid w:val="000F0D98"/>
    <w:rsid w:val="000F2B5F"/>
    <w:rsid w:val="000F3E32"/>
    <w:rsid w:val="000F491A"/>
    <w:rsid w:val="0010053B"/>
    <w:rsid w:val="00100E45"/>
    <w:rsid w:val="00103B01"/>
    <w:rsid w:val="001041F0"/>
    <w:rsid w:val="001042EB"/>
    <w:rsid w:val="00105843"/>
    <w:rsid w:val="00106B6A"/>
    <w:rsid w:val="001103EA"/>
    <w:rsid w:val="0011135F"/>
    <w:rsid w:val="00112812"/>
    <w:rsid w:val="00113281"/>
    <w:rsid w:val="001174BA"/>
    <w:rsid w:val="0012084D"/>
    <w:rsid w:val="0012332D"/>
    <w:rsid w:val="001264D6"/>
    <w:rsid w:val="00126C44"/>
    <w:rsid w:val="00130FE7"/>
    <w:rsid w:val="00131BAC"/>
    <w:rsid w:val="0013266F"/>
    <w:rsid w:val="0013462E"/>
    <w:rsid w:val="00135AAC"/>
    <w:rsid w:val="001377E2"/>
    <w:rsid w:val="001405C6"/>
    <w:rsid w:val="00140B61"/>
    <w:rsid w:val="00141013"/>
    <w:rsid w:val="0014135D"/>
    <w:rsid w:val="001429FF"/>
    <w:rsid w:val="00145D69"/>
    <w:rsid w:val="00150719"/>
    <w:rsid w:val="00156A56"/>
    <w:rsid w:val="0015732A"/>
    <w:rsid w:val="00157F76"/>
    <w:rsid w:val="001609DF"/>
    <w:rsid w:val="00164890"/>
    <w:rsid w:val="00166359"/>
    <w:rsid w:val="00170081"/>
    <w:rsid w:val="00181647"/>
    <w:rsid w:val="00183EF6"/>
    <w:rsid w:val="001842A1"/>
    <w:rsid w:val="00184A7D"/>
    <w:rsid w:val="00185C03"/>
    <w:rsid w:val="00185CF9"/>
    <w:rsid w:val="00187194"/>
    <w:rsid w:val="00192CBF"/>
    <w:rsid w:val="00192FF1"/>
    <w:rsid w:val="00193A7C"/>
    <w:rsid w:val="001A0B9C"/>
    <w:rsid w:val="001A3F8D"/>
    <w:rsid w:val="001A43EE"/>
    <w:rsid w:val="001A5E46"/>
    <w:rsid w:val="001A5F1B"/>
    <w:rsid w:val="001A605E"/>
    <w:rsid w:val="001A67A8"/>
    <w:rsid w:val="001B1C22"/>
    <w:rsid w:val="001B320C"/>
    <w:rsid w:val="001B34C6"/>
    <w:rsid w:val="001B4A0F"/>
    <w:rsid w:val="001B7BC9"/>
    <w:rsid w:val="001C0A31"/>
    <w:rsid w:val="001C1C88"/>
    <w:rsid w:val="001C1CD4"/>
    <w:rsid w:val="001C218E"/>
    <w:rsid w:val="001C2BFD"/>
    <w:rsid w:val="001C550A"/>
    <w:rsid w:val="001C651E"/>
    <w:rsid w:val="001C74B8"/>
    <w:rsid w:val="001D30B4"/>
    <w:rsid w:val="001D3C42"/>
    <w:rsid w:val="001D4581"/>
    <w:rsid w:val="001D4B7D"/>
    <w:rsid w:val="001D5EE3"/>
    <w:rsid w:val="001D6DDB"/>
    <w:rsid w:val="001D7832"/>
    <w:rsid w:val="001D7BB5"/>
    <w:rsid w:val="001E30A0"/>
    <w:rsid w:val="001E32E4"/>
    <w:rsid w:val="001E3ECA"/>
    <w:rsid w:val="001E45E6"/>
    <w:rsid w:val="001E6A3C"/>
    <w:rsid w:val="001E7ECA"/>
    <w:rsid w:val="001F23EA"/>
    <w:rsid w:val="001F2AE0"/>
    <w:rsid w:val="001F2DCB"/>
    <w:rsid w:val="001F57D8"/>
    <w:rsid w:val="001F5A9E"/>
    <w:rsid w:val="0020088C"/>
    <w:rsid w:val="00201132"/>
    <w:rsid w:val="0020511E"/>
    <w:rsid w:val="00207957"/>
    <w:rsid w:val="00207FB5"/>
    <w:rsid w:val="00211D34"/>
    <w:rsid w:val="00213691"/>
    <w:rsid w:val="00214F04"/>
    <w:rsid w:val="00215055"/>
    <w:rsid w:val="0021539F"/>
    <w:rsid w:val="0021615F"/>
    <w:rsid w:val="00224F0F"/>
    <w:rsid w:val="002279AE"/>
    <w:rsid w:val="002314CA"/>
    <w:rsid w:val="00233B70"/>
    <w:rsid w:val="00233E48"/>
    <w:rsid w:val="002425E8"/>
    <w:rsid w:val="002439AE"/>
    <w:rsid w:val="00244C41"/>
    <w:rsid w:val="00246E4D"/>
    <w:rsid w:val="002500B3"/>
    <w:rsid w:val="00252A44"/>
    <w:rsid w:val="00252BF8"/>
    <w:rsid w:val="00256813"/>
    <w:rsid w:val="00256899"/>
    <w:rsid w:val="00257D02"/>
    <w:rsid w:val="00260C83"/>
    <w:rsid w:val="00264A3A"/>
    <w:rsid w:val="00265E3D"/>
    <w:rsid w:val="00266CD6"/>
    <w:rsid w:val="0027062D"/>
    <w:rsid w:val="002724C3"/>
    <w:rsid w:val="00272807"/>
    <w:rsid w:val="00274C96"/>
    <w:rsid w:val="00274E7B"/>
    <w:rsid w:val="00276370"/>
    <w:rsid w:val="0028105C"/>
    <w:rsid w:val="0028197A"/>
    <w:rsid w:val="00282A18"/>
    <w:rsid w:val="00287267"/>
    <w:rsid w:val="0028738C"/>
    <w:rsid w:val="002878B8"/>
    <w:rsid w:val="00294352"/>
    <w:rsid w:val="00294B39"/>
    <w:rsid w:val="002966A2"/>
    <w:rsid w:val="002A0346"/>
    <w:rsid w:val="002A224C"/>
    <w:rsid w:val="002A5B92"/>
    <w:rsid w:val="002A650B"/>
    <w:rsid w:val="002A77CA"/>
    <w:rsid w:val="002A7F2D"/>
    <w:rsid w:val="002B11E2"/>
    <w:rsid w:val="002B24B8"/>
    <w:rsid w:val="002B54AB"/>
    <w:rsid w:val="002B6FCA"/>
    <w:rsid w:val="002C1FDB"/>
    <w:rsid w:val="002C2EF2"/>
    <w:rsid w:val="002C2FC7"/>
    <w:rsid w:val="002C6D5B"/>
    <w:rsid w:val="002D26E5"/>
    <w:rsid w:val="002D3307"/>
    <w:rsid w:val="002D3AE9"/>
    <w:rsid w:val="002D732C"/>
    <w:rsid w:val="002D7A2B"/>
    <w:rsid w:val="002D7EAF"/>
    <w:rsid w:val="002E2E97"/>
    <w:rsid w:val="002E7121"/>
    <w:rsid w:val="002E7458"/>
    <w:rsid w:val="002E7F38"/>
    <w:rsid w:val="002F0734"/>
    <w:rsid w:val="002F28C3"/>
    <w:rsid w:val="002F3647"/>
    <w:rsid w:val="002F46E7"/>
    <w:rsid w:val="002F5392"/>
    <w:rsid w:val="002F5FEA"/>
    <w:rsid w:val="002F6AD5"/>
    <w:rsid w:val="0030129D"/>
    <w:rsid w:val="003024FD"/>
    <w:rsid w:val="00304699"/>
    <w:rsid w:val="00305DBE"/>
    <w:rsid w:val="003101DA"/>
    <w:rsid w:val="00311A43"/>
    <w:rsid w:val="00312E46"/>
    <w:rsid w:val="00314757"/>
    <w:rsid w:val="003211CE"/>
    <w:rsid w:val="00321AD1"/>
    <w:rsid w:val="00322E0B"/>
    <w:rsid w:val="0032487A"/>
    <w:rsid w:val="003272D8"/>
    <w:rsid w:val="003309AB"/>
    <w:rsid w:val="003314E6"/>
    <w:rsid w:val="00331841"/>
    <w:rsid w:val="00336526"/>
    <w:rsid w:val="00336A64"/>
    <w:rsid w:val="00341540"/>
    <w:rsid w:val="00343A7B"/>
    <w:rsid w:val="00343AE8"/>
    <w:rsid w:val="00344752"/>
    <w:rsid w:val="00347BF9"/>
    <w:rsid w:val="0035403A"/>
    <w:rsid w:val="003542CD"/>
    <w:rsid w:val="003565E6"/>
    <w:rsid w:val="00357A92"/>
    <w:rsid w:val="00361F09"/>
    <w:rsid w:val="003637C0"/>
    <w:rsid w:val="0036394B"/>
    <w:rsid w:val="00367332"/>
    <w:rsid w:val="003709B5"/>
    <w:rsid w:val="00372F3D"/>
    <w:rsid w:val="00373685"/>
    <w:rsid w:val="00374808"/>
    <w:rsid w:val="003759C2"/>
    <w:rsid w:val="003802B9"/>
    <w:rsid w:val="00380507"/>
    <w:rsid w:val="00380C48"/>
    <w:rsid w:val="00382160"/>
    <w:rsid w:val="003826FA"/>
    <w:rsid w:val="00382D23"/>
    <w:rsid w:val="0038364D"/>
    <w:rsid w:val="0038553D"/>
    <w:rsid w:val="003912BA"/>
    <w:rsid w:val="00391E07"/>
    <w:rsid w:val="003920BD"/>
    <w:rsid w:val="003926B8"/>
    <w:rsid w:val="00397365"/>
    <w:rsid w:val="003A0884"/>
    <w:rsid w:val="003A1012"/>
    <w:rsid w:val="003A24E6"/>
    <w:rsid w:val="003A31F6"/>
    <w:rsid w:val="003A75B3"/>
    <w:rsid w:val="003B526C"/>
    <w:rsid w:val="003B6479"/>
    <w:rsid w:val="003B65F1"/>
    <w:rsid w:val="003B6E2F"/>
    <w:rsid w:val="003B6F96"/>
    <w:rsid w:val="003B71F4"/>
    <w:rsid w:val="003C0E64"/>
    <w:rsid w:val="003C3447"/>
    <w:rsid w:val="003C4003"/>
    <w:rsid w:val="003C6F26"/>
    <w:rsid w:val="003D076C"/>
    <w:rsid w:val="003D17C3"/>
    <w:rsid w:val="003D2F5A"/>
    <w:rsid w:val="003D7B03"/>
    <w:rsid w:val="003E2001"/>
    <w:rsid w:val="003E315C"/>
    <w:rsid w:val="003E32D4"/>
    <w:rsid w:val="003E4001"/>
    <w:rsid w:val="003E45D3"/>
    <w:rsid w:val="003E54A1"/>
    <w:rsid w:val="003E78D5"/>
    <w:rsid w:val="003F08D3"/>
    <w:rsid w:val="003F09B1"/>
    <w:rsid w:val="003F1F42"/>
    <w:rsid w:val="003F5346"/>
    <w:rsid w:val="003F571B"/>
    <w:rsid w:val="003F6B78"/>
    <w:rsid w:val="003F6E9A"/>
    <w:rsid w:val="004005D7"/>
    <w:rsid w:val="00402B5C"/>
    <w:rsid w:val="004030EE"/>
    <w:rsid w:val="00403F0E"/>
    <w:rsid w:val="004043F2"/>
    <w:rsid w:val="00405903"/>
    <w:rsid w:val="00407966"/>
    <w:rsid w:val="0041002E"/>
    <w:rsid w:val="004103C7"/>
    <w:rsid w:val="00413A60"/>
    <w:rsid w:val="00414C3D"/>
    <w:rsid w:val="00414D91"/>
    <w:rsid w:val="0041566A"/>
    <w:rsid w:val="00415BAB"/>
    <w:rsid w:val="00415ED2"/>
    <w:rsid w:val="00416BFA"/>
    <w:rsid w:val="00416F4F"/>
    <w:rsid w:val="004201F6"/>
    <w:rsid w:val="00420485"/>
    <w:rsid w:val="0042068C"/>
    <w:rsid w:val="00421665"/>
    <w:rsid w:val="0042494B"/>
    <w:rsid w:val="00424BD7"/>
    <w:rsid w:val="004254FE"/>
    <w:rsid w:val="00427291"/>
    <w:rsid w:val="00427D4F"/>
    <w:rsid w:val="00431503"/>
    <w:rsid w:val="00435E51"/>
    <w:rsid w:val="00436D82"/>
    <w:rsid w:val="00440E71"/>
    <w:rsid w:val="00446E84"/>
    <w:rsid w:val="00450BCF"/>
    <w:rsid w:val="00451157"/>
    <w:rsid w:val="00454193"/>
    <w:rsid w:val="004548C3"/>
    <w:rsid w:val="004548CE"/>
    <w:rsid w:val="00454917"/>
    <w:rsid w:val="00455C01"/>
    <w:rsid w:val="0045700A"/>
    <w:rsid w:val="00457622"/>
    <w:rsid w:val="004635AB"/>
    <w:rsid w:val="004639BD"/>
    <w:rsid w:val="0046528E"/>
    <w:rsid w:val="0047017F"/>
    <w:rsid w:val="00470C20"/>
    <w:rsid w:val="0047122B"/>
    <w:rsid w:val="004728F5"/>
    <w:rsid w:val="00473B7A"/>
    <w:rsid w:val="0047447B"/>
    <w:rsid w:val="00474932"/>
    <w:rsid w:val="00477E32"/>
    <w:rsid w:val="00481379"/>
    <w:rsid w:val="00483B33"/>
    <w:rsid w:val="004845D1"/>
    <w:rsid w:val="00492F71"/>
    <w:rsid w:val="004960E9"/>
    <w:rsid w:val="0049775B"/>
    <w:rsid w:val="0049776F"/>
    <w:rsid w:val="004A16B4"/>
    <w:rsid w:val="004A27BE"/>
    <w:rsid w:val="004A2E88"/>
    <w:rsid w:val="004A3691"/>
    <w:rsid w:val="004A5305"/>
    <w:rsid w:val="004B7CAE"/>
    <w:rsid w:val="004C0057"/>
    <w:rsid w:val="004C257C"/>
    <w:rsid w:val="004C3D91"/>
    <w:rsid w:val="004C68AC"/>
    <w:rsid w:val="004D0FFE"/>
    <w:rsid w:val="004D33F2"/>
    <w:rsid w:val="004D7634"/>
    <w:rsid w:val="004E1FCC"/>
    <w:rsid w:val="004E44A3"/>
    <w:rsid w:val="004E44AA"/>
    <w:rsid w:val="004E4FBF"/>
    <w:rsid w:val="004E7B16"/>
    <w:rsid w:val="004E7FF7"/>
    <w:rsid w:val="004F3F5E"/>
    <w:rsid w:val="004F6D80"/>
    <w:rsid w:val="004F7234"/>
    <w:rsid w:val="004F7AFB"/>
    <w:rsid w:val="00501938"/>
    <w:rsid w:val="0050444A"/>
    <w:rsid w:val="00505480"/>
    <w:rsid w:val="005067D7"/>
    <w:rsid w:val="00515AAC"/>
    <w:rsid w:val="00515EE5"/>
    <w:rsid w:val="005206AE"/>
    <w:rsid w:val="005300D3"/>
    <w:rsid w:val="00540800"/>
    <w:rsid w:val="00541B6B"/>
    <w:rsid w:val="00544F82"/>
    <w:rsid w:val="0054530F"/>
    <w:rsid w:val="00547341"/>
    <w:rsid w:val="00550373"/>
    <w:rsid w:val="00551CE8"/>
    <w:rsid w:val="00553553"/>
    <w:rsid w:val="00555064"/>
    <w:rsid w:val="00555409"/>
    <w:rsid w:val="00560E14"/>
    <w:rsid w:val="00561C4C"/>
    <w:rsid w:val="00562DBA"/>
    <w:rsid w:val="005655D3"/>
    <w:rsid w:val="00567238"/>
    <w:rsid w:val="00571925"/>
    <w:rsid w:val="0057328F"/>
    <w:rsid w:val="005768B3"/>
    <w:rsid w:val="00576CDE"/>
    <w:rsid w:val="005773BB"/>
    <w:rsid w:val="00577D90"/>
    <w:rsid w:val="00580984"/>
    <w:rsid w:val="00581E88"/>
    <w:rsid w:val="00585916"/>
    <w:rsid w:val="00586B4D"/>
    <w:rsid w:val="00592314"/>
    <w:rsid w:val="00593C4F"/>
    <w:rsid w:val="005946A8"/>
    <w:rsid w:val="005976FD"/>
    <w:rsid w:val="005A0C10"/>
    <w:rsid w:val="005A4407"/>
    <w:rsid w:val="005A4987"/>
    <w:rsid w:val="005A4EE8"/>
    <w:rsid w:val="005A59EF"/>
    <w:rsid w:val="005A6A35"/>
    <w:rsid w:val="005A7083"/>
    <w:rsid w:val="005C0F38"/>
    <w:rsid w:val="005C15DD"/>
    <w:rsid w:val="005C3000"/>
    <w:rsid w:val="005C5DFC"/>
    <w:rsid w:val="005D6235"/>
    <w:rsid w:val="005D6DAB"/>
    <w:rsid w:val="005D77A0"/>
    <w:rsid w:val="005D7A02"/>
    <w:rsid w:val="005E548D"/>
    <w:rsid w:val="005E78FD"/>
    <w:rsid w:val="005F1045"/>
    <w:rsid w:val="005F3FC4"/>
    <w:rsid w:val="005F4B79"/>
    <w:rsid w:val="00601D07"/>
    <w:rsid w:val="0060508C"/>
    <w:rsid w:val="0061655C"/>
    <w:rsid w:val="006201A0"/>
    <w:rsid w:val="006215F9"/>
    <w:rsid w:val="00622E4E"/>
    <w:rsid w:val="00624271"/>
    <w:rsid w:val="00625DC6"/>
    <w:rsid w:val="0062775C"/>
    <w:rsid w:val="00627FB9"/>
    <w:rsid w:val="006316A4"/>
    <w:rsid w:val="00632D4A"/>
    <w:rsid w:val="00642CF9"/>
    <w:rsid w:val="00644AD7"/>
    <w:rsid w:val="00645492"/>
    <w:rsid w:val="00650AEC"/>
    <w:rsid w:val="00650CAE"/>
    <w:rsid w:val="00650E2A"/>
    <w:rsid w:val="00651821"/>
    <w:rsid w:val="006534DB"/>
    <w:rsid w:val="00653B56"/>
    <w:rsid w:val="00654384"/>
    <w:rsid w:val="00655A9F"/>
    <w:rsid w:val="00660F3C"/>
    <w:rsid w:val="00662763"/>
    <w:rsid w:val="00662B72"/>
    <w:rsid w:val="00663D24"/>
    <w:rsid w:val="00664E94"/>
    <w:rsid w:val="006654A0"/>
    <w:rsid w:val="00665510"/>
    <w:rsid w:val="006675CD"/>
    <w:rsid w:val="006708B8"/>
    <w:rsid w:val="00674CDC"/>
    <w:rsid w:val="006769C2"/>
    <w:rsid w:val="006802F9"/>
    <w:rsid w:val="006803A2"/>
    <w:rsid w:val="0068310C"/>
    <w:rsid w:val="00684D9B"/>
    <w:rsid w:val="006873BD"/>
    <w:rsid w:val="00690BD5"/>
    <w:rsid w:val="0069304E"/>
    <w:rsid w:val="00694EBF"/>
    <w:rsid w:val="006962EC"/>
    <w:rsid w:val="006970D1"/>
    <w:rsid w:val="00697556"/>
    <w:rsid w:val="00697BA7"/>
    <w:rsid w:val="006A0777"/>
    <w:rsid w:val="006A217C"/>
    <w:rsid w:val="006A645B"/>
    <w:rsid w:val="006A6D70"/>
    <w:rsid w:val="006B07C5"/>
    <w:rsid w:val="006B0FB1"/>
    <w:rsid w:val="006B34BE"/>
    <w:rsid w:val="006B3D8F"/>
    <w:rsid w:val="006B4527"/>
    <w:rsid w:val="006B4C2B"/>
    <w:rsid w:val="006B6D47"/>
    <w:rsid w:val="006B70A9"/>
    <w:rsid w:val="006B7216"/>
    <w:rsid w:val="006C1836"/>
    <w:rsid w:val="006C3E82"/>
    <w:rsid w:val="006C46F3"/>
    <w:rsid w:val="006C58BE"/>
    <w:rsid w:val="006C61B0"/>
    <w:rsid w:val="006D0C9D"/>
    <w:rsid w:val="006D1E4E"/>
    <w:rsid w:val="006D79F0"/>
    <w:rsid w:val="006E1005"/>
    <w:rsid w:val="006E2101"/>
    <w:rsid w:val="006E38D9"/>
    <w:rsid w:val="006E56AD"/>
    <w:rsid w:val="006F0947"/>
    <w:rsid w:val="006F106D"/>
    <w:rsid w:val="006F1199"/>
    <w:rsid w:val="006F1BBE"/>
    <w:rsid w:val="006F2FC4"/>
    <w:rsid w:val="006F3939"/>
    <w:rsid w:val="006F46C7"/>
    <w:rsid w:val="006F6D95"/>
    <w:rsid w:val="006F743D"/>
    <w:rsid w:val="00701ACB"/>
    <w:rsid w:val="00703F5E"/>
    <w:rsid w:val="00704D95"/>
    <w:rsid w:val="00706F13"/>
    <w:rsid w:val="007072E8"/>
    <w:rsid w:val="00711906"/>
    <w:rsid w:val="00713159"/>
    <w:rsid w:val="00714098"/>
    <w:rsid w:val="00715725"/>
    <w:rsid w:val="007159D8"/>
    <w:rsid w:val="0071618D"/>
    <w:rsid w:val="00716318"/>
    <w:rsid w:val="00717DD5"/>
    <w:rsid w:val="007229A5"/>
    <w:rsid w:val="00724EDB"/>
    <w:rsid w:val="00725FA4"/>
    <w:rsid w:val="00730815"/>
    <w:rsid w:val="00733D92"/>
    <w:rsid w:val="0073443E"/>
    <w:rsid w:val="007354A4"/>
    <w:rsid w:val="00737B45"/>
    <w:rsid w:val="00737D2E"/>
    <w:rsid w:val="00740446"/>
    <w:rsid w:val="0074085A"/>
    <w:rsid w:val="007438A9"/>
    <w:rsid w:val="007438B2"/>
    <w:rsid w:val="00743A31"/>
    <w:rsid w:val="0074491E"/>
    <w:rsid w:val="0074619C"/>
    <w:rsid w:val="00747E9B"/>
    <w:rsid w:val="00752C21"/>
    <w:rsid w:val="00755EAD"/>
    <w:rsid w:val="00756AAD"/>
    <w:rsid w:val="007571D6"/>
    <w:rsid w:val="0075761D"/>
    <w:rsid w:val="0076094E"/>
    <w:rsid w:val="007616CB"/>
    <w:rsid w:val="0076258C"/>
    <w:rsid w:val="00762703"/>
    <w:rsid w:val="00766F89"/>
    <w:rsid w:val="00767652"/>
    <w:rsid w:val="00774308"/>
    <w:rsid w:val="0077482C"/>
    <w:rsid w:val="00775964"/>
    <w:rsid w:val="00775AD9"/>
    <w:rsid w:val="00776376"/>
    <w:rsid w:val="007769DE"/>
    <w:rsid w:val="00780556"/>
    <w:rsid w:val="00780870"/>
    <w:rsid w:val="0078136C"/>
    <w:rsid w:val="0078352C"/>
    <w:rsid w:val="007918F6"/>
    <w:rsid w:val="00794B85"/>
    <w:rsid w:val="00795BFB"/>
    <w:rsid w:val="00795D6A"/>
    <w:rsid w:val="00795DF7"/>
    <w:rsid w:val="007A402B"/>
    <w:rsid w:val="007A5093"/>
    <w:rsid w:val="007A5682"/>
    <w:rsid w:val="007B2760"/>
    <w:rsid w:val="007B4F8C"/>
    <w:rsid w:val="007B6364"/>
    <w:rsid w:val="007B6678"/>
    <w:rsid w:val="007B684D"/>
    <w:rsid w:val="007B7B7A"/>
    <w:rsid w:val="007C0224"/>
    <w:rsid w:val="007C03E8"/>
    <w:rsid w:val="007C0427"/>
    <w:rsid w:val="007C2B26"/>
    <w:rsid w:val="007C33FA"/>
    <w:rsid w:val="007C38DD"/>
    <w:rsid w:val="007C3EB5"/>
    <w:rsid w:val="007C4FF4"/>
    <w:rsid w:val="007D130C"/>
    <w:rsid w:val="007D1BC5"/>
    <w:rsid w:val="007D2758"/>
    <w:rsid w:val="007D4A8E"/>
    <w:rsid w:val="007D61B2"/>
    <w:rsid w:val="007E0CAD"/>
    <w:rsid w:val="007E2215"/>
    <w:rsid w:val="007E505A"/>
    <w:rsid w:val="007E5BBF"/>
    <w:rsid w:val="007E5DB6"/>
    <w:rsid w:val="007E6E52"/>
    <w:rsid w:val="007E746A"/>
    <w:rsid w:val="007F05BB"/>
    <w:rsid w:val="007F1077"/>
    <w:rsid w:val="007F1BFB"/>
    <w:rsid w:val="007F1E88"/>
    <w:rsid w:val="007F1EF9"/>
    <w:rsid w:val="007F23BC"/>
    <w:rsid w:val="007F2485"/>
    <w:rsid w:val="007F3525"/>
    <w:rsid w:val="007F4339"/>
    <w:rsid w:val="007F5241"/>
    <w:rsid w:val="007F6132"/>
    <w:rsid w:val="008000A9"/>
    <w:rsid w:val="008002A1"/>
    <w:rsid w:val="0080129A"/>
    <w:rsid w:val="00801B7D"/>
    <w:rsid w:val="00801BF5"/>
    <w:rsid w:val="00804752"/>
    <w:rsid w:val="00806C01"/>
    <w:rsid w:val="00810806"/>
    <w:rsid w:val="00810E7B"/>
    <w:rsid w:val="00811667"/>
    <w:rsid w:val="0081199F"/>
    <w:rsid w:val="00813A56"/>
    <w:rsid w:val="008146B2"/>
    <w:rsid w:val="008148CC"/>
    <w:rsid w:val="008153F2"/>
    <w:rsid w:val="00816A9A"/>
    <w:rsid w:val="008207F3"/>
    <w:rsid w:val="00820C42"/>
    <w:rsid w:val="008211A4"/>
    <w:rsid w:val="00821C68"/>
    <w:rsid w:val="00822938"/>
    <w:rsid w:val="0082345F"/>
    <w:rsid w:val="0082392D"/>
    <w:rsid w:val="00823D3A"/>
    <w:rsid w:val="00832864"/>
    <w:rsid w:val="008331B3"/>
    <w:rsid w:val="008337DA"/>
    <w:rsid w:val="00834279"/>
    <w:rsid w:val="008349EB"/>
    <w:rsid w:val="00834C1F"/>
    <w:rsid w:val="00841BF0"/>
    <w:rsid w:val="00842A1F"/>
    <w:rsid w:val="00842F89"/>
    <w:rsid w:val="0084739C"/>
    <w:rsid w:val="00851DF7"/>
    <w:rsid w:val="0085270D"/>
    <w:rsid w:val="00856CFB"/>
    <w:rsid w:val="00862017"/>
    <w:rsid w:val="00863487"/>
    <w:rsid w:val="00865BDC"/>
    <w:rsid w:val="0086630D"/>
    <w:rsid w:val="008715ED"/>
    <w:rsid w:val="00873150"/>
    <w:rsid w:val="00873167"/>
    <w:rsid w:val="008736B8"/>
    <w:rsid w:val="008739E1"/>
    <w:rsid w:val="00873B79"/>
    <w:rsid w:val="00875E17"/>
    <w:rsid w:val="0087657D"/>
    <w:rsid w:val="008803A1"/>
    <w:rsid w:val="008807D5"/>
    <w:rsid w:val="00880832"/>
    <w:rsid w:val="008858DB"/>
    <w:rsid w:val="00886EE1"/>
    <w:rsid w:val="0088727D"/>
    <w:rsid w:val="00891130"/>
    <w:rsid w:val="0089196A"/>
    <w:rsid w:val="00892684"/>
    <w:rsid w:val="008946B6"/>
    <w:rsid w:val="0089774F"/>
    <w:rsid w:val="00897C75"/>
    <w:rsid w:val="008A0DDE"/>
    <w:rsid w:val="008A28B2"/>
    <w:rsid w:val="008A2B3C"/>
    <w:rsid w:val="008A3020"/>
    <w:rsid w:val="008A5CED"/>
    <w:rsid w:val="008A7457"/>
    <w:rsid w:val="008B5C7C"/>
    <w:rsid w:val="008B75D3"/>
    <w:rsid w:val="008C0D2A"/>
    <w:rsid w:val="008C1130"/>
    <w:rsid w:val="008C1CFA"/>
    <w:rsid w:val="008C73C1"/>
    <w:rsid w:val="008D0A20"/>
    <w:rsid w:val="008D12FB"/>
    <w:rsid w:val="008D18E6"/>
    <w:rsid w:val="008D1F7F"/>
    <w:rsid w:val="008D6D5C"/>
    <w:rsid w:val="008D7A9B"/>
    <w:rsid w:val="008E232B"/>
    <w:rsid w:val="008E729E"/>
    <w:rsid w:val="008E76AC"/>
    <w:rsid w:val="008F07E0"/>
    <w:rsid w:val="008F1B31"/>
    <w:rsid w:val="008F21F6"/>
    <w:rsid w:val="008F2A7A"/>
    <w:rsid w:val="008F4491"/>
    <w:rsid w:val="008F6530"/>
    <w:rsid w:val="008F7228"/>
    <w:rsid w:val="008F7235"/>
    <w:rsid w:val="00900465"/>
    <w:rsid w:val="00902A5F"/>
    <w:rsid w:val="00904CC9"/>
    <w:rsid w:val="009058AC"/>
    <w:rsid w:val="009065D7"/>
    <w:rsid w:val="0090780F"/>
    <w:rsid w:val="00910F6E"/>
    <w:rsid w:val="009115EA"/>
    <w:rsid w:val="00911BEF"/>
    <w:rsid w:val="00911C43"/>
    <w:rsid w:val="00911FBC"/>
    <w:rsid w:val="009137C4"/>
    <w:rsid w:val="00915E66"/>
    <w:rsid w:val="0091635B"/>
    <w:rsid w:val="00916CA2"/>
    <w:rsid w:val="009203BE"/>
    <w:rsid w:val="009209CD"/>
    <w:rsid w:val="00920FE5"/>
    <w:rsid w:val="00922C35"/>
    <w:rsid w:val="00922DE7"/>
    <w:rsid w:val="00922F8A"/>
    <w:rsid w:val="0092493C"/>
    <w:rsid w:val="0092549F"/>
    <w:rsid w:val="00925F47"/>
    <w:rsid w:val="00927791"/>
    <w:rsid w:val="00930376"/>
    <w:rsid w:val="00933462"/>
    <w:rsid w:val="00934E08"/>
    <w:rsid w:val="0093586F"/>
    <w:rsid w:val="00944BB7"/>
    <w:rsid w:val="00944C8F"/>
    <w:rsid w:val="00945869"/>
    <w:rsid w:val="00945C78"/>
    <w:rsid w:val="0095005B"/>
    <w:rsid w:val="00951890"/>
    <w:rsid w:val="00951F79"/>
    <w:rsid w:val="00952B63"/>
    <w:rsid w:val="0095358A"/>
    <w:rsid w:val="00953B91"/>
    <w:rsid w:val="009576D6"/>
    <w:rsid w:val="00957706"/>
    <w:rsid w:val="00957796"/>
    <w:rsid w:val="009650A6"/>
    <w:rsid w:val="0096603E"/>
    <w:rsid w:val="00967E17"/>
    <w:rsid w:val="00967F2C"/>
    <w:rsid w:val="009713DD"/>
    <w:rsid w:val="00971B70"/>
    <w:rsid w:val="00974AB5"/>
    <w:rsid w:val="00975BAB"/>
    <w:rsid w:val="00976F2C"/>
    <w:rsid w:val="009814CA"/>
    <w:rsid w:val="0098150B"/>
    <w:rsid w:val="00982B23"/>
    <w:rsid w:val="0098565E"/>
    <w:rsid w:val="0098706D"/>
    <w:rsid w:val="00990D8D"/>
    <w:rsid w:val="009914BC"/>
    <w:rsid w:val="00991C16"/>
    <w:rsid w:val="009935FB"/>
    <w:rsid w:val="00996753"/>
    <w:rsid w:val="009A025A"/>
    <w:rsid w:val="009A0C26"/>
    <w:rsid w:val="009A1782"/>
    <w:rsid w:val="009A22C0"/>
    <w:rsid w:val="009A3AED"/>
    <w:rsid w:val="009B65C7"/>
    <w:rsid w:val="009C02C5"/>
    <w:rsid w:val="009C1C9F"/>
    <w:rsid w:val="009C5D83"/>
    <w:rsid w:val="009C637D"/>
    <w:rsid w:val="009C7DEF"/>
    <w:rsid w:val="009D0714"/>
    <w:rsid w:val="009D079D"/>
    <w:rsid w:val="009D3EA5"/>
    <w:rsid w:val="009D4A99"/>
    <w:rsid w:val="009D507F"/>
    <w:rsid w:val="009D517F"/>
    <w:rsid w:val="009E1848"/>
    <w:rsid w:val="009E3EB5"/>
    <w:rsid w:val="009E480B"/>
    <w:rsid w:val="009E4D64"/>
    <w:rsid w:val="009E6CF7"/>
    <w:rsid w:val="009F4A54"/>
    <w:rsid w:val="009F4BEC"/>
    <w:rsid w:val="009F5BFE"/>
    <w:rsid w:val="009F5D1F"/>
    <w:rsid w:val="009F7486"/>
    <w:rsid w:val="00A02297"/>
    <w:rsid w:val="00A02A71"/>
    <w:rsid w:val="00A04597"/>
    <w:rsid w:val="00A12BAF"/>
    <w:rsid w:val="00A132A6"/>
    <w:rsid w:val="00A13409"/>
    <w:rsid w:val="00A148EB"/>
    <w:rsid w:val="00A20159"/>
    <w:rsid w:val="00A22A8E"/>
    <w:rsid w:val="00A23708"/>
    <w:rsid w:val="00A25B4A"/>
    <w:rsid w:val="00A25FD7"/>
    <w:rsid w:val="00A27B07"/>
    <w:rsid w:val="00A30F37"/>
    <w:rsid w:val="00A341A5"/>
    <w:rsid w:val="00A35C84"/>
    <w:rsid w:val="00A36E12"/>
    <w:rsid w:val="00A40A79"/>
    <w:rsid w:val="00A424C6"/>
    <w:rsid w:val="00A43AFF"/>
    <w:rsid w:val="00A43E22"/>
    <w:rsid w:val="00A441E9"/>
    <w:rsid w:val="00A466BC"/>
    <w:rsid w:val="00A52D54"/>
    <w:rsid w:val="00A53CE3"/>
    <w:rsid w:val="00A55A9E"/>
    <w:rsid w:val="00A57BFE"/>
    <w:rsid w:val="00A606AA"/>
    <w:rsid w:val="00A70F06"/>
    <w:rsid w:val="00A745DD"/>
    <w:rsid w:val="00A74736"/>
    <w:rsid w:val="00A768E5"/>
    <w:rsid w:val="00A7793A"/>
    <w:rsid w:val="00A77B7E"/>
    <w:rsid w:val="00A80287"/>
    <w:rsid w:val="00A818AC"/>
    <w:rsid w:val="00A8650D"/>
    <w:rsid w:val="00A86E42"/>
    <w:rsid w:val="00A908AC"/>
    <w:rsid w:val="00A90CFB"/>
    <w:rsid w:val="00A90DEE"/>
    <w:rsid w:val="00A90FE6"/>
    <w:rsid w:val="00A911FF"/>
    <w:rsid w:val="00A92355"/>
    <w:rsid w:val="00A92997"/>
    <w:rsid w:val="00A9400E"/>
    <w:rsid w:val="00A94C83"/>
    <w:rsid w:val="00A97314"/>
    <w:rsid w:val="00AA1211"/>
    <w:rsid w:val="00AA1E00"/>
    <w:rsid w:val="00AA32AF"/>
    <w:rsid w:val="00AA73AD"/>
    <w:rsid w:val="00AB0A36"/>
    <w:rsid w:val="00AB1BDB"/>
    <w:rsid w:val="00AB29FD"/>
    <w:rsid w:val="00AB6AC0"/>
    <w:rsid w:val="00AB6CA7"/>
    <w:rsid w:val="00AB6DAC"/>
    <w:rsid w:val="00AC074B"/>
    <w:rsid w:val="00AC1289"/>
    <w:rsid w:val="00AC51C0"/>
    <w:rsid w:val="00AC7BF1"/>
    <w:rsid w:val="00AD01E4"/>
    <w:rsid w:val="00AD0858"/>
    <w:rsid w:val="00AD3BAA"/>
    <w:rsid w:val="00AD45DB"/>
    <w:rsid w:val="00AD4813"/>
    <w:rsid w:val="00AD701B"/>
    <w:rsid w:val="00AE2457"/>
    <w:rsid w:val="00AE3404"/>
    <w:rsid w:val="00AE4D78"/>
    <w:rsid w:val="00AE6AA1"/>
    <w:rsid w:val="00AE6ABD"/>
    <w:rsid w:val="00AE7340"/>
    <w:rsid w:val="00AF1BBD"/>
    <w:rsid w:val="00AF2454"/>
    <w:rsid w:val="00AF35CA"/>
    <w:rsid w:val="00AF74CC"/>
    <w:rsid w:val="00B01CF9"/>
    <w:rsid w:val="00B02F53"/>
    <w:rsid w:val="00B0337E"/>
    <w:rsid w:val="00B059B8"/>
    <w:rsid w:val="00B06DD5"/>
    <w:rsid w:val="00B07E92"/>
    <w:rsid w:val="00B10207"/>
    <w:rsid w:val="00B10C88"/>
    <w:rsid w:val="00B128A2"/>
    <w:rsid w:val="00B12C03"/>
    <w:rsid w:val="00B141E7"/>
    <w:rsid w:val="00B1698E"/>
    <w:rsid w:val="00B17C13"/>
    <w:rsid w:val="00B20451"/>
    <w:rsid w:val="00B21DFC"/>
    <w:rsid w:val="00B21ECE"/>
    <w:rsid w:val="00B22BC1"/>
    <w:rsid w:val="00B233A6"/>
    <w:rsid w:val="00B23603"/>
    <w:rsid w:val="00B25FC8"/>
    <w:rsid w:val="00B26857"/>
    <w:rsid w:val="00B268AD"/>
    <w:rsid w:val="00B2784A"/>
    <w:rsid w:val="00B33FD6"/>
    <w:rsid w:val="00B34417"/>
    <w:rsid w:val="00B34B6E"/>
    <w:rsid w:val="00B34F49"/>
    <w:rsid w:val="00B351B4"/>
    <w:rsid w:val="00B40A9C"/>
    <w:rsid w:val="00B40AAB"/>
    <w:rsid w:val="00B41280"/>
    <w:rsid w:val="00B41596"/>
    <w:rsid w:val="00B42966"/>
    <w:rsid w:val="00B43FB5"/>
    <w:rsid w:val="00B443E6"/>
    <w:rsid w:val="00B44A84"/>
    <w:rsid w:val="00B451B4"/>
    <w:rsid w:val="00B4672B"/>
    <w:rsid w:val="00B46BCA"/>
    <w:rsid w:val="00B51749"/>
    <w:rsid w:val="00B519BA"/>
    <w:rsid w:val="00B55009"/>
    <w:rsid w:val="00B5504C"/>
    <w:rsid w:val="00B56E67"/>
    <w:rsid w:val="00B6051B"/>
    <w:rsid w:val="00B60EFD"/>
    <w:rsid w:val="00B627FB"/>
    <w:rsid w:val="00B62BC1"/>
    <w:rsid w:val="00B62DF4"/>
    <w:rsid w:val="00B62EC7"/>
    <w:rsid w:val="00B656D1"/>
    <w:rsid w:val="00B66917"/>
    <w:rsid w:val="00B67F27"/>
    <w:rsid w:val="00B70D76"/>
    <w:rsid w:val="00B742C0"/>
    <w:rsid w:val="00B76D8C"/>
    <w:rsid w:val="00B7741F"/>
    <w:rsid w:val="00B82C21"/>
    <w:rsid w:val="00B831D8"/>
    <w:rsid w:val="00B8422F"/>
    <w:rsid w:val="00B84D24"/>
    <w:rsid w:val="00B84E38"/>
    <w:rsid w:val="00B8599E"/>
    <w:rsid w:val="00B85E34"/>
    <w:rsid w:val="00B87806"/>
    <w:rsid w:val="00B87DD6"/>
    <w:rsid w:val="00B87EC9"/>
    <w:rsid w:val="00B9132F"/>
    <w:rsid w:val="00B91A16"/>
    <w:rsid w:val="00B95A29"/>
    <w:rsid w:val="00B95D61"/>
    <w:rsid w:val="00B96E80"/>
    <w:rsid w:val="00BA1013"/>
    <w:rsid w:val="00BA1670"/>
    <w:rsid w:val="00BA302F"/>
    <w:rsid w:val="00BA3549"/>
    <w:rsid w:val="00BA43CA"/>
    <w:rsid w:val="00BA7029"/>
    <w:rsid w:val="00BB23B1"/>
    <w:rsid w:val="00BB53DC"/>
    <w:rsid w:val="00BB5B07"/>
    <w:rsid w:val="00BC38FD"/>
    <w:rsid w:val="00BC498D"/>
    <w:rsid w:val="00BC709E"/>
    <w:rsid w:val="00BC7112"/>
    <w:rsid w:val="00BD246D"/>
    <w:rsid w:val="00BD26FC"/>
    <w:rsid w:val="00BD29D9"/>
    <w:rsid w:val="00BD630B"/>
    <w:rsid w:val="00BE2226"/>
    <w:rsid w:val="00BE24F6"/>
    <w:rsid w:val="00BE3959"/>
    <w:rsid w:val="00BE3FA8"/>
    <w:rsid w:val="00BE656F"/>
    <w:rsid w:val="00BF09C9"/>
    <w:rsid w:val="00BF2AEA"/>
    <w:rsid w:val="00C034CB"/>
    <w:rsid w:val="00C051A8"/>
    <w:rsid w:val="00C054BC"/>
    <w:rsid w:val="00C055B9"/>
    <w:rsid w:val="00C06D8A"/>
    <w:rsid w:val="00C07890"/>
    <w:rsid w:val="00C07C51"/>
    <w:rsid w:val="00C1381C"/>
    <w:rsid w:val="00C155AF"/>
    <w:rsid w:val="00C15C5C"/>
    <w:rsid w:val="00C15CA2"/>
    <w:rsid w:val="00C15EDC"/>
    <w:rsid w:val="00C17897"/>
    <w:rsid w:val="00C222A0"/>
    <w:rsid w:val="00C229DF"/>
    <w:rsid w:val="00C248E7"/>
    <w:rsid w:val="00C3270A"/>
    <w:rsid w:val="00C35DB6"/>
    <w:rsid w:val="00C362FB"/>
    <w:rsid w:val="00C40072"/>
    <w:rsid w:val="00C40279"/>
    <w:rsid w:val="00C409D5"/>
    <w:rsid w:val="00C41A15"/>
    <w:rsid w:val="00C4493B"/>
    <w:rsid w:val="00C4558E"/>
    <w:rsid w:val="00C45948"/>
    <w:rsid w:val="00C46E7F"/>
    <w:rsid w:val="00C47FF8"/>
    <w:rsid w:val="00C516F4"/>
    <w:rsid w:val="00C5380E"/>
    <w:rsid w:val="00C54013"/>
    <w:rsid w:val="00C54B3D"/>
    <w:rsid w:val="00C5738F"/>
    <w:rsid w:val="00C57D6B"/>
    <w:rsid w:val="00C6234B"/>
    <w:rsid w:val="00C63EAE"/>
    <w:rsid w:val="00C7096A"/>
    <w:rsid w:val="00C710AD"/>
    <w:rsid w:val="00C717F6"/>
    <w:rsid w:val="00C7572C"/>
    <w:rsid w:val="00C7629F"/>
    <w:rsid w:val="00C8080C"/>
    <w:rsid w:val="00C840B0"/>
    <w:rsid w:val="00C8661B"/>
    <w:rsid w:val="00C92C82"/>
    <w:rsid w:val="00C92F3C"/>
    <w:rsid w:val="00C93D65"/>
    <w:rsid w:val="00C97078"/>
    <w:rsid w:val="00CA139A"/>
    <w:rsid w:val="00CA2047"/>
    <w:rsid w:val="00CA283D"/>
    <w:rsid w:val="00CA2899"/>
    <w:rsid w:val="00CA4325"/>
    <w:rsid w:val="00CA77FB"/>
    <w:rsid w:val="00CB149F"/>
    <w:rsid w:val="00CB2425"/>
    <w:rsid w:val="00CB379B"/>
    <w:rsid w:val="00CB4B5E"/>
    <w:rsid w:val="00CB5408"/>
    <w:rsid w:val="00CB58AA"/>
    <w:rsid w:val="00CB5DD0"/>
    <w:rsid w:val="00CC031B"/>
    <w:rsid w:val="00CC036B"/>
    <w:rsid w:val="00CC51D4"/>
    <w:rsid w:val="00CC5AFD"/>
    <w:rsid w:val="00CC65DA"/>
    <w:rsid w:val="00CC7100"/>
    <w:rsid w:val="00CC7103"/>
    <w:rsid w:val="00CD0A34"/>
    <w:rsid w:val="00CD3EF9"/>
    <w:rsid w:val="00CD46E1"/>
    <w:rsid w:val="00CD7D34"/>
    <w:rsid w:val="00CE2A90"/>
    <w:rsid w:val="00CE2B5D"/>
    <w:rsid w:val="00CE4C66"/>
    <w:rsid w:val="00CE66F1"/>
    <w:rsid w:val="00CE72DB"/>
    <w:rsid w:val="00CE742A"/>
    <w:rsid w:val="00CF21B9"/>
    <w:rsid w:val="00CF4B84"/>
    <w:rsid w:val="00CF5B41"/>
    <w:rsid w:val="00CF61AD"/>
    <w:rsid w:val="00CF6BF9"/>
    <w:rsid w:val="00D00C92"/>
    <w:rsid w:val="00D01388"/>
    <w:rsid w:val="00D015AB"/>
    <w:rsid w:val="00D02CA4"/>
    <w:rsid w:val="00D032BA"/>
    <w:rsid w:val="00D03800"/>
    <w:rsid w:val="00D0474A"/>
    <w:rsid w:val="00D05C48"/>
    <w:rsid w:val="00D065D3"/>
    <w:rsid w:val="00D10AF4"/>
    <w:rsid w:val="00D10D2D"/>
    <w:rsid w:val="00D11101"/>
    <w:rsid w:val="00D1168A"/>
    <w:rsid w:val="00D121EE"/>
    <w:rsid w:val="00D13B1E"/>
    <w:rsid w:val="00D14C94"/>
    <w:rsid w:val="00D177DE"/>
    <w:rsid w:val="00D21071"/>
    <w:rsid w:val="00D230C4"/>
    <w:rsid w:val="00D2340E"/>
    <w:rsid w:val="00D2342A"/>
    <w:rsid w:val="00D271EB"/>
    <w:rsid w:val="00D30976"/>
    <w:rsid w:val="00D321FC"/>
    <w:rsid w:val="00D32E64"/>
    <w:rsid w:val="00D33D20"/>
    <w:rsid w:val="00D342A6"/>
    <w:rsid w:val="00D3436F"/>
    <w:rsid w:val="00D34E4D"/>
    <w:rsid w:val="00D37A93"/>
    <w:rsid w:val="00D42B36"/>
    <w:rsid w:val="00D43BCA"/>
    <w:rsid w:val="00D43C54"/>
    <w:rsid w:val="00D45184"/>
    <w:rsid w:val="00D45FB4"/>
    <w:rsid w:val="00D464BF"/>
    <w:rsid w:val="00D53E26"/>
    <w:rsid w:val="00D53FC3"/>
    <w:rsid w:val="00D55B11"/>
    <w:rsid w:val="00D56930"/>
    <w:rsid w:val="00D61006"/>
    <w:rsid w:val="00D619A0"/>
    <w:rsid w:val="00D62B95"/>
    <w:rsid w:val="00D62CD2"/>
    <w:rsid w:val="00D64195"/>
    <w:rsid w:val="00D65922"/>
    <w:rsid w:val="00D663FE"/>
    <w:rsid w:val="00D66A43"/>
    <w:rsid w:val="00D66E22"/>
    <w:rsid w:val="00D74080"/>
    <w:rsid w:val="00D749EF"/>
    <w:rsid w:val="00D74EB6"/>
    <w:rsid w:val="00D75857"/>
    <w:rsid w:val="00D77D3E"/>
    <w:rsid w:val="00D77F9F"/>
    <w:rsid w:val="00D8270E"/>
    <w:rsid w:val="00D84B7C"/>
    <w:rsid w:val="00D8581E"/>
    <w:rsid w:val="00D85A1F"/>
    <w:rsid w:val="00D93345"/>
    <w:rsid w:val="00D96C98"/>
    <w:rsid w:val="00DA0DEE"/>
    <w:rsid w:val="00DA294E"/>
    <w:rsid w:val="00DA3BA5"/>
    <w:rsid w:val="00DA41EE"/>
    <w:rsid w:val="00DA43EA"/>
    <w:rsid w:val="00DA6669"/>
    <w:rsid w:val="00DA6A9C"/>
    <w:rsid w:val="00DA7FF6"/>
    <w:rsid w:val="00DB4FE2"/>
    <w:rsid w:val="00DC328F"/>
    <w:rsid w:val="00DC77E4"/>
    <w:rsid w:val="00DC7BD4"/>
    <w:rsid w:val="00DD36A3"/>
    <w:rsid w:val="00DD3B2F"/>
    <w:rsid w:val="00DD46C0"/>
    <w:rsid w:val="00DD4F0E"/>
    <w:rsid w:val="00DD4FE2"/>
    <w:rsid w:val="00DD580C"/>
    <w:rsid w:val="00DD6645"/>
    <w:rsid w:val="00DD70C7"/>
    <w:rsid w:val="00DD7315"/>
    <w:rsid w:val="00DE14C7"/>
    <w:rsid w:val="00DE1D9D"/>
    <w:rsid w:val="00DE2C85"/>
    <w:rsid w:val="00DE3846"/>
    <w:rsid w:val="00DE3F7C"/>
    <w:rsid w:val="00DE53B8"/>
    <w:rsid w:val="00DE62E3"/>
    <w:rsid w:val="00DF11ED"/>
    <w:rsid w:val="00DF24F7"/>
    <w:rsid w:val="00DF40E1"/>
    <w:rsid w:val="00DF40E2"/>
    <w:rsid w:val="00DF5D3C"/>
    <w:rsid w:val="00DF72DF"/>
    <w:rsid w:val="00E00B38"/>
    <w:rsid w:val="00E02D66"/>
    <w:rsid w:val="00E05E0A"/>
    <w:rsid w:val="00E10FB2"/>
    <w:rsid w:val="00E13B65"/>
    <w:rsid w:val="00E154C2"/>
    <w:rsid w:val="00E16329"/>
    <w:rsid w:val="00E16FA0"/>
    <w:rsid w:val="00E213CE"/>
    <w:rsid w:val="00E234D0"/>
    <w:rsid w:val="00E246DE"/>
    <w:rsid w:val="00E24DF7"/>
    <w:rsid w:val="00E25462"/>
    <w:rsid w:val="00E26585"/>
    <w:rsid w:val="00E305D1"/>
    <w:rsid w:val="00E32726"/>
    <w:rsid w:val="00E3587B"/>
    <w:rsid w:val="00E4150F"/>
    <w:rsid w:val="00E41BAF"/>
    <w:rsid w:val="00E41E7D"/>
    <w:rsid w:val="00E42045"/>
    <w:rsid w:val="00E428D7"/>
    <w:rsid w:val="00E5184F"/>
    <w:rsid w:val="00E52F84"/>
    <w:rsid w:val="00E534CF"/>
    <w:rsid w:val="00E5658E"/>
    <w:rsid w:val="00E5689C"/>
    <w:rsid w:val="00E57D23"/>
    <w:rsid w:val="00E638DD"/>
    <w:rsid w:val="00E6564C"/>
    <w:rsid w:val="00E65B06"/>
    <w:rsid w:val="00E65B25"/>
    <w:rsid w:val="00E71DF5"/>
    <w:rsid w:val="00E73F93"/>
    <w:rsid w:val="00E7418C"/>
    <w:rsid w:val="00E75F90"/>
    <w:rsid w:val="00E7703D"/>
    <w:rsid w:val="00E777BD"/>
    <w:rsid w:val="00E81CB4"/>
    <w:rsid w:val="00E83B1C"/>
    <w:rsid w:val="00E83C39"/>
    <w:rsid w:val="00E8585B"/>
    <w:rsid w:val="00E86F0D"/>
    <w:rsid w:val="00E9366D"/>
    <w:rsid w:val="00E93CEB"/>
    <w:rsid w:val="00E95177"/>
    <w:rsid w:val="00E9532F"/>
    <w:rsid w:val="00E95943"/>
    <w:rsid w:val="00E967FB"/>
    <w:rsid w:val="00EA3476"/>
    <w:rsid w:val="00EA3F15"/>
    <w:rsid w:val="00EA460D"/>
    <w:rsid w:val="00EA4685"/>
    <w:rsid w:val="00EA5030"/>
    <w:rsid w:val="00EA6D5C"/>
    <w:rsid w:val="00EA7847"/>
    <w:rsid w:val="00EA7AD9"/>
    <w:rsid w:val="00EB26B1"/>
    <w:rsid w:val="00EC1C6F"/>
    <w:rsid w:val="00EC2904"/>
    <w:rsid w:val="00EC3048"/>
    <w:rsid w:val="00EC3629"/>
    <w:rsid w:val="00EC6307"/>
    <w:rsid w:val="00EC75CB"/>
    <w:rsid w:val="00ED17AD"/>
    <w:rsid w:val="00ED3149"/>
    <w:rsid w:val="00ED3D79"/>
    <w:rsid w:val="00ED5E6B"/>
    <w:rsid w:val="00ED7FDF"/>
    <w:rsid w:val="00EE2224"/>
    <w:rsid w:val="00EE2E6E"/>
    <w:rsid w:val="00EE4140"/>
    <w:rsid w:val="00EE43DC"/>
    <w:rsid w:val="00EE47EC"/>
    <w:rsid w:val="00EE4D7B"/>
    <w:rsid w:val="00EF4209"/>
    <w:rsid w:val="00F02E27"/>
    <w:rsid w:val="00F02EF9"/>
    <w:rsid w:val="00F03968"/>
    <w:rsid w:val="00F04104"/>
    <w:rsid w:val="00F04218"/>
    <w:rsid w:val="00F06FB5"/>
    <w:rsid w:val="00F0759E"/>
    <w:rsid w:val="00F11C4C"/>
    <w:rsid w:val="00F13945"/>
    <w:rsid w:val="00F17F48"/>
    <w:rsid w:val="00F21867"/>
    <w:rsid w:val="00F23129"/>
    <w:rsid w:val="00F232DB"/>
    <w:rsid w:val="00F240AD"/>
    <w:rsid w:val="00F24AE9"/>
    <w:rsid w:val="00F27942"/>
    <w:rsid w:val="00F30E01"/>
    <w:rsid w:val="00F30E09"/>
    <w:rsid w:val="00F371A4"/>
    <w:rsid w:val="00F379EF"/>
    <w:rsid w:val="00F42986"/>
    <w:rsid w:val="00F44F1F"/>
    <w:rsid w:val="00F457F5"/>
    <w:rsid w:val="00F4580D"/>
    <w:rsid w:val="00F4739B"/>
    <w:rsid w:val="00F50A76"/>
    <w:rsid w:val="00F50B3D"/>
    <w:rsid w:val="00F53121"/>
    <w:rsid w:val="00F541F5"/>
    <w:rsid w:val="00F5453C"/>
    <w:rsid w:val="00F624B1"/>
    <w:rsid w:val="00F64922"/>
    <w:rsid w:val="00F665DA"/>
    <w:rsid w:val="00F67D4D"/>
    <w:rsid w:val="00F722B5"/>
    <w:rsid w:val="00F72B30"/>
    <w:rsid w:val="00F7766D"/>
    <w:rsid w:val="00F80368"/>
    <w:rsid w:val="00F805F9"/>
    <w:rsid w:val="00F821A3"/>
    <w:rsid w:val="00F84563"/>
    <w:rsid w:val="00F92213"/>
    <w:rsid w:val="00F926AB"/>
    <w:rsid w:val="00F9314A"/>
    <w:rsid w:val="00FA16D0"/>
    <w:rsid w:val="00FA26B0"/>
    <w:rsid w:val="00FA6056"/>
    <w:rsid w:val="00FA61E3"/>
    <w:rsid w:val="00FB2B63"/>
    <w:rsid w:val="00FB395E"/>
    <w:rsid w:val="00FB669C"/>
    <w:rsid w:val="00FB6885"/>
    <w:rsid w:val="00FC0C9A"/>
    <w:rsid w:val="00FC3B38"/>
    <w:rsid w:val="00FC53E2"/>
    <w:rsid w:val="00FC58EF"/>
    <w:rsid w:val="00FC62E7"/>
    <w:rsid w:val="00FC67EC"/>
    <w:rsid w:val="00FD0BBF"/>
    <w:rsid w:val="00FD1995"/>
    <w:rsid w:val="00FD33DF"/>
    <w:rsid w:val="00FD45AA"/>
    <w:rsid w:val="00FD711F"/>
    <w:rsid w:val="00FD75C9"/>
    <w:rsid w:val="00FD7FC5"/>
    <w:rsid w:val="00FE02A1"/>
    <w:rsid w:val="00FE25D6"/>
    <w:rsid w:val="00FE2D91"/>
    <w:rsid w:val="00FE37C1"/>
    <w:rsid w:val="00FE39D7"/>
    <w:rsid w:val="00FF04C6"/>
    <w:rsid w:val="00FF554B"/>
    <w:rsid w:val="00FF6C44"/>
    <w:rsid w:val="00FF74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65815E4"/>
  <w15:docId w15:val="{AC319EBF-E12C-4B32-A524-AAF65BBE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6F"/>
    <w:pPr>
      <w:jc w:val="both"/>
    </w:pPr>
    <w:rPr>
      <w:rFonts w:ascii="Bookman Old Style" w:hAnsi="Bookman Old Style"/>
      <w:sz w:val="24"/>
      <w:szCs w:val="24"/>
      <w:lang w:val="es-ES" w:eastAsia="es-ES"/>
    </w:rPr>
  </w:style>
  <w:style w:type="paragraph" w:styleId="Ttulo1">
    <w:name w:val="heading 1"/>
    <w:basedOn w:val="Prrafodelista"/>
    <w:next w:val="Normal"/>
    <w:link w:val="Ttulo1Car"/>
    <w:qFormat/>
    <w:rsid w:val="00BB53DC"/>
    <w:pPr>
      <w:keepNext/>
      <w:numPr>
        <w:numId w:val="3"/>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3"/>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3"/>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3"/>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3"/>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3"/>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3"/>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B53DC"/>
    <w:rPr>
      <w:rFonts w:ascii="Bookman Old Style" w:hAnsi="Bookman Old Style"/>
      <w:b/>
      <w:spacing w:val="4"/>
      <w:sz w:val="24"/>
      <w:szCs w:val="24"/>
    </w:rPr>
  </w:style>
  <w:style w:type="character" w:customStyle="1" w:styleId="Ttulo2Car">
    <w:name w:val="Título 2 Car"/>
    <w:link w:val="Ttulo2"/>
    <w:rsid w:val="00B43FB5"/>
    <w:rPr>
      <w:rFonts w:ascii="Bookman Old Style" w:hAnsi="Bookman Old Style"/>
      <w:b/>
      <w:spacing w:val="4"/>
      <w:sz w:val="24"/>
      <w:szCs w:val="24"/>
    </w:rPr>
  </w:style>
  <w:style w:type="character" w:customStyle="1" w:styleId="Ttulo3Car">
    <w:name w:val="Título 3 Car"/>
    <w:link w:val="Ttulo3"/>
    <w:uiPriority w:val="9"/>
    <w:rsid w:val="00E213CE"/>
    <w:rPr>
      <w:rFonts w:ascii="Bookman Old Style" w:hAnsi="Bookman Old Style"/>
      <w:b/>
      <w:spacing w:val="4"/>
      <w:sz w:val="24"/>
      <w:szCs w:val="24"/>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uiPriority w:val="9"/>
    <w:rsid w:val="00795BFB"/>
    <w:rPr>
      <w:rFonts w:ascii="Calibri" w:hAnsi="Calibri"/>
      <w:b/>
      <w:bCs/>
      <w:sz w:val="22"/>
      <w:szCs w:val="22"/>
    </w:rPr>
  </w:style>
  <w:style w:type="character" w:customStyle="1" w:styleId="Ttulo7Car">
    <w:name w:val="Título 7 Car"/>
    <w:link w:val="Ttulo7"/>
    <w:uiPriority w:val="9"/>
    <w:rsid w:val="006E56AD"/>
    <w:rPr>
      <w:rFonts w:ascii="Arial" w:hAnsi="Arial"/>
      <w:b/>
      <w:sz w:val="22"/>
      <w:lang w:val="es-CO"/>
    </w:rPr>
  </w:style>
  <w:style w:type="character" w:customStyle="1" w:styleId="Ttulo8Car">
    <w:name w:val="Título 8 Car"/>
    <w:link w:val="Ttulo8"/>
    <w:uiPriority w:val="9"/>
    <w:rsid w:val="006E56AD"/>
    <w:rPr>
      <w:rFonts w:ascii="Arial" w:hAnsi="Arial" w:cs="Arial"/>
      <w:b/>
      <w:sz w:val="22"/>
      <w:lang w:val="es-CO"/>
    </w:rPr>
  </w:style>
  <w:style w:type="character" w:customStyle="1" w:styleId="Ttulo9Car">
    <w:name w:val="Título 9 Ca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numPr>
        <w:numId w:val="1"/>
      </w:numPr>
    </w:pPr>
    <w:rPr>
      <w:sz w:val="20"/>
      <w:szCs w:val="20"/>
      <w:lang w:val="es-CO"/>
    </w:rPr>
  </w:style>
  <w:style w:type="character" w:customStyle="1" w:styleId="PrrafodelistaCar">
    <w:name w:val="Párrafo de lista Car"/>
    <w:link w:val="Prrafodelista"/>
    <w:uiPriority w:val="34"/>
    <w:rsid w:val="001405C6"/>
    <w:rPr>
      <w:rFonts w:ascii="Bookman Old Style" w:hAnsi="Bookman Old Style"/>
      <w:lang w:eastAsia="es-ES"/>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link w:val="Descripcin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DescripcinCar">
    <w:name w:val="Descripción Car"/>
    <w:link w:val="Descripcin"/>
    <w:rsid w:val="008207F3"/>
    <w:rPr>
      <w:rFonts w:ascii="Arial" w:hAnsi="Arial"/>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ArtculoCar">
    <w:name w:val="Artículo Car"/>
    <w:rsid w:val="00D96C98"/>
    <w:rPr>
      <w:rFonts w:ascii="Bookman Old Style" w:hAnsi="Bookman Old Style" w:cs="Arial"/>
      <w:sz w:val="24"/>
      <w:szCs w:val="24"/>
      <w:lang w:val="en-US" w:eastAsia="es-ES"/>
    </w:rPr>
  </w:style>
  <w:style w:type="character" w:styleId="Hipervnculo">
    <w:name w:val="Hyperlink"/>
    <w:rsid w:val="006E56AD"/>
    <w:rPr>
      <w:color w:val="0000FF"/>
      <w:u w:val="single"/>
    </w:rPr>
  </w:style>
  <w:style w:type="character" w:styleId="Hipervnculovisitado">
    <w:name w:val="FollowedHyperlink"/>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link w:val="Textonotapie"/>
    <w:semiHidden/>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semiHidden/>
    <w:unhideWhenUsed/>
    <w:rsid w:val="006E56AD"/>
    <w:rPr>
      <w:sz w:val="16"/>
      <w:szCs w:val="16"/>
    </w:rPr>
  </w:style>
  <w:style w:type="paragraph" w:styleId="Textocomentario">
    <w:name w:val="annotation text"/>
    <w:basedOn w:val="Normal"/>
    <w:link w:val="TextocomentarioCar"/>
    <w:unhideWhenUsed/>
    <w:rsid w:val="006E56AD"/>
    <w:pPr>
      <w:spacing w:before="160" w:after="160"/>
    </w:pPr>
    <w:rPr>
      <w:rFonts w:ascii="Arial" w:hAnsi="Arial"/>
      <w:sz w:val="20"/>
      <w:szCs w:val="20"/>
      <w:lang w:val="es-CO"/>
    </w:rPr>
  </w:style>
  <w:style w:type="character" w:customStyle="1" w:styleId="TextocomentarioCar">
    <w:name w:val="Texto comentario Car"/>
    <w:link w:val="Textocomentario"/>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link w:val="Asuntodelcomentario"/>
    <w:semiHidden/>
    <w:rsid w:val="006E56AD"/>
    <w:rPr>
      <w:rFonts w:ascii="Arial" w:hAnsi="Arial"/>
      <w:b/>
      <w:bCs/>
      <w:lang w:val="es-CO"/>
    </w:rPr>
  </w:style>
  <w:style w:type="character" w:styleId="Textoennegrita">
    <w:name w:val="Strong"/>
    <w:uiPriority w:val="22"/>
    <w:qFormat/>
    <w:rsid w:val="006E56AD"/>
    <w:rPr>
      <w:b/>
      <w:bCs/>
    </w:rPr>
  </w:style>
  <w:style w:type="paragraph" w:styleId="Ttulo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link w:val="Listaletras"/>
    <w:rsid w:val="008207F3"/>
    <w:rPr>
      <w:rFonts w:ascii="Bookman Old Style" w:hAnsi="Bookman Old Style"/>
      <w:b w:val="0"/>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8207F3"/>
    <w:rPr>
      <w:rFonts w:ascii="Arial" w:hAnsi="Arial" w:cs="Arial"/>
      <w:b w:val="0"/>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9F5D1F"/>
    <w:rPr>
      <w:rFonts w:ascii="Bookman Old Style" w:hAnsi="Bookman Old Style"/>
      <w:sz w:val="24"/>
      <w:szCs w:val="24"/>
      <w:lang w:val="es-ES" w:eastAsia="es-ES"/>
    </w:rPr>
  </w:style>
  <w:style w:type="paragraph" w:customStyle="1" w:styleId="c92">
    <w:name w:val="c92"/>
    <w:basedOn w:val="Normal"/>
    <w:uiPriority w:val="99"/>
    <w:rsid w:val="0080129A"/>
    <w:pPr>
      <w:widowControl w:val="0"/>
      <w:autoSpaceDE w:val="0"/>
      <w:autoSpaceDN w:val="0"/>
      <w:adjustRightInd w:val="0"/>
      <w:spacing w:line="240" w:lineRule="atLeast"/>
      <w:jc w:val="center"/>
    </w:pPr>
    <w:rPr>
      <w:rFonts w:ascii="Times New Roman" w:hAnsi="Times New Roman"/>
      <w:lang w:val="en-US" w:eastAsia="es-CO"/>
    </w:rPr>
  </w:style>
  <w:style w:type="paragraph" w:customStyle="1" w:styleId="p93">
    <w:name w:val="p93"/>
    <w:basedOn w:val="Normal"/>
    <w:uiPriority w:val="99"/>
    <w:rsid w:val="0080129A"/>
    <w:pPr>
      <w:widowControl w:val="0"/>
      <w:tabs>
        <w:tab w:val="left" w:pos="3526"/>
      </w:tabs>
      <w:autoSpaceDE w:val="0"/>
      <w:autoSpaceDN w:val="0"/>
      <w:adjustRightInd w:val="0"/>
      <w:spacing w:line="240" w:lineRule="atLeast"/>
      <w:ind w:left="726"/>
      <w:jc w:val="left"/>
    </w:pPr>
    <w:rPr>
      <w:rFonts w:ascii="Times New Roman" w:hAnsi="Times New Roman"/>
      <w:lang w:val="en-US" w:eastAsia="es-CO"/>
    </w:rPr>
  </w:style>
  <w:style w:type="paragraph" w:customStyle="1" w:styleId="Estilo3">
    <w:name w:val="Estilo3"/>
    <w:basedOn w:val="Ttulo"/>
    <w:qFormat/>
    <w:rsid w:val="006C1836"/>
    <w:pPr>
      <w:widowControl/>
      <w:adjustRightInd/>
      <w:spacing w:line="240" w:lineRule="auto"/>
      <w:jc w:val="left"/>
      <w:textAlignment w:val="auto"/>
    </w:pPr>
    <w:rPr>
      <w:rFonts w:cs="Times New Roman"/>
      <w:b w:val="0"/>
      <w:bCs w:val="0"/>
      <w:sz w:val="22"/>
      <w:szCs w:val="20"/>
      <w:lang w:val="es-ES_tradnl" w:eastAsia="es-CO"/>
    </w:rPr>
  </w:style>
  <w:style w:type="paragraph" w:customStyle="1" w:styleId="Estilo5">
    <w:name w:val="Estilo5"/>
    <w:basedOn w:val="Estilo1"/>
    <w:qFormat/>
    <w:rsid w:val="006C1836"/>
    <w:pPr>
      <w:keepNext/>
      <w:numPr>
        <w:numId w:val="8"/>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Vietaletra">
    <w:name w:val="Viñeta letra"/>
    <w:basedOn w:val="Normal"/>
    <w:next w:val="Normal"/>
    <w:rsid w:val="00632D4A"/>
    <w:pPr>
      <w:numPr>
        <w:numId w:val="46"/>
      </w:numPr>
      <w:suppressAutoHyphens/>
      <w:overflowPunct w:val="0"/>
      <w:autoSpaceDE w:val="0"/>
      <w:textAlignment w:val="baseline"/>
    </w:pPr>
    <w:rPr>
      <w:rFonts w:ascii="Arial" w:hAnsi="Arial"/>
      <w:szCs w:val="20"/>
      <w:lang w:val="es-ES_tradnl" w:eastAsia="ar-SA"/>
    </w:rPr>
  </w:style>
  <w:style w:type="paragraph" w:customStyle="1" w:styleId="ARTICULOS">
    <w:name w:val="ARTICULOS"/>
    <w:basedOn w:val="Normal"/>
    <w:link w:val="ARTICULOSCar"/>
    <w:qFormat/>
    <w:rsid w:val="00C229DF"/>
    <w:pPr>
      <w:widowControl w:val="0"/>
      <w:numPr>
        <w:numId w:val="52"/>
      </w:numPr>
      <w:adjustRightInd w:val="0"/>
      <w:textAlignment w:val="baseline"/>
    </w:pPr>
    <w:rPr>
      <w:bCs/>
      <w:lang w:val="x-none" w:eastAsia="x-none"/>
    </w:rPr>
  </w:style>
  <w:style w:type="character" w:customStyle="1" w:styleId="ARTICULOSCar">
    <w:name w:val="ARTICULOS Car"/>
    <w:link w:val="ARTICULOS"/>
    <w:rsid w:val="00C229DF"/>
    <w:rPr>
      <w:rFonts w:ascii="Bookman Old Style" w:hAnsi="Bookman Old Style"/>
      <w:bCs/>
      <w:sz w:val="24"/>
      <w:szCs w:val="24"/>
      <w:lang w:val="x-none" w:eastAsia="x-none"/>
    </w:rPr>
  </w:style>
  <w:style w:type="paragraph" w:customStyle="1" w:styleId="Default">
    <w:name w:val="Default"/>
    <w:rsid w:val="00CB5408"/>
    <w:pPr>
      <w:autoSpaceDE w:val="0"/>
      <w:autoSpaceDN w:val="0"/>
      <w:adjustRightInd w:val="0"/>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2894">
      <w:bodyDiv w:val="1"/>
      <w:marLeft w:val="0"/>
      <w:marRight w:val="0"/>
      <w:marTop w:val="0"/>
      <w:marBottom w:val="0"/>
      <w:divBdr>
        <w:top w:val="none" w:sz="0" w:space="0" w:color="auto"/>
        <w:left w:val="none" w:sz="0" w:space="0" w:color="auto"/>
        <w:bottom w:val="none" w:sz="0" w:space="0" w:color="auto"/>
        <w:right w:val="none" w:sz="0" w:space="0" w:color="auto"/>
      </w:divBdr>
    </w:div>
    <w:div w:id="144977487">
      <w:bodyDiv w:val="1"/>
      <w:marLeft w:val="0"/>
      <w:marRight w:val="0"/>
      <w:marTop w:val="0"/>
      <w:marBottom w:val="0"/>
      <w:divBdr>
        <w:top w:val="none" w:sz="0" w:space="0" w:color="auto"/>
        <w:left w:val="none" w:sz="0" w:space="0" w:color="auto"/>
        <w:bottom w:val="none" w:sz="0" w:space="0" w:color="auto"/>
        <w:right w:val="none" w:sz="0" w:space="0" w:color="auto"/>
      </w:divBdr>
    </w:div>
    <w:div w:id="208348107">
      <w:bodyDiv w:val="1"/>
      <w:marLeft w:val="0"/>
      <w:marRight w:val="0"/>
      <w:marTop w:val="0"/>
      <w:marBottom w:val="0"/>
      <w:divBdr>
        <w:top w:val="none" w:sz="0" w:space="0" w:color="auto"/>
        <w:left w:val="none" w:sz="0" w:space="0" w:color="auto"/>
        <w:bottom w:val="none" w:sz="0" w:space="0" w:color="auto"/>
        <w:right w:val="none" w:sz="0" w:space="0" w:color="auto"/>
      </w:divBdr>
    </w:div>
    <w:div w:id="243610836">
      <w:bodyDiv w:val="1"/>
      <w:marLeft w:val="0"/>
      <w:marRight w:val="0"/>
      <w:marTop w:val="0"/>
      <w:marBottom w:val="0"/>
      <w:divBdr>
        <w:top w:val="none" w:sz="0" w:space="0" w:color="auto"/>
        <w:left w:val="none" w:sz="0" w:space="0" w:color="auto"/>
        <w:bottom w:val="none" w:sz="0" w:space="0" w:color="auto"/>
        <w:right w:val="none" w:sz="0" w:space="0" w:color="auto"/>
      </w:divBdr>
    </w:div>
    <w:div w:id="275721217">
      <w:bodyDiv w:val="1"/>
      <w:marLeft w:val="0"/>
      <w:marRight w:val="0"/>
      <w:marTop w:val="0"/>
      <w:marBottom w:val="0"/>
      <w:divBdr>
        <w:top w:val="none" w:sz="0" w:space="0" w:color="auto"/>
        <w:left w:val="none" w:sz="0" w:space="0" w:color="auto"/>
        <w:bottom w:val="none" w:sz="0" w:space="0" w:color="auto"/>
        <w:right w:val="none" w:sz="0" w:space="0" w:color="auto"/>
      </w:divBdr>
    </w:div>
    <w:div w:id="335882763">
      <w:bodyDiv w:val="1"/>
      <w:marLeft w:val="0"/>
      <w:marRight w:val="0"/>
      <w:marTop w:val="0"/>
      <w:marBottom w:val="0"/>
      <w:divBdr>
        <w:top w:val="none" w:sz="0" w:space="0" w:color="auto"/>
        <w:left w:val="none" w:sz="0" w:space="0" w:color="auto"/>
        <w:bottom w:val="none" w:sz="0" w:space="0" w:color="auto"/>
        <w:right w:val="none" w:sz="0" w:space="0" w:color="auto"/>
      </w:divBdr>
    </w:div>
    <w:div w:id="474756131">
      <w:bodyDiv w:val="1"/>
      <w:marLeft w:val="0"/>
      <w:marRight w:val="0"/>
      <w:marTop w:val="0"/>
      <w:marBottom w:val="0"/>
      <w:divBdr>
        <w:top w:val="none" w:sz="0" w:space="0" w:color="auto"/>
        <w:left w:val="none" w:sz="0" w:space="0" w:color="auto"/>
        <w:bottom w:val="none" w:sz="0" w:space="0" w:color="auto"/>
        <w:right w:val="none" w:sz="0" w:space="0" w:color="auto"/>
      </w:divBdr>
    </w:div>
    <w:div w:id="482547127">
      <w:bodyDiv w:val="1"/>
      <w:marLeft w:val="0"/>
      <w:marRight w:val="0"/>
      <w:marTop w:val="0"/>
      <w:marBottom w:val="0"/>
      <w:divBdr>
        <w:top w:val="none" w:sz="0" w:space="0" w:color="auto"/>
        <w:left w:val="none" w:sz="0" w:space="0" w:color="auto"/>
        <w:bottom w:val="none" w:sz="0" w:space="0" w:color="auto"/>
        <w:right w:val="none" w:sz="0" w:space="0" w:color="auto"/>
      </w:divBdr>
    </w:div>
    <w:div w:id="496042083">
      <w:bodyDiv w:val="1"/>
      <w:marLeft w:val="0"/>
      <w:marRight w:val="0"/>
      <w:marTop w:val="0"/>
      <w:marBottom w:val="0"/>
      <w:divBdr>
        <w:top w:val="none" w:sz="0" w:space="0" w:color="auto"/>
        <w:left w:val="none" w:sz="0" w:space="0" w:color="auto"/>
        <w:bottom w:val="none" w:sz="0" w:space="0" w:color="auto"/>
        <w:right w:val="none" w:sz="0" w:space="0" w:color="auto"/>
      </w:divBdr>
    </w:div>
    <w:div w:id="517081676">
      <w:bodyDiv w:val="1"/>
      <w:marLeft w:val="0"/>
      <w:marRight w:val="0"/>
      <w:marTop w:val="0"/>
      <w:marBottom w:val="0"/>
      <w:divBdr>
        <w:top w:val="none" w:sz="0" w:space="0" w:color="auto"/>
        <w:left w:val="none" w:sz="0" w:space="0" w:color="auto"/>
        <w:bottom w:val="none" w:sz="0" w:space="0" w:color="auto"/>
        <w:right w:val="none" w:sz="0" w:space="0" w:color="auto"/>
      </w:divBdr>
    </w:div>
    <w:div w:id="522716389">
      <w:bodyDiv w:val="1"/>
      <w:marLeft w:val="0"/>
      <w:marRight w:val="0"/>
      <w:marTop w:val="0"/>
      <w:marBottom w:val="0"/>
      <w:divBdr>
        <w:top w:val="none" w:sz="0" w:space="0" w:color="auto"/>
        <w:left w:val="none" w:sz="0" w:space="0" w:color="auto"/>
        <w:bottom w:val="none" w:sz="0" w:space="0" w:color="auto"/>
        <w:right w:val="none" w:sz="0" w:space="0" w:color="auto"/>
      </w:divBdr>
      <w:divsChild>
        <w:div w:id="979265634">
          <w:marLeft w:val="0"/>
          <w:marRight w:val="0"/>
          <w:marTop w:val="0"/>
          <w:marBottom w:val="0"/>
          <w:divBdr>
            <w:top w:val="none" w:sz="0" w:space="0" w:color="auto"/>
            <w:left w:val="none" w:sz="0" w:space="0" w:color="auto"/>
            <w:bottom w:val="none" w:sz="0" w:space="0" w:color="auto"/>
            <w:right w:val="none" w:sz="0" w:space="0" w:color="auto"/>
          </w:divBdr>
          <w:divsChild>
            <w:div w:id="11341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84397">
      <w:bodyDiv w:val="1"/>
      <w:marLeft w:val="0"/>
      <w:marRight w:val="0"/>
      <w:marTop w:val="0"/>
      <w:marBottom w:val="0"/>
      <w:divBdr>
        <w:top w:val="none" w:sz="0" w:space="0" w:color="auto"/>
        <w:left w:val="none" w:sz="0" w:space="0" w:color="auto"/>
        <w:bottom w:val="none" w:sz="0" w:space="0" w:color="auto"/>
        <w:right w:val="none" w:sz="0" w:space="0" w:color="auto"/>
      </w:divBdr>
    </w:div>
    <w:div w:id="596132629">
      <w:bodyDiv w:val="1"/>
      <w:marLeft w:val="0"/>
      <w:marRight w:val="0"/>
      <w:marTop w:val="0"/>
      <w:marBottom w:val="0"/>
      <w:divBdr>
        <w:top w:val="none" w:sz="0" w:space="0" w:color="auto"/>
        <w:left w:val="none" w:sz="0" w:space="0" w:color="auto"/>
        <w:bottom w:val="none" w:sz="0" w:space="0" w:color="auto"/>
        <w:right w:val="none" w:sz="0" w:space="0" w:color="auto"/>
      </w:divBdr>
    </w:div>
    <w:div w:id="602954487">
      <w:bodyDiv w:val="1"/>
      <w:marLeft w:val="0"/>
      <w:marRight w:val="0"/>
      <w:marTop w:val="0"/>
      <w:marBottom w:val="0"/>
      <w:divBdr>
        <w:top w:val="none" w:sz="0" w:space="0" w:color="auto"/>
        <w:left w:val="none" w:sz="0" w:space="0" w:color="auto"/>
        <w:bottom w:val="none" w:sz="0" w:space="0" w:color="auto"/>
        <w:right w:val="none" w:sz="0" w:space="0" w:color="auto"/>
      </w:divBdr>
      <w:divsChild>
        <w:div w:id="1441142706">
          <w:marLeft w:val="0"/>
          <w:marRight w:val="0"/>
          <w:marTop w:val="0"/>
          <w:marBottom w:val="0"/>
          <w:divBdr>
            <w:top w:val="none" w:sz="0" w:space="0" w:color="auto"/>
            <w:left w:val="none" w:sz="0" w:space="0" w:color="auto"/>
            <w:bottom w:val="none" w:sz="0" w:space="0" w:color="auto"/>
            <w:right w:val="none" w:sz="0" w:space="0" w:color="auto"/>
          </w:divBdr>
          <w:divsChild>
            <w:div w:id="1969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5825">
      <w:bodyDiv w:val="1"/>
      <w:marLeft w:val="0"/>
      <w:marRight w:val="0"/>
      <w:marTop w:val="0"/>
      <w:marBottom w:val="0"/>
      <w:divBdr>
        <w:top w:val="none" w:sz="0" w:space="0" w:color="auto"/>
        <w:left w:val="none" w:sz="0" w:space="0" w:color="auto"/>
        <w:bottom w:val="none" w:sz="0" w:space="0" w:color="auto"/>
        <w:right w:val="none" w:sz="0" w:space="0" w:color="auto"/>
      </w:divBdr>
    </w:div>
    <w:div w:id="653068047">
      <w:bodyDiv w:val="1"/>
      <w:marLeft w:val="0"/>
      <w:marRight w:val="0"/>
      <w:marTop w:val="0"/>
      <w:marBottom w:val="0"/>
      <w:divBdr>
        <w:top w:val="none" w:sz="0" w:space="0" w:color="auto"/>
        <w:left w:val="none" w:sz="0" w:space="0" w:color="auto"/>
        <w:bottom w:val="none" w:sz="0" w:space="0" w:color="auto"/>
        <w:right w:val="none" w:sz="0" w:space="0" w:color="auto"/>
      </w:divBdr>
    </w:div>
    <w:div w:id="710419491">
      <w:bodyDiv w:val="1"/>
      <w:marLeft w:val="0"/>
      <w:marRight w:val="0"/>
      <w:marTop w:val="0"/>
      <w:marBottom w:val="0"/>
      <w:divBdr>
        <w:top w:val="none" w:sz="0" w:space="0" w:color="auto"/>
        <w:left w:val="none" w:sz="0" w:space="0" w:color="auto"/>
        <w:bottom w:val="none" w:sz="0" w:space="0" w:color="auto"/>
        <w:right w:val="none" w:sz="0" w:space="0" w:color="auto"/>
      </w:divBdr>
    </w:div>
    <w:div w:id="744299751">
      <w:bodyDiv w:val="1"/>
      <w:marLeft w:val="0"/>
      <w:marRight w:val="0"/>
      <w:marTop w:val="0"/>
      <w:marBottom w:val="0"/>
      <w:divBdr>
        <w:top w:val="none" w:sz="0" w:space="0" w:color="auto"/>
        <w:left w:val="none" w:sz="0" w:space="0" w:color="auto"/>
        <w:bottom w:val="none" w:sz="0" w:space="0" w:color="auto"/>
        <w:right w:val="none" w:sz="0" w:space="0" w:color="auto"/>
      </w:divBdr>
    </w:div>
    <w:div w:id="827474277">
      <w:bodyDiv w:val="1"/>
      <w:marLeft w:val="0"/>
      <w:marRight w:val="0"/>
      <w:marTop w:val="0"/>
      <w:marBottom w:val="0"/>
      <w:divBdr>
        <w:top w:val="none" w:sz="0" w:space="0" w:color="auto"/>
        <w:left w:val="none" w:sz="0" w:space="0" w:color="auto"/>
        <w:bottom w:val="none" w:sz="0" w:space="0" w:color="auto"/>
        <w:right w:val="none" w:sz="0" w:space="0" w:color="auto"/>
      </w:divBdr>
    </w:div>
    <w:div w:id="873034135">
      <w:bodyDiv w:val="1"/>
      <w:marLeft w:val="0"/>
      <w:marRight w:val="0"/>
      <w:marTop w:val="0"/>
      <w:marBottom w:val="0"/>
      <w:divBdr>
        <w:top w:val="none" w:sz="0" w:space="0" w:color="auto"/>
        <w:left w:val="none" w:sz="0" w:space="0" w:color="auto"/>
        <w:bottom w:val="none" w:sz="0" w:space="0" w:color="auto"/>
        <w:right w:val="none" w:sz="0" w:space="0" w:color="auto"/>
      </w:divBdr>
    </w:div>
    <w:div w:id="884298896">
      <w:bodyDiv w:val="1"/>
      <w:marLeft w:val="0"/>
      <w:marRight w:val="0"/>
      <w:marTop w:val="0"/>
      <w:marBottom w:val="0"/>
      <w:divBdr>
        <w:top w:val="none" w:sz="0" w:space="0" w:color="auto"/>
        <w:left w:val="none" w:sz="0" w:space="0" w:color="auto"/>
        <w:bottom w:val="none" w:sz="0" w:space="0" w:color="auto"/>
        <w:right w:val="none" w:sz="0" w:space="0" w:color="auto"/>
      </w:divBdr>
    </w:div>
    <w:div w:id="897478547">
      <w:bodyDiv w:val="1"/>
      <w:marLeft w:val="0"/>
      <w:marRight w:val="0"/>
      <w:marTop w:val="0"/>
      <w:marBottom w:val="0"/>
      <w:divBdr>
        <w:top w:val="none" w:sz="0" w:space="0" w:color="auto"/>
        <w:left w:val="none" w:sz="0" w:space="0" w:color="auto"/>
        <w:bottom w:val="none" w:sz="0" w:space="0" w:color="auto"/>
        <w:right w:val="none" w:sz="0" w:space="0" w:color="auto"/>
      </w:divBdr>
    </w:div>
    <w:div w:id="997001060">
      <w:bodyDiv w:val="1"/>
      <w:marLeft w:val="0"/>
      <w:marRight w:val="0"/>
      <w:marTop w:val="0"/>
      <w:marBottom w:val="0"/>
      <w:divBdr>
        <w:top w:val="none" w:sz="0" w:space="0" w:color="auto"/>
        <w:left w:val="none" w:sz="0" w:space="0" w:color="auto"/>
        <w:bottom w:val="none" w:sz="0" w:space="0" w:color="auto"/>
        <w:right w:val="none" w:sz="0" w:space="0" w:color="auto"/>
      </w:divBdr>
    </w:div>
    <w:div w:id="1096708509">
      <w:bodyDiv w:val="1"/>
      <w:marLeft w:val="0"/>
      <w:marRight w:val="0"/>
      <w:marTop w:val="0"/>
      <w:marBottom w:val="0"/>
      <w:divBdr>
        <w:top w:val="none" w:sz="0" w:space="0" w:color="auto"/>
        <w:left w:val="none" w:sz="0" w:space="0" w:color="auto"/>
        <w:bottom w:val="none" w:sz="0" w:space="0" w:color="auto"/>
        <w:right w:val="none" w:sz="0" w:space="0" w:color="auto"/>
      </w:divBdr>
    </w:div>
    <w:div w:id="1133668306">
      <w:bodyDiv w:val="1"/>
      <w:marLeft w:val="0"/>
      <w:marRight w:val="0"/>
      <w:marTop w:val="0"/>
      <w:marBottom w:val="0"/>
      <w:divBdr>
        <w:top w:val="none" w:sz="0" w:space="0" w:color="auto"/>
        <w:left w:val="none" w:sz="0" w:space="0" w:color="auto"/>
        <w:bottom w:val="none" w:sz="0" w:space="0" w:color="auto"/>
        <w:right w:val="none" w:sz="0" w:space="0" w:color="auto"/>
      </w:divBdr>
    </w:div>
    <w:div w:id="1168786193">
      <w:bodyDiv w:val="1"/>
      <w:marLeft w:val="0"/>
      <w:marRight w:val="0"/>
      <w:marTop w:val="0"/>
      <w:marBottom w:val="0"/>
      <w:divBdr>
        <w:top w:val="none" w:sz="0" w:space="0" w:color="auto"/>
        <w:left w:val="none" w:sz="0" w:space="0" w:color="auto"/>
        <w:bottom w:val="none" w:sz="0" w:space="0" w:color="auto"/>
        <w:right w:val="none" w:sz="0" w:space="0" w:color="auto"/>
      </w:divBdr>
    </w:div>
    <w:div w:id="1173452776">
      <w:bodyDiv w:val="1"/>
      <w:marLeft w:val="0"/>
      <w:marRight w:val="0"/>
      <w:marTop w:val="0"/>
      <w:marBottom w:val="0"/>
      <w:divBdr>
        <w:top w:val="none" w:sz="0" w:space="0" w:color="auto"/>
        <w:left w:val="none" w:sz="0" w:space="0" w:color="auto"/>
        <w:bottom w:val="none" w:sz="0" w:space="0" w:color="auto"/>
        <w:right w:val="none" w:sz="0" w:space="0" w:color="auto"/>
      </w:divBdr>
    </w:div>
    <w:div w:id="1182352062">
      <w:bodyDiv w:val="1"/>
      <w:marLeft w:val="0"/>
      <w:marRight w:val="0"/>
      <w:marTop w:val="0"/>
      <w:marBottom w:val="0"/>
      <w:divBdr>
        <w:top w:val="none" w:sz="0" w:space="0" w:color="auto"/>
        <w:left w:val="none" w:sz="0" w:space="0" w:color="auto"/>
        <w:bottom w:val="none" w:sz="0" w:space="0" w:color="auto"/>
        <w:right w:val="none" w:sz="0" w:space="0" w:color="auto"/>
      </w:divBdr>
    </w:div>
    <w:div w:id="1228414207">
      <w:bodyDiv w:val="1"/>
      <w:marLeft w:val="0"/>
      <w:marRight w:val="0"/>
      <w:marTop w:val="0"/>
      <w:marBottom w:val="0"/>
      <w:divBdr>
        <w:top w:val="none" w:sz="0" w:space="0" w:color="auto"/>
        <w:left w:val="none" w:sz="0" w:space="0" w:color="auto"/>
        <w:bottom w:val="none" w:sz="0" w:space="0" w:color="auto"/>
        <w:right w:val="none" w:sz="0" w:space="0" w:color="auto"/>
      </w:divBdr>
    </w:div>
    <w:div w:id="1245651113">
      <w:bodyDiv w:val="1"/>
      <w:marLeft w:val="0"/>
      <w:marRight w:val="0"/>
      <w:marTop w:val="0"/>
      <w:marBottom w:val="0"/>
      <w:divBdr>
        <w:top w:val="none" w:sz="0" w:space="0" w:color="auto"/>
        <w:left w:val="none" w:sz="0" w:space="0" w:color="auto"/>
        <w:bottom w:val="none" w:sz="0" w:space="0" w:color="auto"/>
        <w:right w:val="none" w:sz="0" w:space="0" w:color="auto"/>
      </w:divBdr>
    </w:div>
    <w:div w:id="1259749486">
      <w:bodyDiv w:val="1"/>
      <w:marLeft w:val="0"/>
      <w:marRight w:val="0"/>
      <w:marTop w:val="0"/>
      <w:marBottom w:val="0"/>
      <w:divBdr>
        <w:top w:val="none" w:sz="0" w:space="0" w:color="auto"/>
        <w:left w:val="none" w:sz="0" w:space="0" w:color="auto"/>
        <w:bottom w:val="none" w:sz="0" w:space="0" w:color="auto"/>
        <w:right w:val="none" w:sz="0" w:space="0" w:color="auto"/>
      </w:divBdr>
    </w:div>
    <w:div w:id="1312295532">
      <w:bodyDiv w:val="1"/>
      <w:marLeft w:val="0"/>
      <w:marRight w:val="0"/>
      <w:marTop w:val="0"/>
      <w:marBottom w:val="0"/>
      <w:divBdr>
        <w:top w:val="none" w:sz="0" w:space="0" w:color="auto"/>
        <w:left w:val="none" w:sz="0" w:space="0" w:color="auto"/>
        <w:bottom w:val="none" w:sz="0" w:space="0" w:color="auto"/>
        <w:right w:val="none" w:sz="0" w:space="0" w:color="auto"/>
      </w:divBdr>
    </w:div>
    <w:div w:id="1324971895">
      <w:bodyDiv w:val="1"/>
      <w:marLeft w:val="0"/>
      <w:marRight w:val="0"/>
      <w:marTop w:val="0"/>
      <w:marBottom w:val="0"/>
      <w:divBdr>
        <w:top w:val="none" w:sz="0" w:space="0" w:color="auto"/>
        <w:left w:val="none" w:sz="0" w:space="0" w:color="auto"/>
        <w:bottom w:val="none" w:sz="0" w:space="0" w:color="auto"/>
        <w:right w:val="none" w:sz="0" w:space="0" w:color="auto"/>
      </w:divBdr>
    </w:div>
    <w:div w:id="1326132238">
      <w:bodyDiv w:val="1"/>
      <w:marLeft w:val="0"/>
      <w:marRight w:val="0"/>
      <w:marTop w:val="0"/>
      <w:marBottom w:val="0"/>
      <w:divBdr>
        <w:top w:val="none" w:sz="0" w:space="0" w:color="auto"/>
        <w:left w:val="none" w:sz="0" w:space="0" w:color="auto"/>
        <w:bottom w:val="none" w:sz="0" w:space="0" w:color="auto"/>
        <w:right w:val="none" w:sz="0" w:space="0" w:color="auto"/>
      </w:divBdr>
    </w:div>
    <w:div w:id="1345279627">
      <w:bodyDiv w:val="1"/>
      <w:marLeft w:val="0"/>
      <w:marRight w:val="0"/>
      <w:marTop w:val="0"/>
      <w:marBottom w:val="0"/>
      <w:divBdr>
        <w:top w:val="none" w:sz="0" w:space="0" w:color="auto"/>
        <w:left w:val="none" w:sz="0" w:space="0" w:color="auto"/>
        <w:bottom w:val="none" w:sz="0" w:space="0" w:color="auto"/>
        <w:right w:val="none" w:sz="0" w:space="0" w:color="auto"/>
      </w:divBdr>
    </w:div>
    <w:div w:id="1363020092">
      <w:bodyDiv w:val="1"/>
      <w:marLeft w:val="0"/>
      <w:marRight w:val="0"/>
      <w:marTop w:val="0"/>
      <w:marBottom w:val="0"/>
      <w:divBdr>
        <w:top w:val="none" w:sz="0" w:space="0" w:color="auto"/>
        <w:left w:val="none" w:sz="0" w:space="0" w:color="auto"/>
        <w:bottom w:val="none" w:sz="0" w:space="0" w:color="auto"/>
        <w:right w:val="none" w:sz="0" w:space="0" w:color="auto"/>
      </w:divBdr>
    </w:div>
    <w:div w:id="1496996710">
      <w:bodyDiv w:val="1"/>
      <w:marLeft w:val="0"/>
      <w:marRight w:val="0"/>
      <w:marTop w:val="0"/>
      <w:marBottom w:val="0"/>
      <w:divBdr>
        <w:top w:val="none" w:sz="0" w:space="0" w:color="auto"/>
        <w:left w:val="none" w:sz="0" w:space="0" w:color="auto"/>
        <w:bottom w:val="none" w:sz="0" w:space="0" w:color="auto"/>
        <w:right w:val="none" w:sz="0" w:space="0" w:color="auto"/>
      </w:divBdr>
    </w:div>
    <w:div w:id="1604847794">
      <w:bodyDiv w:val="1"/>
      <w:marLeft w:val="0"/>
      <w:marRight w:val="0"/>
      <w:marTop w:val="0"/>
      <w:marBottom w:val="0"/>
      <w:divBdr>
        <w:top w:val="none" w:sz="0" w:space="0" w:color="auto"/>
        <w:left w:val="none" w:sz="0" w:space="0" w:color="auto"/>
        <w:bottom w:val="none" w:sz="0" w:space="0" w:color="auto"/>
        <w:right w:val="none" w:sz="0" w:space="0" w:color="auto"/>
      </w:divBdr>
    </w:div>
    <w:div w:id="1625648364">
      <w:bodyDiv w:val="1"/>
      <w:marLeft w:val="0"/>
      <w:marRight w:val="0"/>
      <w:marTop w:val="0"/>
      <w:marBottom w:val="0"/>
      <w:divBdr>
        <w:top w:val="none" w:sz="0" w:space="0" w:color="auto"/>
        <w:left w:val="none" w:sz="0" w:space="0" w:color="auto"/>
        <w:bottom w:val="none" w:sz="0" w:space="0" w:color="auto"/>
        <w:right w:val="none" w:sz="0" w:space="0" w:color="auto"/>
      </w:divBdr>
    </w:div>
    <w:div w:id="1699895468">
      <w:bodyDiv w:val="1"/>
      <w:marLeft w:val="0"/>
      <w:marRight w:val="0"/>
      <w:marTop w:val="0"/>
      <w:marBottom w:val="0"/>
      <w:divBdr>
        <w:top w:val="none" w:sz="0" w:space="0" w:color="auto"/>
        <w:left w:val="none" w:sz="0" w:space="0" w:color="auto"/>
        <w:bottom w:val="none" w:sz="0" w:space="0" w:color="auto"/>
        <w:right w:val="none" w:sz="0" w:space="0" w:color="auto"/>
      </w:divBdr>
    </w:div>
    <w:div w:id="1735153876">
      <w:bodyDiv w:val="1"/>
      <w:marLeft w:val="0"/>
      <w:marRight w:val="0"/>
      <w:marTop w:val="0"/>
      <w:marBottom w:val="0"/>
      <w:divBdr>
        <w:top w:val="none" w:sz="0" w:space="0" w:color="auto"/>
        <w:left w:val="none" w:sz="0" w:space="0" w:color="auto"/>
        <w:bottom w:val="none" w:sz="0" w:space="0" w:color="auto"/>
        <w:right w:val="none" w:sz="0" w:space="0" w:color="auto"/>
      </w:divBdr>
    </w:div>
    <w:div w:id="1744402916">
      <w:bodyDiv w:val="1"/>
      <w:marLeft w:val="0"/>
      <w:marRight w:val="0"/>
      <w:marTop w:val="0"/>
      <w:marBottom w:val="0"/>
      <w:divBdr>
        <w:top w:val="none" w:sz="0" w:space="0" w:color="auto"/>
        <w:left w:val="none" w:sz="0" w:space="0" w:color="auto"/>
        <w:bottom w:val="none" w:sz="0" w:space="0" w:color="auto"/>
        <w:right w:val="none" w:sz="0" w:space="0" w:color="auto"/>
      </w:divBdr>
    </w:div>
    <w:div w:id="1790784269">
      <w:bodyDiv w:val="1"/>
      <w:marLeft w:val="0"/>
      <w:marRight w:val="0"/>
      <w:marTop w:val="0"/>
      <w:marBottom w:val="0"/>
      <w:divBdr>
        <w:top w:val="none" w:sz="0" w:space="0" w:color="auto"/>
        <w:left w:val="none" w:sz="0" w:space="0" w:color="auto"/>
        <w:bottom w:val="none" w:sz="0" w:space="0" w:color="auto"/>
        <w:right w:val="none" w:sz="0" w:space="0" w:color="auto"/>
      </w:divBdr>
    </w:div>
    <w:div w:id="1798454938">
      <w:bodyDiv w:val="1"/>
      <w:marLeft w:val="0"/>
      <w:marRight w:val="0"/>
      <w:marTop w:val="0"/>
      <w:marBottom w:val="0"/>
      <w:divBdr>
        <w:top w:val="none" w:sz="0" w:space="0" w:color="auto"/>
        <w:left w:val="none" w:sz="0" w:space="0" w:color="auto"/>
        <w:bottom w:val="none" w:sz="0" w:space="0" w:color="auto"/>
        <w:right w:val="none" w:sz="0" w:space="0" w:color="auto"/>
      </w:divBdr>
    </w:div>
    <w:div w:id="1836914274">
      <w:bodyDiv w:val="1"/>
      <w:marLeft w:val="0"/>
      <w:marRight w:val="0"/>
      <w:marTop w:val="0"/>
      <w:marBottom w:val="0"/>
      <w:divBdr>
        <w:top w:val="none" w:sz="0" w:space="0" w:color="auto"/>
        <w:left w:val="none" w:sz="0" w:space="0" w:color="auto"/>
        <w:bottom w:val="none" w:sz="0" w:space="0" w:color="auto"/>
        <w:right w:val="none" w:sz="0" w:space="0" w:color="auto"/>
      </w:divBdr>
    </w:div>
    <w:div w:id="1846167698">
      <w:bodyDiv w:val="1"/>
      <w:marLeft w:val="0"/>
      <w:marRight w:val="0"/>
      <w:marTop w:val="0"/>
      <w:marBottom w:val="0"/>
      <w:divBdr>
        <w:top w:val="none" w:sz="0" w:space="0" w:color="auto"/>
        <w:left w:val="none" w:sz="0" w:space="0" w:color="auto"/>
        <w:bottom w:val="none" w:sz="0" w:space="0" w:color="auto"/>
        <w:right w:val="none" w:sz="0" w:space="0" w:color="auto"/>
      </w:divBdr>
    </w:div>
    <w:div w:id="1864630839">
      <w:bodyDiv w:val="1"/>
      <w:marLeft w:val="0"/>
      <w:marRight w:val="0"/>
      <w:marTop w:val="0"/>
      <w:marBottom w:val="0"/>
      <w:divBdr>
        <w:top w:val="none" w:sz="0" w:space="0" w:color="auto"/>
        <w:left w:val="none" w:sz="0" w:space="0" w:color="auto"/>
        <w:bottom w:val="none" w:sz="0" w:space="0" w:color="auto"/>
        <w:right w:val="none" w:sz="0" w:space="0" w:color="auto"/>
      </w:divBdr>
    </w:div>
    <w:div w:id="1919050603">
      <w:bodyDiv w:val="1"/>
      <w:marLeft w:val="0"/>
      <w:marRight w:val="0"/>
      <w:marTop w:val="0"/>
      <w:marBottom w:val="0"/>
      <w:divBdr>
        <w:top w:val="none" w:sz="0" w:space="0" w:color="auto"/>
        <w:left w:val="none" w:sz="0" w:space="0" w:color="auto"/>
        <w:bottom w:val="none" w:sz="0" w:space="0" w:color="auto"/>
        <w:right w:val="none" w:sz="0" w:space="0" w:color="auto"/>
      </w:divBdr>
    </w:div>
    <w:div w:id="1931936130">
      <w:bodyDiv w:val="1"/>
      <w:marLeft w:val="0"/>
      <w:marRight w:val="0"/>
      <w:marTop w:val="0"/>
      <w:marBottom w:val="0"/>
      <w:divBdr>
        <w:top w:val="none" w:sz="0" w:space="0" w:color="auto"/>
        <w:left w:val="none" w:sz="0" w:space="0" w:color="auto"/>
        <w:bottom w:val="none" w:sz="0" w:space="0" w:color="auto"/>
        <w:right w:val="none" w:sz="0" w:space="0" w:color="auto"/>
      </w:divBdr>
    </w:div>
    <w:div w:id="1932885887">
      <w:bodyDiv w:val="1"/>
      <w:marLeft w:val="0"/>
      <w:marRight w:val="0"/>
      <w:marTop w:val="0"/>
      <w:marBottom w:val="0"/>
      <w:divBdr>
        <w:top w:val="none" w:sz="0" w:space="0" w:color="auto"/>
        <w:left w:val="none" w:sz="0" w:space="0" w:color="auto"/>
        <w:bottom w:val="none" w:sz="0" w:space="0" w:color="auto"/>
        <w:right w:val="none" w:sz="0" w:space="0" w:color="auto"/>
      </w:divBdr>
    </w:div>
    <w:div w:id="1933202133">
      <w:bodyDiv w:val="1"/>
      <w:marLeft w:val="0"/>
      <w:marRight w:val="0"/>
      <w:marTop w:val="0"/>
      <w:marBottom w:val="0"/>
      <w:divBdr>
        <w:top w:val="none" w:sz="0" w:space="0" w:color="auto"/>
        <w:left w:val="none" w:sz="0" w:space="0" w:color="auto"/>
        <w:bottom w:val="none" w:sz="0" w:space="0" w:color="auto"/>
        <w:right w:val="none" w:sz="0" w:space="0" w:color="auto"/>
      </w:divBdr>
    </w:div>
    <w:div w:id="1936206361">
      <w:bodyDiv w:val="1"/>
      <w:marLeft w:val="0"/>
      <w:marRight w:val="0"/>
      <w:marTop w:val="0"/>
      <w:marBottom w:val="0"/>
      <w:divBdr>
        <w:top w:val="none" w:sz="0" w:space="0" w:color="auto"/>
        <w:left w:val="none" w:sz="0" w:space="0" w:color="auto"/>
        <w:bottom w:val="none" w:sz="0" w:space="0" w:color="auto"/>
        <w:right w:val="none" w:sz="0" w:space="0" w:color="auto"/>
      </w:divBdr>
    </w:div>
    <w:div w:id="21453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15" ma:contentTypeDescription="Crear nuevo documento." ma:contentTypeScope="" ma:versionID="4945cd43f99f3ce67f0e1b25a41f0316">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b62126b9aa008b7ae65f4c604331a2fd"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0288a511-7746-49c0-ba85-58529b771bc2}" ma:internalName="TaxCatchAll" ma:showField="CatchAllData" ma:web="de01f3f3-8e32-4156-90b4-cbe86af56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e01f3f3-8e32-4156-90b4-cbe86af56aa6" xsi:nil="true"/>
    <lcf76f155ced4ddcb4097134ff3c332f xmlns="0ea6a934-6a77-4073-9f54-0635dda5d78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0862A-A2CC-44FB-948B-63786A3F8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03220-0B58-4449-8B47-43683377207B}">
  <ds:schemaRefs>
    <ds:schemaRef ds:uri="http://schemas.openxmlformats.org/officeDocument/2006/bibliography"/>
  </ds:schemaRefs>
</ds:datastoreItem>
</file>

<file path=customXml/itemProps3.xml><?xml version="1.0" encoding="utf-8"?>
<ds:datastoreItem xmlns:ds="http://schemas.openxmlformats.org/officeDocument/2006/customXml" ds:itemID="{E4FD4064-4A12-44EA-B42B-8B456E0BDD9C}">
  <ds:schemaRefs>
    <ds:schemaRef ds:uri="http://schemas.microsoft.com/office/2006/metadata/properties"/>
    <ds:schemaRef ds:uri="http://schemas.microsoft.com/office/infopath/2007/PartnerControls"/>
    <ds:schemaRef ds:uri="de01f3f3-8e32-4156-90b4-cbe86af56aa6"/>
    <ds:schemaRef ds:uri="0ea6a934-6a77-4073-9f54-0635dda5d780"/>
  </ds:schemaRefs>
</ds:datastoreItem>
</file>

<file path=customXml/itemProps4.xml><?xml version="1.0" encoding="utf-8"?>
<ds:datastoreItem xmlns:ds="http://schemas.openxmlformats.org/officeDocument/2006/customXml" ds:itemID="{C2D8A271-CA0A-4632-A353-0F3373C07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4</TotalTime>
  <Pages>5</Pages>
  <Words>1518</Words>
  <Characters>7945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5</cp:revision>
  <cp:lastPrinted>2022-07-26T20:04:00Z</cp:lastPrinted>
  <dcterms:created xsi:type="dcterms:W3CDTF">2022-07-26T20:02:00Z</dcterms:created>
  <dcterms:modified xsi:type="dcterms:W3CDTF">2022-07-26T20:05:00Z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y fmtid="{D5CDD505-2E9C-101B-9397-08002B2CF9AE}" pid="3" name="MediaServiceImageTags">
    <vt:lpwstr/>
  </property>
</Properties>
</file>