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5D0CE6"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459601205"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F604A8">
        <w:rPr>
          <w:rFonts w:ascii="Bookman Old Style" w:hAnsi="Bookman Old Style"/>
          <w:sz w:val="24"/>
          <w:szCs w:val="24"/>
        </w:rPr>
        <w:t>4</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sidR="005F237E">
        <w:rPr>
          <w:rFonts w:ascii="Bookman Old Style" w:hAnsi="Bookman Old Style"/>
          <w:szCs w:val="24"/>
        </w:rPr>
        <w:t xml:space="preserve">actualiza el Costo Anual por el uso de los activos de nivel de tensión 4 </w:t>
      </w:r>
      <w:r w:rsidR="005F237E" w:rsidRPr="005F237E">
        <w:rPr>
          <w:rFonts w:ascii="Bookman Old Style" w:hAnsi="Bookman Old Style"/>
          <w:szCs w:val="24"/>
        </w:rPr>
        <w:t xml:space="preserve">de la </w:t>
      </w:r>
      <w:r w:rsidR="008377FE">
        <w:rPr>
          <w:rFonts w:ascii="Bookman Old Style" w:hAnsi="Bookman Old Style"/>
          <w:szCs w:val="24"/>
        </w:rPr>
        <w:t>Electrificadora de Santander</w:t>
      </w:r>
      <w:r w:rsidR="005F237E" w:rsidRPr="005F237E">
        <w:rPr>
          <w:rFonts w:ascii="Bookman Old Style" w:hAnsi="Bookman Old Style"/>
          <w:szCs w:val="24"/>
        </w:rPr>
        <w:t xml:space="preserve"> 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w:t>
      </w:r>
      <w:r w:rsidR="005F237E">
        <w:rPr>
          <w:rFonts w:ascii="Bookman Old Style" w:hAnsi="Bookman Old Style"/>
          <w:b w:val="0"/>
        </w:rPr>
        <w:t>os Decretos 1524 y 2253 de 1994</w:t>
      </w:r>
      <w:r w:rsidR="00C032EB">
        <w:rPr>
          <w:rFonts w:ascii="Bookman Old Style" w:hAnsi="Bookman Old Style"/>
          <w:b w:val="0"/>
        </w:rPr>
        <w:t>,</w:t>
      </w:r>
      <w:r w:rsidR="005F237E">
        <w:rPr>
          <w:rFonts w:ascii="Bookman Old Style" w:hAnsi="Bookman Old Style"/>
          <w:b w:val="0"/>
        </w:rPr>
        <w:t xml:space="preserve"> y</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5F237E" w:rsidRPr="00F254A8" w:rsidRDefault="000F5BD2" w:rsidP="005F237E">
      <w:pPr>
        <w:ind w:left="0"/>
        <w:jc w:val="both"/>
        <w:rPr>
          <w:rFonts w:ascii="Bookman Old Style" w:hAnsi="Bookman Old Style"/>
        </w:rPr>
      </w:pPr>
      <w:r>
        <w:rPr>
          <w:rFonts w:ascii="Bookman Old Style" w:hAnsi="Bookman Old Style"/>
        </w:rPr>
        <w:t>Que m</w:t>
      </w:r>
      <w:r w:rsidR="005F237E" w:rsidRPr="00F254A8">
        <w:rPr>
          <w:rFonts w:ascii="Bookman Old Style" w:hAnsi="Bookman Old Style"/>
        </w:rPr>
        <w:t>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5F237E" w:rsidRPr="00F254A8" w:rsidRDefault="005F237E" w:rsidP="005F237E">
      <w:pPr>
        <w:ind w:left="0"/>
        <w:jc w:val="both"/>
        <w:rPr>
          <w:rFonts w:ascii="Bookman Old Style" w:hAnsi="Bookman Old Style"/>
        </w:rPr>
      </w:pPr>
    </w:p>
    <w:p w:rsidR="005F237E" w:rsidRPr="00F254A8" w:rsidRDefault="000F5BD2" w:rsidP="005F237E">
      <w:pPr>
        <w:ind w:left="0"/>
        <w:jc w:val="both"/>
        <w:rPr>
          <w:rFonts w:ascii="Bookman Old Style" w:hAnsi="Bookman Old Style"/>
        </w:rPr>
      </w:pPr>
      <w:r>
        <w:rPr>
          <w:rFonts w:ascii="Bookman Old Style" w:hAnsi="Bookman Old Style"/>
        </w:rPr>
        <w:t>Que m</w:t>
      </w:r>
      <w:r w:rsidR="005F237E" w:rsidRPr="00F254A8">
        <w:rPr>
          <w:rFonts w:ascii="Bookman Old Style" w:hAnsi="Bookman Old Style"/>
        </w:rPr>
        <w:t>ediante la Resolución CREG 12</w:t>
      </w:r>
      <w:r w:rsidR="008377FE">
        <w:rPr>
          <w:rFonts w:ascii="Bookman Old Style" w:hAnsi="Bookman Old Style"/>
        </w:rPr>
        <w:t>1</w:t>
      </w:r>
      <w:r w:rsidR="005F237E" w:rsidRPr="00F254A8">
        <w:rPr>
          <w:rFonts w:ascii="Bookman Old Style" w:hAnsi="Bookman Old Style"/>
        </w:rPr>
        <w:t xml:space="preserve"> de 2009, la CREG aprobó el Costo Anual por el uso de los Activos del Nivel de Tensión 4 y los Cargos Máximos de los Niveles de Tensión 3, 2 y 1 de los activos operados por la </w:t>
      </w:r>
      <w:r w:rsidR="00CB4B8D" w:rsidRPr="00CB4B8D">
        <w:rPr>
          <w:rFonts w:ascii="Bookman Old Style" w:hAnsi="Bookman Old Style"/>
        </w:rPr>
        <w:t>Electrificadora de Santander S.A. E.S.P.</w:t>
      </w:r>
      <w:r w:rsidR="005F237E" w:rsidRPr="00F254A8">
        <w:rPr>
          <w:rFonts w:ascii="Bookman Old Style" w:hAnsi="Bookman Old Style"/>
        </w:rPr>
        <w:t xml:space="preserve"> en el Sistema de Transmisión Regional (STR) y en el Sistema de Distribución Local (SDL)</w:t>
      </w:r>
      <w:r>
        <w:rPr>
          <w:rFonts w:ascii="Bookman Old Style" w:hAnsi="Bookman Old Style"/>
        </w:rPr>
        <w:t>;</w:t>
      </w:r>
    </w:p>
    <w:p w:rsidR="00E433F6" w:rsidRPr="000058F4" w:rsidRDefault="00E433F6" w:rsidP="00E433F6">
      <w:pPr>
        <w:ind w:left="0"/>
        <w:jc w:val="both"/>
        <w:rPr>
          <w:rFonts w:ascii="Bookman Old Style" w:hAnsi="Bookman Old Style"/>
        </w:rPr>
      </w:pPr>
    </w:p>
    <w:p w:rsidR="000F5BD2" w:rsidRDefault="000F5BD2" w:rsidP="000F5BD2">
      <w:pPr>
        <w:ind w:left="0"/>
        <w:jc w:val="both"/>
        <w:rPr>
          <w:rFonts w:ascii="Bookman Old Style" w:hAnsi="Bookman Old Style"/>
        </w:rPr>
      </w:pPr>
      <w:r>
        <w:rPr>
          <w:rFonts w:ascii="Bookman Old Style" w:hAnsi="Bookman Old Style"/>
        </w:rPr>
        <w:t>Que m</w:t>
      </w:r>
      <w:r w:rsidRPr="00F254A8">
        <w:rPr>
          <w:rFonts w:ascii="Bookman Old Style" w:hAnsi="Bookman Old Style"/>
        </w:rPr>
        <w:t xml:space="preserve">ediante la Resolución CREG </w:t>
      </w:r>
      <w:r w:rsidR="00CB4B8D">
        <w:rPr>
          <w:rFonts w:ascii="Bookman Old Style" w:hAnsi="Bookman Old Style"/>
        </w:rPr>
        <w:t>172</w:t>
      </w:r>
      <w:r w:rsidRPr="00F254A8">
        <w:rPr>
          <w:rFonts w:ascii="Bookman Old Style" w:hAnsi="Bookman Old Style"/>
        </w:rPr>
        <w:t xml:space="preserve"> de 20</w:t>
      </w:r>
      <w:r w:rsidR="00CB4B8D">
        <w:rPr>
          <w:rFonts w:ascii="Bookman Old Style" w:hAnsi="Bookman Old Style"/>
        </w:rPr>
        <w:t>09</w:t>
      </w:r>
      <w:r w:rsidRPr="00F254A8">
        <w:rPr>
          <w:rFonts w:ascii="Bookman Old Style" w:hAnsi="Bookman Old Style"/>
        </w:rPr>
        <w:t xml:space="preserve">, la CREG </w:t>
      </w:r>
      <w:r w:rsidR="00CB4B8D">
        <w:rPr>
          <w:rFonts w:ascii="Bookman Old Style" w:hAnsi="Bookman Old Style"/>
        </w:rPr>
        <w:t xml:space="preserve">resolvió el recurso de reposición interpuesto por la </w:t>
      </w:r>
      <w:r w:rsidR="00CB4B8D" w:rsidRPr="00CB4B8D">
        <w:rPr>
          <w:rFonts w:ascii="Bookman Old Style" w:hAnsi="Bookman Old Style"/>
        </w:rPr>
        <w:t>Electrificadora de Santander S.A. E.S.P.</w:t>
      </w:r>
      <w:r w:rsidR="00CB4B8D">
        <w:rPr>
          <w:rFonts w:ascii="Bookman Old Style" w:hAnsi="Bookman Old Style"/>
        </w:rPr>
        <w:t xml:space="preserve"> sobre la resolución CREG 121 de 2009</w:t>
      </w:r>
      <w:r>
        <w:rPr>
          <w:rFonts w:ascii="Bookman Old Style" w:hAnsi="Bookman Old Style"/>
        </w:rPr>
        <w:t>;</w:t>
      </w:r>
    </w:p>
    <w:p w:rsidR="00EA6D0B" w:rsidRDefault="00EA6D0B" w:rsidP="00EA6D0B">
      <w:pPr>
        <w:ind w:left="0"/>
        <w:jc w:val="both"/>
        <w:rPr>
          <w:rFonts w:ascii="Bookman Old Style" w:hAnsi="Bookman Old Style"/>
        </w:rPr>
      </w:pPr>
    </w:p>
    <w:p w:rsidR="00EA6D0B" w:rsidRDefault="000F5BD2" w:rsidP="00EA6D0B">
      <w:pPr>
        <w:ind w:left="0"/>
        <w:jc w:val="both"/>
        <w:rPr>
          <w:rFonts w:ascii="Bookman Old Style" w:hAnsi="Bookman Old Style"/>
        </w:rPr>
      </w:pPr>
      <w:r>
        <w:rPr>
          <w:rFonts w:ascii="Bookman Old Style" w:hAnsi="Bookman Old Style"/>
        </w:rPr>
        <w:t xml:space="preserve">Que de acuerdo con el Artículo 9 de la Resolución CREG 097 de 2008, por la puesta en operación de nuevos activos podrán actualizarse los cargos por uso </w:t>
      </w:r>
      <w:r>
        <w:rPr>
          <w:rFonts w:ascii="Bookman Old Style" w:hAnsi="Bookman Old Style"/>
        </w:rPr>
        <w:lastRenderedPageBreak/>
        <w:t>de los OR, siempre que se cumplan las condiciones establecidas en el capítulo 4 del anexo general de esa resolución;</w:t>
      </w:r>
      <w:r w:rsidR="00EA6D0B" w:rsidRPr="00EA6D0B">
        <w:rPr>
          <w:rFonts w:ascii="Bookman Old Style" w:hAnsi="Bookman Old Style"/>
        </w:rPr>
        <w:t xml:space="preserve"> </w:t>
      </w:r>
    </w:p>
    <w:p w:rsidR="00EA6D0B" w:rsidRDefault="00EA6D0B" w:rsidP="00EA6D0B">
      <w:pPr>
        <w:ind w:left="0"/>
        <w:jc w:val="both"/>
        <w:rPr>
          <w:rFonts w:ascii="Bookman Old Style" w:hAnsi="Bookman Old Style"/>
        </w:rPr>
      </w:pPr>
    </w:p>
    <w:p w:rsidR="00EA6D0B" w:rsidRDefault="00EA6D0B" w:rsidP="00EA6D0B">
      <w:pPr>
        <w:ind w:left="0"/>
        <w:jc w:val="both"/>
        <w:rPr>
          <w:rFonts w:ascii="Bookman Old Style" w:hAnsi="Bookman Old Style"/>
        </w:rPr>
      </w:pPr>
      <w:r>
        <w:rPr>
          <w:rFonts w:ascii="Bookman Old Style" w:hAnsi="Bookman Old Style"/>
        </w:rPr>
        <w:t>Que m</w:t>
      </w:r>
      <w:r w:rsidRPr="00F254A8">
        <w:rPr>
          <w:rFonts w:ascii="Bookman Old Style" w:hAnsi="Bookman Old Style"/>
        </w:rPr>
        <w:t xml:space="preserve">ediante la Resolución CREG </w:t>
      </w:r>
      <w:r>
        <w:rPr>
          <w:rFonts w:ascii="Bookman Old Style" w:hAnsi="Bookman Old Style"/>
        </w:rPr>
        <w:t>082</w:t>
      </w:r>
      <w:r w:rsidRPr="00F254A8">
        <w:rPr>
          <w:rFonts w:ascii="Bookman Old Style" w:hAnsi="Bookman Old Style"/>
        </w:rPr>
        <w:t xml:space="preserve"> de 20</w:t>
      </w:r>
      <w:r>
        <w:rPr>
          <w:rFonts w:ascii="Bookman Old Style" w:hAnsi="Bookman Old Style"/>
        </w:rPr>
        <w:t>12</w:t>
      </w:r>
      <w:r w:rsidRPr="00F254A8">
        <w:rPr>
          <w:rFonts w:ascii="Bookman Old Style" w:hAnsi="Bookman Old Style"/>
        </w:rPr>
        <w:t xml:space="preserve">, la CREG </w:t>
      </w:r>
      <w:r w:rsidRPr="00EA6D0B">
        <w:rPr>
          <w:rFonts w:ascii="Bookman Old Style" w:hAnsi="Bookman Old Style"/>
        </w:rPr>
        <w:t>actualiz</w:t>
      </w:r>
      <w:r w:rsidR="005247B7">
        <w:rPr>
          <w:rFonts w:ascii="Bookman Old Style" w:hAnsi="Bookman Old Style"/>
        </w:rPr>
        <w:t>ó</w:t>
      </w:r>
      <w:r w:rsidRPr="00EA6D0B">
        <w:rPr>
          <w:rFonts w:ascii="Bookman Old Style" w:hAnsi="Bookman Old Style"/>
        </w:rPr>
        <w:t xml:space="preserve"> el Costo Anual por el uso de los activos de </w:t>
      </w:r>
      <w:r w:rsidR="005247B7" w:rsidRPr="00EA6D0B">
        <w:rPr>
          <w:rFonts w:ascii="Bookman Old Style" w:hAnsi="Bookman Old Style"/>
        </w:rPr>
        <w:t xml:space="preserve">Nivel </w:t>
      </w:r>
      <w:r w:rsidRPr="00EA6D0B">
        <w:rPr>
          <w:rFonts w:ascii="Bookman Old Style" w:hAnsi="Bookman Old Style"/>
        </w:rPr>
        <w:t xml:space="preserve">de </w:t>
      </w:r>
      <w:r w:rsidR="005247B7" w:rsidRPr="00EA6D0B">
        <w:rPr>
          <w:rFonts w:ascii="Bookman Old Style" w:hAnsi="Bookman Old Style"/>
        </w:rPr>
        <w:t xml:space="preserve">Tensión </w:t>
      </w:r>
      <w:r w:rsidRPr="00EA6D0B">
        <w:rPr>
          <w:rFonts w:ascii="Bookman Old Style" w:hAnsi="Bookman Old Style"/>
        </w:rPr>
        <w:t>4 de la Electrificadora de Santander S.A. E.S.P</w:t>
      </w:r>
      <w:r w:rsidRPr="00CB4B8D">
        <w:rPr>
          <w:rFonts w:ascii="Bookman Old Style" w:hAnsi="Bookman Old Style"/>
        </w:rPr>
        <w:t>.</w:t>
      </w:r>
      <w:r>
        <w:rPr>
          <w:rFonts w:ascii="Bookman Old Style" w:hAnsi="Bookman Old Style"/>
        </w:rPr>
        <w:t xml:space="preserve"> por la entrada en operación de nuevos activos;</w:t>
      </w:r>
    </w:p>
    <w:p w:rsidR="000F5BD2" w:rsidRDefault="000F5BD2" w:rsidP="000F5BD2">
      <w:pPr>
        <w:ind w:left="0"/>
        <w:jc w:val="both"/>
        <w:rPr>
          <w:rFonts w:ascii="Bookman Old Style" w:hAnsi="Bookman Old Style"/>
        </w:rPr>
      </w:pPr>
    </w:p>
    <w:p w:rsidR="000F5BD2" w:rsidRDefault="00EA6D0B" w:rsidP="000F5BD2">
      <w:pPr>
        <w:ind w:left="0"/>
        <w:jc w:val="both"/>
        <w:rPr>
          <w:rFonts w:ascii="Bookman Old Style" w:hAnsi="Bookman Old Style"/>
        </w:rPr>
      </w:pPr>
      <w:r w:rsidRPr="00EA6D0B">
        <w:rPr>
          <w:rFonts w:ascii="Bookman Old Style" w:hAnsi="Bookman Old Style"/>
        </w:rPr>
        <w:t xml:space="preserve">Que la Electrificadora de Santander S.A. E.S.P. a través de la comunicación radicada en la CREG bajo el número E-2014-000787 del 27 de enero de </w:t>
      </w:r>
      <w:r w:rsidR="000E4093">
        <w:rPr>
          <w:rFonts w:ascii="Bookman Old Style" w:hAnsi="Bookman Old Style"/>
        </w:rPr>
        <w:t xml:space="preserve">2014 y </w:t>
      </w:r>
      <w:r w:rsidRPr="00EA6D0B">
        <w:rPr>
          <w:rFonts w:ascii="Bookman Old Style" w:hAnsi="Bookman Old Style"/>
        </w:rPr>
        <w:t>con base en lo establecido en el artículo 9 de la Resol</w:t>
      </w:r>
      <w:r>
        <w:rPr>
          <w:rFonts w:ascii="Bookman Old Style" w:hAnsi="Bookman Old Style"/>
        </w:rPr>
        <w:t>ución CREG 097 de 2008, solicitó</w:t>
      </w:r>
      <w:r w:rsidRPr="00EA6D0B">
        <w:rPr>
          <w:rFonts w:ascii="Bookman Old Style" w:hAnsi="Bookman Old Style"/>
        </w:rPr>
        <w:t xml:space="preserve"> la Actualización del Costo Anual por uso de los Activos de Nivel de Tensión 4 por la entrada en operación de la subestación Puerto </w:t>
      </w:r>
      <w:proofErr w:type="spellStart"/>
      <w:r w:rsidRPr="00EA6D0B">
        <w:rPr>
          <w:rFonts w:ascii="Bookman Old Style" w:hAnsi="Bookman Old Style"/>
        </w:rPr>
        <w:t>Wilches</w:t>
      </w:r>
      <w:proofErr w:type="spellEnd"/>
      <w:r w:rsidRPr="00EA6D0B">
        <w:rPr>
          <w:rFonts w:ascii="Bookman Old Style" w:hAnsi="Bookman Old Style"/>
        </w:rPr>
        <w:t xml:space="preserve"> </w:t>
      </w:r>
      <w:r w:rsidRPr="0029656D">
        <w:t>115</w:t>
      </w:r>
      <w:r>
        <w:t> </w:t>
      </w:r>
      <w:proofErr w:type="spellStart"/>
      <w:r w:rsidRPr="0029656D">
        <w:t>kV</w:t>
      </w:r>
      <w:proofErr w:type="spellEnd"/>
      <w:r w:rsidRPr="00EA6D0B">
        <w:rPr>
          <w:rFonts w:ascii="Bookman Old Style" w:hAnsi="Bookman Old Style"/>
        </w:rPr>
        <w:t xml:space="preserve">, la línea Barranca – Puerto </w:t>
      </w:r>
      <w:proofErr w:type="spellStart"/>
      <w:r w:rsidRPr="00EA6D0B">
        <w:rPr>
          <w:rFonts w:ascii="Bookman Old Style" w:hAnsi="Bookman Old Style"/>
        </w:rPr>
        <w:t>Wilches</w:t>
      </w:r>
      <w:proofErr w:type="spellEnd"/>
      <w:r w:rsidRPr="00EA6D0B">
        <w:rPr>
          <w:rFonts w:ascii="Bookman Old Style" w:hAnsi="Bookman Old Style"/>
        </w:rPr>
        <w:t xml:space="preserve"> </w:t>
      </w:r>
      <w:r>
        <w:rPr>
          <w:rFonts w:ascii="Bookman Old Style" w:hAnsi="Bookman Old Style"/>
        </w:rPr>
        <w:t>115 </w:t>
      </w:r>
      <w:proofErr w:type="spellStart"/>
      <w:r w:rsidRPr="00EA6D0B">
        <w:rPr>
          <w:rFonts w:ascii="Bookman Old Style" w:hAnsi="Bookman Old Style"/>
        </w:rPr>
        <w:t>kV</w:t>
      </w:r>
      <w:proofErr w:type="spellEnd"/>
      <w:r w:rsidRPr="00EA6D0B">
        <w:rPr>
          <w:rFonts w:ascii="Bookman Old Style" w:hAnsi="Bookman Old Style"/>
        </w:rPr>
        <w:t xml:space="preserve"> y demás equipos asociados</w:t>
      </w:r>
      <w:r>
        <w:rPr>
          <w:rFonts w:ascii="Bookman Old Style" w:hAnsi="Bookman Old Style"/>
        </w:rPr>
        <w:t>;</w:t>
      </w:r>
    </w:p>
    <w:p w:rsidR="00937C80" w:rsidRDefault="00937C80" w:rsidP="000F5BD2">
      <w:pPr>
        <w:ind w:left="0"/>
        <w:jc w:val="both"/>
        <w:rPr>
          <w:rFonts w:ascii="Bookman Old Style" w:hAnsi="Bookman Old Style"/>
        </w:rPr>
      </w:pPr>
    </w:p>
    <w:p w:rsidR="00937C80" w:rsidRDefault="00937C80" w:rsidP="000F5BD2">
      <w:pPr>
        <w:ind w:left="0"/>
        <w:jc w:val="both"/>
        <w:rPr>
          <w:rFonts w:ascii="Bookman Old Style" w:hAnsi="Bookman Old Style"/>
        </w:rPr>
      </w:pPr>
      <w:r>
        <w:rPr>
          <w:rFonts w:ascii="Bookman Old Style" w:hAnsi="Bookman Old Style"/>
        </w:rPr>
        <w:t xml:space="preserve">Que con la solicitud la </w:t>
      </w:r>
      <w:r w:rsidR="00CB4B8D" w:rsidRPr="00CB4B8D">
        <w:rPr>
          <w:rFonts w:ascii="Bookman Old Style" w:hAnsi="Bookman Old Style"/>
        </w:rPr>
        <w:t>Electrificadora de Santander S.A. E.S.P.</w:t>
      </w:r>
      <w:r>
        <w:rPr>
          <w:rFonts w:ascii="Bookman Old Style" w:hAnsi="Bookman Old Style"/>
        </w:rPr>
        <w:t xml:space="preserve"> entregó la siguiente información:</w:t>
      </w:r>
    </w:p>
    <w:p w:rsidR="009C3BBD" w:rsidRDefault="009C3BBD" w:rsidP="000F5BD2">
      <w:pPr>
        <w:ind w:left="0"/>
        <w:jc w:val="both"/>
        <w:rPr>
          <w:rFonts w:ascii="Bookman Old Style" w:hAnsi="Bookman Old Style"/>
        </w:rPr>
      </w:pPr>
    </w:p>
    <w:p w:rsidR="00937C80" w:rsidRDefault="00937C80"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Listado de unidades constructivas que componen el proyecto</w:t>
      </w:r>
      <w:r w:rsidR="00644A3C">
        <w:rPr>
          <w:rFonts w:ascii="Bookman Old Style" w:hAnsi="Bookman Old Style"/>
          <w:sz w:val="24"/>
          <w:szCs w:val="24"/>
        </w:rPr>
        <w:t>, con base en las definidas en el capítulo 5 del anexo general de</w:t>
      </w:r>
      <w:r w:rsidR="00472C02">
        <w:rPr>
          <w:rFonts w:ascii="Bookman Old Style" w:hAnsi="Bookman Old Style"/>
          <w:sz w:val="24"/>
          <w:szCs w:val="24"/>
        </w:rPr>
        <w:t xml:space="preserve"> la Resolución CREG 097 de 2008. Estas son:</w:t>
      </w:r>
    </w:p>
    <w:p w:rsidR="00472C02" w:rsidRDefault="00472C02" w:rsidP="00472C02">
      <w:pPr>
        <w:pStyle w:val="Prrafodelista"/>
        <w:ind w:left="720"/>
        <w:jc w:val="both"/>
        <w:rPr>
          <w:rFonts w:ascii="Bookman Old Style" w:hAnsi="Bookman Old Style"/>
          <w:sz w:val="24"/>
          <w:szCs w:val="24"/>
        </w:rPr>
      </w:pPr>
    </w:p>
    <w:p w:rsidR="00EA6D0B" w:rsidRPr="00472C02" w:rsidRDefault="00EA6D0B" w:rsidP="007D77E9">
      <w:pPr>
        <w:pStyle w:val="Prrafodelista"/>
        <w:ind w:left="0" w:firstLine="708"/>
        <w:jc w:val="center"/>
        <w:rPr>
          <w:rFonts w:ascii="Bookman Old Style" w:hAnsi="Bookman Old Styl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126"/>
        <w:gridCol w:w="1153"/>
        <w:gridCol w:w="496"/>
        <w:gridCol w:w="653"/>
      </w:tblGrid>
      <w:tr w:rsidR="00447264" w:rsidRPr="00447264" w:rsidTr="00447264">
        <w:trPr>
          <w:trHeight w:hRule="exact" w:val="227"/>
          <w:jc w:val="center"/>
        </w:trPr>
        <w:tc>
          <w:tcPr>
            <w:tcW w:w="916" w:type="dxa"/>
            <w:shd w:val="clear" w:color="auto" w:fill="auto"/>
            <w:vAlign w:val="center"/>
          </w:tcPr>
          <w:p w:rsidR="00EA6D0B" w:rsidRPr="00447264" w:rsidRDefault="00EA6D0B" w:rsidP="00EA6D0B">
            <w:pPr>
              <w:ind w:left="0"/>
              <w:jc w:val="center"/>
              <w:rPr>
                <w:rFonts w:ascii="Bookman Old Style" w:hAnsi="Bookman Old Style"/>
                <w:b/>
                <w:sz w:val="20"/>
                <w:szCs w:val="20"/>
              </w:rPr>
            </w:pPr>
            <w:r w:rsidRPr="00447264">
              <w:rPr>
                <w:rFonts w:ascii="Bookman Old Style" w:hAnsi="Bookman Old Style"/>
                <w:b/>
                <w:sz w:val="20"/>
                <w:szCs w:val="20"/>
              </w:rPr>
              <w:t>UC</w:t>
            </w:r>
          </w:p>
        </w:tc>
        <w:tc>
          <w:tcPr>
            <w:tcW w:w="5126" w:type="dxa"/>
            <w:shd w:val="clear" w:color="auto" w:fill="auto"/>
            <w:vAlign w:val="center"/>
          </w:tcPr>
          <w:p w:rsidR="00EA6D0B" w:rsidRPr="00447264" w:rsidRDefault="00EA6D0B" w:rsidP="00EA6D0B">
            <w:pPr>
              <w:ind w:left="0"/>
              <w:jc w:val="center"/>
              <w:rPr>
                <w:rFonts w:ascii="Bookman Old Style" w:hAnsi="Bookman Old Style"/>
                <w:b/>
                <w:sz w:val="20"/>
                <w:szCs w:val="20"/>
              </w:rPr>
            </w:pPr>
            <w:r w:rsidRPr="00447264">
              <w:rPr>
                <w:rFonts w:ascii="Bookman Old Style" w:hAnsi="Bookman Old Style"/>
                <w:b/>
                <w:sz w:val="20"/>
                <w:szCs w:val="20"/>
              </w:rPr>
              <w:t>Descripción</w:t>
            </w:r>
          </w:p>
        </w:tc>
        <w:tc>
          <w:tcPr>
            <w:tcW w:w="0" w:type="auto"/>
            <w:shd w:val="clear" w:color="auto" w:fill="auto"/>
            <w:vAlign w:val="center"/>
          </w:tcPr>
          <w:p w:rsidR="00EA6D0B" w:rsidRPr="00447264" w:rsidRDefault="00EA6D0B" w:rsidP="00EA6D0B">
            <w:pPr>
              <w:ind w:left="0"/>
              <w:jc w:val="center"/>
              <w:rPr>
                <w:rFonts w:ascii="Bookman Old Style" w:hAnsi="Bookman Old Style"/>
                <w:b/>
                <w:sz w:val="20"/>
                <w:szCs w:val="20"/>
              </w:rPr>
            </w:pPr>
            <w:r w:rsidRPr="00447264">
              <w:rPr>
                <w:rFonts w:ascii="Bookman Old Style" w:hAnsi="Bookman Old Style"/>
                <w:b/>
                <w:sz w:val="20"/>
                <w:szCs w:val="20"/>
              </w:rPr>
              <w:t>Cantidad</w:t>
            </w:r>
          </w:p>
        </w:tc>
        <w:tc>
          <w:tcPr>
            <w:tcW w:w="0" w:type="auto"/>
            <w:shd w:val="clear" w:color="auto" w:fill="auto"/>
            <w:vAlign w:val="center"/>
          </w:tcPr>
          <w:p w:rsidR="00EA6D0B" w:rsidRPr="00447264" w:rsidRDefault="00EA6D0B" w:rsidP="00EA6D0B">
            <w:pPr>
              <w:ind w:left="0"/>
              <w:jc w:val="center"/>
              <w:rPr>
                <w:rFonts w:ascii="Bookman Old Style" w:hAnsi="Bookman Old Style"/>
                <w:b/>
                <w:sz w:val="20"/>
                <w:szCs w:val="20"/>
              </w:rPr>
            </w:pPr>
            <w:r w:rsidRPr="00447264">
              <w:rPr>
                <w:rFonts w:ascii="Bookman Old Style" w:hAnsi="Bookman Old Style"/>
                <w:b/>
                <w:sz w:val="20"/>
                <w:szCs w:val="20"/>
              </w:rPr>
              <w:t>PU</w:t>
            </w:r>
          </w:p>
        </w:tc>
        <w:tc>
          <w:tcPr>
            <w:tcW w:w="0" w:type="auto"/>
          </w:tcPr>
          <w:p w:rsidR="00EA6D0B" w:rsidRPr="00447264" w:rsidRDefault="00EA6D0B" w:rsidP="00EA6D0B">
            <w:pPr>
              <w:ind w:left="0"/>
              <w:jc w:val="center"/>
              <w:rPr>
                <w:rFonts w:ascii="Bookman Old Style" w:hAnsi="Bookman Old Style"/>
                <w:b/>
                <w:sz w:val="20"/>
                <w:szCs w:val="20"/>
              </w:rPr>
            </w:pPr>
            <w:r w:rsidRPr="00447264">
              <w:rPr>
                <w:rFonts w:ascii="Bookman Old Style" w:hAnsi="Bookman Old Style"/>
                <w:b/>
                <w:sz w:val="20"/>
                <w:szCs w:val="20"/>
              </w:rPr>
              <w:t>RPP</w:t>
            </w:r>
          </w:p>
        </w:tc>
      </w:tr>
      <w:tr w:rsidR="00447264" w:rsidRPr="00447264" w:rsidTr="0029656D">
        <w:trPr>
          <w:trHeight w:hRule="exact" w:val="520"/>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N4S1</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Bahía de línea</w:t>
            </w:r>
            <w:r w:rsidR="00E15AE6" w:rsidRPr="00E15AE6">
              <w:rPr>
                <w:rFonts w:ascii="Bookman Old Style" w:hAnsi="Bookman Old Style"/>
                <w:sz w:val="20"/>
                <w:szCs w:val="20"/>
              </w:rPr>
              <w:t xml:space="preserve"> - configuración </w:t>
            </w:r>
            <w:r w:rsidRPr="00447264">
              <w:rPr>
                <w:rFonts w:ascii="Bookman Old Style" w:hAnsi="Bookman Old Style"/>
                <w:sz w:val="20"/>
                <w:szCs w:val="20"/>
              </w:rPr>
              <w:t>barra sencilla</w:t>
            </w:r>
            <w:r w:rsidR="00E15AE6" w:rsidRPr="00E15AE6">
              <w:rPr>
                <w:rFonts w:ascii="Bookman Old Style" w:hAnsi="Bookman Old Style"/>
                <w:sz w:val="20"/>
                <w:szCs w:val="20"/>
              </w:rPr>
              <w:t xml:space="preserve"> – tipo convencional</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2</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570"/>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N4S19</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Protección diferencial de barras</w:t>
            </w:r>
            <w:r w:rsidR="00E15AE6" w:rsidRPr="00E15AE6">
              <w:rPr>
                <w:rFonts w:ascii="Bookman Old Style" w:hAnsi="Bookman Old Style"/>
                <w:sz w:val="20"/>
                <w:szCs w:val="20"/>
              </w:rPr>
              <w:t xml:space="preserve"> de una/dos/tres/</w:t>
            </w:r>
            <w:r w:rsidR="00726117">
              <w:rPr>
                <w:rFonts w:ascii="Bookman Old Style" w:hAnsi="Bookman Old Style"/>
                <w:sz w:val="20"/>
                <w:szCs w:val="20"/>
              </w:rPr>
              <w:t xml:space="preserve"> </w:t>
            </w:r>
            <w:r w:rsidR="00E15AE6" w:rsidRPr="00E15AE6">
              <w:rPr>
                <w:rFonts w:ascii="Bookman Old Style" w:hAnsi="Bookman Old Style"/>
                <w:sz w:val="20"/>
                <w:szCs w:val="20"/>
              </w:rPr>
              <w:t>cuatro zonas</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shd w:val="clear" w:color="auto" w:fill="auto"/>
            <w:vAlign w:val="center"/>
          </w:tcPr>
          <w:p w:rsidR="00EA6D0B" w:rsidRPr="00447264" w:rsidRDefault="00EA6D0B" w:rsidP="00447264">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564"/>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N4S20</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 xml:space="preserve">Módulo de barraje </w:t>
            </w:r>
            <w:r w:rsidR="00E15AE6" w:rsidRPr="00E15AE6">
              <w:rPr>
                <w:rFonts w:ascii="Bookman Old Style" w:hAnsi="Bookman Old Style"/>
                <w:sz w:val="20"/>
                <w:szCs w:val="20"/>
              </w:rPr>
              <w:t xml:space="preserve">tipo 1 – configuración </w:t>
            </w:r>
            <w:r w:rsidRPr="00447264">
              <w:rPr>
                <w:rFonts w:ascii="Bookman Old Style" w:hAnsi="Bookman Old Style"/>
                <w:sz w:val="20"/>
                <w:szCs w:val="20"/>
              </w:rPr>
              <w:t>barra sencilla</w:t>
            </w:r>
            <w:r w:rsidR="00E15AE6" w:rsidRPr="00E15AE6">
              <w:rPr>
                <w:rFonts w:ascii="Bookman Old Style" w:hAnsi="Bookman Old Style"/>
                <w:sz w:val="20"/>
                <w:szCs w:val="20"/>
              </w:rPr>
              <w:t xml:space="preserve"> – tipo convencional</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856"/>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N4S41</w:t>
            </w:r>
          </w:p>
        </w:tc>
        <w:tc>
          <w:tcPr>
            <w:tcW w:w="5126" w:type="dxa"/>
            <w:shd w:val="clear" w:color="auto" w:fill="auto"/>
            <w:vAlign w:val="center"/>
          </w:tcPr>
          <w:p w:rsidR="00EA6D0B" w:rsidRPr="00447264" w:rsidRDefault="00EA6D0B" w:rsidP="00E15AE6">
            <w:pPr>
              <w:ind w:left="0"/>
              <w:rPr>
                <w:rFonts w:ascii="Bookman Old Style" w:hAnsi="Bookman Old Style"/>
                <w:sz w:val="20"/>
                <w:szCs w:val="20"/>
              </w:rPr>
            </w:pPr>
            <w:r w:rsidRPr="00447264">
              <w:rPr>
                <w:rFonts w:ascii="Bookman Old Style" w:hAnsi="Bookman Old Style"/>
                <w:sz w:val="20"/>
                <w:szCs w:val="20"/>
              </w:rPr>
              <w:t xml:space="preserve">Módulo común </w:t>
            </w:r>
            <w:r w:rsidR="00E15AE6" w:rsidRPr="00E15AE6">
              <w:rPr>
                <w:rFonts w:ascii="Bookman Old Style" w:hAnsi="Bookman Old Style"/>
                <w:sz w:val="20"/>
                <w:szCs w:val="20"/>
              </w:rPr>
              <w:t>tipo 1 (</w:t>
            </w:r>
            <w:r w:rsidRPr="00447264">
              <w:rPr>
                <w:rFonts w:ascii="Bookman Old Style" w:hAnsi="Bookman Old Style"/>
                <w:sz w:val="20"/>
                <w:szCs w:val="20"/>
              </w:rPr>
              <w:t>1</w:t>
            </w:r>
            <w:r w:rsidR="00E15AE6" w:rsidRPr="00E15AE6">
              <w:rPr>
                <w:rFonts w:ascii="Bookman Old Style" w:hAnsi="Bookman Old Style"/>
                <w:sz w:val="20"/>
                <w:szCs w:val="20"/>
              </w:rPr>
              <w:t xml:space="preserve"> a </w:t>
            </w:r>
            <w:r w:rsidRPr="00447264">
              <w:rPr>
                <w:rFonts w:ascii="Bookman Old Style" w:hAnsi="Bookman Old Style"/>
                <w:sz w:val="20"/>
                <w:szCs w:val="20"/>
              </w:rPr>
              <w:t>3 bahías</w:t>
            </w:r>
            <w:r w:rsidR="00E15AE6" w:rsidRPr="00E15AE6">
              <w:rPr>
                <w:rFonts w:ascii="Bookman Old Style" w:hAnsi="Bookman Old Style"/>
                <w:sz w:val="20"/>
                <w:szCs w:val="20"/>
              </w:rPr>
              <w:t xml:space="preserve">) – tipo convencional o encapsulada </w:t>
            </w:r>
            <w:r w:rsidR="00E15AE6" w:rsidRPr="00447264">
              <w:rPr>
                <w:rFonts w:ascii="Bookman Old Style" w:hAnsi="Bookman Old Style"/>
                <w:sz w:val="20"/>
                <w:szCs w:val="20"/>
              </w:rPr>
              <w:t>– cualquier configuración</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552"/>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N4S45</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Sistema de control de la subestación</w:t>
            </w:r>
            <w:r w:rsidR="00E15AE6" w:rsidRPr="00E15AE6">
              <w:rPr>
                <w:rFonts w:ascii="Bookman Old Style" w:hAnsi="Bookman Old Style"/>
                <w:sz w:val="20"/>
                <w:szCs w:val="20"/>
              </w:rPr>
              <w:t xml:space="preserve"> (S/E 115 </w:t>
            </w:r>
            <w:proofErr w:type="spellStart"/>
            <w:r w:rsidR="00E15AE6" w:rsidRPr="00E15AE6">
              <w:rPr>
                <w:rFonts w:ascii="Bookman Old Style" w:hAnsi="Bookman Old Style"/>
                <w:sz w:val="20"/>
                <w:szCs w:val="20"/>
              </w:rPr>
              <w:t>kV</w:t>
            </w:r>
            <w:proofErr w:type="spellEnd"/>
            <w:r w:rsidR="00E15AE6" w:rsidRPr="00E15AE6">
              <w:rPr>
                <w:rFonts w:ascii="Bookman Old Style" w:hAnsi="Bookman Old Style"/>
                <w:sz w:val="20"/>
                <w:szCs w:val="20"/>
              </w:rPr>
              <w:t xml:space="preserve">/34.5 </w:t>
            </w:r>
            <w:proofErr w:type="spellStart"/>
            <w:r w:rsidR="00E15AE6" w:rsidRPr="00E15AE6">
              <w:rPr>
                <w:rFonts w:ascii="Bookman Old Style" w:hAnsi="Bookman Old Style"/>
                <w:sz w:val="20"/>
                <w:szCs w:val="20"/>
              </w:rPr>
              <w:t>kV</w:t>
            </w:r>
            <w:proofErr w:type="spellEnd"/>
            <w:r w:rsidR="00E15AE6" w:rsidRPr="00E15AE6">
              <w:rPr>
                <w:rFonts w:ascii="Bookman Old Style" w:hAnsi="Bookman Old Style"/>
                <w:sz w:val="20"/>
                <w:szCs w:val="20"/>
              </w:rPr>
              <w:t xml:space="preserve">) o (S/E 115 </w:t>
            </w:r>
            <w:proofErr w:type="spellStart"/>
            <w:r w:rsidR="00E15AE6" w:rsidRPr="00E15AE6">
              <w:rPr>
                <w:rFonts w:ascii="Bookman Old Style" w:hAnsi="Bookman Old Style"/>
                <w:sz w:val="20"/>
                <w:szCs w:val="20"/>
              </w:rPr>
              <w:t>kV</w:t>
            </w:r>
            <w:proofErr w:type="spellEnd"/>
            <w:r w:rsidR="00E15AE6" w:rsidRPr="00E15AE6">
              <w:rPr>
                <w:rFonts w:ascii="Bookman Old Style" w:hAnsi="Bookman Old Style"/>
                <w:sz w:val="20"/>
                <w:szCs w:val="20"/>
              </w:rPr>
              <w:t xml:space="preserve">/13.8 </w:t>
            </w:r>
            <w:proofErr w:type="spellStart"/>
            <w:r w:rsidR="00E15AE6" w:rsidRPr="00E15AE6">
              <w:rPr>
                <w:rFonts w:ascii="Bookman Old Style" w:hAnsi="Bookman Old Style"/>
                <w:sz w:val="20"/>
                <w:szCs w:val="20"/>
              </w:rPr>
              <w:t>kV</w:t>
            </w:r>
            <w:proofErr w:type="spellEnd"/>
            <w:r w:rsidR="00E15AE6" w:rsidRPr="00E15AE6">
              <w:rPr>
                <w:rFonts w:ascii="Bookman Old Style" w:hAnsi="Bookman Old Style"/>
                <w:sz w:val="20"/>
                <w:szCs w:val="20"/>
              </w:rPr>
              <w:t>)</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227"/>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N4S48</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 xml:space="preserve">Casa de control </w:t>
            </w:r>
            <w:r w:rsidR="00E15AE6" w:rsidRPr="00E15AE6">
              <w:rPr>
                <w:rFonts w:ascii="Bookman Old Style" w:hAnsi="Bookman Old Style"/>
                <w:sz w:val="20"/>
                <w:szCs w:val="20"/>
              </w:rPr>
              <w:t xml:space="preserve">nivel de tensión 4 </w:t>
            </w:r>
            <w:r w:rsidRPr="00447264">
              <w:rPr>
                <w:rFonts w:ascii="Bookman Old Style" w:hAnsi="Bookman Old Style"/>
                <w:sz w:val="20"/>
                <w:szCs w:val="20"/>
              </w:rPr>
              <w:t>(</w:t>
            </w:r>
            <w:r w:rsidR="00E15AE6" w:rsidRPr="00E15AE6">
              <w:rPr>
                <w:rFonts w:ascii="Bookman Old Style" w:hAnsi="Bookman Old Style"/>
                <w:sz w:val="20"/>
                <w:szCs w:val="20"/>
              </w:rPr>
              <w:t>$/</w:t>
            </w:r>
            <w:r w:rsidRPr="00447264">
              <w:rPr>
                <w:rFonts w:ascii="Bookman Old Style" w:hAnsi="Bookman Old Style"/>
                <w:sz w:val="20"/>
                <w:szCs w:val="20"/>
              </w:rPr>
              <w:t>m</w:t>
            </w:r>
            <w:r w:rsidRPr="00447264">
              <w:rPr>
                <w:rFonts w:ascii="Bookman Old Style" w:hAnsi="Bookman Old Style"/>
                <w:sz w:val="20"/>
                <w:szCs w:val="20"/>
                <w:vertAlign w:val="superscript"/>
              </w:rPr>
              <w:t>2</w:t>
            </w:r>
            <w:r w:rsidRPr="00447264">
              <w:rPr>
                <w:rFonts w:ascii="Bookman Old Style" w:hAnsi="Bookman Old Style"/>
                <w:sz w:val="20"/>
                <w:szCs w:val="20"/>
              </w:rPr>
              <w:t>)</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142.5</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227"/>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N4EQ2</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Transformador de tensión</w:t>
            </w:r>
            <w:r w:rsidR="00E15AE6" w:rsidRPr="00E15AE6">
              <w:rPr>
                <w:rFonts w:ascii="Bookman Old Style" w:hAnsi="Bookman Old Style"/>
                <w:sz w:val="20"/>
                <w:szCs w:val="20"/>
              </w:rPr>
              <w:t xml:space="preserve"> nivel 4</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9</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227"/>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N4EQ5</w:t>
            </w:r>
          </w:p>
        </w:tc>
        <w:tc>
          <w:tcPr>
            <w:tcW w:w="5126" w:type="dxa"/>
            <w:shd w:val="clear" w:color="auto" w:fill="auto"/>
            <w:vAlign w:val="center"/>
          </w:tcPr>
          <w:p w:rsidR="00EA6D0B" w:rsidRPr="00447264" w:rsidRDefault="00EA6D0B" w:rsidP="00EA6D0B">
            <w:pPr>
              <w:ind w:left="0"/>
              <w:rPr>
                <w:rFonts w:ascii="Bookman Old Style" w:hAnsi="Bookman Old Style"/>
                <w:sz w:val="20"/>
                <w:szCs w:val="20"/>
              </w:rPr>
            </w:pPr>
            <w:r w:rsidRPr="00447264">
              <w:rPr>
                <w:rFonts w:ascii="Bookman Old Style" w:hAnsi="Bookman Old Style"/>
                <w:sz w:val="20"/>
                <w:szCs w:val="20"/>
              </w:rPr>
              <w:t>Enlace de comunicaciones satelital</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r w:rsidR="00447264" w:rsidRPr="00447264" w:rsidTr="0029656D">
        <w:trPr>
          <w:trHeight w:hRule="exact" w:val="584"/>
          <w:jc w:val="center"/>
        </w:trPr>
        <w:tc>
          <w:tcPr>
            <w:tcW w:w="916" w:type="dxa"/>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N4L39</w:t>
            </w:r>
          </w:p>
        </w:tc>
        <w:tc>
          <w:tcPr>
            <w:tcW w:w="5126" w:type="dxa"/>
            <w:shd w:val="clear" w:color="auto" w:fill="auto"/>
            <w:vAlign w:val="center"/>
          </w:tcPr>
          <w:p w:rsidR="00EA6D0B" w:rsidRPr="00447264" w:rsidRDefault="00EA6D0B" w:rsidP="00E15AE6">
            <w:pPr>
              <w:ind w:left="0"/>
              <w:rPr>
                <w:rFonts w:ascii="Bookman Old Style" w:hAnsi="Bookman Old Style"/>
                <w:sz w:val="20"/>
                <w:szCs w:val="20"/>
              </w:rPr>
            </w:pPr>
            <w:r w:rsidRPr="00447264">
              <w:rPr>
                <w:rFonts w:ascii="Bookman Old Style" w:hAnsi="Bookman Old Style"/>
                <w:sz w:val="20"/>
                <w:szCs w:val="20"/>
              </w:rPr>
              <w:t xml:space="preserve">km </w:t>
            </w:r>
            <w:r w:rsidR="00E15AE6" w:rsidRPr="00E15AE6">
              <w:rPr>
                <w:rFonts w:ascii="Bookman Old Style" w:hAnsi="Bookman Old Style"/>
                <w:sz w:val="20"/>
                <w:szCs w:val="20"/>
              </w:rPr>
              <w:t>línea rural - circuito sencillo -</w:t>
            </w:r>
            <w:r w:rsidRPr="00447264">
              <w:rPr>
                <w:rFonts w:ascii="Bookman Old Style" w:hAnsi="Bookman Old Style"/>
                <w:sz w:val="20"/>
                <w:szCs w:val="20"/>
              </w:rPr>
              <w:t xml:space="preserve"> torre metálica</w:t>
            </w:r>
            <w:r w:rsidR="00E15AE6" w:rsidRPr="00E15AE6">
              <w:rPr>
                <w:rFonts w:ascii="Bookman Old Style" w:hAnsi="Bookman Old Style"/>
                <w:sz w:val="20"/>
                <w:szCs w:val="20"/>
              </w:rPr>
              <w:t xml:space="preserve"> – conductor D-N4-3</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37.5</w:t>
            </w:r>
          </w:p>
        </w:tc>
        <w:tc>
          <w:tcPr>
            <w:tcW w:w="0" w:type="auto"/>
            <w:shd w:val="clear" w:color="auto" w:fill="auto"/>
            <w:vAlign w:val="center"/>
          </w:tcPr>
          <w:p w:rsidR="00EA6D0B" w:rsidRPr="00447264" w:rsidRDefault="00EA6D0B" w:rsidP="00EA6D0B">
            <w:pPr>
              <w:ind w:left="0"/>
              <w:jc w:val="center"/>
              <w:rPr>
                <w:rFonts w:ascii="Bookman Old Style" w:hAnsi="Bookman Old Style"/>
                <w:sz w:val="20"/>
                <w:szCs w:val="20"/>
              </w:rPr>
            </w:pPr>
            <w:r w:rsidRPr="00447264">
              <w:rPr>
                <w:rFonts w:ascii="Bookman Old Style" w:hAnsi="Bookman Old Style"/>
                <w:sz w:val="20"/>
                <w:szCs w:val="20"/>
              </w:rPr>
              <w:t>1</w:t>
            </w:r>
          </w:p>
        </w:tc>
        <w:tc>
          <w:tcPr>
            <w:tcW w:w="0" w:type="auto"/>
            <w:vAlign w:val="center"/>
          </w:tcPr>
          <w:p w:rsidR="00EA6D0B" w:rsidRPr="00447264" w:rsidRDefault="00EA6D0B" w:rsidP="00726117">
            <w:pPr>
              <w:ind w:left="0"/>
              <w:jc w:val="center"/>
              <w:rPr>
                <w:rFonts w:ascii="Bookman Old Style" w:hAnsi="Bookman Old Style"/>
                <w:sz w:val="20"/>
                <w:szCs w:val="20"/>
              </w:rPr>
            </w:pPr>
            <w:r w:rsidRPr="00447264">
              <w:rPr>
                <w:rFonts w:ascii="Bookman Old Style" w:hAnsi="Bookman Old Style"/>
                <w:sz w:val="20"/>
                <w:szCs w:val="20"/>
              </w:rPr>
              <w:t>0.38</w:t>
            </w:r>
          </w:p>
        </w:tc>
      </w:tr>
    </w:tbl>
    <w:p w:rsidR="00472C02" w:rsidRPr="00472C02" w:rsidRDefault="00472C02" w:rsidP="007D77E9">
      <w:pPr>
        <w:pStyle w:val="Prrafodelista"/>
        <w:ind w:left="0" w:firstLine="708"/>
        <w:jc w:val="center"/>
        <w:rPr>
          <w:rFonts w:ascii="Bookman Old Style" w:hAnsi="Bookman Old Style"/>
          <w:sz w:val="24"/>
          <w:szCs w:val="24"/>
        </w:rPr>
      </w:pPr>
    </w:p>
    <w:p w:rsidR="007D77E9" w:rsidRDefault="007D77E9" w:rsidP="007D77E9">
      <w:pPr>
        <w:pStyle w:val="Prrafodelista"/>
        <w:ind w:left="720"/>
        <w:jc w:val="both"/>
        <w:rPr>
          <w:rFonts w:ascii="Bookman Old Style" w:hAnsi="Bookman Old Style"/>
          <w:sz w:val="24"/>
          <w:szCs w:val="24"/>
        </w:rPr>
      </w:pPr>
    </w:p>
    <w:p w:rsidR="00937C80" w:rsidRDefault="00937C80"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del concepto </w:t>
      </w:r>
      <w:r w:rsidR="00644A3C">
        <w:rPr>
          <w:rFonts w:ascii="Bookman Old Style" w:hAnsi="Bookman Old Style"/>
          <w:sz w:val="24"/>
          <w:szCs w:val="24"/>
        </w:rPr>
        <w:t>que sobre el proyecto emitió</w:t>
      </w:r>
      <w:r>
        <w:rPr>
          <w:rFonts w:ascii="Bookman Old Style" w:hAnsi="Bookman Old Style"/>
          <w:sz w:val="24"/>
          <w:szCs w:val="24"/>
        </w:rPr>
        <w:t xml:space="preserve"> la Unidad de Planeación Minero Energética con radicado UPME </w:t>
      </w:r>
      <w:r w:rsidR="004E7824">
        <w:rPr>
          <w:rFonts w:ascii="Bookman Old Style" w:hAnsi="Bookman Old Style"/>
          <w:sz w:val="24"/>
          <w:szCs w:val="24"/>
        </w:rPr>
        <w:t>201</w:t>
      </w:r>
      <w:r w:rsidR="00726117">
        <w:rPr>
          <w:rFonts w:ascii="Bookman Old Style" w:hAnsi="Bookman Old Style"/>
          <w:sz w:val="24"/>
          <w:szCs w:val="24"/>
        </w:rPr>
        <w:t>4</w:t>
      </w:r>
      <w:r w:rsidR="004E7824">
        <w:rPr>
          <w:rFonts w:ascii="Bookman Old Style" w:hAnsi="Bookman Old Style"/>
          <w:sz w:val="24"/>
          <w:szCs w:val="24"/>
        </w:rPr>
        <w:t>15000</w:t>
      </w:r>
      <w:r w:rsidR="00726117">
        <w:rPr>
          <w:rFonts w:ascii="Bookman Old Style" w:hAnsi="Bookman Old Style"/>
          <w:sz w:val="24"/>
          <w:szCs w:val="24"/>
        </w:rPr>
        <w:t>00161</w:t>
      </w:r>
      <w:r>
        <w:rPr>
          <w:rFonts w:ascii="Bookman Old Style" w:hAnsi="Bookman Old Style"/>
          <w:sz w:val="24"/>
          <w:szCs w:val="24"/>
        </w:rPr>
        <w:t xml:space="preserve"> de </w:t>
      </w:r>
      <w:r w:rsidR="00726117">
        <w:rPr>
          <w:rFonts w:ascii="Bookman Old Style" w:hAnsi="Bookman Old Style"/>
          <w:sz w:val="24"/>
          <w:szCs w:val="24"/>
        </w:rPr>
        <w:t xml:space="preserve">enero 8 </w:t>
      </w:r>
      <w:r w:rsidR="00644A3C">
        <w:rPr>
          <w:rFonts w:ascii="Bookman Old Style" w:hAnsi="Bookman Old Style"/>
          <w:sz w:val="24"/>
          <w:szCs w:val="24"/>
        </w:rPr>
        <w:t>de 20</w:t>
      </w:r>
      <w:r w:rsidR="004E7824">
        <w:rPr>
          <w:rFonts w:ascii="Bookman Old Style" w:hAnsi="Bookman Old Style"/>
          <w:sz w:val="24"/>
          <w:szCs w:val="24"/>
        </w:rPr>
        <w:t>1</w:t>
      </w:r>
      <w:r w:rsidR="00726117">
        <w:rPr>
          <w:rFonts w:ascii="Bookman Old Style" w:hAnsi="Bookman Old Style"/>
          <w:sz w:val="24"/>
          <w:szCs w:val="24"/>
        </w:rPr>
        <w:t>4</w:t>
      </w:r>
      <w:r w:rsidR="00644A3C">
        <w:rPr>
          <w:rFonts w:ascii="Bookman Old Style" w:hAnsi="Bookman Old Style"/>
          <w:sz w:val="24"/>
          <w:szCs w:val="24"/>
        </w:rPr>
        <w:t>.</w:t>
      </w:r>
    </w:p>
    <w:p w:rsidR="00D01521" w:rsidRDefault="00D01521" w:rsidP="00D01521">
      <w:pPr>
        <w:pStyle w:val="Prrafodelista"/>
        <w:ind w:left="720"/>
        <w:jc w:val="both"/>
        <w:rPr>
          <w:rFonts w:ascii="Bookman Old Style" w:hAnsi="Bookman Old Style"/>
          <w:sz w:val="24"/>
          <w:szCs w:val="24"/>
        </w:rPr>
      </w:pPr>
    </w:p>
    <w:p w:rsidR="00937C80" w:rsidRDefault="00644A3C"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del certificado </w:t>
      </w:r>
      <w:r w:rsidR="002D7E0C">
        <w:rPr>
          <w:rFonts w:ascii="Bookman Old Style" w:hAnsi="Bookman Old Style"/>
          <w:sz w:val="24"/>
          <w:szCs w:val="24"/>
        </w:rPr>
        <w:t>expedido por XM sobre la</w:t>
      </w:r>
      <w:r>
        <w:rPr>
          <w:rFonts w:ascii="Bookman Old Style" w:hAnsi="Bookman Old Style"/>
          <w:sz w:val="24"/>
          <w:szCs w:val="24"/>
        </w:rPr>
        <w:t xml:space="preserve"> entrada en operación comercial </w:t>
      </w:r>
      <w:r w:rsidR="002B56D9">
        <w:rPr>
          <w:rFonts w:ascii="Bookman Old Style" w:hAnsi="Bookman Old Style"/>
          <w:sz w:val="24"/>
          <w:szCs w:val="24"/>
        </w:rPr>
        <w:t xml:space="preserve">de los activos que componen el proyecto de la subestación </w:t>
      </w:r>
      <w:r w:rsidR="00726117">
        <w:rPr>
          <w:rFonts w:ascii="Bookman Old Style" w:hAnsi="Bookman Old Style"/>
          <w:sz w:val="24"/>
          <w:szCs w:val="24"/>
        </w:rPr>
        <w:t xml:space="preserve">Puerto </w:t>
      </w:r>
      <w:proofErr w:type="spellStart"/>
      <w:r w:rsidR="00726117">
        <w:rPr>
          <w:rFonts w:ascii="Bookman Old Style" w:hAnsi="Bookman Old Style"/>
          <w:sz w:val="24"/>
          <w:szCs w:val="24"/>
        </w:rPr>
        <w:t>Wilches</w:t>
      </w:r>
      <w:proofErr w:type="spellEnd"/>
      <w:r w:rsidR="00726117">
        <w:rPr>
          <w:rFonts w:ascii="Bookman Old Style" w:hAnsi="Bookman Old Style"/>
          <w:sz w:val="24"/>
          <w:szCs w:val="24"/>
        </w:rPr>
        <w:t xml:space="preserve"> </w:t>
      </w:r>
      <w:r w:rsidR="002B56D9">
        <w:rPr>
          <w:rFonts w:ascii="Bookman Old Style" w:hAnsi="Bookman Old Style"/>
          <w:sz w:val="24"/>
          <w:szCs w:val="24"/>
        </w:rPr>
        <w:t xml:space="preserve">115 </w:t>
      </w:r>
      <w:proofErr w:type="spellStart"/>
      <w:r w:rsidR="002B56D9">
        <w:rPr>
          <w:rFonts w:ascii="Bookman Old Style" w:hAnsi="Bookman Old Style"/>
          <w:sz w:val="24"/>
          <w:szCs w:val="24"/>
        </w:rPr>
        <w:t>kV</w:t>
      </w:r>
      <w:proofErr w:type="spellEnd"/>
      <w:r w:rsidR="00726117">
        <w:rPr>
          <w:rFonts w:ascii="Bookman Old Style" w:hAnsi="Bookman Old Style"/>
          <w:sz w:val="24"/>
          <w:szCs w:val="24"/>
        </w:rPr>
        <w:t xml:space="preserve"> y la línea Puerto </w:t>
      </w:r>
      <w:proofErr w:type="spellStart"/>
      <w:r w:rsidR="00726117">
        <w:rPr>
          <w:rFonts w:ascii="Bookman Old Style" w:hAnsi="Bookman Old Style"/>
          <w:sz w:val="24"/>
          <w:szCs w:val="24"/>
        </w:rPr>
        <w:t>Wilches</w:t>
      </w:r>
      <w:proofErr w:type="spellEnd"/>
      <w:r w:rsidR="00726117">
        <w:rPr>
          <w:rFonts w:ascii="Bookman Old Style" w:hAnsi="Bookman Old Style"/>
          <w:sz w:val="24"/>
          <w:szCs w:val="24"/>
        </w:rPr>
        <w:t xml:space="preserve"> – Barranca 115 </w:t>
      </w:r>
      <w:proofErr w:type="spellStart"/>
      <w:r w:rsidR="00726117">
        <w:rPr>
          <w:rFonts w:ascii="Bookman Old Style" w:hAnsi="Bookman Old Style"/>
          <w:sz w:val="24"/>
          <w:szCs w:val="24"/>
        </w:rPr>
        <w:t>kV</w:t>
      </w:r>
      <w:proofErr w:type="spellEnd"/>
      <w:r w:rsidR="00726117">
        <w:rPr>
          <w:rFonts w:ascii="Bookman Old Style" w:hAnsi="Bookman Old Style"/>
          <w:sz w:val="24"/>
          <w:szCs w:val="24"/>
        </w:rPr>
        <w:t xml:space="preserve"> con sus bahías asociadas</w:t>
      </w:r>
      <w:r>
        <w:rPr>
          <w:rFonts w:ascii="Bookman Old Style" w:hAnsi="Bookman Old Style"/>
          <w:sz w:val="24"/>
          <w:szCs w:val="24"/>
        </w:rPr>
        <w:t>;</w:t>
      </w:r>
    </w:p>
    <w:p w:rsidR="00644A3C" w:rsidRPr="00644A3C" w:rsidRDefault="00644A3C" w:rsidP="00644A3C">
      <w:pPr>
        <w:jc w:val="both"/>
        <w:rPr>
          <w:rFonts w:ascii="Bookman Old Style" w:hAnsi="Bookman Old Style"/>
        </w:rPr>
      </w:pPr>
    </w:p>
    <w:p w:rsidR="00F60019" w:rsidRDefault="00F60019" w:rsidP="00F60019">
      <w:pPr>
        <w:ind w:left="0"/>
        <w:jc w:val="both"/>
        <w:rPr>
          <w:rFonts w:ascii="Bookman Old Style" w:hAnsi="Bookman Old Style"/>
        </w:rPr>
      </w:pPr>
      <w:r>
        <w:rPr>
          <w:rFonts w:ascii="Bookman Old Style" w:hAnsi="Bookman Old Style"/>
        </w:rPr>
        <w:t>Que m</w:t>
      </w:r>
      <w:r w:rsidRPr="00A8635E">
        <w:rPr>
          <w:rFonts w:ascii="Bookman Old Style" w:hAnsi="Bookman Old Style"/>
        </w:rPr>
        <w:t xml:space="preserve">ediante </w:t>
      </w:r>
      <w:r w:rsidR="005247B7" w:rsidRPr="00A8635E">
        <w:rPr>
          <w:rFonts w:ascii="Bookman Old Style" w:hAnsi="Bookman Old Style"/>
        </w:rPr>
        <w:t xml:space="preserve">Auto </w:t>
      </w:r>
      <w:r w:rsidRPr="00A8635E">
        <w:rPr>
          <w:rFonts w:ascii="Bookman Old Style" w:hAnsi="Bookman Old Style"/>
        </w:rPr>
        <w:t xml:space="preserve">del </w:t>
      </w:r>
      <w:r w:rsidR="00726117">
        <w:rPr>
          <w:rFonts w:ascii="Bookman Old Style" w:hAnsi="Bookman Old Style"/>
        </w:rPr>
        <w:t>1</w:t>
      </w:r>
      <w:r w:rsidR="002B56D9">
        <w:rPr>
          <w:rFonts w:ascii="Bookman Old Style" w:hAnsi="Bookman Old Style"/>
        </w:rPr>
        <w:t>4</w:t>
      </w:r>
      <w:r w:rsidRPr="00A8635E">
        <w:rPr>
          <w:rFonts w:ascii="Bookman Old Style" w:hAnsi="Bookman Old Style"/>
        </w:rPr>
        <w:t xml:space="preserve"> de </w:t>
      </w:r>
      <w:r w:rsidR="00726117">
        <w:rPr>
          <w:rFonts w:ascii="Bookman Old Style" w:hAnsi="Bookman Old Style"/>
        </w:rPr>
        <w:t xml:space="preserve">febrero </w:t>
      </w:r>
      <w:r w:rsidRPr="00A8635E">
        <w:rPr>
          <w:rFonts w:ascii="Bookman Old Style" w:hAnsi="Bookman Old Style"/>
        </w:rPr>
        <w:t>de 20</w:t>
      </w:r>
      <w:r>
        <w:rPr>
          <w:rFonts w:ascii="Bookman Old Style" w:hAnsi="Bookman Old Style"/>
        </w:rPr>
        <w:t>1</w:t>
      </w:r>
      <w:r w:rsidR="00726117">
        <w:rPr>
          <w:rFonts w:ascii="Bookman Old Style" w:hAnsi="Bookman Old Style"/>
        </w:rPr>
        <w:t>4</w:t>
      </w:r>
      <w:r w:rsidRPr="00A8635E">
        <w:rPr>
          <w:rFonts w:ascii="Bookman Old Style" w:hAnsi="Bookman Old Style"/>
        </w:rPr>
        <w:t xml:space="preserve">, la Comisión dio inicio a la actuación administrativa tendiente a </w:t>
      </w:r>
      <w:r>
        <w:rPr>
          <w:rFonts w:ascii="Bookman Old Style" w:hAnsi="Bookman Old Style"/>
        </w:rPr>
        <w:t xml:space="preserve">actualizar </w:t>
      </w:r>
      <w:r w:rsidR="00D82C6E">
        <w:rPr>
          <w:rFonts w:ascii="Bookman Old Style" w:hAnsi="Bookman Old Style"/>
        </w:rPr>
        <w:t xml:space="preserve">el costo anual por el uso de los </w:t>
      </w:r>
      <w:r w:rsidR="00D82C6E">
        <w:rPr>
          <w:rFonts w:ascii="Bookman Old Style" w:hAnsi="Bookman Old Style"/>
        </w:rPr>
        <w:lastRenderedPageBreak/>
        <w:t xml:space="preserve">activos de Nivel de Tensión 4 de la </w:t>
      </w:r>
      <w:r w:rsidR="002B56D9" w:rsidRPr="002B56D9">
        <w:rPr>
          <w:rFonts w:ascii="Bookman Old Style" w:hAnsi="Bookman Old Style"/>
        </w:rPr>
        <w:t>Electrificadora de Santander S.A. E.S.P.</w:t>
      </w:r>
      <w:r w:rsidRPr="00A8635E">
        <w:rPr>
          <w:rFonts w:ascii="Bookman Old Style" w:hAnsi="Bookman Old Style"/>
        </w:rPr>
        <w:t>, y ordenó la apertura del respectivo expediente que fue distinguido con el número 20</w:t>
      </w:r>
      <w:r w:rsidR="00D82C6E">
        <w:rPr>
          <w:rFonts w:ascii="Bookman Old Style" w:hAnsi="Bookman Old Style"/>
        </w:rPr>
        <w:t>1</w:t>
      </w:r>
      <w:r w:rsidR="00726117">
        <w:rPr>
          <w:rFonts w:ascii="Bookman Old Style" w:hAnsi="Bookman Old Style"/>
        </w:rPr>
        <w:t>4</w:t>
      </w:r>
      <w:r w:rsidR="00D82C6E">
        <w:rPr>
          <w:rFonts w:ascii="Bookman Old Style" w:hAnsi="Bookman Old Style"/>
        </w:rPr>
        <w:t>-00</w:t>
      </w:r>
      <w:r w:rsidR="00726117">
        <w:rPr>
          <w:rFonts w:ascii="Bookman Old Style" w:hAnsi="Bookman Old Style"/>
        </w:rPr>
        <w:t>08</w:t>
      </w:r>
      <w:r w:rsidR="0029656D">
        <w:rPr>
          <w:rFonts w:ascii="Bookman Old Style" w:hAnsi="Bookman Old Style"/>
        </w:rPr>
        <w:t>;</w:t>
      </w:r>
      <w:r w:rsidRPr="00A8635E">
        <w:rPr>
          <w:rFonts w:ascii="Bookman Old Style" w:hAnsi="Bookman Old Style"/>
        </w:rPr>
        <w:t xml:space="preserve"> </w:t>
      </w:r>
    </w:p>
    <w:p w:rsidR="00F60019" w:rsidRDefault="00F60019" w:rsidP="00AA3367">
      <w:pPr>
        <w:ind w:left="0"/>
        <w:jc w:val="both"/>
        <w:rPr>
          <w:rFonts w:ascii="Bookman Old Style" w:hAnsi="Bookman Old Style"/>
        </w:rPr>
      </w:pPr>
    </w:p>
    <w:p w:rsidR="00AA3367" w:rsidRDefault="00AA3367" w:rsidP="00AA3367">
      <w:pPr>
        <w:ind w:left="0"/>
        <w:jc w:val="both"/>
        <w:rPr>
          <w:rFonts w:ascii="Bookman Old Style" w:hAnsi="Bookman Old Style"/>
        </w:rPr>
      </w:pPr>
      <w:r w:rsidRPr="00EF6C23">
        <w:rPr>
          <w:rFonts w:ascii="Bookman Old Style" w:hAnsi="Bookman Old Style"/>
        </w:rPr>
        <w:t>Que en cumplimiento de</w:t>
      </w:r>
      <w:r w:rsidR="00726117">
        <w:rPr>
          <w:rFonts w:ascii="Bookman Old Style" w:hAnsi="Bookman Old Style"/>
        </w:rPr>
        <w:t>l</w:t>
      </w:r>
      <w:r w:rsidRPr="00EF6C23">
        <w:rPr>
          <w:rFonts w:ascii="Bookman Old Style" w:hAnsi="Bookman Old Style"/>
        </w:rPr>
        <w:t xml:space="preserve"> artículo </w:t>
      </w:r>
      <w:r w:rsidR="00726117">
        <w:rPr>
          <w:rFonts w:ascii="Bookman Old Style" w:hAnsi="Bookman Old Style"/>
        </w:rPr>
        <w:t>37</w:t>
      </w:r>
      <w:r w:rsidRPr="00EF6C23">
        <w:rPr>
          <w:rFonts w:ascii="Bookman Old Style" w:hAnsi="Bookman Old Style"/>
        </w:rPr>
        <w:t xml:space="preserve"> del Código </w:t>
      </w:r>
      <w:r w:rsidR="000E4093">
        <w:rPr>
          <w:rFonts w:ascii="Bookman Old Style" w:hAnsi="Bookman Old Style"/>
        </w:rPr>
        <w:t xml:space="preserve">de Procedimiento </w:t>
      </w:r>
      <w:r w:rsidR="000E4093" w:rsidRPr="000E4093">
        <w:rPr>
          <w:rFonts w:ascii="Bookman Old Style" w:hAnsi="Bookman Old Style"/>
        </w:rPr>
        <w:t xml:space="preserve">Administrativo </w:t>
      </w:r>
      <w:r w:rsidR="000E4093">
        <w:rPr>
          <w:rFonts w:ascii="Bookman Old Style" w:hAnsi="Bookman Old Style"/>
        </w:rPr>
        <w:t xml:space="preserve">y de lo </w:t>
      </w:r>
      <w:r w:rsidRPr="00EF6C23">
        <w:rPr>
          <w:rFonts w:ascii="Bookman Old Style" w:hAnsi="Bookman Old Style"/>
        </w:rPr>
        <w:t>Contencioso Administrativo</w:t>
      </w:r>
      <w:r w:rsidR="000E4093">
        <w:rPr>
          <w:rFonts w:ascii="Bookman Old Style" w:hAnsi="Bookman Old Style"/>
        </w:rPr>
        <w:t>,</w:t>
      </w:r>
      <w:r w:rsidR="00726117">
        <w:rPr>
          <w:rFonts w:ascii="Bookman Old Style" w:hAnsi="Bookman Old Style"/>
        </w:rPr>
        <w:t xml:space="preserve"> la CREG</w:t>
      </w:r>
      <w:r w:rsidRPr="00EF6C23">
        <w:rPr>
          <w:rFonts w:ascii="Bookman Old Style" w:hAnsi="Bookman Old Style"/>
        </w:rPr>
        <w:t xml:space="preserve"> publicó </w:t>
      </w:r>
      <w:r w:rsidR="00726117" w:rsidRPr="00726117">
        <w:rPr>
          <w:rFonts w:ascii="Bookman Old Style" w:hAnsi="Bookman Old Style"/>
        </w:rPr>
        <w:t>en la p</w:t>
      </w:r>
      <w:r w:rsidR="001211DC">
        <w:rPr>
          <w:rFonts w:ascii="Bookman Old Style" w:hAnsi="Bookman Old Style"/>
        </w:rPr>
        <w:t>á</w:t>
      </w:r>
      <w:r w:rsidR="00726117" w:rsidRPr="00726117">
        <w:rPr>
          <w:rFonts w:ascii="Bookman Old Style" w:hAnsi="Bookman Old Style"/>
        </w:rPr>
        <w:t>gina web de la Comisión</w:t>
      </w:r>
      <w:r w:rsidR="00726117">
        <w:rPr>
          <w:rFonts w:ascii="Bookman Old Style" w:hAnsi="Bookman Old Style"/>
        </w:rPr>
        <w:t>,</w:t>
      </w:r>
      <w:r w:rsidR="00726117" w:rsidRPr="00726117">
        <w:rPr>
          <w:rFonts w:ascii="Bookman Old Style" w:hAnsi="Bookman Old Style"/>
        </w:rPr>
        <w:t xml:space="preserve"> www.creg.gov.co, y en el Diario Oficial copia del extracto informativo que aparece anexo al referido Auto</w:t>
      </w:r>
      <w:r w:rsidRPr="00EF6C23">
        <w:rPr>
          <w:rFonts w:ascii="Bookman Old Style" w:hAnsi="Bookman Old Style"/>
        </w:rPr>
        <w:t>;</w:t>
      </w:r>
    </w:p>
    <w:p w:rsidR="002B56D9" w:rsidRDefault="002B56D9" w:rsidP="00AA3367">
      <w:pPr>
        <w:ind w:left="0"/>
        <w:jc w:val="both"/>
        <w:rPr>
          <w:rFonts w:ascii="Bookman Old Style" w:hAnsi="Bookman Old Style"/>
        </w:rPr>
      </w:pPr>
    </w:p>
    <w:p w:rsidR="002D7E0C" w:rsidRDefault="002D7E0C" w:rsidP="00E433F6">
      <w:pPr>
        <w:ind w:left="0"/>
        <w:jc w:val="both"/>
        <w:rPr>
          <w:rFonts w:ascii="Bookman Old Style" w:hAnsi="Bookman Old Style"/>
        </w:rPr>
      </w:pPr>
      <w:r>
        <w:rPr>
          <w:rFonts w:ascii="Bookman Old Style" w:hAnsi="Bookman Old Style"/>
        </w:rPr>
        <w:t xml:space="preserve">Que con el fin de verificar las características de los activos solicitados por la empresa, </w:t>
      </w:r>
      <w:r w:rsidR="00C13407">
        <w:rPr>
          <w:rFonts w:ascii="Bookman Old Style" w:hAnsi="Bookman Old Style"/>
        </w:rPr>
        <w:t>mediante comunicación con radicado S-2014-000943</w:t>
      </w:r>
      <w:r w:rsidR="003D5CAB">
        <w:rPr>
          <w:rFonts w:ascii="Bookman Old Style" w:hAnsi="Bookman Old Style"/>
        </w:rPr>
        <w:t>,</w:t>
      </w:r>
      <w:r w:rsidR="00C13407">
        <w:rPr>
          <w:rFonts w:ascii="Bookman Old Style" w:hAnsi="Bookman Old Style"/>
        </w:rPr>
        <w:t xml:space="preserve"> se solicitó a la </w:t>
      </w:r>
      <w:r w:rsidR="00C13407" w:rsidRPr="00DD35CC">
        <w:rPr>
          <w:rFonts w:ascii="Bookman Old Style" w:hAnsi="Bookman Old Style"/>
        </w:rPr>
        <w:t>Electrificadora de Santander S.A. E.S.P.</w:t>
      </w:r>
      <w:r w:rsidR="003D5CAB">
        <w:rPr>
          <w:rFonts w:ascii="Bookman Old Style" w:hAnsi="Bookman Old Style"/>
        </w:rPr>
        <w:t xml:space="preserve"> </w:t>
      </w:r>
      <w:r w:rsidR="00C13407">
        <w:rPr>
          <w:rFonts w:ascii="Bookman Old Style" w:hAnsi="Bookman Old Style"/>
        </w:rPr>
        <w:t>los diagramas unifilares y registros fotográficos de los elementos que componen l</w:t>
      </w:r>
      <w:r>
        <w:rPr>
          <w:rFonts w:ascii="Bookman Old Style" w:hAnsi="Bookman Old Style"/>
        </w:rPr>
        <w:t xml:space="preserve">a Subestación </w:t>
      </w:r>
      <w:r w:rsidR="00726117">
        <w:rPr>
          <w:rFonts w:ascii="Bookman Old Style" w:hAnsi="Bookman Old Style"/>
        </w:rPr>
        <w:t xml:space="preserve">Puerto </w:t>
      </w:r>
      <w:proofErr w:type="spellStart"/>
      <w:r w:rsidR="00726117">
        <w:rPr>
          <w:rFonts w:ascii="Bookman Old Style" w:hAnsi="Bookman Old Style"/>
        </w:rPr>
        <w:t>Wilches</w:t>
      </w:r>
      <w:proofErr w:type="spellEnd"/>
      <w:r w:rsidR="00726117">
        <w:rPr>
          <w:rFonts w:ascii="Bookman Old Style" w:hAnsi="Bookman Old Style"/>
        </w:rPr>
        <w:t xml:space="preserve"> </w:t>
      </w:r>
      <w:r w:rsidR="00DD35CC">
        <w:rPr>
          <w:rFonts w:ascii="Bookman Old Style" w:hAnsi="Bookman Old Style"/>
        </w:rPr>
        <w:t>1</w:t>
      </w:r>
      <w:r>
        <w:rPr>
          <w:rFonts w:ascii="Bookman Old Style" w:hAnsi="Bookman Old Style"/>
        </w:rPr>
        <w:t xml:space="preserve">15 </w:t>
      </w:r>
      <w:proofErr w:type="spellStart"/>
      <w:r>
        <w:rPr>
          <w:rFonts w:ascii="Bookman Old Style" w:hAnsi="Bookman Old Style"/>
        </w:rPr>
        <w:t>kV</w:t>
      </w:r>
      <w:proofErr w:type="spellEnd"/>
      <w:r w:rsidR="00C13407">
        <w:rPr>
          <w:rFonts w:ascii="Bookman Old Style" w:hAnsi="Bookman Old Style"/>
        </w:rPr>
        <w:t xml:space="preserve"> y la línea Puerto </w:t>
      </w:r>
      <w:proofErr w:type="spellStart"/>
      <w:r w:rsidR="00C13407">
        <w:rPr>
          <w:rFonts w:ascii="Bookman Old Style" w:hAnsi="Bookman Old Style"/>
        </w:rPr>
        <w:t>Wilches</w:t>
      </w:r>
      <w:proofErr w:type="spellEnd"/>
      <w:r w:rsidR="00C13407">
        <w:rPr>
          <w:rFonts w:ascii="Bookman Old Style" w:hAnsi="Bookman Old Style"/>
        </w:rPr>
        <w:t xml:space="preserve"> – Barranca 115 </w:t>
      </w:r>
      <w:proofErr w:type="spellStart"/>
      <w:r w:rsidR="00C13407">
        <w:rPr>
          <w:rFonts w:ascii="Bookman Old Style" w:hAnsi="Bookman Old Style"/>
        </w:rPr>
        <w:t>kV</w:t>
      </w:r>
      <w:proofErr w:type="spellEnd"/>
      <w:r w:rsidR="00C13407">
        <w:rPr>
          <w:rFonts w:ascii="Bookman Old Style" w:hAnsi="Bookman Old Style"/>
        </w:rPr>
        <w:t xml:space="preserve"> con sus bahías asociadas; </w:t>
      </w:r>
    </w:p>
    <w:p w:rsidR="001211DC" w:rsidRDefault="001211DC" w:rsidP="00E433F6">
      <w:pPr>
        <w:ind w:left="0"/>
        <w:jc w:val="both"/>
        <w:rPr>
          <w:rFonts w:ascii="Bookman Old Style" w:hAnsi="Bookman Old Style"/>
        </w:rPr>
      </w:pPr>
    </w:p>
    <w:p w:rsidR="00AA3367" w:rsidRDefault="00822AE9" w:rsidP="00E433F6">
      <w:pPr>
        <w:ind w:left="0"/>
        <w:jc w:val="both"/>
        <w:rPr>
          <w:rFonts w:ascii="Bookman Old Style" w:hAnsi="Bookman Old Style"/>
        </w:rPr>
      </w:pPr>
      <w:r>
        <w:rPr>
          <w:rFonts w:ascii="Bookman Old Style" w:hAnsi="Bookman Old Style"/>
        </w:rPr>
        <w:t xml:space="preserve">Que en </w:t>
      </w:r>
      <w:r w:rsidR="00C13407">
        <w:rPr>
          <w:rFonts w:ascii="Bookman Old Style" w:hAnsi="Bookman Old Style"/>
        </w:rPr>
        <w:t xml:space="preserve">respuesta a la solicitud hecha por la CREG, mediante </w:t>
      </w:r>
      <w:r w:rsidR="000E4093">
        <w:rPr>
          <w:rFonts w:ascii="Bookman Old Style" w:hAnsi="Bookman Old Style"/>
        </w:rPr>
        <w:t>comunicación</w:t>
      </w:r>
      <w:r w:rsidR="00C13407">
        <w:rPr>
          <w:rFonts w:ascii="Bookman Old Style" w:hAnsi="Bookman Old Style"/>
        </w:rPr>
        <w:t xml:space="preserve"> con radicado E-2014-002447, la </w:t>
      </w:r>
      <w:r w:rsidR="00C13407" w:rsidRPr="00DD35CC">
        <w:rPr>
          <w:rFonts w:ascii="Bookman Old Style" w:hAnsi="Bookman Old Style"/>
        </w:rPr>
        <w:t>Electrificadora de Santander S.A. E.S.P.</w:t>
      </w:r>
      <w:r w:rsidR="00C13407">
        <w:rPr>
          <w:rFonts w:ascii="Bookman Old Style" w:hAnsi="Bookman Old Style"/>
        </w:rPr>
        <w:t xml:space="preserve"> envió la información solicitada</w:t>
      </w:r>
      <w:r w:rsidR="00DC255D" w:rsidRPr="0029656D">
        <w:rPr>
          <w:rFonts w:ascii="Bookman Old Style" w:hAnsi="Bookman Old Style"/>
        </w:rPr>
        <w:t>;</w:t>
      </w:r>
    </w:p>
    <w:p w:rsidR="00AA3367" w:rsidRDefault="00AA3367" w:rsidP="00E433F6">
      <w:pPr>
        <w:ind w:left="0"/>
        <w:jc w:val="both"/>
        <w:rPr>
          <w:rFonts w:ascii="Bookman Old Style" w:hAnsi="Bookman Old Style"/>
        </w:rPr>
      </w:pPr>
    </w:p>
    <w:p w:rsidR="00A90A01" w:rsidRDefault="00A90A01" w:rsidP="00E433F6">
      <w:pPr>
        <w:ind w:left="0"/>
        <w:jc w:val="both"/>
        <w:rPr>
          <w:rFonts w:ascii="Bookman Old Style" w:hAnsi="Bookman Old Style"/>
        </w:rPr>
      </w:pPr>
      <w:r>
        <w:rPr>
          <w:rFonts w:ascii="Bookman Old Style" w:hAnsi="Bookman Old Style"/>
        </w:rPr>
        <w:t xml:space="preserve">Que como resultado del análisis de la información entregada </w:t>
      </w:r>
      <w:r w:rsidR="00617137">
        <w:rPr>
          <w:rFonts w:ascii="Bookman Old Style" w:hAnsi="Bookman Old Style"/>
        </w:rPr>
        <w:t xml:space="preserve">por la </w:t>
      </w:r>
      <w:r w:rsidR="007A462D" w:rsidRPr="007A462D">
        <w:rPr>
          <w:rFonts w:ascii="Bookman Old Style" w:hAnsi="Bookman Old Style"/>
        </w:rPr>
        <w:t>Electrificadora de Santander S.A. E.S.P.</w:t>
      </w:r>
      <w:r w:rsidR="00617137">
        <w:rPr>
          <w:rFonts w:ascii="Bookman Old Style" w:hAnsi="Bookman Old Style"/>
        </w:rPr>
        <w:t xml:space="preserve"> </w:t>
      </w:r>
      <w:r w:rsidR="00D41220">
        <w:rPr>
          <w:rFonts w:ascii="Bookman Old Style" w:hAnsi="Bookman Old Style"/>
        </w:rPr>
        <w:t>durante la actuación administrativa</w:t>
      </w:r>
      <w:r w:rsidR="00617137">
        <w:rPr>
          <w:rFonts w:ascii="Bookman Old Style" w:hAnsi="Bookman Old Style"/>
        </w:rPr>
        <w:t>,</w:t>
      </w:r>
      <w:r w:rsidR="00D41220">
        <w:rPr>
          <w:rFonts w:ascii="Bookman Old Style" w:hAnsi="Bookman Old Style"/>
        </w:rPr>
        <w:t xml:space="preserve"> </w:t>
      </w:r>
      <w:r w:rsidR="000E4093">
        <w:rPr>
          <w:rFonts w:ascii="Bookman Old Style" w:hAnsi="Bookman Old Style"/>
        </w:rPr>
        <w:t>se encuentra procedente la solicitud y se</w:t>
      </w:r>
      <w:r>
        <w:rPr>
          <w:rFonts w:ascii="Bookman Old Style" w:hAnsi="Bookman Old Style"/>
        </w:rPr>
        <w:t xml:space="preserve"> ajustó el inve</w:t>
      </w:r>
      <w:r w:rsidR="0093506B">
        <w:rPr>
          <w:rFonts w:ascii="Bookman Old Style" w:hAnsi="Bookman Old Style"/>
        </w:rPr>
        <w:t>ntario de activos de la empresa;</w:t>
      </w:r>
    </w:p>
    <w:p w:rsidR="00617137" w:rsidRDefault="00617137" w:rsidP="00E433F6">
      <w:pPr>
        <w:ind w:left="0"/>
        <w:jc w:val="both"/>
        <w:rPr>
          <w:rFonts w:ascii="Bookman Old Style" w:hAnsi="Bookman Old Style"/>
        </w:rPr>
      </w:pPr>
    </w:p>
    <w:p w:rsidR="00617137" w:rsidRDefault="00617137" w:rsidP="00E433F6">
      <w:pPr>
        <w:ind w:left="0"/>
        <w:jc w:val="both"/>
        <w:rPr>
          <w:rFonts w:ascii="Bookman Old Style" w:hAnsi="Bookman Old Style"/>
        </w:rPr>
      </w:pPr>
      <w:r>
        <w:rPr>
          <w:rFonts w:ascii="Bookman Old Style" w:hAnsi="Bookman Old Style"/>
        </w:rPr>
        <w:t>Que aplicada la metodología establecida en la Resolución CREG 097 de 2008 se calc</w:t>
      </w:r>
      <w:r w:rsidR="00E9263F">
        <w:rPr>
          <w:rFonts w:ascii="Bookman Old Style" w:hAnsi="Bookman Old Style"/>
        </w:rPr>
        <w:t>ularon las siguientes variables</w:t>
      </w:r>
      <w:r>
        <w:rPr>
          <w:rFonts w:ascii="Bookman Old Style" w:hAnsi="Bookman Old Style"/>
        </w:rPr>
        <w:t>:</w:t>
      </w:r>
    </w:p>
    <w:p w:rsidR="00617137" w:rsidRDefault="00617137" w:rsidP="00E433F6">
      <w:pPr>
        <w:ind w:left="0"/>
        <w:jc w:val="both"/>
        <w:rPr>
          <w:rFonts w:ascii="Bookman Old Style" w:hAnsi="Bookman Old Style"/>
        </w:rPr>
      </w:pPr>
    </w:p>
    <w:tbl>
      <w:tblPr>
        <w:tblW w:w="0" w:type="auto"/>
        <w:jc w:val="center"/>
        <w:tblInd w:w="326" w:type="dxa"/>
        <w:tblCellMar>
          <w:left w:w="70" w:type="dxa"/>
          <w:right w:w="70" w:type="dxa"/>
        </w:tblCellMar>
        <w:tblLook w:val="04A0" w:firstRow="1" w:lastRow="0" w:firstColumn="1" w:lastColumn="0" w:noHBand="0" w:noVBand="1"/>
      </w:tblPr>
      <w:tblGrid>
        <w:gridCol w:w="1892"/>
        <w:gridCol w:w="2374"/>
        <w:gridCol w:w="1573"/>
        <w:gridCol w:w="2452"/>
      </w:tblGrid>
      <w:tr w:rsidR="0040576F" w:rsidRPr="008C7515" w:rsidTr="0029656D">
        <w:trPr>
          <w:trHeight w:val="470"/>
          <w:jc w:val="center"/>
        </w:trPr>
        <w:tc>
          <w:tcPr>
            <w:tcW w:w="1892" w:type="dxa"/>
            <w:tcBorders>
              <w:top w:val="single" w:sz="8" w:space="0" w:color="auto"/>
              <w:left w:val="single" w:sz="8" w:space="0" w:color="auto"/>
              <w:bottom w:val="single" w:sz="8" w:space="0" w:color="auto"/>
              <w:right w:val="nil"/>
            </w:tcBorders>
            <w:shd w:val="clear" w:color="auto" w:fill="FFFFFF" w:themeFill="background1"/>
            <w:vAlign w:val="center"/>
            <w:hideMark/>
          </w:tcPr>
          <w:p w:rsidR="00E9263F" w:rsidRPr="008C7515" w:rsidRDefault="007D77E9" w:rsidP="00E9263F">
            <w:pPr>
              <w:ind w:left="0"/>
              <w:jc w:val="center"/>
              <w:rPr>
                <w:rFonts w:ascii="Bookman Old Style" w:hAnsi="Bookman Old Style"/>
                <w:b/>
                <w:bCs/>
                <w:color w:val="000000"/>
                <w:sz w:val="20"/>
                <w:szCs w:val="20"/>
              </w:rPr>
            </w:pPr>
            <w:r w:rsidRPr="008C7515">
              <w:rPr>
                <w:rFonts w:ascii="Bookman Old Style" w:hAnsi="Bookman Old Style"/>
                <w:b/>
                <w:bCs/>
                <w:color w:val="000000"/>
                <w:sz w:val="20"/>
                <w:szCs w:val="20"/>
              </w:rPr>
              <w:t>Cotos anuales</w:t>
            </w:r>
          </w:p>
          <w:p w:rsidR="001A38F3" w:rsidRPr="008C7515" w:rsidRDefault="001A38F3" w:rsidP="001A38F3">
            <w:pPr>
              <w:ind w:left="0"/>
              <w:jc w:val="center"/>
              <w:rPr>
                <w:rFonts w:ascii="Bookman Old Style" w:hAnsi="Bookman Old Style"/>
                <w:b/>
                <w:bCs/>
                <w:color w:val="000000"/>
                <w:sz w:val="20"/>
                <w:szCs w:val="20"/>
              </w:rPr>
            </w:pPr>
            <w:r w:rsidRPr="0029656D">
              <w:rPr>
                <w:rFonts w:ascii="Bookman Old Style" w:hAnsi="Bookman Old Style"/>
                <w:b/>
                <w:bCs/>
                <w:color w:val="000000"/>
                <w:sz w:val="18"/>
                <w:szCs w:val="20"/>
              </w:rPr>
              <w:t>[Pesos dic 2007]</w:t>
            </w:r>
          </w:p>
        </w:tc>
        <w:tc>
          <w:tcPr>
            <w:tcW w:w="237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NCAAE</w:t>
            </w:r>
            <w:r w:rsidRPr="008C7515">
              <w:rPr>
                <w:rFonts w:ascii="Bookman Old Style" w:hAnsi="Bookman Old Style"/>
                <w:b/>
                <w:bCs/>
                <w:color w:val="000000"/>
                <w:sz w:val="20"/>
                <w:szCs w:val="20"/>
                <w:vertAlign w:val="subscript"/>
              </w:rPr>
              <w:t>j,n</w:t>
            </w:r>
            <w:proofErr w:type="spellEnd"/>
          </w:p>
        </w:tc>
        <w:tc>
          <w:tcPr>
            <w:tcW w:w="0" w:type="auto"/>
            <w:tcBorders>
              <w:top w:val="single" w:sz="8" w:space="0" w:color="auto"/>
              <w:left w:val="nil"/>
              <w:bottom w:val="single" w:sz="8" w:space="0" w:color="auto"/>
              <w:right w:val="single" w:sz="8" w:space="0" w:color="auto"/>
            </w:tcBorders>
            <w:shd w:val="clear" w:color="auto" w:fill="FFFFFF" w:themeFill="background1"/>
            <w:noWrap/>
            <w:vAlign w:val="center"/>
            <w:hideMark/>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CAANE</w:t>
            </w:r>
            <w:r w:rsidRPr="008C7515">
              <w:rPr>
                <w:rFonts w:ascii="Bookman Old Style" w:hAnsi="Bookman Old Style"/>
                <w:b/>
                <w:bCs/>
                <w:color w:val="000000"/>
                <w:sz w:val="20"/>
                <w:szCs w:val="20"/>
                <w:vertAlign w:val="subscript"/>
              </w:rPr>
              <w:t>j,n</w:t>
            </w:r>
            <w:proofErr w:type="spellEnd"/>
          </w:p>
        </w:tc>
        <w:tc>
          <w:tcPr>
            <w:tcW w:w="2452"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E9263F" w:rsidRPr="008C7515" w:rsidRDefault="00E9263F" w:rsidP="00E9263F">
            <w:pPr>
              <w:ind w:left="0"/>
              <w:jc w:val="center"/>
              <w:rPr>
                <w:rFonts w:ascii="Bookman Old Style" w:hAnsi="Bookman Old Style"/>
                <w:b/>
                <w:bCs/>
                <w:color w:val="000000"/>
                <w:sz w:val="20"/>
                <w:szCs w:val="20"/>
              </w:rPr>
            </w:pPr>
            <w:proofErr w:type="spellStart"/>
            <w:r w:rsidRPr="008C7515">
              <w:rPr>
                <w:rFonts w:ascii="Bookman Old Style" w:hAnsi="Bookman Old Style"/>
                <w:b/>
                <w:bCs/>
                <w:color w:val="000000"/>
                <w:sz w:val="20"/>
                <w:szCs w:val="20"/>
              </w:rPr>
              <w:t>AOM</w:t>
            </w:r>
            <w:r w:rsidRPr="008C7515">
              <w:rPr>
                <w:rFonts w:ascii="Bookman Old Style" w:hAnsi="Bookman Old Style"/>
                <w:b/>
                <w:bCs/>
                <w:color w:val="000000"/>
                <w:sz w:val="20"/>
                <w:szCs w:val="20"/>
                <w:vertAlign w:val="subscript"/>
              </w:rPr>
              <w:t>j,n</w:t>
            </w:r>
            <w:proofErr w:type="spellEnd"/>
          </w:p>
        </w:tc>
      </w:tr>
      <w:tr w:rsidR="0040576F" w:rsidRPr="00434776" w:rsidTr="0029656D">
        <w:trPr>
          <w:trHeight w:val="470"/>
          <w:jc w:val="center"/>
        </w:trPr>
        <w:tc>
          <w:tcPr>
            <w:tcW w:w="1892" w:type="dxa"/>
            <w:tcBorders>
              <w:top w:val="nil"/>
              <w:left w:val="single" w:sz="8" w:space="0" w:color="auto"/>
              <w:bottom w:val="single" w:sz="4" w:space="0" w:color="auto"/>
              <w:right w:val="nil"/>
            </w:tcBorders>
            <w:shd w:val="clear" w:color="000000" w:fill="FFFFFF"/>
            <w:noWrap/>
            <w:vAlign w:val="center"/>
            <w:hideMark/>
          </w:tcPr>
          <w:p w:rsidR="00E9263F" w:rsidRPr="008C7515" w:rsidRDefault="007D77E9" w:rsidP="007D77E9">
            <w:pPr>
              <w:ind w:left="0"/>
              <w:jc w:val="center"/>
              <w:rPr>
                <w:rFonts w:ascii="Bookman Old Style" w:hAnsi="Bookman Old Style"/>
                <w:bCs/>
                <w:color w:val="000000"/>
                <w:sz w:val="20"/>
                <w:szCs w:val="20"/>
              </w:rPr>
            </w:pPr>
            <w:r w:rsidRPr="008C7515">
              <w:rPr>
                <w:rFonts w:ascii="Bookman Old Style" w:hAnsi="Bookman Old Style"/>
                <w:bCs/>
                <w:color w:val="000000"/>
                <w:sz w:val="20"/>
                <w:szCs w:val="20"/>
              </w:rPr>
              <w:t xml:space="preserve">Nivel de Tensión </w:t>
            </w:r>
            <w:r w:rsidR="00E9263F" w:rsidRPr="008C7515">
              <w:rPr>
                <w:rFonts w:ascii="Bookman Old Style" w:hAnsi="Bookman Old Style"/>
                <w:bCs/>
                <w:color w:val="000000"/>
                <w:sz w:val="20"/>
                <w:szCs w:val="20"/>
              </w:rPr>
              <w:t>4</w:t>
            </w:r>
          </w:p>
        </w:tc>
        <w:tc>
          <w:tcPr>
            <w:tcW w:w="2374" w:type="dxa"/>
            <w:tcBorders>
              <w:top w:val="nil"/>
              <w:left w:val="single" w:sz="8" w:space="0" w:color="auto"/>
              <w:bottom w:val="single" w:sz="4" w:space="0" w:color="auto"/>
              <w:right w:val="single" w:sz="8" w:space="0" w:color="auto"/>
            </w:tcBorders>
            <w:vAlign w:val="center"/>
          </w:tcPr>
          <w:p w:rsidR="00E9263F" w:rsidRPr="0040576F" w:rsidRDefault="00EB3FD4" w:rsidP="00EB3FD4">
            <w:pPr>
              <w:ind w:left="0"/>
              <w:jc w:val="center"/>
              <w:rPr>
                <w:rFonts w:ascii="Bookman Old Style" w:hAnsi="Bookman Old Style"/>
                <w:color w:val="000000"/>
                <w:sz w:val="20"/>
                <w:szCs w:val="20"/>
              </w:rPr>
            </w:pPr>
            <w:r w:rsidRPr="0029656D">
              <w:rPr>
                <w:rFonts w:ascii="Bookman Old Style" w:hAnsi="Bookman Old Style"/>
                <w:color w:val="000000"/>
                <w:sz w:val="20"/>
                <w:szCs w:val="20"/>
              </w:rPr>
              <w:t>2,799,380,582</w:t>
            </w:r>
          </w:p>
        </w:tc>
        <w:tc>
          <w:tcPr>
            <w:tcW w:w="0" w:type="auto"/>
            <w:tcBorders>
              <w:top w:val="nil"/>
              <w:left w:val="nil"/>
              <w:bottom w:val="single" w:sz="4" w:space="0" w:color="auto"/>
              <w:right w:val="single" w:sz="8" w:space="0" w:color="auto"/>
            </w:tcBorders>
            <w:shd w:val="clear" w:color="auto" w:fill="auto"/>
            <w:noWrap/>
            <w:vAlign w:val="center"/>
          </w:tcPr>
          <w:p w:rsidR="00E9263F" w:rsidRPr="0040576F" w:rsidRDefault="004549FD" w:rsidP="004549FD">
            <w:pPr>
              <w:ind w:left="0"/>
              <w:jc w:val="center"/>
              <w:rPr>
                <w:rFonts w:ascii="Bookman Old Style" w:hAnsi="Bookman Old Style"/>
                <w:color w:val="000000"/>
                <w:sz w:val="20"/>
                <w:szCs w:val="20"/>
              </w:rPr>
            </w:pPr>
            <w:r w:rsidRPr="0029656D">
              <w:rPr>
                <w:rFonts w:ascii="Bookman Old Style" w:hAnsi="Bookman Old Style"/>
                <w:color w:val="000000"/>
                <w:sz w:val="20"/>
                <w:szCs w:val="20"/>
              </w:rPr>
              <w:t>1,029,424,811</w:t>
            </w:r>
          </w:p>
        </w:tc>
        <w:tc>
          <w:tcPr>
            <w:tcW w:w="2452" w:type="dxa"/>
            <w:tcBorders>
              <w:top w:val="nil"/>
              <w:left w:val="nil"/>
              <w:bottom w:val="single" w:sz="4" w:space="0" w:color="auto"/>
              <w:right w:val="single" w:sz="8" w:space="0" w:color="auto"/>
            </w:tcBorders>
            <w:shd w:val="clear" w:color="auto" w:fill="auto"/>
            <w:noWrap/>
            <w:vAlign w:val="center"/>
          </w:tcPr>
          <w:p w:rsidR="00E9263F" w:rsidRPr="0040576F" w:rsidRDefault="008C7515" w:rsidP="004549FD">
            <w:pPr>
              <w:ind w:left="0"/>
              <w:jc w:val="center"/>
              <w:rPr>
                <w:rFonts w:ascii="Bookman Old Style" w:hAnsi="Bookman Old Style"/>
                <w:color w:val="000000"/>
                <w:sz w:val="20"/>
                <w:szCs w:val="20"/>
              </w:rPr>
            </w:pPr>
            <w:r w:rsidRPr="0040576F">
              <w:rPr>
                <w:rFonts w:ascii="Bookman Old Style" w:hAnsi="Bookman Old Style"/>
                <w:color w:val="000000"/>
                <w:sz w:val="20"/>
                <w:szCs w:val="20"/>
              </w:rPr>
              <w:t>5,</w:t>
            </w:r>
            <w:r w:rsidR="004549FD" w:rsidRPr="0029656D">
              <w:rPr>
                <w:rFonts w:ascii="Bookman Old Style" w:hAnsi="Bookman Old Style"/>
                <w:color w:val="000000"/>
                <w:sz w:val="20"/>
                <w:szCs w:val="20"/>
              </w:rPr>
              <w:t>610,737,410</w:t>
            </w:r>
          </w:p>
        </w:tc>
      </w:tr>
    </w:tbl>
    <w:p w:rsidR="00E9263F" w:rsidRDefault="00E9263F"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302D16">
        <w:rPr>
          <w:rFonts w:ascii="Bookman Old Style" w:hAnsi="Bookman Old Style"/>
        </w:rPr>
        <w:t>600</w:t>
      </w:r>
      <w:r w:rsidR="00FC4E3D">
        <w:rPr>
          <w:rFonts w:ascii="Bookman Old Style" w:hAnsi="Bookman Old Style"/>
        </w:rPr>
        <w:t xml:space="preserve"> </w:t>
      </w:r>
      <w:r w:rsidRPr="000058F4">
        <w:rPr>
          <w:rFonts w:ascii="Bookman Old Style" w:hAnsi="Bookman Old Style"/>
        </w:rPr>
        <w:t xml:space="preserve">del </w:t>
      </w:r>
      <w:r w:rsidR="00302D16">
        <w:rPr>
          <w:rFonts w:ascii="Bookman Old Style" w:hAnsi="Bookman Old Style"/>
        </w:rPr>
        <w:t>10</w:t>
      </w:r>
      <w:r w:rsidRPr="000058F4">
        <w:rPr>
          <w:rFonts w:ascii="Bookman Old Style" w:hAnsi="Bookman Old Style"/>
        </w:rPr>
        <w:t xml:space="preserve"> de </w:t>
      </w:r>
      <w:r w:rsidR="00302D16">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1211DC">
        <w:rPr>
          <w:rFonts w:ascii="Bookman Old Style" w:hAnsi="Bookman Old Style"/>
        </w:rPr>
        <w:t>4</w:t>
      </w:r>
      <w:r w:rsidRPr="000058F4">
        <w:rPr>
          <w:rFonts w:ascii="Bookman Old Style" w:hAnsi="Bookman Old Style"/>
        </w:rPr>
        <w:t xml:space="preserve">, aprobó </w:t>
      </w:r>
      <w:r w:rsidR="009C3BBD">
        <w:rPr>
          <w:rFonts w:ascii="Bookman Old Style" w:hAnsi="Bookman Old Style"/>
        </w:rPr>
        <w:t>modificar el Costo Anual por el Uso de los Activos de Nivel de Tensión 4</w:t>
      </w:r>
      <w:r w:rsidR="009C3BBD">
        <w:rPr>
          <w:rFonts w:ascii="Bookman Old Style" w:hAnsi="Bookman Old Style" w:cs="Arial"/>
        </w:rPr>
        <w:t xml:space="preserve"> de la </w:t>
      </w:r>
      <w:r w:rsidR="007A462D" w:rsidRPr="007A462D">
        <w:rPr>
          <w:rFonts w:ascii="Bookman Old Style" w:hAnsi="Bookman Old Style" w:cs="Arial"/>
        </w:rPr>
        <w:t>Electrificadora de Santander S.A. E.S.P.</w:t>
      </w:r>
      <w:r w:rsidR="009C3BBD">
        <w:rPr>
          <w:rFonts w:ascii="Bookman Old Style" w:hAnsi="Bookman Old Style" w:cs="Arial"/>
        </w:rPr>
        <w:t>, por la entrada en operación comercial de</w:t>
      </w:r>
      <w:r w:rsidR="007A462D">
        <w:rPr>
          <w:rFonts w:ascii="Bookman Old Style" w:hAnsi="Bookman Old Style" w:cs="Arial"/>
        </w:rPr>
        <w:t xml:space="preserve"> la subestación </w:t>
      </w:r>
      <w:r w:rsidR="001211DC">
        <w:rPr>
          <w:rFonts w:ascii="Bookman Old Style" w:hAnsi="Bookman Old Style" w:cs="Arial"/>
        </w:rPr>
        <w:t xml:space="preserve">Puerto </w:t>
      </w:r>
      <w:proofErr w:type="spellStart"/>
      <w:r w:rsidR="001211DC">
        <w:rPr>
          <w:rFonts w:ascii="Bookman Old Style" w:hAnsi="Bookman Old Style" w:cs="Arial"/>
        </w:rPr>
        <w:t>Wilches</w:t>
      </w:r>
      <w:proofErr w:type="spellEnd"/>
      <w:r w:rsidR="001211DC">
        <w:rPr>
          <w:rFonts w:ascii="Bookman Old Style" w:hAnsi="Bookman Old Style" w:cs="Arial"/>
        </w:rPr>
        <w:t xml:space="preserve"> </w:t>
      </w:r>
      <w:r w:rsidR="007A462D">
        <w:rPr>
          <w:rFonts w:ascii="Bookman Old Style" w:hAnsi="Bookman Old Style" w:cs="Arial"/>
        </w:rPr>
        <w:t xml:space="preserve">115 </w:t>
      </w:r>
      <w:proofErr w:type="spellStart"/>
      <w:r w:rsidR="007A462D">
        <w:rPr>
          <w:rFonts w:ascii="Bookman Old Style" w:hAnsi="Bookman Old Style" w:cs="Arial"/>
        </w:rPr>
        <w:t>kV</w:t>
      </w:r>
      <w:proofErr w:type="spellEnd"/>
      <w:r w:rsidR="001211DC">
        <w:rPr>
          <w:rFonts w:ascii="Bookman Old Style" w:hAnsi="Bookman Old Style" w:cs="Arial"/>
        </w:rPr>
        <w:t xml:space="preserve"> </w:t>
      </w:r>
      <w:r w:rsidR="001211DC" w:rsidRPr="001211DC">
        <w:rPr>
          <w:rFonts w:ascii="Bookman Old Style" w:hAnsi="Bookman Old Style" w:cs="Arial"/>
        </w:rPr>
        <w:t xml:space="preserve">y la línea Puerto </w:t>
      </w:r>
      <w:proofErr w:type="spellStart"/>
      <w:r w:rsidR="001211DC" w:rsidRPr="001211DC">
        <w:rPr>
          <w:rFonts w:ascii="Bookman Old Style" w:hAnsi="Bookman Old Style" w:cs="Arial"/>
        </w:rPr>
        <w:t>Wilches</w:t>
      </w:r>
      <w:proofErr w:type="spellEnd"/>
      <w:r w:rsidR="001211DC" w:rsidRPr="001211DC">
        <w:rPr>
          <w:rFonts w:ascii="Bookman Old Style" w:hAnsi="Bookman Old Style" w:cs="Arial"/>
        </w:rPr>
        <w:t xml:space="preserve"> – Barranca 115 </w:t>
      </w:r>
      <w:proofErr w:type="spellStart"/>
      <w:r w:rsidR="001211DC" w:rsidRPr="001211DC">
        <w:rPr>
          <w:rFonts w:ascii="Bookman Old Style" w:hAnsi="Bookman Old Style" w:cs="Arial"/>
        </w:rPr>
        <w:t>kV</w:t>
      </w:r>
      <w:proofErr w:type="spellEnd"/>
      <w:r w:rsidR="001211DC" w:rsidRPr="001211DC">
        <w:rPr>
          <w:rFonts w:ascii="Bookman Old Style" w:hAnsi="Bookman Old Style" w:cs="Arial"/>
        </w:rPr>
        <w:t xml:space="preserve"> con sus bahías asociadas</w:t>
      </w:r>
      <w:r w:rsidR="0029656D">
        <w:rPr>
          <w:rFonts w:ascii="Bookman Old Style" w:hAnsi="Bookman Old Style"/>
        </w:rPr>
        <w:t>.</w:t>
      </w:r>
    </w:p>
    <w:p w:rsidR="00E433F6" w:rsidRPr="000058F4" w:rsidRDefault="00E433F6" w:rsidP="00E433F6">
      <w:pPr>
        <w:ind w:left="0"/>
        <w:jc w:val="both"/>
        <w:rPr>
          <w:rFonts w:ascii="Bookman Old Style" w:hAnsi="Bookman Old Style"/>
        </w:rPr>
      </w:pPr>
    </w:p>
    <w:p w:rsidR="00FB4485" w:rsidRDefault="00FB4485" w:rsidP="00E433F6">
      <w:pPr>
        <w:suppressAutoHyphens/>
        <w:jc w:val="center"/>
        <w:rPr>
          <w:rFonts w:ascii="Bookman Old Style" w:hAnsi="Bookman Old Style" w:cs="Arial"/>
          <w:b/>
          <w:spacing w:val="-3"/>
          <w:sz w:val="26"/>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6B71CD" w:rsidRDefault="009C3BBD" w:rsidP="006B71CD">
      <w:pPr>
        <w:widowControl w:val="0"/>
        <w:numPr>
          <w:ilvl w:val="0"/>
          <w:numId w:val="16"/>
        </w:numPr>
        <w:adjustRightInd w:val="0"/>
        <w:jc w:val="both"/>
        <w:textAlignment w:val="baseline"/>
        <w:rPr>
          <w:rFonts w:ascii="Bookman Old Style" w:hAnsi="Bookman Old Style"/>
        </w:rPr>
      </w:pPr>
      <w:r w:rsidRPr="006B71CD">
        <w:rPr>
          <w:rFonts w:ascii="Bookman Old Style" w:hAnsi="Bookman Old Style"/>
        </w:rPr>
        <w:t xml:space="preserve">El </w:t>
      </w:r>
      <w:r w:rsidR="006B71CD">
        <w:rPr>
          <w:rFonts w:ascii="Bookman Old Style" w:hAnsi="Bookman Old Style"/>
        </w:rPr>
        <w:t>A</w:t>
      </w:r>
      <w:r w:rsidRPr="006B71CD">
        <w:rPr>
          <w:rFonts w:ascii="Bookman Old Style" w:hAnsi="Bookman Old Style"/>
        </w:rPr>
        <w:t>rtículo</w:t>
      </w:r>
      <w:r w:rsidR="006B71CD">
        <w:rPr>
          <w:rFonts w:ascii="Bookman Old Style" w:hAnsi="Bookman Old Style"/>
        </w:rPr>
        <w:t xml:space="preserve"> </w:t>
      </w:r>
      <w:r w:rsidRPr="006B71CD">
        <w:rPr>
          <w:rFonts w:ascii="Bookman Old Style" w:hAnsi="Bookman Old Style"/>
        </w:rPr>
        <w:t xml:space="preserve">1 </w:t>
      </w:r>
      <w:r w:rsidR="002316E8">
        <w:rPr>
          <w:rFonts w:ascii="Bookman Old Style" w:hAnsi="Bookman Old Style"/>
        </w:rPr>
        <w:t>de la R</w:t>
      </w:r>
      <w:r w:rsidR="0001033D">
        <w:rPr>
          <w:rFonts w:ascii="Bookman Old Style" w:hAnsi="Bookman Old Style"/>
        </w:rPr>
        <w:t>esolución CREG 121</w:t>
      </w:r>
      <w:r w:rsidRPr="006B71CD">
        <w:rPr>
          <w:rFonts w:ascii="Bookman Old Style" w:hAnsi="Bookman Old Style"/>
        </w:rPr>
        <w:t xml:space="preserve"> de 2009, modificado por la</w:t>
      </w:r>
      <w:r w:rsidR="001211DC">
        <w:rPr>
          <w:rFonts w:ascii="Bookman Old Style" w:hAnsi="Bookman Old Style"/>
        </w:rPr>
        <w:t>s</w:t>
      </w:r>
      <w:r w:rsidR="00417564">
        <w:rPr>
          <w:rFonts w:ascii="Bookman Old Style" w:hAnsi="Bookman Old Style"/>
        </w:rPr>
        <w:t xml:space="preserve"> resoluci</w:t>
      </w:r>
      <w:r w:rsidR="001211DC">
        <w:rPr>
          <w:rFonts w:ascii="Bookman Old Style" w:hAnsi="Bookman Old Style"/>
        </w:rPr>
        <w:t>o</w:t>
      </w:r>
      <w:r w:rsidRPr="006B71CD">
        <w:rPr>
          <w:rFonts w:ascii="Bookman Old Style" w:hAnsi="Bookman Old Style"/>
        </w:rPr>
        <w:t>n</w:t>
      </w:r>
      <w:r w:rsidR="001211DC">
        <w:rPr>
          <w:rFonts w:ascii="Bookman Old Style" w:hAnsi="Bookman Old Style"/>
        </w:rPr>
        <w:t>es</w:t>
      </w:r>
      <w:r w:rsidRPr="006B71CD">
        <w:rPr>
          <w:rFonts w:ascii="Bookman Old Style" w:hAnsi="Bookman Old Style"/>
        </w:rPr>
        <w:t xml:space="preserve"> CREG </w:t>
      </w:r>
      <w:r w:rsidR="00F75DE2">
        <w:rPr>
          <w:rFonts w:ascii="Bookman Old Style" w:hAnsi="Bookman Old Style"/>
        </w:rPr>
        <w:t>172</w:t>
      </w:r>
      <w:r w:rsidRPr="006B71CD">
        <w:rPr>
          <w:rFonts w:ascii="Bookman Old Style" w:hAnsi="Bookman Old Style"/>
        </w:rPr>
        <w:t xml:space="preserve"> de 20</w:t>
      </w:r>
      <w:r w:rsidR="00F75DE2">
        <w:rPr>
          <w:rFonts w:ascii="Bookman Old Style" w:hAnsi="Bookman Old Style"/>
        </w:rPr>
        <w:t>09</w:t>
      </w:r>
      <w:r w:rsidR="001211DC">
        <w:rPr>
          <w:rFonts w:ascii="Bookman Old Style" w:hAnsi="Bookman Old Style"/>
        </w:rPr>
        <w:t xml:space="preserve"> y 082 de 2012</w:t>
      </w:r>
      <w:r w:rsidRPr="006B71CD">
        <w:rPr>
          <w:rFonts w:ascii="Bookman Old Style" w:hAnsi="Bookman Old Style"/>
        </w:rPr>
        <w:t>, queda así:</w:t>
      </w:r>
    </w:p>
    <w:p w:rsidR="00A90A01" w:rsidRDefault="00A90A01" w:rsidP="00A90A01">
      <w:pPr>
        <w:widowControl w:val="0"/>
        <w:adjustRightInd w:val="0"/>
        <w:ind w:left="1361"/>
        <w:jc w:val="both"/>
        <w:textAlignment w:val="baseline"/>
        <w:rPr>
          <w:rFonts w:ascii="Bookman Old Style" w:hAnsi="Bookman Old Style"/>
        </w:rPr>
      </w:pPr>
    </w:p>
    <w:p w:rsidR="00417564" w:rsidRPr="00642CB0" w:rsidRDefault="006B71CD" w:rsidP="00417564">
      <w:pPr>
        <w:ind w:left="708"/>
        <w:jc w:val="both"/>
        <w:rPr>
          <w:rFonts w:ascii="Bookman Old Style" w:hAnsi="Bookman Old Style"/>
          <w:i/>
        </w:rPr>
      </w:pPr>
      <w:r w:rsidRPr="006B71CD">
        <w:rPr>
          <w:rFonts w:ascii="Bookman Old Style" w:hAnsi="Bookman Old Style"/>
          <w:lang w:val="es-CO"/>
        </w:rPr>
        <w:t>“</w:t>
      </w:r>
      <w:r w:rsidR="00417564" w:rsidRPr="00642CB0">
        <w:rPr>
          <w:rFonts w:ascii="Bookman Old Style" w:hAnsi="Bookman Old Style"/>
          <w:b/>
          <w:i/>
          <w:spacing w:val="-3"/>
        </w:rPr>
        <w:t xml:space="preserve">Artículo 1. </w:t>
      </w:r>
      <w:r w:rsidR="00417564" w:rsidRPr="00642CB0">
        <w:rPr>
          <w:rFonts w:ascii="Bookman Old Style" w:hAnsi="Bookman Old Style"/>
          <w:b/>
          <w:i/>
        </w:rPr>
        <w:t>Costo Anual por el uso de los activos del Nivel de Tensión 4.</w:t>
      </w:r>
      <w:r w:rsidR="00417564" w:rsidRPr="00642CB0">
        <w:rPr>
          <w:rFonts w:ascii="Bookman Old Style" w:hAnsi="Bookman Old Style"/>
          <w:i/>
        </w:rPr>
        <w:t xml:space="preserve"> El Costo Anual por el Uso de los Activos del Nivel de Tensión 4 operados por la Electrificadora de Santander S.A. E.S.P., calculado en la forma establecida en la Resolución CREG 097 de 2008, es el siguiente:</w:t>
      </w:r>
    </w:p>
    <w:p w:rsidR="00417564" w:rsidRPr="00642CB0" w:rsidRDefault="00417564" w:rsidP="00417564">
      <w:pPr>
        <w:ind w:left="708"/>
        <w:rPr>
          <w:rFonts w:ascii="Bookman Old Style" w:hAnsi="Bookman Old Style"/>
          <w:i/>
        </w:rPr>
      </w:pPr>
    </w:p>
    <w:p w:rsidR="00817F7A" w:rsidRPr="00417564" w:rsidRDefault="00080BDA" w:rsidP="00417564">
      <w:pPr>
        <w:jc w:val="center"/>
        <w:rPr>
          <w:rFonts w:ascii="Bookman Old Style" w:hAnsi="Bookman Old Style"/>
          <w:lang w:val="es-CO"/>
        </w:rPr>
      </w:pPr>
      <w:r w:rsidRPr="00080BDA">
        <w:rPr>
          <w:noProof/>
          <w:lang w:val="es-CO" w:eastAsia="es-CO"/>
        </w:rPr>
        <w:lastRenderedPageBreak/>
        <w:drawing>
          <wp:inline distT="0" distB="0" distL="0" distR="0" wp14:anchorId="1E846A65" wp14:editId="58F2740A">
            <wp:extent cx="4357370" cy="602615"/>
            <wp:effectExtent l="0" t="0" r="508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7370" cy="602615"/>
                    </a:xfrm>
                    <a:prstGeom prst="rect">
                      <a:avLst/>
                    </a:prstGeom>
                    <a:noFill/>
                    <a:ln>
                      <a:noFill/>
                    </a:ln>
                  </pic:spPr>
                </pic:pic>
              </a:graphicData>
            </a:graphic>
          </wp:inline>
        </w:drawing>
      </w:r>
      <w:r w:rsidR="00817F7A" w:rsidRPr="00417564">
        <w:rPr>
          <w:rFonts w:ascii="Bookman Old Style" w:hAnsi="Bookman Old Style"/>
          <w:lang w:val="es-CO"/>
        </w:rPr>
        <w:t>”</w:t>
      </w:r>
    </w:p>
    <w:p w:rsidR="006B71CD" w:rsidRPr="00417564" w:rsidRDefault="006B71CD" w:rsidP="006B71CD">
      <w:pPr>
        <w:widowControl w:val="0"/>
        <w:adjustRightInd w:val="0"/>
        <w:ind w:left="1361"/>
        <w:jc w:val="both"/>
        <w:textAlignment w:val="baseline"/>
        <w:rPr>
          <w:rFonts w:ascii="Bookman Old Style" w:hAnsi="Bookman Old Style"/>
          <w:lang w:val="es-CO"/>
        </w:rPr>
      </w:pPr>
    </w:p>
    <w:p w:rsidR="006B71CD" w:rsidRPr="00417564" w:rsidRDefault="002316E8" w:rsidP="006B71CD">
      <w:pPr>
        <w:widowControl w:val="0"/>
        <w:numPr>
          <w:ilvl w:val="0"/>
          <w:numId w:val="16"/>
        </w:numPr>
        <w:adjustRightInd w:val="0"/>
        <w:jc w:val="both"/>
        <w:textAlignment w:val="baseline"/>
        <w:rPr>
          <w:rFonts w:ascii="Bookman Old Style" w:hAnsi="Bookman Old Style"/>
        </w:rPr>
      </w:pPr>
      <w:r w:rsidRPr="00417564">
        <w:rPr>
          <w:rFonts w:ascii="Bookman Old Style" w:hAnsi="Bookman Old Style"/>
        </w:rPr>
        <w:t>El Artículo 5 de la Resolución CREG 12</w:t>
      </w:r>
      <w:r w:rsidR="00417564" w:rsidRPr="00417564">
        <w:rPr>
          <w:rFonts w:ascii="Bookman Old Style" w:hAnsi="Bookman Old Style"/>
        </w:rPr>
        <w:t>1</w:t>
      </w:r>
      <w:r w:rsidRPr="00417564">
        <w:rPr>
          <w:rFonts w:ascii="Bookman Old Style" w:hAnsi="Bookman Old Style"/>
        </w:rPr>
        <w:t xml:space="preserve"> de 2009,</w:t>
      </w:r>
      <w:r w:rsidR="00DC255D" w:rsidRPr="00417564">
        <w:rPr>
          <w:rFonts w:ascii="Bookman Old Style" w:hAnsi="Bookman Old Style"/>
        </w:rPr>
        <w:t xml:space="preserve"> modificado por la</w:t>
      </w:r>
      <w:r w:rsidR="001211DC">
        <w:rPr>
          <w:rFonts w:ascii="Bookman Old Style" w:hAnsi="Bookman Old Style"/>
        </w:rPr>
        <w:t>s</w:t>
      </w:r>
      <w:r w:rsidR="00DC255D" w:rsidRPr="00417564">
        <w:rPr>
          <w:rFonts w:ascii="Bookman Old Style" w:hAnsi="Bookman Old Style"/>
        </w:rPr>
        <w:t xml:space="preserve"> </w:t>
      </w:r>
      <w:r w:rsidR="001211DC">
        <w:rPr>
          <w:rFonts w:ascii="Bookman Old Style" w:hAnsi="Bookman Old Style"/>
        </w:rPr>
        <w:t>r</w:t>
      </w:r>
      <w:r w:rsidR="00DC255D" w:rsidRPr="00417564">
        <w:rPr>
          <w:rFonts w:ascii="Bookman Old Style" w:hAnsi="Bookman Old Style"/>
        </w:rPr>
        <w:t>esoluci</w:t>
      </w:r>
      <w:r w:rsidR="00C27DAC">
        <w:rPr>
          <w:rFonts w:ascii="Bookman Old Style" w:hAnsi="Bookman Old Style"/>
        </w:rPr>
        <w:t>o</w:t>
      </w:r>
      <w:r w:rsidR="00DC255D" w:rsidRPr="00417564">
        <w:rPr>
          <w:rFonts w:ascii="Bookman Old Style" w:hAnsi="Bookman Old Style"/>
        </w:rPr>
        <w:t>n</w:t>
      </w:r>
      <w:r w:rsidR="00C27DAC">
        <w:rPr>
          <w:rFonts w:ascii="Bookman Old Style" w:hAnsi="Bookman Old Style"/>
        </w:rPr>
        <w:t>es</w:t>
      </w:r>
      <w:r w:rsidR="00DC255D" w:rsidRPr="00417564">
        <w:rPr>
          <w:rFonts w:ascii="Bookman Old Style" w:hAnsi="Bookman Old Style"/>
        </w:rPr>
        <w:t xml:space="preserve"> CREG </w:t>
      </w:r>
      <w:r w:rsidR="00417564" w:rsidRPr="00417564">
        <w:rPr>
          <w:rFonts w:ascii="Bookman Old Style" w:hAnsi="Bookman Old Style"/>
        </w:rPr>
        <w:t>172</w:t>
      </w:r>
      <w:r w:rsidR="00DC255D" w:rsidRPr="00417564">
        <w:rPr>
          <w:rFonts w:ascii="Bookman Old Style" w:hAnsi="Bookman Old Style"/>
        </w:rPr>
        <w:t xml:space="preserve"> de 20</w:t>
      </w:r>
      <w:r w:rsidR="00417564" w:rsidRPr="00417564">
        <w:rPr>
          <w:rFonts w:ascii="Bookman Old Style" w:hAnsi="Bookman Old Style"/>
        </w:rPr>
        <w:t>09</w:t>
      </w:r>
      <w:r w:rsidR="001211DC">
        <w:rPr>
          <w:rFonts w:ascii="Bookman Old Style" w:hAnsi="Bookman Old Style"/>
        </w:rPr>
        <w:t xml:space="preserve"> y 082 de 2012</w:t>
      </w:r>
      <w:r w:rsidR="00DC255D" w:rsidRPr="00417564">
        <w:rPr>
          <w:rFonts w:ascii="Bookman Old Style" w:hAnsi="Bookman Old Style"/>
        </w:rPr>
        <w:t>,</w:t>
      </w:r>
      <w:r w:rsidRPr="00417564">
        <w:rPr>
          <w:rFonts w:ascii="Bookman Old Style" w:hAnsi="Bookman Old Style"/>
        </w:rPr>
        <w:t xml:space="preserve"> queda así:</w:t>
      </w:r>
    </w:p>
    <w:p w:rsidR="006B71CD" w:rsidRPr="00417564" w:rsidRDefault="006B71CD" w:rsidP="006B71CD">
      <w:pPr>
        <w:widowControl w:val="0"/>
        <w:adjustRightInd w:val="0"/>
        <w:ind w:left="1361"/>
        <w:jc w:val="both"/>
        <w:textAlignment w:val="baseline"/>
        <w:rPr>
          <w:rFonts w:ascii="Bookman Old Style" w:hAnsi="Bookman Old Style"/>
        </w:rPr>
      </w:pPr>
    </w:p>
    <w:p w:rsidR="00417564" w:rsidRDefault="00817F7A" w:rsidP="00417564">
      <w:pPr>
        <w:ind w:left="708"/>
        <w:jc w:val="both"/>
        <w:rPr>
          <w:rFonts w:ascii="Bookman Old Style" w:hAnsi="Bookman Old Style"/>
          <w:i/>
          <w:spacing w:val="-3"/>
        </w:rPr>
      </w:pPr>
      <w:r w:rsidRPr="00417564">
        <w:rPr>
          <w:rFonts w:ascii="Bookman Old Style" w:hAnsi="Bookman Old Style"/>
          <w:b/>
        </w:rPr>
        <w:t>“</w:t>
      </w:r>
      <w:r w:rsidR="00417564" w:rsidRPr="00417564">
        <w:rPr>
          <w:rFonts w:ascii="Bookman Old Style" w:hAnsi="Bookman Old Style"/>
          <w:b/>
          <w:i/>
          <w:spacing w:val="-3"/>
        </w:rPr>
        <w:t>Artículo 5.</w:t>
      </w:r>
      <w:r w:rsidR="00417564" w:rsidRPr="00417564">
        <w:rPr>
          <w:rFonts w:ascii="Bookman Old Style" w:hAnsi="Bookman Old Style"/>
        </w:rPr>
        <w:t xml:space="preserve"> </w:t>
      </w:r>
      <w:r w:rsidR="00417564" w:rsidRPr="00417564">
        <w:rPr>
          <w:rFonts w:ascii="Bookman Old Style" w:hAnsi="Bookman Old Style"/>
          <w:b/>
          <w:i/>
          <w:spacing w:val="-3"/>
        </w:rPr>
        <w:t>Costos de reposición de la inversión</w:t>
      </w:r>
      <w:r w:rsidR="00417564" w:rsidRPr="00417564">
        <w:rPr>
          <w:rFonts w:ascii="Bookman Old Style" w:hAnsi="Bookman Old Style"/>
          <w:i/>
          <w:spacing w:val="-3"/>
        </w:rPr>
        <w:t>. Los costos de reposición</w:t>
      </w:r>
      <w:r w:rsidR="00417564" w:rsidRPr="00642CB0">
        <w:rPr>
          <w:rFonts w:ascii="Bookman Old Style" w:hAnsi="Bookman Old Style"/>
          <w:i/>
          <w:spacing w:val="-3"/>
        </w:rPr>
        <w:t xml:space="preserve"> de la inversión del OR Electrificadora de Santander S.A. E.S.P. para cada nivel de tensión, calculados en la forma establecida en la Resolución CREG 097 de 2008, son los siguientes:</w:t>
      </w:r>
    </w:p>
    <w:p w:rsidR="00417564" w:rsidRPr="00642CB0" w:rsidRDefault="00417564" w:rsidP="00417564">
      <w:pPr>
        <w:ind w:left="708"/>
        <w:rPr>
          <w:rFonts w:ascii="Bookman Old Style" w:hAnsi="Bookman Old Style"/>
          <w:i/>
        </w:rPr>
      </w:pPr>
    </w:p>
    <w:p w:rsidR="00817F7A" w:rsidRPr="00417564" w:rsidRDefault="00080BDA" w:rsidP="00417564">
      <w:pPr>
        <w:widowControl w:val="0"/>
        <w:adjustRightInd w:val="0"/>
        <w:jc w:val="center"/>
        <w:textAlignment w:val="baseline"/>
        <w:rPr>
          <w:rFonts w:ascii="Bookman Old Style" w:hAnsi="Bookman Old Style"/>
        </w:rPr>
      </w:pPr>
      <w:r w:rsidRPr="00080BDA">
        <w:rPr>
          <w:noProof/>
          <w:lang w:val="es-CO" w:eastAsia="es-CO"/>
        </w:rPr>
        <w:drawing>
          <wp:inline distT="0" distB="0" distL="0" distR="0" wp14:anchorId="67053B61" wp14:editId="4EC3D3CD">
            <wp:extent cx="4765675" cy="13093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675" cy="1309370"/>
                    </a:xfrm>
                    <a:prstGeom prst="rect">
                      <a:avLst/>
                    </a:prstGeom>
                    <a:noFill/>
                    <a:ln>
                      <a:noFill/>
                    </a:ln>
                  </pic:spPr>
                </pic:pic>
              </a:graphicData>
            </a:graphic>
          </wp:inline>
        </w:drawing>
      </w:r>
      <w:r w:rsidR="00817F7A" w:rsidRPr="00417564">
        <w:rPr>
          <w:rFonts w:ascii="Bookman Old Style" w:hAnsi="Bookman Old Style"/>
        </w:rPr>
        <w:t>”</w:t>
      </w:r>
    </w:p>
    <w:p w:rsidR="006B71CD" w:rsidRPr="00417564" w:rsidRDefault="006B71CD" w:rsidP="006B71CD">
      <w:pPr>
        <w:widowControl w:val="0"/>
        <w:adjustRightInd w:val="0"/>
        <w:ind w:left="1361"/>
        <w:jc w:val="both"/>
        <w:textAlignment w:val="baseline"/>
        <w:rPr>
          <w:rFonts w:ascii="Bookman Old Style" w:hAnsi="Bookman Old Style"/>
        </w:rPr>
      </w:pPr>
    </w:p>
    <w:p w:rsidR="00BB1387" w:rsidRPr="00417564" w:rsidRDefault="00BB1387" w:rsidP="00BB1387">
      <w:pPr>
        <w:widowControl w:val="0"/>
        <w:numPr>
          <w:ilvl w:val="0"/>
          <w:numId w:val="16"/>
        </w:numPr>
        <w:adjustRightInd w:val="0"/>
        <w:jc w:val="both"/>
        <w:textAlignment w:val="baseline"/>
        <w:rPr>
          <w:rFonts w:ascii="Bookman Old Style" w:hAnsi="Bookman Old Style"/>
        </w:rPr>
      </w:pPr>
      <w:r w:rsidRPr="00417564">
        <w:rPr>
          <w:rFonts w:ascii="Bookman Old Style" w:hAnsi="Bookman Old Style"/>
          <w:b/>
        </w:rPr>
        <w:t>Vigencia.</w:t>
      </w:r>
      <w:r w:rsidRPr="00417564">
        <w:rPr>
          <w:rFonts w:ascii="Bookman Old Style" w:hAnsi="Bookman Old Style"/>
        </w:rPr>
        <w:t xml:space="preserve"> De conformidad con lo previsto por el artículo 19 de la Resolución CREG 097 de 2008, los cargos y valores </w:t>
      </w:r>
      <w:r w:rsidR="00B910A5">
        <w:rPr>
          <w:rFonts w:ascii="Bookman Old Style" w:hAnsi="Bookman Old Style"/>
        </w:rPr>
        <w:t xml:space="preserve">aquí </w:t>
      </w:r>
      <w:r w:rsidRPr="00417564">
        <w:rPr>
          <w:rFonts w:ascii="Bookman Old Style" w:hAnsi="Bookman Old Style"/>
        </w:rPr>
        <w:t xml:space="preserve">aprobados estarán vigentes desde la fecha en que quede en firme </w:t>
      </w:r>
      <w:r w:rsidR="000E4093">
        <w:rPr>
          <w:rFonts w:ascii="Bookman Old Style" w:hAnsi="Bookman Old Style"/>
        </w:rPr>
        <w:t xml:space="preserve">la presente resolución </w:t>
      </w:r>
      <w:r w:rsidRPr="00417564">
        <w:rPr>
          <w:rFonts w:ascii="Bookman Old Style" w:hAnsi="Bookman Old Style"/>
        </w:rPr>
        <w:t xml:space="preserve">y </w:t>
      </w:r>
      <w:r w:rsidR="000E4093">
        <w:rPr>
          <w:rFonts w:ascii="Bookman Old Style" w:hAnsi="Bookman Old Style"/>
        </w:rPr>
        <w:t>por el periodo que establezca la regulación, sin perjuicio de las actualizaciones a que haya lugar.</w:t>
      </w:r>
      <w:r w:rsidR="00417564">
        <w:rPr>
          <w:rFonts w:ascii="Bookman Old Style" w:hAnsi="Bookman Old Style"/>
        </w:rPr>
        <w:t xml:space="preserve"> </w:t>
      </w:r>
      <w:r w:rsidRPr="00417564">
        <w:rPr>
          <w:rFonts w:ascii="Bookman Old Style" w:hAnsi="Bookman Old Style"/>
        </w:rPr>
        <w:t>Vencido su período de vigencia, continuarán rigiendo hasta que la Comisión apruebe los nuevos.</w:t>
      </w:r>
    </w:p>
    <w:p w:rsidR="00BB1387" w:rsidRPr="00417564" w:rsidRDefault="00BB1387" w:rsidP="00BB1387">
      <w:pPr>
        <w:rPr>
          <w:rFonts w:ascii="Bookman Old Style" w:hAnsi="Bookman Old Style"/>
          <w:b/>
          <w:bCs/>
        </w:rPr>
      </w:pPr>
    </w:p>
    <w:p w:rsidR="00BB1387" w:rsidRPr="00417564" w:rsidRDefault="00BB1387" w:rsidP="00BB1387">
      <w:pPr>
        <w:widowControl w:val="0"/>
        <w:numPr>
          <w:ilvl w:val="0"/>
          <w:numId w:val="16"/>
        </w:numPr>
        <w:adjustRightInd w:val="0"/>
        <w:jc w:val="both"/>
        <w:textAlignment w:val="baseline"/>
        <w:rPr>
          <w:rFonts w:ascii="Bookman Old Style" w:hAnsi="Bookman Old Style"/>
          <w:b/>
        </w:rPr>
      </w:pPr>
      <w:r w:rsidRPr="00417564">
        <w:rPr>
          <w:rFonts w:ascii="Bookman Old Style" w:hAnsi="Bookman Old Style"/>
          <w:b/>
        </w:rPr>
        <w:t xml:space="preserve">Recursos. </w:t>
      </w:r>
      <w:r w:rsidRPr="00417564">
        <w:rPr>
          <w:rFonts w:ascii="Bookman Old Style" w:hAnsi="Bookman Old Style"/>
        </w:rPr>
        <w:t>La presente Resolución deberá notificarse a la</w:t>
      </w:r>
      <w:r w:rsidR="00417564" w:rsidRPr="00417564">
        <w:rPr>
          <w:rFonts w:ascii="Bookman Old Style" w:hAnsi="Bookman Old Style"/>
        </w:rPr>
        <w:t xml:space="preserve"> Electrificadora de Santander S.A. E.S.P.</w:t>
      </w:r>
      <w:r w:rsidRPr="00417564">
        <w:rPr>
          <w:rFonts w:ascii="Bookman Old Style" w:hAnsi="Bookman Old Style"/>
        </w:rPr>
        <w:t xml:space="preserve"> Contra lo dispuesto en este acto procede el recurso de reposición, el cual se podrá interponer ante la Dirección Ejecutiva de la CREG dentro de los cinco (5) días hábiles siguientes a la fecha de su notificación.</w:t>
      </w:r>
    </w:p>
    <w:p w:rsidR="006B71CD" w:rsidRPr="00417564" w:rsidRDefault="006B71CD" w:rsidP="006B71CD">
      <w:pPr>
        <w:widowControl w:val="0"/>
        <w:adjustRightInd w:val="0"/>
        <w:ind w:left="1361"/>
        <w:jc w:val="both"/>
        <w:textAlignment w:val="baseline"/>
        <w:rPr>
          <w:rFonts w:ascii="Bookman Old Style" w:hAnsi="Bookman Old Style"/>
        </w:rPr>
      </w:pPr>
    </w:p>
    <w:p w:rsidR="00E433F6" w:rsidRPr="00417564" w:rsidRDefault="00E433F6" w:rsidP="00E433F6">
      <w:pPr>
        <w:ind w:left="0"/>
        <w:jc w:val="center"/>
        <w:rPr>
          <w:rFonts w:ascii="Bookman Old Style" w:hAnsi="Bookman Old Style"/>
          <w:b/>
        </w:rPr>
      </w:pPr>
      <w:r w:rsidRPr="00417564">
        <w:rPr>
          <w:rFonts w:ascii="Bookman Old Style" w:hAnsi="Bookman Old Style"/>
          <w:b/>
        </w:rPr>
        <w:t>NOTIFÍQUESE</w:t>
      </w:r>
      <w:r w:rsidR="001C7022" w:rsidRPr="00417564">
        <w:rPr>
          <w:rFonts w:ascii="Bookman Old Style" w:hAnsi="Bookman Old Style"/>
          <w:b/>
        </w:rPr>
        <w:t>, PUBLÍQUESE</w:t>
      </w:r>
      <w:r w:rsidRPr="00417564">
        <w:rPr>
          <w:rFonts w:ascii="Bookman Old Style" w:hAnsi="Bookman Old Style"/>
          <w:b/>
        </w:rPr>
        <w:t xml:space="preserve"> Y CÚMPLASE</w:t>
      </w:r>
    </w:p>
    <w:p w:rsidR="00E433F6" w:rsidRPr="00417564" w:rsidRDefault="00E433F6" w:rsidP="00E433F6">
      <w:pPr>
        <w:ind w:left="0"/>
        <w:rPr>
          <w:rFonts w:ascii="Bookman Old Style" w:hAnsi="Bookman Old Style"/>
        </w:rPr>
      </w:pPr>
    </w:p>
    <w:p w:rsidR="000E6937" w:rsidRPr="00417564" w:rsidRDefault="000E6937" w:rsidP="00E433F6">
      <w:pPr>
        <w:ind w:left="0"/>
        <w:rPr>
          <w:rFonts w:ascii="Bookman Old Style" w:hAnsi="Bookman Old Style"/>
        </w:rPr>
      </w:pPr>
    </w:p>
    <w:p w:rsidR="00E433F6" w:rsidRPr="00417564" w:rsidRDefault="00E433F6" w:rsidP="00E433F6">
      <w:pPr>
        <w:ind w:left="0"/>
        <w:rPr>
          <w:rFonts w:ascii="Bookman Old Style" w:hAnsi="Bookman Old Style"/>
        </w:rPr>
      </w:pPr>
      <w:r w:rsidRPr="00417564">
        <w:rPr>
          <w:rFonts w:ascii="Bookman Old Style" w:hAnsi="Bookman Old Style"/>
        </w:rPr>
        <w:t>Dada en Bogotá. D. C., a los</w:t>
      </w:r>
    </w:p>
    <w:p w:rsidR="002D7BCF" w:rsidRDefault="002D7BCF" w:rsidP="00E433F6">
      <w:pPr>
        <w:rPr>
          <w:rFonts w:ascii="Bookman Old Style" w:hAnsi="Bookman Old Style"/>
        </w:rPr>
      </w:pPr>
    </w:p>
    <w:p w:rsidR="009E79E4" w:rsidRDefault="009E79E4" w:rsidP="00E433F6">
      <w:pPr>
        <w:rPr>
          <w:rFonts w:ascii="Bookman Old Style" w:hAnsi="Bookman Old Style"/>
        </w:rPr>
      </w:pPr>
    </w:p>
    <w:p w:rsidR="009E79E4" w:rsidRDefault="009E79E4" w:rsidP="00E433F6">
      <w:pPr>
        <w:rPr>
          <w:rFonts w:ascii="Bookman Old Style" w:hAnsi="Bookman Old Style"/>
        </w:rPr>
      </w:pPr>
    </w:p>
    <w:p w:rsidR="009E79E4" w:rsidRPr="00417564" w:rsidRDefault="009E79E4" w:rsidP="00E433F6">
      <w:pPr>
        <w:rPr>
          <w:rFonts w:ascii="Bookman Old Style" w:hAnsi="Bookman Old Style"/>
        </w:rPr>
      </w:pPr>
    </w:p>
    <w:p w:rsidR="002D7BCF" w:rsidRDefault="002D7BCF" w:rsidP="00E433F6">
      <w:pPr>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9E79E4" w:rsidRPr="00DC4625" w:rsidTr="003720DC">
        <w:tc>
          <w:tcPr>
            <w:tcW w:w="4820" w:type="dxa"/>
            <w:hideMark/>
          </w:tcPr>
          <w:p w:rsidR="009E79E4" w:rsidRPr="009E79E4" w:rsidRDefault="009E79E4" w:rsidP="009E79E4">
            <w:pPr>
              <w:snapToGrid w:val="0"/>
              <w:ind w:left="0"/>
              <w:jc w:val="center"/>
              <w:rPr>
                <w:rFonts w:ascii="Bookman Old Style" w:hAnsi="Bookman Old Style" w:cs="Arial"/>
                <w:b/>
                <w:bCs/>
              </w:rPr>
            </w:pPr>
            <w:r w:rsidRPr="009E79E4">
              <w:rPr>
                <w:rFonts w:ascii="Bookman Old Style" w:hAnsi="Bookman Old Style" w:cs="Arial"/>
                <w:b/>
                <w:bCs/>
              </w:rPr>
              <w:t>ORLANDO CABRALES SEGOVIA</w:t>
            </w:r>
          </w:p>
        </w:tc>
        <w:tc>
          <w:tcPr>
            <w:tcW w:w="4678" w:type="dxa"/>
            <w:hideMark/>
          </w:tcPr>
          <w:p w:rsidR="009E79E4" w:rsidRPr="009E79E4" w:rsidRDefault="009E79E4" w:rsidP="009E79E4">
            <w:pPr>
              <w:snapToGrid w:val="0"/>
              <w:ind w:left="0"/>
              <w:rPr>
                <w:rFonts w:ascii="Bookman Old Style" w:hAnsi="Bookman Old Style" w:cs="Arial"/>
                <w:b/>
                <w:bCs/>
              </w:rPr>
            </w:pPr>
            <w:r w:rsidRPr="009E79E4">
              <w:rPr>
                <w:rFonts w:ascii="Bookman Old Style" w:hAnsi="Bookman Old Style" w:cs="Arial"/>
                <w:b/>
                <w:bCs/>
              </w:rPr>
              <w:t xml:space="preserve">CARLOS FERNANDO ERASO CALERO </w:t>
            </w:r>
          </w:p>
        </w:tc>
      </w:tr>
      <w:tr w:rsidR="009E79E4" w:rsidRPr="00DC4625" w:rsidTr="003720DC">
        <w:tc>
          <w:tcPr>
            <w:tcW w:w="4820" w:type="dxa"/>
            <w:hideMark/>
          </w:tcPr>
          <w:p w:rsidR="009E79E4" w:rsidRPr="009E79E4" w:rsidRDefault="009E79E4" w:rsidP="009E79E4">
            <w:pPr>
              <w:snapToGrid w:val="0"/>
              <w:ind w:left="0"/>
              <w:jc w:val="center"/>
              <w:rPr>
                <w:rFonts w:ascii="Bookman Old Style" w:hAnsi="Bookman Old Style" w:cs="Arial"/>
              </w:rPr>
            </w:pPr>
            <w:r w:rsidRPr="009E79E4">
              <w:rPr>
                <w:rFonts w:ascii="Bookman Old Style" w:hAnsi="Bookman Old Style" w:cs="Arial"/>
              </w:rPr>
              <w:t>Viceministro de Energía</w:t>
            </w:r>
          </w:p>
          <w:p w:rsidR="009E79E4" w:rsidRPr="009E79E4" w:rsidRDefault="009E79E4" w:rsidP="009E79E4">
            <w:pPr>
              <w:snapToGrid w:val="0"/>
              <w:ind w:left="0"/>
              <w:jc w:val="center"/>
              <w:rPr>
                <w:rFonts w:ascii="Bookman Old Style" w:hAnsi="Bookman Old Style" w:cs="Arial"/>
              </w:rPr>
            </w:pPr>
            <w:r w:rsidRPr="009E79E4">
              <w:rPr>
                <w:rFonts w:ascii="Bookman Old Style" w:hAnsi="Bookman Old Style" w:cs="Arial"/>
              </w:rPr>
              <w:t>Delegado del Ministro de Minas y Energía</w:t>
            </w:r>
          </w:p>
        </w:tc>
        <w:tc>
          <w:tcPr>
            <w:tcW w:w="4678" w:type="dxa"/>
            <w:hideMark/>
          </w:tcPr>
          <w:p w:rsidR="009E79E4" w:rsidRPr="009E79E4" w:rsidRDefault="009E79E4" w:rsidP="009E79E4">
            <w:pPr>
              <w:snapToGrid w:val="0"/>
              <w:ind w:left="0"/>
              <w:rPr>
                <w:rFonts w:ascii="Bookman Old Style" w:hAnsi="Bookman Old Style" w:cs="Arial"/>
              </w:rPr>
            </w:pPr>
            <w:r w:rsidRPr="009E79E4">
              <w:rPr>
                <w:rFonts w:ascii="Bookman Old Style" w:hAnsi="Bookman Old Style" w:cs="Arial"/>
              </w:rPr>
              <w:t xml:space="preserve">          Director Ejecutivo</w:t>
            </w:r>
          </w:p>
        </w:tc>
      </w:tr>
      <w:tr w:rsidR="009E79E4" w:rsidRPr="00DC4625" w:rsidTr="003720DC">
        <w:tc>
          <w:tcPr>
            <w:tcW w:w="4820" w:type="dxa"/>
            <w:hideMark/>
          </w:tcPr>
          <w:p w:rsidR="009E79E4" w:rsidRPr="009E79E4" w:rsidRDefault="009E79E4" w:rsidP="009E79E4">
            <w:pPr>
              <w:snapToGrid w:val="0"/>
              <w:ind w:left="0"/>
              <w:rPr>
                <w:rFonts w:ascii="Bookman Old Style" w:hAnsi="Bookman Old Style" w:cs="Arial"/>
              </w:rPr>
            </w:pPr>
            <w:r w:rsidRPr="009E79E4">
              <w:rPr>
                <w:rFonts w:ascii="Bookman Old Style" w:hAnsi="Bookman Old Style" w:cs="Arial"/>
              </w:rPr>
              <w:t xml:space="preserve">                </w:t>
            </w:r>
            <w:r>
              <w:rPr>
                <w:rFonts w:ascii="Bookman Old Style" w:hAnsi="Bookman Old Style" w:cs="Arial"/>
              </w:rPr>
              <w:t xml:space="preserve">       </w:t>
            </w:r>
            <w:r w:rsidRPr="009E79E4">
              <w:rPr>
                <w:rFonts w:ascii="Bookman Old Style" w:hAnsi="Bookman Old Style" w:cs="Arial"/>
              </w:rPr>
              <w:t>Presidente</w:t>
            </w:r>
          </w:p>
        </w:tc>
        <w:tc>
          <w:tcPr>
            <w:tcW w:w="4678" w:type="dxa"/>
          </w:tcPr>
          <w:p w:rsidR="009E79E4" w:rsidRPr="009E79E4" w:rsidRDefault="009E79E4" w:rsidP="009E79E4">
            <w:pPr>
              <w:snapToGrid w:val="0"/>
              <w:ind w:left="0"/>
              <w:rPr>
                <w:rFonts w:ascii="Bookman Old Style" w:hAnsi="Bookman Old Style" w:cs="Arial"/>
              </w:rPr>
            </w:pPr>
          </w:p>
        </w:tc>
      </w:tr>
    </w:tbl>
    <w:p w:rsidR="0056406B" w:rsidRDefault="0056406B" w:rsidP="00E433F6">
      <w:pPr>
        <w:rPr>
          <w:rFonts w:ascii="Bookman Old Style" w:hAnsi="Bookman Old Style"/>
        </w:rPr>
      </w:pPr>
    </w:p>
    <w:p w:rsidR="0056406B" w:rsidRDefault="0056406B" w:rsidP="0056406B">
      <w:pPr>
        <w:rPr>
          <w:rFonts w:ascii="Bookman Old Style" w:hAnsi="Bookman Old Style"/>
        </w:rPr>
      </w:pPr>
    </w:p>
    <w:p w:rsidR="00E433F6" w:rsidRPr="000058F4" w:rsidRDefault="00E433F6" w:rsidP="00241474">
      <w:pPr>
        <w:ind w:left="0"/>
        <w:rPr>
          <w:rFonts w:ascii="Bookman Old Style" w:hAnsi="Bookman Old Style"/>
        </w:rPr>
      </w:pPr>
    </w:p>
    <w:sectPr w:rsidR="00E433F6" w:rsidRPr="000058F4"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7B7" w:rsidRDefault="005247B7">
      <w:r>
        <w:separator/>
      </w:r>
    </w:p>
  </w:endnote>
  <w:endnote w:type="continuationSeparator" w:id="0">
    <w:p w:rsidR="005247B7" w:rsidRDefault="0052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7B7" w:rsidRDefault="005247B7">
      <w:r>
        <w:separator/>
      </w:r>
    </w:p>
  </w:footnote>
  <w:footnote w:type="continuationSeparator" w:id="0">
    <w:p w:rsidR="005247B7" w:rsidRDefault="0052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B7" w:rsidRDefault="005247B7" w:rsidP="00951F79">
    <w:pPr>
      <w:pStyle w:val="Ttulo1"/>
      <w:ind w:right="6"/>
      <w:jc w:val="left"/>
      <w:rPr>
        <w:rFonts w:ascii="Bookman Old Style" w:hAnsi="Bookman Old Style" w:cs="Arial"/>
        <w:b w:val="0"/>
        <w:sz w:val="22"/>
        <w:szCs w:val="22"/>
      </w:rPr>
    </w:pPr>
  </w:p>
  <w:p w:rsidR="005247B7" w:rsidRPr="00951F79" w:rsidRDefault="005247B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D0CE6">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D0CE6" w:rsidRPr="005D0CE6">
        <w:rPr>
          <w:rFonts w:ascii="Bookman Old Style" w:hAnsi="Bookman Old Style" w:cs="Arial"/>
          <w:b w:val="0"/>
          <w:noProof/>
          <w:sz w:val="22"/>
          <w:szCs w:val="22"/>
        </w:rPr>
        <w:t>4</w:t>
      </w:r>
    </w:fldSimple>
  </w:p>
  <w:p w:rsidR="005247B7" w:rsidRDefault="005247B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2DAEA18" wp14:editId="635374B5">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5247B7" w:rsidRPr="00CB5DD0" w:rsidRDefault="005247B7" w:rsidP="00FB4485">
    <w:pPr>
      <w:pBdr>
        <w:bottom w:val="single" w:sz="4" w:space="1" w:color="auto"/>
      </w:pBdr>
      <w:ind w:left="142" w:right="148"/>
      <w:jc w:val="both"/>
      <w:rPr>
        <w:b/>
      </w:rPr>
    </w:pPr>
    <w:r w:rsidRPr="00FB4485">
      <w:rPr>
        <w:rFonts w:ascii="Bookman Old Style" w:hAnsi="Bookman Old Style" w:cs="Arial"/>
        <w:spacing w:val="-3"/>
        <w:sz w:val="22"/>
        <w:szCs w:val="22"/>
        <w:lang w:val="es-ES_tradnl"/>
      </w:rPr>
      <w:t xml:space="preserve">Por la cual se actualiza el Costo Anual por el uso de los activos de nivel de tensión 4 de la </w:t>
    </w:r>
    <w:r>
      <w:rPr>
        <w:rFonts w:ascii="Bookman Old Style" w:hAnsi="Bookman Old Style" w:cs="Arial"/>
        <w:spacing w:val="-3"/>
        <w:sz w:val="22"/>
        <w:szCs w:val="22"/>
        <w:lang w:val="es-ES_tradnl"/>
      </w:rPr>
      <w:t>Electrificadora de Santander</w:t>
    </w:r>
    <w:r w:rsidRPr="00FB4485">
      <w:rPr>
        <w:rFonts w:ascii="Bookman Old Style" w:hAnsi="Bookman Old Style" w:cs="Arial"/>
        <w:spacing w:val="-3"/>
        <w:sz w:val="22"/>
        <w:szCs w:val="22"/>
        <w:lang w:val="es-ES_tradnl"/>
      </w:rPr>
      <w:t xml:space="preserve"> S.A. E.S.P</w:t>
    </w:r>
    <w:r>
      <w:rPr>
        <w:rFonts w:ascii="Bookman Old Style" w:hAnsi="Bookman Old Style" w:cs="Arial"/>
        <w:spacing w:val="-3"/>
        <w:sz w:val="22"/>
        <w:szCs w:val="22"/>
        <w:lang w:val="es-ES_tradn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B7" w:rsidRDefault="005247B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247B7" w:rsidRDefault="005247B7">
    <w:pPr>
      <w:pStyle w:val="Encabezado"/>
      <w:jc w:val="center"/>
      <w:rPr>
        <w:rFonts w:ascii="Arial" w:hAnsi="Arial" w:cs="Arial"/>
        <w:spacing w:val="20"/>
        <w:sz w:val="20"/>
      </w:rPr>
    </w:pPr>
  </w:p>
  <w:p w:rsidR="005247B7" w:rsidRDefault="005247B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116C6"/>
    <w:multiLevelType w:val="hybridMultilevel"/>
    <w:tmpl w:val="0C3A5DB0"/>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040E94"/>
    <w:multiLevelType w:val="hybridMultilevel"/>
    <w:tmpl w:val="ED2C5AD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0BB63A8"/>
    <w:multiLevelType w:val="hybridMultilevel"/>
    <w:tmpl w:val="7EB0B206"/>
    <w:lvl w:ilvl="0" w:tplc="407AD4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8"/>
  </w:num>
  <w:num w:numId="4">
    <w:abstractNumId w:val="8"/>
  </w:num>
  <w:num w:numId="5">
    <w:abstractNumId w:val="14"/>
  </w:num>
  <w:num w:numId="6">
    <w:abstractNumId w:val="2"/>
  </w:num>
  <w:num w:numId="7">
    <w:abstractNumId w:val="1"/>
  </w:num>
  <w:num w:numId="8">
    <w:abstractNumId w:val="16"/>
  </w:num>
  <w:num w:numId="9">
    <w:abstractNumId w:val="15"/>
  </w:num>
  <w:num w:numId="10">
    <w:abstractNumId w:val="12"/>
  </w:num>
  <w:num w:numId="11">
    <w:abstractNumId w:val="19"/>
  </w:num>
  <w:num w:numId="12">
    <w:abstractNumId w:val="17"/>
  </w:num>
  <w:num w:numId="13">
    <w:abstractNumId w:val="9"/>
  </w:num>
  <w:num w:numId="14">
    <w:abstractNumId w:val="0"/>
  </w:num>
  <w:num w:numId="15">
    <w:abstractNumId w:val="10"/>
  </w:num>
  <w:num w:numId="16">
    <w:abstractNumId w:val="13"/>
  </w:num>
  <w:num w:numId="17">
    <w:abstractNumId w:val="5"/>
  </w:num>
  <w:num w:numId="18">
    <w:abstractNumId w:val="3"/>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033D"/>
    <w:rsid w:val="00012259"/>
    <w:rsid w:val="00025383"/>
    <w:rsid w:val="00046FCE"/>
    <w:rsid w:val="00057583"/>
    <w:rsid w:val="00063657"/>
    <w:rsid w:val="000658B0"/>
    <w:rsid w:val="00074836"/>
    <w:rsid w:val="00076680"/>
    <w:rsid w:val="0007691B"/>
    <w:rsid w:val="0008073E"/>
    <w:rsid w:val="00080BDA"/>
    <w:rsid w:val="00081F53"/>
    <w:rsid w:val="00091CDB"/>
    <w:rsid w:val="000A19AC"/>
    <w:rsid w:val="000A5B9E"/>
    <w:rsid w:val="000B5996"/>
    <w:rsid w:val="000D26F8"/>
    <w:rsid w:val="000E4093"/>
    <w:rsid w:val="000E6937"/>
    <w:rsid w:val="000F1EE3"/>
    <w:rsid w:val="000F5BD2"/>
    <w:rsid w:val="00100F33"/>
    <w:rsid w:val="0010128A"/>
    <w:rsid w:val="001211DC"/>
    <w:rsid w:val="00133081"/>
    <w:rsid w:val="001405C6"/>
    <w:rsid w:val="00141013"/>
    <w:rsid w:val="001710FF"/>
    <w:rsid w:val="001715E0"/>
    <w:rsid w:val="00175714"/>
    <w:rsid w:val="00192CBF"/>
    <w:rsid w:val="00192FF1"/>
    <w:rsid w:val="001A38F3"/>
    <w:rsid w:val="001A5F1B"/>
    <w:rsid w:val="001A7196"/>
    <w:rsid w:val="001B1C22"/>
    <w:rsid w:val="001B34C6"/>
    <w:rsid w:val="001C098B"/>
    <w:rsid w:val="001C5E02"/>
    <w:rsid w:val="001C7022"/>
    <w:rsid w:val="001D7832"/>
    <w:rsid w:val="001E2001"/>
    <w:rsid w:val="001E5CC9"/>
    <w:rsid w:val="001F59F3"/>
    <w:rsid w:val="00204735"/>
    <w:rsid w:val="00211D34"/>
    <w:rsid w:val="00214F04"/>
    <w:rsid w:val="002316E8"/>
    <w:rsid w:val="00241474"/>
    <w:rsid w:val="00250FF2"/>
    <w:rsid w:val="002520A5"/>
    <w:rsid w:val="00253A4C"/>
    <w:rsid w:val="00266CD6"/>
    <w:rsid w:val="00270D1A"/>
    <w:rsid w:val="0028277C"/>
    <w:rsid w:val="002953CD"/>
    <w:rsid w:val="0029656D"/>
    <w:rsid w:val="00297FA1"/>
    <w:rsid w:val="002B11E2"/>
    <w:rsid w:val="002B24B8"/>
    <w:rsid w:val="002B56D9"/>
    <w:rsid w:val="002C3BF0"/>
    <w:rsid w:val="002C78A3"/>
    <w:rsid w:val="002D3AE9"/>
    <w:rsid w:val="002D7BCF"/>
    <w:rsid w:val="002D7E0C"/>
    <w:rsid w:val="002E27FA"/>
    <w:rsid w:val="002F0734"/>
    <w:rsid w:val="002F46E7"/>
    <w:rsid w:val="00302D16"/>
    <w:rsid w:val="00304B6E"/>
    <w:rsid w:val="003101DA"/>
    <w:rsid w:val="00314757"/>
    <w:rsid w:val="00317BC1"/>
    <w:rsid w:val="003211CE"/>
    <w:rsid w:val="003244E8"/>
    <w:rsid w:val="003428D1"/>
    <w:rsid w:val="0035403A"/>
    <w:rsid w:val="0035549C"/>
    <w:rsid w:val="0036394B"/>
    <w:rsid w:val="003709B5"/>
    <w:rsid w:val="00370BD1"/>
    <w:rsid w:val="003759C2"/>
    <w:rsid w:val="00397365"/>
    <w:rsid w:val="003A31F6"/>
    <w:rsid w:val="003B6B6E"/>
    <w:rsid w:val="003C3447"/>
    <w:rsid w:val="003D076C"/>
    <w:rsid w:val="003D5CAB"/>
    <w:rsid w:val="003E5019"/>
    <w:rsid w:val="003E63C6"/>
    <w:rsid w:val="0040576F"/>
    <w:rsid w:val="00415BAB"/>
    <w:rsid w:val="00415ED2"/>
    <w:rsid w:val="00417564"/>
    <w:rsid w:val="0042068C"/>
    <w:rsid w:val="00426E0F"/>
    <w:rsid w:val="004308BD"/>
    <w:rsid w:val="0043189C"/>
    <w:rsid w:val="00434776"/>
    <w:rsid w:val="00434C75"/>
    <w:rsid w:val="004408E5"/>
    <w:rsid w:val="00447264"/>
    <w:rsid w:val="00452143"/>
    <w:rsid w:val="004549FD"/>
    <w:rsid w:val="0047122B"/>
    <w:rsid w:val="00472C02"/>
    <w:rsid w:val="00473B7A"/>
    <w:rsid w:val="00475E3A"/>
    <w:rsid w:val="0048139F"/>
    <w:rsid w:val="00483942"/>
    <w:rsid w:val="00485F87"/>
    <w:rsid w:val="00487ABF"/>
    <w:rsid w:val="004932B1"/>
    <w:rsid w:val="004960E9"/>
    <w:rsid w:val="00496275"/>
    <w:rsid w:val="004A1EC8"/>
    <w:rsid w:val="004A2E88"/>
    <w:rsid w:val="004A5305"/>
    <w:rsid w:val="004B1009"/>
    <w:rsid w:val="004B6CE9"/>
    <w:rsid w:val="004D1D3A"/>
    <w:rsid w:val="004D3EF2"/>
    <w:rsid w:val="004D53CD"/>
    <w:rsid w:val="004D7634"/>
    <w:rsid w:val="004E7824"/>
    <w:rsid w:val="00503E41"/>
    <w:rsid w:val="00504863"/>
    <w:rsid w:val="005247B7"/>
    <w:rsid w:val="00524F59"/>
    <w:rsid w:val="005300D3"/>
    <w:rsid w:val="00535285"/>
    <w:rsid w:val="00544F82"/>
    <w:rsid w:val="005555DC"/>
    <w:rsid w:val="0056406B"/>
    <w:rsid w:val="00571353"/>
    <w:rsid w:val="00585D3A"/>
    <w:rsid w:val="00593C4F"/>
    <w:rsid w:val="005946A8"/>
    <w:rsid w:val="005A4407"/>
    <w:rsid w:val="005A59EF"/>
    <w:rsid w:val="005A6994"/>
    <w:rsid w:val="005B0E1F"/>
    <w:rsid w:val="005B4C9B"/>
    <w:rsid w:val="005D0CE6"/>
    <w:rsid w:val="005E04BC"/>
    <w:rsid w:val="005F237E"/>
    <w:rsid w:val="00601E4A"/>
    <w:rsid w:val="0061647C"/>
    <w:rsid w:val="00617137"/>
    <w:rsid w:val="00625DC6"/>
    <w:rsid w:val="00627105"/>
    <w:rsid w:val="00634693"/>
    <w:rsid w:val="00635C1B"/>
    <w:rsid w:val="0064398F"/>
    <w:rsid w:val="00644A3C"/>
    <w:rsid w:val="00645CB6"/>
    <w:rsid w:val="00646F87"/>
    <w:rsid w:val="00651821"/>
    <w:rsid w:val="00654384"/>
    <w:rsid w:val="00666CE7"/>
    <w:rsid w:val="006675CD"/>
    <w:rsid w:val="00670BC4"/>
    <w:rsid w:val="00684D9B"/>
    <w:rsid w:val="0069382C"/>
    <w:rsid w:val="00697556"/>
    <w:rsid w:val="006A520A"/>
    <w:rsid w:val="006B4C2B"/>
    <w:rsid w:val="006B6D47"/>
    <w:rsid w:val="006B71CD"/>
    <w:rsid w:val="006B79E2"/>
    <w:rsid w:val="006C0DD6"/>
    <w:rsid w:val="006F6D95"/>
    <w:rsid w:val="00706F13"/>
    <w:rsid w:val="007072E8"/>
    <w:rsid w:val="007104E9"/>
    <w:rsid w:val="0071618D"/>
    <w:rsid w:val="00723E40"/>
    <w:rsid w:val="00725FA4"/>
    <w:rsid w:val="00726117"/>
    <w:rsid w:val="0073666F"/>
    <w:rsid w:val="00740446"/>
    <w:rsid w:val="007438A9"/>
    <w:rsid w:val="0074491E"/>
    <w:rsid w:val="0074794B"/>
    <w:rsid w:val="00755584"/>
    <w:rsid w:val="00761656"/>
    <w:rsid w:val="007651C0"/>
    <w:rsid w:val="00775964"/>
    <w:rsid w:val="007845E1"/>
    <w:rsid w:val="00786AE1"/>
    <w:rsid w:val="00795BFB"/>
    <w:rsid w:val="00797BD0"/>
    <w:rsid w:val="007A1915"/>
    <w:rsid w:val="007A3E38"/>
    <w:rsid w:val="007A462D"/>
    <w:rsid w:val="007B2760"/>
    <w:rsid w:val="007C5B9C"/>
    <w:rsid w:val="007D428F"/>
    <w:rsid w:val="007D77E9"/>
    <w:rsid w:val="007E453B"/>
    <w:rsid w:val="007E65B5"/>
    <w:rsid w:val="008012A9"/>
    <w:rsid w:val="00806C01"/>
    <w:rsid w:val="00811BEF"/>
    <w:rsid w:val="00813B0E"/>
    <w:rsid w:val="008148CC"/>
    <w:rsid w:val="00816EAA"/>
    <w:rsid w:val="00817F7A"/>
    <w:rsid w:val="008211A4"/>
    <w:rsid w:val="00821345"/>
    <w:rsid w:val="00822AE9"/>
    <w:rsid w:val="008377FE"/>
    <w:rsid w:val="00845514"/>
    <w:rsid w:val="008531E3"/>
    <w:rsid w:val="00853BEE"/>
    <w:rsid w:val="008660A2"/>
    <w:rsid w:val="00873150"/>
    <w:rsid w:val="0087657D"/>
    <w:rsid w:val="008775D5"/>
    <w:rsid w:val="008807D5"/>
    <w:rsid w:val="00880832"/>
    <w:rsid w:val="00886EE1"/>
    <w:rsid w:val="0088727D"/>
    <w:rsid w:val="00897C75"/>
    <w:rsid w:val="008C1130"/>
    <w:rsid w:val="008C7515"/>
    <w:rsid w:val="008D18E6"/>
    <w:rsid w:val="008D7A9B"/>
    <w:rsid w:val="008E76AC"/>
    <w:rsid w:val="008F21F6"/>
    <w:rsid w:val="008F4F9A"/>
    <w:rsid w:val="0093246C"/>
    <w:rsid w:val="00933072"/>
    <w:rsid w:val="0093506B"/>
    <w:rsid w:val="00936677"/>
    <w:rsid w:val="00937C80"/>
    <w:rsid w:val="00951F79"/>
    <w:rsid w:val="00972BAD"/>
    <w:rsid w:val="00974AB5"/>
    <w:rsid w:val="00974C38"/>
    <w:rsid w:val="0098706D"/>
    <w:rsid w:val="00991DE5"/>
    <w:rsid w:val="009935FB"/>
    <w:rsid w:val="009C14F9"/>
    <w:rsid w:val="009C3BBD"/>
    <w:rsid w:val="009C3EF0"/>
    <w:rsid w:val="009E139A"/>
    <w:rsid w:val="009E698D"/>
    <w:rsid w:val="009E79E4"/>
    <w:rsid w:val="009F4A54"/>
    <w:rsid w:val="009F4BEC"/>
    <w:rsid w:val="00A17C23"/>
    <w:rsid w:val="00A17E0C"/>
    <w:rsid w:val="00A21A54"/>
    <w:rsid w:val="00A21FC7"/>
    <w:rsid w:val="00A25FD7"/>
    <w:rsid w:val="00A33C22"/>
    <w:rsid w:val="00A43AFF"/>
    <w:rsid w:val="00A621D6"/>
    <w:rsid w:val="00A64866"/>
    <w:rsid w:val="00A703A8"/>
    <w:rsid w:val="00A7793A"/>
    <w:rsid w:val="00A77D85"/>
    <w:rsid w:val="00A85B4B"/>
    <w:rsid w:val="00A90A01"/>
    <w:rsid w:val="00A95565"/>
    <w:rsid w:val="00AA0080"/>
    <w:rsid w:val="00AA3367"/>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4064"/>
    <w:rsid w:val="00B46BCA"/>
    <w:rsid w:val="00B50816"/>
    <w:rsid w:val="00B64127"/>
    <w:rsid w:val="00B66DCE"/>
    <w:rsid w:val="00B72766"/>
    <w:rsid w:val="00B86F7B"/>
    <w:rsid w:val="00B87806"/>
    <w:rsid w:val="00B87EC9"/>
    <w:rsid w:val="00B910A5"/>
    <w:rsid w:val="00B9747D"/>
    <w:rsid w:val="00BB0715"/>
    <w:rsid w:val="00BB1387"/>
    <w:rsid w:val="00BC38FD"/>
    <w:rsid w:val="00BD7B34"/>
    <w:rsid w:val="00BF74DF"/>
    <w:rsid w:val="00C032EB"/>
    <w:rsid w:val="00C034CB"/>
    <w:rsid w:val="00C04F7A"/>
    <w:rsid w:val="00C051A8"/>
    <w:rsid w:val="00C054BC"/>
    <w:rsid w:val="00C0577A"/>
    <w:rsid w:val="00C1014F"/>
    <w:rsid w:val="00C13407"/>
    <w:rsid w:val="00C17897"/>
    <w:rsid w:val="00C22A01"/>
    <w:rsid w:val="00C27833"/>
    <w:rsid w:val="00C27DAC"/>
    <w:rsid w:val="00C33E50"/>
    <w:rsid w:val="00C34904"/>
    <w:rsid w:val="00C34EAF"/>
    <w:rsid w:val="00C3655B"/>
    <w:rsid w:val="00C409D5"/>
    <w:rsid w:val="00C466B5"/>
    <w:rsid w:val="00C6234B"/>
    <w:rsid w:val="00C63EAE"/>
    <w:rsid w:val="00C746E7"/>
    <w:rsid w:val="00C7629F"/>
    <w:rsid w:val="00C8065C"/>
    <w:rsid w:val="00C8661B"/>
    <w:rsid w:val="00CA139A"/>
    <w:rsid w:val="00CA2899"/>
    <w:rsid w:val="00CA77FB"/>
    <w:rsid w:val="00CB379B"/>
    <w:rsid w:val="00CB382F"/>
    <w:rsid w:val="00CB4B8D"/>
    <w:rsid w:val="00CB5DD0"/>
    <w:rsid w:val="00CC51D4"/>
    <w:rsid w:val="00CC65DA"/>
    <w:rsid w:val="00CF0042"/>
    <w:rsid w:val="00CF21B9"/>
    <w:rsid w:val="00CF6BF9"/>
    <w:rsid w:val="00D01521"/>
    <w:rsid w:val="00D03800"/>
    <w:rsid w:val="00D048ED"/>
    <w:rsid w:val="00D065D3"/>
    <w:rsid w:val="00D1264F"/>
    <w:rsid w:val="00D14C94"/>
    <w:rsid w:val="00D159D8"/>
    <w:rsid w:val="00D2525B"/>
    <w:rsid w:val="00D342A6"/>
    <w:rsid w:val="00D34DBB"/>
    <w:rsid w:val="00D41220"/>
    <w:rsid w:val="00D464BF"/>
    <w:rsid w:val="00D53E26"/>
    <w:rsid w:val="00D5698E"/>
    <w:rsid w:val="00D61FA9"/>
    <w:rsid w:val="00D670AA"/>
    <w:rsid w:val="00D67940"/>
    <w:rsid w:val="00D7616D"/>
    <w:rsid w:val="00D82C6E"/>
    <w:rsid w:val="00D84DFF"/>
    <w:rsid w:val="00D922E9"/>
    <w:rsid w:val="00D97682"/>
    <w:rsid w:val="00DB451C"/>
    <w:rsid w:val="00DB51C7"/>
    <w:rsid w:val="00DC255D"/>
    <w:rsid w:val="00DC5A43"/>
    <w:rsid w:val="00DD28C6"/>
    <w:rsid w:val="00DD35CC"/>
    <w:rsid w:val="00DD4F0E"/>
    <w:rsid w:val="00DD7C59"/>
    <w:rsid w:val="00DF0ACF"/>
    <w:rsid w:val="00DF375A"/>
    <w:rsid w:val="00E00AAF"/>
    <w:rsid w:val="00E05E0A"/>
    <w:rsid w:val="00E15AE6"/>
    <w:rsid w:val="00E212D5"/>
    <w:rsid w:val="00E27B4D"/>
    <w:rsid w:val="00E37FB9"/>
    <w:rsid w:val="00E433F6"/>
    <w:rsid w:val="00E534CF"/>
    <w:rsid w:val="00E566FE"/>
    <w:rsid w:val="00E81CB4"/>
    <w:rsid w:val="00E81E82"/>
    <w:rsid w:val="00E820DD"/>
    <w:rsid w:val="00E8585B"/>
    <w:rsid w:val="00E85A2D"/>
    <w:rsid w:val="00E86AFA"/>
    <w:rsid w:val="00E9263F"/>
    <w:rsid w:val="00E93051"/>
    <w:rsid w:val="00E94997"/>
    <w:rsid w:val="00EA3F15"/>
    <w:rsid w:val="00EA40C9"/>
    <w:rsid w:val="00EA6D0B"/>
    <w:rsid w:val="00EA7847"/>
    <w:rsid w:val="00EB3FD4"/>
    <w:rsid w:val="00EC16C2"/>
    <w:rsid w:val="00EC6D45"/>
    <w:rsid w:val="00ED7141"/>
    <w:rsid w:val="00EE2E6E"/>
    <w:rsid w:val="00EF0538"/>
    <w:rsid w:val="00EF061E"/>
    <w:rsid w:val="00EF5C39"/>
    <w:rsid w:val="00EF6C23"/>
    <w:rsid w:val="00F0759E"/>
    <w:rsid w:val="00F12BA5"/>
    <w:rsid w:val="00F43023"/>
    <w:rsid w:val="00F45935"/>
    <w:rsid w:val="00F60019"/>
    <w:rsid w:val="00F604A8"/>
    <w:rsid w:val="00F75DE2"/>
    <w:rsid w:val="00F821A3"/>
    <w:rsid w:val="00F86847"/>
    <w:rsid w:val="00F9314A"/>
    <w:rsid w:val="00F96D1B"/>
    <w:rsid w:val="00FB0A17"/>
    <w:rsid w:val="00FB29AB"/>
    <w:rsid w:val="00FB4485"/>
    <w:rsid w:val="00FC4E3D"/>
    <w:rsid w:val="00FC58EF"/>
    <w:rsid w:val="00FD33DF"/>
    <w:rsid w:val="00FD552B"/>
    <w:rsid w:val="00FE39D7"/>
    <w:rsid w:val="00FE466F"/>
    <w:rsid w:val="00FE7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0FFF-8FB5-43AD-9AC1-54952C98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4</Pages>
  <Words>1299</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2014-04-08T19:52:00Z</cp:lastPrinted>
  <dcterms:created xsi:type="dcterms:W3CDTF">2014-04-21T21:00:00Z</dcterms:created>
  <dcterms:modified xsi:type="dcterms:W3CDTF">2014-04-21T21:00:00Z</dcterms:modified>
</cp:coreProperties>
</file>