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F69" w:rsidRDefault="00726C1D" w:rsidP="00FB7F6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7.15pt;margin-top:-53.35pt;width:52.5pt;height:48.75pt;z-index:251659264" fillcolor="#0c9">
            <v:imagedata r:id="rId9" o:title=""/>
          </v:shape>
          <o:OLEObject Type="Embed" ProgID="PBrush" ShapeID="_x0000_s1027" DrawAspect="Content" ObjectID="_1427204381" r:id="rId10"/>
        </w:pict>
      </w:r>
    </w:p>
    <w:p w:rsidR="00FB7F69" w:rsidRDefault="00FB7F69" w:rsidP="00FB7F69">
      <w:pPr>
        <w:pStyle w:val="Ttulo4"/>
        <w:tabs>
          <w:tab w:val="left" w:pos="0"/>
          <w:tab w:val="right" w:pos="9356"/>
        </w:tabs>
        <w:ind w:left="0"/>
        <w:rPr>
          <w:rFonts w:ascii="Bookman Old Style" w:hAnsi="Bookman Old Style"/>
          <w:b w:val="0"/>
          <w:bCs/>
          <w:sz w:val="24"/>
          <w:szCs w:val="24"/>
        </w:rPr>
      </w:pPr>
    </w:p>
    <w:p w:rsidR="00FB7F69" w:rsidRPr="00D03800" w:rsidRDefault="00FB7F69" w:rsidP="00FB7F69">
      <w:pPr>
        <w:pStyle w:val="Ttulo4"/>
        <w:tabs>
          <w:tab w:val="left" w:pos="0"/>
          <w:tab w:val="right" w:pos="9356"/>
        </w:tabs>
        <w:ind w:left="0"/>
        <w:rPr>
          <w:rFonts w:ascii="Bookman Old Style" w:hAnsi="Bookman Old Style"/>
          <w:b w:val="0"/>
          <w:bCs/>
          <w:noProof/>
          <w:sz w:val="24"/>
          <w:szCs w:val="24"/>
          <w:lang w:val="es-ES"/>
        </w:rPr>
      </w:pPr>
      <w:r w:rsidRPr="00D03800">
        <w:rPr>
          <w:rFonts w:ascii="Bookman Old Style" w:hAnsi="Bookman Old Style"/>
          <w:b w:val="0"/>
          <w:bCs/>
          <w:sz w:val="24"/>
          <w:szCs w:val="24"/>
        </w:rPr>
        <w:t>Ministerio de Minas y Energía</w:t>
      </w:r>
    </w:p>
    <w:p w:rsidR="00FB7F69" w:rsidRPr="00D03800" w:rsidRDefault="00FB7F69" w:rsidP="00FB7F69">
      <w:pPr>
        <w:pStyle w:val="Ttulo4"/>
        <w:tabs>
          <w:tab w:val="left" w:pos="0"/>
          <w:tab w:val="right" w:pos="9356"/>
        </w:tabs>
        <w:ind w:left="0"/>
        <w:rPr>
          <w:rFonts w:ascii="Bookman Old Style" w:hAnsi="Bookman Old Style"/>
          <w:b w:val="0"/>
          <w:bCs/>
          <w:sz w:val="24"/>
          <w:szCs w:val="24"/>
        </w:rPr>
      </w:pPr>
    </w:p>
    <w:p w:rsidR="00FB7F69" w:rsidRPr="00397365" w:rsidRDefault="00FB7F69" w:rsidP="00FB7F69">
      <w:pPr>
        <w:pStyle w:val="Ttulo3"/>
        <w:tabs>
          <w:tab w:val="left" w:pos="0"/>
          <w:tab w:val="right" w:pos="9356"/>
        </w:tabs>
        <w:ind w:left="0"/>
        <w:rPr>
          <w:rFonts w:ascii="Bookman Old Style" w:hAnsi="Bookman Old Style" w:cs="Arial"/>
          <w:spacing w:val="20"/>
          <w:szCs w:val="24"/>
        </w:rPr>
      </w:pPr>
      <w:r>
        <w:rPr>
          <w:rFonts w:ascii="Bookman Old Style" w:hAnsi="Bookman Old Style" w:cs="Arial"/>
          <w:spacing w:val="20"/>
          <w:szCs w:val="24"/>
        </w:rPr>
        <w:t>COMISIÓN DE REGULACIÓN DE ENERGÍA Y GAS -CREG-</w:t>
      </w:r>
    </w:p>
    <w:p w:rsidR="00FB7F69" w:rsidRPr="00397365" w:rsidRDefault="00FB7F69" w:rsidP="00FB7F69">
      <w:pPr>
        <w:pStyle w:val="Ttulo5"/>
        <w:tabs>
          <w:tab w:val="left" w:pos="0"/>
          <w:tab w:val="right" w:pos="9356"/>
        </w:tabs>
        <w:ind w:left="0"/>
        <w:rPr>
          <w:rFonts w:ascii="Bookman Old Style" w:hAnsi="Bookman Old Style"/>
          <w:sz w:val="24"/>
          <w:szCs w:val="24"/>
        </w:rPr>
      </w:pPr>
    </w:p>
    <w:p w:rsidR="00FB7F69" w:rsidRPr="00397365" w:rsidRDefault="00FB7F69" w:rsidP="00FB7F69">
      <w:pPr>
        <w:pStyle w:val="Ttulo5"/>
        <w:tabs>
          <w:tab w:val="left" w:pos="0"/>
          <w:tab w:val="right" w:pos="9356"/>
        </w:tabs>
        <w:ind w:left="0"/>
        <w:rPr>
          <w:rFonts w:ascii="Bookman Old Style" w:hAnsi="Bookman Old Style"/>
          <w:sz w:val="24"/>
          <w:szCs w:val="24"/>
        </w:rPr>
      </w:pPr>
    </w:p>
    <w:p w:rsidR="00FB7F69" w:rsidRPr="00397365" w:rsidRDefault="00FB7F69" w:rsidP="00FB7F69">
      <w:pPr>
        <w:pStyle w:val="Ttulo5"/>
        <w:tabs>
          <w:tab w:val="left" w:pos="0"/>
          <w:tab w:val="right" w:pos="9356"/>
        </w:tabs>
        <w:ind w:left="0"/>
        <w:rPr>
          <w:rFonts w:ascii="Bookman Old Style" w:hAnsi="Bookman Old Style"/>
          <w:sz w:val="24"/>
          <w:szCs w:val="24"/>
        </w:rPr>
      </w:pPr>
      <w:r w:rsidRPr="00397365">
        <w:rPr>
          <w:rFonts w:ascii="Bookman Old Style" w:hAnsi="Bookman Old Style"/>
          <w:sz w:val="24"/>
          <w:szCs w:val="24"/>
        </w:rPr>
        <w:t>RESOLUCIÓN No.                   DE 201</w:t>
      </w:r>
      <w:r w:rsidR="008000C4">
        <w:rPr>
          <w:rFonts w:ascii="Bookman Old Style" w:hAnsi="Bookman Old Style"/>
          <w:sz w:val="24"/>
          <w:szCs w:val="24"/>
        </w:rPr>
        <w:t>3</w:t>
      </w:r>
    </w:p>
    <w:p w:rsidR="00FB7F69" w:rsidRPr="00D03800" w:rsidRDefault="00FB7F69" w:rsidP="00FB7F69">
      <w:pPr>
        <w:tabs>
          <w:tab w:val="left" w:pos="0"/>
          <w:tab w:val="right" w:pos="9356"/>
        </w:tabs>
        <w:ind w:left="0"/>
        <w:jc w:val="center"/>
        <w:rPr>
          <w:rFonts w:ascii="Bookman Old Style" w:hAnsi="Bookman Old Style" w:cs="Arial"/>
          <w:b/>
          <w:snapToGrid w:val="0"/>
          <w:color w:val="000000"/>
          <w:lang w:val="es-ES_tradnl"/>
        </w:rPr>
      </w:pPr>
    </w:p>
    <w:p w:rsidR="00FB7F69" w:rsidRPr="00D03800" w:rsidRDefault="00FB7F69" w:rsidP="00FB7F69">
      <w:pPr>
        <w:pStyle w:val="Ttulo3"/>
        <w:tabs>
          <w:tab w:val="left" w:pos="0"/>
          <w:tab w:val="right" w:pos="9356"/>
        </w:tabs>
        <w:ind w:left="0"/>
        <w:rPr>
          <w:rFonts w:ascii="Bookman Old Style" w:hAnsi="Bookman Old Style"/>
          <w:b w:val="0"/>
          <w:szCs w:val="24"/>
        </w:rPr>
      </w:pPr>
      <w:r w:rsidRPr="00D03800">
        <w:rPr>
          <w:rFonts w:ascii="Bookman Old Style" w:hAnsi="Bookman Old Style"/>
          <w:b w:val="0"/>
          <w:szCs w:val="24"/>
        </w:rPr>
        <w:t>(                                  )</w:t>
      </w:r>
    </w:p>
    <w:p w:rsidR="00FB7F69" w:rsidRPr="00D03800" w:rsidRDefault="00FB7F69" w:rsidP="00FB7F69">
      <w:pPr>
        <w:tabs>
          <w:tab w:val="left" w:pos="0"/>
          <w:tab w:val="right" w:pos="9356"/>
        </w:tabs>
        <w:ind w:left="0"/>
        <w:jc w:val="center"/>
        <w:rPr>
          <w:rFonts w:ascii="Bookman Old Style" w:hAnsi="Bookman Old Style"/>
          <w:lang w:val="es-ES_tradnl"/>
        </w:rPr>
      </w:pPr>
    </w:p>
    <w:p w:rsidR="00FB7F69" w:rsidRDefault="00FB7F69" w:rsidP="00FB7F69">
      <w:pPr>
        <w:ind w:left="0"/>
        <w:rPr>
          <w:rFonts w:ascii="Bookman Old Style" w:hAnsi="Bookman Old Style"/>
          <w:bCs/>
          <w:lang w:val="es-ES_tradnl"/>
        </w:rPr>
      </w:pPr>
    </w:p>
    <w:p w:rsidR="008000C4" w:rsidRDefault="008000C4" w:rsidP="00FB7F69">
      <w:pPr>
        <w:ind w:left="0"/>
        <w:rPr>
          <w:rFonts w:ascii="Bookman Old Style" w:hAnsi="Bookman Old Style"/>
          <w:bCs/>
          <w:lang w:val="es-ES_tradnl"/>
        </w:rPr>
      </w:pPr>
    </w:p>
    <w:p w:rsidR="00FB7F69" w:rsidRPr="00617704" w:rsidRDefault="00FB7F69" w:rsidP="002B45E3">
      <w:pPr>
        <w:tabs>
          <w:tab w:val="left" w:pos="709"/>
          <w:tab w:val="left" w:pos="1134"/>
        </w:tabs>
        <w:ind w:left="227" w:right="567"/>
        <w:jc w:val="center"/>
        <w:rPr>
          <w:rFonts w:ascii="Bookman Old Style" w:hAnsi="Bookman Old Style"/>
        </w:rPr>
      </w:pPr>
      <w:r w:rsidRPr="00617704">
        <w:rPr>
          <w:rFonts w:ascii="Bookman Old Style" w:hAnsi="Bookman Old Style"/>
        </w:rPr>
        <w:t>Por medio de la cual se resuelve un recurso de reposición en contra de la Resolución CREG 1</w:t>
      </w:r>
      <w:r w:rsidR="0060237D">
        <w:rPr>
          <w:rFonts w:ascii="Bookman Old Style" w:hAnsi="Bookman Old Style"/>
        </w:rPr>
        <w:t>19</w:t>
      </w:r>
      <w:r w:rsidRPr="00617704">
        <w:rPr>
          <w:rFonts w:ascii="Bookman Old Style" w:hAnsi="Bookman Old Style"/>
        </w:rPr>
        <w:t xml:space="preserve"> de 201</w:t>
      </w:r>
      <w:r w:rsidR="0060237D">
        <w:rPr>
          <w:rFonts w:ascii="Bookman Old Style" w:hAnsi="Bookman Old Style"/>
        </w:rPr>
        <w:t>2</w:t>
      </w:r>
    </w:p>
    <w:p w:rsidR="00FB7F69" w:rsidRDefault="00FB7F69" w:rsidP="00FB7F69">
      <w:pPr>
        <w:ind w:left="227" w:right="-454"/>
        <w:jc w:val="both"/>
        <w:rPr>
          <w:sz w:val="23"/>
        </w:rPr>
      </w:pPr>
    </w:p>
    <w:p w:rsidR="00FB7F69" w:rsidRDefault="00FB7F69" w:rsidP="00FB7F69">
      <w:pPr>
        <w:ind w:left="170" w:right="-454"/>
        <w:jc w:val="both"/>
        <w:rPr>
          <w:sz w:val="23"/>
        </w:rPr>
      </w:pPr>
    </w:p>
    <w:p w:rsidR="008000C4" w:rsidRDefault="008000C4" w:rsidP="00FB7F69">
      <w:pPr>
        <w:ind w:left="170" w:right="-454"/>
        <w:jc w:val="both"/>
        <w:rPr>
          <w:sz w:val="23"/>
        </w:rPr>
      </w:pPr>
    </w:p>
    <w:p w:rsidR="00FB7F69" w:rsidRPr="00C051A8" w:rsidRDefault="00FB7F69" w:rsidP="00FB7F69">
      <w:pPr>
        <w:ind w:left="170" w:right="-454"/>
        <w:jc w:val="center"/>
        <w:rPr>
          <w:rFonts w:ascii="Bookman Old Style" w:hAnsi="Bookman Old Style"/>
          <w:b/>
        </w:rPr>
      </w:pPr>
      <w:r w:rsidRPr="00C051A8">
        <w:rPr>
          <w:rFonts w:ascii="Bookman Old Style" w:hAnsi="Bookman Old Style"/>
          <w:b/>
        </w:rPr>
        <w:t xml:space="preserve">LA </w:t>
      </w:r>
      <w:r>
        <w:rPr>
          <w:rFonts w:ascii="Bookman Old Style" w:hAnsi="Bookman Old Style"/>
          <w:b/>
        </w:rPr>
        <w:t>COMISIÓN DE REGULACIÓN DE ENERGÍA Y GAS -CREG-</w:t>
      </w:r>
    </w:p>
    <w:p w:rsidR="00FB7F69" w:rsidRPr="00C051A8" w:rsidRDefault="00FB7F69" w:rsidP="00FB7F69">
      <w:pPr>
        <w:ind w:left="170" w:right="-454"/>
        <w:jc w:val="both"/>
        <w:rPr>
          <w:rFonts w:ascii="Bookman Old Style" w:hAnsi="Bookman Old Style"/>
        </w:rPr>
      </w:pPr>
    </w:p>
    <w:p w:rsidR="00FB7F69" w:rsidRPr="00C051A8" w:rsidRDefault="00FB7F69" w:rsidP="00FB7F69">
      <w:pPr>
        <w:ind w:left="170" w:right="-454"/>
        <w:jc w:val="both"/>
        <w:rPr>
          <w:rFonts w:ascii="Bookman Old Style" w:hAnsi="Bookman Old Style"/>
        </w:rPr>
      </w:pPr>
    </w:p>
    <w:p w:rsidR="00FB7F69" w:rsidRPr="00C051A8" w:rsidRDefault="00FB7F69" w:rsidP="00FB7F69">
      <w:pPr>
        <w:ind w:left="170"/>
        <w:jc w:val="both"/>
        <w:rPr>
          <w:rFonts w:ascii="Bookman Old Style" w:hAnsi="Bookman Old Style"/>
        </w:rPr>
      </w:pPr>
      <w:r w:rsidRPr="00C051A8">
        <w:rPr>
          <w:rFonts w:ascii="Bookman Old Style" w:hAnsi="Bookman Old Style"/>
        </w:rPr>
        <w:t>En uso de sus facultades legales, en especial las conferidas por la</w:t>
      </w:r>
      <w:r>
        <w:rPr>
          <w:rFonts w:ascii="Bookman Old Style" w:hAnsi="Bookman Old Style"/>
        </w:rPr>
        <w:t>s</w:t>
      </w:r>
      <w:r w:rsidRPr="00C051A8">
        <w:rPr>
          <w:rFonts w:ascii="Bookman Old Style" w:hAnsi="Bookman Old Style"/>
        </w:rPr>
        <w:t xml:space="preserve"> Ley</w:t>
      </w:r>
      <w:r>
        <w:rPr>
          <w:rFonts w:ascii="Bookman Old Style" w:hAnsi="Bookman Old Style"/>
        </w:rPr>
        <w:t>es</w:t>
      </w:r>
      <w:r w:rsidRPr="00C051A8">
        <w:rPr>
          <w:rFonts w:ascii="Bookman Old Style" w:hAnsi="Bookman Old Style"/>
        </w:rPr>
        <w:t xml:space="preserve"> 142 de 1994</w:t>
      </w:r>
      <w:r>
        <w:rPr>
          <w:rFonts w:ascii="Bookman Old Style" w:hAnsi="Bookman Old Style"/>
        </w:rPr>
        <w:t xml:space="preserve"> y 143 de 1994</w:t>
      </w:r>
      <w:r w:rsidRPr="00C051A8">
        <w:rPr>
          <w:rFonts w:ascii="Bookman Old Style" w:hAnsi="Bookman Old Style"/>
        </w:rPr>
        <w:t>, y en desarrollo de los</w:t>
      </w:r>
      <w:r>
        <w:rPr>
          <w:rFonts w:ascii="Bookman Old Style" w:hAnsi="Bookman Old Style"/>
        </w:rPr>
        <w:t xml:space="preserve"> decretos 1524 y 2253 de 1994, </w:t>
      </w:r>
    </w:p>
    <w:p w:rsidR="00FB7F69" w:rsidRDefault="00FB7F69" w:rsidP="00FB7F69">
      <w:pPr>
        <w:ind w:left="0" w:right="-454"/>
        <w:jc w:val="both"/>
        <w:rPr>
          <w:rFonts w:ascii="Bookman Old Style" w:hAnsi="Bookman Old Style"/>
        </w:rPr>
      </w:pPr>
    </w:p>
    <w:p w:rsidR="008000C4" w:rsidRPr="00C051A8" w:rsidRDefault="008000C4" w:rsidP="00FB7F69">
      <w:pPr>
        <w:ind w:left="0" w:right="-454"/>
        <w:jc w:val="both"/>
        <w:rPr>
          <w:rFonts w:ascii="Bookman Old Style" w:hAnsi="Bookman Old Style"/>
        </w:rPr>
      </w:pPr>
    </w:p>
    <w:p w:rsidR="00FB7F69" w:rsidRPr="00C051A8" w:rsidRDefault="00FB7F69" w:rsidP="00FB7F69">
      <w:pPr>
        <w:ind w:left="170" w:right="-454"/>
        <w:jc w:val="both"/>
        <w:rPr>
          <w:rFonts w:ascii="Bookman Old Style" w:hAnsi="Bookman Old Style"/>
        </w:rPr>
      </w:pPr>
    </w:p>
    <w:p w:rsidR="00FB7F69" w:rsidRPr="00F763C8" w:rsidRDefault="00FB7F69" w:rsidP="00FB7F69">
      <w:pPr>
        <w:tabs>
          <w:tab w:val="center" w:pos="4512"/>
        </w:tabs>
        <w:suppressAutoHyphens/>
        <w:ind w:left="170" w:right="-454"/>
        <w:jc w:val="center"/>
        <w:rPr>
          <w:rFonts w:ascii="Bookman Old Style" w:hAnsi="Bookman Old Style"/>
          <w:b/>
          <w:spacing w:val="-3"/>
        </w:rPr>
      </w:pPr>
      <w:r w:rsidRPr="00C051A8">
        <w:rPr>
          <w:rFonts w:ascii="Bookman Old Style" w:hAnsi="Bookman Old Style"/>
          <w:b/>
          <w:spacing w:val="-3"/>
        </w:rPr>
        <w:t>C O N S I D E R A N D O:</w:t>
      </w:r>
    </w:p>
    <w:p w:rsidR="00FB7F69" w:rsidRDefault="00FB7F69" w:rsidP="00FB7F69">
      <w:pPr>
        <w:ind w:left="0"/>
        <w:jc w:val="both"/>
        <w:rPr>
          <w:rFonts w:ascii="Bookman Old Style" w:hAnsi="Bookman Old Style"/>
        </w:rPr>
      </w:pPr>
    </w:p>
    <w:p w:rsidR="00617704" w:rsidRPr="00C051A8" w:rsidRDefault="00617704" w:rsidP="00FB7F69">
      <w:pPr>
        <w:ind w:left="0"/>
        <w:jc w:val="both"/>
        <w:rPr>
          <w:rFonts w:ascii="Bookman Old Style" w:hAnsi="Bookman Old Style"/>
        </w:rPr>
      </w:pPr>
    </w:p>
    <w:p w:rsidR="00FB7F69" w:rsidRDefault="00FB7F69" w:rsidP="00FB7F69">
      <w:pPr>
        <w:ind w:left="0"/>
        <w:jc w:val="both"/>
        <w:rPr>
          <w:rFonts w:ascii="Bookman Old Style" w:hAnsi="Bookman Old Style" w:cs="Arial"/>
        </w:rPr>
      </w:pPr>
      <w:r>
        <w:rPr>
          <w:rFonts w:ascii="Bookman Old Style" w:hAnsi="Bookman Old Style" w:cs="Arial"/>
        </w:rPr>
        <w:t>Que de acuerdo con el artículo 85 de la Ley 142 de 1994, c</w:t>
      </w:r>
      <w:r w:rsidRPr="00A666D2">
        <w:rPr>
          <w:rFonts w:ascii="Bookman Old Style" w:hAnsi="Bookman Old Style" w:cs="Arial"/>
        </w:rPr>
        <w:t xml:space="preserve">on el fin de recuperar los costos del servicio de regulación que preste cada comisión </w:t>
      </w:r>
      <w:r>
        <w:rPr>
          <w:rFonts w:ascii="Bookman Old Style" w:hAnsi="Bookman Old Style" w:cs="Arial"/>
        </w:rPr>
        <w:t xml:space="preserve">a </w:t>
      </w:r>
      <w:r w:rsidRPr="00A666D2">
        <w:rPr>
          <w:rFonts w:ascii="Bookman Old Style" w:hAnsi="Bookman Old Style" w:cs="Arial"/>
        </w:rPr>
        <w:t xml:space="preserve">las entidades sometidas a su regulación, </w:t>
      </w:r>
      <w:r w:rsidR="00ED28F7">
        <w:rPr>
          <w:rFonts w:ascii="Bookman Old Style" w:hAnsi="Bookman Old Style" w:cs="Arial"/>
        </w:rPr>
        <w:t>las mismas</w:t>
      </w:r>
      <w:r w:rsidRPr="00A666D2">
        <w:rPr>
          <w:rFonts w:ascii="Bookman Old Style" w:hAnsi="Bookman Old Style" w:cs="Arial"/>
        </w:rPr>
        <w:t xml:space="preserve"> estarán sujetas </w:t>
      </w:r>
      <w:r>
        <w:rPr>
          <w:rFonts w:ascii="Bookman Old Style" w:hAnsi="Bookman Old Style" w:cs="Arial"/>
        </w:rPr>
        <w:t>a una contribución que se liquidará</w:t>
      </w:r>
      <w:r w:rsidRPr="00A666D2">
        <w:rPr>
          <w:rFonts w:ascii="Bookman Old Style" w:hAnsi="Bookman Old Style" w:cs="Arial"/>
        </w:rPr>
        <w:t xml:space="preserve"> y p</w:t>
      </w:r>
      <w:r>
        <w:rPr>
          <w:rFonts w:ascii="Bookman Old Style" w:hAnsi="Bookman Old Style" w:cs="Arial"/>
        </w:rPr>
        <w:t>agará</w:t>
      </w:r>
      <w:r w:rsidRPr="00A666D2">
        <w:rPr>
          <w:rFonts w:ascii="Bookman Old Style" w:hAnsi="Bookman Old Style" w:cs="Arial"/>
        </w:rPr>
        <w:t xml:space="preserve"> cada año conforme a las reglas</w:t>
      </w:r>
      <w:r>
        <w:rPr>
          <w:rFonts w:ascii="Bookman Old Style" w:hAnsi="Bookman Old Style" w:cs="Arial"/>
        </w:rPr>
        <w:t xml:space="preserve"> establecidas, en el n</w:t>
      </w:r>
      <w:r w:rsidR="00ED28F7">
        <w:rPr>
          <w:rFonts w:ascii="Bookman Old Style" w:hAnsi="Bookman Old Style" w:cs="Arial"/>
        </w:rPr>
        <w:t>umeral 2 y el parágrafo 2 de es</w:t>
      </w:r>
      <w:r>
        <w:rPr>
          <w:rFonts w:ascii="Bookman Old Style" w:hAnsi="Bookman Old Style" w:cs="Arial"/>
        </w:rPr>
        <w:t>a misma disposición</w:t>
      </w:r>
      <w:r w:rsidR="00617704">
        <w:rPr>
          <w:rFonts w:ascii="Bookman Old Style" w:hAnsi="Bookman Old Style" w:cs="Arial"/>
        </w:rPr>
        <w:t>;</w:t>
      </w:r>
    </w:p>
    <w:p w:rsidR="00FB7F69" w:rsidRDefault="00FB7F69" w:rsidP="00FB7F69">
      <w:pPr>
        <w:ind w:left="0"/>
        <w:jc w:val="both"/>
        <w:rPr>
          <w:rFonts w:ascii="Bookman Old Style" w:hAnsi="Bookman Old Style" w:cs="Arial"/>
        </w:rPr>
      </w:pPr>
    </w:p>
    <w:p w:rsidR="00FB7F69" w:rsidRPr="00F763C8" w:rsidRDefault="00FB7F69" w:rsidP="00FB7F69">
      <w:pPr>
        <w:ind w:left="0"/>
        <w:jc w:val="both"/>
        <w:rPr>
          <w:rFonts w:ascii="Bookman Old Style" w:hAnsi="Bookman Old Style" w:cs="Arial"/>
        </w:rPr>
      </w:pPr>
      <w:r w:rsidRPr="00F763C8">
        <w:rPr>
          <w:rFonts w:ascii="Bookman Old Style" w:hAnsi="Bookman Old Style" w:cs="Arial"/>
        </w:rPr>
        <w:t xml:space="preserve">Que la </w:t>
      </w:r>
      <w:r>
        <w:rPr>
          <w:rFonts w:ascii="Bookman Old Style" w:hAnsi="Bookman Old Style" w:cs="Arial"/>
        </w:rPr>
        <w:t>Comisión de Regulación de Energía y Gas -CREG-</w:t>
      </w:r>
      <w:r w:rsidRPr="00F763C8">
        <w:rPr>
          <w:rFonts w:ascii="Bookman Old Style" w:hAnsi="Bookman Old Style" w:cs="Arial"/>
        </w:rPr>
        <w:t xml:space="preserve"> tiene a su cargo la liquidación del monto de la contribución que se aplica a cada una de las entidades sujetas a su regulación, de acuerdo con lo señalado en</w:t>
      </w:r>
      <w:r>
        <w:rPr>
          <w:rFonts w:ascii="Bookman Old Style" w:hAnsi="Bookman Old Style" w:cs="Arial"/>
        </w:rPr>
        <w:t xml:space="preserve"> el artículo 85 de la Ley 142 de 1994 y en</w:t>
      </w:r>
      <w:r w:rsidRPr="00F763C8">
        <w:rPr>
          <w:rFonts w:ascii="Bookman Old Style" w:hAnsi="Bookman Old Style" w:cs="Arial"/>
        </w:rPr>
        <w:t xml:space="preserve"> los Artículos 20 y 21 del Decreto 2461 de 1999, para los subsectores de energía eléctrica y de gas combustible, cuya tarifa máxima no puede ser superior al uno por ciento (1%) del valor de los gastos de funcionamiento de la entidad contribuyente, con exclusión de los factores s</w:t>
      </w:r>
      <w:r>
        <w:rPr>
          <w:rFonts w:ascii="Bookman Old Style" w:hAnsi="Bookman Old Style" w:cs="Arial"/>
        </w:rPr>
        <w:t xml:space="preserve">eñalados en las Leyes 142 y 143 </w:t>
      </w:r>
      <w:r w:rsidRPr="00F763C8">
        <w:rPr>
          <w:rFonts w:ascii="Bookman Old Style" w:hAnsi="Bookman Old Style" w:cs="Arial"/>
        </w:rPr>
        <w:t>de 1994</w:t>
      </w:r>
      <w:r w:rsidR="00617704">
        <w:rPr>
          <w:rFonts w:ascii="Bookman Old Style" w:hAnsi="Bookman Old Style" w:cs="Arial"/>
        </w:rPr>
        <w:t>;</w:t>
      </w:r>
    </w:p>
    <w:p w:rsidR="00FB7F69" w:rsidRDefault="00FB7F69" w:rsidP="00FB7F69">
      <w:pPr>
        <w:pStyle w:val="Prrafodelista"/>
        <w:ind w:left="720"/>
        <w:jc w:val="both"/>
        <w:rPr>
          <w:rFonts w:ascii="Bookman Old Style" w:hAnsi="Bookman Old Style" w:cs="Arial"/>
          <w:sz w:val="24"/>
          <w:szCs w:val="24"/>
        </w:rPr>
      </w:pPr>
    </w:p>
    <w:p w:rsidR="0060237D" w:rsidRPr="0060237D" w:rsidRDefault="00FB7F69" w:rsidP="0060237D">
      <w:pPr>
        <w:ind w:left="0"/>
        <w:jc w:val="both"/>
        <w:rPr>
          <w:rFonts w:ascii="Bookman Old Style" w:hAnsi="Bookman Old Style" w:cs="Arial"/>
        </w:rPr>
      </w:pPr>
      <w:r w:rsidRPr="00F763C8">
        <w:rPr>
          <w:rFonts w:ascii="Bookman Old Style" w:hAnsi="Bookman Old Style" w:cs="Arial"/>
        </w:rPr>
        <w:t>Que mediante resolución CREG-1</w:t>
      </w:r>
      <w:r w:rsidR="0060237D">
        <w:rPr>
          <w:rFonts w:ascii="Bookman Old Style" w:hAnsi="Bookman Old Style" w:cs="Arial"/>
        </w:rPr>
        <w:t>19</w:t>
      </w:r>
      <w:r w:rsidRPr="00F763C8">
        <w:rPr>
          <w:rFonts w:ascii="Bookman Old Style" w:hAnsi="Bookman Old Style" w:cs="Arial"/>
        </w:rPr>
        <w:t xml:space="preserve"> del </w:t>
      </w:r>
      <w:r w:rsidR="0060237D">
        <w:rPr>
          <w:rFonts w:ascii="Bookman Old Style" w:hAnsi="Bookman Old Style" w:cs="Arial"/>
        </w:rPr>
        <w:t>19</w:t>
      </w:r>
      <w:r w:rsidRPr="00F763C8">
        <w:rPr>
          <w:rFonts w:ascii="Bookman Old Style" w:hAnsi="Bookman Old Style" w:cs="Arial"/>
        </w:rPr>
        <w:t xml:space="preserve"> de </w:t>
      </w:r>
      <w:r w:rsidR="0060237D">
        <w:rPr>
          <w:rFonts w:ascii="Bookman Old Style" w:hAnsi="Bookman Old Style" w:cs="Arial"/>
        </w:rPr>
        <w:t>octubre</w:t>
      </w:r>
      <w:r w:rsidRPr="00F763C8">
        <w:rPr>
          <w:rFonts w:ascii="Bookman Old Style" w:hAnsi="Bookman Old Style" w:cs="Arial"/>
        </w:rPr>
        <w:t xml:space="preserve"> de 201</w:t>
      </w:r>
      <w:r>
        <w:rPr>
          <w:rFonts w:ascii="Bookman Old Style" w:hAnsi="Bookman Old Style" w:cs="Arial"/>
        </w:rPr>
        <w:t>2</w:t>
      </w:r>
      <w:r w:rsidRPr="00F763C8">
        <w:rPr>
          <w:rFonts w:ascii="Bookman Old Style" w:hAnsi="Bookman Old Style" w:cs="Arial"/>
        </w:rPr>
        <w:t xml:space="preserve">, se </w:t>
      </w:r>
      <w:r w:rsidR="0060237D">
        <w:rPr>
          <w:rFonts w:ascii="Bookman Old Style" w:hAnsi="Bookman Old Style" w:cs="Arial"/>
        </w:rPr>
        <w:t xml:space="preserve"> s</w:t>
      </w:r>
      <w:r w:rsidR="0060237D" w:rsidRPr="00284404">
        <w:rPr>
          <w:rFonts w:ascii="Bookman Old Style" w:hAnsi="Bookman Old Style" w:cs="Arial"/>
        </w:rPr>
        <w:t>eñal</w:t>
      </w:r>
      <w:r w:rsidR="0060237D">
        <w:rPr>
          <w:rFonts w:ascii="Bookman Old Style" w:hAnsi="Bookman Old Style" w:cs="Arial"/>
        </w:rPr>
        <w:t xml:space="preserve">ó </w:t>
      </w:r>
      <w:r w:rsidR="0060237D" w:rsidRPr="00284404">
        <w:rPr>
          <w:rFonts w:ascii="Bookman Old Style" w:hAnsi="Bookman Old Style" w:cs="Arial"/>
        </w:rPr>
        <w:t xml:space="preserve">la contribución que debe pagar a la Comisión de Regulación de Energía y Gas </w:t>
      </w:r>
      <w:r w:rsidR="0060237D">
        <w:rPr>
          <w:rFonts w:ascii="Bookman Old Style" w:hAnsi="Bookman Old Style" w:cs="Arial"/>
        </w:rPr>
        <w:t xml:space="preserve">–CREG- </w:t>
      </w:r>
      <w:r w:rsidR="0060237D" w:rsidRPr="00284404">
        <w:rPr>
          <w:rFonts w:ascii="Bookman Old Style" w:hAnsi="Bookman Old Style" w:cs="Arial"/>
        </w:rPr>
        <w:t>cada una de las entidades reguladas por el año  201</w:t>
      </w:r>
      <w:r w:rsidR="0060237D">
        <w:rPr>
          <w:rFonts w:ascii="Bookman Old Style" w:hAnsi="Bookman Old Style" w:cs="Arial"/>
        </w:rPr>
        <w:t>2</w:t>
      </w:r>
      <w:r w:rsidR="008000C4">
        <w:rPr>
          <w:rFonts w:ascii="Bookman Old Style" w:hAnsi="Bookman Old Style" w:cs="Arial"/>
        </w:rPr>
        <w:t>;</w:t>
      </w:r>
    </w:p>
    <w:p w:rsidR="0060237D" w:rsidRDefault="0060237D" w:rsidP="00FB7F69">
      <w:pPr>
        <w:ind w:left="0"/>
        <w:jc w:val="both"/>
        <w:rPr>
          <w:rFonts w:ascii="Bookman Old Style" w:hAnsi="Bookman Old Style" w:cs="Arial"/>
        </w:rPr>
      </w:pPr>
    </w:p>
    <w:p w:rsidR="002B45E3" w:rsidRDefault="00FB7F69" w:rsidP="00FB7F69">
      <w:pPr>
        <w:ind w:left="0"/>
        <w:jc w:val="both"/>
        <w:rPr>
          <w:rFonts w:ascii="Bookman Old Style" w:hAnsi="Bookman Old Style" w:cs="Arial"/>
        </w:rPr>
      </w:pPr>
      <w:r w:rsidRPr="00F763C8">
        <w:rPr>
          <w:rFonts w:ascii="Bookman Old Style" w:hAnsi="Bookman Old Style" w:cs="Arial"/>
        </w:rPr>
        <w:t xml:space="preserve">Que </w:t>
      </w:r>
      <w:r>
        <w:rPr>
          <w:rFonts w:ascii="Bookman Old Style" w:hAnsi="Bookman Old Style" w:cs="Arial"/>
        </w:rPr>
        <w:t>el artículo 1 de</w:t>
      </w:r>
      <w:r w:rsidRPr="00F763C8">
        <w:rPr>
          <w:rFonts w:ascii="Bookman Old Style" w:hAnsi="Bookman Old Style" w:cs="Arial"/>
        </w:rPr>
        <w:t xml:space="preserve"> la resolución </w:t>
      </w:r>
      <w:r w:rsidR="0060237D" w:rsidRPr="00F763C8">
        <w:rPr>
          <w:rFonts w:ascii="Bookman Old Style" w:hAnsi="Bookman Old Style" w:cs="Arial"/>
        </w:rPr>
        <w:t>CREG-1</w:t>
      </w:r>
      <w:r w:rsidR="0060237D">
        <w:rPr>
          <w:rFonts w:ascii="Bookman Old Style" w:hAnsi="Bookman Old Style" w:cs="Arial"/>
        </w:rPr>
        <w:t>19</w:t>
      </w:r>
      <w:r w:rsidR="0060237D" w:rsidRPr="00F763C8">
        <w:rPr>
          <w:rFonts w:ascii="Bookman Old Style" w:hAnsi="Bookman Old Style" w:cs="Arial"/>
        </w:rPr>
        <w:t xml:space="preserve"> del </w:t>
      </w:r>
      <w:r w:rsidR="0060237D">
        <w:rPr>
          <w:rFonts w:ascii="Bookman Old Style" w:hAnsi="Bookman Old Style" w:cs="Arial"/>
        </w:rPr>
        <w:t>19</w:t>
      </w:r>
      <w:r w:rsidR="0060237D" w:rsidRPr="00F763C8">
        <w:rPr>
          <w:rFonts w:ascii="Bookman Old Style" w:hAnsi="Bookman Old Style" w:cs="Arial"/>
        </w:rPr>
        <w:t xml:space="preserve"> de </w:t>
      </w:r>
      <w:r w:rsidR="0060237D">
        <w:rPr>
          <w:rFonts w:ascii="Bookman Old Style" w:hAnsi="Bookman Old Style" w:cs="Arial"/>
        </w:rPr>
        <w:t>octubre</w:t>
      </w:r>
      <w:r w:rsidR="0060237D" w:rsidRPr="00F763C8">
        <w:rPr>
          <w:rFonts w:ascii="Bookman Old Style" w:hAnsi="Bookman Old Style" w:cs="Arial"/>
        </w:rPr>
        <w:t xml:space="preserve"> de 201</w:t>
      </w:r>
      <w:r w:rsidR="0060237D">
        <w:rPr>
          <w:rFonts w:ascii="Bookman Old Style" w:hAnsi="Bookman Old Style" w:cs="Arial"/>
        </w:rPr>
        <w:t>2</w:t>
      </w:r>
      <w:r w:rsidRPr="00F763C8">
        <w:rPr>
          <w:rFonts w:ascii="Bookman Old Style" w:hAnsi="Bookman Old Style" w:cs="Arial"/>
        </w:rPr>
        <w:t xml:space="preserve">, </w:t>
      </w:r>
      <w:r w:rsidR="0060237D">
        <w:rPr>
          <w:rFonts w:ascii="Bookman Old Style" w:hAnsi="Bookman Old Style" w:cs="Arial"/>
        </w:rPr>
        <w:t xml:space="preserve">señaló </w:t>
      </w:r>
      <w:r w:rsidRPr="00F763C8">
        <w:rPr>
          <w:rFonts w:ascii="Bookman Old Style" w:hAnsi="Bookman Old Style" w:cs="Arial"/>
        </w:rPr>
        <w:t>que</w:t>
      </w:r>
      <w:r>
        <w:rPr>
          <w:rFonts w:ascii="Bookman Old Style" w:hAnsi="Bookman Old Style" w:cs="Arial"/>
        </w:rPr>
        <w:t xml:space="preserve"> la</w:t>
      </w:r>
      <w:r w:rsidR="00ED28F7">
        <w:rPr>
          <w:rFonts w:ascii="Bookman Old Style" w:hAnsi="Bookman Old Style" w:cs="Arial"/>
        </w:rPr>
        <w:t xml:space="preserve"> </w:t>
      </w:r>
      <w:r w:rsidR="00C90E95">
        <w:rPr>
          <w:rFonts w:ascii="Bookman Old Style" w:hAnsi="Bookman Old Style" w:cs="Arial"/>
        </w:rPr>
        <w:t xml:space="preserve">sociedad </w:t>
      </w:r>
      <w:r w:rsidR="00ED28F7" w:rsidRPr="00ED28F7">
        <w:rPr>
          <w:rFonts w:ascii="Bookman Old Style" w:hAnsi="Bookman Old Style" w:cs="Arial"/>
          <w:color w:val="000000"/>
          <w:lang w:val="es-CO" w:eastAsia="es-CO"/>
        </w:rPr>
        <w:t>CENTRAL TERMOELECTRICA EL MORRO 1 S.A. E.S.P</w:t>
      </w:r>
      <w:r w:rsidR="00ED28F7" w:rsidRPr="00ED28F7">
        <w:rPr>
          <w:rFonts w:ascii="Calibri" w:hAnsi="Calibri" w:cs="Calibri"/>
          <w:color w:val="000000"/>
          <w:lang w:val="es-CO" w:eastAsia="es-CO"/>
        </w:rPr>
        <w:t>.</w:t>
      </w:r>
      <w:r>
        <w:rPr>
          <w:rFonts w:ascii="Bookman Old Style" w:hAnsi="Bookman Old Style" w:cs="Arial"/>
        </w:rPr>
        <w:t>debía</w:t>
      </w:r>
      <w:r w:rsidR="00ED28F7">
        <w:rPr>
          <w:rFonts w:ascii="Bookman Old Style" w:hAnsi="Bookman Old Style" w:cs="Arial"/>
        </w:rPr>
        <w:t xml:space="preserve"> </w:t>
      </w:r>
      <w:r>
        <w:rPr>
          <w:rFonts w:ascii="Bookman Old Style" w:hAnsi="Bookman Old Style" w:cs="Arial"/>
        </w:rPr>
        <w:t xml:space="preserve">pagar la suma </w:t>
      </w:r>
      <w:r w:rsidRPr="00ED28F7">
        <w:rPr>
          <w:rFonts w:ascii="Bookman Old Style" w:hAnsi="Bookman Old Style" w:cs="Arial"/>
        </w:rPr>
        <w:t>de</w:t>
      </w:r>
      <w:r w:rsidR="002F05A4">
        <w:rPr>
          <w:rFonts w:ascii="Bookman Old Style" w:hAnsi="Bookman Old Style" w:cs="Arial"/>
        </w:rPr>
        <w:t xml:space="preserve"> VEINTIDOS MILLONES CUATROCIENTOS OCHENTA Y TRES </w:t>
      </w:r>
      <w:r w:rsidR="002F05A4">
        <w:rPr>
          <w:rFonts w:ascii="Bookman Old Style" w:hAnsi="Bookman Old Style" w:cs="Arial"/>
        </w:rPr>
        <w:lastRenderedPageBreak/>
        <w:t>MIL OCHOCIENTOS OCHENTA Y SEIS PESOS</w:t>
      </w:r>
      <w:r w:rsidRPr="00ED28F7">
        <w:rPr>
          <w:rFonts w:ascii="Bookman Old Style" w:hAnsi="Bookman Old Style" w:cs="Arial"/>
        </w:rPr>
        <w:t xml:space="preserve"> </w:t>
      </w:r>
      <w:r w:rsidR="002F05A4">
        <w:rPr>
          <w:rFonts w:ascii="Bookman Old Style" w:hAnsi="Bookman Old Style" w:cs="Arial"/>
        </w:rPr>
        <w:t>(</w:t>
      </w:r>
      <w:r w:rsidRPr="00ED28F7">
        <w:rPr>
          <w:rFonts w:ascii="Bookman Old Style" w:hAnsi="Bookman Old Style" w:cs="Arial"/>
        </w:rPr>
        <w:t>$</w:t>
      </w:r>
      <w:r w:rsidR="00ED28F7" w:rsidRPr="00ED28F7">
        <w:rPr>
          <w:rFonts w:ascii="Bookman Old Style" w:hAnsi="Bookman Old Style" w:cs="Calibri"/>
          <w:color w:val="000000"/>
          <w:lang w:val="es-CO" w:eastAsia="es-CO"/>
        </w:rPr>
        <w:t>22.483.886</w:t>
      </w:r>
      <w:r w:rsidR="002F05A4">
        <w:rPr>
          <w:rFonts w:ascii="Bookman Old Style" w:hAnsi="Bookman Old Style" w:cs="Calibri"/>
          <w:color w:val="000000"/>
          <w:lang w:val="es-CO" w:eastAsia="es-CO"/>
        </w:rPr>
        <w:t>) M/CTE,</w:t>
      </w:r>
      <w:r w:rsidR="00ED28F7" w:rsidRPr="006F6AF2">
        <w:rPr>
          <w:rFonts w:ascii="Calibri" w:hAnsi="Calibri" w:cs="Calibri"/>
          <w:color w:val="000000"/>
          <w:sz w:val="22"/>
          <w:szCs w:val="22"/>
          <w:lang w:val="es-CO" w:eastAsia="es-CO"/>
        </w:rPr>
        <w:t xml:space="preserve"> </w:t>
      </w:r>
      <w:r>
        <w:rPr>
          <w:rFonts w:ascii="Bookman Old Style" w:hAnsi="Bookman Old Style" w:cs="Arial"/>
        </w:rPr>
        <w:t>por concepto de</w:t>
      </w:r>
      <w:r w:rsidR="002F05A4">
        <w:rPr>
          <w:rFonts w:ascii="Bookman Old Style" w:hAnsi="Bookman Old Style" w:cs="Arial"/>
        </w:rPr>
        <w:t xml:space="preserve"> la</w:t>
      </w:r>
      <w:r>
        <w:rPr>
          <w:rFonts w:ascii="Bookman Old Style" w:hAnsi="Bookman Old Style" w:cs="Arial"/>
        </w:rPr>
        <w:t xml:space="preserve"> contribución especial para el año 201</w:t>
      </w:r>
      <w:r w:rsidR="00ED28F7">
        <w:rPr>
          <w:rFonts w:ascii="Bookman Old Style" w:hAnsi="Bookman Old Style" w:cs="Arial"/>
        </w:rPr>
        <w:t>2</w:t>
      </w:r>
      <w:r w:rsidR="00617704">
        <w:rPr>
          <w:rFonts w:ascii="Bookman Old Style" w:hAnsi="Bookman Old Style" w:cs="Arial"/>
        </w:rPr>
        <w:t>;</w:t>
      </w:r>
    </w:p>
    <w:p w:rsidR="008000C4" w:rsidRDefault="008000C4" w:rsidP="00FB7F69">
      <w:pPr>
        <w:ind w:left="0"/>
        <w:jc w:val="both"/>
        <w:rPr>
          <w:rFonts w:ascii="Bookman Old Style" w:hAnsi="Bookman Old Style" w:cs="Arial"/>
        </w:rPr>
      </w:pPr>
    </w:p>
    <w:p w:rsidR="00A2078C" w:rsidRDefault="00A2078C" w:rsidP="00FB7F69">
      <w:pPr>
        <w:ind w:left="0"/>
        <w:jc w:val="both"/>
        <w:rPr>
          <w:rFonts w:ascii="Bookman Old Style" w:hAnsi="Bookman Old Style" w:cs="Arial"/>
        </w:rPr>
      </w:pPr>
      <w:r>
        <w:rPr>
          <w:rFonts w:ascii="Bookman Old Style" w:hAnsi="Bookman Old Style" w:cs="Arial"/>
        </w:rPr>
        <w:t>Que en cumplimiento de lo establecido en el artí</w:t>
      </w:r>
      <w:r w:rsidR="002F05A4">
        <w:rPr>
          <w:rFonts w:ascii="Bookman Old Style" w:hAnsi="Bookman Old Style" w:cs="Arial"/>
        </w:rPr>
        <w:t xml:space="preserve">culo 68 de la Ley 1437 de 2011 “Por la cual se expide el </w:t>
      </w:r>
      <w:r>
        <w:rPr>
          <w:rFonts w:ascii="Bookman Old Style" w:hAnsi="Bookman Old Style" w:cs="Arial"/>
        </w:rPr>
        <w:t>Código de Procedimiento Administrativo y de lo Contencioso Administrativo</w:t>
      </w:r>
      <w:r w:rsidR="002F05A4">
        <w:rPr>
          <w:rFonts w:ascii="Bookman Old Style" w:hAnsi="Bookman Old Style" w:cs="Arial"/>
        </w:rPr>
        <w:t>”</w:t>
      </w:r>
      <w:r w:rsidR="00E2754D">
        <w:rPr>
          <w:rFonts w:ascii="Bookman Old Style" w:hAnsi="Bookman Old Style" w:cs="Arial"/>
        </w:rPr>
        <w:t xml:space="preserve">, la CREG mediante comunicación radicada bajo el número S-2012-005052, citó a la doctora Olga Beatriz Callejas Restrepo, Gerente General de </w:t>
      </w:r>
      <w:r w:rsidR="00E2754D" w:rsidRPr="00ED28F7">
        <w:rPr>
          <w:rFonts w:ascii="Bookman Old Style" w:hAnsi="Bookman Old Style" w:cs="Arial"/>
          <w:color w:val="000000"/>
          <w:lang w:val="es-CO" w:eastAsia="es-CO"/>
        </w:rPr>
        <w:t>CENTRAL TERMOELECTRICA EL MORRO 1 S.A. E.S.P</w:t>
      </w:r>
      <w:r w:rsidR="00E2754D">
        <w:rPr>
          <w:rFonts w:ascii="Bookman Old Style" w:hAnsi="Bookman Old Style" w:cs="Arial"/>
          <w:color w:val="000000"/>
          <w:lang w:val="es-CO" w:eastAsia="es-CO"/>
        </w:rPr>
        <w:t xml:space="preserve"> para que se notificara personalmente de</w:t>
      </w:r>
      <w:r w:rsidR="008000C4">
        <w:rPr>
          <w:rFonts w:ascii="Bookman Old Style" w:hAnsi="Bookman Old Style" w:cs="Arial"/>
          <w:color w:val="000000"/>
          <w:lang w:val="es-CO" w:eastAsia="es-CO"/>
        </w:rPr>
        <w:t xml:space="preserve"> la Resolución CREG-119 de 2012;</w:t>
      </w:r>
    </w:p>
    <w:p w:rsidR="00A2078C" w:rsidRDefault="00A2078C" w:rsidP="00FB7F69">
      <w:pPr>
        <w:ind w:left="0"/>
        <w:jc w:val="both"/>
        <w:rPr>
          <w:rFonts w:ascii="Bookman Old Style" w:hAnsi="Bookman Old Style" w:cs="Arial"/>
        </w:rPr>
      </w:pPr>
    </w:p>
    <w:p w:rsidR="00FB7F69" w:rsidRPr="00F763C8" w:rsidRDefault="00FB7F69" w:rsidP="00FB7F69">
      <w:pPr>
        <w:ind w:left="0"/>
        <w:jc w:val="both"/>
        <w:rPr>
          <w:rFonts w:ascii="Bookman Old Style" w:hAnsi="Bookman Old Style" w:cs="Arial"/>
        </w:rPr>
      </w:pPr>
      <w:r w:rsidRPr="00F763C8">
        <w:rPr>
          <w:rFonts w:ascii="Bookman Old Style" w:hAnsi="Bookman Old Style" w:cs="Arial"/>
        </w:rPr>
        <w:t>Que</w:t>
      </w:r>
      <w:r w:rsidR="00751664">
        <w:rPr>
          <w:rFonts w:ascii="Bookman Old Style" w:hAnsi="Bookman Old Style" w:cs="Arial"/>
        </w:rPr>
        <w:t xml:space="preserve"> transcurridos cinco (5) días desde la fecha de envío de la citación,</w:t>
      </w:r>
      <w:r w:rsidRPr="00F763C8">
        <w:rPr>
          <w:rFonts w:ascii="Bookman Old Style" w:hAnsi="Bookman Old Style" w:cs="Arial"/>
        </w:rPr>
        <w:t xml:space="preserve"> </w:t>
      </w:r>
      <w:r w:rsidR="00ED28F7">
        <w:rPr>
          <w:rFonts w:ascii="Bookman Old Style" w:hAnsi="Bookman Old Style" w:cs="Arial"/>
        </w:rPr>
        <w:t xml:space="preserve">la </w:t>
      </w:r>
      <w:r w:rsidR="00C90E95">
        <w:rPr>
          <w:rFonts w:ascii="Bookman Old Style" w:hAnsi="Bookman Old Style" w:cs="Arial"/>
        </w:rPr>
        <w:t>sociedad</w:t>
      </w:r>
      <w:r w:rsidR="00ED28F7">
        <w:rPr>
          <w:rFonts w:ascii="Bookman Old Style" w:hAnsi="Bookman Old Style" w:cs="Arial"/>
        </w:rPr>
        <w:t xml:space="preserve"> </w:t>
      </w:r>
      <w:r w:rsidR="00ED28F7" w:rsidRPr="00ED28F7">
        <w:rPr>
          <w:rFonts w:ascii="Bookman Old Style" w:hAnsi="Bookman Old Style" w:cs="Arial"/>
          <w:color w:val="000000"/>
          <w:lang w:val="es-CO" w:eastAsia="es-CO"/>
        </w:rPr>
        <w:t>CENTRAL TERMOELECTRICA EL MORRO 1 S.A. E.S.P</w:t>
      </w:r>
      <w:r w:rsidR="00751664">
        <w:rPr>
          <w:rFonts w:ascii="Bookman Old Style" w:hAnsi="Bookman Old Style" w:cs="Arial"/>
          <w:color w:val="000000"/>
          <w:lang w:val="es-CO" w:eastAsia="es-CO"/>
        </w:rPr>
        <w:t xml:space="preserve"> no compareció a notificarse personalmente y por lo tanto, en cumplimiento de lo previsto en el artículo 69 de</w:t>
      </w:r>
      <w:r w:rsidR="002F05A4">
        <w:rPr>
          <w:rFonts w:ascii="Bookman Old Style" w:hAnsi="Bookman Old Style" w:cs="Arial"/>
          <w:color w:val="000000"/>
          <w:lang w:val="es-CO" w:eastAsia="es-CO"/>
        </w:rPr>
        <w:t xml:space="preserve">l </w:t>
      </w:r>
      <w:r w:rsidR="002F05A4">
        <w:rPr>
          <w:rFonts w:ascii="Bookman Old Style" w:hAnsi="Bookman Old Style" w:cs="Arial"/>
        </w:rPr>
        <w:t>Código de Procedimiento Administrativo y de lo Contencioso Administrativo</w:t>
      </w:r>
      <w:r w:rsidR="002F05A4">
        <w:rPr>
          <w:rFonts w:ascii="Bookman Old Style" w:hAnsi="Bookman Old Style" w:cs="Arial"/>
          <w:color w:val="000000"/>
          <w:lang w:val="es-CO" w:eastAsia="es-CO"/>
        </w:rPr>
        <w:t>,</w:t>
      </w:r>
      <w:r w:rsidR="00ED28F7">
        <w:rPr>
          <w:rFonts w:ascii="Bookman Old Style" w:hAnsi="Bookman Old Style" w:cs="Arial"/>
        </w:rPr>
        <w:t xml:space="preserve"> </w:t>
      </w:r>
      <w:r>
        <w:rPr>
          <w:rFonts w:ascii="Bookman Old Style" w:hAnsi="Bookman Old Style" w:cs="Arial"/>
        </w:rPr>
        <w:t>fue notificada</w:t>
      </w:r>
      <w:r w:rsidR="00751664">
        <w:rPr>
          <w:rFonts w:ascii="Bookman Old Style" w:hAnsi="Bookman Old Style" w:cs="Arial"/>
        </w:rPr>
        <w:t xml:space="preserve"> de la Resolución CREG 119 de 2012 mediante</w:t>
      </w:r>
      <w:r w:rsidR="00ED28F7">
        <w:rPr>
          <w:rFonts w:ascii="Bookman Old Style" w:hAnsi="Bookman Old Style" w:cs="Arial"/>
        </w:rPr>
        <w:t xml:space="preserve"> aviso,</w:t>
      </w:r>
      <w:r w:rsidR="00751664">
        <w:rPr>
          <w:rFonts w:ascii="Bookman Old Style" w:hAnsi="Bookman Old Style" w:cs="Arial"/>
        </w:rPr>
        <w:t xml:space="preserve"> el cual fue recibido en la empresa el día 3 de diciembre de 2012, quedando por lo tanto notificada al finalizar el día siguiente al de la entrega, esto es, el 4 de diciembre de 2012</w:t>
      </w:r>
      <w:r w:rsidR="00617704">
        <w:rPr>
          <w:rFonts w:ascii="Bookman Old Style" w:hAnsi="Bookman Old Style" w:cs="Arial"/>
        </w:rPr>
        <w:t>;</w:t>
      </w:r>
    </w:p>
    <w:p w:rsidR="00FB7F69" w:rsidRPr="00190880" w:rsidRDefault="00FB7F69" w:rsidP="00FB7F69">
      <w:pPr>
        <w:pStyle w:val="Prrafodelista"/>
        <w:rPr>
          <w:rFonts w:ascii="Bookman Old Style" w:hAnsi="Bookman Old Style" w:cs="Arial"/>
          <w:sz w:val="24"/>
          <w:szCs w:val="24"/>
        </w:rPr>
      </w:pPr>
    </w:p>
    <w:p w:rsidR="00FB7F69" w:rsidRDefault="00FB7F69" w:rsidP="00FB7F69">
      <w:pPr>
        <w:ind w:left="0"/>
        <w:jc w:val="both"/>
        <w:rPr>
          <w:rFonts w:ascii="Bookman Old Style" w:hAnsi="Bookman Old Style" w:cs="Arial"/>
        </w:rPr>
      </w:pPr>
      <w:r w:rsidRPr="00F763C8">
        <w:rPr>
          <w:rFonts w:ascii="Bookman Old Style" w:hAnsi="Bookman Old Style" w:cs="Arial"/>
        </w:rPr>
        <w:t xml:space="preserve">Que </w:t>
      </w:r>
      <w:r>
        <w:rPr>
          <w:rFonts w:ascii="Bookman Old Style" w:hAnsi="Bookman Old Style" w:cs="Arial"/>
        </w:rPr>
        <w:t xml:space="preserve">encontrándose dentro del término legal, </w:t>
      </w:r>
      <w:r w:rsidRPr="00F763C8">
        <w:rPr>
          <w:rFonts w:ascii="Bookman Old Style" w:hAnsi="Bookman Old Style" w:cs="Arial"/>
        </w:rPr>
        <w:t xml:space="preserve">mediante escrito presentado en la </w:t>
      </w:r>
      <w:r>
        <w:rPr>
          <w:rFonts w:ascii="Bookman Old Style" w:hAnsi="Bookman Old Style" w:cs="Arial"/>
        </w:rPr>
        <w:t>Comisión de Regulación de Energía y Gas -CREG- bajo radicado número E-2012-0</w:t>
      </w:r>
      <w:r w:rsidR="00A2078C">
        <w:rPr>
          <w:rFonts w:ascii="Bookman Old Style" w:hAnsi="Bookman Old Style" w:cs="Arial"/>
        </w:rPr>
        <w:t>11747</w:t>
      </w:r>
      <w:r w:rsidRPr="00F763C8">
        <w:rPr>
          <w:rFonts w:ascii="Bookman Old Style" w:hAnsi="Bookman Old Style" w:cs="Arial"/>
        </w:rPr>
        <w:t xml:space="preserve"> el día 1</w:t>
      </w:r>
      <w:r w:rsidR="00A2078C">
        <w:rPr>
          <w:rFonts w:ascii="Bookman Old Style" w:hAnsi="Bookman Old Style" w:cs="Arial"/>
        </w:rPr>
        <w:t>1</w:t>
      </w:r>
      <w:r w:rsidRPr="00F763C8">
        <w:rPr>
          <w:rFonts w:ascii="Bookman Old Style" w:hAnsi="Bookman Old Style" w:cs="Arial"/>
        </w:rPr>
        <w:t xml:space="preserve"> de </w:t>
      </w:r>
      <w:r w:rsidR="00A2078C">
        <w:rPr>
          <w:rFonts w:ascii="Bookman Old Style" w:hAnsi="Bookman Old Style" w:cs="Arial"/>
        </w:rPr>
        <w:t>diciembre</w:t>
      </w:r>
      <w:r w:rsidRPr="00F763C8">
        <w:rPr>
          <w:rFonts w:ascii="Bookman Old Style" w:hAnsi="Bookman Old Style" w:cs="Arial"/>
        </w:rPr>
        <w:t xml:space="preserve"> de 201</w:t>
      </w:r>
      <w:r>
        <w:rPr>
          <w:rFonts w:ascii="Bookman Old Style" w:hAnsi="Bookman Old Style" w:cs="Arial"/>
        </w:rPr>
        <w:t>2</w:t>
      </w:r>
      <w:r w:rsidRPr="00F763C8">
        <w:rPr>
          <w:rFonts w:ascii="Bookman Old Style" w:hAnsi="Bookman Old Style" w:cs="Arial"/>
        </w:rPr>
        <w:t xml:space="preserve">, </w:t>
      </w:r>
      <w:r w:rsidR="00A2078C">
        <w:rPr>
          <w:rFonts w:ascii="Bookman Old Style" w:hAnsi="Bookman Old Style" w:cs="Arial"/>
        </w:rPr>
        <w:t xml:space="preserve">la apoderada de la </w:t>
      </w:r>
      <w:r w:rsidR="00C90E95">
        <w:rPr>
          <w:rFonts w:ascii="Bookman Old Style" w:hAnsi="Bookman Old Style" w:cs="Arial"/>
        </w:rPr>
        <w:t>sociedad</w:t>
      </w:r>
      <w:r w:rsidR="00A2078C">
        <w:rPr>
          <w:rFonts w:ascii="Bookman Old Style" w:hAnsi="Bookman Old Style" w:cs="Arial"/>
        </w:rPr>
        <w:t xml:space="preserve"> </w:t>
      </w:r>
      <w:r w:rsidR="00A2078C" w:rsidRPr="00ED28F7">
        <w:rPr>
          <w:rFonts w:ascii="Bookman Old Style" w:hAnsi="Bookman Old Style" w:cs="Arial"/>
          <w:color w:val="000000"/>
          <w:lang w:val="es-CO" w:eastAsia="es-CO"/>
        </w:rPr>
        <w:t xml:space="preserve">CENTRAL TERMOELECTRICA EL MORRO </w:t>
      </w:r>
      <w:r w:rsidR="00C90E95">
        <w:rPr>
          <w:rFonts w:ascii="Bookman Old Style" w:hAnsi="Bookman Old Style" w:cs="Arial"/>
          <w:color w:val="000000"/>
          <w:lang w:val="es-CO" w:eastAsia="es-CO"/>
        </w:rPr>
        <w:t>2</w:t>
      </w:r>
      <w:r w:rsidR="00A2078C" w:rsidRPr="00ED28F7">
        <w:rPr>
          <w:rFonts w:ascii="Bookman Old Style" w:hAnsi="Bookman Old Style" w:cs="Arial"/>
          <w:color w:val="000000"/>
          <w:lang w:val="es-CO" w:eastAsia="es-CO"/>
        </w:rPr>
        <w:t xml:space="preserve"> S.A.</w:t>
      </w:r>
      <w:r w:rsidR="00C90E95">
        <w:rPr>
          <w:rFonts w:ascii="Bookman Old Style" w:hAnsi="Bookman Old Style" w:cs="Arial"/>
          <w:color w:val="000000"/>
          <w:lang w:val="es-CO" w:eastAsia="es-CO"/>
        </w:rPr>
        <w:t>S</w:t>
      </w:r>
      <w:r w:rsidR="00A2078C" w:rsidRPr="00ED28F7">
        <w:rPr>
          <w:rFonts w:ascii="Bookman Old Style" w:hAnsi="Bookman Old Style" w:cs="Arial"/>
          <w:color w:val="000000"/>
          <w:lang w:val="es-CO" w:eastAsia="es-CO"/>
        </w:rPr>
        <w:t xml:space="preserve"> E.S.P</w:t>
      </w:r>
      <w:r w:rsidR="00A2078C">
        <w:rPr>
          <w:rFonts w:ascii="Bookman Old Style" w:hAnsi="Bookman Old Style" w:cs="Arial"/>
          <w:color w:val="000000"/>
          <w:lang w:val="es-CO" w:eastAsia="es-CO"/>
        </w:rPr>
        <w:t>,</w:t>
      </w:r>
      <w:r w:rsidRPr="00F763C8">
        <w:rPr>
          <w:rFonts w:ascii="Bookman Old Style" w:hAnsi="Bookman Old Style" w:cs="Arial"/>
        </w:rPr>
        <w:t xml:space="preserve"> presentó recurso de reposición contra la resolución CREG-1</w:t>
      </w:r>
      <w:r w:rsidR="00A2078C">
        <w:rPr>
          <w:rFonts w:ascii="Bookman Old Style" w:hAnsi="Bookman Old Style" w:cs="Arial"/>
        </w:rPr>
        <w:t>19</w:t>
      </w:r>
      <w:r>
        <w:rPr>
          <w:rFonts w:ascii="Bookman Old Style" w:hAnsi="Bookman Old Style" w:cs="Arial"/>
        </w:rPr>
        <w:t xml:space="preserve"> de 201</w:t>
      </w:r>
      <w:r w:rsidR="00A2078C">
        <w:rPr>
          <w:rFonts w:ascii="Bookman Old Style" w:hAnsi="Bookman Old Style" w:cs="Arial"/>
        </w:rPr>
        <w:t>2</w:t>
      </w:r>
      <w:r w:rsidR="00617704">
        <w:rPr>
          <w:rFonts w:ascii="Bookman Old Style" w:hAnsi="Bookman Old Style" w:cs="Arial"/>
        </w:rPr>
        <w:t>;</w:t>
      </w:r>
    </w:p>
    <w:p w:rsidR="00FB7F69" w:rsidRDefault="00FB7F69" w:rsidP="00FB7F69">
      <w:pPr>
        <w:ind w:left="0"/>
        <w:jc w:val="both"/>
        <w:rPr>
          <w:rFonts w:ascii="Bookman Old Style" w:hAnsi="Bookman Old Style" w:cs="Arial"/>
        </w:rPr>
      </w:pPr>
    </w:p>
    <w:p w:rsidR="00FB7F69" w:rsidRDefault="00FB7F69" w:rsidP="000C6857">
      <w:pPr>
        <w:ind w:left="0"/>
        <w:jc w:val="both"/>
        <w:rPr>
          <w:rFonts w:ascii="Bookman Old Style" w:hAnsi="Bookman Old Style" w:cs="Arial"/>
        </w:rPr>
      </w:pPr>
      <w:r>
        <w:rPr>
          <w:rFonts w:ascii="Bookman Old Style" w:hAnsi="Bookman Old Style" w:cs="Arial"/>
        </w:rPr>
        <w:t xml:space="preserve">Que mediante la presente resolución, procede esta Comisión a resolver </w:t>
      </w:r>
      <w:r w:rsidR="00751664">
        <w:rPr>
          <w:rFonts w:ascii="Bookman Old Style" w:hAnsi="Bookman Old Style" w:cs="Arial"/>
        </w:rPr>
        <w:t>el</w:t>
      </w:r>
      <w:r>
        <w:rPr>
          <w:rFonts w:ascii="Bookman Old Style" w:hAnsi="Bookman Old Style" w:cs="Arial"/>
        </w:rPr>
        <w:t xml:space="preserve"> recurso</w:t>
      </w:r>
      <w:r w:rsidR="00751664">
        <w:rPr>
          <w:rFonts w:ascii="Bookman Old Style" w:hAnsi="Bookman Old Style" w:cs="Arial"/>
        </w:rPr>
        <w:t xml:space="preserve"> de reposición interpuesto</w:t>
      </w:r>
      <w:r>
        <w:rPr>
          <w:rFonts w:ascii="Bookman Old Style" w:hAnsi="Bookman Old Style" w:cs="Arial"/>
        </w:rPr>
        <w:t xml:space="preserve"> en contra de la Resolución CREG </w:t>
      </w:r>
      <w:r w:rsidR="00A2078C">
        <w:rPr>
          <w:rFonts w:ascii="Bookman Old Style" w:hAnsi="Bookman Old Style" w:cs="Arial"/>
        </w:rPr>
        <w:t>119</w:t>
      </w:r>
      <w:r>
        <w:rPr>
          <w:rFonts w:ascii="Bookman Old Style" w:hAnsi="Bookman Old Style" w:cs="Arial"/>
        </w:rPr>
        <w:t xml:space="preserve"> de 201</w:t>
      </w:r>
      <w:r w:rsidR="00A2078C">
        <w:rPr>
          <w:rFonts w:ascii="Bookman Old Style" w:hAnsi="Bookman Old Style" w:cs="Arial"/>
        </w:rPr>
        <w:t>2</w:t>
      </w:r>
      <w:r>
        <w:rPr>
          <w:rFonts w:ascii="Bookman Old Style" w:hAnsi="Bookman Old Style" w:cs="Arial"/>
        </w:rPr>
        <w:t xml:space="preserve"> con base en las siguientes consideraciones</w:t>
      </w:r>
      <w:r w:rsidR="00617704">
        <w:rPr>
          <w:rFonts w:ascii="Bookman Old Style" w:hAnsi="Bookman Old Style" w:cs="Arial"/>
        </w:rPr>
        <w:t>;</w:t>
      </w:r>
    </w:p>
    <w:p w:rsidR="00FB7F69" w:rsidRDefault="00FB7F69" w:rsidP="00FB7F69">
      <w:pPr>
        <w:ind w:left="0"/>
        <w:jc w:val="both"/>
        <w:rPr>
          <w:rFonts w:ascii="Bookman Old Style" w:hAnsi="Bookman Old Style" w:cs="Arial"/>
        </w:rPr>
      </w:pPr>
    </w:p>
    <w:p w:rsidR="008000C4" w:rsidRDefault="008000C4" w:rsidP="00FB7F69">
      <w:pPr>
        <w:ind w:left="0"/>
        <w:jc w:val="both"/>
        <w:rPr>
          <w:rFonts w:ascii="Bookman Old Style" w:hAnsi="Bookman Old Style" w:cs="Arial"/>
        </w:rPr>
      </w:pPr>
    </w:p>
    <w:p w:rsidR="00FB7F69" w:rsidRPr="00E21B11" w:rsidRDefault="00FB7F69" w:rsidP="00FB7F69">
      <w:pPr>
        <w:pStyle w:val="Prrafodelista"/>
        <w:numPr>
          <w:ilvl w:val="0"/>
          <w:numId w:val="31"/>
        </w:numPr>
        <w:jc w:val="both"/>
        <w:rPr>
          <w:rFonts w:ascii="Bookman Old Style" w:hAnsi="Bookman Old Style" w:cs="Arial"/>
          <w:b/>
          <w:sz w:val="24"/>
          <w:szCs w:val="24"/>
        </w:rPr>
      </w:pPr>
      <w:r w:rsidRPr="00E21B11">
        <w:rPr>
          <w:rFonts w:ascii="Bookman Old Style" w:hAnsi="Bookman Old Style" w:cs="Arial"/>
          <w:b/>
          <w:sz w:val="24"/>
          <w:szCs w:val="24"/>
        </w:rPr>
        <w:t>EL RECURSO DE REPOSICIÓN</w:t>
      </w:r>
    </w:p>
    <w:p w:rsidR="00FB7F69" w:rsidRPr="00F763C8" w:rsidRDefault="00FB7F69" w:rsidP="00FB7F69">
      <w:pPr>
        <w:ind w:left="0"/>
        <w:jc w:val="both"/>
        <w:rPr>
          <w:rFonts w:ascii="Bookman Old Style" w:hAnsi="Bookman Old Style" w:cs="Arial"/>
        </w:rPr>
      </w:pPr>
    </w:p>
    <w:p w:rsidR="00FB7F69" w:rsidRDefault="00FB7F69" w:rsidP="00FB7F69">
      <w:pPr>
        <w:pStyle w:val="Prrafodelista"/>
        <w:numPr>
          <w:ilvl w:val="0"/>
          <w:numId w:val="17"/>
        </w:numPr>
        <w:rPr>
          <w:rFonts w:ascii="Bookman Old Style" w:hAnsi="Bookman Old Style" w:cs="Arial"/>
          <w:b/>
          <w:sz w:val="24"/>
          <w:szCs w:val="24"/>
        </w:rPr>
      </w:pPr>
      <w:r>
        <w:rPr>
          <w:rFonts w:ascii="Bookman Old Style" w:hAnsi="Bookman Old Style" w:cs="Arial"/>
          <w:b/>
          <w:sz w:val="24"/>
          <w:szCs w:val="24"/>
        </w:rPr>
        <w:t>PROCEDENCIA DEL RECURSO</w:t>
      </w:r>
    </w:p>
    <w:p w:rsidR="00FB7F69" w:rsidRDefault="00FB7F69" w:rsidP="00FB7F69">
      <w:pPr>
        <w:pStyle w:val="Prrafodelista"/>
        <w:ind w:left="720"/>
        <w:rPr>
          <w:rFonts w:ascii="Bookman Old Style" w:hAnsi="Bookman Old Style" w:cs="Arial"/>
          <w:b/>
          <w:sz w:val="24"/>
          <w:szCs w:val="24"/>
        </w:rPr>
      </w:pPr>
    </w:p>
    <w:p w:rsidR="005748E9" w:rsidRDefault="005748E9" w:rsidP="005748E9">
      <w:pPr>
        <w:ind w:left="0"/>
        <w:jc w:val="both"/>
        <w:rPr>
          <w:rFonts w:ascii="Bookman Old Style" w:hAnsi="Bookman Old Style" w:cs="Arial"/>
        </w:rPr>
      </w:pPr>
      <w:r>
        <w:rPr>
          <w:rFonts w:ascii="Bookman Old Style" w:hAnsi="Bookman Old Style"/>
        </w:rPr>
        <w:t>El artículo 74 del Código de Procedimiento Administrativo y de lo Contencioso Administrativo</w:t>
      </w:r>
      <w:r w:rsidR="002F05A4">
        <w:rPr>
          <w:rFonts w:ascii="Bookman Old Style" w:hAnsi="Bookman Old Style"/>
        </w:rPr>
        <w:t>,</w:t>
      </w:r>
      <w:r>
        <w:rPr>
          <w:rFonts w:ascii="Bookman Old Style" w:hAnsi="Bookman Old Style"/>
        </w:rPr>
        <w:t xml:space="preserve"> señala que contra los actos definitivos proceden los recursos de apelación, reposición y queja. El recurso de reposición </w:t>
      </w:r>
      <w:r>
        <w:rPr>
          <w:rFonts w:ascii="Arial" w:hAnsi="Arial" w:cs="Arial"/>
        </w:rPr>
        <w:t xml:space="preserve">deberá presentarse ante </w:t>
      </w:r>
      <w:r w:rsidRPr="003A18EB">
        <w:rPr>
          <w:rFonts w:ascii="Bookman Old Style" w:hAnsi="Bookman Old Style" w:cs="Arial"/>
        </w:rPr>
        <w:t>quien expidió la decisión para que la aclare, modifique, adicione o revoque</w:t>
      </w:r>
      <w:r>
        <w:rPr>
          <w:rFonts w:ascii="Bookman Old Style" w:hAnsi="Bookman Old Style" w:cs="Arial"/>
        </w:rPr>
        <w:t>.</w:t>
      </w:r>
    </w:p>
    <w:p w:rsidR="005748E9" w:rsidRPr="005748E9" w:rsidRDefault="005748E9" w:rsidP="00FB7F69">
      <w:pPr>
        <w:pStyle w:val="Prrafodelista"/>
        <w:ind w:left="0"/>
        <w:jc w:val="both"/>
        <w:rPr>
          <w:rFonts w:ascii="Bookman Old Style" w:hAnsi="Bookman Old Style" w:cs="Arial"/>
          <w:sz w:val="24"/>
          <w:szCs w:val="24"/>
          <w:lang w:val="es-ES"/>
        </w:rPr>
      </w:pPr>
    </w:p>
    <w:p w:rsidR="00FB7F69" w:rsidRDefault="00FB7F69" w:rsidP="00FB7F69">
      <w:pPr>
        <w:pStyle w:val="Prrafodelista"/>
        <w:ind w:left="0"/>
        <w:jc w:val="both"/>
        <w:rPr>
          <w:rFonts w:ascii="Bookman Old Style" w:hAnsi="Bookman Old Style" w:cs="Arial"/>
          <w:sz w:val="24"/>
          <w:szCs w:val="24"/>
        </w:rPr>
      </w:pPr>
      <w:r w:rsidRPr="00C00B83">
        <w:rPr>
          <w:rFonts w:ascii="Bookman Old Style" w:hAnsi="Bookman Old Style" w:cs="Arial"/>
          <w:sz w:val="24"/>
          <w:szCs w:val="24"/>
        </w:rPr>
        <w:t xml:space="preserve">El recurrente presentó recurso de reposición contra </w:t>
      </w:r>
      <w:r w:rsidR="00A2078C">
        <w:rPr>
          <w:rFonts w:ascii="Bookman Old Style" w:hAnsi="Bookman Old Style" w:cs="Arial"/>
          <w:sz w:val="24"/>
          <w:szCs w:val="24"/>
        </w:rPr>
        <w:t>la R</w:t>
      </w:r>
      <w:r w:rsidRPr="00C00B83">
        <w:rPr>
          <w:rFonts w:ascii="Bookman Old Style" w:hAnsi="Bookman Old Style" w:cs="Arial"/>
          <w:sz w:val="24"/>
          <w:szCs w:val="24"/>
        </w:rPr>
        <w:t>esolución CREG-1</w:t>
      </w:r>
      <w:r w:rsidR="00A2078C">
        <w:rPr>
          <w:rFonts w:ascii="Bookman Old Style" w:hAnsi="Bookman Old Style" w:cs="Arial"/>
          <w:sz w:val="24"/>
          <w:szCs w:val="24"/>
        </w:rPr>
        <w:t xml:space="preserve">19 </w:t>
      </w:r>
      <w:r w:rsidRPr="00C00B83">
        <w:rPr>
          <w:rFonts w:ascii="Bookman Old Style" w:hAnsi="Bookman Old Style" w:cs="Arial"/>
          <w:sz w:val="24"/>
          <w:szCs w:val="24"/>
        </w:rPr>
        <w:t>de 201</w:t>
      </w:r>
      <w:r w:rsidR="00A2078C">
        <w:rPr>
          <w:rFonts w:ascii="Bookman Old Style" w:hAnsi="Bookman Old Style" w:cs="Arial"/>
          <w:sz w:val="24"/>
          <w:szCs w:val="24"/>
        </w:rPr>
        <w:t>2 “</w:t>
      </w:r>
      <w:r w:rsidR="00A2078C" w:rsidRPr="00A2078C">
        <w:rPr>
          <w:rFonts w:ascii="Bookman Old Style" w:hAnsi="Bookman Old Style" w:cs="Arial"/>
          <w:i/>
          <w:sz w:val="24"/>
          <w:szCs w:val="24"/>
        </w:rPr>
        <w:t>Por la cual se señala la contribución que debe pagar a la Comisión de Regulación de Energía y Gas –CREG- cada una de las entidades reguladas por el año  2012.”</w:t>
      </w:r>
      <w:r w:rsidRPr="00C00B83">
        <w:rPr>
          <w:rFonts w:ascii="Bookman Old Style" w:hAnsi="Bookman Old Style" w:cs="Arial"/>
          <w:sz w:val="24"/>
          <w:szCs w:val="24"/>
        </w:rPr>
        <w:t xml:space="preserve">, proferida por la Comisión de Regulación de Energía y Gas –CREG-, </w:t>
      </w:r>
    </w:p>
    <w:p w:rsidR="00A2078C" w:rsidRDefault="00A2078C" w:rsidP="00FB7F69">
      <w:pPr>
        <w:pStyle w:val="Prrafodelista"/>
        <w:ind w:left="0"/>
        <w:jc w:val="both"/>
        <w:rPr>
          <w:rFonts w:ascii="Bookman Old Style" w:hAnsi="Bookman Old Style" w:cs="Arial"/>
          <w:sz w:val="24"/>
          <w:szCs w:val="24"/>
        </w:rPr>
      </w:pPr>
    </w:p>
    <w:p w:rsidR="00FB7F69" w:rsidRDefault="00FB7F69" w:rsidP="00FB7F69">
      <w:pPr>
        <w:pStyle w:val="Prrafodelista"/>
        <w:ind w:left="0"/>
        <w:jc w:val="both"/>
        <w:rPr>
          <w:rFonts w:ascii="Bookman Old Style" w:hAnsi="Bookman Old Style" w:cs="Arial"/>
          <w:sz w:val="24"/>
          <w:szCs w:val="24"/>
        </w:rPr>
      </w:pPr>
      <w:r>
        <w:rPr>
          <w:rFonts w:ascii="Bookman Old Style" w:hAnsi="Bookman Old Style" w:cs="Arial"/>
          <w:sz w:val="24"/>
          <w:szCs w:val="24"/>
        </w:rPr>
        <w:t xml:space="preserve">El recurso fue interpuesto dentro del término legal, esto es, dentro de los </w:t>
      </w:r>
      <w:r w:rsidR="00772693">
        <w:rPr>
          <w:rFonts w:ascii="Bookman Old Style" w:hAnsi="Bookman Old Style" w:cs="Arial"/>
          <w:sz w:val="24"/>
          <w:szCs w:val="24"/>
        </w:rPr>
        <w:t>diez</w:t>
      </w:r>
      <w:r>
        <w:rPr>
          <w:rFonts w:ascii="Bookman Old Style" w:hAnsi="Bookman Old Style" w:cs="Arial"/>
          <w:sz w:val="24"/>
          <w:szCs w:val="24"/>
        </w:rPr>
        <w:t xml:space="preserve"> (</w:t>
      </w:r>
      <w:r w:rsidR="00772693">
        <w:rPr>
          <w:rFonts w:ascii="Bookman Old Style" w:hAnsi="Bookman Old Style" w:cs="Arial"/>
          <w:sz w:val="24"/>
          <w:szCs w:val="24"/>
        </w:rPr>
        <w:t>10</w:t>
      </w:r>
      <w:r>
        <w:rPr>
          <w:rFonts w:ascii="Bookman Old Style" w:hAnsi="Bookman Old Style" w:cs="Arial"/>
          <w:sz w:val="24"/>
          <w:szCs w:val="24"/>
        </w:rPr>
        <w:t xml:space="preserve">) días hábiles siguientes a la notificación, de acuerdo con </w:t>
      </w:r>
      <w:r w:rsidRPr="00E21B11">
        <w:rPr>
          <w:rFonts w:ascii="Bookman Old Style" w:hAnsi="Bookman Old Style" w:cs="Arial"/>
          <w:sz w:val="24"/>
          <w:szCs w:val="24"/>
        </w:rPr>
        <w:t xml:space="preserve">el </w:t>
      </w:r>
      <w:r w:rsidR="00772693">
        <w:rPr>
          <w:rFonts w:ascii="Bookman Old Style" w:hAnsi="Bookman Old Style" w:cs="Arial"/>
          <w:sz w:val="24"/>
          <w:szCs w:val="24"/>
        </w:rPr>
        <w:t>término</w:t>
      </w:r>
      <w:r w:rsidRPr="00E21B11">
        <w:rPr>
          <w:rFonts w:ascii="Bookman Old Style" w:hAnsi="Bookman Old Style" w:cs="Arial"/>
          <w:sz w:val="24"/>
          <w:szCs w:val="24"/>
        </w:rPr>
        <w:t xml:space="preserve"> establecido en el artículo </w:t>
      </w:r>
      <w:r w:rsidR="00772693">
        <w:rPr>
          <w:rFonts w:ascii="Bookman Old Style" w:hAnsi="Bookman Old Style" w:cs="Arial"/>
          <w:sz w:val="24"/>
          <w:szCs w:val="24"/>
        </w:rPr>
        <w:t>76</w:t>
      </w:r>
      <w:r w:rsidRPr="00E21B11">
        <w:rPr>
          <w:rFonts w:ascii="Bookman Old Style" w:hAnsi="Bookman Old Style" w:cs="Arial"/>
          <w:sz w:val="24"/>
          <w:szCs w:val="24"/>
        </w:rPr>
        <w:t xml:space="preserve"> del Código </w:t>
      </w:r>
      <w:r w:rsidR="00772693">
        <w:rPr>
          <w:rFonts w:ascii="Bookman Old Style" w:hAnsi="Bookman Old Style" w:cs="Arial"/>
          <w:sz w:val="24"/>
          <w:szCs w:val="24"/>
        </w:rPr>
        <w:t xml:space="preserve">de Procedimiento Administrativo y de lo </w:t>
      </w:r>
      <w:r w:rsidRPr="00E21B11">
        <w:rPr>
          <w:rFonts w:ascii="Bookman Old Style" w:hAnsi="Bookman Old Style" w:cs="Arial"/>
          <w:sz w:val="24"/>
          <w:szCs w:val="24"/>
        </w:rPr>
        <w:t>Contencioso Administrativo</w:t>
      </w:r>
      <w:r w:rsidR="005748E9">
        <w:rPr>
          <w:rFonts w:ascii="Bookman Old Style" w:hAnsi="Bookman Old Style" w:cs="Arial"/>
          <w:sz w:val="24"/>
          <w:szCs w:val="24"/>
        </w:rPr>
        <w:t>.</w:t>
      </w:r>
    </w:p>
    <w:p w:rsidR="00FB7F69" w:rsidRPr="00E21B11" w:rsidRDefault="00FB7F69" w:rsidP="00FB7F69">
      <w:pPr>
        <w:pStyle w:val="Prrafodelista"/>
        <w:ind w:left="0"/>
        <w:jc w:val="both"/>
        <w:rPr>
          <w:rFonts w:ascii="Bookman Old Style" w:hAnsi="Bookman Old Style" w:cs="Arial"/>
          <w:sz w:val="24"/>
          <w:szCs w:val="24"/>
        </w:rPr>
      </w:pPr>
    </w:p>
    <w:p w:rsidR="008000C4" w:rsidRDefault="008000C4" w:rsidP="00FB7F69">
      <w:pPr>
        <w:pStyle w:val="Prrafodelista"/>
        <w:ind w:left="0"/>
        <w:jc w:val="both"/>
        <w:rPr>
          <w:rFonts w:ascii="Bookman Old Style" w:hAnsi="Bookman Old Style" w:cs="Arial"/>
          <w:sz w:val="24"/>
          <w:szCs w:val="24"/>
        </w:rPr>
      </w:pPr>
    </w:p>
    <w:p w:rsidR="008000C4" w:rsidRDefault="008000C4" w:rsidP="00FB7F69">
      <w:pPr>
        <w:pStyle w:val="Prrafodelista"/>
        <w:ind w:left="0"/>
        <w:jc w:val="both"/>
        <w:rPr>
          <w:rFonts w:ascii="Bookman Old Style" w:hAnsi="Bookman Old Style" w:cs="Arial"/>
          <w:sz w:val="24"/>
          <w:szCs w:val="24"/>
        </w:rPr>
      </w:pPr>
    </w:p>
    <w:p w:rsidR="00FB7F69" w:rsidRDefault="002F05A4" w:rsidP="00FB7F69">
      <w:pPr>
        <w:pStyle w:val="Prrafodelista"/>
        <w:ind w:left="0"/>
        <w:jc w:val="both"/>
        <w:rPr>
          <w:rFonts w:ascii="Bookman Old Style" w:hAnsi="Bookman Old Style" w:cs="Arial"/>
          <w:sz w:val="24"/>
          <w:szCs w:val="24"/>
        </w:rPr>
      </w:pPr>
      <w:r>
        <w:rPr>
          <w:rFonts w:ascii="Bookman Old Style" w:hAnsi="Bookman Old Style" w:cs="Arial"/>
          <w:sz w:val="24"/>
          <w:szCs w:val="24"/>
        </w:rPr>
        <w:t xml:space="preserve">Al verificarse la oportunidad y el </w:t>
      </w:r>
      <w:r w:rsidR="00FB7F69" w:rsidRPr="00E21B11">
        <w:rPr>
          <w:rFonts w:ascii="Bookman Old Style" w:hAnsi="Bookman Old Style" w:cs="Arial"/>
          <w:sz w:val="24"/>
          <w:szCs w:val="24"/>
        </w:rPr>
        <w:t xml:space="preserve">cumplimiento </w:t>
      </w:r>
      <w:r>
        <w:rPr>
          <w:rFonts w:ascii="Bookman Old Style" w:hAnsi="Bookman Old Style" w:cs="Arial"/>
          <w:sz w:val="24"/>
          <w:szCs w:val="24"/>
        </w:rPr>
        <w:t>de</w:t>
      </w:r>
      <w:r w:rsidR="00FB7F69" w:rsidRPr="00E21B11">
        <w:rPr>
          <w:rFonts w:ascii="Bookman Old Style" w:hAnsi="Bookman Old Style" w:cs="Arial"/>
          <w:sz w:val="24"/>
          <w:szCs w:val="24"/>
        </w:rPr>
        <w:t xml:space="preserve"> los requisitos previstos en el artículo </w:t>
      </w:r>
      <w:r w:rsidR="00772693">
        <w:rPr>
          <w:rFonts w:ascii="Bookman Old Style" w:hAnsi="Bookman Old Style" w:cs="Arial"/>
          <w:sz w:val="24"/>
          <w:szCs w:val="24"/>
        </w:rPr>
        <w:t>77</w:t>
      </w:r>
      <w:r w:rsidR="00FB7F69" w:rsidRPr="00E21B11">
        <w:rPr>
          <w:rFonts w:ascii="Bookman Old Style" w:hAnsi="Bookman Old Style" w:cs="Arial"/>
          <w:sz w:val="24"/>
          <w:szCs w:val="24"/>
        </w:rPr>
        <w:t xml:space="preserve"> del Código</w:t>
      </w:r>
      <w:r w:rsidR="00C90E95">
        <w:rPr>
          <w:rFonts w:ascii="Bookman Old Style" w:hAnsi="Bookman Old Style" w:cs="Arial"/>
          <w:sz w:val="24"/>
          <w:szCs w:val="24"/>
        </w:rPr>
        <w:t xml:space="preserve"> de Procedimiento Administrativo y de lo</w:t>
      </w:r>
      <w:r w:rsidR="00FB7F69" w:rsidRPr="00E21B11">
        <w:rPr>
          <w:rFonts w:ascii="Bookman Old Style" w:hAnsi="Bookman Old Style" w:cs="Arial"/>
          <w:sz w:val="24"/>
          <w:szCs w:val="24"/>
        </w:rPr>
        <w:t xml:space="preserve"> Contencioso Administrativo, se admite este recurso, por lo que se procede a resolver de fondo y pronunciarse respecto de las inconformidades planteadas por el recurrente, motivando los aspectos de hecho y de derecho que la sustentan.</w:t>
      </w:r>
      <w:r w:rsidR="00C90E95">
        <w:rPr>
          <w:rFonts w:ascii="Bookman Old Style" w:hAnsi="Bookman Old Style" w:cs="Arial"/>
          <w:sz w:val="24"/>
          <w:szCs w:val="24"/>
        </w:rPr>
        <w:t xml:space="preserve"> </w:t>
      </w:r>
    </w:p>
    <w:p w:rsidR="00FB7F69" w:rsidRPr="00C00B83" w:rsidRDefault="00FB7F69" w:rsidP="00FB7F69">
      <w:pPr>
        <w:pStyle w:val="Prrafodelista"/>
        <w:ind w:left="0"/>
        <w:jc w:val="both"/>
        <w:rPr>
          <w:rFonts w:ascii="Bookman Old Style" w:hAnsi="Bookman Old Style" w:cs="Arial"/>
          <w:sz w:val="24"/>
          <w:szCs w:val="24"/>
        </w:rPr>
      </w:pPr>
    </w:p>
    <w:p w:rsidR="00FB7F69" w:rsidRPr="00F763C8" w:rsidRDefault="00FB7F69" w:rsidP="00FB7F69">
      <w:pPr>
        <w:pStyle w:val="Prrafodelista"/>
        <w:numPr>
          <w:ilvl w:val="0"/>
          <w:numId w:val="17"/>
        </w:numPr>
        <w:rPr>
          <w:rFonts w:ascii="Bookman Old Style" w:hAnsi="Bookman Old Style" w:cs="Arial"/>
          <w:b/>
          <w:sz w:val="24"/>
          <w:szCs w:val="24"/>
        </w:rPr>
      </w:pPr>
      <w:r>
        <w:rPr>
          <w:rFonts w:ascii="Bookman Old Style" w:hAnsi="Bookman Old Style" w:cs="Arial"/>
          <w:b/>
          <w:sz w:val="24"/>
          <w:szCs w:val="24"/>
        </w:rPr>
        <w:t>RAZ</w:t>
      </w:r>
      <w:r w:rsidRPr="00F763C8">
        <w:rPr>
          <w:rFonts w:ascii="Bookman Old Style" w:hAnsi="Bookman Old Style" w:cs="Arial"/>
          <w:b/>
          <w:sz w:val="24"/>
          <w:szCs w:val="24"/>
        </w:rPr>
        <w:t>ONES Y FUNDAMENTOS DEL RECURSO DE REPOSICIÓN</w:t>
      </w:r>
    </w:p>
    <w:p w:rsidR="00445707" w:rsidRDefault="00445707" w:rsidP="00FB7F69">
      <w:pPr>
        <w:ind w:left="0"/>
        <w:jc w:val="both"/>
        <w:rPr>
          <w:rFonts w:ascii="Bookman Old Style" w:hAnsi="Bookman Old Style"/>
        </w:rPr>
      </w:pPr>
    </w:p>
    <w:p w:rsidR="00FB7F69" w:rsidRDefault="00FB7F69" w:rsidP="00FB7F69">
      <w:pPr>
        <w:ind w:left="0"/>
        <w:jc w:val="both"/>
        <w:rPr>
          <w:rFonts w:ascii="Bookman Old Style" w:hAnsi="Bookman Old Style"/>
        </w:rPr>
      </w:pPr>
      <w:r>
        <w:rPr>
          <w:rFonts w:ascii="Bookman Old Style" w:hAnsi="Bookman Old Style"/>
        </w:rPr>
        <w:t xml:space="preserve">Los fundamentos que soportan el recurso de reposición son presentados por el recurrente </w:t>
      </w:r>
      <w:r w:rsidR="00EF401F">
        <w:rPr>
          <w:rFonts w:ascii="Bookman Old Style" w:hAnsi="Bookman Old Style"/>
        </w:rPr>
        <w:t xml:space="preserve">con </w:t>
      </w:r>
      <w:r>
        <w:rPr>
          <w:rFonts w:ascii="Bookman Old Style" w:hAnsi="Bookman Old Style"/>
        </w:rPr>
        <w:t>los siguientes fines</w:t>
      </w:r>
      <w:r w:rsidR="00C90E95">
        <w:rPr>
          <w:rFonts w:ascii="Bookman Old Style" w:hAnsi="Bookman Old Style"/>
        </w:rPr>
        <w:t>:</w:t>
      </w:r>
    </w:p>
    <w:p w:rsidR="00FB7F69" w:rsidRDefault="00FB7F69" w:rsidP="00FB7F69">
      <w:pPr>
        <w:ind w:left="170"/>
        <w:jc w:val="both"/>
        <w:rPr>
          <w:rFonts w:ascii="Bookman Old Style" w:hAnsi="Bookman Old Style"/>
        </w:rPr>
      </w:pPr>
    </w:p>
    <w:p w:rsidR="00FB7F69" w:rsidRDefault="00772693" w:rsidP="00772693">
      <w:pPr>
        <w:ind w:left="0"/>
        <w:jc w:val="both"/>
        <w:rPr>
          <w:rFonts w:ascii="Bookman Old Style" w:hAnsi="Bookman Old Style"/>
        </w:rPr>
      </w:pPr>
      <w:r>
        <w:rPr>
          <w:rFonts w:ascii="Bookman Old Style" w:hAnsi="Bookman Old Style"/>
        </w:rPr>
        <w:t xml:space="preserve">PRIMERO: </w:t>
      </w:r>
      <w:r w:rsidR="00FB7F69" w:rsidRPr="00772693">
        <w:rPr>
          <w:rFonts w:ascii="Bookman Old Style" w:hAnsi="Bookman Old Style"/>
        </w:rPr>
        <w:t>S</w:t>
      </w:r>
      <w:r>
        <w:rPr>
          <w:rFonts w:ascii="Bookman Old Style" w:hAnsi="Bookman Old Style"/>
        </w:rPr>
        <w:t xml:space="preserve">e reponga la Resolución No. 119 del 19 de octubre de 2012, en su parte donde establece que </w:t>
      </w:r>
      <w:r w:rsidRPr="00ED28F7">
        <w:rPr>
          <w:rFonts w:ascii="Bookman Old Style" w:hAnsi="Bookman Old Style" w:cs="Arial"/>
          <w:color w:val="000000"/>
          <w:lang w:val="es-CO" w:eastAsia="es-CO"/>
        </w:rPr>
        <w:t>Central Termoeléctrica El Morro 1 S.A. E.S.P</w:t>
      </w:r>
      <w:r w:rsidR="00FB7F69" w:rsidRPr="00772693">
        <w:rPr>
          <w:rFonts w:ascii="Bookman Old Style" w:hAnsi="Bookman Old Style"/>
        </w:rPr>
        <w:t>.</w:t>
      </w:r>
      <w:r>
        <w:rPr>
          <w:rFonts w:ascii="Bookman Old Style" w:hAnsi="Bookman Old Style"/>
        </w:rPr>
        <w:t xml:space="preserve"> debe cancelar el monto de contribución aplicable para el año 2012.</w:t>
      </w:r>
      <w:r w:rsidR="00FB7F69" w:rsidRPr="00772693">
        <w:rPr>
          <w:rFonts w:ascii="Bookman Old Style" w:hAnsi="Bookman Old Style"/>
        </w:rPr>
        <w:t xml:space="preserve"> </w:t>
      </w:r>
    </w:p>
    <w:p w:rsidR="00772693" w:rsidRDefault="00772693" w:rsidP="00772693">
      <w:pPr>
        <w:ind w:left="0"/>
        <w:jc w:val="both"/>
        <w:rPr>
          <w:rFonts w:ascii="Bookman Old Style" w:hAnsi="Bookman Old Style"/>
        </w:rPr>
      </w:pPr>
    </w:p>
    <w:p w:rsidR="00772693" w:rsidRPr="00D70055" w:rsidRDefault="00772693" w:rsidP="00772693">
      <w:pPr>
        <w:ind w:left="0"/>
        <w:jc w:val="both"/>
        <w:rPr>
          <w:rFonts w:ascii="Bookman Old Style" w:hAnsi="Bookman Old Style"/>
        </w:rPr>
      </w:pPr>
      <w:r>
        <w:rPr>
          <w:rFonts w:ascii="Bookman Old Style" w:hAnsi="Bookman Old Style"/>
        </w:rPr>
        <w:t>SEGUND</w:t>
      </w:r>
      <w:r w:rsidR="00AB1B29">
        <w:rPr>
          <w:rFonts w:ascii="Bookman Old Style" w:hAnsi="Bookman Old Style"/>
        </w:rPr>
        <w:t>O</w:t>
      </w:r>
      <w:r>
        <w:rPr>
          <w:rFonts w:ascii="Bookman Old Style" w:hAnsi="Bookman Old Style"/>
        </w:rPr>
        <w:t xml:space="preserve">: </w:t>
      </w:r>
      <w:r w:rsidRPr="00772693">
        <w:rPr>
          <w:rFonts w:ascii="Bookman Old Style" w:hAnsi="Bookman Old Style"/>
        </w:rPr>
        <w:t>S</w:t>
      </w:r>
      <w:r>
        <w:rPr>
          <w:rFonts w:ascii="Bookman Old Style" w:hAnsi="Bookman Old Style"/>
        </w:rPr>
        <w:t xml:space="preserve">e declare que </w:t>
      </w:r>
      <w:r w:rsidRPr="00ED28F7">
        <w:rPr>
          <w:rFonts w:ascii="Bookman Old Style" w:hAnsi="Bookman Old Style" w:cs="Arial"/>
          <w:color w:val="000000"/>
          <w:lang w:val="es-CO" w:eastAsia="es-CO"/>
        </w:rPr>
        <w:t>Central Termoeléctrica El Morro 1 S.A. E.S.P</w:t>
      </w:r>
      <w:r w:rsidRPr="00772693">
        <w:rPr>
          <w:rFonts w:ascii="Bookman Old Style" w:hAnsi="Bookman Old Style"/>
        </w:rPr>
        <w:t>.</w:t>
      </w:r>
      <w:r>
        <w:rPr>
          <w:rFonts w:ascii="Bookman Old Style" w:hAnsi="Bookman Old Style"/>
        </w:rPr>
        <w:t xml:space="preserve"> no debe </w:t>
      </w:r>
      <w:r w:rsidRPr="00D70055">
        <w:rPr>
          <w:rFonts w:ascii="Bookman Old Style" w:hAnsi="Bookman Old Style"/>
        </w:rPr>
        <w:t xml:space="preserve">cancelar la contribución aplicable para el año 2012. </w:t>
      </w:r>
    </w:p>
    <w:p w:rsidR="00772693" w:rsidRPr="00D70055" w:rsidRDefault="00772693" w:rsidP="00772693">
      <w:pPr>
        <w:ind w:left="0"/>
        <w:jc w:val="both"/>
        <w:rPr>
          <w:rFonts w:ascii="Bookman Old Style" w:hAnsi="Bookman Old Style"/>
        </w:rPr>
      </w:pPr>
    </w:p>
    <w:p w:rsidR="00FB7F69" w:rsidRPr="00D70055" w:rsidRDefault="00FB7F69" w:rsidP="00FB7F69">
      <w:pPr>
        <w:ind w:left="0"/>
        <w:jc w:val="both"/>
        <w:rPr>
          <w:rFonts w:ascii="Bookman Old Style" w:hAnsi="Bookman Old Style"/>
        </w:rPr>
      </w:pPr>
      <w:r w:rsidRPr="00D70055">
        <w:rPr>
          <w:rFonts w:ascii="Bookman Old Style" w:hAnsi="Bookman Old Style"/>
        </w:rPr>
        <w:t>Los fundamentos del recurrente se exponen a continuación:</w:t>
      </w:r>
    </w:p>
    <w:p w:rsidR="00FB7F69" w:rsidRPr="00D70055" w:rsidRDefault="00FB7F69" w:rsidP="00FB7F69">
      <w:pPr>
        <w:ind w:left="170"/>
        <w:jc w:val="both"/>
        <w:rPr>
          <w:rFonts w:ascii="Bookman Old Style" w:hAnsi="Bookman Old Style"/>
        </w:rPr>
      </w:pPr>
    </w:p>
    <w:p w:rsidR="00FB7F69" w:rsidRPr="00D70055" w:rsidRDefault="00CD4C08" w:rsidP="00FB7F69">
      <w:pPr>
        <w:ind w:left="0"/>
        <w:jc w:val="both"/>
        <w:rPr>
          <w:rFonts w:ascii="Bookman Old Style" w:hAnsi="Bookman Old Style"/>
        </w:rPr>
      </w:pPr>
      <w:r>
        <w:rPr>
          <w:rFonts w:ascii="Bookman Old Style" w:hAnsi="Bookman Old Style"/>
        </w:rPr>
        <w:t>“</w:t>
      </w:r>
    </w:p>
    <w:p w:rsidR="00FB7F69" w:rsidRPr="00D70055" w:rsidRDefault="00AB1B29" w:rsidP="00FB7F69">
      <w:pPr>
        <w:pStyle w:val="Prrafodelista"/>
        <w:numPr>
          <w:ilvl w:val="0"/>
          <w:numId w:val="16"/>
        </w:numPr>
        <w:jc w:val="both"/>
        <w:rPr>
          <w:rFonts w:ascii="Bookman Old Style" w:hAnsi="Bookman Old Style"/>
          <w:sz w:val="24"/>
          <w:szCs w:val="24"/>
        </w:rPr>
      </w:pPr>
      <w:r w:rsidRPr="00D70055">
        <w:rPr>
          <w:rFonts w:ascii="Bookman Old Style" w:hAnsi="Bookman Old Style"/>
          <w:sz w:val="24"/>
          <w:szCs w:val="24"/>
        </w:rPr>
        <w:t xml:space="preserve">Las Sociedades </w:t>
      </w:r>
      <w:r w:rsidRPr="00D70055">
        <w:rPr>
          <w:rFonts w:ascii="Bookman Old Style" w:hAnsi="Bookman Old Style" w:cs="Arial"/>
          <w:color w:val="000000"/>
          <w:sz w:val="24"/>
          <w:szCs w:val="24"/>
          <w:lang w:eastAsia="es-CO"/>
        </w:rPr>
        <w:t xml:space="preserve">Central Termoeléctrica El Morro 1 S.A. E.S.P y Central Termoeléctrica El Morro 2 S.A.S. E.S.P adelantaron proceso de fusión, conforme el cual la segunda de las sociedades absorbe íntegramente a la primera, la cual se disuelve sin liquidarse. </w:t>
      </w:r>
    </w:p>
    <w:p w:rsidR="00D70055" w:rsidRPr="00D70055" w:rsidRDefault="00D70055" w:rsidP="00D70055">
      <w:pPr>
        <w:pStyle w:val="Prrafodelista"/>
        <w:ind w:left="530"/>
        <w:jc w:val="both"/>
        <w:rPr>
          <w:rFonts w:ascii="Bookman Old Style" w:hAnsi="Bookman Old Style" w:cs="Arial"/>
          <w:color w:val="000000"/>
          <w:sz w:val="24"/>
          <w:szCs w:val="24"/>
          <w:lang w:eastAsia="es-CO"/>
        </w:rPr>
      </w:pPr>
    </w:p>
    <w:p w:rsidR="00D70055" w:rsidRPr="00D70055" w:rsidRDefault="00D70055" w:rsidP="00D70055">
      <w:pPr>
        <w:pStyle w:val="Prrafodelista"/>
        <w:ind w:left="530"/>
        <w:jc w:val="both"/>
        <w:rPr>
          <w:rFonts w:ascii="Bookman Old Style" w:hAnsi="Bookman Old Style"/>
          <w:sz w:val="24"/>
          <w:szCs w:val="24"/>
        </w:rPr>
      </w:pPr>
      <w:r w:rsidRPr="00D70055">
        <w:rPr>
          <w:rFonts w:ascii="Bookman Old Style" w:hAnsi="Bookman Old Style" w:cs="Arial"/>
          <w:color w:val="000000"/>
          <w:sz w:val="24"/>
          <w:szCs w:val="24"/>
          <w:lang w:eastAsia="es-CO"/>
        </w:rPr>
        <w:t>Por lo tanto uno de los efectos de la fusión es la transferencia patrimonial en bloque de los derechos, créditos y bienes de la sociedad absorbida (en este caso Central Termoeléctrica El Morro 1 S.A. E.S.P) a favor de la sociedad absorbente (Central Termoeléctrica El Morro 2 S.A.</w:t>
      </w:r>
      <w:r w:rsidR="00C90E95">
        <w:rPr>
          <w:rFonts w:ascii="Bookman Old Style" w:hAnsi="Bookman Old Style" w:cs="Arial"/>
          <w:color w:val="000000"/>
          <w:sz w:val="24"/>
          <w:szCs w:val="24"/>
          <w:lang w:eastAsia="es-CO"/>
        </w:rPr>
        <w:t>S</w:t>
      </w:r>
      <w:r w:rsidRPr="00D70055">
        <w:rPr>
          <w:rFonts w:ascii="Bookman Old Style" w:hAnsi="Bookman Old Style" w:cs="Arial"/>
          <w:color w:val="000000"/>
          <w:sz w:val="24"/>
          <w:szCs w:val="24"/>
          <w:lang w:eastAsia="es-CO"/>
        </w:rPr>
        <w:t xml:space="preserve"> E.S.P) a partir del perfeccionamiento de la fusión, de conformidad con lo establecido en el artículo 178 del Código de Comercio.</w:t>
      </w:r>
    </w:p>
    <w:p w:rsidR="00AB1B29" w:rsidRPr="00D70055" w:rsidRDefault="00AB1B29" w:rsidP="00AB1B29">
      <w:pPr>
        <w:pStyle w:val="Prrafodelista"/>
        <w:ind w:left="530"/>
        <w:jc w:val="both"/>
        <w:rPr>
          <w:rFonts w:ascii="Bookman Old Style" w:hAnsi="Bookman Old Style"/>
          <w:sz w:val="24"/>
          <w:szCs w:val="24"/>
        </w:rPr>
      </w:pPr>
    </w:p>
    <w:p w:rsidR="00AB1B29" w:rsidRDefault="00D70055" w:rsidP="00FB7F69">
      <w:pPr>
        <w:pStyle w:val="Prrafodelista"/>
        <w:numPr>
          <w:ilvl w:val="0"/>
          <w:numId w:val="16"/>
        </w:numPr>
        <w:jc w:val="both"/>
        <w:rPr>
          <w:rFonts w:ascii="Bookman Old Style" w:hAnsi="Bookman Old Style"/>
          <w:sz w:val="24"/>
          <w:szCs w:val="24"/>
        </w:rPr>
      </w:pPr>
      <w:r>
        <w:rPr>
          <w:rFonts w:ascii="Bookman Old Style" w:hAnsi="Bookman Old Style"/>
          <w:sz w:val="24"/>
          <w:szCs w:val="24"/>
        </w:rPr>
        <w:t>El perfeccionamiento de la fusión se dio por medio de la Escritura Pública 5345 del 30 de diciembre de 2011 otorgada en la Notaría 21 de Bogotá, fue debidamente registrada en la Cámara de Comercio de Bogotá el 16 de enero de 2012 bajo en número 01598779 del Libro IX.</w:t>
      </w:r>
    </w:p>
    <w:p w:rsidR="00D70055" w:rsidRDefault="00D70055" w:rsidP="00D70055">
      <w:pPr>
        <w:pStyle w:val="Prrafodelista"/>
        <w:ind w:left="530"/>
        <w:jc w:val="both"/>
        <w:rPr>
          <w:rFonts w:ascii="Bookman Old Style" w:hAnsi="Bookman Old Style"/>
          <w:sz w:val="24"/>
          <w:szCs w:val="24"/>
        </w:rPr>
      </w:pPr>
    </w:p>
    <w:p w:rsidR="00D70055" w:rsidRDefault="00D70055" w:rsidP="00FB7F69">
      <w:pPr>
        <w:pStyle w:val="Prrafodelista"/>
        <w:numPr>
          <w:ilvl w:val="0"/>
          <w:numId w:val="16"/>
        </w:numPr>
        <w:jc w:val="both"/>
        <w:rPr>
          <w:rFonts w:ascii="Bookman Old Style" w:hAnsi="Bookman Old Style"/>
          <w:sz w:val="24"/>
          <w:szCs w:val="24"/>
        </w:rPr>
      </w:pPr>
      <w:r w:rsidRPr="00D70055">
        <w:rPr>
          <w:rFonts w:ascii="Bookman Old Style" w:hAnsi="Bookman Old Style"/>
          <w:sz w:val="24"/>
          <w:szCs w:val="24"/>
        </w:rPr>
        <w:t>Por tratarse de una transmisión patrimonial a título universal, se debe entender que “la sociedad absorbida, es su única causa jurídica, es su justo título”, sin necesidad de realizar ningún acto particular de cesión, novación o subrogación.</w:t>
      </w:r>
    </w:p>
    <w:p w:rsidR="00D70055" w:rsidRPr="00D70055" w:rsidRDefault="00D70055" w:rsidP="00D70055">
      <w:pPr>
        <w:pStyle w:val="Prrafodelista"/>
        <w:rPr>
          <w:rFonts w:ascii="Bookman Old Style" w:hAnsi="Bookman Old Style"/>
          <w:sz w:val="24"/>
          <w:szCs w:val="24"/>
        </w:rPr>
      </w:pPr>
    </w:p>
    <w:p w:rsidR="00D70055" w:rsidRPr="00CD4C08" w:rsidRDefault="00D70055" w:rsidP="00FB7F69">
      <w:pPr>
        <w:pStyle w:val="Prrafodelista"/>
        <w:numPr>
          <w:ilvl w:val="0"/>
          <w:numId w:val="16"/>
        </w:numPr>
        <w:jc w:val="both"/>
        <w:rPr>
          <w:rFonts w:ascii="Bookman Old Style" w:hAnsi="Bookman Old Style"/>
          <w:sz w:val="24"/>
          <w:szCs w:val="24"/>
        </w:rPr>
      </w:pPr>
      <w:r>
        <w:rPr>
          <w:rFonts w:ascii="Bookman Old Style" w:hAnsi="Bookman Old Style"/>
          <w:sz w:val="24"/>
          <w:szCs w:val="24"/>
        </w:rPr>
        <w:t xml:space="preserve">Con base en lo anterior, concluida y perfeccionada la fusión, automáticamente </w:t>
      </w:r>
      <w:r w:rsidRPr="00AB1B29">
        <w:rPr>
          <w:rFonts w:ascii="Bookman Old Style" w:hAnsi="Bookman Old Style" w:cs="Arial"/>
          <w:color w:val="000000"/>
          <w:sz w:val="24"/>
          <w:szCs w:val="24"/>
          <w:lang w:eastAsia="es-CO"/>
        </w:rPr>
        <w:t xml:space="preserve">Central Termoeléctrica El Morro </w:t>
      </w:r>
      <w:r w:rsidR="00CD4C08">
        <w:rPr>
          <w:rFonts w:ascii="Bookman Old Style" w:hAnsi="Bookman Old Style" w:cs="Arial"/>
          <w:color w:val="000000"/>
          <w:sz w:val="24"/>
          <w:szCs w:val="24"/>
          <w:lang w:eastAsia="es-CO"/>
        </w:rPr>
        <w:t>2</w:t>
      </w:r>
      <w:r w:rsidRPr="00AB1B29">
        <w:rPr>
          <w:rFonts w:ascii="Bookman Old Style" w:hAnsi="Bookman Old Style" w:cs="Arial"/>
          <w:color w:val="000000"/>
          <w:sz w:val="24"/>
          <w:szCs w:val="24"/>
          <w:lang w:eastAsia="es-CO"/>
        </w:rPr>
        <w:t xml:space="preserve"> S.A.</w:t>
      </w:r>
      <w:r w:rsidR="00C90E95">
        <w:rPr>
          <w:rFonts w:ascii="Bookman Old Style" w:hAnsi="Bookman Old Style" w:cs="Arial"/>
          <w:color w:val="000000"/>
          <w:sz w:val="24"/>
          <w:szCs w:val="24"/>
          <w:lang w:eastAsia="es-CO"/>
        </w:rPr>
        <w:t>S</w:t>
      </w:r>
      <w:r w:rsidRPr="00AB1B29">
        <w:rPr>
          <w:rFonts w:ascii="Bookman Old Style" w:hAnsi="Bookman Old Style" w:cs="Arial"/>
          <w:color w:val="000000"/>
          <w:sz w:val="24"/>
          <w:szCs w:val="24"/>
          <w:lang w:eastAsia="es-CO"/>
        </w:rPr>
        <w:t xml:space="preserve"> E.S.P</w:t>
      </w:r>
      <w:r w:rsidR="00CD4C08">
        <w:rPr>
          <w:rFonts w:ascii="Bookman Old Style" w:hAnsi="Bookman Old Style" w:cs="Arial"/>
          <w:color w:val="000000"/>
          <w:sz w:val="24"/>
          <w:szCs w:val="24"/>
          <w:lang w:eastAsia="es-CO"/>
        </w:rPr>
        <w:t xml:space="preserve">. asume la posición de </w:t>
      </w:r>
      <w:r w:rsidR="00CD4C08" w:rsidRPr="00AB1B29">
        <w:rPr>
          <w:rFonts w:ascii="Bookman Old Style" w:hAnsi="Bookman Old Style" w:cs="Arial"/>
          <w:color w:val="000000"/>
          <w:sz w:val="24"/>
          <w:szCs w:val="24"/>
          <w:lang w:eastAsia="es-CO"/>
        </w:rPr>
        <w:t>Central Termoeléctrica El Morro 1 S.A. E.S.P</w:t>
      </w:r>
      <w:r w:rsidR="00CD4C08">
        <w:rPr>
          <w:rFonts w:ascii="Bookman Old Style" w:hAnsi="Bookman Old Style" w:cs="Arial"/>
          <w:color w:val="000000"/>
          <w:sz w:val="24"/>
          <w:szCs w:val="24"/>
          <w:lang w:eastAsia="es-CO"/>
        </w:rPr>
        <w:t>.</w:t>
      </w:r>
    </w:p>
    <w:p w:rsidR="00CD4C08" w:rsidRPr="00CD4C08" w:rsidRDefault="00CD4C08" w:rsidP="00CD4C08">
      <w:pPr>
        <w:pStyle w:val="Prrafodelista"/>
        <w:rPr>
          <w:rFonts w:ascii="Bookman Old Style" w:hAnsi="Bookman Old Style"/>
          <w:sz w:val="24"/>
          <w:szCs w:val="24"/>
        </w:rPr>
      </w:pPr>
    </w:p>
    <w:p w:rsidR="00CD4C08" w:rsidRPr="00CD4C08" w:rsidRDefault="00CD4C08" w:rsidP="00FB7F69">
      <w:pPr>
        <w:pStyle w:val="Prrafodelista"/>
        <w:numPr>
          <w:ilvl w:val="0"/>
          <w:numId w:val="16"/>
        </w:numPr>
        <w:jc w:val="both"/>
        <w:rPr>
          <w:rFonts w:ascii="Bookman Old Style" w:hAnsi="Bookman Old Style"/>
          <w:sz w:val="24"/>
          <w:szCs w:val="24"/>
        </w:rPr>
      </w:pPr>
      <w:r>
        <w:rPr>
          <w:rFonts w:ascii="Bookman Old Style" w:hAnsi="Bookman Old Style"/>
          <w:sz w:val="24"/>
          <w:szCs w:val="24"/>
        </w:rPr>
        <w:t xml:space="preserve">Teniendo en cuenta lo anterior, </w:t>
      </w:r>
      <w:r w:rsidRPr="00AB1B29">
        <w:rPr>
          <w:rFonts w:ascii="Bookman Old Style" w:hAnsi="Bookman Old Style" w:cs="Arial"/>
          <w:color w:val="000000"/>
          <w:sz w:val="24"/>
          <w:szCs w:val="24"/>
          <w:lang w:eastAsia="es-CO"/>
        </w:rPr>
        <w:t xml:space="preserve">Central Termoeléctrica El Morro </w:t>
      </w:r>
      <w:r>
        <w:rPr>
          <w:rFonts w:ascii="Bookman Old Style" w:hAnsi="Bookman Old Style" w:cs="Arial"/>
          <w:color w:val="000000"/>
          <w:sz w:val="24"/>
          <w:szCs w:val="24"/>
          <w:lang w:eastAsia="es-CO"/>
        </w:rPr>
        <w:t>2</w:t>
      </w:r>
      <w:r w:rsidRPr="00AB1B29">
        <w:rPr>
          <w:rFonts w:ascii="Bookman Old Style" w:hAnsi="Bookman Old Style" w:cs="Arial"/>
          <w:color w:val="000000"/>
          <w:sz w:val="24"/>
          <w:szCs w:val="24"/>
          <w:lang w:eastAsia="es-CO"/>
        </w:rPr>
        <w:t xml:space="preserve"> S.A.</w:t>
      </w:r>
      <w:r w:rsidR="00C90E95">
        <w:rPr>
          <w:rFonts w:ascii="Bookman Old Style" w:hAnsi="Bookman Old Style" w:cs="Arial"/>
          <w:color w:val="000000"/>
          <w:sz w:val="24"/>
          <w:szCs w:val="24"/>
          <w:lang w:eastAsia="es-CO"/>
        </w:rPr>
        <w:t>S</w:t>
      </w:r>
      <w:r w:rsidRPr="00AB1B29">
        <w:rPr>
          <w:rFonts w:ascii="Bookman Old Style" w:hAnsi="Bookman Old Style" w:cs="Arial"/>
          <w:color w:val="000000"/>
          <w:sz w:val="24"/>
          <w:szCs w:val="24"/>
          <w:lang w:eastAsia="es-CO"/>
        </w:rPr>
        <w:t xml:space="preserve"> E.S.P</w:t>
      </w:r>
      <w:r>
        <w:rPr>
          <w:rFonts w:ascii="Bookman Old Style" w:hAnsi="Bookman Old Style" w:cs="Arial"/>
          <w:color w:val="000000"/>
          <w:sz w:val="24"/>
          <w:szCs w:val="24"/>
          <w:lang w:eastAsia="es-CO"/>
        </w:rPr>
        <w:t xml:space="preserve">. adelantó ante la Superintendencia de Servicios Públicos la cancelación de su REGISTRO ÚNICO DE PRESTADORES DE SERVICIOS </w:t>
      </w:r>
      <w:r>
        <w:rPr>
          <w:rFonts w:ascii="Bookman Old Style" w:hAnsi="Bookman Old Style" w:cs="Arial"/>
          <w:color w:val="000000"/>
          <w:sz w:val="24"/>
          <w:szCs w:val="24"/>
          <w:lang w:eastAsia="es-CO"/>
        </w:rPr>
        <w:lastRenderedPageBreak/>
        <w:t>(RUPS), tal y como corresponde a la Resolución 27015 de 2066 según se puede comprobar en el anexo del presente recurso y además reportó al SUI a 31 de diciembre de 2011 los estados financieros consolidados producto de la mencionada fusión, tal y como consta en el anexo del presente.</w:t>
      </w:r>
    </w:p>
    <w:p w:rsidR="00CD4C08" w:rsidRDefault="00CD4C08" w:rsidP="00CD4C08">
      <w:pPr>
        <w:pStyle w:val="Prrafodelista"/>
        <w:rPr>
          <w:rFonts w:ascii="Bookman Old Style" w:hAnsi="Bookman Old Style"/>
          <w:sz w:val="24"/>
          <w:szCs w:val="24"/>
        </w:rPr>
      </w:pPr>
    </w:p>
    <w:p w:rsidR="00CD4C08" w:rsidRPr="00CD4C08" w:rsidRDefault="00CD4C08" w:rsidP="00FB7F69">
      <w:pPr>
        <w:pStyle w:val="Prrafodelista"/>
        <w:numPr>
          <w:ilvl w:val="0"/>
          <w:numId w:val="16"/>
        </w:numPr>
        <w:jc w:val="both"/>
        <w:rPr>
          <w:rFonts w:ascii="Bookman Old Style" w:hAnsi="Bookman Old Style"/>
          <w:sz w:val="24"/>
          <w:szCs w:val="24"/>
        </w:rPr>
      </w:pPr>
      <w:r>
        <w:rPr>
          <w:rFonts w:ascii="Bookman Old Style" w:hAnsi="Bookman Old Style"/>
          <w:sz w:val="24"/>
          <w:szCs w:val="24"/>
        </w:rPr>
        <w:t xml:space="preserve">El valor liquidado como monto para contribución aplicable al año 2012 para la empresa </w:t>
      </w:r>
      <w:r w:rsidRPr="00AB1B29">
        <w:rPr>
          <w:rFonts w:ascii="Bookman Old Style" w:hAnsi="Bookman Old Style" w:cs="Arial"/>
          <w:color w:val="000000"/>
          <w:sz w:val="24"/>
          <w:szCs w:val="24"/>
          <w:lang w:eastAsia="es-CO"/>
        </w:rPr>
        <w:t>C</w:t>
      </w:r>
      <w:r>
        <w:rPr>
          <w:rFonts w:ascii="Bookman Old Style" w:hAnsi="Bookman Old Style" w:cs="Arial"/>
          <w:color w:val="000000"/>
          <w:sz w:val="24"/>
          <w:szCs w:val="24"/>
          <w:lang w:eastAsia="es-CO"/>
        </w:rPr>
        <w:t>entral Termoeléctrica El Morro 2</w:t>
      </w:r>
      <w:r w:rsidRPr="00AB1B29">
        <w:rPr>
          <w:rFonts w:ascii="Bookman Old Style" w:hAnsi="Bookman Old Style" w:cs="Arial"/>
          <w:color w:val="000000"/>
          <w:sz w:val="24"/>
          <w:szCs w:val="24"/>
          <w:lang w:eastAsia="es-CO"/>
        </w:rPr>
        <w:t xml:space="preserve"> S.A.</w:t>
      </w:r>
      <w:r w:rsidR="00C90E95">
        <w:rPr>
          <w:rFonts w:ascii="Bookman Old Style" w:hAnsi="Bookman Old Style" w:cs="Arial"/>
          <w:color w:val="000000"/>
          <w:sz w:val="24"/>
          <w:szCs w:val="24"/>
          <w:lang w:eastAsia="es-CO"/>
        </w:rPr>
        <w:t>S</w:t>
      </w:r>
      <w:r w:rsidRPr="00AB1B29">
        <w:rPr>
          <w:rFonts w:ascii="Bookman Old Style" w:hAnsi="Bookman Old Style" w:cs="Arial"/>
          <w:color w:val="000000"/>
          <w:sz w:val="24"/>
          <w:szCs w:val="24"/>
          <w:lang w:eastAsia="es-CO"/>
        </w:rPr>
        <w:t xml:space="preserve"> E.S.P</w:t>
      </w:r>
      <w:r>
        <w:rPr>
          <w:rFonts w:ascii="Bookman Old Style" w:hAnsi="Bookman Old Style" w:cs="Arial"/>
          <w:color w:val="000000"/>
          <w:sz w:val="24"/>
          <w:szCs w:val="24"/>
          <w:lang w:eastAsia="es-CO"/>
        </w:rPr>
        <w:t xml:space="preserve">, es decir la suma de $13.438.471, corresponde a los estados financieros consolidados producto de la fusión, por lo que este valor incluiría lo aplicable a </w:t>
      </w:r>
      <w:r w:rsidRPr="00AB1B29">
        <w:rPr>
          <w:rFonts w:ascii="Bookman Old Style" w:hAnsi="Bookman Old Style" w:cs="Arial"/>
          <w:color w:val="000000"/>
          <w:sz w:val="24"/>
          <w:szCs w:val="24"/>
          <w:lang w:eastAsia="es-CO"/>
        </w:rPr>
        <w:t>Central Termoeléctrica El Morro 1 S.A. E.S.P</w:t>
      </w:r>
      <w:r>
        <w:rPr>
          <w:rFonts w:ascii="Bookman Old Style" w:hAnsi="Bookman Old Style" w:cs="Arial"/>
          <w:color w:val="000000"/>
          <w:sz w:val="24"/>
          <w:szCs w:val="24"/>
          <w:lang w:eastAsia="es-CO"/>
        </w:rPr>
        <w:t xml:space="preserve">. y </w:t>
      </w:r>
      <w:r w:rsidRPr="00AB1B29">
        <w:rPr>
          <w:rFonts w:ascii="Bookman Old Style" w:hAnsi="Bookman Old Style" w:cs="Arial"/>
          <w:color w:val="000000"/>
          <w:sz w:val="24"/>
          <w:szCs w:val="24"/>
          <w:lang w:eastAsia="es-CO"/>
        </w:rPr>
        <w:t xml:space="preserve">Central Termoeléctrica El Morro </w:t>
      </w:r>
      <w:r>
        <w:rPr>
          <w:rFonts w:ascii="Bookman Old Style" w:hAnsi="Bookman Old Style" w:cs="Arial"/>
          <w:color w:val="000000"/>
          <w:sz w:val="24"/>
          <w:szCs w:val="24"/>
          <w:lang w:eastAsia="es-CO"/>
        </w:rPr>
        <w:t>2</w:t>
      </w:r>
      <w:r w:rsidRPr="00AB1B29">
        <w:rPr>
          <w:rFonts w:ascii="Bookman Old Style" w:hAnsi="Bookman Old Style" w:cs="Arial"/>
          <w:color w:val="000000"/>
          <w:sz w:val="24"/>
          <w:szCs w:val="24"/>
          <w:lang w:eastAsia="es-CO"/>
        </w:rPr>
        <w:t xml:space="preserve"> S.A.</w:t>
      </w:r>
      <w:r>
        <w:rPr>
          <w:rFonts w:ascii="Bookman Old Style" w:hAnsi="Bookman Old Style" w:cs="Arial"/>
          <w:color w:val="000000"/>
          <w:sz w:val="24"/>
          <w:szCs w:val="24"/>
          <w:lang w:eastAsia="es-CO"/>
        </w:rPr>
        <w:t>S</w:t>
      </w:r>
      <w:r w:rsidRPr="00AB1B29">
        <w:rPr>
          <w:rFonts w:ascii="Bookman Old Style" w:hAnsi="Bookman Old Style" w:cs="Arial"/>
          <w:color w:val="000000"/>
          <w:sz w:val="24"/>
          <w:szCs w:val="24"/>
          <w:lang w:eastAsia="es-CO"/>
        </w:rPr>
        <w:t xml:space="preserve"> E.S.P</w:t>
      </w:r>
      <w:r>
        <w:rPr>
          <w:rFonts w:ascii="Bookman Old Style" w:hAnsi="Bookman Old Style" w:cs="Arial"/>
          <w:color w:val="000000"/>
          <w:sz w:val="24"/>
          <w:szCs w:val="24"/>
          <w:lang w:eastAsia="es-CO"/>
        </w:rPr>
        <w:t xml:space="preserve">, y no sería procedente establecer un pago adicional para la empresa </w:t>
      </w:r>
      <w:r w:rsidRPr="00AB1B29">
        <w:rPr>
          <w:rFonts w:ascii="Bookman Old Style" w:hAnsi="Bookman Old Style" w:cs="Arial"/>
          <w:color w:val="000000"/>
          <w:sz w:val="24"/>
          <w:szCs w:val="24"/>
          <w:lang w:eastAsia="es-CO"/>
        </w:rPr>
        <w:t xml:space="preserve">Central Termoeléctrica El Morro </w:t>
      </w:r>
      <w:r>
        <w:rPr>
          <w:rFonts w:ascii="Bookman Old Style" w:hAnsi="Bookman Old Style" w:cs="Arial"/>
          <w:color w:val="000000"/>
          <w:sz w:val="24"/>
          <w:szCs w:val="24"/>
          <w:lang w:eastAsia="es-CO"/>
        </w:rPr>
        <w:t>2</w:t>
      </w:r>
      <w:r w:rsidRPr="00AB1B29">
        <w:rPr>
          <w:rFonts w:ascii="Bookman Old Style" w:hAnsi="Bookman Old Style" w:cs="Arial"/>
          <w:color w:val="000000"/>
          <w:sz w:val="24"/>
          <w:szCs w:val="24"/>
          <w:lang w:eastAsia="es-CO"/>
        </w:rPr>
        <w:t xml:space="preserve"> S.A.</w:t>
      </w:r>
      <w:r>
        <w:rPr>
          <w:rFonts w:ascii="Bookman Old Style" w:hAnsi="Bookman Old Style" w:cs="Arial"/>
          <w:color w:val="000000"/>
          <w:sz w:val="24"/>
          <w:szCs w:val="24"/>
          <w:lang w:eastAsia="es-CO"/>
        </w:rPr>
        <w:t>S</w:t>
      </w:r>
      <w:r w:rsidRPr="00AB1B29">
        <w:rPr>
          <w:rFonts w:ascii="Bookman Old Style" w:hAnsi="Bookman Old Style" w:cs="Arial"/>
          <w:color w:val="000000"/>
          <w:sz w:val="24"/>
          <w:szCs w:val="24"/>
          <w:lang w:eastAsia="es-CO"/>
        </w:rPr>
        <w:t xml:space="preserve"> E.S.P</w:t>
      </w:r>
      <w:r>
        <w:rPr>
          <w:rFonts w:ascii="Bookman Old Style" w:hAnsi="Bookman Old Style" w:cs="Arial"/>
          <w:color w:val="000000"/>
          <w:sz w:val="24"/>
          <w:szCs w:val="24"/>
          <w:lang w:eastAsia="es-CO"/>
        </w:rPr>
        <w:t>. ya que esto generaría un doble cobro de la correspondiente contribución; la cual se liquida anualmente con base en los estados financieros de los prestadores del año inmediatamente anterior, para el casi mencionado, el año 2011.</w:t>
      </w:r>
    </w:p>
    <w:p w:rsidR="00CD4C08" w:rsidRPr="00CD4C08" w:rsidRDefault="00CD4C08" w:rsidP="00CD4C08">
      <w:pPr>
        <w:pStyle w:val="Prrafodelista"/>
        <w:rPr>
          <w:rFonts w:ascii="Bookman Old Style" w:hAnsi="Bookman Old Style" w:cs="Arial"/>
          <w:color w:val="000000"/>
          <w:sz w:val="24"/>
          <w:szCs w:val="24"/>
          <w:lang w:eastAsia="es-CO"/>
        </w:rPr>
      </w:pPr>
    </w:p>
    <w:p w:rsidR="00CD4C08" w:rsidRPr="00C90E95" w:rsidRDefault="00CD4C08" w:rsidP="00FB7F69">
      <w:pPr>
        <w:pStyle w:val="Prrafodelista"/>
        <w:numPr>
          <w:ilvl w:val="0"/>
          <w:numId w:val="16"/>
        </w:numPr>
        <w:jc w:val="both"/>
        <w:rPr>
          <w:rFonts w:ascii="Bookman Old Style" w:hAnsi="Bookman Old Style"/>
          <w:sz w:val="24"/>
          <w:szCs w:val="24"/>
        </w:rPr>
      </w:pPr>
      <w:r>
        <w:rPr>
          <w:rFonts w:ascii="Bookman Old Style" w:hAnsi="Bookman Old Style" w:cs="Arial"/>
          <w:color w:val="000000"/>
          <w:sz w:val="24"/>
          <w:szCs w:val="24"/>
          <w:lang w:eastAsia="es-CO"/>
        </w:rPr>
        <w:t xml:space="preserve">La contribución establecida a cargo de </w:t>
      </w:r>
      <w:r w:rsidRPr="00AB1B29">
        <w:rPr>
          <w:rFonts w:ascii="Bookman Old Style" w:hAnsi="Bookman Old Style" w:cs="Arial"/>
          <w:color w:val="000000"/>
          <w:sz w:val="24"/>
          <w:szCs w:val="24"/>
          <w:lang w:eastAsia="es-CO"/>
        </w:rPr>
        <w:t xml:space="preserve">Central Termoeléctrica El Morro </w:t>
      </w:r>
      <w:r>
        <w:rPr>
          <w:rFonts w:ascii="Bookman Old Style" w:hAnsi="Bookman Old Style" w:cs="Arial"/>
          <w:color w:val="000000"/>
          <w:sz w:val="24"/>
          <w:szCs w:val="24"/>
          <w:lang w:eastAsia="es-CO"/>
        </w:rPr>
        <w:t>2</w:t>
      </w:r>
      <w:r w:rsidRPr="00AB1B29">
        <w:rPr>
          <w:rFonts w:ascii="Bookman Old Style" w:hAnsi="Bookman Old Style" w:cs="Arial"/>
          <w:color w:val="000000"/>
          <w:sz w:val="24"/>
          <w:szCs w:val="24"/>
          <w:lang w:eastAsia="es-CO"/>
        </w:rPr>
        <w:t xml:space="preserve"> S.A.</w:t>
      </w:r>
      <w:r>
        <w:rPr>
          <w:rFonts w:ascii="Bookman Old Style" w:hAnsi="Bookman Old Style" w:cs="Arial"/>
          <w:color w:val="000000"/>
          <w:sz w:val="24"/>
          <w:szCs w:val="24"/>
          <w:lang w:eastAsia="es-CO"/>
        </w:rPr>
        <w:t>S</w:t>
      </w:r>
      <w:r w:rsidRPr="00AB1B29">
        <w:rPr>
          <w:rFonts w:ascii="Bookman Old Style" w:hAnsi="Bookman Old Style" w:cs="Arial"/>
          <w:color w:val="000000"/>
          <w:sz w:val="24"/>
          <w:szCs w:val="24"/>
          <w:lang w:eastAsia="es-CO"/>
        </w:rPr>
        <w:t xml:space="preserve"> E.S.P</w:t>
      </w:r>
      <w:r>
        <w:rPr>
          <w:rFonts w:ascii="Bookman Old Style" w:hAnsi="Bookman Old Style" w:cs="Arial"/>
          <w:color w:val="000000"/>
          <w:sz w:val="24"/>
          <w:szCs w:val="24"/>
          <w:lang w:eastAsia="es-CO"/>
        </w:rPr>
        <w:t xml:space="preserve">., que tal como se dijo, fue calculada teniendo en cuenta los estados financieros a 31 de diciembre de 2011 y que por lo tanto son el producto de la fusión, se calculó de la siguiente forma: </w:t>
      </w:r>
    </w:p>
    <w:p w:rsidR="00C90E95" w:rsidRDefault="00C90E95" w:rsidP="00C90E95">
      <w:pPr>
        <w:pStyle w:val="Prrafodelista"/>
        <w:rPr>
          <w:rFonts w:ascii="Bookman Old Style" w:hAnsi="Bookman Old Style"/>
          <w:sz w:val="24"/>
          <w:szCs w:val="24"/>
        </w:rPr>
      </w:pPr>
    </w:p>
    <w:p w:rsidR="008000C4" w:rsidRPr="00C90E95" w:rsidRDefault="008000C4" w:rsidP="00C90E95">
      <w:pPr>
        <w:pStyle w:val="Prrafodelista"/>
        <w:rPr>
          <w:rFonts w:ascii="Bookman Old Style" w:hAnsi="Bookman Old Style"/>
          <w:sz w:val="24"/>
          <w:szCs w:val="24"/>
        </w:rPr>
      </w:pPr>
    </w:p>
    <w:p w:rsidR="00C90E95" w:rsidRPr="00F514F1" w:rsidRDefault="00C90E95" w:rsidP="00C90E95">
      <w:pPr>
        <w:pStyle w:val="Prrafodelista"/>
        <w:ind w:left="530"/>
        <w:jc w:val="both"/>
        <w:rPr>
          <w:rFonts w:ascii="Bookman Old Style" w:hAnsi="Bookman Old Style"/>
          <w:b/>
          <w:u w:val="single"/>
        </w:rPr>
      </w:pPr>
      <w:r w:rsidRPr="00F514F1">
        <w:rPr>
          <w:rFonts w:ascii="Bookman Old Style" w:hAnsi="Bookman Old Style"/>
          <w:b/>
          <w:u w:val="single"/>
        </w:rPr>
        <w:t>CONTRIBUCIÓN A LA CREG</w:t>
      </w:r>
    </w:p>
    <w:p w:rsidR="00C90E95" w:rsidRPr="00F514F1" w:rsidRDefault="00C90E95" w:rsidP="00C90E95">
      <w:pPr>
        <w:pStyle w:val="Prrafodelista"/>
        <w:ind w:left="530"/>
        <w:jc w:val="both"/>
        <w:rPr>
          <w:rFonts w:ascii="Bookman Old Style" w:hAnsi="Bookman Old Style"/>
        </w:rPr>
      </w:pPr>
    </w:p>
    <w:p w:rsidR="00C90E95" w:rsidRPr="00F514F1" w:rsidRDefault="00C90E95" w:rsidP="00C90E95">
      <w:pPr>
        <w:pStyle w:val="Prrafodelista"/>
        <w:ind w:left="530"/>
        <w:jc w:val="both"/>
        <w:rPr>
          <w:rFonts w:ascii="Bookman Old Style" w:hAnsi="Bookman Old Style"/>
        </w:rPr>
      </w:pPr>
      <w:r w:rsidRPr="00F514F1">
        <w:rPr>
          <w:rFonts w:ascii="Bookman Old Style" w:hAnsi="Bookman Old Style"/>
        </w:rPr>
        <w:t>GASTOS DE ADMINISTRACIÓN                           1</w:t>
      </w:r>
      <w:proofErr w:type="gramStart"/>
      <w:r w:rsidRPr="00F514F1">
        <w:rPr>
          <w:rFonts w:ascii="Bookman Old Style" w:hAnsi="Bookman Old Style"/>
        </w:rPr>
        <w:t>,591,718,851.09</w:t>
      </w:r>
      <w:proofErr w:type="gramEnd"/>
    </w:p>
    <w:p w:rsidR="00C90E95" w:rsidRPr="00F514F1" w:rsidRDefault="00C90E95" w:rsidP="00C90E95">
      <w:pPr>
        <w:pStyle w:val="Prrafodelista"/>
        <w:ind w:left="530"/>
        <w:jc w:val="both"/>
        <w:rPr>
          <w:rFonts w:ascii="Bookman Old Style" w:hAnsi="Bookman Old Style"/>
        </w:rPr>
      </w:pPr>
    </w:p>
    <w:p w:rsidR="00C90E95" w:rsidRPr="00F514F1" w:rsidRDefault="00C90E95" w:rsidP="00C90E95">
      <w:pPr>
        <w:pStyle w:val="Prrafodelista"/>
        <w:ind w:left="530"/>
        <w:jc w:val="both"/>
        <w:rPr>
          <w:rFonts w:ascii="Bookman Old Style" w:hAnsi="Bookman Old Style"/>
        </w:rPr>
      </w:pPr>
      <w:r w:rsidRPr="00F514F1">
        <w:rPr>
          <w:rFonts w:ascii="Bookman Old Style" w:hAnsi="Bookman Old Style"/>
        </w:rPr>
        <w:t>-IMPUESTOS CONTRIBUCIONES Y TASAS          (123</w:t>
      </w:r>
      <w:proofErr w:type="gramStart"/>
      <w:r w:rsidRPr="00F514F1">
        <w:rPr>
          <w:rFonts w:ascii="Bookman Old Style" w:hAnsi="Bookman Old Style"/>
        </w:rPr>
        <w:t>,675,294.98</w:t>
      </w:r>
      <w:proofErr w:type="gramEnd"/>
      <w:r w:rsidRPr="00F514F1">
        <w:rPr>
          <w:rFonts w:ascii="Bookman Old Style" w:hAnsi="Bookman Old Style"/>
        </w:rPr>
        <w:t xml:space="preserve">) </w:t>
      </w:r>
    </w:p>
    <w:p w:rsidR="00C90E95" w:rsidRPr="00F514F1" w:rsidRDefault="00C90E95" w:rsidP="00C90E95">
      <w:pPr>
        <w:pStyle w:val="Prrafodelista"/>
        <w:ind w:left="530"/>
        <w:jc w:val="both"/>
        <w:rPr>
          <w:rFonts w:ascii="Bookman Old Style" w:hAnsi="Bookman Old Style"/>
        </w:rPr>
      </w:pPr>
      <w:r w:rsidRPr="00F514F1">
        <w:rPr>
          <w:rFonts w:ascii="Bookman Old Style" w:hAnsi="Bookman Old Style"/>
        </w:rPr>
        <w:t xml:space="preserve">                                                                           -</w:t>
      </w:r>
    </w:p>
    <w:p w:rsidR="00C90E95" w:rsidRPr="00F514F1" w:rsidRDefault="00C90E95" w:rsidP="00C90E95">
      <w:pPr>
        <w:pStyle w:val="Prrafodelista"/>
        <w:ind w:left="530"/>
        <w:jc w:val="both"/>
        <w:rPr>
          <w:rFonts w:ascii="Bookman Old Style" w:hAnsi="Bookman Old Style"/>
        </w:rPr>
      </w:pPr>
      <w:r w:rsidRPr="00F514F1">
        <w:rPr>
          <w:rFonts w:ascii="Bookman Old Style" w:hAnsi="Bookman Old Style"/>
        </w:rPr>
        <w:t xml:space="preserve">      </w:t>
      </w:r>
    </w:p>
    <w:p w:rsidR="00C90E95" w:rsidRPr="00F514F1" w:rsidRDefault="00C90E95" w:rsidP="00C90E95">
      <w:pPr>
        <w:pStyle w:val="Prrafodelista"/>
        <w:ind w:left="530"/>
        <w:jc w:val="both"/>
        <w:rPr>
          <w:rFonts w:ascii="Bookman Old Style" w:hAnsi="Bookman Old Style"/>
        </w:rPr>
      </w:pPr>
      <w:r w:rsidRPr="00F514F1">
        <w:rPr>
          <w:rFonts w:ascii="Bookman Old Style" w:hAnsi="Bookman Old Style"/>
        </w:rPr>
        <w:t>Gastos de administración – Base de cálculo         1</w:t>
      </w:r>
      <w:proofErr w:type="gramStart"/>
      <w:r w:rsidRPr="00F514F1">
        <w:rPr>
          <w:rFonts w:ascii="Bookman Old Style" w:hAnsi="Bookman Old Style"/>
        </w:rPr>
        <w:t>,468,043,556.11</w:t>
      </w:r>
      <w:proofErr w:type="gramEnd"/>
    </w:p>
    <w:p w:rsidR="00C90E95" w:rsidRPr="00F514F1" w:rsidRDefault="00C90E95" w:rsidP="00C90E95">
      <w:pPr>
        <w:pStyle w:val="Prrafodelista"/>
        <w:ind w:left="530"/>
        <w:jc w:val="both"/>
        <w:rPr>
          <w:rFonts w:ascii="Bookman Old Style" w:hAnsi="Bookman Old Style"/>
        </w:rPr>
      </w:pPr>
      <w:r w:rsidRPr="00F514F1">
        <w:rPr>
          <w:rFonts w:ascii="Bookman Old Style" w:hAnsi="Bookman Old Style"/>
        </w:rPr>
        <w:t xml:space="preserve">       </w:t>
      </w:r>
    </w:p>
    <w:p w:rsidR="00C90E95" w:rsidRPr="00F514F1" w:rsidRDefault="00C90E95" w:rsidP="00C90E95">
      <w:pPr>
        <w:pStyle w:val="Prrafodelista"/>
        <w:ind w:left="530"/>
        <w:jc w:val="both"/>
        <w:rPr>
          <w:rFonts w:ascii="Bookman Old Style" w:hAnsi="Bookman Old Style"/>
        </w:rPr>
      </w:pPr>
      <w:r w:rsidRPr="00F514F1">
        <w:rPr>
          <w:rFonts w:ascii="Bookman Old Style" w:hAnsi="Bookman Old Style"/>
        </w:rPr>
        <w:t>% CREG                                                               0.9154%</w:t>
      </w:r>
    </w:p>
    <w:p w:rsidR="00C90E95" w:rsidRPr="00F514F1" w:rsidRDefault="00C90E95" w:rsidP="00C90E95">
      <w:pPr>
        <w:pStyle w:val="Prrafodelista"/>
        <w:ind w:left="530"/>
        <w:jc w:val="both"/>
        <w:rPr>
          <w:rFonts w:ascii="Bookman Old Style" w:hAnsi="Bookman Old Style"/>
        </w:rPr>
      </w:pPr>
    </w:p>
    <w:p w:rsidR="00C90E95" w:rsidRPr="00F514F1" w:rsidRDefault="00C90E95" w:rsidP="00C90E95">
      <w:pPr>
        <w:pStyle w:val="Prrafodelista"/>
        <w:ind w:left="530"/>
        <w:jc w:val="both"/>
        <w:rPr>
          <w:rFonts w:ascii="Bookman Old Style" w:hAnsi="Bookman Old Style"/>
        </w:rPr>
      </w:pPr>
      <w:r w:rsidRPr="00F514F1">
        <w:rPr>
          <w:rFonts w:ascii="Bookman Old Style" w:hAnsi="Bookman Old Style"/>
        </w:rPr>
        <w:t xml:space="preserve">Total contribución año 2012                                </w:t>
      </w:r>
      <w:r w:rsidR="00C60926" w:rsidRPr="00F514F1">
        <w:rPr>
          <w:rFonts w:ascii="Bookman Old Style" w:hAnsi="Bookman Old Style"/>
        </w:rPr>
        <w:t xml:space="preserve"> </w:t>
      </w:r>
      <w:r w:rsidRPr="00F514F1">
        <w:rPr>
          <w:rFonts w:ascii="Bookman Old Style" w:hAnsi="Bookman Old Style"/>
        </w:rPr>
        <w:t>13</w:t>
      </w:r>
      <w:proofErr w:type="gramStart"/>
      <w:r w:rsidRPr="00F514F1">
        <w:rPr>
          <w:rFonts w:ascii="Bookman Old Style" w:hAnsi="Bookman Old Style"/>
        </w:rPr>
        <w:t>,438,471</w:t>
      </w:r>
      <w:proofErr w:type="gramEnd"/>
    </w:p>
    <w:p w:rsidR="00C90E95" w:rsidRPr="00C90E95" w:rsidRDefault="00C90E95" w:rsidP="00C90E95">
      <w:pPr>
        <w:pStyle w:val="Prrafodelista"/>
        <w:rPr>
          <w:rFonts w:ascii="Bookman Old Style" w:hAnsi="Bookman Old Style"/>
          <w:sz w:val="24"/>
          <w:szCs w:val="24"/>
        </w:rPr>
      </w:pPr>
    </w:p>
    <w:p w:rsidR="00C90E95" w:rsidRPr="00D70055" w:rsidRDefault="00C60926" w:rsidP="00FB7F69">
      <w:pPr>
        <w:pStyle w:val="Prrafodelista"/>
        <w:numPr>
          <w:ilvl w:val="0"/>
          <w:numId w:val="16"/>
        </w:numPr>
        <w:jc w:val="both"/>
        <w:rPr>
          <w:rFonts w:ascii="Bookman Old Style" w:hAnsi="Bookman Old Style"/>
          <w:sz w:val="24"/>
          <w:szCs w:val="24"/>
        </w:rPr>
      </w:pPr>
      <w:r>
        <w:rPr>
          <w:rFonts w:ascii="Bookman Old Style" w:hAnsi="Bookman Old Style"/>
          <w:sz w:val="24"/>
          <w:szCs w:val="24"/>
        </w:rPr>
        <w:t xml:space="preserve">Producto de la fusión la persona jurídica </w:t>
      </w:r>
      <w:r w:rsidRPr="00AB1B29">
        <w:rPr>
          <w:rFonts w:ascii="Bookman Old Style" w:hAnsi="Bookman Old Style" w:cs="Arial"/>
          <w:color w:val="000000"/>
          <w:sz w:val="24"/>
          <w:szCs w:val="24"/>
          <w:lang w:eastAsia="es-CO"/>
        </w:rPr>
        <w:t>Central Termoeléctrica El Morro 1 S.A. E.S.P</w:t>
      </w:r>
      <w:r>
        <w:rPr>
          <w:rFonts w:ascii="Bookman Old Style" w:hAnsi="Bookman Old Style" w:cs="Arial"/>
          <w:color w:val="000000"/>
          <w:sz w:val="24"/>
          <w:szCs w:val="24"/>
          <w:lang w:eastAsia="es-CO"/>
        </w:rPr>
        <w:t>. se disolvió sin liquidarse, adicionalmente se canceló el RUPS ante la SSPD, por lo tanto, ya no es sujeto de la obligación de cancelar la contribución a la CREG.”</w:t>
      </w:r>
    </w:p>
    <w:p w:rsidR="008000C4" w:rsidRDefault="008000C4" w:rsidP="00D70055">
      <w:pPr>
        <w:pStyle w:val="Prrafodelista"/>
        <w:tabs>
          <w:tab w:val="left" w:pos="3975"/>
        </w:tabs>
        <w:ind w:left="530"/>
        <w:jc w:val="both"/>
        <w:rPr>
          <w:rFonts w:ascii="Bookman Old Style" w:hAnsi="Bookman Old Style"/>
          <w:sz w:val="24"/>
          <w:szCs w:val="24"/>
        </w:rPr>
      </w:pPr>
    </w:p>
    <w:p w:rsidR="00FB7F69" w:rsidRPr="00D70055" w:rsidRDefault="00D70055" w:rsidP="00D70055">
      <w:pPr>
        <w:pStyle w:val="Prrafodelista"/>
        <w:tabs>
          <w:tab w:val="left" w:pos="3975"/>
        </w:tabs>
        <w:ind w:left="530"/>
        <w:jc w:val="both"/>
        <w:rPr>
          <w:rFonts w:ascii="Bookman Old Style" w:hAnsi="Bookman Old Style"/>
          <w:sz w:val="24"/>
          <w:szCs w:val="24"/>
        </w:rPr>
      </w:pPr>
      <w:r w:rsidRPr="00D70055">
        <w:rPr>
          <w:rFonts w:ascii="Bookman Old Style" w:hAnsi="Bookman Old Style"/>
          <w:sz w:val="24"/>
          <w:szCs w:val="24"/>
        </w:rPr>
        <w:tab/>
      </w:r>
    </w:p>
    <w:p w:rsidR="00FB7F69" w:rsidRPr="0026257D" w:rsidRDefault="00FB7F69" w:rsidP="00FB7F69">
      <w:pPr>
        <w:pStyle w:val="Prrafodelista"/>
        <w:numPr>
          <w:ilvl w:val="0"/>
          <w:numId w:val="31"/>
        </w:numPr>
        <w:jc w:val="both"/>
        <w:rPr>
          <w:rFonts w:ascii="Bookman Old Style" w:hAnsi="Bookman Old Style"/>
          <w:b/>
          <w:sz w:val="24"/>
          <w:szCs w:val="24"/>
        </w:rPr>
      </w:pPr>
      <w:r>
        <w:rPr>
          <w:rFonts w:ascii="Bookman Old Style" w:hAnsi="Bookman Old Style"/>
          <w:b/>
          <w:sz w:val="24"/>
          <w:szCs w:val="24"/>
        </w:rPr>
        <w:t xml:space="preserve">CONSIDERACIONES DE LA </w:t>
      </w:r>
      <w:r w:rsidR="00653557">
        <w:rPr>
          <w:rFonts w:ascii="Bookman Old Style" w:hAnsi="Bookman Old Style"/>
          <w:b/>
          <w:sz w:val="24"/>
          <w:szCs w:val="24"/>
        </w:rPr>
        <w:t>COMISIÓN DE REGULACIÓN DE ENERGÍA Y GAS -</w:t>
      </w:r>
      <w:r>
        <w:rPr>
          <w:rFonts w:ascii="Bookman Old Style" w:hAnsi="Bookman Old Style"/>
          <w:b/>
          <w:sz w:val="24"/>
          <w:szCs w:val="24"/>
        </w:rPr>
        <w:t>CREG</w:t>
      </w:r>
    </w:p>
    <w:p w:rsidR="00FB7F69" w:rsidRDefault="00FB7F69" w:rsidP="00FB7F69">
      <w:pPr>
        <w:ind w:left="0"/>
        <w:jc w:val="both"/>
        <w:rPr>
          <w:rFonts w:ascii="Bookman Old Style" w:hAnsi="Bookman Old Style"/>
        </w:rPr>
      </w:pPr>
    </w:p>
    <w:p w:rsidR="00FB7F69" w:rsidRPr="00241FF5" w:rsidRDefault="00FB7F69" w:rsidP="00241FF5">
      <w:pPr>
        <w:ind w:left="0"/>
        <w:jc w:val="both"/>
        <w:rPr>
          <w:rFonts w:ascii="Bookman Old Style" w:hAnsi="Bookman Old Style"/>
        </w:rPr>
      </w:pPr>
      <w:r>
        <w:rPr>
          <w:rFonts w:ascii="Bookman Old Style" w:hAnsi="Bookman Old Style"/>
        </w:rPr>
        <w:t>De acuerdo con los argumentos del recur</w:t>
      </w:r>
      <w:r w:rsidR="00241FF5">
        <w:rPr>
          <w:rFonts w:ascii="Bookman Old Style" w:hAnsi="Bookman Old Style"/>
        </w:rPr>
        <w:t>rente, estos se circunscriben a que l</w:t>
      </w:r>
      <w:r w:rsidR="0092615A" w:rsidRPr="00241FF5">
        <w:rPr>
          <w:rFonts w:ascii="Bookman Old Style" w:hAnsi="Bookman Old Style"/>
        </w:rPr>
        <w:t xml:space="preserve">a sociedad </w:t>
      </w:r>
      <w:r w:rsidR="0092615A" w:rsidRPr="00241FF5">
        <w:rPr>
          <w:rFonts w:ascii="Bookman Old Style" w:hAnsi="Bookman Old Style" w:cs="Arial"/>
          <w:color w:val="000000"/>
          <w:lang w:val="es-CO" w:eastAsia="es-CO"/>
        </w:rPr>
        <w:t>Central Termoeléctrica El Morro 1 S.A. E.S.P</w:t>
      </w:r>
      <w:r w:rsidR="0092615A" w:rsidRPr="00241FF5">
        <w:rPr>
          <w:rFonts w:ascii="Bookman Old Style" w:hAnsi="Bookman Old Style" w:cs="Arial"/>
          <w:color w:val="000000"/>
          <w:lang w:eastAsia="es-CO"/>
        </w:rPr>
        <w:t>. se disolvió sin liquidarse</w:t>
      </w:r>
      <w:r w:rsidR="0081464F" w:rsidRPr="00241FF5">
        <w:rPr>
          <w:rFonts w:ascii="Bookman Old Style" w:hAnsi="Bookman Old Style" w:cs="Arial"/>
          <w:color w:val="000000"/>
          <w:lang w:eastAsia="es-CO"/>
        </w:rPr>
        <w:t xml:space="preserve"> y fue absorbida por </w:t>
      </w:r>
      <w:r w:rsidR="0081464F" w:rsidRPr="00241FF5">
        <w:rPr>
          <w:rFonts w:ascii="Bookman Old Style" w:hAnsi="Bookman Old Style" w:cs="Arial"/>
          <w:color w:val="000000"/>
          <w:lang w:val="es-CO" w:eastAsia="es-CO"/>
        </w:rPr>
        <w:t xml:space="preserve">Central Termoeléctrica El Morro </w:t>
      </w:r>
      <w:r w:rsidR="0081464F" w:rsidRPr="00241FF5">
        <w:rPr>
          <w:rFonts w:ascii="Bookman Old Style" w:hAnsi="Bookman Old Style" w:cs="Arial"/>
          <w:color w:val="000000"/>
          <w:lang w:eastAsia="es-CO"/>
        </w:rPr>
        <w:t>2</w:t>
      </w:r>
      <w:r w:rsidR="0081464F" w:rsidRPr="00241FF5">
        <w:rPr>
          <w:rFonts w:ascii="Bookman Old Style" w:hAnsi="Bookman Old Style" w:cs="Arial"/>
          <w:color w:val="000000"/>
          <w:lang w:val="es-CO" w:eastAsia="es-CO"/>
        </w:rPr>
        <w:t xml:space="preserve"> S.A.</w:t>
      </w:r>
      <w:r w:rsidR="0081464F" w:rsidRPr="00241FF5">
        <w:rPr>
          <w:rFonts w:ascii="Bookman Old Style" w:hAnsi="Bookman Old Style" w:cs="Arial"/>
          <w:color w:val="000000"/>
          <w:lang w:eastAsia="es-CO"/>
        </w:rPr>
        <w:t>S</w:t>
      </w:r>
      <w:r w:rsidR="0081464F" w:rsidRPr="00241FF5">
        <w:rPr>
          <w:rFonts w:ascii="Bookman Old Style" w:hAnsi="Bookman Old Style" w:cs="Arial"/>
          <w:color w:val="000000"/>
          <w:lang w:val="es-CO" w:eastAsia="es-CO"/>
        </w:rPr>
        <w:t xml:space="preserve"> E.S.P</w:t>
      </w:r>
      <w:r w:rsidR="0081464F" w:rsidRPr="00241FF5">
        <w:rPr>
          <w:rFonts w:ascii="Bookman Old Style" w:hAnsi="Bookman Old Style" w:cs="Arial"/>
          <w:color w:val="000000"/>
          <w:lang w:eastAsia="es-CO"/>
        </w:rPr>
        <w:t xml:space="preserve">., quien reportó en el SUI los estados financieros consolidados producto de la fusión, por lo tanto considera que no es procedente un pago adicional para la empresa </w:t>
      </w:r>
      <w:r w:rsidR="0081464F" w:rsidRPr="00241FF5">
        <w:rPr>
          <w:rFonts w:ascii="Bookman Old Style" w:hAnsi="Bookman Old Style" w:cs="Arial"/>
          <w:color w:val="000000"/>
          <w:lang w:val="es-CO" w:eastAsia="es-CO"/>
        </w:rPr>
        <w:t xml:space="preserve">Central Termoeléctrica El Morro </w:t>
      </w:r>
      <w:r w:rsidR="0081464F" w:rsidRPr="00241FF5">
        <w:rPr>
          <w:rFonts w:ascii="Bookman Old Style" w:hAnsi="Bookman Old Style" w:cs="Arial"/>
          <w:color w:val="000000"/>
          <w:lang w:eastAsia="es-CO"/>
        </w:rPr>
        <w:t>2</w:t>
      </w:r>
      <w:r w:rsidR="0081464F" w:rsidRPr="00241FF5">
        <w:rPr>
          <w:rFonts w:ascii="Bookman Old Style" w:hAnsi="Bookman Old Style" w:cs="Arial"/>
          <w:color w:val="000000"/>
          <w:lang w:val="es-CO" w:eastAsia="es-CO"/>
        </w:rPr>
        <w:t xml:space="preserve"> S.A.</w:t>
      </w:r>
      <w:r w:rsidR="0081464F" w:rsidRPr="00241FF5">
        <w:rPr>
          <w:rFonts w:ascii="Bookman Old Style" w:hAnsi="Bookman Old Style" w:cs="Arial"/>
          <w:color w:val="000000"/>
          <w:lang w:eastAsia="es-CO"/>
        </w:rPr>
        <w:t>S</w:t>
      </w:r>
      <w:r w:rsidR="0081464F" w:rsidRPr="00241FF5">
        <w:rPr>
          <w:rFonts w:ascii="Bookman Old Style" w:hAnsi="Bookman Old Style" w:cs="Arial"/>
          <w:color w:val="000000"/>
          <w:lang w:val="es-CO" w:eastAsia="es-CO"/>
        </w:rPr>
        <w:t xml:space="preserve"> E.S.P</w:t>
      </w:r>
      <w:r w:rsidR="0081464F" w:rsidRPr="00241FF5">
        <w:rPr>
          <w:rFonts w:ascii="Bookman Old Style" w:hAnsi="Bookman Old Style" w:cs="Arial"/>
          <w:color w:val="000000"/>
          <w:lang w:eastAsia="es-CO"/>
        </w:rPr>
        <w:t>. ya que esto generaría un doble cobro de la correspondiente contribución</w:t>
      </w:r>
      <w:r w:rsidR="00241FF5">
        <w:rPr>
          <w:rFonts w:ascii="Bookman Old Style" w:hAnsi="Bookman Old Style" w:cs="Arial"/>
          <w:color w:val="000000"/>
          <w:lang w:eastAsia="es-CO"/>
        </w:rPr>
        <w:t>.</w:t>
      </w:r>
    </w:p>
    <w:p w:rsidR="00FB7F69" w:rsidRDefault="00FB7F69" w:rsidP="00FB7F69">
      <w:pPr>
        <w:pStyle w:val="Prrafodelista"/>
        <w:ind w:left="720"/>
        <w:jc w:val="both"/>
        <w:rPr>
          <w:rFonts w:ascii="Bookman Old Style" w:hAnsi="Bookman Old Style"/>
          <w:sz w:val="24"/>
          <w:szCs w:val="24"/>
        </w:rPr>
      </w:pPr>
    </w:p>
    <w:p w:rsidR="008000C4" w:rsidRDefault="008000C4" w:rsidP="00FB7F69">
      <w:pPr>
        <w:pStyle w:val="Prrafodelista"/>
        <w:ind w:left="720"/>
        <w:jc w:val="both"/>
        <w:rPr>
          <w:rFonts w:ascii="Bookman Old Style" w:hAnsi="Bookman Old Style"/>
          <w:sz w:val="24"/>
          <w:szCs w:val="24"/>
        </w:rPr>
      </w:pPr>
    </w:p>
    <w:p w:rsidR="008000C4" w:rsidRPr="00D63F9E" w:rsidRDefault="008000C4" w:rsidP="00FB7F69">
      <w:pPr>
        <w:pStyle w:val="Prrafodelista"/>
        <w:ind w:left="720"/>
        <w:jc w:val="both"/>
        <w:rPr>
          <w:rFonts w:ascii="Bookman Old Style" w:hAnsi="Bookman Old Style"/>
          <w:sz w:val="24"/>
          <w:szCs w:val="24"/>
        </w:rPr>
      </w:pPr>
    </w:p>
    <w:p w:rsidR="00165352" w:rsidRDefault="00165352" w:rsidP="00277793">
      <w:pPr>
        <w:pStyle w:val="Prrafodelista"/>
        <w:numPr>
          <w:ilvl w:val="0"/>
          <w:numId w:val="32"/>
        </w:numPr>
        <w:jc w:val="both"/>
        <w:rPr>
          <w:rFonts w:ascii="Bookman Old Style" w:hAnsi="Bookman Old Style"/>
          <w:b/>
          <w:sz w:val="24"/>
          <w:szCs w:val="24"/>
        </w:rPr>
      </w:pPr>
      <w:r>
        <w:rPr>
          <w:rFonts w:ascii="Bookman Old Style" w:hAnsi="Bookman Old Style"/>
          <w:b/>
          <w:sz w:val="24"/>
          <w:szCs w:val="24"/>
        </w:rPr>
        <w:t>CONTRIBUCIONES ESPECIALES</w:t>
      </w:r>
      <w:r w:rsidR="00FB7F69" w:rsidRPr="00D63F9E">
        <w:rPr>
          <w:rFonts w:ascii="Bookman Old Style" w:hAnsi="Bookman Old Style"/>
          <w:b/>
          <w:sz w:val="24"/>
          <w:szCs w:val="24"/>
        </w:rPr>
        <w:t xml:space="preserve">. </w:t>
      </w:r>
    </w:p>
    <w:p w:rsidR="00277793" w:rsidRDefault="00277793" w:rsidP="00277793">
      <w:pPr>
        <w:pStyle w:val="Prrafodelista"/>
        <w:ind w:left="720"/>
        <w:jc w:val="both"/>
        <w:rPr>
          <w:rFonts w:ascii="Bookman Old Style" w:hAnsi="Bookman Old Style"/>
          <w:b/>
          <w:sz w:val="24"/>
          <w:szCs w:val="24"/>
        </w:rPr>
      </w:pPr>
    </w:p>
    <w:p w:rsidR="00277793" w:rsidRDefault="00277793" w:rsidP="00277793">
      <w:pPr>
        <w:ind w:left="0"/>
        <w:jc w:val="both"/>
        <w:rPr>
          <w:rFonts w:ascii="Bookman Old Style" w:hAnsi="Bookman Old Style"/>
        </w:rPr>
      </w:pPr>
      <w:r w:rsidRPr="00277793">
        <w:rPr>
          <w:rFonts w:ascii="Bookman Old Style" w:hAnsi="Bookman Old Style"/>
        </w:rPr>
        <w:t>La Comisión de Regulación de Ene</w:t>
      </w:r>
      <w:r w:rsidR="00445707">
        <w:rPr>
          <w:rFonts w:ascii="Bookman Old Style" w:hAnsi="Bookman Old Style"/>
        </w:rPr>
        <w:t>rgía y Gas –CREG es una Unidad Administrativa E</w:t>
      </w:r>
      <w:r w:rsidRPr="00277793">
        <w:rPr>
          <w:rFonts w:ascii="Bookman Old Style" w:hAnsi="Bookman Old Style"/>
        </w:rPr>
        <w:t>special adscrita al Ministerio de Minas y Energía, creada por las Leyes 142 y 143 de 1994 y cuya función es regular los servicios públicos domiciliarios de energía eléctrica y gas combustible de manera técnica, independiente y transparente, promoviendo el desarrollo sostenido de estos sectores, reguland</w:t>
      </w:r>
      <w:r>
        <w:rPr>
          <w:rFonts w:ascii="Bookman Old Style" w:hAnsi="Bookman Old Style"/>
        </w:rPr>
        <w:t>o los monopolios, incentivando l</w:t>
      </w:r>
      <w:r w:rsidRPr="00277793">
        <w:rPr>
          <w:rFonts w:ascii="Bookman Old Style" w:hAnsi="Bookman Old Style"/>
        </w:rPr>
        <w:t>a competencia donde sea posible y atendiendo oportunamente las necesidades de los usuarios y las empresas de acuerdo con los criterios establecidos en la Ley.</w:t>
      </w:r>
    </w:p>
    <w:p w:rsidR="002F05A4" w:rsidRPr="00277793" w:rsidRDefault="002F05A4" w:rsidP="00277793">
      <w:pPr>
        <w:ind w:left="0"/>
        <w:jc w:val="both"/>
        <w:rPr>
          <w:rFonts w:ascii="Bookman Old Style" w:hAnsi="Bookman Old Style"/>
        </w:rPr>
      </w:pPr>
    </w:p>
    <w:p w:rsidR="00277793" w:rsidRDefault="00277793" w:rsidP="00277793">
      <w:pPr>
        <w:ind w:left="0"/>
        <w:jc w:val="both"/>
        <w:rPr>
          <w:rFonts w:ascii="Bookman Old Style" w:hAnsi="Bookman Old Style"/>
        </w:rPr>
      </w:pPr>
      <w:r w:rsidRPr="00277793">
        <w:rPr>
          <w:rFonts w:ascii="Bookman Old Style" w:hAnsi="Bookman Old Style"/>
        </w:rPr>
        <w:t>El artículo 85 de la Ley 142 de 1994 señala que con el fin  de recuperar los costos del servicio de regulación que preste cada comisión, las entidades sometidas a su regulación, estarán sujetas al pago de una contribución especial que se liquidará y pagará cada año y cuya tarifa máxima no podrá ser superior al 1% de los gastos de funcionamiento asociados al servicio sometido a regulación, de la entidad contribuyente en el año anterior a aquel en el que se haga el cobro, de acuerdo con los estados financieros puestos a disposición de la Superintendencia y de las Comisiones. Así mismo, establece que las Comisiones de Regulación se financiarán exclusivamente con las contribuciones especiales y con la venta de sus publicaciones</w:t>
      </w:r>
      <w:r w:rsidR="00445707">
        <w:rPr>
          <w:rFonts w:ascii="Bookman Old Style" w:hAnsi="Bookman Old Style"/>
        </w:rPr>
        <w:t>.</w:t>
      </w:r>
    </w:p>
    <w:p w:rsidR="00445707" w:rsidRPr="008000C4" w:rsidRDefault="00445707" w:rsidP="00EC1A6D">
      <w:pPr>
        <w:pStyle w:val="NormalWeb"/>
        <w:tabs>
          <w:tab w:val="left" w:pos="8789"/>
        </w:tabs>
        <w:ind w:left="284" w:right="567"/>
        <w:jc w:val="both"/>
        <w:rPr>
          <w:rFonts w:ascii="Bookman Old Style" w:hAnsi="Bookman Old Style" w:cs="Arial"/>
          <w:i/>
          <w:sz w:val="22"/>
          <w:szCs w:val="22"/>
        </w:rPr>
      </w:pPr>
      <w:r w:rsidRPr="008000C4">
        <w:rPr>
          <w:rFonts w:ascii="Bookman Old Style" w:hAnsi="Bookman Old Style" w:cs="Arial"/>
          <w:b/>
          <w:bCs/>
          <w:i/>
          <w:sz w:val="22"/>
          <w:szCs w:val="22"/>
        </w:rPr>
        <w:t>“Artículo  85</w:t>
      </w:r>
      <w:r w:rsidRPr="008000C4">
        <w:rPr>
          <w:rFonts w:ascii="Bookman Old Style" w:hAnsi="Bookman Old Style" w:cs="Arial"/>
          <w:i/>
          <w:sz w:val="22"/>
          <w:szCs w:val="22"/>
        </w:rPr>
        <w:t>. Contribuciones especiales. Con el fin de recuperar los costos del servicio de regulación que preste cada comisión, y los de control y vigilancia que preste el Superintendente, las entidades sometidas a su regulación, control y vigilancia, estarán sujetas a dos contribuciones, que se liquidarán y pagarán cada año conforme a las siguientes reglas:</w:t>
      </w:r>
    </w:p>
    <w:p w:rsidR="00445707" w:rsidRPr="008000C4" w:rsidRDefault="00445707" w:rsidP="00EC1A6D">
      <w:pPr>
        <w:pStyle w:val="NormalWeb"/>
        <w:tabs>
          <w:tab w:val="left" w:pos="8789"/>
        </w:tabs>
        <w:ind w:left="284" w:right="567"/>
        <w:jc w:val="both"/>
        <w:rPr>
          <w:rFonts w:ascii="Bookman Old Style" w:hAnsi="Bookman Old Style" w:cs="Arial"/>
          <w:i/>
          <w:sz w:val="22"/>
          <w:szCs w:val="22"/>
        </w:rPr>
      </w:pPr>
      <w:r w:rsidRPr="008000C4">
        <w:rPr>
          <w:rFonts w:ascii="Bookman Old Style" w:hAnsi="Bookman Old Style" w:cs="Arial"/>
          <w:i/>
          <w:sz w:val="22"/>
          <w:szCs w:val="22"/>
        </w:rPr>
        <w:t>85.1. Para definir los costos de los servicios que presten las Comisiones y la Superintendencia, se tendrán en cuenta todos los gastos de funcionamiento, y la depreciación, amortización u obsolescencia de sus activos, en el período anual respectivo.</w:t>
      </w:r>
    </w:p>
    <w:p w:rsidR="00F63CF5" w:rsidRPr="008000C4" w:rsidRDefault="00F63CF5" w:rsidP="00EC1A6D">
      <w:pPr>
        <w:pStyle w:val="NormalWeb"/>
        <w:tabs>
          <w:tab w:val="left" w:pos="8789"/>
        </w:tabs>
        <w:ind w:left="284" w:right="567"/>
        <w:jc w:val="both"/>
        <w:rPr>
          <w:rFonts w:ascii="Bookman Old Style" w:hAnsi="Bookman Old Style" w:cs="Arial"/>
          <w:i/>
          <w:sz w:val="22"/>
          <w:szCs w:val="22"/>
        </w:rPr>
      </w:pPr>
      <w:r w:rsidRPr="008000C4">
        <w:rPr>
          <w:rFonts w:ascii="Bookman Old Style" w:hAnsi="Bookman Old Style" w:cs="Arial"/>
          <w:i/>
          <w:sz w:val="22"/>
          <w:szCs w:val="22"/>
        </w:rPr>
        <w:t>(…)</w:t>
      </w:r>
    </w:p>
    <w:p w:rsidR="00445707" w:rsidRPr="008000C4" w:rsidRDefault="00445707" w:rsidP="00EC1A6D">
      <w:pPr>
        <w:pStyle w:val="NormalWeb"/>
        <w:tabs>
          <w:tab w:val="left" w:pos="8789"/>
        </w:tabs>
        <w:ind w:left="284" w:right="567"/>
        <w:jc w:val="both"/>
        <w:rPr>
          <w:rFonts w:ascii="Bookman Old Style" w:hAnsi="Bookman Old Style" w:cs="Arial"/>
          <w:i/>
          <w:sz w:val="22"/>
          <w:szCs w:val="22"/>
        </w:rPr>
      </w:pPr>
      <w:r w:rsidRPr="008000C4">
        <w:rPr>
          <w:rFonts w:ascii="Bookman Old Style" w:hAnsi="Bookman Old Style" w:cs="Arial"/>
          <w:i/>
          <w:sz w:val="22"/>
          <w:szCs w:val="22"/>
        </w:rPr>
        <w:t>La tarifa máxima de cada contribución no podrá ser superior al uno por ciento (1%) del valor de los gastos de funcionamiento, asociados al servicio sometido a regulación, de la entidad contribuyente en el año anterior a aquel en el que se haga el cobro, de acuerdo con los estados financieros puestos a disposición de la Superintendencia y de las Comisiones, cada una de las cuales e independientemente y con base en su estudio fijarán la tarifa correspondiente.</w:t>
      </w:r>
    </w:p>
    <w:p w:rsidR="00445707" w:rsidRPr="008000C4" w:rsidRDefault="00445707" w:rsidP="00EC1A6D">
      <w:pPr>
        <w:pStyle w:val="NormalWeb"/>
        <w:tabs>
          <w:tab w:val="left" w:pos="8789"/>
        </w:tabs>
        <w:ind w:left="284" w:right="567"/>
        <w:jc w:val="both"/>
        <w:rPr>
          <w:rFonts w:ascii="Bookman Old Style" w:hAnsi="Bookman Old Style" w:cs="Arial"/>
          <w:i/>
          <w:sz w:val="22"/>
          <w:szCs w:val="22"/>
        </w:rPr>
      </w:pPr>
      <w:r w:rsidRPr="008000C4">
        <w:rPr>
          <w:rFonts w:ascii="Bookman Old Style" w:hAnsi="Bookman Old Style" w:cs="Arial"/>
          <w:i/>
          <w:sz w:val="22"/>
          <w:szCs w:val="22"/>
        </w:rPr>
        <w:t>(…)</w:t>
      </w:r>
    </w:p>
    <w:p w:rsidR="00445707" w:rsidRPr="008000C4" w:rsidRDefault="00445707" w:rsidP="00EC1A6D">
      <w:pPr>
        <w:pStyle w:val="NormalWeb"/>
        <w:tabs>
          <w:tab w:val="left" w:pos="8789"/>
        </w:tabs>
        <w:ind w:left="284" w:right="567"/>
        <w:jc w:val="both"/>
        <w:rPr>
          <w:rFonts w:ascii="Bookman Old Style" w:hAnsi="Bookman Old Style" w:cs="Arial"/>
          <w:i/>
          <w:sz w:val="22"/>
          <w:szCs w:val="22"/>
        </w:rPr>
      </w:pPr>
      <w:r w:rsidRPr="008000C4">
        <w:rPr>
          <w:rFonts w:ascii="Bookman Old Style" w:hAnsi="Bookman Old Style" w:cs="Arial"/>
          <w:b/>
          <w:bCs/>
          <w:i/>
          <w:sz w:val="22"/>
          <w:szCs w:val="22"/>
        </w:rPr>
        <w:t>Parágrafo 1o</w:t>
      </w:r>
      <w:r w:rsidRPr="008000C4">
        <w:rPr>
          <w:rFonts w:ascii="Bookman Old Style" w:hAnsi="Bookman Old Style" w:cs="Arial"/>
          <w:i/>
          <w:sz w:val="22"/>
          <w:szCs w:val="22"/>
        </w:rPr>
        <w:t xml:space="preserve">. Las Comisiones y la Superintendencia se financiarán exclusivamente con las contribuciones a las que se refiere este artículo y con la venta de sus publicaciones. </w:t>
      </w:r>
      <w:r w:rsidR="00F63CF5" w:rsidRPr="008000C4">
        <w:rPr>
          <w:rFonts w:ascii="Bookman Old Style" w:hAnsi="Bookman Old Style" w:cs="Arial"/>
          <w:i/>
          <w:sz w:val="22"/>
          <w:szCs w:val="22"/>
        </w:rPr>
        <w:t>(…)</w:t>
      </w:r>
    </w:p>
    <w:p w:rsidR="00165352" w:rsidRPr="008000C4" w:rsidRDefault="00445707" w:rsidP="00EC1A6D">
      <w:pPr>
        <w:pStyle w:val="NormalWeb"/>
        <w:tabs>
          <w:tab w:val="left" w:pos="8789"/>
        </w:tabs>
        <w:ind w:left="284" w:right="567"/>
        <w:jc w:val="both"/>
        <w:rPr>
          <w:rFonts w:ascii="Bookman Old Style" w:hAnsi="Bookman Old Style" w:cs="Arial"/>
          <w:i/>
          <w:sz w:val="22"/>
          <w:szCs w:val="22"/>
        </w:rPr>
      </w:pPr>
      <w:r w:rsidRPr="008000C4">
        <w:rPr>
          <w:rFonts w:ascii="Bookman Old Style" w:hAnsi="Bookman Old Style" w:cs="Arial"/>
          <w:b/>
          <w:bCs/>
          <w:i/>
          <w:sz w:val="22"/>
          <w:szCs w:val="22"/>
        </w:rPr>
        <w:t>Parágrafo 2o</w:t>
      </w:r>
      <w:r w:rsidRPr="008000C4">
        <w:rPr>
          <w:rFonts w:ascii="Bookman Old Style" w:hAnsi="Bookman Old Style" w:cs="Arial"/>
          <w:i/>
          <w:sz w:val="22"/>
          <w:szCs w:val="22"/>
        </w:rPr>
        <w:t xml:space="preserve">. Al fijar las contribuciones especiales se eliminarán, de los gastos de funcionamiento, los gastos operativos; en las empresas del sector eléctrico, las compras de electricidad, las compras de combustibles y los peajes, cuando hubiere lugar a ello; y en las empresas de otros sectores los gastos de naturaleza similar a éstos. Estos rubros podrán ser adicionados en la misma </w:t>
      </w:r>
      <w:r w:rsidRPr="008000C4">
        <w:rPr>
          <w:rFonts w:ascii="Bookman Old Style" w:hAnsi="Bookman Old Style" w:cs="Arial"/>
          <w:i/>
          <w:sz w:val="22"/>
          <w:szCs w:val="22"/>
        </w:rPr>
        <w:lastRenderedPageBreak/>
        <w:t>proporción en que sean indispensables para cubrir faltantes presupuestales de las comisiones y la superintendencia.</w:t>
      </w:r>
      <w:r w:rsidR="00EC1A6D" w:rsidRPr="008000C4">
        <w:rPr>
          <w:rFonts w:ascii="Bookman Old Style" w:hAnsi="Bookman Old Style" w:cs="Arial"/>
          <w:i/>
          <w:sz w:val="22"/>
          <w:szCs w:val="22"/>
        </w:rPr>
        <w:t>”</w:t>
      </w:r>
    </w:p>
    <w:p w:rsidR="005B78A9" w:rsidRDefault="005B78A9" w:rsidP="005B78A9">
      <w:pPr>
        <w:ind w:left="0"/>
        <w:jc w:val="both"/>
        <w:rPr>
          <w:rFonts w:ascii="Bookman Old Style" w:hAnsi="Bookman Old Style"/>
        </w:rPr>
      </w:pPr>
      <w:r>
        <w:rPr>
          <w:rFonts w:ascii="Bookman Old Style" w:hAnsi="Bookman Old Style"/>
        </w:rPr>
        <w:t xml:space="preserve">Lo </w:t>
      </w:r>
      <w:r w:rsidRPr="00657CD2">
        <w:rPr>
          <w:rFonts w:ascii="Bookman Old Style" w:hAnsi="Bookman Old Style"/>
        </w:rPr>
        <w:t>a</w:t>
      </w:r>
      <w:r>
        <w:rPr>
          <w:rFonts w:ascii="Bookman Old Style" w:hAnsi="Bookman Old Style"/>
        </w:rPr>
        <w:t>nterior muestra que la</w:t>
      </w:r>
      <w:r w:rsidRPr="00657CD2">
        <w:rPr>
          <w:rFonts w:ascii="Bookman Old Style" w:hAnsi="Bookman Old Style"/>
        </w:rPr>
        <w:t xml:space="preserve"> Contribución </w:t>
      </w:r>
      <w:r>
        <w:rPr>
          <w:rFonts w:ascii="Bookman Old Style" w:hAnsi="Bookman Old Style"/>
        </w:rPr>
        <w:t>a favor</w:t>
      </w:r>
      <w:r w:rsidRPr="00657CD2">
        <w:rPr>
          <w:rFonts w:ascii="Bookman Old Style" w:hAnsi="Bookman Old Style"/>
        </w:rPr>
        <w:t xml:space="preserve"> de la </w:t>
      </w:r>
      <w:r>
        <w:rPr>
          <w:rFonts w:ascii="Bookman Old Style" w:hAnsi="Bookman Old Style"/>
        </w:rPr>
        <w:t>Comisión de Regulación de Energía y Gas –CREG-,</w:t>
      </w:r>
      <w:r w:rsidRPr="00657CD2">
        <w:rPr>
          <w:rFonts w:ascii="Bookman Old Style" w:hAnsi="Bookman Old Style"/>
        </w:rPr>
        <w:t xml:space="preserve"> constituye un tributo que como tal</w:t>
      </w:r>
      <w:r>
        <w:rPr>
          <w:rFonts w:ascii="Bookman Old Style" w:hAnsi="Bookman Old Style"/>
        </w:rPr>
        <w:t>,</w:t>
      </w:r>
      <w:r w:rsidRPr="00657CD2">
        <w:rPr>
          <w:rFonts w:ascii="Bookman Old Style" w:hAnsi="Bookman Old Style"/>
        </w:rPr>
        <w:t xml:space="preserve"> es obligatorio para todas las sociedades sometidas a</w:t>
      </w:r>
      <w:r>
        <w:rPr>
          <w:rFonts w:ascii="Bookman Old Style" w:hAnsi="Bookman Old Style"/>
        </w:rPr>
        <w:t xml:space="preserve"> su</w:t>
      </w:r>
      <w:r w:rsidRPr="00657CD2">
        <w:rPr>
          <w:rFonts w:ascii="Bookman Old Style" w:hAnsi="Bookman Old Style"/>
        </w:rPr>
        <w:t xml:space="preserve"> </w:t>
      </w:r>
      <w:r>
        <w:rPr>
          <w:rFonts w:ascii="Bookman Old Style" w:hAnsi="Bookman Old Style"/>
        </w:rPr>
        <w:t>regulación</w:t>
      </w:r>
      <w:r w:rsidRPr="00657CD2">
        <w:rPr>
          <w:rFonts w:ascii="Bookman Old Style" w:hAnsi="Bookman Old Style"/>
        </w:rPr>
        <w:t xml:space="preserve">. Esta obligación fiscal a cargo de las entidades </w:t>
      </w:r>
      <w:r>
        <w:rPr>
          <w:rFonts w:ascii="Bookman Old Style" w:hAnsi="Bookman Old Style"/>
        </w:rPr>
        <w:t>reguladas</w:t>
      </w:r>
      <w:r w:rsidRPr="00657CD2">
        <w:rPr>
          <w:rFonts w:ascii="Bookman Old Style" w:hAnsi="Bookman Old Style"/>
        </w:rPr>
        <w:t xml:space="preserve"> tiene prevista una sanción moratoria en caso de retardo en su cancelación lo que denota su carácter coercitivo. Como se puede apreciar la Contribución va dirigida a un sector específico, como lo son las entidades </w:t>
      </w:r>
      <w:r>
        <w:rPr>
          <w:rFonts w:ascii="Bookman Old Style" w:hAnsi="Bookman Old Style"/>
        </w:rPr>
        <w:t>reguladas</w:t>
      </w:r>
      <w:r w:rsidRPr="00657CD2">
        <w:rPr>
          <w:rFonts w:ascii="Bookman Old Style" w:hAnsi="Bookman Old Style"/>
        </w:rPr>
        <w:t xml:space="preserve"> por la </w:t>
      </w:r>
      <w:r>
        <w:rPr>
          <w:rFonts w:ascii="Bookman Old Style" w:hAnsi="Bookman Old Style"/>
        </w:rPr>
        <w:t>CREG</w:t>
      </w:r>
      <w:r w:rsidRPr="00657CD2">
        <w:rPr>
          <w:rFonts w:ascii="Bookman Old Style" w:hAnsi="Bookman Old Style"/>
        </w:rPr>
        <w:t xml:space="preserve"> y su recaudo tiene como destinación cubri</w:t>
      </w:r>
      <w:r>
        <w:rPr>
          <w:rFonts w:ascii="Bookman Old Style" w:hAnsi="Bookman Old Style"/>
        </w:rPr>
        <w:t>r sus gastos de funcionamiento</w:t>
      </w:r>
      <w:r w:rsidRPr="00657CD2">
        <w:rPr>
          <w:rFonts w:ascii="Bookman Old Style" w:hAnsi="Bookman Old Style"/>
        </w:rPr>
        <w:t>.</w:t>
      </w:r>
    </w:p>
    <w:p w:rsidR="002B45E3" w:rsidRDefault="002B45E3" w:rsidP="005B78A9">
      <w:pPr>
        <w:ind w:left="0"/>
        <w:jc w:val="both"/>
        <w:rPr>
          <w:rFonts w:ascii="Bookman Old Style" w:hAnsi="Bookman Old Style"/>
        </w:rPr>
      </w:pPr>
    </w:p>
    <w:p w:rsidR="00165352" w:rsidRDefault="00165352" w:rsidP="00D63F9E">
      <w:pPr>
        <w:pStyle w:val="Prrafodelista"/>
        <w:numPr>
          <w:ilvl w:val="0"/>
          <w:numId w:val="32"/>
        </w:numPr>
        <w:jc w:val="both"/>
        <w:rPr>
          <w:rFonts w:ascii="Bookman Old Style" w:hAnsi="Bookman Old Style"/>
          <w:b/>
          <w:sz w:val="24"/>
          <w:szCs w:val="24"/>
        </w:rPr>
      </w:pPr>
      <w:r>
        <w:rPr>
          <w:rFonts w:ascii="Bookman Old Style" w:hAnsi="Bookman Old Style"/>
          <w:b/>
          <w:sz w:val="24"/>
          <w:szCs w:val="24"/>
        </w:rPr>
        <w:t>CÁLCULO DE LA CONTRIBUCIÓN.</w:t>
      </w:r>
    </w:p>
    <w:p w:rsidR="00D63F9E" w:rsidRDefault="00D63F9E" w:rsidP="00D63F9E">
      <w:pPr>
        <w:ind w:left="0"/>
        <w:jc w:val="both"/>
        <w:rPr>
          <w:rFonts w:ascii="Bookman Old Style" w:hAnsi="Bookman Old Style" w:cs="Arial"/>
          <w:lang w:val="es-CO"/>
        </w:rPr>
      </w:pPr>
    </w:p>
    <w:p w:rsidR="00A50220" w:rsidRDefault="00D63F9E" w:rsidP="00A50220">
      <w:pPr>
        <w:ind w:left="0"/>
        <w:jc w:val="both"/>
        <w:rPr>
          <w:rFonts w:ascii="Bookman Old Style" w:hAnsi="Bookman Old Style" w:cs="Arial"/>
        </w:rPr>
      </w:pPr>
      <w:r w:rsidRPr="00D63F9E">
        <w:rPr>
          <w:rFonts w:ascii="Bookman Old Style" w:hAnsi="Bookman Old Style" w:cs="Arial"/>
        </w:rPr>
        <w:t>La base de datos de las empresas que se utilizó en el cálculo de la contribución se fundamenta en la información del Registro Único de Pr</w:t>
      </w:r>
      <w:r w:rsidR="00A50220">
        <w:rPr>
          <w:rFonts w:ascii="Bookman Old Style" w:hAnsi="Bookman Old Style" w:cs="Arial"/>
        </w:rPr>
        <w:t>estadores de Servicios Públicos</w:t>
      </w:r>
      <w:r w:rsidRPr="00D63F9E">
        <w:rPr>
          <w:rFonts w:ascii="Bookman Old Style" w:hAnsi="Bookman Old Style" w:cs="Arial"/>
        </w:rPr>
        <w:t xml:space="preserve"> </w:t>
      </w:r>
      <w:r w:rsidR="00A50220">
        <w:rPr>
          <w:rFonts w:ascii="Bookman Old Style" w:hAnsi="Bookman Old Style" w:cs="Arial"/>
        </w:rPr>
        <w:t>-</w:t>
      </w:r>
      <w:r w:rsidRPr="00D63F9E">
        <w:rPr>
          <w:rFonts w:ascii="Bookman Old Style" w:hAnsi="Bookman Old Style" w:cs="Arial"/>
        </w:rPr>
        <w:t>RUPS, actualizado por las empresas donde informaron su estado  a la Comisión de Regulación de Energía y Gas –CREG-.</w:t>
      </w:r>
    </w:p>
    <w:p w:rsidR="00623B3E" w:rsidRDefault="00623B3E" w:rsidP="00A50220">
      <w:pPr>
        <w:ind w:left="0"/>
        <w:jc w:val="both"/>
        <w:rPr>
          <w:rFonts w:ascii="Bookman Old Style" w:hAnsi="Bookman Old Style" w:cs="Arial"/>
        </w:rPr>
      </w:pPr>
    </w:p>
    <w:p w:rsidR="00623B3E" w:rsidRDefault="00623B3E" w:rsidP="00623B3E">
      <w:pPr>
        <w:pStyle w:val="Prrafodelista"/>
        <w:ind w:left="0"/>
        <w:jc w:val="both"/>
        <w:rPr>
          <w:rFonts w:ascii="Bookman Old Style" w:hAnsi="Bookman Old Style"/>
          <w:sz w:val="24"/>
          <w:szCs w:val="24"/>
        </w:rPr>
      </w:pPr>
      <w:r>
        <w:rPr>
          <w:rFonts w:ascii="Bookman Old Style" w:hAnsi="Bookman Old Style"/>
          <w:sz w:val="24"/>
          <w:szCs w:val="24"/>
        </w:rPr>
        <w:t>El artículo 21 de la Ley 143 de 1994 establece la forma como debe realizarse la liquidación de la contribución especial de las empresas reguladas por la Comisión de Regulación de Energía y Gas –CREG-.</w:t>
      </w:r>
    </w:p>
    <w:p w:rsidR="00623B3E" w:rsidRPr="008000C4" w:rsidRDefault="00623B3E" w:rsidP="00623B3E">
      <w:pPr>
        <w:pStyle w:val="Prrafodelista"/>
        <w:ind w:left="0"/>
        <w:jc w:val="both"/>
        <w:rPr>
          <w:rFonts w:ascii="Bookman Old Style" w:hAnsi="Bookman Old Style"/>
          <w:sz w:val="22"/>
          <w:szCs w:val="22"/>
        </w:rPr>
      </w:pPr>
    </w:p>
    <w:p w:rsidR="00623B3E" w:rsidRPr="008000C4" w:rsidRDefault="00623B3E" w:rsidP="00623B3E">
      <w:pPr>
        <w:autoSpaceDE w:val="0"/>
        <w:autoSpaceDN w:val="0"/>
        <w:adjustRightInd w:val="0"/>
        <w:ind w:left="284" w:right="567"/>
        <w:jc w:val="both"/>
        <w:rPr>
          <w:rFonts w:ascii="Bookman Old Style" w:hAnsi="Bookman Old Style" w:cs="Arial,Bold"/>
          <w:b/>
          <w:i/>
          <w:sz w:val="22"/>
          <w:szCs w:val="22"/>
        </w:rPr>
      </w:pPr>
      <w:r w:rsidRPr="008000C4">
        <w:rPr>
          <w:rFonts w:ascii="Bookman Old Style" w:hAnsi="Bookman Old Style" w:cs="Arial,Bold"/>
          <w:b/>
          <w:i/>
          <w:sz w:val="22"/>
          <w:szCs w:val="22"/>
        </w:rPr>
        <w:t xml:space="preserve">“ARTICULO 21. LIQUIDACION DE LA CONTRIBUCION PARA EL SECTOR ELECTRICO. </w:t>
      </w:r>
      <w:r w:rsidRPr="008000C4">
        <w:rPr>
          <w:rFonts w:ascii="Bookman Old Style" w:hAnsi="Bookman Old Style"/>
          <w:i/>
          <w:sz w:val="22"/>
          <w:szCs w:val="22"/>
        </w:rPr>
        <w:t>De conformidad con lo dispuesto en la Ley 143 de 1994; las entidades que desarrollen actividades en cualquiera de las etapas del servicio de energía eléctrica y que se encuentren sujetas a regulación, pondrán a disposición de la Comisión de Regulación de Energía y Gas, los estados financieros correspondientes al año anterior a aquél en que se haga el cobro, acompañados del dictamen del Revisor Fiscal.</w:t>
      </w:r>
    </w:p>
    <w:p w:rsidR="00623B3E" w:rsidRPr="008000C4" w:rsidRDefault="00623B3E" w:rsidP="00623B3E">
      <w:pPr>
        <w:autoSpaceDE w:val="0"/>
        <w:autoSpaceDN w:val="0"/>
        <w:adjustRightInd w:val="0"/>
        <w:ind w:left="284" w:right="567"/>
        <w:jc w:val="both"/>
        <w:rPr>
          <w:rFonts w:ascii="Bookman Old Style" w:hAnsi="Bookman Old Style"/>
          <w:i/>
          <w:sz w:val="22"/>
          <w:szCs w:val="22"/>
        </w:rPr>
      </w:pPr>
    </w:p>
    <w:p w:rsidR="00623B3E" w:rsidRPr="008000C4" w:rsidRDefault="00623B3E" w:rsidP="00623B3E">
      <w:pPr>
        <w:autoSpaceDE w:val="0"/>
        <w:autoSpaceDN w:val="0"/>
        <w:adjustRightInd w:val="0"/>
        <w:ind w:left="284" w:right="567"/>
        <w:jc w:val="both"/>
        <w:rPr>
          <w:rFonts w:ascii="Bookman Old Style" w:hAnsi="Bookman Old Style"/>
          <w:i/>
          <w:sz w:val="22"/>
          <w:szCs w:val="22"/>
        </w:rPr>
      </w:pPr>
      <w:r w:rsidRPr="008000C4">
        <w:rPr>
          <w:rFonts w:ascii="Bookman Old Style" w:hAnsi="Bookman Old Style"/>
          <w:i/>
          <w:sz w:val="22"/>
          <w:szCs w:val="22"/>
        </w:rPr>
        <w:t>Las empresas estatales harán entrega de tales estados financieros, a más tardar, el 31 de marzo de cada año. Por su parte, las empresas privadas lo harán, a más tardar, el 30 de abril del año respectivo.</w:t>
      </w:r>
    </w:p>
    <w:p w:rsidR="00623B3E" w:rsidRPr="008000C4" w:rsidRDefault="00623B3E" w:rsidP="00623B3E">
      <w:pPr>
        <w:autoSpaceDE w:val="0"/>
        <w:autoSpaceDN w:val="0"/>
        <w:adjustRightInd w:val="0"/>
        <w:ind w:left="284" w:right="567"/>
        <w:jc w:val="both"/>
        <w:rPr>
          <w:rFonts w:ascii="Bookman Old Style" w:hAnsi="Bookman Old Style"/>
          <w:i/>
          <w:sz w:val="22"/>
          <w:szCs w:val="22"/>
        </w:rPr>
      </w:pPr>
    </w:p>
    <w:p w:rsidR="00623B3E" w:rsidRPr="008000C4" w:rsidRDefault="00623B3E" w:rsidP="00623B3E">
      <w:pPr>
        <w:autoSpaceDE w:val="0"/>
        <w:autoSpaceDN w:val="0"/>
        <w:adjustRightInd w:val="0"/>
        <w:ind w:left="284" w:right="567"/>
        <w:jc w:val="both"/>
        <w:rPr>
          <w:rFonts w:ascii="Bookman Old Style" w:hAnsi="Bookman Old Style"/>
          <w:i/>
          <w:sz w:val="22"/>
          <w:szCs w:val="22"/>
        </w:rPr>
      </w:pPr>
      <w:r w:rsidRPr="008000C4">
        <w:rPr>
          <w:rFonts w:ascii="Bookman Old Style" w:hAnsi="Bookman Old Style" w:cs="Arial,Bold"/>
          <w:b/>
          <w:i/>
          <w:sz w:val="22"/>
          <w:szCs w:val="22"/>
        </w:rPr>
        <w:t xml:space="preserve">PARAGRAFO 1o. </w:t>
      </w:r>
      <w:r w:rsidRPr="008000C4">
        <w:rPr>
          <w:rFonts w:ascii="Bookman Old Style" w:hAnsi="Bookman Old Style"/>
          <w:i/>
          <w:sz w:val="22"/>
          <w:szCs w:val="22"/>
        </w:rPr>
        <w:t>Para fijar la contribución especial, se excluirán de los gastos de funcionamiento, los gastos operativos, las compras de electricidad, las compras de combustible y los peajes cuando hubiere lugar a ello, conforme a lo previsto en el artículo 22 de la Ley 143 de 1994.</w:t>
      </w:r>
    </w:p>
    <w:p w:rsidR="00623B3E" w:rsidRPr="008000C4" w:rsidRDefault="00623B3E" w:rsidP="00623B3E">
      <w:pPr>
        <w:autoSpaceDE w:val="0"/>
        <w:autoSpaceDN w:val="0"/>
        <w:adjustRightInd w:val="0"/>
        <w:ind w:left="284" w:right="567"/>
        <w:jc w:val="both"/>
        <w:rPr>
          <w:rFonts w:ascii="Bookman Old Style" w:hAnsi="Bookman Old Style"/>
          <w:i/>
          <w:sz w:val="22"/>
          <w:szCs w:val="22"/>
        </w:rPr>
      </w:pPr>
    </w:p>
    <w:p w:rsidR="00623B3E" w:rsidRPr="008000C4" w:rsidRDefault="00623B3E" w:rsidP="00623B3E">
      <w:pPr>
        <w:autoSpaceDE w:val="0"/>
        <w:autoSpaceDN w:val="0"/>
        <w:adjustRightInd w:val="0"/>
        <w:ind w:left="284" w:right="567"/>
        <w:jc w:val="both"/>
        <w:rPr>
          <w:rFonts w:ascii="Bookman Old Style" w:hAnsi="Bookman Old Style"/>
          <w:i/>
          <w:sz w:val="22"/>
          <w:szCs w:val="22"/>
        </w:rPr>
      </w:pPr>
      <w:r w:rsidRPr="008000C4">
        <w:rPr>
          <w:rFonts w:ascii="Bookman Old Style" w:hAnsi="Bookman Old Style"/>
          <w:i/>
          <w:sz w:val="22"/>
          <w:szCs w:val="22"/>
        </w:rPr>
        <w:t>Para los efectos anteriores, la base gravable sobre la cual se liquida la contribución, estará conformada por:</w:t>
      </w:r>
    </w:p>
    <w:p w:rsidR="00623B3E" w:rsidRPr="008000C4" w:rsidRDefault="00623B3E" w:rsidP="00623B3E">
      <w:pPr>
        <w:autoSpaceDE w:val="0"/>
        <w:autoSpaceDN w:val="0"/>
        <w:adjustRightInd w:val="0"/>
        <w:ind w:left="284" w:right="567"/>
        <w:jc w:val="both"/>
        <w:rPr>
          <w:rFonts w:ascii="Bookman Old Style" w:hAnsi="Bookman Old Style"/>
          <w:i/>
          <w:sz w:val="22"/>
          <w:szCs w:val="22"/>
        </w:rPr>
      </w:pPr>
    </w:p>
    <w:p w:rsidR="00623B3E" w:rsidRPr="008000C4" w:rsidRDefault="00623B3E" w:rsidP="00623B3E">
      <w:pPr>
        <w:pStyle w:val="Prrafodelista"/>
        <w:numPr>
          <w:ilvl w:val="0"/>
          <w:numId w:val="28"/>
        </w:numPr>
        <w:autoSpaceDE w:val="0"/>
        <w:autoSpaceDN w:val="0"/>
        <w:adjustRightInd w:val="0"/>
        <w:ind w:left="284" w:right="567" w:firstLine="0"/>
        <w:contextualSpacing/>
        <w:jc w:val="both"/>
        <w:rPr>
          <w:rFonts w:ascii="Bookman Old Style" w:hAnsi="Bookman Old Style"/>
          <w:i/>
          <w:sz w:val="22"/>
          <w:szCs w:val="22"/>
        </w:rPr>
      </w:pPr>
      <w:r w:rsidRPr="008000C4">
        <w:rPr>
          <w:rFonts w:ascii="Bookman Old Style" w:hAnsi="Bookman Old Style"/>
          <w:i/>
          <w:sz w:val="22"/>
          <w:szCs w:val="22"/>
        </w:rPr>
        <w:t>La sumatoria de los gastos administrativos, las provisiones, agotamientos, depreciaciones, amortizaciones y otros gastos.</w:t>
      </w:r>
    </w:p>
    <w:p w:rsidR="00623B3E" w:rsidRPr="008000C4" w:rsidRDefault="00623B3E" w:rsidP="00623B3E">
      <w:pPr>
        <w:pStyle w:val="Prrafodelista"/>
        <w:numPr>
          <w:ilvl w:val="0"/>
          <w:numId w:val="28"/>
        </w:numPr>
        <w:autoSpaceDE w:val="0"/>
        <w:autoSpaceDN w:val="0"/>
        <w:adjustRightInd w:val="0"/>
        <w:ind w:left="284" w:right="567" w:firstLine="0"/>
        <w:contextualSpacing/>
        <w:jc w:val="both"/>
        <w:rPr>
          <w:rFonts w:ascii="Bookman Old Style" w:hAnsi="Bookman Old Style"/>
          <w:i/>
          <w:sz w:val="22"/>
          <w:szCs w:val="22"/>
        </w:rPr>
      </w:pPr>
      <w:r w:rsidRPr="008000C4">
        <w:rPr>
          <w:rFonts w:ascii="Bookman Old Style" w:hAnsi="Bookman Old Style"/>
          <w:i/>
          <w:sz w:val="22"/>
          <w:szCs w:val="22"/>
        </w:rPr>
        <w:t>Para la determinación de la base gravable, se tendrán en cuenta las definiciones contenidas en el Plan de Contabilidad para Entes Prestadores de Servicios Públicos Domiciliarios, expedido por la Superintendencia de Servicios Públicos Domiciliarios.</w:t>
      </w:r>
    </w:p>
    <w:p w:rsidR="00623B3E" w:rsidRPr="008000C4" w:rsidRDefault="00623B3E" w:rsidP="00623B3E">
      <w:pPr>
        <w:autoSpaceDE w:val="0"/>
        <w:autoSpaceDN w:val="0"/>
        <w:adjustRightInd w:val="0"/>
        <w:ind w:left="284" w:right="567"/>
        <w:jc w:val="both"/>
        <w:rPr>
          <w:rFonts w:ascii="Bookman Old Style" w:hAnsi="Bookman Old Style"/>
          <w:i/>
          <w:sz w:val="22"/>
          <w:szCs w:val="22"/>
        </w:rPr>
      </w:pPr>
    </w:p>
    <w:p w:rsidR="00623B3E" w:rsidRPr="008000C4" w:rsidRDefault="00623B3E" w:rsidP="00623B3E">
      <w:pPr>
        <w:autoSpaceDE w:val="0"/>
        <w:autoSpaceDN w:val="0"/>
        <w:adjustRightInd w:val="0"/>
        <w:ind w:left="284" w:right="567"/>
        <w:jc w:val="both"/>
        <w:rPr>
          <w:rFonts w:ascii="Bookman Old Style" w:hAnsi="Bookman Old Style"/>
          <w:i/>
          <w:sz w:val="22"/>
          <w:szCs w:val="22"/>
        </w:rPr>
      </w:pPr>
      <w:r w:rsidRPr="008000C4">
        <w:rPr>
          <w:rFonts w:ascii="Bookman Old Style" w:hAnsi="Bookman Old Style" w:cs="Arial,Bold"/>
          <w:b/>
          <w:i/>
          <w:sz w:val="22"/>
          <w:szCs w:val="22"/>
        </w:rPr>
        <w:t xml:space="preserve">PARAGRAFO 2o. </w:t>
      </w:r>
      <w:r w:rsidRPr="008000C4">
        <w:rPr>
          <w:rFonts w:ascii="Bookman Old Style" w:hAnsi="Bookman Old Style"/>
          <w:i/>
          <w:sz w:val="22"/>
          <w:szCs w:val="22"/>
        </w:rPr>
        <w:t xml:space="preserve">El monto de la contribución que le corresponde pagar a cada entidad o empresa del subsector de energía eléctrica, será liquidado por la Comisión de Regulación mediante acto administrativo que será notificado a las </w:t>
      </w:r>
      <w:r w:rsidRPr="008000C4">
        <w:rPr>
          <w:rFonts w:ascii="Bookman Old Style" w:hAnsi="Bookman Old Style"/>
          <w:i/>
          <w:sz w:val="22"/>
          <w:szCs w:val="22"/>
        </w:rPr>
        <w:lastRenderedPageBreak/>
        <w:t>personas obligadas a su pago, con sujeción a las disposiciones del Código Contencioso Administrativo.</w:t>
      </w:r>
    </w:p>
    <w:p w:rsidR="00623B3E" w:rsidRPr="008000C4" w:rsidRDefault="00623B3E" w:rsidP="00623B3E">
      <w:pPr>
        <w:autoSpaceDE w:val="0"/>
        <w:autoSpaceDN w:val="0"/>
        <w:adjustRightInd w:val="0"/>
        <w:ind w:left="284" w:right="567"/>
        <w:jc w:val="both"/>
        <w:rPr>
          <w:rFonts w:ascii="Bookman Old Style" w:hAnsi="Bookman Old Style"/>
          <w:i/>
          <w:sz w:val="22"/>
          <w:szCs w:val="22"/>
        </w:rPr>
      </w:pPr>
    </w:p>
    <w:p w:rsidR="00623B3E" w:rsidRPr="008000C4" w:rsidRDefault="00623B3E" w:rsidP="00623B3E">
      <w:pPr>
        <w:autoSpaceDE w:val="0"/>
        <w:autoSpaceDN w:val="0"/>
        <w:adjustRightInd w:val="0"/>
        <w:ind w:left="284" w:right="567"/>
        <w:jc w:val="both"/>
        <w:rPr>
          <w:rFonts w:ascii="Bookman Old Style" w:hAnsi="Bookman Old Style"/>
          <w:i/>
          <w:sz w:val="22"/>
          <w:szCs w:val="22"/>
        </w:rPr>
      </w:pPr>
      <w:r w:rsidRPr="008000C4">
        <w:rPr>
          <w:rFonts w:ascii="Bookman Old Style" w:hAnsi="Bookman Old Style"/>
          <w:i/>
          <w:sz w:val="22"/>
          <w:szCs w:val="22"/>
        </w:rPr>
        <w:t xml:space="preserve">Una vez en firme las liquidaciones deberán ser canceladas dentro de los treinta (30) días </w:t>
      </w:r>
      <w:proofErr w:type="gramStart"/>
      <w:r w:rsidRPr="008000C4">
        <w:rPr>
          <w:rFonts w:ascii="Bookman Old Style" w:hAnsi="Bookman Old Style"/>
          <w:i/>
          <w:sz w:val="22"/>
          <w:szCs w:val="22"/>
        </w:rPr>
        <w:t>calendario siguientes</w:t>
      </w:r>
      <w:proofErr w:type="gramEnd"/>
      <w:r w:rsidRPr="008000C4">
        <w:rPr>
          <w:rFonts w:ascii="Bookman Old Style" w:hAnsi="Bookman Old Style"/>
          <w:i/>
          <w:sz w:val="22"/>
          <w:szCs w:val="22"/>
        </w:rPr>
        <w:t>. Se aplicará el mismo régimen de sanción por mora aplicable al impuesto sobre la renta y complementarios, sin perjuicio de las demás sanciones establecidas en la Ley 142 de 1994.</w:t>
      </w:r>
    </w:p>
    <w:p w:rsidR="00623B3E" w:rsidRPr="008000C4" w:rsidRDefault="00623B3E" w:rsidP="00623B3E">
      <w:pPr>
        <w:autoSpaceDE w:val="0"/>
        <w:autoSpaceDN w:val="0"/>
        <w:adjustRightInd w:val="0"/>
        <w:ind w:left="284" w:right="567"/>
        <w:jc w:val="both"/>
        <w:rPr>
          <w:rFonts w:ascii="Bookman Old Style" w:hAnsi="Bookman Old Style"/>
          <w:i/>
          <w:sz w:val="22"/>
          <w:szCs w:val="22"/>
        </w:rPr>
      </w:pPr>
    </w:p>
    <w:p w:rsidR="00623B3E" w:rsidRPr="008000C4" w:rsidRDefault="00623B3E" w:rsidP="00623B3E">
      <w:pPr>
        <w:autoSpaceDE w:val="0"/>
        <w:autoSpaceDN w:val="0"/>
        <w:adjustRightInd w:val="0"/>
        <w:ind w:left="284" w:right="567"/>
        <w:jc w:val="both"/>
        <w:rPr>
          <w:rFonts w:ascii="Bookman Old Style" w:hAnsi="Bookman Old Style"/>
          <w:i/>
          <w:sz w:val="22"/>
          <w:szCs w:val="22"/>
        </w:rPr>
      </w:pPr>
      <w:r w:rsidRPr="008000C4">
        <w:rPr>
          <w:rFonts w:ascii="Bookman Old Style" w:hAnsi="Bookman Old Style" w:cs="Arial,Bold"/>
          <w:b/>
          <w:i/>
          <w:sz w:val="22"/>
          <w:szCs w:val="22"/>
        </w:rPr>
        <w:t xml:space="preserve">PARAGRAFO 3o. </w:t>
      </w:r>
      <w:r w:rsidRPr="008000C4">
        <w:rPr>
          <w:rFonts w:ascii="Bookman Old Style" w:hAnsi="Bookman Old Style"/>
          <w:i/>
          <w:sz w:val="22"/>
          <w:szCs w:val="22"/>
        </w:rPr>
        <w:t>Los contribuyentes a más tardar el 28 de febrero de cada año, deberán cancelar a título de anticipo en las entidades financieras, que para el efecto informe la Comisión, el 60% del valor de la contribución liquidada el año inmediatamente anterior.</w:t>
      </w:r>
    </w:p>
    <w:p w:rsidR="00623B3E" w:rsidRPr="008000C4" w:rsidRDefault="00623B3E" w:rsidP="00623B3E">
      <w:pPr>
        <w:autoSpaceDE w:val="0"/>
        <w:autoSpaceDN w:val="0"/>
        <w:adjustRightInd w:val="0"/>
        <w:ind w:left="284" w:right="567"/>
        <w:jc w:val="both"/>
        <w:rPr>
          <w:rFonts w:ascii="Bookman Old Style" w:hAnsi="Bookman Old Style"/>
          <w:i/>
          <w:sz w:val="22"/>
          <w:szCs w:val="22"/>
        </w:rPr>
      </w:pPr>
    </w:p>
    <w:p w:rsidR="00623B3E" w:rsidRPr="008000C4" w:rsidRDefault="00623B3E" w:rsidP="00623B3E">
      <w:pPr>
        <w:autoSpaceDE w:val="0"/>
        <w:autoSpaceDN w:val="0"/>
        <w:adjustRightInd w:val="0"/>
        <w:ind w:left="284" w:right="567"/>
        <w:jc w:val="both"/>
        <w:rPr>
          <w:rFonts w:ascii="Bookman Old Style" w:hAnsi="Bookman Old Style"/>
          <w:i/>
          <w:sz w:val="22"/>
          <w:szCs w:val="22"/>
        </w:rPr>
      </w:pPr>
      <w:r w:rsidRPr="008000C4">
        <w:rPr>
          <w:rFonts w:ascii="Bookman Old Style" w:hAnsi="Bookman Old Style"/>
          <w:i/>
          <w:sz w:val="22"/>
          <w:szCs w:val="22"/>
        </w:rPr>
        <w:t>Las contribuciones deberán ser pagadas dentro del plazo señalado en el parágrafo anterior, descontando la suma consignada como anticipo.”</w:t>
      </w:r>
    </w:p>
    <w:p w:rsidR="00623B3E" w:rsidRDefault="00623B3E" w:rsidP="00A50220">
      <w:pPr>
        <w:ind w:left="0"/>
        <w:jc w:val="both"/>
        <w:rPr>
          <w:rFonts w:ascii="Bookman Old Style" w:hAnsi="Bookman Old Style" w:cs="Arial"/>
        </w:rPr>
      </w:pPr>
    </w:p>
    <w:p w:rsidR="00A50220" w:rsidRDefault="00A50220" w:rsidP="00A50220">
      <w:pPr>
        <w:ind w:left="0"/>
        <w:jc w:val="both"/>
        <w:rPr>
          <w:rFonts w:ascii="Bookman Old Style" w:hAnsi="Bookman Old Style" w:cs="Arial"/>
        </w:rPr>
      </w:pPr>
      <w:r w:rsidRPr="00A50220">
        <w:rPr>
          <w:rFonts w:ascii="Bookman Old Style" w:hAnsi="Bookman Old Style" w:cs="Arial"/>
        </w:rPr>
        <w:t xml:space="preserve">La sociedad </w:t>
      </w:r>
      <w:r w:rsidRPr="001E4389">
        <w:rPr>
          <w:rFonts w:ascii="Bookman Old Style" w:hAnsi="Bookman Old Style" w:cs="Arial"/>
        </w:rPr>
        <w:t>CENTRAL TERMOELECTRICA EL MORRO 1 S.A. E.S.P.</w:t>
      </w:r>
      <w:r w:rsidRPr="00A50220">
        <w:rPr>
          <w:rFonts w:ascii="Bookman Old Style" w:hAnsi="Bookman Old Style" w:cs="Arial"/>
        </w:rPr>
        <w:t>, no reportó información y por lo tanto se tomó como base de liquidación la información de la contribución del año 2011 y se actualizó a valor presente, utilizando la siguiente fórmula:</w:t>
      </w:r>
    </w:p>
    <w:tbl>
      <w:tblPr>
        <w:tblW w:w="8722" w:type="dxa"/>
        <w:tblInd w:w="70" w:type="dxa"/>
        <w:tblCellMar>
          <w:left w:w="70" w:type="dxa"/>
          <w:right w:w="70" w:type="dxa"/>
        </w:tblCellMar>
        <w:tblLook w:val="04A0" w:firstRow="1" w:lastRow="0" w:firstColumn="1" w:lastColumn="0" w:noHBand="0" w:noVBand="1"/>
      </w:tblPr>
      <w:tblGrid>
        <w:gridCol w:w="1668"/>
        <w:gridCol w:w="371"/>
        <w:gridCol w:w="2154"/>
        <w:gridCol w:w="368"/>
        <w:gridCol w:w="1285"/>
        <w:gridCol w:w="356"/>
        <w:gridCol w:w="2520"/>
      </w:tblGrid>
      <w:tr w:rsidR="00D0698C" w:rsidRPr="00F514F1" w:rsidTr="00D0698C">
        <w:trPr>
          <w:trHeight w:val="661"/>
        </w:trPr>
        <w:tc>
          <w:tcPr>
            <w:tcW w:w="1668" w:type="dxa"/>
            <w:vMerge w:val="restart"/>
            <w:tcBorders>
              <w:top w:val="nil"/>
              <w:left w:val="nil"/>
              <w:bottom w:val="nil"/>
              <w:right w:val="nil"/>
            </w:tcBorders>
            <w:shd w:val="clear" w:color="auto" w:fill="auto"/>
            <w:vAlign w:val="center"/>
            <w:hideMark/>
          </w:tcPr>
          <w:p w:rsidR="00D0698C" w:rsidRPr="00D0698C" w:rsidRDefault="00D0698C" w:rsidP="00D0698C">
            <w:pPr>
              <w:ind w:left="0"/>
              <w:jc w:val="center"/>
              <w:rPr>
                <w:rFonts w:ascii="Bookman Old Style" w:hAnsi="Bookman Old Style" w:cs="Calibri"/>
                <w:color w:val="000000"/>
                <w:sz w:val="20"/>
                <w:szCs w:val="20"/>
                <w:lang w:val="es-CO" w:eastAsia="es-CO"/>
              </w:rPr>
            </w:pPr>
            <w:r w:rsidRPr="00D0698C">
              <w:rPr>
                <w:rFonts w:ascii="Bookman Old Style" w:hAnsi="Bookman Old Style" w:cs="Calibri"/>
                <w:color w:val="000000"/>
                <w:sz w:val="20"/>
                <w:szCs w:val="20"/>
                <w:lang w:val="es-CO" w:eastAsia="es-CO"/>
              </w:rPr>
              <w:t>Valor Presente 2012</w:t>
            </w:r>
          </w:p>
        </w:tc>
        <w:tc>
          <w:tcPr>
            <w:tcW w:w="371" w:type="dxa"/>
            <w:vMerge w:val="restart"/>
            <w:tcBorders>
              <w:top w:val="nil"/>
              <w:left w:val="nil"/>
              <w:bottom w:val="nil"/>
              <w:right w:val="nil"/>
            </w:tcBorders>
            <w:shd w:val="clear" w:color="auto" w:fill="auto"/>
            <w:noWrap/>
            <w:vAlign w:val="center"/>
            <w:hideMark/>
          </w:tcPr>
          <w:p w:rsidR="00D0698C" w:rsidRPr="00D0698C" w:rsidRDefault="00D0698C" w:rsidP="00D0698C">
            <w:pPr>
              <w:ind w:left="0"/>
              <w:jc w:val="center"/>
              <w:rPr>
                <w:rFonts w:ascii="Bookman Old Style" w:hAnsi="Bookman Old Style" w:cs="Calibri"/>
                <w:b/>
                <w:color w:val="000000"/>
                <w:sz w:val="20"/>
                <w:szCs w:val="20"/>
                <w:lang w:val="es-CO" w:eastAsia="es-CO"/>
              </w:rPr>
            </w:pPr>
            <w:r w:rsidRPr="00D0698C">
              <w:rPr>
                <w:rFonts w:ascii="Bookman Old Style" w:hAnsi="Bookman Old Style" w:cs="Calibri"/>
                <w:color w:val="000000"/>
                <w:sz w:val="20"/>
                <w:szCs w:val="20"/>
                <w:lang w:val="es-CO" w:eastAsia="es-CO"/>
              </w:rPr>
              <w:t xml:space="preserve"> </w:t>
            </w:r>
            <w:r w:rsidRPr="00D0698C">
              <w:rPr>
                <w:rFonts w:ascii="Bookman Old Style" w:hAnsi="Bookman Old Style" w:cs="Calibri"/>
                <w:b/>
                <w:color w:val="000000"/>
                <w:sz w:val="20"/>
                <w:szCs w:val="20"/>
                <w:lang w:val="es-CO" w:eastAsia="es-CO"/>
              </w:rPr>
              <w:t>=</w:t>
            </w:r>
          </w:p>
        </w:tc>
        <w:tc>
          <w:tcPr>
            <w:tcW w:w="2154" w:type="dxa"/>
            <w:vMerge w:val="restart"/>
            <w:tcBorders>
              <w:top w:val="nil"/>
              <w:left w:val="nil"/>
              <w:bottom w:val="nil"/>
              <w:right w:val="nil"/>
            </w:tcBorders>
            <w:shd w:val="clear" w:color="auto" w:fill="auto"/>
            <w:vAlign w:val="center"/>
            <w:hideMark/>
          </w:tcPr>
          <w:p w:rsidR="00D0698C" w:rsidRPr="00D0698C" w:rsidRDefault="00D0698C" w:rsidP="00D0698C">
            <w:pPr>
              <w:ind w:left="0"/>
              <w:jc w:val="center"/>
              <w:rPr>
                <w:rFonts w:ascii="Bookman Old Style" w:hAnsi="Bookman Old Style" w:cs="Calibri"/>
                <w:color w:val="000000"/>
                <w:sz w:val="20"/>
                <w:szCs w:val="20"/>
                <w:lang w:val="es-CO" w:eastAsia="es-CO"/>
              </w:rPr>
            </w:pPr>
            <w:r w:rsidRPr="00D0698C">
              <w:rPr>
                <w:rFonts w:ascii="Bookman Old Style" w:hAnsi="Bookman Old Style" w:cs="Calibri"/>
                <w:color w:val="000000"/>
                <w:sz w:val="20"/>
                <w:szCs w:val="20"/>
                <w:lang w:val="es-CO" w:eastAsia="es-CO"/>
              </w:rPr>
              <w:t>Contribución año 2011 (Res. 175)</w:t>
            </w:r>
          </w:p>
        </w:tc>
        <w:tc>
          <w:tcPr>
            <w:tcW w:w="368" w:type="dxa"/>
            <w:vMerge w:val="restart"/>
            <w:tcBorders>
              <w:top w:val="nil"/>
              <w:left w:val="nil"/>
              <w:bottom w:val="nil"/>
              <w:right w:val="nil"/>
            </w:tcBorders>
            <w:shd w:val="clear" w:color="auto" w:fill="auto"/>
            <w:noWrap/>
            <w:vAlign w:val="center"/>
            <w:hideMark/>
          </w:tcPr>
          <w:p w:rsidR="00D0698C" w:rsidRPr="00D0698C" w:rsidRDefault="00D0698C" w:rsidP="00D0698C">
            <w:pPr>
              <w:ind w:left="0"/>
              <w:jc w:val="center"/>
              <w:rPr>
                <w:rFonts w:ascii="Bookman Old Style" w:hAnsi="Bookman Old Style" w:cs="Calibri"/>
                <w:b/>
                <w:color w:val="000000"/>
                <w:sz w:val="20"/>
                <w:szCs w:val="20"/>
                <w:lang w:val="es-CO" w:eastAsia="es-CO"/>
              </w:rPr>
            </w:pPr>
            <w:r w:rsidRPr="00D0698C">
              <w:rPr>
                <w:rFonts w:ascii="Bookman Old Style" w:hAnsi="Bookman Old Style" w:cs="Calibri"/>
                <w:b/>
                <w:color w:val="000000"/>
                <w:sz w:val="20"/>
                <w:szCs w:val="20"/>
                <w:lang w:val="es-CO" w:eastAsia="es-CO"/>
              </w:rPr>
              <w:t>/</w:t>
            </w:r>
          </w:p>
        </w:tc>
        <w:tc>
          <w:tcPr>
            <w:tcW w:w="1285" w:type="dxa"/>
            <w:vMerge w:val="restart"/>
            <w:tcBorders>
              <w:top w:val="nil"/>
              <w:left w:val="nil"/>
              <w:bottom w:val="nil"/>
              <w:right w:val="nil"/>
            </w:tcBorders>
            <w:shd w:val="clear" w:color="auto" w:fill="auto"/>
            <w:noWrap/>
            <w:vAlign w:val="center"/>
            <w:hideMark/>
          </w:tcPr>
          <w:p w:rsidR="00D0698C" w:rsidRPr="00D0698C" w:rsidRDefault="00D0698C" w:rsidP="00D0698C">
            <w:pPr>
              <w:ind w:left="0"/>
              <w:jc w:val="center"/>
              <w:rPr>
                <w:rFonts w:ascii="Bookman Old Style" w:hAnsi="Bookman Old Style" w:cs="Calibri"/>
                <w:color w:val="000000"/>
                <w:sz w:val="20"/>
                <w:szCs w:val="20"/>
                <w:lang w:val="es-CO" w:eastAsia="es-CO"/>
              </w:rPr>
            </w:pPr>
            <w:r w:rsidRPr="00D0698C">
              <w:rPr>
                <w:rFonts w:ascii="Bookman Old Style" w:hAnsi="Bookman Old Style" w:cs="Calibri"/>
                <w:color w:val="000000"/>
                <w:sz w:val="20"/>
                <w:szCs w:val="20"/>
                <w:lang w:val="es-CO" w:eastAsia="es-CO"/>
              </w:rPr>
              <w:t>0,757%</w:t>
            </w:r>
          </w:p>
        </w:tc>
        <w:tc>
          <w:tcPr>
            <w:tcW w:w="356" w:type="dxa"/>
            <w:vMerge w:val="restart"/>
            <w:tcBorders>
              <w:top w:val="nil"/>
              <w:left w:val="nil"/>
              <w:bottom w:val="nil"/>
              <w:right w:val="nil"/>
            </w:tcBorders>
            <w:shd w:val="clear" w:color="auto" w:fill="auto"/>
            <w:noWrap/>
            <w:vAlign w:val="center"/>
            <w:hideMark/>
          </w:tcPr>
          <w:p w:rsidR="00D0698C" w:rsidRPr="00D0698C" w:rsidRDefault="00D0698C" w:rsidP="00D0698C">
            <w:pPr>
              <w:ind w:left="0"/>
              <w:jc w:val="center"/>
              <w:rPr>
                <w:rFonts w:ascii="Bookman Old Style" w:hAnsi="Bookman Old Style" w:cs="Calibri"/>
                <w:b/>
                <w:color w:val="000000"/>
                <w:sz w:val="20"/>
                <w:szCs w:val="20"/>
                <w:lang w:val="es-CO" w:eastAsia="es-CO"/>
              </w:rPr>
            </w:pPr>
            <w:r w:rsidRPr="00D0698C">
              <w:rPr>
                <w:rFonts w:ascii="Bookman Old Style" w:hAnsi="Bookman Old Style" w:cs="Calibri"/>
                <w:b/>
                <w:color w:val="000000"/>
                <w:sz w:val="20"/>
                <w:szCs w:val="20"/>
                <w:lang w:val="es-CO" w:eastAsia="es-CO"/>
              </w:rPr>
              <w:t>x</w:t>
            </w:r>
          </w:p>
        </w:tc>
        <w:tc>
          <w:tcPr>
            <w:tcW w:w="2520" w:type="dxa"/>
            <w:tcBorders>
              <w:top w:val="nil"/>
              <w:left w:val="nil"/>
              <w:bottom w:val="nil"/>
              <w:right w:val="nil"/>
            </w:tcBorders>
            <w:shd w:val="clear" w:color="auto" w:fill="auto"/>
            <w:vAlign w:val="bottom"/>
            <w:hideMark/>
          </w:tcPr>
          <w:p w:rsidR="00D0698C" w:rsidRPr="00D0698C" w:rsidRDefault="00D0698C" w:rsidP="00D0698C">
            <w:pPr>
              <w:ind w:left="0"/>
              <w:jc w:val="center"/>
              <w:rPr>
                <w:rFonts w:ascii="Bookman Old Style" w:hAnsi="Bookman Old Style" w:cs="Calibri"/>
                <w:color w:val="000000"/>
                <w:sz w:val="20"/>
                <w:szCs w:val="20"/>
                <w:u w:val="single"/>
                <w:lang w:val="es-CO" w:eastAsia="es-CO"/>
              </w:rPr>
            </w:pPr>
            <w:r w:rsidRPr="00D0698C">
              <w:rPr>
                <w:rFonts w:ascii="Bookman Old Style" w:hAnsi="Bookman Old Style" w:cs="Calibri"/>
                <w:color w:val="000000"/>
                <w:sz w:val="20"/>
                <w:szCs w:val="20"/>
                <w:u w:val="single"/>
                <w:lang w:val="es-CO" w:eastAsia="es-CO"/>
              </w:rPr>
              <w:t>IPC diciembre 2011</w:t>
            </w:r>
          </w:p>
        </w:tc>
      </w:tr>
      <w:tr w:rsidR="00D0698C" w:rsidRPr="00F514F1" w:rsidTr="00D0698C">
        <w:trPr>
          <w:trHeight w:val="347"/>
        </w:trPr>
        <w:tc>
          <w:tcPr>
            <w:tcW w:w="1668" w:type="dxa"/>
            <w:vMerge/>
            <w:tcBorders>
              <w:top w:val="nil"/>
              <w:left w:val="nil"/>
              <w:bottom w:val="nil"/>
              <w:right w:val="nil"/>
            </w:tcBorders>
            <w:vAlign w:val="center"/>
            <w:hideMark/>
          </w:tcPr>
          <w:p w:rsidR="00D0698C" w:rsidRPr="00D0698C" w:rsidRDefault="00D0698C" w:rsidP="00D0698C">
            <w:pPr>
              <w:ind w:left="0"/>
              <w:rPr>
                <w:rFonts w:ascii="Bookman Old Style" w:hAnsi="Bookman Old Style" w:cs="Calibri"/>
                <w:color w:val="000000"/>
                <w:sz w:val="20"/>
                <w:szCs w:val="20"/>
                <w:lang w:val="es-CO" w:eastAsia="es-CO"/>
              </w:rPr>
            </w:pPr>
          </w:p>
        </w:tc>
        <w:tc>
          <w:tcPr>
            <w:tcW w:w="371" w:type="dxa"/>
            <w:vMerge/>
            <w:tcBorders>
              <w:top w:val="nil"/>
              <w:left w:val="nil"/>
              <w:bottom w:val="nil"/>
              <w:right w:val="nil"/>
            </w:tcBorders>
            <w:vAlign w:val="center"/>
            <w:hideMark/>
          </w:tcPr>
          <w:p w:rsidR="00D0698C" w:rsidRPr="00D0698C" w:rsidRDefault="00D0698C" w:rsidP="00D0698C">
            <w:pPr>
              <w:ind w:left="0"/>
              <w:rPr>
                <w:rFonts w:ascii="Bookman Old Style" w:hAnsi="Bookman Old Style" w:cs="Calibri"/>
                <w:color w:val="000000"/>
                <w:sz w:val="20"/>
                <w:szCs w:val="20"/>
                <w:lang w:val="es-CO" w:eastAsia="es-CO"/>
              </w:rPr>
            </w:pPr>
          </w:p>
        </w:tc>
        <w:tc>
          <w:tcPr>
            <w:tcW w:w="2154" w:type="dxa"/>
            <w:vMerge/>
            <w:tcBorders>
              <w:top w:val="nil"/>
              <w:left w:val="nil"/>
              <w:bottom w:val="nil"/>
              <w:right w:val="nil"/>
            </w:tcBorders>
            <w:vAlign w:val="center"/>
            <w:hideMark/>
          </w:tcPr>
          <w:p w:rsidR="00D0698C" w:rsidRPr="00D0698C" w:rsidRDefault="00D0698C" w:rsidP="00D0698C">
            <w:pPr>
              <w:ind w:left="0"/>
              <w:rPr>
                <w:rFonts w:ascii="Bookman Old Style" w:hAnsi="Bookman Old Style" w:cs="Calibri"/>
                <w:color w:val="000000"/>
                <w:sz w:val="20"/>
                <w:szCs w:val="20"/>
                <w:lang w:val="es-CO" w:eastAsia="es-CO"/>
              </w:rPr>
            </w:pPr>
          </w:p>
        </w:tc>
        <w:tc>
          <w:tcPr>
            <w:tcW w:w="368" w:type="dxa"/>
            <w:vMerge/>
            <w:tcBorders>
              <w:top w:val="nil"/>
              <w:left w:val="nil"/>
              <w:bottom w:val="nil"/>
              <w:right w:val="nil"/>
            </w:tcBorders>
            <w:vAlign w:val="center"/>
            <w:hideMark/>
          </w:tcPr>
          <w:p w:rsidR="00D0698C" w:rsidRPr="00D0698C" w:rsidRDefault="00D0698C" w:rsidP="00D0698C">
            <w:pPr>
              <w:ind w:left="0"/>
              <w:rPr>
                <w:rFonts w:ascii="Bookman Old Style" w:hAnsi="Bookman Old Style" w:cs="Calibri"/>
                <w:color w:val="000000"/>
                <w:sz w:val="20"/>
                <w:szCs w:val="20"/>
                <w:lang w:val="es-CO" w:eastAsia="es-CO"/>
              </w:rPr>
            </w:pPr>
          </w:p>
        </w:tc>
        <w:tc>
          <w:tcPr>
            <w:tcW w:w="1285" w:type="dxa"/>
            <w:vMerge/>
            <w:tcBorders>
              <w:top w:val="nil"/>
              <w:left w:val="nil"/>
              <w:bottom w:val="nil"/>
              <w:right w:val="nil"/>
            </w:tcBorders>
            <w:vAlign w:val="center"/>
            <w:hideMark/>
          </w:tcPr>
          <w:p w:rsidR="00D0698C" w:rsidRPr="00D0698C" w:rsidRDefault="00D0698C" w:rsidP="00D0698C">
            <w:pPr>
              <w:ind w:left="0"/>
              <w:rPr>
                <w:rFonts w:ascii="Bookman Old Style" w:hAnsi="Bookman Old Style" w:cs="Calibri"/>
                <w:color w:val="000000"/>
                <w:sz w:val="20"/>
                <w:szCs w:val="20"/>
                <w:lang w:val="es-CO" w:eastAsia="es-CO"/>
              </w:rPr>
            </w:pPr>
          </w:p>
        </w:tc>
        <w:tc>
          <w:tcPr>
            <w:tcW w:w="356" w:type="dxa"/>
            <w:vMerge/>
            <w:tcBorders>
              <w:top w:val="nil"/>
              <w:left w:val="nil"/>
              <w:bottom w:val="nil"/>
              <w:right w:val="nil"/>
            </w:tcBorders>
            <w:vAlign w:val="center"/>
            <w:hideMark/>
          </w:tcPr>
          <w:p w:rsidR="00D0698C" w:rsidRPr="00D0698C" w:rsidRDefault="00D0698C" w:rsidP="00D0698C">
            <w:pPr>
              <w:ind w:left="0"/>
              <w:rPr>
                <w:rFonts w:ascii="Bookman Old Style" w:hAnsi="Bookman Old Style" w:cs="Calibri"/>
                <w:color w:val="000000"/>
                <w:sz w:val="20"/>
                <w:szCs w:val="20"/>
                <w:lang w:val="es-CO" w:eastAsia="es-CO"/>
              </w:rPr>
            </w:pPr>
          </w:p>
        </w:tc>
        <w:tc>
          <w:tcPr>
            <w:tcW w:w="2520" w:type="dxa"/>
            <w:tcBorders>
              <w:top w:val="nil"/>
              <w:left w:val="nil"/>
              <w:bottom w:val="nil"/>
              <w:right w:val="nil"/>
            </w:tcBorders>
            <w:shd w:val="clear" w:color="auto" w:fill="auto"/>
            <w:noWrap/>
            <w:vAlign w:val="center"/>
            <w:hideMark/>
          </w:tcPr>
          <w:p w:rsidR="00D0698C" w:rsidRPr="00D0698C" w:rsidRDefault="00D0698C" w:rsidP="00D0698C">
            <w:pPr>
              <w:ind w:left="0"/>
              <w:jc w:val="center"/>
              <w:rPr>
                <w:rFonts w:ascii="Bookman Old Style" w:hAnsi="Bookman Old Style" w:cs="Calibri"/>
                <w:color w:val="000000"/>
                <w:sz w:val="20"/>
                <w:szCs w:val="20"/>
                <w:lang w:val="es-CO" w:eastAsia="es-CO"/>
              </w:rPr>
            </w:pPr>
            <w:r w:rsidRPr="00D0698C">
              <w:rPr>
                <w:rFonts w:ascii="Bookman Old Style" w:hAnsi="Bookman Old Style" w:cs="Calibri"/>
                <w:color w:val="000000"/>
                <w:sz w:val="20"/>
                <w:szCs w:val="20"/>
                <w:lang w:val="es-CO" w:eastAsia="es-CO"/>
              </w:rPr>
              <w:t>IPC diciembre 2010</w:t>
            </w:r>
          </w:p>
        </w:tc>
      </w:tr>
    </w:tbl>
    <w:p w:rsidR="005748E9" w:rsidRDefault="005748E9" w:rsidP="006E0F1B">
      <w:pPr>
        <w:ind w:left="0"/>
        <w:jc w:val="both"/>
        <w:rPr>
          <w:rFonts w:ascii="Bookman Old Style" w:hAnsi="Bookman Old Style" w:cs="Arial"/>
        </w:rPr>
      </w:pPr>
    </w:p>
    <w:p w:rsidR="00A50220" w:rsidRPr="002F05A4" w:rsidRDefault="006E0F1B" w:rsidP="006E0F1B">
      <w:pPr>
        <w:ind w:left="0"/>
        <w:jc w:val="both"/>
        <w:rPr>
          <w:rFonts w:ascii="Bookman Old Style" w:hAnsi="Bookman Old Style" w:cs="Arial"/>
        </w:rPr>
      </w:pPr>
      <w:r>
        <w:rPr>
          <w:rFonts w:ascii="Bookman Old Style" w:hAnsi="Bookman Old Style" w:cs="Arial"/>
        </w:rPr>
        <w:t>La Comisión de Regulación de Energía y Gas –CREG, profirió la Resolución CREG-105 del 21 de septiembre de 2012 “Por la cual se ordena hacer público un proyecto de resolución de carácter general”</w:t>
      </w:r>
      <w:r w:rsidR="00E10FCD">
        <w:rPr>
          <w:rFonts w:ascii="Bookman Old Style" w:hAnsi="Bookman Old Style" w:cs="Arial"/>
        </w:rPr>
        <w:t xml:space="preserve"> y cuyo propósito era que las empresas reguladas hicieran sus observaciones y sugerencias en el término de diez (10) días hábiles contados a partir de su publicación, al proyecto de resolución </w:t>
      </w:r>
      <w:r w:rsidR="00E10FCD" w:rsidRPr="002F05A4">
        <w:rPr>
          <w:rFonts w:ascii="Bookman Old Style" w:hAnsi="Bookman Old Style" w:cs="Arial"/>
          <w:i/>
        </w:rPr>
        <w:t>“por el cual se señala el porcentaje de la contribución que deben pagar las entidades sometidas a la regulación de la Comisión de Regulación de Energía y Gas en el año 2012</w:t>
      </w:r>
      <w:r w:rsidR="002F05A4">
        <w:rPr>
          <w:rFonts w:ascii="Bookman Old Style" w:hAnsi="Bookman Old Style" w:cs="Arial"/>
          <w:i/>
        </w:rPr>
        <w:t>.</w:t>
      </w:r>
      <w:r w:rsidR="00E10FCD" w:rsidRPr="002F05A4">
        <w:rPr>
          <w:rFonts w:ascii="Bookman Old Style" w:hAnsi="Bookman Old Style" w:cs="Arial"/>
          <w:i/>
        </w:rPr>
        <w:t>”</w:t>
      </w:r>
      <w:r w:rsidR="00E10FCD" w:rsidRPr="002F05A4">
        <w:rPr>
          <w:rFonts w:ascii="Bookman Old Style" w:hAnsi="Bookman Old Style" w:cs="Arial"/>
        </w:rPr>
        <w:t>.</w:t>
      </w:r>
    </w:p>
    <w:p w:rsidR="00E10FCD" w:rsidRDefault="00E10FCD" w:rsidP="006E0F1B">
      <w:pPr>
        <w:ind w:left="0"/>
        <w:jc w:val="both"/>
        <w:rPr>
          <w:rFonts w:ascii="Bookman Old Style" w:hAnsi="Bookman Old Style" w:cs="Arial"/>
        </w:rPr>
      </w:pPr>
    </w:p>
    <w:p w:rsidR="00E10FCD" w:rsidRDefault="00E10FCD" w:rsidP="006E0F1B">
      <w:pPr>
        <w:ind w:left="0"/>
        <w:jc w:val="both"/>
        <w:rPr>
          <w:rFonts w:ascii="Bookman Old Style" w:hAnsi="Bookman Old Style" w:cs="Arial"/>
        </w:rPr>
      </w:pPr>
      <w:r>
        <w:rPr>
          <w:rFonts w:ascii="Bookman Old Style" w:hAnsi="Bookman Old Style" w:cs="Arial"/>
        </w:rPr>
        <w:t>En el artículo 5 del proyecto de resolución se señaló:</w:t>
      </w:r>
    </w:p>
    <w:p w:rsidR="00E10FCD" w:rsidRDefault="00E10FCD" w:rsidP="006E0F1B">
      <w:pPr>
        <w:ind w:left="0"/>
        <w:jc w:val="both"/>
        <w:rPr>
          <w:rFonts w:ascii="Bookman Old Style" w:hAnsi="Bookman Old Style" w:cs="Arial"/>
        </w:rPr>
      </w:pPr>
    </w:p>
    <w:p w:rsidR="00E10FCD" w:rsidRPr="008000C4" w:rsidRDefault="00E10FCD" w:rsidP="00EC1A6D">
      <w:pPr>
        <w:ind w:left="284" w:right="425"/>
        <w:jc w:val="both"/>
        <w:rPr>
          <w:rFonts w:ascii="Bookman Old Style" w:hAnsi="Bookman Old Style" w:cs="Arial"/>
          <w:bCs/>
          <w:i/>
          <w:sz w:val="22"/>
          <w:szCs w:val="22"/>
        </w:rPr>
      </w:pPr>
      <w:r w:rsidRPr="008000C4">
        <w:rPr>
          <w:rFonts w:ascii="Bookman Old Style" w:hAnsi="Bookman Old Style" w:cs="Arial"/>
          <w:i/>
          <w:sz w:val="22"/>
          <w:szCs w:val="22"/>
        </w:rPr>
        <w:t>“</w:t>
      </w:r>
      <w:r w:rsidRPr="008000C4">
        <w:rPr>
          <w:rFonts w:ascii="Bookman Old Style" w:hAnsi="Bookman Old Style" w:cs="Arial"/>
          <w:b/>
          <w:i/>
          <w:sz w:val="22"/>
          <w:szCs w:val="22"/>
        </w:rPr>
        <w:t xml:space="preserve">ARTÍCULO 5.  </w:t>
      </w:r>
      <w:r w:rsidRPr="008000C4">
        <w:rPr>
          <w:rFonts w:ascii="Bookman Old Style" w:hAnsi="Bookman Old Style" w:cs="Arial"/>
          <w:bCs/>
          <w:i/>
          <w:sz w:val="22"/>
          <w:szCs w:val="22"/>
        </w:rPr>
        <w:t xml:space="preserve">El monto total de la contribución que deben pagar las entidades sujetas a regulación de la Comisión de Regulación de Energía y Gas, en el año 2012, es del </w:t>
      </w:r>
      <w:r w:rsidRPr="008000C4">
        <w:rPr>
          <w:rFonts w:ascii="Bookman Old Style" w:hAnsi="Bookman Old Style" w:cs="Arial"/>
          <w:i/>
          <w:color w:val="000000"/>
          <w:sz w:val="22"/>
          <w:szCs w:val="22"/>
        </w:rPr>
        <w:t>0.916%</w:t>
      </w:r>
      <w:r w:rsidRPr="008000C4">
        <w:rPr>
          <w:rFonts w:ascii="Bookman Old Style" w:hAnsi="Bookman Old Style"/>
          <w:i/>
          <w:color w:val="000000"/>
          <w:sz w:val="22"/>
          <w:szCs w:val="22"/>
        </w:rPr>
        <w:t xml:space="preserve"> </w:t>
      </w:r>
      <w:r w:rsidRPr="008000C4">
        <w:rPr>
          <w:rFonts w:ascii="Bookman Old Style" w:hAnsi="Bookman Old Style" w:cs="Arial"/>
          <w:bCs/>
          <w:i/>
          <w:sz w:val="22"/>
          <w:szCs w:val="22"/>
        </w:rPr>
        <w:t>del valor de los gastos de funcionamiento de la entidad sujeta a</w:t>
      </w:r>
      <w:r w:rsidRPr="008000C4">
        <w:rPr>
          <w:rFonts w:ascii="Bookman Old Style" w:hAnsi="Bookman Old Style" w:cs="Arial"/>
          <w:bCs/>
          <w:i/>
          <w:color w:val="000000"/>
          <w:sz w:val="22"/>
          <w:szCs w:val="22"/>
        </w:rPr>
        <w:t xml:space="preserve"> regulación, con</w:t>
      </w:r>
      <w:r w:rsidRPr="008000C4">
        <w:rPr>
          <w:rFonts w:ascii="Bookman Old Style" w:hAnsi="Bookman Old Style" w:cs="Arial"/>
          <w:bCs/>
          <w:i/>
          <w:sz w:val="22"/>
          <w:szCs w:val="22"/>
        </w:rPr>
        <w:t xml:space="preserve"> exclusión de los factores establecidos en la Ley y en la Jurisprudencia del Consejo de Estado. El monto correspondiente a cada entidad será determinado con base en los estados financieros correspondientes al año de 2011, como lo ordenan las normas vigentes.</w:t>
      </w:r>
      <w:r w:rsidRPr="008000C4">
        <w:rPr>
          <w:rFonts w:ascii="Bookman Old Style" w:hAnsi="Bookman Old Style" w:cs="Arial"/>
          <w:i/>
          <w:sz w:val="22"/>
          <w:szCs w:val="22"/>
        </w:rPr>
        <w:t>”</w:t>
      </w:r>
    </w:p>
    <w:p w:rsidR="00E10FCD" w:rsidRDefault="00E10FCD" w:rsidP="006E0F1B">
      <w:pPr>
        <w:ind w:left="0"/>
        <w:jc w:val="both"/>
        <w:rPr>
          <w:rFonts w:ascii="Bookman Old Style" w:hAnsi="Bookman Old Style" w:cs="Arial"/>
        </w:rPr>
      </w:pPr>
    </w:p>
    <w:p w:rsidR="00E10FCD" w:rsidRDefault="00E10FCD" w:rsidP="006E0F1B">
      <w:pPr>
        <w:ind w:left="0"/>
        <w:jc w:val="both"/>
        <w:rPr>
          <w:rFonts w:ascii="Bookman Old Style" w:hAnsi="Bookman Old Style" w:cs="Arial"/>
        </w:rPr>
      </w:pPr>
      <w:r>
        <w:rPr>
          <w:rFonts w:ascii="Bookman Old Style" w:hAnsi="Bookman Old Style" w:cs="Arial"/>
        </w:rPr>
        <w:t>La anterior resolución se fundamenta en el Documento CREG-059 de septiembre 21 de 2012, el cual fue publicado con la Resolución CREG-105 y en</w:t>
      </w:r>
      <w:r w:rsidR="000D1DDF">
        <w:rPr>
          <w:rFonts w:ascii="Bookman Old Style" w:hAnsi="Bookman Old Style" w:cs="Arial"/>
        </w:rPr>
        <w:t xml:space="preserve"> el punto 5</w:t>
      </w:r>
      <w:r>
        <w:rPr>
          <w:rFonts w:ascii="Bookman Old Style" w:hAnsi="Bookman Old Style" w:cs="Arial"/>
        </w:rPr>
        <w:t xml:space="preserve"> se señal</w:t>
      </w:r>
      <w:r w:rsidR="000D1DDF">
        <w:rPr>
          <w:rFonts w:ascii="Bookman Old Style" w:hAnsi="Bookman Old Style" w:cs="Arial"/>
        </w:rPr>
        <w:t>ó</w:t>
      </w:r>
      <w:r w:rsidR="00FE723F">
        <w:rPr>
          <w:rFonts w:ascii="Bookman Old Style" w:hAnsi="Bookman Old Style" w:cs="Arial"/>
        </w:rPr>
        <w:t xml:space="preserve"> para las empresas </w:t>
      </w:r>
      <w:r w:rsidR="00FE723F" w:rsidRPr="001E4389">
        <w:rPr>
          <w:rFonts w:ascii="Bookman Old Style" w:hAnsi="Bookman Old Style" w:cs="Arial"/>
        </w:rPr>
        <w:t>CENTRAL TERMOELECTRICA EL MORRO 1 S.A. E.S.P</w:t>
      </w:r>
      <w:r w:rsidR="00FE723F">
        <w:rPr>
          <w:rFonts w:ascii="Bookman Old Style" w:hAnsi="Bookman Old Style" w:cs="Arial"/>
        </w:rPr>
        <w:t xml:space="preserve"> y </w:t>
      </w:r>
      <w:r w:rsidR="00FE723F" w:rsidRPr="001E4389">
        <w:rPr>
          <w:rFonts w:ascii="Bookman Old Style" w:hAnsi="Bookman Old Style" w:cs="Arial"/>
        </w:rPr>
        <w:t xml:space="preserve">CENTRAL TERMOELECTRICA EL MORRO </w:t>
      </w:r>
      <w:r w:rsidR="00FE723F">
        <w:rPr>
          <w:rFonts w:ascii="Bookman Old Style" w:hAnsi="Bookman Old Style" w:cs="Arial"/>
        </w:rPr>
        <w:t>2</w:t>
      </w:r>
      <w:r w:rsidR="00FE723F" w:rsidRPr="001E4389">
        <w:rPr>
          <w:rFonts w:ascii="Bookman Old Style" w:hAnsi="Bookman Old Style" w:cs="Arial"/>
        </w:rPr>
        <w:t xml:space="preserve"> S.A.</w:t>
      </w:r>
      <w:r w:rsidR="00FE723F">
        <w:rPr>
          <w:rFonts w:ascii="Bookman Old Style" w:hAnsi="Bookman Old Style" w:cs="Arial"/>
        </w:rPr>
        <w:t>S</w:t>
      </w:r>
      <w:r w:rsidR="00FE723F" w:rsidRPr="001E4389">
        <w:rPr>
          <w:rFonts w:ascii="Bookman Old Style" w:hAnsi="Bookman Old Style" w:cs="Arial"/>
        </w:rPr>
        <w:t xml:space="preserve"> E.S.P</w:t>
      </w:r>
      <w:r w:rsidR="00FE723F">
        <w:rPr>
          <w:rFonts w:ascii="Bookman Old Style" w:hAnsi="Bookman Old Style" w:cs="Arial"/>
        </w:rPr>
        <w:t xml:space="preserve"> la siguiente base de liquidación:</w:t>
      </w:r>
    </w:p>
    <w:p w:rsidR="000D1DDF" w:rsidRPr="008000C4" w:rsidRDefault="000D1DDF" w:rsidP="006E0F1B">
      <w:pPr>
        <w:ind w:left="0"/>
        <w:jc w:val="both"/>
        <w:rPr>
          <w:rFonts w:ascii="Bookman Old Style" w:hAnsi="Bookman Old Style" w:cs="Arial"/>
          <w:sz w:val="32"/>
        </w:rPr>
      </w:pPr>
    </w:p>
    <w:tbl>
      <w:tblPr>
        <w:tblW w:w="9263" w:type="dxa"/>
        <w:tblInd w:w="55" w:type="dxa"/>
        <w:tblCellMar>
          <w:left w:w="70" w:type="dxa"/>
          <w:right w:w="70" w:type="dxa"/>
        </w:tblCellMar>
        <w:tblLook w:val="04A0" w:firstRow="1" w:lastRow="0" w:firstColumn="1" w:lastColumn="0" w:noHBand="0" w:noVBand="1"/>
      </w:tblPr>
      <w:tblGrid>
        <w:gridCol w:w="2578"/>
        <w:gridCol w:w="1865"/>
        <w:gridCol w:w="1364"/>
        <w:gridCol w:w="2089"/>
        <w:gridCol w:w="1367"/>
      </w:tblGrid>
      <w:tr w:rsidR="00CB1C0B" w:rsidRPr="00CB1C0B" w:rsidTr="009F4CD4">
        <w:trPr>
          <w:trHeight w:val="283"/>
        </w:trPr>
        <w:tc>
          <w:tcPr>
            <w:tcW w:w="2578" w:type="dxa"/>
            <w:tcBorders>
              <w:top w:val="single" w:sz="4" w:space="0" w:color="auto"/>
              <w:left w:val="single" w:sz="4" w:space="0" w:color="auto"/>
              <w:bottom w:val="single" w:sz="4" w:space="0" w:color="auto"/>
              <w:right w:val="single" w:sz="4" w:space="0" w:color="auto"/>
            </w:tcBorders>
            <w:shd w:val="clear" w:color="000000" w:fill="1F497D"/>
            <w:vAlign w:val="center"/>
            <w:hideMark/>
          </w:tcPr>
          <w:p w:rsidR="00CB1C0B" w:rsidRPr="00CB1C0B" w:rsidRDefault="00CB1C0B" w:rsidP="00CB1C0B">
            <w:pPr>
              <w:ind w:left="0"/>
              <w:jc w:val="center"/>
              <w:rPr>
                <w:rFonts w:ascii="Calibri" w:hAnsi="Calibri" w:cs="Calibri"/>
                <w:b/>
                <w:bCs/>
                <w:color w:val="FFFFFF"/>
                <w:sz w:val="16"/>
                <w:szCs w:val="16"/>
                <w:lang w:val="es-CO" w:eastAsia="es-CO"/>
              </w:rPr>
            </w:pPr>
            <w:r w:rsidRPr="00CB1C0B">
              <w:rPr>
                <w:rFonts w:ascii="Calibri" w:hAnsi="Calibri" w:cs="Arial"/>
                <w:b/>
                <w:bCs/>
                <w:color w:val="FFFFFF"/>
                <w:sz w:val="16"/>
                <w:szCs w:val="16"/>
                <w:lang w:val="es-CO" w:eastAsia="es-CO"/>
              </w:rPr>
              <w:t>Empresa</w:t>
            </w:r>
          </w:p>
        </w:tc>
        <w:tc>
          <w:tcPr>
            <w:tcW w:w="1865" w:type="dxa"/>
            <w:tcBorders>
              <w:top w:val="single" w:sz="4" w:space="0" w:color="auto"/>
              <w:left w:val="nil"/>
              <w:bottom w:val="single" w:sz="4" w:space="0" w:color="auto"/>
              <w:right w:val="single" w:sz="4" w:space="0" w:color="auto"/>
            </w:tcBorders>
            <w:shd w:val="clear" w:color="000000" w:fill="1F497D"/>
            <w:vAlign w:val="center"/>
            <w:hideMark/>
          </w:tcPr>
          <w:p w:rsidR="00CB1C0B" w:rsidRPr="00CB1C0B" w:rsidRDefault="00CB1C0B" w:rsidP="00CB1C0B">
            <w:pPr>
              <w:ind w:left="0"/>
              <w:jc w:val="center"/>
              <w:rPr>
                <w:rFonts w:ascii="Calibri" w:hAnsi="Calibri" w:cs="Calibri"/>
                <w:b/>
                <w:bCs/>
                <w:color w:val="FFFFFF"/>
                <w:sz w:val="16"/>
                <w:szCs w:val="16"/>
                <w:lang w:val="es-CO" w:eastAsia="es-CO"/>
              </w:rPr>
            </w:pPr>
            <w:r w:rsidRPr="00CB1C0B">
              <w:rPr>
                <w:rFonts w:ascii="Calibri" w:hAnsi="Calibri" w:cs="Arial"/>
                <w:b/>
                <w:bCs/>
                <w:color w:val="FFFFFF"/>
                <w:sz w:val="16"/>
                <w:szCs w:val="16"/>
                <w:lang w:val="es-CO" w:eastAsia="es-CO"/>
              </w:rPr>
              <w:t>Sector</w:t>
            </w:r>
          </w:p>
        </w:tc>
        <w:tc>
          <w:tcPr>
            <w:tcW w:w="1364" w:type="dxa"/>
            <w:tcBorders>
              <w:top w:val="single" w:sz="4" w:space="0" w:color="auto"/>
              <w:left w:val="nil"/>
              <w:bottom w:val="single" w:sz="4" w:space="0" w:color="auto"/>
              <w:right w:val="single" w:sz="4" w:space="0" w:color="auto"/>
            </w:tcBorders>
            <w:shd w:val="clear" w:color="000000" w:fill="1F497D"/>
            <w:vAlign w:val="center"/>
            <w:hideMark/>
          </w:tcPr>
          <w:p w:rsidR="00CB1C0B" w:rsidRPr="00CB1C0B" w:rsidRDefault="00CB1C0B" w:rsidP="00CB1C0B">
            <w:pPr>
              <w:ind w:left="0"/>
              <w:jc w:val="center"/>
              <w:rPr>
                <w:rFonts w:ascii="Calibri" w:hAnsi="Calibri" w:cs="Calibri"/>
                <w:b/>
                <w:bCs/>
                <w:color w:val="FFFFFF"/>
                <w:sz w:val="16"/>
                <w:szCs w:val="16"/>
                <w:lang w:val="es-CO" w:eastAsia="es-CO"/>
              </w:rPr>
            </w:pPr>
            <w:r w:rsidRPr="00CB1C0B">
              <w:rPr>
                <w:rFonts w:ascii="Calibri" w:hAnsi="Calibri" w:cs="Arial"/>
                <w:b/>
                <w:bCs/>
                <w:color w:val="FFFFFF"/>
                <w:sz w:val="16"/>
                <w:szCs w:val="16"/>
                <w:lang w:val="es-CO" w:eastAsia="es-CO"/>
              </w:rPr>
              <w:t>NIT</w:t>
            </w:r>
          </w:p>
        </w:tc>
        <w:tc>
          <w:tcPr>
            <w:tcW w:w="2089" w:type="dxa"/>
            <w:tcBorders>
              <w:top w:val="single" w:sz="4" w:space="0" w:color="auto"/>
              <w:left w:val="nil"/>
              <w:bottom w:val="single" w:sz="4" w:space="0" w:color="auto"/>
              <w:right w:val="single" w:sz="4" w:space="0" w:color="auto"/>
            </w:tcBorders>
            <w:shd w:val="clear" w:color="000000" w:fill="1F497D"/>
            <w:vAlign w:val="center"/>
            <w:hideMark/>
          </w:tcPr>
          <w:p w:rsidR="00CB1C0B" w:rsidRPr="00CB1C0B" w:rsidRDefault="00CB1C0B" w:rsidP="00CB1C0B">
            <w:pPr>
              <w:ind w:left="0"/>
              <w:jc w:val="center"/>
              <w:rPr>
                <w:rFonts w:ascii="Calibri" w:hAnsi="Calibri" w:cs="Calibri"/>
                <w:b/>
                <w:bCs/>
                <w:color w:val="FFFFFF"/>
                <w:sz w:val="16"/>
                <w:szCs w:val="16"/>
                <w:lang w:val="es-CO" w:eastAsia="es-CO"/>
              </w:rPr>
            </w:pPr>
            <w:r w:rsidRPr="00CB1C0B">
              <w:rPr>
                <w:rFonts w:ascii="Calibri" w:hAnsi="Calibri" w:cs="Arial"/>
                <w:b/>
                <w:bCs/>
                <w:color w:val="FFFFFF"/>
                <w:sz w:val="16"/>
                <w:szCs w:val="16"/>
                <w:lang w:val="es-CO" w:eastAsia="es-CO"/>
              </w:rPr>
              <w:t>base de Liquidación</w:t>
            </w:r>
          </w:p>
        </w:tc>
        <w:tc>
          <w:tcPr>
            <w:tcW w:w="1367" w:type="dxa"/>
            <w:tcBorders>
              <w:top w:val="single" w:sz="4" w:space="0" w:color="auto"/>
              <w:left w:val="nil"/>
              <w:bottom w:val="single" w:sz="4" w:space="0" w:color="auto"/>
              <w:right w:val="single" w:sz="4" w:space="0" w:color="auto"/>
            </w:tcBorders>
            <w:shd w:val="clear" w:color="000000" w:fill="1F497D"/>
            <w:vAlign w:val="center"/>
            <w:hideMark/>
          </w:tcPr>
          <w:p w:rsidR="00CB1C0B" w:rsidRPr="00CB1C0B" w:rsidRDefault="00CB1C0B" w:rsidP="00CB1C0B">
            <w:pPr>
              <w:ind w:left="0"/>
              <w:jc w:val="center"/>
              <w:rPr>
                <w:rFonts w:ascii="Calibri" w:hAnsi="Calibri" w:cs="Calibri"/>
                <w:b/>
                <w:bCs/>
                <w:color w:val="FFFFFF"/>
                <w:sz w:val="16"/>
                <w:szCs w:val="16"/>
                <w:lang w:val="es-CO" w:eastAsia="es-CO"/>
              </w:rPr>
            </w:pPr>
            <w:r w:rsidRPr="00CB1C0B">
              <w:rPr>
                <w:rFonts w:ascii="Calibri" w:hAnsi="Calibri" w:cs="Arial"/>
                <w:b/>
                <w:bCs/>
                <w:color w:val="FFFFFF"/>
                <w:sz w:val="16"/>
                <w:szCs w:val="16"/>
                <w:lang w:val="es-CO" w:eastAsia="es-CO"/>
              </w:rPr>
              <w:t>tipo de información</w:t>
            </w:r>
          </w:p>
        </w:tc>
      </w:tr>
      <w:tr w:rsidR="00CB1C0B" w:rsidRPr="00CB1C0B" w:rsidTr="009F4CD4">
        <w:trPr>
          <w:trHeight w:val="481"/>
        </w:trPr>
        <w:tc>
          <w:tcPr>
            <w:tcW w:w="2578" w:type="dxa"/>
            <w:tcBorders>
              <w:top w:val="nil"/>
              <w:left w:val="single" w:sz="4" w:space="0" w:color="auto"/>
              <w:bottom w:val="single" w:sz="4" w:space="0" w:color="auto"/>
              <w:right w:val="single" w:sz="4" w:space="0" w:color="auto"/>
            </w:tcBorders>
            <w:shd w:val="clear" w:color="auto" w:fill="auto"/>
            <w:vAlign w:val="center"/>
            <w:hideMark/>
          </w:tcPr>
          <w:p w:rsidR="00CB1C0B" w:rsidRPr="00CB1C0B" w:rsidRDefault="00CB1C0B" w:rsidP="00CB1C0B">
            <w:pPr>
              <w:ind w:left="0"/>
              <w:rPr>
                <w:rFonts w:ascii="Arial" w:hAnsi="Arial" w:cs="Arial"/>
                <w:color w:val="000000"/>
                <w:sz w:val="20"/>
                <w:szCs w:val="20"/>
                <w:lang w:val="es-CO" w:eastAsia="es-CO"/>
              </w:rPr>
            </w:pPr>
            <w:r w:rsidRPr="00CB1C0B">
              <w:rPr>
                <w:rFonts w:ascii="Arial" w:hAnsi="Arial" w:cs="Arial"/>
                <w:color w:val="000000"/>
                <w:sz w:val="20"/>
                <w:szCs w:val="20"/>
                <w:lang w:val="es-CO" w:eastAsia="es-CO"/>
              </w:rPr>
              <w:t xml:space="preserve">CENTRAL TERMOELECTRICA EL </w:t>
            </w:r>
            <w:r w:rsidRPr="00CB1C0B">
              <w:rPr>
                <w:rFonts w:ascii="Arial" w:hAnsi="Arial" w:cs="Arial"/>
                <w:color w:val="000000"/>
                <w:sz w:val="20"/>
                <w:szCs w:val="20"/>
                <w:lang w:val="es-CO" w:eastAsia="es-CO"/>
              </w:rPr>
              <w:lastRenderedPageBreak/>
              <w:t>MORRO 1 S.A. E.S.P.</w:t>
            </w:r>
          </w:p>
        </w:tc>
        <w:tc>
          <w:tcPr>
            <w:tcW w:w="1865" w:type="dxa"/>
            <w:tcBorders>
              <w:top w:val="nil"/>
              <w:left w:val="nil"/>
              <w:bottom w:val="single" w:sz="4" w:space="0" w:color="auto"/>
              <w:right w:val="single" w:sz="4" w:space="0" w:color="auto"/>
            </w:tcBorders>
            <w:shd w:val="clear" w:color="auto" w:fill="auto"/>
            <w:vAlign w:val="center"/>
            <w:hideMark/>
          </w:tcPr>
          <w:p w:rsidR="00CB1C0B" w:rsidRPr="00CB1C0B" w:rsidRDefault="00CB1C0B" w:rsidP="00CB1C0B">
            <w:pPr>
              <w:ind w:left="0"/>
              <w:rPr>
                <w:rFonts w:ascii="Arial" w:hAnsi="Arial" w:cs="Arial"/>
                <w:color w:val="000000"/>
                <w:sz w:val="20"/>
                <w:szCs w:val="20"/>
                <w:lang w:val="es-CO" w:eastAsia="es-CO"/>
              </w:rPr>
            </w:pPr>
            <w:r w:rsidRPr="00CB1C0B">
              <w:rPr>
                <w:rFonts w:ascii="Arial" w:hAnsi="Arial" w:cs="Arial"/>
                <w:color w:val="000000"/>
                <w:sz w:val="20"/>
                <w:szCs w:val="20"/>
                <w:lang w:val="es-CO" w:eastAsia="es-CO"/>
              </w:rPr>
              <w:lastRenderedPageBreak/>
              <w:t>ENERGIA ELECTRICA</w:t>
            </w:r>
          </w:p>
        </w:tc>
        <w:tc>
          <w:tcPr>
            <w:tcW w:w="1364" w:type="dxa"/>
            <w:tcBorders>
              <w:top w:val="nil"/>
              <w:left w:val="nil"/>
              <w:bottom w:val="single" w:sz="4" w:space="0" w:color="auto"/>
              <w:right w:val="single" w:sz="4" w:space="0" w:color="auto"/>
            </w:tcBorders>
            <w:shd w:val="clear" w:color="auto" w:fill="auto"/>
            <w:vAlign w:val="center"/>
            <w:hideMark/>
          </w:tcPr>
          <w:p w:rsidR="00CB1C0B" w:rsidRPr="00CB1C0B" w:rsidRDefault="00CB1C0B" w:rsidP="00CB1C0B">
            <w:pPr>
              <w:ind w:left="0"/>
              <w:jc w:val="right"/>
              <w:rPr>
                <w:rFonts w:ascii="Arial" w:hAnsi="Arial" w:cs="Arial"/>
                <w:color w:val="000000"/>
                <w:sz w:val="20"/>
                <w:szCs w:val="20"/>
                <w:lang w:val="es-CO" w:eastAsia="es-CO"/>
              </w:rPr>
            </w:pPr>
            <w:r w:rsidRPr="00CB1C0B">
              <w:rPr>
                <w:rFonts w:ascii="Arial" w:hAnsi="Arial" w:cs="Arial"/>
                <w:color w:val="000000"/>
                <w:sz w:val="20"/>
                <w:szCs w:val="20"/>
                <w:lang w:val="es-CO" w:eastAsia="es-CO"/>
              </w:rPr>
              <w:t>9000382274</w:t>
            </w:r>
          </w:p>
        </w:tc>
        <w:tc>
          <w:tcPr>
            <w:tcW w:w="2089" w:type="dxa"/>
            <w:tcBorders>
              <w:top w:val="nil"/>
              <w:left w:val="nil"/>
              <w:bottom w:val="single" w:sz="4" w:space="0" w:color="auto"/>
              <w:right w:val="single" w:sz="4" w:space="0" w:color="auto"/>
            </w:tcBorders>
            <w:shd w:val="clear" w:color="auto" w:fill="auto"/>
            <w:vAlign w:val="center"/>
            <w:hideMark/>
          </w:tcPr>
          <w:p w:rsidR="00CB1C0B" w:rsidRPr="00CB1C0B" w:rsidRDefault="00CB1C0B" w:rsidP="00CB1C0B">
            <w:pPr>
              <w:ind w:left="0"/>
              <w:jc w:val="right"/>
              <w:rPr>
                <w:rFonts w:ascii="Arial" w:hAnsi="Arial" w:cs="Arial"/>
                <w:color w:val="000000"/>
                <w:sz w:val="20"/>
                <w:szCs w:val="20"/>
                <w:lang w:val="es-CO" w:eastAsia="es-CO"/>
              </w:rPr>
            </w:pPr>
            <w:r w:rsidRPr="00CB1C0B">
              <w:rPr>
                <w:rFonts w:ascii="Arial" w:hAnsi="Arial" w:cs="Arial"/>
                <w:color w:val="000000"/>
                <w:sz w:val="20"/>
                <w:szCs w:val="20"/>
                <w:lang w:val="es-CO" w:eastAsia="es-CO"/>
              </w:rPr>
              <w:t>2.456.181.527,43</w:t>
            </w:r>
          </w:p>
        </w:tc>
        <w:tc>
          <w:tcPr>
            <w:tcW w:w="1367" w:type="dxa"/>
            <w:tcBorders>
              <w:top w:val="nil"/>
              <w:left w:val="nil"/>
              <w:bottom w:val="single" w:sz="4" w:space="0" w:color="auto"/>
              <w:right w:val="single" w:sz="4" w:space="0" w:color="auto"/>
            </w:tcBorders>
            <w:shd w:val="clear" w:color="auto" w:fill="auto"/>
            <w:vAlign w:val="center"/>
            <w:hideMark/>
          </w:tcPr>
          <w:p w:rsidR="00CB1C0B" w:rsidRPr="00CB1C0B" w:rsidRDefault="00CB1C0B" w:rsidP="00CB1C0B">
            <w:pPr>
              <w:ind w:left="0"/>
              <w:jc w:val="center"/>
              <w:rPr>
                <w:rFonts w:ascii="Arial" w:hAnsi="Arial" w:cs="Arial"/>
                <w:color w:val="000000"/>
                <w:sz w:val="20"/>
                <w:szCs w:val="20"/>
                <w:lang w:val="es-CO" w:eastAsia="es-CO"/>
              </w:rPr>
            </w:pPr>
            <w:r w:rsidRPr="00CB1C0B">
              <w:rPr>
                <w:rFonts w:ascii="Arial" w:hAnsi="Arial" w:cs="Arial"/>
                <w:color w:val="000000"/>
                <w:sz w:val="20"/>
                <w:szCs w:val="20"/>
                <w:lang w:val="es-CO" w:eastAsia="es-CO"/>
              </w:rPr>
              <w:t>4</w:t>
            </w:r>
          </w:p>
        </w:tc>
      </w:tr>
      <w:tr w:rsidR="00CB1C0B" w:rsidRPr="00CB1C0B" w:rsidTr="009F4CD4">
        <w:trPr>
          <w:trHeight w:val="481"/>
        </w:trPr>
        <w:tc>
          <w:tcPr>
            <w:tcW w:w="2578" w:type="dxa"/>
            <w:tcBorders>
              <w:top w:val="nil"/>
              <w:left w:val="single" w:sz="4" w:space="0" w:color="auto"/>
              <w:bottom w:val="single" w:sz="4" w:space="0" w:color="auto"/>
              <w:right w:val="single" w:sz="4" w:space="0" w:color="auto"/>
            </w:tcBorders>
            <w:shd w:val="clear" w:color="auto" w:fill="auto"/>
            <w:vAlign w:val="center"/>
            <w:hideMark/>
          </w:tcPr>
          <w:p w:rsidR="00CB1C0B" w:rsidRPr="00CB1C0B" w:rsidRDefault="00CB1C0B" w:rsidP="00CB1C0B">
            <w:pPr>
              <w:ind w:left="0"/>
              <w:rPr>
                <w:rFonts w:ascii="Arial" w:hAnsi="Arial" w:cs="Arial"/>
                <w:color w:val="000000"/>
                <w:sz w:val="20"/>
                <w:szCs w:val="20"/>
                <w:lang w:val="es-CO" w:eastAsia="es-CO"/>
              </w:rPr>
            </w:pPr>
            <w:r w:rsidRPr="00CB1C0B">
              <w:rPr>
                <w:rFonts w:ascii="Arial" w:hAnsi="Arial" w:cs="Arial"/>
                <w:color w:val="000000"/>
                <w:sz w:val="20"/>
                <w:szCs w:val="20"/>
                <w:lang w:val="es-CO" w:eastAsia="es-CO"/>
              </w:rPr>
              <w:lastRenderedPageBreak/>
              <w:t>CENTRAL TERMOELECTRICA EL MORRO 2 S.A. E.S.P.</w:t>
            </w:r>
          </w:p>
        </w:tc>
        <w:tc>
          <w:tcPr>
            <w:tcW w:w="1865" w:type="dxa"/>
            <w:tcBorders>
              <w:top w:val="nil"/>
              <w:left w:val="nil"/>
              <w:bottom w:val="single" w:sz="4" w:space="0" w:color="auto"/>
              <w:right w:val="single" w:sz="4" w:space="0" w:color="auto"/>
            </w:tcBorders>
            <w:shd w:val="clear" w:color="auto" w:fill="auto"/>
            <w:vAlign w:val="center"/>
            <w:hideMark/>
          </w:tcPr>
          <w:p w:rsidR="00CB1C0B" w:rsidRPr="00CB1C0B" w:rsidRDefault="00CB1C0B" w:rsidP="00CB1C0B">
            <w:pPr>
              <w:ind w:left="0"/>
              <w:rPr>
                <w:rFonts w:ascii="Arial" w:hAnsi="Arial" w:cs="Arial"/>
                <w:color w:val="000000"/>
                <w:sz w:val="20"/>
                <w:szCs w:val="20"/>
                <w:lang w:val="es-CO" w:eastAsia="es-CO"/>
              </w:rPr>
            </w:pPr>
            <w:r w:rsidRPr="00CB1C0B">
              <w:rPr>
                <w:rFonts w:ascii="Arial" w:hAnsi="Arial" w:cs="Arial"/>
                <w:color w:val="000000"/>
                <w:sz w:val="20"/>
                <w:szCs w:val="20"/>
                <w:lang w:val="es-CO" w:eastAsia="es-CO"/>
              </w:rPr>
              <w:t>ENERGIA ELECTRICA</w:t>
            </w:r>
          </w:p>
        </w:tc>
        <w:tc>
          <w:tcPr>
            <w:tcW w:w="1364" w:type="dxa"/>
            <w:tcBorders>
              <w:top w:val="nil"/>
              <w:left w:val="nil"/>
              <w:bottom w:val="single" w:sz="4" w:space="0" w:color="auto"/>
              <w:right w:val="single" w:sz="4" w:space="0" w:color="auto"/>
            </w:tcBorders>
            <w:shd w:val="clear" w:color="auto" w:fill="auto"/>
            <w:vAlign w:val="center"/>
            <w:hideMark/>
          </w:tcPr>
          <w:p w:rsidR="00CB1C0B" w:rsidRPr="00CB1C0B" w:rsidRDefault="00CB1C0B" w:rsidP="00CB1C0B">
            <w:pPr>
              <w:ind w:left="0"/>
              <w:jc w:val="right"/>
              <w:rPr>
                <w:rFonts w:ascii="Arial" w:hAnsi="Arial" w:cs="Arial"/>
                <w:color w:val="000000"/>
                <w:sz w:val="20"/>
                <w:szCs w:val="20"/>
                <w:lang w:val="es-CO" w:eastAsia="es-CO"/>
              </w:rPr>
            </w:pPr>
            <w:r w:rsidRPr="00CB1C0B">
              <w:rPr>
                <w:rFonts w:ascii="Arial" w:hAnsi="Arial" w:cs="Arial"/>
                <w:color w:val="000000"/>
                <w:sz w:val="20"/>
                <w:szCs w:val="20"/>
                <w:lang w:val="es-CO" w:eastAsia="es-CO"/>
              </w:rPr>
              <w:t>9000382321</w:t>
            </w:r>
          </w:p>
        </w:tc>
        <w:tc>
          <w:tcPr>
            <w:tcW w:w="2089" w:type="dxa"/>
            <w:tcBorders>
              <w:top w:val="nil"/>
              <w:left w:val="nil"/>
              <w:bottom w:val="single" w:sz="4" w:space="0" w:color="auto"/>
              <w:right w:val="single" w:sz="4" w:space="0" w:color="auto"/>
            </w:tcBorders>
            <w:shd w:val="clear" w:color="auto" w:fill="auto"/>
            <w:vAlign w:val="center"/>
            <w:hideMark/>
          </w:tcPr>
          <w:p w:rsidR="00CB1C0B" w:rsidRPr="00CB1C0B" w:rsidRDefault="00CB1C0B" w:rsidP="00CB1C0B">
            <w:pPr>
              <w:ind w:left="0"/>
              <w:jc w:val="right"/>
              <w:rPr>
                <w:rFonts w:ascii="Arial" w:hAnsi="Arial" w:cs="Arial"/>
                <w:color w:val="000000"/>
                <w:sz w:val="20"/>
                <w:szCs w:val="20"/>
                <w:lang w:val="es-CO" w:eastAsia="es-CO"/>
              </w:rPr>
            </w:pPr>
            <w:r w:rsidRPr="00CB1C0B">
              <w:rPr>
                <w:rFonts w:ascii="Arial" w:hAnsi="Arial" w:cs="Arial"/>
                <w:color w:val="000000"/>
                <w:sz w:val="20"/>
                <w:szCs w:val="20"/>
                <w:lang w:val="es-CO" w:eastAsia="es-CO"/>
              </w:rPr>
              <w:t>1.468.043.557,00</w:t>
            </w:r>
          </w:p>
        </w:tc>
        <w:tc>
          <w:tcPr>
            <w:tcW w:w="1367" w:type="dxa"/>
            <w:tcBorders>
              <w:top w:val="nil"/>
              <w:left w:val="nil"/>
              <w:bottom w:val="single" w:sz="4" w:space="0" w:color="auto"/>
              <w:right w:val="single" w:sz="4" w:space="0" w:color="auto"/>
            </w:tcBorders>
            <w:shd w:val="clear" w:color="auto" w:fill="auto"/>
            <w:vAlign w:val="center"/>
            <w:hideMark/>
          </w:tcPr>
          <w:p w:rsidR="00CB1C0B" w:rsidRPr="00CB1C0B" w:rsidRDefault="00CB1C0B" w:rsidP="00CB1C0B">
            <w:pPr>
              <w:ind w:left="0"/>
              <w:jc w:val="center"/>
              <w:rPr>
                <w:rFonts w:ascii="Arial" w:hAnsi="Arial" w:cs="Arial"/>
                <w:color w:val="000000"/>
                <w:sz w:val="20"/>
                <w:szCs w:val="20"/>
                <w:lang w:val="es-CO" w:eastAsia="es-CO"/>
              </w:rPr>
            </w:pPr>
            <w:r w:rsidRPr="00CB1C0B">
              <w:rPr>
                <w:rFonts w:ascii="Arial" w:hAnsi="Arial" w:cs="Arial"/>
                <w:color w:val="000000"/>
                <w:sz w:val="20"/>
                <w:szCs w:val="20"/>
                <w:lang w:val="es-CO" w:eastAsia="es-CO"/>
              </w:rPr>
              <w:t>1</w:t>
            </w:r>
          </w:p>
        </w:tc>
      </w:tr>
    </w:tbl>
    <w:p w:rsidR="00FE723F" w:rsidRDefault="00FE723F" w:rsidP="00FE723F">
      <w:pPr>
        <w:ind w:left="0"/>
        <w:jc w:val="center"/>
        <w:rPr>
          <w:rFonts w:ascii="Bookman Old Style" w:hAnsi="Bookman Old Style" w:cs="Arial"/>
        </w:rPr>
      </w:pPr>
    </w:p>
    <w:p w:rsidR="00FE723F" w:rsidRPr="00CB1C0B" w:rsidRDefault="00CB1C0B" w:rsidP="006E0F1B">
      <w:pPr>
        <w:ind w:left="0"/>
        <w:jc w:val="both"/>
        <w:rPr>
          <w:rFonts w:ascii="Bookman Old Style" w:hAnsi="Bookman Old Style" w:cs="Arial"/>
        </w:rPr>
      </w:pPr>
      <w:r w:rsidRPr="00CB1C0B">
        <w:rPr>
          <w:rFonts w:ascii="Bookman Old Style" w:hAnsi="Bookman Old Style" w:cs="Arial"/>
        </w:rPr>
        <w:t xml:space="preserve">Tipo de información 4 corresponde a </w:t>
      </w:r>
      <w:r w:rsidR="009F4CD4">
        <w:rPr>
          <w:rFonts w:ascii="Bookman Old Style" w:hAnsi="Bookman Old Style" w:cs="Calibri"/>
          <w:color w:val="000000"/>
          <w:lang w:eastAsia="es-CO"/>
        </w:rPr>
        <w:t>i</w:t>
      </w:r>
      <w:r w:rsidRPr="00CB1C0B">
        <w:rPr>
          <w:rFonts w:ascii="Bookman Old Style" w:hAnsi="Bookman Old Style" w:cs="Calibri"/>
          <w:color w:val="000000"/>
          <w:lang w:eastAsia="es-CO"/>
        </w:rPr>
        <w:t xml:space="preserve">nformación </w:t>
      </w:r>
      <w:r w:rsidR="009F4CD4">
        <w:rPr>
          <w:rFonts w:ascii="Bookman Old Style" w:hAnsi="Bookman Old Style" w:cs="Calibri"/>
          <w:color w:val="000000"/>
          <w:lang w:eastAsia="es-CO"/>
        </w:rPr>
        <w:t xml:space="preserve">actualizada a </w:t>
      </w:r>
      <w:r w:rsidRPr="00CB1C0B">
        <w:rPr>
          <w:rFonts w:ascii="Bookman Old Style" w:hAnsi="Bookman Old Style" w:cs="Calibri"/>
          <w:color w:val="000000"/>
          <w:lang w:eastAsia="es-CO"/>
        </w:rPr>
        <w:t xml:space="preserve">valor presente </w:t>
      </w:r>
    </w:p>
    <w:p w:rsidR="009F4CD4" w:rsidRDefault="00CB1C0B" w:rsidP="00D63F9E">
      <w:pPr>
        <w:ind w:left="0"/>
        <w:jc w:val="both"/>
        <w:rPr>
          <w:rFonts w:ascii="Bookman Old Style" w:hAnsi="Bookman Old Style" w:cs="Arial"/>
        </w:rPr>
      </w:pPr>
      <w:r w:rsidRPr="00CB1C0B">
        <w:rPr>
          <w:rFonts w:ascii="Bookman Old Style" w:hAnsi="Bookman Old Style" w:cs="Arial"/>
        </w:rPr>
        <w:t xml:space="preserve">Tipo de información 1 corresponde a </w:t>
      </w:r>
      <w:r w:rsidR="009F4CD4">
        <w:rPr>
          <w:rFonts w:ascii="Bookman Old Style" w:hAnsi="Bookman Old Style" w:cs="Calibri"/>
          <w:color w:val="000000"/>
          <w:lang w:eastAsia="es-CO"/>
        </w:rPr>
        <w:t>i</w:t>
      </w:r>
      <w:r w:rsidRPr="00CB1C0B">
        <w:rPr>
          <w:rFonts w:ascii="Bookman Old Style" w:hAnsi="Bookman Old Style" w:cs="Calibri"/>
          <w:color w:val="000000"/>
          <w:lang w:eastAsia="es-CO"/>
        </w:rPr>
        <w:t xml:space="preserve">nformación </w:t>
      </w:r>
      <w:r w:rsidR="009F4CD4">
        <w:rPr>
          <w:rFonts w:ascii="Bookman Old Style" w:hAnsi="Bookman Old Style" w:cs="Calibri"/>
          <w:color w:val="000000"/>
          <w:lang w:eastAsia="es-CO"/>
        </w:rPr>
        <w:t xml:space="preserve">tomada </w:t>
      </w:r>
      <w:r w:rsidRPr="00CB1C0B">
        <w:rPr>
          <w:rFonts w:ascii="Bookman Old Style" w:hAnsi="Bookman Old Style" w:cs="Calibri"/>
          <w:color w:val="000000"/>
          <w:lang w:eastAsia="es-CO"/>
        </w:rPr>
        <w:t>del SUI</w:t>
      </w:r>
      <w:r w:rsidR="009F4CD4">
        <w:rPr>
          <w:rFonts w:ascii="Bookman Old Style" w:hAnsi="Bookman Old Style" w:cs="Calibri"/>
          <w:color w:val="000000"/>
          <w:lang w:eastAsia="es-CO"/>
        </w:rPr>
        <w:t>.</w:t>
      </w:r>
      <w:r w:rsidR="009F4CD4">
        <w:rPr>
          <w:rFonts w:ascii="Bookman Old Style" w:hAnsi="Bookman Old Style" w:cs="Arial"/>
        </w:rPr>
        <w:t xml:space="preserve"> </w:t>
      </w:r>
    </w:p>
    <w:p w:rsidR="004820DB" w:rsidRDefault="004820DB" w:rsidP="00D63F9E">
      <w:pPr>
        <w:ind w:left="0"/>
        <w:jc w:val="both"/>
        <w:rPr>
          <w:rFonts w:ascii="Bookman Old Style" w:hAnsi="Bookman Old Style" w:cs="Arial"/>
        </w:rPr>
      </w:pPr>
    </w:p>
    <w:p w:rsidR="009F4CD4" w:rsidRDefault="009F4CD4" w:rsidP="00D63F9E">
      <w:pPr>
        <w:ind w:left="0"/>
        <w:jc w:val="both"/>
        <w:rPr>
          <w:rFonts w:ascii="Bookman Old Style" w:hAnsi="Bookman Old Style" w:cs="Arial"/>
        </w:rPr>
      </w:pPr>
      <w:r>
        <w:rPr>
          <w:rFonts w:ascii="Bookman Old Style" w:hAnsi="Bookman Old Style" w:cs="Arial"/>
        </w:rPr>
        <w:t>Al proyecto de Resolución solo dos reguladas presentaron observaciones</w:t>
      </w:r>
      <w:r w:rsidR="004820DB">
        <w:rPr>
          <w:rFonts w:ascii="Bookman Old Style" w:hAnsi="Bookman Old Style" w:cs="Arial"/>
        </w:rPr>
        <w:t>,</w:t>
      </w:r>
      <w:r>
        <w:rPr>
          <w:rFonts w:ascii="Bookman Old Style" w:hAnsi="Bookman Old Style" w:cs="Arial"/>
        </w:rPr>
        <w:t xml:space="preserve"> </w:t>
      </w:r>
      <w:r w:rsidR="004820DB" w:rsidRPr="009F4CD4">
        <w:rPr>
          <w:rFonts w:ascii="Bookman Old Style" w:hAnsi="Bookman Old Style" w:cs="Arial"/>
        </w:rPr>
        <w:t xml:space="preserve">Petrobras International </w:t>
      </w:r>
      <w:proofErr w:type="spellStart"/>
      <w:r w:rsidR="004820DB" w:rsidRPr="009F4CD4">
        <w:rPr>
          <w:rFonts w:ascii="Bookman Old Style" w:hAnsi="Bookman Old Style" w:cs="Arial"/>
        </w:rPr>
        <w:t>Braspetro</w:t>
      </w:r>
      <w:proofErr w:type="spellEnd"/>
      <w:r w:rsidR="004820DB" w:rsidRPr="009F4CD4">
        <w:rPr>
          <w:rFonts w:ascii="Bookman Old Style" w:hAnsi="Bookman Old Style" w:cs="Arial"/>
        </w:rPr>
        <w:t xml:space="preserve"> S.A E.S.P </w:t>
      </w:r>
      <w:r w:rsidR="004820DB">
        <w:rPr>
          <w:rFonts w:ascii="Bookman Old Style" w:hAnsi="Bookman Old Style" w:cs="Arial"/>
        </w:rPr>
        <w:t xml:space="preserve">y </w:t>
      </w:r>
      <w:r w:rsidR="004820DB" w:rsidRPr="009F4CD4">
        <w:rPr>
          <w:rFonts w:ascii="Bookman Old Style" w:hAnsi="Bookman Old Style" w:cs="Arial"/>
        </w:rPr>
        <w:t>Transportadora de Gas Internacional S.A E.S.P</w:t>
      </w:r>
      <w:r w:rsidR="004820DB">
        <w:rPr>
          <w:rFonts w:ascii="Bookman Old Style" w:hAnsi="Bookman Old Style" w:cs="Arial"/>
        </w:rPr>
        <w:t xml:space="preserve"> –T.G.I.</w:t>
      </w:r>
    </w:p>
    <w:p w:rsidR="009F4CD4" w:rsidRDefault="009F4CD4" w:rsidP="00D63F9E">
      <w:pPr>
        <w:ind w:left="0"/>
        <w:jc w:val="both"/>
        <w:rPr>
          <w:rFonts w:ascii="Bookman Old Style" w:hAnsi="Bookman Old Style" w:cs="Arial"/>
        </w:rPr>
      </w:pPr>
    </w:p>
    <w:p w:rsidR="004820DB" w:rsidRDefault="009F4CD4" w:rsidP="009F4CD4">
      <w:pPr>
        <w:ind w:left="0"/>
        <w:jc w:val="both"/>
        <w:rPr>
          <w:rFonts w:ascii="Bookman Old Style" w:hAnsi="Bookman Old Style" w:cs="Arial"/>
          <w:noProof/>
        </w:rPr>
      </w:pPr>
      <w:r>
        <w:rPr>
          <w:rFonts w:ascii="Bookman Old Style" w:hAnsi="Bookman Old Style" w:cs="Arial"/>
          <w:noProof/>
        </w:rPr>
        <w:t xml:space="preserve">Con base en lo anterior, </w:t>
      </w:r>
      <w:r w:rsidR="00115262">
        <w:rPr>
          <w:rFonts w:ascii="Bookman Old Style" w:hAnsi="Bookman Old Style" w:cs="Arial"/>
          <w:noProof/>
        </w:rPr>
        <w:t xml:space="preserve">teniendo en cuenta el nuevo factor, se determinó que la sociedad </w:t>
      </w:r>
      <w:r w:rsidR="00115262" w:rsidRPr="001E4389">
        <w:rPr>
          <w:rFonts w:ascii="Bookman Old Style" w:hAnsi="Bookman Old Style" w:cs="Arial"/>
        </w:rPr>
        <w:t>CENTRAL TERMOELECTRICA EL MORRO 1 S.A. E.S.P</w:t>
      </w:r>
      <w:r w:rsidR="00115262">
        <w:rPr>
          <w:rFonts w:ascii="Bookman Old Style" w:hAnsi="Bookman Old Style" w:cs="Arial"/>
          <w:noProof/>
        </w:rPr>
        <w:t xml:space="preserve">  debía pagar la suma de </w:t>
      </w:r>
      <w:r w:rsidR="001F77E4">
        <w:rPr>
          <w:rFonts w:ascii="Bookman Old Style" w:hAnsi="Bookman Old Style" w:cs="Arial"/>
          <w:noProof/>
        </w:rPr>
        <w:t>VEINTIDOS MILLONES CUATROCIENTOS OCHENTA Y TRES MIL OCHOCIENTOS OCHENTA Y SEIS PESOS (</w:t>
      </w:r>
      <w:r w:rsidR="00115262">
        <w:rPr>
          <w:rFonts w:ascii="Bookman Old Style" w:hAnsi="Bookman Old Style" w:cs="Arial"/>
          <w:noProof/>
        </w:rPr>
        <w:t>$ 22.483.886</w:t>
      </w:r>
      <w:r w:rsidR="001F77E4">
        <w:rPr>
          <w:rFonts w:ascii="Bookman Old Style" w:hAnsi="Bookman Old Style" w:cs="Arial"/>
          <w:noProof/>
        </w:rPr>
        <w:t>) M/CTE,</w:t>
      </w:r>
      <w:r w:rsidR="00115262">
        <w:rPr>
          <w:rFonts w:ascii="Bookman Old Style" w:hAnsi="Bookman Old Style" w:cs="Arial"/>
          <w:noProof/>
        </w:rPr>
        <w:t xml:space="preserve"> por concepto de la contribución especial para el año 2012, y el cual se señaló en la resolución CREG-119 de 2012</w:t>
      </w:r>
      <w:r w:rsidR="004820DB">
        <w:rPr>
          <w:rFonts w:ascii="Bookman Old Style" w:hAnsi="Bookman Old Style" w:cs="Arial"/>
          <w:noProof/>
        </w:rPr>
        <w:t>.</w:t>
      </w:r>
    </w:p>
    <w:tbl>
      <w:tblPr>
        <w:tblW w:w="9370" w:type="dxa"/>
        <w:tblCellMar>
          <w:left w:w="70" w:type="dxa"/>
          <w:right w:w="70" w:type="dxa"/>
        </w:tblCellMar>
        <w:tblLook w:val="04A0" w:firstRow="1" w:lastRow="0" w:firstColumn="1" w:lastColumn="0" w:noHBand="0" w:noVBand="1"/>
      </w:tblPr>
      <w:tblGrid>
        <w:gridCol w:w="3178"/>
        <w:gridCol w:w="413"/>
        <w:gridCol w:w="2680"/>
        <w:gridCol w:w="448"/>
        <w:gridCol w:w="2651"/>
      </w:tblGrid>
      <w:tr w:rsidR="00561715" w:rsidRPr="00F514F1" w:rsidTr="00B9736B">
        <w:trPr>
          <w:trHeight w:val="282"/>
        </w:trPr>
        <w:tc>
          <w:tcPr>
            <w:tcW w:w="3178" w:type="dxa"/>
            <w:tcBorders>
              <w:top w:val="nil"/>
              <w:left w:val="nil"/>
              <w:bottom w:val="nil"/>
              <w:right w:val="nil"/>
            </w:tcBorders>
            <w:vAlign w:val="center"/>
          </w:tcPr>
          <w:p w:rsidR="00561715" w:rsidRPr="008000C4" w:rsidRDefault="00561715" w:rsidP="00561715">
            <w:pPr>
              <w:ind w:left="0"/>
              <w:rPr>
                <w:rFonts w:ascii="Bookman Old Style" w:hAnsi="Bookman Old Style" w:cs="Calibri"/>
                <w:color w:val="000000"/>
                <w:sz w:val="36"/>
                <w:szCs w:val="20"/>
                <w:lang w:val="es-CO" w:eastAsia="es-CO"/>
              </w:rPr>
            </w:pPr>
          </w:p>
        </w:tc>
        <w:tc>
          <w:tcPr>
            <w:tcW w:w="413" w:type="dxa"/>
            <w:tcBorders>
              <w:top w:val="nil"/>
              <w:left w:val="nil"/>
              <w:bottom w:val="nil"/>
              <w:right w:val="nil"/>
            </w:tcBorders>
            <w:vAlign w:val="center"/>
          </w:tcPr>
          <w:p w:rsidR="00561715" w:rsidRPr="00561715" w:rsidRDefault="00561715" w:rsidP="00561715">
            <w:pPr>
              <w:ind w:left="0"/>
              <w:rPr>
                <w:rFonts w:ascii="Bookman Old Style" w:hAnsi="Bookman Old Style" w:cs="Calibri"/>
                <w:color w:val="000000"/>
                <w:sz w:val="20"/>
                <w:szCs w:val="20"/>
                <w:lang w:val="es-CO" w:eastAsia="es-CO"/>
              </w:rPr>
            </w:pPr>
          </w:p>
        </w:tc>
        <w:tc>
          <w:tcPr>
            <w:tcW w:w="2680" w:type="dxa"/>
            <w:tcBorders>
              <w:top w:val="nil"/>
              <w:left w:val="nil"/>
              <w:bottom w:val="nil"/>
              <w:right w:val="nil"/>
            </w:tcBorders>
            <w:vAlign w:val="center"/>
          </w:tcPr>
          <w:p w:rsidR="00561715" w:rsidRPr="00561715" w:rsidRDefault="00561715" w:rsidP="00561715">
            <w:pPr>
              <w:ind w:left="0"/>
              <w:rPr>
                <w:rFonts w:ascii="Bookman Old Style" w:hAnsi="Bookman Old Style" w:cs="Calibri"/>
                <w:color w:val="000000"/>
                <w:sz w:val="20"/>
                <w:szCs w:val="20"/>
                <w:lang w:val="es-CO" w:eastAsia="es-CO"/>
              </w:rPr>
            </w:pPr>
          </w:p>
        </w:tc>
        <w:tc>
          <w:tcPr>
            <w:tcW w:w="448" w:type="dxa"/>
            <w:tcBorders>
              <w:top w:val="nil"/>
              <w:left w:val="nil"/>
              <w:bottom w:val="nil"/>
              <w:right w:val="nil"/>
            </w:tcBorders>
            <w:vAlign w:val="center"/>
          </w:tcPr>
          <w:p w:rsidR="00561715" w:rsidRPr="00561715" w:rsidRDefault="00561715" w:rsidP="00561715">
            <w:pPr>
              <w:ind w:left="0"/>
              <w:rPr>
                <w:rFonts w:ascii="Bookman Old Style" w:hAnsi="Bookman Old Style" w:cs="Calibri"/>
                <w:color w:val="000000"/>
                <w:sz w:val="20"/>
                <w:szCs w:val="20"/>
                <w:lang w:val="es-CO" w:eastAsia="es-CO"/>
              </w:rPr>
            </w:pPr>
          </w:p>
        </w:tc>
        <w:tc>
          <w:tcPr>
            <w:tcW w:w="2651" w:type="dxa"/>
            <w:tcBorders>
              <w:top w:val="nil"/>
              <w:left w:val="nil"/>
              <w:bottom w:val="nil"/>
              <w:right w:val="nil"/>
            </w:tcBorders>
            <w:vAlign w:val="center"/>
          </w:tcPr>
          <w:p w:rsidR="00561715" w:rsidRPr="00561715" w:rsidRDefault="00561715" w:rsidP="00561715">
            <w:pPr>
              <w:ind w:left="0"/>
              <w:rPr>
                <w:rFonts w:ascii="Bookman Old Style" w:hAnsi="Bookman Old Style" w:cs="Calibri"/>
                <w:color w:val="000000"/>
                <w:sz w:val="20"/>
                <w:szCs w:val="20"/>
                <w:lang w:val="es-CO" w:eastAsia="es-CO"/>
              </w:rPr>
            </w:pPr>
          </w:p>
        </w:tc>
      </w:tr>
    </w:tbl>
    <w:p w:rsidR="003A18EB" w:rsidRDefault="006D16E5" w:rsidP="008000C4">
      <w:pPr>
        <w:pStyle w:val="Prrafodelista"/>
        <w:numPr>
          <w:ilvl w:val="0"/>
          <w:numId w:val="32"/>
        </w:numPr>
        <w:ind w:hanging="720"/>
        <w:jc w:val="both"/>
        <w:rPr>
          <w:rFonts w:ascii="Bookman Old Style" w:hAnsi="Bookman Old Style"/>
          <w:b/>
          <w:sz w:val="24"/>
          <w:szCs w:val="24"/>
        </w:rPr>
      </w:pPr>
      <w:r>
        <w:rPr>
          <w:rFonts w:ascii="Bookman Old Style" w:hAnsi="Bookman Old Style"/>
          <w:b/>
          <w:sz w:val="24"/>
          <w:szCs w:val="24"/>
        </w:rPr>
        <w:t>ANÁLISIS PROBATORIO</w:t>
      </w:r>
    </w:p>
    <w:p w:rsidR="004C2C99" w:rsidRDefault="004C2C99" w:rsidP="00D10034">
      <w:pPr>
        <w:ind w:left="0"/>
        <w:jc w:val="both"/>
        <w:rPr>
          <w:rFonts w:ascii="Bookman Old Style" w:hAnsi="Bookman Old Style"/>
          <w:b/>
          <w:lang w:val="es-CO"/>
        </w:rPr>
      </w:pPr>
    </w:p>
    <w:p w:rsidR="00D10034" w:rsidRDefault="00D10034" w:rsidP="00D10034">
      <w:pPr>
        <w:ind w:left="0"/>
        <w:jc w:val="both"/>
        <w:rPr>
          <w:rFonts w:ascii="Bookman Old Style" w:hAnsi="Bookman Old Style"/>
          <w:lang w:val="es-CO"/>
        </w:rPr>
      </w:pPr>
      <w:r>
        <w:rPr>
          <w:rFonts w:ascii="Bookman Old Style" w:hAnsi="Bookman Old Style"/>
          <w:lang w:val="es-CO"/>
        </w:rPr>
        <w:t>El recurrente, con el fin de sustentar la solicitud acompañó el escrito de las siguientes pruebas:</w:t>
      </w:r>
    </w:p>
    <w:p w:rsidR="00D10034" w:rsidRDefault="00D10034" w:rsidP="00D10034">
      <w:pPr>
        <w:ind w:left="0"/>
        <w:jc w:val="both"/>
        <w:rPr>
          <w:rFonts w:ascii="Bookman Old Style" w:hAnsi="Bookman Old Style"/>
          <w:lang w:val="es-CO"/>
        </w:rPr>
      </w:pPr>
    </w:p>
    <w:p w:rsidR="00D10034" w:rsidRPr="008F755E" w:rsidRDefault="00D10034" w:rsidP="00D10034">
      <w:pPr>
        <w:pStyle w:val="Prrafodelista"/>
        <w:numPr>
          <w:ilvl w:val="0"/>
          <w:numId w:val="33"/>
        </w:numPr>
        <w:jc w:val="both"/>
        <w:rPr>
          <w:rFonts w:ascii="Bookman Old Style" w:hAnsi="Bookman Old Style"/>
          <w:b/>
          <w:sz w:val="24"/>
          <w:szCs w:val="24"/>
        </w:rPr>
      </w:pPr>
      <w:r w:rsidRPr="008F755E">
        <w:rPr>
          <w:rFonts w:ascii="Bookman Old Style" w:hAnsi="Bookman Old Style"/>
          <w:b/>
          <w:sz w:val="24"/>
          <w:szCs w:val="24"/>
        </w:rPr>
        <w:t>Certificado de Existencia y representación legal de la Sociedad Central Termoeléctrica El Morro 2 S.A.S E.S.P, donde se evidencia la inscripción de la Escritura Pública de Fusión</w:t>
      </w:r>
      <w:r w:rsidR="00E7010B" w:rsidRPr="008F755E">
        <w:rPr>
          <w:rFonts w:ascii="Bookman Old Style" w:hAnsi="Bookman Old Style"/>
          <w:b/>
          <w:sz w:val="24"/>
          <w:szCs w:val="24"/>
        </w:rPr>
        <w:t xml:space="preserve"> (Folios 6 al </w:t>
      </w:r>
      <w:r w:rsidR="008F755E">
        <w:rPr>
          <w:rFonts w:ascii="Bookman Old Style" w:hAnsi="Bookman Old Style"/>
          <w:b/>
          <w:sz w:val="24"/>
          <w:szCs w:val="24"/>
        </w:rPr>
        <w:t>9</w:t>
      </w:r>
      <w:r w:rsidR="00E7010B" w:rsidRPr="008F755E">
        <w:rPr>
          <w:rFonts w:ascii="Bookman Old Style" w:hAnsi="Bookman Old Style"/>
          <w:b/>
          <w:sz w:val="24"/>
          <w:szCs w:val="24"/>
        </w:rPr>
        <w:t>)</w:t>
      </w:r>
      <w:r w:rsidRPr="008F755E">
        <w:rPr>
          <w:rFonts w:ascii="Bookman Old Style" w:hAnsi="Bookman Old Style"/>
          <w:b/>
          <w:sz w:val="24"/>
          <w:szCs w:val="24"/>
        </w:rPr>
        <w:t>.</w:t>
      </w:r>
    </w:p>
    <w:p w:rsidR="00E7010B" w:rsidRDefault="00E7010B" w:rsidP="00E7010B">
      <w:pPr>
        <w:pStyle w:val="Prrafodelista"/>
        <w:ind w:left="720"/>
        <w:jc w:val="both"/>
        <w:rPr>
          <w:rFonts w:ascii="Bookman Old Style" w:hAnsi="Bookman Old Style"/>
          <w:sz w:val="24"/>
          <w:szCs w:val="24"/>
        </w:rPr>
      </w:pPr>
    </w:p>
    <w:p w:rsidR="00E7010B" w:rsidRDefault="00E7010B" w:rsidP="008000C4">
      <w:pPr>
        <w:pStyle w:val="Prrafodelista"/>
        <w:ind w:left="0"/>
        <w:jc w:val="both"/>
        <w:rPr>
          <w:rFonts w:ascii="Bookman Old Style" w:hAnsi="Bookman Old Style"/>
          <w:i/>
          <w:sz w:val="24"/>
          <w:szCs w:val="24"/>
        </w:rPr>
      </w:pPr>
      <w:r>
        <w:rPr>
          <w:rFonts w:ascii="Bookman Old Style" w:hAnsi="Bookman Old Style"/>
          <w:sz w:val="24"/>
          <w:szCs w:val="24"/>
        </w:rPr>
        <w:t xml:space="preserve">La Cámara de Comercio de Bogotá expidió Certificado de Existencia y Representación Legal con fecha 26 de noviembre de 2012, en el cual se señala: </w:t>
      </w:r>
      <w:r w:rsidRPr="00E7010B">
        <w:rPr>
          <w:rFonts w:ascii="Bookman Old Style" w:hAnsi="Bookman Old Style"/>
          <w:i/>
          <w:sz w:val="24"/>
          <w:szCs w:val="24"/>
        </w:rPr>
        <w:t>“que por escritura pública N°5345 de la Notaría 21 de Bogotá D.C del 30 de diciembre de 2011, inscrita el 16 de enero de 2012 bajo el número 01598779 del libro IX la sociedad de la referencia absorbe mediante fusión a la Sociedad Central Termoeléctrica El Morro1 S.A ESP la cual se disuelve sin liquidarse.”</w:t>
      </w:r>
    </w:p>
    <w:p w:rsidR="00E7010B" w:rsidRDefault="00E7010B" w:rsidP="008000C4">
      <w:pPr>
        <w:pStyle w:val="Prrafodelista"/>
        <w:ind w:left="0"/>
        <w:jc w:val="both"/>
        <w:rPr>
          <w:rFonts w:ascii="Bookman Old Style" w:hAnsi="Bookman Old Style"/>
          <w:i/>
          <w:sz w:val="24"/>
          <w:szCs w:val="24"/>
        </w:rPr>
      </w:pPr>
    </w:p>
    <w:p w:rsidR="00E7010B" w:rsidRPr="00E7010B" w:rsidRDefault="00E7010B" w:rsidP="008000C4">
      <w:pPr>
        <w:pStyle w:val="Prrafodelista"/>
        <w:ind w:left="0"/>
        <w:jc w:val="both"/>
        <w:rPr>
          <w:rFonts w:ascii="Bookman Old Style" w:hAnsi="Bookman Old Style"/>
          <w:sz w:val="24"/>
          <w:szCs w:val="24"/>
        </w:rPr>
      </w:pPr>
      <w:r>
        <w:rPr>
          <w:rFonts w:ascii="Bookman Old Style" w:hAnsi="Bookman Old Style"/>
          <w:sz w:val="24"/>
          <w:szCs w:val="24"/>
        </w:rPr>
        <w:t>Con lo anterior, efectivamente se evidencia que se realizó la inscripción en Cámara de Comercio de la Escritura Pública en la que se realizó la fusión por absorción de Central Termoeléctrica el Morro 1 S.A E.S.P en favor de la Central Termoeléctrica el Morro 1 S.A.S E.S.P.</w:t>
      </w:r>
    </w:p>
    <w:p w:rsidR="00414B60" w:rsidRPr="00D10034" w:rsidRDefault="00414B60" w:rsidP="00414B60">
      <w:pPr>
        <w:pStyle w:val="Prrafodelista"/>
        <w:ind w:left="720"/>
        <w:jc w:val="both"/>
        <w:rPr>
          <w:rFonts w:ascii="Bookman Old Style" w:hAnsi="Bookman Old Style"/>
          <w:sz w:val="24"/>
          <w:szCs w:val="24"/>
        </w:rPr>
      </w:pPr>
    </w:p>
    <w:p w:rsidR="00D10034" w:rsidRPr="008F755E" w:rsidRDefault="00D10034" w:rsidP="00D10034">
      <w:pPr>
        <w:pStyle w:val="Prrafodelista"/>
        <w:numPr>
          <w:ilvl w:val="0"/>
          <w:numId w:val="33"/>
        </w:numPr>
        <w:jc w:val="both"/>
        <w:rPr>
          <w:rFonts w:ascii="Bookman Old Style" w:hAnsi="Bookman Old Style"/>
          <w:b/>
          <w:sz w:val="24"/>
          <w:szCs w:val="24"/>
        </w:rPr>
      </w:pPr>
      <w:r w:rsidRPr="008F755E">
        <w:rPr>
          <w:rFonts w:ascii="Bookman Old Style" w:hAnsi="Bookman Old Style"/>
          <w:b/>
          <w:sz w:val="24"/>
          <w:szCs w:val="24"/>
        </w:rPr>
        <w:t>Certificado de Existencia y representación legal de la Sociedad Central Termoeléctrica El Morro 1  S.A. E.S.P, donde se evidencia la inscripción de la Escritura Pública de Fusión y la cancelación de la matrícula mercantil</w:t>
      </w:r>
      <w:r w:rsidR="008F755E">
        <w:rPr>
          <w:rFonts w:ascii="Bookman Old Style" w:hAnsi="Bookman Old Style"/>
          <w:b/>
          <w:sz w:val="24"/>
          <w:szCs w:val="24"/>
        </w:rPr>
        <w:t xml:space="preserve"> (Folio 10)</w:t>
      </w:r>
      <w:r w:rsidRPr="008F755E">
        <w:rPr>
          <w:rFonts w:ascii="Bookman Old Style" w:hAnsi="Bookman Old Style"/>
          <w:b/>
          <w:sz w:val="24"/>
          <w:szCs w:val="24"/>
        </w:rPr>
        <w:t>.</w:t>
      </w:r>
    </w:p>
    <w:p w:rsidR="008F755E" w:rsidRDefault="008F755E" w:rsidP="008F755E">
      <w:pPr>
        <w:pStyle w:val="Prrafodelista"/>
        <w:ind w:left="720"/>
        <w:jc w:val="both"/>
        <w:rPr>
          <w:rFonts w:ascii="Bookman Old Style" w:hAnsi="Bookman Old Style"/>
          <w:sz w:val="24"/>
          <w:szCs w:val="24"/>
        </w:rPr>
      </w:pPr>
    </w:p>
    <w:p w:rsidR="008F755E" w:rsidRDefault="008F755E" w:rsidP="008000C4">
      <w:pPr>
        <w:pStyle w:val="Prrafodelista"/>
        <w:ind w:left="0"/>
        <w:jc w:val="both"/>
        <w:rPr>
          <w:rFonts w:ascii="Bookman Old Style" w:hAnsi="Bookman Old Style"/>
          <w:i/>
          <w:sz w:val="24"/>
          <w:szCs w:val="24"/>
        </w:rPr>
      </w:pPr>
      <w:r>
        <w:rPr>
          <w:rFonts w:ascii="Bookman Old Style" w:hAnsi="Bookman Old Style"/>
          <w:sz w:val="24"/>
          <w:szCs w:val="24"/>
        </w:rPr>
        <w:t xml:space="preserve">La Cámara de Comercio de Bogotá expidió Certificado de Existencia y Representación Legal con fecha 26 de noviembre de 2012, en el cual se señala: </w:t>
      </w:r>
      <w:r w:rsidRPr="00E7010B">
        <w:rPr>
          <w:rFonts w:ascii="Bookman Old Style" w:hAnsi="Bookman Old Style"/>
          <w:i/>
          <w:sz w:val="24"/>
          <w:szCs w:val="24"/>
        </w:rPr>
        <w:t>“que por escritura pública N°5345 de la Notaría 21 de Bogotá D.C del 30 de diciembre de 2011, inscrita el 16 de ener</w:t>
      </w:r>
      <w:r>
        <w:rPr>
          <w:rFonts w:ascii="Bookman Old Style" w:hAnsi="Bookman Old Style"/>
          <w:i/>
          <w:sz w:val="24"/>
          <w:szCs w:val="24"/>
        </w:rPr>
        <w:t>o de 2012 bajo el número 01598783</w:t>
      </w:r>
      <w:r w:rsidRPr="00E7010B">
        <w:rPr>
          <w:rFonts w:ascii="Bookman Old Style" w:hAnsi="Bookman Old Style"/>
          <w:i/>
          <w:sz w:val="24"/>
          <w:szCs w:val="24"/>
        </w:rPr>
        <w:t xml:space="preserve"> del libro IX la sociedad </w:t>
      </w:r>
      <w:r>
        <w:rPr>
          <w:rFonts w:ascii="Bookman Old Style" w:hAnsi="Bookman Old Style"/>
          <w:i/>
          <w:sz w:val="24"/>
          <w:szCs w:val="24"/>
        </w:rPr>
        <w:t>Central Termoeléctrica El Morro 2</w:t>
      </w:r>
      <w:r w:rsidRPr="00E7010B">
        <w:rPr>
          <w:rFonts w:ascii="Bookman Old Style" w:hAnsi="Bookman Old Style"/>
          <w:i/>
          <w:sz w:val="24"/>
          <w:szCs w:val="24"/>
        </w:rPr>
        <w:t xml:space="preserve"> </w:t>
      </w:r>
      <w:r>
        <w:rPr>
          <w:rFonts w:ascii="Bookman Old Style" w:hAnsi="Bookman Old Style"/>
          <w:i/>
          <w:sz w:val="24"/>
          <w:szCs w:val="24"/>
        </w:rPr>
        <w:t xml:space="preserve"> S A E S P </w:t>
      </w:r>
      <w:r w:rsidRPr="00E7010B">
        <w:rPr>
          <w:rFonts w:ascii="Bookman Old Style" w:hAnsi="Bookman Old Style"/>
          <w:i/>
          <w:sz w:val="24"/>
          <w:szCs w:val="24"/>
        </w:rPr>
        <w:t xml:space="preserve">absorbe </w:t>
      </w:r>
      <w:r w:rsidRPr="00E7010B">
        <w:rPr>
          <w:rFonts w:ascii="Bookman Old Style" w:hAnsi="Bookman Old Style"/>
          <w:i/>
          <w:sz w:val="24"/>
          <w:szCs w:val="24"/>
        </w:rPr>
        <w:lastRenderedPageBreak/>
        <w:t xml:space="preserve">mediante fusión a la Sociedad </w:t>
      </w:r>
      <w:r>
        <w:rPr>
          <w:rFonts w:ascii="Bookman Old Style" w:hAnsi="Bookman Old Style"/>
          <w:i/>
          <w:sz w:val="24"/>
          <w:szCs w:val="24"/>
        </w:rPr>
        <w:t>de la referencia,</w:t>
      </w:r>
      <w:r w:rsidRPr="00E7010B">
        <w:rPr>
          <w:rFonts w:ascii="Bookman Old Style" w:hAnsi="Bookman Old Style"/>
          <w:i/>
          <w:sz w:val="24"/>
          <w:szCs w:val="24"/>
        </w:rPr>
        <w:t xml:space="preserve"> la cual se disuelve sin liquidarse.”</w:t>
      </w:r>
    </w:p>
    <w:p w:rsidR="008F755E" w:rsidRDefault="008F755E" w:rsidP="008000C4">
      <w:pPr>
        <w:pStyle w:val="Prrafodelista"/>
        <w:ind w:left="0"/>
        <w:jc w:val="both"/>
        <w:rPr>
          <w:rFonts w:ascii="Bookman Old Style" w:hAnsi="Bookman Old Style"/>
          <w:i/>
          <w:sz w:val="24"/>
          <w:szCs w:val="24"/>
        </w:rPr>
      </w:pPr>
    </w:p>
    <w:p w:rsidR="008F755E" w:rsidRDefault="008F755E" w:rsidP="008000C4">
      <w:pPr>
        <w:pStyle w:val="Prrafodelista"/>
        <w:ind w:left="0"/>
        <w:jc w:val="both"/>
        <w:rPr>
          <w:rFonts w:ascii="Bookman Old Style" w:hAnsi="Bookman Old Style"/>
          <w:sz w:val="24"/>
          <w:szCs w:val="24"/>
        </w:rPr>
      </w:pPr>
      <w:r>
        <w:rPr>
          <w:rFonts w:ascii="Bookman Old Style" w:hAnsi="Bookman Old Style"/>
          <w:sz w:val="24"/>
          <w:szCs w:val="24"/>
        </w:rPr>
        <w:t xml:space="preserve">Con lo anterior, se corrobora lo manifestado por el recurrente y evidenciado con la valoración de la prueba del numeral anterior, en el sentido de que se realizó la inscripción en Cámara de Comercio de la Escritura Pública en la que se fusionó por absorción Central Termoeléctrica el Morro 1 S.A E.S.P en favor de la Central Termoeléctrica el Morro </w:t>
      </w:r>
      <w:r w:rsidR="000D55D5">
        <w:rPr>
          <w:rFonts w:ascii="Bookman Old Style" w:hAnsi="Bookman Old Style"/>
          <w:sz w:val="24"/>
          <w:szCs w:val="24"/>
        </w:rPr>
        <w:t>2</w:t>
      </w:r>
      <w:r>
        <w:rPr>
          <w:rFonts w:ascii="Bookman Old Style" w:hAnsi="Bookman Old Style"/>
          <w:sz w:val="24"/>
          <w:szCs w:val="24"/>
        </w:rPr>
        <w:t xml:space="preserve"> S.A.S E.S.P.</w:t>
      </w:r>
    </w:p>
    <w:p w:rsidR="00414B60" w:rsidRDefault="00414B60" w:rsidP="00414B60">
      <w:pPr>
        <w:ind w:left="0"/>
        <w:jc w:val="both"/>
        <w:rPr>
          <w:rFonts w:ascii="Bookman Old Style" w:hAnsi="Bookman Old Style"/>
        </w:rPr>
      </w:pPr>
    </w:p>
    <w:p w:rsidR="00D10034" w:rsidRPr="008F755E" w:rsidRDefault="00D10034" w:rsidP="00D10034">
      <w:pPr>
        <w:pStyle w:val="Prrafodelista"/>
        <w:numPr>
          <w:ilvl w:val="0"/>
          <w:numId w:val="33"/>
        </w:numPr>
        <w:jc w:val="both"/>
        <w:rPr>
          <w:rFonts w:ascii="Bookman Old Style" w:hAnsi="Bookman Old Style"/>
          <w:b/>
          <w:sz w:val="24"/>
          <w:szCs w:val="24"/>
        </w:rPr>
      </w:pPr>
      <w:r w:rsidRPr="008F755E">
        <w:rPr>
          <w:rFonts w:ascii="Bookman Old Style" w:hAnsi="Bookman Old Style"/>
          <w:b/>
          <w:sz w:val="24"/>
          <w:szCs w:val="24"/>
        </w:rPr>
        <w:t>Copia del Registro Único de Prestadores de Servicios –RUPS debidamente cancelado y remitido a la Superintendencia de Servicios Públicos Domiciliarios, correspondiente la Central Termoeléctrica El Morro 1 S.A. E.S.P</w:t>
      </w:r>
      <w:r w:rsidR="008F755E" w:rsidRPr="008F755E">
        <w:rPr>
          <w:rFonts w:ascii="Bookman Old Style" w:hAnsi="Bookman Old Style"/>
          <w:b/>
          <w:sz w:val="24"/>
          <w:szCs w:val="24"/>
        </w:rPr>
        <w:t xml:space="preserve"> (Folio 11)</w:t>
      </w:r>
      <w:r w:rsidRPr="008F755E">
        <w:rPr>
          <w:rFonts w:ascii="Bookman Old Style" w:hAnsi="Bookman Old Style"/>
          <w:b/>
          <w:sz w:val="24"/>
          <w:szCs w:val="24"/>
        </w:rPr>
        <w:t>.</w:t>
      </w:r>
    </w:p>
    <w:p w:rsidR="000D55D5" w:rsidRDefault="000D55D5" w:rsidP="008F755E">
      <w:pPr>
        <w:pStyle w:val="Prrafodelista"/>
        <w:ind w:left="720"/>
        <w:jc w:val="both"/>
        <w:rPr>
          <w:rFonts w:ascii="Bookman Old Style" w:hAnsi="Bookman Old Style"/>
          <w:sz w:val="24"/>
          <w:szCs w:val="24"/>
        </w:rPr>
      </w:pPr>
    </w:p>
    <w:p w:rsidR="008F755E" w:rsidRDefault="008F755E" w:rsidP="008000C4">
      <w:pPr>
        <w:pStyle w:val="Prrafodelista"/>
        <w:ind w:left="0"/>
        <w:jc w:val="both"/>
        <w:rPr>
          <w:rFonts w:ascii="Bookman Old Style" w:hAnsi="Bookman Old Style"/>
          <w:sz w:val="24"/>
          <w:szCs w:val="24"/>
        </w:rPr>
      </w:pPr>
      <w:r>
        <w:rPr>
          <w:rFonts w:ascii="Bookman Old Style" w:hAnsi="Bookman Old Style"/>
          <w:sz w:val="24"/>
          <w:szCs w:val="24"/>
        </w:rPr>
        <w:t>La Superintendencia de Servicios Públicos Domiciliarios expidió certificado del Registro Único de Prestadores de Servicios radicado bajo el número 2012220657244117 del 15 de febrero de 2012 en el que se señala lo siguiente:</w:t>
      </w:r>
    </w:p>
    <w:p w:rsidR="00653557" w:rsidRDefault="00653557" w:rsidP="008F755E">
      <w:pPr>
        <w:pStyle w:val="Prrafodelista"/>
        <w:ind w:left="720"/>
        <w:jc w:val="both"/>
        <w:rPr>
          <w:rFonts w:ascii="Bookman Old Style" w:hAnsi="Bookman Old Style"/>
          <w:sz w:val="24"/>
          <w:szCs w:val="24"/>
        </w:rPr>
      </w:pPr>
    </w:p>
    <w:p w:rsidR="008F755E" w:rsidRDefault="00653557" w:rsidP="004820DB">
      <w:pPr>
        <w:pStyle w:val="Prrafodelista"/>
        <w:ind w:left="720"/>
        <w:jc w:val="center"/>
        <w:rPr>
          <w:rFonts w:ascii="Bookman Old Style" w:hAnsi="Bookman Old Style"/>
          <w:sz w:val="24"/>
          <w:szCs w:val="24"/>
        </w:rPr>
      </w:pPr>
      <w:r w:rsidRPr="00653557">
        <w:rPr>
          <w:noProof/>
          <w:lang w:eastAsia="es-CO"/>
        </w:rPr>
        <w:drawing>
          <wp:inline distT="0" distB="0" distL="0" distR="0">
            <wp:extent cx="3838575" cy="360758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38575" cy="3607581"/>
                    </a:xfrm>
                    <a:prstGeom prst="rect">
                      <a:avLst/>
                    </a:prstGeom>
                    <a:noFill/>
                    <a:ln>
                      <a:noFill/>
                    </a:ln>
                  </pic:spPr>
                </pic:pic>
              </a:graphicData>
            </a:graphic>
          </wp:inline>
        </w:drawing>
      </w:r>
    </w:p>
    <w:p w:rsidR="000C6AAC" w:rsidRDefault="000C6AAC" w:rsidP="00653557">
      <w:pPr>
        <w:pStyle w:val="Prrafodelista"/>
        <w:ind w:left="720"/>
        <w:jc w:val="both"/>
        <w:rPr>
          <w:rFonts w:ascii="Bookman Old Style" w:hAnsi="Bookman Old Style"/>
          <w:sz w:val="24"/>
          <w:szCs w:val="24"/>
        </w:rPr>
      </w:pPr>
    </w:p>
    <w:p w:rsidR="00B25763" w:rsidRDefault="00653557" w:rsidP="008000C4">
      <w:pPr>
        <w:pStyle w:val="Prrafodelista"/>
        <w:ind w:left="0"/>
        <w:jc w:val="both"/>
        <w:rPr>
          <w:rFonts w:ascii="Bookman Old Style" w:hAnsi="Bookman Old Style"/>
          <w:sz w:val="24"/>
          <w:szCs w:val="24"/>
        </w:rPr>
      </w:pPr>
      <w:r>
        <w:rPr>
          <w:rFonts w:ascii="Bookman Old Style" w:hAnsi="Bookman Old Style"/>
          <w:sz w:val="24"/>
          <w:szCs w:val="24"/>
        </w:rPr>
        <w:t>Con lo anterior se evidencia que la empresa Central Termoeléctrica el Morro 1 S.A E.S.P canceló el Registro Único de Prestadores de Servicios –RUPS</w:t>
      </w:r>
      <w:r w:rsidR="00DA0098">
        <w:rPr>
          <w:rFonts w:ascii="Bookman Old Style" w:hAnsi="Bookman Old Style"/>
          <w:sz w:val="24"/>
          <w:szCs w:val="24"/>
        </w:rPr>
        <w:t xml:space="preserve"> y finalizó actividades el d</w:t>
      </w:r>
      <w:r w:rsidR="00B25763">
        <w:rPr>
          <w:rFonts w:ascii="Bookman Old Style" w:hAnsi="Bookman Old Style"/>
          <w:sz w:val="24"/>
          <w:szCs w:val="24"/>
        </w:rPr>
        <w:t>ía 30 de diciembre de 2011, lo que demuestra que durante el año 2011 fue prestador del servicio de Energía Eléctrica y por lo tanto era sujeto de regulación por lo que en principio debía incluirse en la resolución CREG-119 de 2012.</w:t>
      </w:r>
    </w:p>
    <w:p w:rsidR="00B25763" w:rsidRDefault="00B25763" w:rsidP="008000C4">
      <w:pPr>
        <w:pStyle w:val="Prrafodelista"/>
        <w:ind w:left="0"/>
        <w:jc w:val="both"/>
        <w:rPr>
          <w:rFonts w:ascii="Bookman Old Style" w:hAnsi="Bookman Old Style"/>
          <w:sz w:val="24"/>
          <w:szCs w:val="24"/>
        </w:rPr>
      </w:pPr>
    </w:p>
    <w:p w:rsidR="00DA0098" w:rsidRDefault="00B25763" w:rsidP="008000C4">
      <w:pPr>
        <w:pStyle w:val="Prrafodelista"/>
        <w:ind w:left="0"/>
        <w:jc w:val="both"/>
        <w:rPr>
          <w:rFonts w:ascii="Bookman Old Style" w:hAnsi="Bookman Old Style"/>
          <w:sz w:val="24"/>
          <w:szCs w:val="24"/>
        </w:rPr>
      </w:pPr>
      <w:r>
        <w:rPr>
          <w:rFonts w:ascii="Bookman Old Style" w:hAnsi="Bookman Old Style"/>
          <w:sz w:val="24"/>
          <w:szCs w:val="24"/>
        </w:rPr>
        <w:t>Al respecto, la Superintendencia de Servicios Públicos Domiciliarios</w:t>
      </w:r>
      <w:r w:rsidR="00653557">
        <w:rPr>
          <w:rFonts w:ascii="Bookman Old Style" w:hAnsi="Bookman Old Style"/>
          <w:sz w:val="24"/>
          <w:szCs w:val="24"/>
        </w:rPr>
        <w:t xml:space="preserve"> </w:t>
      </w:r>
      <w:r>
        <w:rPr>
          <w:rFonts w:ascii="Bookman Old Style" w:hAnsi="Bookman Old Style"/>
          <w:sz w:val="24"/>
          <w:szCs w:val="24"/>
        </w:rPr>
        <w:t>en oficio radicado bajo el número 20122200310371 del 14 de mayo de 2012 y mediante el cual informó a Central Termoeléctrica el Morro 1 S.A E.S.P que el registro</w:t>
      </w:r>
      <w:r w:rsidR="000D55D5">
        <w:rPr>
          <w:rFonts w:ascii="Bookman Old Style" w:hAnsi="Bookman Old Style"/>
          <w:sz w:val="24"/>
          <w:szCs w:val="24"/>
        </w:rPr>
        <w:t xml:space="preserve"> fue cancelado</w:t>
      </w:r>
      <w:r>
        <w:rPr>
          <w:rFonts w:ascii="Bookman Old Style" w:hAnsi="Bookman Old Style"/>
          <w:sz w:val="24"/>
          <w:szCs w:val="24"/>
        </w:rPr>
        <w:t>, advirtió:</w:t>
      </w:r>
    </w:p>
    <w:p w:rsidR="00B25763" w:rsidRPr="008000C4" w:rsidRDefault="00B25763" w:rsidP="00653557">
      <w:pPr>
        <w:pStyle w:val="Prrafodelista"/>
        <w:ind w:left="720"/>
        <w:jc w:val="both"/>
        <w:rPr>
          <w:rFonts w:ascii="Bookman Old Style" w:hAnsi="Bookman Old Style"/>
          <w:sz w:val="22"/>
          <w:szCs w:val="22"/>
        </w:rPr>
      </w:pPr>
    </w:p>
    <w:p w:rsidR="00B25763" w:rsidRPr="008000C4" w:rsidRDefault="00B25763" w:rsidP="00FE6739">
      <w:pPr>
        <w:pStyle w:val="Prrafodelista"/>
        <w:ind w:left="1134" w:right="851"/>
        <w:jc w:val="both"/>
        <w:rPr>
          <w:rFonts w:ascii="Bookman Old Style" w:hAnsi="Bookman Old Style"/>
          <w:i/>
          <w:sz w:val="22"/>
          <w:szCs w:val="22"/>
        </w:rPr>
      </w:pPr>
      <w:r w:rsidRPr="008000C4">
        <w:rPr>
          <w:rFonts w:ascii="Bookman Old Style" w:hAnsi="Bookman Old Style"/>
          <w:i/>
          <w:sz w:val="22"/>
          <w:szCs w:val="22"/>
        </w:rPr>
        <w:lastRenderedPageBreak/>
        <w:t>“(…)</w:t>
      </w:r>
    </w:p>
    <w:p w:rsidR="00B25763" w:rsidRPr="008000C4" w:rsidRDefault="00B25763" w:rsidP="00FE6739">
      <w:pPr>
        <w:pStyle w:val="Prrafodelista"/>
        <w:ind w:left="1134" w:right="851"/>
        <w:jc w:val="both"/>
        <w:rPr>
          <w:rFonts w:ascii="Bookman Old Style" w:hAnsi="Bookman Old Style"/>
          <w:i/>
          <w:sz w:val="22"/>
          <w:szCs w:val="22"/>
        </w:rPr>
      </w:pPr>
      <w:r w:rsidRPr="008000C4">
        <w:rPr>
          <w:rFonts w:ascii="Bookman Old Style" w:hAnsi="Bookman Old Style"/>
          <w:i/>
          <w:sz w:val="22"/>
          <w:szCs w:val="22"/>
        </w:rPr>
        <w:t>Es preciso señalar que la cancelación del registro, no exime a los prestadores del cumplimiento de las obligaciones que se encuentren pendientes con esta Superintendencia o con cualquier otra entidad del sector al momento de la cancelación, dentro de las cuales se encuentra el reporte al SUI de los formularios y formatos, los cuales podrá consultar el anexo adjunto.</w:t>
      </w:r>
    </w:p>
    <w:p w:rsidR="00B25763" w:rsidRPr="008000C4" w:rsidRDefault="00B25763" w:rsidP="00FE6739">
      <w:pPr>
        <w:pStyle w:val="Prrafodelista"/>
        <w:ind w:left="1134" w:right="851"/>
        <w:jc w:val="both"/>
        <w:rPr>
          <w:rFonts w:ascii="Bookman Old Style" w:hAnsi="Bookman Old Style"/>
          <w:i/>
          <w:sz w:val="22"/>
          <w:szCs w:val="22"/>
        </w:rPr>
      </w:pPr>
    </w:p>
    <w:p w:rsidR="00B25763" w:rsidRPr="008000C4" w:rsidRDefault="00B25763" w:rsidP="00FE6739">
      <w:pPr>
        <w:pStyle w:val="Prrafodelista"/>
        <w:ind w:left="1134" w:right="851"/>
        <w:jc w:val="both"/>
        <w:rPr>
          <w:rFonts w:ascii="Bookman Old Style" w:hAnsi="Bookman Old Style"/>
          <w:i/>
          <w:sz w:val="22"/>
          <w:szCs w:val="22"/>
        </w:rPr>
      </w:pPr>
      <w:r w:rsidRPr="008000C4">
        <w:rPr>
          <w:rFonts w:ascii="Bookman Old Style" w:hAnsi="Bookman Old Style"/>
          <w:i/>
          <w:sz w:val="22"/>
          <w:szCs w:val="22"/>
        </w:rPr>
        <w:t>Por lo anterior, solicito se adopten las medidas pertinentes, con el fin que dicho prestador inmediatamente se ponga al día en el cargue de los mencionados reportes, recordándoles que la superintendencia puede iniciar las investigaciones a que haya lugar al prestador a pesar de no ser prestador directo de los servicios, siempre que los hechos que se investiguen hayan ocurrido durante el tiempo que fue prestador. En tal sentido debe dar cumplimiento a lo señalado en el párrafo anterior.”</w:t>
      </w:r>
    </w:p>
    <w:p w:rsidR="000D55D5" w:rsidRDefault="000D55D5" w:rsidP="00653557">
      <w:pPr>
        <w:pStyle w:val="Prrafodelista"/>
        <w:ind w:left="720"/>
        <w:jc w:val="both"/>
        <w:rPr>
          <w:rFonts w:ascii="Bookman Old Style" w:hAnsi="Bookman Old Style"/>
          <w:sz w:val="24"/>
          <w:szCs w:val="24"/>
        </w:rPr>
      </w:pPr>
    </w:p>
    <w:p w:rsidR="0070015E" w:rsidRPr="00783120" w:rsidRDefault="0070015E" w:rsidP="008000C4">
      <w:pPr>
        <w:pStyle w:val="Prrafodelista"/>
        <w:ind w:left="0"/>
        <w:jc w:val="both"/>
        <w:rPr>
          <w:rFonts w:ascii="Bookman Old Style" w:hAnsi="Bookman Old Style"/>
          <w:sz w:val="24"/>
          <w:szCs w:val="24"/>
        </w:rPr>
      </w:pPr>
      <w:r w:rsidRPr="00CC22AB">
        <w:rPr>
          <w:rFonts w:ascii="Bookman Old Style" w:hAnsi="Bookman Old Style"/>
          <w:sz w:val="24"/>
          <w:szCs w:val="24"/>
        </w:rPr>
        <w:t>Es importante señalar, que ésta Comisi</w:t>
      </w:r>
      <w:r w:rsidR="00783120" w:rsidRPr="00CC22AB">
        <w:rPr>
          <w:rFonts w:ascii="Bookman Old Style" w:hAnsi="Bookman Old Style"/>
          <w:sz w:val="24"/>
          <w:szCs w:val="24"/>
        </w:rPr>
        <w:t xml:space="preserve">ón </w:t>
      </w:r>
      <w:r w:rsidRPr="00CC22AB">
        <w:rPr>
          <w:rFonts w:ascii="Bookman Old Style" w:hAnsi="Bookman Old Style"/>
          <w:sz w:val="24"/>
          <w:szCs w:val="24"/>
        </w:rPr>
        <w:t>liquidó la contribución especial para el año 2012 a la sociedad Central Termoeléctrica el Morro 1 S.A E.S.P, por encontrares inscrita como prestadora del servicio</w:t>
      </w:r>
      <w:r w:rsidR="00783120" w:rsidRPr="00CC22AB">
        <w:rPr>
          <w:rFonts w:ascii="Bookman Old Style" w:hAnsi="Bookman Old Style"/>
          <w:sz w:val="24"/>
          <w:szCs w:val="24"/>
        </w:rPr>
        <w:t xml:space="preserve"> público</w:t>
      </w:r>
      <w:r w:rsidRPr="00CC22AB">
        <w:rPr>
          <w:rFonts w:ascii="Bookman Old Style" w:hAnsi="Bookman Old Style"/>
          <w:sz w:val="24"/>
          <w:szCs w:val="24"/>
        </w:rPr>
        <w:t xml:space="preserve"> de energía eléctrica durante el año 2011 en el Registro Único de Prestadores de Servicios –RUPS, y de la fusión por absorción, solo se tuvo conocimiento </w:t>
      </w:r>
      <w:r w:rsidR="00783120" w:rsidRPr="00CC22AB">
        <w:rPr>
          <w:rFonts w:ascii="Bookman Old Style" w:hAnsi="Bookman Old Style"/>
          <w:sz w:val="24"/>
          <w:szCs w:val="24"/>
        </w:rPr>
        <w:t xml:space="preserve">en la CREG </w:t>
      </w:r>
      <w:r w:rsidRPr="00CC22AB">
        <w:rPr>
          <w:rFonts w:ascii="Bookman Old Style" w:hAnsi="Bookman Old Style"/>
          <w:sz w:val="24"/>
          <w:szCs w:val="24"/>
        </w:rPr>
        <w:t xml:space="preserve">el día </w:t>
      </w:r>
      <w:r w:rsidR="00C35A52">
        <w:rPr>
          <w:rFonts w:ascii="Bookman Old Style" w:hAnsi="Bookman Old Style"/>
          <w:sz w:val="24"/>
          <w:szCs w:val="24"/>
        </w:rPr>
        <w:t>27</w:t>
      </w:r>
      <w:r w:rsidRPr="00CC22AB">
        <w:rPr>
          <w:rFonts w:ascii="Bookman Old Style" w:hAnsi="Bookman Old Style"/>
          <w:sz w:val="24"/>
          <w:szCs w:val="24"/>
        </w:rPr>
        <w:t xml:space="preserve"> de </w:t>
      </w:r>
      <w:r w:rsidR="00556C45" w:rsidRPr="00CC22AB">
        <w:rPr>
          <w:rFonts w:ascii="Bookman Old Style" w:hAnsi="Bookman Old Style"/>
          <w:sz w:val="24"/>
          <w:szCs w:val="24"/>
        </w:rPr>
        <w:t xml:space="preserve">diciembre </w:t>
      </w:r>
      <w:r w:rsidRPr="00CC22AB">
        <w:rPr>
          <w:rFonts w:ascii="Bookman Old Style" w:hAnsi="Bookman Old Style"/>
          <w:sz w:val="24"/>
          <w:szCs w:val="24"/>
        </w:rPr>
        <w:t>de 2012 por medio de oficio radicado bajo el N° E-2012-011230</w:t>
      </w:r>
      <w:r w:rsidR="00783120" w:rsidRPr="00CC22AB">
        <w:rPr>
          <w:rFonts w:ascii="Bookman Old Style" w:hAnsi="Bookman Old Style"/>
          <w:sz w:val="24"/>
          <w:szCs w:val="24"/>
        </w:rPr>
        <w:t>, es decir, transcurrido más de un (1) mes desde la expedición del acto administrativo que señaló el valor de la contribución.</w:t>
      </w:r>
    </w:p>
    <w:p w:rsidR="00414B60" w:rsidRPr="00653557" w:rsidRDefault="00414B60" w:rsidP="008000C4">
      <w:pPr>
        <w:ind w:left="0"/>
        <w:jc w:val="both"/>
        <w:rPr>
          <w:rFonts w:ascii="Bookman Old Style" w:hAnsi="Bookman Old Style"/>
        </w:rPr>
      </w:pPr>
    </w:p>
    <w:p w:rsidR="00FB7F69" w:rsidRDefault="00783120" w:rsidP="008000C4">
      <w:pPr>
        <w:ind w:left="0"/>
        <w:jc w:val="both"/>
        <w:rPr>
          <w:rFonts w:ascii="Bookman Old Style" w:eastAsiaTheme="minorEastAsia" w:hAnsi="Bookman Old Style"/>
        </w:rPr>
      </w:pPr>
      <w:r>
        <w:rPr>
          <w:rFonts w:ascii="Bookman Old Style" w:eastAsiaTheme="minorEastAsia" w:hAnsi="Bookman Old Style"/>
        </w:rPr>
        <w:t>Con base en</w:t>
      </w:r>
      <w:r w:rsidR="00FB7F69" w:rsidRPr="00D944AE">
        <w:rPr>
          <w:rFonts w:ascii="Bookman Old Style" w:eastAsiaTheme="minorEastAsia" w:hAnsi="Bookman Old Style"/>
        </w:rPr>
        <w:t xml:space="preserve"> lo anterior, </w:t>
      </w:r>
      <w:r w:rsidR="00D26540">
        <w:rPr>
          <w:rFonts w:ascii="Bookman Old Style" w:eastAsiaTheme="minorEastAsia" w:hAnsi="Bookman Old Style"/>
        </w:rPr>
        <w:t xml:space="preserve">la Comisión de Regulación de Energía y Gas –CREG, repondrá la Resolución CREG-119 de 2012 en lo que respecta a </w:t>
      </w:r>
      <w:r w:rsidR="00D26540">
        <w:rPr>
          <w:rFonts w:ascii="Bookman Old Style" w:hAnsi="Bookman Old Style"/>
        </w:rPr>
        <w:t>CENTRAL TERMOELÉCTRICA EL MORRO 1 S.A E.S.P</w:t>
      </w:r>
      <w:r w:rsidR="00FB7F69" w:rsidRPr="00D944AE">
        <w:rPr>
          <w:rFonts w:ascii="Bookman Old Style" w:eastAsiaTheme="minorEastAsia" w:hAnsi="Bookman Old Style"/>
        </w:rPr>
        <w:t>.</w:t>
      </w:r>
    </w:p>
    <w:p w:rsidR="000C6857" w:rsidRPr="009E03F7" w:rsidRDefault="000C6857" w:rsidP="008000C4">
      <w:pPr>
        <w:ind w:left="0"/>
        <w:jc w:val="both"/>
        <w:rPr>
          <w:rFonts w:ascii="Bookman Old Style" w:hAnsi="Bookman Old Style" w:cs="Arial"/>
          <w:lang w:eastAsia="es-CO"/>
        </w:rPr>
      </w:pPr>
    </w:p>
    <w:p w:rsidR="00C219A0" w:rsidRPr="00ED3C17" w:rsidRDefault="00C219A0" w:rsidP="008000C4">
      <w:pPr>
        <w:ind w:left="0"/>
        <w:jc w:val="both"/>
        <w:rPr>
          <w:rFonts w:ascii="Bookman Old Style" w:hAnsi="Bookman Old Style"/>
        </w:rPr>
      </w:pPr>
      <w:r w:rsidRPr="00ED3C17">
        <w:rPr>
          <w:rFonts w:ascii="Bookman Old Style" w:hAnsi="Bookman Old Style" w:cs="Arial"/>
          <w:spacing w:val="-3"/>
        </w:rPr>
        <w:t>La Comisión de Regulación de</w:t>
      </w:r>
      <w:r>
        <w:rPr>
          <w:rFonts w:ascii="Bookman Old Style" w:hAnsi="Bookman Old Style" w:cs="Arial"/>
          <w:spacing w:val="-3"/>
        </w:rPr>
        <w:t xml:space="preserve"> Energía y Gas, en su sesión </w:t>
      </w:r>
      <w:r w:rsidR="008000C4">
        <w:rPr>
          <w:rFonts w:ascii="Bookman Old Style" w:hAnsi="Bookman Old Style" w:cs="Arial"/>
          <w:spacing w:val="-3"/>
        </w:rPr>
        <w:t>549</w:t>
      </w:r>
      <w:r w:rsidRPr="00ED3C17">
        <w:rPr>
          <w:rFonts w:ascii="Bookman Old Style" w:hAnsi="Bookman Old Style" w:cs="Arial"/>
          <w:spacing w:val="-3"/>
        </w:rPr>
        <w:t xml:space="preserve">, llevada a cabo </w:t>
      </w:r>
      <w:r>
        <w:rPr>
          <w:rFonts w:ascii="Bookman Old Style" w:hAnsi="Bookman Old Style" w:cs="Arial"/>
          <w:spacing w:val="-3"/>
        </w:rPr>
        <w:t xml:space="preserve">el día </w:t>
      </w:r>
      <w:r w:rsidR="00D00D11">
        <w:rPr>
          <w:rFonts w:ascii="Bookman Old Style" w:hAnsi="Bookman Old Style" w:cs="Arial"/>
          <w:spacing w:val="-3"/>
        </w:rPr>
        <w:t>22</w:t>
      </w:r>
      <w:r w:rsidRPr="00ED3C17">
        <w:rPr>
          <w:rFonts w:ascii="Bookman Old Style" w:hAnsi="Bookman Old Style" w:cs="Arial"/>
          <w:spacing w:val="-3"/>
        </w:rPr>
        <w:t xml:space="preserve"> de </w:t>
      </w:r>
      <w:r w:rsidR="00D00D11">
        <w:rPr>
          <w:rFonts w:ascii="Bookman Old Style" w:hAnsi="Bookman Old Style" w:cs="Arial"/>
          <w:spacing w:val="-3"/>
        </w:rPr>
        <w:t>febrero</w:t>
      </w:r>
      <w:r w:rsidRPr="00ED3C17">
        <w:rPr>
          <w:rFonts w:ascii="Bookman Old Style" w:hAnsi="Bookman Old Style" w:cs="Arial"/>
          <w:spacing w:val="-3"/>
        </w:rPr>
        <w:t xml:space="preserve"> de 201</w:t>
      </w:r>
      <w:r w:rsidR="00D00D11">
        <w:rPr>
          <w:rFonts w:ascii="Bookman Old Style" w:hAnsi="Bookman Old Style" w:cs="Arial"/>
          <w:spacing w:val="-3"/>
        </w:rPr>
        <w:t>3</w:t>
      </w:r>
      <w:r w:rsidRPr="00ED3C17">
        <w:rPr>
          <w:rFonts w:ascii="Bookman Old Style" w:hAnsi="Bookman Old Style"/>
        </w:rPr>
        <w:t xml:space="preserve">, acordó expedir </w:t>
      </w:r>
      <w:r w:rsidR="00653557">
        <w:rPr>
          <w:rFonts w:ascii="Bookman Old Style" w:hAnsi="Bookman Old Style"/>
        </w:rPr>
        <w:t xml:space="preserve">la presente </w:t>
      </w:r>
      <w:r w:rsidRPr="00ED3C17">
        <w:rPr>
          <w:rFonts w:ascii="Bookman Old Style" w:hAnsi="Bookman Old Style"/>
        </w:rPr>
        <w:t>resolución.</w:t>
      </w:r>
    </w:p>
    <w:p w:rsidR="00FB7F69" w:rsidRPr="002E4FCA" w:rsidRDefault="00FB7F69" w:rsidP="008000C4">
      <w:pPr>
        <w:ind w:left="0"/>
        <w:jc w:val="both"/>
        <w:rPr>
          <w:rFonts w:ascii="Bookman Old Style" w:hAnsi="Bookman Old Style" w:cs="Arial"/>
        </w:rPr>
      </w:pPr>
    </w:p>
    <w:p w:rsidR="00FB7F69" w:rsidRPr="002073B8" w:rsidRDefault="00FB7F69" w:rsidP="008000C4">
      <w:pPr>
        <w:ind w:left="0"/>
        <w:rPr>
          <w:rFonts w:ascii="Bookman Old Style" w:hAnsi="Bookman Old Style"/>
          <w:lang w:val="es-CO"/>
        </w:rPr>
      </w:pPr>
      <w:r>
        <w:rPr>
          <w:rFonts w:ascii="Bookman Old Style" w:hAnsi="Bookman Old Style"/>
          <w:spacing w:val="-3"/>
        </w:rPr>
        <w:t>Por las razones expuestas, la Comisión de Regulación de Energía y Gas -CREG-,</w:t>
      </w:r>
    </w:p>
    <w:p w:rsidR="00FB7F69" w:rsidRDefault="00FB7F69" w:rsidP="008000C4">
      <w:pPr>
        <w:tabs>
          <w:tab w:val="center" w:pos="4512"/>
        </w:tabs>
        <w:suppressAutoHyphens/>
        <w:ind w:left="0"/>
        <w:jc w:val="both"/>
        <w:rPr>
          <w:rFonts w:ascii="Bookman Old Style" w:hAnsi="Bookman Old Style"/>
          <w:b/>
          <w:spacing w:val="-3"/>
        </w:rPr>
      </w:pPr>
    </w:p>
    <w:p w:rsidR="008000C4" w:rsidRDefault="008000C4" w:rsidP="008000C4">
      <w:pPr>
        <w:tabs>
          <w:tab w:val="center" w:pos="4512"/>
        </w:tabs>
        <w:suppressAutoHyphens/>
        <w:ind w:left="0"/>
        <w:jc w:val="both"/>
        <w:rPr>
          <w:rFonts w:ascii="Bookman Old Style" w:hAnsi="Bookman Old Style"/>
          <w:b/>
          <w:spacing w:val="-3"/>
        </w:rPr>
      </w:pPr>
    </w:p>
    <w:p w:rsidR="00FB7F69" w:rsidRDefault="00FB7F69" w:rsidP="008000C4">
      <w:pPr>
        <w:tabs>
          <w:tab w:val="center" w:pos="4512"/>
        </w:tabs>
        <w:suppressAutoHyphens/>
        <w:ind w:left="0"/>
        <w:jc w:val="center"/>
        <w:rPr>
          <w:rFonts w:ascii="Bookman Old Style" w:hAnsi="Bookman Old Style"/>
          <w:b/>
          <w:spacing w:val="-3"/>
        </w:rPr>
      </w:pPr>
      <w:r w:rsidRPr="00C051A8">
        <w:rPr>
          <w:rFonts w:ascii="Bookman Old Style" w:hAnsi="Bookman Old Style"/>
          <w:b/>
          <w:spacing w:val="-3"/>
        </w:rPr>
        <w:t>R E S U E L V E:</w:t>
      </w:r>
    </w:p>
    <w:p w:rsidR="007A0F0E" w:rsidRDefault="007A0F0E" w:rsidP="008000C4">
      <w:pPr>
        <w:tabs>
          <w:tab w:val="center" w:pos="4512"/>
        </w:tabs>
        <w:suppressAutoHyphens/>
        <w:ind w:left="0"/>
        <w:jc w:val="center"/>
        <w:rPr>
          <w:rFonts w:ascii="Bookman Old Style" w:hAnsi="Bookman Old Style"/>
          <w:b/>
          <w:spacing w:val="-3"/>
        </w:rPr>
      </w:pPr>
    </w:p>
    <w:p w:rsidR="008000C4" w:rsidRPr="00C051A8" w:rsidRDefault="008000C4" w:rsidP="008000C4">
      <w:pPr>
        <w:tabs>
          <w:tab w:val="center" w:pos="4512"/>
        </w:tabs>
        <w:suppressAutoHyphens/>
        <w:ind w:left="0"/>
        <w:jc w:val="center"/>
        <w:rPr>
          <w:rFonts w:ascii="Bookman Old Style" w:hAnsi="Bookman Old Style"/>
          <w:b/>
          <w:spacing w:val="-3"/>
        </w:rPr>
      </w:pPr>
    </w:p>
    <w:p w:rsidR="00D26540" w:rsidRDefault="00D26540" w:rsidP="008000C4">
      <w:pPr>
        <w:ind w:left="0"/>
        <w:jc w:val="both"/>
        <w:rPr>
          <w:rFonts w:ascii="Bookman Old Style" w:hAnsi="Bookman Old Style"/>
        </w:rPr>
      </w:pPr>
      <w:r w:rsidRPr="00C051A8">
        <w:rPr>
          <w:rFonts w:ascii="Bookman Old Style" w:hAnsi="Bookman Old Style"/>
          <w:b/>
        </w:rPr>
        <w:t>ARTÍCULO</w:t>
      </w:r>
      <w:r>
        <w:rPr>
          <w:rFonts w:ascii="Bookman Old Style" w:hAnsi="Bookman Old Style"/>
          <w:b/>
        </w:rPr>
        <w:t xml:space="preserve"> </w:t>
      </w:r>
      <w:r w:rsidR="008000C4">
        <w:rPr>
          <w:rFonts w:ascii="Bookman Old Style" w:hAnsi="Bookman Old Style"/>
          <w:b/>
        </w:rPr>
        <w:t>1</w:t>
      </w:r>
      <w:r w:rsidRPr="00C051A8">
        <w:rPr>
          <w:rFonts w:ascii="Bookman Old Style" w:hAnsi="Bookman Old Style"/>
          <w:b/>
        </w:rPr>
        <w:t>.</w:t>
      </w:r>
      <w:r w:rsidRPr="00C051A8">
        <w:rPr>
          <w:rFonts w:ascii="Bookman Old Style" w:hAnsi="Bookman Old Style"/>
        </w:rPr>
        <w:t xml:space="preserve"> </w:t>
      </w:r>
      <w:r>
        <w:rPr>
          <w:rFonts w:ascii="Bookman Old Style" w:hAnsi="Bookman Old Style"/>
          <w:b/>
        </w:rPr>
        <w:t xml:space="preserve">REPONER, </w:t>
      </w:r>
      <w:r>
        <w:rPr>
          <w:rFonts w:ascii="Bookman Old Style" w:hAnsi="Bookman Old Style"/>
        </w:rPr>
        <w:t>en lo concerniente a la empresa CENTRAL TERMOELÉCTRICA EL MORRO 1 S.A E.S.P, la resolución CREG-119 de 2012, con fundamento en las razones expuestas en la parte motiva de este proveído.</w:t>
      </w:r>
    </w:p>
    <w:p w:rsidR="00D26540" w:rsidRPr="00C051A8" w:rsidRDefault="00D26540" w:rsidP="00D26540">
      <w:pPr>
        <w:ind w:left="0"/>
        <w:jc w:val="both"/>
        <w:rPr>
          <w:rFonts w:ascii="Bookman Old Style" w:hAnsi="Bookman Old Style"/>
        </w:rPr>
      </w:pPr>
    </w:p>
    <w:p w:rsidR="00D26540" w:rsidRDefault="00D26540" w:rsidP="008000C4">
      <w:pPr>
        <w:ind w:left="0"/>
        <w:jc w:val="both"/>
        <w:rPr>
          <w:rFonts w:ascii="Bookman Old Style" w:hAnsi="Bookman Old Style"/>
        </w:rPr>
      </w:pPr>
      <w:r w:rsidRPr="00C051A8">
        <w:rPr>
          <w:rFonts w:ascii="Bookman Old Style" w:hAnsi="Bookman Old Style"/>
          <w:b/>
        </w:rPr>
        <w:t xml:space="preserve">ARTÍCULO </w:t>
      </w:r>
      <w:r w:rsidR="008000C4">
        <w:rPr>
          <w:rFonts w:ascii="Bookman Old Style" w:hAnsi="Bookman Old Style"/>
          <w:b/>
        </w:rPr>
        <w:t>2</w:t>
      </w:r>
      <w:r w:rsidRPr="00C051A8">
        <w:rPr>
          <w:rFonts w:ascii="Bookman Old Style" w:hAnsi="Bookman Old Style"/>
          <w:b/>
        </w:rPr>
        <w:t>.</w:t>
      </w:r>
      <w:r w:rsidRPr="00C051A8">
        <w:rPr>
          <w:rFonts w:ascii="Bookman Old Style" w:hAnsi="Bookman Old Style"/>
        </w:rPr>
        <w:t xml:space="preserve"> </w:t>
      </w:r>
      <w:r w:rsidRPr="00C051A8">
        <w:rPr>
          <w:rFonts w:ascii="Bookman Old Style" w:hAnsi="Bookman Old Style"/>
        </w:rPr>
        <w:tab/>
      </w:r>
      <w:r>
        <w:rPr>
          <w:rFonts w:ascii="Bookman Old Style" w:hAnsi="Bookman Old Style"/>
        </w:rPr>
        <w:t xml:space="preserve">En virtud de lo anterior </w:t>
      </w:r>
      <w:r>
        <w:rPr>
          <w:rFonts w:ascii="Bookman Old Style" w:hAnsi="Bookman Old Style"/>
          <w:b/>
        </w:rPr>
        <w:t xml:space="preserve">SEÑALAR </w:t>
      </w:r>
      <w:r w:rsidRPr="00556CF9">
        <w:rPr>
          <w:rFonts w:ascii="Bookman Old Style" w:hAnsi="Bookman Old Style"/>
        </w:rPr>
        <w:t>que</w:t>
      </w:r>
      <w:r>
        <w:rPr>
          <w:rFonts w:ascii="Bookman Old Style" w:hAnsi="Bookman Old Style"/>
        </w:rPr>
        <w:t xml:space="preserve"> CENTRAL TERMOELÉCTRICA EL MORRO </w:t>
      </w:r>
      <w:r w:rsidR="003614EC">
        <w:rPr>
          <w:rFonts w:ascii="Bookman Old Style" w:hAnsi="Bookman Old Style"/>
        </w:rPr>
        <w:t>1</w:t>
      </w:r>
      <w:r>
        <w:rPr>
          <w:rFonts w:ascii="Bookman Old Style" w:hAnsi="Bookman Old Style"/>
        </w:rPr>
        <w:t xml:space="preserve"> S.A E.S.P</w:t>
      </w:r>
      <w:r>
        <w:rPr>
          <w:rFonts w:ascii="Bookman Old Style" w:hAnsi="Bookman Old Style"/>
          <w:b/>
        </w:rPr>
        <w:t xml:space="preserve"> </w:t>
      </w:r>
      <w:r>
        <w:rPr>
          <w:rFonts w:ascii="Bookman Old Style" w:hAnsi="Bookman Old Style"/>
        </w:rPr>
        <w:t xml:space="preserve">no debe pagar contribución especial a la Comisión de Regulación de Energía y Gas –CREG para el año 2012. </w:t>
      </w:r>
    </w:p>
    <w:p w:rsidR="00D26540" w:rsidRDefault="00D26540" w:rsidP="008000C4">
      <w:pPr>
        <w:ind w:left="0"/>
        <w:jc w:val="both"/>
        <w:rPr>
          <w:rFonts w:ascii="Bookman Old Style" w:hAnsi="Bookman Old Style" w:cs="Arial"/>
          <w:color w:val="000000"/>
        </w:rPr>
      </w:pPr>
    </w:p>
    <w:p w:rsidR="00D26540" w:rsidRDefault="00D26540" w:rsidP="008000C4">
      <w:pPr>
        <w:ind w:left="0"/>
        <w:jc w:val="both"/>
        <w:rPr>
          <w:rFonts w:ascii="Bookman Old Style" w:hAnsi="Bookman Old Style" w:cs="Arial"/>
        </w:rPr>
      </w:pPr>
      <w:r w:rsidRPr="00C051A8">
        <w:rPr>
          <w:rFonts w:ascii="Bookman Old Style" w:hAnsi="Bookman Old Style"/>
          <w:b/>
        </w:rPr>
        <w:t xml:space="preserve">ARTÍCULO </w:t>
      </w:r>
      <w:r w:rsidR="008000C4">
        <w:rPr>
          <w:rFonts w:ascii="Bookman Old Style" w:hAnsi="Bookman Old Style"/>
          <w:b/>
        </w:rPr>
        <w:t>3</w:t>
      </w:r>
      <w:r w:rsidRPr="00C051A8">
        <w:rPr>
          <w:rFonts w:ascii="Bookman Old Style" w:hAnsi="Bookman Old Style"/>
          <w:b/>
        </w:rPr>
        <w:t>.</w:t>
      </w:r>
      <w:r>
        <w:rPr>
          <w:rFonts w:ascii="Bookman Old Style" w:hAnsi="Bookman Old Style"/>
          <w:b/>
        </w:rPr>
        <w:t xml:space="preserve"> NOTIFICAR </w:t>
      </w:r>
      <w:r>
        <w:rPr>
          <w:rFonts w:ascii="Bookman Old Style" w:hAnsi="Bookman Old Style"/>
        </w:rPr>
        <w:t xml:space="preserve">al representante legal de la empresa CENTRAL TERMOELÉCTRICA EL MORRO </w:t>
      </w:r>
      <w:r w:rsidR="003614EC">
        <w:rPr>
          <w:rFonts w:ascii="Bookman Old Style" w:hAnsi="Bookman Old Style"/>
        </w:rPr>
        <w:t>2</w:t>
      </w:r>
      <w:r>
        <w:rPr>
          <w:rFonts w:ascii="Bookman Old Style" w:hAnsi="Bookman Old Style"/>
        </w:rPr>
        <w:t xml:space="preserve"> S.A E.S.P</w:t>
      </w:r>
      <w:r>
        <w:rPr>
          <w:rFonts w:ascii="Bookman Old Style" w:hAnsi="Bookman Old Style" w:cs="Arial"/>
        </w:rPr>
        <w:t xml:space="preserve"> el contenido de la presente resolución, conforme con lo establecido en los artículos 66 y subsiguientes del Código de Procedimiento Administrativo y de lo Contencioso Administrativo. </w:t>
      </w:r>
    </w:p>
    <w:p w:rsidR="00D26540" w:rsidRDefault="00D26540" w:rsidP="008000C4">
      <w:pPr>
        <w:ind w:left="0"/>
        <w:jc w:val="both"/>
        <w:rPr>
          <w:rFonts w:ascii="Bookman Old Style" w:hAnsi="Bookman Old Style" w:cs="Arial"/>
        </w:rPr>
      </w:pPr>
    </w:p>
    <w:p w:rsidR="008000C4" w:rsidRDefault="008000C4" w:rsidP="008000C4">
      <w:pPr>
        <w:ind w:left="0"/>
        <w:jc w:val="both"/>
        <w:rPr>
          <w:rFonts w:ascii="Bookman Old Style" w:hAnsi="Bookman Old Style" w:cs="Arial"/>
        </w:rPr>
      </w:pPr>
    </w:p>
    <w:p w:rsidR="00D26540" w:rsidRDefault="00D26540" w:rsidP="008000C4">
      <w:pPr>
        <w:ind w:left="0"/>
        <w:jc w:val="both"/>
        <w:rPr>
          <w:rFonts w:ascii="Bookman Old Style" w:hAnsi="Bookman Old Style"/>
        </w:rPr>
      </w:pPr>
      <w:r w:rsidRPr="00C051A8">
        <w:rPr>
          <w:rFonts w:ascii="Bookman Old Style" w:hAnsi="Bookman Old Style"/>
          <w:b/>
        </w:rPr>
        <w:t>ARTÍCULO</w:t>
      </w:r>
      <w:r>
        <w:rPr>
          <w:rFonts w:ascii="Bookman Old Style" w:hAnsi="Bookman Old Style"/>
          <w:b/>
        </w:rPr>
        <w:t xml:space="preserve"> </w:t>
      </w:r>
      <w:r w:rsidR="008000C4">
        <w:rPr>
          <w:rFonts w:ascii="Bookman Old Style" w:hAnsi="Bookman Old Style"/>
          <w:b/>
        </w:rPr>
        <w:t>4</w:t>
      </w:r>
      <w:r w:rsidRPr="00C051A8">
        <w:rPr>
          <w:rFonts w:ascii="Bookman Old Style" w:hAnsi="Bookman Old Style"/>
          <w:b/>
        </w:rPr>
        <w:t>.</w:t>
      </w:r>
      <w:r>
        <w:rPr>
          <w:rFonts w:ascii="Bookman Old Style" w:hAnsi="Bookman Old Style"/>
          <w:b/>
        </w:rPr>
        <w:t xml:space="preserve"> </w:t>
      </w:r>
      <w:r w:rsidRPr="00E8432B">
        <w:rPr>
          <w:rFonts w:ascii="Bookman Old Style" w:hAnsi="Bookman Old Style"/>
        </w:rPr>
        <w:t>Contra la presente resolución no procede recurso alguno</w:t>
      </w:r>
      <w:r>
        <w:rPr>
          <w:rFonts w:ascii="Bookman Old Style" w:hAnsi="Bookman Old Style"/>
        </w:rPr>
        <w:t>.</w:t>
      </w:r>
    </w:p>
    <w:p w:rsidR="00D26540" w:rsidRDefault="00D26540" w:rsidP="00D26540">
      <w:pPr>
        <w:ind w:left="170"/>
        <w:jc w:val="both"/>
        <w:rPr>
          <w:rFonts w:ascii="Bookman Old Style" w:hAnsi="Bookman Old Style" w:cs="Arial"/>
        </w:rPr>
      </w:pPr>
    </w:p>
    <w:p w:rsidR="00D26540" w:rsidRDefault="00D26540" w:rsidP="00D26540">
      <w:pPr>
        <w:ind w:left="170"/>
        <w:jc w:val="both"/>
        <w:rPr>
          <w:rFonts w:ascii="Bookman Old Style" w:hAnsi="Bookman Old Style" w:cs="Arial"/>
        </w:rPr>
      </w:pPr>
    </w:p>
    <w:p w:rsidR="00D26540" w:rsidRDefault="00D26540" w:rsidP="00D26540">
      <w:pPr>
        <w:ind w:left="170"/>
        <w:jc w:val="both"/>
        <w:rPr>
          <w:rFonts w:ascii="Bookman Old Style" w:hAnsi="Bookman Old Style" w:cs="Arial"/>
        </w:rPr>
      </w:pPr>
    </w:p>
    <w:p w:rsidR="00D26540" w:rsidRDefault="00D26540" w:rsidP="00D26540">
      <w:pPr>
        <w:ind w:left="170"/>
        <w:jc w:val="center"/>
        <w:rPr>
          <w:rFonts w:ascii="Bookman Old Style" w:hAnsi="Bookman Old Style" w:cs="Arial"/>
          <w:b/>
        </w:rPr>
      </w:pPr>
      <w:r w:rsidRPr="00E8432B">
        <w:rPr>
          <w:rFonts w:ascii="Bookman Old Style" w:hAnsi="Bookman Old Style" w:cs="Arial"/>
          <w:b/>
        </w:rPr>
        <w:t>NOTIFÍQUESE Y CÚMPLASE</w:t>
      </w:r>
    </w:p>
    <w:p w:rsidR="00D26540" w:rsidRDefault="00D26540" w:rsidP="00D26540">
      <w:pPr>
        <w:ind w:left="170"/>
        <w:jc w:val="center"/>
        <w:rPr>
          <w:rFonts w:ascii="Bookman Old Style" w:hAnsi="Bookman Old Style" w:cs="Arial"/>
          <w:b/>
        </w:rPr>
      </w:pPr>
    </w:p>
    <w:p w:rsidR="00D26540" w:rsidRPr="00AD0D15" w:rsidRDefault="00D26540" w:rsidP="008000C4">
      <w:pPr>
        <w:ind w:left="0"/>
        <w:rPr>
          <w:rFonts w:ascii="Bookman Old Style" w:hAnsi="Bookman Old Style" w:cs="Arial"/>
        </w:rPr>
      </w:pPr>
      <w:r w:rsidRPr="00AD0D15">
        <w:rPr>
          <w:rFonts w:ascii="Bookman Old Style" w:hAnsi="Bookman Old Style" w:cs="Arial"/>
        </w:rPr>
        <w:t>Dada en Bogotá D.C, a los</w:t>
      </w:r>
    </w:p>
    <w:p w:rsidR="00FB7F69" w:rsidRDefault="00FB7F69" w:rsidP="000C6857">
      <w:pPr>
        <w:ind w:left="0"/>
        <w:jc w:val="both"/>
        <w:rPr>
          <w:rFonts w:ascii="Bookman Old Style" w:hAnsi="Bookman Old Style" w:cs="Arial"/>
          <w:b/>
        </w:rPr>
      </w:pPr>
    </w:p>
    <w:p w:rsidR="00FB7F69" w:rsidRPr="00E8432B" w:rsidRDefault="00FB7F69" w:rsidP="00FB7F69">
      <w:pPr>
        <w:ind w:left="0"/>
        <w:jc w:val="both"/>
        <w:rPr>
          <w:rFonts w:ascii="Bookman Old Style" w:hAnsi="Bookman Old Style" w:cs="Arial"/>
          <w:b/>
          <w:color w:val="000000"/>
        </w:rPr>
      </w:pPr>
    </w:p>
    <w:p w:rsidR="00FB7F69" w:rsidRDefault="00FB7F69" w:rsidP="00FB7F69">
      <w:pPr>
        <w:ind w:left="170"/>
        <w:jc w:val="both"/>
        <w:rPr>
          <w:rFonts w:ascii="Bookman Old Style" w:hAnsi="Bookman Old Style" w:cs="Arial"/>
          <w:color w:val="000000"/>
        </w:rPr>
      </w:pPr>
    </w:p>
    <w:p w:rsidR="00D84580" w:rsidRDefault="00D84580" w:rsidP="00FB7F69">
      <w:pPr>
        <w:ind w:left="170"/>
        <w:jc w:val="both"/>
        <w:rPr>
          <w:rFonts w:ascii="Bookman Old Style" w:hAnsi="Bookman Old Style" w:cs="Arial"/>
          <w:color w:val="000000"/>
        </w:rPr>
      </w:pPr>
    </w:p>
    <w:p w:rsidR="00FB7F69" w:rsidRPr="00C051A8" w:rsidRDefault="00FB7F69" w:rsidP="00FB7F69">
      <w:pPr>
        <w:ind w:left="170"/>
        <w:jc w:val="both"/>
        <w:rPr>
          <w:rFonts w:ascii="Bookman Old Style" w:hAnsi="Bookman Old Style" w:cs="Arial"/>
          <w:color w:val="000000"/>
        </w:rPr>
      </w:pPr>
    </w:p>
    <w:tbl>
      <w:tblPr>
        <w:tblW w:w="0" w:type="auto"/>
        <w:jc w:val="center"/>
        <w:tblCellSpacing w:w="0" w:type="dxa"/>
        <w:tblCellMar>
          <w:left w:w="0" w:type="dxa"/>
          <w:right w:w="0" w:type="dxa"/>
        </w:tblCellMar>
        <w:tblLook w:val="04A0" w:firstRow="1" w:lastRow="0" w:firstColumn="1" w:lastColumn="0" w:noHBand="0" w:noVBand="1"/>
      </w:tblPr>
      <w:tblGrid>
        <w:gridCol w:w="4828"/>
        <w:gridCol w:w="4528"/>
      </w:tblGrid>
      <w:tr w:rsidR="00FB7F69" w:rsidRPr="00C051A8" w:rsidTr="00617704">
        <w:trPr>
          <w:tblCellSpacing w:w="0" w:type="dxa"/>
          <w:jc w:val="center"/>
        </w:trPr>
        <w:tc>
          <w:tcPr>
            <w:tcW w:w="4962" w:type="dxa"/>
            <w:hideMark/>
          </w:tcPr>
          <w:p w:rsidR="00FB7F69" w:rsidRPr="00C051A8" w:rsidRDefault="00FB7F69" w:rsidP="00617704">
            <w:pPr>
              <w:ind w:left="170"/>
              <w:jc w:val="center"/>
              <w:rPr>
                <w:rFonts w:ascii="Bookman Old Style" w:hAnsi="Bookman Old Style" w:cs="Arial"/>
                <w:color w:val="000000"/>
              </w:rPr>
            </w:pPr>
            <w:r>
              <w:rPr>
                <w:rFonts w:ascii="Bookman Old Style" w:hAnsi="Bookman Old Style" w:cs="Arial"/>
                <w:b/>
                <w:bCs/>
              </w:rPr>
              <w:t>TOMÁS GONZÁLEZ ESTRADA</w:t>
            </w:r>
          </w:p>
        </w:tc>
        <w:tc>
          <w:tcPr>
            <w:tcW w:w="4655" w:type="dxa"/>
            <w:hideMark/>
          </w:tcPr>
          <w:p w:rsidR="00FB7F69" w:rsidRPr="00C051A8" w:rsidRDefault="00FB7F69" w:rsidP="00617704">
            <w:pPr>
              <w:ind w:left="170"/>
              <w:jc w:val="center"/>
              <w:rPr>
                <w:rFonts w:ascii="Bookman Old Style" w:hAnsi="Bookman Old Style" w:cs="Arial"/>
                <w:color w:val="000000"/>
              </w:rPr>
            </w:pPr>
            <w:r>
              <w:rPr>
                <w:rFonts w:ascii="Bookman Old Style" w:hAnsi="Bookman Old Style" w:cs="Arial"/>
                <w:b/>
                <w:bCs/>
                <w:color w:val="000000"/>
              </w:rPr>
              <w:t>GERMÁN CASTRO FERREIRA</w:t>
            </w:r>
          </w:p>
        </w:tc>
      </w:tr>
      <w:tr w:rsidR="00FB7F69" w:rsidRPr="00C051A8" w:rsidTr="00617704">
        <w:trPr>
          <w:tblCellSpacing w:w="0" w:type="dxa"/>
          <w:jc w:val="center"/>
        </w:trPr>
        <w:tc>
          <w:tcPr>
            <w:tcW w:w="4962" w:type="dxa"/>
            <w:hideMark/>
          </w:tcPr>
          <w:p w:rsidR="00FB7F69" w:rsidRPr="00C051A8" w:rsidRDefault="00FB7F69" w:rsidP="00617704">
            <w:pPr>
              <w:ind w:left="170"/>
              <w:jc w:val="center"/>
              <w:rPr>
                <w:rFonts w:ascii="Bookman Old Style" w:hAnsi="Bookman Old Style" w:cs="Arial"/>
                <w:color w:val="000000"/>
              </w:rPr>
            </w:pPr>
            <w:r w:rsidRPr="00C051A8">
              <w:rPr>
                <w:rFonts w:ascii="Bookman Old Style" w:hAnsi="Bookman Old Style" w:cs="Arial"/>
              </w:rPr>
              <w:t>Viceministr</w:t>
            </w:r>
            <w:r>
              <w:rPr>
                <w:rFonts w:ascii="Bookman Old Style" w:hAnsi="Bookman Old Style" w:cs="Arial"/>
              </w:rPr>
              <w:t>o</w:t>
            </w:r>
            <w:r w:rsidRPr="00C051A8">
              <w:rPr>
                <w:rFonts w:ascii="Bookman Old Style" w:hAnsi="Bookman Old Style" w:cs="Arial"/>
              </w:rPr>
              <w:t xml:space="preserve"> de Energía</w:t>
            </w:r>
          </w:p>
        </w:tc>
        <w:tc>
          <w:tcPr>
            <w:tcW w:w="4655" w:type="dxa"/>
            <w:hideMark/>
          </w:tcPr>
          <w:p w:rsidR="00FB7F69" w:rsidRPr="00C051A8" w:rsidRDefault="00FB7F69" w:rsidP="00617704">
            <w:pPr>
              <w:ind w:left="170"/>
              <w:jc w:val="center"/>
              <w:rPr>
                <w:rFonts w:ascii="Bookman Old Style" w:hAnsi="Bookman Old Style" w:cs="Arial"/>
                <w:color w:val="000000"/>
              </w:rPr>
            </w:pPr>
            <w:r w:rsidRPr="00C051A8">
              <w:rPr>
                <w:rFonts w:ascii="Bookman Old Style" w:hAnsi="Bookman Old Style" w:cs="Arial"/>
                <w:color w:val="000000"/>
              </w:rPr>
              <w:t>Director Ejecutivo</w:t>
            </w:r>
          </w:p>
        </w:tc>
      </w:tr>
      <w:tr w:rsidR="00FB7F69" w:rsidRPr="00C051A8" w:rsidTr="00617704">
        <w:trPr>
          <w:tblCellSpacing w:w="0" w:type="dxa"/>
          <w:jc w:val="center"/>
        </w:trPr>
        <w:tc>
          <w:tcPr>
            <w:tcW w:w="4962" w:type="dxa"/>
            <w:hideMark/>
          </w:tcPr>
          <w:p w:rsidR="00FB7F69" w:rsidRPr="00C051A8" w:rsidRDefault="00FB7F69" w:rsidP="00617704">
            <w:pPr>
              <w:ind w:left="170"/>
              <w:jc w:val="center"/>
              <w:rPr>
                <w:rFonts w:ascii="Bookman Old Style" w:hAnsi="Bookman Old Style" w:cs="Arial"/>
                <w:color w:val="000000"/>
              </w:rPr>
            </w:pPr>
            <w:r w:rsidRPr="00C051A8">
              <w:rPr>
                <w:rFonts w:ascii="Bookman Old Style" w:hAnsi="Bookman Old Style" w:cs="Arial"/>
                <w:color w:val="000000"/>
              </w:rPr>
              <w:t>Delegad</w:t>
            </w:r>
            <w:r>
              <w:rPr>
                <w:rFonts w:ascii="Bookman Old Style" w:hAnsi="Bookman Old Style" w:cs="Arial"/>
                <w:color w:val="000000"/>
              </w:rPr>
              <w:t>o</w:t>
            </w:r>
            <w:r w:rsidRPr="00C051A8">
              <w:rPr>
                <w:rFonts w:ascii="Bookman Old Style" w:hAnsi="Bookman Old Style" w:cs="Arial"/>
                <w:color w:val="000000"/>
              </w:rPr>
              <w:t xml:space="preserve"> del Ministro de Minas y Energía</w:t>
            </w:r>
            <w:r w:rsidRPr="00C051A8">
              <w:rPr>
                <w:rFonts w:ascii="Bookman Old Style" w:hAnsi="Bookman Old Style" w:cs="Arial"/>
                <w:color w:val="000000"/>
              </w:rPr>
              <w:br/>
              <w:t>Presidente</w:t>
            </w:r>
          </w:p>
        </w:tc>
        <w:tc>
          <w:tcPr>
            <w:tcW w:w="4655" w:type="dxa"/>
            <w:hideMark/>
          </w:tcPr>
          <w:p w:rsidR="00FB7F69" w:rsidRPr="00C051A8" w:rsidRDefault="00FB7F69" w:rsidP="00617704">
            <w:pPr>
              <w:ind w:left="170"/>
              <w:jc w:val="center"/>
              <w:rPr>
                <w:rFonts w:ascii="Bookman Old Style" w:hAnsi="Bookman Old Style" w:cs="Arial"/>
                <w:color w:val="000000"/>
              </w:rPr>
            </w:pPr>
            <w:r w:rsidRPr="00C051A8">
              <w:rPr>
                <w:rFonts w:ascii="Bookman Old Style" w:hAnsi="Bookman Old Style" w:cs="Arial"/>
                <w:noProof/>
                <w:color w:val="000000"/>
                <w:lang w:val="es-CO" w:eastAsia="es-CO"/>
              </w:rPr>
              <w:drawing>
                <wp:inline distT="0" distB="0" distL="0" distR="0" wp14:anchorId="7B907AC8" wp14:editId="70C354D2">
                  <wp:extent cx="152400" cy="9525"/>
                  <wp:effectExtent l="19050" t="0" r="0" b="0"/>
                  <wp:docPr id="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a:srcRect/>
                          <a:stretch>
                            <a:fillRect/>
                          </a:stretch>
                        </pic:blipFill>
                        <pic:spPr bwMode="auto">
                          <a:xfrm>
                            <a:off x="0" y="0"/>
                            <a:ext cx="152400" cy="9525"/>
                          </a:xfrm>
                          <a:prstGeom prst="rect">
                            <a:avLst/>
                          </a:prstGeom>
                          <a:noFill/>
                          <a:ln w="9525">
                            <a:noFill/>
                            <a:miter lim="800000"/>
                            <a:headEnd/>
                            <a:tailEnd/>
                          </a:ln>
                        </pic:spPr>
                      </pic:pic>
                    </a:graphicData>
                  </a:graphic>
                </wp:inline>
              </w:drawing>
            </w:r>
          </w:p>
        </w:tc>
      </w:tr>
    </w:tbl>
    <w:p w:rsidR="00FB7F69" w:rsidRDefault="00FB7F69" w:rsidP="00FB7F69">
      <w:pPr>
        <w:pStyle w:val="Sinespaciado"/>
        <w:jc w:val="both"/>
        <w:rPr>
          <w:rFonts w:ascii="Bookman Old Style" w:hAnsi="Bookman Old Style" w:cs="Arial"/>
          <w:sz w:val="24"/>
          <w:szCs w:val="24"/>
        </w:rPr>
      </w:pPr>
    </w:p>
    <w:p w:rsidR="00FB7F69" w:rsidRPr="00C051A8" w:rsidRDefault="00FB7F69" w:rsidP="00FB7F69">
      <w:pPr>
        <w:pStyle w:val="Sinespaciado"/>
        <w:jc w:val="both"/>
        <w:rPr>
          <w:rFonts w:ascii="Bookman Old Style" w:hAnsi="Bookman Old Style" w:cs="Arial"/>
          <w:sz w:val="24"/>
          <w:szCs w:val="24"/>
        </w:rPr>
      </w:pPr>
    </w:p>
    <w:p w:rsidR="006675CD" w:rsidRPr="00FB7F69" w:rsidRDefault="006675CD" w:rsidP="00FB7F69"/>
    <w:sectPr w:rsidR="006675CD" w:rsidRPr="00FB7F69" w:rsidSect="005A59EF">
      <w:headerReference w:type="default" r:id="rId13"/>
      <w:headerReference w:type="first" r:id="rId14"/>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EC2" w:rsidRDefault="00A10EC2">
      <w:r>
        <w:separator/>
      </w:r>
    </w:p>
  </w:endnote>
  <w:endnote w:type="continuationSeparator" w:id="0">
    <w:p w:rsidR="00A10EC2" w:rsidRDefault="00A10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EC2" w:rsidRDefault="00A10EC2">
      <w:r>
        <w:separator/>
      </w:r>
    </w:p>
  </w:footnote>
  <w:footnote w:type="continuationSeparator" w:id="0">
    <w:p w:rsidR="00A10EC2" w:rsidRDefault="00A10E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F0C" w:rsidRDefault="004C0F0C" w:rsidP="00951F79">
    <w:pPr>
      <w:pStyle w:val="Ttulo1"/>
      <w:ind w:right="6"/>
      <w:jc w:val="left"/>
      <w:rPr>
        <w:rFonts w:ascii="Bookman Old Style" w:hAnsi="Bookman Old Style" w:cs="Arial"/>
        <w:b w:val="0"/>
        <w:sz w:val="22"/>
        <w:szCs w:val="22"/>
      </w:rPr>
    </w:pPr>
  </w:p>
  <w:p w:rsidR="004C0F0C" w:rsidRPr="00951F79" w:rsidRDefault="004C0F0C"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726C1D">
      <w:rPr>
        <w:rFonts w:ascii="Bookman Old Style" w:hAnsi="Bookman Old Style" w:cs="Arial"/>
        <w:b w:val="0"/>
        <w:noProof/>
        <w:sz w:val="22"/>
        <w:szCs w:val="22"/>
      </w:rPr>
      <w:t>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726C1D">
      <w:fldChar w:fldCharType="begin"/>
    </w:r>
    <w:r w:rsidR="00726C1D">
      <w:instrText xml:space="preserve"> NUMPAGES  \* MERGEFORMAT </w:instrText>
    </w:r>
    <w:r w:rsidR="00726C1D">
      <w:fldChar w:fldCharType="separate"/>
    </w:r>
    <w:r w:rsidR="00726C1D" w:rsidRPr="00726C1D">
      <w:rPr>
        <w:rFonts w:ascii="Bookman Old Style" w:hAnsi="Bookman Old Style" w:cs="Arial"/>
        <w:b w:val="0"/>
        <w:noProof/>
        <w:sz w:val="22"/>
        <w:szCs w:val="22"/>
      </w:rPr>
      <w:t>11</w:t>
    </w:r>
    <w:r w:rsidR="00726C1D">
      <w:rPr>
        <w:rFonts w:ascii="Bookman Old Style" w:hAnsi="Bookman Old Style" w:cs="Arial"/>
        <w:b w:val="0"/>
        <w:noProof/>
        <w:sz w:val="22"/>
        <w:szCs w:val="22"/>
      </w:rPr>
      <w:fldChar w:fldCharType="end"/>
    </w:r>
  </w:p>
  <w:p w:rsidR="004C0F0C" w:rsidRDefault="004C0F0C"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04637116" wp14:editId="75F5FD7B">
              <wp:simplePos x="0" y="0"/>
              <wp:positionH relativeFrom="column">
                <wp:posOffset>-175260</wp:posOffset>
              </wp:positionH>
              <wp:positionV relativeFrom="paragraph">
                <wp:posOffset>139065</wp:posOffset>
              </wp:positionV>
              <wp:extent cx="6267450" cy="9900920"/>
              <wp:effectExtent l="15240" t="15240" r="13335" b="1841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4C0F0C" w:rsidRPr="00617704" w:rsidRDefault="004C0F0C" w:rsidP="00617704">
    <w:pPr>
      <w:ind w:left="0"/>
      <w:jc w:val="both"/>
      <w:rPr>
        <w:rFonts w:ascii="Bookman Old Style" w:hAnsi="Bookman Old Style" w:cs="Arial"/>
        <w:sz w:val="22"/>
        <w:szCs w:val="22"/>
      </w:rPr>
    </w:pPr>
    <w:r w:rsidRPr="00617704">
      <w:rPr>
        <w:rFonts w:ascii="Bookman Old Style" w:hAnsi="Bookman Old Style" w:cs="Arial"/>
        <w:sz w:val="22"/>
        <w:szCs w:val="22"/>
      </w:rPr>
      <w:t>Por medio de la cual se resuelve un recurso de reposición en contra de la Resolución CREG 1</w:t>
    </w:r>
    <w:r>
      <w:rPr>
        <w:rFonts w:ascii="Bookman Old Style" w:hAnsi="Bookman Old Style" w:cs="Arial"/>
        <w:sz w:val="22"/>
        <w:szCs w:val="22"/>
      </w:rPr>
      <w:t>19</w:t>
    </w:r>
    <w:r w:rsidRPr="00617704">
      <w:rPr>
        <w:rFonts w:ascii="Bookman Old Style" w:hAnsi="Bookman Old Style" w:cs="Arial"/>
        <w:sz w:val="22"/>
        <w:szCs w:val="22"/>
      </w:rPr>
      <w:t xml:space="preserve"> de 201</w:t>
    </w:r>
    <w:r>
      <w:rPr>
        <w:rFonts w:ascii="Bookman Old Style" w:hAnsi="Bookman Old Style" w:cs="Arial"/>
        <w:sz w:val="22"/>
        <w:szCs w:val="22"/>
      </w:rPr>
      <w:t>2</w:t>
    </w:r>
  </w:p>
  <w:p w:rsidR="004C0F0C" w:rsidRPr="00CB5DD0" w:rsidRDefault="004C0F0C" w:rsidP="00AD01E4">
    <w:pPr>
      <w:pBdr>
        <w:bottom w:val="single" w:sz="4" w:space="1" w:color="auto"/>
      </w:pBdr>
      <w:ind w:left="142" w:right="148"/>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F0C" w:rsidRDefault="004C0F0C"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4C0F0C" w:rsidRDefault="004C0F0C">
    <w:pPr>
      <w:pStyle w:val="Encabezado"/>
      <w:jc w:val="center"/>
      <w:rPr>
        <w:rFonts w:ascii="Arial" w:hAnsi="Arial" w:cs="Arial"/>
        <w:spacing w:val="20"/>
        <w:sz w:val="20"/>
      </w:rPr>
    </w:pPr>
  </w:p>
  <w:p w:rsidR="004C0F0C" w:rsidRDefault="004C0F0C"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6621F295" wp14:editId="3F642B26">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059679FE"/>
    <w:multiLevelType w:val="hybridMultilevel"/>
    <w:tmpl w:val="5652E1A2"/>
    <w:lvl w:ilvl="0" w:tplc="FE50D68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4F8257D"/>
    <w:multiLevelType w:val="hybridMultilevel"/>
    <w:tmpl w:val="B5562946"/>
    <w:lvl w:ilvl="0" w:tplc="0CCE7BF4">
      <w:start w:val="3"/>
      <w:numFmt w:val="bullet"/>
      <w:lvlText w:val=""/>
      <w:lvlJc w:val="left"/>
      <w:pPr>
        <w:ind w:left="1077" w:hanging="360"/>
      </w:pPr>
      <w:rPr>
        <w:rFonts w:ascii="Symbol" w:eastAsia="Times New Roman" w:hAnsi="Symbol" w:cs="Times New Roman"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5">
    <w:nsid w:val="15C96404"/>
    <w:multiLevelType w:val="hybridMultilevel"/>
    <w:tmpl w:val="D40A1D7E"/>
    <w:lvl w:ilvl="0" w:tplc="58E84DD8">
      <w:start w:val="1"/>
      <w:numFmt w:val="decimal"/>
      <w:lvlText w:val="%1."/>
      <w:lvlJc w:val="left"/>
      <w:pPr>
        <w:ind w:left="530" w:hanging="360"/>
      </w:pPr>
      <w:rPr>
        <w:rFonts w:hint="default"/>
      </w:rPr>
    </w:lvl>
    <w:lvl w:ilvl="1" w:tplc="0C0A0019" w:tentative="1">
      <w:start w:val="1"/>
      <w:numFmt w:val="lowerLetter"/>
      <w:lvlText w:val="%2."/>
      <w:lvlJc w:val="left"/>
      <w:pPr>
        <w:ind w:left="1250" w:hanging="360"/>
      </w:pPr>
    </w:lvl>
    <w:lvl w:ilvl="2" w:tplc="0C0A001B" w:tentative="1">
      <w:start w:val="1"/>
      <w:numFmt w:val="lowerRoman"/>
      <w:lvlText w:val="%3."/>
      <w:lvlJc w:val="right"/>
      <w:pPr>
        <w:ind w:left="1970" w:hanging="180"/>
      </w:pPr>
    </w:lvl>
    <w:lvl w:ilvl="3" w:tplc="0C0A000F" w:tentative="1">
      <w:start w:val="1"/>
      <w:numFmt w:val="decimal"/>
      <w:lvlText w:val="%4."/>
      <w:lvlJc w:val="left"/>
      <w:pPr>
        <w:ind w:left="2690" w:hanging="360"/>
      </w:pPr>
    </w:lvl>
    <w:lvl w:ilvl="4" w:tplc="0C0A0019" w:tentative="1">
      <w:start w:val="1"/>
      <w:numFmt w:val="lowerLetter"/>
      <w:lvlText w:val="%5."/>
      <w:lvlJc w:val="left"/>
      <w:pPr>
        <w:ind w:left="3410" w:hanging="360"/>
      </w:pPr>
    </w:lvl>
    <w:lvl w:ilvl="5" w:tplc="0C0A001B" w:tentative="1">
      <w:start w:val="1"/>
      <w:numFmt w:val="lowerRoman"/>
      <w:lvlText w:val="%6."/>
      <w:lvlJc w:val="right"/>
      <w:pPr>
        <w:ind w:left="4130" w:hanging="180"/>
      </w:pPr>
    </w:lvl>
    <w:lvl w:ilvl="6" w:tplc="0C0A000F" w:tentative="1">
      <w:start w:val="1"/>
      <w:numFmt w:val="decimal"/>
      <w:lvlText w:val="%7."/>
      <w:lvlJc w:val="left"/>
      <w:pPr>
        <w:ind w:left="4850" w:hanging="360"/>
      </w:pPr>
    </w:lvl>
    <w:lvl w:ilvl="7" w:tplc="0C0A0019" w:tentative="1">
      <w:start w:val="1"/>
      <w:numFmt w:val="lowerLetter"/>
      <w:lvlText w:val="%8."/>
      <w:lvlJc w:val="left"/>
      <w:pPr>
        <w:ind w:left="5570" w:hanging="360"/>
      </w:pPr>
    </w:lvl>
    <w:lvl w:ilvl="8" w:tplc="0C0A001B" w:tentative="1">
      <w:start w:val="1"/>
      <w:numFmt w:val="lowerRoman"/>
      <w:lvlText w:val="%9."/>
      <w:lvlJc w:val="right"/>
      <w:pPr>
        <w:ind w:left="6290" w:hanging="180"/>
      </w:pPr>
    </w:lvl>
  </w:abstractNum>
  <w:abstractNum w:abstractNumId="6">
    <w:nsid w:val="1DA56A59"/>
    <w:multiLevelType w:val="hybridMultilevel"/>
    <w:tmpl w:val="6AF4A8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EC23274"/>
    <w:multiLevelType w:val="hybridMultilevel"/>
    <w:tmpl w:val="72B63080"/>
    <w:lvl w:ilvl="0" w:tplc="EE90B4A8">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178213F"/>
    <w:multiLevelType w:val="hybridMultilevel"/>
    <w:tmpl w:val="CD9C77C2"/>
    <w:lvl w:ilvl="0" w:tplc="EDFEC6A6">
      <w:start w:val="1"/>
      <w:numFmt w:val="decimal"/>
      <w:lvlText w:val="%1."/>
      <w:lvlJc w:val="left"/>
      <w:pPr>
        <w:ind w:left="530" w:hanging="360"/>
      </w:pPr>
      <w:rPr>
        <w:rFonts w:hint="default"/>
        <w:sz w:val="24"/>
        <w:szCs w:val="24"/>
      </w:rPr>
    </w:lvl>
    <w:lvl w:ilvl="1" w:tplc="0C0A0019" w:tentative="1">
      <w:start w:val="1"/>
      <w:numFmt w:val="lowerLetter"/>
      <w:lvlText w:val="%2."/>
      <w:lvlJc w:val="left"/>
      <w:pPr>
        <w:ind w:left="1250" w:hanging="360"/>
      </w:pPr>
    </w:lvl>
    <w:lvl w:ilvl="2" w:tplc="0C0A001B" w:tentative="1">
      <w:start w:val="1"/>
      <w:numFmt w:val="lowerRoman"/>
      <w:lvlText w:val="%3."/>
      <w:lvlJc w:val="right"/>
      <w:pPr>
        <w:ind w:left="1970" w:hanging="180"/>
      </w:pPr>
    </w:lvl>
    <w:lvl w:ilvl="3" w:tplc="0C0A000F" w:tentative="1">
      <w:start w:val="1"/>
      <w:numFmt w:val="decimal"/>
      <w:lvlText w:val="%4."/>
      <w:lvlJc w:val="left"/>
      <w:pPr>
        <w:ind w:left="2690" w:hanging="360"/>
      </w:pPr>
    </w:lvl>
    <w:lvl w:ilvl="4" w:tplc="0C0A0019" w:tentative="1">
      <w:start w:val="1"/>
      <w:numFmt w:val="lowerLetter"/>
      <w:lvlText w:val="%5."/>
      <w:lvlJc w:val="left"/>
      <w:pPr>
        <w:ind w:left="3410" w:hanging="360"/>
      </w:pPr>
    </w:lvl>
    <w:lvl w:ilvl="5" w:tplc="0C0A001B" w:tentative="1">
      <w:start w:val="1"/>
      <w:numFmt w:val="lowerRoman"/>
      <w:lvlText w:val="%6."/>
      <w:lvlJc w:val="right"/>
      <w:pPr>
        <w:ind w:left="4130" w:hanging="180"/>
      </w:pPr>
    </w:lvl>
    <w:lvl w:ilvl="6" w:tplc="0C0A000F" w:tentative="1">
      <w:start w:val="1"/>
      <w:numFmt w:val="decimal"/>
      <w:lvlText w:val="%7."/>
      <w:lvlJc w:val="left"/>
      <w:pPr>
        <w:ind w:left="4850" w:hanging="360"/>
      </w:pPr>
    </w:lvl>
    <w:lvl w:ilvl="7" w:tplc="0C0A0019" w:tentative="1">
      <w:start w:val="1"/>
      <w:numFmt w:val="lowerLetter"/>
      <w:lvlText w:val="%8."/>
      <w:lvlJc w:val="left"/>
      <w:pPr>
        <w:ind w:left="5570" w:hanging="360"/>
      </w:pPr>
    </w:lvl>
    <w:lvl w:ilvl="8" w:tplc="0C0A001B" w:tentative="1">
      <w:start w:val="1"/>
      <w:numFmt w:val="lowerRoman"/>
      <w:lvlText w:val="%9."/>
      <w:lvlJc w:val="right"/>
      <w:pPr>
        <w:ind w:left="6290" w:hanging="180"/>
      </w:pPr>
    </w:lvl>
  </w:abstractNum>
  <w:abstractNum w:abstractNumId="9">
    <w:nsid w:val="23831E60"/>
    <w:multiLevelType w:val="hybridMultilevel"/>
    <w:tmpl w:val="0882C4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A7A4E1B"/>
    <w:multiLevelType w:val="hybridMultilevel"/>
    <w:tmpl w:val="773EEAE8"/>
    <w:lvl w:ilvl="0" w:tplc="6C825630">
      <w:start w:val="1"/>
      <w:numFmt w:val="decimal"/>
      <w:lvlText w:val="%1."/>
      <w:lvlJc w:val="left"/>
      <w:pPr>
        <w:ind w:left="720" w:hanging="360"/>
      </w:pPr>
      <w:rPr>
        <w:rFonts w:hint="default"/>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2EB5205D"/>
    <w:multiLevelType w:val="hybridMultilevel"/>
    <w:tmpl w:val="CE529B4A"/>
    <w:lvl w:ilvl="0" w:tplc="E7984822">
      <w:start w:val="1"/>
      <w:numFmt w:val="decimal"/>
      <w:lvlText w:val="%1."/>
      <w:lvlJc w:val="left"/>
      <w:pPr>
        <w:ind w:left="942" w:hanging="375"/>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3">
    <w:nsid w:val="30ED1F9A"/>
    <w:multiLevelType w:val="hybridMultilevel"/>
    <w:tmpl w:val="B3683A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3379783B"/>
    <w:multiLevelType w:val="hybridMultilevel"/>
    <w:tmpl w:val="86B095B8"/>
    <w:lvl w:ilvl="0" w:tplc="5E8450E4">
      <w:start w:val="1"/>
      <w:numFmt w:val="decimal"/>
      <w:lvlText w:val="2.%1"/>
      <w:lvlJc w:val="left"/>
      <w:pPr>
        <w:ind w:left="720" w:hanging="360"/>
      </w:pPr>
      <w:rPr>
        <w:rFonts w:hint="default"/>
        <w:b/>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7051DE"/>
    <w:multiLevelType w:val="hybridMultilevel"/>
    <w:tmpl w:val="C1820B34"/>
    <w:lvl w:ilvl="0" w:tplc="680E6B46">
      <w:start w:val="3"/>
      <w:numFmt w:val="bullet"/>
      <w:lvlText w:val=""/>
      <w:lvlJc w:val="left"/>
      <w:pPr>
        <w:ind w:left="2520" w:hanging="360"/>
      </w:pPr>
      <w:rPr>
        <w:rFonts w:ascii="Symbol" w:eastAsia="Times New Roman" w:hAnsi="Symbol" w:cs="Times New Roman"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7">
    <w:nsid w:val="41BC0AEC"/>
    <w:multiLevelType w:val="hybridMultilevel"/>
    <w:tmpl w:val="3078ED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9">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D0D2EA0"/>
    <w:multiLevelType w:val="hybridMultilevel"/>
    <w:tmpl w:val="0FAE0988"/>
    <w:lvl w:ilvl="0" w:tplc="688052DA">
      <w:start w:val="1"/>
      <w:numFmt w:val="lowerLetter"/>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1">
    <w:nsid w:val="58A16BC6"/>
    <w:multiLevelType w:val="hybridMultilevel"/>
    <w:tmpl w:val="F64A23B6"/>
    <w:lvl w:ilvl="0" w:tplc="DB0CF014">
      <w:start w:val="1"/>
      <w:numFmt w:val="decimal"/>
      <w:lvlText w:val="%1."/>
      <w:lvlJc w:val="left"/>
      <w:pPr>
        <w:ind w:left="942" w:hanging="375"/>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2">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nsid w:val="626F0ADA"/>
    <w:multiLevelType w:val="hybridMultilevel"/>
    <w:tmpl w:val="D158B05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nsid w:val="6365781C"/>
    <w:multiLevelType w:val="hybridMultilevel"/>
    <w:tmpl w:val="D40A26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68060C8C"/>
    <w:multiLevelType w:val="hybridMultilevel"/>
    <w:tmpl w:val="379CB43E"/>
    <w:lvl w:ilvl="0" w:tplc="ADC85E46">
      <w:start w:val="1"/>
      <w:numFmt w:val="decimal"/>
      <w:lvlText w:val="%1."/>
      <w:lvlJc w:val="left"/>
      <w:pPr>
        <w:ind w:left="530" w:hanging="360"/>
      </w:pPr>
      <w:rPr>
        <w:rFonts w:hint="default"/>
      </w:rPr>
    </w:lvl>
    <w:lvl w:ilvl="1" w:tplc="0C0A0019" w:tentative="1">
      <w:start w:val="1"/>
      <w:numFmt w:val="lowerLetter"/>
      <w:lvlText w:val="%2."/>
      <w:lvlJc w:val="left"/>
      <w:pPr>
        <w:ind w:left="1250" w:hanging="360"/>
      </w:pPr>
    </w:lvl>
    <w:lvl w:ilvl="2" w:tplc="0C0A001B" w:tentative="1">
      <w:start w:val="1"/>
      <w:numFmt w:val="lowerRoman"/>
      <w:lvlText w:val="%3."/>
      <w:lvlJc w:val="right"/>
      <w:pPr>
        <w:ind w:left="1970" w:hanging="180"/>
      </w:pPr>
    </w:lvl>
    <w:lvl w:ilvl="3" w:tplc="0C0A000F" w:tentative="1">
      <w:start w:val="1"/>
      <w:numFmt w:val="decimal"/>
      <w:lvlText w:val="%4."/>
      <w:lvlJc w:val="left"/>
      <w:pPr>
        <w:ind w:left="2690" w:hanging="360"/>
      </w:pPr>
    </w:lvl>
    <w:lvl w:ilvl="4" w:tplc="0C0A0019" w:tentative="1">
      <w:start w:val="1"/>
      <w:numFmt w:val="lowerLetter"/>
      <w:lvlText w:val="%5."/>
      <w:lvlJc w:val="left"/>
      <w:pPr>
        <w:ind w:left="3410" w:hanging="360"/>
      </w:pPr>
    </w:lvl>
    <w:lvl w:ilvl="5" w:tplc="0C0A001B" w:tentative="1">
      <w:start w:val="1"/>
      <w:numFmt w:val="lowerRoman"/>
      <w:lvlText w:val="%6."/>
      <w:lvlJc w:val="right"/>
      <w:pPr>
        <w:ind w:left="4130" w:hanging="180"/>
      </w:pPr>
    </w:lvl>
    <w:lvl w:ilvl="6" w:tplc="0C0A000F" w:tentative="1">
      <w:start w:val="1"/>
      <w:numFmt w:val="decimal"/>
      <w:lvlText w:val="%7."/>
      <w:lvlJc w:val="left"/>
      <w:pPr>
        <w:ind w:left="4850" w:hanging="360"/>
      </w:pPr>
    </w:lvl>
    <w:lvl w:ilvl="7" w:tplc="0C0A0019" w:tentative="1">
      <w:start w:val="1"/>
      <w:numFmt w:val="lowerLetter"/>
      <w:lvlText w:val="%8."/>
      <w:lvlJc w:val="left"/>
      <w:pPr>
        <w:ind w:left="5570" w:hanging="360"/>
      </w:pPr>
    </w:lvl>
    <w:lvl w:ilvl="8" w:tplc="0C0A001B" w:tentative="1">
      <w:start w:val="1"/>
      <w:numFmt w:val="lowerRoman"/>
      <w:lvlText w:val="%9."/>
      <w:lvlJc w:val="right"/>
      <w:pPr>
        <w:ind w:left="6290" w:hanging="180"/>
      </w:pPr>
    </w:lvl>
  </w:abstractNum>
  <w:abstractNum w:abstractNumId="28">
    <w:nsid w:val="6ADF420A"/>
    <w:multiLevelType w:val="hybridMultilevel"/>
    <w:tmpl w:val="8D1E5926"/>
    <w:lvl w:ilvl="0" w:tplc="5EFC7B5A">
      <w:start w:val="1"/>
      <w:numFmt w:val="bullet"/>
      <w:lvlText w:val="•"/>
      <w:lvlJc w:val="left"/>
      <w:pPr>
        <w:tabs>
          <w:tab w:val="num" w:pos="720"/>
        </w:tabs>
        <w:ind w:left="720" w:hanging="360"/>
      </w:pPr>
      <w:rPr>
        <w:rFonts w:ascii="Arial" w:hAnsi="Arial" w:hint="default"/>
      </w:rPr>
    </w:lvl>
    <w:lvl w:ilvl="1" w:tplc="C254868A" w:tentative="1">
      <w:start w:val="1"/>
      <w:numFmt w:val="bullet"/>
      <w:lvlText w:val="•"/>
      <w:lvlJc w:val="left"/>
      <w:pPr>
        <w:tabs>
          <w:tab w:val="num" w:pos="1440"/>
        </w:tabs>
        <w:ind w:left="1440" w:hanging="360"/>
      </w:pPr>
      <w:rPr>
        <w:rFonts w:ascii="Arial" w:hAnsi="Arial" w:hint="default"/>
      </w:rPr>
    </w:lvl>
    <w:lvl w:ilvl="2" w:tplc="E0FE22D6" w:tentative="1">
      <w:start w:val="1"/>
      <w:numFmt w:val="bullet"/>
      <w:lvlText w:val="•"/>
      <w:lvlJc w:val="left"/>
      <w:pPr>
        <w:tabs>
          <w:tab w:val="num" w:pos="2160"/>
        </w:tabs>
        <w:ind w:left="2160" w:hanging="360"/>
      </w:pPr>
      <w:rPr>
        <w:rFonts w:ascii="Arial" w:hAnsi="Arial" w:hint="default"/>
      </w:rPr>
    </w:lvl>
    <w:lvl w:ilvl="3" w:tplc="F2B6E006" w:tentative="1">
      <w:start w:val="1"/>
      <w:numFmt w:val="bullet"/>
      <w:lvlText w:val="•"/>
      <w:lvlJc w:val="left"/>
      <w:pPr>
        <w:tabs>
          <w:tab w:val="num" w:pos="2880"/>
        </w:tabs>
        <w:ind w:left="2880" w:hanging="360"/>
      </w:pPr>
      <w:rPr>
        <w:rFonts w:ascii="Arial" w:hAnsi="Arial" w:hint="default"/>
      </w:rPr>
    </w:lvl>
    <w:lvl w:ilvl="4" w:tplc="F6A80D46" w:tentative="1">
      <w:start w:val="1"/>
      <w:numFmt w:val="bullet"/>
      <w:lvlText w:val="•"/>
      <w:lvlJc w:val="left"/>
      <w:pPr>
        <w:tabs>
          <w:tab w:val="num" w:pos="3600"/>
        </w:tabs>
        <w:ind w:left="3600" w:hanging="360"/>
      </w:pPr>
      <w:rPr>
        <w:rFonts w:ascii="Arial" w:hAnsi="Arial" w:hint="default"/>
      </w:rPr>
    </w:lvl>
    <w:lvl w:ilvl="5" w:tplc="B2502958" w:tentative="1">
      <w:start w:val="1"/>
      <w:numFmt w:val="bullet"/>
      <w:lvlText w:val="•"/>
      <w:lvlJc w:val="left"/>
      <w:pPr>
        <w:tabs>
          <w:tab w:val="num" w:pos="4320"/>
        </w:tabs>
        <w:ind w:left="4320" w:hanging="360"/>
      </w:pPr>
      <w:rPr>
        <w:rFonts w:ascii="Arial" w:hAnsi="Arial" w:hint="default"/>
      </w:rPr>
    </w:lvl>
    <w:lvl w:ilvl="6" w:tplc="62C6A440" w:tentative="1">
      <w:start w:val="1"/>
      <w:numFmt w:val="bullet"/>
      <w:lvlText w:val="•"/>
      <w:lvlJc w:val="left"/>
      <w:pPr>
        <w:tabs>
          <w:tab w:val="num" w:pos="5040"/>
        </w:tabs>
        <w:ind w:left="5040" w:hanging="360"/>
      </w:pPr>
      <w:rPr>
        <w:rFonts w:ascii="Arial" w:hAnsi="Arial" w:hint="default"/>
      </w:rPr>
    </w:lvl>
    <w:lvl w:ilvl="7" w:tplc="9DD213BA" w:tentative="1">
      <w:start w:val="1"/>
      <w:numFmt w:val="bullet"/>
      <w:lvlText w:val="•"/>
      <w:lvlJc w:val="left"/>
      <w:pPr>
        <w:tabs>
          <w:tab w:val="num" w:pos="5760"/>
        </w:tabs>
        <w:ind w:left="5760" w:hanging="360"/>
      </w:pPr>
      <w:rPr>
        <w:rFonts w:ascii="Arial" w:hAnsi="Arial" w:hint="default"/>
      </w:rPr>
    </w:lvl>
    <w:lvl w:ilvl="8" w:tplc="3C7E1E72" w:tentative="1">
      <w:start w:val="1"/>
      <w:numFmt w:val="bullet"/>
      <w:lvlText w:val="•"/>
      <w:lvlJc w:val="left"/>
      <w:pPr>
        <w:tabs>
          <w:tab w:val="num" w:pos="6480"/>
        </w:tabs>
        <w:ind w:left="6480" w:hanging="360"/>
      </w:pPr>
      <w:rPr>
        <w:rFonts w:ascii="Arial" w:hAnsi="Arial" w:hint="default"/>
      </w:rPr>
    </w:lvl>
  </w:abstractNum>
  <w:abstractNum w:abstractNumId="29">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75FC0DDC"/>
    <w:multiLevelType w:val="hybridMultilevel"/>
    <w:tmpl w:val="D766E370"/>
    <w:lvl w:ilvl="0" w:tplc="95AED278">
      <w:start w:val="1"/>
      <w:numFmt w:val="lowerLetter"/>
      <w:lvlText w:val="%1."/>
      <w:lvlJc w:val="left"/>
      <w:pPr>
        <w:ind w:left="530" w:hanging="360"/>
      </w:pPr>
      <w:rPr>
        <w:rFonts w:hint="default"/>
      </w:rPr>
    </w:lvl>
    <w:lvl w:ilvl="1" w:tplc="240A0019" w:tentative="1">
      <w:start w:val="1"/>
      <w:numFmt w:val="lowerLetter"/>
      <w:lvlText w:val="%2."/>
      <w:lvlJc w:val="left"/>
      <w:pPr>
        <w:ind w:left="1250" w:hanging="360"/>
      </w:pPr>
    </w:lvl>
    <w:lvl w:ilvl="2" w:tplc="240A001B" w:tentative="1">
      <w:start w:val="1"/>
      <w:numFmt w:val="lowerRoman"/>
      <w:lvlText w:val="%3."/>
      <w:lvlJc w:val="right"/>
      <w:pPr>
        <w:ind w:left="1970" w:hanging="180"/>
      </w:pPr>
    </w:lvl>
    <w:lvl w:ilvl="3" w:tplc="240A000F" w:tentative="1">
      <w:start w:val="1"/>
      <w:numFmt w:val="decimal"/>
      <w:lvlText w:val="%4."/>
      <w:lvlJc w:val="left"/>
      <w:pPr>
        <w:ind w:left="2690" w:hanging="360"/>
      </w:pPr>
    </w:lvl>
    <w:lvl w:ilvl="4" w:tplc="240A0019" w:tentative="1">
      <w:start w:val="1"/>
      <w:numFmt w:val="lowerLetter"/>
      <w:lvlText w:val="%5."/>
      <w:lvlJc w:val="left"/>
      <w:pPr>
        <w:ind w:left="3410" w:hanging="360"/>
      </w:pPr>
    </w:lvl>
    <w:lvl w:ilvl="5" w:tplc="240A001B" w:tentative="1">
      <w:start w:val="1"/>
      <w:numFmt w:val="lowerRoman"/>
      <w:lvlText w:val="%6."/>
      <w:lvlJc w:val="right"/>
      <w:pPr>
        <w:ind w:left="4130" w:hanging="180"/>
      </w:pPr>
    </w:lvl>
    <w:lvl w:ilvl="6" w:tplc="240A000F" w:tentative="1">
      <w:start w:val="1"/>
      <w:numFmt w:val="decimal"/>
      <w:lvlText w:val="%7."/>
      <w:lvlJc w:val="left"/>
      <w:pPr>
        <w:ind w:left="4850" w:hanging="360"/>
      </w:pPr>
    </w:lvl>
    <w:lvl w:ilvl="7" w:tplc="240A0019" w:tentative="1">
      <w:start w:val="1"/>
      <w:numFmt w:val="lowerLetter"/>
      <w:lvlText w:val="%8."/>
      <w:lvlJc w:val="left"/>
      <w:pPr>
        <w:ind w:left="5570" w:hanging="360"/>
      </w:pPr>
    </w:lvl>
    <w:lvl w:ilvl="8" w:tplc="240A001B" w:tentative="1">
      <w:start w:val="1"/>
      <w:numFmt w:val="lowerRoman"/>
      <w:lvlText w:val="%9."/>
      <w:lvlJc w:val="right"/>
      <w:pPr>
        <w:ind w:left="6290" w:hanging="180"/>
      </w:pPr>
    </w:lvl>
  </w:abstractNum>
  <w:abstractNum w:abstractNumId="31">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2">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7B6A5BBE"/>
    <w:multiLevelType w:val="hybridMultilevel"/>
    <w:tmpl w:val="6FC8D6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8"/>
  </w:num>
  <w:num w:numId="2">
    <w:abstractNumId w:val="3"/>
  </w:num>
  <w:num w:numId="3">
    <w:abstractNumId w:val="31"/>
  </w:num>
  <w:num w:numId="4">
    <w:abstractNumId w:val="10"/>
  </w:num>
  <w:num w:numId="5">
    <w:abstractNumId w:val="22"/>
  </w:num>
  <w:num w:numId="6">
    <w:abstractNumId w:val="1"/>
  </w:num>
  <w:num w:numId="7">
    <w:abstractNumId w:val="0"/>
  </w:num>
  <w:num w:numId="8">
    <w:abstractNumId w:val="25"/>
  </w:num>
  <w:num w:numId="9">
    <w:abstractNumId w:val="23"/>
  </w:num>
  <w:num w:numId="10">
    <w:abstractNumId w:val="19"/>
  </w:num>
  <w:num w:numId="11">
    <w:abstractNumId w:val="32"/>
  </w:num>
  <w:num w:numId="12">
    <w:abstractNumId w:val="29"/>
  </w:num>
  <w:num w:numId="13">
    <w:abstractNumId w:val="15"/>
  </w:num>
  <w:num w:numId="14">
    <w:abstractNumId w:val="5"/>
  </w:num>
  <w:num w:numId="15">
    <w:abstractNumId w:val="9"/>
  </w:num>
  <w:num w:numId="16">
    <w:abstractNumId w:val="8"/>
  </w:num>
  <w:num w:numId="17">
    <w:abstractNumId w:val="17"/>
  </w:num>
  <w:num w:numId="18">
    <w:abstractNumId w:val="27"/>
  </w:num>
  <w:num w:numId="19">
    <w:abstractNumId w:val="14"/>
  </w:num>
  <w:num w:numId="20">
    <w:abstractNumId w:val="16"/>
  </w:num>
  <w:num w:numId="21">
    <w:abstractNumId w:val="4"/>
  </w:num>
  <w:num w:numId="22">
    <w:abstractNumId w:val="20"/>
  </w:num>
  <w:num w:numId="23">
    <w:abstractNumId w:val="30"/>
  </w:num>
  <w:num w:numId="24">
    <w:abstractNumId w:val="26"/>
  </w:num>
  <w:num w:numId="25">
    <w:abstractNumId w:val="13"/>
  </w:num>
  <w:num w:numId="26">
    <w:abstractNumId w:val="11"/>
  </w:num>
  <w:num w:numId="27">
    <w:abstractNumId w:val="12"/>
  </w:num>
  <w:num w:numId="28">
    <w:abstractNumId w:val="21"/>
  </w:num>
  <w:num w:numId="29">
    <w:abstractNumId w:val="7"/>
  </w:num>
  <w:num w:numId="30">
    <w:abstractNumId w:val="28"/>
  </w:num>
  <w:num w:numId="31">
    <w:abstractNumId w:val="2"/>
  </w:num>
  <w:num w:numId="32">
    <w:abstractNumId w:val="6"/>
  </w:num>
  <w:num w:numId="33">
    <w:abstractNumId w:val="24"/>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6AE2"/>
    <w:rsid w:val="000076A1"/>
    <w:rsid w:val="000170F4"/>
    <w:rsid w:val="00017C80"/>
    <w:rsid w:val="00025383"/>
    <w:rsid w:val="00026980"/>
    <w:rsid w:val="000374C7"/>
    <w:rsid w:val="00045A70"/>
    <w:rsid w:val="00047121"/>
    <w:rsid w:val="00052EE6"/>
    <w:rsid w:val="00063657"/>
    <w:rsid w:val="00063AC9"/>
    <w:rsid w:val="000660F1"/>
    <w:rsid w:val="000701C5"/>
    <w:rsid w:val="000712C5"/>
    <w:rsid w:val="00073C48"/>
    <w:rsid w:val="00076643"/>
    <w:rsid w:val="00076680"/>
    <w:rsid w:val="00077A2B"/>
    <w:rsid w:val="0008073E"/>
    <w:rsid w:val="00083389"/>
    <w:rsid w:val="00083603"/>
    <w:rsid w:val="00087F5F"/>
    <w:rsid w:val="00091CDB"/>
    <w:rsid w:val="000A19AC"/>
    <w:rsid w:val="000A1F5E"/>
    <w:rsid w:val="000C4E08"/>
    <w:rsid w:val="000C6857"/>
    <w:rsid w:val="000C6AAC"/>
    <w:rsid w:val="000D1DDF"/>
    <w:rsid w:val="000D26F8"/>
    <w:rsid w:val="000D55D5"/>
    <w:rsid w:val="000D5E22"/>
    <w:rsid w:val="000E4BA9"/>
    <w:rsid w:val="00112D58"/>
    <w:rsid w:val="00115262"/>
    <w:rsid w:val="00117EE2"/>
    <w:rsid w:val="001232CD"/>
    <w:rsid w:val="00123F54"/>
    <w:rsid w:val="001332AC"/>
    <w:rsid w:val="00136A8E"/>
    <w:rsid w:val="001405C6"/>
    <w:rsid w:val="00141013"/>
    <w:rsid w:val="00145B53"/>
    <w:rsid w:val="00162B93"/>
    <w:rsid w:val="00163797"/>
    <w:rsid w:val="00165352"/>
    <w:rsid w:val="00167D13"/>
    <w:rsid w:val="00184AA7"/>
    <w:rsid w:val="00190880"/>
    <w:rsid w:val="00192CBF"/>
    <w:rsid w:val="00192FF1"/>
    <w:rsid w:val="001972AD"/>
    <w:rsid w:val="001A18CE"/>
    <w:rsid w:val="001A5F1B"/>
    <w:rsid w:val="001A758C"/>
    <w:rsid w:val="001B1C22"/>
    <w:rsid w:val="001B34C6"/>
    <w:rsid w:val="001C5355"/>
    <w:rsid w:val="001D7832"/>
    <w:rsid w:val="001E360D"/>
    <w:rsid w:val="001E6C65"/>
    <w:rsid w:val="001F17FF"/>
    <w:rsid w:val="001F77E4"/>
    <w:rsid w:val="001F780F"/>
    <w:rsid w:val="002073B8"/>
    <w:rsid w:val="00211D34"/>
    <w:rsid w:val="00214F04"/>
    <w:rsid w:val="002207BD"/>
    <w:rsid w:val="00227116"/>
    <w:rsid w:val="00230318"/>
    <w:rsid w:val="0023309C"/>
    <w:rsid w:val="00241FF5"/>
    <w:rsid w:val="0024490F"/>
    <w:rsid w:val="0025652B"/>
    <w:rsid w:val="00266CD6"/>
    <w:rsid w:val="0027240C"/>
    <w:rsid w:val="002725F5"/>
    <w:rsid w:val="00277793"/>
    <w:rsid w:val="002852CB"/>
    <w:rsid w:val="00286AB0"/>
    <w:rsid w:val="0029375D"/>
    <w:rsid w:val="002A2365"/>
    <w:rsid w:val="002B11E2"/>
    <w:rsid w:val="002B1E8F"/>
    <w:rsid w:val="002B24B8"/>
    <w:rsid w:val="002B45E3"/>
    <w:rsid w:val="002B5BBE"/>
    <w:rsid w:val="002C04A7"/>
    <w:rsid w:val="002C24A8"/>
    <w:rsid w:val="002D375C"/>
    <w:rsid w:val="002D3AE9"/>
    <w:rsid w:val="002D5E14"/>
    <w:rsid w:val="002E4FCA"/>
    <w:rsid w:val="002F05A4"/>
    <w:rsid w:val="002F0734"/>
    <w:rsid w:val="002F46E7"/>
    <w:rsid w:val="002F5196"/>
    <w:rsid w:val="002F768A"/>
    <w:rsid w:val="0030405F"/>
    <w:rsid w:val="00305611"/>
    <w:rsid w:val="003101DA"/>
    <w:rsid w:val="00314757"/>
    <w:rsid w:val="003211CE"/>
    <w:rsid w:val="003309B3"/>
    <w:rsid w:val="00336D06"/>
    <w:rsid w:val="00350ECC"/>
    <w:rsid w:val="003614EC"/>
    <w:rsid w:val="0036394B"/>
    <w:rsid w:val="003709B5"/>
    <w:rsid w:val="0037171B"/>
    <w:rsid w:val="003759C2"/>
    <w:rsid w:val="003821A8"/>
    <w:rsid w:val="00387B9C"/>
    <w:rsid w:val="00397365"/>
    <w:rsid w:val="003A18EB"/>
    <w:rsid w:val="003A31F6"/>
    <w:rsid w:val="003B3FC7"/>
    <w:rsid w:val="003B6778"/>
    <w:rsid w:val="003C3447"/>
    <w:rsid w:val="003C6DD4"/>
    <w:rsid w:val="003D076C"/>
    <w:rsid w:val="003D2C3F"/>
    <w:rsid w:val="003E555D"/>
    <w:rsid w:val="00401AB2"/>
    <w:rsid w:val="004028F3"/>
    <w:rsid w:val="00414B60"/>
    <w:rsid w:val="00415BAB"/>
    <w:rsid w:val="00415ED2"/>
    <w:rsid w:val="004216F3"/>
    <w:rsid w:val="0042186E"/>
    <w:rsid w:val="00434D05"/>
    <w:rsid w:val="00435ACA"/>
    <w:rsid w:val="00442C7E"/>
    <w:rsid w:val="00443E1F"/>
    <w:rsid w:val="00445707"/>
    <w:rsid w:val="00446C8B"/>
    <w:rsid w:val="00447D79"/>
    <w:rsid w:val="0045003B"/>
    <w:rsid w:val="0046483A"/>
    <w:rsid w:val="00465A28"/>
    <w:rsid w:val="00466996"/>
    <w:rsid w:val="00467C0B"/>
    <w:rsid w:val="0047122B"/>
    <w:rsid w:val="00473B7A"/>
    <w:rsid w:val="004820DB"/>
    <w:rsid w:val="00483093"/>
    <w:rsid w:val="00484E2D"/>
    <w:rsid w:val="004A1CF6"/>
    <w:rsid w:val="004A2E88"/>
    <w:rsid w:val="004A5305"/>
    <w:rsid w:val="004A63E2"/>
    <w:rsid w:val="004C0F0C"/>
    <w:rsid w:val="004C2C99"/>
    <w:rsid w:val="004D45B7"/>
    <w:rsid w:val="004D7634"/>
    <w:rsid w:val="004E15CF"/>
    <w:rsid w:val="004F70F0"/>
    <w:rsid w:val="005300D3"/>
    <w:rsid w:val="00544F82"/>
    <w:rsid w:val="0055084E"/>
    <w:rsid w:val="00556C45"/>
    <w:rsid w:val="00556CF9"/>
    <w:rsid w:val="00556FDF"/>
    <w:rsid w:val="00561715"/>
    <w:rsid w:val="0056476A"/>
    <w:rsid w:val="005748E9"/>
    <w:rsid w:val="00593C4F"/>
    <w:rsid w:val="005946A8"/>
    <w:rsid w:val="00597E59"/>
    <w:rsid w:val="005A1A8D"/>
    <w:rsid w:val="005A4407"/>
    <w:rsid w:val="005A59EF"/>
    <w:rsid w:val="005B5BE4"/>
    <w:rsid w:val="005B78A9"/>
    <w:rsid w:val="005D6AF6"/>
    <w:rsid w:val="005F4957"/>
    <w:rsid w:val="0060237D"/>
    <w:rsid w:val="00617704"/>
    <w:rsid w:val="00623B3E"/>
    <w:rsid w:val="00625DC6"/>
    <w:rsid w:val="00651821"/>
    <w:rsid w:val="00653557"/>
    <w:rsid w:val="00654384"/>
    <w:rsid w:val="006553DA"/>
    <w:rsid w:val="00657CD2"/>
    <w:rsid w:val="00663D20"/>
    <w:rsid w:val="006675CD"/>
    <w:rsid w:val="0067106A"/>
    <w:rsid w:val="006710AF"/>
    <w:rsid w:val="00684D9B"/>
    <w:rsid w:val="00687C56"/>
    <w:rsid w:val="00697556"/>
    <w:rsid w:val="006A2E15"/>
    <w:rsid w:val="006A6322"/>
    <w:rsid w:val="006B4C2B"/>
    <w:rsid w:val="006B6D47"/>
    <w:rsid w:val="006C02AF"/>
    <w:rsid w:val="006C3E12"/>
    <w:rsid w:val="006C6918"/>
    <w:rsid w:val="006C6CE8"/>
    <w:rsid w:val="006C7F7B"/>
    <w:rsid w:val="006D16E5"/>
    <w:rsid w:val="006E0F1B"/>
    <w:rsid w:val="006F08E2"/>
    <w:rsid w:val="006F5186"/>
    <w:rsid w:val="006F6D95"/>
    <w:rsid w:val="006F7AAC"/>
    <w:rsid w:val="0070015E"/>
    <w:rsid w:val="00706AA0"/>
    <w:rsid w:val="00706F13"/>
    <w:rsid w:val="007072E8"/>
    <w:rsid w:val="00712417"/>
    <w:rsid w:val="0071618D"/>
    <w:rsid w:val="00722C2D"/>
    <w:rsid w:val="00725BA4"/>
    <w:rsid w:val="00725FA4"/>
    <w:rsid w:val="00726C1D"/>
    <w:rsid w:val="00740446"/>
    <w:rsid w:val="007438A9"/>
    <w:rsid w:val="0074491E"/>
    <w:rsid w:val="00751664"/>
    <w:rsid w:val="00755783"/>
    <w:rsid w:val="00772693"/>
    <w:rsid w:val="00775964"/>
    <w:rsid w:val="007763DC"/>
    <w:rsid w:val="00776C34"/>
    <w:rsid w:val="007809FF"/>
    <w:rsid w:val="00783120"/>
    <w:rsid w:val="00795BFB"/>
    <w:rsid w:val="00796B49"/>
    <w:rsid w:val="007A0F0E"/>
    <w:rsid w:val="007A4672"/>
    <w:rsid w:val="007A540F"/>
    <w:rsid w:val="007A6A98"/>
    <w:rsid w:val="007B2760"/>
    <w:rsid w:val="007B30C4"/>
    <w:rsid w:val="007C2921"/>
    <w:rsid w:val="007C3AAF"/>
    <w:rsid w:val="007E379B"/>
    <w:rsid w:val="007E5258"/>
    <w:rsid w:val="008000C4"/>
    <w:rsid w:val="00806C01"/>
    <w:rsid w:val="0081464F"/>
    <w:rsid w:val="008148CC"/>
    <w:rsid w:val="008211A4"/>
    <w:rsid w:val="0083440D"/>
    <w:rsid w:val="00842572"/>
    <w:rsid w:val="00843511"/>
    <w:rsid w:val="0084375E"/>
    <w:rsid w:val="00847B66"/>
    <w:rsid w:val="0086555D"/>
    <w:rsid w:val="00873150"/>
    <w:rsid w:val="0087657D"/>
    <w:rsid w:val="008807D5"/>
    <w:rsid w:val="00880832"/>
    <w:rsid w:val="00880C11"/>
    <w:rsid w:val="0088221A"/>
    <w:rsid w:val="00886EE1"/>
    <w:rsid w:val="0088727D"/>
    <w:rsid w:val="00891BA1"/>
    <w:rsid w:val="00897C75"/>
    <w:rsid w:val="008A49CF"/>
    <w:rsid w:val="008D0D1C"/>
    <w:rsid w:val="008D13AD"/>
    <w:rsid w:val="008D18E6"/>
    <w:rsid w:val="008D469B"/>
    <w:rsid w:val="008D54D1"/>
    <w:rsid w:val="008D55B6"/>
    <w:rsid w:val="008D7A9B"/>
    <w:rsid w:val="008F21F6"/>
    <w:rsid w:val="008F3710"/>
    <w:rsid w:val="008F3D28"/>
    <w:rsid w:val="008F755E"/>
    <w:rsid w:val="00901A6A"/>
    <w:rsid w:val="00902045"/>
    <w:rsid w:val="0092615A"/>
    <w:rsid w:val="00936470"/>
    <w:rsid w:val="00944E6A"/>
    <w:rsid w:val="00946888"/>
    <w:rsid w:val="00951F79"/>
    <w:rsid w:val="009551E2"/>
    <w:rsid w:val="00974AB5"/>
    <w:rsid w:val="0098706D"/>
    <w:rsid w:val="00987432"/>
    <w:rsid w:val="0099021D"/>
    <w:rsid w:val="00992C0E"/>
    <w:rsid w:val="009935FB"/>
    <w:rsid w:val="009C71C5"/>
    <w:rsid w:val="009C7370"/>
    <w:rsid w:val="009C76E6"/>
    <w:rsid w:val="009D0419"/>
    <w:rsid w:val="009D1513"/>
    <w:rsid w:val="009D5D24"/>
    <w:rsid w:val="009E03F7"/>
    <w:rsid w:val="009E3C14"/>
    <w:rsid w:val="009F062B"/>
    <w:rsid w:val="009F366C"/>
    <w:rsid w:val="009F4A54"/>
    <w:rsid w:val="009F4BEC"/>
    <w:rsid w:val="009F4CD4"/>
    <w:rsid w:val="00A10EC2"/>
    <w:rsid w:val="00A2078C"/>
    <w:rsid w:val="00A23EFD"/>
    <w:rsid w:val="00A25248"/>
    <w:rsid w:val="00A25FD7"/>
    <w:rsid w:val="00A33EC9"/>
    <w:rsid w:val="00A43AFF"/>
    <w:rsid w:val="00A50220"/>
    <w:rsid w:val="00A63D69"/>
    <w:rsid w:val="00A7793A"/>
    <w:rsid w:val="00A81615"/>
    <w:rsid w:val="00A91BB2"/>
    <w:rsid w:val="00AA5706"/>
    <w:rsid w:val="00AB1B29"/>
    <w:rsid w:val="00AB6AB7"/>
    <w:rsid w:val="00AD01E4"/>
    <w:rsid w:val="00AD0858"/>
    <w:rsid w:val="00AD0E56"/>
    <w:rsid w:val="00AD526C"/>
    <w:rsid w:val="00AE7340"/>
    <w:rsid w:val="00AF1BBD"/>
    <w:rsid w:val="00B00479"/>
    <w:rsid w:val="00B10207"/>
    <w:rsid w:val="00B138CD"/>
    <w:rsid w:val="00B141E7"/>
    <w:rsid w:val="00B144FC"/>
    <w:rsid w:val="00B25763"/>
    <w:rsid w:val="00B46BCA"/>
    <w:rsid w:val="00B6218D"/>
    <w:rsid w:val="00B63E79"/>
    <w:rsid w:val="00B67AC2"/>
    <w:rsid w:val="00B87806"/>
    <w:rsid w:val="00B87EC9"/>
    <w:rsid w:val="00B9127F"/>
    <w:rsid w:val="00B9736B"/>
    <w:rsid w:val="00B978DC"/>
    <w:rsid w:val="00BA4817"/>
    <w:rsid w:val="00BC28AA"/>
    <w:rsid w:val="00BC38FD"/>
    <w:rsid w:val="00BE2A9B"/>
    <w:rsid w:val="00BE3449"/>
    <w:rsid w:val="00BE3502"/>
    <w:rsid w:val="00C00B83"/>
    <w:rsid w:val="00C034CB"/>
    <w:rsid w:val="00C051A8"/>
    <w:rsid w:val="00C054BC"/>
    <w:rsid w:val="00C07B6B"/>
    <w:rsid w:val="00C16B95"/>
    <w:rsid w:val="00C17897"/>
    <w:rsid w:val="00C219A0"/>
    <w:rsid w:val="00C35A52"/>
    <w:rsid w:val="00C409D5"/>
    <w:rsid w:val="00C532BD"/>
    <w:rsid w:val="00C60705"/>
    <w:rsid w:val="00C60926"/>
    <w:rsid w:val="00C61EF3"/>
    <w:rsid w:val="00C6234B"/>
    <w:rsid w:val="00C63EAE"/>
    <w:rsid w:val="00C73897"/>
    <w:rsid w:val="00C750CA"/>
    <w:rsid w:val="00C7629F"/>
    <w:rsid w:val="00C76CBA"/>
    <w:rsid w:val="00C8661B"/>
    <w:rsid w:val="00C90E95"/>
    <w:rsid w:val="00C91049"/>
    <w:rsid w:val="00C93E07"/>
    <w:rsid w:val="00CA139A"/>
    <w:rsid w:val="00CA1B9D"/>
    <w:rsid w:val="00CA2107"/>
    <w:rsid w:val="00CA2899"/>
    <w:rsid w:val="00CA3103"/>
    <w:rsid w:val="00CA4006"/>
    <w:rsid w:val="00CA6136"/>
    <w:rsid w:val="00CA77FB"/>
    <w:rsid w:val="00CB1C0B"/>
    <w:rsid w:val="00CB26E6"/>
    <w:rsid w:val="00CB379B"/>
    <w:rsid w:val="00CB5DD0"/>
    <w:rsid w:val="00CC22AB"/>
    <w:rsid w:val="00CC2BBE"/>
    <w:rsid w:val="00CC51D4"/>
    <w:rsid w:val="00CC5A42"/>
    <w:rsid w:val="00CC65DA"/>
    <w:rsid w:val="00CD08B3"/>
    <w:rsid w:val="00CD37DB"/>
    <w:rsid w:val="00CD4C08"/>
    <w:rsid w:val="00CD5AF2"/>
    <w:rsid w:val="00CE1D9C"/>
    <w:rsid w:val="00CE74EE"/>
    <w:rsid w:val="00CF032A"/>
    <w:rsid w:val="00CF1096"/>
    <w:rsid w:val="00CF21B9"/>
    <w:rsid w:val="00CF3DB0"/>
    <w:rsid w:val="00CF57CB"/>
    <w:rsid w:val="00CF6BF9"/>
    <w:rsid w:val="00D00D11"/>
    <w:rsid w:val="00D0251E"/>
    <w:rsid w:val="00D03800"/>
    <w:rsid w:val="00D065D3"/>
    <w:rsid w:val="00D0698C"/>
    <w:rsid w:val="00D10034"/>
    <w:rsid w:val="00D14C94"/>
    <w:rsid w:val="00D26540"/>
    <w:rsid w:val="00D271EE"/>
    <w:rsid w:val="00D342A6"/>
    <w:rsid w:val="00D431F0"/>
    <w:rsid w:val="00D464BF"/>
    <w:rsid w:val="00D53E26"/>
    <w:rsid w:val="00D57B58"/>
    <w:rsid w:val="00D63F9E"/>
    <w:rsid w:val="00D70055"/>
    <w:rsid w:val="00D74143"/>
    <w:rsid w:val="00D84580"/>
    <w:rsid w:val="00DA0098"/>
    <w:rsid w:val="00DA2ED6"/>
    <w:rsid w:val="00DC2D8D"/>
    <w:rsid w:val="00DD4F0E"/>
    <w:rsid w:val="00DD7CE1"/>
    <w:rsid w:val="00E05E0A"/>
    <w:rsid w:val="00E10FCD"/>
    <w:rsid w:val="00E13AD0"/>
    <w:rsid w:val="00E2754D"/>
    <w:rsid w:val="00E36613"/>
    <w:rsid w:val="00E534CF"/>
    <w:rsid w:val="00E60327"/>
    <w:rsid w:val="00E6127B"/>
    <w:rsid w:val="00E64AB7"/>
    <w:rsid w:val="00E7010B"/>
    <w:rsid w:val="00E70DAB"/>
    <w:rsid w:val="00E70E93"/>
    <w:rsid w:val="00E81CB4"/>
    <w:rsid w:val="00E8432B"/>
    <w:rsid w:val="00E8585B"/>
    <w:rsid w:val="00E917A3"/>
    <w:rsid w:val="00E97C67"/>
    <w:rsid w:val="00EA3F15"/>
    <w:rsid w:val="00EA7847"/>
    <w:rsid w:val="00EB3A2D"/>
    <w:rsid w:val="00EC1A6D"/>
    <w:rsid w:val="00EC5120"/>
    <w:rsid w:val="00ED28F7"/>
    <w:rsid w:val="00EE0A5F"/>
    <w:rsid w:val="00EE2E6E"/>
    <w:rsid w:val="00EE731E"/>
    <w:rsid w:val="00EF401F"/>
    <w:rsid w:val="00F0218F"/>
    <w:rsid w:val="00F0759E"/>
    <w:rsid w:val="00F171C4"/>
    <w:rsid w:val="00F31DF3"/>
    <w:rsid w:val="00F4428F"/>
    <w:rsid w:val="00F514F1"/>
    <w:rsid w:val="00F63CF5"/>
    <w:rsid w:val="00F666E8"/>
    <w:rsid w:val="00F73086"/>
    <w:rsid w:val="00F7411A"/>
    <w:rsid w:val="00F763C8"/>
    <w:rsid w:val="00F821A3"/>
    <w:rsid w:val="00F82508"/>
    <w:rsid w:val="00F86BD2"/>
    <w:rsid w:val="00F9314A"/>
    <w:rsid w:val="00FA15B4"/>
    <w:rsid w:val="00FA5375"/>
    <w:rsid w:val="00FA5C8E"/>
    <w:rsid w:val="00FB7F69"/>
    <w:rsid w:val="00FC5499"/>
    <w:rsid w:val="00FC58EF"/>
    <w:rsid w:val="00FC5982"/>
    <w:rsid w:val="00FD0329"/>
    <w:rsid w:val="00FD33DF"/>
    <w:rsid w:val="00FE2A94"/>
    <w:rsid w:val="00FE39D7"/>
    <w:rsid w:val="00FE6739"/>
    <w:rsid w:val="00FE723F"/>
    <w:rsid w:val="00FF48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101DA"/>
    <w:pPr>
      <w:tabs>
        <w:tab w:val="center" w:pos="4252"/>
        <w:tab w:val="right" w:pos="8504"/>
      </w:tabs>
    </w:pPr>
    <w:rPr>
      <w:rFonts w:ascii="CG Times" w:hAnsi="CG Times"/>
      <w:szCs w:val="20"/>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styleId="Hipervnculo">
    <w:name w:val="Hyperlink"/>
    <w:basedOn w:val="Fuentedeprrafopredeter"/>
    <w:uiPriority w:val="99"/>
    <w:unhideWhenUsed/>
    <w:rsid w:val="0083440D"/>
    <w:rPr>
      <w:color w:val="0000FF"/>
      <w:u w:val="single"/>
    </w:rPr>
  </w:style>
  <w:style w:type="character" w:customStyle="1" w:styleId="textotitulonorma">
    <w:name w:val="textotitulonorma"/>
    <w:basedOn w:val="Fuentedeprrafopredeter"/>
    <w:rsid w:val="0083440D"/>
  </w:style>
  <w:style w:type="paragraph" w:customStyle="1" w:styleId="Car">
    <w:name w:val="Car"/>
    <w:basedOn w:val="Normal"/>
    <w:rsid w:val="00944E6A"/>
    <w:pPr>
      <w:spacing w:after="160" w:line="240" w:lineRule="exact"/>
      <w:ind w:left="0"/>
    </w:pPr>
    <w:rPr>
      <w:noProof/>
      <w:color w:val="000000"/>
      <w:sz w:val="20"/>
      <w:szCs w:val="20"/>
      <w:lang w:val="es-CO"/>
    </w:rPr>
  </w:style>
  <w:style w:type="paragraph" w:styleId="NormalWeb">
    <w:name w:val="Normal (Web)"/>
    <w:basedOn w:val="Normal"/>
    <w:uiPriority w:val="99"/>
    <w:unhideWhenUsed/>
    <w:rsid w:val="007809FF"/>
    <w:pPr>
      <w:spacing w:before="100" w:beforeAutospacing="1" w:after="100" w:afterAutospacing="1"/>
      <w:ind w:left="0"/>
    </w:pPr>
    <w:rPr>
      <w:lang w:val="es-CO" w:eastAsia="es-CO"/>
    </w:rPr>
  </w:style>
  <w:style w:type="paragraph" w:customStyle="1" w:styleId="Default">
    <w:name w:val="Default"/>
    <w:rsid w:val="00755783"/>
    <w:pPr>
      <w:autoSpaceDE w:val="0"/>
      <w:autoSpaceDN w:val="0"/>
      <w:adjustRightInd w:val="0"/>
    </w:pPr>
    <w:rPr>
      <w:rFonts w:ascii="Arial" w:eastAsiaTheme="minorHAnsi" w:hAnsi="Arial" w:cs="Arial"/>
      <w:color w:val="000000"/>
      <w:sz w:val="24"/>
      <w:szCs w:val="24"/>
      <w:lang w:val="es-CO" w:eastAsia="en-US"/>
    </w:rPr>
  </w:style>
  <w:style w:type="character" w:customStyle="1" w:styleId="PiedepginaCar">
    <w:name w:val="Pie de página Car"/>
    <w:basedOn w:val="Fuentedeprrafopredeter"/>
    <w:link w:val="Piedepgina"/>
    <w:uiPriority w:val="99"/>
    <w:rsid w:val="004216F3"/>
    <w:rPr>
      <w:sz w:val="24"/>
      <w:szCs w:val="24"/>
    </w:rPr>
  </w:style>
  <w:style w:type="paragraph" w:styleId="Textonotapie">
    <w:name w:val="footnote text"/>
    <w:basedOn w:val="Normal"/>
    <w:link w:val="TextonotapieCar"/>
    <w:uiPriority w:val="99"/>
    <w:semiHidden/>
    <w:unhideWhenUsed/>
    <w:rsid w:val="00FB7F69"/>
    <w:rPr>
      <w:sz w:val="20"/>
      <w:szCs w:val="20"/>
    </w:rPr>
  </w:style>
  <w:style w:type="character" w:customStyle="1" w:styleId="TextonotapieCar">
    <w:name w:val="Texto nota pie Car"/>
    <w:basedOn w:val="Fuentedeprrafopredeter"/>
    <w:link w:val="Textonotapie"/>
    <w:uiPriority w:val="99"/>
    <w:semiHidden/>
    <w:rsid w:val="00FB7F69"/>
  </w:style>
  <w:style w:type="character" w:styleId="Refdenotaalpie">
    <w:name w:val="footnote reference"/>
    <w:basedOn w:val="Fuentedeprrafopredeter"/>
    <w:uiPriority w:val="99"/>
    <w:semiHidden/>
    <w:unhideWhenUsed/>
    <w:rsid w:val="00FB7F6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101DA"/>
    <w:pPr>
      <w:tabs>
        <w:tab w:val="center" w:pos="4252"/>
        <w:tab w:val="right" w:pos="8504"/>
      </w:tabs>
    </w:pPr>
    <w:rPr>
      <w:rFonts w:ascii="CG Times" w:hAnsi="CG Times"/>
      <w:szCs w:val="20"/>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styleId="Hipervnculo">
    <w:name w:val="Hyperlink"/>
    <w:basedOn w:val="Fuentedeprrafopredeter"/>
    <w:uiPriority w:val="99"/>
    <w:unhideWhenUsed/>
    <w:rsid w:val="0083440D"/>
    <w:rPr>
      <w:color w:val="0000FF"/>
      <w:u w:val="single"/>
    </w:rPr>
  </w:style>
  <w:style w:type="character" w:customStyle="1" w:styleId="textotitulonorma">
    <w:name w:val="textotitulonorma"/>
    <w:basedOn w:val="Fuentedeprrafopredeter"/>
    <w:rsid w:val="0083440D"/>
  </w:style>
  <w:style w:type="paragraph" w:customStyle="1" w:styleId="Car">
    <w:name w:val="Car"/>
    <w:basedOn w:val="Normal"/>
    <w:rsid w:val="00944E6A"/>
    <w:pPr>
      <w:spacing w:after="160" w:line="240" w:lineRule="exact"/>
      <w:ind w:left="0"/>
    </w:pPr>
    <w:rPr>
      <w:noProof/>
      <w:color w:val="000000"/>
      <w:sz w:val="20"/>
      <w:szCs w:val="20"/>
      <w:lang w:val="es-CO"/>
    </w:rPr>
  </w:style>
  <w:style w:type="paragraph" w:styleId="NormalWeb">
    <w:name w:val="Normal (Web)"/>
    <w:basedOn w:val="Normal"/>
    <w:uiPriority w:val="99"/>
    <w:unhideWhenUsed/>
    <w:rsid w:val="007809FF"/>
    <w:pPr>
      <w:spacing w:before="100" w:beforeAutospacing="1" w:after="100" w:afterAutospacing="1"/>
      <w:ind w:left="0"/>
    </w:pPr>
    <w:rPr>
      <w:lang w:val="es-CO" w:eastAsia="es-CO"/>
    </w:rPr>
  </w:style>
  <w:style w:type="paragraph" w:customStyle="1" w:styleId="Default">
    <w:name w:val="Default"/>
    <w:rsid w:val="00755783"/>
    <w:pPr>
      <w:autoSpaceDE w:val="0"/>
      <w:autoSpaceDN w:val="0"/>
      <w:adjustRightInd w:val="0"/>
    </w:pPr>
    <w:rPr>
      <w:rFonts w:ascii="Arial" w:eastAsiaTheme="minorHAnsi" w:hAnsi="Arial" w:cs="Arial"/>
      <w:color w:val="000000"/>
      <w:sz w:val="24"/>
      <w:szCs w:val="24"/>
      <w:lang w:val="es-CO" w:eastAsia="en-US"/>
    </w:rPr>
  </w:style>
  <w:style w:type="character" w:customStyle="1" w:styleId="PiedepginaCar">
    <w:name w:val="Pie de página Car"/>
    <w:basedOn w:val="Fuentedeprrafopredeter"/>
    <w:link w:val="Piedepgina"/>
    <w:uiPriority w:val="99"/>
    <w:rsid w:val="004216F3"/>
    <w:rPr>
      <w:sz w:val="24"/>
      <w:szCs w:val="24"/>
    </w:rPr>
  </w:style>
  <w:style w:type="paragraph" w:styleId="Textonotapie">
    <w:name w:val="footnote text"/>
    <w:basedOn w:val="Normal"/>
    <w:link w:val="TextonotapieCar"/>
    <w:uiPriority w:val="99"/>
    <w:semiHidden/>
    <w:unhideWhenUsed/>
    <w:rsid w:val="00FB7F69"/>
    <w:rPr>
      <w:sz w:val="20"/>
      <w:szCs w:val="20"/>
    </w:rPr>
  </w:style>
  <w:style w:type="character" w:customStyle="1" w:styleId="TextonotapieCar">
    <w:name w:val="Texto nota pie Car"/>
    <w:basedOn w:val="Fuentedeprrafopredeter"/>
    <w:link w:val="Textonotapie"/>
    <w:uiPriority w:val="99"/>
    <w:semiHidden/>
    <w:rsid w:val="00FB7F69"/>
  </w:style>
  <w:style w:type="character" w:styleId="Refdenotaalpie">
    <w:name w:val="footnote reference"/>
    <w:basedOn w:val="Fuentedeprrafopredeter"/>
    <w:uiPriority w:val="99"/>
    <w:semiHidden/>
    <w:unhideWhenUsed/>
    <w:rsid w:val="00FB7F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2343">
      <w:bodyDiv w:val="1"/>
      <w:marLeft w:val="0"/>
      <w:marRight w:val="0"/>
      <w:marTop w:val="0"/>
      <w:marBottom w:val="0"/>
      <w:divBdr>
        <w:top w:val="none" w:sz="0" w:space="0" w:color="auto"/>
        <w:left w:val="none" w:sz="0" w:space="0" w:color="auto"/>
        <w:bottom w:val="none" w:sz="0" w:space="0" w:color="auto"/>
        <w:right w:val="none" w:sz="0" w:space="0" w:color="auto"/>
      </w:divBdr>
    </w:div>
    <w:div w:id="31268760">
      <w:bodyDiv w:val="1"/>
      <w:marLeft w:val="0"/>
      <w:marRight w:val="0"/>
      <w:marTop w:val="0"/>
      <w:marBottom w:val="0"/>
      <w:divBdr>
        <w:top w:val="none" w:sz="0" w:space="0" w:color="auto"/>
        <w:left w:val="none" w:sz="0" w:space="0" w:color="auto"/>
        <w:bottom w:val="none" w:sz="0" w:space="0" w:color="auto"/>
        <w:right w:val="none" w:sz="0" w:space="0" w:color="auto"/>
      </w:divBdr>
    </w:div>
    <w:div w:id="140655591">
      <w:bodyDiv w:val="1"/>
      <w:marLeft w:val="0"/>
      <w:marRight w:val="0"/>
      <w:marTop w:val="0"/>
      <w:marBottom w:val="0"/>
      <w:divBdr>
        <w:top w:val="none" w:sz="0" w:space="0" w:color="auto"/>
        <w:left w:val="none" w:sz="0" w:space="0" w:color="auto"/>
        <w:bottom w:val="none" w:sz="0" w:space="0" w:color="auto"/>
        <w:right w:val="none" w:sz="0" w:space="0" w:color="auto"/>
      </w:divBdr>
      <w:divsChild>
        <w:div w:id="210192809">
          <w:marLeft w:val="0"/>
          <w:marRight w:val="0"/>
          <w:marTop w:val="0"/>
          <w:marBottom w:val="0"/>
          <w:divBdr>
            <w:top w:val="none" w:sz="0" w:space="0" w:color="auto"/>
            <w:left w:val="none" w:sz="0" w:space="0" w:color="auto"/>
            <w:bottom w:val="none" w:sz="0" w:space="0" w:color="auto"/>
            <w:right w:val="none" w:sz="0" w:space="0" w:color="auto"/>
          </w:divBdr>
          <w:divsChild>
            <w:div w:id="174374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608026">
      <w:bodyDiv w:val="1"/>
      <w:marLeft w:val="0"/>
      <w:marRight w:val="0"/>
      <w:marTop w:val="0"/>
      <w:marBottom w:val="0"/>
      <w:divBdr>
        <w:top w:val="none" w:sz="0" w:space="0" w:color="auto"/>
        <w:left w:val="none" w:sz="0" w:space="0" w:color="auto"/>
        <w:bottom w:val="none" w:sz="0" w:space="0" w:color="auto"/>
        <w:right w:val="none" w:sz="0" w:space="0" w:color="auto"/>
      </w:divBdr>
      <w:divsChild>
        <w:div w:id="1169952349">
          <w:marLeft w:val="0"/>
          <w:marRight w:val="0"/>
          <w:marTop w:val="0"/>
          <w:marBottom w:val="0"/>
          <w:divBdr>
            <w:top w:val="none" w:sz="0" w:space="0" w:color="auto"/>
            <w:left w:val="none" w:sz="0" w:space="0" w:color="auto"/>
            <w:bottom w:val="none" w:sz="0" w:space="0" w:color="auto"/>
            <w:right w:val="none" w:sz="0" w:space="0" w:color="auto"/>
          </w:divBdr>
          <w:divsChild>
            <w:div w:id="51415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44985">
      <w:bodyDiv w:val="1"/>
      <w:marLeft w:val="0"/>
      <w:marRight w:val="0"/>
      <w:marTop w:val="0"/>
      <w:marBottom w:val="0"/>
      <w:divBdr>
        <w:top w:val="none" w:sz="0" w:space="0" w:color="auto"/>
        <w:left w:val="none" w:sz="0" w:space="0" w:color="auto"/>
        <w:bottom w:val="none" w:sz="0" w:space="0" w:color="auto"/>
        <w:right w:val="none" w:sz="0" w:space="0" w:color="auto"/>
      </w:divBdr>
    </w:div>
    <w:div w:id="439835475">
      <w:bodyDiv w:val="1"/>
      <w:marLeft w:val="0"/>
      <w:marRight w:val="0"/>
      <w:marTop w:val="0"/>
      <w:marBottom w:val="0"/>
      <w:divBdr>
        <w:top w:val="none" w:sz="0" w:space="0" w:color="auto"/>
        <w:left w:val="none" w:sz="0" w:space="0" w:color="auto"/>
        <w:bottom w:val="none" w:sz="0" w:space="0" w:color="auto"/>
        <w:right w:val="none" w:sz="0" w:space="0" w:color="auto"/>
      </w:divBdr>
    </w:div>
    <w:div w:id="446589047">
      <w:bodyDiv w:val="1"/>
      <w:marLeft w:val="0"/>
      <w:marRight w:val="0"/>
      <w:marTop w:val="0"/>
      <w:marBottom w:val="0"/>
      <w:divBdr>
        <w:top w:val="none" w:sz="0" w:space="0" w:color="auto"/>
        <w:left w:val="none" w:sz="0" w:space="0" w:color="auto"/>
        <w:bottom w:val="none" w:sz="0" w:space="0" w:color="auto"/>
        <w:right w:val="none" w:sz="0" w:space="0" w:color="auto"/>
      </w:divBdr>
    </w:div>
    <w:div w:id="480584321">
      <w:bodyDiv w:val="1"/>
      <w:marLeft w:val="0"/>
      <w:marRight w:val="0"/>
      <w:marTop w:val="0"/>
      <w:marBottom w:val="0"/>
      <w:divBdr>
        <w:top w:val="none" w:sz="0" w:space="0" w:color="auto"/>
        <w:left w:val="none" w:sz="0" w:space="0" w:color="auto"/>
        <w:bottom w:val="none" w:sz="0" w:space="0" w:color="auto"/>
        <w:right w:val="none" w:sz="0" w:space="0" w:color="auto"/>
      </w:divBdr>
    </w:div>
    <w:div w:id="560948499">
      <w:bodyDiv w:val="1"/>
      <w:marLeft w:val="0"/>
      <w:marRight w:val="0"/>
      <w:marTop w:val="0"/>
      <w:marBottom w:val="0"/>
      <w:divBdr>
        <w:top w:val="none" w:sz="0" w:space="0" w:color="auto"/>
        <w:left w:val="none" w:sz="0" w:space="0" w:color="auto"/>
        <w:bottom w:val="none" w:sz="0" w:space="0" w:color="auto"/>
        <w:right w:val="none" w:sz="0" w:space="0" w:color="auto"/>
      </w:divBdr>
    </w:div>
    <w:div w:id="564992245">
      <w:bodyDiv w:val="1"/>
      <w:marLeft w:val="0"/>
      <w:marRight w:val="0"/>
      <w:marTop w:val="0"/>
      <w:marBottom w:val="0"/>
      <w:divBdr>
        <w:top w:val="none" w:sz="0" w:space="0" w:color="auto"/>
        <w:left w:val="none" w:sz="0" w:space="0" w:color="auto"/>
        <w:bottom w:val="none" w:sz="0" w:space="0" w:color="auto"/>
        <w:right w:val="none" w:sz="0" w:space="0" w:color="auto"/>
      </w:divBdr>
    </w:div>
    <w:div w:id="615865669">
      <w:bodyDiv w:val="1"/>
      <w:marLeft w:val="0"/>
      <w:marRight w:val="0"/>
      <w:marTop w:val="0"/>
      <w:marBottom w:val="0"/>
      <w:divBdr>
        <w:top w:val="none" w:sz="0" w:space="0" w:color="auto"/>
        <w:left w:val="none" w:sz="0" w:space="0" w:color="auto"/>
        <w:bottom w:val="none" w:sz="0" w:space="0" w:color="auto"/>
        <w:right w:val="none" w:sz="0" w:space="0" w:color="auto"/>
      </w:divBdr>
    </w:div>
    <w:div w:id="1086728768">
      <w:bodyDiv w:val="1"/>
      <w:marLeft w:val="0"/>
      <w:marRight w:val="0"/>
      <w:marTop w:val="0"/>
      <w:marBottom w:val="0"/>
      <w:divBdr>
        <w:top w:val="none" w:sz="0" w:space="0" w:color="auto"/>
        <w:left w:val="none" w:sz="0" w:space="0" w:color="auto"/>
        <w:bottom w:val="none" w:sz="0" w:space="0" w:color="auto"/>
        <w:right w:val="none" w:sz="0" w:space="0" w:color="auto"/>
      </w:divBdr>
    </w:div>
    <w:div w:id="1126394645">
      <w:bodyDiv w:val="1"/>
      <w:marLeft w:val="0"/>
      <w:marRight w:val="0"/>
      <w:marTop w:val="0"/>
      <w:marBottom w:val="0"/>
      <w:divBdr>
        <w:top w:val="none" w:sz="0" w:space="0" w:color="auto"/>
        <w:left w:val="none" w:sz="0" w:space="0" w:color="auto"/>
        <w:bottom w:val="none" w:sz="0" w:space="0" w:color="auto"/>
        <w:right w:val="none" w:sz="0" w:space="0" w:color="auto"/>
      </w:divBdr>
    </w:div>
    <w:div w:id="1181889976">
      <w:bodyDiv w:val="1"/>
      <w:marLeft w:val="0"/>
      <w:marRight w:val="0"/>
      <w:marTop w:val="0"/>
      <w:marBottom w:val="0"/>
      <w:divBdr>
        <w:top w:val="none" w:sz="0" w:space="0" w:color="auto"/>
        <w:left w:val="none" w:sz="0" w:space="0" w:color="auto"/>
        <w:bottom w:val="none" w:sz="0" w:space="0" w:color="auto"/>
        <w:right w:val="none" w:sz="0" w:space="0" w:color="auto"/>
      </w:divBdr>
      <w:divsChild>
        <w:div w:id="2060208542">
          <w:marLeft w:val="547"/>
          <w:marRight w:val="0"/>
          <w:marTop w:val="0"/>
          <w:marBottom w:val="0"/>
          <w:divBdr>
            <w:top w:val="none" w:sz="0" w:space="0" w:color="auto"/>
            <w:left w:val="none" w:sz="0" w:space="0" w:color="auto"/>
            <w:bottom w:val="none" w:sz="0" w:space="0" w:color="auto"/>
            <w:right w:val="none" w:sz="0" w:space="0" w:color="auto"/>
          </w:divBdr>
        </w:div>
      </w:divsChild>
    </w:div>
    <w:div w:id="1219590318">
      <w:bodyDiv w:val="1"/>
      <w:marLeft w:val="0"/>
      <w:marRight w:val="0"/>
      <w:marTop w:val="0"/>
      <w:marBottom w:val="0"/>
      <w:divBdr>
        <w:top w:val="none" w:sz="0" w:space="0" w:color="auto"/>
        <w:left w:val="none" w:sz="0" w:space="0" w:color="auto"/>
        <w:bottom w:val="none" w:sz="0" w:space="0" w:color="auto"/>
        <w:right w:val="none" w:sz="0" w:space="0" w:color="auto"/>
      </w:divBdr>
    </w:div>
    <w:div w:id="1259633705">
      <w:bodyDiv w:val="1"/>
      <w:marLeft w:val="0"/>
      <w:marRight w:val="0"/>
      <w:marTop w:val="0"/>
      <w:marBottom w:val="0"/>
      <w:divBdr>
        <w:top w:val="none" w:sz="0" w:space="0" w:color="auto"/>
        <w:left w:val="none" w:sz="0" w:space="0" w:color="auto"/>
        <w:bottom w:val="none" w:sz="0" w:space="0" w:color="auto"/>
        <w:right w:val="none" w:sz="0" w:space="0" w:color="auto"/>
      </w:divBdr>
    </w:div>
    <w:div w:id="1269460997">
      <w:bodyDiv w:val="1"/>
      <w:marLeft w:val="0"/>
      <w:marRight w:val="0"/>
      <w:marTop w:val="0"/>
      <w:marBottom w:val="0"/>
      <w:divBdr>
        <w:top w:val="none" w:sz="0" w:space="0" w:color="auto"/>
        <w:left w:val="none" w:sz="0" w:space="0" w:color="auto"/>
        <w:bottom w:val="none" w:sz="0" w:space="0" w:color="auto"/>
        <w:right w:val="none" w:sz="0" w:space="0" w:color="auto"/>
      </w:divBdr>
    </w:div>
    <w:div w:id="1288393914">
      <w:bodyDiv w:val="1"/>
      <w:marLeft w:val="0"/>
      <w:marRight w:val="0"/>
      <w:marTop w:val="0"/>
      <w:marBottom w:val="0"/>
      <w:divBdr>
        <w:top w:val="none" w:sz="0" w:space="0" w:color="auto"/>
        <w:left w:val="none" w:sz="0" w:space="0" w:color="auto"/>
        <w:bottom w:val="none" w:sz="0" w:space="0" w:color="auto"/>
        <w:right w:val="none" w:sz="0" w:space="0" w:color="auto"/>
      </w:divBdr>
      <w:divsChild>
        <w:div w:id="442190745">
          <w:marLeft w:val="0"/>
          <w:marRight w:val="0"/>
          <w:marTop w:val="0"/>
          <w:marBottom w:val="0"/>
          <w:divBdr>
            <w:top w:val="none" w:sz="0" w:space="0" w:color="auto"/>
            <w:left w:val="none" w:sz="0" w:space="0" w:color="auto"/>
            <w:bottom w:val="none" w:sz="0" w:space="0" w:color="auto"/>
            <w:right w:val="none" w:sz="0" w:space="0" w:color="auto"/>
          </w:divBdr>
          <w:divsChild>
            <w:div w:id="133695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74599">
      <w:bodyDiv w:val="1"/>
      <w:marLeft w:val="0"/>
      <w:marRight w:val="0"/>
      <w:marTop w:val="0"/>
      <w:marBottom w:val="0"/>
      <w:divBdr>
        <w:top w:val="none" w:sz="0" w:space="0" w:color="auto"/>
        <w:left w:val="none" w:sz="0" w:space="0" w:color="auto"/>
        <w:bottom w:val="none" w:sz="0" w:space="0" w:color="auto"/>
        <w:right w:val="none" w:sz="0" w:space="0" w:color="auto"/>
      </w:divBdr>
    </w:div>
    <w:div w:id="1392385338">
      <w:bodyDiv w:val="1"/>
      <w:marLeft w:val="0"/>
      <w:marRight w:val="0"/>
      <w:marTop w:val="0"/>
      <w:marBottom w:val="0"/>
      <w:divBdr>
        <w:top w:val="none" w:sz="0" w:space="0" w:color="auto"/>
        <w:left w:val="none" w:sz="0" w:space="0" w:color="auto"/>
        <w:bottom w:val="none" w:sz="0" w:space="0" w:color="auto"/>
        <w:right w:val="none" w:sz="0" w:space="0" w:color="auto"/>
      </w:divBdr>
    </w:div>
    <w:div w:id="1486514096">
      <w:bodyDiv w:val="1"/>
      <w:marLeft w:val="0"/>
      <w:marRight w:val="0"/>
      <w:marTop w:val="0"/>
      <w:marBottom w:val="0"/>
      <w:divBdr>
        <w:top w:val="none" w:sz="0" w:space="0" w:color="auto"/>
        <w:left w:val="none" w:sz="0" w:space="0" w:color="auto"/>
        <w:bottom w:val="none" w:sz="0" w:space="0" w:color="auto"/>
        <w:right w:val="none" w:sz="0" w:space="0" w:color="auto"/>
      </w:divBdr>
    </w:div>
    <w:div w:id="1552884042">
      <w:bodyDiv w:val="1"/>
      <w:marLeft w:val="0"/>
      <w:marRight w:val="0"/>
      <w:marTop w:val="0"/>
      <w:marBottom w:val="0"/>
      <w:divBdr>
        <w:top w:val="none" w:sz="0" w:space="0" w:color="auto"/>
        <w:left w:val="none" w:sz="0" w:space="0" w:color="auto"/>
        <w:bottom w:val="none" w:sz="0" w:space="0" w:color="auto"/>
        <w:right w:val="none" w:sz="0" w:space="0" w:color="auto"/>
      </w:divBdr>
    </w:div>
    <w:div w:id="1579362798">
      <w:bodyDiv w:val="1"/>
      <w:marLeft w:val="0"/>
      <w:marRight w:val="0"/>
      <w:marTop w:val="0"/>
      <w:marBottom w:val="0"/>
      <w:divBdr>
        <w:top w:val="none" w:sz="0" w:space="0" w:color="auto"/>
        <w:left w:val="none" w:sz="0" w:space="0" w:color="auto"/>
        <w:bottom w:val="none" w:sz="0" w:space="0" w:color="auto"/>
        <w:right w:val="none" w:sz="0" w:space="0" w:color="auto"/>
      </w:divBdr>
    </w:div>
    <w:div w:id="1605306922">
      <w:bodyDiv w:val="1"/>
      <w:marLeft w:val="0"/>
      <w:marRight w:val="0"/>
      <w:marTop w:val="0"/>
      <w:marBottom w:val="0"/>
      <w:divBdr>
        <w:top w:val="none" w:sz="0" w:space="0" w:color="auto"/>
        <w:left w:val="none" w:sz="0" w:space="0" w:color="auto"/>
        <w:bottom w:val="none" w:sz="0" w:space="0" w:color="auto"/>
        <w:right w:val="none" w:sz="0" w:space="0" w:color="auto"/>
      </w:divBdr>
    </w:div>
    <w:div w:id="1831360441">
      <w:bodyDiv w:val="1"/>
      <w:marLeft w:val="0"/>
      <w:marRight w:val="0"/>
      <w:marTop w:val="0"/>
      <w:marBottom w:val="0"/>
      <w:divBdr>
        <w:top w:val="none" w:sz="0" w:space="0" w:color="auto"/>
        <w:left w:val="none" w:sz="0" w:space="0" w:color="auto"/>
        <w:bottom w:val="none" w:sz="0" w:space="0" w:color="auto"/>
        <w:right w:val="none" w:sz="0" w:space="0" w:color="auto"/>
      </w:divBdr>
    </w:div>
    <w:div w:id="1895963389">
      <w:bodyDiv w:val="1"/>
      <w:marLeft w:val="0"/>
      <w:marRight w:val="0"/>
      <w:marTop w:val="0"/>
      <w:marBottom w:val="0"/>
      <w:divBdr>
        <w:top w:val="none" w:sz="0" w:space="0" w:color="auto"/>
        <w:left w:val="none" w:sz="0" w:space="0" w:color="auto"/>
        <w:bottom w:val="none" w:sz="0" w:space="0" w:color="auto"/>
        <w:right w:val="none" w:sz="0" w:space="0" w:color="auto"/>
      </w:divBdr>
    </w:div>
    <w:div w:id="2088843044">
      <w:bodyDiv w:val="1"/>
      <w:marLeft w:val="0"/>
      <w:marRight w:val="0"/>
      <w:marTop w:val="0"/>
      <w:marBottom w:val="0"/>
      <w:divBdr>
        <w:top w:val="none" w:sz="0" w:space="0" w:color="auto"/>
        <w:left w:val="none" w:sz="0" w:space="0" w:color="auto"/>
        <w:bottom w:val="none" w:sz="0" w:space="0" w:color="auto"/>
        <w:right w:val="none" w:sz="0" w:space="0" w:color="auto"/>
      </w:divBdr>
    </w:div>
    <w:div w:id="212869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srojas\Escritorio\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74454-2D39-46BD-ADE8-5C07C925F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11</Pages>
  <Words>3861</Words>
  <Characters>21241</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25052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2013-03-01T16:47:00Z</cp:lastPrinted>
  <dcterms:created xsi:type="dcterms:W3CDTF">2013-04-11T21:53:00Z</dcterms:created>
  <dcterms:modified xsi:type="dcterms:W3CDTF">2013-04-11T21:53:00Z</dcterms:modified>
</cp:coreProperties>
</file>