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D2" w:rsidRDefault="00681618" w:rsidP="00CD665F">
      <w:pPr>
        <w:pStyle w:val="Encabezado"/>
        <w:tabs>
          <w:tab w:val="clear" w:pos="8504"/>
          <w:tab w:val="left" w:pos="0"/>
          <w:tab w:val="right" w:pos="9356"/>
        </w:tabs>
        <w:spacing w:before="120" w:after="120"/>
        <w:rPr>
          <w:rFonts w:ascii="Bookman Old Style" w:hAnsi="Bookman Old Style"/>
          <w:szCs w:val="24"/>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95pt;margin-top:-55.15pt;width:52.5pt;height:48.75pt;z-index:251662848" fillcolor="#0c9">
            <v:imagedata r:id="rId9" o:title=""/>
          </v:shape>
          <o:OLEObject Type="Embed" ProgID="PBrush" ShapeID="_x0000_s1027" DrawAspect="Content" ObjectID="_1473831608" r:id="rId10"/>
        </w:pict>
      </w:r>
    </w:p>
    <w:p w:rsidR="00E03BD2" w:rsidRDefault="00E03BD2" w:rsidP="00E03BD2">
      <w:pPr>
        <w:pStyle w:val="Ttulo4"/>
        <w:tabs>
          <w:tab w:val="left" w:pos="0"/>
          <w:tab w:val="right" w:pos="9356"/>
        </w:tabs>
        <w:rPr>
          <w:rFonts w:ascii="Bookman Old Style" w:hAnsi="Bookman Old Style"/>
          <w:b w:val="0"/>
          <w:bCs/>
          <w:sz w:val="24"/>
          <w:szCs w:val="24"/>
        </w:rPr>
      </w:pPr>
      <w:r>
        <w:rPr>
          <w:rFonts w:ascii="Bookman Old Style" w:hAnsi="Bookman Old Style"/>
          <w:b w:val="0"/>
          <w:bCs/>
          <w:sz w:val="24"/>
          <w:szCs w:val="24"/>
        </w:rPr>
        <w:t>Ministerio de Minas y Energía</w:t>
      </w:r>
    </w:p>
    <w:p w:rsidR="00E03BD2" w:rsidRDefault="00E03BD2" w:rsidP="00E03BD2">
      <w:pPr>
        <w:pStyle w:val="Ttulo3"/>
        <w:tabs>
          <w:tab w:val="left" w:pos="0"/>
          <w:tab w:val="right" w:pos="9356"/>
        </w:tabs>
        <w:rPr>
          <w:rFonts w:ascii="Bookman Old Style" w:hAnsi="Bookman Old Style" w:cs="Arial"/>
          <w:spacing w:val="20"/>
          <w:szCs w:val="24"/>
        </w:rPr>
      </w:pPr>
      <w:r>
        <w:rPr>
          <w:rFonts w:ascii="Bookman Old Style" w:hAnsi="Bookman Old Style" w:cs="Arial"/>
          <w:spacing w:val="20"/>
          <w:szCs w:val="24"/>
        </w:rPr>
        <w:t>COMISIÓN DE REGULACIÓN DE ENERGÍA Y GAS</w:t>
      </w:r>
    </w:p>
    <w:p w:rsidR="009E1157" w:rsidRPr="009E1157" w:rsidRDefault="009E1157" w:rsidP="009E1157">
      <w:pPr>
        <w:rPr>
          <w:lang w:val="es-ES_tradnl"/>
        </w:rPr>
      </w:pPr>
    </w:p>
    <w:p w:rsidR="00E03BD2" w:rsidRDefault="00E03BD2" w:rsidP="00E03BD2">
      <w:pPr>
        <w:pStyle w:val="Ttulo5"/>
        <w:tabs>
          <w:tab w:val="left" w:pos="0"/>
          <w:tab w:val="right" w:pos="9356"/>
        </w:tabs>
        <w:rPr>
          <w:rFonts w:ascii="Bookman Old Style" w:hAnsi="Bookman Old Style"/>
          <w:sz w:val="24"/>
          <w:szCs w:val="24"/>
        </w:rPr>
      </w:pPr>
      <w:r>
        <w:rPr>
          <w:rFonts w:ascii="Bookman Old Style" w:hAnsi="Bookman Old Style"/>
          <w:sz w:val="24"/>
          <w:szCs w:val="24"/>
        </w:rPr>
        <w:t>RESOLUCIÓN No.                   DE 201</w:t>
      </w:r>
      <w:r w:rsidR="00805A34">
        <w:rPr>
          <w:rFonts w:ascii="Bookman Old Style" w:hAnsi="Bookman Old Style"/>
          <w:sz w:val="24"/>
          <w:szCs w:val="24"/>
        </w:rPr>
        <w:t>4</w:t>
      </w:r>
    </w:p>
    <w:p w:rsidR="00E03BD2" w:rsidRDefault="00E03BD2" w:rsidP="00E03BD2">
      <w:pPr>
        <w:pStyle w:val="Ttulo3"/>
        <w:tabs>
          <w:tab w:val="left" w:pos="0"/>
          <w:tab w:val="right" w:pos="9356"/>
        </w:tabs>
        <w:rPr>
          <w:rFonts w:ascii="Bookman Old Style" w:hAnsi="Bookman Old Style"/>
          <w:b w:val="0"/>
          <w:szCs w:val="24"/>
        </w:rPr>
      </w:pPr>
      <w:r>
        <w:rPr>
          <w:rFonts w:ascii="Bookman Old Style" w:hAnsi="Bookman Old Style"/>
          <w:b w:val="0"/>
          <w:szCs w:val="24"/>
        </w:rPr>
        <w:t>(                                  )</w:t>
      </w:r>
    </w:p>
    <w:p w:rsidR="00E03BD2" w:rsidRDefault="00CF0B66" w:rsidP="00F13E53">
      <w:pPr>
        <w:pStyle w:val="Textonotapie"/>
        <w:spacing w:before="480" w:after="360"/>
        <w:jc w:val="center"/>
        <w:rPr>
          <w:rFonts w:ascii="Bookman Old Style" w:hAnsi="Bookman Old Style" w:cs="Arial"/>
        </w:rPr>
      </w:pPr>
      <w:r w:rsidRPr="00ED56A2">
        <w:rPr>
          <w:rFonts w:ascii="Bookman Old Style" w:hAnsi="Bookman Old Style" w:cs="Arial"/>
          <w:sz w:val="24"/>
          <w:szCs w:val="24"/>
        </w:rPr>
        <w:t xml:space="preserve">Por la cual se actualiza </w:t>
      </w:r>
      <w:r>
        <w:rPr>
          <w:rFonts w:ascii="Bookman Old Style" w:hAnsi="Bookman Old Style" w:cs="Arial"/>
          <w:sz w:val="24"/>
          <w:szCs w:val="24"/>
        </w:rPr>
        <w:t xml:space="preserve">el </w:t>
      </w:r>
      <w:r w:rsidRPr="00DF08CA">
        <w:rPr>
          <w:rFonts w:ascii="Bookman Old Style" w:hAnsi="Bookman Old Style" w:cs="Arial"/>
          <w:sz w:val="24"/>
          <w:szCs w:val="24"/>
        </w:rPr>
        <w:t xml:space="preserve">Costo Anual por el uso de los Activos del Nivel de </w:t>
      </w:r>
      <w:r w:rsidRPr="00196076">
        <w:rPr>
          <w:rFonts w:ascii="Bookman Old Style" w:hAnsi="Bookman Old Style" w:cs="Arial"/>
          <w:sz w:val="24"/>
          <w:szCs w:val="24"/>
        </w:rPr>
        <w:t xml:space="preserve">Tensión 4 </w:t>
      </w:r>
      <w:r w:rsidR="00C315C9" w:rsidRPr="00C315C9">
        <w:rPr>
          <w:rFonts w:ascii="Bookman Old Style" w:hAnsi="Bookman Old Style" w:cs="Arial"/>
          <w:sz w:val="24"/>
          <w:szCs w:val="24"/>
        </w:rPr>
        <w:t xml:space="preserve">y los Cargos Máximos </w:t>
      </w:r>
      <w:r w:rsidR="00C315C9">
        <w:rPr>
          <w:rFonts w:ascii="Bookman Old Style" w:hAnsi="Bookman Old Style" w:cs="Arial"/>
          <w:sz w:val="24"/>
          <w:szCs w:val="24"/>
        </w:rPr>
        <w:t xml:space="preserve">por Uso </w:t>
      </w:r>
      <w:r w:rsidR="00C315C9" w:rsidRPr="00C315C9">
        <w:rPr>
          <w:rFonts w:ascii="Bookman Old Style" w:hAnsi="Bookman Old Style" w:cs="Arial"/>
          <w:sz w:val="24"/>
          <w:szCs w:val="24"/>
        </w:rPr>
        <w:t xml:space="preserve">del Nivel de Tensión 2 </w:t>
      </w:r>
      <w:r w:rsidRPr="00DF08CA">
        <w:rPr>
          <w:rFonts w:ascii="Bookman Old Style" w:hAnsi="Bookman Old Style" w:cs="Arial"/>
          <w:sz w:val="24"/>
          <w:szCs w:val="24"/>
        </w:rPr>
        <w:t xml:space="preserve">de </w:t>
      </w:r>
      <w:r w:rsidR="00FC36D7">
        <w:rPr>
          <w:rFonts w:ascii="Bookman Old Style" w:hAnsi="Bookman Old Style" w:cs="Arial"/>
          <w:sz w:val="24"/>
          <w:szCs w:val="24"/>
        </w:rPr>
        <w:t xml:space="preserve">la </w:t>
      </w:r>
      <w:r w:rsidR="00710B09">
        <w:rPr>
          <w:rFonts w:ascii="Bookman Old Style" w:hAnsi="Bookman Old Style" w:cs="Arial"/>
          <w:sz w:val="24"/>
          <w:szCs w:val="24"/>
        </w:rPr>
        <w:t>E</w:t>
      </w:r>
      <w:r>
        <w:rPr>
          <w:rFonts w:ascii="Bookman Old Style" w:hAnsi="Bookman Old Style" w:cs="Arial"/>
          <w:sz w:val="24"/>
          <w:szCs w:val="24"/>
        </w:rPr>
        <w:t>mpresa</w:t>
      </w:r>
      <w:r w:rsidR="00FC36D7">
        <w:rPr>
          <w:rFonts w:ascii="Bookman Old Style" w:hAnsi="Bookman Old Style" w:cs="Arial"/>
          <w:sz w:val="24"/>
          <w:szCs w:val="24"/>
        </w:rPr>
        <w:t xml:space="preserve"> Distribuidora del Pacífico S.A. </w:t>
      </w:r>
      <w:r w:rsidRPr="00DF08CA">
        <w:rPr>
          <w:rFonts w:ascii="Bookman Old Style" w:hAnsi="Bookman Old Style" w:cs="Arial"/>
          <w:sz w:val="24"/>
          <w:szCs w:val="24"/>
        </w:rPr>
        <w:t>E.S.P.</w:t>
      </w:r>
    </w:p>
    <w:p w:rsidR="00E03BD2" w:rsidRDefault="00E03BD2" w:rsidP="00F13E53">
      <w:pPr>
        <w:spacing w:before="360" w:after="360"/>
        <w:jc w:val="center"/>
        <w:rPr>
          <w:b/>
        </w:rPr>
      </w:pPr>
      <w:r>
        <w:rPr>
          <w:b/>
        </w:rPr>
        <w:t>LA COMISIÓN DE REGULACIÓN DE ENERGÍA Y GAS</w:t>
      </w:r>
    </w:p>
    <w:p w:rsidR="00E03BD2" w:rsidRDefault="00772BF0" w:rsidP="00E03BD2">
      <w:pPr>
        <w:rPr>
          <w:rFonts w:cs="Arial"/>
        </w:rPr>
      </w:pPr>
      <w:proofErr w:type="gramStart"/>
      <w:r>
        <w:rPr>
          <w:rFonts w:cs="Arial"/>
        </w:rPr>
        <w:t>e</w:t>
      </w:r>
      <w:r w:rsidR="00E03BD2">
        <w:rPr>
          <w:rFonts w:cs="Arial"/>
        </w:rPr>
        <w:t>n</w:t>
      </w:r>
      <w:proofErr w:type="gramEnd"/>
      <w:r w:rsidR="00E03BD2">
        <w:rPr>
          <w:rFonts w:cs="Arial"/>
        </w:rPr>
        <w:t xml:space="preserve"> ejercicio de las atribuciones legales, en especial las conferidas por las </w:t>
      </w:r>
      <w:r>
        <w:rPr>
          <w:rFonts w:cs="Arial"/>
        </w:rPr>
        <w:t>l</w:t>
      </w:r>
      <w:r w:rsidR="00E03BD2">
        <w:rPr>
          <w:rFonts w:cs="Arial"/>
        </w:rPr>
        <w:t>eyes 142 y 143 de 1994, y los decretos 1524 y 2253 de 1994.</w:t>
      </w:r>
    </w:p>
    <w:p w:rsidR="00E03BD2" w:rsidRDefault="00E03BD2" w:rsidP="00F13E53">
      <w:pPr>
        <w:spacing w:before="360" w:after="360"/>
        <w:jc w:val="center"/>
        <w:rPr>
          <w:rFonts w:cs="Arial"/>
          <w:b/>
        </w:rPr>
      </w:pPr>
      <w:r>
        <w:rPr>
          <w:b/>
        </w:rPr>
        <w:t>C O N S I D E R A N D O</w:t>
      </w:r>
      <w:r w:rsidR="006B5E80">
        <w:rPr>
          <w:b/>
        </w:rPr>
        <w:t xml:space="preserve"> </w:t>
      </w:r>
      <w:r w:rsidR="00772BF0">
        <w:rPr>
          <w:b/>
        </w:rPr>
        <w:t xml:space="preserve"> </w:t>
      </w:r>
      <w:r w:rsidR="006B5E80">
        <w:rPr>
          <w:b/>
        </w:rPr>
        <w:t>Q</w:t>
      </w:r>
      <w:r w:rsidR="00772BF0">
        <w:rPr>
          <w:b/>
        </w:rPr>
        <w:t xml:space="preserve"> </w:t>
      </w:r>
      <w:r w:rsidR="006B5E80">
        <w:rPr>
          <w:b/>
        </w:rPr>
        <w:t>U</w:t>
      </w:r>
      <w:r w:rsidR="00772BF0">
        <w:rPr>
          <w:b/>
        </w:rPr>
        <w:t xml:space="preserve"> </w:t>
      </w:r>
      <w:r w:rsidR="006B5E80">
        <w:rPr>
          <w:b/>
        </w:rPr>
        <w:t>E</w:t>
      </w:r>
      <w:r>
        <w:rPr>
          <w:rFonts w:cs="Arial"/>
          <w:b/>
        </w:rPr>
        <w:t>:</w:t>
      </w:r>
    </w:p>
    <w:p w:rsidR="00CF0B66" w:rsidRPr="00CF0B66" w:rsidRDefault="006B5E80" w:rsidP="00DB043F">
      <w:r>
        <w:t>D</w:t>
      </w:r>
      <w:r w:rsidR="00CF0B66" w:rsidRPr="00CF0B66">
        <w:t xml:space="preserve">e acuerdo con lo previsto en el Artículo 23, literal d), y 41 de la Ley 143 de 1994, es función de la Comisión de Regulación de Energía y Gas fijar las tarifas </w:t>
      </w:r>
      <w:proofErr w:type="gramStart"/>
      <w:r w:rsidR="00CF0B66" w:rsidRPr="00CF0B66">
        <w:t>por</w:t>
      </w:r>
      <w:proofErr w:type="gramEnd"/>
      <w:r w:rsidR="00CF0B66" w:rsidRPr="00CF0B66">
        <w:t xml:space="preserve"> el acceso y uso de las redes eléctricas</w:t>
      </w:r>
      <w:r w:rsidR="009E526F">
        <w:t>.</w:t>
      </w:r>
    </w:p>
    <w:p w:rsidR="00CF0B66" w:rsidRPr="00CF0B66" w:rsidRDefault="006B5E80" w:rsidP="00DB043F">
      <w:r>
        <w:t>M</w:t>
      </w:r>
      <w:r w:rsidR="00CF0B66" w:rsidRPr="00CF0B66">
        <w:t>ediante la Resolución CREG 097 de 2008</w:t>
      </w:r>
      <w:r w:rsidR="0087580B">
        <w:t>,</w:t>
      </w:r>
      <w:r w:rsidR="00CF0B66" w:rsidRPr="00CF0B66">
        <w:t xml:space="preserve"> modificada por las Resoluciones CREG 133, 135 y 166 de 2008, la Comisión aprobó los principios generales y la metodología para el establecimiento de los Cargos por Uso de los Sistemas de Transmisión Regional</w:t>
      </w:r>
      <w:r w:rsidR="00FF3C2F">
        <w:t>,</w:t>
      </w:r>
      <w:r w:rsidR="00CF0B66" w:rsidRPr="00CF0B66">
        <w:t xml:space="preserve"> STR</w:t>
      </w:r>
      <w:r w:rsidR="00FF3C2F">
        <w:t>,</w:t>
      </w:r>
      <w:r w:rsidR="00CF0B66" w:rsidRPr="00CF0B66">
        <w:t xml:space="preserve"> y de Distribución Local</w:t>
      </w:r>
      <w:r w:rsidR="00FF3C2F">
        <w:t xml:space="preserve">, </w:t>
      </w:r>
      <w:r w:rsidR="00CF0B66" w:rsidRPr="00CF0B66">
        <w:t>SDL</w:t>
      </w:r>
      <w:r w:rsidR="009E526F">
        <w:t>.</w:t>
      </w:r>
    </w:p>
    <w:p w:rsidR="00FC36D7" w:rsidRDefault="00FC36D7" w:rsidP="00DB043F">
      <w:r>
        <w:t xml:space="preserve">En la </w:t>
      </w:r>
      <w:r w:rsidR="00CF0B66" w:rsidRPr="00CF0B66">
        <w:t>Resolución CREG 10</w:t>
      </w:r>
      <w:r>
        <w:t>8</w:t>
      </w:r>
      <w:r w:rsidR="00CF0B66" w:rsidRPr="00CF0B66">
        <w:t xml:space="preserve"> de 2009</w:t>
      </w:r>
      <w:r>
        <w:t xml:space="preserve"> </w:t>
      </w:r>
      <w:r w:rsidR="00CF0B66" w:rsidRPr="00CF0B66">
        <w:t xml:space="preserve">se </w:t>
      </w:r>
      <w:r w:rsidRPr="00FC36D7">
        <w:t>apr</w:t>
      </w:r>
      <w:r>
        <w:t>o</w:t>
      </w:r>
      <w:r w:rsidRPr="00FC36D7">
        <w:t>b</w:t>
      </w:r>
      <w:r>
        <w:t>ó</w:t>
      </w:r>
      <w:r w:rsidRPr="00FC36D7">
        <w:t xml:space="preserve"> el Costo Anual por el uso de los Activos del Nivel de Tensión 4 y los Cargos Máximos de los Niveles de Tensión 2 y 1 de los activos operados por la </w:t>
      </w:r>
      <w:r w:rsidR="00710B09">
        <w:t>E</w:t>
      </w:r>
      <w:r w:rsidRPr="00FC36D7">
        <w:t>mpresa Distribuidora del Pacífico S.A. E.S.P.</w:t>
      </w:r>
      <w:r w:rsidR="009B1376">
        <w:t>,</w:t>
      </w:r>
      <w:r w:rsidRPr="00FC36D7">
        <w:t xml:space="preserve"> </w:t>
      </w:r>
      <w:r w:rsidR="009B1376">
        <w:t xml:space="preserve">y posteriormente </w:t>
      </w:r>
      <w:r w:rsidR="00D3271B">
        <w:t xml:space="preserve">se modificó mediante la Resolución </w:t>
      </w:r>
      <w:r>
        <w:t>CREG 083 de 2010</w:t>
      </w:r>
      <w:r w:rsidR="009E526F">
        <w:t>.</w:t>
      </w:r>
      <w:r>
        <w:t xml:space="preserve"> </w:t>
      </w:r>
    </w:p>
    <w:p w:rsidR="006142E3" w:rsidRDefault="006142E3" w:rsidP="00DB043F">
      <w:r>
        <w:t>L</w:t>
      </w:r>
      <w:r w:rsidRPr="006142E3">
        <w:t>a Empresa Distribuidora del Pacífico S.A. E.S.P., a través de las comunicaciones radicadas en la CREG bajo los números E-2014-003818 y E</w:t>
      </w:r>
      <w:r>
        <w:t> </w:t>
      </w:r>
      <w:r w:rsidRPr="006142E3">
        <w:t>2014-004237, con base en lo establecido en el artículo 9 de la Resolución CREG 097 de 2008, solicit</w:t>
      </w:r>
      <w:r w:rsidR="00EB61E7">
        <w:t>ó</w:t>
      </w:r>
      <w:r w:rsidRPr="006142E3">
        <w:t xml:space="preserve"> la actualización del Costo Anual por uso de los Activos de Nivel de Tensión 4 por la entrada en operación de la subestación El Siete y la actualización de los Cargos Máximos por Uso del SDL por la implementación del Sistema de Gestión de la Distribución</w:t>
      </w:r>
      <w:r w:rsidR="009E526F">
        <w:t>.</w:t>
      </w:r>
    </w:p>
    <w:p w:rsidR="00CF0B66" w:rsidRPr="00CF0B66" w:rsidRDefault="00A40710" w:rsidP="00DB043F">
      <w:r>
        <w:t>M</w:t>
      </w:r>
      <w:r w:rsidR="00CF0B66" w:rsidRPr="004222A7">
        <w:t>ediante Auto</w:t>
      </w:r>
      <w:r w:rsidR="00250C72" w:rsidRPr="004222A7">
        <w:t xml:space="preserve"> con radicado CREG I-201</w:t>
      </w:r>
      <w:r w:rsidR="004222A7" w:rsidRPr="004222A7">
        <w:t>4</w:t>
      </w:r>
      <w:r w:rsidR="00250C72" w:rsidRPr="004222A7">
        <w:t>-00</w:t>
      </w:r>
      <w:r w:rsidR="007D5750">
        <w:t>1</w:t>
      </w:r>
      <w:r w:rsidR="006142E3">
        <w:t>702</w:t>
      </w:r>
      <w:r w:rsidR="007D5750">
        <w:t xml:space="preserve"> </w:t>
      </w:r>
      <w:r w:rsidR="00CF0B66" w:rsidRPr="004222A7">
        <w:t xml:space="preserve">la CREG inició la </w:t>
      </w:r>
      <w:r w:rsidR="00710B09">
        <w:t>a</w:t>
      </w:r>
      <w:r w:rsidR="00CF0B66" w:rsidRPr="004222A7">
        <w:t xml:space="preserve">ctuación </w:t>
      </w:r>
      <w:r w:rsidR="00710B09">
        <w:t>a</w:t>
      </w:r>
      <w:r w:rsidR="00CF0B66" w:rsidRPr="004222A7">
        <w:t>dministrativa con el objeto de decidir la solicitud</w:t>
      </w:r>
      <w:r w:rsidR="00EB61E7">
        <w:t xml:space="preserve"> de l</w:t>
      </w:r>
      <w:r w:rsidR="00EB61E7" w:rsidRPr="006142E3">
        <w:t>a Empresa Distribuidora del Pacífico S.A. E.S.P.</w:t>
      </w:r>
    </w:p>
    <w:p w:rsidR="00CF0B66" w:rsidRPr="00CF0B66" w:rsidRDefault="00A40710" w:rsidP="00DB043F">
      <w:r>
        <w:t>L</w:t>
      </w:r>
      <w:r w:rsidR="003C2B93">
        <w:t>a Comisión p</w:t>
      </w:r>
      <w:r w:rsidR="00983822">
        <w:t>u</w:t>
      </w:r>
      <w:r w:rsidR="003C2B93">
        <w:t>blic</w:t>
      </w:r>
      <w:r w:rsidR="00983822">
        <w:t>ó</w:t>
      </w:r>
      <w:r w:rsidR="003C2B93">
        <w:t xml:space="preserve"> en su página web y en el </w:t>
      </w:r>
      <w:r w:rsidR="00772BF0" w:rsidRPr="00772BF0">
        <w:rPr>
          <w:i/>
        </w:rPr>
        <w:t>D</w:t>
      </w:r>
      <w:r w:rsidR="003C2B93" w:rsidRPr="00772BF0">
        <w:rPr>
          <w:i/>
        </w:rPr>
        <w:t>iario Oficial</w:t>
      </w:r>
      <w:r w:rsidR="003C2B93">
        <w:t xml:space="preserve"> </w:t>
      </w:r>
      <w:r w:rsidR="008602B8">
        <w:t xml:space="preserve">del 16 de mayo de 2014 </w:t>
      </w:r>
      <w:r w:rsidR="003C2B93">
        <w:t>un extracto informativo sobre la actuación administrativa</w:t>
      </w:r>
      <w:r w:rsidR="009E526F">
        <w:t>.</w:t>
      </w:r>
    </w:p>
    <w:p w:rsidR="00CD6DDF" w:rsidRDefault="00A40710" w:rsidP="00DB043F">
      <w:r>
        <w:lastRenderedPageBreak/>
        <w:t xml:space="preserve">En </w:t>
      </w:r>
      <w:r w:rsidR="003C2B93" w:rsidRPr="00CF0B66">
        <w:t xml:space="preserve">la comunicación </w:t>
      </w:r>
      <w:r w:rsidR="003C2B93" w:rsidRPr="00E83E4B">
        <w:t>CREG S-201</w:t>
      </w:r>
      <w:r w:rsidR="009E1157" w:rsidRPr="00E83E4B">
        <w:t>4</w:t>
      </w:r>
      <w:r w:rsidR="00507935">
        <w:t>-002166</w:t>
      </w:r>
      <w:r w:rsidR="003C2B93" w:rsidRPr="00CF0B66">
        <w:t xml:space="preserve"> se </w:t>
      </w:r>
      <w:r w:rsidR="003C2B93">
        <w:t xml:space="preserve">informó </w:t>
      </w:r>
      <w:r w:rsidR="003C2B93" w:rsidRPr="00CF0B66">
        <w:t xml:space="preserve">a </w:t>
      </w:r>
      <w:r w:rsidR="006142E3">
        <w:t>l</w:t>
      </w:r>
      <w:r w:rsidR="006142E3" w:rsidRPr="006142E3">
        <w:t xml:space="preserve">a </w:t>
      </w:r>
      <w:r w:rsidR="00A52884">
        <w:t>e</w:t>
      </w:r>
      <w:r w:rsidR="006142E3" w:rsidRPr="006142E3">
        <w:t xml:space="preserve">mpresa </w:t>
      </w:r>
      <w:r w:rsidR="00A52884">
        <w:t xml:space="preserve">sobre </w:t>
      </w:r>
      <w:r w:rsidR="003C2B93">
        <w:t>la formación del expediente administrativo</w:t>
      </w:r>
      <w:r w:rsidR="009E526F">
        <w:t>.</w:t>
      </w:r>
    </w:p>
    <w:p w:rsidR="00A40710" w:rsidRDefault="00507F20" w:rsidP="00DB043F">
      <w:r>
        <w:t>El 28 de mayo de 2014, l</w:t>
      </w:r>
      <w:r w:rsidR="00A40710">
        <w:t xml:space="preserve">a Comisión </w:t>
      </w:r>
      <w:r w:rsidR="00CF4245">
        <w:t xml:space="preserve">realizó </w:t>
      </w:r>
      <w:r>
        <w:t xml:space="preserve">la </w:t>
      </w:r>
      <w:r w:rsidR="00CF4245">
        <w:t xml:space="preserve">verificación de </w:t>
      </w:r>
      <w:r>
        <w:t xml:space="preserve">los </w:t>
      </w:r>
      <w:r w:rsidR="00CF4245">
        <w:t xml:space="preserve">activos </w:t>
      </w:r>
      <w:r>
        <w:t>de</w:t>
      </w:r>
      <w:r w:rsidR="00CF4245">
        <w:t xml:space="preserve"> la subestación </w:t>
      </w:r>
      <w:r w:rsidR="006142E3">
        <w:t>El Siete</w:t>
      </w:r>
      <w:r w:rsidR="00A52884">
        <w:t xml:space="preserve">. En </w:t>
      </w:r>
      <w:r w:rsidR="00710B09">
        <w:t>e</w:t>
      </w:r>
      <w:r w:rsidR="00A52884">
        <w:t xml:space="preserve">sta verificación </w:t>
      </w:r>
      <w:r>
        <w:t xml:space="preserve">no </w:t>
      </w:r>
      <w:r w:rsidR="00A52884">
        <w:t xml:space="preserve">se </w:t>
      </w:r>
      <w:r>
        <w:t>encontr</w:t>
      </w:r>
      <w:r w:rsidR="00A52884">
        <w:t xml:space="preserve">aron </w:t>
      </w:r>
      <w:r w:rsidR="009A0F0B">
        <w:t xml:space="preserve">las UC N4EQ1 y N4EQ11 </w:t>
      </w:r>
      <w:r w:rsidR="00A52884">
        <w:t xml:space="preserve">que hacen parte de </w:t>
      </w:r>
      <w:r w:rsidR="009A0F0B">
        <w:t>la solicitud</w:t>
      </w:r>
      <w:r w:rsidR="009E526F">
        <w:t>. El acta de la respectiva visita reposa en el expediente de la actuación administrativa.</w:t>
      </w:r>
    </w:p>
    <w:p w:rsidR="00C75423" w:rsidRDefault="00C75423" w:rsidP="00DB043F">
      <w:r>
        <w:t xml:space="preserve">En la </w:t>
      </w:r>
      <w:r w:rsidR="00E240E7">
        <w:t>c</w:t>
      </w:r>
      <w:r>
        <w:t xml:space="preserve">omunicación radicada en la CREG bajo el número </w:t>
      </w:r>
      <w:r w:rsidR="00E240E7">
        <w:t>2014-005982</w:t>
      </w:r>
      <w:r w:rsidR="00A52884">
        <w:t>,</w:t>
      </w:r>
      <w:r>
        <w:t xml:space="preserve"> la UPME dio alcance al concepto inicial de la subestación El Siete, reemplazando la UC N4EQ1 por la UC N4EQ10</w:t>
      </w:r>
      <w:r w:rsidR="009E526F">
        <w:t>.</w:t>
      </w:r>
    </w:p>
    <w:p w:rsidR="006E657F" w:rsidRDefault="00C315C9" w:rsidP="00DB043F">
      <w:r>
        <w:t>C</w:t>
      </w:r>
      <w:r w:rsidR="006E657F" w:rsidRPr="006E657F">
        <w:t xml:space="preserve">on base en los análisis efectuados </w:t>
      </w:r>
      <w:r w:rsidR="00CF4245">
        <w:t xml:space="preserve">y la </w:t>
      </w:r>
      <w:r w:rsidR="00A52884">
        <w:t xml:space="preserve">verificación de activos </w:t>
      </w:r>
      <w:r w:rsidR="00CF4245">
        <w:t>realizada</w:t>
      </w:r>
      <w:r w:rsidR="00A52884">
        <w:t>,</w:t>
      </w:r>
      <w:r w:rsidR="00CF4245">
        <w:t xml:space="preserve"> </w:t>
      </w:r>
      <w:r w:rsidR="006E657F" w:rsidRPr="006E657F">
        <w:t>se inclu</w:t>
      </w:r>
      <w:r w:rsidR="009E1157">
        <w:t xml:space="preserve">yen </w:t>
      </w:r>
      <w:r w:rsidR="006E657F" w:rsidRPr="006E657F">
        <w:t xml:space="preserve">las siguientes Unidades </w:t>
      </w:r>
      <w:r w:rsidR="00CD665F">
        <w:t>C</w:t>
      </w:r>
      <w:r w:rsidR="006E657F" w:rsidRPr="006E657F">
        <w:t>onstructivas</w:t>
      </w:r>
      <w:r w:rsidR="00CD665F">
        <w:t xml:space="preserve"> </w:t>
      </w:r>
      <w:r w:rsidR="006142E3">
        <w:t xml:space="preserve">en el </w:t>
      </w:r>
      <w:r w:rsidR="006E657F" w:rsidRPr="006E657F">
        <w:t xml:space="preserve">inventario de activos de </w:t>
      </w:r>
      <w:r w:rsidR="006142E3">
        <w:t>l</w:t>
      </w:r>
      <w:r w:rsidR="006142E3" w:rsidRPr="006142E3">
        <w:t>a Empresa Distribuidora del Pacífico S.A. E.S.P.</w:t>
      </w:r>
      <w:r w:rsidR="009E1157">
        <w:t>:</w:t>
      </w:r>
    </w:p>
    <w:tbl>
      <w:tblPr>
        <w:tblW w:w="0" w:type="auto"/>
        <w:tblInd w:w="637" w:type="dxa"/>
        <w:tblLayout w:type="fixed"/>
        <w:tblCellMar>
          <w:left w:w="70" w:type="dxa"/>
          <w:right w:w="70" w:type="dxa"/>
        </w:tblCellMar>
        <w:tblLook w:val="04A0" w:firstRow="1" w:lastRow="0" w:firstColumn="1" w:lastColumn="0" w:noHBand="0" w:noVBand="1"/>
      </w:tblPr>
      <w:tblGrid>
        <w:gridCol w:w="1560"/>
        <w:gridCol w:w="6095"/>
        <w:gridCol w:w="1204"/>
      </w:tblGrid>
      <w:tr w:rsidR="00367387" w:rsidRPr="00367387" w:rsidTr="00367387">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7387" w:rsidRPr="00367387" w:rsidRDefault="00367387" w:rsidP="00367387">
            <w:pPr>
              <w:spacing w:before="0" w:after="0"/>
              <w:jc w:val="center"/>
              <w:rPr>
                <w:b/>
                <w:bCs/>
                <w:i/>
                <w:iCs/>
                <w:color w:val="000000"/>
                <w:sz w:val="20"/>
                <w:szCs w:val="22"/>
                <w:lang w:val="es-CO" w:eastAsia="es-CO"/>
              </w:rPr>
            </w:pPr>
            <w:r w:rsidRPr="00367387">
              <w:rPr>
                <w:b/>
                <w:bCs/>
                <w:i/>
                <w:iCs/>
                <w:color w:val="000000"/>
                <w:sz w:val="20"/>
                <w:szCs w:val="22"/>
                <w:lang w:val="es-CO" w:eastAsia="es-CO"/>
              </w:rPr>
              <w:t>Unidad Constructiva</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67387" w:rsidRPr="00367387" w:rsidRDefault="00367387" w:rsidP="00367387">
            <w:pPr>
              <w:spacing w:before="0" w:after="0"/>
              <w:jc w:val="center"/>
              <w:rPr>
                <w:b/>
                <w:bCs/>
                <w:i/>
                <w:iCs/>
                <w:color w:val="000000"/>
                <w:sz w:val="20"/>
                <w:szCs w:val="22"/>
                <w:lang w:val="es-CO" w:eastAsia="es-CO"/>
              </w:rPr>
            </w:pPr>
            <w:r w:rsidRPr="00367387">
              <w:rPr>
                <w:b/>
                <w:bCs/>
                <w:i/>
                <w:iCs/>
                <w:color w:val="000000"/>
                <w:sz w:val="20"/>
                <w:szCs w:val="22"/>
                <w:lang w:val="es-CO" w:eastAsia="es-CO"/>
              </w:rPr>
              <w:t>Descripción de la unidad constructiva</w:t>
            </w:r>
          </w:p>
        </w:tc>
        <w:tc>
          <w:tcPr>
            <w:tcW w:w="1204" w:type="dxa"/>
            <w:tcBorders>
              <w:top w:val="single" w:sz="4" w:space="0" w:color="auto"/>
              <w:left w:val="nil"/>
              <w:bottom w:val="single" w:sz="4" w:space="0" w:color="auto"/>
              <w:right w:val="single" w:sz="4" w:space="0" w:color="auto"/>
            </w:tcBorders>
            <w:shd w:val="clear" w:color="auto" w:fill="FFFFFF" w:themeFill="background1"/>
            <w:vAlign w:val="center"/>
            <w:hideMark/>
          </w:tcPr>
          <w:p w:rsidR="00367387" w:rsidRPr="00367387" w:rsidRDefault="00367387" w:rsidP="00367387">
            <w:pPr>
              <w:spacing w:before="0" w:after="0"/>
              <w:jc w:val="center"/>
              <w:rPr>
                <w:b/>
                <w:bCs/>
                <w:i/>
                <w:iCs/>
                <w:color w:val="000000"/>
                <w:sz w:val="22"/>
                <w:szCs w:val="22"/>
                <w:lang w:val="es-CO" w:eastAsia="es-CO"/>
              </w:rPr>
            </w:pPr>
            <w:r w:rsidRPr="00367387">
              <w:rPr>
                <w:b/>
                <w:bCs/>
                <w:i/>
                <w:iCs/>
                <w:color w:val="000000"/>
                <w:sz w:val="20"/>
                <w:szCs w:val="22"/>
                <w:lang w:val="es-CO" w:eastAsia="es-CO"/>
              </w:rPr>
              <w:t>Cantidad</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N4S1</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Bahía de línea - barra sencilla - tipo convencional</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2</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N4S19</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Protección diferencial de barras</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1</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N4S20</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Módulo de barraje tipo 1 - barra sencilla - tipo convencional</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1</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N4S41</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 xml:space="preserve">Módulo común tipo 1 </w:t>
            </w:r>
            <w:r>
              <w:rPr>
                <w:color w:val="000000"/>
                <w:sz w:val="20"/>
                <w:szCs w:val="22"/>
                <w:lang w:val="es-CO" w:eastAsia="es-CO"/>
              </w:rPr>
              <w:t>–</w:t>
            </w:r>
            <w:r w:rsidRPr="00367387">
              <w:rPr>
                <w:color w:val="000000"/>
                <w:sz w:val="20"/>
                <w:szCs w:val="22"/>
                <w:lang w:val="es-CO" w:eastAsia="es-CO"/>
              </w:rPr>
              <w:t xml:space="preserve"> </w:t>
            </w:r>
            <w:r>
              <w:rPr>
                <w:color w:val="000000"/>
                <w:sz w:val="20"/>
                <w:szCs w:val="22"/>
                <w:lang w:val="es-CO" w:eastAsia="es-CO"/>
              </w:rPr>
              <w:t xml:space="preserve">tipo </w:t>
            </w:r>
            <w:r w:rsidRPr="00367387">
              <w:rPr>
                <w:color w:val="000000"/>
                <w:sz w:val="20"/>
                <w:szCs w:val="22"/>
                <w:lang w:val="es-CO" w:eastAsia="es-CO"/>
              </w:rPr>
              <w:t>convencional</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1</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N4S45</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Sistema de control de la subestación</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1</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N4S48</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Casa de control nivel de tensión 4</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120</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N4EQ2</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Transformador de tensión nivel 4</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9</w:t>
            </w:r>
          </w:p>
        </w:tc>
      </w:tr>
      <w:tr w:rsidR="00367387" w:rsidRPr="00367387" w:rsidTr="00367387">
        <w:trPr>
          <w:trHeight w:val="300"/>
        </w:trPr>
        <w:tc>
          <w:tcPr>
            <w:tcW w:w="1560" w:type="dxa"/>
            <w:tcBorders>
              <w:top w:val="nil"/>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N4EQ8</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Sistema de comunicaciones por onda portadora</w:t>
            </w:r>
          </w:p>
        </w:tc>
        <w:tc>
          <w:tcPr>
            <w:tcW w:w="1204" w:type="dxa"/>
            <w:tcBorders>
              <w:top w:val="nil"/>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2</w:t>
            </w:r>
          </w:p>
        </w:tc>
      </w:tr>
      <w:tr w:rsidR="00367387" w:rsidRPr="00367387" w:rsidTr="0036738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367387" w:rsidRPr="00367387" w:rsidRDefault="00367387" w:rsidP="00367387">
            <w:pPr>
              <w:spacing w:before="0" w:after="0"/>
              <w:jc w:val="center"/>
              <w:rPr>
                <w:color w:val="000000"/>
                <w:sz w:val="20"/>
                <w:szCs w:val="22"/>
                <w:lang w:val="es-CO" w:eastAsia="es-CO"/>
              </w:rPr>
            </w:pPr>
            <w:r w:rsidRPr="00367387">
              <w:rPr>
                <w:color w:val="000000"/>
                <w:sz w:val="20"/>
                <w:szCs w:val="22"/>
                <w:lang w:val="es-CO" w:eastAsia="es-CO"/>
              </w:rPr>
              <w:t>N4EQ9</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left"/>
              <w:rPr>
                <w:color w:val="000000"/>
                <w:sz w:val="20"/>
                <w:szCs w:val="22"/>
                <w:lang w:val="es-CO" w:eastAsia="es-CO"/>
              </w:rPr>
            </w:pPr>
            <w:r w:rsidRPr="00367387">
              <w:rPr>
                <w:color w:val="000000"/>
                <w:sz w:val="20"/>
                <w:szCs w:val="22"/>
                <w:lang w:val="es-CO" w:eastAsia="es-CO"/>
              </w:rPr>
              <w:t xml:space="preserve">Sistema de </w:t>
            </w:r>
            <w:proofErr w:type="spellStart"/>
            <w:r w:rsidRPr="00367387">
              <w:rPr>
                <w:color w:val="000000"/>
                <w:sz w:val="20"/>
                <w:szCs w:val="22"/>
                <w:lang w:val="es-CO" w:eastAsia="es-CO"/>
              </w:rPr>
              <w:t>teleprotección</w:t>
            </w:r>
            <w:proofErr w:type="spellEnd"/>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367387" w:rsidRPr="00367387" w:rsidRDefault="00367387" w:rsidP="00367387">
            <w:pPr>
              <w:spacing w:before="0" w:after="0"/>
              <w:jc w:val="right"/>
              <w:rPr>
                <w:color w:val="000000"/>
                <w:sz w:val="20"/>
                <w:szCs w:val="22"/>
                <w:lang w:val="es-CO" w:eastAsia="es-CO"/>
              </w:rPr>
            </w:pPr>
            <w:r w:rsidRPr="00367387">
              <w:rPr>
                <w:color w:val="000000"/>
                <w:sz w:val="20"/>
                <w:szCs w:val="22"/>
                <w:lang w:val="es-CO" w:eastAsia="es-CO"/>
              </w:rPr>
              <w:t>2</w:t>
            </w:r>
          </w:p>
        </w:tc>
      </w:tr>
      <w:tr w:rsidR="009C24A2" w:rsidRPr="00367387" w:rsidTr="0036738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C24A2" w:rsidRDefault="009C24A2" w:rsidP="006B19F9">
            <w:pPr>
              <w:spacing w:before="0" w:after="0"/>
              <w:jc w:val="center"/>
              <w:rPr>
                <w:color w:val="000000"/>
                <w:sz w:val="20"/>
                <w:szCs w:val="22"/>
                <w:lang w:val="es-CO" w:eastAsia="es-CO"/>
              </w:rPr>
            </w:pPr>
            <w:r>
              <w:rPr>
                <w:color w:val="000000"/>
                <w:sz w:val="20"/>
                <w:szCs w:val="22"/>
                <w:lang w:val="es-CO" w:eastAsia="es-CO"/>
              </w:rPr>
              <w:t>N4EQ10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24A2" w:rsidRDefault="009C24A2" w:rsidP="006B19F9">
            <w:pPr>
              <w:spacing w:before="0" w:after="0"/>
              <w:jc w:val="left"/>
              <w:rPr>
                <w:color w:val="000000"/>
                <w:sz w:val="20"/>
                <w:szCs w:val="22"/>
                <w:lang w:val="es-CO" w:eastAsia="es-CO"/>
              </w:rPr>
            </w:pPr>
            <w:r>
              <w:rPr>
                <w:color w:val="000000"/>
                <w:sz w:val="20"/>
                <w:szCs w:val="22"/>
                <w:lang w:val="es-CO" w:eastAsia="es-CO"/>
              </w:rPr>
              <w:t>Interface de usuario (IHM)</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9C24A2" w:rsidRDefault="009C24A2" w:rsidP="00367387">
            <w:pPr>
              <w:spacing w:before="0" w:after="0"/>
              <w:jc w:val="right"/>
              <w:rPr>
                <w:color w:val="000000"/>
                <w:sz w:val="20"/>
                <w:szCs w:val="22"/>
                <w:lang w:val="es-CO" w:eastAsia="es-CO"/>
              </w:rPr>
            </w:pPr>
            <w:r>
              <w:rPr>
                <w:color w:val="000000"/>
                <w:sz w:val="20"/>
                <w:szCs w:val="22"/>
                <w:lang w:val="es-CO" w:eastAsia="es-CO"/>
              </w:rPr>
              <w:t>1</w:t>
            </w:r>
          </w:p>
        </w:tc>
      </w:tr>
      <w:tr w:rsidR="009C24A2" w:rsidRPr="00367387" w:rsidTr="0036738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C24A2" w:rsidRPr="00367387" w:rsidRDefault="009C24A2" w:rsidP="00367387">
            <w:pPr>
              <w:spacing w:before="0" w:after="0"/>
              <w:jc w:val="center"/>
              <w:rPr>
                <w:color w:val="000000"/>
                <w:sz w:val="20"/>
                <w:szCs w:val="22"/>
                <w:lang w:val="es-CO" w:eastAsia="es-CO"/>
              </w:rPr>
            </w:pPr>
            <w:r>
              <w:rPr>
                <w:color w:val="000000"/>
                <w:sz w:val="20"/>
                <w:szCs w:val="22"/>
                <w:lang w:val="es-CO" w:eastAsia="es-CO"/>
              </w:rPr>
              <w:t>CCS27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24A2" w:rsidRPr="00367387" w:rsidRDefault="009C24A2" w:rsidP="00367387">
            <w:pPr>
              <w:spacing w:before="0" w:after="0"/>
              <w:jc w:val="left"/>
              <w:rPr>
                <w:color w:val="000000"/>
                <w:sz w:val="20"/>
                <w:szCs w:val="22"/>
                <w:lang w:val="es-CO" w:eastAsia="es-CO"/>
              </w:rPr>
            </w:pPr>
            <w:r>
              <w:rPr>
                <w:color w:val="000000"/>
                <w:sz w:val="20"/>
                <w:szCs w:val="22"/>
                <w:lang w:val="es-CO" w:eastAsia="es-CO"/>
              </w:rPr>
              <w:t>Sistema de gestión de la distribución – DMS tipo 4</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9C24A2" w:rsidRPr="00367387" w:rsidRDefault="009C24A2" w:rsidP="00367387">
            <w:pPr>
              <w:spacing w:before="0" w:after="0"/>
              <w:jc w:val="right"/>
              <w:rPr>
                <w:color w:val="000000"/>
                <w:sz w:val="20"/>
                <w:szCs w:val="22"/>
                <w:lang w:val="es-CO" w:eastAsia="es-CO"/>
              </w:rPr>
            </w:pPr>
            <w:r>
              <w:rPr>
                <w:color w:val="000000"/>
                <w:sz w:val="20"/>
                <w:szCs w:val="22"/>
                <w:lang w:val="es-CO" w:eastAsia="es-CO"/>
              </w:rPr>
              <w:t>1</w:t>
            </w:r>
          </w:p>
        </w:tc>
      </w:tr>
    </w:tbl>
    <w:p w:rsidR="00CF0B66" w:rsidRDefault="00C315C9" w:rsidP="00DB043F">
      <w:r>
        <w:t>A</w:t>
      </w:r>
      <w:r w:rsidR="00CF0B66" w:rsidRPr="00CF0B66">
        <w:t xml:space="preserve">l modificarse la base de activos se </w:t>
      </w:r>
      <w:r w:rsidR="0087580B">
        <w:t xml:space="preserve">ajusta </w:t>
      </w:r>
      <w:r w:rsidR="00CF0B66" w:rsidRPr="00CF0B66">
        <w:t xml:space="preserve">el </w:t>
      </w:r>
      <w:r w:rsidR="00CD665F">
        <w:t>C</w:t>
      </w:r>
      <w:r w:rsidR="00CF0B66" w:rsidRPr="00CF0B66">
        <w:t xml:space="preserve">osto </w:t>
      </w:r>
      <w:r w:rsidR="00CD665F">
        <w:t>A</w:t>
      </w:r>
      <w:r w:rsidR="00CF0B66" w:rsidRPr="00CF0B66">
        <w:t xml:space="preserve">nual por </w:t>
      </w:r>
      <w:r w:rsidR="00CD665F">
        <w:t>U</w:t>
      </w:r>
      <w:r w:rsidR="00CF0B66" w:rsidRPr="00CF0B66">
        <w:t xml:space="preserve">so de los </w:t>
      </w:r>
      <w:r w:rsidR="00837924">
        <w:t>A</w:t>
      </w:r>
      <w:r w:rsidR="00CF0B66" w:rsidRPr="00CF0B66">
        <w:t xml:space="preserve">ctivos </w:t>
      </w:r>
      <w:r w:rsidR="00837924" w:rsidRPr="00CF0B66">
        <w:t>de Nivel de Tensión 4</w:t>
      </w:r>
      <w:r w:rsidR="00823DDB">
        <w:t xml:space="preserve">, </w:t>
      </w:r>
      <w:r w:rsidR="00C8232C">
        <w:t xml:space="preserve">el </w:t>
      </w:r>
      <w:r w:rsidR="00C8232C" w:rsidRPr="006142E3">
        <w:t>Cargo Máximo por Uso</w:t>
      </w:r>
      <w:r w:rsidR="00C8232C">
        <w:t xml:space="preserve"> del nivel de tensión 2 y </w:t>
      </w:r>
      <w:r w:rsidR="00CF0B66" w:rsidRPr="00CF0B66">
        <w:t xml:space="preserve">el Costo de Reposición de la Inversión de </w:t>
      </w:r>
      <w:r w:rsidR="0087580B">
        <w:t xml:space="preserve">los niveles de tensión </w:t>
      </w:r>
      <w:r w:rsidR="00CF0B66" w:rsidRPr="00CF0B66">
        <w:t>4</w:t>
      </w:r>
      <w:r w:rsidR="00823DDB">
        <w:t xml:space="preserve"> </w:t>
      </w:r>
      <w:r w:rsidR="0087580B">
        <w:t>y 2</w:t>
      </w:r>
      <w:r w:rsidR="009E526F">
        <w:t>.</w:t>
      </w:r>
    </w:p>
    <w:p w:rsidR="00E03BD2" w:rsidRDefault="00C8232C" w:rsidP="00DB043F">
      <w:r>
        <w:t>L</w:t>
      </w:r>
      <w:r w:rsidR="00E03BD2">
        <w:t xml:space="preserve">a Comisión de Regulación de Energía y Gas, en su sesión </w:t>
      </w:r>
      <w:r w:rsidR="00C850D9">
        <w:t>No.</w:t>
      </w:r>
      <w:r w:rsidR="00772BF0">
        <w:t>618</w:t>
      </w:r>
      <w:r w:rsidR="00E03BD2">
        <w:t xml:space="preserve"> de</w:t>
      </w:r>
      <w:r w:rsidR="00C850D9">
        <w:t xml:space="preserve">l </w:t>
      </w:r>
      <w:r w:rsidR="00772BF0">
        <w:t>12</w:t>
      </w:r>
      <w:r w:rsidR="00C850D9">
        <w:t xml:space="preserve"> de </w:t>
      </w:r>
      <w:r w:rsidR="00772BF0">
        <w:t>septiembre</w:t>
      </w:r>
      <w:r w:rsidR="002D51A2">
        <w:t xml:space="preserve"> </w:t>
      </w:r>
      <w:r w:rsidR="00E03BD2">
        <w:t>de 201</w:t>
      </w:r>
      <w:r w:rsidR="000F038B">
        <w:t>4</w:t>
      </w:r>
      <w:r w:rsidR="00E03BD2">
        <w:t>, acordó</w:t>
      </w:r>
      <w:r w:rsidR="009E526F">
        <w:t xml:space="preserve"> expedir la presente resolución.</w:t>
      </w:r>
    </w:p>
    <w:p w:rsidR="00772BF0" w:rsidRPr="00772BF0" w:rsidRDefault="00772BF0" w:rsidP="00772BF0">
      <w:pPr>
        <w:keepNext/>
        <w:spacing w:before="0" w:after="0"/>
        <w:jc w:val="center"/>
        <w:rPr>
          <w:b/>
          <w:sz w:val="14"/>
        </w:rPr>
      </w:pPr>
    </w:p>
    <w:p w:rsidR="00E03BD2" w:rsidRDefault="00E03BD2" w:rsidP="00772BF0">
      <w:pPr>
        <w:keepNext/>
        <w:spacing w:before="0" w:after="0"/>
        <w:jc w:val="center"/>
        <w:rPr>
          <w:b/>
          <w:spacing w:val="40"/>
        </w:rPr>
      </w:pPr>
      <w:r>
        <w:rPr>
          <w:b/>
        </w:rPr>
        <w:t xml:space="preserve">R E S U E L V </w:t>
      </w:r>
      <w:r>
        <w:rPr>
          <w:b/>
          <w:spacing w:val="40"/>
        </w:rPr>
        <w:t>E:</w:t>
      </w:r>
    </w:p>
    <w:p w:rsidR="00772BF0" w:rsidRDefault="00772BF0" w:rsidP="00772BF0">
      <w:pPr>
        <w:keepNext/>
        <w:spacing w:before="0" w:after="0"/>
        <w:jc w:val="center"/>
        <w:rPr>
          <w:b/>
          <w:spacing w:val="40"/>
          <w:sz w:val="18"/>
        </w:rPr>
      </w:pPr>
    </w:p>
    <w:p w:rsidR="009E526F" w:rsidRPr="00772BF0" w:rsidRDefault="009E526F" w:rsidP="00772BF0">
      <w:pPr>
        <w:keepNext/>
        <w:spacing w:before="0" w:after="0"/>
        <w:jc w:val="center"/>
        <w:rPr>
          <w:b/>
          <w:spacing w:val="40"/>
          <w:sz w:val="18"/>
        </w:rPr>
      </w:pPr>
    </w:p>
    <w:p w:rsidR="00772BF0" w:rsidRPr="00772BF0" w:rsidRDefault="00772BF0" w:rsidP="00772BF0">
      <w:pPr>
        <w:keepNext/>
        <w:spacing w:before="0" w:after="0"/>
        <w:jc w:val="center"/>
        <w:rPr>
          <w:b/>
          <w:spacing w:val="40"/>
          <w:sz w:val="2"/>
        </w:rPr>
      </w:pPr>
    </w:p>
    <w:p w:rsidR="008E6072" w:rsidRDefault="00DB043F" w:rsidP="00772BF0">
      <w:pPr>
        <w:pStyle w:val="Artculo"/>
        <w:spacing w:before="0" w:after="0"/>
      </w:pPr>
      <w:bookmarkStart w:id="1" w:name="_Toc259626851"/>
      <w:r w:rsidRPr="00DB043F">
        <w:rPr>
          <w:b/>
        </w:rPr>
        <w:t>Artículo 1</w:t>
      </w:r>
      <w:r>
        <w:t xml:space="preserve">. </w:t>
      </w:r>
      <w:r w:rsidR="00CF0B66" w:rsidRPr="004549AD">
        <w:t>Modificar el Artículo 1 de la Resolución CREG 10</w:t>
      </w:r>
      <w:r w:rsidR="00942D1A">
        <w:t>8</w:t>
      </w:r>
      <w:r w:rsidR="00CF0B66" w:rsidRPr="004549AD">
        <w:t xml:space="preserve"> de 2009, el cual queda así:</w:t>
      </w:r>
    </w:p>
    <w:p w:rsidR="00772BF0" w:rsidRPr="00772BF0" w:rsidRDefault="00772BF0" w:rsidP="00772BF0">
      <w:pPr>
        <w:pStyle w:val="Artculo"/>
        <w:spacing w:before="0" w:after="0"/>
        <w:rPr>
          <w:sz w:val="14"/>
        </w:rPr>
      </w:pPr>
    </w:p>
    <w:p w:rsidR="00772BF0" w:rsidRDefault="00CF0B66" w:rsidP="00772BF0">
      <w:pPr>
        <w:spacing w:before="0" w:after="0"/>
        <w:ind w:left="284" w:right="193"/>
      </w:pPr>
      <w:r w:rsidRPr="00772BF0">
        <w:rPr>
          <w:b/>
          <w:spacing w:val="-3"/>
        </w:rPr>
        <w:t>Artículo 1.</w:t>
      </w:r>
      <w:r w:rsidRPr="00772BF0">
        <w:rPr>
          <w:b/>
          <w:spacing w:val="-3"/>
        </w:rPr>
        <w:tab/>
      </w:r>
      <w:r w:rsidRPr="00772BF0">
        <w:rPr>
          <w:b/>
        </w:rPr>
        <w:t>Costo Anual por el uso de los activos del Nivel de Tensión 4.</w:t>
      </w:r>
      <w:r w:rsidRPr="00772BF0">
        <w:t xml:space="preserve"> El Costo Anual por el Uso de los Activos del Nivel de Tensión 4 operados por </w:t>
      </w:r>
      <w:r w:rsidR="000A6822" w:rsidRPr="00772BF0">
        <w:t xml:space="preserve">la Empresa Distribuidora del Pacífico S.A. </w:t>
      </w:r>
      <w:r w:rsidRPr="00772BF0">
        <w:t>E.S.P., calculado en la forma establecida en la Resolución CREG 097 de 2008, es el siguiente:</w:t>
      </w:r>
    </w:p>
    <w:p w:rsidR="009E526F" w:rsidRDefault="009E526F" w:rsidP="00772BF0">
      <w:pPr>
        <w:spacing w:before="0" w:after="0"/>
        <w:ind w:left="284" w:right="193"/>
      </w:pPr>
    </w:p>
    <w:p w:rsidR="009E526F" w:rsidRDefault="009E526F" w:rsidP="00772BF0">
      <w:pPr>
        <w:spacing w:before="0" w:after="0"/>
        <w:ind w:left="284" w:right="193"/>
      </w:pPr>
    </w:p>
    <w:p w:rsidR="00772BF0" w:rsidRDefault="00772BF0" w:rsidP="00772BF0">
      <w:pPr>
        <w:spacing w:before="0" w:after="0"/>
        <w:ind w:left="284" w:right="193"/>
        <w:rPr>
          <w:sz w:val="2"/>
        </w:rPr>
      </w:pPr>
    </w:p>
    <w:p w:rsidR="00772BF0" w:rsidRDefault="00772BF0" w:rsidP="00772BF0">
      <w:pPr>
        <w:spacing w:before="0" w:after="0"/>
        <w:ind w:left="284" w:right="193"/>
        <w:rPr>
          <w:sz w:val="2"/>
        </w:rPr>
      </w:pPr>
    </w:p>
    <w:p w:rsidR="00772BF0" w:rsidRDefault="00772BF0" w:rsidP="00772BF0">
      <w:pPr>
        <w:spacing w:before="0" w:after="0"/>
        <w:ind w:left="284" w:right="193"/>
        <w:rPr>
          <w:sz w:val="2"/>
        </w:rPr>
      </w:pPr>
    </w:p>
    <w:p w:rsidR="00772BF0" w:rsidRDefault="00772BF0" w:rsidP="00772BF0">
      <w:pPr>
        <w:spacing w:before="0" w:after="0"/>
        <w:ind w:left="284" w:right="193"/>
        <w:rPr>
          <w:sz w:val="2"/>
        </w:rPr>
      </w:pPr>
    </w:p>
    <w:p w:rsidR="00772BF0" w:rsidRPr="00772BF0" w:rsidRDefault="00772BF0" w:rsidP="00772BF0">
      <w:pPr>
        <w:spacing w:before="0" w:after="0"/>
        <w:ind w:left="284" w:right="193"/>
        <w:rPr>
          <w:sz w:val="2"/>
        </w:rPr>
      </w:pPr>
    </w:p>
    <w:tbl>
      <w:tblPr>
        <w:tblW w:w="8185" w:type="dxa"/>
        <w:jc w:val="center"/>
        <w:tblInd w:w="-826" w:type="dxa"/>
        <w:tblCellMar>
          <w:left w:w="70" w:type="dxa"/>
          <w:right w:w="70" w:type="dxa"/>
        </w:tblCellMar>
        <w:tblLook w:val="04A0" w:firstRow="1" w:lastRow="0" w:firstColumn="1" w:lastColumn="0" w:noHBand="0" w:noVBand="1"/>
      </w:tblPr>
      <w:tblGrid>
        <w:gridCol w:w="4666"/>
        <w:gridCol w:w="3519"/>
      </w:tblGrid>
      <w:tr w:rsidR="00CF0B66" w:rsidRPr="007D04E4" w:rsidTr="00F13E53">
        <w:trPr>
          <w:trHeight w:val="444"/>
          <w:jc w:val="center"/>
        </w:trPr>
        <w:tc>
          <w:tcPr>
            <w:tcW w:w="466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0B66" w:rsidRPr="007D04E4" w:rsidRDefault="00CF0B66" w:rsidP="00DB043F">
            <w:pPr>
              <w:spacing w:before="0" w:after="0"/>
              <w:jc w:val="center"/>
              <w:rPr>
                <w:rFonts w:cs="Calibri"/>
                <w:b/>
                <w:bCs/>
                <w:i/>
                <w:color w:val="000000"/>
                <w:sz w:val="22"/>
                <w:szCs w:val="22"/>
                <w:lang w:val="es-CO" w:eastAsia="es-CO"/>
              </w:rPr>
            </w:pPr>
            <w:r w:rsidRPr="007D04E4">
              <w:rPr>
                <w:rFonts w:cs="Calibri"/>
                <w:b/>
                <w:bCs/>
                <w:i/>
                <w:color w:val="000000"/>
                <w:sz w:val="22"/>
                <w:szCs w:val="22"/>
                <w:lang w:val="es-CO" w:eastAsia="es-CO"/>
              </w:rPr>
              <w:lastRenderedPageBreak/>
              <w:t xml:space="preserve">Costo Anual por el Uso de los Activos </w:t>
            </w:r>
          </w:p>
        </w:tc>
        <w:tc>
          <w:tcPr>
            <w:tcW w:w="3519" w:type="dxa"/>
            <w:tcBorders>
              <w:top w:val="single" w:sz="8" w:space="0" w:color="000000"/>
              <w:left w:val="nil"/>
              <w:bottom w:val="single" w:sz="8" w:space="0" w:color="000000"/>
              <w:right w:val="single" w:sz="8" w:space="0" w:color="000000"/>
            </w:tcBorders>
            <w:shd w:val="clear" w:color="auto" w:fill="auto"/>
            <w:vAlign w:val="center"/>
            <w:hideMark/>
          </w:tcPr>
          <w:p w:rsidR="00CF0B66" w:rsidRPr="007D04E4" w:rsidRDefault="00CF0B66" w:rsidP="00DB043F">
            <w:pPr>
              <w:spacing w:before="0" w:after="0"/>
              <w:jc w:val="center"/>
              <w:rPr>
                <w:rFonts w:cs="Calibri"/>
                <w:b/>
                <w:bCs/>
                <w:i/>
                <w:color w:val="000000"/>
                <w:sz w:val="22"/>
                <w:szCs w:val="22"/>
                <w:lang w:val="es-CO" w:eastAsia="es-CO"/>
              </w:rPr>
            </w:pPr>
            <w:r w:rsidRPr="007D04E4">
              <w:rPr>
                <w:rFonts w:cs="Calibri"/>
                <w:b/>
                <w:bCs/>
                <w:i/>
                <w:color w:val="000000"/>
                <w:sz w:val="22"/>
                <w:szCs w:val="22"/>
                <w:lang w:val="es-CO" w:eastAsia="es-CO"/>
              </w:rPr>
              <w:t>Pesos de diciembre de 2007</w:t>
            </w:r>
          </w:p>
        </w:tc>
      </w:tr>
      <w:tr w:rsidR="00CF0B66" w:rsidRPr="009C24A2" w:rsidTr="00F13E53">
        <w:trPr>
          <w:trHeight w:val="379"/>
          <w:jc w:val="center"/>
        </w:trPr>
        <w:tc>
          <w:tcPr>
            <w:tcW w:w="4666" w:type="dxa"/>
            <w:tcBorders>
              <w:top w:val="nil"/>
              <w:left w:val="single" w:sz="8" w:space="0" w:color="000000"/>
              <w:bottom w:val="single" w:sz="8" w:space="0" w:color="000000"/>
              <w:right w:val="single" w:sz="8" w:space="0" w:color="000000"/>
            </w:tcBorders>
            <w:shd w:val="clear" w:color="auto" w:fill="auto"/>
            <w:vAlign w:val="center"/>
            <w:hideMark/>
          </w:tcPr>
          <w:p w:rsidR="00CF0B66" w:rsidRPr="007D04E4" w:rsidRDefault="00CF0B66" w:rsidP="00DB043F">
            <w:pPr>
              <w:spacing w:before="0" w:after="0"/>
              <w:rPr>
                <w:rFonts w:cs="Calibri"/>
                <w:i/>
                <w:color w:val="000000"/>
                <w:sz w:val="22"/>
                <w:szCs w:val="22"/>
                <w:lang w:val="es-CO" w:eastAsia="es-CO"/>
              </w:rPr>
            </w:pPr>
            <w:r w:rsidRPr="007D04E4">
              <w:rPr>
                <w:rFonts w:cs="Calibri"/>
                <w:i/>
                <w:color w:val="000000"/>
                <w:sz w:val="22"/>
                <w:szCs w:val="22"/>
                <w:lang w:val="es-CO" w:eastAsia="es-CO"/>
              </w:rPr>
              <w:t>Nivel de Tensión 4</w:t>
            </w:r>
            <w:r w:rsidRPr="007D04E4">
              <w:rPr>
                <w:rFonts w:cs="Calibri"/>
                <w:b/>
                <w:bCs/>
                <w:i/>
                <w:iCs/>
                <w:color w:val="000000"/>
                <w:sz w:val="22"/>
                <w:szCs w:val="22"/>
                <w:lang w:val="es-CO" w:eastAsia="es-CO"/>
              </w:rPr>
              <w:t xml:space="preserve"> (CA</w:t>
            </w:r>
            <w:r w:rsidRPr="007D04E4">
              <w:rPr>
                <w:rFonts w:cs="Calibri"/>
                <w:b/>
                <w:bCs/>
                <w:i/>
                <w:iCs/>
                <w:color w:val="000000"/>
                <w:sz w:val="22"/>
                <w:szCs w:val="22"/>
                <w:vertAlign w:val="subscript"/>
                <w:lang w:val="es-CO" w:eastAsia="es-CO"/>
              </w:rPr>
              <w:t>j,4</w:t>
            </w:r>
            <w:r w:rsidRPr="007D04E4">
              <w:rPr>
                <w:rFonts w:cs="Calibri"/>
                <w:b/>
                <w:bCs/>
                <w:i/>
                <w:iCs/>
                <w:color w:val="000000"/>
                <w:sz w:val="22"/>
                <w:szCs w:val="22"/>
                <w:lang w:val="es-CO" w:eastAsia="es-CO"/>
              </w:rPr>
              <w:t>)</w:t>
            </w:r>
          </w:p>
        </w:tc>
        <w:tc>
          <w:tcPr>
            <w:tcW w:w="3519" w:type="dxa"/>
            <w:tcBorders>
              <w:top w:val="nil"/>
              <w:left w:val="nil"/>
              <w:bottom w:val="single" w:sz="8" w:space="0" w:color="000000"/>
              <w:right w:val="single" w:sz="8" w:space="0" w:color="000000"/>
            </w:tcBorders>
            <w:shd w:val="clear" w:color="auto" w:fill="auto"/>
            <w:vAlign w:val="center"/>
            <w:hideMark/>
          </w:tcPr>
          <w:p w:rsidR="00CF0B66" w:rsidRPr="009C24A2" w:rsidRDefault="0030418B" w:rsidP="009C24A2">
            <w:pPr>
              <w:spacing w:before="0" w:after="0"/>
              <w:jc w:val="right"/>
              <w:rPr>
                <w:rFonts w:cs="Calibri"/>
                <w:i/>
                <w:color w:val="000000"/>
                <w:sz w:val="22"/>
                <w:szCs w:val="22"/>
                <w:lang w:val="es-CO" w:eastAsia="es-CO"/>
              </w:rPr>
            </w:pPr>
            <w:r w:rsidRPr="009C24A2">
              <w:rPr>
                <w:rFonts w:cs="Calibri"/>
                <w:i/>
                <w:color w:val="000000"/>
                <w:sz w:val="22"/>
                <w:szCs w:val="22"/>
                <w:lang w:val="es-CO" w:eastAsia="es-CO"/>
              </w:rPr>
              <w:t>11.7</w:t>
            </w:r>
            <w:r w:rsidR="009C24A2" w:rsidRPr="009C24A2">
              <w:rPr>
                <w:rFonts w:cs="Calibri"/>
                <w:i/>
                <w:color w:val="000000"/>
                <w:sz w:val="22"/>
                <w:szCs w:val="22"/>
                <w:lang w:val="es-CO" w:eastAsia="es-CO"/>
              </w:rPr>
              <w:t>44</w:t>
            </w:r>
            <w:r w:rsidRPr="009C24A2">
              <w:rPr>
                <w:rFonts w:cs="Calibri"/>
                <w:i/>
                <w:color w:val="000000"/>
                <w:sz w:val="22"/>
                <w:szCs w:val="22"/>
                <w:lang w:val="es-CO" w:eastAsia="es-CO"/>
              </w:rPr>
              <w:t>.</w:t>
            </w:r>
            <w:r w:rsidR="009C24A2" w:rsidRPr="009C24A2">
              <w:rPr>
                <w:rFonts w:cs="Calibri"/>
                <w:i/>
                <w:color w:val="000000"/>
                <w:sz w:val="22"/>
                <w:szCs w:val="22"/>
                <w:lang w:val="es-CO" w:eastAsia="es-CO"/>
              </w:rPr>
              <w:t>575</w:t>
            </w:r>
            <w:r w:rsidRPr="009C24A2">
              <w:rPr>
                <w:rFonts w:cs="Calibri"/>
                <w:i/>
                <w:color w:val="000000"/>
                <w:sz w:val="22"/>
                <w:szCs w:val="22"/>
                <w:lang w:val="es-CO" w:eastAsia="es-CO"/>
              </w:rPr>
              <w:t>.</w:t>
            </w:r>
            <w:r w:rsidR="009C24A2" w:rsidRPr="009C24A2">
              <w:rPr>
                <w:rFonts w:cs="Calibri"/>
                <w:i/>
                <w:color w:val="000000"/>
                <w:sz w:val="22"/>
                <w:szCs w:val="22"/>
                <w:lang w:val="es-CO" w:eastAsia="es-CO"/>
              </w:rPr>
              <w:t>272</w:t>
            </w:r>
          </w:p>
        </w:tc>
      </w:tr>
    </w:tbl>
    <w:bookmarkEnd w:id="1"/>
    <w:p w:rsidR="000B5829" w:rsidRDefault="000B5829" w:rsidP="000B5829">
      <w:pPr>
        <w:pStyle w:val="Artculo"/>
      </w:pPr>
      <w:r w:rsidRPr="00DB043F">
        <w:rPr>
          <w:b/>
        </w:rPr>
        <w:t>Artículo 2.</w:t>
      </w:r>
      <w:r>
        <w:t xml:space="preserve"> </w:t>
      </w:r>
      <w:r w:rsidRPr="00CF0B66">
        <w:t xml:space="preserve">Modificar el Artículo </w:t>
      </w:r>
      <w:r>
        <w:t>2</w:t>
      </w:r>
      <w:r w:rsidRPr="00CF0B66">
        <w:t xml:space="preserve"> de la Resolución CREG 10</w:t>
      </w:r>
      <w:r>
        <w:t>8</w:t>
      </w:r>
      <w:r w:rsidRPr="00CF0B66">
        <w:t xml:space="preserve"> de 2009, el cual queda así:</w:t>
      </w:r>
    </w:p>
    <w:p w:rsidR="000B5829" w:rsidRPr="009E526F" w:rsidRDefault="000B5829" w:rsidP="000B5829">
      <w:pPr>
        <w:ind w:left="284" w:right="193"/>
      </w:pPr>
      <w:r w:rsidRPr="009E526F">
        <w:rPr>
          <w:b/>
          <w:spacing w:val="-3"/>
        </w:rPr>
        <w:t>Artículo 2. Cargos Máximos de los niveles de tensión 2 y 1</w:t>
      </w:r>
      <w:r w:rsidRPr="009E526F">
        <w:rPr>
          <w:b/>
        </w:rPr>
        <w:t>.</w:t>
      </w:r>
      <w:r w:rsidRPr="009E526F">
        <w:t xml:space="preserve"> Los Cargos Máximos de los niveles de tensión 2 y 1 del sistema operado por la Empresa Distribuidora del Pacífico S.A. E.S.P., </w:t>
      </w:r>
      <w:proofErr w:type="gramStart"/>
      <w:r w:rsidRPr="009E526F">
        <w:t>calculados</w:t>
      </w:r>
      <w:proofErr w:type="gramEnd"/>
      <w:r w:rsidRPr="009E526F">
        <w:t xml:space="preserve"> en la forma establecida en la Resolución CREG 097 de 2008, son los siguientes:</w:t>
      </w:r>
    </w:p>
    <w:tbl>
      <w:tblPr>
        <w:tblW w:w="8820" w:type="dxa"/>
        <w:jc w:val="center"/>
        <w:tblInd w:w="-543" w:type="dxa"/>
        <w:tblCellMar>
          <w:left w:w="70" w:type="dxa"/>
          <w:right w:w="70" w:type="dxa"/>
        </w:tblCellMar>
        <w:tblLook w:val="04A0" w:firstRow="1" w:lastRow="0" w:firstColumn="1" w:lastColumn="0" w:noHBand="0" w:noVBand="1"/>
      </w:tblPr>
      <w:tblGrid>
        <w:gridCol w:w="4457"/>
        <w:gridCol w:w="4363"/>
      </w:tblGrid>
      <w:tr w:rsidR="000B5829" w:rsidRPr="007D04E4" w:rsidTr="00F13E53">
        <w:trPr>
          <w:trHeight w:val="335"/>
          <w:jc w:val="center"/>
        </w:trPr>
        <w:tc>
          <w:tcPr>
            <w:tcW w:w="445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0B5829" w:rsidRPr="007D04E4" w:rsidRDefault="000B5829" w:rsidP="000B5829">
            <w:pPr>
              <w:spacing w:before="0" w:after="0"/>
              <w:jc w:val="center"/>
              <w:rPr>
                <w:rFonts w:cs="Calibri"/>
                <w:b/>
                <w:bCs/>
                <w:i/>
                <w:color w:val="000000"/>
                <w:sz w:val="22"/>
                <w:szCs w:val="22"/>
                <w:lang w:val="es-CO" w:eastAsia="es-CO"/>
              </w:rPr>
            </w:pPr>
            <w:r w:rsidRPr="007D04E4">
              <w:rPr>
                <w:rFonts w:cs="Calibri"/>
                <w:b/>
                <w:bCs/>
                <w:i/>
                <w:color w:val="000000"/>
                <w:sz w:val="22"/>
                <w:szCs w:val="22"/>
                <w:lang w:val="es-CO" w:eastAsia="es-CO"/>
              </w:rPr>
              <w:t>C</w:t>
            </w:r>
            <w:r>
              <w:rPr>
                <w:rFonts w:cs="Calibri"/>
                <w:b/>
                <w:bCs/>
                <w:i/>
                <w:color w:val="000000"/>
                <w:sz w:val="22"/>
                <w:szCs w:val="22"/>
                <w:lang w:val="es-CO" w:eastAsia="es-CO"/>
              </w:rPr>
              <w:t>argo Máximo</w:t>
            </w:r>
            <w:r w:rsidRPr="007D04E4">
              <w:rPr>
                <w:rFonts w:cs="Calibri"/>
                <w:b/>
                <w:bCs/>
                <w:i/>
                <w:color w:val="000000"/>
                <w:sz w:val="22"/>
                <w:szCs w:val="22"/>
                <w:lang w:val="es-CO" w:eastAsia="es-CO"/>
              </w:rPr>
              <w:t xml:space="preserve"> </w:t>
            </w:r>
          </w:p>
        </w:tc>
        <w:tc>
          <w:tcPr>
            <w:tcW w:w="4363" w:type="dxa"/>
            <w:tcBorders>
              <w:top w:val="single" w:sz="8" w:space="0" w:color="000000"/>
              <w:left w:val="nil"/>
              <w:bottom w:val="single" w:sz="4" w:space="0" w:color="auto"/>
              <w:right w:val="single" w:sz="8" w:space="0" w:color="000000"/>
            </w:tcBorders>
            <w:shd w:val="clear" w:color="auto" w:fill="auto"/>
            <w:vAlign w:val="center"/>
            <w:hideMark/>
          </w:tcPr>
          <w:p w:rsidR="000B5829" w:rsidRPr="007D04E4" w:rsidRDefault="000B5829" w:rsidP="00F13E53">
            <w:pPr>
              <w:spacing w:before="0" w:after="0"/>
              <w:jc w:val="center"/>
              <w:rPr>
                <w:rFonts w:cs="Calibri"/>
                <w:b/>
                <w:bCs/>
                <w:i/>
                <w:color w:val="000000"/>
                <w:sz w:val="22"/>
                <w:szCs w:val="22"/>
                <w:lang w:val="es-CO" w:eastAsia="es-CO"/>
              </w:rPr>
            </w:pPr>
            <w:r>
              <w:rPr>
                <w:rFonts w:cs="Calibri"/>
                <w:b/>
                <w:bCs/>
                <w:i/>
                <w:color w:val="000000"/>
                <w:sz w:val="22"/>
                <w:szCs w:val="22"/>
                <w:lang w:val="es-CO" w:eastAsia="es-CO"/>
              </w:rPr>
              <w:t>$/</w:t>
            </w:r>
            <w:proofErr w:type="spellStart"/>
            <w:r>
              <w:rPr>
                <w:rFonts w:cs="Calibri"/>
                <w:b/>
                <w:bCs/>
                <w:i/>
                <w:color w:val="000000"/>
                <w:sz w:val="22"/>
                <w:szCs w:val="22"/>
                <w:lang w:val="es-CO" w:eastAsia="es-CO"/>
              </w:rPr>
              <w:t>kWh</w:t>
            </w:r>
            <w:proofErr w:type="spellEnd"/>
            <w:r w:rsidR="00F13E53">
              <w:rPr>
                <w:rFonts w:cs="Calibri"/>
                <w:b/>
                <w:bCs/>
                <w:i/>
                <w:color w:val="000000"/>
                <w:sz w:val="22"/>
                <w:szCs w:val="22"/>
                <w:lang w:val="es-CO" w:eastAsia="es-CO"/>
              </w:rPr>
              <w:t xml:space="preserve"> </w:t>
            </w:r>
            <w:r>
              <w:rPr>
                <w:rFonts w:cs="Calibri"/>
                <w:b/>
                <w:bCs/>
                <w:i/>
                <w:color w:val="000000"/>
                <w:sz w:val="22"/>
                <w:szCs w:val="22"/>
                <w:lang w:val="es-CO" w:eastAsia="es-CO"/>
              </w:rPr>
              <w:t>(</w:t>
            </w:r>
            <w:r w:rsidRPr="007D04E4">
              <w:rPr>
                <w:rFonts w:cs="Calibri"/>
                <w:b/>
                <w:bCs/>
                <w:i/>
                <w:color w:val="000000"/>
                <w:sz w:val="22"/>
                <w:szCs w:val="22"/>
                <w:lang w:val="es-CO" w:eastAsia="es-CO"/>
              </w:rPr>
              <w:t>Pesos de diciembre de 2007</w:t>
            </w:r>
            <w:r>
              <w:rPr>
                <w:rFonts w:cs="Calibri"/>
                <w:b/>
                <w:bCs/>
                <w:i/>
                <w:color w:val="000000"/>
                <w:sz w:val="22"/>
                <w:szCs w:val="22"/>
                <w:lang w:val="es-CO" w:eastAsia="es-CO"/>
              </w:rPr>
              <w:t>)</w:t>
            </w:r>
          </w:p>
        </w:tc>
      </w:tr>
      <w:tr w:rsidR="000B5829" w:rsidRPr="007D04E4" w:rsidTr="00F13E53">
        <w:trPr>
          <w:trHeight w:val="379"/>
          <w:jc w:val="center"/>
        </w:trPr>
        <w:tc>
          <w:tcPr>
            <w:tcW w:w="4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829" w:rsidRPr="007D04E4" w:rsidRDefault="000B5829" w:rsidP="000B5829">
            <w:pPr>
              <w:spacing w:before="0" w:after="0"/>
              <w:rPr>
                <w:rFonts w:cs="Calibri"/>
                <w:i/>
                <w:color w:val="000000"/>
                <w:sz w:val="22"/>
                <w:szCs w:val="22"/>
                <w:lang w:val="es-CO" w:eastAsia="es-CO"/>
              </w:rPr>
            </w:pPr>
            <w:r w:rsidRPr="007D04E4">
              <w:rPr>
                <w:rFonts w:cs="Calibri"/>
                <w:i/>
                <w:color w:val="000000"/>
                <w:sz w:val="22"/>
                <w:szCs w:val="22"/>
                <w:lang w:val="es-CO" w:eastAsia="es-CO"/>
              </w:rPr>
              <w:t xml:space="preserve">Nivel de Tensión </w:t>
            </w:r>
            <w:r>
              <w:rPr>
                <w:rFonts w:cs="Calibri"/>
                <w:i/>
                <w:color w:val="000000"/>
                <w:sz w:val="22"/>
                <w:szCs w:val="22"/>
                <w:lang w:val="es-CO" w:eastAsia="es-CO"/>
              </w:rPr>
              <w:t>2</w:t>
            </w:r>
            <w:r w:rsidRPr="007D04E4">
              <w:rPr>
                <w:rFonts w:cs="Calibri"/>
                <w:b/>
                <w:bCs/>
                <w:i/>
                <w:iCs/>
                <w:color w:val="000000"/>
                <w:sz w:val="22"/>
                <w:szCs w:val="22"/>
                <w:lang w:val="es-CO" w:eastAsia="es-CO"/>
              </w:rPr>
              <w:t xml:space="preserve"> (C</w:t>
            </w:r>
            <w:r>
              <w:rPr>
                <w:rFonts w:cs="Calibri"/>
                <w:b/>
                <w:bCs/>
                <w:i/>
                <w:iCs/>
                <w:color w:val="000000"/>
                <w:sz w:val="22"/>
                <w:szCs w:val="22"/>
                <w:lang w:val="es-CO" w:eastAsia="es-CO"/>
              </w:rPr>
              <w:t>D</w:t>
            </w:r>
            <w:r w:rsidRPr="007D04E4">
              <w:rPr>
                <w:rFonts w:cs="Calibri"/>
                <w:b/>
                <w:bCs/>
                <w:i/>
                <w:iCs/>
                <w:color w:val="000000"/>
                <w:sz w:val="22"/>
                <w:szCs w:val="22"/>
                <w:vertAlign w:val="subscript"/>
                <w:lang w:val="es-CO" w:eastAsia="es-CO"/>
              </w:rPr>
              <w:t>j,</w:t>
            </w:r>
            <w:r>
              <w:rPr>
                <w:rFonts w:cs="Calibri"/>
                <w:b/>
                <w:bCs/>
                <w:i/>
                <w:iCs/>
                <w:color w:val="000000"/>
                <w:sz w:val="22"/>
                <w:szCs w:val="22"/>
                <w:vertAlign w:val="subscript"/>
                <w:lang w:val="es-CO" w:eastAsia="es-CO"/>
              </w:rPr>
              <w:t>2</w:t>
            </w:r>
            <w:r w:rsidRPr="007D04E4">
              <w:rPr>
                <w:rFonts w:cs="Calibri"/>
                <w:b/>
                <w:bCs/>
                <w:i/>
                <w:iCs/>
                <w:color w:val="000000"/>
                <w:sz w:val="22"/>
                <w:szCs w:val="22"/>
                <w:lang w:val="es-CO" w:eastAsia="es-CO"/>
              </w:rPr>
              <w:t>)</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829" w:rsidRPr="007D04E4" w:rsidRDefault="000B5829" w:rsidP="0030418B">
            <w:pPr>
              <w:spacing w:before="0" w:after="0"/>
              <w:jc w:val="center"/>
              <w:rPr>
                <w:rFonts w:cs="Calibri"/>
                <w:i/>
                <w:color w:val="000000"/>
                <w:sz w:val="22"/>
                <w:szCs w:val="22"/>
                <w:lang w:val="es-CO" w:eastAsia="es-CO"/>
              </w:rPr>
            </w:pPr>
            <w:r>
              <w:rPr>
                <w:rFonts w:cs="Calibri"/>
                <w:i/>
                <w:color w:val="000000"/>
                <w:sz w:val="22"/>
                <w:szCs w:val="22"/>
                <w:lang w:val="es-CO" w:eastAsia="es-CO"/>
              </w:rPr>
              <w:t>4</w:t>
            </w:r>
            <w:r w:rsidR="0030418B">
              <w:rPr>
                <w:rFonts w:cs="Calibri"/>
                <w:i/>
                <w:color w:val="000000"/>
                <w:sz w:val="22"/>
                <w:szCs w:val="22"/>
                <w:lang w:val="es-CO" w:eastAsia="es-CO"/>
              </w:rPr>
              <w:t>5</w:t>
            </w:r>
            <w:r>
              <w:rPr>
                <w:rFonts w:cs="Calibri"/>
                <w:i/>
                <w:color w:val="000000"/>
                <w:sz w:val="22"/>
                <w:szCs w:val="22"/>
                <w:lang w:val="es-CO" w:eastAsia="es-CO"/>
              </w:rPr>
              <w:t>.8</w:t>
            </w:r>
            <w:r w:rsidR="0030418B">
              <w:rPr>
                <w:rFonts w:cs="Calibri"/>
                <w:i/>
                <w:color w:val="000000"/>
                <w:sz w:val="22"/>
                <w:szCs w:val="22"/>
                <w:lang w:val="es-CO" w:eastAsia="es-CO"/>
              </w:rPr>
              <w:t>2</w:t>
            </w:r>
          </w:p>
        </w:tc>
      </w:tr>
      <w:tr w:rsidR="000B5829" w:rsidRPr="007D04E4" w:rsidTr="00F13E53">
        <w:trPr>
          <w:trHeight w:val="379"/>
          <w:jc w:val="center"/>
        </w:trPr>
        <w:tc>
          <w:tcPr>
            <w:tcW w:w="4457" w:type="dxa"/>
            <w:tcBorders>
              <w:top w:val="single" w:sz="4" w:space="0" w:color="auto"/>
              <w:left w:val="single" w:sz="4" w:space="0" w:color="auto"/>
              <w:bottom w:val="single" w:sz="4" w:space="0" w:color="auto"/>
              <w:right w:val="single" w:sz="4" w:space="0" w:color="auto"/>
            </w:tcBorders>
            <w:shd w:val="clear" w:color="auto" w:fill="auto"/>
            <w:vAlign w:val="center"/>
          </w:tcPr>
          <w:p w:rsidR="000B5829" w:rsidRPr="007D04E4" w:rsidRDefault="000B5829" w:rsidP="000B5829">
            <w:pPr>
              <w:spacing w:before="0" w:after="0"/>
              <w:rPr>
                <w:rFonts w:cs="Calibri"/>
                <w:i/>
                <w:color w:val="000000"/>
                <w:sz w:val="22"/>
                <w:szCs w:val="22"/>
                <w:lang w:val="es-CO" w:eastAsia="es-CO"/>
              </w:rPr>
            </w:pPr>
            <w:r w:rsidRPr="007D04E4">
              <w:rPr>
                <w:rFonts w:cs="Calibri"/>
                <w:i/>
                <w:color w:val="000000"/>
                <w:sz w:val="22"/>
                <w:szCs w:val="22"/>
                <w:lang w:val="es-CO" w:eastAsia="es-CO"/>
              </w:rPr>
              <w:t xml:space="preserve">Nivel de Tensión </w:t>
            </w:r>
            <w:r>
              <w:rPr>
                <w:rFonts w:cs="Calibri"/>
                <w:i/>
                <w:color w:val="000000"/>
                <w:sz w:val="22"/>
                <w:szCs w:val="22"/>
                <w:lang w:val="es-CO" w:eastAsia="es-CO"/>
              </w:rPr>
              <w:t xml:space="preserve">1 por inversión </w:t>
            </w:r>
            <w:r w:rsidRPr="007D04E4">
              <w:rPr>
                <w:rFonts w:cs="Calibri"/>
                <w:b/>
                <w:bCs/>
                <w:i/>
                <w:iCs/>
                <w:color w:val="000000"/>
                <w:sz w:val="22"/>
                <w:szCs w:val="22"/>
                <w:lang w:val="es-CO" w:eastAsia="es-CO"/>
              </w:rPr>
              <w:t>(C</w:t>
            </w:r>
            <w:r>
              <w:rPr>
                <w:rFonts w:cs="Calibri"/>
                <w:b/>
                <w:bCs/>
                <w:i/>
                <w:iCs/>
                <w:color w:val="000000"/>
                <w:sz w:val="22"/>
                <w:szCs w:val="22"/>
                <w:lang w:val="es-CO" w:eastAsia="es-CO"/>
              </w:rPr>
              <w:t>DI</w:t>
            </w:r>
            <w:r w:rsidRPr="007D04E4">
              <w:rPr>
                <w:rFonts w:cs="Calibri"/>
                <w:b/>
                <w:bCs/>
                <w:i/>
                <w:iCs/>
                <w:color w:val="000000"/>
                <w:sz w:val="22"/>
                <w:szCs w:val="22"/>
                <w:vertAlign w:val="subscript"/>
                <w:lang w:val="es-CO" w:eastAsia="es-CO"/>
              </w:rPr>
              <w:t>j,</w:t>
            </w:r>
            <w:r>
              <w:rPr>
                <w:rFonts w:cs="Calibri"/>
                <w:b/>
                <w:bCs/>
                <w:i/>
                <w:iCs/>
                <w:color w:val="000000"/>
                <w:sz w:val="22"/>
                <w:szCs w:val="22"/>
                <w:vertAlign w:val="subscript"/>
                <w:lang w:val="es-CO" w:eastAsia="es-CO"/>
              </w:rPr>
              <w:t>1</w:t>
            </w:r>
            <w:r w:rsidRPr="007D04E4">
              <w:rPr>
                <w:rFonts w:cs="Calibri"/>
                <w:b/>
                <w:bCs/>
                <w:i/>
                <w:iCs/>
                <w:color w:val="000000"/>
                <w:sz w:val="22"/>
                <w:szCs w:val="22"/>
                <w:lang w:val="es-CO" w:eastAsia="es-CO"/>
              </w:rPr>
              <w:t>)</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center"/>
          </w:tcPr>
          <w:p w:rsidR="000B5829" w:rsidRDefault="000B5829" w:rsidP="000B5829">
            <w:pPr>
              <w:spacing w:before="0" w:after="0"/>
              <w:jc w:val="center"/>
              <w:rPr>
                <w:rFonts w:cs="Calibri"/>
                <w:i/>
                <w:color w:val="000000"/>
                <w:sz w:val="22"/>
                <w:szCs w:val="22"/>
                <w:lang w:val="es-CO" w:eastAsia="es-CO"/>
              </w:rPr>
            </w:pPr>
            <w:r>
              <w:rPr>
                <w:rFonts w:cs="Calibri"/>
                <w:i/>
                <w:color w:val="000000"/>
                <w:sz w:val="22"/>
                <w:szCs w:val="22"/>
                <w:lang w:val="es-CO" w:eastAsia="es-CO"/>
              </w:rPr>
              <w:t>21.56</w:t>
            </w:r>
          </w:p>
        </w:tc>
      </w:tr>
      <w:tr w:rsidR="000B5829" w:rsidRPr="007D04E4" w:rsidTr="00F13E53">
        <w:trPr>
          <w:trHeight w:val="379"/>
          <w:jc w:val="center"/>
        </w:trPr>
        <w:tc>
          <w:tcPr>
            <w:tcW w:w="4457" w:type="dxa"/>
            <w:tcBorders>
              <w:top w:val="single" w:sz="4" w:space="0" w:color="auto"/>
              <w:left w:val="single" w:sz="4" w:space="0" w:color="auto"/>
              <w:bottom w:val="single" w:sz="4" w:space="0" w:color="auto"/>
              <w:right w:val="single" w:sz="4" w:space="0" w:color="auto"/>
            </w:tcBorders>
            <w:shd w:val="clear" w:color="auto" w:fill="auto"/>
            <w:vAlign w:val="center"/>
          </w:tcPr>
          <w:p w:rsidR="000B5829" w:rsidRPr="007D04E4" w:rsidRDefault="000B5829" w:rsidP="000B5829">
            <w:pPr>
              <w:spacing w:before="0" w:after="0"/>
              <w:rPr>
                <w:rFonts w:cs="Calibri"/>
                <w:i/>
                <w:color w:val="000000"/>
                <w:sz w:val="22"/>
                <w:szCs w:val="22"/>
                <w:lang w:val="es-CO" w:eastAsia="es-CO"/>
              </w:rPr>
            </w:pPr>
            <w:r w:rsidRPr="007D04E4">
              <w:rPr>
                <w:rFonts w:cs="Calibri"/>
                <w:i/>
                <w:color w:val="000000"/>
                <w:sz w:val="22"/>
                <w:szCs w:val="22"/>
                <w:lang w:val="es-CO" w:eastAsia="es-CO"/>
              </w:rPr>
              <w:t xml:space="preserve">Nivel de Tensión </w:t>
            </w:r>
            <w:r>
              <w:rPr>
                <w:rFonts w:cs="Calibri"/>
                <w:i/>
                <w:color w:val="000000"/>
                <w:sz w:val="22"/>
                <w:szCs w:val="22"/>
                <w:lang w:val="es-CO" w:eastAsia="es-CO"/>
              </w:rPr>
              <w:t xml:space="preserve">1 por AOM </w:t>
            </w:r>
            <w:r w:rsidRPr="007D04E4">
              <w:rPr>
                <w:rFonts w:cs="Calibri"/>
                <w:b/>
                <w:bCs/>
                <w:i/>
                <w:iCs/>
                <w:color w:val="000000"/>
                <w:sz w:val="22"/>
                <w:szCs w:val="22"/>
                <w:lang w:val="es-CO" w:eastAsia="es-CO"/>
              </w:rPr>
              <w:t>(C</w:t>
            </w:r>
            <w:r>
              <w:rPr>
                <w:rFonts w:cs="Calibri"/>
                <w:b/>
                <w:bCs/>
                <w:i/>
                <w:iCs/>
                <w:color w:val="000000"/>
                <w:sz w:val="22"/>
                <w:szCs w:val="22"/>
                <w:lang w:val="es-CO" w:eastAsia="es-CO"/>
              </w:rPr>
              <w:t>DM</w:t>
            </w:r>
            <w:r w:rsidRPr="007D04E4">
              <w:rPr>
                <w:rFonts w:cs="Calibri"/>
                <w:b/>
                <w:bCs/>
                <w:i/>
                <w:iCs/>
                <w:color w:val="000000"/>
                <w:sz w:val="22"/>
                <w:szCs w:val="22"/>
                <w:vertAlign w:val="subscript"/>
                <w:lang w:val="es-CO" w:eastAsia="es-CO"/>
              </w:rPr>
              <w:t>j,</w:t>
            </w:r>
            <w:r>
              <w:rPr>
                <w:rFonts w:cs="Calibri"/>
                <w:b/>
                <w:bCs/>
                <w:i/>
                <w:iCs/>
                <w:color w:val="000000"/>
                <w:sz w:val="22"/>
                <w:szCs w:val="22"/>
                <w:vertAlign w:val="subscript"/>
                <w:lang w:val="es-CO" w:eastAsia="es-CO"/>
              </w:rPr>
              <w:t>1</w:t>
            </w:r>
            <w:r w:rsidRPr="007D04E4">
              <w:rPr>
                <w:rFonts w:cs="Calibri"/>
                <w:b/>
                <w:bCs/>
                <w:i/>
                <w:iCs/>
                <w:color w:val="000000"/>
                <w:sz w:val="22"/>
                <w:szCs w:val="22"/>
                <w:lang w:val="es-CO" w:eastAsia="es-CO"/>
              </w:rPr>
              <w:t>)</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center"/>
          </w:tcPr>
          <w:p w:rsidR="000B5829" w:rsidRDefault="000B5829" w:rsidP="0030418B">
            <w:pPr>
              <w:spacing w:before="0" w:after="0"/>
              <w:jc w:val="center"/>
              <w:rPr>
                <w:rFonts w:cs="Calibri"/>
                <w:i/>
                <w:color w:val="000000"/>
                <w:sz w:val="22"/>
                <w:szCs w:val="22"/>
                <w:lang w:val="es-CO" w:eastAsia="es-CO"/>
              </w:rPr>
            </w:pPr>
            <w:r>
              <w:rPr>
                <w:rFonts w:cs="Calibri"/>
                <w:i/>
                <w:color w:val="000000"/>
                <w:sz w:val="22"/>
                <w:szCs w:val="22"/>
                <w:lang w:val="es-CO" w:eastAsia="es-CO"/>
              </w:rPr>
              <w:t>4.</w:t>
            </w:r>
            <w:r w:rsidR="0030418B">
              <w:rPr>
                <w:rFonts w:cs="Calibri"/>
                <w:i/>
                <w:color w:val="000000"/>
                <w:sz w:val="22"/>
                <w:szCs w:val="22"/>
                <w:lang w:val="es-CO" w:eastAsia="es-CO"/>
              </w:rPr>
              <w:t>24</w:t>
            </w:r>
          </w:p>
        </w:tc>
      </w:tr>
    </w:tbl>
    <w:p w:rsidR="00743283" w:rsidRDefault="00DB043F" w:rsidP="003023AC">
      <w:pPr>
        <w:pStyle w:val="Artculo"/>
      </w:pPr>
      <w:r w:rsidRPr="00DB043F">
        <w:rPr>
          <w:b/>
        </w:rPr>
        <w:t xml:space="preserve">Artículo </w:t>
      </w:r>
      <w:r w:rsidR="00AA186A">
        <w:rPr>
          <w:b/>
        </w:rPr>
        <w:t>3</w:t>
      </w:r>
      <w:r w:rsidRPr="00DB043F">
        <w:rPr>
          <w:b/>
        </w:rPr>
        <w:t>.</w:t>
      </w:r>
      <w:r>
        <w:t xml:space="preserve"> </w:t>
      </w:r>
      <w:r w:rsidR="00CF0B66" w:rsidRPr="00CF0B66">
        <w:t>Modificar el Artículo 5 de la Resolución CREG 10</w:t>
      </w:r>
      <w:r w:rsidR="00AA186A">
        <w:t>8</w:t>
      </w:r>
      <w:r w:rsidR="00CF0B66" w:rsidRPr="00CF0B66">
        <w:t xml:space="preserve"> de 2009, el cual queda así:</w:t>
      </w:r>
    </w:p>
    <w:p w:rsidR="00CF0B66" w:rsidRPr="009E526F" w:rsidRDefault="00CF0B66" w:rsidP="006140E4">
      <w:pPr>
        <w:ind w:left="284" w:right="193"/>
      </w:pPr>
      <w:r w:rsidRPr="009E526F">
        <w:rPr>
          <w:b/>
        </w:rPr>
        <w:t xml:space="preserve">Artículo 5. Costos de reposición de la inversión. </w:t>
      </w:r>
      <w:r w:rsidRPr="009E526F">
        <w:t>Los costos de reposición de la inversión de</w:t>
      </w:r>
      <w:r w:rsidR="00AA186A" w:rsidRPr="009E526F">
        <w:t xml:space="preserve"> la Empresa Distribuidora del Pacífico S.A. E.S.P. </w:t>
      </w:r>
      <w:r w:rsidRPr="009E526F">
        <w:t>para cada nivel de tensión, calculados en la forma establecida en la Resolución CREG 097 de 2008, son los siguientes:</w:t>
      </w:r>
    </w:p>
    <w:tbl>
      <w:tblPr>
        <w:tblW w:w="7987" w:type="dxa"/>
        <w:jc w:val="center"/>
        <w:shd w:val="clear" w:color="auto" w:fill="FFFFFF" w:themeFill="background1"/>
        <w:tblCellMar>
          <w:left w:w="70" w:type="dxa"/>
          <w:right w:w="70" w:type="dxa"/>
        </w:tblCellMar>
        <w:tblLook w:val="04A0" w:firstRow="1" w:lastRow="0" w:firstColumn="1" w:lastColumn="0" w:noHBand="0" w:noVBand="1"/>
      </w:tblPr>
      <w:tblGrid>
        <w:gridCol w:w="4460"/>
        <w:gridCol w:w="3527"/>
      </w:tblGrid>
      <w:tr w:rsidR="00CF0B66" w:rsidRPr="009A2F9C" w:rsidTr="00A52884">
        <w:trPr>
          <w:cantSplit/>
          <w:trHeight w:val="319"/>
          <w:jc w:val="center"/>
        </w:trPr>
        <w:tc>
          <w:tcPr>
            <w:tcW w:w="4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Costo de Reposición de Inversión</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Pesos de diciembre de 2007</w:t>
            </w:r>
          </w:p>
        </w:tc>
      </w:tr>
      <w:tr w:rsidR="009A2F9C" w:rsidRPr="009A2F9C" w:rsidTr="00A52884">
        <w:trPr>
          <w:cantSplit/>
          <w:trHeight w:val="379"/>
          <w:jc w:val="center"/>
        </w:trPr>
        <w:tc>
          <w:tcPr>
            <w:tcW w:w="4460" w:type="dxa"/>
            <w:tcBorders>
              <w:top w:val="single" w:sz="4" w:space="0" w:color="auto"/>
              <w:left w:val="single" w:sz="8" w:space="0" w:color="auto"/>
              <w:bottom w:val="single" w:sz="4" w:space="0" w:color="000000"/>
              <w:right w:val="nil"/>
            </w:tcBorders>
            <w:shd w:val="clear" w:color="auto" w:fill="FFFFFF" w:themeFill="background1"/>
            <w:vAlign w:val="center"/>
            <w:hideMark/>
          </w:tcPr>
          <w:p w:rsidR="009A2F9C" w:rsidRPr="009A2F9C" w:rsidRDefault="009A2F9C"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4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j,4</w:t>
            </w:r>
            <w:r w:rsidRPr="009A2F9C">
              <w:rPr>
                <w:rFonts w:cs="Calibri"/>
                <w:b/>
                <w:bCs/>
                <w:i/>
                <w:iCs/>
                <w:color w:val="000000"/>
                <w:sz w:val="22"/>
                <w:szCs w:val="22"/>
                <w:lang w:val="es-CO" w:eastAsia="es-CO"/>
              </w:rPr>
              <w:t>)</w:t>
            </w:r>
          </w:p>
        </w:tc>
        <w:tc>
          <w:tcPr>
            <w:tcW w:w="352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A2F9C" w:rsidRPr="00507F20" w:rsidRDefault="0030418B" w:rsidP="00507F20">
            <w:pPr>
              <w:spacing w:before="0" w:after="0"/>
              <w:jc w:val="right"/>
              <w:rPr>
                <w:i/>
                <w:iCs/>
                <w:color w:val="000000"/>
                <w:sz w:val="22"/>
                <w:szCs w:val="22"/>
              </w:rPr>
            </w:pPr>
            <w:r w:rsidRPr="00507F20">
              <w:rPr>
                <w:i/>
                <w:iCs/>
                <w:color w:val="000000"/>
                <w:sz w:val="22"/>
                <w:szCs w:val="22"/>
              </w:rPr>
              <w:t>80.</w:t>
            </w:r>
            <w:r w:rsidR="00507F20" w:rsidRPr="00507F20">
              <w:rPr>
                <w:i/>
                <w:iCs/>
                <w:color w:val="000000"/>
                <w:sz w:val="22"/>
                <w:szCs w:val="22"/>
              </w:rPr>
              <w:t>797</w:t>
            </w:r>
            <w:r w:rsidRPr="00507F20">
              <w:rPr>
                <w:i/>
                <w:iCs/>
                <w:color w:val="000000"/>
                <w:sz w:val="22"/>
                <w:szCs w:val="22"/>
              </w:rPr>
              <w:t>.</w:t>
            </w:r>
            <w:r w:rsidR="00507F20" w:rsidRPr="00507F20">
              <w:rPr>
                <w:i/>
                <w:iCs/>
                <w:color w:val="000000"/>
                <w:sz w:val="22"/>
                <w:szCs w:val="22"/>
              </w:rPr>
              <w:t>204</w:t>
            </w:r>
            <w:r w:rsidRPr="00507F20">
              <w:rPr>
                <w:i/>
                <w:iCs/>
                <w:color w:val="000000"/>
                <w:sz w:val="22"/>
                <w:szCs w:val="22"/>
              </w:rPr>
              <w:t>.000</w:t>
            </w:r>
          </w:p>
        </w:tc>
      </w:tr>
      <w:tr w:rsidR="00CF0B66" w:rsidRPr="009A2F9C" w:rsidTr="00A52884">
        <w:trPr>
          <w:cantSplit/>
          <w:trHeight w:val="379"/>
          <w:jc w:val="center"/>
        </w:trPr>
        <w:tc>
          <w:tcPr>
            <w:tcW w:w="4460" w:type="dxa"/>
            <w:tcBorders>
              <w:top w:val="nil"/>
              <w:left w:val="single" w:sz="8" w:space="0" w:color="auto"/>
              <w:bottom w:val="single" w:sz="4" w:space="0" w:color="000000"/>
              <w:right w:val="nil"/>
            </w:tcBorders>
            <w:shd w:val="clear" w:color="auto" w:fill="FFFFFF" w:themeFill="background1"/>
            <w:vAlign w:val="center"/>
            <w:hideMark/>
          </w:tcPr>
          <w:p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2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j,2</w:t>
            </w:r>
            <w:r w:rsidRPr="009A2F9C">
              <w:rPr>
                <w:rFonts w:cs="Calibri"/>
                <w:b/>
                <w:bCs/>
                <w:i/>
                <w:iCs/>
                <w:color w:val="000000"/>
                <w:sz w:val="22"/>
                <w:szCs w:val="22"/>
                <w:lang w:val="es-CO" w:eastAsia="es-CO"/>
              </w:rPr>
              <w:t>)</w:t>
            </w:r>
          </w:p>
        </w:tc>
        <w:tc>
          <w:tcPr>
            <w:tcW w:w="3527" w:type="dxa"/>
            <w:tcBorders>
              <w:top w:val="nil"/>
              <w:left w:val="single" w:sz="8" w:space="0" w:color="auto"/>
              <w:bottom w:val="single" w:sz="4" w:space="0" w:color="auto"/>
              <w:right w:val="single" w:sz="8" w:space="0" w:color="auto"/>
            </w:tcBorders>
            <w:shd w:val="clear" w:color="auto" w:fill="FFFFFF" w:themeFill="background1"/>
            <w:vAlign w:val="center"/>
          </w:tcPr>
          <w:p w:rsidR="00CF0B66" w:rsidRPr="009A2F9C" w:rsidRDefault="0030418B" w:rsidP="00DB043F">
            <w:pPr>
              <w:keepNext/>
              <w:spacing w:before="0" w:after="0"/>
              <w:jc w:val="right"/>
              <w:rPr>
                <w:rFonts w:cs="Calibri"/>
                <w:i/>
                <w:color w:val="000000"/>
                <w:sz w:val="22"/>
                <w:szCs w:val="22"/>
                <w:lang w:val="es-CO" w:eastAsia="es-CO"/>
              </w:rPr>
            </w:pPr>
            <w:r>
              <w:rPr>
                <w:rFonts w:cs="Calibri"/>
                <w:i/>
                <w:color w:val="000000"/>
                <w:sz w:val="22"/>
                <w:szCs w:val="22"/>
                <w:lang w:val="es-CO" w:eastAsia="es-CO"/>
              </w:rPr>
              <w:t>32.365.247.062</w:t>
            </w:r>
          </w:p>
        </w:tc>
      </w:tr>
      <w:tr w:rsidR="00CF0B66" w:rsidRPr="00C40B42" w:rsidTr="00F13E53">
        <w:trPr>
          <w:cantSplit/>
          <w:trHeight w:val="221"/>
          <w:jc w:val="center"/>
        </w:trPr>
        <w:tc>
          <w:tcPr>
            <w:tcW w:w="4460" w:type="dxa"/>
            <w:tcBorders>
              <w:top w:val="nil"/>
              <w:left w:val="single" w:sz="8" w:space="0" w:color="auto"/>
              <w:bottom w:val="single" w:sz="8" w:space="0" w:color="auto"/>
              <w:right w:val="nil"/>
            </w:tcBorders>
            <w:shd w:val="clear" w:color="auto" w:fill="FFFFFF" w:themeFill="background1"/>
            <w:vAlign w:val="center"/>
            <w:hideMark/>
          </w:tcPr>
          <w:p w:rsidR="00CF0B66" w:rsidRPr="009A2F9C" w:rsidRDefault="00CF0B66" w:rsidP="00DB043F">
            <w:pPr>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1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j,1</w:t>
            </w:r>
            <w:r w:rsidRPr="009A2F9C">
              <w:rPr>
                <w:rFonts w:cs="Calibri"/>
                <w:b/>
                <w:bCs/>
                <w:i/>
                <w:iCs/>
                <w:color w:val="000000"/>
                <w:sz w:val="22"/>
                <w:szCs w:val="22"/>
                <w:lang w:val="es-CO" w:eastAsia="es-CO"/>
              </w:rPr>
              <w:t>)</w:t>
            </w:r>
          </w:p>
        </w:tc>
        <w:tc>
          <w:tcPr>
            <w:tcW w:w="3527" w:type="dxa"/>
            <w:tcBorders>
              <w:top w:val="nil"/>
              <w:left w:val="single" w:sz="8" w:space="0" w:color="auto"/>
              <w:bottom w:val="single" w:sz="8" w:space="0" w:color="auto"/>
              <w:right w:val="single" w:sz="8" w:space="0" w:color="auto"/>
            </w:tcBorders>
            <w:shd w:val="clear" w:color="auto" w:fill="FFFFFF" w:themeFill="background1"/>
            <w:vAlign w:val="center"/>
          </w:tcPr>
          <w:p w:rsidR="00CF0B66" w:rsidRPr="009A2F9C" w:rsidRDefault="0030418B" w:rsidP="00DB043F">
            <w:pPr>
              <w:spacing w:before="0" w:after="0"/>
              <w:jc w:val="right"/>
              <w:rPr>
                <w:rFonts w:cs="Calibri"/>
                <w:i/>
                <w:color w:val="000000"/>
                <w:sz w:val="22"/>
                <w:szCs w:val="22"/>
                <w:lang w:val="es-CO" w:eastAsia="es-CO"/>
              </w:rPr>
            </w:pPr>
            <w:r>
              <w:rPr>
                <w:rFonts w:cs="Calibri"/>
                <w:i/>
                <w:color w:val="000000"/>
                <w:sz w:val="22"/>
                <w:szCs w:val="22"/>
                <w:lang w:val="es-CO" w:eastAsia="es-CO"/>
              </w:rPr>
              <w:t>15.871.191.125</w:t>
            </w:r>
          </w:p>
        </w:tc>
      </w:tr>
    </w:tbl>
    <w:p w:rsidR="00F373C5" w:rsidRPr="00CF0B66" w:rsidRDefault="009E526F" w:rsidP="003023AC">
      <w:pPr>
        <w:pStyle w:val="Artculo"/>
        <w:rPr>
          <w:sz w:val="22"/>
        </w:rPr>
      </w:pPr>
      <w:r>
        <w:rPr>
          <w:b/>
        </w:rPr>
        <w:t>Artículo 4</w:t>
      </w:r>
      <w:r w:rsidR="00CF0B66" w:rsidRPr="00140AA7">
        <w:rPr>
          <w:b/>
        </w:rPr>
        <w:t>.</w:t>
      </w:r>
      <w:r w:rsidR="00CF0B66" w:rsidRPr="00140AA7">
        <w:t xml:space="preserve"> </w:t>
      </w:r>
      <w:r w:rsidR="00CF0B66" w:rsidRPr="000D33E7">
        <w:t xml:space="preserve">La presente Resolución deberá notificarse a </w:t>
      </w:r>
      <w:r w:rsidR="00AA186A" w:rsidRPr="00AA186A">
        <w:t>la Empresa Distribuidora del Pacífico S.A. E.S.P.</w:t>
      </w:r>
      <w:r w:rsidR="00710B09">
        <w:t xml:space="preserve"> C</w:t>
      </w:r>
      <w:r w:rsidR="00CF0B66" w:rsidRPr="000D33E7">
        <w:t>ontra lo dispuesto en este acto procede el recurso de reposición, el cual se podrá interponer ante la Dirección Ejecutiva de la CREG dentro de los cinco (5) días hábiles siguientes a la fecha de su notificación.</w:t>
      </w:r>
    </w:p>
    <w:p w:rsidR="00EF6D78" w:rsidRPr="005F46C2" w:rsidRDefault="00EF6D78" w:rsidP="009E526F">
      <w:pPr>
        <w:spacing w:before="0" w:after="0"/>
        <w:jc w:val="center"/>
        <w:rPr>
          <w:b/>
        </w:rPr>
      </w:pPr>
      <w:r w:rsidRPr="005F46C2">
        <w:rPr>
          <w:b/>
        </w:rPr>
        <w:t>PUBLÍQUESE Y CÚMPLASE</w:t>
      </w:r>
    </w:p>
    <w:p w:rsidR="00EF6D78" w:rsidRPr="005F46C2" w:rsidRDefault="00EF6D78" w:rsidP="00C850D9">
      <w:r w:rsidRPr="005F46C2">
        <w:t>Dado en Bogotá, D. C.</w:t>
      </w:r>
    </w:p>
    <w:p w:rsidR="00772BF0" w:rsidRPr="00E73FC0" w:rsidRDefault="00772BF0" w:rsidP="00EF6D78">
      <w:pPr>
        <w:rPr>
          <w:sz w:val="44"/>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772BF0" w:rsidTr="00772BF0">
        <w:tc>
          <w:tcPr>
            <w:tcW w:w="4820" w:type="dxa"/>
            <w:hideMark/>
          </w:tcPr>
          <w:p w:rsidR="00772BF0" w:rsidRDefault="00772BF0" w:rsidP="00772BF0">
            <w:pPr>
              <w:snapToGrid w:val="0"/>
              <w:spacing w:before="0" w:after="0"/>
              <w:jc w:val="center"/>
              <w:rPr>
                <w:rFonts w:cs="Arial"/>
                <w:b/>
                <w:bCs/>
              </w:rPr>
            </w:pPr>
            <w:r>
              <w:rPr>
                <w:rFonts w:cs="Arial"/>
                <w:b/>
                <w:bCs/>
              </w:rPr>
              <w:t>ORLANDO CABRALES SEGOVIA</w:t>
            </w:r>
          </w:p>
        </w:tc>
        <w:tc>
          <w:tcPr>
            <w:tcW w:w="4678" w:type="dxa"/>
            <w:hideMark/>
          </w:tcPr>
          <w:p w:rsidR="00772BF0" w:rsidRDefault="00772BF0" w:rsidP="00772BF0">
            <w:pPr>
              <w:snapToGrid w:val="0"/>
              <w:spacing w:before="0" w:after="0"/>
              <w:jc w:val="center"/>
              <w:rPr>
                <w:rFonts w:cs="Arial"/>
                <w:b/>
                <w:bCs/>
              </w:rPr>
            </w:pPr>
            <w:r>
              <w:rPr>
                <w:rFonts w:cs="Arial"/>
                <w:b/>
                <w:bCs/>
              </w:rPr>
              <w:t>CARLOS FERNANDO ERASO CALERO</w:t>
            </w:r>
          </w:p>
        </w:tc>
      </w:tr>
      <w:tr w:rsidR="00772BF0" w:rsidTr="00772BF0">
        <w:tc>
          <w:tcPr>
            <w:tcW w:w="4820" w:type="dxa"/>
            <w:hideMark/>
          </w:tcPr>
          <w:p w:rsidR="00772BF0" w:rsidRDefault="00772BF0" w:rsidP="00772BF0">
            <w:pPr>
              <w:snapToGrid w:val="0"/>
              <w:spacing w:before="0" w:after="0"/>
              <w:jc w:val="center"/>
              <w:rPr>
                <w:rFonts w:cs="Arial"/>
              </w:rPr>
            </w:pPr>
            <w:r>
              <w:rPr>
                <w:rFonts w:cs="Arial"/>
              </w:rPr>
              <w:t>Viceministro de Energía</w:t>
            </w:r>
          </w:p>
          <w:p w:rsidR="00772BF0" w:rsidRDefault="00772BF0" w:rsidP="00772BF0">
            <w:pPr>
              <w:snapToGrid w:val="0"/>
              <w:spacing w:before="0" w:after="0"/>
              <w:jc w:val="center"/>
              <w:rPr>
                <w:rFonts w:cs="Arial"/>
              </w:rPr>
            </w:pPr>
            <w:r>
              <w:rPr>
                <w:rFonts w:cs="Arial"/>
              </w:rPr>
              <w:t>Delegado del Ministro de Minas y Energía</w:t>
            </w:r>
          </w:p>
          <w:p w:rsidR="00772BF0" w:rsidRDefault="00772BF0" w:rsidP="00772BF0">
            <w:pPr>
              <w:snapToGrid w:val="0"/>
              <w:spacing w:before="0" w:after="0"/>
              <w:jc w:val="center"/>
              <w:rPr>
                <w:rFonts w:cs="Arial"/>
              </w:rPr>
            </w:pPr>
            <w:r>
              <w:rPr>
                <w:rFonts w:cs="Arial"/>
              </w:rPr>
              <w:t>Presidente</w:t>
            </w:r>
          </w:p>
        </w:tc>
        <w:tc>
          <w:tcPr>
            <w:tcW w:w="4678" w:type="dxa"/>
            <w:hideMark/>
          </w:tcPr>
          <w:p w:rsidR="00772BF0" w:rsidRDefault="00772BF0" w:rsidP="00772BF0">
            <w:pPr>
              <w:snapToGrid w:val="0"/>
              <w:spacing w:before="0" w:after="0"/>
              <w:ind w:left="567"/>
              <w:jc w:val="center"/>
              <w:rPr>
                <w:rFonts w:cs="Arial"/>
              </w:rPr>
            </w:pPr>
            <w:r>
              <w:rPr>
                <w:rFonts w:cs="Arial"/>
              </w:rPr>
              <w:t>Director Ejecutivo</w:t>
            </w:r>
          </w:p>
        </w:tc>
      </w:tr>
    </w:tbl>
    <w:p w:rsidR="00F13E53" w:rsidRDefault="00F13E53" w:rsidP="00E73FC0"/>
    <w:sectPr w:rsidR="00F13E53" w:rsidSect="00CD665F">
      <w:headerReference w:type="default" r:id="rId11"/>
      <w:headerReference w:type="first" r:id="rId12"/>
      <w:type w:val="continuous"/>
      <w:pgSz w:w="12242" w:h="18722" w:code="123"/>
      <w:pgMar w:top="2364" w:right="1185" w:bottom="1276"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09" w:rsidRDefault="00710B09">
      <w:r>
        <w:separator/>
      </w:r>
    </w:p>
  </w:endnote>
  <w:endnote w:type="continuationSeparator" w:id="0">
    <w:p w:rsidR="00710B09" w:rsidRDefault="0071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09" w:rsidRDefault="00710B09">
      <w:r>
        <w:separator/>
      </w:r>
    </w:p>
  </w:footnote>
  <w:footnote w:type="continuationSeparator" w:id="0">
    <w:p w:rsidR="00710B09" w:rsidRDefault="00710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09" w:rsidRDefault="00710B09" w:rsidP="00951F79">
    <w:pPr>
      <w:pStyle w:val="Ttulo1"/>
      <w:ind w:right="6"/>
      <w:jc w:val="left"/>
      <w:rPr>
        <w:rFonts w:ascii="Bookman Old Style" w:hAnsi="Bookman Old Style" w:cs="Arial"/>
        <w:b w:val="0"/>
        <w:sz w:val="22"/>
        <w:szCs w:val="22"/>
      </w:rPr>
    </w:pPr>
  </w:p>
  <w:p w:rsidR="00710B09" w:rsidRPr="00951F79" w:rsidRDefault="00710B09"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81618">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81618">
      <w:fldChar w:fldCharType="begin"/>
    </w:r>
    <w:r w:rsidR="00681618">
      <w:instrText xml:space="preserve"> NUMPAGES  \* MERGEFORMAT </w:instrText>
    </w:r>
    <w:r w:rsidR="00681618">
      <w:fldChar w:fldCharType="separate"/>
    </w:r>
    <w:r w:rsidR="00681618" w:rsidRPr="00681618">
      <w:rPr>
        <w:rFonts w:ascii="Bookman Old Style" w:hAnsi="Bookman Old Style" w:cs="Arial"/>
        <w:b w:val="0"/>
        <w:noProof/>
        <w:sz w:val="22"/>
        <w:szCs w:val="22"/>
      </w:rPr>
      <w:t>3</w:t>
    </w:r>
    <w:r w:rsidR="00681618">
      <w:rPr>
        <w:rFonts w:ascii="Bookman Old Style" w:hAnsi="Bookman Old Style" w:cs="Arial"/>
        <w:b w:val="0"/>
        <w:noProof/>
        <w:sz w:val="22"/>
        <w:szCs w:val="22"/>
      </w:rPr>
      <w:fldChar w:fldCharType="end"/>
    </w:r>
  </w:p>
  <w:p w:rsidR="00710B09" w:rsidRDefault="00710B09"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7FD84B45" wp14:editId="27CC9FDD">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rsidR="00710B09" w:rsidRPr="00C315C9" w:rsidRDefault="00710B09" w:rsidP="00CD665F">
    <w:pPr>
      <w:ind w:left="142" w:right="148"/>
      <w:rPr>
        <w:rFonts w:cs="Arial"/>
        <w:sz w:val="20"/>
        <w:szCs w:val="22"/>
      </w:rPr>
    </w:pPr>
    <w:r w:rsidRPr="00C315C9">
      <w:rPr>
        <w:rFonts w:cs="Arial"/>
        <w:noProof/>
        <w:sz w:val="22"/>
        <w:szCs w:val="22"/>
        <w:lang w:val="es-CO" w:eastAsia="es-CO"/>
      </w:rPr>
      <mc:AlternateContent>
        <mc:Choice Requires="wps">
          <w:drawing>
            <wp:anchor distT="0" distB="0" distL="114300" distR="114300" simplePos="0" relativeHeight="251659264" behindDoc="0" locked="0" layoutInCell="1" allowOverlap="1" wp14:anchorId="701D9642" wp14:editId="3A1A4BED">
              <wp:simplePos x="0" y="0"/>
              <wp:positionH relativeFrom="column">
                <wp:posOffset>-28575</wp:posOffset>
              </wp:positionH>
              <wp:positionV relativeFrom="paragraph">
                <wp:posOffset>534035</wp:posOffset>
              </wp:positionV>
              <wp:extent cx="5972175" cy="0"/>
              <wp:effectExtent l="0" t="0" r="9525"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2.25pt;margin-top:42.05pt;width:4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"/>
          </w:pict>
        </mc:Fallback>
      </mc:AlternateContent>
    </w:r>
    <w:r w:rsidRPr="00C315C9">
      <w:rPr>
        <w:rFonts w:cs="Arial"/>
        <w:noProof/>
        <w:sz w:val="22"/>
        <w:szCs w:val="22"/>
        <w:lang w:val="es-CO" w:eastAsia="es-CO"/>
      </w:rPr>
      <w:t>Por la cual se actualiza el Costo Anual por el uso de los Activos del Nivel de Tensión 4 y los Cargos Máximos por Uso del Nivel de Tensión 2 de la Empresa Distribuidora del Pacífico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09" w:rsidRDefault="00710B09" w:rsidP="00025383">
    <w:pPr>
      <w:pStyle w:val="Encabezado"/>
      <w:rPr>
        <w:rFonts w:ascii="Arial" w:hAnsi="Arial" w:cs="Arial"/>
        <w:spacing w:val="20"/>
        <w:sz w:val="20"/>
      </w:rPr>
    </w:pPr>
    <w:r>
      <w:rPr>
        <w:rFonts w:ascii="Arial" w:hAnsi="Arial" w:cs="Arial"/>
        <w:spacing w:val="20"/>
        <w:sz w:val="20"/>
      </w:rPr>
      <w:t xml:space="preserve">                                           República de Colombia</w:t>
    </w:r>
  </w:p>
  <w:p w:rsidR="00710B09" w:rsidRDefault="00710B09">
    <w:pPr>
      <w:pStyle w:val="Encabezado"/>
      <w:jc w:val="center"/>
      <w:rPr>
        <w:rFonts w:ascii="Arial" w:hAnsi="Arial" w:cs="Arial"/>
        <w:spacing w:val="20"/>
        <w:sz w:val="20"/>
      </w:rPr>
    </w:pPr>
  </w:p>
  <w:p w:rsidR="00710B09" w:rsidRDefault="00710B0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1FCB60D9" wp14:editId="584F19F4">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7">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2EF74C9"/>
    <w:multiLevelType w:val="hybridMultilevel"/>
    <w:tmpl w:val="DE6C62E8"/>
    <w:lvl w:ilvl="0" w:tplc="DD2A2DA8">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4"/>
  </w:num>
  <w:num w:numId="6">
    <w:abstractNumId w:val="5"/>
  </w:num>
  <w:num w:numId="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0373"/>
    <w:rsid w:val="00011A72"/>
    <w:rsid w:val="00012259"/>
    <w:rsid w:val="00025383"/>
    <w:rsid w:val="00025F3B"/>
    <w:rsid w:val="00031420"/>
    <w:rsid w:val="00036985"/>
    <w:rsid w:val="00041B54"/>
    <w:rsid w:val="00045D3D"/>
    <w:rsid w:val="00055691"/>
    <w:rsid w:val="000577E1"/>
    <w:rsid w:val="0006350C"/>
    <w:rsid w:val="00063657"/>
    <w:rsid w:val="0006600D"/>
    <w:rsid w:val="00066500"/>
    <w:rsid w:val="00066E71"/>
    <w:rsid w:val="00074C28"/>
    <w:rsid w:val="00076680"/>
    <w:rsid w:val="00076A1D"/>
    <w:rsid w:val="00077527"/>
    <w:rsid w:val="0008073E"/>
    <w:rsid w:val="00081416"/>
    <w:rsid w:val="00086BC3"/>
    <w:rsid w:val="00091CDB"/>
    <w:rsid w:val="00092426"/>
    <w:rsid w:val="00094219"/>
    <w:rsid w:val="00094FC1"/>
    <w:rsid w:val="000A1503"/>
    <w:rsid w:val="000A19AC"/>
    <w:rsid w:val="000A2414"/>
    <w:rsid w:val="000A4B57"/>
    <w:rsid w:val="000A6822"/>
    <w:rsid w:val="000B1944"/>
    <w:rsid w:val="000B2EC9"/>
    <w:rsid w:val="000B4E51"/>
    <w:rsid w:val="000B5829"/>
    <w:rsid w:val="000C1B79"/>
    <w:rsid w:val="000C7B41"/>
    <w:rsid w:val="000D17BD"/>
    <w:rsid w:val="000D2239"/>
    <w:rsid w:val="000D26F8"/>
    <w:rsid w:val="000D39CF"/>
    <w:rsid w:val="000E26E9"/>
    <w:rsid w:val="000F038B"/>
    <w:rsid w:val="000F39A1"/>
    <w:rsid w:val="001006BB"/>
    <w:rsid w:val="00100739"/>
    <w:rsid w:val="0010293A"/>
    <w:rsid w:val="0010689B"/>
    <w:rsid w:val="00111B44"/>
    <w:rsid w:val="00114D4A"/>
    <w:rsid w:val="001159F3"/>
    <w:rsid w:val="00126A60"/>
    <w:rsid w:val="00127CE6"/>
    <w:rsid w:val="0013442B"/>
    <w:rsid w:val="0013526C"/>
    <w:rsid w:val="00136FDF"/>
    <w:rsid w:val="001405C6"/>
    <w:rsid w:val="00141013"/>
    <w:rsid w:val="00142A34"/>
    <w:rsid w:val="00150339"/>
    <w:rsid w:val="00156DB2"/>
    <w:rsid w:val="00157FD9"/>
    <w:rsid w:val="0016432C"/>
    <w:rsid w:val="0017291B"/>
    <w:rsid w:val="00183ECF"/>
    <w:rsid w:val="001921CF"/>
    <w:rsid w:val="00192CBF"/>
    <w:rsid w:val="00192FF1"/>
    <w:rsid w:val="001A5F1B"/>
    <w:rsid w:val="001B1C22"/>
    <w:rsid w:val="001B34C6"/>
    <w:rsid w:val="001D7832"/>
    <w:rsid w:val="001D7EFA"/>
    <w:rsid w:val="001E392A"/>
    <w:rsid w:val="001E5E65"/>
    <w:rsid w:val="001F6E1B"/>
    <w:rsid w:val="0020105F"/>
    <w:rsid w:val="00204D40"/>
    <w:rsid w:val="002066BA"/>
    <w:rsid w:val="002067EF"/>
    <w:rsid w:val="00210DC1"/>
    <w:rsid w:val="00211D34"/>
    <w:rsid w:val="00214F04"/>
    <w:rsid w:val="00222F95"/>
    <w:rsid w:val="002440D2"/>
    <w:rsid w:val="00250C72"/>
    <w:rsid w:val="0026111F"/>
    <w:rsid w:val="0026368E"/>
    <w:rsid w:val="002646F1"/>
    <w:rsid w:val="00266CD6"/>
    <w:rsid w:val="00275DAB"/>
    <w:rsid w:val="00292249"/>
    <w:rsid w:val="0029253B"/>
    <w:rsid w:val="002A782A"/>
    <w:rsid w:val="002B0C17"/>
    <w:rsid w:val="002B11E2"/>
    <w:rsid w:val="002B24B8"/>
    <w:rsid w:val="002B3288"/>
    <w:rsid w:val="002D3AE9"/>
    <w:rsid w:val="002D4510"/>
    <w:rsid w:val="002D51A2"/>
    <w:rsid w:val="002F0734"/>
    <w:rsid w:val="002F1F62"/>
    <w:rsid w:val="002F2BDE"/>
    <w:rsid w:val="002F46E7"/>
    <w:rsid w:val="00301B84"/>
    <w:rsid w:val="003023AC"/>
    <w:rsid w:val="0030418B"/>
    <w:rsid w:val="00305842"/>
    <w:rsid w:val="003101DA"/>
    <w:rsid w:val="003111CA"/>
    <w:rsid w:val="00313EDE"/>
    <w:rsid w:val="00314715"/>
    <w:rsid w:val="00314757"/>
    <w:rsid w:val="003163BC"/>
    <w:rsid w:val="003211CE"/>
    <w:rsid w:val="003248F9"/>
    <w:rsid w:val="00325E06"/>
    <w:rsid w:val="003271B2"/>
    <w:rsid w:val="00333A36"/>
    <w:rsid w:val="00334221"/>
    <w:rsid w:val="00350D9E"/>
    <w:rsid w:val="0035403A"/>
    <w:rsid w:val="0035627D"/>
    <w:rsid w:val="00360FA9"/>
    <w:rsid w:val="003635CB"/>
    <w:rsid w:val="0036394B"/>
    <w:rsid w:val="00366DB6"/>
    <w:rsid w:val="00367387"/>
    <w:rsid w:val="003709B5"/>
    <w:rsid w:val="003759C2"/>
    <w:rsid w:val="003764CC"/>
    <w:rsid w:val="00380888"/>
    <w:rsid w:val="00380962"/>
    <w:rsid w:val="0038394B"/>
    <w:rsid w:val="003857DE"/>
    <w:rsid w:val="003867C2"/>
    <w:rsid w:val="00392A0B"/>
    <w:rsid w:val="00397365"/>
    <w:rsid w:val="00397B9A"/>
    <w:rsid w:val="003A31F6"/>
    <w:rsid w:val="003A3455"/>
    <w:rsid w:val="003A40A8"/>
    <w:rsid w:val="003A496E"/>
    <w:rsid w:val="003B54EA"/>
    <w:rsid w:val="003C0750"/>
    <w:rsid w:val="003C27A5"/>
    <w:rsid w:val="003C2B93"/>
    <w:rsid w:val="003C3447"/>
    <w:rsid w:val="003D076C"/>
    <w:rsid w:val="003E2CE0"/>
    <w:rsid w:val="003E78B5"/>
    <w:rsid w:val="003F0DF9"/>
    <w:rsid w:val="003F24DF"/>
    <w:rsid w:val="003F2829"/>
    <w:rsid w:val="003F5A6C"/>
    <w:rsid w:val="00411137"/>
    <w:rsid w:val="00414C52"/>
    <w:rsid w:val="0041585A"/>
    <w:rsid w:val="00415BAB"/>
    <w:rsid w:val="00415ED2"/>
    <w:rsid w:val="004165DF"/>
    <w:rsid w:val="0042068C"/>
    <w:rsid w:val="004219A9"/>
    <w:rsid w:val="004222A7"/>
    <w:rsid w:val="004228CD"/>
    <w:rsid w:val="00422D86"/>
    <w:rsid w:val="004232E6"/>
    <w:rsid w:val="00431ACC"/>
    <w:rsid w:val="00436F01"/>
    <w:rsid w:val="0044318E"/>
    <w:rsid w:val="00443B35"/>
    <w:rsid w:val="0045414E"/>
    <w:rsid w:val="00455259"/>
    <w:rsid w:val="00462AB7"/>
    <w:rsid w:val="00463139"/>
    <w:rsid w:val="00466740"/>
    <w:rsid w:val="004706E5"/>
    <w:rsid w:val="0047122B"/>
    <w:rsid w:val="0047244E"/>
    <w:rsid w:val="00472915"/>
    <w:rsid w:val="00472E1D"/>
    <w:rsid w:val="00473B7A"/>
    <w:rsid w:val="004762CE"/>
    <w:rsid w:val="00482E08"/>
    <w:rsid w:val="004861AB"/>
    <w:rsid w:val="00491BAF"/>
    <w:rsid w:val="004960E9"/>
    <w:rsid w:val="00496F84"/>
    <w:rsid w:val="004A1D63"/>
    <w:rsid w:val="004A2E88"/>
    <w:rsid w:val="004A2F7E"/>
    <w:rsid w:val="004A372F"/>
    <w:rsid w:val="004A3D15"/>
    <w:rsid w:val="004A40CF"/>
    <w:rsid w:val="004A4FF1"/>
    <w:rsid w:val="004A5305"/>
    <w:rsid w:val="004B7AB9"/>
    <w:rsid w:val="004C0F9C"/>
    <w:rsid w:val="004D0991"/>
    <w:rsid w:val="004D5EAB"/>
    <w:rsid w:val="004D6A05"/>
    <w:rsid w:val="004D7634"/>
    <w:rsid w:val="004E3F58"/>
    <w:rsid w:val="004E611A"/>
    <w:rsid w:val="005003EF"/>
    <w:rsid w:val="00501843"/>
    <w:rsid w:val="00504C02"/>
    <w:rsid w:val="00507935"/>
    <w:rsid w:val="00507F20"/>
    <w:rsid w:val="0052323C"/>
    <w:rsid w:val="00525E8D"/>
    <w:rsid w:val="0052779D"/>
    <w:rsid w:val="005300D3"/>
    <w:rsid w:val="00530D22"/>
    <w:rsid w:val="00531054"/>
    <w:rsid w:val="005331DF"/>
    <w:rsid w:val="00541E5B"/>
    <w:rsid w:val="00542821"/>
    <w:rsid w:val="00544F82"/>
    <w:rsid w:val="00545E52"/>
    <w:rsid w:val="00546F21"/>
    <w:rsid w:val="00547E7A"/>
    <w:rsid w:val="005509D2"/>
    <w:rsid w:val="005519A7"/>
    <w:rsid w:val="005562EC"/>
    <w:rsid w:val="0056519A"/>
    <w:rsid w:val="0057076D"/>
    <w:rsid w:val="005734BF"/>
    <w:rsid w:val="0057636B"/>
    <w:rsid w:val="005908FE"/>
    <w:rsid w:val="00593076"/>
    <w:rsid w:val="00593C4F"/>
    <w:rsid w:val="005946A8"/>
    <w:rsid w:val="00594DF0"/>
    <w:rsid w:val="005A200A"/>
    <w:rsid w:val="005A4407"/>
    <w:rsid w:val="005A59EF"/>
    <w:rsid w:val="005A5BFB"/>
    <w:rsid w:val="005B1231"/>
    <w:rsid w:val="005B1C7E"/>
    <w:rsid w:val="005B4088"/>
    <w:rsid w:val="005C284B"/>
    <w:rsid w:val="005C6976"/>
    <w:rsid w:val="005D5A94"/>
    <w:rsid w:val="005E2F54"/>
    <w:rsid w:val="005F3414"/>
    <w:rsid w:val="005F46C2"/>
    <w:rsid w:val="005F60BD"/>
    <w:rsid w:val="005F6F41"/>
    <w:rsid w:val="00604C10"/>
    <w:rsid w:val="00613841"/>
    <w:rsid w:val="006140E4"/>
    <w:rsid w:val="006142E3"/>
    <w:rsid w:val="0062037A"/>
    <w:rsid w:val="00621968"/>
    <w:rsid w:val="0062370D"/>
    <w:rsid w:val="00625DC6"/>
    <w:rsid w:val="006325C5"/>
    <w:rsid w:val="0063658B"/>
    <w:rsid w:val="00640DA9"/>
    <w:rsid w:val="0064391D"/>
    <w:rsid w:val="006456F9"/>
    <w:rsid w:val="00651821"/>
    <w:rsid w:val="00652988"/>
    <w:rsid w:val="00654384"/>
    <w:rsid w:val="0065562B"/>
    <w:rsid w:val="006651B4"/>
    <w:rsid w:val="00666233"/>
    <w:rsid w:val="006675CD"/>
    <w:rsid w:val="006708E8"/>
    <w:rsid w:val="00670B37"/>
    <w:rsid w:val="006712CA"/>
    <w:rsid w:val="00676C0B"/>
    <w:rsid w:val="00681618"/>
    <w:rsid w:val="00683629"/>
    <w:rsid w:val="00684D9B"/>
    <w:rsid w:val="00697556"/>
    <w:rsid w:val="006A597A"/>
    <w:rsid w:val="006B19F9"/>
    <w:rsid w:val="006B4647"/>
    <w:rsid w:val="006B4C2B"/>
    <w:rsid w:val="006B5E80"/>
    <w:rsid w:val="006B6194"/>
    <w:rsid w:val="006B6D47"/>
    <w:rsid w:val="006C4FBB"/>
    <w:rsid w:val="006C5473"/>
    <w:rsid w:val="006C5AFE"/>
    <w:rsid w:val="006D0604"/>
    <w:rsid w:val="006D067E"/>
    <w:rsid w:val="006D0EB2"/>
    <w:rsid w:val="006D1138"/>
    <w:rsid w:val="006D3CA0"/>
    <w:rsid w:val="006E3A5B"/>
    <w:rsid w:val="006E403F"/>
    <w:rsid w:val="006E50BB"/>
    <w:rsid w:val="006E657F"/>
    <w:rsid w:val="006E792E"/>
    <w:rsid w:val="006F6D95"/>
    <w:rsid w:val="006F7DCF"/>
    <w:rsid w:val="00706F13"/>
    <w:rsid w:val="007072E8"/>
    <w:rsid w:val="00710A3E"/>
    <w:rsid w:val="00710B09"/>
    <w:rsid w:val="00714C78"/>
    <w:rsid w:val="00715994"/>
    <w:rsid w:val="0071618D"/>
    <w:rsid w:val="00725FA4"/>
    <w:rsid w:val="00732476"/>
    <w:rsid w:val="00732719"/>
    <w:rsid w:val="00733627"/>
    <w:rsid w:val="00740446"/>
    <w:rsid w:val="00743283"/>
    <w:rsid w:val="007438A9"/>
    <w:rsid w:val="0074491E"/>
    <w:rsid w:val="00761E79"/>
    <w:rsid w:val="0076247A"/>
    <w:rsid w:val="00772BF0"/>
    <w:rsid w:val="00775964"/>
    <w:rsid w:val="007765FE"/>
    <w:rsid w:val="00777738"/>
    <w:rsid w:val="007843AE"/>
    <w:rsid w:val="00785932"/>
    <w:rsid w:val="00785998"/>
    <w:rsid w:val="00794E2E"/>
    <w:rsid w:val="00795BFB"/>
    <w:rsid w:val="00795E23"/>
    <w:rsid w:val="0079743F"/>
    <w:rsid w:val="007B00CA"/>
    <w:rsid w:val="007B2760"/>
    <w:rsid w:val="007B68DB"/>
    <w:rsid w:val="007C6236"/>
    <w:rsid w:val="007D04E4"/>
    <w:rsid w:val="007D230E"/>
    <w:rsid w:val="007D5750"/>
    <w:rsid w:val="007E412B"/>
    <w:rsid w:val="007E5FAC"/>
    <w:rsid w:val="007E6A60"/>
    <w:rsid w:val="0080213C"/>
    <w:rsid w:val="00805A34"/>
    <w:rsid w:val="00806C01"/>
    <w:rsid w:val="008148CC"/>
    <w:rsid w:val="008170DF"/>
    <w:rsid w:val="008211A4"/>
    <w:rsid w:val="0082246B"/>
    <w:rsid w:val="00823DDB"/>
    <w:rsid w:val="00837924"/>
    <w:rsid w:val="00841FDE"/>
    <w:rsid w:val="00843E1F"/>
    <w:rsid w:val="0085623D"/>
    <w:rsid w:val="00857A4A"/>
    <w:rsid w:val="008602B8"/>
    <w:rsid w:val="00864C08"/>
    <w:rsid w:val="00865FCA"/>
    <w:rsid w:val="00866F33"/>
    <w:rsid w:val="00873150"/>
    <w:rsid w:val="0087580B"/>
    <w:rsid w:val="0087657D"/>
    <w:rsid w:val="008807D5"/>
    <w:rsid w:val="00880832"/>
    <w:rsid w:val="00883A44"/>
    <w:rsid w:val="00886EE1"/>
    <w:rsid w:val="0088727D"/>
    <w:rsid w:val="00887827"/>
    <w:rsid w:val="00892346"/>
    <w:rsid w:val="008942B5"/>
    <w:rsid w:val="0089470C"/>
    <w:rsid w:val="00895C5A"/>
    <w:rsid w:val="00897C75"/>
    <w:rsid w:val="008B2D9D"/>
    <w:rsid w:val="008B2FC5"/>
    <w:rsid w:val="008B5C74"/>
    <w:rsid w:val="008B6CE9"/>
    <w:rsid w:val="008C00BA"/>
    <w:rsid w:val="008C1130"/>
    <w:rsid w:val="008C283D"/>
    <w:rsid w:val="008D093E"/>
    <w:rsid w:val="008D18E6"/>
    <w:rsid w:val="008D1B73"/>
    <w:rsid w:val="008D7A9B"/>
    <w:rsid w:val="008E0060"/>
    <w:rsid w:val="008E2AC4"/>
    <w:rsid w:val="008E38FD"/>
    <w:rsid w:val="008E5B78"/>
    <w:rsid w:val="008E6072"/>
    <w:rsid w:val="008E76AC"/>
    <w:rsid w:val="008F1A26"/>
    <w:rsid w:val="008F1FB2"/>
    <w:rsid w:val="008F21F6"/>
    <w:rsid w:val="008F7B6F"/>
    <w:rsid w:val="009129A4"/>
    <w:rsid w:val="00914768"/>
    <w:rsid w:val="00914C5D"/>
    <w:rsid w:val="009227DC"/>
    <w:rsid w:val="00923E7A"/>
    <w:rsid w:val="009322B8"/>
    <w:rsid w:val="00932BB4"/>
    <w:rsid w:val="00942D1A"/>
    <w:rsid w:val="00943D96"/>
    <w:rsid w:val="00951F79"/>
    <w:rsid w:val="00955950"/>
    <w:rsid w:val="00961C3E"/>
    <w:rsid w:val="00962DD6"/>
    <w:rsid w:val="009642C6"/>
    <w:rsid w:val="00974AB5"/>
    <w:rsid w:val="00980634"/>
    <w:rsid w:val="00983822"/>
    <w:rsid w:val="0098574C"/>
    <w:rsid w:val="0098706D"/>
    <w:rsid w:val="009935FB"/>
    <w:rsid w:val="009A0F0B"/>
    <w:rsid w:val="009A2F9C"/>
    <w:rsid w:val="009A46F7"/>
    <w:rsid w:val="009B0D4F"/>
    <w:rsid w:val="009B1376"/>
    <w:rsid w:val="009C1741"/>
    <w:rsid w:val="009C24A2"/>
    <w:rsid w:val="009C3EE0"/>
    <w:rsid w:val="009D31AA"/>
    <w:rsid w:val="009D7190"/>
    <w:rsid w:val="009E1157"/>
    <w:rsid w:val="009E1566"/>
    <w:rsid w:val="009E526F"/>
    <w:rsid w:val="009F4A54"/>
    <w:rsid w:val="009F4B93"/>
    <w:rsid w:val="009F4BEC"/>
    <w:rsid w:val="009F5874"/>
    <w:rsid w:val="00A001BA"/>
    <w:rsid w:val="00A04E7D"/>
    <w:rsid w:val="00A0559F"/>
    <w:rsid w:val="00A208B5"/>
    <w:rsid w:val="00A25FD7"/>
    <w:rsid w:val="00A33E6F"/>
    <w:rsid w:val="00A37A12"/>
    <w:rsid w:val="00A40710"/>
    <w:rsid w:val="00A43AFF"/>
    <w:rsid w:val="00A43B35"/>
    <w:rsid w:val="00A458E7"/>
    <w:rsid w:val="00A52884"/>
    <w:rsid w:val="00A54BB3"/>
    <w:rsid w:val="00A61512"/>
    <w:rsid w:val="00A761B3"/>
    <w:rsid w:val="00A7793A"/>
    <w:rsid w:val="00A82C40"/>
    <w:rsid w:val="00A872D6"/>
    <w:rsid w:val="00A97286"/>
    <w:rsid w:val="00AA186A"/>
    <w:rsid w:val="00AA2DA0"/>
    <w:rsid w:val="00AA4CC7"/>
    <w:rsid w:val="00AA5E8E"/>
    <w:rsid w:val="00AB4706"/>
    <w:rsid w:val="00AB5E46"/>
    <w:rsid w:val="00AB6CA7"/>
    <w:rsid w:val="00AD01E4"/>
    <w:rsid w:val="00AD0858"/>
    <w:rsid w:val="00AD413B"/>
    <w:rsid w:val="00AE3E71"/>
    <w:rsid w:val="00AE7340"/>
    <w:rsid w:val="00AF181B"/>
    <w:rsid w:val="00AF1BBD"/>
    <w:rsid w:val="00AF6024"/>
    <w:rsid w:val="00B10207"/>
    <w:rsid w:val="00B11B0E"/>
    <w:rsid w:val="00B141E7"/>
    <w:rsid w:val="00B16E46"/>
    <w:rsid w:val="00B17290"/>
    <w:rsid w:val="00B216EB"/>
    <w:rsid w:val="00B27560"/>
    <w:rsid w:val="00B3027F"/>
    <w:rsid w:val="00B30A6C"/>
    <w:rsid w:val="00B3289B"/>
    <w:rsid w:val="00B33E05"/>
    <w:rsid w:val="00B351B4"/>
    <w:rsid w:val="00B405DE"/>
    <w:rsid w:val="00B425EB"/>
    <w:rsid w:val="00B46BCA"/>
    <w:rsid w:val="00B478AA"/>
    <w:rsid w:val="00B55041"/>
    <w:rsid w:val="00B554C3"/>
    <w:rsid w:val="00B64BF4"/>
    <w:rsid w:val="00B76198"/>
    <w:rsid w:val="00B769CB"/>
    <w:rsid w:val="00B87806"/>
    <w:rsid w:val="00B87EC9"/>
    <w:rsid w:val="00B93259"/>
    <w:rsid w:val="00B95880"/>
    <w:rsid w:val="00BA39C6"/>
    <w:rsid w:val="00BB28E9"/>
    <w:rsid w:val="00BB4CC8"/>
    <w:rsid w:val="00BB7629"/>
    <w:rsid w:val="00BC0169"/>
    <w:rsid w:val="00BC21BE"/>
    <w:rsid w:val="00BC38FD"/>
    <w:rsid w:val="00BD0059"/>
    <w:rsid w:val="00BD1DBA"/>
    <w:rsid w:val="00BF0265"/>
    <w:rsid w:val="00BF0795"/>
    <w:rsid w:val="00BF2841"/>
    <w:rsid w:val="00BF52BE"/>
    <w:rsid w:val="00BF63E2"/>
    <w:rsid w:val="00BF7B83"/>
    <w:rsid w:val="00C034CB"/>
    <w:rsid w:val="00C051A8"/>
    <w:rsid w:val="00C054BC"/>
    <w:rsid w:val="00C10CD7"/>
    <w:rsid w:val="00C14D77"/>
    <w:rsid w:val="00C161DB"/>
    <w:rsid w:val="00C17897"/>
    <w:rsid w:val="00C315C9"/>
    <w:rsid w:val="00C342E7"/>
    <w:rsid w:val="00C409D5"/>
    <w:rsid w:val="00C435C3"/>
    <w:rsid w:val="00C467B7"/>
    <w:rsid w:val="00C53260"/>
    <w:rsid w:val="00C532AD"/>
    <w:rsid w:val="00C56108"/>
    <w:rsid w:val="00C6234B"/>
    <w:rsid w:val="00C63637"/>
    <w:rsid w:val="00C63EAE"/>
    <w:rsid w:val="00C642D6"/>
    <w:rsid w:val="00C666F5"/>
    <w:rsid w:val="00C71CEF"/>
    <w:rsid w:val="00C74A6A"/>
    <w:rsid w:val="00C75423"/>
    <w:rsid w:val="00C7629F"/>
    <w:rsid w:val="00C766A3"/>
    <w:rsid w:val="00C804B4"/>
    <w:rsid w:val="00C815FD"/>
    <w:rsid w:val="00C8232C"/>
    <w:rsid w:val="00C850D9"/>
    <w:rsid w:val="00C8661B"/>
    <w:rsid w:val="00C9033F"/>
    <w:rsid w:val="00CA139A"/>
    <w:rsid w:val="00CA2899"/>
    <w:rsid w:val="00CA3A3D"/>
    <w:rsid w:val="00CA72AC"/>
    <w:rsid w:val="00CA77FB"/>
    <w:rsid w:val="00CB274B"/>
    <w:rsid w:val="00CB379B"/>
    <w:rsid w:val="00CB5DD0"/>
    <w:rsid w:val="00CB6627"/>
    <w:rsid w:val="00CC14C1"/>
    <w:rsid w:val="00CC4242"/>
    <w:rsid w:val="00CC51D4"/>
    <w:rsid w:val="00CC65DA"/>
    <w:rsid w:val="00CD0FB0"/>
    <w:rsid w:val="00CD665F"/>
    <w:rsid w:val="00CD6DDF"/>
    <w:rsid w:val="00CE1039"/>
    <w:rsid w:val="00CE1EC2"/>
    <w:rsid w:val="00CE51FF"/>
    <w:rsid w:val="00CF0B66"/>
    <w:rsid w:val="00CF21B9"/>
    <w:rsid w:val="00CF4245"/>
    <w:rsid w:val="00CF6032"/>
    <w:rsid w:val="00CF6BF9"/>
    <w:rsid w:val="00D00F22"/>
    <w:rsid w:val="00D00F64"/>
    <w:rsid w:val="00D03800"/>
    <w:rsid w:val="00D065D3"/>
    <w:rsid w:val="00D0704A"/>
    <w:rsid w:val="00D10A3C"/>
    <w:rsid w:val="00D14C94"/>
    <w:rsid w:val="00D150D2"/>
    <w:rsid w:val="00D16D33"/>
    <w:rsid w:val="00D17140"/>
    <w:rsid w:val="00D31AC4"/>
    <w:rsid w:val="00D3271B"/>
    <w:rsid w:val="00D3307A"/>
    <w:rsid w:val="00D331AD"/>
    <w:rsid w:val="00D342A6"/>
    <w:rsid w:val="00D4084B"/>
    <w:rsid w:val="00D45CA6"/>
    <w:rsid w:val="00D4638F"/>
    <w:rsid w:val="00D464BF"/>
    <w:rsid w:val="00D51AC0"/>
    <w:rsid w:val="00D53E26"/>
    <w:rsid w:val="00D61DFB"/>
    <w:rsid w:val="00D649F8"/>
    <w:rsid w:val="00D700EB"/>
    <w:rsid w:val="00D71510"/>
    <w:rsid w:val="00D7289B"/>
    <w:rsid w:val="00D74A6F"/>
    <w:rsid w:val="00D76880"/>
    <w:rsid w:val="00D81351"/>
    <w:rsid w:val="00D82636"/>
    <w:rsid w:val="00D83129"/>
    <w:rsid w:val="00D9413E"/>
    <w:rsid w:val="00D96BEF"/>
    <w:rsid w:val="00DA1B43"/>
    <w:rsid w:val="00DA2F0A"/>
    <w:rsid w:val="00DA69D9"/>
    <w:rsid w:val="00DA760F"/>
    <w:rsid w:val="00DB02CF"/>
    <w:rsid w:val="00DB043F"/>
    <w:rsid w:val="00DB12A1"/>
    <w:rsid w:val="00DC0BC0"/>
    <w:rsid w:val="00DC43C4"/>
    <w:rsid w:val="00DC5B01"/>
    <w:rsid w:val="00DD26FC"/>
    <w:rsid w:val="00DD4730"/>
    <w:rsid w:val="00DD4F0E"/>
    <w:rsid w:val="00DE387F"/>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219E5"/>
    <w:rsid w:val="00E240E7"/>
    <w:rsid w:val="00E30607"/>
    <w:rsid w:val="00E31CFC"/>
    <w:rsid w:val="00E40DAC"/>
    <w:rsid w:val="00E413EC"/>
    <w:rsid w:val="00E43925"/>
    <w:rsid w:val="00E5152E"/>
    <w:rsid w:val="00E534CF"/>
    <w:rsid w:val="00E55B4A"/>
    <w:rsid w:val="00E55F88"/>
    <w:rsid w:val="00E57869"/>
    <w:rsid w:val="00E60C09"/>
    <w:rsid w:val="00E673F6"/>
    <w:rsid w:val="00E72DCD"/>
    <w:rsid w:val="00E73FC0"/>
    <w:rsid w:val="00E74DBA"/>
    <w:rsid w:val="00E74E77"/>
    <w:rsid w:val="00E75ECC"/>
    <w:rsid w:val="00E770DF"/>
    <w:rsid w:val="00E81CB4"/>
    <w:rsid w:val="00E8240B"/>
    <w:rsid w:val="00E83E4B"/>
    <w:rsid w:val="00E8585B"/>
    <w:rsid w:val="00E860E7"/>
    <w:rsid w:val="00E96EE1"/>
    <w:rsid w:val="00EA3F15"/>
    <w:rsid w:val="00EA7847"/>
    <w:rsid w:val="00EB263B"/>
    <w:rsid w:val="00EB2746"/>
    <w:rsid w:val="00EB4C2F"/>
    <w:rsid w:val="00EB61E7"/>
    <w:rsid w:val="00EB6DF0"/>
    <w:rsid w:val="00EB74D3"/>
    <w:rsid w:val="00EC5024"/>
    <w:rsid w:val="00EC527D"/>
    <w:rsid w:val="00ED590E"/>
    <w:rsid w:val="00EE1F2B"/>
    <w:rsid w:val="00EE2E6E"/>
    <w:rsid w:val="00EF47F2"/>
    <w:rsid w:val="00EF6D78"/>
    <w:rsid w:val="00F004AF"/>
    <w:rsid w:val="00F0759E"/>
    <w:rsid w:val="00F13E53"/>
    <w:rsid w:val="00F1583A"/>
    <w:rsid w:val="00F16A43"/>
    <w:rsid w:val="00F23BC6"/>
    <w:rsid w:val="00F32F56"/>
    <w:rsid w:val="00F373C5"/>
    <w:rsid w:val="00F44E5C"/>
    <w:rsid w:val="00F46780"/>
    <w:rsid w:val="00F50148"/>
    <w:rsid w:val="00F545EA"/>
    <w:rsid w:val="00F55370"/>
    <w:rsid w:val="00F62818"/>
    <w:rsid w:val="00F66D96"/>
    <w:rsid w:val="00F67C83"/>
    <w:rsid w:val="00F72990"/>
    <w:rsid w:val="00F72A24"/>
    <w:rsid w:val="00F76B34"/>
    <w:rsid w:val="00F821A3"/>
    <w:rsid w:val="00F9314A"/>
    <w:rsid w:val="00F940B2"/>
    <w:rsid w:val="00F94F14"/>
    <w:rsid w:val="00FA20C4"/>
    <w:rsid w:val="00FA21AF"/>
    <w:rsid w:val="00FB257C"/>
    <w:rsid w:val="00FC36D7"/>
    <w:rsid w:val="00FC58EF"/>
    <w:rsid w:val="00FD1B3F"/>
    <w:rsid w:val="00FD33DF"/>
    <w:rsid w:val="00FD35D1"/>
    <w:rsid w:val="00FD4EE8"/>
    <w:rsid w:val="00FE39D7"/>
    <w:rsid w:val="00FE6AFD"/>
    <w:rsid w:val="00FF0997"/>
    <w:rsid w:val="00FF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51259927">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35409725">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8CC7-12AC-4032-9210-145943F5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6058</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2014-09-24T13:45:00Z</cp:lastPrinted>
  <dcterms:created xsi:type="dcterms:W3CDTF">2014-10-03T13:54:00Z</dcterms:created>
  <dcterms:modified xsi:type="dcterms:W3CDTF">2014-10-03T13:54:00Z</dcterms:modified>
</cp:coreProperties>
</file>